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E75BC">
      <w:pPr>
        <w:spacing w:line="300" w:lineRule="auto"/>
        <w:rPr>
          <w:rFonts w:eastAsia="黑体"/>
          <w:sz w:val="32"/>
          <w:szCs w:val="32"/>
        </w:rPr>
      </w:pPr>
      <w:r>
        <w:rPr>
          <w:rFonts w:hint="eastAsia" w:eastAsia="黑体"/>
          <w:sz w:val="32"/>
          <w:szCs w:val="32"/>
        </w:rPr>
        <w:t xml:space="preserve">    </w:t>
      </w:r>
    </w:p>
    <w:p w14:paraId="3E273D9A">
      <w:pPr>
        <w:spacing w:line="300" w:lineRule="auto"/>
        <w:rPr>
          <w:rFonts w:eastAsia="MS Gothic"/>
          <w:b/>
          <w:sz w:val="84"/>
          <w:szCs w:val="84"/>
        </w:rPr>
      </w:pPr>
      <w:r>
        <w:rPr>
          <w:rFonts w:hint="eastAsia" w:eastAsia="黑体"/>
          <w:sz w:val="32"/>
          <w:szCs w:val="32"/>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14:paraId="4E06F804">
      <w:pPr>
        <w:spacing w:line="300" w:lineRule="auto"/>
      </w:pPr>
      <w:r>
        <w:t xml:space="preserve">                              </w:t>
      </w:r>
      <w:bookmarkStart w:id="0" w:name="_Toc337542810"/>
      <w:r>
        <w:rPr>
          <w:rFonts w:hint="eastAsia"/>
        </w:rPr>
        <w:t xml:space="preserve">                                                        </w:t>
      </w:r>
    </w:p>
    <w:p w14:paraId="0740A013">
      <w:pPr>
        <w:spacing w:line="300" w:lineRule="auto"/>
        <w:rPr>
          <w:spacing w:val="17"/>
          <w:sz w:val="30"/>
          <w:szCs w:val="30"/>
        </w:rPr>
      </w:pPr>
      <w:r>
        <w:rPr>
          <w:rFonts w:hint="eastAsia"/>
        </w:rPr>
        <w:t xml:space="preserve">                                                       </w:t>
      </w:r>
      <w:r>
        <w:rPr>
          <w:spacing w:val="23"/>
          <w:sz w:val="30"/>
          <w:szCs w:val="30"/>
        </w:rPr>
        <w:t>DBJ</w:t>
      </w:r>
      <w:r>
        <w:rPr>
          <w:rFonts w:hint="eastAsia"/>
          <w:spacing w:val="23"/>
          <w:sz w:val="30"/>
          <w:szCs w:val="30"/>
        </w:rPr>
        <w:t xml:space="preserve">/T </w:t>
      </w:r>
      <w:r>
        <w:rPr>
          <w:rFonts w:hint="eastAsia"/>
          <w:spacing w:val="23"/>
          <w:sz w:val="30"/>
          <w:szCs w:val="30"/>
          <w:lang w:val="en-US" w:eastAsia="zh-CN"/>
        </w:rPr>
        <w:t>XX</w:t>
      </w:r>
      <w:r>
        <w:rPr>
          <w:spacing w:val="23"/>
          <w:sz w:val="30"/>
          <w:szCs w:val="30"/>
        </w:rPr>
        <w:t>-</w:t>
      </w:r>
      <w:r>
        <w:rPr>
          <w:rFonts w:hint="eastAsia" w:ascii="黑体" w:hAnsi="黑体" w:eastAsia="黑体"/>
          <w:sz w:val="28"/>
          <w:szCs w:val="28"/>
        </w:rPr>
        <w:t>XX</w:t>
      </w:r>
      <w:r>
        <w:rPr>
          <w:spacing w:val="23"/>
          <w:sz w:val="30"/>
          <w:szCs w:val="30"/>
        </w:rPr>
        <w:t>-</w:t>
      </w:r>
      <w:bookmarkEnd w:id="0"/>
      <w:r>
        <w:rPr>
          <w:sz w:val="30"/>
          <w:szCs w:val="30"/>
        </w:rPr>
        <w:t>20</w:t>
      </w:r>
      <w:r>
        <w:rPr>
          <w:rFonts w:hint="eastAsia" w:ascii="黑体" w:hAnsi="黑体" w:eastAsia="黑体"/>
          <w:sz w:val="28"/>
          <w:szCs w:val="28"/>
        </w:rPr>
        <w:t>XX</w:t>
      </w:r>
    </w:p>
    <w:p w14:paraId="76DE5BFA">
      <w:pPr>
        <w:spacing w:line="300" w:lineRule="auto"/>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2" name="直接连接符 2"/>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2xaSdQAAAAHAQAADwAAAAAAAAABACAAAAAiAAAAZHJzL2Rvd25yZXYueG1sUEsB&#10;AhQAFAAAAAgAh07iQGESQ9L5AQAA5gMAAA4AAAAAAAAAAQAgAAAAIwEAAGRycy9lMm9Eb2MueG1s&#10;UEsFBgAAAAAGAAYAWQEAAI4FAAAAAA==&#10;">
                <v:fill on="f" focussize="0,0"/>
                <v:stroke color="#000000" joinstyle="round"/>
                <v:imagedata o:title=""/>
                <o:lock v:ext="edit" aspectratio="f"/>
              </v:line>
            </w:pict>
          </mc:Fallback>
        </mc:AlternateContent>
      </w:r>
      <w:r>
        <w:rPr>
          <w:rFonts w:hint="eastAsia"/>
          <w:sz w:val="28"/>
          <w:szCs w:val="28"/>
        </w:rPr>
        <w:t xml:space="preserve">                                        </w:t>
      </w:r>
      <w:r>
        <w:rPr>
          <w:rFonts w:hint="eastAsia" w:ascii="黑体" w:hAnsi="黑体" w:eastAsia="黑体"/>
          <w:sz w:val="28"/>
          <w:szCs w:val="28"/>
        </w:rPr>
        <w:t>备案号 J XXXXX-20XX</w:t>
      </w:r>
    </w:p>
    <w:p w14:paraId="207C808F">
      <w:pPr>
        <w:spacing w:line="300" w:lineRule="auto"/>
        <w:jc w:val="center"/>
        <w:rPr>
          <w:rFonts w:hint="eastAsia" w:ascii="宋体" w:hAnsi="宋体"/>
          <w:b/>
          <w:sz w:val="48"/>
          <w:szCs w:val="48"/>
        </w:rPr>
      </w:pPr>
    </w:p>
    <w:p w14:paraId="6C2EC9A3">
      <w:pPr>
        <w:spacing w:line="300" w:lineRule="auto"/>
        <w:jc w:val="center"/>
        <w:outlineLvl w:val="0"/>
        <w:rPr>
          <w:rFonts w:hint="eastAsia" w:ascii="宋体" w:hAnsi="宋体"/>
          <w:b/>
          <w:sz w:val="48"/>
          <w:szCs w:val="48"/>
        </w:rPr>
      </w:pPr>
      <w:bookmarkStart w:id="1" w:name="_Toc375640674"/>
    </w:p>
    <w:bookmarkEnd w:id="1"/>
    <w:p w14:paraId="2B1DA9D9">
      <w:pPr>
        <w:spacing w:line="300" w:lineRule="auto"/>
        <w:jc w:val="center"/>
        <w:outlineLvl w:val="0"/>
        <w:rPr>
          <w:rFonts w:hint="eastAsia" w:ascii="宋体" w:hAnsi="宋体"/>
          <w:b/>
          <w:sz w:val="48"/>
          <w:szCs w:val="48"/>
        </w:rPr>
      </w:pPr>
      <w:bookmarkStart w:id="2" w:name="_Toc13129"/>
      <w:bookmarkStart w:id="3" w:name="_Toc26754"/>
      <w:bookmarkStart w:id="4" w:name="_Toc14726"/>
      <w:bookmarkStart w:id="5" w:name="_Toc32721"/>
      <w:bookmarkStart w:id="6" w:name="_Toc1740"/>
      <w:bookmarkStart w:id="7" w:name="_Toc7592"/>
      <w:bookmarkStart w:id="8" w:name="_Toc3340"/>
      <w:r>
        <w:rPr>
          <w:rFonts w:hint="eastAsia" w:ascii="宋体" w:hAnsi="宋体"/>
          <w:b/>
          <w:sz w:val="48"/>
          <w:szCs w:val="48"/>
        </w:rPr>
        <w:t>建筑太阳能光伏系统技术</w:t>
      </w:r>
      <w:bookmarkEnd w:id="2"/>
      <w:bookmarkEnd w:id="3"/>
      <w:r>
        <w:rPr>
          <w:rFonts w:hint="eastAsia" w:ascii="宋体" w:hAnsi="宋体"/>
          <w:b/>
          <w:sz w:val="48"/>
          <w:szCs w:val="48"/>
        </w:rPr>
        <w:t>标准</w:t>
      </w:r>
      <w:bookmarkEnd w:id="4"/>
      <w:bookmarkEnd w:id="5"/>
      <w:bookmarkEnd w:id="6"/>
      <w:bookmarkEnd w:id="7"/>
      <w:bookmarkEnd w:id="8"/>
    </w:p>
    <w:p w14:paraId="652FCBE3">
      <w:pPr>
        <w:spacing w:line="300" w:lineRule="auto"/>
      </w:pPr>
    </w:p>
    <w:p w14:paraId="2626D615">
      <w:pPr>
        <w:spacing w:line="300" w:lineRule="auto"/>
        <w:jc w:val="center"/>
        <w:rPr>
          <w:b/>
          <w:sz w:val="28"/>
          <w:szCs w:val="28"/>
        </w:rPr>
      </w:pPr>
      <w:r>
        <w:rPr>
          <w:rFonts w:hint="eastAsia"/>
          <w:b/>
          <w:sz w:val="28"/>
          <w:szCs w:val="28"/>
        </w:rPr>
        <w:t>Technical standards for building solar photovoltaic systems</w:t>
      </w:r>
    </w:p>
    <w:p w14:paraId="379E06B2">
      <w:pPr>
        <w:spacing w:line="300" w:lineRule="auto"/>
        <w:jc w:val="center"/>
        <w:rPr>
          <w:b/>
          <w:color w:val="000000"/>
          <w:sz w:val="30"/>
          <w:szCs w:val="30"/>
        </w:rPr>
      </w:pPr>
      <w:r>
        <w:rPr>
          <w:rFonts w:hint="eastAsia"/>
          <w:b/>
          <w:color w:val="000000"/>
          <w:sz w:val="30"/>
          <w:szCs w:val="30"/>
        </w:rPr>
        <w:t>(征求意见)</w:t>
      </w:r>
    </w:p>
    <w:p w14:paraId="01FE0E4E">
      <w:pPr>
        <w:spacing w:line="300" w:lineRule="auto"/>
      </w:pPr>
    </w:p>
    <w:p w14:paraId="6A5F35D2"/>
    <w:p w14:paraId="0A2BED82"/>
    <w:p w14:paraId="530C6B06"/>
    <w:p w14:paraId="2E10BB5B"/>
    <w:p w14:paraId="04A79017"/>
    <w:p w14:paraId="6F835601"/>
    <w:p w14:paraId="11F18804"/>
    <w:p w14:paraId="4917417B"/>
    <w:p w14:paraId="24E25832"/>
    <w:p w14:paraId="4264D016"/>
    <w:p w14:paraId="6E7A8EB7"/>
    <w:p w14:paraId="44EBD8E4"/>
    <w:p w14:paraId="27FF8719"/>
    <w:p w14:paraId="16F1D2AF"/>
    <w:p w14:paraId="039B7F84">
      <w:pPr>
        <w:spacing w:line="300" w:lineRule="auto"/>
        <w:rPr>
          <w:rFonts w:eastAsia="黑体"/>
          <w:sz w:val="28"/>
          <w:szCs w:val="28"/>
        </w:rPr>
      </w:pPr>
      <w:r>
        <w:rPr>
          <w:b/>
          <w:bCs/>
          <w:sz w:val="32"/>
        </w:rPr>
        <w:t xml:space="preserve">  </w:t>
      </w:r>
      <w:r>
        <w:rPr>
          <w:rFonts w:eastAsia="黑体"/>
          <w:sz w:val="28"/>
          <w:szCs w:val="28"/>
        </w:rPr>
        <w:t>20</w:t>
      </w:r>
      <w:r>
        <w:rPr>
          <w:rFonts w:hint="eastAsia" w:eastAsia="黑体"/>
          <w:sz w:val="28"/>
          <w:szCs w:val="28"/>
        </w:rPr>
        <w:t>23</w:t>
      </w:r>
      <w:r>
        <w:rPr>
          <w:rFonts w:eastAsia="黑体"/>
          <w:sz w:val="28"/>
          <w:szCs w:val="28"/>
        </w:rPr>
        <w:t>-</w:t>
      </w:r>
      <w:r>
        <w:rPr>
          <w:rFonts w:hint="eastAsia" w:ascii="黑体" w:hAnsi="黑体" w:eastAsia="黑体"/>
          <w:sz w:val="28"/>
          <w:szCs w:val="28"/>
        </w:rPr>
        <w:t>XX</w:t>
      </w:r>
      <w:r>
        <w:rPr>
          <w:rFonts w:eastAsia="黑体"/>
          <w:sz w:val="28"/>
          <w:szCs w:val="28"/>
        </w:rPr>
        <w:t>-</w:t>
      </w:r>
      <w:r>
        <w:rPr>
          <w:rFonts w:hint="eastAsia" w:ascii="黑体" w:hAnsi="黑体" w:eastAsia="黑体"/>
          <w:sz w:val="28"/>
          <w:szCs w:val="28"/>
        </w:rPr>
        <w:t>XX</w:t>
      </w:r>
      <w:r>
        <w:rPr>
          <w:rFonts w:eastAsia="黑体"/>
          <w:sz w:val="28"/>
          <w:szCs w:val="28"/>
        </w:rPr>
        <w:t xml:space="preserve">  发布                   </w:t>
      </w:r>
      <w:r>
        <w:rPr>
          <w:rFonts w:hint="eastAsia" w:eastAsia="黑体"/>
          <w:sz w:val="28"/>
          <w:szCs w:val="28"/>
        </w:rPr>
        <w:t xml:space="preserve">         </w:t>
      </w:r>
      <w:r>
        <w:rPr>
          <w:rFonts w:eastAsia="黑体"/>
          <w:sz w:val="28"/>
          <w:szCs w:val="28"/>
        </w:rPr>
        <w:t>20</w:t>
      </w:r>
      <w:r>
        <w:rPr>
          <w:rFonts w:hint="eastAsia" w:eastAsia="黑体"/>
          <w:sz w:val="28"/>
          <w:szCs w:val="28"/>
        </w:rPr>
        <w:t>24</w:t>
      </w:r>
      <w:r>
        <w:rPr>
          <w:rFonts w:eastAsia="黑体"/>
          <w:sz w:val="28"/>
          <w:szCs w:val="28"/>
        </w:rPr>
        <w:t>-</w:t>
      </w:r>
      <w:r>
        <w:rPr>
          <w:rFonts w:hint="eastAsia" w:ascii="黑体" w:hAnsi="黑体" w:eastAsia="黑体"/>
          <w:sz w:val="28"/>
          <w:szCs w:val="28"/>
        </w:rPr>
        <w:t>XX</w:t>
      </w:r>
      <w:r>
        <w:rPr>
          <w:rFonts w:eastAsia="黑体"/>
          <w:sz w:val="28"/>
          <w:szCs w:val="28"/>
        </w:rPr>
        <w:t>-</w:t>
      </w:r>
      <w:r>
        <w:rPr>
          <w:rFonts w:hint="eastAsia" w:ascii="黑体" w:hAnsi="黑体" w:eastAsia="黑体"/>
          <w:sz w:val="28"/>
          <w:szCs w:val="28"/>
        </w:rPr>
        <w:t>XX</w:t>
      </w:r>
      <w:r>
        <w:rPr>
          <w:rFonts w:hint="eastAsia" w:eastAsia="黑体"/>
          <w:sz w:val="28"/>
          <w:szCs w:val="28"/>
        </w:rPr>
        <w:t xml:space="preserve">  </w:t>
      </w:r>
      <w:r>
        <w:rPr>
          <w:rFonts w:eastAsia="黑体"/>
          <w:sz w:val="28"/>
          <w:szCs w:val="28"/>
        </w:rPr>
        <w:t>实施</w:t>
      </w:r>
    </w:p>
    <w:p w14:paraId="097CD303">
      <w:pPr>
        <w:tabs>
          <w:tab w:val="left" w:pos="8235"/>
        </w:tabs>
        <w:spacing w:line="300" w:lineRule="auto"/>
        <w:rPr>
          <w:rFonts w:eastAsia="黑体"/>
          <w:b/>
          <w:sz w:val="28"/>
          <w:szCs w:val="28"/>
        </w:rPr>
      </w:pPr>
      <w:r>
        <w:rPr>
          <w:rFonts w:eastAsia="黑体"/>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3" name="直接连接符 3"/>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Siq+0gAAAAUBAAAPAAAAAAAAAAEAIAAAACIAAABkcnMvZG93bnJldi54bWxQSwECFAAUAAAACACH&#10;TuJAuildpPEBAADcAwAADgAAAAAAAAABACAAAAAhAQAAZHJzL2Uyb0RvYy54bWxQSwUGAAAAAAYA&#10;BgBZAQAAhAUAAAAA&#10;">
                <v:fill on="f" focussize="0,0"/>
                <v:stroke color="#000000" joinstyle="round"/>
                <v:imagedata o:title=""/>
                <o:lock v:ext="edit" aspectratio="f"/>
              </v:line>
            </w:pict>
          </mc:Fallback>
        </mc:AlternateContent>
      </w:r>
      <w:r>
        <w:rPr>
          <w:rFonts w:eastAsia="黑体"/>
          <w:b/>
          <w:sz w:val="28"/>
          <w:szCs w:val="28"/>
        </w:rPr>
        <w:tab/>
      </w:r>
    </w:p>
    <w:p w14:paraId="11D1DD4F">
      <w:pPr>
        <w:adjustRightInd/>
        <w:snapToGrid/>
        <w:spacing w:before="0" w:beforeLines="-2147483648" w:after="0" w:afterLines="-2147483648" w:line="300" w:lineRule="auto"/>
        <w:jc w:val="center"/>
        <w:rPr>
          <w:rFonts w:eastAsia="黑体"/>
          <w:spacing w:val="20"/>
          <w:sz w:val="32"/>
          <w:szCs w:val="32"/>
        </w:rP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14:paraId="16FA9536">
      <w:pPr>
        <w:pStyle w:val="2"/>
      </w:pPr>
    </w:p>
    <w:p w14:paraId="3AFAA34B">
      <w:pPr>
        <w:adjustRightInd w:val="0"/>
        <w:snapToGrid w:val="0"/>
        <w:spacing w:before="312" w:beforeLines="100" w:after="312" w:afterLines="100" w:line="300" w:lineRule="auto"/>
        <w:jc w:val="center"/>
        <w:rPr>
          <w:rFonts w:eastAsia="黑体"/>
          <w:b/>
          <w:sz w:val="32"/>
          <w:szCs w:val="32"/>
        </w:rPr>
        <w:sectPr>
          <w:footerReference r:id="rId5" w:type="first"/>
          <w:footerReference r:id="rId3" w:type="default"/>
          <w:footerReference r:id="rId4" w:type="even"/>
          <w:pgSz w:w="11906" w:h="16838"/>
          <w:pgMar w:top="1440" w:right="1588" w:bottom="1440" w:left="1588" w:header="851" w:footer="992" w:gutter="0"/>
          <w:cols w:space="720" w:num="1"/>
          <w:titlePg/>
          <w:docGrid w:type="lines" w:linePitch="312" w:charSpace="0"/>
        </w:sectPr>
      </w:pPr>
      <w:r>
        <w:rPr>
          <w:sz w:val="21"/>
        </w:rPr>
        <mc:AlternateContent>
          <mc:Choice Requires="wps">
            <w:drawing>
              <wp:anchor distT="0" distB="0" distL="114300" distR="114300" simplePos="0" relativeHeight="251661312" behindDoc="0" locked="0" layoutInCell="1" allowOverlap="1">
                <wp:simplePos x="0" y="0"/>
                <wp:positionH relativeFrom="column">
                  <wp:posOffset>4272915</wp:posOffset>
                </wp:positionH>
                <wp:positionV relativeFrom="paragraph">
                  <wp:posOffset>-233680</wp:posOffset>
                </wp:positionV>
                <wp:extent cx="1828800" cy="1828800"/>
                <wp:effectExtent l="4445" t="4445" r="14605" b="1460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3804099">
                            <w:pPr>
                              <w:shd w:val="clear"/>
                              <w:spacing w:line="460" w:lineRule="exact"/>
                              <w:jc w:val="right"/>
                              <w:rPr>
                                <w:rFonts w:hint="default" w:ascii="宋体" w:hAnsi="宋体"/>
                                <w:b w:val="0"/>
                                <w:bCs/>
                                <w:color w:val="000000" w:themeColor="text1"/>
                                <w:sz w:val="28"/>
                                <w:szCs w:val="28"/>
                                <w14:textFill>
                                  <w14:solidFill>
                                    <w14:schemeClr w14:val="tx1"/>
                                  </w14:solidFill>
                                </w14:textFill>
                              </w:rPr>
                            </w:pPr>
                            <w:r>
                              <w:rPr>
                                <w:rFonts w:ascii="宋体" w:hAnsi="宋体"/>
                                <w:b w:val="0"/>
                                <w:bCs/>
                                <w:color w:val="000000" w:themeColor="text1"/>
                                <w:sz w:val="28"/>
                                <w:szCs w:val="28"/>
                                <w14:textFill>
                                  <w14:solidFill>
                                    <w14:schemeClr w14:val="tx1"/>
                                  </w14:solidFill>
                                </w14:textFill>
                              </w:rPr>
                              <w:t>本标准不涉及专利</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336.45pt;margin-top:-18.4pt;height:144pt;width:144pt;mso-wrap-distance-bottom:0pt;mso-wrap-distance-left:9pt;mso-wrap-distance-right:9pt;mso-wrap-distance-top:0pt;mso-wrap-style:none;z-index:251661312;mso-width-relative:page;mso-height-relative:page;" fillcolor="#FFFFFF [3201]" filled="t" stroked="t" coordsize="21600,21600" o:gfxdata="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sePLTZAAAACwEAAA8A&#10;AAAAAAAAAQAgAAAAIgAAAGRycy9kb3ducmV2LnhtbFBLAQIUABQAAAAIAIdO4kAJXldwTwIAALcE&#10;AAAOAAAAAAAAAAEAIAAAACgBAABkcnMvZTJvRG9jLnhtbFBLBQYAAAAABgAGAFkBAADpBQAAAAA=&#10;">
                <v:fill on="t" focussize="0,0"/>
                <v:stroke weight="0.5pt" color="#000000 [3213]" joinstyle="round"/>
                <v:imagedata o:title=""/>
                <o:lock v:ext="edit" aspectratio="f"/>
                <v:textbox style="mso-fit-shape-to-text:t;">
                  <w:txbxContent>
                    <w:p w14:paraId="33804099">
                      <w:pPr>
                        <w:shd w:val="clear"/>
                        <w:spacing w:line="460" w:lineRule="exact"/>
                        <w:jc w:val="right"/>
                        <w:rPr>
                          <w:rFonts w:hint="default" w:ascii="宋体" w:hAnsi="宋体"/>
                          <w:b w:val="0"/>
                          <w:bCs/>
                          <w:color w:val="000000" w:themeColor="text1"/>
                          <w:sz w:val="28"/>
                          <w:szCs w:val="28"/>
                          <w14:textFill>
                            <w14:solidFill>
                              <w14:schemeClr w14:val="tx1"/>
                            </w14:solidFill>
                          </w14:textFill>
                        </w:rPr>
                      </w:pPr>
                      <w:r>
                        <w:rPr>
                          <w:rFonts w:ascii="宋体" w:hAnsi="宋体"/>
                          <w:b w:val="0"/>
                          <w:bCs/>
                          <w:color w:val="000000" w:themeColor="text1"/>
                          <w:sz w:val="28"/>
                          <w:szCs w:val="28"/>
                          <w14:textFill>
                            <w14:solidFill>
                              <w14:schemeClr w14:val="tx1"/>
                            </w14:solidFill>
                          </w14:textFill>
                        </w:rPr>
                        <w:t>本标准不涉及专利</w:t>
                      </w:r>
                    </w:p>
                  </w:txbxContent>
                </v:textbox>
                <w10:wrap type="square"/>
              </v:shape>
            </w:pict>
          </mc:Fallback>
        </mc:AlternateContent>
      </w:r>
    </w:p>
    <w:p w14:paraId="285231A3">
      <w:pPr>
        <w:pStyle w:val="2"/>
        <w:spacing w:line="300" w:lineRule="auto"/>
      </w:pPr>
    </w:p>
    <w:p w14:paraId="40A9732D">
      <w:pPr>
        <w:adjustRightInd w:val="0"/>
        <w:snapToGrid w:val="0"/>
        <w:spacing w:before="312" w:beforeLines="100" w:after="312" w:afterLines="100" w:line="300" w:lineRule="auto"/>
        <w:jc w:val="center"/>
        <w:rPr>
          <w:rFonts w:eastAsia="黑体"/>
          <w:b/>
          <w:sz w:val="32"/>
          <w:szCs w:val="32"/>
        </w:rPr>
      </w:pPr>
    </w:p>
    <w:p w14:paraId="07C56677">
      <w:pPr>
        <w:adjustRightInd w:val="0"/>
        <w:snapToGrid w:val="0"/>
        <w:spacing w:before="312" w:beforeLines="100" w:after="312" w:afterLines="100" w:line="300" w:lineRule="auto"/>
        <w:jc w:val="center"/>
        <w:rPr>
          <w:rFonts w:eastAsia="黑体"/>
          <w:b/>
          <w:sz w:val="32"/>
          <w:szCs w:val="32"/>
        </w:rPr>
      </w:pPr>
      <w:r>
        <w:rPr>
          <w:rFonts w:hint="eastAsia" w:eastAsia="黑体"/>
          <w:b/>
          <w:sz w:val="32"/>
          <w:szCs w:val="32"/>
        </w:rPr>
        <w:t>广东省</w:t>
      </w:r>
      <w:r>
        <w:rPr>
          <w:rFonts w:eastAsia="黑体"/>
          <w:b/>
          <w:sz w:val="32"/>
          <w:szCs w:val="32"/>
        </w:rPr>
        <w:t>标准</w:t>
      </w:r>
    </w:p>
    <w:p w14:paraId="1A6DEB32">
      <w:pPr>
        <w:adjustRightInd w:val="0"/>
        <w:snapToGrid w:val="0"/>
        <w:spacing w:before="312" w:beforeLines="100" w:after="312" w:afterLines="100" w:line="300" w:lineRule="auto"/>
        <w:jc w:val="center"/>
        <w:rPr>
          <w:rFonts w:eastAsia="黑体"/>
          <w:sz w:val="32"/>
          <w:szCs w:val="32"/>
        </w:rPr>
      </w:pPr>
    </w:p>
    <w:p w14:paraId="7C946C02">
      <w:pPr>
        <w:adjustRightInd w:val="0"/>
        <w:snapToGrid w:val="0"/>
        <w:spacing w:before="312" w:beforeLines="100" w:after="312" w:afterLines="100" w:line="300" w:lineRule="auto"/>
        <w:jc w:val="center"/>
        <w:rPr>
          <w:rFonts w:eastAsia="黑体"/>
          <w:sz w:val="32"/>
          <w:szCs w:val="32"/>
        </w:rPr>
      </w:pPr>
    </w:p>
    <w:p w14:paraId="51BB1D6C">
      <w:pPr>
        <w:adjustRightInd w:val="0"/>
        <w:snapToGrid w:val="0"/>
        <w:spacing w:before="312" w:beforeLines="100" w:after="312" w:afterLines="100" w:line="300" w:lineRule="auto"/>
        <w:ind w:left="-531" w:leftChars="-253"/>
        <w:jc w:val="center"/>
        <w:rPr>
          <w:rFonts w:eastAsia="黑体"/>
          <w:sz w:val="36"/>
          <w:szCs w:val="36"/>
          <w:lang w:eastAsia="zh-TW"/>
        </w:rPr>
      </w:pPr>
      <w:r>
        <w:rPr>
          <w:rFonts w:hint="eastAsia" w:eastAsia="黑体"/>
          <w:sz w:val="36"/>
          <w:szCs w:val="36"/>
          <w:lang w:eastAsia="zh-TW"/>
        </w:rPr>
        <w:t>建筑太阳能光伏系统技术标准</w:t>
      </w:r>
    </w:p>
    <w:p w14:paraId="746B254A">
      <w:pPr>
        <w:adjustRightInd w:val="0"/>
        <w:snapToGrid w:val="0"/>
        <w:spacing w:before="312" w:beforeLines="100" w:after="312" w:afterLines="100" w:line="300" w:lineRule="auto"/>
        <w:ind w:left="-531" w:leftChars="-253"/>
        <w:jc w:val="center"/>
        <w:rPr>
          <w:sz w:val="36"/>
          <w:szCs w:val="36"/>
        </w:rPr>
      </w:pPr>
      <w:r>
        <w:rPr>
          <w:rFonts w:hint="eastAsia"/>
          <w:sz w:val="36"/>
          <w:szCs w:val="36"/>
        </w:rPr>
        <w:t>Technical standards for building solar photovoltaic systems</w:t>
      </w:r>
    </w:p>
    <w:p w14:paraId="2B85887F">
      <w:pPr>
        <w:adjustRightInd w:val="0"/>
        <w:snapToGrid w:val="0"/>
        <w:spacing w:before="312" w:beforeLines="100" w:after="312" w:afterLines="100" w:line="300" w:lineRule="auto"/>
        <w:jc w:val="center"/>
        <w:rPr>
          <w:sz w:val="32"/>
          <w:szCs w:val="32"/>
        </w:rPr>
      </w:pPr>
    </w:p>
    <w:p w14:paraId="3148C0E1">
      <w:pPr>
        <w:adjustRightInd w:val="0"/>
        <w:snapToGrid w:val="0"/>
        <w:spacing w:before="312" w:beforeLines="100" w:after="312" w:afterLines="100" w:line="300" w:lineRule="auto"/>
        <w:jc w:val="center"/>
        <w:rPr>
          <w:sz w:val="32"/>
          <w:szCs w:val="32"/>
        </w:rPr>
      </w:pPr>
    </w:p>
    <w:p w14:paraId="1911D916">
      <w:pPr>
        <w:spacing w:line="300" w:lineRule="auto"/>
        <w:jc w:val="center"/>
        <w:rPr>
          <w:rFonts w:hint="eastAsia" w:ascii="黑体" w:hAnsi="黑体" w:eastAsia="黑体"/>
          <w:b/>
          <w:sz w:val="32"/>
          <w:szCs w:val="32"/>
        </w:rPr>
      </w:pPr>
      <w:r>
        <w:rPr>
          <w:rFonts w:ascii="黑体" w:hAnsi="黑体" w:eastAsia="黑体"/>
          <w:b/>
          <w:sz w:val="32"/>
          <w:szCs w:val="32"/>
        </w:rPr>
        <w:t>DB</w:t>
      </w:r>
      <w:r>
        <w:rPr>
          <w:rFonts w:hint="eastAsia" w:ascii="黑体" w:hAnsi="黑体" w:eastAsia="黑体"/>
          <w:b/>
          <w:sz w:val="32"/>
          <w:szCs w:val="32"/>
        </w:rPr>
        <w:t>J XX-XXXX-XXXX</w:t>
      </w:r>
    </w:p>
    <w:p w14:paraId="2BF5AA70">
      <w:pPr>
        <w:adjustRightInd w:val="0"/>
        <w:snapToGrid w:val="0"/>
        <w:spacing w:before="312" w:beforeLines="100" w:after="312" w:afterLines="100" w:line="300" w:lineRule="auto"/>
        <w:ind w:firstLine="1440" w:firstLineChars="450"/>
        <w:rPr>
          <w:sz w:val="32"/>
          <w:szCs w:val="32"/>
        </w:rPr>
      </w:pPr>
      <w:r>
        <w:rPr>
          <w:rFonts w:hint="eastAsia" w:ascii="宋体" w:hAnsi="宋体" w:cs="宋体"/>
          <w:sz w:val="32"/>
          <w:szCs w:val="32"/>
        </w:rPr>
        <w:t>住房和城乡建设部备案号：</w:t>
      </w:r>
    </w:p>
    <w:p w14:paraId="7793AB15">
      <w:pPr>
        <w:adjustRightInd w:val="0"/>
        <w:snapToGrid w:val="0"/>
        <w:spacing w:before="312" w:beforeLines="100" w:after="312" w:afterLines="100" w:line="300" w:lineRule="auto"/>
        <w:ind w:firstLine="1440" w:firstLineChars="450"/>
        <w:rPr>
          <w:sz w:val="32"/>
          <w:szCs w:val="32"/>
        </w:rPr>
      </w:pPr>
      <w:r>
        <w:rPr>
          <w:rFonts w:hint="eastAsia" w:ascii="宋体" w:hAnsi="宋体" w:cs="宋体"/>
          <w:sz w:val="32"/>
          <w:szCs w:val="32"/>
        </w:rPr>
        <w:t>批准部门：</w:t>
      </w:r>
    </w:p>
    <w:p w14:paraId="419DE586">
      <w:pPr>
        <w:adjustRightInd w:val="0"/>
        <w:snapToGrid w:val="0"/>
        <w:spacing w:before="312" w:beforeLines="100" w:after="312" w:afterLines="100" w:line="300" w:lineRule="auto"/>
        <w:ind w:firstLine="1440" w:firstLineChars="450"/>
        <w:rPr>
          <w:sz w:val="32"/>
          <w:szCs w:val="32"/>
        </w:rPr>
      </w:pPr>
      <w:r>
        <w:rPr>
          <w:rFonts w:hint="eastAsia" w:ascii="宋体" w:hAnsi="宋体" w:cs="宋体"/>
          <w:sz w:val="32"/>
          <w:szCs w:val="32"/>
        </w:rPr>
        <w:t>施行日期：</w:t>
      </w:r>
    </w:p>
    <w:p w14:paraId="57E8ABB8">
      <w:pPr>
        <w:adjustRightInd w:val="0"/>
        <w:snapToGrid w:val="0"/>
        <w:spacing w:before="312" w:beforeLines="100" w:after="312" w:afterLines="100" w:line="300" w:lineRule="auto"/>
        <w:jc w:val="left"/>
        <w:rPr>
          <w:rFonts w:eastAsiaTheme="minorEastAsia"/>
          <w:sz w:val="32"/>
          <w:szCs w:val="32"/>
        </w:rPr>
      </w:pPr>
    </w:p>
    <w:p w14:paraId="55F74A42">
      <w:pPr>
        <w:adjustRightInd w:val="0"/>
        <w:snapToGrid w:val="0"/>
        <w:spacing w:before="312" w:beforeLines="100" w:after="312" w:afterLines="100" w:line="300" w:lineRule="auto"/>
        <w:rPr>
          <w:sz w:val="32"/>
          <w:szCs w:val="32"/>
        </w:rPr>
      </w:pPr>
    </w:p>
    <w:p w14:paraId="0AEB9454">
      <w:pPr>
        <w:adjustRightInd w:val="0"/>
        <w:snapToGrid w:val="0"/>
        <w:spacing w:before="312" w:beforeLines="100" w:after="312" w:afterLines="100" w:line="300" w:lineRule="auto"/>
        <w:rPr>
          <w:sz w:val="32"/>
          <w:szCs w:val="32"/>
          <w:shd w:val="pct10" w:color="auto" w:fill="FFFFFF"/>
        </w:rPr>
      </w:pPr>
    </w:p>
    <w:p w14:paraId="03700ADB">
      <w:pPr>
        <w:widowControl/>
        <w:adjustRightInd w:val="0"/>
        <w:snapToGrid w:val="0"/>
        <w:spacing w:before="312" w:beforeLines="100" w:after="312" w:afterLines="100" w:line="300" w:lineRule="auto"/>
        <w:jc w:val="center"/>
      </w:pPr>
      <w:r>
        <w:rPr>
          <w:rFonts w:hint="eastAsia"/>
          <w:sz w:val="32"/>
          <w:szCs w:val="32"/>
        </w:rPr>
        <w:t>XXXX</w:t>
      </w:r>
      <w:r>
        <w:rPr>
          <w:rFonts w:hint="eastAsia" w:ascii="宋体" w:hAnsi="宋体" w:cs="宋体"/>
          <w:sz w:val="32"/>
          <w:szCs w:val="32"/>
        </w:rPr>
        <w:t>出版社</w:t>
      </w:r>
    </w:p>
    <w:p w14:paraId="135502A3">
      <w:pPr>
        <w:spacing w:line="300" w:lineRule="auto"/>
        <w:rPr>
          <w:rFonts w:hint="eastAsia" w:ascii="仿宋_GB2312" w:hAnsi="宋体" w:eastAsia="仿宋_GB2312"/>
          <w:sz w:val="28"/>
          <w:szCs w:val="28"/>
        </w:rPr>
        <w:sectPr>
          <w:footerReference r:id="rId7" w:type="first"/>
          <w:footerReference r:id="rId6" w:type="default"/>
          <w:pgSz w:w="11906" w:h="16838"/>
          <w:pgMar w:top="1440" w:right="1588" w:bottom="1440" w:left="1588" w:header="851" w:footer="992" w:gutter="0"/>
          <w:cols w:space="720" w:num="1"/>
          <w:titlePg/>
          <w:docGrid w:type="lines" w:linePitch="312" w:charSpace="0"/>
        </w:sectPr>
      </w:pPr>
    </w:p>
    <w:p w14:paraId="113989B6">
      <w:pPr>
        <w:pStyle w:val="2"/>
        <w:spacing w:line="300" w:lineRule="auto"/>
      </w:pPr>
    </w:p>
    <w:p w14:paraId="770ED911">
      <w:pPr>
        <w:pStyle w:val="29"/>
        <w:widowControl w:val="0"/>
        <w:numPr>
          <w:ilvl w:val="0"/>
          <w:numId w:val="0"/>
        </w:numPr>
        <w:tabs>
          <w:tab w:val="left" w:pos="360"/>
        </w:tabs>
        <w:spacing w:before="156" w:after="156" w:line="300" w:lineRule="auto"/>
        <w:outlineLvl w:val="9"/>
        <w:rPr>
          <w:rFonts w:hint="eastAsia" w:ascii="宋体" w:hAnsi="宋体" w:eastAsia="宋体" w:cs="宋体"/>
          <w:b/>
          <w:bCs/>
          <w:kern w:val="2"/>
          <w:sz w:val="36"/>
          <w:szCs w:val="48"/>
        </w:rPr>
      </w:pPr>
      <w:bookmarkStart w:id="9" w:name="_Toc9526"/>
      <w:bookmarkStart w:id="10" w:name="_Toc29645"/>
      <w:bookmarkStart w:id="11" w:name="_Toc5965"/>
      <w:bookmarkStart w:id="12" w:name="_Toc599"/>
      <w:bookmarkStart w:id="13" w:name="_Toc22939"/>
      <w:bookmarkStart w:id="14" w:name="_Toc21854"/>
      <w:bookmarkStart w:id="15" w:name="_Toc21625"/>
      <w:r>
        <w:rPr>
          <w:rFonts w:hint="eastAsia" w:ascii="宋体" w:hAnsi="宋体" w:eastAsia="宋体" w:cs="宋体"/>
          <w:b/>
          <w:bCs/>
          <w:kern w:val="2"/>
          <w:sz w:val="36"/>
          <w:szCs w:val="48"/>
        </w:rPr>
        <w:t>广东省住房和城乡建设厅关于发布广东省标准</w:t>
      </w:r>
      <w:bookmarkEnd w:id="9"/>
      <w:bookmarkEnd w:id="10"/>
      <w:bookmarkEnd w:id="11"/>
      <w:bookmarkEnd w:id="12"/>
      <w:bookmarkEnd w:id="13"/>
      <w:bookmarkEnd w:id="14"/>
      <w:bookmarkEnd w:id="15"/>
    </w:p>
    <w:p w14:paraId="04DE00D6">
      <w:pPr>
        <w:pStyle w:val="29"/>
        <w:widowControl w:val="0"/>
        <w:numPr>
          <w:ilvl w:val="0"/>
          <w:numId w:val="0"/>
        </w:numPr>
        <w:tabs>
          <w:tab w:val="left" w:pos="360"/>
        </w:tabs>
        <w:spacing w:before="156" w:after="156" w:line="300" w:lineRule="auto"/>
        <w:outlineLvl w:val="9"/>
        <w:rPr>
          <w:rFonts w:hint="eastAsia" w:ascii="宋体" w:hAnsi="宋体" w:eastAsia="宋体" w:cs="宋体"/>
          <w:b/>
          <w:bCs/>
          <w:kern w:val="2"/>
          <w:sz w:val="36"/>
          <w:szCs w:val="48"/>
        </w:rPr>
      </w:pPr>
      <w:bookmarkStart w:id="16" w:name="_Toc10833"/>
      <w:bookmarkStart w:id="17" w:name="_Toc9183"/>
      <w:bookmarkStart w:id="18" w:name="_Toc20837"/>
      <w:bookmarkStart w:id="19" w:name="_Toc17031"/>
      <w:bookmarkStart w:id="20" w:name="_Toc19663"/>
      <w:bookmarkStart w:id="21" w:name="_Toc2135"/>
      <w:bookmarkStart w:id="22" w:name="_Toc23336"/>
      <w:r>
        <w:rPr>
          <w:rFonts w:hint="eastAsia" w:ascii="宋体" w:hAnsi="宋体" w:eastAsia="宋体" w:cs="宋体"/>
          <w:b/>
          <w:bCs/>
          <w:kern w:val="2"/>
          <w:sz w:val="36"/>
          <w:szCs w:val="48"/>
        </w:rPr>
        <w:t>《</w:t>
      </w:r>
      <w:r>
        <w:rPr>
          <w:rFonts w:hint="eastAsia" w:ascii="宋体" w:hAnsi="宋体" w:eastAsia="宋体" w:cs="宋体"/>
          <w:b/>
          <w:bCs/>
          <w:kern w:val="2"/>
          <w:sz w:val="36"/>
          <w:szCs w:val="48"/>
          <w:lang w:eastAsia="zh-TW"/>
        </w:rPr>
        <w:t>建筑太阳能光伏系统技术标准</w:t>
      </w:r>
      <w:r>
        <w:rPr>
          <w:rFonts w:hint="eastAsia" w:ascii="宋体" w:hAnsi="宋体" w:eastAsia="宋体" w:cs="宋体"/>
          <w:b/>
          <w:bCs/>
          <w:kern w:val="2"/>
          <w:sz w:val="36"/>
          <w:szCs w:val="48"/>
        </w:rPr>
        <w:t>》的公告</w:t>
      </w:r>
      <w:bookmarkEnd w:id="16"/>
      <w:bookmarkEnd w:id="17"/>
      <w:bookmarkEnd w:id="18"/>
      <w:bookmarkEnd w:id="19"/>
      <w:bookmarkEnd w:id="20"/>
      <w:bookmarkEnd w:id="21"/>
      <w:bookmarkEnd w:id="22"/>
    </w:p>
    <w:p w14:paraId="47E827FD">
      <w:pPr>
        <w:pStyle w:val="29"/>
        <w:widowControl w:val="0"/>
        <w:numPr>
          <w:ilvl w:val="0"/>
          <w:numId w:val="0"/>
        </w:numPr>
        <w:tabs>
          <w:tab w:val="left" w:pos="360"/>
        </w:tabs>
        <w:spacing w:before="156" w:after="156" w:line="300" w:lineRule="auto"/>
        <w:outlineLvl w:val="9"/>
        <w:rPr>
          <w:rFonts w:hint="eastAsia" w:ascii="宋体" w:hAnsi="宋体" w:eastAsia="宋体" w:cs="宋体"/>
          <w:b/>
          <w:bCs/>
          <w:kern w:val="2"/>
          <w:sz w:val="36"/>
          <w:szCs w:val="48"/>
        </w:rPr>
      </w:pPr>
      <w:bookmarkStart w:id="23" w:name="_Toc21404"/>
      <w:bookmarkStart w:id="24" w:name="_Toc15102"/>
      <w:bookmarkStart w:id="25" w:name="_Toc16730"/>
      <w:bookmarkStart w:id="26" w:name="_Toc7373"/>
      <w:bookmarkStart w:id="27" w:name="_Toc31944"/>
      <w:bookmarkStart w:id="28" w:name="_Toc16192"/>
      <w:bookmarkStart w:id="29" w:name="_Toc5610"/>
      <w:r>
        <w:rPr>
          <w:rFonts w:hint="eastAsia" w:ascii="宋体" w:hAnsi="宋体" w:eastAsia="宋体" w:cs="宋体"/>
          <w:szCs w:val="32"/>
        </w:rPr>
        <w:t>粤建公告〔202X〕XX号</w:t>
      </w:r>
      <w:bookmarkEnd w:id="23"/>
      <w:bookmarkEnd w:id="24"/>
      <w:bookmarkEnd w:id="25"/>
      <w:bookmarkEnd w:id="26"/>
      <w:bookmarkEnd w:id="27"/>
      <w:bookmarkEnd w:id="28"/>
      <w:bookmarkEnd w:id="29"/>
    </w:p>
    <w:p w14:paraId="79EC22F6">
      <w:pPr>
        <w:spacing w:line="300" w:lineRule="auto"/>
        <w:ind w:firstLine="640" w:firstLineChars="200"/>
        <w:rPr>
          <w:rFonts w:hint="eastAsia" w:ascii="宋体" w:hAnsi="宋体" w:cs="宋体"/>
          <w:sz w:val="32"/>
          <w:szCs w:val="32"/>
        </w:rPr>
      </w:pPr>
      <w:r>
        <w:rPr>
          <w:rFonts w:ascii="宋体" w:hAnsi="宋体" w:cs="宋体"/>
          <w:sz w:val="32"/>
          <w:szCs w:val="32"/>
        </w:rPr>
        <w:t>经组织专家委员会审查，现批准《</w:t>
      </w:r>
      <w:r>
        <w:rPr>
          <w:rFonts w:hint="eastAsia" w:ascii="宋体" w:hAnsi="宋体" w:cs="宋体"/>
          <w:sz w:val="32"/>
          <w:szCs w:val="32"/>
        </w:rPr>
        <w:t>建筑太阳能光伏系统技术标准</w:t>
      </w:r>
      <w:r>
        <w:rPr>
          <w:rFonts w:ascii="宋体" w:hAnsi="宋体" w:cs="宋体"/>
          <w:sz w:val="32"/>
          <w:szCs w:val="32"/>
        </w:rPr>
        <w:t xml:space="preserve">》为广东省地方标准，编号为DBJ/T </w:t>
      </w:r>
      <w:r>
        <w:rPr>
          <w:rFonts w:hint="eastAsia" w:ascii="宋体" w:hAnsi="宋体" w:cs="宋体"/>
          <w:sz w:val="32"/>
          <w:szCs w:val="32"/>
        </w:rPr>
        <w:t>XX</w:t>
      </w:r>
      <w:r>
        <w:rPr>
          <w:rFonts w:ascii="宋体" w:hAnsi="宋体" w:cs="宋体"/>
          <w:sz w:val="32"/>
          <w:szCs w:val="32"/>
        </w:rPr>
        <w:t>-</w:t>
      </w:r>
      <w:r>
        <w:rPr>
          <w:rFonts w:hint="eastAsia" w:ascii="宋体" w:hAnsi="宋体" w:cs="宋体"/>
          <w:sz w:val="32"/>
          <w:szCs w:val="32"/>
        </w:rPr>
        <w:t>XXX</w:t>
      </w:r>
      <w:r>
        <w:rPr>
          <w:rFonts w:ascii="宋体" w:hAnsi="宋体" w:cs="宋体"/>
          <w:sz w:val="32"/>
          <w:szCs w:val="32"/>
        </w:rPr>
        <w:t>-</w:t>
      </w:r>
      <w:r>
        <w:rPr>
          <w:rFonts w:hint="eastAsia" w:ascii="宋体" w:hAnsi="宋体" w:cs="宋体"/>
          <w:sz w:val="32"/>
          <w:szCs w:val="32"/>
        </w:rPr>
        <w:t>XXXX</w:t>
      </w:r>
      <w:r>
        <w:rPr>
          <w:rFonts w:ascii="宋体" w:hAnsi="宋体" w:cs="宋体"/>
          <w:sz w:val="32"/>
          <w:szCs w:val="32"/>
        </w:rPr>
        <w:t>。本标准自202</w:t>
      </w:r>
      <w:r>
        <w:rPr>
          <w:rFonts w:hint="eastAsia" w:ascii="宋体" w:hAnsi="宋体" w:cs="宋体"/>
          <w:sz w:val="32"/>
          <w:szCs w:val="32"/>
        </w:rPr>
        <w:t>X</w:t>
      </w:r>
      <w:r>
        <w:rPr>
          <w:rFonts w:ascii="宋体" w:hAnsi="宋体" w:cs="宋体"/>
          <w:sz w:val="32"/>
          <w:szCs w:val="32"/>
        </w:rPr>
        <w:t>年</w:t>
      </w:r>
      <w:r>
        <w:rPr>
          <w:rFonts w:hint="eastAsia" w:ascii="宋体" w:hAnsi="宋体" w:cs="宋体"/>
          <w:sz w:val="32"/>
          <w:szCs w:val="32"/>
        </w:rPr>
        <w:t>XX</w:t>
      </w:r>
      <w:r>
        <w:rPr>
          <w:rFonts w:ascii="宋体" w:hAnsi="宋体" w:cs="宋体"/>
          <w:sz w:val="32"/>
          <w:szCs w:val="32"/>
        </w:rPr>
        <w:t>月</w:t>
      </w:r>
      <w:r>
        <w:rPr>
          <w:rFonts w:hint="eastAsia" w:ascii="宋体" w:hAnsi="宋体" w:cs="宋体"/>
          <w:sz w:val="32"/>
          <w:szCs w:val="32"/>
        </w:rPr>
        <w:t>XX</w:t>
      </w:r>
      <w:r>
        <w:rPr>
          <w:rFonts w:ascii="宋体" w:hAnsi="宋体" w:cs="宋体"/>
          <w:sz w:val="32"/>
          <w:szCs w:val="32"/>
        </w:rPr>
        <w:t>日起实施。</w:t>
      </w:r>
    </w:p>
    <w:p w14:paraId="1AEA4C18">
      <w:pPr>
        <w:spacing w:line="300" w:lineRule="auto"/>
        <w:ind w:firstLine="640" w:firstLineChars="200"/>
        <w:rPr>
          <w:rFonts w:hint="eastAsia" w:ascii="宋体" w:hAnsi="宋体" w:cs="宋体"/>
          <w:sz w:val="32"/>
          <w:szCs w:val="32"/>
        </w:rPr>
      </w:pPr>
      <w:r>
        <w:rPr>
          <w:rFonts w:ascii="宋体" w:hAnsi="宋体" w:cs="宋体"/>
          <w:sz w:val="32"/>
          <w:szCs w:val="32"/>
        </w:rPr>
        <w:t>本标准由广东省住房和城乡建设厅负责管理，由主编单位广东省建筑科学研究院集团股份有限公司</w:t>
      </w:r>
      <w:r>
        <w:rPr>
          <w:rFonts w:hint="eastAsia" w:ascii="宋体" w:hAnsi="宋体" w:cs="宋体"/>
          <w:sz w:val="32"/>
          <w:szCs w:val="32"/>
        </w:rPr>
        <w:t>和广东建科创新技术研究院有限公司</w:t>
      </w:r>
      <w:r>
        <w:rPr>
          <w:rFonts w:ascii="宋体" w:hAnsi="宋体" w:cs="宋体"/>
          <w:sz w:val="32"/>
          <w:szCs w:val="32"/>
        </w:rPr>
        <w:t>负责具体技术内容的解释，</w:t>
      </w:r>
      <w:r>
        <w:rPr>
          <w:rFonts w:hint="eastAsia" w:ascii="宋体" w:hAnsi="宋体" w:cs="宋体"/>
          <w:sz w:val="32"/>
          <w:szCs w:val="32"/>
        </w:rPr>
        <w:t>于出版后在广东省住房和城乡建设厅门户网站（https://zfcxjst.gd.gov.cn/）公开标准全文</w:t>
      </w:r>
      <w:r>
        <w:rPr>
          <w:rFonts w:ascii="宋体" w:hAnsi="宋体" w:cs="宋体"/>
          <w:sz w:val="32"/>
          <w:szCs w:val="32"/>
        </w:rPr>
        <w:t>。</w:t>
      </w:r>
    </w:p>
    <w:p w14:paraId="03CE633D">
      <w:pPr>
        <w:adjustRightInd w:val="0"/>
        <w:snapToGrid w:val="0"/>
        <w:spacing w:before="93" w:beforeLines="30" w:after="93" w:afterLines="30" w:line="300" w:lineRule="auto"/>
        <w:ind w:firstLine="420" w:firstLineChars="200"/>
        <w:rPr>
          <w:szCs w:val="21"/>
        </w:rPr>
      </w:pPr>
    </w:p>
    <w:p w14:paraId="460C22DF">
      <w:pPr>
        <w:adjustRightInd w:val="0"/>
        <w:snapToGrid w:val="0"/>
        <w:spacing w:before="93" w:beforeLines="30" w:after="93" w:afterLines="30" w:line="300" w:lineRule="auto"/>
        <w:ind w:firstLine="420" w:firstLineChars="200"/>
        <w:rPr>
          <w:szCs w:val="21"/>
        </w:rPr>
      </w:pPr>
    </w:p>
    <w:p w14:paraId="4B43A93B">
      <w:pPr>
        <w:adjustRightInd w:val="0"/>
        <w:snapToGrid w:val="0"/>
        <w:spacing w:before="93" w:beforeLines="30" w:after="93" w:afterLines="30" w:line="300" w:lineRule="auto"/>
        <w:ind w:firstLine="420" w:firstLineChars="200"/>
        <w:rPr>
          <w:szCs w:val="21"/>
        </w:rPr>
      </w:pPr>
    </w:p>
    <w:p w14:paraId="1C49D315">
      <w:pPr>
        <w:autoSpaceDE w:val="0"/>
        <w:autoSpaceDN w:val="0"/>
        <w:adjustRightInd w:val="0"/>
        <w:spacing w:line="300" w:lineRule="auto"/>
        <w:jc w:val="right"/>
        <w:rPr>
          <w:rFonts w:hint="eastAsia" w:ascii="宋体" w:hAnsi="宋体" w:cs="宋体"/>
          <w:kern w:val="0"/>
          <w:sz w:val="32"/>
          <w:szCs w:val="32"/>
        </w:rPr>
      </w:pPr>
      <w:r>
        <w:rPr>
          <w:rFonts w:ascii="宋体" w:hAnsi="宋体" w:cs="宋体"/>
          <w:kern w:val="0"/>
          <w:sz w:val="32"/>
          <w:szCs w:val="32"/>
        </w:rPr>
        <w:t>广东省住房和城乡建设厅</w:t>
      </w:r>
    </w:p>
    <w:p w14:paraId="2A26D2B4">
      <w:pPr>
        <w:autoSpaceDE w:val="0"/>
        <w:autoSpaceDN w:val="0"/>
        <w:adjustRightInd w:val="0"/>
        <w:spacing w:line="300" w:lineRule="auto"/>
        <w:jc w:val="right"/>
        <w:rPr>
          <w:rFonts w:hint="eastAsia" w:ascii="宋体" w:hAnsi="宋体" w:cs="宋体"/>
          <w:kern w:val="0"/>
          <w:sz w:val="32"/>
          <w:szCs w:val="32"/>
        </w:rPr>
      </w:pPr>
      <w:r>
        <w:rPr>
          <w:rFonts w:ascii="宋体" w:hAnsi="宋体" w:cs="宋体"/>
          <w:kern w:val="0"/>
          <w:sz w:val="32"/>
          <w:szCs w:val="32"/>
        </w:rPr>
        <w:t xml:space="preserve">                                    202</w:t>
      </w:r>
      <w:r>
        <w:rPr>
          <w:rFonts w:hint="eastAsia" w:ascii="宋体" w:hAnsi="宋体" w:cs="宋体"/>
          <w:kern w:val="0"/>
          <w:sz w:val="32"/>
          <w:szCs w:val="32"/>
        </w:rPr>
        <w:t>X</w:t>
      </w:r>
      <w:r>
        <w:rPr>
          <w:rFonts w:ascii="宋体" w:hAnsi="宋体" w:cs="宋体"/>
          <w:kern w:val="0"/>
          <w:sz w:val="32"/>
          <w:szCs w:val="32"/>
        </w:rPr>
        <w:t>年</w:t>
      </w:r>
      <w:r>
        <w:rPr>
          <w:rFonts w:hint="eastAsia" w:ascii="宋体" w:hAnsi="宋体" w:cs="宋体"/>
          <w:kern w:val="0"/>
          <w:sz w:val="32"/>
          <w:szCs w:val="32"/>
        </w:rPr>
        <w:t>XX</w:t>
      </w:r>
      <w:r>
        <w:rPr>
          <w:rFonts w:ascii="宋体" w:hAnsi="宋体" w:cs="宋体"/>
          <w:kern w:val="0"/>
          <w:sz w:val="32"/>
          <w:szCs w:val="32"/>
        </w:rPr>
        <w:t>月</w:t>
      </w:r>
      <w:r>
        <w:rPr>
          <w:rFonts w:hint="eastAsia" w:ascii="宋体" w:hAnsi="宋体" w:cs="宋体"/>
          <w:kern w:val="0"/>
          <w:sz w:val="32"/>
          <w:szCs w:val="32"/>
        </w:rPr>
        <w:t>XX</w:t>
      </w:r>
      <w:r>
        <w:rPr>
          <w:rFonts w:ascii="宋体" w:hAnsi="宋体" w:cs="宋体"/>
          <w:kern w:val="0"/>
          <w:sz w:val="32"/>
          <w:szCs w:val="32"/>
        </w:rPr>
        <w:t>日</w:t>
      </w:r>
    </w:p>
    <w:p w14:paraId="48ABAFAB">
      <w:pPr>
        <w:spacing w:line="300" w:lineRule="auto"/>
        <w:jc w:val="right"/>
        <w:rPr>
          <w:rFonts w:hint="eastAsia" w:ascii="新宋体" w:hAnsi="新宋体" w:eastAsia="新宋体"/>
          <w:szCs w:val="21"/>
        </w:rPr>
      </w:pPr>
    </w:p>
    <w:p w14:paraId="35D257EE">
      <w:pPr>
        <w:adjustRightInd w:val="0"/>
        <w:snapToGrid w:val="0"/>
        <w:spacing w:before="93" w:beforeLines="30" w:after="93" w:afterLines="30" w:line="300" w:lineRule="auto"/>
        <w:jc w:val="center"/>
        <w:rPr>
          <w:rFonts w:eastAsia="黑体"/>
          <w:b/>
          <w:sz w:val="36"/>
          <w:szCs w:val="36"/>
        </w:rPr>
      </w:pPr>
      <w:r>
        <w:rPr>
          <w:rFonts w:ascii="仿宋_GB2312" w:hAnsi="宋体" w:eastAsia="仿宋_GB2312"/>
          <w:sz w:val="28"/>
          <w:szCs w:val="28"/>
        </w:rPr>
        <w:br w:type="page"/>
      </w:r>
    </w:p>
    <w:p w14:paraId="0AC089C6">
      <w:pPr>
        <w:adjustRightInd w:val="0"/>
        <w:snapToGrid w:val="0"/>
        <w:spacing w:before="93" w:beforeLines="30" w:after="93" w:afterLines="30" w:line="300" w:lineRule="auto"/>
        <w:jc w:val="center"/>
        <w:rPr>
          <w:rFonts w:eastAsia="黑体"/>
          <w:b/>
          <w:sz w:val="36"/>
          <w:szCs w:val="36"/>
        </w:rPr>
      </w:pPr>
      <w:r>
        <w:rPr>
          <w:rFonts w:eastAsia="黑体"/>
          <w:b/>
          <w:sz w:val="36"/>
          <w:szCs w:val="36"/>
        </w:rPr>
        <w:t>前  言</w:t>
      </w:r>
    </w:p>
    <w:p w14:paraId="458AF13F">
      <w:pPr>
        <w:adjustRightInd w:val="0"/>
        <w:snapToGrid w:val="0"/>
        <w:spacing w:before="93" w:beforeLines="30" w:after="93" w:afterLines="30" w:line="300" w:lineRule="auto"/>
        <w:jc w:val="center"/>
        <w:rPr>
          <w:b/>
          <w:sz w:val="28"/>
          <w:szCs w:val="36"/>
        </w:rPr>
      </w:pPr>
    </w:p>
    <w:p w14:paraId="39AED384">
      <w:pPr>
        <w:adjustRightInd w:val="0"/>
        <w:snapToGrid w:val="0"/>
        <w:spacing w:before="0" w:beforeLines="0" w:after="0" w:afterLines="0" w:line="30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根据</w:t>
      </w:r>
      <w:r>
        <w:rPr>
          <w:rFonts w:hint="eastAsia" w:ascii="宋体" w:hAnsi="宋体" w:cs="宋体"/>
          <w:szCs w:val="21"/>
          <w:highlight w:val="none"/>
          <w:lang w:eastAsia="zh-CN"/>
        </w:rPr>
        <w:t>《</w:t>
      </w:r>
      <w:r>
        <w:rPr>
          <w:rFonts w:hint="eastAsia" w:ascii="宋体" w:hAnsi="宋体" w:cs="宋体"/>
          <w:szCs w:val="21"/>
          <w:highlight w:val="none"/>
        </w:rPr>
        <w:t>广东省市场监督管理局关于批准下达2023年第二批广东省地方标准制修订计划的通知</w:t>
      </w:r>
      <w:r>
        <w:rPr>
          <w:rFonts w:hint="eastAsia" w:ascii="宋体" w:hAnsi="宋体" w:cs="宋体"/>
          <w:szCs w:val="21"/>
          <w:highlight w:val="none"/>
          <w:lang w:eastAsia="zh-CN"/>
        </w:rPr>
        <w:t>》</w:t>
      </w:r>
      <w:r>
        <w:rPr>
          <w:rFonts w:hint="eastAsia" w:ascii="宋体" w:hAnsi="宋体" w:cs="宋体"/>
          <w:szCs w:val="21"/>
          <w:highlight w:val="none"/>
        </w:rPr>
        <w:t>（粤市监标准〔2023〕591号）的要求，</w:t>
      </w:r>
      <w:r>
        <w:rPr>
          <w:rFonts w:hint="eastAsia" w:ascii="宋体" w:hAnsi="宋体" w:cs="宋体"/>
          <w:szCs w:val="21"/>
          <w:highlight w:val="none"/>
          <w:lang w:val="en-US" w:eastAsia="zh-CN"/>
        </w:rPr>
        <w:t>编制组经广泛调查研究，</w:t>
      </w:r>
      <w:r>
        <w:rPr>
          <w:rFonts w:hint="eastAsia" w:ascii="宋体" w:hAnsi="宋体" w:cs="宋体"/>
          <w:szCs w:val="21"/>
          <w:highlight w:val="none"/>
        </w:rPr>
        <w:t>认真总结</w:t>
      </w:r>
      <w:r>
        <w:rPr>
          <w:rFonts w:hint="eastAsia" w:ascii="宋体" w:hAnsi="宋体" w:cs="宋体"/>
          <w:szCs w:val="21"/>
          <w:highlight w:val="none"/>
          <w:lang w:val="en-US" w:eastAsia="zh-CN"/>
        </w:rPr>
        <w:t>实践经验，参考有关</w:t>
      </w:r>
      <w:r>
        <w:rPr>
          <w:rFonts w:hint="eastAsia" w:ascii="宋体" w:hAnsi="宋体" w:cs="宋体"/>
          <w:szCs w:val="21"/>
          <w:highlight w:val="none"/>
        </w:rPr>
        <w:t>国内</w:t>
      </w:r>
      <w:r>
        <w:rPr>
          <w:rFonts w:hint="eastAsia" w:ascii="宋体" w:hAnsi="宋体" w:cs="宋体"/>
          <w:szCs w:val="21"/>
          <w:highlight w:val="none"/>
          <w:lang w:val="en-US" w:eastAsia="zh-CN"/>
        </w:rPr>
        <w:t>标准和</w:t>
      </w:r>
      <w:r>
        <w:rPr>
          <w:rFonts w:hint="eastAsia" w:ascii="宋体" w:hAnsi="宋体" w:cs="宋体"/>
          <w:szCs w:val="21"/>
          <w:highlight w:val="none"/>
        </w:rPr>
        <w:t>国</w:t>
      </w:r>
      <w:r>
        <w:rPr>
          <w:rFonts w:hint="eastAsia" w:ascii="宋体" w:hAnsi="宋体" w:cs="宋体"/>
          <w:szCs w:val="21"/>
          <w:highlight w:val="none"/>
          <w:lang w:val="en-US" w:eastAsia="zh-CN"/>
        </w:rPr>
        <w:t>外</w:t>
      </w:r>
      <w:r>
        <w:rPr>
          <w:rFonts w:hint="eastAsia" w:ascii="宋体" w:hAnsi="宋体" w:cs="宋体"/>
          <w:szCs w:val="21"/>
          <w:highlight w:val="none"/>
        </w:rPr>
        <w:t>先进</w:t>
      </w:r>
      <w:r>
        <w:rPr>
          <w:rFonts w:hint="eastAsia" w:ascii="宋体" w:hAnsi="宋体" w:cs="宋体"/>
          <w:szCs w:val="21"/>
          <w:highlight w:val="none"/>
          <w:lang w:val="en-US" w:eastAsia="zh-CN"/>
        </w:rPr>
        <w:t>标准</w:t>
      </w:r>
      <w:r>
        <w:rPr>
          <w:rFonts w:hint="eastAsia" w:ascii="宋体" w:hAnsi="宋体" w:cs="宋体"/>
          <w:szCs w:val="21"/>
          <w:highlight w:val="none"/>
        </w:rPr>
        <w:t>，并在广泛征求意见的基础上</w:t>
      </w:r>
      <w:r>
        <w:rPr>
          <w:rFonts w:hint="eastAsia" w:ascii="宋体" w:hAnsi="宋体" w:cs="宋体"/>
          <w:szCs w:val="21"/>
          <w:highlight w:val="none"/>
          <w:lang w:eastAsia="zh-CN"/>
        </w:rPr>
        <w:t>，</w:t>
      </w:r>
      <w:r>
        <w:rPr>
          <w:rFonts w:hint="eastAsia" w:ascii="宋体" w:hAnsi="宋体" w:cs="宋体"/>
          <w:szCs w:val="21"/>
          <w:highlight w:val="none"/>
          <w:lang w:val="en-US" w:eastAsia="zh-CN"/>
        </w:rPr>
        <w:t>形成了本标准。</w:t>
      </w:r>
    </w:p>
    <w:p w14:paraId="0780A88A">
      <w:pPr>
        <w:adjustRightInd w:val="0"/>
        <w:snapToGrid w:val="0"/>
        <w:spacing w:before="0" w:beforeLines="0" w:after="0" w:afterLines="0" w:line="300" w:lineRule="auto"/>
        <w:ind w:left="0"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本标准的主要技术内容是：</w:t>
      </w:r>
      <w:r>
        <w:rPr>
          <w:rFonts w:hint="eastAsia" w:ascii="宋体" w:hAnsi="宋体" w:cs="宋体"/>
          <w:szCs w:val="21"/>
          <w:highlight w:val="none"/>
          <w:lang w:eastAsia="zh-CN"/>
        </w:rPr>
        <w:t>总则、术语、基本规定、设备和材料、设计、结构设计、光伏发电系统设计、</w:t>
      </w:r>
      <w:r>
        <w:rPr>
          <w:rFonts w:hint="eastAsia" w:ascii="宋体" w:hAnsi="宋体" w:cs="宋体"/>
          <w:szCs w:val="21"/>
          <w:highlight w:val="none"/>
          <w:lang w:val="en-US" w:eastAsia="zh-CN"/>
        </w:rPr>
        <w:t>光伏发电系统接入</w:t>
      </w:r>
      <w:r>
        <w:rPr>
          <w:rFonts w:hint="eastAsia" w:ascii="宋体" w:hAnsi="宋体" w:cs="宋体"/>
          <w:szCs w:val="21"/>
          <w:highlight w:val="none"/>
          <w:lang w:eastAsia="zh-CN"/>
        </w:rPr>
        <w:t>、给排水设计、工程施工、环境保护与安全防护、消防、验收、运行与维护。</w:t>
      </w:r>
      <w:r>
        <w:rPr>
          <w:rFonts w:hint="eastAsia" w:ascii="宋体" w:hAnsi="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val="en-US" w:eastAsia="zh-CN"/>
        </w:rPr>
        <w:t xml:space="preserve">                                           </w:t>
      </w:r>
    </w:p>
    <w:p w14:paraId="743FF50F">
      <w:pPr>
        <w:adjustRightInd w:val="0"/>
        <w:snapToGrid w:val="0"/>
        <w:spacing w:before="0" w:beforeLines="0" w:after="0" w:afterLines="0" w:line="300" w:lineRule="auto"/>
        <w:ind w:left="0" w:firstLine="420" w:firstLineChars="200"/>
        <w:jc w:val="left"/>
        <w:rPr>
          <w:rFonts w:hint="eastAsia" w:ascii="宋体" w:hAnsi="宋体" w:cs="宋体"/>
          <w:szCs w:val="21"/>
          <w:highlight w:val="none"/>
        </w:rPr>
      </w:pPr>
      <w:r>
        <w:rPr>
          <w:rFonts w:hint="eastAsia" w:ascii="宋体" w:hAnsi="宋体" w:cs="宋体"/>
          <w:szCs w:val="21"/>
          <w:highlight w:val="none"/>
        </w:rPr>
        <w:t>本</w:t>
      </w:r>
      <w:r>
        <w:rPr>
          <w:rFonts w:hint="eastAsia" w:ascii="宋体" w:hAnsi="宋体" w:cs="宋体"/>
          <w:szCs w:val="21"/>
          <w:highlight w:val="none"/>
          <w:lang w:val="en-US" w:eastAsia="zh-CN"/>
        </w:rPr>
        <w:t>标准</w:t>
      </w:r>
      <w:r>
        <w:rPr>
          <w:rFonts w:hint="eastAsia" w:ascii="宋体" w:hAnsi="宋体" w:cs="宋体"/>
          <w:szCs w:val="21"/>
          <w:highlight w:val="none"/>
        </w:rPr>
        <w:t>由广东省住房和城乡建设厅负责管理，由主编单位负责具体技术内容的解释。执行过程中如有意见或建议，请寄送广东省建筑科学研究院集团股份有限公司（地址：广州市先烈东路121号；邮政编码：510500）。</w:t>
      </w:r>
    </w:p>
    <w:p w14:paraId="27FD00D9">
      <w:pPr>
        <w:adjustRightInd w:val="0"/>
        <w:snapToGrid w:val="0"/>
        <w:spacing w:before="93" w:beforeLines="30" w:after="93" w:afterLines="30" w:line="300" w:lineRule="auto"/>
        <w:ind w:firstLine="420" w:firstLineChars="200"/>
        <w:rPr>
          <w:rFonts w:hint="eastAsia" w:ascii="宋体" w:hAnsi="宋体" w:cs="宋体"/>
          <w:szCs w:val="21"/>
        </w:rPr>
      </w:pPr>
      <w:r>
        <w:rPr>
          <w:rFonts w:ascii="宋体" w:hAnsi="宋体" w:cs="宋体"/>
          <w:szCs w:val="21"/>
        </w:rPr>
        <w:t>本</w:t>
      </w:r>
      <w:r>
        <w:rPr>
          <w:rFonts w:hint="eastAsia" w:ascii="宋体" w:hAnsi="宋体" w:cs="宋体"/>
          <w:szCs w:val="21"/>
          <w:lang w:val="en-US" w:eastAsia="zh-CN"/>
        </w:rPr>
        <w:t>标准</w:t>
      </w:r>
      <w:r>
        <w:rPr>
          <w:rFonts w:ascii="宋体" w:hAnsi="宋体" w:cs="宋体"/>
          <w:szCs w:val="21"/>
        </w:rPr>
        <w:t>主编单位：广东省建筑科学研究院集团股份有限公司</w:t>
      </w:r>
    </w:p>
    <w:p w14:paraId="7CD356BE">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广东建科创新技术研究院有限公司</w:t>
      </w:r>
    </w:p>
    <w:p w14:paraId="7B9F0D97">
      <w:pPr>
        <w:adjustRightInd w:val="0"/>
        <w:snapToGrid w:val="0"/>
        <w:spacing w:before="93" w:beforeLines="30" w:after="93" w:afterLines="30" w:line="300" w:lineRule="auto"/>
        <w:ind w:firstLine="420" w:firstLineChars="200"/>
        <w:rPr>
          <w:rFonts w:hint="eastAsia" w:ascii="宋体" w:hAnsi="宋体" w:cs="宋体"/>
          <w:szCs w:val="21"/>
        </w:rPr>
      </w:pPr>
      <w:r>
        <w:rPr>
          <w:rFonts w:ascii="宋体" w:hAnsi="宋体" w:cs="宋体"/>
          <w:szCs w:val="21"/>
        </w:rPr>
        <w:t>本</w:t>
      </w:r>
      <w:r>
        <w:rPr>
          <w:rFonts w:hint="eastAsia" w:ascii="宋体" w:hAnsi="宋体" w:cs="宋体"/>
          <w:szCs w:val="21"/>
          <w:lang w:val="en-US" w:eastAsia="zh-CN"/>
        </w:rPr>
        <w:t>标准</w:t>
      </w:r>
      <w:r>
        <w:rPr>
          <w:rFonts w:ascii="宋体" w:hAnsi="宋体" w:cs="宋体"/>
          <w:szCs w:val="21"/>
        </w:rPr>
        <w:t>参编单位：</w:t>
      </w:r>
      <w:r>
        <w:rPr>
          <w:rFonts w:hint="eastAsia" w:ascii="宋体" w:hAnsi="宋体" w:cs="宋体"/>
          <w:szCs w:val="21"/>
        </w:rPr>
        <w:t>中国科学院广州能源研究所</w:t>
      </w:r>
    </w:p>
    <w:p w14:paraId="68C90FC8">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广州电力设计院有限公司</w:t>
      </w:r>
    </w:p>
    <w:p w14:paraId="384FBF3B">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广东电网有限责任公司电力科学研究院</w:t>
      </w:r>
    </w:p>
    <w:p w14:paraId="261A2288">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中新广州知识城财政投资建设项目管理中心</w:t>
      </w:r>
    </w:p>
    <w:p w14:paraId="6B67F9AD">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广东省建筑工程集团</w:t>
      </w:r>
      <w:r>
        <w:rPr>
          <w:rFonts w:hint="eastAsia" w:ascii="宋体" w:hAnsi="宋体" w:cs="宋体"/>
          <w:szCs w:val="21"/>
          <w:lang w:val="en-US" w:eastAsia="zh-CN"/>
        </w:rPr>
        <w:t>控股</w:t>
      </w:r>
      <w:r>
        <w:rPr>
          <w:rFonts w:hint="eastAsia" w:ascii="宋体" w:hAnsi="宋体" w:cs="宋体"/>
          <w:szCs w:val="21"/>
        </w:rPr>
        <w:t>有限公司</w:t>
      </w:r>
    </w:p>
    <w:p w14:paraId="490F5EEC">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广东省建设工程质量安全检测总站有限公司</w:t>
      </w:r>
    </w:p>
    <w:p w14:paraId="071C6114">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广州建设工程质量安全检测中心有限公司</w:t>
      </w:r>
    </w:p>
    <w:p w14:paraId="7274B2DC">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中山翠亨新区工程项目建设事务中心</w:t>
      </w:r>
    </w:p>
    <w:p w14:paraId="4D1AB957">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深圳凯盛科技工程有限公司</w:t>
      </w:r>
    </w:p>
    <w:p w14:paraId="1A2A3492">
      <w:pPr>
        <w:adjustRightInd w:val="0"/>
        <w:snapToGrid w:val="0"/>
        <w:spacing w:before="93" w:beforeLines="30" w:after="93" w:afterLines="30" w:line="300" w:lineRule="auto"/>
        <w:ind w:firstLine="2100" w:firstLineChars="1000"/>
        <w:rPr>
          <w:rFonts w:hint="eastAsia" w:ascii="宋体" w:hAnsi="宋体" w:cs="宋体"/>
          <w:szCs w:val="21"/>
          <w:lang w:val="en-US" w:eastAsia="zh-CN"/>
        </w:rPr>
      </w:pPr>
      <w:r>
        <w:rPr>
          <w:rFonts w:hint="eastAsia" w:ascii="宋体" w:hAnsi="宋体" w:cs="宋体"/>
          <w:szCs w:val="21"/>
          <w:lang w:val="en-US" w:eastAsia="zh-CN"/>
        </w:rPr>
        <w:t>江西龙正科技发展有限公司</w:t>
      </w:r>
    </w:p>
    <w:p w14:paraId="16941593">
      <w:pPr>
        <w:pStyle w:val="2"/>
        <w:ind w:firstLine="2100" w:firstLineChars="1000"/>
        <w:rPr>
          <w:rFonts w:hint="eastAsia"/>
          <w:lang w:val="en-US" w:eastAsia="zh-CN"/>
        </w:rPr>
      </w:pPr>
      <w:r>
        <w:rPr>
          <w:rFonts w:hint="eastAsia"/>
          <w:lang w:val="en-US" w:eastAsia="zh-CN"/>
        </w:rPr>
        <w:t>天合绿建（上海）光伏科技有限公司</w:t>
      </w:r>
    </w:p>
    <w:p w14:paraId="519B81BC">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香港特区政府机电工程署</w:t>
      </w:r>
    </w:p>
    <w:p w14:paraId="2B44BEB7">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澳门大学</w:t>
      </w:r>
    </w:p>
    <w:p w14:paraId="450D9EB0">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highlight w:val="none"/>
        </w:rPr>
        <w:t>中铁一局集团有限公司</w:t>
      </w:r>
    </w:p>
    <w:p w14:paraId="26FC9110">
      <w:pPr>
        <w:adjustRightInd w:val="0"/>
        <w:snapToGrid w:val="0"/>
        <w:spacing w:before="93" w:beforeLines="30" w:after="93" w:afterLines="30" w:line="300" w:lineRule="auto"/>
        <w:ind w:firstLine="2100" w:firstLineChars="1000"/>
        <w:rPr>
          <w:rFonts w:hint="eastAsia" w:ascii="宋体" w:hAnsi="宋体" w:cs="宋体"/>
          <w:szCs w:val="21"/>
        </w:rPr>
      </w:pPr>
      <w:r>
        <w:rPr>
          <w:rFonts w:hint="eastAsia" w:ascii="宋体" w:hAnsi="宋体" w:cs="宋体"/>
          <w:szCs w:val="21"/>
        </w:rPr>
        <w:t>广东省建筑设计研究院集团股份有限公司</w:t>
      </w:r>
    </w:p>
    <w:p w14:paraId="1561C7F9">
      <w:pPr>
        <w:adjustRightInd w:val="0"/>
        <w:snapToGrid w:val="0"/>
        <w:spacing w:before="0" w:beforeLines="0" w:after="0" w:afterLines="0" w:line="300" w:lineRule="auto"/>
        <w:ind w:left="2089" w:leftChars="195" w:hanging="1680" w:hangingChars="800"/>
        <w:jc w:val="left"/>
        <w:rPr>
          <w:rFonts w:hint="eastAsia" w:ascii="宋体" w:hAnsi="宋体" w:cs="宋体"/>
          <w:szCs w:val="21"/>
          <w:highlight w:val="none"/>
          <w:lang w:val="en-US" w:eastAsia="zh-CN"/>
        </w:rPr>
      </w:pPr>
      <w:r>
        <w:rPr>
          <w:rFonts w:ascii="宋体" w:hAnsi="宋体" w:cs="宋体"/>
          <w:szCs w:val="21"/>
          <w:highlight w:val="none"/>
        </w:rPr>
        <w:t>本标准主要起草人员：</w:t>
      </w:r>
      <w:r>
        <w:rPr>
          <w:rFonts w:hint="eastAsia" w:ascii="宋体" w:hAnsi="宋体" w:cs="宋体"/>
          <w:szCs w:val="21"/>
          <w:highlight w:val="none"/>
        </w:rPr>
        <w:t>杨仕超</w:t>
      </w:r>
      <w:r>
        <w:rPr>
          <w:rFonts w:hint="eastAsia" w:ascii="宋体" w:hAnsi="宋体" w:cs="宋体"/>
          <w:szCs w:val="21"/>
          <w:highlight w:val="none"/>
          <w:lang w:val="en-US" w:eastAsia="zh-CN"/>
        </w:rPr>
        <w:t xml:space="preserve">  </w:t>
      </w:r>
      <w:r>
        <w:rPr>
          <w:rFonts w:hint="eastAsia" w:ascii="宋体" w:hAnsi="宋体" w:cs="宋体"/>
          <w:szCs w:val="21"/>
          <w:highlight w:val="none"/>
        </w:rPr>
        <w:t>王丽娟</w:t>
      </w:r>
      <w:r>
        <w:rPr>
          <w:rFonts w:hint="eastAsia" w:ascii="宋体" w:hAnsi="宋体" w:cs="宋体"/>
          <w:szCs w:val="21"/>
          <w:highlight w:val="none"/>
          <w:lang w:val="en-US" w:eastAsia="zh-CN"/>
        </w:rPr>
        <w:t xml:space="preserve">  </w:t>
      </w:r>
      <w:r>
        <w:rPr>
          <w:rFonts w:hint="eastAsia" w:ascii="宋体" w:hAnsi="宋体" w:cs="宋体"/>
          <w:szCs w:val="21"/>
          <w:highlight w:val="none"/>
        </w:rPr>
        <w:t>舒</w:t>
      </w:r>
      <w:r>
        <w:rPr>
          <w:rFonts w:hint="eastAsia" w:ascii="宋体" w:hAnsi="宋体" w:cs="宋体"/>
          <w:szCs w:val="21"/>
          <w:highlight w:val="none"/>
          <w:lang w:val="en-US" w:eastAsia="zh-CN"/>
        </w:rPr>
        <w:t xml:space="preserve">  </w:t>
      </w:r>
      <w:r>
        <w:rPr>
          <w:rFonts w:hint="eastAsia" w:ascii="宋体" w:hAnsi="宋体" w:cs="宋体"/>
          <w:szCs w:val="21"/>
          <w:highlight w:val="none"/>
        </w:rPr>
        <w:t>杰</w:t>
      </w:r>
      <w:r>
        <w:rPr>
          <w:rFonts w:hint="eastAsia" w:ascii="宋体" w:hAnsi="宋体" w:cs="宋体"/>
          <w:szCs w:val="21"/>
          <w:highlight w:val="none"/>
          <w:lang w:val="en-US" w:eastAsia="zh-CN"/>
        </w:rPr>
        <w:t xml:space="preserve">  </w:t>
      </w:r>
      <w:r>
        <w:rPr>
          <w:rFonts w:hint="eastAsia" w:ascii="宋体" w:hAnsi="宋体" w:cs="宋体"/>
          <w:szCs w:val="21"/>
          <w:highlight w:val="none"/>
        </w:rPr>
        <w:t>梁振升</w:t>
      </w:r>
      <w:r>
        <w:rPr>
          <w:rFonts w:hint="eastAsia" w:ascii="宋体" w:hAnsi="宋体" w:cs="宋体"/>
          <w:szCs w:val="21"/>
          <w:highlight w:val="none"/>
          <w:lang w:val="en-US" w:eastAsia="zh-CN"/>
        </w:rPr>
        <w:t xml:space="preserve">  </w:t>
      </w:r>
      <w:r>
        <w:rPr>
          <w:rFonts w:hint="eastAsia" w:ascii="宋体" w:hAnsi="宋体" w:cs="宋体"/>
          <w:szCs w:val="21"/>
          <w:highlight w:val="none"/>
        </w:rPr>
        <w:t>马</w:t>
      </w:r>
      <w:r>
        <w:rPr>
          <w:rFonts w:hint="eastAsia" w:ascii="宋体" w:hAnsi="宋体" w:cs="宋体"/>
          <w:szCs w:val="21"/>
          <w:highlight w:val="none"/>
          <w:lang w:val="en-US" w:eastAsia="zh-CN"/>
        </w:rPr>
        <w:t xml:space="preserve">  </w:t>
      </w:r>
      <w:r>
        <w:rPr>
          <w:rFonts w:hint="eastAsia" w:ascii="宋体" w:hAnsi="宋体" w:cs="宋体"/>
          <w:szCs w:val="21"/>
          <w:highlight w:val="none"/>
        </w:rPr>
        <w:t>扬</w:t>
      </w:r>
      <w:r>
        <w:rPr>
          <w:rFonts w:hint="eastAsia" w:ascii="宋体" w:hAnsi="宋体" w:cs="宋体"/>
          <w:szCs w:val="21"/>
          <w:highlight w:val="none"/>
          <w:lang w:val="en-US" w:eastAsia="zh-CN"/>
        </w:rPr>
        <w:t xml:space="preserve">  </w:t>
      </w:r>
      <w:r>
        <w:rPr>
          <w:rFonts w:hint="eastAsia" w:ascii="宋体" w:hAnsi="宋体" w:cs="宋体"/>
          <w:szCs w:val="21"/>
          <w:highlight w:val="none"/>
        </w:rPr>
        <w:t>单</w:t>
      </w:r>
      <w:r>
        <w:rPr>
          <w:rFonts w:hint="eastAsia" w:ascii="宋体" w:hAnsi="宋体" w:cs="宋体"/>
          <w:szCs w:val="21"/>
          <w:highlight w:val="none"/>
          <w:lang w:val="en-US" w:eastAsia="zh-CN"/>
        </w:rPr>
        <w:t xml:space="preserve">  </w:t>
      </w:r>
      <w:r>
        <w:rPr>
          <w:rFonts w:hint="eastAsia" w:ascii="宋体" w:hAnsi="宋体" w:cs="宋体"/>
          <w:szCs w:val="21"/>
          <w:highlight w:val="none"/>
        </w:rPr>
        <w:t>良</w:t>
      </w:r>
      <w:r>
        <w:rPr>
          <w:rFonts w:hint="eastAsia" w:ascii="宋体" w:hAnsi="宋体" w:cs="宋体"/>
          <w:szCs w:val="21"/>
          <w:highlight w:val="none"/>
          <w:lang w:val="en-US" w:eastAsia="zh-CN"/>
        </w:rPr>
        <w:t xml:space="preserve">  </w:t>
      </w:r>
      <w:r>
        <w:rPr>
          <w:rFonts w:hint="eastAsia" w:ascii="宋体" w:hAnsi="宋体" w:cs="宋体"/>
          <w:szCs w:val="21"/>
          <w:highlight w:val="none"/>
        </w:rPr>
        <w:t>岳菁鹏</w:t>
      </w:r>
      <w:r>
        <w:rPr>
          <w:rFonts w:hint="eastAsia" w:ascii="宋体" w:hAnsi="宋体" w:cs="宋体"/>
          <w:szCs w:val="21"/>
          <w:highlight w:val="none"/>
          <w:lang w:val="en-US" w:eastAsia="zh-CN"/>
        </w:rPr>
        <w:t xml:space="preserve">  </w:t>
      </w:r>
    </w:p>
    <w:p w14:paraId="49A25032">
      <w:pPr>
        <w:adjustRightInd w:val="0"/>
        <w:snapToGrid w:val="0"/>
        <w:spacing w:before="0" w:beforeLines="0" w:after="0" w:afterLines="0" w:line="300" w:lineRule="auto"/>
        <w:ind w:left="0" w:leftChars="0" w:firstLine="2520" w:firstLineChars="1200"/>
        <w:jc w:val="left"/>
        <w:rPr>
          <w:rFonts w:hint="eastAsia" w:ascii="宋体" w:hAnsi="宋体" w:cs="宋体"/>
          <w:szCs w:val="21"/>
          <w:highlight w:val="none"/>
          <w:lang w:val="en-US" w:eastAsia="zh-CN"/>
        </w:rPr>
      </w:pPr>
      <w:r>
        <w:rPr>
          <w:rFonts w:hint="eastAsia" w:ascii="宋体" w:hAnsi="宋体" w:cs="宋体"/>
          <w:szCs w:val="21"/>
          <w:highlight w:val="none"/>
        </w:rPr>
        <w:t>李</w:t>
      </w:r>
      <w:r>
        <w:rPr>
          <w:rFonts w:hint="eastAsia" w:ascii="宋体" w:hAnsi="宋体" w:cs="宋体"/>
          <w:szCs w:val="21"/>
          <w:highlight w:val="none"/>
          <w:lang w:val="en-US" w:eastAsia="zh-CN"/>
        </w:rPr>
        <w:t xml:space="preserve">  </w:t>
      </w:r>
      <w:r>
        <w:rPr>
          <w:rFonts w:hint="eastAsia" w:ascii="宋体" w:hAnsi="宋体" w:cs="宋体"/>
          <w:szCs w:val="21"/>
          <w:highlight w:val="none"/>
        </w:rPr>
        <w:t>仲</w:t>
      </w:r>
      <w:r>
        <w:rPr>
          <w:rFonts w:hint="eastAsia" w:ascii="宋体" w:hAnsi="宋体" w:cs="宋体"/>
          <w:szCs w:val="21"/>
          <w:highlight w:val="none"/>
          <w:lang w:val="en-US" w:eastAsia="zh-CN"/>
        </w:rPr>
        <w:t xml:space="preserve">  </w:t>
      </w:r>
      <w:r>
        <w:rPr>
          <w:rFonts w:hint="eastAsia" w:ascii="宋体" w:hAnsi="宋体" w:cs="宋体"/>
          <w:szCs w:val="21"/>
          <w:highlight w:val="none"/>
        </w:rPr>
        <w:t>汤景林</w:t>
      </w:r>
      <w:r>
        <w:rPr>
          <w:rFonts w:hint="eastAsia" w:ascii="宋体" w:hAnsi="宋体" w:cs="宋体"/>
          <w:szCs w:val="21"/>
          <w:highlight w:val="none"/>
          <w:lang w:val="en-US" w:eastAsia="zh-CN"/>
        </w:rPr>
        <w:t xml:space="preserve">  </w:t>
      </w:r>
      <w:r>
        <w:rPr>
          <w:rFonts w:hint="eastAsia" w:ascii="宋体" w:hAnsi="宋体" w:cs="宋体"/>
          <w:szCs w:val="21"/>
          <w:highlight w:val="none"/>
        </w:rPr>
        <w:t>赵子玲</w:t>
      </w:r>
      <w:r>
        <w:rPr>
          <w:rFonts w:hint="eastAsia" w:ascii="宋体" w:hAnsi="宋体" w:cs="宋体"/>
          <w:szCs w:val="21"/>
          <w:highlight w:val="none"/>
          <w:lang w:val="en-US" w:eastAsia="zh-CN"/>
        </w:rPr>
        <w:t xml:space="preserve">  </w:t>
      </w:r>
      <w:r>
        <w:rPr>
          <w:rFonts w:hint="eastAsia" w:ascii="宋体" w:hAnsi="宋体" w:cs="宋体"/>
          <w:szCs w:val="21"/>
          <w:highlight w:val="none"/>
        </w:rPr>
        <w:t>李</w:t>
      </w:r>
      <w:r>
        <w:rPr>
          <w:rFonts w:hint="eastAsia" w:ascii="宋体" w:hAnsi="宋体" w:cs="宋体"/>
          <w:szCs w:val="21"/>
          <w:highlight w:val="none"/>
          <w:lang w:val="en-US" w:eastAsia="zh-CN"/>
        </w:rPr>
        <w:t xml:space="preserve">  </w:t>
      </w:r>
      <w:r>
        <w:rPr>
          <w:rFonts w:hint="eastAsia" w:ascii="宋体" w:hAnsi="宋体" w:cs="宋体"/>
          <w:szCs w:val="21"/>
          <w:highlight w:val="none"/>
        </w:rPr>
        <w:t>巧</w:t>
      </w:r>
      <w:r>
        <w:rPr>
          <w:rFonts w:hint="eastAsia" w:ascii="宋体" w:hAnsi="宋体" w:cs="宋体"/>
          <w:szCs w:val="21"/>
          <w:highlight w:val="none"/>
          <w:lang w:val="en-US" w:eastAsia="zh-CN"/>
        </w:rPr>
        <w:t xml:space="preserve">  </w:t>
      </w:r>
      <w:r>
        <w:rPr>
          <w:rFonts w:hint="eastAsia" w:ascii="宋体" w:hAnsi="宋体" w:cs="宋体"/>
          <w:szCs w:val="21"/>
          <w:highlight w:val="none"/>
        </w:rPr>
        <w:t>廖卓颖</w:t>
      </w:r>
      <w:r>
        <w:rPr>
          <w:rFonts w:hint="eastAsia" w:ascii="宋体" w:hAnsi="宋体" w:cs="宋体"/>
          <w:szCs w:val="21"/>
          <w:highlight w:val="none"/>
          <w:lang w:val="en-US" w:eastAsia="zh-CN"/>
        </w:rPr>
        <w:t xml:space="preserve">  </w:t>
      </w:r>
      <w:r>
        <w:rPr>
          <w:rFonts w:hint="eastAsia" w:ascii="宋体" w:hAnsi="宋体" w:cs="宋体"/>
          <w:szCs w:val="21"/>
          <w:highlight w:val="none"/>
        </w:rPr>
        <w:t>刘思思</w:t>
      </w:r>
      <w:r>
        <w:rPr>
          <w:rFonts w:hint="eastAsia" w:ascii="宋体" w:hAnsi="宋体" w:cs="宋体"/>
          <w:szCs w:val="21"/>
          <w:highlight w:val="none"/>
          <w:lang w:val="en-US" w:eastAsia="zh-CN"/>
        </w:rPr>
        <w:t xml:space="preserve">  </w:t>
      </w:r>
      <w:r>
        <w:rPr>
          <w:rFonts w:hint="eastAsia" w:ascii="宋体" w:hAnsi="宋体" w:cs="宋体"/>
          <w:szCs w:val="21"/>
          <w:highlight w:val="none"/>
        </w:rPr>
        <w:t>容七英</w:t>
      </w:r>
      <w:r>
        <w:rPr>
          <w:rFonts w:hint="eastAsia" w:ascii="宋体" w:hAnsi="宋体" w:cs="宋体"/>
          <w:szCs w:val="21"/>
          <w:highlight w:val="none"/>
          <w:lang w:val="en-US" w:eastAsia="zh-CN"/>
        </w:rPr>
        <w:t xml:space="preserve">  </w:t>
      </w:r>
    </w:p>
    <w:p w14:paraId="5F587E71">
      <w:pPr>
        <w:adjustRightInd w:val="0"/>
        <w:snapToGrid w:val="0"/>
        <w:spacing w:before="0" w:beforeLines="0" w:after="0" w:afterLines="0" w:line="300" w:lineRule="auto"/>
        <w:ind w:left="0" w:firstLine="2520" w:firstLineChars="1200"/>
        <w:jc w:val="left"/>
        <w:rPr>
          <w:rFonts w:hint="eastAsia" w:ascii="宋体" w:hAnsi="宋体" w:cs="宋体"/>
          <w:szCs w:val="21"/>
          <w:highlight w:val="none"/>
          <w:lang w:val="en-US" w:eastAsia="zh-CN"/>
        </w:rPr>
      </w:pPr>
      <w:r>
        <w:rPr>
          <w:rFonts w:hint="eastAsia" w:ascii="宋体" w:hAnsi="宋体" w:cs="宋体"/>
          <w:szCs w:val="21"/>
          <w:highlight w:val="none"/>
        </w:rPr>
        <w:t>罗</w:t>
      </w:r>
      <w:r>
        <w:rPr>
          <w:rFonts w:hint="eastAsia" w:ascii="宋体" w:hAnsi="宋体" w:cs="宋体"/>
          <w:szCs w:val="21"/>
          <w:highlight w:val="none"/>
          <w:lang w:val="en-US" w:eastAsia="zh-CN"/>
        </w:rPr>
        <w:t xml:space="preserve">  </w:t>
      </w:r>
      <w:r>
        <w:rPr>
          <w:rFonts w:hint="eastAsia" w:ascii="宋体" w:hAnsi="宋体" w:cs="宋体"/>
          <w:szCs w:val="21"/>
          <w:highlight w:val="none"/>
        </w:rPr>
        <w:t>多</w:t>
      </w:r>
      <w:r>
        <w:rPr>
          <w:rFonts w:hint="eastAsia" w:ascii="宋体" w:hAnsi="宋体" w:cs="宋体"/>
          <w:szCs w:val="21"/>
          <w:highlight w:val="none"/>
          <w:lang w:val="en-US" w:eastAsia="zh-CN"/>
        </w:rPr>
        <w:t xml:space="preserve">  </w:t>
      </w:r>
      <w:r>
        <w:rPr>
          <w:rFonts w:hint="eastAsia" w:ascii="宋体" w:hAnsi="宋体" w:cs="宋体"/>
          <w:szCs w:val="21"/>
          <w:highlight w:val="none"/>
        </w:rPr>
        <w:t>黄建潭</w:t>
      </w:r>
      <w:r>
        <w:rPr>
          <w:rFonts w:hint="eastAsia" w:ascii="宋体" w:hAnsi="宋体" w:cs="宋体"/>
          <w:szCs w:val="21"/>
          <w:highlight w:val="none"/>
          <w:lang w:val="en-US" w:eastAsia="zh-CN"/>
        </w:rPr>
        <w:t xml:space="preserve">  </w:t>
      </w:r>
      <w:r>
        <w:rPr>
          <w:rFonts w:hint="eastAsia" w:ascii="宋体" w:hAnsi="宋体" w:cs="宋体"/>
          <w:szCs w:val="21"/>
          <w:highlight w:val="none"/>
        </w:rPr>
        <w:t>惠红勋</w:t>
      </w:r>
      <w:r>
        <w:rPr>
          <w:rFonts w:hint="eastAsia" w:ascii="宋体" w:hAnsi="宋体" w:cs="宋体"/>
          <w:szCs w:val="21"/>
          <w:highlight w:val="none"/>
          <w:lang w:val="en-US" w:eastAsia="zh-CN"/>
        </w:rPr>
        <w:t xml:space="preserve">  </w:t>
      </w:r>
      <w:r>
        <w:rPr>
          <w:rFonts w:hint="eastAsia" w:ascii="宋体" w:hAnsi="宋体" w:cs="宋体"/>
          <w:szCs w:val="21"/>
          <w:highlight w:val="none"/>
        </w:rPr>
        <w:t>肖金水</w:t>
      </w:r>
      <w:r>
        <w:rPr>
          <w:rFonts w:hint="eastAsia" w:ascii="宋体" w:hAnsi="宋体" w:cs="宋体"/>
          <w:szCs w:val="21"/>
          <w:highlight w:val="none"/>
          <w:lang w:val="en-US" w:eastAsia="zh-CN"/>
        </w:rPr>
        <w:t xml:space="preserve">  </w:t>
      </w:r>
      <w:r>
        <w:rPr>
          <w:rFonts w:hint="eastAsia" w:ascii="宋体" w:hAnsi="宋体" w:cs="宋体"/>
          <w:szCs w:val="21"/>
          <w:highlight w:val="none"/>
        </w:rPr>
        <w:t>仇建磊</w:t>
      </w:r>
      <w:r>
        <w:rPr>
          <w:rFonts w:hint="eastAsia" w:ascii="宋体" w:hAnsi="宋体" w:cs="宋体"/>
          <w:szCs w:val="21"/>
          <w:highlight w:val="none"/>
          <w:lang w:val="en-US" w:eastAsia="zh-CN"/>
        </w:rPr>
        <w:t xml:space="preserve">  </w:t>
      </w:r>
      <w:r>
        <w:rPr>
          <w:rFonts w:hint="eastAsia" w:ascii="宋体" w:hAnsi="宋体" w:cs="宋体"/>
          <w:szCs w:val="21"/>
          <w:highlight w:val="none"/>
        </w:rPr>
        <w:t>周剑君</w:t>
      </w:r>
      <w:r>
        <w:rPr>
          <w:rFonts w:hint="eastAsia" w:ascii="宋体" w:hAnsi="宋体" w:cs="宋体"/>
          <w:szCs w:val="21"/>
          <w:highlight w:val="none"/>
          <w:lang w:val="en-US" w:eastAsia="zh-CN"/>
        </w:rPr>
        <w:t xml:space="preserve">  </w:t>
      </w:r>
      <w:r>
        <w:rPr>
          <w:rFonts w:hint="eastAsia" w:ascii="宋体" w:hAnsi="宋体" w:cs="宋体"/>
          <w:szCs w:val="21"/>
          <w:highlight w:val="none"/>
        </w:rPr>
        <w:t>蔡秋婉</w:t>
      </w:r>
      <w:r>
        <w:rPr>
          <w:rFonts w:hint="eastAsia" w:ascii="宋体" w:hAnsi="宋体" w:cs="宋体"/>
          <w:szCs w:val="21"/>
          <w:highlight w:val="none"/>
          <w:lang w:val="en-US" w:eastAsia="zh-CN"/>
        </w:rPr>
        <w:t xml:space="preserve">  </w:t>
      </w:r>
    </w:p>
    <w:p w14:paraId="4328B627">
      <w:pPr>
        <w:adjustRightInd w:val="0"/>
        <w:snapToGrid w:val="0"/>
        <w:spacing w:before="0" w:beforeLines="0" w:after="0" w:afterLines="0" w:line="300" w:lineRule="auto"/>
        <w:ind w:left="0" w:firstLine="2520" w:firstLineChars="1200"/>
        <w:jc w:val="left"/>
        <w:rPr>
          <w:rFonts w:hint="eastAsia" w:ascii="宋体" w:hAnsi="宋体" w:cs="宋体"/>
          <w:szCs w:val="21"/>
          <w:highlight w:val="none"/>
          <w:lang w:val="en-US" w:eastAsia="zh-CN"/>
        </w:rPr>
      </w:pPr>
      <w:r>
        <w:rPr>
          <w:rFonts w:hint="eastAsia" w:ascii="宋体" w:hAnsi="宋体" w:cs="宋体"/>
          <w:szCs w:val="21"/>
          <w:highlight w:val="none"/>
        </w:rPr>
        <w:t>吴瑜灵</w:t>
      </w:r>
      <w:r>
        <w:rPr>
          <w:rFonts w:hint="eastAsia" w:ascii="宋体" w:hAnsi="宋体" w:cs="宋体"/>
          <w:szCs w:val="21"/>
          <w:highlight w:val="none"/>
          <w:lang w:val="en-US" w:eastAsia="zh-CN"/>
        </w:rPr>
        <w:t xml:space="preserve">  </w:t>
      </w:r>
      <w:r>
        <w:rPr>
          <w:rFonts w:hint="eastAsia" w:ascii="宋体" w:hAnsi="宋体" w:cs="宋体"/>
          <w:szCs w:val="21"/>
          <w:highlight w:val="none"/>
        </w:rPr>
        <w:t>张小良</w:t>
      </w:r>
      <w:r>
        <w:rPr>
          <w:rFonts w:hint="eastAsia" w:ascii="宋体" w:hAnsi="宋体" w:cs="宋体"/>
          <w:szCs w:val="21"/>
          <w:highlight w:val="none"/>
          <w:lang w:val="en-US" w:eastAsia="zh-CN"/>
        </w:rPr>
        <w:t xml:space="preserve">  </w:t>
      </w:r>
      <w:r>
        <w:rPr>
          <w:rFonts w:hint="eastAsia" w:ascii="宋体" w:hAnsi="宋体" w:cs="宋体"/>
          <w:szCs w:val="21"/>
          <w:highlight w:val="none"/>
        </w:rPr>
        <w:t>杜红波</w:t>
      </w:r>
      <w:r>
        <w:rPr>
          <w:rFonts w:hint="eastAsia" w:ascii="宋体" w:hAnsi="宋体" w:cs="宋体"/>
          <w:szCs w:val="21"/>
          <w:highlight w:val="none"/>
          <w:lang w:val="en-US" w:eastAsia="zh-CN"/>
        </w:rPr>
        <w:t xml:space="preserve">  </w:t>
      </w:r>
      <w:r>
        <w:rPr>
          <w:rFonts w:hint="eastAsia" w:ascii="宋体" w:hAnsi="宋体" w:cs="宋体"/>
          <w:szCs w:val="21"/>
          <w:highlight w:val="none"/>
        </w:rPr>
        <w:t>刘</w:t>
      </w:r>
      <w:r>
        <w:rPr>
          <w:rFonts w:hint="eastAsia" w:ascii="宋体" w:hAnsi="宋体" w:cs="宋体"/>
          <w:szCs w:val="21"/>
          <w:highlight w:val="none"/>
          <w:lang w:val="en-US" w:eastAsia="zh-CN"/>
        </w:rPr>
        <w:t xml:space="preserve">  </w:t>
      </w:r>
      <w:r>
        <w:rPr>
          <w:rFonts w:hint="eastAsia" w:ascii="宋体" w:hAnsi="宋体" w:cs="宋体"/>
          <w:szCs w:val="21"/>
          <w:highlight w:val="none"/>
        </w:rPr>
        <w:t>鹏</w:t>
      </w:r>
      <w:r>
        <w:rPr>
          <w:rFonts w:hint="eastAsia" w:ascii="宋体" w:hAnsi="宋体" w:cs="宋体"/>
          <w:szCs w:val="21"/>
          <w:highlight w:val="none"/>
          <w:lang w:val="en-US" w:eastAsia="zh-CN"/>
        </w:rPr>
        <w:t xml:space="preserve">  </w:t>
      </w:r>
      <w:r>
        <w:rPr>
          <w:rFonts w:hint="eastAsia" w:ascii="宋体" w:hAnsi="宋体" w:cs="宋体"/>
          <w:szCs w:val="21"/>
          <w:highlight w:val="none"/>
        </w:rPr>
        <w:t>娄</w:t>
      </w:r>
      <w:r>
        <w:rPr>
          <w:rFonts w:hint="eastAsia" w:ascii="宋体" w:hAnsi="宋体" w:cs="宋体"/>
          <w:szCs w:val="21"/>
          <w:highlight w:val="none"/>
          <w:lang w:val="en-US" w:eastAsia="zh-CN"/>
        </w:rPr>
        <w:t xml:space="preserve">  </w:t>
      </w:r>
      <w:r>
        <w:rPr>
          <w:rFonts w:hint="eastAsia" w:ascii="宋体" w:hAnsi="宋体" w:cs="宋体"/>
          <w:szCs w:val="21"/>
          <w:highlight w:val="none"/>
        </w:rPr>
        <w:t>晶</w:t>
      </w:r>
      <w:r>
        <w:rPr>
          <w:rFonts w:hint="eastAsia" w:ascii="宋体" w:hAnsi="宋体" w:cs="宋体"/>
          <w:szCs w:val="21"/>
          <w:highlight w:val="none"/>
          <w:lang w:val="en-US" w:eastAsia="zh-CN"/>
        </w:rPr>
        <w:t xml:space="preserve">  </w:t>
      </w:r>
      <w:r>
        <w:rPr>
          <w:rFonts w:hint="eastAsia" w:ascii="宋体" w:hAnsi="宋体" w:cs="宋体"/>
          <w:szCs w:val="21"/>
          <w:highlight w:val="none"/>
        </w:rPr>
        <w:t>杨</w:t>
      </w:r>
      <w:r>
        <w:rPr>
          <w:rFonts w:hint="eastAsia" w:ascii="宋体" w:hAnsi="宋体" w:cs="宋体"/>
          <w:szCs w:val="21"/>
          <w:highlight w:val="none"/>
          <w:lang w:val="en-US" w:eastAsia="zh-CN"/>
        </w:rPr>
        <w:t xml:space="preserve">  </w:t>
      </w:r>
      <w:r>
        <w:rPr>
          <w:rFonts w:hint="eastAsia" w:ascii="宋体" w:hAnsi="宋体" w:cs="宋体"/>
          <w:szCs w:val="21"/>
          <w:highlight w:val="none"/>
        </w:rPr>
        <w:t>跃</w:t>
      </w:r>
      <w:r>
        <w:rPr>
          <w:rFonts w:hint="eastAsia" w:ascii="宋体" w:hAnsi="宋体" w:cs="宋体"/>
          <w:szCs w:val="21"/>
          <w:highlight w:val="none"/>
          <w:lang w:val="en-US" w:eastAsia="zh-CN"/>
        </w:rPr>
        <w:t xml:space="preserve">  </w:t>
      </w:r>
      <w:r>
        <w:rPr>
          <w:rFonts w:hint="eastAsia" w:ascii="宋体" w:hAnsi="宋体" w:cs="宋体"/>
          <w:szCs w:val="21"/>
          <w:highlight w:val="none"/>
        </w:rPr>
        <w:t>蔡春燕</w:t>
      </w:r>
      <w:r>
        <w:rPr>
          <w:rFonts w:hint="eastAsia" w:ascii="宋体" w:hAnsi="宋体" w:cs="宋体"/>
          <w:szCs w:val="21"/>
          <w:highlight w:val="none"/>
          <w:lang w:val="en-US" w:eastAsia="zh-CN"/>
        </w:rPr>
        <w:t xml:space="preserve">  </w:t>
      </w:r>
    </w:p>
    <w:p w14:paraId="5ABB0EBB">
      <w:pPr>
        <w:adjustRightInd w:val="0"/>
        <w:snapToGrid w:val="0"/>
        <w:spacing w:before="0" w:beforeLines="0" w:after="0" w:afterLines="0" w:line="300" w:lineRule="auto"/>
        <w:ind w:left="0" w:firstLine="2520" w:firstLineChars="1200"/>
        <w:jc w:val="left"/>
        <w:rPr>
          <w:rFonts w:hint="eastAsia" w:ascii="宋体" w:hAnsi="宋体" w:cs="宋体"/>
          <w:szCs w:val="21"/>
          <w:highlight w:val="none"/>
        </w:rPr>
      </w:pPr>
      <w:r>
        <w:rPr>
          <w:rFonts w:hint="eastAsia" w:ascii="宋体" w:hAnsi="宋体" w:cs="宋体"/>
          <w:szCs w:val="21"/>
          <w:highlight w:val="none"/>
        </w:rPr>
        <w:t>邓</w:t>
      </w:r>
      <w:r>
        <w:rPr>
          <w:rFonts w:hint="eastAsia" w:ascii="宋体" w:hAnsi="宋体" w:cs="宋体"/>
          <w:szCs w:val="21"/>
          <w:highlight w:val="none"/>
          <w:lang w:val="en-US" w:eastAsia="zh-CN"/>
        </w:rPr>
        <w:t xml:space="preserve">  </w:t>
      </w:r>
      <w:r>
        <w:rPr>
          <w:rFonts w:hint="eastAsia" w:ascii="宋体" w:hAnsi="宋体" w:cs="宋体"/>
          <w:szCs w:val="21"/>
          <w:highlight w:val="none"/>
        </w:rPr>
        <w:t>鑫</w:t>
      </w:r>
      <w:r>
        <w:rPr>
          <w:rFonts w:hint="eastAsia" w:ascii="宋体" w:hAnsi="宋体" w:cs="宋体"/>
          <w:szCs w:val="21"/>
          <w:highlight w:val="none"/>
          <w:lang w:val="en-US" w:eastAsia="zh-CN"/>
        </w:rPr>
        <w:t xml:space="preserve">     </w:t>
      </w:r>
    </w:p>
    <w:p w14:paraId="692EA2C9">
      <w:pPr>
        <w:adjustRightInd w:val="0"/>
        <w:snapToGrid w:val="0"/>
        <w:spacing w:before="93" w:beforeLines="30" w:after="93" w:afterLines="30" w:line="300" w:lineRule="auto"/>
        <w:ind w:firstLine="420" w:firstLineChars="200"/>
        <w:rPr>
          <w:rFonts w:hint="eastAsia" w:ascii="宋体" w:hAnsi="宋体" w:cs="宋体"/>
          <w:szCs w:val="21"/>
        </w:rPr>
      </w:pPr>
      <w:r>
        <w:rPr>
          <w:rFonts w:ascii="宋体" w:hAnsi="宋体" w:cs="宋体"/>
          <w:szCs w:val="21"/>
        </w:rPr>
        <w:t>本标准主要审查人员：</w:t>
      </w:r>
    </w:p>
    <w:p w14:paraId="4CFEC2F7">
      <w:pPr>
        <w:pStyle w:val="3"/>
        <w:jc w:val="both"/>
        <w:sectPr>
          <w:footerReference r:id="rId9" w:type="first"/>
          <w:footerReference r:id="rId8" w:type="default"/>
          <w:pgSz w:w="11906" w:h="16838"/>
          <w:pgMar w:top="1440" w:right="1588" w:bottom="1440" w:left="1588" w:header="851" w:footer="992" w:gutter="0"/>
          <w:pgNumType w:start="1"/>
          <w:cols w:space="720" w:num="1"/>
          <w:docGrid w:type="lines" w:linePitch="312" w:charSpace="0"/>
        </w:sectPr>
      </w:pPr>
    </w:p>
    <w:sdt>
      <w:sdtPr>
        <w:rPr>
          <w:rFonts w:ascii="Times New Roman" w:hAnsi="Times New Roman" w:eastAsia="宋体" w:cs="Times New Roman"/>
          <w:b/>
          <w:bCs/>
          <w:kern w:val="2"/>
          <w:sz w:val="28"/>
          <w:szCs w:val="21"/>
          <w:lang w:val="zh-CN"/>
        </w:rPr>
        <w:id w:val="-182427212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290C6C1A">
          <w:pPr>
            <w:pStyle w:val="2"/>
            <w:snapToGrid w:val="0"/>
            <w:rPr>
              <w:rFonts w:hint="eastAsia" w:ascii="Times New Roman" w:hAnsi="Times New Roman" w:eastAsia="宋体" w:cs="Times New Roman"/>
              <w:b/>
              <w:bCs/>
              <w:sz w:val="28"/>
              <w:szCs w:val="21"/>
              <w:lang w:val="zh-CN"/>
            </w:rPr>
          </w:pPr>
          <w:r>
            <w:rPr>
              <w:rFonts w:hint="eastAsia" w:ascii="Times New Roman" w:hAnsi="Times New Roman" w:eastAsia="宋体" w:cs="Times New Roman"/>
              <w:b/>
              <w:bCs/>
              <w:kern w:val="2"/>
              <w:sz w:val="28"/>
              <w:szCs w:val="21"/>
              <w:lang w:val="en-US" w:eastAsia="zh-CN"/>
            </w:rPr>
            <w:t xml:space="preserve">                           </w:t>
          </w:r>
          <w:r>
            <w:rPr>
              <w:rFonts w:ascii="Times New Roman" w:hAnsi="Times New Roman" w:eastAsia="宋体" w:cs="Times New Roman"/>
              <w:b/>
              <w:bCs/>
              <w:sz w:val="28"/>
              <w:szCs w:val="21"/>
              <w:lang w:val="zh-CN"/>
            </w:rPr>
            <w:t>目</w:t>
          </w:r>
          <w:r>
            <w:rPr>
              <w:rFonts w:hint="eastAsia" w:ascii="Times New Roman" w:hAnsi="Times New Roman" w:eastAsia="宋体" w:cs="Times New Roman"/>
              <w:b/>
              <w:bCs/>
              <w:sz w:val="28"/>
              <w:szCs w:val="21"/>
              <w:lang w:val="en-US" w:eastAsia="zh-CN"/>
            </w:rPr>
            <w:t xml:space="preserve">  </w:t>
          </w:r>
          <w:r>
            <w:rPr>
              <w:rFonts w:hint="eastAsia" w:ascii="Times New Roman" w:hAnsi="Times New Roman" w:eastAsia="宋体" w:cs="Times New Roman"/>
              <w:b/>
              <w:bCs/>
              <w:sz w:val="28"/>
              <w:szCs w:val="21"/>
              <w:u w:val="dotted"/>
              <w:lang w:val="en-US" w:eastAsia="zh-CN"/>
            </w:rPr>
            <w:t>次</w:t>
          </w:r>
        </w:p>
        <w:p w14:paraId="4FA41EF5">
          <w:pPr>
            <w:pStyle w:val="14"/>
            <w:tabs>
              <w:tab w:val="right" w:leader="dot" w:pos="8306"/>
            </w:tabs>
            <w:rPr>
              <w:rFonts w:hint="default" w:ascii="Times New Roman" w:hAnsi="Times New Roman" w:eastAsia="宋体" w:cs="Times New Roman"/>
              <w:sz w:val="24"/>
            </w:rPr>
          </w:pPr>
          <w:r>
            <w:rPr>
              <w:sz w:val="24"/>
            </w:rPr>
            <w:fldChar w:fldCharType="begin"/>
          </w:r>
          <w:r>
            <w:rPr>
              <w:sz w:val="24"/>
            </w:rPr>
            <w:instrText xml:space="preserve"> TOC \o "1-3" \h \z \u </w:instrText>
          </w:r>
          <w:r>
            <w:rPr>
              <w:sz w:val="24"/>
            </w:rPr>
            <w:fldChar w:fldCharType="separate"/>
          </w: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_Toc18868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 总则</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_Toc18868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3A6BD40B">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_Toc4260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2 术语</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_Toc4260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0238E5C">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_Toc18584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3 基本规定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_Toc18584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3F4D4E69">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_Toc5210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 设备和材料</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_Toc5210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70572CE">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_Toc17362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_Toc17362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A0143D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_Toc13924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4.2光伏组件</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_Toc13924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17FD85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_Toc28717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4.3材料</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_Toc28717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10</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00F97CCA">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_Toc4352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逆变器</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_Toc4352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13</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6D1DEBBC">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_Toc31728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储能系统</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_Toc31728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15</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C83801A">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_Toc27415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配电柜</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_Toc27415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16</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0572677">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_Toc1324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 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_Toc1324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604FAC97">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_Toc23037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_Toc23037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F91D23F">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_Toc9547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5.2规划</w:t>
          </w:r>
          <w:r>
            <w:rPr>
              <w:rFonts w:hint="default" w:ascii="Times New Roman" w:hAnsi="Times New Roman" w:eastAsia="宋体" w:cs="Times New Roman"/>
              <w:sz w:val="24"/>
              <w:szCs w:val="24"/>
              <w:lang w:val="en-US" w:eastAsia="zh-CN"/>
            </w:rPr>
            <w:t>和建筑</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_Toc9547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18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636945F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_Toc3407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组件</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_Toc3407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21</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875D10E">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_Toc16868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构造</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_Toc16868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23</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A1B4B90">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_Toc16117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 结构设计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_Toc16117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E0CA98A">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_Toc5446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_Toc5446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064EBADE">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_Toc4089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6.2设计参数</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_Toc4089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71DD3E7">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_Toc13410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6.3荷载和作用</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_Toc13410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748ACB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_Toc8528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6.4光伏构件结构设计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_Toc8528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31</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DFFC8A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_Toc17657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6.5支撑结构设计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_Toc17657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31</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CC8FFA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_Toc28626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6.6连接结构设计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_Toc28626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F433D8E">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_Toc28215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 光伏发电系统设计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_Toc28215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33</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8A7C855">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_Toc29930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_Toc29930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33</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CBA9FEB">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_Toc7966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7.2光伏</w:t>
          </w:r>
          <w:r>
            <w:rPr>
              <w:rFonts w:hint="default" w:ascii="Times New Roman" w:hAnsi="Times New Roman" w:eastAsia="宋体" w:cs="Times New Roman"/>
              <w:bCs w:val="0"/>
              <w:sz w:val="24"/>
              <w:szCs w:val="24"/>
            </w:rPr>
            <w:t>发电</w:t>
          </w:r>
          <w:r>
            <w:rPr>
              <w:rFonts w:hint="default" w:ascii="Times New Roman" w:hAnsi="Times New Roman" w:eastAsia="宋体" w:cs="Times New Roman"/>
              <w:sz w:val="24"/>
              <w:szCs w:val="24"/>
            </w:rPr>
            <w:t>系统技术要求</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_Toc7966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34</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5D6CB8F">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_Toc22981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bCs w:val="0"/>
              <w:sz w:val="24"/>
              <w:szCs w:val="24"/>
            </w:rPr>
            <w:t>7.3光伏发电系统电气设计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_Toc22981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34</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45A66A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_Toc24955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7.4光伏发电系统发电量估算</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_Toc24955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36</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07002F15">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_Toc14604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7.5防雷与接地</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_Toc14604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0586BF6">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_Toc25902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8 光伏发电系统接入</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_Toc25902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3E44121B">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_Toc2932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8.1一般规定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_Toc2932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3AC8BEF9">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_Toc3857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8.2</w:t>
          </w:r>
          <w:r>
            <w:rPr>
              <w:rFonts w:hint="default" w:ascii="Times New Roman" w:hAnsi="Times New Roman" w:eastAsia="宋体" w:cs="Times New Roman"/>
              <w:sz w:val="24"/>
              <w:szCs w:val="24"/>
              <w:lang w:val="en-US" w:eastAsia="zh-CN"/>
            </w:rPr>
            <w:t>系统</w:t>
          </w:r>
          <w:r>
            <w:rPr>
              <w:rFonts w:hint="default" w:ascii="Times New Roman" w:hAnsi="Times New Roman" w:eastAsia="宋体" w:cs="Times New Roman"/>
              <w:sz w:val="24"/>
              <w:szCs w:val="24"/>
            </w:rPr>
            <w:t>运行</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_Toc3857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39</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BA16CE6">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_Toc32156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智能运行</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_Toc32156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39</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944FB61">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_Toc28615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安全及保护</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_Toc28615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40</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D244AC4">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_Toc8725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 xml:space="preserve"> 给排水设计</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_Toc8725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A8F7C7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_Toc27181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_Toc27181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FB80F6C">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_Toc20049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.2屋面排水</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_Toc20049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903BF98">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_Toc19327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.3光伏水密性</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_Toc19327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43</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6DB8388">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_Toc5396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 xml:space="preserve"> 工程施工</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_Toc5396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44</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6BAE181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_Toc28584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_Toc28584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44</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217E1E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_Toc2529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.2土建工程</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_Toc2529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46</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36D4B7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_Toc3460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.3光伏组件安装</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_Toc3460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49</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C795617">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_Toc23331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.4电气安装</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_Toc23331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50</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6C0CB1F2">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_Toc14941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.5系统调试</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_Toc14941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196F542">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_Toc3933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环境保护与安全防护</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_Toc3933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56</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39409497">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_Toc6018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_Toc6018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56</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08E900E3">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_Toc3091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.2环境保护、安全</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_Toc3091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56</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372DF34">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_Toc24597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 消防</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_Toc24597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C6A07CE">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_Toc1250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_Toc1250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827D963">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_Toc21045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.2防火</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_Toc21045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57</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0EB336F7">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_Toc7291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.3消防设施</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_Toc7291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58</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6236765F">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_Toc13976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验收</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_Toc13976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59</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6E70EF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_Toc3682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13.1一般规定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_Toc3682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59</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699E7CB">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_Toc8655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13.2验收要求</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_Toc8655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59</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9FAE371">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_Toc12182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xml:space="preserve"> 运行与维护</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_Toc12182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62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BA95ACE">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_Toc9415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_Toc9415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62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4BF31DF">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_Toc17810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建筑</w:t>
          </w:r>
          <w:r>
            <w:rPr>
              <w:rFonts w:hint="default" w:ascii="Times New Roman" w:hAnsi="Times New Roman" w:eastAsia="宋体" w:cs="Times New Roman"/>
              <w:sz w:val="24"/>
              <w:szCs w:val="24"/>
            </w:rPr>
            <w:t>运行管理</w:t>
          </w:r>
          <w:r>
            <w:rPr>
              <w:rFonts w:hint="default" w:ascii="Times New Roman" w:hAnsi="Times New Roman" w:eastAsia="宋体" w:cs="Times New Roman"/>
              <w:sz w:val="24"/>
              <w:szCs w:val="24"/>
              <w:lang w:val="en-US" w:eastAsia="zh-CN"/>
            </w:rPr>
            <w:t>与维护</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_Toc17810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63</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5DDFB45">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_Toc3659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en-US" w:eastAsia="zh-CN"/>
            </w:rPr>
            <w:t>光伏系统</w:t>
          </w:r>
          <w:r>
            <w:rPr>
              <w:rFonts w:hint="default" w:ascii="Times New Roman" w:hAnsi="Times New Roman" w:eastAsia="宋体" w:cs="Times New Roman"/>
              <w:sz w:val="24"/>
              <w:szCs w:val="24"/>
            </w:rPr>
            <w:t>运行管理</w:t>
          </w:r>
          <w:r>
            <w:rPr>
              <w:rFonts w:hint="default" w:ascii="Times New Roman" w:hAnsi="Times New Roman" w:eastAsia="宋体" w:cs="Times New Roman"/>
              <w:sz w:val="24"/>
              <w:szCs w:val="24"/>
              <w:lang w:val="en-US" w:eastAsia="zh-CN"/>
            </w:rPr>
            <w:t>与维护</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_Toc3659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64</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26620423">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_Toc28231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附录</w:t>
          </w: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广东地区太阳能资源</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_Toc28231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69</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013A17B5">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_Toc11660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附录</w:t>
          </w:r>
          <w:r>
            <w:rPr>
              <w:rFonts w:hint="default" w:ascii="Times New Roman" w:hAnsi="Times New Roman" w:eastAsia="宋体" w:cs="Times New Roman"/>
              <w:sz w:val="24"/>
              <w:szCs w:val="24"/>
              <w:lang w:val="en-US" w:eastAsia="zh-CN"/>
            </w:rPr>
            <w:t>B</w:t>
          </w:r>
          <w:r>
            <w:rPr>
              <w:rFonts w:hint="default" w:ascii="Times New Roman" w:hAnsi="Times New Roman" w:eastAsia="宋体" w:cs="Times New Roman"/>
              <w:sz w:val="24"/>
              <w:szCs w:val="24"/>
            </w:rPr>
            <w:t>光伏组件/方阵检查测试项目</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_Toc11660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70</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423F4744">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_Toc1678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附录</w:t>
          </w:r>
          <w:r>
            <w:rPr>
              <w:rFonts w:hint="default" w:ascii="Times New Roman" w:hAnsi="Times New Roman" w:eastAsia="宋体" w:cs="Times New Roman"/>
              <w:sz w:val="24"/>
              <w:szCs w:val="24"/>
              <w:lang w:val="en-US" w:eastAsia="zh-CN"/>
            </w:rPr>
            <w:t>C</w:t>
          </w:r>
          <w:r>
            <w:rPr>
              <w:rFonts w:hint="default" w:ascii="Times New Roman" w:hAnsi="Times New Roman" w:eastAsia="宋体" w:cs="Times New Roman"/>
              <w:bCs/>
              <w:sz w:val="24"/>
              <w:szCs w:val="24"/>
            </w:rPr>
            <w:t>建筑光伏系统的故障处理表</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_Toc1678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71</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91D35A8">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_Toc11887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bCs w:val="0"/>
              <w:sz w:val="24"/>
              <w:szCs w:val="24"/>
            </w:rPr>
            <w:t>本标准用词说明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_Toc11887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72</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5ACD8C21">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_Toc13581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引用标准名录</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_Toc13581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73</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15E61E11">
          <w:pPr>
            <w:pStyle w:val="14"/>
            <w:tabs>
              <w:tab w:val="right" w:leader="dot" w:pos="8306"/>
            </w:tabs>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_Toc29221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bCs w:val="0"/>
              <w:sz w:val="24"/>
              <w:szCs w:val="24"/>
            </w:rPr>
            <w:t>条文说明</w:t>
          </w:r>
          <w:r>
            <w:rPr>
              <w:rFonts w:hint="default" w:ascii="Times New Roman" w:hAnsi="Times New Roman" w:eastAsia="宋体" w:cs="Times New Roman"/>
              <w:sz w:val="24"/>
            </w:rPr>
            <w:tab/>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PAGEREF _Toc29221 \h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74</w:t>
          </w:r>
          <w:r>
            <w:rPr>
              <w:rFonts w:hint="default" w:ascii="Times New Roman" w:hAnsi="Times New Roman" w:eastAsia="宋体" w:cs="Times New Roman"/>
              <w:sz w:val="24"/>
            </w:rPr>
            <w:fldChar w:fldCharType="end"/>
          </w:r>
          <w:r>
            <w:rPr>
              <w:rFonts w:hint="default" w:ascii="Times New Roman" w:hAnsi="Times New Roman" w:eastAsia="宋体" w:cs="Times New Roman"/>
              <w:bCs/>
              <w:sz w:val="24"/>
              <w:lang w:val="zh-CN"/>
            </w:rPr>
            <w:fldChar w:fldCharType="end"/>
          </w:r>
        </w:p>
        <w:p w14:paraId="758E26E4">
          <w:pPr>
            <w:snapToGrid w:val="0"/>
            <w:spacing w:line="300" w:lineRule="auto"/>
            <w:rPr>
              <w:b/>
              <w:bCs/>
              <w:lang w:val="zh-CN"/>
            </w:rPr>
          </w:pPr>
          <w:r>
            <w:rPr>
              <w:b/>
              <w:bCs/>
              <w:sz w:val="24"/>
              <w:lang w:val="zh-CN"/>
            </w:rPr>
            <w:fldChar w:fldCharType="end"/>
          </w:r>
        </w:p>
      </w:sdtContent>
    </w:sdt>
    <w:p w14:paraId="444DA167">
      <w:pPr>
        <w:widowControl/>
        <w:spacing w:line="300" w:lineRule="auto"/>
        <w:jc w:val="left"/>
        <w:rPr>
          <w:b/>
          <w:bCs/>
          <w:lang w:val="zh-CN"/>
        </w:rPr>
      </w:pPr>
      <w:r>
        <w:rPr>
          <w:b/>
          <w:bCs/>
          <w:lang w:val="zh-CN"/>
        </w:rPr>
        <w:br w:type="page"/>
      </w:r>
    </w:p>
    <w:p w14:paraId="650931C0">
      <w:pPr>
        <w:pStyle w:val="28"/>
        <w:spacing w:line="300" w:lineRule="auto"/>
        <w:jc w:val="center"/>
        <w:rPr>
          <w:rFonts w:ascii="Times New Roman" w:hAnsi="Times New Roman" w:cs="Times New Roman"/>
          <w:color w:val="auto"/>
        </w:rPr>
      </w:pPr>
      <w:r>
        <w:rPr>
          <w:rFonts w:ascii="Times New Roman" w:hAnsi="Times New Roman" w:cs="Times New Roman"/>
          <w:color w:val="auto"/>
        </w:rPr>
        <w:t>Contents</w:t>
      </w:r>
    </w:p>
    <w:p w14:paraId="17538F5A">
      <w:pPr>
        <w:pStyle w:val="14"/>
        <w:tabs>
          <w:tab w:val="right" w:leader="dot" w:pos="8296"/>
        </w:tabs>
        <w:snapToGrid w:val="0"/>
        <w:spacing w:line="300" w:lineRule="auto"/>
        <w:rPr>
          <w:rFonts w:hint="eastAsia" w:ascii="Times New Roman" w:hAnsi="Times New Roman" w:eastAsia="宋体" w:cs="Times New Roman"/>
          <w:sz w:val="24"/>
          <w:lang w:eastAsia="zh-CN"/>
          <w14:ligatures w14:val="standardContextual"/>
        </w:rPr>
      </w:pPr>
      <w:r>
        <w:rPr>
          <w:sz w:val="24"/>
        </w:rPr>
        <w:fldChar w:fldCharType="begin"/>
      </w:r>
      <w:r>
        <w:rPr>
          <w:sz w:val="24"/>
        </w:rPr>
        <w:instrText xml:space="preserve"> TOC \o "1-3" \h \z \u </w:instrText>
      </w:r>
      <w:r>
        <w:rPr>
          <w:sz w:val="24"/>
        </w:rPr>
        <w:fldChar w:fldCharType="separate"/>
      </w:r>
      <w:r>
        <w:rPr>
          <w:rFonts w:ascii="Times New Roman" w:hAnsi="Times New Roman" w:cs="Times New Roman"/>
          <w:sz w:val="24"/>
        </w:rPr>
        <w:fldChar w:fldCharType="begin"/>
      </w:r>
      <w:r>
        <w:rPr>
          <w:rFonts w:ascii="Times New Roman" w:hAnsi="Times New Roman" w:cs="Times New Roman"/>
          <w:sz w:val="24"/>
        </w:rPr>
        <w:instrText xml:space="preserve"> HYPERLINK \l "_Toc141435353" </w:instrText>
      </w:r>
      <w:r>
        <w:rPr>
          <w:rFonts w:ascii="Times New Roman" w:hAnsi="Times New Roman" w:cs="Times New Roman"/>
          <w:sz w:val="24"/>
        </w:rPr>
        <w:fldChar w:fldCharType="separate"/>
      </w:r>
      <w:r>
        <w:rPr>
          <w:rStyle w:val="21"/>
          <w:rFonts w:ascii="Times New Roman" w:hAnsi="Times New Roman" w:cs="Times New Roman"/>
          <w:color w:val="auto"/>
          <w:sz w:val="24"/>
        </w:rPr>
        <w:t>1 General Provisions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1</w:t>
      </w:r>
    </w:p>
    <w:p w14:paraId="1FFD9D75">
      <w:pPr>
        <w:pStyle w:val="14"/>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"_Toc141435354" </w:instrText>
      </w:r>
      <w:r>
        <w:rPr>
          <w:rFonts w:ascii="Times New Roman" w:hAnsi="Times New Roman" w:cs="Times New Roman"/>
          <w:sz w:val="24"/>
        </w:rPr>
        <w:fldChar w:fldCharType="separate"/>
      </w:r>
      <w:r>
        <w:rPr>
          <w:rStyle w:val="21"/>
          <w:rFonts w:ascii="Times New Roman" w:hAnsi="Times New Roman" w:cs="Times New Roman"/>
          <w:color w:val="auto"/>
          <w:sz w:val="24"/>
        </w:rPr>
        <w:t>2 Terms</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2</w:t>
      </w:r>
    </w:p>
    <w:p w14:paraId="249E7754">
      <w:pPr>
        <w:pStyle w:val="14"/>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"_Toc141435355" </w:instrText>
      </w:r>
      <w:r>
        <w:rPr>
          <w:rFonts w:ascii="Times New Roman" w:hAnsi="Times New Roman" w:cs="Times New Roman"/>
          <w:sz w:val="24"/>
        </w:rPr>
        <w:fldChar w:fldCharType="separate"/>
      </w:r>
      <w:r>
        <w:rPr>
          <w:rStyle w:val="21"/>
          <w:rFonts w:ascii="Times New Roman" w:hAnsi="Times New Roman" w:cs="Times New Roman"/>
          <w:color w:val="auto"/>
          <w:sz w:val="24"/>
        </w:rPr>
        <w:t>3 Basic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4</w:t>
      </w:r>
    </w:p>
    <w:p w14:paraId="7EF19FDA">
      <w:pPr>
        <w:pStyle w:val="14"/>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"_Toc141449347" </w:instrText>
      </w:r>
      <w:r>
        <w:rPr>
          <w:rFonts w:ascii="Times New Roman" w:hAnsi="Times New Roman" w:cs="Times New Roman"/>
          <w:sz w:val="24"/>
        </w:rPr>
        <w:fldChar w:fldCharType="separate"/>
      </w:r>
      <w:r>
        <w:rPr>
          <w:rStyle w:val="21"/>
          <w:rFonts w:ascii="Times New Roman" w:hAnsi="Times New Roman" w:cs="Times New Roman"/>
          <w:color w:val="auto"/>
          <w:sz w:val="24"/>
        </w:rPr>
        <w:t>4 Equipment and materials</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8</w:t>
      </w:r>
    </w:p>
    <w:p w14:paraId="1B2BC952">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"_Toc141449348"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4.1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8</w:t>
      </w:r>
    </w:p>
    <w:p w14:paraId="36C51041">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"_Toc141449349" </w:instrText>
      </w:r>
      <w:r>
        <w:rPr>
          <w:rFonts w:ascii="Times New Roman" w:hAnsi="Times New Roman" w:cs="Times New Roman"/>
          <w:sz w:val="24"/>
        </w:rPr>
        <w:fldChar w:fldCharType="separate"/>
      </w:r>
      <w:r>
        <w:rPr>
          <w:rStyle w:val="21"/>
          <w:rFonts w:ascii="Times New Roman" w:hAnsi="Times New Roman" w:cs="Times New Roman"/>
          <w:color w:val="auto"/>
          <w:sz w:val="24"/>
        </w:rPr>
        <w:t>4.2 Photovoltaic Modules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8</w:t>
      </w:r>
    </w:p>
    <w:p w14:paraId="2BCB267A">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"_Toc141449350" </w:instrText>
      </w:r>
      <w:r>
        <w:rPr>
          <w:rFonts w:ascii="Times New Roman" w:hAnsi="Times New Roman" w:cs="Times New Roman"/>
          <w:sz w:val="24"/>
        </w:rPr>
        <w:fldChar w:fldCharType="separate"/>
      </w:r>
      <w:r>
        <w:rPr>
          <w:rStyle w:val="21"/>
          <w:rFonts w:ascii="Times New Roman" w:hAnsi="Times New Roman" w:cs="Times New Roman"/>
          <w:color w:val="auto"/>
          <w:sz w:val="24"/>
        </w:rPr>
        <w:t>4.3 Materials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10</w:t>
      </w:r>
    </w:p>
    <w:p w14:paraId="7F255581">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"_Toc141449351" </w:instrText>
      </w:r>
      <w:r>
        <w:rPr>
          <w:rFonts w:ascii="Times New Roman" w:hAnsi="Times New Roman" w:cs="Times New Roman"/>
          <w:sz w:val="24"/>
        </w:rPr>
        <w:fldChar w:fldCharType="separate"/>
      </w:r>
      <w:r>
        <w:rPr>
          <w:rStyle w:val="21"/>
          <w:rFonts w:ascii="Times New Roman" w:hAnsi="Times New Roman" w:cs="Times New Roman"/>
          <w:color w:val="auto"/>
          <w:sz w:val="24"/>
        </w:rPr>
        <w:t>4.4 Inverter</w:t>
      </w:r>
      <w:r>
        <w:rPr>
          <w:rFonts w:ascii="Times New Roman" w:hAnsi="Times New Roman" w:cs="Times New Roman"/>
          <w:sz w:val="24"/>
        </w:rPr>
        <w:tab/>
      </w:r>
      <w:r>
        <w:rPr>
          <w:rFonts w:hint="default" w:ascii="Times New Roman" w:hAnsi="Times New Roman" w:cs="Times New Roman"/>
          <w:sz w:val="24"/>
        </w:rPr>
        <w:fldChar w:fldCharType="end"/>
      </w:r>
      <w:r>
        <w:rPr>
          <w:rFonts w:hint="default" w:ascii="Times New Roman" w:hAnsi="Times New Roman" w:cs="Times New Roman"/>
          <w:sz w:val="24"/>
          <w:lang w:val="en-US" w:eastAsia="zh-CN"/>
        </w:rPr>
        <w:t>1</w:t>
      </w:r>
      <w:r>
        <w:rPr>
          <w:rFonts w:hint="eastAsia" w:cs="Times New Roman"/>
          <w:sz w:val="24"/>
          <w:lang w:val="en-US" w:eastAsia="zh-CN"/>
        </w:rPr>
        <w:t>3</w:t>
      </w:r>
    </w:p>
    <w:p w14:paraId="0A0A9686">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"_Toc141449352" </w:instrText>
      </w:r>
      <w:r>
        <w:rPr>
          <w:rFonts w:ascii="Times New Roman" w:hAnsi="Times New Roman" w:cs="Times New Roman"/>
          <w:sz w:val="24"/>
        </w:rPr>
        <w:fldChar w:fldCharType="separate"/>
      </w:r>
      <w:r>
        <w:rPr>
          <w:rStyle w:val="21"/>
          <w:rFonts w:ascii="Times New Roman" w:hAnsi="Times New Roman" w:cs="Times New Roman"/>
          <w:color w:val="auto"/>
          <w:sz w:val="24"/>
        </w:rPr>
        <w:t>4.5 Energy Storage System</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15</w:t>
      </w:r>
    </w:p>
    <w:p w14:paraId="1BFF21D3">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"_Toc141449353"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4.6 </w:t>
      </w:r>
      <w:r>
        <w:rPr>
          <w:rStyle w:val="21"/>
          <w:rFonts w:hint="default" w:ascii="Times New Roman" w:hAnsi="Times New Roman" w:cs="Times New Roman"/>
          <w:color w:val="auto"/>
          <w:sz w:val="24"/>
          <w:lang w:val="en-US" w:eastAsia="zh-CN"/>
        </w:rPr>
        <w:t>Power Distribution Box</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16</w:t>
      </w:r>
    </w:p>
    <w:p w14:paraId="6E9D92C2">
      <w:pPr>
        <w:pStyle w:val="14"/>
        <w:tabs>
          <w:tab w:val="right" w:leader="dot" w:pos="8296"/>
        </w:tabs>
        <w:snapToGrid w:val="0"/>
        <w:spacing w:line="300" w:lineRule="auto"/>
        <w:rPr>
          <w:rFonts w:hint="default" w:ascii="Times New Roman" w:hAnsi="Times New Roman" w:eastAsia="宋体"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"_Toc141449355" </w:instrText>
      </w:r>
      <w:r>
        <w:rPr>
          <w:rFonts w:ascii="Times New Roman" w:hAnsi="Times New Roman" w:cs="Times New Roman"/>
          <w:sz w:val="24"/>
        </w:rPr>
        <w:fldChar w:fldCharType="separate"/>
      </w:r>
      <w:r>
        <w:rPr>
          <w:rStyle w:val="21"/>
          <w:rFonts w:ascii="Times New Roman" w:hAnsi="Times New Roman" w:cs="Times New Roman"/>
          <w:color w:val="auto"/>
          <w:sz w:val="24"/>
        </w:rPr>
        <w:t>5 Design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17</w:t>
      </w:r>
    </w:p>
    <w:p w14:paraId="7BD1E3D4">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"_Toc141449356"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5.1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17</w:t>
      </w:r>
    </w:p>
    <w:p w14:paraId="4BF20C69">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"_Toc141449357"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5.2 </w:t>
      </w:r>
      <w:r>
        <w:rPr>
          <w:rStyle w:val="21"/>
          <w:rFonts w:hint="default" w:ascii="Times New Roman" w:hAnsi="Times New Roman" w:cs="Times New Roman"/>
          <w:color w:val="auto"/>
          <w:sz w:val="24"/>
        </w:rPr>
        <w:t>Planning and Architecture</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18</w:t>
      </w:r>
    </w:p>
    <w:p w14:paraId="2C4B1EC2">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"_Toc141449358"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5.3 </w:t>
      </w:r>
      <w:r>
        <w:rPr>
          <w:rStyle w:val="21"/>
          <w:rFonts w:hint="default" w:ascii="Times New Roman" w:hAnsi="Times New Roman" w:cs="Times New Roman"/>
          <w:color w:val="auto"/>
          <w:sz w:val="24"/>
          <w:lang w:val="en-US" w:eastAsia="zh-CN"/>
        </w:rPr>
        <w:t>M</w:t>
      </w:r>
      <w:r>
        <w:rPr>
          <w:rStyle w:val="21"/>
          <w:rFonts w:hint="default" w:ascii="Times New Roman" w:hAnsi="Times New Roman" w:cs="Times New Roman"/>
          <w:color w:val="auto"/>
          <w:sz w:val="24"/>
        </w:rPr>
        <w:t>odule</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2</w:t>
      </w:r>
      <w:r>
        <w:rPr>
          <w:rFonts w:hint="eastAsia" w:cs="Times New Roman"/>
          <w:sz w:val="24"/>
          <w:lang w:val="en-US" w:eastAsia="zh-CN"/>
        </w:rPr>
        <w:t>1</w:t>
      </w:r>
    </w:p>
    <w:p w14:paraId="77A8A046">
      <w:pPr>
        <w:pStyle w:val="8"/>
        <w:tabs>
          <w:tab w:val="right" w:leader="dot" w:pos="8296"/>
        </w:tabs>
        <w:snapToGrid w:val="0"/>
        <w:spacing w:line="300" w:lineRule="auto"/>
        <w:ind w:left="0" w:leftChars="0" w:firstLine="720" w:firstLineChars="300"/>
        <w:rPr>
          <w:rFonts w:hint="default"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"_Toc141449359"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5.4 </w:t>
      </w:r>
      <w:r>
        <w:rPr>
          <w:rStyle w:val="21"/>
          <w:rFonts w:hint="default" w:ascii="Times New Roman" w:hAnsi="Times New Roman" w:cs="Times New Roman"/>
          <w:color w:val="auto"/>
          <w:sz w:val="24"/>
          <w:lang w:val="en-US" w:eastAsia="zh-CN"/>
        </w:rPr>
        <w:t>S</w:t>
      </w:r>
      <w:r>
        <w:rPr>
          <w:rStyle w:val="21"/>
          <w:rFonts w:hint="default" w:ascii="Times New Roman" w:hAnsi="Times New Roman" w:cs="Times New Roman"/>
          <w:color w:val="auto"/>
          <w:sz w:val="24"/>
        </w:rPr>
        <w:t>tructure</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2</w:t>
      </w:r>
      <w:r>
        <w:rPr>
          <w:rFonts w:hint="eastAsia" w:cs="Times New Roman"/>
          <w:sz w:val="24"/>
          <w:lang w:val="en-US" w:eastAsia="zh-CN"/>
        </w:rPr>
        <w:t>3</w:t>
      </w:r>
    </w:p>
    <w:p w14:paraId="5710A9C8">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"_Toc141449361"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6 Structural </w:t>
      </w:r>
      <w:r>
        <w:rPr>
          <w:rStyle w:val="21"/>
          <w:rFonts w:hint="default" w:ascii="Times New Roman" w:hAnsi="Times New Roman" w:cs="Times New Roman"/>
          <w:color w:val="auto"/>
          <w:sz w:val="24"/>
          <w:lang w:val="en-US" w:eastAsia="zh-CN"/>
        </w:rPr>
        <w:t>D</w:t>
      </w:r>
      <w:r>
        <w:rPr>
          <w:rStyle w:val="21"/>
          <w:rFonts w:ascii="Times New Roman" w:hAnsi="Times New Roman" w:cs="Times New Roman"/>
          <w:color w:val="auto"/>
          <w:sz w:val="24"/>
        </w:rPr>
        <w:t>esign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27</w:t>
      </w:r>
    </w:p>
    <w:p w14:paraId="2A671037">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"_Toc141449362"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6.1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27</w:t>
      </w:r>
    </w:p>
    <w:p w14:paraId="6E48264C">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"_Toc141449363"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6.2 </w:t>
      </w:r>
      <w:r>
        <w:rPr>
          <w:rStyle w:val="21"/>
          <w:rFonts w:hint="default" w:ascii="Times New Roman" w:hAnsi="Times New Roman" w:cs="Times New Roman"/>
          <w:color w:val="auto"/>
          <w:sz w:val="24"/>
          <w:lang w:val="en-US" w:eastAsia="zh-CN"/>
        </w:rPr>
        <w:t>P</w:t>
      </w:r>
      <w:r>
        <w:rPr>
          <w:rStyle w:val="21"/>
          <w:rFonts w:hint="default" w:ascii="Times New Roman" w:hAnsi="Times New Roman" w:cs="Times New Roman"/>
          <w:color w:val="auto"/>
          <w:sz w:val="24"/>
        </w:rPr>
        <w:t>arameters</w:t>
      </w:r>
      <w:r>
        <w:rPr>
          <w:rStyle w:val="21"/>
          <w:rFonts w:hint="default" w:ascii="Times New Roman" w:hAnsi="Times New Roman" w:cs="Times New Roman"/>
          <w:color w:val="auto"/>
          <w:sz w:val="24"/>
          <w:lang w:val="en-US" w:eastAsia="zh-CN"/>
        </w:rPr>
        <w:t xml:space="preserve"> of </w:t>
      </w:r>
      <w:r>
        <w:rPr>
          <w:rStyle w:val="21"/>
          <w:rFonts w:hint="default" w:ascii="Times New Roman" w:hAnsi="Times New Roman" w:cs="Times New Roman"/>
          <w:color w:val="auto"/>
          <w:sz w:val="24"/>
        </w:rPr>
        <w:t xml:space="preserve">Design </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27</w:t>
      </w:r>
    </w:p>
    <w:p w14:paraId="32F43A21">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"_Toc141449364"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6.3 </w:t>
      </w:r>
      <w:r>
        <w:rPr>
          <w:rStyle w:val="21"/>
          <w:rFonts w:hint="default" w:ascii="Times New Roman" w:hAnsi="Times New Roman" w:cs="Times New Roman"/>
          <w:color w:val="auto"/>
          <w:sz w:val="24"/>
        </w:rPr>
        <w:t xml:space="preserve">Load and </w:t>
      </w:r>
      <w:r>
        <w:rPr>
          <w:rStyle w:val="21"/>
          <w:rFonts w:hint="default" w:ascii="Times New Roman" w:hAnsi="Times New Roman" w:cs="Times New Roman"/>
          <w:color w:val="auto"/>
          <w:sz w:val="24"/>
          <w:lang w:val="en-US" w:eastAsia="zh-CN"/>
        </w:rPr>
        <w:t>A</w:t>
      </w:r>
      <w:r>
        <w:rPr>
          <w:rStyle w:val="21"/>
          <w:rFonts w:hint="default" w:ascii="Times New Roman" w:hAnsi="Times New Roman" w:cs="Times New Roman"/>
          <w:color w:val="auto"/>
          <w:sz w:val="24"/>
        </w:rPr>
        <w:t>ction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28</w:t>
      </w:r>
    </w:p>
    <w:p w14:paraId="24819784">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"_Toc141449365"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6.4 </w:t>
      </w:r>
      <w:r>
        <w:rPr>
          <w:rStyle w:val="21"/>
          <w:rFonts w:hint="default" w:ascii="Times New Roman" w:hAnsi="Times New Roman" w:cs="Times New Roman"/>
          <w:color w:val="auto"/>
          <w:sz w:val="24"/>
        </w:rPr>
        <w:t>PV ('omponents Design</w:t>
      </w:r>
      <w:r>
        <w:rPr>
          <w:rStyle w:val="21"/>
          <w:rFonts w:hint="default" w:ascii="Times New Roman" w:hAnsi="Times New Roman" w:cs="Times New Roman"/>
          <w:color w:val="auto"/>
          <w:sz w:val="24"/>
          <w:lang w:val="en-US" w:eastAsia="zh-CN"/>
        </w:rPr>
        <w:t>)</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31</w:t>
      </w:r>
    </w:p>
    <w:p w14:paraId="7B24108C">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"_Toc141449366"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6.5 </w:t>
      </w:r>
      <w:r>
        <w:rPr>
          <w:rStyle w:val="21"/>
          <w:rFonts w:hint="default" w:ascii="Times New Roman" w:hAnsi="Times New Roman" w:cs="Times New Roman"/>
          <w:color w:val="auto"/>
          <w:sz w:val="24"/>
        </w:rPr>
        <w:t>Supporting Structure Design</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31</w:t>
      </w:r>
    </w:p>
    <w:p w14:paraId="6F70EFBE">
      <w:pPr>
        <w:pStyle w:val="8"/>
        <w:tabs>
          <w:tab w:val="right" w:leader="dot" w:pos="8296"/>
        </w:tabs>
        <w:snapToGrid w:val="0"/>
        <w:spacing w:line="300" w:lineRule="auto"/>
        <w:rPr>
          <w:rFonts w:hint="default" w:ascii="Times New Roman" w:hAnsi="Times New Roman" w:cs="Times New Roman"/>
          <w:sz w:val="24"/>
          <w:lang w:val="en-US"/>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"_Toc141449367" </w:instrText>
      </w:r>
      <w:r>
        <w:rPr>
          <w:rFonts w:ascii="Times New Roman" w:hAnsi="Times New Roman" w:cs="Times New Roman"/>
          <w:sz w:val="24"/>
        </w:rPr>
        <w:fldChar w:fldCharType="separate"/>
      </w:r>
      <w:r>
        <w:rPr>
          <w:rStyle w:val="21"/>
          <w:rFonts w:ascii="Times New Roman" w:hAnsi="Times New Roman" w:cs="Times New Roman"/>
          <w:color w:val="auto"/>
          <w:sz w:val="24"/>
        </w:rPr>
        <w:t>6.6 Connection Structure Design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32</w:t>
      </w:r>
    </w:p>
    <w:p w14:paraId="4CD35213">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"_Toc141449368"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7 </w:t>
      </w:r>
      <w:r>
        <w:rPr>
          <w:rStyle w:val="21"/>
          <w:rFonts w:hint="default" w:ascii="Times New Roman" w:hAnsi="Times New Roman" w:cs="Times New Roman"/>
          <w:color w:val="auto"/>
          <w:sz w:val="24"/>
          <w:lang w:val="en-US" w:eastAsia="zh-CN"/>
        </w:rPr>
        <w:t>Design of photovoltaic power systems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33</w:t>
      </w:r>
    </w:p>
    <w:p w14:paraId="7C8BC601">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"_Toc141449369"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7.1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33</w:t>
      </w:r>
    </w:p>
    <w:p w14:paraId="1450E034">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"_Toc141449370"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7.2 </w:t>
      </w:r>
      <w:r>
        <w:rPr>
          <w:rStyle w:val="21"/>
          <w:rFonts w:hint="default" w:ascii="Times New Roman" w:hAnsi="Times New Roman" w:cs="Times New Roman"/>
          <w:color w:val="auto"/>
          <w:sz w:val="24"/>
        </w:rPr>
        <w:t xml:space="preserve">Technical requirements </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34</w:t>
      </w:r>
    </w:p>
    <w:p w14:paraId="7A14A787">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"_Toc141449371"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7.3 </w:t>
      </w:r>
      <w:r>
        <w:rPr>
          <w:rStyle w:val="21"/>
          <w:rFonts w:hint="default" w:ascii="Times New Roman" w:hAnsi="Times New Roman" w:cs="Times New Roman"/>
          <w:color w:val="auto"/>
          <w:sz w:val="24"/>
        </w:rPr>
        <w:t xml:space="preserve">Electrical Design </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34</w:t>
      </w:r>
    </w:p>
    <w:p w14:paraId="24D1B80A">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"_Toc141449372"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7.4 </w:t>
      </w:r>
      <w:r>
        <w:rPr>
          <w:rStyle w:val="21"/>
          <w:rFonts w:hint="default" w:ascii="Times New Roman" w:hAnsi="Times New Roman" w:cs="Times New Roman"/>
          <w:color w:val="auto"/>
          <w:sz w:val="24"/>
        </w:rPr>
        <w:t xml:space="preserve">Estimation of </w:t>
      </w:r>
      <w:r>
        <w:rPr>
          <w:rStyle w:val="21"/>
          <w:rFonts w:hint="default" w:ascii="Times New Roman" w:hAnsi="Times New Roman" w:cs="Times New Roman"/>
          <w:color w:val="auto"/>
          <w:sz w:val="24"/>
          <w:lang w:val="en-US" w:eastAsia="zh-CN"/>
        </w:rPr>
        <w:t>P</w:t>
      </w:r>
      <w:r>
        <w:rPr>
          <w:rStyle w:val="21"/>
          <w:rFonts w:hint="default" w:ascii="Times New Roman" w:hAnsi="Times New Roman" w:cs="Times New Roman"/>
          <w:color w:val="auto"/>
          <w:sz w:val="24"/>
        </w:rPr>
        <w:t xml:space="preserve">ower </w:t>
      </w:r>
      <w:r>
        <w:rPr>
          <w:rStyle w:val="21"/>
          <w:rFonts w:hint="default" w:ascii="Times New Roman" w:hAnsi="Times New Roman" w:cs="Times New Roman"/>
          <w:color w:val="auto"/>
          <w:sz w:val="24"/>
          <w:lang w:val="en-US" w:eastAsia="zh-CN"/>
        </w:rPr>
        <w:t>G</w:t>
      </w:r>
      <w:r>
        <w:rPr>
          <w:rStyle w:val="21"/>
          <w:rFonts w:hint="default" w:ascii="Times New Roman" w:hAnsi="Times New Roman" w:cs="Times New Roman"/>
          <w:color w:val="auto"/>
          <w:sz w:val="24"/>
        </w:rPr>
        <w:t>eneration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36</w:t>
      </w:r>
    </w:p>
    <w:p w14:paraId="262DA9C2">
      <w:pPr>
        <w:pStyle w:val="8"/>
        <w:tabs>
          <w:tab w:val="right" w:leader="dot" w:pos="8296"/>
        </w:tabs>
        <w:snapToGrid w:val="0"/>
        <w:spacing w:line="300" w:lineRule="auto"/>
        <w:rPr>
          <w:rFonts w:hint="default"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"_Toc141449372" </w:instrText>
      </w:r>
      <w:r>
        <w:rPr>
          <w:rFonts w:ascii="Times New Roman" w:hAnsi="Times New Roman" w:cs="Times New Roman"/>
          <w:sz w:val="24"/>
        </w:rPr>
        <w:fldChar w:fldCharType="separate"/>
      </w:r>
      <w:r>
        <w:rPr>
          <w:rStyle w:val="21"/>
          <w:rFonts w:ascii="Times New Roman" w:hAnsi="Times New Roman" w:cs="Times New Roman"/>
          <w:color w:val="auto"/>
          <w:sz w:val="24"/>
        </w:rPr>
        <w:t>7.</w:t>
      </w:r>
      <w:r>
        <w:rPr>
          <w:rStyle w:val="21"/>
          <w:rFonts w:hint="eastAsia" w:cs="Times New Roman"/>
          <w:color w:val="auto"/>
          <w:sz w:val="24"/>
          <w:lang w:val="en-US" w:eastAsia="zh-CN"/>
        </w:rPr>
        <w:t>5</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 xml:space="preserve">Lightning </w:t>
      </w:r>
      <w:r>
        <w:rPr>
          <w:rStyle w:val="21"/>
          <w:rFonts w:hint="default" w:ascii="Times New Roman" w:hAnsi="Times New Roman" w:cs="Times New Roman"/>
          <w:color w:val="auto"/>
          <w:sz w:val="24"/>
          <w:lang w:val="en-US" w:eastAsia="zh-CN"/>
        </w:rPr>
        <w:t>P</w:t>
      </w:r>
      <w:r>
        <w:rPr>
          <w:rStyle w:val="21"/>
          <w:rFonts w:hint="default" w:ascii="Times New Roman" w:hAnsi="Times New Roman" w:cs="Times New Roman"/>
          <w:color w:val="auto"/>
          <w:sz w:val="24"/>
        </w:rPr>
        <w:t xml:space="preserve">rotection and </w:t>
      </w:r>
      <w:r>
        <w:rPr>
          <w:rStyle w:val="21"/>
          <w:rFonts w:hint="default" w:ascii="Times New Roman" w:hAnsi="Times New Roman" w:cs="Times New Roman"/>
          <w:color w:val="auto"/>
          <w:sz w:val="24"/>
          <w:lang w:val="en-US" w:eastAsia="zh-CN"/>
        </w:rPr>
        <w:t>G</w:t>
      </w:r>
      <w:r>
        <w:rPr>
          <w:rStyle w:val="21"/>
          <w:rFonts w:hint="default" w:ascii="Times New Roman" w:hAnsi="Times New Roman" w:cs="Times New Roman"/>
          <w:color w:val="auto"/>
          <w:sz w:val="24"/>
        </w:rPr>
        <w:t>rounding</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37</w:t>
      </w:r>
    </w:p>
    <w:p w14:paraId="3A55FFE1">
      <w:pPr>
        <w:pStyle w:val="14"/>
        <w:tabs>
          <w:tab w:val="right" w:leader="dot" w:pos="8296"/>
        </w:tabs>
        <w:snapToGrid w:val="0"/>
        <w:spacing w:line="300" w:lineRule="auto"/>
        <w:rPr>
          <w:rFonts w:hint="default"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"_Toc141449373"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8 </w:t>
      </w:r>
      <w:r>
        <w:rPr>
          <w:rStyle w:val="21"/>
          <w:rFonts w:hint="default" w:ascii="Times New Roman" w:hAnsi="Times New Roman" w:cs="Times New Roman"/>
          <w:color w:val="auto"/>
          <w:sz w:val="24"/>
        </w:rPr>
        <w:t xml:space="preserve">Connectionof photovoltaic power </w:t>
      </w:r>
      <w:r>
        <w:rPr>
          <w:rStyle w:val="21"/>
          <w:rFonts w:hint="default" w:ascii="Times New Roman" w:hAnsi="Times New Roman" w:cs="Times New Roman"/>
          <w:color w:val="auto"/>
          <w:sz w:val="24"/>
          <w:lang w:val="en-US" w:eastAsia="zh-CN"/>
        </w:rPr>
        <w:t>systems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38</w:t>
      </w:r>
    </w:p>
    <w:p w14:paraId="39FB2534">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"_Toc141449374"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8.1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38</w:t>
      </w:r>
    </w:p>
    <w:p w14:paraId="66FAD157">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"_Toc141449378" </w:instrText>
      </w:r>
      <w:r>
        <w:rPr>
          <w:rFonts w:ascii="Times New Roman" w:hAnsi="Times New Roman" w:cs="Times New Roman"/>
          <w:sz w:val="24"/>
        </w:rPr>
        <w:fldChar w:fldCharType="separate"/>
      </w:r>
      <w:r>
        <w:rPr>
          <w:rStyle w:val="21"/>
          <w:rFonts w:ascii="Times New Roman" w:hAnsi="Times New Roman" w:cs="Times New Roman"/>
          <w:color w:val="auto"/>
          <w:sz w:val="24"/>
        </w:rPr>
        <w:t>8.</w:t>
      </w:r>
      <w:r>
        <w:rPr>
          <w:rStyle w:val="21"/>
          <w:rFonts w:hint="eastAsia" w:cs="Times New Roman"/>
          <w:color w:val="auto"/>
          <w:sz w:val="24"/>
          <w:lang w:val="en-US" w:eastAsia="zh-CN"/>
        </w:rPr>
        <w:t>2</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System operations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39</w:t>
      </w:r>
    </w:p>
    <w:p w14:paraId="03D95E99">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"_Toc141449374" </w:instrText>
      </w:r>
      <w:r>
        <w:rPr>
          <w:rFonts w:ascii="Times New Roman" w:hAnsi="Times New Roman" w:cs="Times New Roman"/>
          <w:sz w:val="24"/>
        </w:rPr>
        <w:fldChar w:fldCharType="separate"/>
      </w:r>
      <w:r>
        <w:rPr>
          <w:rStyle w:val="21"/>
          <w:rFonts w:ascii="Times New Roman" w:hAnsi="Times New Roman" w:cs="Times New Roman"/>
          <w:color w:val="auto"/>
          <w:sz w:val="24"/>
        </w:rPr>
        <w:t>8.</w:t>
      </w:r>
      <w:r>
        <w:rPr>
          <w:rStyle w:val="21"/>
          <w:rFonts w:hint="eastAsia" w:ascii="Times New Roman" w:hAnsi="Times New Roman" w:cs="Times New Roman"/>
          <w:color w:val="auto"/>
          <w:sz w:val="24"/>
          <w:lang w:val="en-US" w:eastAsia="zh-CN"/>
        </w:rPr>
        <w:t>3</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Intelligent operation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39</w:t>
      </w:r>
    </w:p>
    <w:p w14:paraId="560A30C1">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"_Toc141449378" </w:instrText>
      </w:r>
      <w:r>
        <w:rPr>
          <w:rFonts w:ascii="Times New Roman" w:hAnsi="Times New Roman" w:cs="Times New Roman"/>
          <w:sz w:val="24"/>
        </w:rPr>
        <w:fldChar w:fldCharType="separate"/>
      </w:r>
      <w:r>
        <w:rPr>
          <w:rStyle w:val="21"/>
          <w:rFonts w:ascii="Times New Roman" w:hAnsi="Times New Roman" w:cs="Times New Roman"/>
          <w:color w:val="auto"/>
          <w:sz w:val="24"/>
        </w:rPr>
        <w:t>8.</w:t>
      </w:r>
      <w:r>
        <w:rPr>
          <w:rStyle w:val="21"/>
          <w:rFonts w:hint="eastAsia" w:cs="Times New Roman"/>
          <w:color w:val="auto"/>
          <w:sz w:val="24"/>
          <w:lang w:val="en-US" w:eastAsia="zh-CN"/>
        </w:rPr>
        <w:t>4</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Safety and Protection</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4</w:t>
      </w:r>
      <w:r>
        <w:rPr>
          <w:rFonts w:hint="eastAsia" w:cs="Times New Roman"/>
          <w:sz w:val="24"/>
          <w:lang w:val="en-US" w:eastAsia="zh-CN"/>
        </w:rPr>
        <w:t>0</w:t>
      </w:r>
    </w:p>
    <w:p w14:paraId="0BCD41A3">
      <w:pPr>
        <w:pStyle w:val="14"/>
        <w:tabs>
          <w:tab w:val="right" w:leader="dot" w:pos="8296"/>
        </w:tabs>
        <w:snapToGrid w:val="0"/>
        <w:spacing w:line="300" w:lineRule="auto"/>
        <w:rPr>
          <w:rFonts w:hint="default" w:ascii="Times New Roman" w:hAnsi="Times New Roman" w:cs="Times New Roman"/>
          <w:sz w:val="24"/>
          <w:lang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"_Toc141449379"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9 </w:t>
      </w:r>
      <w:r>
        <w:rPr>
          <w:rStyle w:val="21"/>
          <w:rFonts w:hint="default" w:ascii="Times New Roman" w:hAnsi="Times New Roman" w:cs="Times New Roman"/>
          <w:color w:val="auto"/>
          <w:sz w:val="24"/>
          <w:lang w:val="en-US" w:eastAsia="zh-CN"/>
        </w:rPr>
        <w:t>W</w:t>
      </w:r>
      <w:r>
        <w:rPr>
          <w:rStyle w:val="21"/>
          <w:rFonts w:hint="default" w:ascii="Times New Roman" w:hAnsi="Times New Roman" w:cs="Times New Roman"/>
          <w:color w:val="auto"/>
          <w:sz w:val="24"/>
        </w:rPr>
        <w:t xml:space="preserve">ater </w:t>
      </w:r>
      <w:r>
        <w:rPr>
          <w:rStyle w:val="21"/>
          <w:rFonts w:hint="default" w:ascii="Times New Roman" w:hAnsi="Times New Roman" w:cs="Times New Roman"/>
          <w:color w:val="auto"/>
          <w:sz w:val="24"/>
          <w:lang w:val="en-US" w:eastAsia="zh-CN"/>
        </w:rPr>
        <w:t>S</w:t>
      </w:r>
      <w:r>
        <w:rPr>
          <w:rStyle w:val="21"/>
          <w:rFonts w:hint="default" w:ascii="Times New Roman" w:hAnsi="Times New Roman" w:cs="Times New Roman"/>
          <w:color w:val="auto"/>
          <w:sz w:val="24"/>
        </w:rPr>
        <w:t xml:space="preserve">upply and </w:t>
      </w:r>
      <w:r>
        <w:rPr>
          <w:rStyle w:val="21"/>
          <w:rFonts w:hint="default" w:ascii="Times New Roman" w:hAnsi="Times New Roman" w:cs="Times New Roman"/>
          <w:color w:val="auto"/>
          <w:sz w:val="24"/>
          <w:lang w:val="en-US" w:eastAsia="zh-CN"/>
        </w:rPr>
        <w:t>D</w:t>
      </w:r>
      <w:r>
        <w:rPr>
          <w:rStyle w:val="21"/>
          <w:rFonts w:hint="default" w:ascii="Times New Roman" w:hAnsi="Times New Roman" w:cs="Times New Roman"/>
          <w:color w:val="auto"/>
          <w:sz w:val="24"/>
        </w:rPr>
        <w:t xml:space="preserve">rainage </w:t>
      </w:r>
      <w:r>
        <w:rPr>
          <w:rStyle w:val="21"/>
          <w:rFonts w:hint="default" w:ascii="Times New Roman" w:hAnsi="Times New Roman" w:cs="Times New Roman"/>
          <w:color w:val="auto"/>
          <w:sz w:val="24"/>
          <w:lang w:val="en-US" w:eastAsia="zh-CN"/>
        </w:rPr>
        <w:t>D</w:t>
      </w:r>
      <w:r>
        <w:rPr>
          <w:rStyle w:val="21"/>
          <w:rFonts w:hint="default" w:ascii="Times New Roman" w:hAnsi="Times New Roman" w:cs="Times New Roman"/>
          <w:color w:val="auto"/>
          <w:sz w:val="24"/>
        </w:rPr>
        <w:t>esign</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eastAsia="zh-CN"/>
        </w:rPr>
        <w:t>4</w:t>
      </w:r>
      <w:r>
        <w:rPr>
          <w:rFonts w:hint="eastAsia" w:cs="Times New Roman"/>
          <w:sz w:val="24"/>
          <w:lang w:val="en-US" w:eastAsia="zh-CN"/>
        </w:rPr>
        <w:t>2</w:t>
      </w:r>
    </w:p>
    <w:p w14:paraId="16A105BC">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"_Toc141449380"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9.1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eastAsia="zh-CN"/>
        </w:rPr>
        <w:t>4</w:t>
      </w:r>
      <w:r>
        <w:rPr>
          <w:rFonts w:hint="eastAsia" w:cs="Times New Roman"/>
          <w:sz w:val="24"/>
          <w:lang w:val="en-US" w:eastAsia="zh-CN"/>
        </w:rPr>
        <w:t>2</w:t>
      </w:r>
    </w:p>
    <w:p w14:paraId="38C5653D">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"_Toc141449381"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9.2 </w:t>
      </w:r>
      <w:r>
        <w:rPr>
          <w:rStyle w:val="21"/>
          <w:rFonts w:hint="default" w:ascii="Times New Roman" w:hAnsi="Times New Roman" w:cs="Times New Roman"/>
          <w:color w:val="auto"/>
          <w:sz w:val="24"/>
        </w:rPr>
        <w:t xml:space="preserve">Roof </w:t>
      </w:r>
      <w:r>
        <w:rPr>
          <w:rStyle w:val="21"/>
          <w:rFonts w:hint="default" w:ascii="Times New Roman" w:hAnsi="Times New Roman" w:cs="Times New Roman"/>
          <w:color w:val="auto"/>
          <w:sz w:val="24"/>
          <w:lang w:val="en-US" w:eastAsia="zh-CN"/>
        </w:rPr>
        <w:t>D</w:t>
      </w:r>
      <w:r>
        <w:rPr>
          <w:rStyle w:val="21"/>
          <w:rFonts w:hint="default" w:ascii="Times New Roman" w:hAnsi="Times New Roman" w:cs="Times New Roman"/>
          <w:color w:val="auto"/>
          <w:sz w:val="24"/>
        </w:rPr>
        <w:t>rainage</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eastAsia="zh-CN"/>
        </w:rPr>
        <w:t>4</w:t>
      </w:r>
      <w:r>
        <w:rPr>
          <w:rFonts w:hint="eastAsia" w:cs="Times New Roman"/>
          <w:sz w:val="24"/>
          <w:lang w:val="en-US" w:eastAsia="zh-CN"/>
        </w:rPr>
        <w:t>2</w:t>
      </w:r>
    </w:p>
    <w:p w14:paraId="0601B336">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"_Toc141449382" </w:instrText>
      </w:r>
      <w:r>
        <w:rPr>
          <w:rFonts w:ascii="Times New Roman" w:hAnsi="Times New Roman" w:cs="Times New Roman"/>
          <w:sz w:val="24"/>
        </w:rPr>
        <w:fldChar w:fldCharType="separate"/>
      </w:r>
      <w:r>
        <w:rPr>
          <w:rStyle w:val="21"/>
          <w:rFonts w:ascii="Times New Roman" w:hAnsi="Times New Roman" w:cs="Times New Roman"/>
          <w:color w:val="auto"/>
          <w:sz w:val="24"/>
        </w:rPr>
        <w:t xml:space="preserve">9.3 </w:t>
      </w:r>
      <w:r>
        <w:rPr>
          <w:rStyle w:val="21"/>
          <w:rFonts w:hint="default" w:ascii="Times New Roman" w:hAnsi="Times New Roman" w:cs="Times New Roman"/>
          <w:color w:val="auto"/>
          <w:sz w:val="24"/>
        </w:rPr>
        <w:t xml:space="preserve">Photovoltaic </w:t>
      </w:r>
      <w:r>
        <w:rPr>
          <w:rStyle w:val="21"/>
          <w:rFonts w:hint="default" w:ascii="Times New Roman" w:hAnsi="Times New Roman" w:cs="Times New Roman"/>
          <w:color w:val="auto"/>
          <w:sz w:val="24"/>
          <w:lang w:val="en-US" w:eastAsia="zh-CN"/>
        </w:rPr>
        <w:t>W</w:t>
      </w:r>
      <w:r>
        <w:rPr>
          <w:rStyle w:val="21"/>
          <w:rFonts w:hint="default" w:ascii="Times New Roman" w:hAnsi="Times New Roman" w:cs="Times New Roman"/>
          <w:color w:val="auto"/>
          <w:sz w:val="24"/>
        </w:rPr>
        <w:t xml:space="preserve">ater </w:t>
      </w:r>
      <w:r>
        <w:rPr>
          <w:rStyle w:val="21"/>
          <w:rFonts w:hint="default" w:ascii="Times New Roman" w:hAnsi="Times New Roman" w:cs="Times New Roman"/>
          <w:color w:val="auto"/>
          <w:sz w:val="24"/>
          <w:lang w:val="en-US" w:eastAsia="zh-CN"/>
        </w:rPr>
        <w:t>T</w:t>
      </w:r>
      <w:r>
        <w:rPr>
          <w:rStyle w:val="21"/>
          <w:rFonts w:hint="default" w:ascii="Times New Roman" w:hAnsi="Times New Roman" w:cs="Times New Roman"/>
          <w:color w:val="auto"/>
          <w:sz w:val="24"/>
        </w:rPr>
        <w:t>ightness</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eastAsia="zh-CN"/>
        </w:rPr>
        <w:t>4</w:t>
      </w:r>
      <w:r>
        <w:rPr>
          <w:rFonts w:hint="eastAsia" w:cs="Times New Roman"/>
          <w:sz w:val="24"/>
          <w:lang w:val="en-US" w:eastAsia="zh-CN"/>
        </w:rPr>
        <w:t>3</w:t>
      </w:r>
    </w:p>
    <w:p w14:paraId="545472C5">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"_Toc141449384"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0</w:t>
      </w:r>
      <w:r>
        <w:rPr>
          <w:rStyle w:val="21"/>
          <w:rFonts w:ascii="Times New Roman" w:hAnsi="Times New Roman" w:cs="Times New Roman"/>
          <w:color w:val="auto"/>
          <w:sz w:val="24"/>
        </w:rPr>
        <w:t xml:space="preserve"> Construction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44</w:t>
      </w:r>
    </w:p>
    <w:p w14:paraId="079482C8">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"_Toc141449385"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eastAsia" w:cs="Times New Roman"/>
          <w:color w:val="auto"/>
          <w:sz w:val="24"/>
          <w:lang w:val="en-US" w:eastAsia="zh-CN"/>
        </w:rPr>
        <w:t>0</w:t>
      </w:r>
      <w:r>
        <w:rPr>
          <w:rStyle w:val="21"/>
          <w:rFonts w:ascii="Times New Roman" w:hAnsi="Times New Roman" w:cs="Times New Roman"/>
          <w:color w:val="auto"/>
          <w:sz w:val="24"/>
        </w:rPr>
        <w:t xml:space="preserve">.1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44</w:t>
      </w:r>
    </w:p>
    <w:p w14:paraId="46CEC1AF">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"_Toc141449386"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eastAsia" w:cs="Times New Roman"/>
          <w:color w:val="auto"/>
          <w:sz w:val="24"/>
          <w:lang w:val="en-US" w:eastAsia="zh-CN"/>
        </w:rPr>
        <w:t>0</w:t>
      </w:r>
      <w:r>
        <w:rPr>
          <w:rStyle w:val="21"/>
          <w:rFonts w:ascii="Times New Roman" w:hAnsi="Times New Roman" w:cs="Times New Roman"/>
          <w:color w:val="auto"/>
          <w:sz w:val="24"/>
        </w:rPr>
        <w:t xml:space="preserve">.2 Civil </w:t>
      </w:r>
      <w:r>
        <w:rPr>
          <w:rStyle w:val="21"/>
          <w:rFonts w:hint="default" w:ascii="Times New Roman" w:hAnsi="Times New Roman" w:cs="Times New Roman"/>
          <w:color w:val="auto"/>
          <w:sz w:val="24"/>
        </w:rPr>
        <w:t>Works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46</w:t>
      </w:r>
    </w:p>
    <w:p w14:paraId="1AB12E4C">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"_Toc141449386"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eastAsia" w:cs="Times New Roman"/>
          <w:color w:val="auto"/>
          <w:sz w:val="24"/>
          <w:lang w:val="en-US" w:eastAsia="zh-CN"/>
        </w:rPr>
        <w:t>0</w:t>
      </w:r>
      <w:r>
        <w:rPr>
          <w:rStyle w:val="21"/>
          <w:rFonts w:ascii="Times New Roman" w:hAnsi="Times New Roman" w:cs="Times New Roman"/>
          <w:color w:val="auto"/>
          <w:sz w:val="24"/>
        </w:rPr>
        <w:t>.</w:t>
      </w:r>
      <w:r>
        <w:rPr>
          <w:rStyle w:val="21"/>
          <w:rFonts w:hint="eastAsia" w:cs="Times New Roman"/>
          <w:color w:val="auto"/>
          <w:sz w:val="24"/>
          <w:lang w:val="en-US" w:eastAsia="zh-CN"/>
        </w:rPr>
        <w:t>3</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lang w:val="en-US" w:eastAsia="zh-CN"/>
        </w:rPr>
        <w:t>Photovoltaic Module Installation</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49</w:t>
      </w:r>
    </w:p>
    <w:p w14:paraId="5DFD0E7E">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"_Toc141449387"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eastAsia" w:cs="Times New Roman"/>
          <w:color w:val="auto"/>
          <w:sz w:val="24"/>
          <w:lang w:val="en-US" w:eastAsia="zh-CN"/>
        </w:rPr>
        <w:t>0</w:t>
      </w:r>
      <w:r>
        <w:rPr>
          <w:rStyle w:val="21"/>
          <w:rFonts w:ascii="Times New Roman" w:hAnsi="Times New Roman" w:cs="Times New Roman"/>
          <w:color w:val="auto"/>
          <w:sz w:val="24"/>
        </w:rPr>
        <w:t>.</w:t>
      </w:r>
      <w:r>
        <w:rPr>
          <w:rStyle w:val="21"/>
          <w:rFonts w:hint="eastAsia" w:cs="Times New Roman"/>
          <w:color w:val="auto"/>
          <w:sz w:val="24"/>
          <w:lang w:val="en-US" w:eastAsia="zh-CN"/>
        </w:rPr>
        <w:t>4</w:t>
      </w:r>
      <w:r>
        <w:rPr>
          <w:rStyle w:val="21"/>
          <w:rFonts w:ascii="Times New Roman" w:hAnsi="Times New Roman" w:cs="Times New Roman"/>
          <w:color w:val="auto"/>
          <w:sz w:val="24"/>
        </w:rPr>
        <w:t xml:space="preserve"> Electrical Installation</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5</w:t>
      </w:r>
      <w:r>
        <w:rPr>
          <w:rFonts w:hint="eastAsia" w:cs="Times New Roman"/>
          <w:sz w:val="24"/>
          <w:lang w:val="en-US" w:eastAsia="zh-CN"/>
        </w:rPr>
        <w:t>0</w:t>
      </w:r>
    </w:p>
    <w:p w14:paraId="431BC8A8">
      <w:pPr>
        <w:pStyle w:val="8"/>
        <w:tabs>
          <w:tab w:val="right" w:leader="dot" w:pos="8296"/>
        </w:tabs>
        <w:snapToGrid w:val="0"/>
        <w:spacing w:line="300" w:lineRule="auto"/>
        <w:rPr>
          <w:rFonts w:hint="default"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"_Toc141449388"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eastAsia" w:cs="Times New Roman"/>
          <w:color w:val="auto"/>
          <w:sz w:val="24"/>
          <w:lang w:val="en-US" w:eastAsia="zh-CN"/>
        </w:rPr>
        <w:t>0</w:t>
      </w:r>
      <w:r>
        <w:rPr>
          <w:rStyle w:val="21"/>
          <w:rFonts w:ascii="Times New Roman" w:hAnsi="Times New Roman" w:cs="Times New Roman"/>
          <w:color w:val="auto"/>
          <w:sz w:val="24"/>
        </w:rPr>
        <w:t>.</w:t>
      </w:r>
      <w:r>
        <w:rPr>
          <w:rStyle w:val="21"/>
          <w:rFonts w:hint="eastAsia" w:cs="Times New Roman"/>
          <w:color w:val="auto"/>
          <w:sz w:val="24"/>
          <w:lang w:val="en-US" w:eastAsia="zh-CN"/>
        </w:rPr>
        <w:t>5</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System commissioning</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5</w:t>
      </w:r>
      <w:r>
        <w:rPr>
          <w:rFonts w:hint="eastAsia" w:cs="Times New Roman"/>
          <w:sz w:val="24"/>
          <w:lang w:val="en-US" w:eastAsia="zh-CN"/>
        </w:rPr>
        <w:t>2</w:t>
      </w:r>
    </w:p>
    <w:p w14:paraId="7EBE5C5E">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"_Toc141449389"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1</w:t>
      </w:r>
      <w:r>
        <w:rPr>
          <w:rStyle w:val="21"/>
          <w:rFonts w:ascii="Times New Roman" w:hAnsi="Times New Roman" w:cs="Times New Roman"/>
          <w:color w:val="auto"/>
          <w:sz w:val="24"/>
        </w:rPr>
        <w:t xml:space="preserve"> Environmental Protection and Safety Protection</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56</w:t>
      </w:r>
    </w:p>
    <w:p w14:paraId="15933FFC">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"_Toc141449390"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eastAsia" w:cs="Times New Roman"/>
          <w:color w:val="auto"/>
          <w:sz w:val="24"/>
          <w:lang w:val="en-US" w:eastAsia="zh-CN"/>
        </w:rPr>
        <w:t>1</w:t>
      </w:r>
      <w:r>
        <w:rPr>
          <w:rStyle w:val="21"/>
          <w:rFonts w:ascii="Times New Roman" w:hAnsi="Times New Roman" w:cs="Times New Roman"/>
          <w:color w:val="auto"/>
          <w:sz w:val="24"/>
        </w:rPr>
        <w:t xml:space="preserve">.1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56</w:t>
      </w:r>
    </w:p>
    <w:p w14:paraId="3E934CE2">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"_Toc141449391"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eastAsia" w:cs="Times New Roman"/>
          <w:color w:val="auto"/>
          <w:sz w:val="24"/>
          <w:lang w:val="en-US" w:eastAsia="zh-CN"/>
        </w:rPr>
        <w:t>1</w:t>
      </w:r>
      <w:r>
        <w:rPr>
          <w:rStyle w:val="21"/>
          <w:rFonts w:ascii="Times New Roman" w:hAnsi="Times New Roman" w:cs="Times New Roman"/>
          <w:color w:val="auto"/>
          <w:sz w:val="24"/>
        </w:rPr>
        <w:t>.2 Environmental Protection</w:t>
      </w:r>
      <w:r>
        <w:rPr>
          <w:rStyle w:val="21"/>
          <w:rFonts w:hint="default" w:ascii="Times New Roman" w:hAnsi="Times New Roman" w:cs="Times New Roman"/>
          <w:color w:val="auto"/>
          <w:sz w:val="24"/>
          <w:lang w:val="en-US" w:eastAsia="zh-CN"/>
        </w:rPr>
        <w:t xml:space="preserve"> </w:t>
      </w:r>
      <w:r>
        <w:rPr>
          <w:rStyle w:val="21"/>
          <w:rFonts w:hint="default" w:ascii="Times New Roman" w:hAnsi="Times New Roman" w:cs="Times New Roman"/>
          <w:color w:val="auto"/>
          <w:sz w:val="24"/>
        </w:rPr>
        <w:t xml:space="preserve">and </w:t>
      </w:r>
      <w:r>
        <w:rPr>
          <w:rStyle w:val="21"/>
          <w:rFonts w:hint="default" w:ascii="Times New Roman" w:hAnsi="Times New Roman" w:cs="Times New Roman"/>
          <w:color w:val="auto"/>
          <w:sz w:val="24"/>
          <w:lang w:val="en-US" w:eastAsia="zh-CN"/>
        </w:rPr>
        <w:t>S</w:t>
      </w:r>
      <w:r>
        <w:rPr>
          <w:rStyle w:val="21"/>
          <w:rFonts w:hint="default" w:ascii="Times New Roman" w:hAnsi="Times New Roman" w:cs="Times New Roman"/>
          <w:color w:val="auto"/>
          <w:sz w:val="24"/>
        </w:rPr>
        <w:t>afety</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56</w:t>
      </w:r>
    </w:p>
    <w:p w14:paraId="33E249DE">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"_Toc141449393"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 xml:space="preserve">2 </w:t>
      </w:r>
      <w:r>
        <w:rPr>
          <w:rStyle w:val="21"/>
          <w:rFonts w:ascii="Times New Roman" w:hAnsi="Times New Roman" w:cs="Times New Roman"/>
          <w:color w:val="auto"/>
          <w:sz w:val="24"/>
        </w:rPr>
        <w:t>Fire Protection</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57</w:t>
      </w:r>
    </w:p>
    <w:p w14:paraId="4809FB02">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"_Toc141449394"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2</w:t>
      </w:r>
      <w:r>
        <w:rPr>
          <w:rStyle w:val="21"/>
          <w:rFonts w:ascii="Times New Roman" w:hAnsi="Times New Roman" w:cs="Times New Roman"/>
          <w:color w:val="auto"/>
          <w:sz w:val="24"/>
        </w:rPr>
        <w:t xml:space="preserve">.1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57</w:t>
      </w:r>
    </w:p>
    <w:p w14:paraId="4C327C55">
      <w:pPr>
        <w:pStyle w:val="8"/>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"_Toc141449395"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2</w:t>
      </w:r>
      <w:r>
        <w:rPr>
          <w:rStyle w:val="21"/>
          <w:rFonts w:ascii="Times New Roman" w:hAnsi="Times New Roman" w:cs="Times New Roman"/>
          <w:color w:val="auto"/>
          <w:sz w:val="24"/>
        </w:rPr>
        <w:t>.2 Fire Prevention</w:t>
      </w:r>
      <w:r>
        <w:rPr>
          <w:rStyle w:val="21"/>
          <w:rFonts w:hint="default" w:ascii="Times New Roman" w:hAnsi="Times New Roman" w:cs="Times New Roman"/>
          <w:color w:val="auto"/>
          <w:sz w:val="24"/>
          <w:lang w:val="en-US" w:eastAsia="zh-CN"/>
        </w:rPr>
        <w:t xml:space="preserve"> </w:t>
      </w:r>
      <w:r>
        <w:rPr>
          <w:rFonts w:ascii="Times New Roman" w:hAnsi="Times New Roman" w:eastAsia="TimesNewRomanPSMT" w:cs="Times New Roman"/>
          <w:b w:val="0"/>
          <w:bCs w:val="0"/>
          <w:i w:val="0"/>
          <w:iCs w:val="0"/>
          <w:color w:val="000000"/>
          <w:sz w:val="24"/>
          <w:szCs w:val="24"/>
        </w:rPr>
        <w:t>and Evacuation</w:t>
      </w:r>
      <w:r>
        <w:rPr>
          <w:rFonts w:ascii="Times New Roman" w:hAnsi="Times New Roman" w:eastAsia="宋体" w:cs="Times New Roman"/>
          <w:sz w:val="24"/>
          <w:szCs w:val="24"/>
        </w:rPr>
        <w:t xml:space="preserve"> </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57</w:t>
      </w:r>
    </w:p>
    <w:p w14:paraId="0A0ABFBB">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"_Toc141449396"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2</w:t>
      </w:r>
      <w:r>
        <w:rPr>
          <w:rStyle w:val="21"/>
          <w:rFonts w:ascii="Times New Roman" w:hAnsi="Times New Roman" w:cs="Times New Roman"/>
          <w:color w:val="auto"/>
          <w:sz w:val="24"/>
        </w:rPr>
        <w:t xml:space="preserve">.3 </w:t>
      </w:r>
      <w:r>
        <w:rPr>
          <w:rStyle w:val="21"/>
          <w:rFonts w:ascii="Times New Roman" w:hAnsi="Times New Roman" w:eastAsia="TimesNewRomanPSMT" w:cs="Times New Roman"/>
          <w:b w:val="0"/>
          <w:bCs w:val="0"/>
          <w:i w:val="0"/>
          <w:iCs w:val="0"/>
          <w:color w:val="auto"/>
          <w:sz w:val="24"/>
          <w:szCs w:val="24"/>
        </w:rPr>
        <w:t>Fire Control Facility</w:t>
      </w:r>
      <w:r>
        <w:rPr>
          <w:rStyle w:val="21"/>
          <w:rFonts w:ascii="Times New Roman" w:hAnsi="Times New Roman" w:eastAsia="宋体" w:cs="Times New Roman"/>
          <w:color w:val="auto"/>
          <w:sz w:val="24"/>
          <w:szCs w:val="24"/>
        </w:rPr>
        <w:t xml:space="preserve"> </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58</w:t>
      </w:r>
    </w:p>
    <w:p w14:paraId="5881157F">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"_Toc141449397"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3</w:t>
      </w:r>
      <w:r>
        <w:rPr>
          <w:rStyle w:val="21"/>
          <w:rFonts w:ascii="Times New Roman" w:hAnsi="Times New Roman" w:cs="Times New Roman"/>
          <w:color w:val="auto"/>
          <w:sz w:val="24"/>
        </w:rPr>
        <w:t xml:space="preserve"> Acceptance</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59</w:t>
      </w:r>
    </w:p>
    <w:p w14:paraId="4B51F336">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"_Toc141449399"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3</w:t>
      </w:r>
      <w:r>
        <w:rPr>
          <w:rStyle w:val="21"/>
          <w:rFonts w:ascii="Times New Roman" w:hAnsi="Times New Roman" w:cs="Times New Roman"/>
          <w:color w:val="auto"/>
          <w:sz w:val="24"/>
        </w:rPr>
        <w:t xml:space="preserve">.1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59</w:t>
      </w:r>
    </w:p>
    <w:p w14:paraId="18055C2E">
      <w:pPr>
        <w:pStyle w:val="14"/>
        <w:tabs>
          <w:tab w:val="right" w:leader="dot" w:pos="8296"/>
        </w:tabs>
        <w:snapToGrid w:val="0"/>
        <w:spacing w:line="300" w:lineRule="auto"/>
        <w:ind w:firstLine="480" w:firstLineChars="200"/>
        <w:rPr>
          <w:rFonts w:hint="default" w:ascii="Times New Roman" w:hAnsi="Times New Roman" w:eastAsia="宋体"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"_Toc141449400"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3</w:t>
      </w:r>
      <w:r>
        <w:rPr>
          <w:rStyle w:val="21"/>
          <w:rFonts w:ascii="Times New Roman" w:hAnsi="Times New Roman" w:cs="Times New Roman"/>
          <w:color w:val="auto"/>
          <w:sz w:val="24"/>
        </w:rPr>
        <w:t xml:space="preserve">.2 </w:t>
      </w:r>
      <w:r>
        <w:rPr>
          <w:rStyle w:val="21"/>
          <w:rFonts w:hint="default" w:ascii="Times New Roman" w:hAnsi="Times New Roman" w:cs="Times New Roman"/>
          <w:color w:val="auto"/>
          <w:sz w:val="24"/>
        </w:rPr>
        <w:t>Acceptance requirements</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59</w:t>
      </w:r>
    </w:p>
    <w:p w14:paraId="392BA1D0">
      <w:pPr>
        <w:pStyle w:val="14"/>
        <w:tabs>
          <w:tab w:val="right" w:leader="dot" w:pos="8296"/>
        </w:tabs>
        <w:snapToGrid w:val="0"/>
        <w:spacing w:line="300" w:lineRule="auto"/>
        <w:ind w:left="0" w:leftChars="0" w:firstLine="480" w:firstLineChars="200"/>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"_Toc141449398"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4</w:t>
      </w:r>
      <w:r>
        <w:rPr>
          <w:rStyle w:val="21"/>
          <w:rFonts w:ascii="Times New Roman" w:hAnsi="Times New Roman" w:cs="Times New Roman"/>
          <w:color w:val="auto"/>
          <w:sz w:val="24"/>
        </w:rPr>
        <w:t xml:space="preserve"> Operation and Maintenance</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62</w:t>
      </w:r>
    </w:p>
    <w:p w14:paraId="56EBC203">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"_Toc141449399"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4</w:t>
      </w:r>
      <w:r>
        <w:rPr>
          <w:rStyle w:val="21"/>
          <w:rFonts w:ascii="Times New Roman" w:hAnsi="Times New Roman" w:cs="Times New Roman"/>
          <w:color w:val="auto"/>
          <w:sz w:val="24"/>
        </w:rPr>
        <w:t xml:space="preserve">.1 </w:t>
      </w:r>
      <w:r>
        <w:rPr>
          <w:rStyle w:val="21"/>
          <w:rFonts w:hint="default" w:ascii="Times New Roman" w:hAnsi="Times New Roman" w:cs="Times New Roman"/>
          <w:color w:val="auto"/>
          <w:sz w:val="24"/>
        </w:rPr>
        <w:t>General Requirements</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62</w:t>
      </w:r>
    </w:p>
    <w:p w14:paraId="4FDD4EAE">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"_Toc141449400"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4</w:t>
      </w:r>
      <w:r>
        <w:rPr>
          <w:rStyle w:val="21"/>
          <w:rFonts w:ascii="Times New Roman" w:hAnsi="Times New Roman" w:cs="Times New Roman"/>
          <w:color w:val="auto"/>
          <w:sz w:val="24"/>
        </w:rPr>
        <w:t xml:space="preserve">.2 </w:t>
      </w:r>
      <w:r>
        <w:rPr>
          <w:rStyle w:val="21"/>
          <w:rFonts w:hint="default" w:ascii="Times New Roman" w:hAnsi="Times New Roman" w:cs="Times New Roman"/>
          <w:color w:val="auto"/>
          <w:sz w:val="24"/>
        </w:rPr>
        <w:t>Building operation management and maintenance</w:t>
      </w:r>
      <w:r>
        <w:rPr>
          <w:rFonts w:ascii="Times New Roman" w:hAnsi="Times New Roman" w:cs="Times New Roman"/>
          <w:sz w:val="24"/>
        </w:rPr>
        <w:tab/>
      </w:r>
      <w:r>
        <w:rPr>
          <w:rFonts w:hint="default" w:ascii="Times New Roman" w:hAnsi="Times New Roman" w:cs="Times New Roman"/>
          <w:sz w:val="24"/>
        </w:rPr>
        <w:fldChar w:fldCharType="end"/>
      </w:r>
      <w:r>
        <w:rPr>
          <w:rFonts w:hint="eastAsia" w:cs="Times New Roman"/>
          <w:sz w:val="24"/>
          <w:lang w:val="en-US" w:eastAsia="zh-CN"/>
        </w:rPr>
        <w:t>63</w:t>
      </w:r>
    </w:p>
    <w:p w14:paraId="2F7D105C">
      <w:pPr>
        <w:pStyle w:val="8"/>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"_Toc141449399" </w:instrText>
      </w:r>
      <w:r>
        <w:rPr>
          <w:rFonts w:ascii="Times New Roman" w:hAnsi="Times New Roman" w:cs="Times New Roman"/>
          <w:sz w:val="24"/>
        </w:rPr>
        <w:fldChar w:fldCharType="separate"/>
      </w:r>
      <w:r>
        <w:rPr>
          <w:rStyle w:val="21"/>
          <w:rFonts w:ascii="Times New Roman" w:hAnsi="Times New Roman" w:cs="Times New Roman"/>
          <w:color w:val="auto"/>
          <w:sz w:val="24"/>
        </w:rPr>
        <w:t>1</w:t>
      </w:r>
      <w:r>
        <w:rPr>
          <w:rStyle w:val="21"/>
          <w:rFonts w:hint="default" w:ascii="Times New Roman" w:hAnsi="Times New Roman" w:cs="Times New Roman"/>
          <w:color w:val="auto"/>
          <w:sz w:val="24"/>
          <w:lang w:val="en-US" w:eastAsia="zh-CN"/>
        </w:rPr>
        <w:t>4</w:t>
      </w:r>
      <w:r>
        <w:rPr>
          <w:rStyle w:val="21"/>
          <w:rFonts w:ascii="Times New Roman" w:hAnsi="Times New Roman" w:cs="Times New Roman"/>
          <w:color w:val="auto"/>
          <w:sz w:val="24"/>
        </w:rPr>
        <w:t>.</w:t>
      </w:r>
      <w:r>
        <w:rPr>
          <w:rStyle w:val="21"/>
          <w:rFonts w:hint="default" w:ascii="Times New Roman" w:hAnsi="Times New Roman" w:cs="Times New Roman"/>
          <w:color w:val="auto"/>
          <w:sz w:val="24"/>
          <w:lang w:val="en-US" w:eastAsia="zh-CN"/>
        </w:rPr>
        <w:t>3</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Photovoltaic system operation management and maintenance</w:t>
      </w:r>
      <w:r>
        <w:rPr>
          <w:rFonts w:ascii="Times New Roman" w:hAnsi="Times New Roman" w:cs="Times New Roman"/>
          <w:sz w:val="24"/>
        </w:rPr>
        <w:tab/>
      </w:r>
      <w:r>
        <w:rPr>
          <w:rFonts w:ascii="Times New Roman" w:hAnsi="Times New Roman" w:cs="Times New Roman"/>
          <w:sz w:val="24"/>
        </w:rPr>
        <w:fldChar w:fldCharType="end"/>
      </w:r>
      <w:r>
        <w:rPr>
          <w:rFonts w:hint="eastAsia" w:cs="Times New Roman"/>
          <w:sz w:val="24"/>
          <w:lang w:val="en-US" w:eastAsia="zh-CN"/>
        </w:rPr>
        <w:t>64</w:t>
      </w:r>
    </w:p>
    <w:p w14:paraId="15AD7E1C">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"_Toc141449397" </w:instrText>
      </w:r>
      <w:r>
        <w:rPr>
          <w:rFonts w:ascii="Times New Roman" w:hAnsi="Times New Roman" w:cs="Times New Roman"/>
          <w:sz w:val="24"/>
        </w:rPr>
        <w:fldChar w:fldCharType="separate"/>
      </w:r>
      <w:r>
        <w:rPr>
          <w:rFonts w:hint="default" w:ascii="Times New Roman" w:hAnsi="Times New Roman" w:cs="Times New Roman"/>
          <w:sz w:val="24"/>
          <w:lang w:val="en-US" w:eastAsia="zh-CN"/>
        </w:rPr>
        <w:t>Appendix A</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 xml:space="preserve">Possible </w:t>
      </w:r>
      <w:r>
        <w:rPr>
          <w:rStyle w:val="21"/>
          <w:rFonts w:hint="default" w:ascii="Times New Roman" w:hAnsi="Times New Roman" w:cs="Times New Roman"/>
          <w:color w:val="auto"/>
          <w:sz w:val="24"/>
          <w:lang w:val="en-US" w:eastAsia="zh-CN"/>
        </w:rPr>
        <w:t>T</w:t>
      </w:r>
      <w:r>
        <w:rPr>
          <w:rStyle w:val="21"/>
          <w:rFonts w:hint="default" w:ascii="Times New Roman" w:hAnsi="Times New Roman" w:cs="Times New Roman"/>
          <w:color w:val="auto"/>
          <w:sz w:val="24"/>
        </w:rPr>
        <w:t xml:space="preserve">tal </w:t>
      </w:r>
      <w:r>
        <w:rPr>
          <w:rStyle w:val="21"/>
          <w:rFonts w:hint="default" w:ascii="Times New Roman" w:hAnsi="Times New Roman" w:cs="Times New Roman"/>
          <w:color w:val="auto"/>
          <w:sz w:val="24"/>
          <w:lang w:val="en-US" w:eastAsia="zh-CN"/>
        </w:rPr>
        <w:t>D</w:t>
      </w:r>
      <w:r>
        <w:rPr>
          <w:rStyle w:val="21"/>
          <w:rFonts w:hint="default" w:ascii="Times New Roman" w:hAnsi="Times New Roman" w:cs="Times New Roman"/>
          <w:color w:val="auto"/>
          <w:sz w:val="24"/>
        </w:rPr>
        <w:t xml:space="preserve">aily </w:t>
      </w:r>
      <w:r>
        <w:rPr>
          <w:rStyle w:val="21"/>
          <w:rFonts w:hint="default" w:ascii="Times New Roman" w:hAnsi="Times New Roman" w:cs="Times New Roman"/>
          <w:color w:val="auto"/>
          <w:sz w:val="24"/>
          <w:lang w:val="en-US" w:eastAsia="zh-CN"/>
        </w:rPr>
        <w:t>R</w:t>
      </w:r>
      <w:r>
        <w:rPr>
          <w:rStyle w:val="21"/>
          <w:rFonts w:hint="default" w:ascii="Times New Roman" w:hAnsi="Times New Roman" w:cs="Times New Roman"/>
          <w:color w:val="auto"/>
          <w:sz w:val="24"/>
        </w:rPr>
        <w:t xml:space="preserve">adiation </w:t>
      </w:r>
      <w:r>
        <w:rPr>
          <w:rStyle w:val="21"/>
          <w:rFonts w:hint="default" w:ascii="Times New Roman" w:hAnsi="Times New Roman" w:cs="Times New Roman"/>
          <w:color w:val="auto"/>
          <w:sz w:val="24"/>
          <w:lang w:val="en-US" w:eastAsia="zh-CN"/>
        </w:rPr>
        <w:t>E</w:t>
      </w:r>
      <w:r>
        <w:rPr>
          <w:rStyle w:val="21"/>
          <w:rFonts w:hint="default" w:ascii="Times New Roman" w:hAnsi="Times New Roman" w:cs="Times New Roman"/>
          <w:color w:val="auto"/>
          <w:sz w:val="24"/>
        </w:rPr>
        <w:t>xposure</w:t>
      </w:r>
      <w:r>
        <w:rPr>
          <w:rFonts w:ascii="Times New Roman" w:hAnsi="Times New Roman" w:cs="Times New Roman"/>
          <w:sz w:val="24"/>
        </w:rPr>
        <w:tab/>
      </w:r>
      <w:r>
        <w:rPr>
          <w:rFonts w:hint="default" w:ascii="Times New Roman" w:hAnsi="Times New Roman" w:cs="Times New Roman"/>
          <w:sz w:val="24"/>
          <w:lang w:val="en-US" w:eastAsia="zh-CN"/>
        </w:rPr>
        <w:t xml:space="preserve"> </w:t>
      </w:r>
      <w:r>
        <w:rPr>
          <w:rFonts w:hint="default" w:ascii="Times New Roman" w:hAnsi="Times New Roman" w:cs="Times New Roman"/>
          <w:sz w:val="24"/>
        </w:rPr>
        <w:fldChar w:fldCharType="end"/>
      </w:r>
      <w:r>
        <w:rPr>
          <w:rFonts w:hint="eastAsia" w:cs="Times New Roman"/>
          <w:sz w:val="24"/>
          <w:lang w:val="en-US" w:eastAsia="zh-CN"/>
        </w:rPr>
        <w:t>69</w:t>
      </w:r>
    </w:p>
    <w:p w14:paraId="7A1B45CE">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"_Toc141449398" </w:instrText>
      </w:r>
      <w:r>
        <w:rPr>
          <w:rFonts w:ascii="Times New Roman" w:hAnsi="Times New Roman" w:cs="Times New Roman"/>
          <w:sz w:val="24"/>
        </w:rPr>
        <w:fldChar w:fldCharType="separate"/>
      </w:r>
      <w:r>
        <w:rPr>
          <w:rFonts w:hint="default" w:ascii="Times New Roman" w:hAnsi="Times New Roman" w:cs="Times New Roman"/>
          <w:sz w:val="24"/>
          <w:lang w:val="en-US" w:eastAsia="zh-CN"/>
        </w:rPr>
        <w:t>Appendix B</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 xml:space="preserve">Solar </w:t>
      </w:r>
      <w:r>
        <w:rPr>
          <w:rStyle w:val="21"/>
          <w:rFonts w:hint="default" w:ascii="Times New Roman" w:hAnsi="Times New Roman" w:cs="Times New Roman"/>
          <w:color w:val="auto"/>
          <w:sz w:val="24"/>
          <w:lang w:val="en-US" w:eastAsia="zh-CN"/>
        </w:rPr>
        <w:t>E</w:t>
      </w:r>
      <w:r>
        <w:rPr>
          <w:rStyle w:val="21"/>
          <w:rFonts w:hint="default" w:ascii="Times New Roman" w:hAnsi="Times New Roman" w:cs="Times New Roman"/>
          <w:color w:val="auto"/>
          <w:sz w:val="24"/>
        </w:rPr>
        <w:t xml:space="preserve">nergy </w:t>
      </w:r>
      <w:r>
        <w:rPr>
          <w:rStyle w:val="21"/>
          <w:rFonts w:hint="default" w:ascii="Times New Roman" w:hAnsi="Times New Roman" w:cs="Times New Roman"/>
          <w:color w:val="auto"/>
          <w:sz w:val="24"/>
          <w:lang w:val="en-US" w:eastAsia="zh-CN"/>
        </w:rPr>
        <w:t>R</w:t>
      </w:r>
      <w:r>
        <w:rPr>
          <w:rStyle w:val="21"/>
          <w:rFonts w:hint="default" w:ascii="Times New Roman" w:hAnsi="Times New Roman" w:cs="Times New Roman"/>
          <w:color w:val="auto"/>
          <w:sz w:val="24"/>
        </w:rPr>
        <w:t xml:space="preserve">esources in Guangdong </w:t>
      </w:r>
      <w:r>
        <w:rPr>
          <w:rStyle w:val="21"/>
          <w:rFonts w:hint="default" w:ascii="Times New Roman" w:hAnsi="Times New Roman" w:cs="Times New Roman"/>
          <w:color w:val="auto"/>
          <w:sz w:val="24"/>
          <w:lang w:val="en-US" w:eastAsia="zh-CN"/>
        </w:rPr>
        <w:t>R</w:t>
      </w:r>
      <w:r>
        <w:rPr>
          <w:rStyle w:val="21"/>
          <w:rFonts w:hint="default" w:ascii="Times New Roman" w:hAnsi="Times New Roman" w:cs="Times New Roman"/>
          <w:color w:val="auto"/>
          <w:sz w:val="24"/>
        </w:rPr>
        <w:t>egion</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7</w:t>
      </w:r>
      <w:r>
        <w:rPr>
          <w:rFonts w:hint="eastAsia" w:cs="Times New Roman"/>
          <w:sz w:val="24"/>
          <w:lang w:val="en-US" w:eastAsia="zh-CN"/>
        </w:rPr>
        <w:t>0</w:t>
      </w:r>
    </w:p>
    <w:p w14:paraId="40C67249">
      <w:pPr>
        <w:pStyle w:val="14"/>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"_Toc141449397" </w:instrText>
      </w:r>
      <w:r>
        <w:rPr>
          <w:rFonts w:ascii="Times New Roman" w:hAnsi="Times New Roman" w:cs="Times New Roman"/>
          <w:sz w:val="24"/>
        </w:rPr>
        <w:fldChar w:fldCharType="separate"/>
      </w:r>
      <w:r>
        <w:rPr>
          <w:rFonts w:hint="default" w:ascii="Times New Roman" w:hAnsi="Times New Roman" w:cs="Times New Roman"/>
          <w:sz w:val="24"/>
          <w:lang w:val="en-US" w:eastAsia="zh-CN"/>
        </w:rPr>
        <w:t>Appendix C</w:t>
      </w:r>
      <w:r>
        <w:rPr>
          <w:rStyle w:val="21"/>
          <w:rFonts w:ascii="Times New Roman" w:hAnsi="Times New Roman" w:cs="Times New Roman"/>
          <w:color w:val="auto"/>
          <w:sz w:val="24"/>
        </w:rPr>
        <w:t xml:space="preserve"> </w:t>
      </w:r>
      <w:r>
        <w:rPr>
          <w:rStyle w:val="21"/>
          <w:rFonts w:hint="default" w:ascii="Times New Roman" w:hAnsi="Times New Roman" w:cs="Times New Roman"/>
          <w:color w:val="auto"/>
          <w:sz w:val="24"/>
        </w:rPr>
        <w:t xml:space="preserve">Photovoltaic </w:t>
      </w:r>
      <w:r>
        <w:rPr>
          <w:rStyle w:val="21"/>
          <w:rFonts w:hint="default" w:ascii="Times New Roman" w:hAnsi="Times New Roman" w:cs="Times New Roman"/>
          <w:color w:val="auto"/>
          <w:sz w:val="24"/>
          <w:lang w:val="en-US" w:eastAsia="zh-CN"/>
        </w:rPr>
        <w:t>M</w:t>
      </w:r>
      <w:r>
        <w:rPr>
          <w:rStyle w:val="21"/>
          <w:rFonts w:hint="default" w:ascii="Times New Roman" w:hAnsi="Times New Roman" w:cs="Times New Roman"/>
          <w:color w:val="auto"/>
          <w:sz w:val="24"/>
        </w:rPr>
        <w:t>odule/</w:t>
      </w:r>
      <w:r>
        <w:rPr>
          <w:rStyle w:val="21"/>
          <w:rFonts w:hint="default" w:ascii="Times New Roman" w:hAnsi="Times New Roman" w:cs="Times New Roman"/>
          <w:color w:val="auto"/>
          <w:sz w:val="24"/>
          <w:lang w:val="en-US" w:eastAsia="zh-CN"/>
        </w:rPr>
        <w:t>A</w:t>
      </w:r>
      <w:r>
        <w:rPr>
          <w:rStyle w:val="21"/>
          <w:rFonts w:hint="default" w:ascii="Times New Roman" w:hAnsi="Times New Roman" w:cs="Times New Roman"/>
          <w:color w:val="auto"/>
          <w:sz w:val="24"/>
        </w:rPr>
        <w:t xml:space="preserve">rray </w:t>
      </w:r>
      <w:r>
        <w:rPr>
          <w:rStyle w:val="21"/>
          <w:rFonts w:hint="default" w:ascii="Times New Roman" w:hAnsi="Times New Roman" w:cs="Times New Roman"/>
          <w:color w:val="auto"/>
          <w:sz w:val="24"/>
          <w:lang w:val="en-US" w:eastAsia="zh-CN"/>
        </w:rPr>
        <w:t>I</w:t>
      </w:r>
      <w:r>
        <w:rPr>
          <w:rStyle w:val="21"/>
          <w:rFonts w:hint="default" w:ascii="Times New Roman" w:hAnsi="Times New Roman" w:cs="Times New Roman"/>
          <w:color w:val="auto"/>
          <w:sz w:val="24"/>
        </w:rPr>
        <w:t xml:space="preserve">nspection and </w:t>
      </w:r>
      <w:r>
        <w:rPr>
          <w:rStyle w:val="21"/>
          <w:rFonts w:hint="default" w:ascii="Times New Roman" w:hAnsi="Times New Roman" w:cs="Times New Roman"/>
          <w:color w:val="auto"/>
          <w:sz w:val="24"/>
          <w:lang w:val="en-US" w:eastAsia="zh-CN"/>
        </w:rPr>
        <w:t>T</w:t>
      </w:r>
      <w:r>
        <w:rPr>
          <w:rStyle w:val="21"/>
          <w:rFonts w:hint="default" w:ascii="Times New Roman" w:hAnsi="Times New Roman" w:cs="Times New Roman"/>
          <w:color w:val="auto"/>
          <w:sz w:val="24"/>
        </w:rPr>
        <w:t xml:space="preserve">esting </w:t>
      </w:r>
      <w:r>
        <w:rPr>
          <w:rStyle w:val="21"/>
          <w:rFonts w:hint="default" w:ascii="Times New Roman" w:hAnsi="Times New Roman" w:cs="Times New Roman"/>
          <w:color w:val="auto"/>
          <w:sz w:val="24"/>
          <w:lang w:val="en-US" w:eastAsia="zh-CN"/>
        </w:rPr>
        <w:t>I</w:t>
      </w:r>
      <w:r>
        <w:rPr>
          <w:rStyle w:val="21"/>
          <w:rFonts w:hint="default" w:ascii="Times New Roman" w:hAnsi="Times New Roman" w:cs="Times New Roman"/>
          <w:color w:val="auto"/>
          <w:sz w:val="24"/>
        </w:rPr>
        <w:t>tems</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7</w:t>
      </w:r>
      <w:r>
        <w:rPr>
          <w:rFonts w:hint="eastAsia" w:cs="Times New Roman"/>
          <w:sz w:val="24"/>
          <w:lang w:val="en-US" w:eastAsia="zh-CN"/>
        </w:rPr>
        <w:t>2</w:t>
      </w:r>
    </w:p>
    <w:p w14:paraId="1C395A36">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"_Toc141449397" </w:instrText>
      </w:r>
      <w:r>
        <w:rPr>
          <w:rFonts w:ascii="Times New Roman" w:hAnsi="Times New Roman" w:cs="Times New Roman"/>
          <w:sz w:val="24"/>
        </w:rPr>
        <w:fldChar w:fldCharType="separate"/>
      </w:r>
      <w:r>
        <w:rPr>
          <w:rFonts w:hint="eastAsia" w:ascii="Times New Roman" w:hAnsi="Times New Roman" w:cs="Times New Roman"/>
          <w:sz w:val="24"/>
          <w:lang w:val="en-US" w:eastAsia="zh-CN"/>
        </w:rPr>
        <w:t>Explanation of wording in this specification</w:t>
      </w:r>
      <w:r>
        <w:rPr>
          <w:rFonts w:ascii="Times New Roman" w:hAnsi="Times New Roman" w:cs="Times New Roman"/>
          <w:sz w:val="24"/>
        </w:rPr>
        <w:tab/>
      </w:r>
      <w:r>
        <w:rPr>
          <w:rFonts w:hint="default" w:ascii="Times New Roman" w:hAnsi="Times New Roman" w:cs="Times New Roman"/>
          <w:sz w:val="24"/>
          <w:lang w:val="en-US" w:eastAsia="zh-CN"/>
        </w:rPr>
        <w:t xml:space="preserve"> </w:t>
      </w:r>
      <w:r>
        <w:rPr>
          <w:rFonts w:hint="default" w:ascii="Times New Roman" w:hAnsi="Times New Roman" w:cs="Times New Roman"/>
          <w:sz w:val="24"/>
        </w:rPr>
        <w:fldChar w:fldCharType="end"/>
      </w:r>
      <w:r>
        <w:rPr>
          <w:rFonts w:hint="eastAsia" w:cs="Times New Roman"/>
          <w:sz w:val="24"/>
          <w:lang w:val="en-US" w:eastAsia="zh-CN"/>
        </w:rPr>
        <w:t>73</w:t>
      </w:r>
    </w:p>
    <w:p w14:paraId="5894BCFE">
      <w:pPr>
        <w:pStyle w:val="14"/>
        <w:tabs>
          <w:tab w:val="right" w:leader="dot" w:pos="8296"/>
        </w:tabs>
        <w:snapToGrid w:val="0"/>
        <w:spacing w:line="300" w:lineRule="auto"/>
        <w:rPr>
          <w:rFonts w:hint="default" w:ascii="Times New Roman" w:hAnsi="Times New Roman" w:cs="Times New Roman"/>
          <w:sz w:val="24"/>
          <w:lang w:val="en-US" w:eastAsia="zh-CN"/>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"_Toc141449398" </w:instrText>
      </w:r>
      <w:r>
        <w:rPr>
          <w:rFonts w:ascii="Times New Roman" w:hAnsi="Times New Roman" w:cs="Times New Roman"/>
          <w:sz w:val="24"/>
        </w:rPr>
        <w:fldChar w:fldCharType="separate"/>
      </w:r>
      <w:r>
        <w:rPr>
          <w:rFonts w:hint="eastAsia" w:ascii="Times New Roman" w:hAnsi="Times New Roman" w:cs="Times New Roman"/>
          <w:sz w:val="24"/>
          <w:lang w:val="en-US" w:eastAsia="zh-CN"/>
        </w:rPr>
        <w:t>List of quoted standards</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7</w:t>
      </w:r>
      <w:r>
        <w:rPr>
          <w:rFonts w:hint="eastAsia" w:cs="Times New Roman"/>
          <w:sz w:val="24"/>
          <w:lang w:val="en-US" w:eastAsia="zh-CN"/>
        </w:rPr>
        <w:t>4</w:t>
      </w:r>
    </w:p>
    <w:p w14:paraId="2334F408">
      <w:pPr>
        <w:pStyle w:val="14"/>
        <w:tabs>
          <w:tab w:val="right" w:leader="dot" w:pos="8296"/>
        </w:tabs>
        <w:snapToGrid w:val="0"/>
        <w:spacing w:line="300" w:lineRule="auto"/>
        <w:rPr>
          <w:rFonts w:hint="default" w:ascii="Times New Roman" w:hAnsi="Times New Roman" w:eastAsia="宋体" w:cs="Times New Roman"/>
          <w:sz w:val="24"/>
          <w:lang w:val="en-US" w:eastAsia="zh-CN"/>
          <w14:ligatures w14:val="standardContextual"/>
        </w:rPr>
      </w:pPr>
      <w:r>
        <w:rPr>
          <w:rFonts w:ascii="Times New Roman" w:hAnsi="Times New Roman" w:cs="Times New Roman"/>
          <w:sz w:val="24"/>
        </w:rPr>
        <w:fldChar w:fldCharType="begin"/>
      </w:r>
      <w:r>
        <w:rPr>
          <w:rFonts w:ascii="Times New Roman" w:hAnsi="Times New Roman" w:cs="Times New Roman"/>
          <w:sz w:val="24"/>
        </w:rPr>
        <w:instrText xml:space="preserve"> HYPERLINK \l "_Toc141449397" </w:instrText>
      </w:r>
      <w:r>
        <w:rPr>
          <w:rFonts w:ascii="Times New Roman" w:hAnsi="Times New Roman" w:cs="Times New Roman"/>
          <w:sz w:val="24"/>
        </w:rPr>
        <w:fldChar w:fldCharType="separate"/>
      </w:r>
      <w:r>
        <w:rPr>
          <w:rFonts w:hint="eastAsia" w:ascii="Times New Roman" w:hAnsi="Times New Roman" w:cs="Times New Roman"/>
          <w:sz w:val="24"/>
          <w:lang w:val="en-US" w:eastAsia="zh-CN"/>
        </w:rPr>
        <w:t>Explanation of provisions</w:t>
      </w:r>
      <w:r>
        <w:rPr>
          <w:rFonts w:ascii="Times New Roman" w:hAnsi="Times New Roman" w:cs="Times New Roman"/>
          <w:sz w:val="24"/>
        </w:rPr>
        <w:tab/>
      </w:r>
      <w:r>
        <w:rPr>
          <w:rFonts w:hint="default" w:ascii="Times New Roman" w:hAnsi="Times New Roman" w:cs="Times New Roman"/>
          <w:sz w:val="24"/>
        </w:rPr>
        <w:fldChar w:fldCharType="end"/>
      </w:r>
      <w:r>
        <w:rPr>
          <w:rFonts w:hint="eastAsia" w:ascii="Times New Roman" w:hAnsi="Times New Roman" w:cs="Times New Roman"/>
          <w:sz w:val="24"/>
          <w:lang w:val="en-US" w:eastAsia="zh-CN"/>
        </w:rPr>
        <w:t>7</w:t>
      </w:r>
      <w:r>
        <w:rPr>
          <w:rFonts w:hint="eastAsia" w:cs="Times New Roman"/>
          <w:sz w:val="24"/>
          <w:lang w:val="en-US" w:eastAsia="zh-CN"/>
        </w:rPr>
        <w:t>5</w:t>
      </w:r>
    </w:p>
    <w:p w14:paraId="311D0F58">
      <w:pPr>
        <w:pStyle w:val="14"/>
        <w:tabs>
          <w:tab w:val="right" w:leader="dot" w:pos="8296"/>
        </w:tabs>
        <w:snapToGrid w:val="0"/>
        <w:spacing w:line="360" w:lineRule="auto"/>
        <w:ind w:left="0" w:leftChars="0"/>
        <w:rPr>
          <w:rFonts w:eastAsiaTheme="minorEastAsia"/>
          <w:sz w:val="24"/>
          <w14:ligatures w14:val="standardContextual"/>
        </w:rPr>
      </w:pPr>
    </w:p>
    <w:p w14:paraId="2A436C22">
      <w:pPr>
        <w:pStyle w:val="14"/>
        <w:tabs>
          <w:tab w:val="right" w:leader="dot" w:pos="8296"/>
        </w:tabs>
        <w:snapToGrid w:val="0"/>
        <w:spacing w:line="360" w:lineRule="auto"/>
        <w:rPr>
          <w:b/>
          <w:bCs/>
          <w:sz w:val="24"/>
          <w:lang w:val="zh-CN"/>
        </w:rPr>
      </w:pPr>
      <w:r>
        <w:rPr>
          <w:b/>
          <w:bCs/>
          <w:sz w:val="24"/>
          <w:lang w:val="zh-CN"/>
        </w:rPr>
        <w:fldChar w:fldCharType="end"/>
      </w:r>
    </w:p>
    <w:p w14:paraId="57201127">
      <w:pPr>
        <w:spacing w:line="300" w:lineRule="auto"/>
      </w:pPr>
    </w:p>
    <w:p w14:paraId="2C3CF817">
      <w:pPr>
        <w:snapToGrid w:val="0"/>
        <w:spacing w:line="300" w:lineRule="auto"/>
      </w:pPr>
    </w:p>
    <w:p w14:paraId="51DCEAB7">
      <w:pPr>
        <w:adjustRightInd w:val="0"/>
        <w:snapToGrid w:val="0"/>
        <w:spacing w:line="300" w:lineRule="auto"/>
        <w:jc w:val="center"/>
        <w:rPr>
          <w:sz w:val="32"/>
          <w:szCs w:val="32"/>
        </w:rPr>
        <w:sectPr>
          <w:footerReference r:id="rId10" w:type="default"/>
          <w:pgSz w:w="11906" w:h="16838"/>
          <w:pgMar w:top="1440" w:right="1800" w:bottom="1440" w:left="1800" w:header="851" w:footer="992" w:gutter="0"/>
          <w:cols w:space="720" w:num="1"/>
          <w:docGrid w:type="lines" w:linePitch="312" w:charSpace="0"/>
        </w:sectPr>
      </w:pPr>
    </w:p>
    <w:p w14:paraId="51CF7482">
      <w:pPr>
        <w:pStyle w:val="5"/>
        <w:spacing w:line="300" w:lineRule="auto"/>
        <w:jc w:val="center"/>
        <w:rPr>
          <w:rFonts w:hint="default" w:ascii="Times New Roman" w:hAnsi="Times New Roman" w:eastAsia="黑体" w:cs="Times New Roman"/>
          <w:sz w:val="28"/>
          <w:szCs w:val="28"/>
        </w:rPr>
      </w:pPr>
      <w:bookmarkStart w:id="30" w:name="_Toc254"/>
      <w:bookmarkStart w:id="31" w:name="_Toc22947"/>
      <w:bookmarkStart w:id="32" w:name="_Toc2419"/>
      <w:bookmarkStart w:id="33" w:name="_Toc18980"/>
      <w:bookmarkStart w:id="34" w:name="_Toc5215"/>
      <w:bookmarkStart w:id="35" w:name="_Toc10659"/>
      <w:bookmarkStart w:id="36" w:name="_Toc18868"/>
      <w:bookmarkStart w:id="37" w:name="_Toc4249"/>
      <w:r>
        <w:rPr>
          <w:rFonts w:hint="default" w:ascii="Times New Roman" w:hAnsi="Times New Roman" w:eastAsia="黑体" w:cs="Times New Roman"/>
          <w:sz w:val="28"/>
          <w:szCs w:val="28"/>
        </w:rPr>
        <w:t>1 总则</w:t>
      </w:r>
      <w:bookmarkEnd w:id="30"/>
      <w:bookmarkEnd w:id="31"/>
      <w:bookmarkEnd w:id="32"/>
      <w:bookmarkEnd w:id="33"/>
      <w:bookmarkEnd w:id="34"/>
      <w:bookmarkEnd w:id="35"/>
      <w:bookmarkEnd w:id="36"/>
      <w:bookmarkEnd w:id="37"/>
    </w:p>
    <w:p w14:paraId="7A3E7947">
      <w:pPr>
        <w:snapToGrid w:val="0"/>
        <w:spacing w:line="300" w:lineRule="auto"/>
        <w:jc w:val="left"/>
        <w:rPr>
          <w:sz w:val="24"/>
        </w:rPr>
      </w:pPr>
      <w:r>
        <w:rPr>
          <w:b/>
          <w:bCs/>
          <w:sz w:val="24"/>
        </w:rPr>
        <w:t>1.0.1</w:t>
      </w:r>
      <w:r>
        <w:rPr>
          <w:sz w:val="24"/>
        </w:rPr>
        <w:t xml:space="preserve"> 为规范太阳能光伏系统在工业与民用建筑中的推广应用，促进光伏系统与建筑的结合，规范太阳能光伏系统的设计、施工和验收，</w:t>
      </w:r>
      <w:r>
        <w:rPr>
          <w:rFonts w:hint="eastAsia"/>
          <w:sz w:val="24"/>
        </w:rPr>
        <w:t>促进建筑领域绿色低碳发展，保证工程质量，做到安全可靠、技术先进、经济适用、环保美观，</w:t>
      </w:r>
      <w:r>
        <w:rPr>
          <w:sz w:val="24"/>
        </w:rPr>
        <w:t>制定本</w:t>
      </w:r>
      <w:r>
        <w:rPr>
          <w:rFonts w:hint="eastAsia"/>
          <w:sz w:val="24"/>
          <w:lang w:val="en-US" w:eastAsia="zh-CN"/>
        </w:rPr>
        <w:t>标准</w:t>
      </w:r>
      <w:r>
        <w:rPr>
          <w:sz w:val="24"/>
        </w:rPr>
        <w:t>。</w:t>
      </w:r>
    </w:p>
    <w:p w14:paraId="3F7E47B3">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4E7143A">
      <w:pPr>
        <w:snapToGrid w:val="0"/>
        <w:spacing w:line="300" w:lineRule="auto"/>
        <w:rPr>
          <w:rFonts w:hint="eastAsia" w:ascii="仿宋" w:hAnsi="仿宋" w:eastAsia="仿宋" w:cs="仿宋"/>
          <w:i/>
          <w:iCs/>
          <w:color w:val="0623BA"/>
          <w:sz w:val="24"/>
        </w:rPr>
      </w:pPr>
      <w:r>
        <w:rPr>
          <w:rFonts w:hint="eastAsia" w:ascii="仿宋" w:hAnsi="仿宋" w:eastAsia="仿宋" w:cs="仿宋"/>
          <w:b w:val="0"/>
          <w:bCs w:val="0"/>
          <w:i/>
          <w:iCs/>
          <w:color w:val="0623BA"/>
          <w:sz w:val="24"/>
        </w:rPr>
        <w:t>1.0.1</w:t>
      </w:r>
      <w:r>
        <w:rPr>
          <w:rFonts w:hint="eastAsia" w:ascii="仿宋" w:hAnsi="仿宋" w:eastAsia="仿宋" w:cs="仿宋"/>
          <w:i/>
          <w:iCs/>
          <w:color w:val="0623BA"/>
          <w:sz w:val="24"/>
        </w:rPr>
        <w:t xml:space="preserve"> 为落实2030年前实现碳达峰,2060年前实现碳中和的目标，工业与民用建筑工程中利用太阳能光伏发电技术正在成为建筑节能的新趋势。广大工程技术人员，尤其是建筑工程设计人员，只有掌握了光伏系统的设计、安装、验收和运行维护等方面的工程技术要求，才能促进光伏系统在建筑中的应用并达到与建筑结合。光伏发电系统与建筑一体化应是将光伏发电系统与建筑有机结合，将太阳辐射能转为电能，替代常规能源向建筑物供电，既可降低常规能源消耗，又可降低相应的二氧化碳碳排放，是实现我国</w:t>
      </w:r>
      <w:r>
        <w:rPr>
          <w:rFonts w:hint="eastAsia" w:ascii="仿宋" w:hAnsi="仿宋" w:eastAsia="仿宋" w:cs="仿宋"/>
          <w:i/>
          <w:iCs/>
          <w:color w:val="0623BA"/>
          <w:sz w:val="24"/>
          <w:lang w:val="en-US" w:eastAsia="zh-CN"/>
        </w:rPr>
        <w:t>双碳</w:t>
      </w:r>
      <w:r>
        <w:rPr>
          <w:rFonts w:hint="eastAsia" w:ascii="仿宋" w:hAnsi="仿宋" w:eastAsia="仿宋" w:cs="仿宋"/>
          <w:i/>
          <w:iCs/>
          <w:color w:val="0623BA"/>
          <w:sz w:val="24"/>
        </w:rPr>
        <w:t>目标的重要</w:t>
      </w:r>
      <w:r>
        <w:rPr>
          <w:rFonts w:hint="eastAsia" w:ascii="仿宋" w:hAnsi="仿宋" w:eastAsia="仿宋" w:cs="仿宋"/>
          <w:i/>
          <w:iCs/>
          <w:color w:val="0623BA"/>
          <w:sz w:val="24"/>
          <w:lang w:val="en-US" w:eastAsia="zh-CN"/>
        </w:rPr>
        <w:t>技</w:t>
      </w:r>
      <w:r>
        <w:rPr>
          <w:rFonts w:hint="eastAsia" w:ascii="仿宋" w:hAnsi="仿宋" w:eastAsia="仿宋" w:cs="仿宋"/>
          <w:i/>
          <w:iCs/>
          <w:color w:val="0623BA"/>
          <w:sz w:val="24"/>
        </w:rPr>
        <w:t>术措施。巧妙地将光伏发电系统的各个部件有机融入到建筑之中，成为建筑物不可分割的一部分，需要从技术和美学两方面入手，使建筑设计与光伏发电技术有机结合在一起，统一设计、施工、验收和运维，保证工程质量。</w:t>
      </w:r>
    </w:p>
    <w:p w14:paraId="54A64017">
      <w:pPr>
        <w:snapToGrid w:val="0"/>
        <w:spacing w:line="300" w:lineRule="auto"/>
        <w:jc w:val="left"/>
        <w:rPr>
          <w:sz w:val="24"/>
        </w:rPr>
      </w:pPr>
      <w:r>
        <w:rPr>
          <w:b/>
          <w:bCs/>
          <w:sz w:val="24"/>
        </w:rPr>
        <w:t>1.0.2</w:t>
      </w:r>
      <w:r>
        <w:rPr>
          <w:sz w:val="24"/>
        </w:rPr>
        <w:t xml:space="preserve"> </w:t>
      </w:r>
      <w:r>
        <w:rPr>
          <w:rFonts w:hint="eastAsia"/>
          <w:sz w:val="24"/>
        </w:rPr>
        <w:t>本标准适用于广东省新建、扩建、改建建筑光伏系统的设计、安装施工、验收和运行维护；在既有建筑上增设及改造的建筑光伏系统也应按照本标准执行。</w:t>
      </w:r>
    </w:p>
    <w:p w14:paraId="1B57D989">
      <w:pPr>
        <w:snapToGrid w:val="0"/>
        <w:spacing w:line="300" w:lineRule="auto"/>
        <w:jc w:val="left"/>
        <w:rPr>
          <w:sz w:val="24"/>
        </w:rPr>
      </w:pPr>
      <w:r>
        <w:rPr>
          <w:b/>
          <w:bCs/>
          <w:sz w:val="24"/>
        </w:rPr>
        <w:t>1.0.</w:t>
      </w:r>
      <w:r>
        <w:rPr>
          <w:rFonts w:hint="eastAsia"/>
          <w:b/>
          <w:bCs/>
          <w:sz w:val="24"/>
          <w:lang w:val="en-US" w:eastAsia="zh-CN"/>
        </w:rPr>
        <w:t>3</w:t>
      </w:r>
      <w:r>
        <w:rPr>
          <w:b/>
          <w:bCs/>
          <w:sz w:val="24"/>
        </w:rPr>
        <w:t xml:space="preserve"> </w:t>
      </w:r>
      <w:r>
        <w:rPr>
          <w:sz w:val="24"/>
        </w:rPr>
        <w:t>建筑光伏系统</w:t>
      </w:r>
      <w:r>
        <w:rPr>
          <w:rFonts w:hint="eastAsia"/>
          <w:sz w:val="24"/>
        </w:rPr>
        <w:t>工程的</w:t>
      </w:r>
      <w:r>
        <w:rPr>
          <w:sz w:val="24"/>
        </w:rPr>
        <w:t>设计、施工和验收除应符合本</w:t>
      </w:r>
      <w:r>
        <w:rPr>
          <w:rFonts w:hint="eastAsia"/>
          <w:sz w:val="24"/>
        </w:rPr>
        <w:t>标准</w:t>
      </w:r>
      <w:r>
        <w:rPr>
          <w:sz w:val="24"/>
        </w:rPr>
        <w:t>外，</w:t>
      </w:r>
      <w:r>
        <w:rPr>
          <w:rFonts w:hint="eastAsia"/>
          <w:sz w:val="24"/>
          <w:lang w:val="en-US" w:eastAsia="zh-CN"/>
        </w:rPr>
        <w:t>尚</w:t>
      </w:r>
      <w:r>
        <w:rPr>
          <w:sz w:val="24"/>
        </w:rPr>
        <w:t>应符合现行国家有</w:t>
      </w:r>
      <w:r>
        <w:rPr>
          <w:rFonts w:hint="eastAsia"/>
          <w:sz w:val="24"/>
        </w:rPr>
        <w:t>关标准的规定。</w:t>
      </w:r>
    </w:p>
    <w:p w14:paraId="1E0C2A9A">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11FEC05">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1.0.</w:t>
      </w: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 xml:space="preserve"> 建筑太阳能光伏系统应用技术涉及到规划、建筑、结构等专业，各专业已有规程的内容除明确引用为本</w:t>
      </w:r>
      <w:r>
        <w:rPr>
          <w:rFonts w:hint="eastAsia" w:ascii="仿宋" w:hAnsi="仿宋" w:eastAsia="仿宋" w:cs="仿宋"/>
          <w:i/>
          <w:iCs/>
          <w:color w:val="0623BA"/>
          <w:sz w:val="24"/>
          <w:lang w:val="en-US" w:eastAsia="zh-CN"/>
        </w:rPr>
        <w:t>标准</w:t>
      </w:r>
      <w:r>
        <w:rPr>
          <w:rFonts w:hint="eastAsia" w:ascii="仿宋" w:hAnsi="仿宋" w:eastAsia="仿宋" w:cs="仿宋"/>
          <w:i/>
          <w:iCs/>
          <w:color w:val="0623BA"/>
          <w:sz w:val="24"/>
        </w:rPr>
        <w:t>外，本</w:t>
      </w:r>
      <w:r>
        <w:rPr>
          <w:rFonts w:hint="eastAsia" w:ascii="仿宋" w:hAnsi="仿宋" w:eastAsia="仿宋" w:cs="仿宋"/>
          <w:i/>
          <w:iCs/>
          <w:color w:val="0623BA"/>
          <w:sz w:val="24"/>
          <w:lang w:val="en-US" w:eastAsia="zh-CN"/>
        </w:rPr>
        <w:t>标准</w:t>
      </w:r>
      <w:r>
        <w:rPr>
          <w:rFonts w:hint="eastAsia" w:ascii="仿宋" w:hAnsi="仿宋" w:eastAsia="仿宋" w:cs="仿宋"/>
          <w:i/>
          <w:iCs/>
          <w:color w:val="0623BA"/>
          <w:sz w:val="24"/>
        </w:rPr>
        <w:t>不再重复。因此，设计时除了执行本</w:t>
      </w:r>
      <w:r>
        <w:rPr>
          <w:rFonts w:hint="eastAsia" w:ascii="仿宋" w:hAnsi="仿宋" w:eastAsia="仿宋" w:cs="仿宋"/>
          <w:i/>
          <w:iCs/>
          <w:color w:val="0623BA"/>
          <w:sz w:val="24"/>
          <w:lang w:val="en-US" w:eastAsia="zh-CN"/>
        </w:rPr>
        <w:t>标准</w:t>
      </w:r>
      <w:r>
        <w:rPr>
          <w:rFonts w:hint="eastAsia" w:ascii="仿宋" w:hAnsi="仿宋" w:eastAsia="仿宋" w:cs="仿宋"/>
          <w:i/>
          <w:iCs/>
          <w:color w:val="0623BA"/>
          <w:sz w:val="24"/>
        </w:rPr>
        <w:t>外，尚应符合其他有关标准规范的相关规定，主要有</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《民用建筑设计通则》GB50352、《住宅建筑规范》GB 50368、《通用用电设备配电设计规范》GB50055、《供配电系统设计规范》GB50032、《建筑电气装置》GB16895.6、《民用建筑电气设计</w:t>
      </w:r>
      <w:r>
        <w:rPr>
          <w:rFonts w:hint="eastAsia" w:ascii="仿宋" w:hAnsi="仿宋" w:eastAsia="仿宋" w:cs="仿宋"/>
          <w:i/>
          <w:iCs/>
          <w:color w:val="0623BA"/>
          <w:sz w:val="24"/>
          <w:lang w:val="en-US" w:eastAsia="zh-CN"/>
        </w:rPr>
        <w:t>标准</w:t>
      </w:r>
      <w:r>
        <w:rPr>
          <w:rFonts w:hint="eastAsia" w:ascii="仿宋" w:hAnsi="仿宋" w:eastAsia="仿宋" w:cs="仿宋"/>
          <w:i/>
          <w:iCs/>
          <w:color w:val="0623BA"/>
          <w:sz w:val="24"/>
        </w:rPr>
        <w:t>》GB51348</w:t>
      </w:r>
      <w:r>
        <w:rPr>
          <w:rFonts w:hint="eastAsia" w:ascii="仿宋" w:hAnsi="仿宋" w:eastAsia="仿宋" w:cs="仿宋"/>
          <w:i/>
          <w:iCs/>
          <w:color w:val="0623BA"/>
          <w:sz w:val="24"/>
          <w:lang w:eastAsia="zh-CN"/>
        </w:rPr>
        <w:t>、</w:t>
      </w:r>
      <w:r>
        <w:rPr>
          <w:rFonts w:hint="eastAsia" w:ascii="仿宋_GB2312" w:hAnsi="仿宋_GB2312" w:eastAsia="仿宋_GB2312" w:cs="仿宋_GB2312"/>
          <w:b w:val="0"/>
          <w:bCs w:val="0"/>
          <w:sz w:val="24"/>
          <w:szCs w:val="32"/>
          <w:u w:val="none" w:color="auto"/>
          <w:vertAlign w:val="baseline"/>
          <w:lang w:val="en-US" w:eastAsia="zh-CN"/>
        </w:rPr>
        <w:t>《建筑电气与智能化通用规范》 GB 55024、《建筑节能与可再生能源利用通用规范》GB55015</w:t>
      </w:r>
      <w:r>
        <w:rPr>
          <w:rFonts w:hint="eastAsia" w:ascii="仿宋" w:hAnsi="仿宋" w:eastAsia="仿宋" w:cs="仿宋"/>
          <w:i/>
          <w:iCs/>
          <w:color w:val="0623BA"/>
          <w:sz w:val="24"/>
        </w:rPr>
        <w:t>等。</w:t>
      </w:r>
    </w:p>
    <w:p w14:paraId="3AED8340">
      <w:pPr>
        <w:widowControl/>
        <w:spacing w:line="300" w:lineRule="auto"/>
        <w:jc w:val="left"/>
        <w:rPr>
          <w:sz w:val="24"/>
        </w:rPr>
      </w:pPr>
      <w:r>
        <w:rPr>
          <w:sz w:val="24"/>
        </w:rPr>
        <w:br w:type="page"/>
      </w:r>
    </w:p>
    <w:p w14:paraId="2C91767C">
      <w:pPr>
        <w:pStyle w:val="5"/>
        <w:spacing w:line="300" w:lineRule="auto"/>
        <w:jc w:val="center"/>
        <w:rPr>
          <w:rFonts w:ascii="Times New Roman" w:hAnsi="Times New Roman" w:cs="Times New Roman" w:eastAsiaTheme="minorEastAsia"/>
          <w:sz w:val="28"/>
          <w:szCs w:val="28"/>
        </w:rPr>
      </w:pPr>
      <w:bookmarkStart w:id="38" w:name="_Toc24234"/>
      <w:bookmarkStart w:id="39" w:name="_Toc16257"/>
      <w:bookmarkStart w:id="40" w:name="_Toc9239"/>
      <w:bookmarkStart w:id="41" w:name="_Toc770"/>
      <w:bookmarkStart w:id="42" w:name="_Toc4260"/>
      <w:bookmarkStart w:id="43" w:name="_Toc9022"/>
      <w:bookmarkStart w:id="44" w:name="_Toc14154"/>
      <w:bookmarkStart w:id="45" w:name="_Toc28020"/>
      <w:r>
        <w:rPr>
          <w:rFonts w:hint="default" w:ascii="Times New Roman" w:hAnsi="Times New Roman" w:eastAsia="黑体" w:cs="Times New Roman"/>
          <w:sz w:val="28"/>
          <w:szCs w:val="28"/>
        </w:rPr>
        <w:t>2 术语</w:t>
      </w:r>
      <w:bookmarkEnd w:id="38"/>
      <w:bookmarkEnd w:id="39"/>
      <w:bookmarkEnd w:id="40"/>
      <w:bookmarkEnd w:id="41"/>
      <w:bookmarkEnd w:id="42"/>
      <w:bookmarkEnd w:id="43"/>
      <w:bookmarkEnd w:id="44"/>
      <w:bookmarkEnd w:id="45"/>
    </w:p>
    <w:p w14:paraId="06A09353">
      <w:pPr>
        <w:snapToGrid w:val="0"/>
        <w:spacing w:line="300" w:lineRule="auto"/>
        <w:jc w:val="left"/>
        <w:rPr>
          <w:sz w:val="24"/>
        </w:rPr>
      </w:pPr>
      <w:r>
        <w:rPr>
          <w:b/>
          <w:bCs/>
          <w:sz w:val="24"/>
        </w:rPr>
        <w:t>2.</w:t>
      </w:r>
      <w:r>
        <w:rPr>
          <w:rFonts w:hint="default"/>
          <w:b/>
          <w:bCs/>
          <w:sz w:val="24"/>
          <w:lang w:val="en-US"/>
        </w:rPr>
        <w:t>0</w:t>
      </w:r>
      <w:r>
        <w:rPr>
          <w:b/>
          <w:bCs/>
          <w:sz w:val="24"/>
        </w:rPr>
        <w:t>.1</w:t>
      </w:r>
      <w:r>
        <w:rPr>
          <w:rFonts w:hint="eastAsia"/>
          <w:b/>
          <w:bCs/>
          <w:sz w:val="24"/>
        </w:rPr>
        <w:t xml:space="preserve"> </w:t>
      </w:r>
      <w:r>
        <w:rPr>
          <w:sz w:val="24"/>
        </w:rPr>
        <w:t>建筑光伏系统 building mounted photovoltaic (PV) system</w:t>
      </w:r>
    </w:p>
    <w:p w14:paraId="4404C8E7">
      <w:pPr>
        <w:snapToGrid w:val="0"/>
        <w:spacing w:line="300" w:lineRule="auto"/>
        <w:ind w:firstLine="480" w:firstLineChars="200"/>
        <w:jc w:val="left"/>
        <w:rPr>
          <w:sz w:val="24"/>
        </w:rPr>
      </w:pPr>
      <w:r>
        <w:rPr>
          <w:sz w:val="24"/>
        </w:rPr>
        <w:t>安装在建筑物</w:t>
      </w:r>
      <w:r>
        <w:rPr>
          <w:rFonts w:hint="eastAsia"/>
          <w:sz w:val="24"/>
        </w:rPr>
        <w:t>或构筑物</w:t>
      </w:r>
      <w:r>
        <w:rPr>
          <w:sz w:val="24"/>
        </w:rPr>
        <w:t>上，利用太阳能电池的光伏效应将太阳辐射能直接转换成电能的发电系统。</w:t>
      </w:r>
    </w:p>
    <w:p w14:paraId="08F1C4F8">
      <w:pPr>
        <w:snapToGrid w:val="0"/>
        <w:spacing w:line="300" w:lineRule="auto"/>
        <w:jc w:val="left"/>
        <w:rPr>
          <w:sz w:val="24"/>
        </w:rPr>
      </w:pPr>
      <w:r>
        <w:rPr>
          <w:b/>
          <w:bCs/>
          <w:sz w:val="24"/>
        </w:rPr>
        <w:t>2.</w:t>
      </w:r>
      <w:r>
        <w:rPr>
          <w:rFonts w:hint="default"/>
          <w:b/>
          <w:bCs/>
          <w:sz w:val="24"/>
          <w:lang w:val="en-US"/>
        </w:rPr>
        <w:t>0</w:t>
      </w:r>
      <w:r>
        <w:rPr>
          <w:b/>
          <w:bCs/>
          <w:sz w:val="24"/>
        </w:rPr>
        <w:t>.2</w:t>
      </w:r>
      <w:r>
        <w:rPr>
          <w:rFonts w:hint="eastAsia"/>
          <w:b/>
          <w:bCs/>
          <w:sz w:val="24"/>
        </w:rPr>
        <w:t xml:space="preserve"> </w:t>
      </w:r>
      <w:r>
        <w:rPr>
          <w:sz w:val="24"/>
        </w:rPr>
        <w:t>光伏电池PV cell</w:t>
      </w:r>
    </w:p>
    <w:p w14:paraId="44E6AF7F">
      <w:pPr>
        <w:snapToGrid w:val="0"/>
        <w:spacing w:line="300" w:lineRule="auto"/>
        <w:ind w:firstLine="480" w:firstLineChars="200"/>
        <w:jc w:val="left"/>
        <w:rPr>
          <w:sz w:val="24"/>
        </w:rPr>
      </w:pPr>
      <w:r>
        <w:rPr>
          <w:sz w:val="24"/>
        </w:rPr>
        <w:t>将太阳辐射能直接转换成电能的一种器件。也称太阳电池（solar cell）。</w:t>
      </w:r>
    </w:p>
    <w:p w14:paraId="1D87B971">
      <w:pPr>
        <w:snapToGrid w:val="0"/>
        <w:spacing w:line="300" w:lineRule="auto"/>
        <w:jc w:val="left"/>
        <w:rPr>
          <w:sz w:val="24"/>
        </w:rPr>
      </w:pPr>
      <w:r>
        <w:rPr>
          <w:b/>
          <w:bCs/>
          <w:sz w:val="24"/>
        </w:rPr>
        <w:t>2.</w:t>
      </w:r>
      <w:r>
        <w:rPr>
          <w:rFonts w:hint="eastAsia"/>
          <w:b/>
          <w:bCs/>
          <w:sz w:val="24"/>
          <w:lang w:val="en-US" w:eastAsia="zh-CN"/>
        </w:rPr>
        <w:t>0</w:t>
      </w:r>
      <w:r>
        <w:rPr>
          <w:b/>
          <w:bCs/>
          <w:sz w:val="24"/>
        </w:rPr>
        <w:t>.3</w:t>
      </w:r>
      <w:r>
        <w:rPr>
          <w:rFonts w:hint="eastAsia"/>
          <w:b/>
          <w:bCs/>
          <w:sz w:val="24"/>
        </w:rPr>
        <w:t xml:space="preserve"> </w:t>
      </w:r>
      <w:r>
        <w:rPr>
          <w:sz w:val="24"/>
        </w:rPr>
        <w:t>光伏组件PV module</w:t>
      </w:r>
    </w:p>
    <w:p w14:paraId="332B3DB8">
      <w:pPr>
        <w:snapToGrid w:val="0"/>
        <w:spacing w:line="300" w:lineRule="auto"/>
        <w:ind w:firstLine="480" w:firstLineChars="200"/>
        <w:jc w:val="left"/>
        <w:rPr>
          <w:sz w:val="24"/>
        </w:rPr>
      </w:pPr>
      <w:r>
        <w:rPr>
          <w:sz w:val="24"/>
        </w:rPr>
        <w:t>具有封装及内部联结的、能单独提供直流电输出的、最小不可分割的太阳电池组合装置。又称太阳电池组件（solar cell module）。</w:t>
      </w:r>
    </w:p>
    <w:p w14:paraId="162547C6">
      <w:pPr>
        <w:snapToGrid w:val="0"/>
        <w:spacing w:line="300" w:lineRule="auto"/>
        <w:jc w:val="left"/>
        <w:rPr>
          <w:sz w:val="24"/>
        </w:rPr>
      </w:pPr>
      <w:r>
        <w:rPr>
          <w:b/>
          <w:bCs/>
          <w:sz w:val="24"/>
        </w:rPr>
        <w:t>2</w:t>
      </w:r>
      <w:r>
        <w:rPr>
          <w:rFonts w:hint="eastAsia"/>
          <w:b/>
          <w:bCs/>
          <w:sz w:val="24"/>
          <w:lang w:val="en-US" w:eastAsia="zh-CN"/>
        </w:rPr>
        <w:t>.0</w:t>
      </w:r>
      <w:r>
        <w:rPr>
          <w:b/>
          <w:bCs/>
          <w:sz w:val="24"/>
        </w:rPr>
        <w:t>.4</w:t>
      </w:r>
      <w:r>
        <w:rPr>
          <w:rFonts w:hint="eastAsia"/>
          <w:b/>
          <w:bCs/>
          <w:sz w:val="24"/>
        </w:rPr>
        <w:t xml:space="preserve"> </w:t>
      </w:r>
      <w:r>
        <w:rPr>
          <w:rFonts w:hint="eastAsia"/>
          <w:sz w:val="24"/>
        </w:rPr>
        <w:t>晶</w:t>
      </w:r>
      <w:r>
        <w:rPr>
          <w:rFonts w:hint="eastAsia"/>
          <w:sz w:val="24"/>
          <w:lang w:val="en-US" w:eastAsia="zh-CN"/>
        </w:rPr>
        <w:t>体</w:t>
      </w:r>
      <w:r>
        <w:rPr>
          <w:rFonts w:hint="eastAsia"/>
          <w:sz w:val="24"/>
        </w:rPr>
        <w:t>硅光伏组件crystalline silicon PV m</w:t>
      </w:r>
      <w:r>
        <w:rPr>
          <w:rFonts w:hint="eastAsia"/>
          <w:sz w:val="24"/>
          <w:lang w:val="en-US" w:eastAsia="zh-CN"/>
        </w:rPr>
        <w:t>o</w:t>
      </w:r>
      <w:r>
        <w:rPr>
          <w:rFonts w:hint="eastAsia"/>
          <w:sz w:val="24"/>
        </w:rPr>
        <w:t>dule</w:t>
      </w:r>
    </w:p>
    <w:p w14:paraId="04551C7D">
      <w:pPr>
        <w:snapToGrid w:val="0"/>
        <w:spacing w:line="300" w:lineRule="auto"/>
        <w:ind w:firstLine="480" w:firstLineChars="200"/>
        <w:jc w:val="left"/>
        <w:rPr>
          <w:rFonts w:hint="eastAsia" w:eastAsia="宋体"/>
          <w:sz w:val="24"/>
          <w:lang w:val="en-US" w:eastAsia="zh-CN"/>
        </w:rPr>
      </w:pPr>
      <w:r>
        <w:rPr>
          <w:rFonts w:hint="eastAsia"/>
          <w:sz w:val="24"/>
        </w:rPr>
        <w:t>以单</w:t>
      </w:r>
      <w:r>
        <w:rPr>
          <w:rFonts w:hint="eastAsia"/>
          <w:sz w:val="24"/>
          <w:lang w:val="en-US" w:eastAsia="zh-CN"/>
        </w:rPr>
        <w:t>晶</w:t>
      </w:r>
      <w:r>
        <w:rPr>
          <w:rFonts w:hint="eastAsia"/>
          <w:sz w:val="24"/>
        </w:rPr>
        <w:t>硅或多</w:t>
      </w:r>
      <w:r>
        <w:rPr>
          <w:rFonts w:hint="eastAsia"/>
          <w:sz w:val="24"/>
          <w:lang w:val="en-US" w:eastAsia="zh-CN"/>
        </w:rPr>
        <w:t>晶</w:t>
      </w:r>
      <w:r>
        <w:rPr>
          <w:rFonts w:hint="eastAsia"/>
          <w:sz w:val="24"/>
        </w:rPr>
        <w:t>硅光伏电池为基</w:t>
      </w:r>
      <w:r>
        <w:rPr>
          <w:rFonts w:hint="eastAsia"/>
          <w:sz w:val="24"/>
          <w:highlight w:val="none"/>
        </w:rPr>
        <w:t>本单</w:t>
      </w:r>
      <w:r>
        <w:rPr>
          <w:rFonts w:hint="eastAsia"/>
          <w:sz w:val="24"/>
          <w:highlight w:val="none"/>
          <w:lang w:val="en-US" w:eastAsia="zh-CN"/>
        </w:rPr>
        <w:t>元</w:t>
      </w:r>
      <w:r>
        <w:rPr>
          <w:rFonts w:hint="eastAsia"/>
          <w:sz w:val="24"/>
          <w:highlight w:val="none"/>
        </w:rPr>
        <w:t>组</w:t>
      </w:r>
      <w:r>
        <w:rPr>
          <w:rFonts w:hint="eastAsia"/>
          <w:sz w:val="24"/>
        </w:rPr>
        <w:t>合、封装的光伏组件称晶</w:t>
      </w:r>
      <w:r>
        <w:rPr>
          <w:rFonts w:hint="eastAsia"/>
          <w:sz w:val="24"/>
          <w:lang w:val="en-US" w:eastAsia="zh-CN"/>
        </w:rPr>
        <w:t>体</w:t>
      </w:r>
      <w:r>
        <w:rPr>
          <w:rFonts w:hint="eastAsia"/>
          <w:sz w:val="24"/>
        </w:rPr>
        <w:t>硅光伏组件。</w:t>
      </w:r>
    </w:p>
    <w:p w14:paraId="3D334599">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4287392">
      <w:pPr>
        <w:pStyle w:val="2"/>
        <w:spacing w:line="300" w:lineRule="auto"/>
        <w:rPr>
          <w:rFonts w:hint="eastAsia" w:ascii="仿宋" w:hAnsi="仿宋" w:eastAsia="仿宋" w:cs="仿宋"/>
          <w:i/>
          <w:iCs/>
          <w:color w:val="0623BA"/>
          <w:sz w:val="24"/>
        </w:rPr>
      </w:pPr>
      <w:r>
        <w:rPr>
          <w:rFonts w:hint="eastAsia" w:ascii="仿宋" w:hAnsi="仿宋" w:eastAsia="仿宋" w:cs="仿宋"/>
          <w:b w:val="0"/>
          <w:bCs w:val="0"/>
          <w:i/>
          <w:iCs/>
          <w:color w:val="0623BA"/>
          <w:sz w:val="24"/>
        </w:rPr>
        <w:t>2.</w:t>
      </w:r>
      <w:r>
        <w:rPr>
          <w:rFonts w:hint="eastAsia" w:ascii="仿宋" w:hAnsi="仿宋" w:eastAsia="仿宋" w:cs="仿宋"/>
          <w:b w:val="0"/>
          <w:bCs w:val="0"/>
          <w:i/>
          <w:iCs/>
          <w:color w:val="0623BA"/>
          <w:sz w:val="24"/>
          <w:lang w:eastAsia="zh-CN"/>
        </w:rPr>
        <w:t>0</w:t>
      </w:r>
      <w:r>
        <w:rPr>
          <w:rFonts w:hint="eastAsia" w:ascii="仿宋" w:hAnsi="仿宋" w:eastAsia="仿宋" w:cs="仿宋"/>
          <w:b w:val="0"/>
          <w:bCs w:val="0"/>
          <w:i/>
          <w:iCs/>
          <w:color w:val="0623BA"/>
          <w:sz w:val="24"/>
        </w:rPr>
        <w:t xml:space="preserve">.4 </w:t>
      </w:r>
      <w:r>
        <w:rPr>
          <w:rFonts w:hint="eastAsia" w:ascii="仿宋" w:hAnsi="仿宋" w:eastAsia="仿宋" w:cs="仿宋"/>
          <w:i/>
          <w:iCs/>
          <w:color w:val="0623BA"/>
          <w:sz w:val="24"/>
          <w:lang w:val="en-US" w:eastAsia="zh-CN"/>
        </w:rPr>
        <w:t>单晶硅光伏组件是用单晶硅太阳电池经过封装工艺加工而成的。多晶硅光伏组件主要由多晶硅太阳电池组成。</w:t>
      </w:r>
    </w:p>
    <w:p w14:paraId="03FBBB2C">
      <w:pPr>
        <w:snapToGrid w:val="0"/>
        <w:spacing w:line="300" w:lineRule="auto"/>
        <w:jc w:val="left"/>
        <w:rPr>
          <w:sz w:val="24"/>
        </w:rPr>
      </w:pPr>
      <w:r>
        <w:rPr>
          <w:b/>
          <w:bCs/>
          <w:sz w:val="24"/>
        </w:rPr>
        <w:t>2.</w:t>
      </w:r>
      <w:r>
        <w:rPr>
          <w:rFonts w:hint="eastAsia"/>
          <w:b/>
          <w:bCs/>
          <w:sz w:val="24"/>
          <w:lang w:val="en-US" w:eastAsia="zh-CN"/>
        </w:rPr>
        <w:t>0</w:t>
      </w:r>
      <w:r>
        <w:rPr>
          <w:b/>
          <w:bCs/>
          <w:sz w:val="24"/>
        </w:rPr>
        <w:t>.5</w:t>
      </w:r>
      <w:r>
        <w:rPr>
          <w:rFonts w:hint="eastAsia"/>
          <w:b/>
          <w:bCs/>
          <w:sz w:val="24"/>
        </w:rPr>
        <w:t xml:space="preserve"> </w:t>
      </w:r>
      <w:r>
        <w:rPr>
          <w:rFonts w:hint="eastAsia"/>
          <w:sz w:val="24"/>
        </w:rPr>
        <w:t>薄膜光伏组件</w:t>
      </w:r>
      <w:r>
        <w:rPr>
          <w:sz w:val="24"/>
        </w:rPr>
        <w:t xml:space="preserve"> thin film P</w:t>
      </w:r>
      <w:r>
        <w:rPr>
          <w:rFonts w:hint="eastAsia"/>
          <w:sz w:val="24"/>
        </w:rPr>
        <w:t>V</w:t>
      </w:r>
      <w:r>
        <w:rPr>
          <w:sz w:val="24"/>
        </w:rPr>
        <w:t xml:space="preserve"> module</w:t>
      </w:r>
    </w:p>
    <w:p w14:paraId="193084A7">
      <w:pPr>
        <w:snapToGrid w:val="0"/>
        <w:spacing w:line="300" w:lineRule="auto"/>
        <w:ind w:firstLine="480" w:firstLineChars="200"/>
        <w:jc w:val="left"/>
        <w:rPr>
          <w:sz w:val="24"/>
        </w:rPr>
      </w:pPr>
      <w:r>
        <w:rPr>
          <w:rFonts w:hint="eastAsia"/>
          <w:sz w:val="24"/>
        </w:rPr>
        <w:t>以铜铟镓硒、碲化镉、砷化镓、钙钛矿等薄膜太阳电池组合、封装的光伏组件称薄膜光伏组件。</w:t>
      </w:r>
    </w:p>
    <w:p w14:paraId="7A15BE22">
      <w:pPr>
        <w:pStyle w:val="2"/>
        <w:snapToGrid w:val="0"/>
        <w:spacing w:line="300" w:lineRule="auto"/>
        <w:ind w:firstLine="0" w:firstLineChars="0"/>
        <w:jc w:val="left"/>
        <w:rPr>
          <w:sz w:val="24"/>
        </w:rPr>
      </w:pPr>
      <w:r>
        <w:rPr>
          <w:b/>
          <w:bCs/>
          <w:sz w:val="24"/>
        </w:rPr>
        <w:t>2.</w:t>
      </w:r>
      <w:r>
        <w:rPr>
          <w:rFonts w:hint="eastAsia"/>
          <w:b/>
          <w:bCs/>
          <w:sz w:val="24"/>
          <w:lang w:val="en-US" w:eastAsia="zh-CN"/>
        </w:rPr>
        <w:t>0</w:t>
      </w:r>
      <w:r>
        <w:rPr>
          <w:b/>
          <w:bCs/>
          <w:sz w:val="24"/>
        </w:rPr>
        <w:t>.6</w:t>
      </w:r>
      <w:r>
        <w:rPr>
          <w:rFonts w:hint="eastAsia"/>
          <w:sz w:val="24"/>
        </w:rPr>
        <w:t xml:space="preserve"> 光伏发电系统 </w:t>
      </w:r>
      <w:r>
        <w:rPr>
          <w:rFonts w:hint="eastAsia"/>
          <w:sz w:val="24"/>
          <w:lang w:val="en-US" w:eastAsia="zh-CN"/>
        </w:rPr>
        <w:t xml:space="preserve">PV </w:t>
      </w:r>
      <w:r>
        <w:rPr>
          <w:rFonts w:hint="eastAsia"/>
          <w:sz w:val="24"/>
        </w:rPr>
        <w:t>Power system</w:t>
      </w:r>
    </w:p>
    <w:p w14:paraId="0A693D9D">
      <w:pPr>
        <w:snapToGrid w:val="0"/>
        <w:spacing w:line="300" w:lineRule="auto"/>
        <w:ind w:firstLine="480" w:firstLineChars="200"/>
        <w:jc w:val="left"/>
        <w:rPr>
          <w:sz w:val="24"/>
        </w:rPr>
      </w:pPr>
      <w:r>
        <w:rPr>
          <w:rFonts w:hint="eastAsia"/>
          <w:sz w:val="24"/>
        </w:rPr>
        <w:t>利用太阳能电池的光生伏特效应将</w:t>
      </w:r>
      <w:r>
        <w:rPr>
          <w:rFonts w:hint="eastAsia"/>
          <w:sz w:val="24"/>
          <w:highlight w:val="none"/>
          <w:lang w:val="en-US" w:eastAsia="zh-CN"/>
        </w:rPr>
        <w:t>太阳</w:t>
      </w:r>
      <w:r>
        <w:rPr>
          <w:rFonts w:hint="eastAsia"/>
          <w:sz w:val="24"/>
        </w:rPr>
        <w:t>辐射能直接转换成电能的发电系统。</w:t>
      </w:r>
    </w:p>
    <w:p w14:paraId="145B5B1A">
      <w:pPr>
        <w:snapToGrid w:val="0"/>
        <w:spacing w:line="300" w:lineRule="auto"/>
        <w:jc w:val="left"/>
        <w:rPr>
          <w:sz w:val="24"/>
        </w:rPr>
      </w:pPr>
      <w:r>
        <w:rPr>
          <w:b/>
          <w:bCs/>
          <w:sz w:val="24"/>
        </w:rPr>
        <w:t>2.</w:t>
      </w:r>
      <w:r>
        <w:rPr>
          <w:rFonts w:hint="eastAsia"/>
          <w:b/>
          <w:bCs/>
          <w:sz w:val="24"/>
          <w:lang w:val="en-US" w:eastAsia="zh-CN"/>
        </w:rPr>
        <w:t>0</w:t>
      </w:r>
      <w:r>
        <w:rPr>
          <w:b/>
          <w:bCs/>
          <w:sz w:val="24"/>
        </w:rPr>
        <w:t>.7</w:t>
      </w:r>
      <w:r>
        <w:rPr>
          <w:rFonts w:hint="eastAsia"/>
          <w:sz w:val="24"/>
        </w:rPr>
        <w:t xml:space="preserve"> </w:t>
      </w:r>
      <w:r>
        <w:rPr>
          <w:sz w:val="24"/>
        </w:rPr>
        <w:t>光伏方阵PV array</w:t>
      </w:r>
    </w:p>
    <w:p w14:paraId="18BF35DB">
      <w:pPr>
        <w:snapToGrid w:val="0"/>
        <w:spacing w:line="300" w:lineRule="auto"/>
        <w:ind w:firstLine="480" w:firstLineChars="200"/>
        <w:jc w:val="left"/>
        <w:rPr>
          <w:sz w:val="24"/>
        </w:rPr>
      </w:pPr>
      <w:r>
        <w:rPr>
          <w:sz w:val="24"/>
        </w:rPr>
        <w:t>将若干个光伏组件在机械和</w:t>
      </w:r>
      <w:r>
        <w:rPr>
          <w:rFonts w:hint="eastAsia"/>
          <w:sz w:val="24"/>
        </w:rPr>
        <w:t>电气上按一定方式组装在一起并且有固定的支撑结构而构成的直流发电单元。又称光伏阵列。</w:t>
      </w:r>
    </w:p>
    <w:p w14:paraId="238DA338">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3E6744A">
      <w:pPr>
        <w:snapToGrid w:val="0"/>
        <w:spacing w:line="300" w:lineRule="auto"/>
        <w:jc w:val="left"/>
        <w:rPr>
          <w:rFonts w:hint="eastAsia" w:eastAsia="仿宋"/>
          <w:lang w:val="en-US" w:eastAsia="zh-CN"/>
        </w:rPr>
      </w:pPr>
      <w:r>
        <w:rPr>
          <w:rFonts w:hint="eastAsia" w:ascii="仿宋" w:hAnsi="仿宋" w:eastAsia="仿宋" w:cs="仿宋"/>
          <w:b w:val="0"/>
          <w:bCs w:val="0"/>
          <w:i/>
          <w:iCs/>
          <w:color w:val="0623BA"/>
          <w:sz w:val="24"/>
        </w:rPr>
        <w:t>2.</w:t>
      </w:r>
      <w:r>
        <w:rPr>
          <w:rFonts w:hint="eastAsia" w:ascii="仿宋" w:hAnsi="仿宋" w:eastAsia="仿宋" w:cs="仿宋"/>
          <w:b w:val="0"/>
          <w:bCs w:val="0"/>
          <w:i/>
          <w:iCs/>
          <w:color w:val="0623BA"/>
          <w:sz w:val="24"/>
          <w:lang w:eastAsia="zh-CN"/>
        </w:rPr>
        <w:t>0</w:t>
      </w:r>
      <w:r>
        <w:rPr>
          <w:rFonts w:hint="eastAsia" w:ascii="仿宋" w:hAnsi="仿宋" w:eastAsia="仿宋" w:cs="仿宋"/>
          <w:b w:val="0"/>
          <w:bCs w:val="0"/>
          <w:i/>
          <w:iCs/>
          <w:color w:val="0623BA"/>
          <w:sz w:val="24"/>
        </w:rPr>
        <w:t xml:space="preserve">.7 </w:t>
      </w:r>
      <w:r>
        <w:rPr>
          <w:rFonts w:hint="eastAsia" w:ascii="仿宋" w:hAnsi="仿宋" w:eastAsia="仿宋" w:cs="仿宋"/>
          <w:i/>
          <w:iCs/>
          <w:color w:val="0623BA"/>
          <w:sz w:val="24"/>
        </w:rPr>
        <w:t>光伏方阵不包括基座、太阳跟踪器、温度控制器等类似的部件。如果一个方阵中有不同结构类型的组件或组件的连接方式不同，一般将结构和连接方式相同的部分方阵称为子方阵。</w:t>
      </w:r>
    </w:p>
    <w:p w14:paraId="729EB1B4">
      <w:pPr>
        <w:snapToGrid w:val="0"/>
        <w:spacing w:line="300" w:lineRule="auto"/>
        <w:jc w:val="left"/>
        <w:rPr>
          <w:sz w:val="24"/>
        </w:rPr>
      </w:pPr>
      <w:r>
        <w:rPr>
          <w:b/>
          <w:bCs/>
          <w:sz w:val="24"/>
        </w:rPr>
        <w:t>2.</w:t>
      </w:r>
      <w:r>
        <w:rPr>
          <w:rFonts w:hint="eastAsia"/>
          <w:b/>
          <w:bCs/>
          <w:sz w:val="24"/>
          <w:lang w:val="en-US" w:eastAsia="zh-CN"/>
        </w:rPr>
        <w:t>0</w:t>
      </w:r>
      <w:r>
        <w:rPr>
          <w:b/>
          <w:bCs/>
          <w:sz w:val="24"/>
        </w:rPr>
        <w:t>.</w:t>
      </w:r>
      <w:r>
        <w:rPr>
          <w:rFonts w:hint="eastAsia"/>
          <w:b/>
          <w:bCs/>
          <w:sz w:val="24"/>
          <w:lang w:val="en-US" w:eastAsia="zh-CN"/>
        </w:rPr>
        <w:t>8</w:t>
      </w:r>
      <w:r>
        <w:rPr>
          <w:rFonts w:hint="eastAsia"/>
          <w:b/>
          <w:bCs/>
          <w:sz w:val="24"/>
        </w:rPr>
        <w:t xml:space="preserve"> </w:t>
      </w:r>
      <w:r>
        <w:rPr>
          <w:sz w:val="24"/>
        </w:rPr>
        <w:t>建筑附加光伏发电系统building attached photovoltaic (BAPV)</w:t>
      </w:r>
    </w:p>
    <w:p w14:paraId="1D2DA39D">
      <w:pPr>
        <w:snapToGrid w:val="0"/>
        <w:spacing w:line="300" w:lineRule="auto"/>
        <w:ind w:firstLine="480" w:firstLineChars="200"/>
        <w:jc w:val="left"/>
        <w:rPr>
          <w:sz w:val="24"/>
        </w:rPr>
      </w:pPr>
      <w:r>
        <w:rPr>
          <w:sz w:val="24"/>
        </w:rPr>
        <w:t>光伏发电设备不作为建筑材料或构件在建筑上安装的形式。</w:t>
      </w:r>
    </w:p>
    <w:p w14:paraId="6AAB0C37">
      <w:pPr>
        <w:snapToGrid w:val="0"/>
        <w:spacing w:line="300" w:lineRule="auto"/>
        <w:ind w:firstLine="0" w:firstLineChars="0"/>
        <w:jc w:val="left"/>
        <w:rPr>
          <w:rFonts w:hint="default"/>
          <w:b w:val="0"/>
          <w:bCs w:val="0"/>
          <w:sz w:val="24"/>
          <w:lang w:val="en-US" w:eastAsia="zh-CN"/>
        </w:rPr>
      </w:pPr>
      <w:r>
        <w:rPr>
          <w:b/>
          <w:bCs/>
          <w:sz w:val="24"/>
        </w:rPr>
        <w:t>2.</w:t>
      </w:r>
      <w:r>
        <w:rPr>
          <w:rFonts w:hint="eastAsia"/>
          <w:b/>
          <w:bCs/>
          <w:sz w:val="24"/>
          <w:lang w:val="en-US" w:eastAsia="zh-CN"/>
        </w:rPr>
        <w:t>0</w:t>
      </w:r>
      <w:r>
        <w:rPr>
          <w:b/>
          <w:bCs/>
          <w:sz w:val="24"/>
        </w:rPr>
        <w:t>.</w:t>
      </w:r>
      <w:r>
        <w:rPr>
          <w:rFonts w:hint="eastAsia"/>
          <w:b/>
          <w:bCs/>
          <w:sz w:val="24"/>
          <w:lang w:val="en-US" w:eastAsia="zh-CN"/>
        </w:rPr>
        <w:t>9</w:t>
      </w:r>
      <w:r>
        <w:rPr>
          <w:rFonts w:hint="eastAsia"/>
          <w:b/>
          <w:bCs/>
          <w:sz w:val="24"/>
        </w:rPr>
        <w:t xml:space="preserve"> </w:t>
      </w:r>
      <w:r>
        <w:rPr>
          <w:rFonts w:hint="eastAsia"/>
          <w:b w:val="0"/>
          <w:bCs w:val="0"/>
          <w:sz w:val="24"/>
          <w:lang w:val="en-US" w:eastAsia="zh-CN"/>
        </w:rPr>
        <w:t>建</w:t>
      </w:r>
      <w:r>
        <w:rPr>
          <w:rFonts w:hint="default"/>
          <w:b w:val="0"/>
          <w:bCs w:val="0"/>
          <w:sz w:val="24"/>
          <w:lang w:val="en-US" w:eastAsia="zh-CN"/>
        </w:rPr>
        <w:t>筑集成光伏发电系统 building integrated photovoltaic （BIPV）</w:t>
      </w:r>
    </w:p>
    <w:p w14:paraId="34B4D6D1">
      <w:pPr>
        <w:snapToGrid w:val="0"/>
        <w:spacing w:line="300" w:lineRule="auto"/>
        <w:ind w:firstLine="480" w:firstLineChars="200"/>
        <w:jc w:val="left"/>
        <w:rPr>
          <w:rFonts w:hint="default" w:ascii="Times New Roman" w:hAnsi="Times New Roman"/>
          <w:b w:val="0"/>
          <w:bCs w:val="0"/>
          <w:sz w:val="24"/>
          <w:szCs w:val="24"/>
          <w:lang w:val="en-US" w:eastAsia="zh-CN"/>
        </w:rPr>
      </w:pPr>
      <w:r>
        <w:rPr>
          <w:rFonts w:hint="default" w:ascii="Times New Roman" w:hAnsi="Times New Roman"/>
          <w:b w:val="0"/>
          <w:bCs w:val="0"/>
          <w:sz w:val="24"/>
          <w:szCs w:val="24"/>
          <w:lang w:val="en-US" w:eastAsia="zh-CN"/>
        </w:rPr>
        <w:t>光伏发电设备作为建筑材料或构件，在建筑上应用的形式也称光伏建筑一体化。</w:t>
      </w:r>
    </w:p>
    <w:p w14:paraId="196C3246">
      <w:pPr>
        <w:snapToGrid w:val="0"/>
        <w:spacing w:line="300" w:lineRule="auto"/>
        <w:jc w:val="left"/>
        <w:rPr>
          <w:sz w:val="24"/>
        </w:rPr>
      </w:pPr>
      <w:r>
        <w:rPr>
          <w:b/>
          <w:bCs/>
          <w:sz w:val="24"/>
        </w:rPr>
        <w:t>2.</w:t>
      </w:r>
      <w:r>
        <w:rPr>
          <w:rFonts w:hint="eastAsia"/>
          <w:b/>
          <w:bCs/>
          <w:sz w:val="24"/>
          <w:lang w:val="en-US" w:eastAsia="zh-CN"/>
        </w:rPr>
        <w:t>0</w:t>
      </w:r>
      <w:r>
        <w:rPr>
          <w:b/>
          <w:bCs/>
          <w:sz w:val="24"/>
        </w:rPr>
        <w:t>.1</w:t>
      </w:r>
      <w:r>
        <w:rPr>
          <w:rFonts w:hint="eastAsia"/>
          <w:b/>
          <w:bCs/>
          <w:sz w:val="24"/>
          <w:lang w:val="en-US" w:eastAsia="zh-CN"/>
        </w:rPr>
        <w:t>0</w:t>
      </w:r>
      <w:r>
        <w:rPr>
          <w:rFonts w:hint="eastAsia"/>
          <w:sz w:val="24"/>
        </w:rPr>
        <w:t xml:space="preserve"> </w:t>
      </w:r>
      <w:r>
        <w:rPr>
          <w:sz w:val="24"/>
        </w:rPr>
        <w:t>独立光伏发电系统stand-alone photovoltaic system</w:t>
      </w:r>
    </w:p>
    <w:p w14:paraId="110CC6D5">
      <w:pPr>
        <w:snapToGrid w:val="0"/>
        <w:spacing w:line="300" w:lineRule="auto"/>
        <w:ind w:firstLine="480" w:firstLineChars="200"/>
        <w:jc w:val="left"/>
        <w:rPr>
          <w:sz w:val="24"/>
        </w:rPr>
      </w:pPr>
      <w:r>
        <w:rPr>
          <w:sz w:val="24"/>
        </w:rPr>
        <w:t>不与公共电网连接的光伏系统，也称离网光伏系统。</w:t>
      </w:r>
      <w:r>
        <w:rPr>
          <w:rFonts w:hint="eastAsia"/>
          <w:sz w:val="24"/>
        </w:rPr>
        <w:t>系统一般由光伏组件、储能蓄电池、控制器和离网逆变器组成。</w:t>
      </w:r>
    </w:p>
    <w:p w14:paraId="35C976A8">
      <w:pPr>
        <w:snapToGrid w:val="0"/>
        <w:spacing w:line="300" w:lineRule="auto"/>
        <w:jc w:val="left"/>
        <w:rPr>
          <w:sz w:val="24"/>
        </w:rPr>
      </w:pPr>
      <w:r>
        <w:rPr>
          <w:b/>
          <w:bCs/>
          <w:sz w:val="24"/>
        </w:rPr>
        <w:t>2.</w:t>
      </w:r>
      <w:r>
        <w:rPr>
          <w:rFonts w:hint="eastAsia"/>
          <w:b/>
          <w:bCs/>
          <w:sz w:val="24"/>
          <w:lang w:val="en-US" w:eastAsia="zh-CN"/>
        </w:rPr>
        <w:t>0</w:t>
      </w:r>
      <w:r>
        <w:rPr>
          <w:b/>
          <w:bCs/>
          <w:sz w:val="24"/>
        </w:rPr>
        <w:t>.1</w:t>
      </w:r>
      <w:r>
        <w:rPr>
          <w:rFonts w:hint="eastAsia"/>
          <w:b/>
          <w:bCs/>
          <w:sz w:val="24"/>
          <w:lang w:val="en-US" w:eastAsia="zh-CN"/>
        </w:rPr>
        <w:t>1</w:t>
      </w:r>
      <w:r>
        <w:rPr>
          <w:rFonts w:hint="eastAsia"/>
          <w:sz w:val="24"/>
        </w:rPr>
        <w:t xml:space="preserve"> </w:t>
      </w:r>
      <w:r>
        <w:rPr>
          <w:sz w:val="24"/>
        </w:rPr>
        <w:t>并网光伏</w:t>
      </w:r>
      <w:r>
        <w:rPr>
          <w:rFonts w:hint="eastAsia"/>
          <w:sz w:val="24"/>
        </w:rPr>
        <w:t>发电</w:t>
      </w:r>
      <w:r>
        <w:rPr>
          <w:sz w:val="24"/>
        </w:rPr>
        <w:t>系统grid-connected PV system</w:t>
      </w:r>
    </w:p>
    <w:p w14:paraId="7311B5A4">
      <w:pPr>
        <w:snapToGrid w:val="0"/>
        <w:spacing w:line="300" w:lineRule="auto"/>
        <w:ind w:firstLine="480" w:firstLineChars="200"/>
        <w:jc w:val="left"/>
        <w:rPr>
          <w:sz w:val="24"/>
        </w:rPr>
      </w:pPr>
      <w:r>
        <w:rPr>
          <w:sz w:val="24"/>
        </w:rPr>
        <w:t>与公共电网</w:t>
      </w:r>
      <w:r>
        <w:rPr>
          <w:rFonts w:hint="eastAsia"/>
          <w:sz w:val="24"/>
          <w:lang w:val="en-US" w:eastAsia="zh-CN"/>
        </w:rPr>
        <w:t>连</w:t>
      </w:r>
      <w:r>
        <w:rPr>
          <w:sz w:val="24"/>
        </w:rPr>
        <w:t>接的光伏系统。</w:t>
      </w:r>
      <w:r>
        <w:rPr>
          <w:rFonts w:hint="eastAsia"/>
          <w:sz w:val="24"/>
        </w:rPr>
        <w:t>系统一般由光伏阵列、逆变器和电网接入设备组成</w:t>
      </w:r>
      <w:r>
        <w:rPr>
          <w:rFonts w:hint="eastAsia"/>
          <w:sz w:val="24"/>
          <w:lang w:eastAsia="zh-CN"/>
        </w:rPr>
        <w:t>，</w:t>
      </w:r>
      <w:r>
        <w:rPr>
          <w:rFonts w:hint="eastAsia"/>
          <w:sz w:val="24"/>
        </w:rPr>
        <w:t>高压接入需有升压装置。</w:t>
      </w:r>
    </w:p>
    <w:p w14:paraId="1F886C5C">
      <w:pPr>
        <w:snapToGrid w:val="0"/>
        <w:spacing w:line="300" w:lineRule="auto"/>
        <w:jc w:val="left"/>
        <w:rPr>
          <w:rFonts w:hint="default"/>
          <w:sz w:val="24"/>
          <w:lang w:val="en-US" w:eastAsia="zh-CN"/>
        </w:rPr>
      </w:pPr>
      <w:r>
        <w:rPr>
          <w:b/>
          <w:bCs/>
          <w:sz w:val="24"/>
        </w:rPr>
        <w:t>2.</w:t>
      </w:r>
      <w:r>
        <w:rPr>
          <w:rFonts w:hint="eastAsia"/>
          <w:b/>
          <w:bCs/>
          <w:sz w:val="24"/>
          <w:lang w:val="en-US" w:eastAsia="zh-CN"/>
        </w:rPr>
        <w:t>0</w:t>
      </w:r>
      <w:r>
        <w:rPr>
          <w:b/>
          <w:bCs/>
          <w:sz w:val="24"/>
        </w:rPr>
        <w:t>.1</w:t>
      </w:r>
      <w:r>
        <w:rPr>
          <w:rFonts w:hint="eastAsia"/>
          <w:b/>
          <w:bCs/>
          <w:sz w:val="24"/>
          <w:lang w:val="en-US" w:eastAsia="zh-CN"/>
        </w:rPr>
        <w:t>2</w:t>
      </w:r>
      <w:r>
        <w:rPr>
          <w:rFonts w:hint="eastAsia"/>
          <w:sz w:val="24"/>
        </w:rPr>
        <w:t xml:space="preserve"> </w:t>
      </w:r>
      <w:r>
        <w:rPr>
          <w:rFonts w:hint="eastAsia"/>
          <w:sz w:val="24"/>
          <w:lang w:val="en-US" w:eastAsia="zh-CN"/>
        </w:rPr>
        <w:t>光伏构件</w:t>
      </w:r>
      <w:r>
        <w:rPr>
          <w:rFonts w:hint="eastAsia"/>
          <w:lang w:val="en-US" w:eastAsia="zh-CN"/>
        </w:rPr>
        <w:t xml:space="preserve">PV </w:t>
      </w:r>
      <w:r>
        <w:rPr>
          <w:rFonts w:hint="default"/>
          <w:sz w:val="24"/>
          <w:lang w:val="en-US" w:eastAsia="zh-CN"/>
        </w:rPr>
        <w:t>components</w:t>
      </w:r>
    </w:p>
    <w:p w14:paraId="1071CC22">
      <w:pPr>
        <w:snapToGrid w:val="0"/>
        <w:spacing w:line="300" w:lineRule="auto"/>
        <w:ind w:firstLine="480" w:firstLineChars="200"/>
        <w:jc w:val="left"/>
        <w:rPr>
          <w:rFonts w:hint="default" w:cs="Times New Roman"/>
          <w:b w:val="0"/>
          <w:bCs w:val="0"/>
          <w:i w:val="0"/>
          <w:iCs w:val="0"/>
          <w:sz w:val="24"/>
          <w:szCs w:val="24"/>
          <w:lang w:eastAsia="zh-CN"/>
        </w:rPr>
      </w:pPr>
      <w:r>
        <w:rPr>
          <w:rFonts w:hint="default" w:ascii="Times New Roman" w:hAnsi="Times New Roman" w:eastAsia="宋体" w:cs="Times New Roman"/>
          <w:b w:val="0"/>
          <w:bCs w:val="0"/>
          <w:i w:val="0"/>
          <w:iCs w:val="0"/>
          <w:sz w:val="24"/>
          <w:szCs w:val="24"/>
        </w:rPr>
        <w:t>经过模块化预制，具备光伏发电功能的建筑材料或构件，包括建材型光伏构件（如光伏瓦、光伏墙板、光伏砖等</w:t>
      </w:r>
      <w:r>
        <w:rPr>
          <w:rFonts w:hint="default" w:cs="Times New Roman"/>
          <w:b w:val="0"/>
          <w:bCs w:val="0"/>
          <w:i w:val="0"/>
          <w:iCs w:val="0"/>
          <w:sz w:val="24"/>
          <w:szCs w:val="24"/>
          <w:lang w:eastAsia="zh-CN"/>
        </w:rPr>
        <w:t>）</w:t>
      </w:r>
      <w:r>
        <w:rPr>
          <w:rFonts w:hint="default" w:ascii="Times New Roman" w:hAnsi="Times New Roman" w:eastAsia="宋体" w:cs="Times New Roman"/>
          <w:b w:val="0"/>
          <w:bCs w:val="0"/>
          <w:i w:val="0"/>
          <w:iCs w:val="0"/>
          <w:sz w:val="24"/>
          <w:szCs w:val="24"/>
        </w:rPr>
        <w:t>和普通型光伏构件</w:t>
      </w:r>
      <w:r>
        <w:rPr>
          <w:rFonts w:hint="default" w:cs="Times New Roman"/>
          <w:b w:val="0"/>
          <w:bCs w:val="0"/>
          <w:i w:val="0"/>
          <w:iCs w:val="0"/>
          <w:sz w:val="24"/>
          <w:szCs w:val="24"/>
          <w:lang w:eastAsia="zh-CN"/>
        </w:rPr>
        <w:t>。</w:t>
      </w:r>
    </w:p>
    <w:p w14:paraId="0A8B705A">
      <w:pPr>
        <w:snapToGrid w:val="0"/>
        <w:spacing w:line="300" w:lineRule="auto"/>
        <w:jc w:val="left"/>
        <w:rPr>
          <w:rFonts w:hint="eastAsia" w:eastAsia="宋体"/>
          <w:sz w:val="24"/>
          <w:lang w:eastAsia="zh-CN"/>
        </w:rPr>
      </w:pPr>
      <w:r>
        <w:rPr>
          <w:b/>
          <w:bCs/>
          <w:sz w:val="24"/>
        </w:rPr>
        <w:t>2.</w:t>
      </w:r>
      <w:r>
        <w:rPr>
          <w:rFonts w:hint="eastAsia"/>
          <w:b/>
          <w:bCs/>
          <w:sz w:val="24"/>
          <w:lang w:val="en-US" w:eastAsia="zh-CN"/>
        </w:rPr>
        <w:t>0</w:t>
      </w:r>
      <w:r>
        <w:rPr>
          <w:b/>
          <w:bCs/>
          <w:sz w:val="24"/>
        </w:rPr>
        <w:t>.1</w:t>
      </w:r>
      <w:r>
        <w:rPr>
          <w:rFonts w:hint="eastAsia"/>
          <w:b/>
          <w:bCs/>
          <w:sz w:val="24"/>
          <w:lang w:val="en-US" w:eastAsia="zh-CN"/>
        </w:rPr>
        <w:t>3</w:t>
      </w:r>
      <w:r>
        <w:rPr>
          <w:rFonts w:hint="eastAsia"/>
          <w:sz w:val="24"/>
        </w:rPr>
        <w:t xml:space="preserve"> </w:t>
      </w:r>
      <w:r>
        <w:rPr>
          <w:rFonts w:hint="eastAsia"/>
          <w:sz w:val="24"/>
          <w:lang w:val="en-US" w:eastAsia="zh-CN"/>
        </w:rPr>
        <w:t>光伏组件</w:t>
      </w:r>
      <w:r>
        <w:rPr>
          <w:sz w:val="24"/>
        </w:rPr>
        <w:t xml:space="preserve">倾角tilt angle of PV </w:t>
      </w:r>
      <w:r>
        <w:rPr>
          <w:rFonts w:hint="eastAsia"/>
          <w:sz w:val="24"/>
          <w:lang w:val="en-US" w:eastAsia="zh-CN"/>
        </w:rPr>
        <w:t>module</w:t>
      </w:r>
    </w:p>
    <w:p w14:paraId="7124969C">
      <w:pPr>
        <w:snapToGrid w:val="0"/>
        <w:spacing w:line="300" w:lineRule="auto"/>
        <w:ind w:firstLine="480" w:firstLineChars="200"/>
        <w:jc w:val="left"/>
        <w:rPr>
          <w:sz w:val="24"/>
        </w:rPr>
      </w:pPr>
      <w:r>
        <w:rPr>
          <w:sz w:val="24"/>
        </w:rPr>
        <w:t>光伏</w:t>
      </w:r>
      <w:r>
        <w:rPr>
          <w:rFonts w:hint="eastAsia"/>
          <w:sz w:val="24"/>
          <w:lang w:val="en-US" w:eastAsia="zh-CN"/>
        </w:rPr>
        <w:t>组件</w:t>
      </w:r>
      <w:r>
        <w:rPr>
          <w:sz w:val="24"/>
        </w:rPr>
        <w:t>所在平面与水平面的夹角。</w:t>
      </w:r>
    </w:p>
    <w:p w14:paraId="7FFCF7F2">
      <w:pPr>
        <w:snapToGrid w:val="0"/>
        <w:spacing w:line="300" w:lineRule="auto"/>
        <w:jc w:val="left"/>
        <w:rPr>
          <w:rFonts w:hint="default" w:eastAsia="宋体"/>
          <w:sz w:val="24"/>
          <w:lang w:val="en-US" w:eastAsia="zh-CN"/>
        </w:rPr>
      </w:pPr>
      <w:r>
        <w:rPr>
          <w:b/>
          <w:bCs/>
          <w:sz w:val="24"/>
        </w:rPr>
        <w:t>2.</w:t>
      </w:r>
      <w:r>
        <w:rPr>
          <w:rFonts w:hint="eastAsia"/>
          <w:b/>
          <w:bCs/>
          <w:sz w:val="24"/>
          <w:lang w:val="en-US" w:eastAsia="zh-CN"/>
        </w:rPr>
        <w:t>0</w:t>
      </w:r>
      <w:r>
        <w:rPr>
          <w:b/>
          <w:bCs/>
          <w:sz w:val="24"/>
        </w:rPr>
        <w:t>.1</w:t>
      </w:r>
      <w:r>
        <w:rPr>
          <w:rFonts w:hint="eastAsia"/>
          <w:b/>
          <w:bCs/>
          <w:sz w:val="24"/>
          <w:lang w:val="en-US" w:eastAsia="zh-CN"/>
        </w:rPr>
        <w:t>4</w:t>
      </w:r>
      <w:r>
        <w:rPr>
          <w:rFonts w:hint="eastAsia"/>
          <w:b/>
          <w:bCs/>
          <w:sz w:val="24"/>
        </w:rPr>
        <w:t xml:space="preserve"> </w:t>
      </w:r>
      <w:r>
        <w:rPr>
          <w:rFonts w:hint="eastAsia"/>
          <w:sz w:val="24"/>
          <w:lang w:val="en-US" w:eastAsia="zh-CN"/>
        </w:rPr>
        <w:t>光储直柔系统solar DC system with energy storage for flexibility improvement (PEDF)</w:t>
      </w:r>
    </w:p>
    <w:p w14:paraId="67D84CB6">
      <w:pPr>
        <w:snapToGrid w:val="0"/>
        <w:spacing w:line="300" w:lineRule="auto"/>
        <w:ind w:firstLine="480" w:firstLineChars="200"/>
        <w:jc w:val="left"/>
        <w:rPr>
          <w:sz w:val="24"/>
        </w:rPr>
      </w:pPr>
      <w:r>
        <w:rPr>
          <w:rFonts w:hint="eastAsia"/>
          <w:sz w:val="24"/>
        </w:rPr>
        <w:t>配置建筑光伏或其他可再生电力设备和建筑储能，采用直流配电系统且具备功率主动响应功能的新型建筑供配电系统。</w:t>
      </w:r>
    </w:p>
    <w:p w14:paraId="2C0D69F6">
      <w:pPr>
        <w:snapToGrid w:val="0"/>
        <w:spacing w:line="300" w:lineRule="auto"/>
        <w:jc w:val="left"/>
        <w:rPr>
          <w:sz w:val="24"/>
        </w:rPr>
      </w:pPr>
      <w:r>
        <w:rPr>
          <w:b/>
          <w:bCs/>
          <w:sz w:val="24"/>
        </w:rPr>
        <w:t>2.</w:t>
      </w:r>
      <w:r>
        <w:rPr>
          <w:rFonts w:hint="eastAsia"/>
          <w:b/>
          <w:bCs/>
          <w:sz w:val="24"/>
          <w:lang w:val="en-US" w:eastAsia="zh-CN"/>
        </w:rPr>
        <w:t>0</w:t>
      </w:r>
      <w:r>
        <w:rPr>
          <w:b/>
          <w:bCs/>
          <w:sz w:val="24"/>
        </w:rPr>
        <w:t>.</w:t>
      </w:r>
      <w:r>
        <w:rPr>
          <w:rFonts w:hint="eastAsia"/>
          <w:b/>
          <w:bCs/>
          <w:sz w:val="24"/>
          <w:lang w:val="en-US" w:eastAsia="zh-CN"/>
        </w:rPr>
        <w:t>15</w:t>
      </w:r>
      <w:r>
        <w:rPr>
          <w:rFonts w:hint="eastAsia"/>
          <w:sz w:val="24"/>
        </w:rPr>
        <w:t xml:space="preserve"> </w:t>
      </w:r>
      <w:r>
        <w:rPr>
          <w:sz w:val="24"/>
        </w:rPr>
        <w:t>并网逆变器grid-connected inverter</w:t>
      </w:r>
    </w:p>
    <w:p w14:paraId="1E4D2869">
      <w:pPr>
        <w:snapToGrid w:val="0"/>
        <w:spacing w:line="300" w:lineRule="auto"/>
        <w:ind w:firstLine="480" w:firstLineChars="200"/>
        <w:jc w:val="left"/>
        <w:rPr>
          <w:sz w:val="24"/>
        </w:rPr>
      </w:pPr>
      <w:r>
        <w:rPr>
          <w:sz w:val="24"/>
        </w:rPr>
        <w:t>将来自</w:t>
      </w:r>
      <w:r>
        <w:rPr>
          <w:rFonts w:hint="eastAsia"/>
          <w:sz w:val="24"/>
          <w:lang w:val="en-US" w:eastAsia="zh-CN"/>
        </w:rPr>
        <w:t>光伏</w:t>
      </w:r>
      <w:r>
        <w:rPr>
          <w:sz w:val="24"/>
        </w:rPr>
        <w:t>方阵的直流电流变换为符合电网要求的交流电流的装置。</w:t>
      </w:r>
    </w:p>
    <w:p w14:paraId="314B6103">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48BD274">
      <w:pPr>
        <w:pStyle w:val="2"/>
        <w:spacing w:line="300" w:lineRule="auto"/>
        <w:rPr>
          <w:rFonts w:hint="eastAsia" w:ascii="仿宋" w:hAnsi="仿宋" w:eastAsia="仿宋" w:cs="仿宋"/>
          <w:i/>
          <w:iCs/>
          <w:color w:val="0623BA"/>
          <w:sz w:val="24"/>
        </w:rPr>
      </w:pPr>
      <w:r>
        <w:rPr>
          <w:rFonts w:hint="eastAsia" w:ascii="仿宋" w:hAnsi="仿宋" w:eastAsia="仿宋" w:cs="仿宋"/>
          <w:b w:val="0"/>
          <w:bCs w:val="0"/>
          <w:i/>
          <w:iCs/>
          <w:color w:val="0623BA"/>
          <w:sz w:val="24"/>
        </w:rPr>
        <w:t>2.</w:t>
      </w:r>
      <w:r>
        <w:rPr>
          <w:rFonts w:hint="eastAsia" w:ascii="仿宋" w:hAnsi="仿宋" w:eastAsia="仿宋" w:cs="仿宋"/>
          <w:b w:val="0"/>
          <w:bCs w:val="0"/>
          <w:i/>
          <w:iCs/>
          <w:color w:val="0623BA"/>
          <w:sz w:val="24"/>
          <w:lang w:eastAsia="zh-CN"/>
        </w:rPr>
        <w:t>0</w:t>
      </w:r>
      <w:r>
        <w:rPr>
          <w:rFonts w:hint="eastAsia" w:ascii="仿宋" w:hAnsi="仿宋" w:eastAsia="仿宋" w:cs="仿宋"/>
          <w:b w:val="0"/>
          <w:bCs w:val="0"/>
          <w:i/>
          <w:iCs/>
          <w:color w:val="0623BA"/>
          <w:sz w:val="24"/>
        </w:rPr>
        <w:t>.</w:t>
      </w:r>
      <w:r>
        <w:rPr>
          <w:rFonts w:hint="eastAsia" w:ascii="仿宋" w:hAnsi="仿宋" w:eastAsia="仿宋" w:cs="仿宋"/>
          <w:b w:val="0"/>
          <w:bCs w:val="0"/>
          <w:i/>
          <w:iCs/>
          <w:color w:val="0623BA"/>
          <w:sz w:val="24"/>
          <w:lang w:val="en-US" w:eastAsia="zh-CN"/>
        </w:rPr>
        <w:t>15</w:t>
      </w:r>
      <w:r>
        <w:rPr>
          <w:rFonts w:hint="eastAsia" w:ascii="仿宋" w:hAnsi="仿宋" w:eastAsia="仿宋" w:cs="仿宋"/>
          <w:i/>
          <w:iCs/>
          <w:color w:val="0623BA"/>
          <w:sz w:val="24"/>
        </w:rPr>
        <w:t xml:space="preserve"> 并网逆变器可将电能变换成一种或多种电能形式，以供后续电网使用。并网逆变器一般包括最大功率跟踪等功能。</w:t>
      </w:r>
    </w:p>
    <w:p w14:paraId="40BF8BB8">
      <w:pPr>
        <w:snapToGrid w:val="0"/>
        <w:spacing w:line="300" w:lineRule="auto"/>
        <w:jc w:val="left"/>
        <w:rPr>
          <w:sz w:val="24"/>
        </w:rPr>
      </w:pPr>
      <w:r>
        <w:rPr>
          <w:b/>
          <w:bCs/>
          <w:sz w:val="24"/>
        </w:rPr>
        <w:t>2.</w:t>
      </w:r>
      <w:r>
        <w:rPr>
          <w:rFonts w:hint="eastAsia"/>
          <w:b/>
          <w:bCs/>
          <w:sz w:val="24"/>
          <w:lang w:val="en-US" w:eastAsia="zh-CN"/>
        </w:rPr>
        <w:t>0</w:t>
      </w:r>
      <w:r>
        <w:rPr>
          <w:b/>
          <w:bCs/>
          <w:sz w:val="24"/>
        </w:rPr>
        <w:t>.</w:t>
      </w:r>
      <w:r>
        <w:rPr>
          <w:rFonts w:hint="eastAsia"/>
          <w:b/>
          <w:bCs/>
          <w:sz w:val="24"/>
          <w:lang w:val="en-US" w:eastAsia="zh-CN"/>
        </w:rPr>
        <w:t>16</w:t>
      </w:r>
      <w:r>
        <w:rPr>
          <w:rFonts w:hint="eastAsia"/>
          <w:sz w:val="24"/>
        </w:rPr>
        <w:t xml:space="preserve"> </w:t>
      </w:r>
      <w:r>
        <w:rPr>
          <w:sz w:val="24"/>
        </w:rPr>
        <w:t>孤岛效应islanding effect</w:t>
      </w:r>
    </w:p>
    <w:p w14:paraId="06179933">
      <w:pPr>
        <w:snapToGrid w:val="0"/>
        <w:spacing w:line="300" w:lineRule="auto"/>
        <w:ind w:firstLine="480" w:firstLineChars="200"/>
        <w:jc w:val="left"/>
        <w:rPr>
          <w:sz w:val="24"/>
        </w:rPr>
      </w:pPr>
      <w:r>
        <w:rPr>
          <w:sz w:val="24"/>
        </w:rPr>
        <w:t>在电网失压时，并网光伏系统仍保持对失压电网中的某一部分线路继续供电的状态。</w:t>
      </w:r>
    </w:p>
    <w:p w14:paraId="3C51DE18">
      <w:pPr>
        <w:snapToGrid w:val="0"/>
        <w:spacing w:line="300" w:lineRule="auto"/>
        <w:jc w:val="left"/>
        <w:rPr>
          <w:sz w:val="24"/>
        </w:rPr>
      </w:pPr>
      <w:r>
        <w:rPr>
          <w:b/>
          <w:bCs/>
          <w:sz w:val="24"/>
        </w:rPr>
        <w:t>2.</w:t>
      </w:r>
      <w:r>
        <w:rPr>
          <w:rFonts w:hint="eastAsia"/>
          <w:b/>
          <w:bCs/>
          <w:sz w:val="24"/>
          <w:lang w:val="en-US" w:eastAsia="zh-CN"/>
        </w:rPr>
        <w:t>0</w:t>
      </w:r>
      <w:r>
        <w:rPr>
          <w:b/>
          <w:bCs/>
          <w:sz w:val="24"/>
        </w:rPr>
        <w:t>.</w:t>
      </w:r>
      <w:r>
        <w:rPr>
          <w:rFonts w:hint="eastAsia"/>
          <w:b/>
          <w:bCs/>
          <w:sz w:val="24"/>
          <w:lang w:val="en-US" w:eastAsia="zh-CN"/>
        </w:rPr>
        <w:t>17</w:t>
      </w:r>
      <w:r>
        <w:rPr>
          <w:rFonts w:hint="eastAsia"/>
          <w:sz w:val="24"/>
        </w:rPr>
        <w:t xml:space="preserve"> </w:t>
      </w:r>
      <w:r>
        <w:rPr>
          <w:sz w:val="24"/>
        </w:rPr>
        <w:t>电网保护装置protection device for grid</w:t>
      </w:r>
    </w:p>
    <w:p w14:paraId="46145FCC">
      <w:pPr>
        <w:snapToGrid w:val="0"/>
        <w:spacing w:line="300" w:lineRule="auto"/>
        <w:ind w:firstLine="480" w:firstLineChars="200"/>
        <w:jc w:val="left"/>
        <w:rPr>
          <w:sz w:val="24"/>
        </w:rPr>
      </w:pPr>
      <w:r>
        <w:rPr>
          <w:sz w:val="24"/>
        </w:rPr>
        <w:t>监测光伏系统并网的运行状态，在技术指标越限情况下将光伏系统与电网安全解列的装置。</w:t>
      </w:r>
    </w:p>
    <w:p w14:paraId="154DA76B">
      <w:pPr>
        <w:snapToGrid w:val="0"/>
        <w:spacing w:line="300" w:lineRule="auto"/>
        <w:jc w:val="left"/>
        <w:rPr>
          <w:sz w:val="24"/>
        </w:rPr>
      </w:pPr>
      <w:r>
        <w:rPr>
          <w:b/>
          <w:bCs/>
          <w:sz w:val="24"/>
        </w:rPr>
        <w:t>2.</w:t>
      </w:r>
      <w:r>
        <w:rPr>
          <w:rFonts w:hint="eastAsia"/>
          <w:b/>
          <w:bCs/>
          <w:sz w:val="24"/>
          <w:lang w:val="en-US" w:eastAsia="zh-CN"/>
        </w:rPr>
        <w:t>0</w:t>
      </w:r>
      <w:r>
        <w:rPr>
          <w:b/>
          <w:bCs/>
          <w:sz w:val="24"/>
        </w:rPr>
        <w:t>.</w:t>
      </w:r>
      <w:r>
        <w:rPr>
          <w:rFonts w:hint="eastAsia"/>
          <w:b/>
          <w:bCs/>
          <w:sz w:val="24"/>
          <w:lang w:val="en-US" w:eastAsia="zh-CN"/>
        </w:rPr>
        <w:t>18</w:t>
      </w:r>
      <w:r>
        <w:rPr>
          <w:rFonts w:hint="eastAsia"/>
          <w:sz w:val="24"/>
        </w:rPr>
        <w:t>热斑效应</w:t>
      </w:r>
      <w:r>
        <w:rPr>
          <w:sz w:val="24"/>
        </w:rPr>
        <w:t xml:space="preserve"> hot spot effect</w:t>
      </w:r>
    </w:p>
    <w:p w14:paraId="7F291DCF">
      <w:pPr>
        <w:snapToGrid w:val="0"/>
        <w:spacing w:line="300" w:lineRule="auto"/>
        <w:ind w:firstLine="480" w:firstLineChars="200"/>
        <w:jc w:val="left"/>
        <w:rPr>
          <w:rFonts w:hint="eastAsia"/>
        </w:rPr>
      </w:pPr>
      <w:r>
        <w:rPr>
          <w:rFonts w:hint="eastAsia"/>
          <w:sz w:val="24"/>
        </w:rPr>
        <w:t>光伏电池因被遮蔽而成为其它光伏电池的负载，导致发热的现象。</w:t>
      </w:r>
    </w:p>
    <w:p w14:paraId="118673FF">
      <w:pPr>
        <w:pStyle w:val="5"/>
        <w:spacing w:line="300" w:lineRule="auto"/>
        <w:jc w:val="center"/>
        <w:rPr>
          <w:rFonts w:hint="default" w:ascii="Times New Roman" w:hAnsi="Times New Roman" w:eastAsia="黑体" w:cs="Times New Roman"/>
          <w:sz w:val="28"/>
          <w:szCs w:val="28"/>
        </w:rPr>
        <w:sectPr>
          <w:footerReference r:id="rId11" w:type="default"/>
          <w:pgSz w:w="11906" w:h="16838"/>
          <w:pgMar w:top="1440" w:right="1800" w:bottom="1440" w:left="1800" w:header="851" w:footer="850" w:gutter="0"/>
          <w:pgNumType w:fmt="decimal" w:start="1"/>
          <w:cols w:space="720" w:num="1"/>
          <w:docGrid w:type="lines" w:linePitch="312" w:charSpace="0"/>
        </w:sectPr>
      </w:pPr>
      <w:bookmarkStart w:id="46" w:name="_Toc23023"/>
      <w:bookmarkStart w:id="47" w:name="_Toc4520"/>
      <w:bookmarkStart w:id="48" w:name="_Toc20340"/>
    </w:p>
    <w:p w14:paraId="36DA7E98">
      <w:pPr>
        <w:pStyle w:val="5"/>
        <w:spacing w:line="300" w:lineRule="auto"/>
        <w:jc w:val="center"/>
        <w:rPr>
          <w:rFonts w:hint="default" w:ascii="Times New Roman" w:hAnsi="Times New Roman" w:eastAsia="黑体" w:cs="Times New Roman"/>
          <w:sz w:val="28"/>
          <w:szCs w:val="28"/>
        </w:rPr>
      </w:pPr>
      <w:bookmarkStart w:id="49" w:name="_Toc18584"/>
      <w:bookmarkStart w:id="50" w:name="_Toc23236"/>
      <w:bookmarkStart w:id="51" w:name="_Toc15567"/>
      <w:bookmarkStart w:id="52" w:name="_Toc20075"/>
      <w:bookmarkStart w:id="53" w:name="_Toc26617"/>
      <w:r>
        <w:rPr>
          <w:rFonts w:hint="default" w:ascii="Times New Roman" w:hAnsi="Times New Roman" w:eastAsia="黑体" w:cs="Times New Roman"/>
          <w:sz w:val="28"/>
          <w:szCs w:val="28"/>
        </w:rPr>
        <w:t>3 基本规定</w:t>
      </w:r>
      <w:bookmarkEnd w:id="46"/>
      <w:bookmarkEnd w:id="47"/>
      <w:bookmarkEnd w:id="48"/>
      <w:bookmarkEnd w:id="49"/>
      <w:bookmarkEnd w:id="50"/>
      <w:bookmarkEnd w:id="51"/>
      <w:bookmarkEnd w:id="52"/>
      <w:bookmarkEnd w:id="53"/>
    </w:p>
    <w:p w14:paraId="0797DD58">
      <w:pPr>
        <w:snapToGrid w:val="0"/>
        <w:spacing w:line="300" w:lineRule="auto"/>
        <w:jc w:val="left"/>
        <w:rPr>
          <w:rFonts w:hint="default"/>
          <w:b w:val="0"/>
          <w:bCs w:val="0"/>
          <w:sz w:val="24"/>
          <w:lang w:val="en-US" w:eastAsia="zh-CN"/>
        </w:rPr>
      </w:pPr>
      <w:r>
        <w:rPr>
          <w:b/>
          <w:bCs/>
          <w:sz w:val="24"/>
        </w:rPr>
        <w:t>3.0.1</w:t>
      </w:r>
      <w:r>
        <w:rPr>
          <w:rFonts w:hint="eastAsia"/>
          <w:b/>
          <w:bCs/>
          <w:sz w:val="24"/>
          <w:lang w:val="en-US" w:eastAsia="zh-CN"/>
        </w:rPr>
        <w:t xml:space="preserve"> </w:t>
      </w:r>
      <w:r>
        <w:rPr>
          <w:rFonts w:hint="default"/>
          <w:b w:val="0"/>
          <w:bCs w:val="0"/>
          <w:sz w:val="24"/>
          <w:lang w:val="en-US" w:eastAsia="zh-CN"/>
        </w:rPr>
        <w:t>建筑光伏系统的开发利用，应综合考虑</w:t>
      </w:r>
      <w:r>
        <w:rPr>
          <w:rFonts w:hint="eastAsia"/>
          <w:b w:val="0"/>
          <w:bCs w:val="0"/>
          <w:sz w:val="24"/>
          <w:lang w:val="en-US" w:eastAsia="zh-CN"/>
        </w:rPr>
        <w:t>广东省总体规划、</w:t>
      </w:r>
      <w:r>
        <w:rPr>
          <w:rFonts w:hint="default"/>
          <w:b w:val="0"/>
          <w:bCs w:val="0"/>
          <w:sz w:val="24"/>
          <w:lang w:val="en-US" w:eastAsia="zh-CN"/>
        </w:rPr>
        <w:t>新能源发展规划、电网基础设施、区域电网消纳</w:t>
      </w:r>
      <w:r>
        <w:rPr>
          <w:rFonts w:hint="eastAsia"/>
          <w:b w:val="0"/>
          <w:bCs w:val="0"/>
          <w:sz w:val="24"/>
          <w:lang w:val="en-US" w:eastAsia="zh-CN"/>
        </w:rPr>
        <w:t>及接入</w:t>
      </w:r>
      <w:r>
        <w:rPr>
          <w:rFonts w:hint="default"/>
          <w:b w:val="0"/>
          <w:bCs w:val="0"/>
          <w:sz w:val="24"/>
          <w:lang w:val="en-US" w:eastAsia="zh-CN"/>
        </w:rPr>
        <w:t>能力等因素。</w:t>
      </w:r>
    </w:p>
    <w:p w14:paraId="2C7B563A">
      <w:pPr>
        <w:snapToGrid w:val="0"/>
        <w:spacing w:line="300" w:lineRule="auto"/>
        <w:jc w:val="left"/>
        <w:rPr>
          <w:rFonts w:hint="eastAsia" w:eastAsia="宋体"/>
          <w:b/>
          <w:bCs/>
          <w:sz w:val="24"/>
          <w:lang w:val="en-US" w:eastAsia="zh-CN"/>
        </w:rPr>
      </w:pPr>
      <w:r>
        <w:rPr>
          <w:rFonts w:hint="eastAsia"/>
          <w:b/>
          <w:bCs/>
          <w:sz w:val="24"/>
          <w:lang w:val="en-US" w:eastAsia="zh-CN"/>
        </w:rPr>
        <w:t xml:space="preserve">3.0.2 </w:t>
      </w:r>
      <w:r>
        <w:rPr>
          <w:rFonts w:hint="default"/>
          <w:b w:val="0"/>
          <w:bCs w:val="0"/>
          <w:sz w:val="24"/>
          <w:lang w:val="en-US" w:eastAsia="zh-CN"/>
        </w:rPr>
        <w:t>建筑光伏系统的发电规模和形式应结合广东省</w:t>
      </w:r>
      <w:r>
        <w:rPr>
          <w:rFonts w:hint="eastAsia"/>
          <w:b w:val="0"/>
          <w:bCs w:val="0"/>
          <w:sz w:val="24"/>
          <w:lang w:val="en-US" w:eastAsia="zh-CN"/>
        </w:rPr>
        <w:t>当地</w:t>
      </w:r>
      <w:r>
        <w:rPr>
          <w:rFonts w:hint="default"/>
          <w:b w:val="0"/>
          <w:bCs w:val="0"/>
          <w:sz w:val="24"/>
          <w:lang w:val="en-US" w:eastAsia="zh-CN"/>
        </w:rPr>
        <w:t>太阳能资源、建筑条件、安装条件、用电需求、电气接入条件等因素确定并应满足安全可靠、经济适用、环保美观，便于安装和维护的要求。</w:t>
      </w:r>
    </w:p>
    <w:p w14:paraId="2A059B97">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6EE0282">
      <w:pPr>
        <w:snapToGrid w:val="0"/>
        <w:spacing w:line="300" w:lineRule="auto"/>
        <w:jc w:val="left"/>
        <w:rPr>
          <w:rFonts w:hint="eastAsia" w:ascii="仿宋" w:hAnsi="仿宋" w:eastAsia="仿宋" w:cs="仿宋"/>
          <w:b w:val="0"/>
          <w:bCs w:val="0"/>
          <w:i/>
          <w:iCs/>
          <w:color w:val="0623BA"/>
          <w:sz w:val="24"/>
          <w:lang w:val="en-US" w:eastAsia="zh-CN"/>
        </w:rPr>
      </w:pPr>
      <w:r>
        <w:rPr>
          <w:rFonts w:hint="eastAsia" w:ascii="仿宋" w:hAnsi="仿宋" w:eastAsia="仿宋" w:cs="仿宋"/>
          <w:b w:val="0"/>
          <w:bCs w:val="0"/>
          <w:i/>
          <w:iCs/>
          <w:color w:val="0623BA"/>
          <w:sz w:val="24"/>
          <w:lang w:val="en-US" w:eastAsia="zh-CN"/>
        </w:rPr>
        <w:t>3.0.2</w:t>
      </w:r>
      <w:r>
        <w:rPr>
          <w:rFonts w:hint="eastAsia"/>
          <w:b/>
          <w:bCs/>
          <w:sz w:val="24"/>
          <w:lang w:val="en-US" w:eastAsia="zh-CN"/>
        </w:rPr>
        <w:t xml:space="preserve"> </w:t>
      </w:r>
      <w:r>
        <w:rPr>
          <w:rFonts w:hint="eastAsia" w:ascii="仿宋" w:hAnsi="仿宋" w:eastAsia="仿宋" w:cs="仿宋"/>
          <w:b w:val="0"/>
          <w:bCs w:val="0"/>
          <w:i/>
          <w:iCs/>
          <w:color w:val="0623BA"/>
          <w:sz w:val="24"/>
          <w:lang w:val="en-US" w:eastAsia="zh-CN"/>
        </w:rPr>
        <w:t>广东省气候特征为高温高湿、冬暖夏热，</w:t>
      </w:r>
      <w:r>
        <w:rPr>
          <w:rFonts w:hint="eastAsia" w:ascii="仿宋" w:hAnsi="仿宋" w:eastAsia="仿宋" w:cs="仿宋"/>
          <w:i/>
          <w:iCs/>
          <w:color w:val="0623BA"/>
          <w:sz w:val="24"/>
        </w:rPr>
        <w:t>太阳能资源丰富，夏天空调负荷大等地域特点</w:t>
      </w:r>
      <w:r>
        <w:rPr>
          <w:rFonts w:hint="eastAsia" w:ascii="仿宋" w:hAnsi="仿宋" w:eastAsia="仿宋" w:cs="仿宋"/>
          <w:b w:val="0"/>
          <w:bCs w:val="0"/>
          <w:i/>
          <w:iCs/>
          <w:color w:val="0623BA"/>
          <w:sz w:val="24"/>
          <w:lang w:val="en-US" w:eastAsia="zh-CN"/>
        </w:rPr>
        <w:t>对建筑光伏系统发电量、用能需求等因素的影响，需充分考虑光伏和负荷的匹配度以及考虑储能的设置等。</w:t>
      </w:r>
    </w:p>
    <w:p w14:paraId="27F829FF">
      <w:pPr>
        <w:snapToGrid w:val="0"/>
        <w:spacing w:line="300" w:lineRule="auto"/>
        <w:jc w:val="left"/>
      </w:pPr>
      <w:r>
        <w:rPr>
          <w:b/>
          <w:bCs/>
          <w:sz w:val="24"/>
        </w:rPr>
        <w:t>3.0.</w:t>
      </w:r>
      <w:r>
        <w:rPr>
          <w:rFonts w:hint="eastAsia"/>
          <w:b/>
          <w:bCs/>
          <w:sz w:val="24"/>
          <w:lang w:val="en-US" w:eastAsia="zh-CN"/>
        </w:rPr>
        <w:t>3</w:t>
      </w:r>
      <w:r>
        <w:rPr>
          <w:sz w:val="24"/>
        </w:rPr>
        <w:t xml:space="preserve"> </w:t>
      </w:r>
      <w:r>
        <w:rPr>
          <w:rFonts w:hint="default" w:ascii="Times New Roman" w:hAnsi="Times New Roman" w:eastAsia="宋体" w:cs="Times New Roman"/>
          <w:b w:val="0"/>
          <w:bCs w:val="0"/>
          <w:sz w:val="24"/>
          <w:szCs w:val="24"/>
          <w:u w:val="none"/>
          <w:vertAlign w:val="baseline"/>
          <w:lang w:val="en-US" w:eastAsia="zh-CN"/>
        </w:rPr>
        <w:t>建筑光伏系统的发电规模和形式应结合广东省内不同地区的太阳能资源条件、建筑条件、安装条件、用电需求及电气接入条件等因素综合确定，广东省太阳辐射资源可参见本标准附录A，确保系统安全可靠、经济适用、环保美观并便于安装和维护。特别注意，粤东、粤西沿海地区应考虑盐雾腐蚀对光伏组件的影响，选择耐腐蚀性能好的组件材料。</w:t>
      </w:r>
    </w:p>
    <w:p w14:paraId="23E4ECB4">
      <w:pPr>
        <w:snapToGrid w:val="0"/>
        <w:spacing w:line="300" w:lineRule="auto"/>
        <w:jc w:val="left"/>
        <w:rPr>
          <w:rFonts w:hint="eastAsia" w:eastAsia="宋体"/>
          <w:sz w:val="24"/>
        </w:rPr>
      </w:pPr>
      <w:r>
        <w:rPr>
          <w:b/>
          <w:bCs/>
          <w:sz w:val="24"/>
        </w:rPr>
        <w:t>3.0.</w:t>
      </w:r>
      <w:r>
        <w:rPr>
          <w:rFonts w:hint="eastAsia"/>
          <w:b/>
          <w:bCs/>
          <w:sz w:val="24"/>
          <w:lang w:val="en-US" w:eastAsia="zh-CN"/>
        </w:rPr>
        <w:t>4</w:t>
      </w:r>
      <w:r>
        <w:rPr>
          <w:sz w:val="24"/>
        </w:rPr>
        <w:t xml:space="preserve"> </w:t>
      </w:r>
      <w:r>
        <w:rPr>
          <w:rFonts w:hint="eastAsia"/>
          <w:sz w:val="24"/>
        </w:rPr>
        <w:t xml:space="preserve"> 新建的工业与民用建筑中的太阳能光伏系统工程设计应纳入建筑工程设计，统一规划、同步设计、同步施工、同步验收。在既有建筑上改造或安装光伏系统</w:t>
      </w:r>
      <w:r>
        <w:rPr>
          <w:rFonts w:hint="eastAsia" w:eastAsia="宋体"/>
          <w:sz w:val="24"/>
        </w:rPr>
        <w:t>应</w:t>
      </w:r>
      <w:r>
        <w:rPr>
          <w:rFonts w:hint="eastAsia" w:eastAsia="宋体"/>
          <w:sz w:val="24"/>
          <w:lang w:val="en-US" w:eastAsia="zh-CN"/>
        </w:rPr>
        <w:t>做</w:t>
      </w:r>
      <w:r>
        <w:rPr>
          <w:rFonts w:hint="eastAsia" w:eastAsia="宋体"/>
          <w:sz w:val="24"/>
        </w:rPr>
        <w:t>设计方案或评估报告。</w:t>
      </w:r>
    </w:p>
    <w:p w14:paraId="59EB241A">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7C8B950">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3.0.4</w:t>
      </w:r>
      <w:r>
        <w:rPr>
          <w:rFonts w:hint="eastAsia" w:ascii="仿宋" w:hAnsi="仿宋" w:eastAsia="仿宋" w:cs="仿宋"/>
          <w:i/>
          <w:iCs/>
          <w:color w:val="0623BA"/>
          <w:sz w:val="24"/>
        </w:rPr>
        <w:t xml:space="preserve"> 新建</w:t>
      </w:r>
      <w:r>
        <w:rPr>
          <w:rFonts w:hint="eastAsia" w:ascii="仿宋" w:hAnsi="仿宋" w:eastAsia="仿宋" w:cs="仿宋"/>
          <w:i/>
          <w:iCs/>
          <w:color w:val="0623BA"/>
          <w:sz w:val="24"/>
          <w:lang w:val="en-US" w:eastAsia="zh-CN"/>
        </w:rPr>
        <w:t>的</w:t>
      </w:r>
      <w:r>
        <w:rPr>
          <w:rFonts w:hint="eastAsia" w:ascii="仿宋" w:hAnsi="仿宋" w:eastAsia="仿宋" w:cs="仿宋"/>
          <w:i/>
          <w:iCs/>
          <w:color w:val="0623BA"/>
          <w:sz w:val="24"/>
        </w:rPr>
        <w:t>工业与民用建筑安装光伏系统时，光伏系统设计应纳入建筑工程设计</w:t>
      </w:r>
      <w:r>
        <w:rPr>
          <w:rFonts w:hint="eastAsia" w:ascii="仿宋" w:hAnsi="仿宋" w:eastAsia="仿宋" w:cs="仿宋"/>
          <w:i/>
          <w:iCs/>
          <w:color w:val="0623BA"/>
          <w:sz w:val="24"/>
          <w:lang w:val="en-US" w:eastAsia="zh-CN"/>
        </w:rPr>
        <w:t>并</w:t>
      </w:r>
      <w:r>
        <w:rPr>
          <w:rFonts w:hint="eastAsia" w:ascii="仿宋" w:hAnsi="仿宋" w:eastAsia="仿宋" w:cs="仿宋"/>
          <w:i/>
          <w:iCs/>
          <w:color w:val="0623BA"/>
          <w:sz w:val="24"/>
        </w:rPr>
        <w:t>应为将来安装光伏系统预留条件。在既有建筑上改造或安装光伏系统，容易影响房屋结构安全和电气系统的安全同时可能造成对房屋其他使用功能的破坏。因此要求按照建筑工程审批程序，进行专项工程的设计、施工和验收。</w:t>
      </w:r>
    </w:p>
    <w:p w14:paraId="504AC9CA">
      <w:pPr>
        <w:snapToGrid w:val="0"/>
        <w:spacing w:line="300" w:lineRule="auto"/>
        <w:jc w:val="left"/>
        <w:rPr>
          <w:sz w:val="24"/>
          <w:highlight w:val="none"/>
        </w:rPr>
      </w:pPr>
      <w:r>
        <w:rPr>
          <w:b/>
          <w:bCs/>
          <w:sz w:val="24"/>
          <w:highlight w:val="none"/>
        </w:rPr>
        <w:t>3.0.</w:t>
      </w:r>
      <w:r>
        <w:rPr>
          <w:rFonts w:hint="eastAsia"/>
          <w:b/>
          <w:bCs/>
          <w:sz w:val="24"/>
          <w:highlight w:val="none"/>
          <w:lang w:val="en-US" w:eastAsia="zh-CN"/>
        </w:rPr>
        <w:t>5</w:t>
      </w:r>
      <w:r>
        <w:rPr>
          <w:sz w:val="24"/>
          <w:highlight w:val="none"/>
        </w:rPr>
        <w:t xml:space="preserve"> 建筑光伏系统应纳入建筑主体结构和围护结构的荷载计算</w:t>
      </w:r>
      <w:r>
        <w:rPr>
          <w:rFonts w:hint="eastAsia"/>
          <w:sz w:val="24"/>
          <w:highlight w:val="none"/>
          <w:lang w:eastAsia="zh-CN"/>
        </w:rPr>
        <w:t>，</w:t>
      </w:r>
      <w:r>
        <w:rPr>
          <w:rFonts w:hint="eastAsia"/>
          <w:sz w:val="24"/>
          <w:highlight w:val="none"/>
          <w:lang w:val="en-US" w:eastAsia="zh-CN"/>
        </w:rPr>
        <w:t>应符合《建筑结构荷载规范》DBJ/T 15-101的规定</w:t>
      </w:r>
      <w:r>
        <w:rPr>
          <w:sz w:val="24"/>
          <w:highlight w:val="none"/>
        </w:rPr>
        <w:t>。</w:t>
      </w:r>
    </w:p>
    <w:p w14:paraId="14875D29">
      <w:pPr>
        <w:snapToGrid w:val="0"/>
        <w:spacing w:line="300" w:lineRule="auto"/>
        <w:jc w:val="left"/>
        <w:rPr>
          <w:sz w:val="24"/>
          <w:highlight w:val="none"/>
        </w:rPr>
      </w:pPr>
      <w:r>
        <w:rPr>
          <w:b/>
          <w:bCs/>
          <w:sz w:val="24"/>
          <w:highlight w:val="none"/>
        </w:rPr>
        <w:t>3.0.</w:t>
      </w:r>
      <w:r>
        <w:rPr>
          <w:rFonts w:hint="eastAsia"/>
          <w:b/>
          <w:bCs/>
          <w:sz w:val="24"/>
          <w:highlight w:val="none"/>
          <w:lang w:val="en-US" w:eastAsia="zh-CN"/>
        </w:rPr>
        <w:t>6</w:t>
      </w:r>
      <w:r>
        <w:rPr>
          <w:sz w:val="24"/>
          <w:highlight w:val="none"/>
        </w:rPr>
        <w:t xml:space="preserve"> 既有建筑上</w:t>
      </w:r>
      <w:r>
        <w:rPr>
          <w:rFonts w:hint="eastAsia"/>
          <w:sz w:val="24"/>
          <w:highlight w:val="none"/>
          <w:lang w:val="en-US" w:eastAsia="zh-CN"/>
        </w:rPr>
        <w:t>增设</w:t>
      </w:r>
      <w:r>
        <w:rPr>
          <w:sz w:val="24"/>
          <w:highlight w:val="none"/>
        </w:rPr>
        <w:t>建筑光伏系统时，</w:t>
      </w:r>
      <w:r>
        <w:rPr>
          <w:rFonts w:ascii="宋体" w:hAnsi="宋体" w:eastAsia="宋体" w:cs="宋体"/>
          <w:sz w:val="24"/>
          <w:szCs w:val="24"/>
          <w:highlight w:val="none"/>
        </w:rPr>
        <w:t>应对建筑物按照《既有建筑维护与改造通用规范》GB55022</w:t>
      </w:r>
      <w:r>
        <w:rPr>
          <w:rFonts w:hint="eastAsia" w:ascii="宋体" w:hAnsi="宋体" w:cs="宋体"/>
          <w:sz w:val="24"/>
          <w:szCs w:val="24"/>
          <w:highlight w:val="none"/>
          <w:lang w:eastAsia="zh-CN"/>
        </w:rPr>
        <w:t>、《既有建筑改造技术管理规范》DBJ∕T 15-178、</w:t>
      </w:r>
      <w:r>
        <w:rPr>
          <w:rFonts w:hint="eastAsia"/>
          <w:sz w:val="24"/>
          <w:highlight w:val="none"/>
          <w:lang w:val="en-US" w:eastAsia="zh-CN"/>
        </w:rPr>
        <w:t>《建筑结构荷载规范》DBJ/T 15-101</w:t>
      </w:r>
      <w:r>
        <w:rPr>
          <w:rFonts w:ascii="宋体" w:hAnsi="宋体" w:eastAsia="宋体" w:cs="宋体"/>
          <w:sz w:val="24"/>
          <w:szCs w:val="24"/>
          <w:highlight w:val="none"/>
        </w:rPr>
        <w:t>进行复核</w:t>
      </w:r>
      <w:r>
        <w:rPr>
          <w:rFonts w:hint="eastAsia" w:ascii="宋体" w:hAnsi="宋体" w:cs="宋体"/>
          <w:sz w:val="24"/>
          <w:szCs w:val="24"/>
          <w:highlight w:val="none"/>
          <w:lang w:eastAsia="zh-CN"/>
        </w:rPr>
        <w:t>，</w:t>
      </w:r>
      <w:r>
        <w:rPr>
          <w:sz w:val="24"/>
          <w:highlight w:val="none"/>
        </w:rPr>
        <w:t>不得影响建筑原有的使用功能、安全及消防性能。</w:t>
      </w:r>
    </w:p>
    <w:p w14:paraId="553890B5">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568EF0D">
      <w:pPr>
        <w:pStyle w:val="2"/>
        <w:spacing w:after="0" w:line="300" w:lineRule="auto"/>
        <w:rPr>
          <w:rFonts w:hint="eastAsia" w:ascii="仿宋" w:hAnsi="仿宋" w:eastAsia="仿宋" w:cs="仿宋"/>
          <w:i/>
          <w:iCs/>
          <w:color w:val="0623BA"/>
          <w:sz w:val="24"/>
        </w:rPr>
      </w:pPr>
      <w:r>
        <w:rPr>
          <w:rFonts w:hint="eastAsia" w:ascii="仿宋" w:hAnsi="仿宋" w:eastAsia="仿宋" w:cs="仿宋"/>
          <w:i/>
          <w:iCs/>
          <w:color w:val="0623BA"/>
          <w:sz w:val="24"/>
        </w:rPr>
        <w:t>3.0.</w:t>
      </w:r>
      <w:r>
        <w:rPr>
          <w:rFonts w:hint="eastAsia" w:ascii="仿宋" w:hAnsi="仿宋" w:eastAsia="仿宋" w:cs="仿宋"/>
          <w:i/>
          <w:iCs/>
          <w:color w:val="0623BA"/>
          <w:sz w:val="24"/>
          <w:lang w:val="en-US" w:eastAsia="zh-CN"/>
        </w:rPr>
        <w:t>6</w:t>
      </w:r>
      <w:r>
        <w:rPr>
          <w:rFonts w:hint="eastAsia" w:ascii="仿宋" w:hAnsi="仿宋" w:eastAsia="仿宋" w:cs="仿宋"/>
          <w:i/>
          <w:iCs/>
          <w:color w:val="0623BA"/>
          <w:sz w:val="24"/>
        </w:rPr>
        <w:t>对于新建的建筑光伏系统，在进行结构设计时，应将光伏发电系统纳入建筑主体结构和围护结构的荷载计算中。对于在既有建筑物上附加光伏发电系统时，应考虑建筑使用年限及功能的要求，对既有建筑进行结构及电气安全复核。复核可由原设计单位或其他有资质的设计单位根据原设计施工图、竣工图、计算书等文件进行，以及委托法定检测机构检测，确认不存在结构安全问题；否则，应进行结构加固，以确保建筑结构安全和其他相应的安全性要求。</w:t>
      </w:r>
    </w:p>
    <w:p w14:paraId="5CA0D78E">
      <w:pPr>
        <w:pStyle w:val="2"/>
        <w:spacing w:after="0"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下列建筑物不宜建设光伏系统</w:t>
      </w:r>
      <w:r>
        <w:rPr>
          <w:rFonts w:hint="eastAsia" w:ascii="仿宋" w:hAnsi="仿宋" w:eastAsia="仿宋" w:cs="仿宋"/>
          <w:i/>
          <w:iCs/>
          <w:color w:val="0623BA"/>
          <w:sz w:val="24"/>
          <w:lang w:eastAsia="zh-CN"/>
        </w:rPr>
        <w:t>：</w:t>
      </w:r>
    </w:p>
    <w:p w14:paraId="7207FA1B">
      <w:pPr>
        <w:pStyle w:val="2"/>
        <w:spacing w:after="0"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1 参照《危险房屋鉴定标准》JGJ 125 建议房屋危险性已被鉴定为C级、D级的建筑物列不宜建设范围</w:t>
      </w:r>
      <w:r>
        <w:rPr>
          <w:rFonts w:hint="eastAsia" w:ascii="仿宋" w:hAnsi="仿宋" w:eastAsia="仿宋" w:cs="仿宋"/>
          <w:i/>
          <w:iCs/>
          <w:color w:val="0623BA"/>
          <w:sz w:val="24"/>
          <w:lang w:eastAsia="zh-CN"/>
        </w:rPr>
        <w:t>：</w:t>
      </w:r>
    </w:p>
    <w:p w14:paraId="71AF8CF6">
      <w:pPr>
        <w:pStyle w:val="2"/>
        <w:spacing w:after="0"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2 参照《建筑设计防火规范》GB 50016 建议建筑物火灾危险类为甲级或乙级或建筑物火灾危险类为丙级且消防单位不推荐建设的列为不宜建设范围</w:t>
      </w:r>
      <w:r>
        <w:rPr>
          <w:rFonts w:hint="eastAsia" w:ascii="仿宋" w:hAnsi="仿宋" w:eastAsia="仿宋" w:cs="仿宋"/>
          <w:i/>
          <w:iCs/>
          <w:color w:val="0623BA"/>
          <w:sz w:val="24"/>
          <w:lang w:eastAsia="zh-CN"/>
        </w:rPr>
        <w:t>：</w:t>
      </w:r>
    </w:p>
    <w:p w14:paraId="7DA4BF46">
      <w:pPr>
        <w:pStyle w:val="2"/>
        <w:spacing w:after="0" w:line="300" w:lineRule="auto"/>
        <w:ind w:firstLine="480" w:firstLineChars="200"/>
        <w:rPr>
          <w:rFonts w:hint="eastAsia" w:ascii="仿宋" w:hAnsi="仿宋" w:eastAsia="仿宋" w:cs="仿宋"/>
          <w:i/>
          <w:iCs/>
          <w:color w:val="0623BA"/>
          <w:sz w:val="24"/>
        </w:rPr>
      </w:pPr>
      <w:r>
        <w:rPr>
          <w:rFonts w:hint="eastAsia" w:ascii="仿宋" w:hAnsi="仿宋" w:eastAsia="仿宋" w:cs="仿宋"/>
          <w:i/>
          <w:iCs/>
          <w:color w:val="0623BA"/>
          <w:sz w:val="24"/>
        </w:rPr>
        <w:t>3 生产酸、碱、有机溶剂、尿素,及生产中排施酸性、碱性、腐蚀气体,以及有排施污染粉末、烟气、扬尘、碎屑工业建筑物列为不宜建设范围。</w:t>
      </w:r>
    </w:p>
    <w:p w14:paraId="2DE95ADE">
      <w:pPr>
        <w:snapToGrid w:val="0"/>
        <w:spacing w:line="300" w:lineRule="auto"/>
        <w:jc w:val="left"/>
        <w:rPr>
          <w:sz w:val="24"/>
        </w:rPr>
      </w:pPr>
      <w:r>
        <w:rPr>
          <w:b/>
          <w:bCs/>
          <w:sz w:val="24"/>
        </w:rPr>
        <w:t>3.0.</w:t>
      </w:r>
      <w:r>
        <w:rPr>
          <w:rFonts w:hint="eastAsia"/>
          <w:b/>
          <w:bCs/>
          <w:sz w:val="24"/>
          <w:lang w:val="en-US" w:eastAsia="zh-CN"/>
        </w:rPr>
        <w:t>7</w:t>
      </w:r>
      <w:r>
        <w:rPr>
          <w:rFonts w:hint="eastAsia"/>
          <w:sz w:val="24"/>
        </w:rPr>
        <w:t xml:space="preserve"> 建筑光伏设计时应根据适用条件和投资规模确定光伏发电系统可提供的用能比例、系统费效比</w:t>
      </w:r>
      <w:r>
        <w:rPr>
          <w:rFonts w:hint="eastAsia"/>
          <w:sz w:val="24"/>
          <w:lang w:val="en-US" w:eastAsia="zh-CN"/>
        </w:rPr>
        <w:t>并</w:t>
      </w:r>
      <w:r>
        <w:rPr>
          <w:rFonts w:hint="eastAsia"/>
          <w:sz w:val="24"/>
        </w:rPr>
        <w:t>应根据项目特点和当地资源条件进行适宜性分析，合理选用光伏组件。</w:t>
      </w:r>
    </w:p>
    <w:p w14:paraId="616108E5">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DD0C42A">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3.0.</w:t>
      </w:r>
      <w:r>
        <w:rPr>
          <w:rFonts w:hint="eastAsia" w:ascii="仿宋" w:hAnsi="仿宋" w:eastAsia="仿宋" w:cs="仿宋"/>
          <w:i/>
          <w:iCs/>
          <w:color w:val="0623BA"/>
          <w:sz w:val="24"/>
          <w:lang w:val="en-US" w:eastAsia="zh-CN"/>
        </w:rPr>
        <w:t>7</w:t>
      </w:r>
      <w:r>
        <w:rPr>
          <w:rFonts w:hint="eastAsia" w:ascii="仿宋" w:hAnsi="仿宋" w:eastAsia="仿宋" w:cs="仿宋"/>
          <w:i/>
          <w:iCs/>
          <w:color w:val="0623BA"/>
          <w:sz w:val="24"/>
        </w:rPr>
        <w:t xml:space="preserve"> 可再生能源的利用，其具体形式的选用，要充分依据当</w:t>
      </w:r>
      <w:r>
        <w:rPr>
          <w:rFonts w:hint="eastAsia" w:ascii="仿宋" w:hAnsi="仿宋" w:eastAsia="仿宋" w:cs="仿宋"/>
          <w:i/>
          <w:iCs/>
          <w:color w:val="0623BA"/>
          <w:sz w:val="24"/>
          <w:lang w:val="en-US" w:eastAsia="zh-CN"/>
        </w:rPr>
        <w:t>地</w:t>
      </w:r>
      <w:r>
        <w:rPr>
          <w:rFonts w:hint="eastAsia" w:ascii="仿宋" w:hAnsi="仿宋" w:eastAsia="仿宋" w:cs="仿宋"/>
          <w:i/>
          <w:iCs/>
          <w:color w:val="0623BA"/>
          <w:sz w:val="24"/>
        </w:rPr>
        <w:t>资源条件和系统末端需求，进行适宜性分析，当技术可行</w:t>
      </w:r>
      <w:r>
        <w:rPr>
          <w:rFonts w:hint="eastAsia" w:ascii="仿宋" w:hAnsi="仿宋" w:eastAsia="仿宋" w:cs="仿宋"/>
          <w:i/>
          <w:iCs/>
          <w:color w:val="0623BA"/>
          <w:sz w:val="24"/>
          <w:lang w:val="en-US" w:eastAsia="zh-CN"/>
        </w:rPr>
        <w:t>且</w:t>
      </w:r>
      <w:r>
        <w:rPr>
          <w:rFonts w:hint="eastAsia" w:ascii="仿宋" w:hAnsi="仿宋" w:eastAsia="仿宋" w:cs="仿宋"/>
          <w:i/>
          <w:iCs/>
          <w:color w:val="0623BA"/>
          <w:sz w:val="24"/>
        </w:rPr>
        <w:t>经济合理性同时满足时，方可采用。太阳能光伏发电系统的应用与项目所在地的资源条件密切相关，应根据资源禀赋，以可再生能源的高效利用为目标，选择经济适用的技术方式和系统形式；应对实施项目进行负荷分析、系统能效比较，明确其具有技术可行、经济合理的应用前景时，才能确保实现节能、环保、高效的运行效果。</w:t>
      </w:r>
    </w:p>
    <w:p w14:paraId="47C54F75">
      <w:pPr>
        <w:pStyle w:val="2"/>
        <w:spacing w:line="300" w:lineRule="auto"/>
        <w:rPr>
          <w:sz w:val="24"/>
          <w:highlight w:val="yellow"/>
        </w:rPr>
      </w:pPr>
      <w:r>
        <w:rPr>
          <w:b/>
          <w:bCs/>
          <w:sz w:val="24"/>
        </w:rPr>
        <w:t>3.0.</w:t>
      </w:r>
      <w:r>
        <w:rPr>
          <w:rFonts w:hint="eastAsia"/>
          <w:b/>
          <w:bCs/>
          <w:sz w:val="24"/>
          <w:lang w:val="en-US" w:eastAsia="zh-CN"/>
        </w:rPr>
        <w:t>8</w:t>
      </w:r>
      <w:r>
        <w:rPr>
          <w:b/>
          <w:bCs/>
          <w:sz w:val="24"/>
        </w:rPr>
        <w:t xml:space="preserve"> </w:t>
      </w:r>
      <w:r>
        <w:rPr>
          <w:rFonts w:hint="eastAsia"/>
          <w:sz w:val="24"/>
        </w:rPr>
        <w:t>应用光伏发电系统的建筑，在土建施工阶段，应按光伏发电系统设计施工图要求预留、预埋相关构件，不应影响建筑物的使用功能且应满足建筑性能和技术要求。</w:t>
      </w:r>
    </w:p>
    <w:p w14:paraId="25612274">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52652DD">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3.0.</w:t>
      </w:r>
      <w:r>
        <w:rPr>
          <w:rFonts w:hint="eastAsia" w:ascii="仿宋" w:hAnsi="仿宋" w:eastAsia="仿宋" w:cs="仿宋"/>
          <w:i/>
          <w:iCs/>
          <w:color w:val="0623BA"/>
          <w:sz w:val="24"/>
          <w:lang w:val="en-US" w:eastAsia="zh-CN"/>
        </w:rPr>
        <w:t>8</w:t>
      </w:r>
      <w:r>
        <w:rPr>
          <w:rFonts w:hint="eastAsia" w:ascii="仿宋" w:hAnsi="仿宋" w:eastAsia="仿宋" w:cs="仿宋"/>
          <w:i/>
          <w:iCs/>
          <w:color w:val="0623BA"/>
          <w:sz w:val="24"/>
        </w:rPr>
        <w:t xml:space="preserve"> 进行结构设计时，不但要校核安装部位结构的强度和变形，而且需要计算支架、支撑金属件及各个连接节点的承载能力。光伏方阵与主体结构的连接和锚固必须牢固可靠，主体结构的承载力必须经过计算予以确认并要留有余地，防止偶然因素产生破坏。</w:t>
      </w:r>
    </w:p>
    <w:p w14:paraId="2F9772AB">
      <w:pPr>
        <w:spacing w:line="300" w:lineRule="auto"/>
        <w:rPr>
          <w:rFonts w:hint="default" w:ascii="Times New Roman" w:hAnsi="Times New Roman"/>
          <w:b w:val="0"/>
          <w:bCs w:val="0"/>
          <w:color w:val="auto"/>
          <w:kern w:val="0"/>
          <w:sz w:val="24"/>
          <w:szCs w:val="24"/>
        </w:rPr>
      </w:pPr>
      <w:bookmarkStart w:id="54" w:name="_Toc12173"/>
      <w:r>
        <w:rPr>
          <w:rFonts w:hint="default" w:ascii="Times New Roman" w:hAnsi="Times New Roman"/>
          <w:b/>
          <w:bCs/>
          <w:sz w:val="24"/>
          <w:szCs w:val="24"/>
        </w:rPr>
        <w:t>3.0.</w:t>
      </w:r>
      <w:r>
        <w:rPr>
          <w:rFonts w:hint="default"/>
          <w:b/>
          <w:bCs/>
          <w:sz w:val="24"/>
          <w:szCs w:val="24"/>
          <w:lang w:val="en-US" w:eastAsia="zh-CN"/>
        </w:rPr>
        <w:t>9</w:t>
      </w:r>
      <w:r>
        <w:rPr>
          <w:rFonts w:hint="default" w:ascii="Times New Roman" w:hAnsi="Times New Roman"/>
          <w:b/>
          <w:bCs/>
          <w:sz w:val="24"/>
          <w:szCs w:val="24"/>
        </w:rPr>
        <w:t xml:space="preserve"> </w:t>
      </w:r>
      <w:r>
        <w:rPr>
          <w:rFonts w:hint="default" w:ascii="Times New Roman" w:hAnsi="Times New Roman"/>
          <w:b w:val="0"/>
          <w:bCs w:val="0"/>
          <w:color w:val="auto"/>
          <w:kern w:val="0"/>
          <w:sz w:val="24"/>
          <w:szCs w:val="24"/>
        </w:rPr>
        <w:t>建筑光伏系统设计时，</w:t>
      </w:r>
      <w:r>
        <w:rPr>
          <w:rFonts w:hint="eastAsia"/>
          <w:b w:val="0"/>
          <w:bCs w:val="0"/>
          <w:color w:val="auto"/>
          <w:kern w:val="0"/>
          <w:sz w:val="24"/>
          <w:szCs w:val="24"/>
          <w:lang w:val="en-US" w:eastAsia="zh-CN"/>
        </w:rPr>
        <w:t>可</w:t>
      </w:r>
      <w:r>
        <w:rPr>
          <w:rFonts w:hint="default" w:ascii="Times New Roman" w:hAnsi="Times New Roman"/>
          <w:b w:val="0"/>
          <w:bCs w:val="0"/>
          <w:color w:val="auto"/>
          <w:kern w:val="0"/>
          <w:sz w:val="24"/>
          <w:szCs w:val="24"/>
        </w:rPr>
        <w:t>采用光储直柔建筑配电技术，提高系统发电利</w:t>
      </w:r>
      <w:bookmarkEnd w:id="54"/>
    </w:p>
    <w:p w14:paraId="49FB6DA4">
      <w:pPr>
        <w:spacing w:line="300" w:lineRule="auto"/>
        <w:rPr>
          <w:rFonts w:hint="default" w:ascii="Times New Roman" w:hAnsi="Times New Roman" w:eastAsia="宋体" w:cs="Times New Roman"/>
          <w:b w:val="0"/>
          <w:bCs w:val="0"/>
          <w:i w:val="0"/>
          <w:iCs w:val="0"/>
          <w:color w:val="auto"/>
          <w:kern w:val="0"/>
          <w:sz w:val="24"/>
          <w:szCs w:val="24"/>
        </w:rPr>
      </w:pPr>
      <w:r>
        <w:rPr>
          <w:rFonts w:hint="default" w:ascii="Times New Roman" w:hAnsi="Times New Roman"/>
          <w:b w:val="0"/>
          <w:bCs w:val="0"/>
          <w:color w:val="auto"/>
          <w:kern w:val="0"/>
          <w:sz w:val="24"/>
          <w:szCs w:val="24"/>
        </w:rPr>
        <w:t>用率。</w:t>
      </w:r>
      <w:r>
        <w:rPr>
          <w:rFonts w:hint="default"/>
          <w:color w:val="auto"/>
          <w:kern w:val="0"/>
          <w:sz w:val="24"/>
        </w:rPr>
        <w:t>建筑光伏系统配置的储能宜采用电化学储能系统</w:t>
      </w:r>
      <w:r>
        <w:rPr>
          <w:rFonts w:hint="eastAsia"/>
          <w:color w:val="auto"/>
          <w:kern w:val="0"/>
          <w:sz w:val="24"/>
          <w:lang w:eastAsia="zh-CN"/>
        </w:rPr>
        <w:t>，</w:t>
      </w:r>
      <w:r>
        <w:rPr>
          <w:rFonts w:hint="default"/>
          <w:color w:val="auto"/>
          <w:kern w:val="0"/>
          <w:sz w:val="24"/>
        </w:rPr>
        <w:t>电化学储能系统设计应符合现行国家标准《电化学储能电站设计规范》 GB51048的规定。</w:t>
      </w:r>
    </w:p>
    <w:p w14:paraId="7F9E02A1">
      <w:pPr>
        <w:spacing w:line="300" w:lineRule="auto"/>
        <w:rPr>
          <w:rFonts w:hint="default" w:ascii="仿宋" w:hAnsi="仿宋" w:eastAsia="仿宋" w:cs="仿宋"/>
          <w:i/>
          <w:iCs/>
          <w:color w:val="0623BA"/>
          <w:sz w:val="24"/>
        </w:rPr>
      </w:pPr>
      <w:r>
        <w:rPr>
          <w:rFonts w:hint="eastAsia" w:ascii="Times New Roman" w:hAnsi="Times New Roman" w:eastAsia="宋体" w:cs="Times New Roman"/>
          <w:b w:val="0"/>
          <w:bCs w:val="0"/>
          <w:i/>
          <w:iCs/>
          <w:color w:val="0623BA"/>
          <w:sz w:val="24"/>
          <w:lang w:val="en-US" w:eastAsia="zh-CN"/>
        </w:rPr>
        <w:t>3.0.</w:t>
      </w:r>
      <w:r>
        <w:rPr>
          <w:rFonts w:hint="eastAsia" w:cs="Times New Roman"/>
          <w:b w:val="0"/>
          <w:bCs w:val="0"/>
          <w:i/>
          <w:iCs/>
          <w:color w:val="0623BA"/>
          <w:sz w:val="24"/>
          <w:lang w:val="en-US" w:eastAsia="zh-CN"/>
        </w:rPr>
        <w:t>9</w:t>
      </w:r>
      <w:r>
        <w:rPr>
          <w:rFonts w:hint="eastAsia" w:ascii="Times New Roman" w:hAnsi="Times New Roman" w:eastAsia="宋体" w:cs="Times New Roman"/>
          <w:b w:val="0"/>
          <w:bCs w:val="0"/>
          <w:i/>
          <w:iCs/>
          <w:color w:val="0623BA"/>
          <w:sz w:val="24"/>
          <w:lang w:val="en-US" w:eastAsia="zh-CN"/>
        </w:rPr>
        <w:t xml:space="preserve"> </w:t>
      </w:r>
      <w:r>
        <w:rPr>
          <w:rFonts w:hint="default" w:ascii="仿宋" w:hAnsi="仿宋" w:eastAsia="仿宋" w:cs="仿宋"/>
          <w:i/>
          <w:iCs/>
          <w:color w:val="0623BA"/>
          <w:sz w:val="24"/>
        </w:rPr>
        <w:t>“光储直柔”建筑配电技术是指在建筑领域应用太阳能光伏、储能、直流和柔性四项技术的简称，即在建筑中通过直流母线连接分布式光伏、储能和可调用电负荷实现市电功率柔性控制。“光”、“储”分别指分布式光伏、分布式储能应用于建筑场景内外部，成为其配电系统重要组成部分:“直”指的是将建筑配用电网由交流电改为直流电</w:t>
      </w:r>
      <w:r>
        <w:rPr>
          <w:rFonts w:hint="eastAsia" w:ascii="仿宋" w:hAnsi="仿宋" w:eastAsia="仿宋" w:cs="仿宋"/>
          <w:i/>
          <w:iCs/>
          <w:color w:val="0623BA"/>
          <w:sz w:val="24"/>
          <w:lang w:eastAsia="zh-CN"/>
        </w:rPr>
        <w:t>：</w:t>
      </w:r>
      <w:r>
        <w:rPr>
          <w:rFonts w:hint="default" w:ascii="仿宋" w:hAnsi="仿宋" w:eastAsia="仿宋" w:cs="仿宋"/>
          <w:i/>
          <w:iCs/>
          <w:color w:val="0623BA"/>
          <w:sz w:val="24"/>
        </w:rPr>
        <w:t>“柔”则为柔性用电，即建筑用电设备需具备中断调节能力。</w:t>
      </w:r>
    </w:p>
    <w:p w14:paraId="6DDD99EC">
      <w:pPr>
        <w:spacing w:line="300" w:lineRule="auto"/>
        <w:ind w:firstLine="480" w:firstLineChars="200"/>
        <w:rPr>
          <w:rFonts w:hint="eastAsia" w:ascii="仿宋" w:hAnsi="仿宋" w:eastAsia="仿宋" w:cs="仿宋"/>
          <w:i/>
          <w:iCs/>
          <w:color w:val="0623BA"/>
          <w:sz w:val="24"/>
        </w:rPr>
      </w:pPr>
      <w:r>
        <w:rPr>
          <w:rFonts w:hint="default" w:ascii="仿宋" w:hAnsi="仿宋" w:eastAsia="仿宋" w:cs="仿宋"/>
          <w:i/>
          <w:iCs/>
          <w:color w:val="0623BA"/>
          <w:sz w:val="24"/>
        </w:rPr>
        <w:t>目前，建筑用能与太阳能光伏发电量在时序上匹配度不高，在一些时段光伏发电量大于建筑用电量，居住建筑应用光伏时较为常见，公共建筑中节假日一定程度存在。从建筑光伏最大化利用的角度出发，可采取的措施包括负荷柔性调节、储能、能量管理等手段提高匹配度。采取负荷调节和储能等措施时，应考虑技术合理性与经济性。</w:t>
      </w:r>
      <w:r>
        <w:rPr>
          <w:rFonts w:hint="eastAsia" w:ascii="仿宋" w:hAnsi="仿宋" w:eastAsia="仿宋" w:cs="仿宋"/>
          <w:i/>
          <w:iCs/>
          <w:color w:val="0623BA"/>
          <w:sz w:val="24"/>
        </w:rPr>
        <w:t>储能可以在光伏系统发电量过剩时储存多余的电能，在发电量不足时释放储存的电能，从而实现能源的平稳供应。对于家庭用户，储能系统可以确保在停电或电网故障时仍能有电力供应，提高用电的可靠性和安全性。对于企业用户，储能系统可以帮助降低用电成本，提高能源利用效率。</w:t>
      </w:r>
    </w:p>
    <w:p w14:paraId="10D3142E">
      <w:pPr>
        <w:spacing w:line="300" w:lineRule="auto"/>
        <w:ind w:firstLine="480" w:firstLineChars="200"/>
        <w:rPr>
          <w:rFonts w:hint="default" w:ascii="仿宋" w:hAnsi="仿宋" w:eastAsia="仿宋" w:cs="仿宋"/>
          <w:i/>
          <w:iCs/>
          <w:color w:val="0623BA"/>
          <w:sz w:val="24"/>
        </w:rPr>
      </w:pPr>
      <w:r>
        <w:rPr>
          <w:rFonts w:hint="default" w:ascii="仿宋" w:hAnsi="仿宋" w:eastAsia="仿宋" w:cs="仿宋"/>
          <w:i/>
          <w:iCs/>
          <w:color w:val="0623BA"/>
          <w:sz w:val="24"/>
        </w:rPr>
        <w:t>建筑内的各类用电设备而言，照明装置采用LED光源，是直流驱动:电脑、显示器等IT设备，其内部为直流驱动</w:t>
      </w:r>
      <w:r>
        <w:rPr>
          <w:rFonts w:hint="eastAsia" w:ascii="仿宋" w:hAnsi="仿宋" w:eastAsia="仿宋" w:cs="仿宋"/>
          <w:i/>
          <w:iCs/>
          <w:color w:val="0623BA"/>
          <w:sz w:val="24"/>
          <w:lang w:eastAsia="zh-CN"/>
        </w:rPr>
        <w:t>：</w:t>
      </w:r>
      <w:r>
        <w:rPr>
          <w:rFonts w:hint="default" w:ascii="仿宋" w:hAnsi="仿宋" w:eastAsia="仿宋" w:cs="仿宋"/>
          <w:i/>
          <w:iCs/>
          <w:color w:val="0623BA"/>
          <w:sz w:val="24"/>
        </w:rPr>
        <w:t>空调、</w:t>
      </w:r>
      <w:r>
        <w:rPr>
          <w:rFonts w:hint="eastAsia" w:ascii="仿宋" w:hAnsi="仿宋" w:eastAsia="仿宋" w:cs="仿宋"/>
          <w:i/>
          <w:iCs/>
          <w:color w:val="0623BA"/>
          <w:sz w:val="24"/>
          <w:lang w:val="en-US" w:eastAsia="zh-CN"/>
        </w:rPr>
        <w:t>冰箱等</w:t>
      </w:r>
      <w:r>
        <w:rPr>
          <w:rFonts w:hint="default" w:ascii="仿宋" w:hAnsi="仿宋" w:eastAsia="仿宋" w:cs="仿宋"/>
          <w:i/>
          <w:iCs/>
          <w:color w:val="0623BA"/>
          <w:sz w:val="24"/>
        </w:rPr>
        <w:t>白色家电，现在的发展方向是变频器驱动同步电机，实现对电机转速的高效精准控制,其内部也是直流驱动; 电梯、风机、水泵等建筑中大功率装置，高效节能发展方向也是直流驱动的变频控制。各种建筑用电装置的发展和技术进步方向都是由交流驱动转为直流驱动，光伏和蓄电池也要求直流接入。</w:t>
      </w:r>
    </w:p>
    <w:p w14:paraId="3E4D64E3">
      <w:pPr>
        <w:spacing w:line="300" w:lineRule="auto"/>
        <w:ind w:firstLine="480" w:firstLineChars="200"/>
        <w:rPr>
          <w:rFonts w:hint="default" w:ascii="仿宋" w:hAnsi="仿宋" w:eastAsia="仿宋" w:cs="仿宋"/>
          <w:i/>
          <w:iCs/>
          <w:color w:val="0623BA"/>
          <w:sz w:val="24"/>
        </w:rPr>
      </w:pPr>
      <w:r>
        <w:rPr>
          <w:rFonts w:hint="default" w:ascii="仿宋" w:hAnsi="仿宋" w:eastAsia="仿宋" w:cs="仿宋"/>
          <w:i/>
          <w:iCs/>
          <w:color w:val="0623BA"/>
          <w:sz w:val="24"/>
        </w:rPr>
        <w:t>发展零能耗建筑是时代所需，“光储直柔”作为发展零碳能源的重要技术，是实现建筑全面电气化和用电零碳化可采用的有效措施，不仅为实现碳达峰、碳中和目标提供了可靠的技术路径，也为推动建筑产业转型升级、绿色建筑高质量发展提供了重要保障。</w:t>
      </w:r>
    </w:p>
    <w:p w14:paraId="2C6A5DE4">
      <w:pPr>
        <w:pStyle w:val="2"/>
        <w:spacing w:line="300" w:lineRule="auto"/>
        <w:rPr>
          <w:rFonts w:hint="default" w:ascii="Times New Roman" w:hAnsi="Times New Roman" w:eastAsia="宋体" w:cs="Times New Roman"/>
          <w:b w:val="0"/>
          <w:bCs w:val="0"/>
          <w:i w:val="0"/>
          <w:iCs w:val="0"/>
          <w:color w:val="auto"/>
          <w:kern w:val="0"/>
          <w:sz w:val="24"/>
        </w:rPr>
      </w:pPr>
      <w:r>
        <w:rPr>
          <w:rFonts w:hint="eastAsia" w:cs="Times New Roman"/>
          <w:b/>
          <w:bCs/>
          <w:i w:val="0"/>
          <w:iCs w:val="0"/>
          <w:kern w:val="0"/>
          <w:sz w:val="24"/>
          <w:lang w:val="en-US" w:eastAsia="zh-CN"/>
        </w:rPr>
        <w:t xml:space="preserve">3.0.10 </w:t>
      </w:r>
      <w:r>
        <w:rPr>
          <w:rFonts w:hint="default" w:ascii="Times New Roman" w:hAnsi="Times New Roman" w:eastAsia="宋体" w:cs="Times New Roman"/>
          <w:b w:val="0"/>
          <w:bCs w:val="0"/>
          <w:i w:val="0"/>
          <w:iCs w:val="0"/>
          <w:color w:val="auto"/>
          <w:kern w:val="0"/>
          <w:sz w:val="24"/>
        </w:rPr>
        <w:t>建设建筑光伏系统</w:t>
      </w:r>
      <w:r>
        <w:rPr>
          <w:rFonts w:hint="eastAsia" w:cs="Times New Roman"/>
          <w:b w:val="0"/>
          <w:bCs w:val="0"/>
          <w:i w:val="0"/>
          <w:iCs w:val="0"/>
          <w:color w:val="auto"/>
          <w:kern w:val="0"/>
          <w:sz w:val="24"/>
          <w:lang w:eastAsia="zh-CN"/>
        </w:rPr>
        <w:t>，</w:t>
      </w:r>
      <w:r>
        <w:rPr>
          <w:rFonts w:hint="default" w:ascii="Times New Roman" w:hAnsi="Times New Roman" w:eastAsia="宋体" w:cs="Times New Roman"/>
          <w:b w:val="0"/>
          <w:bCs w:val="0"/>
          <w:i w:val="0"/>
          <w:iCs w:val="0"/>
          <w:color w:val="auto"/>
          <w:kern w:val="0"/>
          <w:sz w:val="24"/>
        </w:rPr>
        <w:t>应充分</w:t>
      </w:r>
      <w:r>
        <w:rPr>
          <w:rFonts w:hint="eastAsia" w:cs="Times New Roman"/>
          <w:b w:val="0"/>
          <w:bCs w:val="0"/>
          <w:i w:val="0"/>
          <w:iCs w:val="0"/>
          <w:kern w:val="0"/>
          <w:sz w:val="24"/>
          <w:lang w:val="en-US" w:eastAsia="zh-CN"/>
        </w:rPr>
        <w:t>考虑广东</w:t>
      </w:r>
      <w:r>
        <w:rPr>
          <w:rFonts w:hint="default" w:ascii="Times New Roman" w:hAnsi="Times New Roman" w:eastAsia="宋体" w:cs="Times New Roman"/>
          <w:b w:val="0"/>
          <w:bCs w:val="0"/>
          <w:i w:val="0"/>
          <w:iCs w:val="0"/>
          <w:color w:val="auto"/>
          <w:kern w:val="0"/>
          <w:sz w:val="24"/>
        </w:rPr>
        <w:t>省建筑风貌要求,不得破坏当地特色建筑的风格及形式。</w:t>
      </w:r>
    </w:p>
    <w:p w14:paraId="76CB93FC">
      <w:pPr>
        <w:pStyle w:val="2"/>
        <w:spacing w:line="300" w:lineRule="auto"/>
        <w:rPr>
          <w:rFonts w:hint="eastAsia" w:ascii="仿宋" w:hAnsi="仿宋" w:eastAsia="仿宋" w:cs="仿宋"/>
          <w:b w:val="0"/>
          <w:bCs w:val="0"/>
          <w:i/>
          <w:iCs/>
          <w:color w:val="0623BA"/>
          <w:sz w:val="24"/>
        </w:rPr>
      </w:pPr>
      <w:r>
        <w:rPr>
          <w:rFonts w:hint="eastAsia" w:ascii="仿宋" w:hAnsi="仿宋" w:eastAsia="仿宋" w:cs="仿宋"/>
          <w:b w:val="0"/>
          <w:bCs w:val="0"/>
          <w:i/>
          <w:iCs/>
          <w:color w:val="0623BA"/>
          <w:sz w:val="24"/>
        </w:rPr>
        <w:t>【条文说明】</w:t>
      </w:r>
    </w:p>
    <w:p w14:paraId="6174D223">
      <w:pPr>
        <w:pStyle w:val="2"/>
        <w:spacing w:line="300" w:lineRule="auto"/>
        <w:ind w:firstLine="0" w:firstLineChars="0"/>
        <w:rPr>
          <w:rFonts w:hint="eastAsia" w:ascii="仿宋" w:hAnsi="仿宋" w:eastAsia="仿宋" w:cs="仿宋"/>
          <w:i/>
          <w:iCs/>
          <w:color w:val="0623BA"/>
          <w:sz w:val="24"/>
        </w:rPr>
      </w:pPr>
      <w:r>
        <w:rPr>
          <w:rFonts w:hint="eastAsia" w:ascii="仿宋" w:hAnsi="仿宋" w:eastAsia="仿宋" w:cs="仿宋"/>
          <w:i/>
          <w:iCs/>
          <w:color w:val="0623BA"/>
          <w:sz w:val="24"/>
        </w:rPr>
        <w:t>3.0.1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 xml:space="preserve"> 本条对</w:t>
      </w:r>
      <w:r>
        <w:rPr>
          <w:rFonts w:hint="eastAsia" w:ascii="仿宋" w:hAnsi="仿宋" w:eastAsia="仿宋" w:cs="仿宋"/>
          <w:i/>
          <w:iCs/>
          <w:color w:val="0623BA"/>
          <w:sz w:val="24"/>
          <w:lang w:val="en-US" w:eastAsia="zh-CN"/>
        </w:rPr>
        <w:t>广东省</w:t>
      </w:r>
      <w:r>
        <w:rPr>
          <w:rFonts w:hint="eastAsia" w:ascii="仿宋" w:hAnsi="仿宋" w:eastAsia="仿宋" w:cs="仿宋"/>
          <w:i/>
          <w:iCs/>
          <w:color w:val="0623BA"/>
          <w:sz w:val="24"/>
        </w:rPr>
        <w:t>建筑光伏系统与建筑风貌的关系提出要求。在建设光伏系统时</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建筑风貌是不可忽视的重要影响因素</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不得破坏当地特色建筑的风格及形式。如外立面采用碲化镉光伏薄膜玻璃幕墙，屋面采用碲化镉光伏薄膜玻璃和多</w:t>
      </w:r>
      <w:r>
        <w:rPr>
          <w:rFonts w:hint="eastAsia" w:ascii="仿宋" w:hAnsi="仿宋" w:eastAsia="仿宋" w:cs="仿宋"/>
          <w:i/>
          <w:iCs/>
          <w:color w:val="0623BA"/>
          <w:sz w:val="24"/>
          <w:lang w:val="en-US" w:eastAsia="zh-CN"/>
        </w:rPr>
        <w:t>晶</w:t>
      </w:r>
      <w:r>
        <w:rPr>
          <w:rFonts w:hint="eastAsia" w:ascii="仿宋" w:hAnsi="仿宋" w:eastAsia="仿宋" w:cs="仿宋"/>
          <w:i/>
          <w:iCs/>
          <w:color w:val="0623BA"/>
          <w:sz w:val="24"/>
        </w:rPr>
        <w:t>硅光伏板组合形式</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如将光伏百叶与建筑完美结合</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如定制 BIPV 多功能建筑构件等取代部分传统建筑结构如屋顶板、瓦、窗户、建筑立面、遮雨棚等。</w:t>
      </w:r>
    </w:p>
    <w:p w14:paraId="7CF1DDBB">
      <w:pPr>
        <w:widowControl/>
        <w:spacing w:line="300" w:lineRule="auto"/>
        <w:rPr>
          <w:rFonts w:hint="default"/>
          <w:color w:val="auto"/>
          <w:kern w:val="0"/>
          <w:sz w:val="24"/>
          <w:u w:val="none" w:color="auto"/>
          <w:lang w:val="en-US" w:eastAsia="zh-CN"/>
        </w:rPr>
      </w:pPr>
      <w:r>
        <w:rPr>
          <w:rFonts w:hint="eastAsia"/>
          <w:b/>
          <w:bCs/>
          <w:sz w:val="24"/>
          <w:lang w:val="en-US" w:eastAsia="zh-CN"/>
        </w:rPr>
        <w:t>3.0.11</w:t>
      </w:r>
      <w:r>
        <w:rPr>
          <w:b/>
          <w:bCs/>
          <w:sz w:val="24"/>
        </w:rPr>
        <w:t xml:space="preserve"> </w:t>
      </w:r>
      <w:r>
        <w:rPr>
          <w:rFonts w:hint="default"/>
          <w:color w:val="auto"/>
          <w:kern w:val="0"/>
          <w:sz w:val="24"/>
          <w:u w:val="none" w:color="auto"/>
        </w:rPr>
        <w:t>光伏发电系统分类应符合</w:t>
      </w:r>
      <w:r>
        <w:rPr>
          <w:rFonts w:hint="default"/>
          <w:color w:val="auto"/>
          <w:kern w:val="0"/>
          <w:sz w:val="24"/>
          <w:u w:val="none" w:color="auto"/>
          <w:lang w:val="en-US" w:eastAsia="zh-CN"/>
        </w:rPr>
        <w:t>下列</w:t>
      </w:r>
      <w:r>
        <w:rPr>
          <w:rFonts w:hint="eastAsia"/>
          <w:color w:val="auto"/>
          <w:kern w:val="0"/>
          <w:sz w:val="24"/>
          <w:u w:val="none" w:color="auto"/>
          <w:lang w:val="en-US" w:eastAsia="zh-CN"/>
        </w:rPr>
        <w:t>要求：</w:t>
      </w:r>
    </w:p>
    <w:p w14:paraId="5EDDD66A">
      <w:pPr>
        <w:widowControl/>
        <w:spacing w:line="300" w:lineRule="auto"/>
        <w:ind w:firstLine="482" w:firstLineChars="200"/>
        <w:rPr>
          <w:rFonts w:hint="eastAsia" w:ascii="Times New Roman" w:hAnsi="Times New Roman" w:eastAsia="宋体" w:cs="Times New Roman"/>
          <w:b w:val="0"/>
          <w:bCs w:val="0"/>
          <w:i w:val="0"/>
          <w:iCs w:val="0"/>
          <w:color w:val="auto"/>
          <w:kern w:val="0"/>
          <w:sz w:val="24"/>
          <w:szCs w:val="24"/>
          <w:lang w:eastAsia="zh-CN"/>
        </w:rPr>
      </w:pPr>
      <w:r>
        <w:rPr>
          <w:rFonts w:hint="default" w:ascii="Times New Roman" w:hAnsi="Times New Roman" w:eastAsia="宋体" w:cs="Times New Roman"/>
          <w:b/>
          <w:bCs/>
          <w:i w:val="0"/>
          <w:iCs w:val="0"/>
          <w:color w:val="auto"/>
          <w:kern w:val="0"/>
          <w:sz w:val="24"/>
          <w:szCs w:val="24"/>
          <w:lang w:val="en-US" w:eastAsia="zh-CN"/>
        </w:rPr>
        <w:t>1</w:t>
      </w:r>
      <w:r>
        <w:rPr>
          <w:rFonts w:hint="eastAsia" w:cs="Times New Roman"/>
          <w:b/>
          <w:bCs/>
          <w:i w:val="0"/>
          <w:iCs w:val="0"/>
          <w:color w:val="auto"/>
          <w:kern w:val="0"/>
          <w:sz w:val="24"/>
          <w:szCs w:val="24"/>
          <w:lang w:val="en-US" w:eastAsia="zh-CN"/>
        </w:rPr>
        <w:t xml:space="preserve"> </w:t>
      </w:r>
      <w:r>
        <w:rPr>
          <w:rFonts w:ascii="Times New Roman" w:hAnsi="Times New Roman" w:eastAsia="宋体" w:cs="Times New Roman"/>
          <w:b w:val="0"/>
          <w:bCs w:val="0"/>
          <w:i w:val="0"/>
          <w:iCs w:val="0"/>
          <w:color w:val="auto"/>
          <w:kern w:val="0"/>
          <w:sz w:val="24"/>
          <w:szCs w:val="24"/>
        </w:rPr>
        <w:t>建筑光伏系统按与公共电网连接情况可分为并网光伏发电系统及独立光伏发电系统</w:t>
      </w:r>
      <w:r>
        <w:rPr>
          <w:rFonts w:hint="eastAsia" w:cs="Times New Roman"/>
          <w:b w:val="0"/>
          <w:bCs w:val="0"/>
          <w:i w:val="0"/>
          <w:iCs w:val="0"/>
          <w:color w:val="auto"/>
          <w:kern w:val="0"/>
          <w:sz w:val="24"/>
          <w:szCs w:val="24"/>
          <w:lang w:eastAsia="zh-CN"/>
        </w:rPr>
        <w:t>；</w:t>
      </w:r>
    </w:p>
    <w:p w14:paraId="66D86294">
      <w:pPr>
        <w:widowControl/>
        <w:spacing w:line="300" w:lineRule="auto"/>
        <w:ind w:firstLine="482" w:firstLineChars="200"/>
        <w:rPr>
          <w:rFonts w:hint="eastAsia" w:ascii="Times New Roman" w:hAnsi="Times New Roman" w:eastAsia="宋体" w:cs="Times New Roman"/>
          <w:b w:val="0"/>
          <w:bCs w:val="0"/>
          <w:i w:val="0"/>
          <w:iCs w:val="0"/>
          <w:color w:val="auto"/>
          <w:kern w:val="0"/>
          <w:sz w:val="24"/>
          <w:szCs w:val="24"/>
          <w:lang w:eastAsia="zh-CN"/>
        </w:rPr>
      </w:pPr>
      <w:r>
        <w:rPr>
          <w:rFonts w:hint="default" w:ascii="Times New Roman" w:hAnsi="Times New Roman" w:eastAsia="宋体" w:cs="Times New Roman"/>
          <w:b/>
          <w:bCs/>
          <w:i w:val="0"/>
          <w:iCs w:val="0"/>
          <w:color w:val="auto"/>
          <w:kern w:val="0"/>
          <w:sz w:val="24"/>
          <w:szCs w:val="24"/>
          <w:lang w:val="en-US" w:eastAsia="zh-CN"/>
        </w:rPr>
        <w:t>2</w:t>
      </w:r>
      <w:r>
        <w:rPr>
          <w:rFonts w:ascii="Times New Roman" w:hAnsi="Times New Roman" w:eastAsia="宋体" w:cs="Times New Roman"/>
          <w:b/>
          <w:bCs/>
          <w:i w:val="0"/>
          <w:iCs w:val="0"/>
          <w:color w:val="auto"/>
          <w:kern w:val="0"/>
          <w:sz w:val="24"/>
          <w:szCs w:val="24"/>
        </w:rPr>
        <w:t xml:space="preserve"> </w:t>
      </w:r>
      <w:r>
        <w:rPr>
          <w:rFonts w:ascii="Times New Roman" w:hAnsi="Times New Roman" w:eastAsia="宋体" w:cs="Times New Roman"/>
          <w:b w:val="0"/>
          <w:bCs w:val="0"/>
          <w:i w:val="0"/>
          <w:iCs w:val="0"/>
          <w:color w:val="auto"/>
          <w:kern w:val="0"/>
          <w:sz w:val="24"/>
          <w:szCs w:val="24"/>
        </w:rPr>
        <w:t>并网光伏发电系统按并网点位置可分为用户侧并网光伏发电系统及电网侧并网光伏发电系统</w:t>
      </w:r>
      <w:r>
        <w:rPr>
          <w:rFonts w:hint="eastAsia" w:cs="Times New Roman"/>
          <w:b w:val="0"/>
          <w:bCs w:val="0"/>
          <w:i w:val="0"/>
          <w:iCs w:val="0"/>
          <w:color w:val="auto"/>
          <w:kern w:val="0"/>
          <w:sz w:val="24"/>
          <w:szCs w:val="24"/>
          <w:lang w:eastAsia="zh-CN"/>
        </w:rPr>
        <w:t>；</w:t>
      </w:r>
    </w:p>
    <w:p w14:paraId="2131E6BB">
      <w:pPr>
        <w:widowControl/>
        <w:spacing w:line="300" w:lineRule="auto"/>
        <w:ind w:firstLine="482" w:firstLineChars="200"/>
        <w:rPr>
          <w:rFonts w:hint="eastAsia" w:ascii="Times New Roman" w:hAnsi="Times New Roman" w:eastAsia="宋体" w:cs="Times New Roman"/>
          <w:b w:val="0"/>
          <w:bCs w:val="0"/>
          <w:i w:val="0"/>
          <w:iCs w:val="0"/>
          <w:color w:val="auto"/>
          <w:kern w:val="0"/>
          <w:sz w:val="24"/>
          <w:szCs w:val="24"/>
          <w:lang w:eastAsia="zh-CN"/>
        </w:rPr>
      </w:pPr>
      <w:r>
        <w:rPr>
          <w:rFonts w:hint="default" w:ascii="Times New Roman" w:hAnsi="Times New Roman" w:eastAsia="宋体" w:cs="Times New Roman"/>
          <w:b/>
          <w:bCs/>
          <w:i w:val="0"/>
          <w:iCs w:val="0"/>
          <w:color w:val="auto"/>
          <w:kern w:val="0"/>
          <w:sz w:val="24"/>
          <w:szCs w:val="24"/>
          <w:lang w:val="en-US" w:eastAsia="zh-CN"/>
        </w:rPr>
        <w:t>3</w:t>
      </w:r>
      <w:r>
        <w:rPr>
          <w:rFonts w:hint="eastAsia" w:cs="Times New Roman"/>
          <w:b/>
          <w:bCs/>
          <w:i w:val="0"/>
          <w:iCs w:val="0"/>
          <w:color w:val="auto"/>
          <w:kern w:val="0"/>
          <w:sz w:val="24"/>
          <w:szCs w:val="24"/>
          <w:lang w:val="en-US" w:eastAsia="zh-CN"/>
        </w:rPr>
        <w:t xml:space="preserve"> </w:t>
      </w:r>
      <w:r>
        <w:rPr>
          <w:rFonts w:ascii="Times New Roman" w:hAnsi="Times New Roman" w:eastAsia="宋体" w:cs="Times New Roman"/>
          <w:b w:val="0"/>
          <w:bCs w:val="0"/>
          <w:i w:val="0"/>
          <w:iCs w:val="0"/>
          <w:color w:val="auto"/>
          <w:kern w:val="0"/>
          <w:sz w:val="24"/>
          <w:szCs w:val="24"/>
        </w:rPr>
        <w:t>光伏发电系统按带储能装置情况可分为带有储能装置光伏发电系统及不带储能装置光伏发电系统</w:t>
      </w:r>
      <w:r>
        <w:rPr>
          <w:rFonts w:hint="eastAsia" w:cs="Times New Roman"/>
          <w:b w:val="0"/>
          <w:bCs w:val="0"/>
          <w:i w:val="0"/>
          <w:iCs w:val="0"/>
          <w:color w:val="auto"/>
          <w:kern w:val="0"/>
          <w:sz w:val="24"/>
          <w:szCs w:val="24"/>
          <w:lang w:eastAsia="zh-CN"/>
        </w:rPr>
        <w:t>；</w:t>
      </w:r>
    </w:p>
    <w:p w14:paraId="34EE7D98">
      <w:pPr>
        <w:widowControl/>
        <w:spacing w:line="300" w:lineRule="auto"/>
        <w:ind w:firstLine="482" w:firstLineChars="200"/>
        <w:rPr>
          <w:rFonts w:ascii="Times New Roman" w:hAnsi="Times New Roman" w:eastAsia="宋体" w:cs="Times New Roman"/>
          <w:color w:val="auto"/>
          <w:kern w:val="0"/>
          <w:sz w:val="24"/>
          <w:szCs w:val="24"/>
        </w:rPr>
      </w:pPr>
      <w:r>
        <w:rPr>
          <w:rFonts w:hint="default" w:ascii="Times New Roman" w:hAnsi="Times New Roman" w:eastAsia="宋体" w:cs="Times New Roman"/>
          <w:b/>
          <w:bCs/>
          <w:i w:val="0"/>
          <w:iCs w:val="0"/>
          <w:color w:val="auto"/>
          <w:kern w:val="0"/>
          <w:sz w:val="24"/>
          <w:szCs w:val="24"/>
          <w:lang w:val="en-US" w:eastAsia="zh-CN"/>
        </w:rPr>
        <w:t>4</w:t>
      </w:r>
      <w:r>
        <w:rPr>
          <w:rFonts w:ascii="Times New Roman" w:hAnsi="Times New Roman" w:eastAsia="宋体" w:cs="Times New Roman"/>
          <w:b/>
          <w:bCs/>
          <w:i w:val="0"/>
          <w:iCs w:val="0"/>
          <w:color w:val="auto"/>
          <w:kern w:val="0"/>
          <w:sz w:val="24"/>
          <w:szCs w:val="24"/>
        </w:rPr>
        <w:t xml:space="preserve"> </w:t>
      </w:r>
      <w:r>
        <w:rPr>
          <w:rFonts w:ascii="Times New Roman" w:hAnsi="Times New Roman" w:eastAsia="宋体" w:cs="Times New Roman"/>
          <w:b w:val="0"/>
          <w:bCs w:val="0"/>
          <w:i w:val="0"/>
          <w:iCs w:val="0"/>
          <w:color w:val="auto"/>
          <w:kern w:val="0"/>
          <w:sz w:val="24"/>
          <w:szCs w:val="24"/>
        </w:rPr>
        <w:t>光伏发电系统按所带用电负荷形式. 可分为直流光伏发电系统、交流光伏发电系统及交直流混合光伏发电系统</w:t>
      </w:r>
      <w:r>
        <w:rPr>
          <w:rFonts w:hint="eastAsia" w:cs="Times New Roman"/>
          <w:b w:val="0"/>
          <w:bCs w:val="0"/>
          <w:i w:val="0"/>
          <w:iCs w:val="0"/>
          <w:color w:val="auto"/>
          <w:kern w:val="0"/>
          <w:sz w:val="24"/>
          <w:szCs w:val="24"/>
          <w:lang w:eastAsia="zh-CN"/>
        </w:rPr>
        <w:t>；</w:t>
      </w:r>
      <w:r>
        <w:rPr>
          <w:rFonts w:ascii="Times New Roman" w:hAnsi="Times New Roman" w:eastAsia="宋体" w:cs="Times New Roman"/>
          <w:color w:val="auto"/>
          <w:kern w:val="0"/>
          <w:sz w:val="24"/>
          <w:szCs w:val="24"/>
        </w:rPr>
        <w:t xml:space="preserve"> </w:t>
      </w:r>
    </w:p>
    <w:p w14:paraId="46E859EA">
      <w:pPr>
        <w:widowControl/>
        <w:spacing w:line="300" w:lineRule="auto"/>
        <w:ind w:firstLine="482" w:firstLineChars="200"/>
        <w:rPr>
          <w:rFonts w:hint="eastAsia" w:eastAsia="宋体"/>
          <w:b w:val="0"/>
          <w:bCs w:val="0"/>
          <w:color w:val="auto"/>
          <w:kern w:val="0"/>
          <w:sz w:val="24"/>
          <w:lang w:eastAsia="zh-CN"/>
        </w:rPr>
      </w:pPr>
      <w:r>
        <w:rPr>
          <w:rFonts w:hint="default" w:cs="Times New Roman"/>
          <w:b/>
          <w:bCs/>
          <w:color w:val="auto"/>
          <w:kern w:val="0"/>
          <w:sz w:val="24"/>
          <w:szCs w:val="24"/>
          <w:lang w:val="en-US" w:eastAsia="zh-CN"/>
        </w:rPr>
        <w:t xml:space="preserve">5 </w:t>
      </w:r>
      <w:r>
        <w:rPr>
          <w:rFonts w:hint="default"/>
          <w:b w:val="0"/>
          <w:bCs w:val="0"/>
          <w:color w:val="auto"/>
          <w:kern w:val="0"/>
          <w:sz w:val="24"/>
        </w:rPr>
        <w:t>光伏发电系统按安装容量可分为小型光伏发电系统</w:t>
      </w:r>
      <w:r>
        <w:rPr>
          <w:rFonts w:hint="default"/>
          <w:b w:val="0"/>
          <w:bCs w:val="0"/>
          <w:color w:val="auto"/>
          <w:kern w:val="0"/>
          <w:sz w:val="24"/>
          <w:lang w:eastAsia="zh-CN"/>
        </w:rPr>
        <w:t>、</w:t>
      </w:r>
      <w:r>
        <w:rPr>
          <w:rFonts w:hint="default"/>
          <w:b w:val="0"/>
          <w:bCs w:val="0"/>
          <w:color w:val="auto"/>
          <w:kern w:val="0"/>
          <w:sz w:val="24"/>
        </w:rPr>
        <w:t>中型光伏发电系统</w:t>
      </w:r>
      <w:r>
        <w:rPr>
          <w:rFonts w:hint="default"/>
          <w:b w:val="0"/>
          <w:bCs w:val="0"/>
          <w:color w:val="auto"/>
          <w:kern w:val="0"/>
          <w:sz w:val="24"/>
          <w:lang w:val="en-US" w:eastAsia="zh-CN"/>
        </w:rPr>
        <w:t>及</w:t>
      </w:r>
      <w:r>
        <w:rPr>
          <w:rFonts w:hint="default"/>
          <w:b w:val="0"/>
          <w:bCs w:val="0"/>
          <w:color w:val="auto"/>
          <w:kern w:val="0"/>
          <w:sz w:val="24"/>
        </w:rPr>
        <w:t>大型光伏发电系统</w:t>
      </w:r>
      <w:r>
        <w:rPr>
          <w:rFonts w:hint="eastAsia"/>
          <w:b w:val="0"/>
          <w:bCs w:val="0"/>
          <w:color w:val="auto"/>
          <w:kern w:val="0"/>
          <w:sz w:val="24"/>
          <w:lang w:eastAsia="zh-CN"/>
        </w:rPr>
        <w:t>。</w:t>
      </w:r>
    </w:p>
    <w:p w14:paraId="38C4DF1F">
      <w:pPr>
        <w:pStyle w:val="2"/>
        <w:spacing w:line="300" w:lineRule="auto"/>
        <w:rPr>
          <w:rFonts w:hint="eastAsia" w:ascii="仿宋" w:hAnsi="仿宋" w:eastAsia="仿宋" w:cs="仿宋"/>
          <w:b w:val="0"/>
          <w:bCs w:val="0"/>
          <w:i/>
          <w:iCs/>
          <w:color w:val="0623BA"/>
          <w:sz w:val="24"/>
          <w:highlight w:val="none"/>
        </w:rPr>
      </w:pPr>
      <w:r>
        <w:rPr>
          <w:rFonts w:hint="eastAsia" w:ascii="仿宋" w:hAnsi="仿宋" w:eastAsia="仿宋" w:cs="仿宋"/>
          <w:b w:val="0"/>
          <w:bCs w:val="0"/>
          <w:i/>
          <w:iCs/>
          <w:color w:val="0623BA"/>
          <w:sz w:val="24"/>
          <w:highlight w:val="none"/>
        </w:rPr>
        <w:t>【条文说明】</w:t>
      </w:r>
    </w:p>
    <w:p w14:paraId="2C66371E">
      <w:pPr>
        <w:widowControl/>
        <w:spacing w:line="300" w:lineRule="auto"/>
        <w:rPr>
          <w:rFonts w:hint="default" w:ascii="仿宋" w:hAnsi="仿宋" w:eastAsia="仿宋" w:cs="仿宋"/>
          <w:b w:val="0"/>
          <w:bCs w:val="0"/>
          <w:i/>
          <w:iCs/>
          <w:color w:val="0623BA"/>
          <w:sz w:val="24"/>
          <w:highlight w:val="none"/>
        </w:rPr>
      </w:pPr>
      <w:r>
        <w:rPr>
          <w:rFonts w:hint="eastAsia" w:ascii="仿宋" w:hAnsi="仿宋" w:eastAsia="仿宋" w:cs="仿宋"/>
          <w:b w:val="0"/>
          <w:bCs w:val="0"/>
          <w:i/>
          <w:iCs/>
          <w:color w:val="0623BA"/>
          <w:kern w:val="2"/>
          <w:sz w:val="24"/>
          <w:highlight w:val="none"/>
          <w:lang w:val="en-US" w:eastAsia="zh-CN"/>
        </w:rPr>
        <w:t xml:space="preserve">3.0.11 </w:t>
      </w:r>
      <w:r>
        <w:rPr>
          <w:rFonts w:hint="default" w:ascii="仿宋" w:hAnsi="仿宋" w:eastAsia="仿宋" w:cs="仿宋"/>
          <w:b w:val="0"/>
          <w:bCs w:val="0"/>
          <w:i/>
          <w:iCs/>
          <w:color w:val="0623BA"/>
          <w:sz w:val="24"/>
          <w:highlight w:val="none"/>
        </w:rPr>
        <w:t>光伏发电系统按安装容量可分</w:t>
      </w:r>
      <w:r>
        <w:rPr>
          <w:rFonts w:hint="eastAsia" w:ascii="仿宋" w:hAnsi="仿宋" w:eastAsia="仿宋" w:cs="仿宋"/>
          <w:b w:val="0"/>
          <w:bCs w:val="0"/>
          <w:i/>
          <w:iCs/>
          <w:color w:val="0623BA"/>
          <w:kern w:val="2"/>
          <w:sz w:val="24"/>
          <w:highlight w:val="none"/>
          <w:lang w:val="en-US" w:eastAsia="zh-CN"/>
        </w:rPr>
        <w:t>为下列三种系统：</w:t>
      </w:r>
    </w:p>
    <w:p w14:paraId="24C1D5A7">
      <w:pPr>
        <w:widowControl/>
        <w:spacing w:line="300" w:lineRule="auto"/>
        <w:ind w:firstLine="482" w:firstLineChars="200"/>
        <w:rPr>
          <w:rFonts w:hint="eastAsia" w:ascii="仿宋" w:hAnsi="仿宋" w:eastAsia="仿宋" w:cs="仿宋"/>
          <w:b w:val="0"/>
          <w:bCs w:val="0"/>
          <w:i/>
          <w:iCs/>
          <w:color w:val="0623BA"/>
          <w:sz w:val="24"/>
          <w:highlight w:val="cyan"/>
        </w:rPr>
      </w:pPr>
      <w:r>
        <w:rPr>
          <w:rFonts w:hint="default" w:ascii="仿宋" w:hAnsi="仿宋" w:eastAsia="仿宋" w:cs="仿宋"/>
          <w:b/>
          <w:bCs/>
          <w:i/>
          <w:iCs/>
          <w:color w:val="0623BA"/>
          <w:sz w:val="24"/>
          <w:highlight w:val="none"/>
        </w:rPr>
        <w:t xml:space="preserve">1 </w:t>
      </w:r>
      <w:r>
        <w:rPr>
          <w:rFonts w:hint="default" w:ascii="仿宋" w:hAnsi="仿宋" w:eastAsia="仿宋" w:cs="仿宋"/>
          <w:b w:val="0"/>
          <w:bCs w:val="0"/>
          <w:i/>
          <w:iCs/>
          <w:color w:val="0623BA"/>
          <w:sz w:val="24"/>
          <w:highlight w:val="none"/>
        </w:rPr>
        <w:t>小型光伏发电系统:安装容量小于或等于1MWP</w:t>
      </w:r>
      <w:r>
        <w:rPr>
          <w:rFonts w:hint="eastAsia" w:ascii="仿宋" w:hAnsi="仿宋" w:eastAsia="仿宋" w:cs="仿宋"/>
          <w:b w:val="0"/>
          <w:bCs w:val="0"/>
          <w:i/>
          <w:iCs/>
          <w:color w:val="0623BA"/>
          <w:sz w:val="24"/>
          <w:highlight w:val="none"/>
          <w:lang w:eastAsia="zh-CN"/>
        </w:rPr>
        <w:t>；</w:t>
      </w:r>
    </w:p>
    <w:p w14:paraId="7A4355C2">
      <w:pPr>
        <w:widowControl/>
        <w:spacing w:line="300" w:lineRule="auto"/>
        <w:ind w:firstLine="482" w:firstLineChars="200"/>
        <w:rPr>
          <w:rFonts w:hint="default" w:ascii="仿宋" w:hAnsi="仿宋" w:eastAsia="仿宋" w:cs="仿宋"/>
          <w:b w:val="0"/>
          <w:bCs w:val="0"/>
          <w:i/>
          <w:iCs/>
          <w:color w:val="0623BA"/>
          <w:sz w:val="24"/>
          <w:highlight w:val="cyan"/>
        </w:rPr>
      </w:pPr>
      <w:r>
        <w:rPr>
          <w:rFonts w:hint="default" w:ascii="仿宋" w:hAnsi="仿宋" w:eastAsia="仿宋" w:cs="仿宋"/>
          <w:b/>
          <w:bCs/>
          <w:i/>
          <w:iCs/>
          <w:color w:val="0623BA"/>
          <w:sz w:val="24"/>
          <w:highlight w:val="none"/>
        </w:rPr>
        <w:t xml:space="preserve">2 </w:t>
      </w:r>
      <w:r>
        <w:rPr>
          <w:rFonts w:hint="default" w:ascii="仿宋" w:hAnsi="仿宋" w:eastAsia="仿宋" w:cs="仿宋"/>
          <w:b w:val="0"/>
          <w:bCs w:val="0"/>
          <w:i/>
          <w:iCs/>
          <w:color w:val="0623BA"/>
          <w:sz w:val="24"/>
          <w:highlight w:val="none"/>
        </w:rPr>
        <w:t>中型光伏发电系统:安装容量大于1MWp和小于或等于30MWP</w:t>
      </w:r>
      <w:r>
        <w:rPr>
          <w:rFonts w:hint="eastAsia" w:ascii="仿宋" w:hAnsi="仿宋" w:eastAsia="仿宋" w:cs="仿宋"/>
          <w:b w:val="0"/>
          <w:bCs w:val="0"/>
          <w:i/>
          <w:iCs/>
          <w:color w:val="0623BA"/>
          <w:kern w:val="2"/>
          <w:sz w:val="24"/>
          <w:highlight w:val="none"/>
          <w:lang w:val="en-US" w:eastAsia="zh-CN"/>
        </w:rPr>
        <w:t>；</w:t>
      </w:r>
    </w:p>
    <w:p w14:paraId="666F83BB">
      <w:pPr>
        <w:widowControl/>
        <w:spacing w:line="300" w:lineRule="auto"/>
        <w:ind w:firstLine="482" w:firstLineChars="200"/>
        <w:rPr>
          <w:rFonts w:hint="default" w:ascii="仿宋" w:hAnsi="仿宋" w:eastAsia="仿宋" w:cs="仿宋"/>
          <w:b w:val="0"/>
          <w:bCs w:val="0"/>
          <w:i/>
          <w:iCs/>
          <w:color w:val="0623BA"/>
          <w:sz w:val="24"/>
          <w:highlight w:val="none"/>
        </w:rPr>
      </w:pPr>
      <w:r>
        <w:rPr>
          <w:rFonts w:hint="default" w:ascii="仿宋" w:hAnsi="仿宋" w:eastAsia="仿宋" w:cs="仿宋"/>
          <w:b/>
          <w:bCs/>
          <w:i/>
          <w:iCs/>
          <w:color w:val="0623BA"/>
          <w:sz w:val="24"/>
          <w:highlight w:val="none"/>
        </w:rPr>
        <w:t xml:space="preserve">3 </w:t>
      </w:r>
      <w:r>
        <w:rPr>
          <w:rFonts w:hint="default" w:ascii="仿宋" w:hAnsi="仿宋" w:eastAsia="仿宋" w:cs="仿宋"/>
          <w:b w:val="0"/>
          <w:bCs w:val="0"/>
          <w:i/>
          <w:iCs/>
          <w:color w:val="0623BA"/>
          <w:sz w:val="24"/>
          <w:highlight w:val="none"/>
        </w:rPr>
        <w:t>大型光伏发电系统:安装容量大于30MWP。</w:t>
      </w:r>
    </w:p>
    <w:p w14:paraId="3C16D8C7">
      <w:pPr>
        <w:pStyle w:val="2"/>
        <w:spacing w:after="0" w:line="360" w:lineRule="auto"/>
        <w:rPr>
          <w:rFonts w:hint="default" w:ascii="Times New Roman" w:hAnsi="Times New Roman" w:eastAsia="宋体" w:cs="Times New Roman"/>
          <w:b/>
          <w:bCs/>
          <w:i w:val="0"/>
          <w:iCs w:val="0"/>
          <w:color w:val="auto"/>
          <w:sz w:val="24"/>
        </w:rPr>
      </w:pPr>
      <w:r>
        <w:rPr>
          <w:rFonts w:hint="eastAsia" w:ascii="Times New Roman" w:hAnsi="Times New Roman" w:eastAsia="宋体" w:cs="Times New Roman"/>
          <w:b/>
          <w:bCs/>
          <w:i w:val="0"/>
          <w:iCs w:val="0"/>
          <w:color w:val="auto"/>
          <w:kern w:val="2"/>
          <w:sz w:val="24"/>
          <w:highlight w:val="none"/>
          <w:lang w:val="en-US" w:eastAsia="zh-CN"/>
        </w:rPr>
        <w:t>3.0.1</w:t>
      </w:r>
      <w:r>
        <w:rPr>
          <w:rFonts w:hint="eastAsia" w:cs="Times New Roman"/>
          <w:b/>
          <w:bCs/>
          <w:i w:val="0"/>
          <w:iCs w:val="0"/>
          <w:color w:val="auto"/>
          <w:kern w:val="2"/>
          <w:sz w:val="24"/>
          <w:highlight w:val="none"/>
          <w:lang w:val="en-US" w:eastAsia="zh-CN"/>
        </w:rPr>
        <w:t>2</w:t>
      </w:r>
      <w:r>
        <w:rPr>
          <w:rFonts w:hint="default" w:cs="Times New Roman"/>
          <w:b w:val="0"/>
          <w:bCs w:val="0"/>
          <w:i w:val="0"/>
          <w:iCs w:val="0"/>
          <w:color w:val="auto"/>
          <w:kern w:val="0"/>
          <w:sz w:val="24"/>
          <w:lang w:val="en-US" w:eastAsia="zh-CN"/>
        </w:rPr>
        <w:t xml:space="preserve"> </w:t>
      </w:r>
      <w:r>
        <w:rPr>
          <w:rFonts w:hint="default" w:ascii="Times New Roman" w:hAnsi="Times New Roman" w:eastAsia="宋体" w:cs="Times New Roman"/>
          <w:b w:val="0"/>
          <w:bCs w:val="0"/>
          <w:color w:val="auto"/>
          <w:kern w:val="0"/>
          <w:sz w:val="24"/>
          <w:szCs w:val="24"/>
          <w:u w:val="none" w:color="auto"/>
          <w:vertAlign w:val="baseline"/>
          <w:lang w:val="en-US" w:eastAsia="zh-CN"/>
        </w:rPr>
        <w:t>已有上人建筑屋顶架设光伏应考虑光伏板和屋面之间足够的使用空间高度，</w:t>
      </w:r>
      <w:r>
        <w:rPr>
          <w:rFonts w:hint="eastAsia" w:cs="Times New Roman"/>
          <w:b w:val="0"/>
          <w:bCs w:val="0"/>
          <w:color w:val="auto"/>
          <w:kern w:val="0"/>
          <w:sz w:val="24"/>
          <w:szCs w:val="24"/>
          <w:u w:val="none" w:color="auto"/>
          <w:vertAlign w:val="baseline"/>
          <w:lang w:val="en-US" w:eastAsia="zh-CN"/>
        </w:rPr>
        <w:t>以</w:t>
      </w:r>
      <w:r>
        <w:rPr>
          <w:rFonts w:hint="default" w:ascii="Times New Roman" w:hAnsi="Times New Roman" w:eastAsia="宋体" w:cs="Times New Roman"/>
          <w:b w:val="0"/>
          <w:bCs w:val="0"/>
          <w:color w:val="auto"/>
          <w:kern w:val="0"/>
          <w:sz w:val="24"/>
          <w:szCs w:val="24"/>
          <w:u w:val="none" w:color="auto"/>
          <w:vertAlign w:val="baseline"/>
          <w:lang w:val="en-US" w:eastAsia="zh-CN"/>
        </w:rPr>
        <w:t>满足光伏的散热和原有屋面的使用的要求</w:t>
      </w:r>
      <w:r>
        <w:rPr>
          <w:rFonts w:hint="eastAsia" w:cs="Times New Roman"/>
          <w:b w:val="0"/>
          <w:bCs w:val="0"/>
          <w:color w:val="auto"/>
          <w:kern w:val="0"/>
          <w:sz w:val="24"/>
          <w:szCs w:val="24"/>
          <w:u w:val="none"/>
          <w:vertAlign w:val="baseline"/>
          <w:lang w:val="en-US" w:eastAsia="zh-CN"/>
        </w:rPr>
        <w:t>。</w:t>
      </w:r>
    </w:p>
    <w:p w14:paraId="657B7D5C">
      <w:pPr>
        <w:widowControl/>
        <w:spacing w:line="300" w:lineRule="auto"/>
        <w:jc w:val="left"/>
        <w:rPr>
          <w:sz w:val="24"/>
        </w:rPr>
      </w:pPr>
      <w:r>
        <w:rPr>
          <w:sz w:val="24"/>
        </w:rPr>
        <w:br w:type="page"/>
      </w:r>
    </w:p>
    <w:p w14:paraId="6504AA23">
      <w:pPr>
        <w:pStyle w:val="5"/>
        <w:spacing w:before="95" w:beforeLines="30" w:after="95" w:afterLines="30" w:line="300" w:lineRule="auto"/>
        <w:jc w:val="center"/>
        <w:rPr>
          <w:rFonts w:hint="default" w:ascii="Times New Roman" w:hAnsi="Times New Roman" w:eastAsia="黑体" w:cs="Times New Roman"/>
          <w:sz w:val="28"/>
          <w:szCs w:val="28"/>
        </w:rPr>
      </w:pPr>
      <w:bookmarkStart w:id="55" w:name="_Toc28402"/>
      <w:bookmarkStart w:id="56" w:name="_Toc8033"/>
      <w:bookmarkStart w:id="57" w:name="_Toc7827"/>
      <w:bookmarkStart w:id="58" w:name="_Toc5210"/>
      <w:bookmarkStart w:id="59" w:name="_Toc7116"/>
      <w:bookmarkStart w:id="60" w:name="_Toc19911"/>
      <w:bookmarkStart w:id="61" w:name="_Toc12047"/>
      <w:bookmarkStart w:id="62" w:name="_Toc7054"/>
      <w:r>
        <w:rPr>
          <w:rFonts w:hint="default" w:ascii="Times New Roman" w:hAnsi="Times New Roman" w:eastAsia="黑体" w:cs="Times New Roman"/>
          <w:sz w:val="28"/>
          <w:szCs w:val="28"/>
        </w:rPr>
        <w:t>4 设备和材料</w:t>
      </w:r>
      <w:bookmarkEnd w:id="55"/>
      <w:bookmarkEnd w:id="56"/>
      <w:bookmarkEnd w:id="57"/>
      <w:bookmarkEnd w:id="58"/>
      <w:bookmarkEnd w:id="59"/>
      <w:bookmarkEnd w:id="60"/>
      <w:bookmarkEnd w:id="61"/>
      <w:bookmarkEnd w:id="62"/>
    </w:p>
    <w:p w14:paraId="445A10C8">
      <w:pPr>
        <w:keepNext/>
        <w:keepLines/>
        <w:snapToGrid w:val="0"/>
        <w:spacing w:before="95" w:beforeLines="30" w:after="95" w:afterLines="30" w:line="300" w:lineRule="auto"/>
        <w:jc w:val="center"/>
        <w:outlineLvl w:val="2"/>
        <w:rPr>
          <w:b/>
          <w:sz w:val="24"/>
          <w:szCs w:val="32"/>
        </w:rPr>
      </w:pPr>
      <w:bookmarkStart w:id="63" w:name="_Toc26885"/>
      <w:bookmarkStart w:id="64" w:name="_Toc26068"/>
      <w:bookmarkStart w:id="65" w:name="_Toc9210"/>
      <w:bookmarkStart w:id="66" w:name="_Toc21"/>
      <w:bookmarkStart w:id="67" w:name="_Toc17362"/>
      <w:bookmarkStart w:id="68" w:name="_Toc19917"/>
      <w:bookmarkStart w:id="69" w:name="_Toc6187"/>
      <w:bookmarkStart w:id="70" w:name="_Toc16303"/>
      <w:r>
        <w:rPr>
          <w:b/>
          <w:sz w:val="24"/>
          <w:szCs w:val="32"/>
        </w:rPr>
        <w:t>4.1一般规定</w:t>
      </w:r>
      <w:bookmarkEnd w:id="63"/>
      <w:bookmarkEnd w:id="64"/>
      <w:bookmarkEnd w:id="65"/>
      <w:bookmarkEnd w:id="66"/>
      <w:bookmarkEnd w:id="67"/>
      <w:bookmarkEnd w:id="68"/>
      <w:bookmarkEnd w:id="69"/>
      <w:bookmarkEnd w:id="70"/>
    </w:p>
    <w:p w14:paraId="0075758E">
      <w:pPr>
        <w:snapToGrid w:val="0"/>
        <w:spacing w:line="300" w:lineRule="auto"/>
        <w:jc w:val="left"/>
        <w:rPr>
          <w:sz w:val="24"/>
        </w:rPr>
      </w:pPr>
      <w:r>
        <w:rPr>
          <w:b/>
          <w:bCs/>
          <w:sz w:val="24"/>
        </w:rPr>
        <w:t>4.1.1</w:t>
      </w:r>
      <w:r>
        <w:rPr>
          <w:sz w:val="24"/>
        </w:rPr>
        <w:t xml:space="preserve"> 建筑光伏系统设备和材料应符合建筑安全规定，作为建筑材料或构件时应满足建筑功能需求。</w:t>
      </w:r>
    </w:p>
    <w:p w14:paraId="1F06F3BB">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23169D0">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4.1.1 系统设备与材料应符合国家及地方现行相关标准的规定并有出厂合格证书且应满足设计要求。材料及部件的物理和化学性能应符合建筑所在地的气候、环境等要求。建筑光伏发电系统中逆变器、汇流箱、变压器、配电柜、无功补偿装置等应满足环境温度、相对湿度、海拔高度、地震烈度、污秽等级等使用环境条件要求。</w:t>
      </w:r>
    </w:p>
    <w:p w14:paraId="6892039F">
      <w:pPr>
        <w:pStyle w:val="2"/>
        <w:spacing w:after="0" w:line="300" w:lineRule="auto"/>
        <w:rPr>
          <w:sz w:val="24"/>
        </w:rPr>
      </w:pPr>
      <w:r>
        <w:rPr>
          <w:b/>
          <w:bCs/>
          <w:sz w:val="24"/>
        </w:rPr>
        <w:t>4.1.2</w:t>
      </w:r>
      <w:r>
        <w:rPr>
          <w:sz w:val="24"/>
        </w:rPr>
        <w:t xml:space="preserve"> </w:t>
      </w:r>
      <w:r>
        <w:rPr>
          <w:rFonts w:hint="default" w:ascii="Times New Roman" w:hAnsi="Times New Roman" w:eastAsia="宋体" w:cs="Times New Roman"/>
          <w:b w:val="0"/>
          <w:bCs w:val="0"/>
          <w:sz w:val="24"/>
          <w:szCs w:val="24"/>
          <w:u w:val="none"/>
          <w:vertAlign w:val="baseline"/>
          <w:lang w:val="en-US" w:eastAsia="zh-CN"/>
        </w:rPr>
        <w:t>建筑光伏系统设备和材料的选择应满足建筑安全、功能及环境适应性要求，与建筑物外观相协调并具备良好的耐候性、耐腐蚀性和防火性能</w:t>
      </w:r>
      <w:r>
        <w:rPr>
          <w:sz w:val="24"/>
        </w:rPr>
        <w:t>。</w:t>
      </w:r>
    </w:p>
    <w:p w14:paraId="44FD0ACA">
      <w:pPr>
        <w:pStyle w:val="2"/>
        <w:spacing w:after="0" w:line="300" w:lineRule="auto"/>
        <w:rPr>
          <w:sz w:val="24"/>
        </w:rPr>
      </w:pPr>
      <w:r>
        <w:rPr>
          <w:b/>
          <w:bCs/>
          <w:sz w:val="24"/>
        </w:rPr>
        <w:t>4.1.3</w:t>
      </w:r>
      <w:r>
        <w:rPr>
          <w:sz w:val="24"/>
        </w:rPr>
        <w:t xml:space="preserve"> 建筑光伏系统的建筑设计应结合功能要求选用相应的组件类型、结构方案和构造措施。</w:t>
      </w:r>
    </w:p>
    <w:p w14:paraId="143C663E">
      <w:pPr>
        <w:pStyle w:val="2"/>
        <w:spacing w:after="0" w:line="300" w:lineRule="auto"/>
        <w:rPr>
          <w:sz w:val="24"/>
        </w:rPr>
      </w:pPr>
      <w:r>
        <w:rPr>
          <w:b/>
          <w:bCs/>
          <w:sz w:val="24"/>
        </w:rPr>
        <w:t>4.1.4</w:t>
      </w:r>
      <w:r>
        <w:rPr>
          <w:sz w:val="24"/>
        </w:rPr>
        <w:t xml:space="preserve"> 建筑光伏发电设备和构件</w:t>
      </w:r>
      <w:r>
        <w:rPr>
          <w:rFonts w:hint="eastAsia"/>
          <w:sz w:val="24"/>
          <w:lang w:val="en-US" w:eastAsia="zh-CN"/>
        </w:rPr>
        <w:t>及</w:t>
      </w:r>
      <w:r>
        <w:rPr>
          <w:sz w:val="24"/>
        </w:rPr>
        <w:t>原材料进场时应对品种、规格、外观和尺寸进行验收，应有产品合格证书及相关性能的检验报告并应对必要的性能指标现场取样进行复检</w:t>
      </w:r>
      <w:r>
        <w:rPr>
          <w:rFonts w:hint="default"/>
          <w:sz w:val="24"/>
          <w:lang w:val="en-US" w:eastAsia="zh-CN"/>
        </w:rPr>
        <w:t>并</w:t>
      </w:r>
      <w:r>
        <w:rPr>
          <w:sz w:val="24"/>
        </w:rPr>
        <w:t>应符合在运输、安装和使用过程中的强度、刚度以及稳定性规定。</w:t>
      </w:r>
    </w:p>
    <w:p w14:paraId="2FF03801">
      <w:pPr>
        <w:keepNext/>
        <w:keepLines/>
        <w:snapToGrid w:val="0"/>
        <w:spacing w:before="72" w:beforeLines="30" w:after="72" w:afterLines="30" w:line="300" w:lineRule="auto"/>
        <w:jc w:val="center"/>
        <w:outlineLvl w:val="2"/>
        <w:rPr>
          <w:b/>
          <w:sz w:val="24"/>
          <w:szCs w:val="32"/>
        </w:rPr>
      </w:pPr>
      <w:bookmarkStart w:id="71" w:name="_Toc24025"/>
      <w:bookmarkStart w:id="72" w:name="_Toc13924"/>
      <w:bookmarkStart w:id="73" w:name="_Toc17699"/>
      <w:bookmarkStart w:id="74" w:name="_Toc22523"/>
      <w:bookmarkStart w:id="75" w:name="_Toc350"/>
      <w:bookmarkStart w:id="76" w:name="_Toc29343"/>
      <w:bookmarkStart w:id="77" w:name="_Toc22903"/>
      <w:bookmarkStart w:id="78" w:name="_Toc31689"/>
      <w:r>
        <w:rPr>
          <w:b/>
          <w:sz w:val="24"/>
          <w:szCs w:val="32"/>
        </w:rPr>
        <w:t>4.2光伏组件</w:t>
      </w:r>
      <w:bookmarkEnd w:id="71"/>
      <w:bookmarkEnd w:id="72"/>
      <w:bookmarkEnd w:id="73"/>
      <w:bookmarkEnd w:id="74"/>
      <w:bookmarkEnd w:id="75"/>
      <w:bookmarkEnd w:id="76"/>
      <w:bookmarkEnd w:id="77"/>
      <w:bookmarkEnd w:id="78"/>
    </w:p>
    <w:p w14:paraId="79279215">
      <w:pPr>
        <w:snapToGrid w:val="0"/>
        <w:spacing w:line="300" w:lineRule="auto"/>
        <w:jc w:val="left"/>
        <w:rPr>
          <w:sz w:val="24"/>
        </w:rPr>
      </w:pPr>
      <w:r>
        <w:rPr>
          <w:b/>
          <w:bCs/>
          <w:sz w:val="24"/>
        </w:rPr>
        <w:t>4.2.1</w:t>
      </w:r>
      <w:r>
        <w:rPr>
          <w:sz w:val="24"/>
        </w:rPr>
        <w:t xml:space="preserve"> 建筑用光伏组件按不同分类方式可选用下列类型：</w:t>
      </w:r>
    </w:p>
    <w:p w14:paraId="13ED8251">
      <w:pPr>
        <w:snapToGrid w:val="0"/>
        <w:spacing w:line="300" w:lineRule="auto"/>
        <w:ind w:firstLine="482" w:firstLineChars="200"/>
        <w:jc w:val="left"/>
        <w:rPr>
          <w:sz w:val="24"/>
        </w:rPr>
      </w:pPr>
      <w:r>
        <w:rPr>
          <w:b/>
          <w:bCs/>
          <w:sz w:val="24"/>
        </w:rPr>
        <w:t>1</w:t>
      </w:r>
      <w:r>
        <w:rPr>
          <w:rFonts w:hint="eastAsia"/>
          <w:b/>
          <w:bCs/>
          <w:sz w:val="24"/>
          <w:lang w:val="en-US" w:eastAsia="zh-CN"/>
        </w:rPr>
        <w:t xml:space="preserve"> </w:t>
      </w:r>
      <w:r>
        <w:rPr>
          <w:sz w:val="24"/>
        </w:rPr>
        <w:t>根据与建筑结合方式可选用常规光伏组件和光伏构件；</w:t>
      </w:r>
    </w:p>
    <w:p w14:paraId="0DD214A6">
      <w:pPr>
        <w:snapToGrid w:val="0"/>
        <w:spacing w:line="300" w:lineRule="auto"/>
        <w:ind w:firstLine="482" w:firstLineChars="200"/>
        <w:jc w:val="left"/>
        <w:rPr>
          <w:sz w:val="24"/>
        </w:rPr>
      </w:pPr>
      <w:r>
        <w:rPr>
          <w:b/>
          <w:bCs/>
          <w:sz w:val="24"/>
        </w:rPr>
        <w:t>2.</w:t>
      </w:r>
      <w:r>
        <w:rPr>
          <w:rFonts w:hint="eastAsia"/>
          <w:sz w:val="24"/>
          <w:lang w:val="en-US" w:eastAsia="zh-CN"/>
        </w:rPr>
        <w:t xml:space="preserve"> </w:t>
      </w:r>
      <w:r>
        <w:rPr>
          <w:sz w:val="24"/>
        </w:rPr>
        <w:t>根据光伏电池的类型可选用晶硅光伏组件、薄膜光伏组件及</w:t>
      </w:r>
      <w:r>
        <w:rPr>
          <w:rFonts w:hint="eastAsia"/>
          <w:sz w:val="24"/>
          <w:lang w:val="en-US" w:eastAsia="zh-CN"/>
        </w:rPr>
        <w:t>其他类型</w:t>
      </w:r>
      <w:r>
        <w:rPr>
          <w:sz w:val="24"/>
        </w:rPr>
        <w:t>光伏组件。</w:t>
      </w:r>
    </w:p>
    <w:p w14:paraId="4060CEF7">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80E1276">
      <w:pPr>
        <w:pStyle w:val="2"/>
        <w:spacing w:line="300" w:lineRule="auto"/>
        <w:ind w:firstLine="0" w:firstLineChars="0"/>
        <w:rPr>
          <w:rFonts w:hint="eastAsia" w:ascii="仿宋" w:hAnsi="仿宋" w:eastAsia="仿宋" w:cs="仿宋"/>
          <w:i/>
          <w:iCs/>
          <w:color w:val="0623BA"/>
          <w:sz w:val="24"/>
        </w:rPr>
      </w:pPr>
      <w:r>
        <w:rPr>
          <w:rFonts w:hint="eastAsia" w:ascii="仿宋" w:hAnsi="仿宋" w:eastAsia="仿宋" w:cs="仿宋"/>
          <w:i/>
          <w:iCs/>
          <w:color w:val="0623BA"/>
          <w:sz w:val="24"/>
        </w:rPr>
        <w:t>4.2.1 国家发展改革委、住房城乡建设部在《加快推动建筑领域节能降碳工作方案》提出，支持超低能耗、近零能耗、低碳、零碳等建筑新一代技术研发，持续推进超低能耗建筑构配件、高防火性能外墙保温系统、高效节能低碳设备系统、建筑运行调适等关键技术研究，支持钙钛矿、碲化镉等薄膜电池技术装备在建筑领域应用。钙钛矿和碲化镉太阳能电池作为一种新型清洁能源技术，随着光电转化效率的逐步提高，技术逐渐成熟，应逐步推广新技术、新产品在建筑中的应用。</w:t>
      </w:r>
    </w:p>
    <w:p w14:paraId="781CD573">
      <w:pPr>
        <w:snapToGrid w:val="0"/>
        <w:spacing w:line="300" w:lineRule="auto"/>
        <w:jc w:val="both"/>
        <w:rPr>
          <w:rFonts w:hint="eastAsia"/>
          <w:sz w:val="24"/>
        </w:rPr>
      </w:pPr>
      <w:r>
        <w:rPr>
          <w:rFonts w:hint="eastAsia"/>
          <w:b/>
          <w:bCs/>
          <w:sz w:val="24"/>
          <w:lang w:val="en-US" w:eastAsia="zh-CN"/>
        </w:rPr>
        <w:t>4.2.2</w:t>
      </w:r>
      <w:r>
        <w:rPr>
          <w:rFonts w:hint="eastAsia"/>
          <w:sz w:val="24"/>
        </w:rPr>
        <w:t xml:space="preserve"> 光伏组件设计使用寿命应高于25年，P型单玻组件</w:t>
      </w:r>
      <w:r>
        <w:rPr>
          <w:rFonts w:hint="eastAsia"/>
          <w:sz w:val="24"/>
          <w:lang w:eastAsia="zh-CN"/>
        </w:rPr>
        <w:t>、</w:t>
      </w:r>
      <w:r>
        <w:rPr>
          <w:rFonts w:hint="eastAsia"/>
          <w:sz w:val="24"/>
        </w:rPr>
        <w:t>P型双玻组件</w:t>
      </w:r>
      <w:r>
        <w:rPr>
          <w:rFonts w:hint="eastAsia"/>
          <w:sz w:val="24"/>
          <w:lang w:eastAsia="zh-CN"/>
        </w:rPr>
        <w:t>、</w:t>
      </w:r>
      <w:r>
        <w:rPr>
          <w:rFonts w:hint="eastAsia"/>
          <w:sz w:val="24"/>
        </w:rPr>
        <w:t>N型双玻组件</w:t>
      </w:r>
      <w:r>
        <w:rPr>
          <w:rFonts w:hint="eastAsia"/>
          <w:sz w:val="24"/>
          <w:lang w:eastAsia="zh-CN"/>
        </w:rPr>
        <w:t>、</w:t>
      </w:r>
      <w:r>
        <w:rPr>
          <w:rFonts w:hint="eastAsia"/>
          <w:sz w:val="24"/>
        </w:rPr>
        <w:t>异质结型双玻组件</w:t>
      </w:r>
      <w:r>
        <w:rPr>
          <w:rFonts w:hint="eastAsia"/>
          <w:sz w:val="24"/>
          <w:lang w:eastAsia="zh-CN"/>
        </w:rPr>
        <w:t>、薄膜组件</w:t>
      </w:r>
      <w:r>
        <w:rPr>
          <w:rFonts w:hint="eastAsia"/>
          <w:sz w:val="24"/>
        </w:rPr>
        <w:t>自系统运行之日起，一年内的衰减率应分别低于2%、</w:t>
      </w:r>
      <w:r>
        <w:rPr>
          <w:rFonts w:hint="eastAsia"/>
          <w:sz w:val="24"/>
          <w:lang w:val="en-US" w:eastAsia="zh-CN"/>
        </w:rPr>
        <w:t>2</w:t>
      </w:r>
      <w:r>
        <w:rPr>
          <w:rFonts w:hint="eastAsia"/>
          <w:sz w:val="24"/>
        </w:rPr>
        <w:t>%、</w:t>
      </w:r>
      <w:r>
        <w:rPr>
          <w:rFonts w:hint="eastAsia"/>
          <w:sz w:val="24"/>
          <w:lang w:val="en-US" w:eastAsia="zh-CN"/>
        </w:rPr>
        <w:t>1</w:t>
      </w:r>
      <w:r>
        <w:rPr>
          <w:rFonts w:hint="eastAsia"/>
          <w:sz w:val="24"/>
        </w:rPr>
        <w:t>%</w:t>
      </w:r>
      <w:r>
        <w:rPr>
          <w:rFonts w:hint="eastAsia"/>
          <w:sz w:val="24"/>
          <w:lang w:eastAsia="zh-CN"/>
        </w:rPr>
        <w:t>、</w:t>
      </w:r>
      <w:r>
        <w:rPr>
          <w:rFonts w:hint="eastAsia"/>
          <w:sz w:val="24"/>
          <w:lang w:val="en-US" w:eastAsia="zh-CN"/>
        </w:rPr>
        <w:t>1%、4%</w:t>
      </w:r>
      <w:r>
        <w:rPr>
          <w:rFonts w:hint="eastAsia"/>
          <w:sz w:val="24"/>
        </w:rPr>
        <w:t>，之后每年衰减不应高于0.</w:t>
      </w:r>
      <w:r>
        <w:rPr>
          <w:rFonts w:hint="eastAsia"/>
          <w:sz w:val="24"/>
          <w:lang w:val="en-US" w:eastAsia="zh-CN"/>
        </w:rPr>
        <w:t>55</w:t>
      </w:r>
      <w:r>
        <w:rPr>
          <w:rFonts w:hint="eastAsia"/>
          <w:sz w:val="24"/>
        </w:rPr>
        <w:t>%</w:t>
      </w:r>
      <w:r>
        <w:rPr>
          <w:rFonts w:hint="eastAsia"/>
          <w:sz w:val="24"/>
          <w:lang w:eastAsia="zh-CN"/>
        </w:rPr>
        <w:t>、</w:t>
      </w:r>
      <w:r>
        <w:rPr>
          <w:rFonts w:hint="eastAsia"/>
          <w:sz w:val="24"/>
        </w:rPr>
        <w:t>0.45%</w:t>
      </w:r>
      <w:r>
        <w:rPr>
          <w:rFonts w:hint="eastAsia"/>
          <w:sz w:val="24"/>
          <w:lang w:eastAsia="zh-CN"/>
        </w:rPr>
        <w:t>、</w:t>
      </w:r>
      <w:r>
        <w:rPr>
          <w:rFonts w:hint="eastAsia"/>
          <w:sz w:val="24"/>
        </w:rPr>
        <w:t>0.4</w:t>
      </w:r>
      <w:r>
        <w:rPr>
          <w:rFonts w:hint="eastAsia"/>
          <w:sz w:val="24"/>
          <w:lang w:val="en-US" w:eastAsia="zh-CN"/>
        </w:rPr>
        <w:t>0</w:t>
      </w:r>
      <w:r>
        <w:rPr>
          <w:rFonts w:hint="eastAsia"/>
          <w:sz w:val="24"/>
        </w:rPr>
        <w:t>%</w:t>
      </w:r>
      <w:r>
        <w:rPr>
          <w:rFonts w:hint="eastAsia"/>
          <w:sz w:val="24"/>
          <w:lang w:eastAsia="zh-CN"/>
        </w:rPr>
        <w:t>、</w:t>
      </w:r>
      <w:r>
        <w:rPr>
          <w:rFonts w:hint="eastAsia"/>
          <w:sz w:val="24"/>
        </w:rPr>
        <w:t>0.375%</w:t>
      </w:r>
      <w:r>
        <w:rPr>
          <w:rFonts w:hint="eastAsia"/>
          <w:sz w:val="24"/>
          <w:lang w:eastAsia="zh-CN"/>
        </w:rPr>
        <w:t>、</w:t>
      </w:r>
      <w:r>
        <w:rPr>
          <w:rFonts w:hint="eastAsia"/>
          <w:sz w:val="24"/>
        </w:rPr>
        <w:t>0.4</w:t>
      </w:r>
      <w:r>
        <w:rPr>
          <w:rFonts w:hint="eastAsia"/>
          <w:sz w:val="24"/>
          <w:lang w:val="en-US" w:eastAsia="zh-CN"/>
        </w:rPr>
        <w:t>0</w:t>
      </w:r>
      <w:r>
        <w:rPr>
          <w:rFonts w:hint="eastAsia"/>
          <w:sz w:val="24"/>
        </w:rPr>
        <w:t>%</w:t>
      </w:r>
      <w:r>
        <w:rPr>
          <w:rFonts w:hint="eastAsia"/>
          <w:sz w:val="24"/>
          <w:lang w:eastAsia="zh-CN"/>
        </w:rPr>
        <w:t>，</w:t>
      </w:r>
      <w:r>
        <w:rPr>
          <w:rFonts w:hint="eastAsia"/>
          <w:sz w:val="24"/>
        </w:rPr>
        <w:t>25年期衰减累积不超过15%</w:t>
      </w:r>
      <w:r>
        <w:rPr>
          <w:rFonts w:hint="eastAsia"/>
          <w:sz w:val="24"/>
          <w:lang w:eastAsia="zh-CN"/>
        </w:rPr>
        <w:t>、</w:t>
      </w:r>
      <w:r>
        <w:rPr>
          <w:rFonts w:hint="eastAsia"/>
          <w:sz w:val="24"/>
        </w:rPr>
        <w:t>12.8%</w:t>
      </w:r>
      <w:r>
        <w:rPr>
          <w:rFonts w:hint="eastAsia"/>
          <w:sz w:val="24"/>
          <w:lang w:eastAsia="zh-CN"/>
        </w:rPr>
        <w:t>、</w:t>
      </w:r>
      <w:r>
        <w:rPr>
          <w:rFonts w:hint="eastAsia"/>
          <w:sz w:val="24"/>
        </w:rPr>
        <w:t>10.6%</w:t>
      </w:r>
      <w:r>
        <w:rPr>
          <w:rFonts w:hint="eastAsia"/>
          <w:sz w:val="24"/>
          <w:lang w:eastAsia="zh-CN"/>
        </w:rPr>
        <w:t>、</w:t>
      </w:r>
      <w:r>
        <w:rPr>
          <w:rFonts w:hint="eastAsia"/>
          <w:sz w:val="24"/>
        </w:rPr>
        <w:t>10%</w:t>
      </w:r>
      <w:r>
        <w:rPr>
          <w:rFonts w:hint="eastAsia"/>
          <w:sz w:val="24"/>
          <w:lang w:eastAsia="zh-CN"/>
        </w:rPr>
        <w:t>、</w:t>
      </w:r>
      <w:r>
        <w:rPr>
          <w:rFonts w:hint="eastAsia"/>
          <w:sz w:val="24"/>
          <w:lang w:val="en-US" w:eastAsia="zh-CN"/>
        </w:rPr>
        <w:t>14%</w:t>
      </w:r>
      <w:r>
        <w:rPr>
          <w:rFonts w:hint="eastAsia"/>
          <w:sz w:val="24"/>
        </w:rPr>
        <w:t>。P型双面组件</w:t>
      </w:r>
      <w:r>
        <w:rPr>
          <w:rFonts w:hint="eastAsia"/>
          <w:sz w:val="24"/>
          <w:lang w:eastAsia="zh-CN"/>
        </w:rPr>
        <w:t>、</w:t>
      </w:r>
      <w:r>
        <w:rPr>
          <w:rFonts w:hint="eastAsia"/>
          <w:sz w:val="24"/>
        </w:rPr>
        <w:t>N型双面组件</w:t>
      </w:r>
      <w:r>
        <w:rPr>
          <w:rFonts w:hint="eastAsia"/>
          <w:sz w:val="24"/>
          <w:lang w:eastAsia="zh-CN"/>
        </w:rPr>
        <w:t>、</w:t>
      </w:r>
      <w:r>
        <w:rPr>
          <w:rFonts w:hint="eastAsia"/>
          <w:sz w:val="24"/>
        </w:rPr>
        <w:t>异质结型双面组件双面率不低于70%</w:t>
      </w:r>
      <w:r>
        <w:rPr>
          <w:rFonts w:hint="eastAsia"/>
          <w:sz w:val="24"/>
          <w:lang w:eastAsia="zh-CN"/>
        </w:rPr>
        <w:t>、</w:t>
      </w:r>
      <w:r>
        <w:rPr>
          <w:rFonts w:hint="eastAsia"/>
          <w:sz w:val="24"/>
        </w:rPr>
        <w:t>80%</w:t>
      </w:r>
      <w:r>
        <w:rPr>
          <w:rFonts w:hint="eastAsia"/>
          <w:sz w:val="24"/>
          <w:lang w:eastAsia="zh-CN"/>
        </w:rPr>
        <w:t>、</w:t>
      </w:r>
      <w:r>
        <w:rPr>
          <w:rFonts w:hint="eastAsia"/>
          <w:sz w:val="24"/>
        </w:rPr>
        <w:t>85%。</w:t>
      </w:r>
    </w:p>
    <w:p w14:paraId="691BDF18">
      <w:pPr>
        <w:pStyle w:val="2"/>
        <w:spacing w:line="300" w:lineRule="auto"/>
        <w:rPr>
          <w:rFonts w:hint="eastAsia" w:ascii="仿宋" w:hAnsi="仿宋" w:eastAsia="仿宋" w:cs="仿宋"/>
          <w:b w:val="0"/>
          <w:bCs w:val="0"/>
          <w:i/>
          <w:iCs/>
          <w:color w:val="0623BA"/>
          <w:sz w:val="24"/>
        </w:rPr>
      </w:pPr>
      <w:r>
        <w:rPr>
          <w:rFonts w:hint="eastAsia" w:ascii="仿宋" w:hAnsi="仿宋" w:eastAsia="仿宋" w:cs="仿宋"/>
          <w:b w:val="0"/>
          <w:bCs w:val="0"/>
          <w:i/>
          <w:iCs/>
          <w:color w:val="0623BA"/>
          <w:sz w:val="24"/>
        </w:rPr>
        <w:t>【条文说明】</w:t>
      </w:r>
    </w:p>
    <w:p w14:paraId="312D1C77">
      <w:pPr>
        <w:snapToGrid w:val="0"/>
        <w:spacing w:line="300" w:lineRule="auto"/>
        <w:jc w:val="both"/>
        <w:rPr>
          <w:rFonts w:hint="eastAsia"/>
          <w:sz w:val="24"/>
        </w:rPr>
      </w:pPr>
      <w:r>
        <w:rPr>
          <w:rFonts w:hint="eastAsia" w:ascii="仿宋" w:hAnsi="仿宋" w:eastAsia="仿宋" w:cs="仿宋"/>
          <w:i/>
          <w:iCs/>
          <w:caps w:val="0"/>
          <w:color w:val="0623BA"/>
          <w:spacing w:val="0"/>
          <w:sz w:val="24"/>
          <w:szCs w:val="24"/>
          <w:shd w:val="clear" w:fill="auto"/>
          <w:lang w:val="en-US" w:eastAsia="zh-CN"/>
        </w:rPr>
        <w:t xml:space="preserve">4.2.2 </w:t>
      </w:r>
      <w:r>
        <w:rPr>
          <w:rFonts w:ascii="仿宋" w:hAnsi="仿宋" w:eastAsia="仿宋" w:cs="仿宋"/>
          <w:b w:val="0"/>
          <w:bCs w:val="0"/>
          <w:i w:val="0"/>
          <w:iCs w:val="0"/>
          <w:color w:val="0623BA"/>
          <w:sz w:val="26"/>
          <w:szCs w:val="26"/>
        </w:rPr>
        <w:t>根据</w:t>
      </w:r>
      <w:r>
        <w:rPr>
          <w:rFonts w:hint="eastAsia" w:ascii="仿宋" w:hAnsi="仿宋" w:eastAsia="仿宋" w:cs="仿宋"/>
          <w:b w:val="0"/>
          <w:bCs w:val="0"/>
          <w:i w:val="0"/>
          <w:iCs w:val="0"/>
          <w:color w:val="0623BA"/>
          <w:sz w:val="26"/>
          <w:szCs w:val="26"/>
        </w:rPr>
        <w:t>工业和信息化部印发</w:t>
      </w:r>
      <w:r>
        <w:rPr>
          <w:rFonts w:hint="eastAsia" w:ascii="仿宋" w:hAnsi="仿宋" w:eastAsia="仿宋" w:cs="仿宋"/>
          <w:b w:val="0"/>
          <w:bCs w:val="0"/>
          <w:i w:val="0"/>
          <w:iCs w:val="0"/>
          <w:color w:val="0623BA"/>
          <w:sz w:val="26"/>
          <w:szCs w:val="26"/>
          <w:lang w:val="en-US" w:eastAsia="zh-CN"/>
        </w:rPr>
        <w:t>的</w:t>
      </w:r>
      <w:r>
        <w:rPr>
          <w:rFonts w:hint="eastAsia" w:ascii="仿宋" w:hAnsi="仿宋" w:eastAsia="仿宋" w:cs="仿宋"/>
          <w:b w:val="0"/>
          <w:bCs w:val="0"/>
          <w:i w:val="0"/>
          <w:iCs w:val="0"/>
          <w:color w:val="0623BA"/>
          <w:sz w:val="26"/>
          <w:szCs w:val="26"/>
        </w:rPr>
        <w:t>《光伏制造行业规范条件》（2024年本）</w:t>
      </w:r>
      <w:r>
        <w:rPr>
          <w:rFonts w:hint="eastAsia" w:ascii="仿宋" w:hAnsi="仿宋" w:eastAsia="仿宋" w:cs="仿宋"/>
          <w:b w:val="0"/>
          <w:bCs w:val="0"/>
          <w:i w:val="0"/>
          <w:iCs w:val="0"/>
          <w:color w:val="0623BA"/>
          <w:sz w:val="26"/>
          <w:szCs w:val="26"/>
          <w:lang w:val="en-US" w:eastAsia="zh-CN"/>
        </w:rPr>
        <w:t>并对P型单玻组件和P型双玻组件进行了规定</w:t>
      </w:r>
      <w:r>
        <w:rPr>
          <w:rFonts w:ascii="仿宋" w:hAnsi="仿宋" w:eastAsia="仿宋" w:cs="仿宋"/>
          <w:b w:val="0"/>
          <w:bCs w:val="0"/>
          <w:i w:val="0"/>
          <w:iCs w:val="0"/>
          <w:color w:val="0623BA"/>
          <w:sz w:val="26"/>
          <w:szCs w:val="26"/>
        </w:rPr>
        <w:t xml:space="preserve">。 </w:t>
      </w:r>
    </w:p>
    <w:p w14:paraId="39ADE0B1">
      <w:pPr>
        <w:snapToGrid w:val="0"/>
        <w:spacing w:line="300" w:lineRule="auto"/>
        <w:jc w:val="left"/>
        <w:rPr>
          <w:rFonts w:hint="eastAsia"/>
          <w:sz w:val="24"/>
        </w:rPr>
      </w:pPr>
      <w:r>
        <w:rPr>
          <w:rFonts w:hint="eastAsia"/>
          <w:b/>
          <w:bCs/>
          <w:sz w:val="24"/>
        </w:rPr>
        <w:t>4.2.</w:t>
      </w:r>
      <w:r>
        <w:rPr>
          <w:rFonts w:hint="eastAsia"/>
          <w:b/>
          <w:bCs/>
          <w:sz w:val="24"/>
          <w:lang w:val="en-US" w:eastAsia="zh-CN"/>
        </w:rPr>
        <w:t xml:space="preserve">3 </w:t>
      </w:r>
      <w:r>
        <w:rPr>
          <w:rFonts w:hint="eastAsia"/>
          <w:sz w:val="24"/>
        </w:rPr>
        <w:t>光伏组件抗风性应满足自身抗风性要求</w:t>
      </w:r>
      <w:r>
        <w:rPr>
          <w:rFonts w:hint="eastAsia"/>
          <w:sz w:val="24"/>
          <w:lang w:eastAsia="zh-CN"/>
        </w:rPr>
        <w:t>，</w:t>
      </w:r>
      <w:r>
        <w:rPr>
          <w:rFonts w:hint="eastAsia"/>
          <w:sz w:val="24"/>
          <w:lang w:val="en-US" w:eastAsia="zh-CN"/>
        </w:rPr>
        <w:t>导线应固定并满足抗风要求</w:t>
      </w:r>
      <w:r>
        <w:rPr>
          <w:rFonts w:hint="eastAsia"/>
          <w:sz w:val="24"/>
        </w:rPr>
        <w:t>。</w:t>
      </w:r>
    </w:p>
    <w:p w14:paraId="16029923">
      <w:pPr>
        <w:pStyle w:val="2"/>
        <w:spacing w:line="300" w:lineRule="auto"/>
        <w:rPr>
          <w:rFonts w:hint="eastAsia" w:ascii="仿宋" w:hAnsi="仿宋" w:eastAsia="仿宋" w:cs="仿宋"/>
          <w:b w:val="0"/>
          <w:bCs w:val="0"/>
          <w:i/>
          <w:iCs/>
          <w:color w:val="0623BA"/>
          <w:sz w:val="24"/>
        </w:rPr>
      </w:pPr>
      <w:r>
        <w:rPr>
          <w:rFonts w:hint="eastAsia" w:ascii="仿宋" w:hAnsi="仿宋" w:eastAsia="仿宋" w:cs="仿宋"/>
          <w:b w:val="0"/>
          <w:bCs w:val="0"/>
          <w:i/>
          <w:iCs/>
          <w:color w:val="0623BA"/>
          <w:sz w:val="24"/>
        </w:rPr>
        <w:t>【条文说明】</w:t>
      </w:r>
    </w:p>
    <w:p w14:paraId="3CB02627">
      <w:pPr>
        <w:pStyle w:val="2"/>
        <w:spacing w:line="300" w:lineRule="auto"/>
        <w:rPr>
          <w:rFonts w:hint="eastAsia" w:ascii="仿宋" w:hAnsi="仿宋" w:eastAsia="仿宋" w:cs="仿宋"/>
          <w:i/>
          <w:iCs/>
          <w:color w:val="0623BA"/>
          <w:sz w:val="24"/>
        </w:rPr>
      </w:pPr>
      <w:r>
        <w:rPr>
          <w:rFonts w:hint="eastAsia" w:ascii="仿宋" w:hAnsi="仿宋" w:eastAsia="仿宋" w:cs="仿宋"/>
          <w:i/>
          <w:iCs/>
          <w:caps w:val="0"/>
          <w:color w:val="0623BA"/>
          <w:spacing w:val="0"/>
          <w:sz w:val="24"/>
          <w:szCs w:val="24"/>
          <w:shd w:val="clear" w:fill="auto"/>
          <w:lang w:val="en-US" w:eastAsia="zh-CN"/>
        </w:rPr>
        <w:t>4.2.3</w:t>
      </w:r>
      <w:r>
        <w:rPr>
          <w:rFonts w:hint="eastAsia" w:ascii="仿宋" w:hAnsi="仿宋" w:eastAsia="仿宋" w:cs="仿宋"/>
          <w:i/>
          <w:iCs/>
          <w:caps w:val="0"/>
          <w:color w:val="0623BA"/>
          <w:spacing w:val="0"/>
          <w:sz w:val="24"/>
          <w:szCs w:val="24"/>
          <w:shd w:val="clear" w:fill="auto"/>
        </w:rPr>
        <w:t>在强风条件下，光伏组件可能会受到物理损伤，如支架弯曲、玻璃破裂等。此外，风力过大还可能导致组件之间的连接松动，进而影响整个系统的稳定性和发电效率。</w:t>
      </w:r>
      <w:r>
        <w:rPr>
          <w:rFonts w:hint="eastAsia" w:ascii="仿宋" w:hAnsi="仿宋" w:eastAsia="仿宋" w:cs="仿宋"/>
          <w:i/>
          <w:iCs/>
          <w:caps w:val="0"/>
          <w:color w:val="0623BA"/>
          <w:spacing w:val="0"/>
          <w:sz w:val="24"/>
          <w:szCs w:val="24"/>
          <w:shd w:val="clear"/>
        </w:rPr>
        <w:t>光伏组件抗风性应满足自身抗风性要求</w:t>
      </w:r>
      <w:r>
        <w:rPr>
          <w:rFonts w:hint="eastAsia" w:ascii="仿宋" w:hAnsi="仿宋" w:eastAsia="仿宋" w:cs="仿宋"/>
          <w:i/>
          <w:iCs/>
          <w:caps w:val="0"/>
          <w:color w:val="0623BA"/>
          <w:spacing w:val="0"/>
          <w:sz w:val="24"/>
          <w:szCs w:val="24"/>
          <w:shd w:val="clear"/>
          <w:lang w:val="en-US" w:eastAsia="zh-CN"/>
        </w:rPr>
        <w:t>并</w:t>
      </w:r>
      <w:r>
        <w:rPr>
          <w:rFonts w:hint="eastAsia" w:ascii="仿宋" w:hAnsi="仿宋" w:eastAsia="仿宋" w:cs="仿宋"/>
          <w:i/>
          <w:iCs/>
          <w:caps w:val="0"/>
          <w:color w:val="0623BA"/>
          <w:spacing w:val="0"/>
          <w:sz w:val="24"/>
          <w:szCs w:val="24"/>
          <w:shd w:val="clear" w:fill="auto"/>
        </w:rPr>
        <w:t>定期检查和维护光伏系统，特别是在风暴过后，是确保其长期稳定运行的重要措施。</w:t>
      </w:r>
    </w:p>
    <w:p w14:paraId="3AAFFAD5">
      <w:pPr>
        <w:snapToGrid w:val="0"/>
        <w:spacing w:line="300" w:lineRule="auto"/>
        <w:jc w:val="left"/>
        <w:rPr>
          <w:sz w:val="24"/>
        </w:rPr>
      </w:pPr>
      <w:r>
        <w:rPr>
          <w:rFonts w:hint="default"/>
          <w:b/>
          <w:bCs/>
          <w:sz w:val="24"/>
          <w:lang w:val="en-US" w:eastAsia="zh-CN"/>
        </w:rPr>
        <w:t>4.2.</w:t>
      </w:r>
      <w:r>
        <w:rPr>
          <w:rFonts w:hint="eastAsia"/>
          <w:b/>
          <w:bCs/>
          <w:sz w:val="24"/>
          <w:lang w:val="en-US" w:eastAsia="zh-CN"/>
        </w:rPr>
        <w:t>4</w:t>
      </w:r>
      <w:r>
        <w:rPr>
          <w:rFonts w:hint="default"/>
          <w:b/>
          <w:bCs/>
          <w:sz w:val="24"/>
          <w:lang w:val="en-US" w:eastAsia="zh-CN"/>
        </w:rPr>
        <w:t xml:space="preserve"> </w:t>
      </w:r>
      <w:r>
        <w:rPr>
          <w:rFonts w:hint="eastAsia"/>
          <w:b/>
          <w:bCs/>
          <w:sz w:val="24"/>
          <w:lang w:val="en-US" w:eastAsia="zh-CN"/>
        </w:rPr>
        <w:t xml:space="preserve"> </w:t>
      </w:r>
      <w:r>
        <w:rPr>
          <w:sz w:val="24"/>
        </w:rPr>
        <w:t>光伏组件及光伏构件的安全性能应符合现行国家标准《光伏（</w:t>
      </w:r>
      <w:r>
        <w:rPr>
          <w:rFonts w:hint="eastAsia"/>
          <w:sz w:val="24"/>
        </w:rPr>
        <w:t>PV</w:t>
      </w:r>
      <w:r>
        <w:rPr>
          <w:sz w:val="24"/>
        </w:rPr>
        <w:t>）组件安全鉴定 第１部分：结构要求》</w:t>
      </w:r>
      <w:r>
        <w:rPr>
          <w:rFonts w:hint="eastAsia"/>
          <w:sz w:val="24"/>
        </w:rPr>
        <w:t>GB/T 20047.1</w:t>
      </w:r>
      <w:r>
        <w:rPr>
          <w:sz w:val="24"/>
        </w:rPr>
        <w:t>和行业标准《建筑用光伏构件通用技术要求》</w:t>
      </w:r>
      <w:r>
        <w:rPr>
          <w:rFonts w:hint="eastAsia"/>
          <w:sz w:val="24"/>
        </w:rPr>
        <w:t>JG/T 492</w:t>
      </w:r>
      <w:r>
        <w:rPr>
          <w:sz w:val="24"/>
        </w:rPr>
        <w:t>的有关规定。</w:t>
      </w:r>
    </w:p>
    <w:p w14:paraId="6B010688">
      <w:pPr>
        <w:snapToGrid w:val="0"/>
        <w:spacing w:line="300" w:lineRule="auto"/>
        <w:jc w:val="left"/>
        <w:rPr>
          <w:sz w:val="24"/>
        </w:rPr>
      </w:pPr>
      <w:r>
        <w:rPr>
          <w:b/>
          <w:bCs/>
          <w:sz w:val="24"/>
        </w:rPr>
        <w:t>4.2.</w:t>
      </w:r>
      <w:r>
        <w:rPr>
          <w:rFonts w:hint="eastAsia"/>
          <w:b/>
          <w:bCs/>
          <w:sz w:val="24"/>
          <w:lang w:val="en-US" w:eastAsia="zh-CN"/>
        </w:rPr>
        <w:t>5</w:t>
      </w:r>
      <w:r>
        <w:rPr>
          <w:sz w:val="24"/>
        </w:rPr>
        <w:t xml:space="preserve"> </w:t>
      </w:r>
      <w:r>
        <w:rPr>
          <w:rFonts w:hint="eastAsia"/>
          <w:sz w:val="24"/>
        </w:rPr>
        <w:t>光伏构件在不同应用场景使用时应符合相关标准的规定并应符合下列</w:t>
      </w:r>
      <w:r>
        <w:rPr>
          <w:rFonts w:hint="eastAsia"/>
          <w:sz w:val="24"/>
          <w:lang w:val="en-US" w:eastAsia="zh-CN"/>
        </w:rPr>
        <w:t>要求</w:t>
      </w:r>
      <w:r>
        <w:rPr>
          <w:rFonts w:hint="eastAsia"/>
          <w:sz w:val="24"/>
        </w:rPr>
        <w:t>：</w:t>
      </w:r>
    </w:p>
    <w:p w14:paraId="0EA4A205">
      <w:pPr>
        <w:snapToGrid w:val="0"/>
        <w:spacing w:line="300" w:lineRule="auto"/>
        <w:ind w:firstLine="482" w:firstLineChars="200"/>
        <w:jc w:val="left"/>
        <w:rPr>
          <w:sz w:val="24"/>
        </w:rPr>
      </w:pPr>
      <w:r>
        <w:rPr>
          <w:b/>
          <w:bCs/>
          <w:sz w:val="24"/>
        </w:rPr>
        <w:t xml:space="preserve">1 </w:t>
      </w:r>
      <w:r>
        <w:rPr>
          <w:rFonts w:hint="eastAsia"/>
          <w:sz w:val="24"/>
        </w:rPr>
        <w:t>光伏构件用做建筑玻璃幕墙、护栏等材料时，其质量应符合现行行业标准《玻璃幕墙工程技术规范》JGJ102、《建筑玻璃应用技术规程》JGJ113</w:t>
      </w:r>
      <w:r>
        <w:rPr>
          <w:sz w:val="24"/>
        </w:rPr>
        <w:t xml:space="preserve"> </w:t>
      </w:r>
      <w:r>
        <w:rPr>
          <w:rFonts w:hint="eastAsia"/>
          <w:sz w:val="24"/>
        </w:rPr>
        <w:t>及《建筑用玻璃与金属护栏》GJ/T342的有关规定；</w:t>
      </w:r>
    </w:p>
    <w:p w14:paraId="2DB0E878">
      <w:pPr>
        <w:snapToGrid w:val="0"/>
        <w:spacing w:line="300" w:lineRule="auto"/>
        <w:ind w:firstLine="482" w:firstLineChars="200"/>
        <w:jc w:val="left"/>
        <w:rPr>
          <w:sz w:val="24"/>
        </w:rPr>
      </w:pPr>
      <w:r>
        <w:rPr>
          <w:b/>
          <w:bCs/>
          <w:sz w:val="24"/>
        </w:rPr>
        <w:t xml:space="preserve">2 </w:t>
      </w:r>
      <w:r>
        <w:rPr>
          <w:rFonts w:hint="eastAsia"/>
          <w:sz w:val="24"/>
        </w:rPr>
        <w:t>光伏构件作为采光顶、遮阳棚、雨棚等材料时</w:t>
      </w:r>
      <w:r>
        <w:rPr>
          <w:rFonts w:hint="eastAsia"/>
          <w:sz w:val="24"/>
          <w:lang w:eastAsia="zh-CN"/>
        </w:rPr>
        <w:t>，</w:t>
      </w:r>
      <w:r>
        <w:rPr>
          <w:rFonts w:hint="eastAsia"/>
          <w:sz w:val="24"/>
        </w:rPr>
        <w:t>其质量应符合现行行业标准《采光顶与金属屋面技术规程》JG1255的有关规定；</w:t>
      </w:r>
    </w:p>
    <w:p w14:paraId="6125CF84">
      <w:pPr>
        <w:snapToGrid w:val="0"/>
        <w:spacing w:line="300" w:lineRule="auto"/>
        <w:ind w:firstLine="482" w:firstLineChars="200"/>
        <w:jc w:val="left"/>
        <w:rPr>
          <w:sz w:val="24"/>
        </w:rPr>
      </w:pPr>
      <w:r>
        <w:rPr>
          <w:rFonts w:hint="default"/>
          <w:b/>
          <w:bCs/>
          <w:sz w:val="24"/>
          <w:lang w:val="en-US"/>
        </w:rPr>
        <w:t>3</w:t>
      </w:r>
      <w:r>
        <w:rPr>
          <w:rFonts w:hint="eastAsia"/>
          <w:b/>
          <w:bCs/>
          <w:sz w:val="24"/>
          <w:lang w:val="en-US" w:eastAsia="zh-CN"/>
        </w:rPr>
        <w:t xml:space="preserve"> </w:t>
      </w:r>
      <w:r>
        <w:rPr>
          <w:rFonts w:hint="eastAsia"/>
          <w:sz w:val="24"/>
        </w:rPr>
        <w:t>光伏构件作为建筑物外饰材料时，其结构安全性能和色彩均匀性应符合现行行业标准《建筑用光伏构件通用技术要求》JG/T</w:t>
      </w:r>
      <w:r>
        <w:rPr>
          <w:sz w:val="24"/>
        </w:rPr>
        <w:t xml:space="preserve"> </w:t>
      </w:r>
      <w:r>
        <w:rPr>
          <w:rFonts w:hint="eastAsia"/>
          <w:sz w:val="24"/>
        </w:rPr>
        <w:t>492的有关规定；</w:t>
      </w:r>
    </w:p>
    <w:p w14:paraId="71EFA894">
      <w:pPr>
        <w:snapToGrid w:val="0"/>
        <w:spacing w:line="300" w:lineRule="auto"/>
        <w:ind w:firstLine="482" w:firstLineChars="200"/>
        <w:jc w:val="left"/>
        <w:rPr>
          <w:sz w:val="24"/>
        </w:rPr>
      </w:pPr>
      <w:r>
        <w:rPr>
          <w:rFonts w:hint="default"/>
          <w:b/>
          <w:bCs/>
          <w:sz w:val="24"/>
          <w:lang w:val="en-US"/>
        </w:rPr>
        <w:t>4</w:t>
      </w:r>
      <w:r>
        <w:rPr>
          <w:rFonts w:hint="eastAsia"/>
          <w:b/>
          <w:bCs/>
          <w:sz w:val="24"/>
          <w:lang w:val="en-US" w:eastAsia="zh-CN"/>
        </w:rPr>
        <w:t xml:space="preserve"> </w:t>
      </w:r>
      <w:r>
        <w:rPr>
          <w:rFonts w:hint="eastAsia"/>
          <w:sz w:val="24"/>
        </w:rPr>
        <w:t>光伏夹层玻璃应符合现行国家标准《建筑用太阳能光伏夹层玻璃》GB</w:t>
      </w:r>
      <w:r>
        <w:rPr>
          <w:sz w:val="24"/>
        </w:rPr>
        <w:t xml:space="preserve"> </w:t>
      </w:r>
      <w:r>
        <w:rPr>
          <w:rFonts w:hint="eastAsia"/>
          <w:sz w:val="24"/>
        </w:rPr>
        <w:t>29551的有关规定，光伏中空玻璃应符合现行国家标准《建筑用太阳能光伏中空玻》GB/T</w:t>
      </w:r>
      <w:r>
        <w:rPr>
          <w:sz w:val="24"/>
        </w:rPr>
        <w:t xml:space="preserve"> 29759 </w:t>
      </w:r>
      <w:r>
        <w:rPr>
          <w:rFonts w:hint="eastAsia"/>
          <w:sz w:val="24"/>
        </w:rPr>
        <w:t>的有关规定。</w:t>
      </w:r>
    </w:p>
    <w:p w14:paraId="49C5870D">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8F92076">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4.2.</w:t>
      </w:r>
      <w:r>
        <w:rPr>
          <w:rFonts w:hint="eastAsia" w:ascii="仿宋" w:hAnsi="仿宋" w:eastAsia="仿宋" w:cs="仿宋"/>
          <w:i/>
          <w:iCs/>
          <w:color w:val="0623BA"/>
          <w:sz w:val="24"/>
          <w:lang w:val="en-US" w:eastAsia="zh-CN"/>
        </w:rPr>
        <w:t>5</w:t>
      </w:r>
      <w:r>
        <w:rPr>
          <w:rFonts w:hint="eastAsia" w:ascii="仿宋" w:hAnsi="仿宋" w:eastAsia="仿宋" w:cs="仿宋"/>
          <w:i/>
          <w:iCs/>
          <w:color w:val="0623BA"/>
          <w:sz w:val="24"/>
        </w:rPr>
        <w:t xml:space="preserve"> 按照现行行业标准《建筑玻璃应用技术规程》JGJ113中第4.1.13条的要求“光伏构件所选用的玻璃应符合下列规定：1面板玻璃应选用超白玻璃，超白玻璃的透光率不宜小于90%。2背板玻璃应选用均质钢化玻璃3面板玻璃应计算确定其厚度，宜在3mm</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6mm选取，其强度设计值可按本规程式（4.1.4）计算，玻璃厚度系数C取1.0。”光伏构件所选用的玻璃应按此要求执行。光伏组件不应低于B级且不应低于所在建筑物部位要求的材料防火等级。</w:t>
      </w:r>
    </w:p>
    <w:p w14:paraId="0408143B">
      <w:pPr>
        <w:snapToGrid w:val="0"/>
        <w:spacing w:line="300" w:lineRule="auto"/>
        <w:jc w:val="left"/>
        <w:rPr>
          <w:b/>
          <w:bCs/>
          <w:sz w:val="24"/>
        </w:rPr>
      </w:pPr>
      <w:r>
        <w:rPr>
          <w:b/>
          <w:bCs/>
          <w:sz w:val="24"/>
        </w:rPr>
        <w:t>4.2.</w:t>
      </w:r>
      <w:r>
        <w:rPr>
          <w:rFonts w:hint="eastAsia"/>
          <w:b/>
          <w:bCs/>
          <w:sz w:val="24"/>
          <w:lang w:val="en-US" w:eastAsia="zh-CN"/>
        </w:rPr>
        <w:t>6</w:t>
      </w:r>
      <w:r>
        <w:rPr>
          <w:sz w:val="24"/>
        </w:rPr>
        <w:t xml:space="preserve"> </w:t>
      </w:r>
      <w:r>
        <w:rPr>
          <w:rFonts w:hint="eastAsia"/>
          <w:sz w:val="24"/>
        </w:rPr>
        <w:t>光伏发电系统中单晶硅、薄膜电池光伏组件的初始效率</w:t>
      </w:r>
      <w:r>
        <w:rPr>
          <w:rFonts w:hint="eastAsia"/>
          <w:sz w:val="24"/>
          <w:lang w:val="en-US" w:eastAsia="zh-CN"/>
        </w:rPr>
        <w:t>宜</w:t>
      </w:r>
      <w:r>
        <w:rPr>
          <w:rFonts w:hint="eastAsia"/>
          <w:sz w:val="24"/>
        </w:rPr>
        <w:t>符合现行国家标准《光伏发电效率技术规范》 GB/T 39857的规定，建议采用高效光伏组件。</w:t>
      </w:r>
    </w:p>
    <w:p w14:paraId="4CEC1F33">
      <w:pPr>
        <w:snapToGrid w:val="0"/>
        <w:spacing w:line="300" w:lineRule="auto"/>
        <w:jc w:val="left"/>
        <w:rPr>
          <w:sz w:val="24"/>
        </w:rPr>
      </w:pPr>
      <w:r>
        <w:rPr>
          <w:b/>
          <w:bCs/>
          <w:sz w:val="24"/>
        </w:rPr>
        <w:t>4.2.</w:t>
      </w:r>
      <w:r>
        <w:rPr>
          <w:rFonts w:hint="eastAsia"/>
          <w:b/>
          <w:bCs/>
          <w:sz w:val="24"/>
          <w:lang w:val="en-US" w:eastAsia="zh-CN"/>
        </w:rPr>
        <w:t>7</w:t>
      </w:r>
      <w:r>
        <w:rPr>
          <w:sz w:val="24"/>
        </w:rPr>
        <w:t xml:space="preserve"> 光伏采光顶、透明光伏幕墙、非透光光伏幕墙、光伏窗、光伏遮阳等采用的光伏组件的寿命不应低于建筑围护结构的寿命并应符合现行行业标准《建筑用光伏构件通用技术要求》JG/T 492的有关规定。</w:t>
      </w:r>
      <w:r>
        <w:rPr>
          <w:rFonts w:hint="eastAsia"/>
          <w:sz w:val="24"/>
        </w:rPr>
        <w:t>光伏构件的支撑材料和附加零部件性能应</w:t>
      </w:r>
      <w:r>
        <w:rPr>
          <w:rFonts w:hint="eastAsia"/>
          <w:sz w:val="24"/>
          <w:lang w:val="en-US" w:eastAsia="zh-CN"/>
        </w:rPr>
        <w:t>与</w:t>
      </w:r>
      <w:r>
        <w:rPr>
          <w:rFonts w:hint="eastAsia"/>
          <w:sz w:val="24"/>
        </w:rPr>
        <w:t>光伏构件使用寿命相匹配。</w:t>
      </w:r>
    </w:p>
    <w:p w14:paraId="611E7A29">
      <w:pPr>
        <w:pStyle w:val="2"/>
        <w:spacing w:line="300" w:lineRule="auto"/>
        <w:rPr>
          <w:sz w:val="24"/>
        </w:rPr>
      </w:pPr>
      <w:r>
        <w:rPr>
          <w:b/>
          <w:bCs/>
          <w:sz w:val="24"/>
        </w:rPr>
        <w:t>4.2.</w:t>
      </w:r>
      <w:r>
        <w:rPr>
          <w:rFonts w:hint="eastAsia"/>
          <w:b/>
          <w:bCs/>
          <w:sz w:val="24"/>
          <w:lang w:val="en-US" w:eastAsia="zh-CN"/>
        </w:rPr>
        <w:t>8</w:t>
      </w:r>
      <w:r>
        <w:rPr>
          <w:sz w:val="24"/>
        </w:rPr>
        <w:t>光伏组件的防火等级不应低于所在建筑物部位要求的材料防火等级。</w:t>
      </w:r>
    </w:p>
    <w:p w14:paraId="68A32341">
      <w:pPr>
        <w:snapToGrid w:val="0"/>
        <w:spacing w:line="300" w:lineRule="auto"/>
        <w:rPr>
          <w:rFonts w:hint="eastAsia"/>
          <w:sz w:val="24"/>
          <w:lang w:val="en-US" w:eastAsia="zh-CN"/>
        </w:rPr>
      </w:pPr>
      <w:bookmarkStart w:id="79" w:name="_Toc31874"/>
      <w:r>
        <w:rPr>
          <w:rFonts w:hint="eastAsia"/>
          <w:b/>
          <w:bCs/>
          <w:sz w:val="24"/>
          <w:lang w:val="en-US" w:eastAsia="zh-CN"/>
        </w:rPr>
        <w:t>4.2.9</w:t>
      </w:r>
      <w:r>
        <w:rPr>
          <w:rFonts w:hint="eastAsia"/>
          <w:sz w:val="24"/>
          <w:lang w:val="en-US" w:eastAsia="zh-CN"/>
        </w:rPr>
        <w:t xml:space="preserve"> 光伏组件的绝缘电阻应不低于200M</w:t>
      </w:r>
      <w:r>
        <w:rPr>
          <w:rFonts w:hint="default" w:ascii="Times New Roman" w:hAnsi="Times New Roman" w:cs="Times New Roman"/>
          <w:sz w:val="24"/>
        </w:rPr>
        <w:t>Ω</w:t>
      </w:r>
      <w:r>
        <w:rPr>
          <w:rFonts w:hint="eastAsia"/>
          <w:sz w:val="24"/>
          <w:lang w:val="en-US" w:eastAsia="zh-CN"/>
        </w:rPr>
        <w:t>。</w:t>
      </w:r>
      <w:bookmarkEnd w:id="79"/>
    </w:p>
    <w:p w14:paraId="3B4FF605">
      <w:pPr>
        <w:pStyle w:val="2"/>
        <w:spacing w:after="0" w:line="300" w:lineRule="auto"/>
        <w:rPr>
          <w:rFonts w:ascii="Times New Roman" w:hAnsi="Times New Roman" w:eastAsia="宋体" w:cs="Times New Roman"/>
          <w:b w:val="0"/>
          <w:bCs w:val="0"/>
          <w:i w:val="0"/>
          <w:iCs w:val="0"/>
          <w:color w:val="auto"/>
          <w:sz w:val="24"/>
          <w:szCs w:val="24"/>
          <w:highlight w:val="none"/>
        </w:rPr>
      </w:pPr>
      <w:r>
        <w:rPr>
          <w:rFonts w:hint="eastAsia" w:cs="Times New Roman"/>
          <w:b/>
          <w:bCs/>
          <w:i w:val="0"/>
          <w:iCs w:val="0"/>
          <w:sz w:val="24"/>
          <w:szCs w:val="24"/>
          <w:lang w:val="en-US" w:eastAsia="zh-CN"/>
        </w:rPr>
        <w:t>4.2.10</w:t>
      </w:r>
      <w:r>
        <w:rPr>
          <w:rFonts w:hint="eastAsia" w:cs="Times New Roman"/>
          <w:b/>
          <w:bCs/>
          <w:i w:val="0"/>
          <w:iCs w:val="0"/>
          <w:sz w:val="24"/>
          <w:szCs w:val="24"/>
          <w:highlight w:val="none"/>
          <w:lang w:val="en-US" w:eastAsia="zh-CN"/>
        </w:rPr>
        <w:t xml:space="preserve"> </w:t>
      </w:r>
      <w:r>
        <w:rPr>
          <w:rFonts w:ascii="Times New Roman" w:hAnsi="Times New Roman" w:eastAsia="宋体" w:cs="Times New Roman"/>
          <w:b w:val="0"/>
          <w:bCs w:val="0"/>
          <w:i w:val="0"/>
          <w:iCs w:val="0"/>
          <w:color w:val="auto"/>
          <w:sz w:val="24"/>
          <w:szCs w:val="24"/>
          <w:highlight w:val="none"/>
        </w:rPr>
        <w:t>建材型光伏构件作为屋顶、外墙使用时，其材料和构造应符合《</w:t>
      </w:r>
      <w:r>
        <w:rPr>
          <w:rFonts w:hint="eastAsia" w:ascii="Times New Roman" w:hAnsi="Times New Roman" w:eastAsia="宋体" w:cs="Times New Roman"/>
          <w:b w:val="0"/>
          <w:bCs w:val="0"/>
          <w:i w:val="0"/>
          <w:iCs w:val="0"/>
          <w:sz w:val="24"/>
          <w:szCs w:val="24"/>
          <w:highlight w:val="none"/>
        </w:rPr>
        <w:t>建筑防水</w:t>
      </w:r>
      <w:r>
        <w:rPr>
          <w:rFonts w:hint="default" w:ascii="Times New Roman" w:hAnsi="Times New Roman" w:eastAsia="宋体" w:cs="Times New Roman"/>
          <w:b w:val="0"/>
          <w:bCs w:val="0"/>
          <w:i w:val="0"/>
          <w:iCs w:val="0"/>
          <w:color w:val="auto"/>
          <w:sz w:val="24"/>
          <w:szCs w:val="24"/>
          <w:highlight w:val="none"/>
        </w:rPr>
        <w:t>工程技术规程</w:t>
      </w:r>
      <w:r>
        <w:rPr>
          <w:rFonts w:hint="default" w:cs="Times New Roman"/>
          <w:b w:val="0"/>
          <w:bCs w:val="0"/>
          <w:i w:val="0"/>
          <w:iCs w:val="0"/>
          <w:color w:val="auto"/>
          <w:sz w:val="24"/>
          <w:szCs w:val="24"/>
          <w:highlight w:val="none"/>
          <w:lang w:eastAsia="zh-CN"/>
        </w:rPr>
        <w:t>》</w:t>
      </w:r>
      <w:r>
        <w:rPr>
          <w:rFonts w:hint="default" w:ascii="Times New Roman" w:hAnsi="Times New Roman" w:eastAsia="宋体" w:cs="Times New Roman"/>
          <w:b w:val="0"/>
          <w:bCs w:val="0"/>
          <w:i w:val="0"/>
          <w:iCs w:val="0"/>
          <w:color w:val="auto"/>
          <w:sz w:val="24"/>
          <w:szCs w:val="24"/>
          <w:highlight w:val="none"/>
        </w:rPr>
        <w:t>DBJ/T 15-1</w:t>
      </w:r>
      <w:r>
        <w:rPr>
          <w:rFonts w:hint="default" w:cs="Times New Roman"/>
          <w:b w:val="0"/>
          <w:bCs w:val="0"/>
          <w:i w:val="0"/>
          <w:iCs w:val="0"/>
          <w:color w:val="auto"/>
          <w:sz w:val="24"/>
          <w:szCs w:val="24"/>
          <w:highlight w:val="none"/>
          <w:lang w:val="en-US" w:eastAsia="zh-CN"/>
        </w:rPr>
        <w:t>9</w:t>
      </w:r>
      <w:r>
        <w:rPr>
          <w:rFonts w:ascii="Times New Roman" w:hAnsi="Times New Roman" w:eastAsia="宋体" w:cs="Times New Roman"/>
          <w:b w:val="0"/>
          <w:bCs w:val="0"/>
          <w:i w:val="0"/>
          <w:iCs w:val="0"/>
          <w:color w:val="auto"/>
          <w:sz w:val="24"/>
          <w:szCs w:val="24"/>
          <w:highlight w:val="none"/>
        </w:rPr>
        <w:t>的防水要求且应进行防潮处理。</w:t>
      </w:r>
    </w:p>
    <w:p w14:paraId="3EE07BAC">
      <w:pPr>
        <w:pStyle w:val="2"/>
        <w:spacing w:after="0" w:line="300" w:lineRule="auto"/>
        <w:rPr>
          <w:rFonts w:ascii="Times New Roman" w:hAnsi="Times New Roman" w:eastAsia="宋体" w:cs="Times New Roman"/>
          <w:color w:val="auto"/>
          <w:sz w:val="24"/>
          <w:szCs w:val="24"/>
          <w:highlight w:val="none"/>
        </w:rPr>
      </w:pPr>
      <w:r>
        <w:rPr>
          <w:rFonts w:hint="default" w:cs="Times New Roman"/>
          <w:b/>
          <w:bCs/>
          <w:i w:val="0"/>
          <w:iCs w:val="0"/>
          <w:color w:val="auto"/>
          <w:sz w:val="24"/>
          <w:szCs w:val="24"/>
          <w:highlight w:val="none"/>
          <w:lang w:val="en-US" w:eastAsia="zh-CN"/>
        </w:rPr>
        <w:t>4.2.11</w:t>
      </w:r>
      <w:r>
        <w:rPr>
          <w:rFonts w:hint="eastAsia" w:cs="Times New Roman"/>
          <w:b w:val="0"/>
          <w:bCs w:val="0"/>
          <w:i w:val="0"/>
          <w:iCs w:val="0"/>
          <w:color w:val="auto"/>
          <w:sz w:val="24"/>
          <w:szCs w:val="24"/>
          <w:highlight w:val="none"/>
          <w:lang w:val="en-US" w:eastAsia="zh-CN"/>
        </w:rPr>
        <w:t xml:space="preserve"> </w:t>
      </w:r>
      <w:r>
        <w:rPr>
          <w:rFonts w:hint="eastAsia"/>
          <w:sz w:val="24"/>
          <w:lang w:val="en-US" w:eastAsia="zh-CN"/>
        </w:rPr>
        <w:t>光伏</w:t>
      </w:r>
      <w:r>
        <w:rPr>
          <w:rFonts w:ascii="宋体" w:hAnsi="宋体" w:eastAsia="宋体"/>
          <w:sz w:val="24"/>
          <w:szCs w:val="24"/>
        </w:rPr>
        <w:t>组件单块重量</w:t>
      </w:r>
      <w:r>
        <w:rPr>
          <w:rFonts w:hint="eastAsia" w:ascii="宋体" w:hAnsi="宋体" w:eastAsia="宋体"/>
          <w:sz w:val="24"/>
          <w:szCs w:val="24"/>
          <w:lang w:val="en-US" w:eastAsia="zh-CN"/>
        </w:rPr>
        <w:t>不应低于</w:t>
      </w:r>
      <w:r>
        <w:rPr>
          <w:rFonts w:ascii="宋体" w:hAnsi="宋体" w:eastAsia="宋体"/>
          <w:sz w:val="24"/>
          <w:szCs w:val="24"/>
        </w:rPr>
        <w:t>35.5KG/块</w:t>
      </w:r>
      <w:r>
        <w:rPr>
          <w:rFonts w:hint="eastAsia" w:ascii="宋体" w:hAnsi="宋体" w:eastAsia="宋体"/>
          <w:sz w:val="24"/>
          <w:szCs w:val="24"/>
          <w:lang w:eastAsia="zh-CN"/>
        </w:rPr>
        <w:t>，</w:t>
      </w:r>
      <w:r>
        <w:rPr>
          <w:rFonts w:hint="eastAsia" w:ascii="宋体" w:hAnsi="宋体" w:eastAsia="宋体"/>
          <w:sz w:val="24"/>
          <w:szCs w:val="24"/>
          <w:lang w:val="en-US" w:eastAsia="zh-CN"/>
        </w:rPr>
        <w:t>面积宜小于2.8m</w:t>
      </w:r>
      <w:r>
        <w:rPr>
          <w:rFonts w:hint="eastAsia" w:ascii="宋体" w:hAnsi="宋体" w:eastAsia="宋体"/>
          <w:sz w:val="24"/>
          <w:szCs w:val="24"/>
          <w:vertAlign w:val="superscript"/>
          <w:lang w:val="en-US" w:eastAsia="zh-CN"/>
        </w:rPr>
        <w:t>2</w:t>
      </w:r>
      <w:r>
        <w:rPr>
          <w:rFonts w:hint="eastAsia" w:ascii="宋体" w:hAnsi="宋体" w:eastAsia="宋体"/>
          <w:sz w:val="24"/>
          <w:szCs w:val="24"/>
          <w:lang w:val="en-US" w:eastAsia="zh-CN"/>
        </w:rPr>
        <w:t>/块</w:t>
      </w:r>
      <w:r>
        <w:rPr>
          <w:rFonts w:hint="eastAsia" w:ascii="宋体" w:hAnsi="宋体" w:eastAsia="宋体"/>
          <w:sz w:val="24"/>
          <w:szCs w:val="24"/>
          <w:lang w:eastAsia="zh-CN"/>
        </w:rPr>
        <w:t>。</w:t>
      </w:r>
      <w:r>
        <w:rPr>
          <w:rFonts w:ascii="Times New Roman" w:hAnsi="Times New Roman" w:eastAsia="宋体" w:cs="Times New Roman"/>
          <w:color w:val="auto"/>
          <w:sz w:val="24"/>
          <w:szCs w:val="24"/>
          <w:highlight w:val="none"/>
        </w:rPr>
        <w:t xml:space="preserve"> </w:t>
      </w:r>
    </w:p>
    <w:p w14:paraId="6EF5C2B8">
      <w:pPr>
        <w:spacing w:line="300" w:lineRule="auto"/>
        <w:rPr>
          <w:rFonts w:hint="default" w:ascii="Times New Roman" w:hAnsi="Times New Roman" w:eastAsia="宋体" w:cs="Times New Roman"/>
          <w:i w:val="0"/>
          <w:iCs w:val="0"/>
          <w:caps w:val="0"/>
          <w:color w:val="auto"/>
          <w:spacing w:val="0"/>
          <w:sz w:val="24"/>
          <w:szCs w:val="24"/>
          <w:highlight w:val="none"/>
          <w:shd w:val="clear"/>
          <w:lang w:val="en-US" w:eastAsia="zh-CN"/>
        </w:rPr>
      </w:pPr>
      <w:r>
        <w:rPr>
          <w:rFonts w:hint="default"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2</w:t>
      </w:r>
      <w:r>
        <w:rPr>
          <w:rFonts w:hint="default" w:cs="Times New Roman"/>
          <w:b w:val="0"/>
          <w:bCs w:val="0"/>
          <w:i w:val="0"/>
          <w:iCs w:val="0"/>
          <w:color w:val="auto"/>
          <w:sz w:val="24"/>
          <w:szCs w:val="24"/>
          <w:highlight w:val="none"/>
          <w:lang w:val="en-US" w:eastAsia="zh-CN"/>
        </w:rPr>
        <w:t xml:space="preserve"> </w:t>
      </w:r>
      <w:r>
        <w:rPr>
          <w:rFonts w:hint="default" w:ascii="Times New Roman" w:hAnsi="Times New Roman" w:eastAsia="宋体" w:cs="Times New Roman"/>
          <w:b w:val="0"/>
          <w:bCs w:val="0"/>
          <w:i w:val="0"/>
          <w:iCs w:val="0"/>
          <w:color w:val="auto"/>
          <w:sz w:val="24"/>
          <w:szCs w:val="24"/>
          <w:highlight w:val="none"/>
          <w:lang w:val="en-US" w:eastAsia="zh-CN"/>
        </w:rPr>
        <w:t>光伏组件环境适应性</w:t>
      </w:r>
      <w:r>
        <w:rPr>
          <w:rFonts w:hint="eastAsia" w:cs="Times New Roman"/>
          <w:b w:val="0"/>
          <w:bCs w:val="0"/>
          <w:i w:val="0"/>
          <w:iCs w:val="0"/>
          <w:color w:val="auto"/>
          <w:sz w:val="24"/>
          <w:szCs w:val="24"/>
          <w:highlight w:val="none"/>
          <w:lang w:val="en-US" w:eastAsia="zh-CN"/>
        </w:rPr>
        <w:t>应</w:t>
      </w:r>
      <w:r>
        <w:rPr>
          <w:rFonts w:hint="default" w:ascii="Times New Roman" w:hAnsi="Times New Roman" w:eastAsia="宋体" w:cs="Times New Roman"/>
          <w:b w:val="0"/>
          <w:bCs w:val="0"/>
          <w:i w:val="0"/>
          <w:iCs w:val="0"/>
          <w:color w:val="auto"/>
          <w:sz w:val="24"/>
          <w:szCs w:val="24"/>
          <w:highlight w:val="none"/>
          <w:lang w:val="en-US" w:eastAsia="zh-CN"/>
        </w:rPr>
        <w:t>符合《</w:t>
      </w:r>
      <w:r>
        <w:rPr>
          <w:rFonts w:hint="eastAsia" w:ascii="Times New Roman" w:hAnsi="Times New Roman" w:eastAsia="宋体" w:cs="Times New Roman"/>
          <w:i w:val="0"/>
          <w:iCs w:val="0"/>
          <w:caps w:val="0"/>
          <w:color w:val="auto"/>
          <w:spacing w:val="0"/>
          <w:sz w:val="24"/>
          <w:highlight w:val="none"/>
          <w:shd w:val="clear"/>
        </w:rPr>
        <w:t>地面用晶体硅光伏组件环境适应性测试要求 第 1部分：一般气候条件</w:t>
      </w:r>
      <w:r>
        <w:rPr>
          <w:rFonts w:hint="default" w:ascii="Times New Roman" w:hAnsi="Times New Roman" w:eastAsia="宋体" w:cs="Times New Roman"/>
          <w:i w:val="0"/>
          <w:iCs w:val="0"/>
          <w:caps w:val="0"/>
          <w:color w:val="auto"/>
          <w:spacing w:val="0"/>
          <w:sz w:val="24"/>
          <w:highlight w:val="none"/>
          <w:shd w:val="clear"/>
          <w:lang w:eastAsia="zh-CN"/>
        </w:rPr>
        <w:t>》</w:t>
      </w:r>
      <w:r>
        <w:rPr>
          <w:rFonts w:hint="eastAsia" w:ascii="Times New Roman" w:hAnsi="Times New Roman" w:eastAsia="宋体" w:cs="Times New Roman"/>
          <w:i w:val="0"/>
          <w:iCs w:val="0"/>
          <w:caps w:val="0"/>
          <w:color w:val="auto"/>
          <w:spacing w:val="0"/>
          <w:sz w:val="24"/>
          <w:szCs w:val="24"/>
          <w:highlight w:val="none"/>
          <w:shd w:val="clear"/>
        </w:rPr>
        <w:t>NB/T 42104.1</w:t>
      </w:r>
      <w:r>
        <w:rPr>
          <w:rFonts w:hint="default" w:ascii="Times New Roman" w:hAnsi="Times New Roman" w:eastAsia="宋体" w:cs="Times New Roman"/>
          <w:i w:val="0"/>
          <w:iCs w:val="0"/>
          <w:caps w:val="0"/>
          <w:color w:val="auto"/>
          <w:spacing w:val="0"/>
          <w:sz w:val="24"/>
          <w:szCs w:val="24"/>
          <w:highlight w:val="none"/>
          <w:shd w:val="clear"/>
          <w:lang w:val="en-US" w:eastAsia="zh-CN"/>
        </w:rPr>
        <w:t>要求。</w:t>
      </w:r>
    </w:p>
    <w:p w14:paraId="217B089B">
      <w:pPr>
        <w:pStyle w:val="2"/>
        <w:widowControl w:val="0"/>
        <w:spacing w:after="0" w:line="300" w:lineRule="auto"/>
        <w:rPr>
          <w:rFonts w:hint="eastAsia" w:ascii="宋体" w:hAnsi="宋体" w:eastAsia="宋体"/>
          <w:sz w:val="24"/>
          <w:szCs w:val="24"/>
          <w:lang w:eastAsia="zh-CN"/>
        </w:rPr>
      </w:pPr>
      <w:r>
        <w:rPr>
          <w:rFonts w:hint="default"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3</w:t>
      </w:r>
      <w:r>
        <w:rPr>
          <w:rFonts w:hint="default" w:cs="Times New Roman"/>
          <w:b w:val="0"/>
          <w:bCs w:val="0"/>
          <w:i w:val="0"/>
          <w:iCs w:val="0"/>
          <w:color w:val="auto"/>
          <w:sz w:val="24"/>
          <w:szCs w:val="24"/>
          <w:highlight w:val="none"/>
          <w:lang w:val="en-US" w:eastAsia="zh-CN"/>
        </w:rPr>
        <w:t xml:space="preserve"> </w:t>
      </w:r>
      <w:r>
        <w:rPr>
          <w:rFonts w:hint="eastAsia" w:cs="Times New Roman"/>
          <w:b w:val="0"/>
          <w:bCs w:val="0"/>
          <w:i w:val="0"/>
          <w:iCs w:val="0"/>
          <w:color w:val="auto"/>
          <w:sz w:val="24"/>
          <w:szCs w:val="24"/>
          <w:highlight w:val="none"/>
          <w:lang w:val="en-US" w:eastAsia="zh-CN"/>
        </w:rPr>
        <w:t>光伏组件</w:t>
      </w:r>
      <w:r>
        <w:rPr>
          <w:rFonts w:hint="eastAsia" w:ascii="宋体" w:hAnsi="宋体" w:eastAsia="宋体"/>
          <w:sz w:val="24"/>
          <w:szCs w:val="24"/>
        </w:rPr>
        <w:t>高温抑制温度</w:t>
      </w:r>
      <w:r>
        <w:rPr>
          <w:rFonts w:hint="eastAsia" w:ascii="宋体" w:hAnsi="宋体" w:eastAsia="宋体"/>
          <w:sz w:val="24"/>
          <w:szCs w:val="24"/>
          <w:lang w:val="en-US" w:eastAsia="zh-CN"/>
        </w:rPr>
        <w:t>应低于</w:t>
      </w:r>
      <w:r>
        <w:rPr>
          <w:rFonts w:hint="eastAsia" w:ascii="宋体" w:hAnsi="宋体" w:eastAsia="宋体"/>
          <w:sz w:val="24"/>
          <w:szCs w:val="24"/>
        </w:rPr>
        <w:t>1</w:t>
      </w:r>
      <w:r>
        <w:rPr>
          <w:rFonts w:ascii="宋体" w:hAnsi="宋体" w:eastAsia="宋体"/>
          <w:sz w:val="24"/>
          <w:szCs w:val="24"/>
        </w:rPr>
        <w:t>40</w:t>
      </w:r>
      <w:r>
        <w:rPr>
          <w:rFonts w:hint="eastAsia" w:ascii="宋体" w:hAnsi="宋体" w:eastAsia="宋体"/>
          <w:sz w:val="24"/>
          <w:szCs w:val="24"/>
        </w:rPr>
        <w:t>℃</w:t>
      </w:r>
      <w:r>
        <w:rPr>
          <w:rFonts w:hint="eastAsia" w:ascii="宋体" w:hAnsi="宋体" w:eastAsia="宋体"/>
          <w:sz w:val="24"/>
          <w:szCs w:val="24"/>
          <w:lang w:eastAsia="zh-CN"/>
        </w:rPr>
        <w:t>。</w:t>
      </w:r>
    </w:p>
    <w:p w14:paraId="4552AA79">
      <w:pPr>
        <w:pStyle w:val="2"/>
        <w:spacing w:after="0"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E5BB3F8">
      <w:pPr>
        <w:rPr>
          <w:rFonts w:hint="default" w:ascii="仿宋" w:hAnsi="仿宋" w:eastAsia="仿宋" w:cs="仿宋"/>
          <w:b w:val="0"/>
          <w:bCs w:val="0"/>
          <w:i/>
          <w:iCs/>
          <w:color w:val="0623BA"/>
          <w:sz w:val="24"/>
          <w:szCs w:val="24"/>
          <w:lang w:eastAsia="zh-CN"/>
        </w:rPr>
      </w:pPr>
      <w:r>
        <w:rPr>
          <w:rFonts w:hint="default" w:ascii="仿宋" w:hAnsi="仿宋" w:eastAsia="仿宋" w:cs="仿宋"/>
          <w:b w:val="0"/>
          <w:bCs w:val="0"/>
          <w:i/>
          <w:iCs/>
          <w:color w:val="0623BA"/>
          <w:sz w:val="24"/>
          <w:szCs w:val="24"/>
          <w:lang w:val="en-US" w:eastAsia="zh-CN"/>
        </w:rPr>
        <w:t>4.2.13 光伏组件应具有</w:t>
      </w:r>
      <w:r>
        <w:rPr>
          <w:rFonts w:hint="default" w:ascii="仿宋" w:hAnsi="仿宋" w:eastAsia="仿宋" w:cs="仿宋"/>
          <w:i/>
          <w:iCs/>
          <w:color w:val="0623BA"/>
          <w:sz w:val="24"/>
          <w:szCs w:val="24"/>
        </w:rPr>
        <w:t>高温抑制功能，当产生热斑、隐裂等情况</w:t>
      </w:r>
      <w:r>
        <w:rPr>
          <w:rFonts w:hint="default" w:ascii="仿宋" w:hAnsi="仿宋" w:eastAsia="仿宋" w:cs="仿宋"/>
          <w:i/>
          <w:iCs/>
          <w:color w:val="0623BA"/>
          <w:sz w:val="24"/>
          <w:szCs w:val="24"/>
          <w:lang w:val="en-US" w:eastAsia="zh-CN"/>
        </w:rPr>
        <w:t>时</w:t>
      </w:r>
      <w:r>
        <w:rPr>
          <w:rFonts w:hint="default" w:ascii="仿宋" w:hAnsi="仿宋" w:eastAsia="仿宋" w:cs="仿宋"/>
          <w:i/>
          <w:iCs/>
          <w:color w:val="0623BA"/>
          <w:sz w:val="24"/>
          <w:szCs w:val="24"/>
        </w:rPr>
        <w:t>，组件温度最高不能高于1</w:t>
      </w:r>
      <w:r>
        <w:rPr>
          <w:rFonts w:hint="eastAsia" w:ascii="仿宋" w:hAnsi="仿宋" w:eastAsia="仿宋" w:cs="仿宋"/>
          <w:i/>
          <w:iCs/>
          <w:color w:val="0623BA"/>
          <w:sz w:val="24"/>
          <w:szCs w:val="24"/>
        </w:rPr>
        <w:t>40</w:t>
      </w:r>
      <w:r>
        <w:rPr>
          <w:rFonts w:hint="default" w:ascii="仿宋" w:hAnsi="仿宋" w:eastAsia="仿宋" w:cs="仿宋"/>
          <w:i/>
          <w:iCs/>
          <w:color w:val="0623BA"/>
          <w:sz w:val="24"/>
          <w:szCs w:val="24"/>
        </w:rPr>
        <w:t>℃</w:t>
      </w:r>
      <w:r>
        <w:rPr>
          <w:rFonts w:hint="default" w:ascii="仿宋" w:hAnsi="仿宋" w:eastAsia="仿宋" w:cs="仿宋"/>
          <w:i/>
          <w:iCs/>
          <w:color w:val="0623BA"/>
          <w:sz w:val="24"/>
          <w:szCs w:val="24"/>
          <w:lang w:eastAsia="zh-CN"/>
        </w:rPr>
        <w:t>。</w:t>
      </w:r>
    </w:p>
    <w:p w14:paraId="3D90B67D">
      <w:pPr>
        <w:spacing w:line="300" w:lineRule="auto"/>
        <w:rPr>
          <w:rFonts w:hint="default" w:ascii="Times New Roman" w:hAnsi="Times New Roman" w:eastAsia="宋体" w:cs="Times New Roman"/>
          <w:b w:val="0"/>
          <w:bCs w:val="0"/>
          <w:i w:val="0"/>
          <w:iCs w:val="0"/>
          <w:color w:val="auto"/>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val="en-US" w:eastAsia="zh-CN"/>
        </w:rPr>
        <w:t>4.2.14</w:t>
      </w:r>
      <w:r>
        <w:rPr>
          <w:rFonts w:hint="eastAsia" w:cs="Times New Roman"/>
          <w:b w:val="0"/>
          <w:bCs w:val="0"/>
          <w:i w:val="0"/>
          <w:iCs w:val="0"/>
          <w:color w:val="auto"/>
          <w:sz w:val="24"/>
          <w:szCs w:val="24"/>
          <w:highlight w:val="none"/>
          <w:lang w:val="en-US" w:eastAsia="zh-CN"/>
        </w:rPr>
        <w:t xml:space="preserve"> 多晶硅电池、P型单晶硅电池和N型单晶硅电池（双面电池按正面效率计算）的平均光电转换效率应分别不低于21.4%、23.2%和25%。</w:t>
      </w:r>
    </w:p>
    <w:p w14:paraId="49EB15F0">
      <w:pPr>
        <w:keepNext w:val="0"/>
        <w:keepLines w:val="0"/>
        <w:widowControl/>
        <w:suppressLineNumbers w:val="0"/>
        <w:shd w:val="clear" w:fill="FFFFFF"/>
        <w:spacing w:line="300" w:lineRule="auto"/>
        <w:ind w:left="0" w:firstLine="0"/>
        <w:rPr>
          <w:rFonts w:hint="default" w:ascii="Times New Roman" w:hAnsi="Times New Roman" w:eastAsia="宋体" w:cs="Times New Roman"/>
          <w:b w:val="0"/>
          <w:bCs w:val="0"/>
          <w:i w:val="0"/>
          <w:iCs w:val="0"/>
          <w:caps w:val="0"/>
          <w:color w:val="auto"/>
          <w:spacing w:val="0"/>
          <w:sz w:val="24"/>
          <w:highlight w:val="none"/>
          <w:lang w:val="en-US" w:eastAsia="zh-CN"/>
        </w:rPr>
      </w:pPr>
      <w:r>
        <w:rPr>
          <w:rFonts w:hint="default" w:ascii="Times New Roman" w:hAnsi="Times New Roman" w:eastAsia="宋体"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5</w:t>
      </w:r>
      <w:r>
        <w:rPr>
          <w:rFonts w:hint="eastAsia" w:cs="Times New Roman"/>
          <w:b w:val="0"/>
          <w:bCs w:val="0"/>
          <w:i w:val="0"/>
          <w:iCs w:val="0"/>
          <w:color w:val="auto"/>
          <w:sz w:val="24"/>
          <w:szCs w:val="24"/>
          <w:highlight w:val="none"/>
          <w:lang w:val="en-US" w:eastAsia="zh-CN"/>
        </w:rPr>
        <w:t xml:space="preserve"> 多晶硅组件、P型单晶硅组件和N型单晶硅组件（双面组件按正面效率计算）的平均光电转换效率应分别不低于19.4%、21.2%和22.3%。</w:t>
      </w:r>
    </w:p>
    <w:p w14:paraId="49651992">
      <w:pPr>
        <w:keepNext w:val="0"/>
        <w:keepLines w:val="0"/>
        <w:widowControl/>
        <w:suppressLineNumbers w:val="0"/>
        <w:shd w:val="clear" w:fill="FFFFFF"/>
        <w:spacing w:line="300" w:lineRule="auto"/>
        <w:ind w:left="0" w:firstLine="0"/>
        <w:rPr>
          <w:rFonts w:hint="default" w:ascii="Times New Roman" w:hAnsi="Times New Roman" w:eastAsia="宋体" w:cs="Times New Roman"/>
          <w:b w:val="0"/>
          <w:bCs w:val="0"/>
          <w:i w:val="0"/>
          <w:iCs w:val="0"/>
          <w:caps w:val="0"/>
          <w:color w:val="auto"/>
          <w:spacing w:val="0"/>
          <w:sz w:val="24"/>
          <w:highlight w:val="none"/>
          <w:lang w:val="en-US" w:eastAsia="zh-CN"/>
        </w:rPr>
      </w:pPr>
      <w:r>
        <w:rPr>
          <w:rFonts w:hint="default" w:ascii="Times New Roman" w:hAnsi="Times New Roman" w:eastAsia="宋体" w:cs="Times New Roman"/>
          <w:b/>
          <w:bCs/>
          <w:i w:val="0"/>
          <w:iCs w:val="0"/>
          <w:color w:val="auto"/>
          <w:sz w:val="24"/>
          <w:szCs w:val="24"/>
          <w:highlight w:val="none"/>
          <w:lang w:val="en-US" w:eastAsia="zh-CN"/>
        </w:rPr>
        <w:t>4.2.1</w:t>
      </w:r>
      <w:r>
        <w:rPr>
          <w:rFonts w:hint="eastAsia" w:cs="Times New Roman"/>
          <w:b/>
          <w:bCs/>
          <w:i w:val="0"/>
          <w:iCs w:val="0"/>
          <w:color w:val="auto"/>
          <w:sz w:val="24"/>
          <w:szCs w:val="24"/>
          <w:highlight w:val="none"/>
          <w:lang w:val="en-US" w:eastAsia="zh-CN"/>
        </w:rPr>
        <w:t>6</w:t>
      </w:r>
      <w:r>
        <w:rPr>
          <w:rFonts w:hint="eastAsia" w:cs="Times New Roman"/>
          <w:b w:val="0"/>
          <w:bCs w:val="0"/>
          <w:i w:val="0"/>
          <w:iCs w:val="0"/>
          <w:color w:val="auto"/>
          <w:sz w:val="24"/>
          <w:szCs w:val="24"/>
          <w:highlight w:val="none"/>
          <w:lang w:val="en-US" w:eastAsia="zh-CN"/>
        </w:rPr>
        <w:t xml:space="preserve"> 硅基、铜铟镓硒（CIGS）、碲化镉（CdTe）及钙钛矿等其他薄膜组件的平均光电转换效率应分别不低于12%、15%、15%、14%。</w:t>
      </w:r>
    </w:p>
    <w:p w14:paraId="46405C31">
      <w:pPr>
        <w:pStyle w:val="2"/>
        <w:spacing w:after="0"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F56772A">
      <w:pPr>
        <w:rPr>
          <w:rFonts w:hint="default" w:ascii="仿宋" w:hAnsi="仿宋" w:eastAsia="仿宋" w:cs="仿宋"/>
          <w:b w:val="0"/>
          <w:bCs w:val="0"/>
          <w:i/>
          <w:iCs/>
          <w:color w:val="0623BA"/>
          <w:sz w:val="24"/>
          <w:szCs w:val="24"/>
          <w:lang w:eastAsia="zh-CN"/>
        </w:rPr>
      </w:pPr>
      <w:r>
        <w:rPr>
          <w:rFonts w:hint="default" w:ascii="仿宋" w:hAnsi="仿宋" w:eastAsia="仿宋" w:cs="仿宋"/>
          <w:b w:val="0"/>
          <w:bCs w:val="0"/>
          <w:i/>
          <w:iCs/>
          <w:color w:val="0623BA"/>
          <w:sz w:val="24"/>
          <w:szCs w:val="24"/>
          <w:lang w:val="en-US" w:eastAsia="zh-CN"/>
        </w:rPr>
        <w:t>4.2.14~4.2.16组件光电转换效率应符合工业和信息化部对《光伏制造行业规范条件（2021年本）》要求</w:t>
      </w:r>
      <w:r>
        <w:rPr>
          <w:rFonts w:hint="default" w:ascii="仿宋" w:hAnsi="仿宋" w:eastAsia="仿宋" w:cs="仿宋"/>
          <w:b w:val="0"/>
          <w:bCs w:val="0"/>
          <w:i/>
          <w:iCs/>
          <w:color w:val="0623BA"/>
          <w:sz w:val="24"/>
          <w:szCs w:val="24"/>
          <w:lang w:eastAsia="zh-CN"/>
        </w:rPr>
        <w:t>。</w:t>
      </w:r>
    </w:p>
    <w:p w14:paraId="7E1F1FBD">
      <w:pPr>
        <w:keepNext/>
        <w:keepLines/>
        <w:snapToGrid w:val="0"/>
        <w:spacing w:before="72" w:beforeLines="30" w:after="72" w:afterLines="30" w:line="300" w:lineRule="auto"/>
        <w:jc w:val="center"/>
        <w:outlineLvl w:val="2"/>
        <w:rPr>
          <w:b/>
          <w:sz w:val="24"/>
          <w:szCs w:val="32"/>
        </w:rPr>
      </w:pPr>
      <w:bookmarkStart w:id="80" w:name="_Toc32317"/>
      <w:bookmarkStart w:id="81" w:name="_Toc28717"/>
      <w:bookmarkStart w:id="82" w:name="_Toc27515"/>
      <w:bookmarkStart w:id="83" w:name="_Toc23356"/>
      <w:bookmarkStart w:id="84" w:name="_Toc31068"/>
      <w:bookmarkStart w:id="85" w:name="_Toc17592"/>
      <w:bookmarkStart w:id="86" w:name="_Toc32584"/>
      <w:bookmarkStart w:id="87" w:name="_Toc4387"/>
      <w:r>
        <w:rPr>
          <w:b/>
          <w:sz w:val="24"/>
          <w:szCs w:val="32"/>
        </w:rPr>
        <w:t>4.3材料</w:t>
      </w:r>
      <w:bookmarkEnd w:id="80"/>
      <w:bookmarkEnd w:id="81"/>
      <w:bookmarkEnd w:id="82"/>
      <w:bookmarkEnd w:id="83"/>
      <w:bookmarkEnd w:id="84"/>
      <w:bookmarkEnd w:id="85"/>
      <w:bookmarkEnd w:id="86"/>
      <w:bookmarkEnd w:id="87"/>
    </w:p>
    <w:p w14:paraId="06627CCA">
      <w:pPr>
        <w:snapToGrid w:val="0"/>
        <w:spacing w:line="300" w:lineRule="auto"/>
        <w:jc w:val="left"/>
        <w:rPr>
          <w:rFonts w:hint="default" w:eastAsia="宋体"/>
          <w:sz w:val="24"/>
          <w:lang w:val="en-US" w:eastAsia="zh-CN"/>
        </w:rPr>
      </w:pPr>
      <w:r>
        <w:rPr>
          <w:b/>
          <w:bCs/>
          <w:sz w:val="24"/>
        </w:rPr>
        <w:t>4.3.1</w:t>
      </w:r>
      <w:r>
        <w:rPr>
          <w:rFonts w:hint="eastAsia"/>
          <w:sz w:val="24"/>
        </w:rPr>
        <w:t xml:space="preserve"> </w:t>
      </w:r>
      <w:r>
        <w:rPr>
          <w:rFonts w:ascii="Times New Roman" w:hAnsi="Times New Roman" w:eastAsia="宋体" w:cs="Times New Roman"/>
          <w:b w:val="0"/>
          <w:bCs w:val="0"/>
          <w:i w:val="0"/>
          <w:iCs w:val="0"/>
          <w:color w:val="auto"/>
          <w:sz w:val="24"/>
          <w:szCs w:val="24"/>
          <w:highlight w:val="none"/>
        </w:rPr>
        <w:t>建筑光伏系统用</w:t>
      </w:r>
      <w:r>
        <w:rPr>
          <w:rFonts w:hint="default" w:ascii="Times New Roman" w:hAnsi="Times New Roman" w:cs="Times New Roman"/>
          <w:b w:val="0"/>
          <w:bCs w:val="0"/>
          <w:i w:val="0"/>
          <w:iCs w:val="0"/>
          <w:color w:val="auto"/>
          <w:sz w:val="24"/>
          <w:szCs w:val="24"/>
          <w:highlight w:val="none"/>
          <w:lang w:val="en-US" w:eastAsia="zh-CN"/>
        </w:rPr>
        <w:t>铝合金、钢材、硅酮胶、密封材料应符合国家及地方现行标准的有关规定。</w:t>
      </w:r>
    </w:p>
    <w:p w14:paraId="6CC76547">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BA20098">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4.3.1 建筑光伏系统用铝合金及钢材</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硅酮胶及密封材料相关标准主要包括：</w:t>
      </w:r>
    </w:p>
    <w:p w14:paraId="299B33E0">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1 铝合金型材和板材应符合国家现行标准《铝合金建筑型材》GB 5237、《一般工业用铝及铝合金板、带材》GB 3880、《铝及铝合金阳极氧化与有机聚合物膜》GB/T8013、《建筑用铝型材、铝板氟碳涂层》JG/T 133的规定</w:t>
      </w:r>
      <w:r>
        <w:rPr>
          <w:rFonts w:hint="eastAsia" w:ascii="仿宋" w:hAnsi="仿宋" w:eastAsia="仿宋" w:cs="仿宋"/>
          <w:i/>
          <w:iCs/>
          <w:color w:val="0623BA"/>
          <w:sz w:val="24"/>
          <w:lang w:eastAsia="zh-CN"/>
        </w:rPr>
        <w:t>；</w:t>
      </w:r>
    </w:p>
    <w:p w14:paraId="7502BA4F">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2 铝合金材料的化学成分应符合现行国家标准《变形铝及铝合金化学成分》GB/T 3190的有关规定。型材表面处理层厚度、外观质量和尺寸偏差应符合现行国家标准《铝合金建筑型材》GB/T 5237.1  GB/T 5237. 5的规定</w:t>
      </w:r>
      <w:r>
        <w:rPr>
          <w:rFonts w:hint="eastAsia" w:ascii="仿宋" w:hAnsi="仿宋" w:eastAsia="仿宋" w:cs="仿宋"/>
          <w:i/>
          <w:iCs/>
          <w:color w:val="0623BA"/>
          <w:sz w:val="24"/>
          <w:lang w:eastAsia="zh-CN"/>
        </w:rPr>
        <w:t>；</w:t>
      </w:r>
    </w:p>
    <w:p w14:paraId="312E247D">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3 建筑光伏系统隔热铝合金型材应符合现行国家标准《铝合金建筑型材隔热型材》GB 5237. 6的规定。采用穿条工艺生产的隔热铝型材，其隔热材料应符合现行国家标准《铝合金建筑型材用辅助材料 第1部分：聚酰胺隔热条》GB 23615.1的规定。采用浇注工艺生产的隔热铝型材，其隔热材料应符合现行国家标准《铝合金建筑型材用辅助材料 第2部分：聚氨酯隔热胶材料》GB 23615. 2的规定</w:t>
      </w:r>
      <w:r>
        <w:rPr>
          <w:rFonts w:hint="eastAsia" w:ascii="仿宋" w:hAnsi="仿宋" w:eastAsia="仿宋" w:cs="仿宋"/>
          <w:i/>
          <w:iCs/>
          <w:color w:val="0623BA"/>
          <w:sz w:val="24"/>
          <w:lang w:eastAsia="zh-CN"/>
        </w:rPr>
        <w:t>；</w:t>
      </w:r>
    </w:p>
    <w:p w14:paraId="1A3319E6">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4 建筑光伏系统的支撑系统常用钢结构材料，可能采用到的钢材种类、牌号繁多，应根据</w:t>
      </w:r>
      <w:r>
        <w:rPr>
          <w:rFonts w:hint="eastAsia" w:ascii="仿宋" w:hAnsi="仿宋" w:eastAsia="仿宋" w:cs="仿宋"/>
          <w:i/>
          <w:iCs/>
          <w:color w:val="0623BA"/>
          <w:sz w:val="24"/>
          <w:lang w:val="en-US" w:eastAsia="zh-CN"/>
        </w:rPr>
        <w:t>各</w:t>
      </w:r>
      <w:r>
        <w:rPr>
          <w:rFonts w:hint="eastAsia" w:ascii="仿宋" w:hAnsi="仿宋" w:eastAsia="仿宋" w:cs="仿宋"/>
          <w:i/>
          <w:iCs/>
          <w:color w:val="0623BA"/>
          <w:sz w:val="24"/>
        </w:rPr>
        <w:t>材料</w:t>
      </w:r>
      <w:r>
        <w:rPr>
          <w:rFonts w:hint="eastAsia" w:ascii="仿宋" w:hAnsi="仿宋" w:eastAsia="仿宋" w:cs="仿宋"/>
          <w:i/>
          <w:iCs/>
          <w:color w:val="0623BA"/>
          <w:sz w:val="24"/>
          <w:lang w:val="en-US" w:eastAsia="zh-CN"/>
        </w:rPr>
        <w:t>应</w:t>
      </w:r>
      <w:r>
        <w:rPr>
          <w:rFonts w:hint="eastAsia" w:ascii="仿宋" w:hAnsi="仿宋" w:eastAsia="仿宋" w:cs="仿宋"/>
          <w:i/>
          <w:iCs/>
          <w:color w:val="0623BA"/>
          <w:sz w:val="24"/>
        </w:rPr>
        <w:t>符合相应的国家现行标准：《碳素结构钢》GB/T 700、《耐候结构钢》GB/T4171、《结构用无缝钢管》GB/T8162、《钢的成品化学成分允许偏差》GB/T 222、《优质碳素结构钢》GB/T 699、《碳素结构钢和低合金结构钢热轧薄钢板及钢带》GB/T 912、《不锈钢棒》GB/T1220、《合金结构钢》GB/T 3077、《低合金高强度结构钢》GB/T 1591、《碳素结构钢和低合金结构钢热轧厚钢板及钢带》GB/T 3274、《不锈钢冷轧钢板和钢带》GB/T 3280、《不锈钢冷加工棒》GB/T 4226、《不锈钢热轧钢板和钢带》GB/T 4237、《不锈钢复合钢板和钢带》GB/T 8165、《热轧 H 型钢和部分 T型钢》GB/T 11263、《钢拉杆》GB/T 20934、《不锈钢建筑型材》JG/T 73等</w:t>
      </w:r>
      <w:r>
        <w:rPr>
          <w:rFonts w:hint="eastAsia" w:ascii="仿宋" w:hAnsi="仿宋" w:eastAsia="仿宋" w:cs="仿宋"/>
          <w:i/>
          <w:iCs/>
          <w:color w:val="0623BA"/>
          <w:sz w:val="24"/>
          <w:lang w:eastAsia="zh-CN"/>
        </w:rPr>
        <w:t>；</w:t>
      </w:r>
    </w:p>
    <w:p w14:paraId="1AC59807">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5 钢构件表面除锈处理应符合现行国家标准《钢结构工程施工质量验收标准》GB 50205和《涂覆涂料前钢材表面处理表面清洁度的目视评定》GB/T 8923的有关规定</w:t>
      </w:r>
      <w:r>
        <w:rPr>
          <w:rFonts w:hint="eastAsia" w:ascii="仿宋" w:hAnsi="仿宋" w:eastAsia="仿宋" w:cs="仿宋"/>
          <w:i/>
          <w:iCs/>
          <w:color w:val="0623BA"/>
          <w:sz w:val="24"/>
          <w:lang w:eastAsia="zh-CN"/>
        </w:rPr>
        <w:t>；</w:t>
      </w:r>
    </w:p>
    <w:p w14:paraId="123EE54C">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6 裸露在室外的光伏支架多数采用钢结构作为支架材料，如附加式屋面光伏系统、光伏遮阳系统、光伏雨篷等，需采取一定的防腐措施，尤其是运行维护时不便于检查或补漆的部位，应该严格控制防腐层厚度并注意施工破坏处的防腐修补，除密闭的闭口型材的内表面外，防腐涂层应完全覆盖钢材表面，包括型材端面，断面，焊接面；整个支架系统应符合25年系统寿命的要求。当采用热浸镀锌防腐处理时，锌膜厚度应符合现行国家标准《金属覆盖层钢铁制件热浸镀锌层技术要求及试验方法》GB/T13912 的规定；当采用氟碳漆喷涂或聚氨酯漆喷涂时，漆膜的厚度不宜小于35</w:t>
      </w:r>
      <w:r>
        <w:rPr>
          <w:rFonts w:hint="eastAsia" w:ascii="仿宋" w:hAnsi="仿宋" w:eastAsia="仿宋" w:cs="仿宋"/>
          <w:i/>
          <w:iCs/>
          <w:color w:val="0623BA"/>
          <w:sz w:val="24"/>
          <w:lang w:val="en-US" w:eastAsia="zh-CN"/>
        </w:rPr>
        <w:t>m</w:t>
      </w:r>
      <w:r>
        <w:rPr>
          <w:rFonts w:hint="eastAsia" w:ascii="仿宋" w:hAnsi="仿宋" w:eastAsia="仿宋" w:cs="仿宋"/>
          <w:i/>
          <w:iCs/>
          <w:color w:val="0623BA"/>
          <w:sz w:val="24"/>
        </w:rPr>
        <w:t>m。在空气污染严重及海滨地区，涂膜厚度不宜小于45km</w:t>
      </w:r>
      <w:r>
        <w:rPr>
          <w:rFonts w:hint="eastAsia" w:ascii="仿宋" w:hAnsi="仿宋" w:eastAsia="仿宋" w:cs="仿宋"/>
          <w:i/>
          <w:iCs/>
          <w:color w:val="0623BA"/>
          <w:sz w:val="24"/>
          <w:lang w:eastAsia="zh-CN"/>
        </w:rPr>
        <w:t>；</w:t>
      </w:r>
    </w:p>
    <w:p w14:paraId="1EF392FB">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7 钢材焊接时，采用的焊条应符合现行国家标准《碳钢焊条》GB/T5117、《低合金钢焊条》GB/T 5118的规定，焊缝、边缘和其他区域的表面缺陷的处理应符合国家现行标准《碳钢焊条》GB/T5117、《低合金钢焊条》GB/T5118、《涂覆涂料前钢材表面处理表面清</w:t>
      </w:r>
      <w:r>
        <w:rPr>
          <w:rFonts w:hint="eastAsia" w:ascii="仿宋" w:hAnsi="仿宋" w:eastAsia="仿宋" w:cs="仿宋"/>
          <w:i/>
          <w:iCs/>
          <w:color w:val="0623BA"/>
          <w:sz w:val="24"/>
          <w:lang w:val="en-US" w:eastAsia="zh-CN"/>
        </w:rPr>
        <w:t>洁</w:t>
      </w:r>
      <w:r>
        <w:rPr>
          <w:rFonts w:hint="eastAsia" w:ascii="仿宋" w:hAnsi="仿宋" w:eastAsia="仿宋" w:cs="仿宋"/>
          <w:i/>
          <w:iCs/>
          <w:color w:val="0623BA"/>
          <w:sz w:val="24"/>
        </w:rPr>
        <w:t>度的目视评定 第3部分：焊缝、边缘和其他区域的表面缺陷的处理等级》GB/T 8923.3及《建筑钢结构焊接技术规程》JGJ 81的规定</w:t>
      </w:r>
      <w:r>
        <w:rPr>
          <w:rFonts w:hint="eastAsia" w:ascii="仿宋" w:hAnsi="仿宋" w:eastAsia="仿宋" w:cs="仿宋"/>
          <w:i/>
          <w:iCs/>
          <w:color w:val="0623BA"/>
          <w:sz w:val="24"/>
          <w:lang w:eastAsia="zh-CN"/>
        </w:rPr>
        <w:t>；</w:t>
      </w:r>
    </w:p>
    <w:p w14:paraId="2E9858B0">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rPr>
        <w:t>8 钢铸件采用的铸钢材质应符合现行国家标准《一般工程用铸造碳钢件》GB/T 11352的规定</w:t>
      </w:r>
      <w:r>
        <w:rPr>
          <w:rFonts w:hint="eastAsia" w:ascii="仿宋" w:hAnsi="仿宋" w:eastAsia="仿宋" w:cs="仿宋"/>
          <w:i/>
          <w:iCs/>
          <w:color w:val="0623BA"/>
          <w:sz w:val="24"/>
          <w:lang w:eastAsia="zh-CN"/>
        </w:rPr>
        <w:t>；</w:t>
      </w:r>
    </w:p>
    <w:p w14:paraId="09FA2126">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lang w:val="en-US" w:eastAsia="zh-CN"/>
        </w:rPr>
        <w:t>9</w:t>
      </w:r>
      <w:r>
        <w:rPr>
          <w:rFonts w:hint="eastAsia" w:ascii="仿宋" w:hAnsi="仿宋" w:eastAsia="仿宋" w:cs="仿宋"/>
          <w:i/>
          <w:iCs/>
          <w:color w:val="0623BA"/>
          <w:sz w:val="24"/>
        </w:rPr>
        <w:t xml:space="preserve"> 建筑光伏系统应采用中性硅酮结构密封胶。硅酮结构密封胶的性能应符合现行国家标准《建筑用硅酮结构密封胶》GB16776的规定</w:t>
      </w:r>
      <w:r>
        <w:rPr>
          <w:rFonts w:hint="eastAsia" w:ascii="仿宋" w:hAnsi="仿宋" w:eastAsia="仿宋" w:cs="仿宋"/>
          <w:i/>
          <w:iCs/>
          <w:color w:val="0623BA"/>
          <w:sz w:val="24"/>
          <w:lang w:eastAsia="zh-CN"/>
        </w:rPr>
        <w:t>；</w:t>
      </w:r>
    </w:p>
    <w:p w14:paraId="1B56EB12">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lang w:val="en-US" w:eastAsia="zh-CN"/>
        </w:rPr>
        <w:t>10</w:t>
      </w:r>
      <w:r>
        <w:rPr>
          <w:rFonts w:hint="eastAsia" w:ascii="仿宋" w:hAnsi="仿宋" w:eastAsia="仿宋" w:cs="仿宋"/>
          <w:i/>
          <w:iCs/>
          <w:color w:val="0623BA"/>
          <w:sz w:val="24"/>
        </w:rPr>
        <w:t xml:space="preserve"> 同一建筑光伏系统工程宜采用同一品牌的硅酮结构密封胶和硅酮耐候密封胶</w:t>
      </w:r>
      <w:r>
        <w:rPr>
          <w:rFonts w:hint="eastAsia" w:ascii="仿宋" w:hAnsi="仿宋" w:eastAsia="仿宋" w:cs="仿宋"/>
          <w:i/>
          <w:iCs/>
          <w:color w:val="0623BA"/>
          <w:sz w:val="24"/>
          <w:lang w:eastAsia="zh-CN"/>
        </w:rPr>
        <w:t>；</w:t>
      </w:r>
    </w:p>
    <w:p w14:paraId="44554A45">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lang w:val="en-US" w:eastAsia="zh-CN"/>
        </w:rPr>
        <w:t>11</w:t>
      </w:r>
      <w:r>
        <w:rPr>
          <w:rFonts w:hint="eastAsia" w:ascii="仿宋" w:hAnsi="仿宋" w:eastAsia="仿宋" w:cs="仿宋"/>
          <w:i/>
          <w:iCs/>
          <w:color w:val="0623BA"/>
          <w:sz w:val="24"/>
        </w:rPr>
        <w:t xml:space="preserve"> 用于密封无边框的光伏构件的安装缝隙处的耐候密封胶应采用中性硅酮建筑密封胶，其性能应符合现行行业标准《幕墙玻璃接缝用密封胶》JC/T 882 的规定</w:t>
      </w:r>
      <w:r>
        <w:rPr>
          <w:rFonts w:hint="eastAsia" w:ascii="仿宋" w:hAnsi="仿宋" w:eastAsia="仿宋" w:cs="仿宋"/>
          <w:i/>
          <w:iCs/>
          <w:color w:val="0623BA"/>
          <w:sz w:val="24"/>
          <w:lang w:eastAsia="zh-CN"/>
        </w:rPr>
        <w:t>；</w:t>
      </w:r>
    </w:p>
    <w:p w14:paraId="2B04135F">
      <w:pPr>
        <w:pStyle w:val="2"/>
        <w:spacing w:line="300" w:lineRule="auto"/>
        <w:ind w:firstLine="480" w:firstLineChars="200"/>
        <w:rPr>
          <w:rFonts w:hint="eastAsia" w:ascii="仿宋" w:hAnsi="仿宋" w:eastAsia="仿宋" w:cs="仿宋"/>
          <w:i/>
          <w:iCs/>
          <w:color w:val="0623BA"/>
          <w:sz w:val="24"/>
          <w:lang w:eastAsia="zh-CN"/>
        </w:rPr>
      </w:pPr>
      <w:r>
        <w:rPr>
          <w:rFonts w:hint="eastAsia" w:ascii="仿宋" w:hAnsi="仿宋" w:eastAsia="仿宋" w:cs="仿宋"/>
          <w:i/>
          <w:iCs/>
          <w:color w:val="0623BA"/>
          <w:sz w:val="24"/>
          <w:lang w:val="en-US" w:eastAsia="zh-CN"/>
        </w:rPr>
        <w:t>12</w:t>
      </w:r>
      <w:r>
        <w:rPr>
          <w:rFonts w:hint="eastAsia" w:ascii="仿宋" w:hAnsi="仿宋" w:eastAsia="仿宋" w:cs="仿宋"/>
          <w:i/>
          <w:iCs/>
          <w:color w:val="0623BA"/>
          <w:sz w:val="24"/>
        </w:rPr>
        <w:t xml:space="preserve"> 建筑光伏系统的橡胶制品，宜采用三元乙丙橡胶、氯丁橡胶及硅橡胶，并应符合现行国家标准《建筑门窗、幕墙用密封胶条》GB/T 24498 的规定</w:t>
      </w:r>
      <w:r>
        <w:rPr>
          <w:rFonts w:hint="eastAsia" w:ascii="仿宋" w:hAnsi="仿宋" w:eastAsia="仿宋" w:cs="仿宋"/>
          <w:i/>
          <w:iCs/>
          <w:color w:val="0623BA"/>
          <w:sz w:val="24"/>
          <w:lang w:eastAsia="zh-CN"/>
        </w:rPr>
        <w:t>；</w:t>
      </w:r>
    </w:p>
    <w:p w14:paraId="14387801">
      <w:pPr>
        <w:pStyle w:val="2"/>
        <w:spacing w:line="300" w:lineRule="auto"/>
        <w:ind w:firstLine="480" w:firstLineChars="200"/>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13</w:t>
      </w:r>
      <w:r>
        <w:rPr>
          <w:rFonts w:hint="eastAsia" w:ascii="仿宋" w:hAnsi="仿宋" w:eastAsia="仿宋" w:cs="仿宋"/>
          <w:i/>
          <w:iCs/>
          <w:color w:val="0623BA"/>
          <w:sz w:val="24"/>
        </w:rPr>
        <w:t xml:space="preserve"> 密封胶垫应符合国家现行标准《工业用橡胶板》GB/T5574 的规定。 </w:t>
      </w:r>
    </w:p>
    <w:p w14:paraId="2777B99A">
      <w:pPr>
        <w:snapToGrid w:val="0"/>
        <w:spacing w:line="300" w:lineRule="auto"/>
        <w:jc w:val="left"/>
        <w:rPr>
          <w:sz w:val="24"/>
        </w:rPr>
      </w:pPr>
      <w:r>
        <w:rPr>
          <w:b/>
          <w:bCs/>
          <w:sz w:val="24"/>
        </w:rPr>
        <w:t>4.3.</w:t>
      </w:r>
      <w:r>
        <w:rPr>
          <w:rFonts w:hint="eastAsia"/>
          <w:b/>
          <w:bCs/>
          <w:sz w:val="24"/>
          <w:lang w:val="en-US" w:eastAsia="zh-CN"/>
        </w:rPr>
        <w:t>2</w:t>
      </w:r>
      <w:r>
        <w:rPr>
          <w:rFonts w:hint="eastAsia"/>
          <w:sz w:val="24"/>
        </w:rPr>
        <w:t xml:space="preserve"> </w:t>
      </w:r>
      <w:r>
        <w:rPr>
          <w:sz w:val="24"/>
        </w:rPr>
        <w:t>建筑光伏系统用其他材料应符合下列</w:t>
      </w:r>
      <w:r>
        <w:rPr>
          <w:rFonts w:hint="eastAsia"/>
          <w:sz w:val="24"/>
          <w:lang w:val="en-US" w:eastAsia="zh-CN"/>
        </w:rPr>
        <w:t>要求</w:t>
      </w:r>
      <w:r>
        <w:rPr>
          <w:rFonts w:hint="eastAsia"/>
          <w:sz w:val="24"/>
        </w:rPr>
        <w:t>：</w:t>
      </w:r>
    </w:p>
    <w:p w14:paraId="17751635">
      <w:pPr>
        <w:snapToGrid w:val="0"/>
        <w:spacing w:line="300" w:lineRule="auto"/>
        <w:ind w:firstLine="482" w:firstLineChars="200"/>
        <w:jc w:val="left"/>
        <w:rPr>
          <w:rFonts w:hint="default"/>
          <w:sz w:val="24"/>
          <w:lang w:eastAsia="zh-CN"/>
        </w:rPr>
      </w:pPr>
      <w:r>
        <w:rPr>
          <w:rFonts w:hint="eastAsia"/>
          <w:b/>
          <w:bCs/>
          <w:sz w:val="24"/>
          <w:lang w:eastAsia="zh-CN"/>
        </w:rPr>
        <w:t>1</w:t>
      </w:r>
      <w:r>
        <w:rPr>
          <w:rFonts w:hint="eastAsia"/>
          <w:b/>
          <w:bCs/>
          <w:sz w:val="24"/>
          <w:lang w:val="en-US" w:eastAsia="zh-CN"/>
        </w:rPr>
        <w:t xml:space="preserve"> </w:t>
      </w:r>
      <w:r>
        <w:rPr>
          <w:sz w:val="24"/>
        </w:rPr>
        <w:t>建筑光伏系统用连接件、紧固件、组合配件宜选用不锈钢或铝合金材质</w:t>
      </w:r>
      <w:r>
        <w:rPr>
          <w:rFonts w:hint="default"/>
          <w:sz w:val="24"/>
          <w:lang w:eastAsia="zh-CN"/>
        </w:rPr>
        <w:t>；</w:t>
      </w:r>
    </w:p>
    <w:p w14:paraId="77C17B9A">
      <w:pPr>
        <w:snapToGrid w:val="0"/>
        <w:spacing w:line="300" w:lineRule="auto"/>
        <w:ind w:firstLine="482" w:firstLineChars="200"/>
        <w:jc w:val="left"/>
        <w:rPr>
          <w:rFonts w:hint="default"/>
          <w:sz w:val="24"/>
          <w:lang w:val="en-US" w:eastAsia="zh-CN"/>
        </w:rPr>
      </w:pPr>
      <w:r>
        <w:rPr>
          <w:rFonts w:hint="eastAsia"/>
          <w:b/>
          <w:bCs/>
          <w:sz w:val="24"/>
          <w:lang w:val="en-US" w:eastAsia="zh-CN"/>
        </w:rPr>
        <w:t>2</w:t>
      </w:r>
      <w:r>
        <w:rPr>
          <w:rFonts w:hint="default"/>
          <w:sz w:val="24"/>
          <w:lang w:val="en-US" w:eastAsia="zh-CN"/>
        </w:rPr>
        <w:t xml:space="preserve"> 光伏支架宜选用标准化构件，其强度、刚度、稳定性应符合相关标准规定；</w:t>
      </w:r>
    </w:p>
    <w:p w14:paraId="35B6AC66">
      <w:pPr>
        <w:snapToGrid w:val="0"/>
        <w:spacing w:line="300" w:lineRule="auto"/>
        <w:ind w:firstLine="482" w:firstLineChars="200"/>
        <w:jc w:val="left"/>
        <w:rPr>
          <w:rFonts w:hint="default"/>
          <w:sz w:val="24"/>
          <w:lang w:val="en-US" w:eastAsia="zh-CN"/>
        </w:rPr>
      </w:pPr>
      <w:r>
        <w:rPr>
          <w:rFonts w:hint="eastAsia"/>
          <w:b/>
          <w:bCs/>
          <w:sz w:val="24"/>
          <w:lang w:val="en-US" w:eastAsia="zh-CN"/>
        </w:rPr>
        <w:t>3</w:t>
      </w:r>
      <w:r>
        <w:rPr>
          <w:rFonts w:hint="default"/>
          <w:sz w:val="24"/>
          <w:lang w:val="en-US" w:eastAsia="zh-CN"/>
        </w:rPr>
        <w:t xml:space="preserve"> 电缆桥架和电缆保护管的选择与敷设应符合现行国家标准《电力工程电缆设计标准》GB 50217及《建筑电气与智能化通用规范》 GB 55024的有关规定。</w:t>
      </w:r>
    </w:p>
    <w:p w14:paraId="3D4263B8">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16ADB590">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4.3.</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 xml:space="preserve"> 建筑硅酮结构密封胶在使用前，应经国家认可的检测机构进行与其相接触材料的相容性和剥离粘结性试验并应对邵氏硬度、标准状态拉伸粘结性能进行复验。禁止在现场灌注硅酮结构密封胶。由于酸性硅酮密封胶可能会腐蚀没有封边的光伏构件边缘，因此，应采用中性硅酮建筑密封胶。建筑光伏系统用紧固件螺栓、螺钉、螺柱等的机械性能、化学成分应符合现行国家标准《紧固件机械性能》GB/T 3098. 1 GB/T 3098. 21的规定。 </w:t>
      </w:r>
    </w:p>
    <w:p w14:paraId="6D67506B">
      <w:pPr>
        <w:snapToGrid w:val="0"/>
        <w:spacing w:line="300" w:lineRule="auto"/>
        <w:ind w:firstLine="0" w:firstLineChars="0"/>
        <w:jc w:val="left"/>
        <w:rPr>
          <w:rFonts w:hint="eastAsia"/>
          <w:sz w:val="24"/>
          <w:lang w:val="en-US" w:eastAsia="zh-CN"/>
        </w:rPr>
      </w:pPr>
      <w:r>
        <w:rPr>
          <w:rFonts w:hint="eastAsia"/>
          <w:b/>
          <w:bCs/>
          <w:sz w:val="24"/>
          <w:lang w:val="en-US" w:eastAsia="zh-CN"/>
        </w:rPr>
        <w:t>4.3</w:t>
      </w:r>
      <w:r>
        <w:rPr>
          <w:rFonts w:hint="default"/>
          <w:b/>
          <w:bCs/>
          <w:sz w:val="24"/>
          <w:lang w:val="en-US" w:eastAsia="zh-CN"/>
        </w:rPr>
        <w:t xml:space="preserve">.3 </w:t>
      </w:r>
      <w:r>
        <w:rPr>
          <w:rFonts w:hint="default"/>
          <w:sz w:val="24"/>
          <w:lang w:val="en-US" w:eastAsia="zh-CN"/>
        </w:rPr>
        <w:t>电缆、电缆桥架和电缆保护管应符合</w:t>
      </w:r>
      <w:r>
        <w:rPr>
          <w:rFonts w:hint="eastAsia"/>
          <w:sz w:val="24"/>
          <w:lang w:val="en-US" w:eastAsia="zh-CN"/>
        </w:rPr>
        <w:t>现行</w:t>
      </w:r>
      <w:r>
        <w:rPr>
          <w:rFonts w:hint="default"/>
          <w:sz w:val="24"/>
          <w:lang w:val="en-US" w:eastAsia="zh-CN"/>
        </w:rPr>
        <w:t>《</w:t>
      </w:r>
      <w:r>
        <w:rPr>
          <w:rFonts w:hint="default" w:ascii="Times New Roman" w:hAnsi="Times New Roman" w:cs="Times New Roman"/>
          <w:caps w:val="0"/>
          <w:spacing w:val="0"/>
          <w:sz w:val="24"/>
          <w:szCs w:val="24"/>
          <w:u w:val="none"/>
          <w:shd w:val="clear"/>
        </w:rPr>
        <w:fldChar w:fldCharType="begin"/>
      </w:r>
      <w:r>
        <w:rPr>
          <w:rFonts w:hint="default" w:ascii="Times New Roman" w:hAnsi="Times New Roman" w:cs="Times New Roman"/>
          <w:caps w:val="0"/>
          <w:spacing w:val="0"/>
          <w:sz w:val="24"/>
          <w:szCs w:val="24"/>
          <w:u w:val="none"/>
          <w:shd w:val="clear"/>
        </w:rPr>
        <w:instrText xml:space="preserve"> HYPERLINK "https://www.baidu.com/link?url=-YtM0SIL09bC9RRy5H6dDxzC1yy0ZaF4XRS74UMJdMHtY-2oGnq2ds09pfGaR7yk0sQmXrw3sav9vRgoTT8DZ_&amp;wd=&amp;eqid=b37202910027220e0000000667232b43" \t "https://www.baidu.com/_blank" </w:instrText>
      </w:r>
      <w:r>
        <w:rPr>
          <w:rFonts w:hint="default" w:ascii="Times New Roman" w:hAnsi="Times New Roman" w:cs="Times New Roman"/>
          <w:caps w:val="0"/>
          <w:spacing w:val="0"/>
          <w:sz w:val="24"/>
          <w:szCs w:val="24"/>
          <w:u w:val="none"/>
          <w:shd w:val="clear"/>
        </w:rPr>
        <w:fldChar w:fldCharType="separate"/>
      </w:r>
      <w:r>
        <w:rPr>
          <w:rFonts w:hint="default" w:ascii="Times New Roman" w:hAnsi="Times New Roman" w:cs="Times New Roman"/>
          <w:caps w:val="0"/>
          <w:spacing w:val="0"/>
          <w:sz w:val="24"/>
          <w:szCs w:val="24"/>
          <w:u w:val="none"/>
          <w:shd w:val="clear"/>
        </w:rPr>
        <w:t>建筑光伏系统应用技术标准</w:t>
      </w:r>
      <w:r>
        <w:rPr>
          <w:rFonts w:hint="default" w:ascii="Times New Roman" w:hAnsi="Times New Roman" w:cs="Times New Roman"/>
          <w:caps w:val="0"/>
          <w:spacing w:val="0"/>
          <w:sz w:val="24"/>
          <w:szCs w:val="24"/>
          <w:u w:val="none"/>
          <w:shd w:val="clear"/>
        </w:rPr>
        <w:fldChar w:fldCharType="end"/>
      </w:r>
      <w:r>
        <w:rPr>
          <w:rFonts w:hint="default"/>
          <w:sz w:val="24"/>
          <w:lang w:val="en-US" w:eastAsia="zh-CN"/>
        </w:rPr>
        <w:t>》</w:t>
      </w:r>
      <w:r>
        <w:rPr>
          <w:rFonts w:hint="default"/>
          <w:sz w:val="24"/>
          <w:highlight w:val="none"/>
        </w:rPr>
        <w:t>GB</w:t>
      </w:r>
      <w:r>
        <w:rPr>
          <w:rFonts w:hint="default"/>
          <w:sz w:val="24"/>
          <w:highlight w:val="none"/>
          <w:lang w:val="en-US" w:eastAsia="zh-CN"/>
        </w:rPr>
        <w:t>/</w:t>
      </w:r>
      <w:r>
        <w:rPr>
          <w:rFonts w:hint="default"/>
          <w:sz w:val="24"/>
          <w:highlight w:val="none"/>
        </w:rPr>
        <w:t>T</w:t>
      </w:r>
      <w:r>
        <w:rPr>
          <w:rFonts w:hint="default"/>
          <w:sz w:val="24"/>
          <w:highlight w:val="none"/>
          <w:lang w:val="en-US" w:eastAsia="zh-CN"/>
        </w:rPr>
        <w:t xml:space="preserve"> </w:t>
      </w:r>
      <w:r>
        <w:rPr>
          <w:rFonts w:hint="default"/>
          <w:sz w:val="24"/>
          <w:highlight w:val="none"/>
        </w:rPr>
        <w:t>51368</w:t>
      </w:r>
      <w:r>
        <w:rPr>
          <w:rFonts w:hint="eastAsia"/>
          <w:sz w:val="24"/>
          <w:highlight w:val="none"/>
          <w:lang w:val="en-US" w:eastAsia="zh-CN"/>
        </w:rPr>
        <w:t>的有关</w:t>
      </w:r>
      <w:r>
        <w:rPr>
          <w:rFonts w:hint="eastAsia"/>
          <w:sz w:val="24"/>
          <w:lang w:val="en-US" w:eastAsia="zh-CN"/>
        </w:rPr>
        <w:t>规定。</w:t>
      </w:r>
    </w:p>
    <w:p w14:paraId="513E2806">
      <w:pPr>
        <w:pStyle w:val="2"/>
        <w:spacing w:line="300" w:lineRule="auto"/>
        <w:rPr>
          <w:rFonts w:hint="eastAsia" w:ascii="仿宋" w:hAnsi="仿宋" w:eastAsia="仿宋" w:cs="仿宋"/>
          <w:i/>
          <w:iCs/>
          <w:color w:val="0623BA"/>
          <w:sz w:val="24"/>
          <w:lang w:val="en-US" w:eastAsia="zh-CN"/>
        </w:rPr>
      </w:pPr>
      <w:r>
        <w:rPr>
          <w:rFonts w:hint="eastAsia" w:ascii="仿宋" w:hAnsi="仿宋" w:eastAsia="仿宋" w:cs="仿宋"/>
          <w:b/>
          <w:bCs/>
          <w:i/>
          <w:iCs/>
          <w:color w:val="0623BA"/>
          <w:sz w:val="24"/>
        </w:rPr>
        <w:t>【条文说明】</w:t>
      </w:r>
      <w:r>
        <w:rPr>
          <w:rFonts w:hint="eastAsia" w:ascii="仿宋" w:hAnsi="仿宋" w:eastAsia="仿宋" w:cs="仿宋"/>
          <w:b/>
          <w:bCs/>
          <w:i/>
          <w:iCs/>
          <w:color w:val="0623BA"/>
          <w:sz w:val="24"/>
          <w:lang w:val="en-US" w:eastAsia="zh-CN"/>
        </w:rPr>
        <w:t xml:space="preserve">4.3.3 </w:t>
      </w:r>
      <w:r>
        <w:rPr>
          <w:rFonts w:hint="eastAsia" w:ascii="仿宋" w:hAnsi="仿宋" w:eastAsia="仿宋" w:cs="仿宋"/>
          <w:i/>
          <w:iCs/>
          <w:color w:val="0623BA"/>
          <w:sz w:val="24"/>
          <w:lang w:val="en-US" w:eastAsia="zh-CN"/>
        </w:rPr>
        <w:t>《</w:t>
      </w:r>
      <w:r>
        <w:rPr>
          <w:rFonts w:hint="eastAsia" w:ascii="仿宋" w:hAnsi="仿宋" w:eastAsia="仿宋" w:cs="仿宋"/>
          <w:i/>
          <w:iCs/>
          <w:caps w:val="0"/>
          <w:color w:val="0623BA"/>
          <w:spacing w:val="0"/>
          <w:sz w:val="24"/>
          <w:szCs w:val="24"/>
          <w:u w:val="none"/>
          <w:shd w:val="clear"/>
        </w:rPr>
        <w:fldChar w:fldCharType="begin"/>
      </w:r>
      <w:r>
        <w:rPr>
          <w:rFonts w:hint="eastAsia" w:ascii="仿宋" w:hAnsi="仿宋" w:eastAsia="仿宋" w:cs="仿宋"/>
          <w:i/>
          <w:iCs/>
          <w:caps w:val="0"/>
          <w:color w:val="0623BA"/>
          <w:spacing w:val="0"/>
          <w:sz w:val="24"/>
          <w:szCs w:val="24"/>
          <w:u w:val="none"/>
          <w:shd w:val="clear"/>
        </w:rPr>
        <w:instrText xml:space="preserve"> HYPERLINK "https://www.baidu.com/link?url=-YtM0SIL09bC9RRy5H6dDxzC1yy0ZaF4XRS74UMJdMHtY-2oGnq2ds09pfGaR7yk0sQmXrw3sav9vRgoTT8DZ_&amp;wd=&amp;eqid=b37202910027220e0000000667232b43" \t "https://www.baidu.com/_blank" </w:instrText>
      </w:r>
      <w:r>
        <w:rPr>
          <w:rFonts w:hint="eastAsia" w:ascii="仿宋" w:hAnsi="仿宋" w:eastAsia="仿宋" w:cs="仿宋"/>
          <w:i/>
          <w:iCs/>
          <w:caps w:val="0"/>
          <w:color w:val="0623BA"/>
          <w:spacing w:val="0"/>
          <w:sz w:val="24"/>
          <w:szCs w:val="24"/>
          <w:u w:val="none"/>
          <w:shd w:val="clear"/>
        </w:rPr>
        <w:fldChar w:fldCharType="separate"/>
      </w:r>
      <w:r>
        <w:rPr>
          <w:rFonts w:hint="eastAsia" w:ascii="仿宋" w:hAnsi="仿宋" w:eastAsia="仿宋" w:cs="仿宋"/>
          <w:i/>
          <w:iCs/>
          <w:caps w:val="0"/>
          <w:color w:val="0623BA"/>
          <w:spacing w:val="0"/>
          <w:sz w:val="24"/>
          <w:szCs w:val="24"/>
          <w:u w:val="none"/>
          <w:shd w:val="clear"/>
        </w:rPr>
        <w:t>建筑光伏系统应用技术标准</w:t>
      </w:r>
      <w:r>
        <w:rPr>
          <w:rFonts w:hint="eastAsia" w:ascii="仿宋" w:hAnsi="仿宋" w:eastAsia="仿宋" w:cs="仿宋"/>
          <w:i/>
          <w:iCs/>
          <w:caps w:val="0"/>
          <w:color w:val="0623BA"/>
          <w:spacing w:val="0"/>
          <w:sz w:val="24"/>
          <w:szCs w:val="24"/>
          <w:u w:val="none"/>
          <w:shd w:val="clear"/>
        </w:rPr>
        <w:fldChar w:fldCharType="end"/>
      </w:r>
      <w:r>
        <w:rPr>
          <w:rFonts w:hint="eastAsia" w:ascii="仿宋" w:hAnsi="仿宋" w:eastAsia="仿宋" w:cs="仿宋"/>
          <w:i/>
          <w:iCs/>
          <w:color w:val="0623BA"/>
          <w:sz w:val="24"/>
          <w:lang w:val="en-US" w:eastAsia="zh-CN"/>
        </w:rPr>
        <w:t>》</w:t>
      </w:r>
      <w:r>
        <w:rPr>
          <w:rFonts w:hint="eastAsia" w:ascii="仿宋" w:hAnsi="仿宋" w:eastAsia="仿宋" w:cs="仿宋"/>
          <w:i/>
          <w:iCs/>
          <w:color w:val="0623BA"/>
          <w:sz w:val="24"/>
        </w:rPr>
        <w:t>GB</w:t>
      </w:r>
      <w:r>
        <w:rPr>
          <w:rFonts w:hint="eastAsia" w:ascii="仿宋" w:hAnsi="仿宋" w:eastAsia="仿宋" w:cs="仿宋"/>
          <w:i/>
          <w:iCs/>
          <w:color w:val="0623BA"/>
          <w:sz w:val="24"/>
          <w:lang w:val="en-US" w:eastAsia="zh-CN"/>
        </w:rPr>
        <w:t>/</w:t>
      </w:r>
      <w:r>
        <w:rPr>
          <w:rFonts w:hint="eastAsia" w:ascii="仿宋" w:hAnsi="仿宋" w:eastAsia="仿宋" w:cs="仿宋"/>
          <w:i/>
          <w:iCs/>
          <w:color w:val="0623BA"/>
          <w:sz w:val="24"/>
        </w:rPr>
        <w:t>T</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rPr>
        <w:t>51368</w:t>
      </w:r>
      <w:r>
        <w:rPr>
          <w:rFonts w:hint="eastAsia" w:ascii="仿宋" w:hAnsi="仿宋" w:eastAsia="仿宋" w:cs="仿宋"/>
          <w:i/>
          <w:iCs/>
          <w:color w:val="0623BA"/>
          <w:sz w:val="24"/>
          <w:lang w:val="en-US" w:eastAsia="zh-CN"/>
        </w:rPr>
        <w:t>对光伏系统电缆进行了相关的规定：</w:t>
      </w:r>
    </w:p>
    <w:p w14:paraId="648EDD92">
      <w:pPr>
        <w:pStyle w:val="2"/>
        <w:spacing w:line="300" w:lineRule="auto"/>
        <w:ind w:firstLine="480" w:firstLineChars="200"/>
        <w:rPr>
          <w:rFonts w:hint="eastAsia" w:ascii="仿宋" w:hAnsi="仿宋" w:eastAsia="仿宋" w:cs="仿宋"/>
          <w:i/>
          <w:iCs/>
          <w:color w:val="0623BA"/>
          <w:sz w:val="24"/>
          <w:lang w:val="en-US" w:eastAsia="zh-CN"/>
        </w:rPr>
      </w:pPr>
      <w:r>
        <w:rPr>
          <w:rFonts w:hint="eastAsia" w:ascii="仿宋" w:hAnsi="仿宋" w:eastAsia="仿宋" w:cs="仿宋"/>
          <w:i/>
          <w:iCs/>
          <w:color w:val="0623BA"/>
          <w:sz w:val="24"/>
          <w:lang w:val="en-US" w:eastAsia="zh-CN"/>
        </w:rPr>
        <w:t>1</w:t>
      </w:r>
      <w:r>
        <w:rPr>
          <w:rFonts w:hint="eastAsia" w:ascii="仿宋" w:hAnsi="仿宋" w:eastAsia="仿宋" w:cs="仿宋"/>
          <w:i/>
          <w:iCs/>
          <w:color w:val="0623BA"/>
          <w:sz w:val="24"/>
        </w:rPr>
        <w:t>建筑光伏系统宜采用铜芯电缆</w:t>
      </w:r>
      <w:r>
        <w:rPr>
          <w:rFonts w:hint="eastAsia" w:ascii="仿宋" w:hAnsi="仿宋" w:eastAsia="仿宋" w:cs="仿宋"/>
          <w:i/>
          <w:iCs/>
          <w:color w:val="0623BA"/>
          <w:sz w:val="24"/>
          <w:lang w:eastAsia="zh-CN"/>
        </w:rPr>
        <w:t>；</w:t>
      </w:r>
    </w:p>
    <w:p w14:paraId="600E957B">
      <w:pPr>
        <w:pStyle w:val="2"/>
        <w:snapToGrid/>
        <w:spacing w:line="300" w:lineRule="auto"/>
        <w:ind w:firstLine="480" w:firstLineChars="200"/>
        <w:jc w:val="left"/>
        <w:rPr>
          <w:rFonts w:hint="eastAsia" w:ascii="仿宋" w:hAnsi="仿宋" w:eastAsia="仿宋" w:cs="仿宋"/>
          <w:i/>
          <w:iCs/>
          <w:color w:val="0623BA"/>
          <w:sz w:val="24"/>
          <w:lang w:eastAsia="zh-CN"/>
        </w:rPr>
      </w:pP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电缆选型应符合现行国家标准《电力工程电缆设计标准》GB50217的有关规定</w:t>
      </w:r>
      <w:r>
        <w:rPr>
          <w:rFonts w:hint="eastAsia" w:ascii="仿宋" w:hAnsi="仿宋" w:eastAsia="仿宋" w:cs="仿宋"/>
          <w:i/>
          <w:iCs/>
          <w:color w:val="0623BA"/>
          <w:sz w:val="24"/>
          <w:lang w:eastAsia="zh-CN"/>
        </w:rPr>
        <w:t>；</w:t>
      </w:r>
    </w:p>
    <w:p w14:paraId="3D987CE0">
      <w:pPr>
        <w:pStyle w:val="2"/>
        <w:spacing w:line="300" w:lineRule="auto"/>
        <w:ind w:firstLine="480" w:firstLineChars="200"/>
        <w:rPr>
          <w:rFonts w:hint="eastAsia" w:ascii="仿宋" w:hAnsi="仿宋" w:eastAsia="仿宋" w:cs="仿宋"/>
          <w:i/>
          <w:iCs/>
          <w:color w:val="0623BA"/>
          <w:sz w:val="24"/>
          <w:lang w:val="en-US" w:eastAsia="zh-CN"/>
        </w:rPr>
      </w:pP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当电缆长期暴露在户外时，应根据抗臭氧、抗紫外线、耐酸碱、耐高温、耐湿热、耐严寒、耐凹痕、无卤、阻燃、经受机械冲击等环境要求进行选择</w:t>
      </w:r>
      <w:r>
        <w:rPr>
          <w:rFonts w:hint="eastAsia" w:ascii="仿宋" w:hAnsi="仿宋" w:eastAsia="仿宋" w:cs="仿宋"/>
          <w:i/>
          <w:iCs/>
          <w:color w:val="0623BA"/>
          <w:sz w:val="24"/>
          <w:lang w:eastAsia="zh-CN"/>
        </w:rPr>
        <w:t>；</w:t>
      </w:r>
    </w:p>
    <w:p w14:paraId="13877712">
      <w:pPr>
        <w:pStyle w:val="2"/>
        <w:spacing w:line="300" w:lineRule="auto"/>
        <w:ind w:firstLine="480" w:firstLineChars="200"/>
        <w:rPr>
          <w:rFonts w:hint="eastAsia" w:ascii="仿宋" w:hAnsi="仿宋" w:eastAsia="仿宋" w:cs="仿宋"/>
          <w:i/>
          <w:iCs/>
          <w:color w:val="0623BA"/>
          <w:sz w:val="24"/>
          <w:lang w:val="en-US" w:eastAsia="zh-CN"/>
        </w:rPr>
      </w:pP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光伏组件及方阵连接电缆应符合现行行业标准《光伏发电系统用电缆》NB/T 42073的有关规定。</w:t>
      </w:r>
    </w:p>
    <w:p w14:paraId="70E6669B">
      <w:pPr>
        <w:pStyle w:val="2"/>
        <w:snapToGrid/>
        <w:spacing w:line="300" w:lineRule="auto"/>
        <w:ind w:firstLine="480" w:firstLineChars="200"/>
        <w:jc w:val="left"/>
        <w:rPr>
          <w:rFonts w:hint="eastAsia" w:ascii="仿宋" w:hAnsi="仿宋" w:eastAsia="仿宋" w:cs="仿宋"/>
          <w:i/>
          <w:iCs/>
          <w:color w:val="0623BA"/>
          <w:sz w:val="24"/>
          <w:lang w:eastAsia="zh-CN"/>
        </w:rPr>
      </w:pPr>
      <w:r>
        <w:rPr>
          <w:rFonts w:hint="eastAsia" w:ascii="仿宋" w:hAnsi="仿宋" w:eastAsia="仿宋" w:cs="仿宋"/>
          <w:i/>
          <w:iCs/>
          <w:color w:val="0623BA"/>
          <w:sz w:val="24"/>
        </w:rPr>
        <w:t>电缆耐火性能应符合现行国家标准《在火焰条件下电缆或光缆的线路完整性试验 第11部分：试验装置 火焰温度不低于750℃的单独供火》GB/T 19216.11和《在火焰条件下电缆或光缆的线路完整性试验 第21部分：试验步骤和要求 额定电压0.6/1.0kV及以下电缆》GB/T 19216.21的有关规定</w:t>
      </w:r>
      <w:r>
        <w:rPr>
          <w:rFonts w:hint="eastAsia" w:ascii="仿宋" w:hAnsi="仿宋" w:eastAsia="仿宋" w:cs="仿宋"/>
          <w:i/>
          <w:iCs/>
          <w:color w:val="0623BA"/>
          <w:sz w:val="24"/>
          <w:lang w:eastAsia="zh-CN"/>
        </w:rPr>
        <w:t>；</w:t>
      </w:r>
    </w:p>
    <w:p w14:paraId="7EBA793E">
      <w:pPr>
        <w:pStyle w:val="2"/>
        <w:snapToGrid/>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b w:val="0"/>
          <w:bCs w:val="0"/>
          <w:i/>
          <w:iCs/>
          <w:color w:val="0623BA"/>
          <w:sz w:val="24"/>
          <w:lang w:eastAsia="zh-CN"/>
        </w:rPr>
        <w:t>5</w:t>
      </w:r>
      <w:r>
        <w:rPr>
          <w:rFonts w:hint="eastAsia" w:ascii="仿宋" w:hAnsi="仿宋" w:eastAsia="仿宋" w:cs="仿宋"/>
          <w:i/>
          <w:iCs/>
          <w:color w:val="0623BA"/>
          <w:sz w:val="24"/>
        </w:rPr>
        <w:t xml:space="preserve"> 电缆绝缘和护套的材料机械性能、热老化性能、低温脆性、耐腐蚀性应符合现行国家标准《电缆和光缆绝缘和护套材料通用试验方法第11部分：通用试验方法 厚度和外形尺寸测量机械性能试验》GB/T 2951.11、《电缆和光缆绝缘和护套材料通用试验方法第12部分：通用试验方法热老化试验方法》GB/T 2951.12和《电缆和光缆绝缘和护套材料通用试验方法第51部分：填充膏专用试验方法 滴点油分离低温脆性总酸值腐蚀性23℃时的介电常数23℃和100℃时的直流电阻率》GB/T2951.51的有关规定。</w:t>
      </w:r>
    </w:p>
    <w:p w14:paraId="4CB6B128">
      <w:pPr>
        <w:snapToGrid/>
        <w:spacing w:line="300" w:lineRule="auto"/>
        <w:jc w:val="left"/>
        <w:rPr>
          <w:rFonts w:hint="default"/>
          <w:sz w:val="24"/>
        </w:rPr>
      </w:pPr>
      <w:r>
        <w:rPr>
          <w:rFonts w:hint="default" w:ascii="Times New Roman" w:hAnsi="Times New Roman" w:eastAsia="宋体" w:cs="Times New Roman"/>
          <w:b/>
          <w:bCs/>
          <w:i w:val="0"/>
          <w:iCs w:val="0"/>
          <w:color w:val="auto"/>
          <w:sz w:val="24"/>
          <w:lang w:val="en-US" w:eastAsia="zh-CN"/>
        </w:rPr>
        <w:t xml:space="preserve">4.3.4 </w:t>
      </w:r>
      <w:r>
        <w:rPr>
          <w:rFonts w:hint="default" w:ascii="Times New Roman" w:hAnsi="Times New Roman" w:eastAsia="宋体" w:cs="Times New Roman"/>
          <w:i w:val="0"/>
          <w:iCs w:val="0"/>
          <w:color w:val="auto"/>
          <w:sz w:val="24"/>
          <w:lang w:val="en-US" w:eastAsia="zh-CN"/>
        </w:rPr>
        <w:t>既有建筑加装光伏系统时，光伏系统的电缆敷设应符合建筑结构安全、电气安全要求并宜建成隐蔽工程，以保持建筑物</w:t>
      </w:r>
      <w:r>
        <w:rPr>
          <w:rFonts w:hint="eastAsia" w:cs="Times New Roman"/>
          <w:i w:val="0"/>
          <w:iCs w:val="0"/>
          <w:color w:val="auto"/>
          <w:sz w:val="24"/>
          <w:lang w:val="en-US" w:eastAsia="zh-CN"/>
        </w:rPr>
        <w:t>内</w:t>
      </w:r>
      <w:r>
        <w:rPr>
          <w:rFonts w:hint="default" w:ascii="Times New Roman" w:hAnsi="Times New Roman" w:eastAsia="宋体" w:cs="Times New Roman"/>
          <w:i w:val="0"/>
          <w:iCs w:val="0"/>
          <w:color w:val="auto"/>
          <w:sz w:val="24"/>
          <w:lang w:val="en-US" w:eastAsia="zh-CN"/>
        </w:rPr>
        <w:t>外观整齐。</w:t>
      </w:r>
    </w:p>
    <w:p w14:paraId="11D6B3C7">
      <w:pPr>
        <w:keepNext/>
        <w:keepLines/>
        <w:snapToGrid w:val="0"/>
        <w:spacing w:before="72" w:beforeLines="30" w:after="72" w:afterLines="30" w:line="300" w:lineRule="auto"/>
        <w:jc w:val="center"/>
        <w:outlineLvl w:val="2"/>
        <w:rPr>
          <w:b/>
          <w:sz w:val="24"/>
          <w:szCs w:val="32"/>
        </w:rPr>
      </w:pPr>
      <w:bookmarkStart w:id="88" w:name="_Toc20286"/>
      <w:bookmarkStart w:id="89" w:name="_Toc18158"/>
      <w:bookmarkStart w:id="90" w:name="_Toc6693"/>
      <w:bookmarkStart w:id="91" w:name="_Toc1142"/>
      <w:bookmarkStart w:id="92" w:name="_Toc24543"/>
      <w:bookmarkStart w:id="93" w:name="_Toc4352"/>
      <w:bookmarkStart w:id="94" w:name="_Toc15111"/>
      <w:bookmarkStart w:id="95" w:name="_Toc19963"/>
      <w:r>
        <w:rPr>
          <w:b/>
          <w:sz w:val="24"/>
          <w:szCs w:val="32"/>
        </w:rPr>
        <w:t>4.</w:t>
      </w:r>
      <w:r>
        <w:rPr>
          <w:rFonts w:hint="default"/>
          <w:b/>
          <w:sz w:val="24"/>
          <w:szCs w:val="32"/>
          <w:lang w:val="en-US" w:eastAsia="zh-CN"/>
        </w:rPr>
        <w:t xml:space="preserve">4 </w:t>
      </w:r>
      <w:r>
        <w:rPr>
          <w:b/>
          <w:sz w:val="24"/>
          <w:szCs w:val="32"/>
        </w:rPr>
        <w:t>逆变器</w:t>
      </w:r>
      <w:bookmarkEnd w:id="88"/>
      <w:bookmarkEnd w:id="89"/>
      <w:bookmarkEnd w:id="90"/>
      <w:bookmarkEnd w:id="91"/>
      <w:bookmarkEnd w:id="92"/>
      <w:bookmarkEnd w:id="93"/>
      <w:bookmarkEnd w:id="94"/>
      <w:bookmarkEnd w:id="95"/>
    </w:p>
    <w:p w14:paraId="3D2F1BCA">
      <w:pPr>
        <w:pStyle w:val="2"/>
        <w:spacing w:line="300" w:lineRule="auto"/>
        <w:rPr>
          <w:sz w:val="24"/>
        </w:rPr>
      </w:pPr>
      <w:r>
        <w:rPr>
          <w:b/>
          <w:bCs/>
          <w:sz w:val="24"/>
        </w:rPr>
        <w:t>4.</w:t>
      </w:r>
      <w:r>
        <w:rPr>
          <w:rFonts w:hint="eastAsia"/>
          <w:b/>
          <w:bCs/>
          <w:sz w:val="24"/>
          <w:lang w:val="en-US" w:eastAsia="zh-CN"/>
        </w:rPr>
        <w:t>4</w:t>
      </w:r>
      <w:r>
        <w:rPr>
          <w:b/>
          <w:bCs/>
          <w:sz w:val="24"/>
        </w:rPr>
        <w:t>.1</w:t>
      </w:r>
      <w:r>
        <w:rPr>
          <w:rFonts w:hint="eastAsia"/>
          <w:sz w:val="24"/>
        </w:rPr>
        <w:t xml:space="preserve"> </w:t>
      </w:r>
      <w:r>
        <w:rPr>
          <w:sz w:val="24"/>
        </w:rPr>
        <w:t>建筑光伏系统用并网逆变器性能应符合国家现行标准的有关规定。</w:t>
      </w:r>
    </w:p>
    <w:p w14:paraId="32B781BA">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3D10BEE">
      <w:pPr>
        <w:snapToGrid w:val="0"/>
        <w:spacing w:line="300" w:lineRule="auto"/>
        <w:jc w:val="left"/>
        <w:rPr>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.1 并网型逆变器的性能应符合现行国家标准《光伏发电并网逆变器技术要求》GB/T 37408及现行行业标准《光伏并网逆变器技术规范》NB/T 32004的有关规定。</w:t>
      </w:r>
    </w:p>
    <w:p w14:paraId="656055C6">
      <w:pPr>
        <w:snapToGrid w:val="0"/>
        <w:spacing w:line="300" w:lineRule="auto"/>
        <w:jc w:val="left"/>
        <w:rPr>
          <w:rFonts w:hint="eastAsia"/>
          <w:sz w:val="24"/>
        </w:rPr>
      </w:pPr>
      <w:r>
        <w:rPr>
          <w:rFonts w:hint="eastAsia"/>
          <w:b/>
          <w:bCs/>
          <w:sz w:val="24"/>
          <w:lang w:val="en-US" w:eastAsia="zh-CN"/>
        </w:rPr>
        <w:t xml:space="preserve">4.4.2 </w:t>
      </w:r>
      <w:r>
        <w:rPr>
          <w:rFonts w:hint="eastAsia"/>
          <w:sz w:val="24"/>
        </w:rPr>
        <w:t>选用逆变器时应该综合考虑如下因素</w:t>
      </w:r>
      <w:r>
        <w:rPr>
          <w:rFonts w:hint="eastAsia"/>
          <w:sz w:val="24"/>
          <w:lang w:eastAsia="zh-CN"/>
        </w:rPr>
        <w:t>：</w:t>
      </w:r>
      <w:r>
        <w:rPr>
          <w:rFonts w:hint="eastAsia"/>
          <w:sz w:val="24"/>
        </w:rPr>
        <w:t>逆变类型要求、容量、相数、频率、冷却方式、功率因数、过载能力、温升、效率、输入输出电压、最大功率点跟踪</w:t>
      </w:r>
      <w:r>
        <w:rPr>
          <w:rFonts w:hint="eastAsia"/>
          <w:sz w:val="24"/>
          <w:lang w:eastAsia="zh-CN"/>
        </w:rPr>
        <w:t>（</w:t>
      </w:r>
      <w:r>
        <w:rPr>
          <w:rFonts w:hint="eastAsia"/>
          <w:sz w:val="24"/>
        </w:rPr>
        <w:t>MPPT</w:t>
      </w:r>
      <w:r>
        <w:rPr>
          <w:rFonts w:hint="eastAsia"/>
          <w:sz w:val="24"/>
          <w:lang w:eastAsia="zh-CN"/>
        </w:rPr>
        <w:t>）</w:t>
      </w:r>
      <w:r>
        <w:rPr>
          <w:rFonts w:hint="eastAsia"/>
          <w:sz w:val="24"/>
        </w:rPr>
        <w:t>、保护和监测功能、通信接口、防护等级等技术条件进行选择。</w:t>
      </w:r>
    </w:p>
    <w:p w14:paraId="431448DD">
      <w:pPr>
        <w:snapToGrid w:val="0"/>
        <w:spacing w:line="300" w:lineRule="auto"/>
        <w:jc w:val="left"/>
        <w:rPr>
          <w:sz w:val="24"/>
        </w:rPr>
      </w:pPr>
      <w:r>
        <w:rPr>
          <w:b/>
          <w:bCs/>
          <w:sz w:val="24"/>
        </w:rPr>
        <w:t>4.</w:t>
      </w:r>
      <w:r>
        <w:rPr>
          <w:rFonts w:hint="eastAsia"/>
          <w:b/>
          <w:bCs/>
          <w:sz w:val="24"/>
          <w:lang w:val="en-US" w:eastAsia="zh-CN"/>
        </w:rPr>
        <w:t>4</w:t>
      </w:r>
      <w:r>
        <w:rPr>
          <w:b/>
          <w:bCs/>
          <w:sz w:val="24"/>
        </w:rPr>
        <w:t>.</w:t>
      </w:r>
      <w:r>
        <w:rPr>
          <w:rFonts w:hint="eastAsia"/>
          <w:b/>
          <w:bCs/>
          <w:sz w:val="24"/>
          <w:lang w:val="en-US" w:eastAsia="zh-CN"/>
        </w:rPr>
        <w:t>3</w:t>
      </w:r>
      <w:r>
        <w:rPr>
          <w:rFonts w:hint="eastAsia"/>
          <w:sz w:val="24"/>
        </w:rPr>
        <w:t xml:space="preserve"> 离网型逆变器除应符合现行国家标准《离网型风能、太阳能发电系统用逆变器 第1部分：技术条件》GB/T 20321.1的有关规定外，还应符合</w:t>
      </w:r>
      <w:r>
        <w:rPr>
          <w:rFonts w:hint="eastAsia"/>
          <w:sz w:val="24"/>
          <w:lang w:val="en-US" w:eastAsia="zh-CN"/>
        </w:rPr>
        <w:t>下</w:t>
      </w:r>
      <w:r>
        <w:rPr>
          <w:rFonts w:hint="eastAsia"/>
          <w:sz w:val="24"/>
        </w:rPr>
        <w:t>列</w:t>
      </w:r>
      <w:r>
        <w:rPr>
          <w:rFonts w:hint="eastAsia"/>
          <w:sz w:val="24"/>
          <w:lang w:val="en-US" w:eastAsia="zh-CN"/>
        </w:rPr>
        <w:t>要求</w:t>
      </w:r>
      <w:r>
        <w:rPr>
          <w:rFonts w:hint="eastAsia"/>
          <w:sz w:val="24"/>
        </w:rPr>
        <w:t>：</w:t>
      </w:r>
    </w:p>
    <w:p w14:paraId="6FA4C117">
      <w:pPr>
        <w:snapToGrid w:val="0"/>
        <w:spacing w:line="300" w:lineRule="auto"/>
        <w:ind w:firstLine="482" w:firstLineChars="200"/>
        <w:jc w:val="left"/>
        <w:rPr>
          <w:sz w:val="24"/>
        </w:rPr>
      </w:pPr>
      <w:r>
        <w:rPr>
          <w:rFonts w:hint="eastAsia"/>
          <w:b/>
          <w:bCs/>
          <w:sz w:val="24"/>
        </w:rPr>
        <w:t xml:space="preserve">1 </w:t>
      </w:r>
      <w:r>
        <w:rPr>
          <w:rFonts w:hint="eastAsia"/>
          <w:sz w:val="24"/>
        </w:rPr>
        <w:t>当逆变器具备充放电控制功能时，还应符合充放电控制器的有关规定；</w:t>
      </w:r>
    </w:p>
    <w:p w14:paraId="13788256">
      <w:pPr>
        <w:snapToGrid w:val="0"/>
        <w:spacing w:line="300" w:lineRule="auto"/>
        <w:ind w:firstLine="482" w:firstLineChars="200"/>
        <w:jc w:val="left"/>
        <w:rPr>
          <w:rFonts w:hint="eastAsia"/>
          <w:sz w:val="24"/>
        </w:rPr>
      </w:pPr>
      <w:r>
        <w:rPr>
          <w:rFonts w:hint="eastAsia"/>
          <w:b/>
          <w:bCs/>
          <w:sz w:val="24"/>
        </w:rPr>
        <w:t xml:space="preserve">2 </w:t>
      </w:r>
      <w:r>
        <w:rPr>
          <w:rFonts w:hint="eastAsia"/>
          <w:sz w:val="24"/>
        </w:rPr>
        <w:t>当逆变器允许市电输入，与光伏发电系统互补供电时，直流经逆变成交流后的系统供电和市电供电的切换过程不应影响交流电气负载的使用。</w:t>
      </w:r>
    </w:p>
    <w:p w14:paraId="52D9DFEC">
      <w:pPr>
        <w:snapToGrid w:val="0"/>
        <w:spacing w:line="300" w:lineRule="auto"/>
        <w:jc w:val="left"/>
        <w:rPr>
          <w:rFonts w:hint="eastAsia" w:eastAsia="宋体"/>
          <w:sz w:val="24"/>
          <w:lang w:val="en-US" w:eastAsia="zh-CN"/>
        </w:rPr>
      </w:pPr>
      <w:r>
        <w:rPr>
          <w:rFonts w:hint="default"/>
          <w:b/>
          <w:bCs/>
          <w:sz w:val="24"/>
          <w:lang w:val="en-US" w:eastAsia="zh-CN"/>
        </w:rPr>
        <w:t xml:space="preserve">4.4.4 </w:t>
      </w:r>
      <w:r>
        <w:rPr>
          <w:rFonts w:hint="eastAsia"/>
          <w:sz w:val="24"/>
          <w:lang w:val="en-US" w:eastAsia="zh-CN"/>
        </w:rPr>
        <w:t>并网型</w:t>
      </w:r>
      <w:r>
        <w:rPr>
          <w:rFonts w:hint="eastAsia"/>
          <w:sz w:val="24"/>
          <w:highlight w:val="none"/>
          <w:lang w:val="en-US" w:eastAsia="zh-CN"/>
        </w:rPr>
        <w:t>逆变器的性能应符合现行国家标准《光伏发电并网逆变器技术要求》GB/T 37408及现行行业标准《光伏并网逆变器技术规范》NB/T 32004的有关规定。</w:t>
      </w:r>
    </w:p>
    <w:p w14:paraId="587DAFDB">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22982C3">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 xml:space="preserve"> </w:t>
      </w:r>
      <w:r>
        <w:rPr>
          <w:rFonts w:hint="eastAsia" w:ascii="仿宋" w:hAnsi="仿宋" w:eastAsia="仿宋" w:cs="仿宋"/>
          <w:i/>
          <w:iCs/>
          <w:color w:val="0623BA"/>
          <w:sz w:val="24"/>
          <w:lang w:eastAsia="zh-CN"/>
        </w:rPr>
        <w:t>、</w:t>
      </w:r>
      <w:r>
        <w:rPr>
          <w:rFonts w:hint="eastAsia" w:ascii="仿宋" w:hAnsi="仿宋" w:eastAsia="仿宋" w:cs="仿宋"/>
          <w:i/>
          <w:iCs/>
          <w:color w:val="0623BA"/>
          <w:sz w:val="24"/>
          <w:lang w:val="en-US" w:eastAsia="zh-CN"/>
        </w:rPr>
        <w:t>4.4.4</w:t>
      </w:r>
      <w:r>
        <w:rPr>
          <w:rFonts w:hint="eastAsia" w:ascii="仿宋" w:hAnsi="仿宋" w:eastAsia="仿宋" w:cs="仿宋"/>
          <w:i/>
          <w:iCs/>
          <w:color w:val="0623BA"/>
          <w:sz w:val="24"/>
        </w:rPr>
        <w:t>并网光伏发电系统应采用并网型逆变器,</w:t>
      </w:r>
      <w:r>
        <w:rPr>
          <w:rFonts w:hint="eastAsia" w:ascii="仿宋" w:hAnsi="仿宋" w:eastAsia="仿宋" w:cs="仿宋"/>
          <w:i/>
          <w:iCs/>
          <w:color w:val="0623BA"/>
          <w:sz w:val="24"/>
          <w:lang w:val="en-US" w:eastAsia="zh-CN"/>
        </w:rPr>
        <w:t>独立光</w:t>
      </w:r>
      <w:r>
        <w:rPr>
          <w:rFonts w:hint="eastAsia" w:ascii="仿宋" w:hAnsi="仿宋" w:eastAsia="仿宋" w:cs="仿宋"/>
          <w:i/>
          <w:iCs/>
          <w:color w:val="0623BA"/>
          <w:sz w:val="24"/>
        </w:rPr>
        <w:t>伏发电系统应采用离网型逆变器，逆变器的性能应适配光组件发电特性。</w:t>
      </w:r>
    </w:p>
    <w:p w14:paraId="7F361A9D">
      <w:pPr>
        <w:snapToGrid w:val="0"/>
        <w:spacing w:line="300" w:lineRule="auto"/>
        <w:jc w:val="left"/>
        <w:rPr>
          <w:sz w:val="24"/>
        </w:rPr>
      </w:pPr>
      <w:r>
        <w:rPr>
          <w:b/>
          <w:bCs/>
          <w:sz w:val="24"/>
        </w:rPr>
        <w:t>4.</w:t>
      </w:r>
      <w:r>
        <w:rPr>
          <w:rFonts w:hint="eastAsia"/>
          <w:b/>
          <w:bCs/>
          <w:sz w:val="24"/>
          <w:lang w:val="en-US" w:eastAsia="zh-CN"/>
        </w:rPr>
        <w:t>4</w:t>
      </w:r>
      <w:r>
        <w:rPr>
          <w:b/>
          <w:bCs/>
          <w:sz w:val="24"/>
        </w:rPr>
        <w:t>.</w:t>
      </w:r>
      <w:r>
        <w:rPr>
          <w:rFonts w:hint="eastAsia"/>
          <w:b/>
          <w:bCs/>
          <w:sz w:val="24"/>
          <w:lang w:val="en-US" w:eastAsia="zh-CN"/>
        </w:rPr>
        <w:t>5</w:t>
      </w:r>
      <w:r>
        <w:rPr>
          <w:rFonts w:hint="eastAsia"/>
          <w:sz w:val="24"/>
        </w:rPr>
        <w:t xml:space="preserve"> 逆变器在正常输入、输出工作电压范围内工作时，逆变器能够连续输出的电流不</w:t>
      </w:r>
      <w:r>
        <w:rPr>
          <w:rFonts w:hint="eastAsia"/>
          <w:sz w:val="24"/>
          <w:lang w:val="en-US" w:eastAsia="zh-CN"/>
        </w:rPr>
        <w:t>应</w:t>
      </w:r>
      <w:r>
        <w:rPr>
          <w:rFonts w:hint="eastAsia"/>
          <w:sz w:val="24"/>
        </w:rPr>
        <w:t>超过标称最大连续输出电流的110%</w:t>
      </w:r>
      <w:r>
        <w:rPr>
          <w:rFonts w:hint="eastAsia"/>
          <w:sz w:val="24"/>
          <w:lang w:val="en-US" w:eastAsia="zh-CN"/>
        </w:rPr>
        <w:t>且</w:t>
      </w:r>
      <w:r>
        <w:rPr>
          <w:rFonts w:hint="eastAsia"/>
          <w:sz w:val="24"/>
        </w:rPr>
        <w:t>过流保护装置和过温保护装置不应动作。</w:t>
      </w:r>
    </w:p>
    <w:p w14:paraId="43B80D8B">
      <w:pPr>
        <w:snapToGrid w:val="0"/>
        <w:spacing w:line="300" w:lineRule="auto"/>
        <w:jc w:val="left"/>
        <w:rPr>
          <w:rFonts w:hint="eastAsia"/>
          <w:sz w:val="24"/>
          <w:lang w:val="en-US" w:eastAsia="zh-CN"/>
        </w:rPr>
      </w:pPr>
      <w:r>
        <w:rPr>
          <w:rFonts w:hint="eastAsia"/>
          <w:b/>
          <w:bCs/>
          <w:sz w:val="24"/>
        </w:rPr>
        <w:t>4.</w:t>
      </w:r>
      <w:r>
        <w:rPr>
          <w:rFonts w:hint="eastAsia"/>
          <w:b/>
          <w:bCs/>
          <w:sz w:val="24"/>
          <w:lang w:val="en-US" w:eastAsia="zh-CN"/>
        </w:rPr>
        <w:t>4</w:t>
      </w:r>
      <w:r>
        <w:rPr>
          <w:rFonts w:hint="eastAsia"/>
          <w:b/>
          <w:bCs/>
          <w:sz w:val="24"/>
        </w:rPr>
        <w:t>.</w:t>
      </w:r>
      <w:r>
        <w:rPr>
          <w:rFonts w:hint="eastAsia"/>
          <w:b/>
          <w:bCs/>
          <w:sz w:val="24"/>
          <w:lang w:val="en-US" w:eastAsia="zh-CN"/>
        </w:rPr>
        <w:t>6</w:t>
      </w:r>
      <w:r>
        <w:rPr>
          <w:rFonts w:hint="eastAsia"/>
          <w:b/>
          <w:bCs/>
          <w:sz w:val="24"/>
        </w:rPr>
        <w:t xml:space="preserve"> </w:t>
      </w:r>
      <w:r>
        <w:rPr>
          <w:rFonts w:hint="eastAsia"/>
          <w:sz w:val="24"/>
        </w:rPr>
        <w:t>并网逆变器</w:t>
      </w:r>
      <w:r>
        <w:rPr>
          <w:rFonts w:hint="eastAsia"/>
          <w:sz w:val="24"/>
          <w:lang w:val="en-US" w:eastAsia="zh-CN"/>
        </w:rPr>
        <w:t>宜选择使用组串逆变器和微逆逆变器，</w:t>
      </w:r>
      <w:r>
        <w:rPr>
          <w:rFonts w:hint="eastAsia" w:eastAsia="宋体"/>
          <w:sz w:val="24"/>
          <w:lang w:val="en-US" w:eastAsia="zh-CN"/>
        </w:rPr>
        <w:t>中国加权效率应符合含变压器型的光伏逆变器中国加权效率不得低于96.5%，不含变压器型的光伏逆变器中国加权效率不得低于98%，单相二级拓扑结构的光伏逆变器相关指标分别不低于94.5%和97.3%</w:t>
      </w:r>
      <w:r>
        <w:rPr>
          <w:rFonts w:hint="eastAsia"/>
          <w:sz w:val="24"/>
        </w:rPr>
        <w:t>，</w:t>
      </w:r>
      <w:r>
        <w:rPr>
          <w:rFonts w:hint="eastAsia" w:eastAsia="宋体"/>
          <w:sz w:val="24"/>
          <w:lang w:val="en-US" w:eastAsia="zh-CN"/>
        </w:rPr>
        <w:t>微型逆变器相关指标分别不低于95%和95.5%</w:t>
      </w:r>
    </w:p>
    <w:p w14:paraId="7B6DFA70">
      <w:pPr>
        <w:snapToGrid w:val="0"/>
        <w:spacing w:line="300" w:lineRule="auto"/>
        <w:jc w:val="left"/>
        <w:rPr>
          <w:rFonts w:hint="eastAsia"/>
          <w:sz w:val="24"/>
        </w:rPr>
      </w:pPr>
      <w:r>
        <w:rPr>
          <w:rFonts w:hint="eastAsia"/>
          <w:b/>
          <w:bCs/>
          <w:sz w:val="24"/>
        </w:rPr>
        <w:t>4.</w:t>
      </w:r>
      <w:r>
        <w:rPr>
          <w:rFonts w:hint="eastAsia"/>
          <w:b/>
          <w:bCs/>
          <w:sz w:val="24"/>
          <w:lang w:val="en-US" w:eastAsia="zh-CN"/>
        </w:rPr>
        <w:t>4</w:t>
      </w:r>
      <w:r>
        <w:rPr>
          <w:rFonts w:hint="eastAsia"/>
          <w:b/>
          <w:bCs/>
          <w:sz w:val="24"/>
        </w:rPr>
        <w:t>.</w:t>
      </w:r>
      <w:r>
        <w:rPr>
          <w:rFonts w:hint="eastAsia"/>
          <w:b/>
          <w:bCs/>
          <w:sz w:val="24"/>
          <w:lang w:val="en-US" w:eastAsia="zh-CN"/>
        </w:rPr>
        <w:t>7</w:t>
      </w:r>
      <w:r>
        <w:rPr>
          <w:rFonts w:hint="eastAsia"/>
          <w:b w:val="0"/>
          <w:bCs w:val="0"/>
          <w:sz w:val="24"/>
        </w:rPr>
        <w:t xml:space="preserve"> </w:t>
      </w:r>
      <w:r>
        <w:rPr>
          <w:rFonts w:hint="eastAsia"/>
          <w:sz w:val="24"/>
        </w:rPr>
        <w:t>逆变器正常运行条件下</w:t>
      </w:r>
      <w:r>
        <w:rPr>
          <w:rFonts w:hint="eastAsia"/>
          <w:sz w:val="24"/>
          <w:lang w:eastAsia="zh-CN"/>
        </w:rPr>
        <w:t>，</w:t>
      </w:r>
      <w:r>
        <w:rPr>
          <w:rFonts w:hint="eastAsia"/>
          <w:sz w:val="24"/>
        </w:rPr>
        <w:t>当逆变器输出有功功率大于其额定功率的50%时，功率因数应不小于0.98</w:t>
      </w:r>
      <w:r>
        <w:rPr>
          <w:rFonts w:hint="eastAsia"/>
          <w:sz w:val="24"/>
          <w:lang w:eastAsia="zh-CN"/>
        </w:rPr>
        <w:t>（</w:t>
      </w:r>
      <w:r>
        <w:rPr>
          <w:rFonts w:hint="eastAsia"/>
          <w:sz w:val="24"/>
        </w:rPr>
        <w:t>超前或滞后</w:t>
      </w:r>
      <w:r>
        <w:rPr>
          <w:rFonts w:hint="eastAsia"/>
          <w:sz w:val="24"/>
          <w:lang w:eastAsia="zh-CN"/>
        </w:rPr>
        <w:t>）</w:t>
      </w:r>
      <w:r>
        <w:rPr>
          <w:rFonts w:hint="eastAsia"/>
          <w:sz w:val="24"/>
        </w:rPr>
        <w:t>，输出有功功率在20%~50%之时，功率因数应不小于0.95</w:t>
      </w:r>
      <w:r>
        <w:rPr>
          <w:rFonts w:hint="eastAsia"/>
          <w:sz w:val="24"/>
          <w:lang w:eastAsia="zh-CN"/>
        </w:rPr>
        <w:t>（</w:t>
      </w:r>
      <w:r>
        <w:rPr>
          <w:rFonts w:hint="eastAsia"/>
          <w:sz w:val="24"/>
        </w:rPr>
        <w:t>超前或滞后</w:t>
      </w:r>
      <w:r>
        <w:rPr>
          <w:rFonts w:hint="eastAsia"/>
          <w:sz w:val="24"/>
          <w:lang w:eastAsia="zh-CN"/>
        </w:rPr>
        <w:t>）</w:t>
      </w:r>
      <w:r>
        <w:rPr>
          <w:rFonts w:hint="eastAsia"/>
          <w:sz w:val="24"/>
        </w:rPr>
        <w:t>。</w:t>
      </w:r>
    </w:p>
    <w:p w14:paraId="0A2D9CF3">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1D45E54">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 xml:space="preserve">7 </w:t>
      </w:r>
      <w:r>
        <w:rPr>
          <w:rFonts w:ascii="仿宋" w:hAnsi="仿宋" w:eastAsia="仿宋" w:cs="仿宋"/>
          <w:i/>
          <w:iCs/>
          <w:color w:val="0623BA"/>
          <w:sz w:val="24"/>
        </w:rPr>
        <w:t>逆变器电能质量除应满足功率因数的要求外</w:t>
      </w:r>
      <w:r>
        <w:rPr>
          <w:rFonts w:hint="eastAsia" w:ascii="仿宋" w:hAnsi="仿宋" w:eastAsia="仿宋" w:cs="仿宋"/>
          <w:i/>
          <w:iCs/>
          <w:color w:val="0623BA"/>
          <w:sz w:val="24"/>
        </w:rPr>
        <w:t>，</w:t>
      </w:r>
      <w:r>
        <w:rPr>
          <w:rFonts w:ascii="仿宋" w:hAnsi="仿宋" w:eastAsia="仿宋" w:cs="仿宋"/>
          <w:i/>
          <w:iCs/>
          <w:color w:val="0623BA"/>
          <w:sz w:val="24"/>
        </w:rPr>
        <w:t>还应满足谐波和波形畸变、三相电流不平衡度、直流分量等的要求</w:t>
      </w:r>
      <w:r>
        <w:rPr>
          <w:rFonts w:hint="eastAsia" w:ascii="仿宋" w:hAnsi="仿宋" w:eastAsia="仿宋" w:cs="仿宋"/>
          <w:i/>
          <w:iCs/>
          <w:color w:val="0623BA"/>
          <w:sz w:val="24"/>
        </w:rPr>
        <w:t>，</w:t>
      </w:r>
      <w:r>
        <w:rPr>
          <w:rFonts w:ascii="仿宋" w:hAnsi="仿宋" w:eastAsia="仿宋" w:cs="仿宋"/>
          <w:i/>
          <w:iCs/>
          <w:color w:val="0623BA"/>
          <w:sz w:val="24"/>
        </w:rPr>
        <w:t>其中逆变器正常运行时</w:t>
      </w:r>
      <w:r>
        <w:rPr>
          <w:rFonts w:hint="eastAsia" w:ascii="仿宋" w:hAnsi="仿宋" w:eastAsia="仿宋" w:cs="仿宋"/>
          <w:i/>
          <w:iCs/>
          <w:color w:val="0623BA"/>
          <w:sz w:val="24"/>
        </w:rPr>
        <w:t>，</w:t>
      </w:r>
      <w:r>
        <w:rPr>
          <w:rFonts w:ascii="仿宋" w:hAnsi="仿宋" w:eastAsia="仿宋" w:cs="仿宋"/>
          <w:i/>
          <w:iCs/>
          <w:color w:val="0623BA"/>
          <w:sz w:val="24"/>
        </w:rPr>
        <w:t>负序三相电流不平衡度不应超过2%，短时不应超过4%</w:t>
      </w:r>
      <w:r>
        <w:rPr>
          <w:rFonts w:hint="eastAsia" w:ascii="仿宋" w:hAnsi="仿宋" w:eastAsia="仿宋" w:cs="仿宋"/>
          <w:i/>
          <w:iCs/>
          <w:color w:val="0623BA"/>
          <w:sz w:val="24"/>
        </w:rPr>
        <w:t>；</w:t>
      </w:r>
      <w:r>
        <w:rPr>
          <w:rFonts w:ascii="仿宋" w:hAnsi="仿宋" w:eastAsia="仿宋" w:cs="仿宋"/>
          <w:i/>
          <w:iCs/>
          <w:color w:val="0623BA"/>
          <w:sz w:val="24"/>
        </w:rPr>
        <w:t>逆变器正常运行时</w:t>
      </w:r>
      <w:r>
        <w:rPr>
          <w:rFonts w:hint="eastAsia" w:ascii="仿宋" w:hAnsi="仿宋" w:eastAsia="仿宋" w:cs="仿宋"/>
          <w:i/>
          <w:iCs/>
          <w:color w:val="0623BA"/>
          <w:sz w:val="24"/>
        </w:rPr>
        <w:t>，</w:t>
      </w:r>
      <w:r>
        <w:rPr>
          <w:rFonts w:ascii="仿宋" w:hAnsi="仿宋" w:eastAsia="仿宋" w:cs="仿宋"/>
          <w:i/>
          <w:iCs/>
          <w:color w:val="0623BA"/>
          <w:sz w:val="24"/>
        </w:rPr>
        <w:t>向电网馈送的直流电流分量不应超过其输出电流额定值</w:t>
      </w:r>
      <w:r>
        <w:rPr>
          <w:rFonts w:hint="eastAsia" w:ascii="仿宋" w:hAnsi="仿宋" w:eastAsia="仿宋" w:cs="仿宋"/>
          <w:i/>
          <w:iCs/>
          <w:color w:val="0623BA"/>
          <w:sz w:val="24"/>
          <w:lang w:val="en-US" w:eastAsia="zh-CN"/>
        </w:rPr>
        <w:t>的</w:t>
      </w:r>
      <w:r>
        <w:rPr>
          <w:rFonts w:ascii="仿宋" w:hAnsi="仿宋" w:eastAsia="仿宋" w:cs="仿宋"/>
          <w:i/>
          <w:iCs/>
          <w:color w:val="0623BA"/>
          <w:sz w:val="24"/>
        </w:rPr>
        <w:t>0.5%。</w:t>
      </w:r>
    </w:p>
    <w:p w14:paraId="5EEEC1F6">
      <w:pPr>
        <w:snapToGrid w:val="0"/>
        <w:spacing w:line="300" w:lineRule="auto"/>
        <w:jc w:val="left"/>
        <w:rPr>
          <w:sz w:val="24"/>
        </w:rPr>
      </w:pPr>
      <w:r>
        <w:rPr>
          <w:rFonts w:hint="eastAsia"/>
          <w:b/>
          <w:bCs/>
          <w:sz w:val="24"/>
        </w:rPr>
        <w:t>4.</w:t>
      </w:r>
      <w:r>
        <w:rPr>
          <w:rFonts w:hint="eastAsia"/>
          <w:b/>
          <w:bCs/>
          <w:sz w:val="24"/>
          <w:lang w:val="en-US" w:eastAsia="zh-CN"/>
        </w:rPr>
        <w:t>4</w:t>
      </w:r>
      <w:r>
        <w:rPr>
          <w:rFonts w:hint="eastAsia"/>
          <w:b/>
          <w:bCs/>
          <w:sz w:val="24"/>
        </w:rPr>
        <w:t>.</w:t>
      </w:r>
      <w:r>
        <w:rPr>
          <w:rFonts w:hint="eastAsia"/>
          <w:b/>
          <w:bCs/>
          <w:sz w:val="24"/>
          <w:lang w:val="en-US" w:eastAsia="zh-CN"/>
        </w:rPr>
        <w:t>8</w:t>
      </w:r>
      <w:r>
        <w:rPr>
          <w:rFonts w:hint="eastAsia"/>
          <w:sz w:val="24"/>
        </w:rPr>
        <w:t xml:space="preserve"> 并网光伏发电系统使用光伏组件且需要做负极</w:t>
      </w:r>
      <w:r>
        <w:rPr>
          <w:rFonts w:hint="eastAsia"/>
          <w:sz w:val="24"/>
          <w:lang w:val="en-US" w:eastAsia="zh-CN"/>
        </w:rPr>
        <w:t>接地</w:t>
      </w:r>
      <w:r>
        <w:rPr>
          <w:rFonts w:hint="eastAsia"/>
          <w:sz w:val="24"/>
        </w:rPr>
        <w:t>时，逆变器交流侧与电网间应设置隔离变压器。无隔离变压器的逆变器应具备直流检测及直流接地检测功能。</w:t>
      </w:r>
    </w:p>
    <w:p w14:paraId="43AF54F9">
      <w:pPr>
        <w:snapToGrid w:val="0"/>
        <w:spacing w:line="300" w:lineRule="auto"/>
        <w:jc w:val="left"/>
        <w:rPr>
          <w:sz w:val="24"/>
        </w:rPr>
      </w:pPr>
      <w:r>
        <w:rPr>
          <w:b/>
          <w:bCs/>
          <w:sz w:val="24"/>
        </w:rPr>
        <w:t>4.</w:t>
      </w:r>
      <w:r>
        <w:rPr>
          <w:rFonts w:hint="eastAsia"/>
          <w:b/>
          <w:bCs/>
          <w:sz w:val="24"/>
          <w:lang w:val="en-US" w:eastAsia="zh-CN"/>
        </w:rPr>
        <w:t>4</w:t>
      </w:r>
      <w:r>
        <w:rPr>
          <w:rFonts w:hint="eastAsia"/>
          <w:b/>
          <w:bCs/>
          <w:sz w:val="24"/>
        </w:rPr>
        <w:t>.</w:t>
      </w:r>
      <w:r>
        <w:rPr>
          <w:rFonts w:hint="eastAsia"/>
          <w:b/>
          <w:bCs/>
          <w:sz w:val="24"/>
          <w:lang w:val="en-US" w:eastAsia="zh-CN"/>
        </w:rPr>
        <w:t>9</w:t>
      </w:r>
      <w:r>
        <w:rPr>
          <w:rFonts w:hint="eastAsia"/>
          <w:sz w:val="24"/>
        </w:rPr>
        <w:t xml:space="preserve"> 直流电压高于600V的光伏发电系统，宜采用具备电势诱导衰减</w:t>
      </w:r>
      <w:r>
        <w:rPr>
          <w:rFonts w:hint="eastAsia"/>
          <w:sz w:val="24"/>
          <w:lang w:eastAsia="zh-CN"/>
        </w:rPr>
        <w:t>（</w:t>
      </w:r>
      <w:r>
        <w:rPr>
          <w:rFonts w:hint="eastAsia"/>
          <w:sz w:val="24"/>
        </w:rPr>
        <w:t>PID</w:t>
      </w:r>
      <w:r>
        <w:rPr>
          <w:rFonts w:hint="eastAsia"/>
          <w:sz w:val="24"/>
          <w:lang w:eastAsia="zh-CN"/>
        </w:rPr>
        <w:t>）</w:t>
      </w:r>
      <w:r>
        <w:rPr>
          <w:rFonts w:hint="eastAsia"/>
          <w:sz w:val="24"/>
        </w:rPr>
        <w:t>修复的逆变器或电势诱导衰减</w:t>
      </w:r>
      <w:r>
        <w:rPr>
          <w:rFonts w:hint="eastAsia"/>
          <w:sz w:val="24"/>
          <w:lang w:eastAsia="zh-CN"/>
        </w:rPr>
        <w:t>（</w:t>
      </w:r>
      <w:r>
        <w:rPr>
          <w:rFonts w:hint="eastAsia"/>
          <w:sz w:val="24"/>
        </w:rPr>
        <w:t>PID</w:t>
      </w:r>
      <w:r>
        <w:rPr>
          <w:rFonts w:hint="eastAsia"/>
          <w:sz w:val="24"/>
          <w:lang w:eastAsia="zh-CN"/>
        </w:rPr>
        <w:t>）</w:t>
      </w:r>
      <w:r>
        <w:rPr>
          <w:rFonts w:hint="eastAsia"/>
          <w:sz w:val="24"/>
        </w:rPr>
        <w:t>抑制系统方案。</w:t>
      </w:r>
    </w:p>
    <w:p w14:paraId="1BA1FC34">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52E21E8">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9</w:t>
      </w:r>
      <w:r>
        <w:rPr>
          <w:rFonts w:hint="eastAsia" w:ascii="仿宋" w:hAnsi="仿宋" w:eastAsia="仿宋" w:cs="仿宋"/>
          <w:i/>
          <w:iCs/>
          <w:color w:val="0623BA"/>
          <w:sz w:val="24"/>
        </w:rPr>
        <w:t xml:space="preserve"> </w:t>
      </w:r>
      <w:r>
        <w:rPr>
          <w:rFonts w:ascii="仿宋" w:hAnsi="仿宋" w:eastAsia="仿宋" w:cs="仿宋"/>
          <w:i/>
          <w:iCs/>
          <w:color w:val="0623BA"/>
          <w:sz w:val="24"/>
        </w:rPr>
        <w:t>电势诱导衰减</w:t>
      </w:r>
      <w:r>
        <w:rPr>
          <w:rFonts w:hint="eastAsia" w:ascii="仿宋" w:hAnsi="仿宋" w:eastAsia="仿宋" w:cs="仿宋"/>
          <w:i/>
          <w:iCs/>
          <w:color w:val="0623BA"/>
          <w:sz w:val="24"/>
          <w:lang w:eastAsia="zh-CN"/>
        </w:rPr>
        <w:t>（</w:t>
      </w:r>
      <w:r>
        <w:rPr>
          <w:rFonts w:ascii="仿宋" w:hAnsi="仿宋" w:eastAsia="仿宋" w:cs="仿宋"/>
          <w:i/>
          <w:iCs/>
          <w:color w:val="0623BA"/>
          <w:sz w:val="24"/>
        </w:rPr>
        <w:t>PID</w:t>
      </w:r>
      <w:r>
        <w:rPr>
          <w:rFonts w:hint="eastAsia" w:ascii="仿宋" w:hAnsi="仿宋" w:eastAsia="仿宋" w:cs="仿宋"/>
          <w:i/>
          <w:iCs/>
          <w:color w:val="0623BA"/>
          <w:sz w:val="24"/>
          <w:lang w:eastAsia="zh-CN"/>
        </w:rPr>
        <w:t>）</w:t>
      </w:r>
      <w:r>
        <w:rPr>
          <w:rFonts w:ascii="仿宋" w:hAnsi="仿宋" w:eastAsia="仿宋" w:cs="仿宋"/>
          <w:i/>
          <w:iCs/>
          <w:color w:val="0623BA"/>
          <w:sz w:val="24"/>
        </w:rPr>
        <w:t>是指电池组件的封装材料和其上下表面的材料以及电池片与其接地金属边框之间的高电压作用下出现离子迁移</w:t>
      </w:r>
      <w:r>
        <w:rPr>
          <w:rFonts w:hint="eastAsia" w:ascii="仿宋" w:hAnsi="仿宋" w:eastAsia="仿宋" w:cs="仿宋"/>
          <w:i/>
          <w:iCs/>
          <w:color w:val="0623BA"/>
          <w:sz w:val="24"/>
        </w:rPr>
        <w:t>，</w:t>
      </w:r>
      <w:r>
        <w:rPr>
          <w:rFonts w:ascii="仿宋" w:hAnsi="仿宋" w:eastAsia="仿宋" w:cs="仿宋"/>
          <w:i/>
          <w:iCs/>
          <w:color w:val="0623BA"/>
          <w:sz w:val="24"/>
        </w:rPr>
        <w:t>而造成组件性能衰减的现象。组件工作在高温高湿环境下会存在PID问题</w:t>
      </w:r>
      <w:r>
        <w:rPr>
          <w:rFonts w:hint="eastAsia" w:ascii="仿宋" w:hAnsi="仿宋" w:eastAsia="仿宋" w:cs="仿宋"/>
          <w:i/>
          <w:iCs/>
          <w:color w:val="0623BA"/>
          <w:sz w:val="24"/>
        </w:rPr>
        <w:t>，</w:t>
      </w:r>
      <w:r>
        <w:rPr>
          <w:rFonts w:ascii="仿宋" w:hAnsi="仿宋" w:eastAsia="仿宋" w:cs="仿宋"/>
          <w:i/>
          <w:iCs/>
          <w:color w:val="0623BA"/>
          <w:sz w:val="24"/>
        </w:rPr>
        <w:t>导致组件发电量大大降低</w:t>
      </w:r>
      <w:r>
        <w:rPr>
          <w:rFonts w:hint="eastAsia" w:ascii="仿宋" w:hAnsi="仿宋" w:eastAsia="仿宋" w:cs="仿宋"/>
          <w:i/>
          <w:iCs/>
          <w:color w:val="0623BA"/>
          <w:sz w:val="24"/>
        </w:rPr>
        <w:t>，系统设计时，需提供PID修复及抑制解决方案。</w:t>
      </w:r>
    </w:p>
    <w:p w14:paraId="064F716E">
      <w:pPr>
        <w:snapToGrid w:val="0"/>
        <w:spacing w:line="300" w:lineRule="auto"/>
        <w:jc w:val="left"/>
        <w:rPr>
          <w:sz w:val="24"/>
        </w:rPr>
      </w:pPr>
      <w:r>
        <w:rPr>
          <w:b/>
          <w:bCs/>
          <w:sz w:val="24"/>
        </w:rPr>
        <w:t>4.</w:t>
      </w:r>
      <w:r>
        <w:rPr>
          <w:rFonts w:hint="eastAsia"/>
          <w:b/>
          <w:bCs/>
          <w:sz w:val="24"/>
          <w:lang w:val="en-US" w:eastAsia="zh-CN"/>
        </w:rPr>
        <w:t>4</w:t>
      </w:r>
      <w:r>
        <w:rPr>
          <w:rFonts w:hint="eastAsia"/>
          <w:b/>
          <w:bCs/>
          <w:sz w:val="24"/>
        </w:rPr>
        <w:t>.</w:t>
      </w:r>
      <w:r>
        <w:rPr>
          <w:rFonts w:hint="eastAsia"/>
          <w:b/>
          <w:bCs/>
          <w:sz w:val="24"/>
          <w:lang w:val="en-US" w:eastAsia="zh-CN"/>
        </w:rPr>
        <w:t>10</w:t>
      </w:r>
      <w:r>
        <w:rPr>
          <w:sz w:val="24"/>
        </w:rPr>
        <w:t xml:space="preserve"> 逆变器的材料防火要求应符合</w:t>
      </w:r>
      <w:r>
        <w:rPr>
          <w:rFonts w:hint="eastAsia"/>
          <w:sz w:val="24"/>
          <w:lang w:val="en-US" w:eastAsia="zh-CN"/>
        </w:rPr>
        <w:t>国</w:t>
      </w:r>
      <w:r>
        <w:rPr>
          <w:sz w:val="24"/>
        </w:rPr>
        <w:t>家现行标准的有关规定。</w:t>
      </w:r>
    </w:p>
    <w:p w14:paraId="0A4BCC89">
      <w:pPr>
        <w:snapToGrid w:val="0"/>
        <w:spacing w:line="300" w:lineRule="auto"/>
        <w:rPr>
          <w:sz w:val="24"/>
        </w:rPr>
      </w:pPr>
      <w:r>
        <w:rPr>
          <w:b/>
          <w:bCs/>
          <w:sz w:val="24"/>
        </w:rPr>
        <w:t>4.</w:t>
      </w:r>
      <w:r>
        <w:rPr>
          <w:rFonts w:hint="eastAsia"/>
          <w:b/>
          <w:bCs/>
          <w:sz w:val="24"/>
          <w:lang w:val="en-US" w:eastAsia="zh-CN"/>
        </w:rPr>
        <w:t>4</w:t>
      </w:r>
      <w:r>
        <w:rPr>
          <w:rFonts w:hint="eastAsia"/>
          <w:b/>
          <w:bCs/>
          <w:sz w:val="24"/>
        </w:rPr>
        <w:t>.</w:t>
      </w:r>
      <w:r>
        <w:rPr>
          <w:rFonts w:hint="eastAsia"/>
          <w:b/>
          <w:bCs/>
          <w:sz w:val="24"/>
          <w:lang w:val="en-US" w:eastAsia="zh-CN"/>
        </w:rPr>
        <w:t>11</w:t>
      </w:r>
      <w:r>
        <w:rPr>
          <w:sz w:val="24"/>
        </w:rPr>
        <w:t xml:space="preserve"> 逆变器外壳防护等级应符合现行国家标准《外壳防护等级（IP代码）》GB/T 4208的有关规定，室内型不应低于IP20，室外型不应低于IP54。</w:t>
      </w:r>
    </w:p>
    <w:p w14:paraId="181EA0C5">
      <w:pPr>
        <w:snapToGrid w:val="0"/>
        <w:spacing w:line="300" w:lineRule="auto"/>
        <w:jc w:val="left"/>
        <w:rPr>
          <w:sz w:val="24"/>
        </w:rPr>
      </w:pPr>
      <w:r>
        <w:rPr>
          <w:rFonts w:hint="eastAsia"/>
          <w:b/>
          <w:bCs/>
          <w:sz w:val="24"/>
        </w:rPr>
        <w:t>4.</w:t>
      </w:r>
      <w:r>
        <w:rPr>
          <w:rFonts w:hint="eastAsia"/>
          <w:b/>
          <w:bCs/>
          <w:sz w:val="24"/>
          <w:lang w:val="en-US" w:eastAsia="zh-CN"/>
        </w:rPr>
        <w:t>4</w:t>
      </w:r>
      <w:r>
        <w:rPr>
          <w:rFonts w:hint="eastAsia"/>
          <w:b/>
          <w:bCs/>
          <w:sz w:val="24"/>
        </w:rPr>
        <w:t>.</w:t>
      </w:r>
      <w:r>
        <w:rPr>
          <w:rFonts w:hint="eastAsia"/>
          <w:b/>
          <w:bCs/>
          <w:sz w:val="24"/>
          <w:lang w:val="en-US" w:eastAsia="zh-CN"/>
        </w:rPr>
        <w:t>12</w:t>
      </w:r>
      <w:r>
        <w:rPr>
          <w:sz w:val="24"/>
        </w:rPr>
        <w:t xml:space="preserve"> 逆变器交流侧和直流侧电缆接线前应检查电缆绝缘，校对电缆相序和极性。</w:t>
      </w:r>
    </w:p>
    <w:p w14:paraId="1400F0D9">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1672965">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12</w:t>
      </w:r>
      <w:r>
        <w:rPr>
          <w:rFonts w:hint="eastAsia" w:ascii="仿宋" w:hAnsi="仿宋" w:eastAsia="仿宋" w:cs="仿宋"/>
          <w:i/>
          <w:iCs/>
          <w:color w:val="0623BA"/>
          <w:sz w:val="24"/>
        </w:rPr>
        <w:t xml:space="preserve"> 由于逆变器交流侧通常由几根电缆组成，与设备接引后不便于电缆绝缘和相序的校验，故要求在此部分电缆接引前仔细检查电缆绝缘，校对电缆相序并做好施工记录。</w:t>
      </w:r>
    </w:p>
    <w:p w14:paraId="58F9EDA1">
      <w:pPr>
        <w:snapToGrid w:val="0"/>
        <w:spacing w:line="300" w:lineRule="auto"/>
        <w:jc w:val="left"/>
        <w:rPr>
          <w:sz w:val="24"/>
        </w:rPr>
      </w:pPr>
      <w:r>
        <w:rPr>
          <w:rFonts w:hint="eastAsia"/>
          <w:b/>
          <w:bCs/>
          <w:sz w:val="24"/>
        </w:rPr>
        <w:t>4.</w:t>
      </w:r>
      <w:r>
        <w:rPr>
          <w:rFonts w:hint="eastAsia"/>
          <w:b/>
          <w:bCs/>
          <w:sz w:val="24"/>
          <w:lang w:val="en-US" w:eastAsia="zh-CN"/>
        </w:rPr>
        <w:t>4</w:t>
      </w:r>
      <w:r>
        <w:rPr>
          <w:rFonts w:hint="eastAsia"/>
          <w:b/>
          <w:bCs/>
          <w:sz w:val="24"/>
        </w:rPr>
        <w:t>.</w:t>
      </w:r>
      <w:r>
        <w:rPr>
          <w:rFonts w:hint="eastAsia"/>
          <w:b/>
          <w:bCs/>
          <w:sz w:val="24"/>
          <w:lang w:val="en-US" w:eastAsia="zh-CN"/>
        </w:rPr>
        <w:t>13</w:t>
      </w:r>
      <w:r>
        <w:rPr>
          <w:sz w:val="24"/>
        </w:rPr>
        <w:t xml:space="preserve"> 逆变器直流侧电缆接线前</w:t>
      </w:r>
      <w:r>
        <w:rPr>
          <w:rFonts w:hint="eastAsia"/>
          <w:sz w:val="24"/>
          <w:lang w:val="en-US" w:eastAsia="zh-CN"/>
        </w:rPr>
        <w:t>应</w:t>
      </w:r>
      <w:r>
        <w:rPr>
          <w:sz w:val="24"/>
        </w:rPr>
        <w:t>确认光伏接线箱侧有明显断开点。</w:t>
      </w:r>
    </w:p>
    <w:p w14:paraId="40A12CC0">
      <w:pPr>
        <w:snapToGrid w:val="0"/>
        <w:spacing w:line="300" w:lineRule="auto"/>
        <w:jc w:val="left"/>
        <w:rPr>
          <w:sz w:val="24"/>
        </w:rPr>
      </w:pPr>
      <w:r>
        <w:rPr>
          <w:rFonts w:hint="eastAsia"/>
          <w:b/>
          <w:bCs/>
          <w:sz w:val="24"/>
        </w:rPr>
        <w:t>4.</w:t>
      </w:r>
      <w:r>
        <w:rPr>
          <w:rFonts w:hint="eastAsia"/>
          <w:b/>
          <w:bCs/>
          <w:sz w:val="24"/>
          <w:lang w:val="en-US" w:eastAsia="zh-CN"/>
        </w:rPr>
        <w:t>4</w:t>
      </w:r>
      <w:r>
        <w:rPr>
          <w:rFonts w:hint="eastAsia"/>
          <w:b/>
          <w:bCs/>
          <w:sz w:val="24"/>
        </w:rPr>
        <w:t>.</w:t>
      </w:r>
      <w:r>
        <w:rPr>
          <w:rFonts w:hint="eastAsia"/>
          <w:b/>
          <w:bCs/>
          <w:sz w:val="24"/>
          <w:lang w:val="en-US" w:eastAsia="zh-CN"/>
        </w:rPr>
        <w:t>14</w:t>
      </w:r>
      <w:r>
        <w:rPr>
          <w:sz w:val="24"/>
        </w:rPr>
        <w:t xml:space="preserve"> 电缆接引完毕后，逆变器本体的预留孔洞及电缆管口应进行防火封堵</w:t>
      </w:r>
      <w:r>
        <w:rPr>
          <w:rFonts w:hint="default"/>
          <w:sz w:val="24"/>
          <w:lang w:eastAsia="zh-CN"/>
        </w:rPr>
        <w:t>，</w:t>
      </w:r>
      <w:r>
        <w:rPr>
          <w:rFonts w:hint="default" w:ascii="Times New Roman" w:hAnsi="Times New Roman" w:eastAsia="宋体" w:cs="Times New Roman"/>
          <w:b w:val="0"/>
          <w:bCs w:val="0"/>
          <w:sz w:val="24"/>
          <w:szCs w:val="24"/>
          <w:u w:val="none" w:color="auto"/>
          <w:vertAlign w:val="baseline"/>
          <w:lang w:val="en-US" w:eastAsia="zh-CN"/>
        </w:rPr>
        <w:t>其防火封堵组件的耐火性能不应低于防火分隔部位的耐火性能要求并应有止水措施。</w:t>
      </w:r>
    </w:p>
    <w:p w14:paraId="422470FF">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DC33A5C">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 xml:space="preserve">14 </w:t>
      </w:r>
      <w:r>
        <w:rPr>
          <w:rFonts w:hint="eastAsia" w:ascii="仿宋" w:hAnsi="仿宋" w:eastAsia="仿宋" w:cs="仿宋"/>
          <w:i/>
          <w:iCs/>
          <w:color w:val="0623BA"/>
          <w:sz w:val="24"/>
        </w:rPr>
        <w:t>为了防止设备受潮和小动物进入逆变器，在电缆接引完毕后，应及时进行封堵工作。</w:t>
      </w:r>
    </w:p>
    <w:p w14:paraId="0AF164BC">
      <w:pPr>
        <w:keepNext/>
        <w:keepLines/>
        <w:snapToGrid w:val="0"/>
        <w:spacing w:before="72" w:beforeLines="30" w:after="72" w:afterLines="30" w:line="300" w:lineRule="auto"/>
        <w:jc w:val="center"/>
        <w:outlineLvl w:val="2"/>
        <w:rPr>
          <w:b/>
          <w:sz w:val="24"/>
          <w:szCs w:val="32"/>
        </w:rPr>
      </w:pPr>
      <w:bookmarkStart w:id="96" w:name="_Toc14797"/>
      <w:bookmarkStart w:id="97" w:name="_Toc12405"/>
      <w:bookmarkStart w:id="98" w:name="_Toc20536"/>
      <w:bookmarkStart w:id="99" w:name="_Toc11612"/>
      <w:bookmarkStart w:id="100" w:name="_Toc10310"/>
      <w:bookmarkStart w:id="101" w:name="_Toc31728"/>
      <w:bookmarkStart w:id="102" w:name="_Toc1294"/>
      <w:bookmarkStart w:id="103" w:name="_Toc16978"/>
      <w:r>
        <w:rPr>
          <w:b/>
          <w:sz w:val="24"/>
          <w:szCs w:val="32"/>
        </w:rPr>
        <w:t>4.</w:t>
      </w:r>
      <w:r>
        <w:rPr>
          <w:rFonts w:hint="default"/>
          <w:b/>
          <w:sz w:val="24"/>
          <w:szCs w:val="32"/>
          <w:lang w:val="en-US" w:eastAsia="zh-CN"/>
        </w:rPr>
        <w:t xml:space="preserve">5 </w:t>
      </w:r>
      <w:r>
        <w:rPr>
          <w:b/>
          <w:sz w:val="24"/>
          <w:szCs w:val="32"/>
        </w:rPr>
        <w:t>储能系统</w:t>
      </w:r>
      <w:bookmarkEnd w:id="96"/>
      <w:bookmarkEnd w:id="97"/>
      <w:bookmarkEnd w:id="98"/>
      <w:bookmarkEnd w:id="99"/>
      <w:bookmarkEnd w:id="100"/>
      <w:bookmarkEnd w:id="101"/>
      <w:bookmarkEnd w:id="102"/>
      <w:bookmarkEnd w:id="103"/>
    </w:p>
    <w:p w14:paraId="084BB35E">
      <w:pPr>
        <w:snapToGrid w:val="0"/>
        <w:spacing w:line="300" w:lineRule="auto"/>
        <w:jc w:val="left"/>
        <w:rPr>
          <w:sz w:val="24"/>
        </w:rPr>
      </w:pPr>
      <w:r>
        <w:rPr>
          <w:b/>
          <w:bCs/>
          <w:sz w:val="24"/>
        </w:rPr>
        <w:t>4.</w:t>
      </w:r>
      <w:r>
        <w:rPr>
          <w:rFonts w:hint="eastAsia"/>
          <w:b/>
          <w:bCs/>
          <w:sz w:val="24"/>
          <w:lang w:val="en-US" w:eastAsia="zh-CN"/>
        </w:rPr>
        <w:t>5</w:t>
      </w:r>
      <w:r>
        <w:rPr>
          <w:b/>
          <w:bCs/>
          <w:sz w:val="24"/>
        </w:rPr>
        <w:t>.1</w:t>
      </w:r>
      <w:r>
        <w:rPr>
          <w:sz w:val="24"/>
        </w:rPr>
        <w:t xml:space="preserve"> 建筑光伏系统用储能系统宜采用电化学储能方式。电化学储能系统设计应符合现行国家标准《电化学储能电站设计规范》GB 51048的有关规定。电化学储能系统性能应符合现行国家标准《电力系统电化学储能系统通用技术条件》GB/T 36558</w:t>
      </w:r>
      <w:r>
        <w:rPr>
          <w:rFonts w:hint="eastAsia"/>
          <w:sz w:val="24"/>
        </w:rPr>
        <w:t>及《电化学储能电站用锂离子电池管理系统技术规范》</w:t>
      </w:r>
      <w:r>
        <w:rPr>
          <w:sz w:val="24"/>
        </w:rPr>
        <w:t xml:space="preserve">GB/T </w:t>
      </w:r>
      <w:r>
        <w:rPr>
          <w:rFonts w:hint="eastAsia"/>
          <w:sz w:val="24"/>
          <w:lang w:val="en-US" w:eastAsia="zh-CN"/>
        </w:rPr>
        <w:t>34131</w:t>
      </w:r>
      <w:r>
        <w:rPr>
          <w:rFonts w:hint="eastAsia"/>
          <w:sz w:val="24"/>
        </w:rPr>
        <w:t>的有关规定。</w:t>
      </w:r>
    </w:p>
    <w:p w14:paraId="5F5EF80D">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E672603">
      <w:pPr>
        <w:snapToGrid w:val="0"/>
        <w:spacing w:line="300" w:lineRule="auto"/>
        <w:jc w:val="left"/>
        <w:rPr>
          <w:rFonts w:hint="default" w:ascii="仿宋" w:hAnsi="仿宋" w:eastAsia="仿宋" w:cs="仿宋"/>
          <w:i/>
          <w:iCs/>
          <w:color w:val="0623BA"/>
          <w:sz w:val="24"/>
          <w:lang w:val="en-US" w:eastAsia="zh-CN"/>
        </w:rPr>
      </w:pPr>
      <w:r>
        <w:rPr>
          <w:rFonts w:hint="eastAsia" w:ascii="仿宋" w:hAnsi="仿宋" w:eastAsia="仿宋" w:cs="仿宋"/>
          <w:i/>
          <w:iCs/>
          <w:color w:val="0623BA"/>
          <w:sz w:val="24"/>
          <w:lang w:val="en-US" w:eastAsia="zh-CN"/>
        </w:rPr>
        <w:t>4.5.1</w:t>
      </w:r>
      <w:r>
        <w:rPr>
          <w:rFonts w:hint="eastAsia" w:ascii="仿宋" w:hAnsi="仿宋" w:eastAsia="仿宋" w:cs="仿宋"/>
          <w:i/>
          <w:iCs/>
          <w:color w:val="0623BA"/>
          <w:sz w:val="24"/>
        </w:rPr>
        <w:t xml:space="preserve"> </w:t>
      </w:r>
      <w:r>
        <w:rPr>
          <w:rFonts w:hint="eastAsia" w:ascii="仿宋" w:hAnsi="仿宋" w:eastAsia="仿宋" w:cs="仿宋"/>
          <w:i/>
          <w:iCs/>
          <w:color w:val="0623BA"/>
          <w:sz w:val="24"/>
          <w:lang w:val="en-US" w:eastAsia="zh-CN"/>
        </w:rPr>
        <w:t>储能电池性能指标应符合《储能用铅酸蓄电池》GB/T,22473、《电力储能用铅炭电池》GB/T 36280、《电力储能用锂离子电池》GB/T 36276 等现行国家标准的有关规定。考虑到在建筑内使用的安全性要求,在建筑物内所选用的储能电池应为铅酸电池铅炭电池或安全性能高的锂电池等,不得采用三元锂电池、钠硫电池。</w:t>
      </w:r>
    </w:p>
    <w:p w14:paraId="6A3654ED">
      <w:pPr>
        <w:snapToGrid w:val="0"/>
        <w:spacing w:line="300" w:lineRule="auto"/>
        <w:jc w:val="left"/>
        <w:rPr>
          <w:sz w:val="24"/>
        </w:rPr>
      </w:pPr>
      <w:r>
        <w:rPr>
          <w:b/>
          <w:bCs/>
          <w:sz w:val="24"/>
        </w:rPr>
        <w:t>4.</w:t>
      </w:r>
      <w:r>
        <w:rPr>
          <w:rFonts w:hint="eastAsia"/>
          <w:b/>
          <w:bCs/>
          <w:sz w:val="24"/>
          <w:lang w:val="en-US" w:eastAsia="zh-CN"/>
        </w:rPr>
        <w:t>5</w:t>
      </w:r>
      <w:r>
        <w:rPr>
          <w:b/>
          <w:bCs/>
          <w:sz w:val="24"/>
        </w:rPr>
        <w:t>.</w:t>
      </w:r>
      <w:r>
        <w:rPr>
          <w:rFonts w:hint="eastAsia"/>
          <w:b/>
          <w:bCs/>
          <w:sz w:val="24"/>
          <w:lang w:val="en-US" w:eastAsia="zh-CN"/>
        </w:rPr>
        <w:t>2</w:t>
      </w:r>
      <w:r>
        <w:rPr>
          <w:sz w:val="24"/>
        </w:rPr>
        <w:t xml:space="preserve"> 电化学储能系统宜采用分层安装，多层叠放，同一层上的单体间宜采用有绝缘护套的铜排连接，不同层间宜采用电缆连接。蓄电池组安装应符合现行国家标准《电气装置安装工程蓄电池施工及验收规范》GB 50172的有关规定。</w:t>
      </w:r>
    </w:p>
    <w:p w14:paraId="784410E3">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D982302">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5</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 xml:space="preserve"> 电化学储能系统宜采用分层安装，多层叠放。同一层上的单体间宜采用有绝缘护套的铜排连接，不同层间宜采用电缆连接。蓄电池组安装应符合现行国家标准《电气装置安装工程 蓄电池施工及验收规范》GB 50172 的有关规定。 </w:t>
      </w:r>
    </w:p>
    <w:p w14:paraId="3A2FFB17">
      <w:pPr>
        <w:snapToGrid w:val="0"/>
        <w:spacing w:line="300" w:lineRule="auto"/>
        <w:jc w:val="left"/>
        <w:rPr>
          <w:sz w:val="24"/>
        </w:rPr>
      </w:pPr>
      <w:r>
        <w:rPr>
          <w:b/>
          <w:bCs/>
          <w:sz w:val="24"/>
        </w:rPr>
        <w:t>4.</w:t>
      </w:r>
      <w:r>
        <w:rPr>
          <w:rFonts w:hint="eastAsia"/>
          <w:b/>
          <w:bCs/>
          <w:sz w:val="24"/>
          <w:lang w:val="en-US" w:eastAsia="zh-CN"/>
        </w:rPr>
        <w:t>5.3</w:t>
      </w:r>
      <w:r>
        <w:rPr>
          <w:sz w:val="24"/>
        </w:rPr>
        <w:t xml:space="preserve"> 储能系统应设置无高温、无潮湿、无振动、少灰尘、避免阳光直射且有良好通风的专用储能电池室，储能电池室应安装防爆型照明灯。</w:t>
      </w:r>
    </w:p>
    <w:p w14:paraId="27695600">
      <w:pPr>
        <w:snapToGrid w:val="0"/>
        <w:spacing w:line="300" w:lineRule="auto"/>
        <w:jc w:val="left"/>
        <w:rPr>
          <w:sz w:val="24"/>
        </w:rPr>
      </w:pPr>
      <w:r>
        <w:rPr>
          <w:b/>
          <w:bCs/>
          <w:sz w:val="24"/>
        </w:rPr>
        <w:t>4.</w:t>
      </w:r>
      <w:r>
        <w:rPr>
          <w:rFonts w:hint="eastAsia"/>
          <w:b/>
          <w:bCs/>
          <w:sz w:val="24"/>
          <w:lang w:val="en-US" w:eastAsia="zh-CN"/>
        </w:rPr>
        <w:t>5</w:t>
      </w:r>
      <w:r>
        <w:rPr>
          <w:b/>
          <w:bCs/>
          <w:sz w:val="24"/>
        </w:rPr>
        <w:t>.</w:t>
      </w:r>
      <w:r>
        <w:rPr>
          <w:rFonts w:hint="eastAsia"/>
          <w:b/>
          <w:bCs/>
          <w:sz w:val="24"/>
          <w:lang w:val="en-US" w:eastAsia="zh-CN"/>
        </w:rPr>
        <w:t>4</w:t>
      </w:r>
      <w:r>
        <w:rPr>
          <w:sz w:val="24"/>
        </w:rPr>
        <w:t xml:space="preserve"> </w:t>
      </w:r>
      <w:r>
        <w:rPr>
          <w:rFonts w:hint="eastAsia"/>
          <w:sz w:val="24"/>
        </w:rPr>
        <w:t>储能系统电池管理系统（</w:t>
      </w:r>
      <w:r>
        <w:rPr>
          <w:sz w:val="24"/>
        </w:rPr>
        <w:t>BMS</w:t>
      </w:r>
      <w:r>
        <w:rPr>
          <w:rFonts w:hint="eastAsia"/>
          <w:sz w:val="24"/>
        </w:rPr>
        <w:t>系统）应具有下列功能：</w:t>
      </w:r>
    </w:p>
    <w:p w14:paraId="67E225AF">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 xml:space="preserve"> </w:t>
      </w:r>
      <w:r>
        <w:rPr>
          <w:rFonts w:hint="eastAsia"/>
          <w:sz w:val="24"/>
        </w:rPr>
        <w:t>实时在线监测功能；</w:t>
      </w:r>
    </w:p>
    <w:p w14:paraId="5DB95285">
      <w:pPr>
        <w:snapToGrid w:val="0"/>
        <w:spacing w:line="300" w:lineRule="auto"/>
        <w:ind w:firstLine="482" w:firstLineChars="200"/>
        <w:jc w:val="left"/>
        <w:rPr>
          <w:sz w:val="24"/>
        </w:rPr>
      </w:pPr>
      <w:r>
        <w:rPr>
          <w:rFonts w:hint="eastAsia"/>
          <w:b/>
          <w:bCs/>
          <w:sz w:val="24"/>
        </w:rPr>
        <w:t>2</w:t>
      </w:r>
      <w:r>
        <w:rPr>
          <w:rFonts w:hint="eastAsia"/>
          <w:b/>
          <w:bCs/>
          <w:sz w:val="24"/>
          <w:lang w:val="en-US" w:eastAsia="zh-CN"/>
        </w:rPr>
        <w:t xml:space="preserve"> </w:t>
      </w:r>
      <w:r>
        <w:rPr>
          <w:rFonts w:hint="eastAsia"/>
          <w:sz w:val="24"/>
        </w:rPr>
        <w:t>对每个单体电池的电压、电池组总电压、充</w:t>
      </w:r>
      <w:r>
        <w:rPr>
          <w:sz w:val="24"/>
        </w:rPr>
        <w:t>/</w:t>
      </w:r>
      <w:r>
        <w:rPr>
          <w:rFonts w:hint="eastAsia"/>
          <w:sz w:val="24"/>
        </w:rPr>
        <w:t>放电电流、电芯温度、板卡温度和环境温度的检测功能；</w:t>
      </w:r>
    </w:p>
    <w:p w14:paraId="78F8FE70">
      <w:pPr>
        <w:snapToGrid w:val="0"/>
        <w:spacing w:line="300" w:lineRule="auto"/>
        <w:ind w:firstLine="482" w:firstLineChars="200"/>
        <w:jc w:val="left"/>
        <w:rPr>
          <w:sz w:val="24"/>
        </w:rPr>
      </w:pPr>
      <w:r>
        <w:rPr>
          <w:rFonts w:hint="eastAsia"/>
          <w:b/>
          <w:bCs/>
          <w:sz w:val="24"/>
        </w:rPr>
        <w:t>3</w:t>
      </w:r>
      <w:r>
        <w:rPr>
          <w:rFonts w:hint="eastAsia"/>
          <w:b/>
          <w:bCs/>
          <w:sz w:val="24"/>
          <w:lang w:val="en-US" w:eastAsia="zh-CN"/>
        </w:rPr>
        <w:t xml:space="preserve"> </w:t>
      </w:r>
      <w:r>
        <w:rPr>
          <w:rFonts w:hint="eastAsia"/>
          <w:sz w:val="24"/>
        </w:rPr>
        <w:t>温度监测、超温报警和保护功能；</w:t>
      </w:r>
    </w:p>
    <w:p w14:paraId="484477C4">
      <w:pPr>
        <w:snapToGrid w:val="0"/>
        <w:spacing w:line="300" w:lineRule="auto"/>
        <w:ind w:firstLine="482" w:firstLineChars="200"/>
        <w:jc w:val="left"/>
        <w:rPr>
          <w:sz w:val="24"/>
        </w:rPr>
      </w:pPr>
      <w:r>
        <w:rPr>
          <w:rFonts w:hint="eastAsia"/>
          <w:b/>
          <w:bCs/>
          <w:sz w:val="24"/>
        </w:rPr>
        <w:t>4</w:t>
      </w:r>
      <w:r>
        <w:rPr>
          <w:rFonts w:hint="eastAsia"/>
          <w:b/>
          <w:bCs/>
          <w:sz w:val="24"/>
          <w:lang w:val="en-US" w:eastAsia="zh-CN"/>
        </w:rPr>
        <w:t xml:space="preserve"> </w:t>
      </w:r>
      <w:r>
        <w:rPr>
          <w:rFonts w:hint="eastAsia"/>
          <w:sz w:val="24"/>
        </w:rPr>
        <w:t>电池系统容量、充（放）电能量统计以及对计算数值的掉电保存功能；</w:t>
      </w:r>
    </w:p>
    <w:p w14:paraId="4D2EA616">
      <w:pPr>
        <w:snapToGrid w:val="0"/>
        <w:spacing w:line="300" w:lineRule="auto"/>
        <w:ind w:firstLine="482" w:firstLineChars="200"/>
        <w:jc w:val="left"/>
        <w:rPr>
          <w:sz w:val="24"/>
        </w:rPr>
      </w:pPr>
      <w:r>
        <w:rPr>
          <w:rFonts w:hint="eastAsia"/>
          <w:b/>
          <w:bCs/>
          <w:sz w:val="24"/>
        </w:rPr>
        <w:t>5</w:t>
      </w:r>
      <w:r>
        <w:rPr>
          <w:rFonts w:hint="eastAsia"/>
          <w:b/>
          <w:bCs/>
          <w:sz w:val="24"/>
          <w:lang w:val="en-US" w:eastAsia="zh-CN"/>
        </w:rPr>
        <w:t xml:space="preserve"> </w:t>
      </w:r>
      <w:r>
        <w:rPr>
          <w:rFonts w:hint="eastAsia"/>
          <w:sz w:val="24"/>
        </w:rPr>
        <w:t>均衡功能并应采用高能效的均衡方式；</w:t>
      </w:r>
    </w:p>
    <w:p w14:paraId="3B69AB74">
      <w:pPr>
        <w:snapToGrid w:val="0"/>
        <w:spacing w:line="300" w:lineRule="auto"/>
        <w:ind w:firstLine="482" w:firstLineChars="200"/>
        <w:jc w:val="left"/>
        <w:rPr>
          <w:rFonts w:hint="eastAsia" w:eastAsia="宋体"/>
          <w:sz w:val="24"/>
          <w:lang w:eastAsia="zh-CN"/>
        </w:rPr>
      </w:pPr>
      <w:r>
        <w:rPr>
          <w:rFonts w:hint="eastAsia"/>
          <w:b/>
          <w:bCs/>
          <w:sz w:val="24"/>
        </w:rPr>
        <w:t>6</w:t>
      </w:r>
      <w:r>
        <w:rPr>
          <w:rFonts w:hint="eastAsia"/>
          <w:b/>
          <w:bCs/>
          <w:sz w:val="24"/>
          <w:lang w:val="en-US" w:eastAsia="zh-CN"/>
        </w:rPr>
        <w:t xml:space="preserve"> </w:t>
      </w:r>
      <w:r>
        <w:rPr>
          <w:b/>
          <w:bCs/>
          <w:sz w:val="24"/>
        </w:rPr>
        <w:t xml:space="preserve"> </w:t>
      </w:r>
      <w:r>
        <w:rPr>
          <w:rFonts w:hint="eastAsia"/>
          <w:sz w:val="24"/>
        </w:rPr>
        <w:t>完善的热管理系统，应及时对故障部件进行隔离，故障模组应具备自动旁路功能</w:t>
      </w:r>
      <w:r>
        <w:rPr>
          <w:rFonts w:hint="eastAsia"/>
          <w:sz w:val="24"/>
          <w:lang w:eastAsia="zh-CN"/>
        </w:rPr>
        <w:t>；</w:t>
      </w:r>
    </w:p>
    <w:p w14:paraId="29DE4221">
      <w:pPr>
        <w:snapToGrid w:val="0"/>
        <w:spacing w:line="300" w:lineRule="auto"/>
        <w:ind w:firstLine="482" w:firstLineChars="200"/>
        <w:jc w:val="left"/>
        <w:rPr>
          <w:rFonts w:hint="eastAsia" w:eastAsia="宋体"/>
          <w:sz w:val="24"/>
          <w:lang w:eastAsia="zh-CN"/>
        </w:rPr>
      </w:pPr>
      <w:r>
        <w:rPr>
          <w:rFonts w:hint="eastAsia"/>
          <w:b/>
          <w:bCs/>
          <w:sz w:val="24"/>
        </w:rPr>
        <w:t xml:space="preserve">7 </w:t>
      </w:r>
      <w:r>
        <w:rPr>
          <w:rFonts w:hint="eastAsia"/>
          <w:b/>
          <w:bCs/>
          <w:sz w:val="24"/>
          <w:lang w:val="en-US" w:eastAsia="zh-CN"/>
        </w:rPr>
        <w:t>两</w:t>
      </w:r>
      <w:r>
        <w:rPr>
          <w:rFonts w:hint="eastAsia"/>
          <w:sz w:val="24"/>
        </w:rPr>
        <w:t>簇及以上电池直流端并联的储能电池系统，应具备簇间防环流控制功能</w:t>
      </w:r>
      <w:r>
        <w:rPr>
          <w:rFonts w:hint="eastAsia"/>
          <w:sz w:val="24"/>
          <w:lang w:eastAsia="zh-CN"/>
        </w:rPr>
        <w:t>；</w:t>
      </w:r>
    </w:p>
    <w:p w14:paraId="24188B48">
      <w:pPr>
        <w:snapToGrid w:val="0"/>
        <w:spacing w:line="300" w:lineRule="auto"/>
        <w:ind w:firstLine="482" w:firstLineChars="200"/>
        <w:jc w:val="left"/>
        <w:rPr>
          <w:rFonts w:hint="eastAsia" w:eastAsia="宋体"/>
          <w:sz w:val="24"/>
          <w:lang w:eastAsia="zh-CN"/>
        </w:rPr>
      </w:pPr>
      <w:r>
        <w:rPr>
          <w:rFonts w:hint="eastAsia"/>
          <w:b/>
          <w:bCs/>
          <w:sz w:val="24"/>
        </w:rPr>
        <w:t xml:space="preserve">8 </w:t>
      </w:r>
      <w:r>
        <w:rPr>
          <w:rFonts w:hint="eastAsia"/>
          <w:sz w:val="24"/>
        </w:rPr>
        <w:t>外接电源的正负极性与电池管理系统（BMS）的供电电源极性接反时，电池管理系统（BMS）不应损坏且应报警并进入切断保护状态</w:t>
      </w:r>
      <w:r>
        <w:rPr>
          <w:rFonts w:hint="eastAsia"/>
          <w:sz w:val="24"/>
          <w:lang w:eastAsia="zh-CN"/>
        </w:rPr>
        <w:t>；</w:t>
      </w:r>
    </w:p>
    <w:p w14:paraId="2EBD2798">
      <w:pPr>
        <w:snapToGrid w:val="0"/>
        <w:spacing w:line="300" w:lineRule="auto"/>
        <w:ind w:firstLine="482" w:firstLineChars="200"/>
        <w:jc w:val="left"/>
        <w:rPr>
          <w:sz w:val="24"/>
        </w:rPr>
      </w:pPr>
      <w:r>
        <w:rPr>
          <w:rFonts w:hint="eastAsia"/>
          <w:b/>
          <w:bCs/>
          <w:sz w:val="24"/>
        </w:rPr>
        <w:t>9</w:t>
      </w:r>
      <w:r>
        <w:rPr>
          <w:rFonts w:hint="eastAsia"/>
          <w:sz w:val="24"/>
        </w:rPr>
        <w:t>电池组输出端正负极发生直接短路时，应瞬间切断电路并报警，电池管理系统（BMS）和电芯不应损坏。</w:t>
      </w:r>
    </w:p>
    <w:p w14:paraId="3383D23A">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3F017D0">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5</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 xml:space="preserve"> 储能系统应具有电池管理系统</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BMS系统</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，应采用线检测装置进行智能化实时检测，应具有在线识别电池组落后单体、判断储能电池整体性能、充放电管理等功能，宜具有人机界面和通信接口。充电控制器应具有短路保护、过负荷保护过充</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放</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保护、欠</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过</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压保护、反向放电保护、极性反接保护及防雷保护等功能，应具备温度补偿、数据采集和通信功能。锂离子电化学储能电池管理系统同时应符合现行国家标准《电化学储能电站用锂离子电池管理系统技术规范》GB/T34131的有关规定。</w:t>
      </w:r>
    </w:p>
    <w:p w14:paraId="0485BFBB">
      <w:pPr>
        <w:snapToGrid w:val="0"/>
        <w:spacing w:line="300" w:lineRule="auto"/>
        <w:jc w:val="left"/>
        <w:rPr>
          <w:sz w:val="24"/>
        </w:rPr>
      </w:pPr>
      <w:r>
        <w:rPr>
          <w:b/>
          <w:bCs/>
          <w:sz w:val="24"/>
        </w:rPr>
        <w:t>4.</w:t>
      </w:r>
      <w:r>
        <w:rPr>
          <w:rFonts w:hint="eastAsia"/>
          <w:b/>
          <w:bCs/>
          <w:sz w:val="24"/>
          <w:lang w:val="en-US" w:eastAsia="zh-CN"/>
        </w:rPr>
        <w:t>5</w:t>
      </w:r>
      <w:r>
        <w:rPr>
          <w:b/>
          <w:bCs/>
          <w:sz w:val="24"/>
        </w:rPr>
        <w:t>.</w:t>
      </w:r>
      <w:r>
        <w:rPr>
          <w:rFonts w:hint="eastAsia"/>
          <w:b/>
          <w:bCs/>
          <w:sz w:val="24"/>
          <w:lang w:val="en-US" w:eastAsia="zh-CN"/>
        </w:rPr>
        <w:t>5</w:t>
      </w:r>
      <w:r>
        <w:rPr>
          <w:sz w:val="24"/>
        </w:rPr>
        <w:t xml:space="preserve"> </w:t>
      </w:r>
      <w:r>
        <w:rPr>
          <w:rFonts w:hint="eastAsia"/>
          <w:sz w:val="24"/>
        </w:rPr>
        <w:t>储能电池系统内电芯应优先选择安全经济的电池模组并应具有电池安全预警功能。</w:t>
      </w:r>
    </w:p>
    <w:p w14:paraId="298DCE87">
      <w:pPr>
        <w:pStyle w:val="2"/>
        <w:spacing w:after="0" w:line="300" w:lineRule="auto"/>
        <w:rPr>
          <w:rFonts w:hint="default"/>
          <w:sz w:val="24"/>
          <w:lang w:eastAsia="zh-CN"/>
        </w:rPr>
      </w:pPr>
      <w:r>
        <w:rPr>
          <w:rFonts w:hint="eastAsia"/>
          <w:b/>
          <w:bCs/>
          <w:sz w:val="24"/>
          <w:lang w:val="en-US" w:eastAsia="zh-CN"/>
        </w:rPr>
        <w:t xml:space="preserve">4.5.6 </w:t>
      </w:r>
      <w:r>
        <w:rPr>
          <w:rFonts w:hint="default"/>
          <w:sz w:val="24"/>
          <w:lang w:eastAsia="zh-CN"/>
        </w:rPr>
        <w:t>储能电池容量和性能应可检测和可诊断，使控制系统可在预知电池容量和性能的情况下降低电站接入电网的冲击和依赖，提高电网的可靠性和效率。电池储能系统的监控系统及其子系统</w:t>
      </w:r>
      <w:r>
        <w:rPr>
          <w:rFonts w:hint="eastAsia"/>
          <w:sz w:val="24"/>
          <w:lang w:eastAsia="zh-CN"/>
        </w:rPr>
        <w:t>（</w:t>
      </w:r>
      <w:r>
        <w:rPr>
          <w:rFonts w:hint="default"/>
          <w:sz w:val="24"/>
          <w:lang w:eastAsia="zh-CN"/>
        </w:rPr>
        <w:t>包括电池管理系统、储能系统配套升压变及高低压配电装置监控单元等</w:t>
      </w:r>
      <w:r>
        <w:rPr>
          <w:rFonts w:hint="eastAsia"/>
          <w:sz w:val="24"/>
          <w:lang w:eastAsia="zh-CN"/>
        </w:rPr>
        <w:t>）</w:t>
      </w:r>
      <w:r>
        <w:rPr>
          <w:rFonts w:hint="default"/>
          <w:sz w:val="24"/>
          <w:lang w:eastAsia="zh-CN"/>
        </w:rPr>
        <w:t>所采用的通讯协议应需符合国际通用标准及客户要求。</w:t>
      </w:r>
    </w:p>
    <w:p w14:paraId="7F8C4CA1">
      <w:pPr>
        <w:pStyle w:val="2"/>
        <w:spacing w:after="0" w:line="300" w:lineRule="auto"/>
        <w:rPr>
          <w:rFonts w:hint="default" w:ascii="Times New Roman" w:hAnsi="Times New Roman" w:eastAsia="宋体"/>
          <w:b w:val="0"/>
          <w:bCs w:val="0"/>
          <w:sz w:val="24"/>
          <w:szCs w:val="24"/>
          <w:lang w:eastAsia="zh-CN"/>
        </w:rPr>
      </w:pPr>
      <w:r>
        <w:rPr>
          <w:rFonts w:hint="eastAsia"/>
          <w:b/>
          <w:bCs/>
          <w:sz w:val="24"/>
          <w:lang w:val="en-US" w:eastAsia="zh-CN"/>
        </w:rPr>
        <w:t>4.5.7</w:t>
      </w:r>
      <w:r>
        <w:rPr>
          <w:rFonts w:hint="eastAsia"/>
          <w:sz w:val="24"/>
          <w:lang w:val="en-US" w:eastAsia="zh-CN"/>
        </w:rPr>
        <w:t xml:space="preserve"> </w:t>
      </w:r>
      <w:r>
        <w:rPr>
          <w:rFonts w:hint="default" w:ascii="Times New Roman" w:hAnsi="Times New Roman" w:eastAsia="宋体"/>
          <w:b w:val="0"/>
          <w:bCs w:val="0"/>
          <w:sz w:val="24"/>
          <w:szCs w:val="24"/>
          <w:lang w:eastAsia="zh-CN"/>
        </w:rPr>
        <w:t>储能电池应符合环境保护的要求，在电池生产、使用、回收过程中应符合国家环境保护的有关规定</w:t>
      </w:r>
      <w:r>
        <w:rPr>
          <w:rFonts w:hint="eastAsia" w:ascii="Times New Roman" w:hAnsi="Times New Roman" w:eastAsia="宋体"/>
          <w:b w:val="0"/>
          <w:bCs w:val="0"/>
          <w:sz w:val="24"/>
          <w:szCs w:val="24"/>
          <w:lang w:eastAsia="zh-CN"/>
        </w:rPr>
        <w:t>。</w:t>
      </w:r>
    </w:p>
    <w:p w14:paraId="0F6B4FE8">
      <w:pPr>
        <w:keepNext/>
        <w:keepLines/>
        <w:snapToGrid w:val="0"/>
        <w:spacing w:before="72" w:beforeLines="30" w:after="72" w:afterLines="30" w:line="300" w:lineRule="auto"/>
        <w:jc w:val="center"/>
        <w:outlineLvl w:val="2"/>
        <w:rPr>
          <w:sz w:val="24"/>
        </w:rPr>
      </w:pPr>
      <w:bookmarkStart w:id="104" w:name="_Toc12979"/>
      <w:bookmarkStart w:id="105" w:name="_Toc19266"/>
      <w:bookmarkStart w:id="106" w:name="_Toc18352"/>
      <w:bookmarkStart w:id="107" w:name="_Toc27415"/>
      <w:bookmarkStart w:id="108" w:name="_Toc15070"/>
      <w:bookmarkStart w:id="109" w:name="_Toc3246"/>
      <w:bookmarkStart w:id="110" w:name="_Toc8349"/>
      <w:bookmarkStart w:id="111" w:name="_Toc17158"/>
      <w:r>
        <w:rPr>
          <w:b/>
          <w:sz w:val="24"/>
          <w:szCs w:val="32"/>
        </w:rPr>
        <w:t>4.</w:t>
      </w:r>
      <w:r>
        <w:rPr>
          <w:rFonts w:hint="default"/>
          <w:b/>
          <w:sz w:val="24"/>
          <w:szCs w:val="32"/>
          <w:lang w:val="en-US" w:eastAsia="zh-CN"/>
        </w:rPr>
        <w:t xml:space="preserve">6 </w:t>
      </w:r>
      <w:r>
        <w:rPr>
          <w:b/>
          <w:sz w:val="24"/>
          <w:szCs w:val="32"/>
        </w:rPr>
        <w:t>配电柜</w:t>
      </w:r>
      <w:bookmarkEnd w:id="104"/>
      <w:bookmarkEnd w:id="105"/>
      <w:bookmarkEnd w:id="106"/>
      <w:bookmarkEnd w:id="107"/>
      <w:bookmarkEnd w:id="108"/>
      <w:bookmarkEnd w:id="109"/>
      <w:bookmarkEnd w:id="110"/>
      <w:bookmarkEnd w:id="111"/>
      <w:bookmarkStart w:id="112" w:name="_Toc27015"/>
      <w:r>
        <w:rPr>
          <w:sz w:val="24"/>
        </w:rPr>
        <w:t xml:space="preserve"> </w:t>
      </w:r>
      <w:bookmarkEnd w:id="112"/>
    </w:p>
    <w:p w14:paraId="59FEFAC4">
      <w:pPr>
        <w:snapToGrid w:val="0"/>
        <w:spacing w:line="300" w:lineRule="auto"/>
        <w:jc w:val="left"/>
        <w:rPr>
          <w:sz w:val="24"/>
        </w:rPr>
      </w:pPr>
      <w:r>
        <w:rPr>
          <w:b/>
          <w:bCs/>
          <w:sz w:val="24"/>
        </w:rPr>
        <w:t>4.</w:t>
      </w:r>
      <w:r>
        <w:rPr>
          <w:rFonts w:hint="eastAsia"/>
          <w:b/>
          <w:bCs/>
          <w:sz w:val="24"/>
          <w:lang w:val="en-US" w:eastAsia="zh-CN"/>
        </w:rPr>
        <w:t>6</w:t>
      </w:r>
      <w:r>
        <w:rPr>
          <w:b/>
          <w:bCs/>
          <w:sz w:val="24"/>
        </w:rPr>
        <w:t>.</w:t>
      </w:r>
      <w:r>
        <w:rPr>
          <w:rFonts w:hint="eastAsia"/>
          <w:b/>
          <w:bCs/>
          <w:sz w:val="24"/>
          <w:lang w:val="en-US" w:eastAsia="zh-CN"/>
        </w:rPr>
        <w:t>1</w:t>
      </w:r>
      <w:r>
        <w:rPr>
          <w:sz w:val="24"/>
        </w:rPr>
        <w:t xml:space="preserve"> </w:t>
      </w:r>
      <w:r>
        <w:rPr>
          <w:rFonts w:hint="eastAsia"/>
          <w:sz w:val="24"/>
          <w:lang w:val="en-US" w:eastAsia="zh-CN"/>
        </w:rPr>
        <w:t>光伏</w:t>
      </w:r>
      <w:r>
        <w:rPr>
          <w:rFonts w:hint="eastAsia"/>
          <w:sz w:val="24"/>
        </w:rPr>
        <w:t>配电柜的选择应符合现行国家标准《建筑光伏系统应用技术标准》GB/T 51368的规定。</w:t>
      </w:r>
    </w:p>
    <w:p w14:paraId="5275AC38">
      <w:pPr>
        <w:snapToGrid w:val="0"/>
        <w:spacing w:line="300" w:lineRule="auto"/>
        <w:jc w:val="left"/>
        <w:rPr>
          <w:sz w:val="24"/>
        </w:rPr>
      </w:pPr>
      <w:r>
        <w:rPr>
          <w:b/>
          <w:bCs/>
          <w:sz w:val="24"/>
        </w:rPr>
        <w:t>4.</w:t>
      </w:r>
      <w:r>
        <w:rPr>
          <w:rFonts w:hint="eastAsia"/>
          <w:b/>
          <w:bCs/>
          <w:sz w:val="24"/>
          <w:lang w:val="en-US" w:eastAsia="zh-CN"/>
        </w:rPr>
        <w:t>6</w:t>
      </w:r>
      <w:r>
        <w:rPr>
          <w:b/>
          <w:bCs/>
          <w:sz w:val="24"/>
        </w:rPr>
        <w:t>.</w:t>
      </w:r>
      <w:r>
        <w:rPr>
          <w:rFonts w:hint="eastAsia"/>
          <w:b/>
          <w:bCs/>
          <w:sz w:val="24"/>
          <w:lang w:val="en-US" w:eastAsia="zh-CN"/>
        </w:rPr>
        <w:t>2</w:t>
      </w:r>
      <w:r>
        <w:rPr>
          <w:sz w:val="24"/>
        </w:rPr>
        <w:t xml:space="preserve"> </w:t>
      </w:r>
      <w:r>
        <w:rPr>
          <w:rFonts w:hint="eastAsia"/>
          <w:sz w:val="24"/>
        </w:rPr>
        <w:t>直流配电柜输出回路正极、负极均应设置防雷保护装置，技术性能应符合现行国家标准《光伏发电站防雷技术要求》GB/T 32512 和现行行业标准《光伏发电站防雷技术规程》DLT 1364 的有关规定。</w:t>
      </w:r>
    </w:p>
    <w:p w14:paraId="5CDF573B">
      <w:pPr>
        <w:snapToGrid w:val="0"/>
        <w:spacing w:line="300" w:lineRule="auto"/>
        <w:jc w:val="left"/>
        <w:rPr>
          <w:sz w:val="24"/>
        </w:rPr>
      </w:pPr>
      <w:r>
        <w:rPr>
          <w:b/>
          <w:bCs/>
          <w:sz w:val="24"/>
        </w:rPr>
        <w:t>4.</w:t>
      </w:r>
      <w:r>
        <w:rPr>
          <w:rFonts w:hint="eastAsia"/>
          <w:b/>
          <w:bCs/>
          <w:sz w:val="24"/>
          <w:lang w:val="en-US" w:eastAsia="zh-CN"/>
        </w:rPr>
        <w:t>6</w:t>
      </w:r>
      <w:r>
        <w:rPr>
          <w:b/>
          <w:bCs/>
          <w:sz w:val="24"/>
        </w:rPr>
        <w:t>.</w:t>
      </w:r>
      <w:r>
        <w:rPr>
          <w:rFonts w:hint="eastAsia"/>
          <w:b/>
          <w:bCs/>
          <w:sz w:val="24"/>
          <w:lang w:val="en-US" w:eastAsia="zh-CN"/>
        </w:rPr>
        <w:t>3</w:t>
      </w:r>
      <w:r>
        <w:rPr>
          <w:rFonts w:hint="eastAsia"/>
          <w:sz w:val="24"/>
        </w:rPr>
        <w:t xml:space="preserve"> 配电柜不</w:t>
      </w:r>
      <w:r>
        <w:rPr>
          <w:rFonts w:hint="eastAsia"/>
          <w:sz w:val="24"/>
          <w:lang w:val="en-US" w:eastAsia="zh-CN"/>
        </w:rPr>
        <w:t>应</w:t>
      </w:r>
      <w:r>
        <w:rPr>
          <w:rFonts w:hint="eastAsia"/>
          <w:sz w:val="24"/>
        </w:rPr>
        <w:t>存在影响使用的变形、锈蚀、漏水、积灰，箱体外表面的安全警示标识应完整、无破损。</w:t>
      </w:r>
    </w:p>
    <w:p w14:paraId="077BC418">
      <w:pPr>
        <w:snapToGrid w:val="0"/>
        <w:spacing w:line="300" w:lineRule="auto"/>
        <w:jc w:val="left"/>
        <w:rPr>
          <w:sz w:val="24"/>
        </w:rPr>
      </w:pPr>
      <w:r>
        <w:rPr>
          <w:b/>
          <w:bCs/>
          <w:sz w:val="24"/>
        </w:rPr>
        <w:t>4.</w:t>
      </w:r>
      <w:r>
        <w:rPr>
          <w:rFonts w:hint="eastAsia"/>
          <w:b/>
          <w:bCs/>
          <w:sz w:val="24"/>
          <w:lang w:val="en-US" w:eastAsia="zh-CN"/>
        </w:rPr>
        <w:t>6</w:t>
      </w:r>
      <w:r>
        <w:rPr>
          <w:b/>
          <w:bCs/>
          <w:sz w:val="24"/>
        </w:rPr>
        <w:t>.</w:t>
      </w:r>
      <w:r>
        <w:rPr>
          <w:rFonts w:hint="eastAsia"/>
          <w:b/>
          <w:bCs/>
          <w:sz w:val="24"/>
          <w:lang w:val="en-US" w:eastAsia="zh-CN"/>
        </w:rPr>
        <w:t>4</w:t>
      </w:r>
      <w:r>
        <w:rPr>
          <w:sz w:val="24"/>
        </w:rPr>
        <w:t xml:space="preserve"> 交/直流配电柜（箱）设计应符合现行国家标准《低压配电设计规范》GB 50054和《低压成套开关设备和控制设备 第1部分：总则》GB 7251.1的有关规定。</w:t>
      </w:r>
    </w:p>
    <w:p w14:paraId="18062495">
      <w:pPr>
        <w:spacing w:line="300" w:lineRule="auto"/>
      </w:pPr>
    </w:p>
    <w:p w14:paraId="18EA229F">
      <w:pPr>
        <w:widowControl/>
        <w:snapToGrid w:val="0"/>
        <w:spacing w:line="300" w:lineRule="auto"/>
        <w:jc w:val="left"/>
        <w:rPr>
          <w:sz w:val="24"/>
        </w:rPr>
      </w:pPr>
      <w:r>
        <w:rPr>
          <w:sz w:val="24"/>
        </w:rPr>
        <w:br w:type="page"/>
      </w:r>
    </w:p>
    <w:p w14:paraId="225F50FE">
      <w:pPr>
        <w:pStyle w:val="5"/>
        <w:spacing w:before="95" w:beforeLines="30" w:after="95" w:afterLines="30" w:line="300" w:lineRule="auto"/>
        <w:jc w:val="center"/>
        <w:rPr>
          <w:rFonts w:hint="default" w:ascii="Times New Roman" w:hAnsi="Times New Roman" w:eastAsia="黑体" w:cs="Times New Roman"/>
          <w:sz w:val="28"/>
          <w:szCs w:val="28"/>
        </w:rPr>
      </w:pPr>
      <w:bookmarkStart w:id="113" w:name="_Toc1324"/>
      <w:bookmarkStart w:id="114" w:name="_Toc20864"/>
      <w:bookmarkStart w:id="115" w:name="_Toc18445"/>
      <w:bookmarkStart w:id="116" w:name="_Toc7192"/>
      <w:bookmarkStart w:id="117" w:name="_Toc11920"/>
      <w:bookmarkStart w:id="118" w:name="_Toc21508"/>
      <w:bookmarkStart w:id="119" w:name="_Toc14456"/>
      <w:bookmarkStart w:id="120" w:name="_Toc7672"/>
      <w:r>
        <w:rPr>
          <w:rFonts w:hint="default" w:ascii="Times New Roman" w:hAnsi="Times New Roman" w:eastAsia="黑体" w:cs="Times New Roman"/>
          <w:sz w:val="28"/>
          <w:szCs w:val="28"/>
        </w:rPr>
        <w:t>5 设计</w:t>
      </w:r>
      <w:bookmarkEnd w:id="113"/>
      <w:bookmarkEnd w:id="114"/>
      <w:bookmarkEnd w:id="115"/>
      <w:bookmarkEnd w:id="116"/>
      <w:bookmarkEnd w:id="117"/>
      <w:bookmarkEnd w:id="118"/>
      <w:bookmarkEnd w:id="119"/>
      <w:bookmarkEnd w:id="120"/>
    </w:p>
    <w:p w14:paraId="3A175DB6">
      <w:pPr>
        <w:keepNext/>
        <w:keepLines/>
        <w:snapToGrid w:val="0"/>
        <w:spacing w:before="95" w:beforeLines="30" w:after="95" w:afterLines="30" w:line="300" w:lineRule="auto"/>
        <w:jc w:val="center"/>
        <w:outlineLvl w:val="2"/>
        <w:rPr>
          <w:b/>
          <w:sz w:val="24"/>
          <w:szCs w:val="32"/>
        </w:rPr>
      </w:pPr>
      <w:bookmarkStart w:id="121" w:name="_Toc7505"/>
      <w:bookmarkStart w:id="122" w:name="_Toc4412"/>
      <w:bookmarkStart w:id="123" w:name="_Toc16892"/>
      <w:bookmarkStart w:id="124" w:name="_Toc2071"/>
      <w:bookmarkStart w:id="125" w:name="_Toc28112"/>
      <w:bookmarkStart w:id="126" w:name="_Toc23037"/>
      <w:bookmarkStart w:id="127" w:name="_Toc25070"/>
      <w:bookmarkStart w:id="128" w:name="_Toc1754"/>
      <w:r>
        <w:rPr>
          <w:b/>
          <w:sz w:val="24"/>
          <w:szCs w:val="32"/>
        </w:rPr>
        <w:t>5.1一般规定</w:t>
      </w:r>
      <w:bookmarkEnd w:id="121"/>
      <w:bookmarkEnd w:id="122"/>
      <w:bookmarkEnd w:id="123"/>
      <w:bookmarkEnd w:id="124"/>
      <w:bookmarkEnd w:id="125"/>
      <w:bookmarkEnd w:id="126"/>
      <w:bookmarkEnd w:id="127"/>
      <w:bookmarkEnd w:id="128"/>
    </w:p>
    <w:p w14:paraId="789AD227">
      <w:pPr>
        <w:snapToGrid w:val="0"/>
        <w:spacing w:line="300" w:lineRule="auto"/>
        <w:jc w:val="left"/>
        <w:rPr>
          <w:sz w:val="24"/>
        </w:rPr>
      </w:pPr>
      <w:r>
        <w:rPr>
          <w:b/>
          <w:bCs/>
          <w:sz w:val="24"/>
        </w:rPr>
        <w:t xml:space="preserve">5.1.1 </w:t>
      </w:r>
      <w:r>
        <w:rPr>
          <w:sz w:val="24"/>
        </w:rPr>
        <w:t>光伏</w:t>
      </w:r>
      <w:r>
        <w:rPr>
          <w:rFonts w:hint="eastAsia"/>
          <w:sz w:val="24"/>
        </w:rPr>
        <w:t>组件</w:t>
      </w:r>
      <w:r>
        <w:rPr>
          <w:sz w:val="24"/>
        </w:rPr>
        <w:t>的类型、安装位置、安装方式和色泽的选择，应结合建筑功能、建筑外观以及周围环境条件进行</w:t>
      </w:r>
      <w:r>
        <w:rPr>
          <w:rFonts w:hint="eastAsia"/>
          <w:sz w:val="24"/>
        </w:rPr>
        <w:t>并与建筑外观和周边环境相协调</w:t>
      </w:r>
      <w:r>
        <w:rPr>
          <w:sz w:val="24"/>
        </w:rPr>
        <w:t>。</w:t>
      </w:r>
    </w:p>
    <w:p w14:paraId="5F75826E">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942E52A">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5.1.1 光伏发电系统是建筑的有机组成部分，尤其是采用光伏建筑一体化形式时，光伏发电系统与建筑功能更是密不可分。光伏发电系统不仅要符合光伏系统的发电功能和电气安全性要求，还要符合建筑外围护所必需的物理性能要求。</w:t>
      </w:r>
      <w:r>
        <w:rPr>
          <w:rFonts w:hint="eastAsia" w:ascii="仿宋" w:hAnsi="仿宋" w:eastAsia="仿宋" w:cs="仿宋"/>
          <w:i/>
          <w:iCs/>
          <w:color w:val="0623BA"/>
          <w:sz w:val="24"/>
          <w:lang w:val="en-US" w:eastAsia="zh-CN"/>
        </w:rPr>
        <w:t>同时，和广东各地建筑风貌相协调。</w:t>
      </w:r>
      <w:r>
        <w:rPr>
          <w:rFonts w:hint="eastAsia" w:ascii="仿宋" w:hAnsi="仿宋" w:eastAsia="仿宋" w:cs="仿宋"/>
          <w:i/>
          <w:iCs/>
          <w:color w:val="0623BA"/>
          <w:sz w:val="24"/>
        </w:rPr>
        <w:t>因此，在设计光伏发电系统时应与建筑设计专业密切配合，广泛搜集建筑物所在地的地理、气候、太阳能资源等资料，进行环境分析、日照分析。结合建筑功能、建筑外观与周围环境条件，合理规划光伏发电系统在建筑上的布置方案，统筹布局，做到与建筑风格协调统一。使其在具备良好光伏发电功能的同时达到建筑围护、建筑节能、太阳能利用和建筑装饰多种功能的完美结合。</w:t>
      </w:r>
    </w:p>
    <w:p w14:paraId="1E139CDB">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建筑上光伏应用的数量多少取决于建筑设计方案前期能否将光伏作为一个设计条件进行设计，只有充分考虑光伏的各种应用条件并通过与建筑的有机组合，才能形成协调统一的一体化结合整体</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达到最大化应用的目标。</w:t>
      </w:r>
    </w:p>
    <w:p w14:paraId="0CEC2243">
      <w:pPr>
        <w:snapToGrid w:val="0"/>
        <w:spacing w:line="300" w:lineRule="auto"/>
        <w:jc w:val="left"/>
        <w:rPr>
          <w:sz w:val="24"/>
        </w:rPr>
      </w:pPr>
      <w:r>
        <w:rPr>
          <w:b/>
          <w:bCs/>
          <w:sz w:val="24"/>
        </w:rPr>
        <w:t>5.1.2</w:t>
      </w:r>
      <w:r>
        <w:rPr>
          <w:sz w:val="24"/>
        </w:rPr>
        <w:t xml:space="preserve"> 在既有建筑上安装太阳能光伏发电系统，不应影响建筑的采光、通风</w:t>
      </w:r>
      <w:r>
        <w:rPr>
          <w:rFonts w:hint="eastAsia"/>
          <w:sz w:val="24"/>
        </w:rPr>
        <w:t>、防水</w:t>
      </w:r>
      <w:r>
        <w:rPr>
          <w:sz w:val="24"/>
        </w:rPr>
        <w:t>，不应引起建筑能耗的增加。</w:t>
      </w:r>
    </w:p>
    <w:p w14:paraId="1525B710">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【条文说明】</w:t>
      </w:r>
    </w:p>
    <w:p w14:paraId="5C9E0457">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5.1.2 位于建筑不同部位的光伏方阵应符合建筑使用功能的要求，如：建筑围护功能、遮阳功能、防火功能、装饰功能、防护功能等。当光伏组件作为建筑围护结构且不使用光伏中空玻璃时，有可能影响建筑围护结构的热工性能。因此，可通过对光伏发电系统的发电量与围护结构的热工损失，进行比较和权衡，来判断光伏发电系统对建筑节能的贡献。</w:t>
      </w:r>
      <w:r>
        <w:rPr>
          <w:rFonts w:hint="eastAsia" w:ascii="仿宋" w:hAnsi="仿宋" w:eastAsia="仿宋" w:cs="仿宋"/>
          <w:i/>
          <w:iCs/>
          <w:color w:val="0623BA"/>
          <w:sz w:val="24"/>
          <w:lang w:val="en-US" w:eastAsia="zh-CN"/>
        </w:rPr>
        <w:t>若</w:t>
      </w:r>
      <w:r>
        <w:rPr>
          <w:rFonts w:hint="eastAsia" w:ascii="仿宋" w:hAnsi="仿宋" w:eastAsia="仿宋" w:cs="仿宋"/>
          <w:i/>
          <w:iCs/>
          <w:color w:val="0623BA"/>
          <w:sz w:val="24"/>
        </w:rPr>
        <w:t xml:space="preserve">既有建筑本体功能性的改造，应根据新的建筑功能和围护结构性能要求设计建筑集成光伏发电系统且满足改建建筑的采光、通风、防水等要求。 </w:t>
      </w:r>
    </w:p>
    <w:p w14:paraId="764BE332">
      <w:pPr>
        <w:snapToGrid w:val="0"/>
        <w:spacing w:line="300" w:lineRule="auto"/>
        <w:jc w:val="left"/>
        <w:rPr>
          <w:sz w:val="24"/>
        </w:rPr>
      </w:pPr>
      <w:r>
        <w:rPr>
          <w:b/>
          <w:bCs/>
          <w:sz w:val="24"/>
        </w:rPr>
        <w:t>5.1.3</w:t>
      </w:r>
      <w:r>
        <w:rPr>
          <w:sz w:val="24"/>
        </w:rPr>
        <w:t xml:space="preserve"> 建筑光伏系统的建筑设计应符合建筑构件的各项物理性能要求，根据广东省的特点，作为建筑构件的光伏发电组件应采取相应的防过热、防雷、抗风、抗震、防火、防腐蚀等技术措施。</w:t>
      </w:r>
    </w:p>
    <w:p w14:paraId="1BEBD2D1">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D49C8A0">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5.1.3一般情况下，建筑的设计寿命是光伏系统寿命的2倍</w:t>
      </w:r>
      <w:r>
        <w:rPr>
          <w:rFonts w:hint="default" w:ascii="Times New Roman" w:hAnsi="Times New Roman" w:eastAsia="仿宋" w:cs="Times New Roman"/>
          <w:i/>
          <w:iCs/>
          <w:color w:val="0623BA"/>
          <w:sz w:val="24"/>
          <w:lang w:val="en-US" w:eastAsia="zh-CN"/>
        </w:rPr>
        <w:t>~</w:t>
      </w:r>
      <w:r>
        <w:rPr>
          <w:rFonts w:hint="eastAsia" w:ascii="仿宋" w:hAnsi="仿宋" w:eastAsia="仿宋" w:cs="仿宋"/>
          <w:i/>
          <w:iCs/>
          <w:color w:val="0623BA"/>
          <w:sz w:val="24"/>
        </w:rPr>
        <w:t>3倍，光伏组件及系统其他部件在构造、形式上应利于在建筑围护结构上安装，便于维护、修理、局部更换。因此建筑设计不仅要考虑地震、风荷载、雪荷载、冰雹等自然破坏因素，还应为光伏系统的日常维护，尤其是光伏组件的安装、维护、日常保养、更换提供必要的安全便利条件。布置在金属屋面的光伏发电系统设计应符合现行行业标准《采光顶与金属屋面技术规程》JGJ 255的相关要求；光伏幕墙设计应符合现行行业标准《玻璃幕墙工程技术规范》JGJ 102、《金属与石材幕墙工程技术规范》JGJ 133 的相关要求；光伏遮阳设计应符合现行行业标准《建筑用铝合金遮阳板》JG/T416和《建筑遮阳通用要求》JG/T 274 的相关要求。</w:t>
      </w:r>
    </w:p>
    <w:p w14:paraId="733AD9F9">
      <w:pPr>
        <w:snapToGrid w:val="0"/>
        <w:spacing w:line="300" w:lineRule="auto"/>
        <w:jc w:val="left"/>
        <w:rPr>
          <w:sz w:val="24"/>
        </w:rPr>
      </w:pPr>
      <w:r>
        <w:rPr>
          <w:b/>
          <w:bCs/>
          <w:sz w:val="24"/>
        </w:rPr>
        <w:t>5.1.4</w:t>
      </w:r>
      <w:r>
        <w:rPr>
          <w:sz w:val="24"/>
        </w:rPr>
        <w:t xml:space="preserve"> 建筑光伏系统在安装光伏组件的部位应采取必要的安全防护措施。</w:t>
      </w:r>
    </w:p>
    <w:p w14:paraId="08F9B6A3">
      <w:pPr>
        <w:pStyle w:val="7"/>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97146DD">
      <w:pPr>
        <w:pStyle w:val="7"/>
        <w:spacing w:line="300" w:lineRule="auto"/>
      </w:pPr>
      <w:r>
        <w:rPr>
          <w:rFonts w:hint="eastAsia" w:ascii="仿宋" w:hAnsi="仿宋" w:eastAsia="仿宋" w:cs="仿宋"/>
          <w:i/>
          <w:iCs/>
          <w:color w:val="0623BA"/>
          <w:sz w:val="24"/>
        </w:rPr>
        <w:t>5.1.4 结构安全措施、电气安全措施、防火安全措施、防护措施等。</w:t>
      </w:r>
    </w:p>
    <w:p w14:paraId="530D981E">
      <w:pPr>
        <w:snapToGrid w:val="0"/>
        <w:spacing w:line="300" w:lineRule="auto"/>
        <w:jc w:val="left"/>
        <w:rPr>
          <w:sz w:val="24"/>
        </w:rPr>
      </w:pPr>
      <w:r>
        <w:rPr>
          <w:b/>
          <w:bCs/>
          <w:sz w:val="24"/>
        </w:rPr>
        <w:t>5.1.5</w:t>
      </w:r>
      <w:r>
        <w:rPr>
          <w:sz w:val="24"/>
        </w:rPr>
        <w:t xml:space="preserve"> 对光伏组件可能引起的光污染应进行分析并采取相应的措施。</w:t>
      </w:r>
    </w:p>
    <w:p w14:paraId="3A057F95">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CAE4A08">
      <w:pPr>
        <w:pStyle w:val="7"/>
        <w:snapToGrid/>
        <w:spacing w:line="300" w:lineRule="auto"/>
        <w:jc w:val="center"/>
        <w:rPr>
          <w:rFonts w:hint="default" w:ascii="仿宋" w:hAnsi="仿宋" w:eastAsia="仿宋" w:cs="仿宋"/>
          <w:i/>
          <w:iCs/>
          <w:color w:val="0623BA"/>
          <w:sz w:val="24"/>
        </w:rPr>
      </w:pPr>
      <w:r>
        <w:rPr>
          <w:rFonts w:hint="eastAsia" w:ascii="仿宋" w:hAnsi="仿宋" w:eastAsia="仿宋" w:cs="仿宋"/>
          <w:b/>
          <w:bCs/>
          <w:i/>
          <w:iCs/>
          <w:color w:val="0623BA"/>
          <w:sz w:val="24"/>
        </w:rPr>
        <w:t>5</w:t>
      </w:r>
      <w:r>
        <w:rPr>
          <w:rFonts w:hint="eastAsia" w:ascii="仿宋" w:hAnsi="仿宋" w:eastAsia="仿宋" w:cs="仿宋"/>
          <w:i/>
          <w:iCs/>
          <w:color w:val="0623BA"/>
          <w:sz w:val="24"/>
        </w:rPr>
        <w:t xml:space="preserve">.1.5 </w:t>
      </w:r>
      <w:r>
        <w:rPr>
          <w:rFonts w:hint="default" w:ascii="仿宋" w:hAnsi="仿宋" w:eastAsia="仿宋" w:cs="仿宋"/>
          <w:i/>
          <w:iCs/>
          <w:color w:val="0623BA"/>
          <w:sz w:val="24"/>
        </w:rPr>
        <w:t>建筑上安装的光伏组件应优先选择光反射较低的材料，避免自身引起的太</w:t>
      </w:r>
    </w:p>
    <w:p w14:paraId="4E5DD567">
      <w:pPr>
        <w:pStyle w:val="7"/>
        <w:snapToGrid/>
        <w:spacing w:line="300" w:lineRule="auto"/>
        <w:jc w:val="center"/>
        <w:rPr>
          <w:rFonts w:hint="eastAsia" w:ascii="仿宋" w:hAnsi="仿宋" w:eastAsia="仿宋" w:cs="仿宋"/>
          <w:i/>
          <w:iCs/>
          <w:color w:val="0623BA"/>
          <w:sz w:val="24"/>
        </w:rPr>
      </w:pPr>
      <w:r>
        <w:rPr>
          <w:rFonts w:hint="default" w:ascii="仿宋" w:hAnsi="仿宋" w:eastAsia="仿宋" w:cs="仿宋"/>
          <w:i/>
          <w:iCs/>
          <w:color w:val="0623BA"/>
          <w:sz w:val="24"/>
        </w:rPr>
        <w:t>阳光二次辐射对本栋建筑或周围建筑造成光污染且避免镜面反射，对边框氧化。</w:t>
      </w:r>
    </w:p>
    <w:p w14:paraId="56E507F5">
      <w:pPr>
        <w:snapToGrid w:val="0"/>
        <w:spacing w:line="300" w:lineRule="auto"/>
        <w:jc w:val="left"/>
        <w:rPr>
          <w:sz w:val="24"/>
        </w:rPr>
      </w:pPr>
      <w:r>
        <w:rPr>
          <w:rFonts w:hint="eastAsia"/>
          <w:b/>
          <w:bCs/>
          <w:sz w:val="24"/>
        </w:rPr>
        <w:t xml:space="preserve">5.1.6 </w:t>
      </w:r>
      <w:r>
        <w:rPr>
          <w:rFonts w:hint="eastAsia"/>
          <w:sz w:val="24"/>
        </w:rPr>
        <w:t>光伏组件应在明显位置配置带电警告标识及相应的电气安全防护设施。</w:t>
      </w:r>
    </w:p>
    <w:p w14:paraId="0DD7317F">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F4397DE">
      <w:pPr>
        <w:numPr>
          <w:ilvl w:val="-1"/>
          <w:numId w:val="0"/>
        </w:numPr>
        <w:snapToGrid w:val="0"/>
        <w:spacing w:line="300" w:lineRule="auto"/>
        <w:jc w:val="left"/>
        <w:rPr>
          <w:rFonts w:hint="eastAsia" w:ascii="仿宋" w:hAnsi="仿宋" w:eastAsia="仿宋" w:cs="仿宋"/>
          <w:b w:val="0"/>
          <w:bCs w:val="0"/>
          <w:i/>
          <w:iCs/>
          <w:color w:val="0623BA"/>
          <w:sz w:val="24"/>
          <w:szCs w:val="24"/>
          <w:u w:val="none" w:color="auto"/>
          <w:vertAlign w:val="baseline"/>
          <w:lang w:val="en-US" w:eastAsia="zh-CN"/>
        </w:rPr>
      </w:pPr>
      <w:r>
        <w:rPr>
          <w:rFonts w:hint="eastAsia" w:ascii="仿宋" w:hAnsi="仿宋" w:eastAsia="仿宋" w:cs="仿宋"/>
          <w:i/>
          <w:iCs/>
          <w:color w:val="0623BA"/>
          <w:sz w:val="24"/>
        </w:rPr>
        <w:t>5.1.6 光伏方阵在平屋面上安装时，要保证安装人员的安全。安装人员为专业人员，应严格遵守生产厂家的说明。在建筑设计时，应为安装人员设计安全的工作环境</w:t>
      </w:r>
      <w:r>
        <w:rPr>
          <w:rFonts w:hint="eastAsia" w:ascii="仿宋" w:hAnsi="仿宋" w:eastAsia="仿宋" w:cs="仿宋"/>
          <w:i/>
          <w:iCs/>
          <w:color w:val="0623BA"/>
          <w:sz w:val="24"/>
          <w:lang w:eastAsia="zh-CN"/>
        </w:rPr>
        <w:t>，</w:t>
      </w:r>
      <w:r>
        <w:rPr>
          <w:rFonts w:hint="eastAsia" w:ascii="仿宋" w:hAnsi="仿宋" w:eastAsia="仿宋" w:cs="仿宋"/>
          <w:i/>
          <w:iCs/>
          <w:color w:val="0623BA"/>
          <w:sz w:val="24"/>
          <w:lang w:val="en-US" w:eastAsia="zh-CN"/>
        </w:rPr>
        <w:t>满足</w:t>
      </w:r>
      <w:r>
        <w:rPr>
          <w:rFonts w:hint="eastAsia" w:ascii="仿宋" w:hAnsi="仿宋" w:eastAsia="仿宋" w:cs="仿宋"/>
          <w:b w:val="0"/>
          <w:bCs w:val="0"/>
          <w:i/>
          <w:iCs/>
          <w:color w:val="0623BA"/>
          <w:sz w:val="24"/>
          <w:szCs w:val="24"/>
          <w:u w:val="none" w:color="auto"/>
          <w:vertAlign w:val="baseline"/>
          <w:lang w:val="en-US" w:eastAsia="zh-CN"/>
        </w:rPr>
        <w:t>《建筑电气与智能化通用规范》 GB 55024-2022第3.1.8</w:t>
      </w:r>
      <w:r>
        <w:rPr>
          <w:rFonts w:hint="eastAsia" w:ascii="仿宋" w:hAnsi="仿宋" w:eastAsia="仿宋" w:cs="仿宋"/>
          <w:b w:val="0"/>
          <w:bCs w:val="0"/>
          <w:i/>
          <w:iCs/>
          <w:color w:val="0623BA"/>
          <w:sz w:val="24"/>
          <w:szCs w:val="24"/>
          <w:u w:val="none"/>
          <w:vertAlign w:val="baseline"/>
          <w:lang w:val="en-US" w:eastAsia="zh-CN"/>
        </w:rPr>
        <w:t>、3.1.9、3.1.</w:t>
      </w:r>
      <w:r>
        <w:rPr>
          <w:rFonts w:hint="eastAsia" w:ascii="仿宋" w:hAnsi="仿宋" w:eastAsia="仿宋" w:cs="仿宋"/>
          <w:b w:val="0"/>
          <w:bCs w:val="0"/>
          <w:i/>
          <w:iCs/>
          <w:color w:val="0623BA"/>
          <w:sz w:val="24"/>
          <w:szCs w:val="24"/>
          <w:u w:val="none" w:color="auto"/>
          <w:vertAlign w:val="baseline"/>
          <w:lang w:val="en-US" w:eastAsia="zh-CN"/>
        </w:rPr>
        <w:t>10条</w:t>
      </w:r>
      <w:r>
        <w:rPr>
          <w:rFonts w:hint="eastAsia" w:ascii="仿宋" w:hAnsi="仿宋" w:eastAsia="仿宋" w:cs="仿宋"/>
          <w:b w:val="0"/>
          <w:bCs w:val="0"/>
          <w:i/>
          <w:iCs/>
          <w:color w:val="0623BA"/>
          <w:sz w:val="24"/>
          <w:szCs w:val="24"/>
          <w:u w:val="none"/>
          <w:vertAlign w:val="baseline"/>
          <w:lang w:val="en-US" w:eastAsia="zh-CN"/>
        </w:rPr>
        <w:t>的</w:t>
      </w:r>
      <w:r>
        <w:rPr>
          <w:rFonts w:hint="eastAsia" w:ascii="仿宋" w:hAnsi="仿宋" w:eastAsia="仿宋" w:cs="仿宋"/>
          <w:b w:val="0"/>
          <w:bCs w:val="0"/>
          <w:i/>
          <w:iCs/>
          <w:color w:val="0623BA"/>
          <w:sz w:val="24"/>
          <w:szCs w:val="24"/>
          <w:u w:val="none" w:color="auto"/>
          <w:vertAlign w:val="baseline"/>
          <w:lang w:val="en-US" w:eastAsia="zh-CN"/>
        </w:rPr>
        <w:t>要求</w:t>
      </w:r>
      <w:r>
        <w:rPr>
          <w:rFonts w:hint="eastAsia" w:ascii="仿宋" w:hAnsi="仿宋" w:eastAsia="仿宋" w:cs="仿宋"/>
          <w:b w:val="0"/>
          <w:bCs w:val="0"/>
          <w:i/>
          <w:iCs/>
          <w:color w:val="0623BA"/>
          <w:sz w:val="24"/>
          <w:szCs w:val="24"/>
          <w:u w:val="none"/>
          <w:vertAlign w:val="baseline"/>
          <w:lang w:val="en-US" w:eastAsia="zh-CN"/>
        </w:rPr>
        <w:t>：</w:t>
      </w:r>
    </w:p>
    <w:p w14:paraId="539278B1">
      <w:pPr>
        <w:numPr>
          <w:ilvl w:val="-1"/>
          <w:numId w:val="0"/>
        </w:numPr>
        <w:snapToGrid w:val="0"/>
        <w:spacing w:line="300" w:lineRule="auto"/>
        <w:ind w:firstLine="240" w:firstLineChars="100"/>
        <w:jc w:val="left"/>
        <w:rPr>
          <w:rFonts w:hint="eastAsia" w:ascii="仿宋" w:hAnsi="仿宋" w:eastAsia="仿宋" w:cs="仿宋"/>
          <w:b w:val="0"/>
          <w:bCs w:val="0"/>
          <w:i/>
          <w:iCs/>
          <w:color w:val="0623BA"/>
          <w:sz w:val="24"/>
          <w:szCs w:val="24"/>
          <w:u w:val="none" w:color="auto"/>
          <w:vertAlign w:val="baseline"/>
          <w:lang w:val="en-US" w:eastAsia="zh-CN"/>
        </w:rPr>
      </w:pPr>
      <w:r>
        <w:rPr>
          <w:rFonts w:hint="eastAsia" w:ascii="仿宋" w:hAnsi="仿宋" w:eastAsia="仿宋" w:cs="仿宋"/>
          <w:b w:val="0"/>
          <w:bCs w:val="0"/>
          <w:i/>
          <w:iCs/>
          <w:color w:val="0623BA"/>
          <w:sz w:val="24"/>
          <w:szCs w:val="24"/>
          <w:u w:val="none"/>
          <w:vertAlign w:val="baseline"/>
          <w:lang w:val="en-US" w:eastAsia="zh-CN"/>
        </w:rPr>
        <w:t xml:space="preserve">1 </w:t>
      </w:r>
      <w:r>
        <w:rPr>
          <w:rFonts w:hint="eastAsia" w:ascii="仿宋" w:hAnsi="仿宋" w:eastAsia="仿宋" w:cs="仿宋"/>
          <w:b w:val="0"/>
          <w:bCs w:val="0"/>
          <w:i/>
          <w:iCs/>
          <w:color w:val="0623BA"/>
          <w:sz w:val="24"/>
          <w:szCs w:val="24"/>
          <w:u w:val="none" w:color="auto"/>
          <w:vertAlign w:val="baseline"/>
          <w:lang w:val="en-US" w:eastAsia="zh-CN"/>
        </w:rPr>
        <w:t>与电网并网的光伏发电系统应具有相应的并网保护及隔离功能；</w:t>
      </w:r>
    </w:p>
    <w:p w14:paraId="3EDD9F7D">
      <w:pPr>
        <w:numPr>
          <w:ilvl w:val="-1"/>
          <w:numId w:val="0"/>
        </w:numPr>
        <w:snapToGrid w:val="0"/>
        <w:spacing w:line="300" w:lineRule="auto"/>
        <w:ind w:firstLine="240" w:firstLineChars="100"/>
        <w:jc w:val="left"/>
        <w:rPr>
          <w:rFonts w:hint="eastAsia" w:ascii="仿宋" w:hAnsi="仿宋" w:eastAsia="仿宋" w:cs="仿宋"/>
          <w:b w:val="0"/>
          <w:bCs w:val="0"/>
          <w:i/>
          <w:iCs/>
          <w:color w:val="0623BA"/>
          <w:sz w:val="24"/>
          <w:szCs w:val="24"/>
          <w:u w:val="none" w:color="auto"/>
          <w:vertAlign w:val="baseline"/>
          <w:lang w:val="en-US" w:eastAsia="zh-CN"/>
        </w:rPr>
      </w:pPr>
      <w:r>
        <w:rPr>
          <w:rFonts w:hint="eastAsia" w:ascii="仿宋" w:hAnsi="仿宋" w:eastAsia="仿宋" w:cs="仿宋"/>
          <w:b w:val="0"/>
          <w:bCs w:val="0"/>
          <w:i/>
          <w:iCs/>
          <w:color w:val="0623BA"/>
          <w:sz w:val="24"/>
          <w:szCs w:val="24"/>
          <w:u w:val="none"/>
          <w:vertAlign w:val="baseline"/>
          <w:lang w:val="en-US" w:eastAsia="zh-CN"/>
        </w:rPr>
        <w:t xml:space="preserve">2 </w:t>
      </w:r>
      <w:r>
        <w:rPr>
          <w:rFonts w:hint="eastAsia" w:ascii="仿宋" w:hAnsi="仿宋" w:eastAsia="仿宋" w:cs="仿宋"/>
          <w:b w:val="0"/>
          <w:bCs w:val="0"/>
          <w:i/>
          <w:iCs/>
          <w:color w:val="0623BA"/>
          <w:sz w:val="24"/>
          <w:szCs w:val="24"/>
          <w:u w:val="none" w:color="auto"/>
          <w:vertAlign w:val="baseline"/>
          <w:lang w:val="en-US" w:eastAsia="zh-CN"/>
        </w:rPr>
        <w:t>光伏发电系统在并网处应设置并网控制装置并应设置专用标识和提示性文字符号；</w:t>
      </w:r>
    </w:p>
    <w:p w14:paraId="155217BA">
      <w:pPr>
        <w:snapToGrid w:val="0"/>
        <w:spacing w:line="300" w:lineRule="auto"/>
        <w:ind w:firstLine="240" w:firstLineChars="100"/>
        <w:jc w:val="left"/>
        <w:rPr>
          <w:rFonts w:hint="default" w:ascii="仿宋" w:hAnsi="仿宋" w:eastAsia="仿宋" w:cs="仿宋"/>
          <w:i/>
          <w:iCs/>
          <w:color w:val="0623BA"/>
          <w:sz w:val="24"/>
          <w:lang w:val="en-US"/>
        </w:rPr>
      </w:pPr>
      <w:r>
        <w:rPr>
          <w:rFonts w:hint="eastAsia" w:ascii="仿宋" w:hAnsi="仿宋" w:eastAsia="仿宋" w:cs="仿宋"/>
          <w:b w:val="0"/>
          <w:bCs w:val="0"/>
          <w:i/>
          <w:iCs/>
          <w:color w:val="0623BA"/>
          <w:sz w:val="24"/>
          <w:szCs w:val="24"/>
          <w:u w:val="none"/>
          <w:vertAlign w:val="baseline"/>
          <w:lang w:val="en-US" w:eastAsia="zh-CN"/>
        </w:rPr>
        <w:t xml:space="preserve">3 </w:t>
      </w:r>
      <w:r>
        <w:rPr>
          <w:rFonts w:hint="eastAsia" w:ascii="仿宋" w:hAnsi="仿宋" w:eastAsia="仿宋" w:cs="仿宋"/>
          <w:b w:val="0"/>
          <w:bCs w:val="0"/>
          <w:i/>
          <w:iCs/>
          <w:color w:val="0623BA"/>
          <w:sz w:val="24"/>
          <w:szCs w:val="24"/>
          <w:u w:val="none" w:color="auto"/>
          <w:vertAlign w:val="baseline"/>
          <w:lang w:val="en-US" w:eastAsia="zh-CN"/>
        </w:rPr>
        <w:t>人员可触及的可导电的光伏组件部位应采取电击安全防护措施并设警示标识</w:t>
      </w:r>
      <w:r>
        <w:rPr>
          <w:rFonts w:hint="eastAsia" w:ascii="仿宋" w:hAnsi="仿宋" w:eastAsia="仿宋" w:cs="仿宋"/>
          <w:b w:val="0"/>
          <w:bCs w:val="0"/>
          <w:i/>
          <w:iCs/>
          <w:color w:val="0623BA"/>
          <w:sz w:val="24"/>
          <w:szCs w:val="24"/>
          <w:u w:val="none"/>
          <w:vertAlign w:val="baseline"/>
          <w:lang w:val="en-US" w:eastAsia="zh-CN"/>
        </w:rPr>
        <w:t>。</w:t>
      </w:r>
    </w:p>
    <w:p w14:paraId="453F9A09">
      <w:pPr>
        <w:snapToGrid w:val="0"/>
        <w:spacing w:line="300" w:lineRule="auto"/>
        <w:jc w:val="left"/>
        <w:rPr>
          <w:sz w:val="24"/>
        </w:rPr>
      </w:pPr>
      <w:r>
        <w:rPr>
          <w:b/>
          <w:bCs/>
          <w:sz w:val="24"/>
        </w:rPr>
        <w:t>5.1.7</w:t>
      </w:r>
      <w:r>
        <w:rPr>
          <w:sz w:val="24"/>
        </w:rPr>
        <w:t xml:space="preserve"> 安装在建筑各部位或直接构成建筑围护结构的光伏组件，应满足该部位的使用功能、结构安全、电气安全及建筑节能要求。</w:t>
      </w:r>
    </w:p>
    <w:p w14:paraId="34544D8A">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D9AD1D5">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5.1.7 光伏方阵作为屋面板、阳台栏板、幕墙或墙板使用时应满足屋面板、阳台栏板、幕墙及墙板的结构安全，保温、隔热等建筑节能性能，以及防火和防漏电等安全要求和防水等技术要求。</w:t>
      </w:r>
    </w:p>
    <w:p w14:paraId="33C884DE">
      <w:pPr>
        <w:pStyle w:val="2"/>
        <w:snapToGrid w:val="0"/>
        <w:spacing w:line="300" w:lineRule="auto"/>
        <w:jc w:val="left"/>
        <w:rPr>
          <w:rFonts w:hint="eastAsia"/>
          <w:sz w:val="24"/>
          <w:highlight w:val="none"/>
        </w:rPr>
      </w:pPr>
      <w:r>
        <w:rPr>
          <w:b/>
          <w:bCs/>
          <w:sz w:val="24"/>
          <w:highlight w:val="none"/>
        </w:rPr>
        <w:t>5.1.8</w:t>
      </w:r>
      <w:r>
        <w:rPr>
          <w:sz w:val="24"/>
          <w:highlight w:val="none"/>
        </w:rPr>
        <w:t xml:space="preserve"> </w:t>
      </w:r>
      <w:r>
        <w:rPr>
          <w:rFonts w:hint="eastAsia"/>
          <w:sz w:val="24"/>
          <w:highlight w:val="none"/>
        </w:rPr>
        <w:t>支架和光伏组件寿命</w:t>
      </w:r>
      <w:r>
        <w:rPr>
          <w:rFonts w:hint="eastAsia"/>
          <w:sz w:val="24"/>
          <w:highlight w:val="none"/>
          <w:lang w:val="en-US" w:eastAsia="zh-CN"/>
        </w:rPr>
        <w:t>应</w:t>
      </w:r>
      <w:r>
        <w:rPr>
          <w:rFonts w:hint="eastAsia"/>
          <w:sz w:val="24"/>
          <w:highlight w:val="none"/>
        </w:rPr>
        <w:t>匹配。</w:t>
      </w:r>
    </w:p>
    <w:p w14:paraId="721CCEB2">
      <w:pPr>
        <w:snapToGrid w:val="0"/>
        <w:spacing w:line="300" w:lineRule="auto"/>
        <w:jc w:val="left"/>
        <w:rPr>
          <w:sz w:val="24"/>
          <w:highlight w:val="none"/>
        </w:rPr>
      </w:pPr>
      <w:r>
        <w:rPr>
          <w:rFonts w:hint="eastAsia"/>
          <w:b/>
          <w:bCs/>
          <w:sz w:val="24"/>
          <w:highlight w:val="none"/>
        </w:rPr>
        <w:t>5.1.9</w:t>
      </w:r>
      <w:r>
        <w:rPr>
          <w:sz w:val="24"/>
          <w:highlight w:val="none"/>
        </w:rPr>
        <w:t xml:space="preserve"> 光伏方阵宜配置清洗设备并就近预留用于清洁的给水点。</w:t>
      </w:r>
    </w:p>
    <w:p w14:paraId="685CC49D">
      <w:pPr>
        <w:keepNext/>
        <w:keepLines/>
        <w:snapToGrid w:val="0"/>
        <w:spacing w:before="72" w:beforeLines="30" w:after="72" w:afterLines="30" w:line="300" w:lineRule="auto"/>
        <w:jc w:val="center"/>
        <w:outlineLvl w:val="2"/>
        <w:rPr>
          <w:b/>
          <w:sz w:val="24"/>
          <w:szCs w:val="32"/>
        </w:rPr>
      </w:pPr>
      <w:bookmarkStart w:id="129" w:name="_Toc20553"/>
      <w:bookmarkStart w:id="130" w:name="_Toc20865"/>
      <w:bookmarkStart w:id="131" w:name="_Toc0"/>
      <w:bookmarkStart w:id="132" w:name="_Toc3586"/>
      <w:bookmarkStart w:id="133" w:name="_Toc9547"/>
      <w:bookmarkStart w:id="134" w:name="_Toc2574"/>
      <w:bookmarkStart w:id="135" w:name="_Toc1345"/>
      <w:bookmarkStart w:id="136" w:name="_Toc14177"/>
      <w:r>
        <w:rPr>
          <w:b/>
          <w:sz w:val="24"/>
          <w:szCs w:val="32"/>
        </w:rPr>
        <w:t>5.2规划</w:t>
      </w:r>
      <w:r>
        <w:rPr>
          <w:rFonts w:hint="default"/>
          <w:b/>
          <w:sz w:val="24"/>
          <w:szCs w:val="32"/>
          <w:lang w:val="en-US" w:eastAsia="zh-CN"/>
        </w:rPr>
        <w:t>和建筑</w:t>
      </w:r>
      <w:bookmarkEnd w:id="129"/>
      <w:bookmarkEnd w:id="130"/>
      <w:bookmarkEnd w:id="131"/>
      <w:bookmarkEnd w:id="132"/>
      <w:bookmarkEnd w:id="133"/>
      <w:bookmarkEnd w:id="134"/>
      <w:bookmarkEnd w:id="135"/>
      <w:bookmarkEnd w:id="136"/>
    </w:p>
    <w:p w14:paraId="1394AD8B">
      <w:pPr>
        <w:snapToGrid w:val="0"/>
        <w:spacing w:line="300" w:lineRule="auto"/>
        <w:jc w:val="left"/>
        <w:rPr>
          <w:sz w:val="24"/>
          <w:highlight w:val="cyan"/>
        </w:rPr>
      </w:pPr>
      <w:r>
        <w:rPr>
          <w:b/>
          <w:bCs/>
          <w:sz w:val="24"/>
        </w:rPr>
        <w:t>5.2.1</w:t>
      </w:r>
      <w:r>
        <w:rPr>
          <w:sz w:val="24"/>
        </w:rPr>
        <w:t xml:space="preserve"> 光伏系统规划设计应进行太阳能辐射量、建筑物、电网等方面的资源评估</w:t>
      </w:r>
      <w:r>
        <w:rPr>
          <w:rFonts w:hint="eastAsia"/>
          <w:sz w:val="24"/>
        </w:rPr>
        <w:t>。</w:t>
      </w:r>
    </w:p>
    <w:p w14:paraId="3F08BBD0">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174E01D0">
      <w:pPr>
        <w:snapToGrid w:val="0"/>
        <w:spacing w:line="300" w:lineRule="auto"/>
        <w:jc w:val="left"/>
        <w:rPr>
          <w:rFonts w:hint="eastAsia" w:ascii="仿宋" w:hAnsi="仿宋" w:eastAsia="宋体" w:cs="仿宋"/>
          <w:i/>
          <w:iCs/>
          <w:color w:val="0623BA"/>
          <w:sz w:val="24"/>
          <w:lang w:val="en-US" w:eastAsia="zh-CN"/>
        </w:rPr>
      </w:pPr>
      <w:r>
        <w:rPr>
          <w:rFonts w:hint="eastAsia" w:ascii="仿宋" w:hAnsi="仿宋" w:eastAsia="仿宋" w:cs="仿宋"/>
          <w:i/>
          <w:iCs/>
          <w:color w:val="0623BA"/>
          <w:sz w:val="24"/>
        </w:rPr>
        <w:t xml:space="preserve">5.2.1 </w:t>
      </w:r>
      <w:r>
        <w:rPr>
          <w:rFonts w:hint="eastAsia" w:ascii="仿宋" w:hAnsi="仿宋" w:eastAsia="仿宋" w:cs="仿宋"/>
          <w:i/>
          <w:iCs/>
          <w:color w:val="0623BA"/>
          <w:sz w:val="24"/>
          <w:lang w:val="en-US" w:eastAsia="zh-CN"/>
        </w:rPr>
        <w:t>本条要求对</w:t>
      </w:r>
      <w:r>
        <w:rPr>
          <w:rFonts w:hint="eastAsia" w:ascii="仿宋" w:hAnsi="仿宋" w:eastAsia="仿宋" w:cs="仿宋"/>
          <w:i/>
          <w:iCs/>
          <w:color w:val="0623BA"/>
          <w:sz w:val="24"/>
        </w:rPr>
        <w:t>太阳能辐射量、建筑物、电网等方面的资源评估</w:t>
      </w:r>
      <w:r>
        <w:rPr>
          <w:rFonts w:hint="default" w:ascii="仿宋" w:hAnsi="仿宋" w:eastAsia="仿宋" w:cs="仿宋"/>
          <w:i/>
          <w:iCs/>
          <w:color w:val="0623BA"/>
          <w:sz w:val="24"/>
          <w:lang w:eastAsia="zh-CN"/>
        </w:rPr>
        <w:t>：</w:t>
      </w:r>
    </w:p>
    <w:p w14:paraId="4C8B68A1">
      <w:pPr>
        <w:snapToGrid w:val="0"/>
        <w:spacing w:line="300" w:lineRule="auto"/>
        <w:ind w:firstLine="480" w:firstLineChars="200"/>
        <w:jc w:val="left"/>
        <w:rPr>
          <w:rFonts w:hint="eastAsia" w:ascii="仿宋" w:hAnsi="仿宋" w:eastAsia="仿宋" w:cs="仿宋"/>
          <w:i/>
          <w:iCs/>
          <w:color w:val="0623BA"/>
          <w:sz w:val="24"/>
          <w:lang w:eastAsia="zh-CN"/>
        </w:rPr>
      </w:pPr>
      <w:r>
        <w:rPr>
          <w:rFonts w:hint="eastAsia" w:ascii="仿宋" w:hAnsi="仿宋" w:eastAsia="仿宋" w:cs="仿宋"/>
          <w:i/>
          <w:iCs/>
          <w:color w:val="0623BA"/>
          <w:sz w:val="24"/>
        </w:rPr>
        <w:t>1 太阳能辐射资源是测算发电量的基本数据，可以此来判断项目在经济上的可行性。可从当地气象站取得最近10年水平面各月平均总辐射和散射辐射数据或从其它途径获得</w:t>
      </w:r>
      <w:r>
        <w:rPr>
          <w:rFonts w:hint="eastAsia" w:ascii="仿宋" w:hAnsi="仿宋" w:eastAsia="仿宋" w:cs="仿宋"/>
          <w:i/>
          <w:iCs/>
          <w:color w:val="0623BA"/>
          <w:sz w:val="24"/>
          <w:lang w:eastAsia="zh-CN"/>
        </w:rPr>
        <w:t>；</w:t>
      </w:r>
    </w:p>
    <w:p w14:paraId="01B4E738">
      <w:pPr>
        <w:snapToGrid w:val="0"/>
        <w:spacing w:line="300" w:lineRule="auto"/>
        <w:ind w:firstLine="480" w:firstLineChars="200"/>
        <w:jc w:val="left"/>
        <w:rPr>
          <w:rFonts w:hint="eastAsia" w:ascii="仿宋" w:hAnsi="仿宋" w:eastAsia="仿宋" w:cs="仿宋"/>
          <w:i/>
          <w:iCs/>
          <w:color w:val="0623BA"/>
          <w:sz w:val="24"/>
          <w:lang w:eastAsia="zh-CN"/>
        </w:rPr>
      </w:pPr>
      <w:r>
        <w:rPr>
          <w:rFonts w:hint="eastAsia" w:ascii="仿宋" w:hAnsi="仿宋" w:eastAsia="仿宋" w:cs="仿宋"/>
          <w:i/>
          <w:iCs/>
          <w:color w:val="0623BA"/>
          <w:sz w:val="24"/>
        </w:rPr>
        <w:t>2 建筑物资源</w:t>
      </w:r>
      <w:r>
        <w:rPr>
          <w:rFonts w:hint="eastAsia" w:ascii="仿宋" w:hAnsi="仿宋" w:eastAsia="仿宋" w:cs="仿宋"/>
          <w:i/>
          <w:iCs/>
          <w:color w:val="0623BA"/>
          <w:sz w:val="24"/>
          <w:lang w:val="en-US" w:eastAsia="zh-CN"/>
        </w:rPr>
        <w:t>是</w:t>
      </w:r>
      <w:r>
        <w:rPr>
          <w:rFonts w:hint="eastAsia" w:ascii="仿宋" w:hAnsi="仿宋" w:eastAsia="仿宋" w:cs="仿宋"/>
          <w:i/>
          <w:iCs/>
          <w:color w:val="0623BA"/>
          <w:sz w:val="24"/>
        </w:rPr>
        <w:t>建筑物可安装光伏系统的资源是确定光伏系统装机容量的重要依据之一，应根据建筑功能要求确定何处可安装、何种形式安装及选用何种类型太阳能光伏组件</w:t>
      </w:r>
      <w:r>
        <w:rPr>
          <w:rFonts w:hint="eastAsia" w:ascii="仿宋" w:hAnsi="仿宋" w:eastAsia="仿宋" w:cs="仿宋"/>
          <w:i/>
          <w:iCs/>
          <w:color w:val="0623BA"/>
          <w:sz w:val="24"/>
          <w:lang w:eastAsia="zh-CN"/>
        </w:rPr>
        <w:t>；</w:t>
      </w:r>
    </w:p>
    <w:p w14:paraId="06E1FF57">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3 电网资源主要指建筑配电系统有多大接受光伏系统的能力，及电网线路连接的可行性、合理性。</w:t>
      </w:r>
    </w:p>
    <w:p w14:paraId="6AB43909">
      <w:pPr>
        <w:snapToGrid w:val="0"/>
        <w:spacing w:line="300" w:lineRule="auto"/>
        <w:jc w:val="left"/>
        <w:rPr>
          <w:sz w:val="24"/>
        </w:rPr>
      </w:pPr>
      <w:r>
        <w:rPr>
          <w:b/>
          <w:bCs/>
          <w:sz w:val="24"/>
        </w:rPr>
        <w:t>5.2.</w:t>
      </w:r>
      <w:r>
        <w:rPr>
          <w:rFonts w:hint="eastAsia"/>
          <w:b/>
          <w:bCs/>
          <w:sz w:val="24"/>
          <w:lang w:val="en-US" w:eastAsia="zh-CN"/>
        </w:rPr>
        <w:t>2</w:t>
      </w:r>
      <w:r>
        <w:rPr>
          <w:rFonts w:hint="eastAsia"/>
          <w:b/>
          <w:bCs/>
          <w:sz w:val="24"/>
        </w:rPr>
        <w:t xml:space="preserve"> </w:t>
      </w:r>
      <w:r>
        <w:rPr>
          <w:rFonts w:hint="eastAsia"/>
          <w:sz w:val="24"/>
        </w:rPr>
        <w:t xml:space="preserve"> 建筑太阳能光伏系统的规划设计应根据建筑场地条件、建筑功能、所在地区气候及太阳能资源条件等因素，统筹确定建筑的布局、朝向、间距、群体组合和空间环境，满足光伏系统设计和安装技术要求。</w:t>
      </w:r>
    </w:p>
    <w:p w14:paraId="33C3B01F">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66132EF">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5.2.</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根据安装光伏系统的区域气候特征及太阳能资源条件，合理进行建筑群体的规划和建筑朝向的选择。建筑群体或建筑单体朝南可为光伏系统接收更多的太阳能创造条件。</w:t>
      </w:r>
    </w:p>
    <w:p w14:paraId="702EF2C4">
      <w:pPr>
        <w:snapToGrid w:val="0"/>
        <w:spacing w:line="300" w:lineRule="auto"/>
        <w:jc w:val="left"/>
        <w:rPr>
          <w:sz w:val="24"/>
        </w:rPr>
      </w:pPr>
      <w:r>
        <w:rPr>
          <w:b/>
          <w:bCs/>
          <w:sz w:val="24"/>
        </w:rPr>
        <w:t>5.2.</w:t>
      </w:r>
      <w:r>
        <w:rPr>
          <w:rFonts w:hint="eastAsia"/>
          <w:b/>
          <w:bCs/>
          <w:sz w:val="24"/>
          <w:lang w:val="en-US" w:eastAsia="zh-CN"/>
        </w:rPr>
        <w:t>3</w:t>
      </w:r>
      <w:r>
        <w:rPr>
          <w:rFonts w:hint="eastAsia"/>
          <w:sz w:val="24"/>
        </w:rPr>
        <w:t xml:space="preserve"> </w:t>
      </w:r>
      <w:r>
        <w:rPr>
          <w:sz w:val="24"/>
        </w:rPr>
        <w:t>安装光伏发电系统的建筑主要朝向不为南向时，光伏组件宜按最佳朝向布置，建筑设计宜为其提供条件 。</w:t>
      </w:r>
    </w:p>
    <w:p w14:paraId="699B8FD7">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EC7F34B">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5.2.</w:t>
      </w: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 xml:space="preserve"> 安装光伏发电系统的建筑</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其朝向直接影响到光伏组件的设置</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特别是对设置在墙面、坡屋面等部位的光伏组件的发电效果影响较大且影响住宅等建筑的日照标准。当建筑的偏转角度较大时</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光伏组件尽量按最佳朝向布置</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以获得最佳的日照条件。</w:t>
      </w:r>
    </w:p>
    <w:p w14:paraId="0170749F">
      <w:pPr>
        <w:snapToGrid w:val="0"/>
        <w:spacing w:line="300" w:lineRule="auto"/>
        <w:jc w:val="left"/>
        <w:rPr>
          <w:sz w:val="24"/>
        </w:rPr>
      </w:pPr>
      <w:r>
        <w:rPr>
          <w:b/>
          <w:bCs/>
          <w:sz w:val="24"/>
        </w:rPr>
        <w:t>5.</w:t>
      </w:r>
      <w:r>
        <w:rPr>
          <w:rFonts w:hint="eastAsia"/>
          <w:b/>
          <w:bCs/>
          <w:sz w:val="24"/>
          <w:lang w:val="en-US" w:eastAsia="zh-CN"/>
        </w:rPr>
        <w:t>2</w:t>
      </w:r>
      <w:r>
        <w:rPr>
          <w:b/>
          <w:bCs/>
          <w:sz w:val="24"/>
        </w:rPr>
        <w:t>.</w:t>
      </w:r>
      <w:r>
        <w:rPr>
          <w:rFonts w:hint="eastAsia"/>
          <w:b/>
          <w:bCs/>
          <w:sz w:val="24"/>
          <w:lang w:val="en-US" w:eastAsia="zh-CN"/>
        </w:rPr>
        <w:t>4</w:t>
      </w:r>
      <w:r>
        <w:rPr>
          <w:sz w:val="24"/>
        </w:rPr>
        <w:t xml:space="preserve"> 建筑光伏系统的设计应根据建筑效果、设计理念、可利用面积、安装场地和周边环境等因素选择光伏组件的类型、尺寸、颜色和安装位置。</w:t>
      </w:r>
    </w:p>
    <w:p w14:paraId="2262F405">
      <w:pPr>
        <w:snapToGrid w:val="0"/>
        <w:spacing w:line="300" w:lineRule="auto"/>
        <w:jc w:val="left"/>
        <w:rPr>
          <w:sz w:val="24"/>
        </w:rPr>
      </w:pPr>
      <w:r>
        <w:rPr>
          <w:b/>
          <w:bCs/>
          <w:sz w:val="24"/>
        </w:rPr>
        <w:t>5.</w:t>
      </w:r>
      <w:r>
        <w:rPr>
          <w:rFonts w:hint="eastAsia"/>
          <w:b/>
          <w:bCs/>
          <w:sz w:val="24"/>
          <w:lang w:val="en-US" w:eastAsia="zh-CN"/>
        </w:rPr>
        <w:t>2.5</w:t>
      </w:r>
      <w:r>
        <w:rPr>
          <w:sz w:val="24"/>
        </w:rPr>
        <w:t>建筑体形</w:t>
      </w:r>
      <w:r>
        <w:rPr>
          <w:rFonts w:hint="eastAsia"/>
          <w:sz w:val="24"/>
          <w:lang w:eastAsia="zh-CN"/>
        </w:rPr>
        <w:t>、</w:t>
      </w:r>
      <w:r>
        <w:rPr>
          <w:sz w:val="24"/>
        </w:rPr>
        <w:t>空间组合</w:t>
      </w:r>
      <w:r>
        <w:rPr>
          <w:rFonts w:hint="default" w:ascii="Times New Roman" w:hAnsi="Times New Roman" w:eastAsia="宋体" w:cs="Times New Roman"/>
          <w:b w:val="0"/>
          <w:bCs w:val="0"/>
          <w:sz w:val="24"/>
          <w:szCs w:val="24"/>
          <w:u w:val="none" w:color="auto"/>
          <w:vertAlign w:val="baseline"/>
          <w:lang w:val="en-US" w:eastAsia="zh-CN"/>
        </w:rPr>
        <w:t>及使用功能</w:t>
      </w:r>
      <w:r>
        <w:rPr>
          <w:sz w:val="24"/>
        </w:rPr>
        <w:t>为光伏组件接收充足的日照创造条件</w:t>
      </w:r>
      <w:r>
        <w:rPr>
          <w:rFonts w:hint="eastAsia"/>
          <w:sz w:val="24"/>
          <w:lang w:eastAsia="zh-CN"/>
        </w:rPr>
        <w:t>。</w:t>
      </w:r>
      <w:r>
        <w:rPr>
          <w:sz w:val="24"/>
        </w:rPr>
        <w:t>光伏组件的安装部位应避免受环境或建筑自身及组件自身的遮挡。</w:t>
      </w:r>
    </w:p>
    <w:p w14:paraId="2625D8D1">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68D7D02">
      <w:pPr>
        <w:snapToGrid w:val="0"/>
        <w:spacing w:line="300" w:lineRule="auto"/>
        <w:jc w:val="left"/>
        <w:rPr>
          <w:rFonts w:hint="eastAsia" w:ascii="仿宋" w:hAnsi="仿宋" w:eastAsia="仿宋" w:cs="仿宋"/>
          <w:i/>
          <w:iCs/>
          <w:color w:val="0623BA"/>
          <w:sz w:val="24"/>
        </w:rPr>
      </w:pPr>
      <w:r>
        <w:rPr>
          <w:rFonts w:hint="eastAsia" w:ascii="仿宋" w:hAnsi="仿宋" w:eastAsia="仿宋" w:cs="仿宋"/>
          <w:b w:val="0"/>
          <w:bCs w:val="0"/>
          <w:i/>
          <w:iCs/>
          <w:color w:val="0623BA"/>
          <w:sz w:val="24"/>
        </w:rPr>
        <w:t>5.</w:t>
      </w:r>
      <w:r>
        <w:rPr>
          <w:rFonts w:hint="eastAsia" w:ascii="仿宋" w:hAnsi="仿宋" w:eastAsia="仿宋" w:cs="仿宋"/>
          <w:b w:val="0"/>
          <w:bCs w:val="0"/>
          <w:i/>
          <w:iCs/>
          <w:color w:val="0623BA"/>
          <w:sz w:val="24"/>
          <w:lang w:val="en-US" w:eastAsia="zh-CN"/>
        </w:rPr>
        <w:t>2</w:t>
      </w:r>
      <w:r>
        <w:rPr>
          <w:rFonts w:hint="eastAsia" w:ascii="仿宋" w:hAnsi="仿宋" w:eastAsia="仿宋" w:cs="仿宋"/>
          <w:b w:val="0"/>
          <w:bCs w:val="0"/>
          <w:i/>
          <w:iCs/>
          <w:color w:val="0623BA"/>
          <w:sz w:val="24"/>
        </w:rPr>
        <w:t>.</w:t>
      </w:r>
      <w:r>
        <w:rPr>
          <w:rFonts w:hint="eastAsia" w:ascii="仿宋" w:hAnsi="仿宋" w:eastAsia="仿宋" w:cs="仿宋"/>
          <w:b w:val="0"/>
          <w:bCs w:val="0"/>
          <w:i/>
          <w:iCs/>
          <w:color w:val="0623BA"/>
          <w:sz w:val="24"/>
          <w:lang w:val="en-US" w:eastAsia="zh-CN"/>
        </w:rPr>
        <w:t>5</w:t>
      </w:r>
      <w:r>
        <w:rPr>
          <w:rFonts w:hint="eastAsia" w:ascii="仿宋" w:hAnsi="仿宋" w:eastAsia="仿宋" w:cs="仿宋"/>
          <w:b w:val="0"/>
          <w:bCs w:val="0"/>
          <w:i/>
          <w:iCs/>
          <w:color w:val="0623BA"/>
          <w:sz w:val="24"/>
        </w:rPr>
        <w:t xml:space="preserve"> </w:t>
      </w:r>
      <w:r>
        <w:rPr>
          <w:rFonts w:hint="eastAsia" w:ascii="仿宋" w:hAnsi="仿宋" w:eastAsia="仿宋" w:cs="仿宋"/>
          <w:i/>
          <w:iCs/>
          <w:color w:val="0623BA"/>
          <w:sz w:val="24"/>
        </w:rPr>
        <w:t>光伏组件安装在建筑屋面、阳台、墙面或其他部位，不应有任何障碍物遮挡太阳光。光伏组件总面积根据需要电量、建筑上允许的安装面积、当地的气候条件等因素确定。有时，为争取更多的采光面积。建筑平面往往凹凸不规则，容易造成建筑自身对太阳光的遮挡。除此以外，对于体形为L形，</w:t>
      </w:r>
      <w:r>
        <w:rPr>
          <w:rFonts w:hint="eastAsia" w:ascii="仿宋" w:hAnsi="仿宋" w:eastAsia="仿宋" w:cs="仿宋"/>
          <w:i/>
          <w:iCs/>
          <w:color w:val="0623BA"/>
          <w:sz w:val="24"/>
        </w:rPr>
        <w:drawing>
          <wp:inline distT="0" distB="0" distL="114300" distR="114300">
            <wp:extent cx="245745" cy="189865"/>
            <wp:effectExtent l="0" t="0" r="1905" b="635"/>
            <wp:docPr id="175097244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72441" name="图片 46"/>
                    <pic:cNvPicPr>
                      <a:picLocks noChangeAspect="1"/>
                    </pic:cNvPicPr>
                  </pic:nvPicPr>
                  <pic:blipFill>
                    <a:blip r:embed="rId14"/>
                    <a:stretch>
                      <a:fillRect/>
                    </a:stretch>
                  </pic:blipFill>
                  <pic:spPr>
                    <a:xfrm>
                      <a:off x="0" y="0"/>
                      <a:ext cx="245745" cy="189865"/>
                    </a:xfrm>
                    <a:prstGeom prst="rect">
                      <a:avLst/>
                    </a:prstGeom>
                    <a:noFill/>
                    <a:ln>
                      <a:noFill/>
                    </a:ln>
                  </pic:spPr>
                </pic:pic>
              </a:graphicData>
            </a:graphic>
          </wp:inline>
        </w:drawing>
      </w:r>
      <w:r>
        <w:rPr>
          <w:rFonts w:hint="eastAsia" w:ascii="仿宋" w:hAnsi="仿宋" w:eastAsia="仿宋" w:cs="仿宋"/>
          <w:i/>
          <w:iCs/>
          <w:color w:val="0623BA"/>
          <w:sz w:val="24"/>
        </w:rPr>
        <w:t>形的平面，也要注意避免自身的遮挡。</w:t>
      </w:r>
    </w:p>
    <w:p w14:paraId="48240416">
      <w:pPr>
        <w:pStyle w:val="7"/>
        <w:spacing w:line="300" w:lineRule="auto"/>
        <w:rPr>
          <w:b w:val="0"/>
          <w:bCs w:val="0"/>
          <w:sz w:val="24"/>
          <w:szCs w:val="24"/>
        </w:rPr>
      </w:pPr>
      <w:r>
        <w:rPr>
          <w:rFonts w:hint="default"/>
          <w:b/>
          <w:bCs/>
          <w:sz w:val="24"/>
          <w:szCs w:val="24"/>
        </w:rPr>
        <w:t>5</w:t>
      </w:r>
      <w:r>
        <w:rPr>
          <w:b/>
          <w:bCs/>
          <w:sz w:val="24"/>
          <w:szCs w:val="24"/>
        </w:rPr>
        <w:t>.2.</w:t>
      </w:r>
      <w:r>
        <w:rPr>
          <w:rFonts w:hint="eastAsia"/>
          <w:b/>
          <w:bCs/>
          <w:sz w:val="24"/>
          <w:szCs w:val="24"/>
          <w:lang w:val="en-US" w:eastAsia="zh-CN"/>
        </w:rPr>
        <w:t>6</w:t>
      </w:r>
      <w:r>
        <w:rPr>
          <w:b/>
          <w:bCs/>
          <w:sz w:val="24"/>
          <w:szCs w:val="24"/>
        </w:rPr>
        <w:t xml:space="preserve"> </w:t>
      </w:r>
      <w:r>
        <w:rPr>
          <w:rFonts w:hint="default"/>
          <w:b w:val="0"/>
          <w:bCs w:val="0"/>
          <w:sz w:val="24"/>
          <w:szCs w:val="24"/>
        </w:rPr>
        <w:t>应考虑墙面各类突出构件对立面光伏发电效率的影响。在立面布置光伏组件前应进行日照分析和阴影计算，依据分析结果进行合理布置。</w:t>
      </w:r>
    </w:p>
    <w:p w14:paraId="44ADB6F9">
      <w:pPr>
        <w:snapToGrid w:val="0"/>
        <w:spacing w:line="300" w:lineRule="auto"/>
        <w:jc w:val="left"/>
        <w:rPr>
          <w:rFonts w:ascii="仿宋" w:hAnsi="仿宋" w:eastAsia="仿宋" w:cs="仿宋"/>
          <w:b/>
          <w:bCs/>
          <w:i/>
          <w:iCs/>
          <w:color w:val="0623BA"/>
          <w:sz w:val="24"/>
        </w:rPr>
      </w:pPr>
      <w:r>
        <w:rPr>
          <w:rFonts w:hint="eastAsia" w:ascii="仿宋" w:hAnsi="仿宋" w:eastAsia="仿宋" w:cs="仿宋"/>
          <w:b/>
          <w:bCs/>
          <w:i/>
          <w:iCs/>
          <w:color w:val="0623BA"/>
          <w:sz w:val="24"/>
        </w:rPr>
        <w:t>【条文说明】</w:t>
      </w:r>
    </w:p>
    <w:p w14:paraId="050ECE20">
      <w:pPr>
        <w:pStyle w:val="7"/>
        <w:spacing w:line="300" w:lineRule="auto"/>
        <w:rPr>
          <w:rFonts w:hint="eastAsia" w:ascii="仿宋" w:hAnsi="仿宋" w:eastAsia="仿宋" w:cs="仿宋"/>
          <w:i/>
          <w:iCs/>
          <w:color w:val="0623BA"/>
          <w:sz w:val="24"/>
          <w:szCs w:val="24"/>
        </w:rPr>
      </w:pPr>
      <w:r>
        <w:rPr>
          <w:rFonts w:hint="eastAsia" w:ascii="仿宋" w:hAnsi="仿宋" w:eastAsia="仿宋" w:cs="仿宋"/>
          <w:b w:val="0"/>
          <w:bCs w:val="0"/>
          <w:i/>
          <w:iCs/>
          <w:color w:val="0623BA"/>
          <w:sz w:val="24"/>
          <w:szCs w:val="24"/>
        </w:rPr>
        <w:t>5.2.</w:t>
      </w:r>
      <w:r>
        <w:rPr>
          <w:rFonts w:hint="eastAsia" w:ascii="仿宋" w:hAnsi="仿宋" w:eastAsia="仿宋" w:cs="仿宋"/>
          <w:b w:val="0"/>
          <w:bCs w:val="0"/>
          <w:i/>
          <w:iCs/>
          <w:color w:val="0623BA"/>
          <w:sz w:val="24"/>
          <w:szCs w:val="24"/>
          <w:lang w:val="en-US" w:eastAsia="zh-CN"/>
        </w:rPr>
        <w:t>6</w:t>
      </w:r>
      <w:r>
        <w:rPr>
          <w:rFonts w:hint="eastAsia" w:ascii="仿宋" w:hAnsi="仿宋" w:eastAsia="仿宋" w:cs="仿宋"/>
          <w:b w:val="0"/>
          <w:bCs w:val="0"/>
          <w:i/>
          <w:iCs/>
          <w:color w:val="0623BA"/>
          <w:sz w:val="24"/>
          <w:szCs w:val="24"/>
        </w:rPr>
        <w:t xml:space="preserve"> </w:t>
      </w:r>
      <w:r>
        <w:rPr>
          <w:rFonts w:hint="eastAsia" w:ascii="仿宋" w:hAnsi="仿宋" w:eastAsia="仿宋" w:cs="仿宋"/>
          <w:i/>
          <w:iCs/>
          <w:color w:val="0623BA"/>
          <w:sz w:val="24"/>
          <w:szCs w:val="24"/>
        </w:rPr>
        <w:t>应是对光伏组件进行日照分析和阴影分析。</w:t>
      </w:r>
    </w:p>
    <w:p w14:paraId="656288E8">
      <w:pPr>
        <w:snapToGrid/>
        <w:spacing w:line="300" w:lineRule="auto"/>
        <w:rPr>
          <w:sz w:val="24"/>
        </w:rPr>
      </w:pPr>
      <w:bookmarkStart w:id="137" w:name="_Toc10630"/>
      <w:r>
        <w:rPr>
          <w:b/>
          <w:bCs/>
          <w:sz w:val="24"/>
        </w:rPr>
        <w:t>5.</w:t>
      </w:r>
      <w:r>
        <w:rPr>
          <w:rFonts w:hint="default"/>
          <w:b/>
          <w:bCs/>
          <w:sz w:val="24"/>
          <w:lang w:val="en-US" w:eastAsia="zh-CN"/>
        </w:rPr>
        <w:t>2</w:t>
      </w:r>
      <w:r>
        <w:rPr>
          <w:b/>
          <w:bCs/>
          <w:sz w:val="24"/>
        </w:rPr>
        <w:t>.</w:t>
      </w:r>
      <w:r>
        <w:rPr>
          <w:rFonts w:hint="eastAsia"/>
          <w:b/>
          <w:bCs/>
          <w:sz w:val="24"/>
          <w:lang w:val="en-US" w:eastAsia="zh-CN"/>
        </w:rPr>
        <w:t>7</w:t>
      </w:r>
      <w:r>
        <w:rPr>
          <w:sz w:val="24"/>
        </w:rPr>
        <w:t xml:space="preserve"> 建筑光伏系统与支撑结构作为建筑突出物时，应符合现行国家标准《民用建筑设计统一标准》GB 50352的有关规定。</w:t>
      </w:r>
      <w:bookmarkEnd w:id="137"/>
    </w:p>
    <w:p w14:paraId="4AF6797C">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362D81A">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2.7</w:t>
      </w:r>
      <w:r>
        <w:rPr>
          <w:rFonts w:hint="eastAsia" w:ascii="仿宋" w:hAnsi="仿宋" w:eastAsia="仿宋" w:cs="仿宋"/>
          <w:i/>
          <w:iCs/>
          <w:color w:val="0623BA"/>
          <w:sz w:val="24"/>
        </w:rPr>
        <w:t xml:space="preserve"> 建筑上安装的突出于建筑本体的光伏系统，不能因为其对阳光的遮挡而使本建筑及其他相邻建筑不符合相关日照标准要求。</w:t>
      </w:r>
      <w:r>
        <w:rPr>
          <w:rFonts w:hint="eastAsia" w:ascii="仿宋" w:hAnsi="仿宋" w:eastAsia="仿宋" w:cs="仿宋"/>
          <w:i/>
          <w:iCs/>
          <w:color w:val="0623BA"/>
          <w:sz w:val="24"/>
          <w:lang w:val="en-US" w:eastAsia="zh-CN"/>
        </w:rPr>
        <w:t>应</w:t>
      </w:r>
      <w:r>
        <w:rPr>
          <w:rFonts w:hint="eastAsia" w:ascii="仿宋" w:hAnsi="仿宋" w:eastAsia="仿宋" w:cs="仿宋"/>
          <w:i/>
          <w:iCs/>
          <w:color w:val="0623BA"/>
          <w:sz w:val="24"/>
        </w:rPr>
        <w:t>符合现行国家标准《民用建筑设计统一标准》GB 50352的要求。</w:t>
      </w:r>
    </w:p>
    <w:p w14:paraId="1F0902E3">
      <w:pPr>
        <w:snapToGrid w:val="0"/>
        <w:spacing w:line="300" w:lineRule="auto"/>
        <w:jc w:val="left"/>
        <w:rPr>
          <w:sz w:val="24"/>
        </w:rPr>
      </w:pPr>
      <w:r>
        <w:rPr>
          <w:b/>
          <w:bCs/>
          <w:sz w:val="24"/>
        </w:rPr>
        <w:t>5.</w:t>
      </w:r>
      <w:r>
        <w:rPr>
          <w:rFonts w:hint="eastAsia"/>
          <w:b/>
          <w:bCs/>
          <w:sz w:val="24"/>
          <w:lang w:val="en-US" w:eastAsia="zh-CN"/>
        </w:rPr>
        <w:t>2.8</w:t>
      </w:r>
      <w:r>
        <w:rPr>
          <w:sz w:val="24"/>
        </w:rPr>
        <w:t xml:space="preserve"> 光伏组件的布置应满足建筑物的美观要求。</w:t>
      </w:r>
    </w:p>
    <w:p w14:paraId="4BF8DD44">
      <w:pPr>
        <w:snapToGrid w:val="0"/>
        <w:spacing w:line="300" w:lineRule="auto"/>
        <w:jc w:val="left"/>
        <w:rPr>
          <w:sz w:val="24"/>
        </w:rPr>
      </w:pPr>
      <w:r>
        <w:rPr>
          <w:b/>
          <w:bCs/>
          <w:sz w:val="24"/>
        </w:rPr>
        <w:t>5.</w:t>
      </w:r>
      <w:r>
        <w:rPr>
          <w:rFonts w:hint="eastAsia"/>
          <w:b/>
          <w:bCs/>
          <w:sz w:val="24"/>
          <w:lang w:val="en-US" w:eastAsia="zh-CN"/>
        </w:rPr>
        <w:t>2.9</w:t>
      </w:r>
      <w:r>
        <w:rPr>
          <w:sz w:val="24"/>
        </w:rPr>
        <w:t xml:space="preserve"> 光伏组件不宜设置于易触摸到的地方且应在显著位置设置高温和触电的标识。</w:t>
      </w:r>
    </w:p>
    <w:p w14:paraId="41F7E3E5">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74087B7">
      <w:pPr>
        <w:snapToGrid w:val="0"/>
        <w:spacing w:line="300" w:lineRule="auto"/>
        <w:jc w:val="left"/>
        <w:rPr>
          <w:rFonts w:hint="eastAsia" w:ascii="仿宋" w:hAnsi="仿宋" w:eastAsia="仿宋" w:cs="仿宋"/>
          <w:i/>
          <w:iCs/>
          <w:color w:val="0623BA"/>
          <w:sz w:val="24"/>
        </w:rPr>
      </w:pPr>
      <w:r>
        <w:rPr>
          <w:rFonts w:hint="eastAsia" w:ascii="仿宋" w:hAnsi="仿宋" w:eastAsia="仿宋" w:cs="仿宋"/>
          <w:b w:val="0"/>
          <w:bCs w:val="0"/>
          <w:i/>
          <w:iCs/>
          <w:color w:val="0623BA"/>
          <w:sz w:val="24"/>
        </w:rPr>
        <w:t>5.</w:t>
      </w:r>
      <w:r>
        <w:rPr>
          <w:rFonts w:hint="eastAsia" w:ascii="仿宋" w:hAnsi="仿宋" w:eastAsia="仿宋" w:cs="仿宋"/>
          <w:b w:val="0"/>
          <w:bCs w:val="0"/>
          <w:i/>
          <w:iCs/>
          <w:color w:val="0623BA"/>
          <w:sz w:val="24"/>
          <w:lang w:val="en-US" w:eastAsia="zh-CN"/>
        </w:rPr>
        <w:t>2.9</w:t>
      </w:r>
      <w:r>
        <w:rPr>
          <w:rFonts w:hint="eastAsia" w:ascii="仿宋" w:hAnsi="仿宋" w:eastAsia="仿宋" w:cs="仿宋"/>
          <w:i/>
          <w:iCs/>
          <w:color w:val="0623BA"/>
          <w:sz w:val="24"/>
        </w:rPr>
        <w:t>光伏组件安装于人们不</w:t>
      </w:r>
      <w:r>
        <w:rPr>
          <w:rFonts w:hint="eastAsia" w:ascii="仿宋" w:hAnsi="仿宋" w:eastAsia="仿宋" w:cs="仿宋"/>
          <w:i/>
          <w:iCs/>
          <w:color w:val="0623BA"/>
          <w:sz w:val="24"/>
          <w:lang w:val="en-US" w:eastAsia="zh-CN"/>
        </w:rPr>
        <w:t>易</w:t>
      </w:r>
      <w:r>
        <w:rPr>
          <w:rFonts w:hint="eastAsia" w:ascii="仿宋" w:hAnsi="仿宋" w:eastAsia="仿宋" w:cs="仿宋"/>
          <w:i/>
          <w:iCs/>
          <w:color w:val="0623BA"/>
          <w:sz w:val="24"/>
        </w:rPr>
        <w:t>触摸到的地方，在光伏组件背面贴上高温和触电的标识，以示警惕。</w:t>
      </w:r>
    </w:p>
    <w:p w14:paraId="3F0EDE5A">
      <w:pPr>
        <w:snapToGrid w:val="0"/>
        <w:spacing w:line="300" w:lineRule="auto"/>
        <w:jc w:val="left"/>
        <w:rPr>
          <w:sz w:val="24"/>
        </w:rPr>
      </w:pPr>
      <w:r>
        <w:rPr>
          <w:b/>
          <w:bCs/>
          <w:sz w:val="24"/>
        </w:rPr>
        <w:t>5.</w:t>
      </w:r>
      <w:r>
        <w:rPr>
          <w:rFonts w:hint="eastAsia"/>
          <w:b/>
          <w:bCs/>
          <w:sz w:val="24"/>
          <w:lang w:val="en-US" w:eastAsia="zh-CN"/>
        </w:rPr>
        <w:t>2.10</w:t>
      </w:r>
      <w:r>
        <w:rPr>
          <w:sz w:val="24"/>
        </w:rPr>
        <w:t xml:space="preserve"> 光伏组件直接作为屋顶围护结构使用时，其材料和构造应符合屋面防水等级要求。</w:t>
      </w:r>
    </w:p>
    <w:p w14:paraId="2A0C1EB0">
      <w:pPr>
        <w:snapToGrid w:val="0"/>
        <w:spacing w:line="300" w:lineRule="auto"/>
        <w:jc w:val="left"/>
        <w:rPr>
          <w:sz w:val="24"/>
        </w:rPr>
      </w:pPr>
      <w:r>
        <w:rPr>
          <w:b/>
          <w:bCs/>
          <w:sz w:val="24"/>
        </w:rPr>
        <w:t>5.</w:t>
      </w:r>
      <w:r>
        <w:rPr>
          <w:rFonts w:hint="eastAsia"/>
          <w:b/>
          <w:bCs/>
          <w:sz w:val="24"/>
          <w:lang w:val="en-US" w:eastAsia="zh-CN"/>
        </w:rPr>
        <w:t>2.11</w:t>
      </w:r>
      <w:r>
        <w:rPr>
          <w:sz w:val="24"/>
        </w:rPr>
        <w:t xml:space="preserve"> 光伏组件应避开厨房排油烟烟口、屋面排风、排烟道通气管、空调系统等构件布置。</w:t>
      </w:r>
    </w:p>
    <w:p w14:paraId="2438D427">
      <w:pPr>
        <w:snapToGrid w:val="0"/>
        <w:spacing w:line="300" w:lineRule="auto"/>
        <w:jc w:val="left"/>
        <w:rPr>
          <w:sz w:val="24"/>
        </w:rPr>
      </w:pPr>
      <w:r>
        <w:rPr>
          <w:b/>
          <w:bCs/>
          <w:sz w:val="24"/>
        </w:rPr>
        <w:t>5.</w:t>
      </w:r>
      <w:r>
        <w:rPr>
          <w:rFonts w:hint="eastAsia"/>
          <w:b/>
          <w:bCs/>
          <w:sz w:val="24"/>
          <w:lang w:val="en-US" w:eastAsia="zh-CN"/>
        </w:rPr>
        <w:t>2</w:t>
      </w:r>
      <w:r>
        <w:rPr>
          <w:b/>
          <w:bCs/>
          <w:sz w:val="24"/>
        </w:rPr>
        <w:t>.1</w:t>
      </w:r>
      <w:r>
        <w:rPr>
          <w:rFonts w:hint="eastAsia"/>
          <w:b/>
          <w:bCs/>
          <w:sz w:val="24"/>
          <w:lang w:val="en-US" w:eastAsia="zh-CN"/>
        </w:rPr>
        <w:t>2</w:t>
      </w:r>
      <w:r>
        <w:rPr>
          <w:rFonts w:hint="eastAsia"/>
          <w:sz w:val="24"/>
        </w:rPr>
        <w:t xml:space="preserve"> 光伏组件的设计、安装宜采取通风构造措施，保证光伏组件背板温度不高于组件允许的最高工作温度</w:t>
      </w:r>
      <w:r>
        <w:rPr>
          <w:rFonts w:hint="eastAsia"/>
          <w:sz w:val="24"/>
          <w:lang w:eastAsia="zh-CN"/>
        </w:rPr>
        <w:t>，</w:t>
      </w:r>
      <w:r>
        <w:rPr>
          <w:rFonts w:hint="eastAsia"/>
          <w:sz w:val="24"/>
        </w:rPr>
        <w:t>避免光伏组件发电时产生的热量对室内产生不利影响</w:t>
      </w:r>
      <w:r>
        <w:rPr>
          <w:rFonts w:hint="eastAsia"/>
          <w:sz w:val="24"/>
          <w:lang w:val="en-US" w:eastAsia="zh-CN"/>
        </w:rPr>
        <w:t>且</w:t>
      </w:r>
      <w:r>
        <w:rPr>
          <w:rFonts w:hint="eastAsia"/>
          <w:sz w:val="24"/>
        </w:rPr>
        <w:t>不应影响周边设备的安装、维护和通风、散热等要求。</w:t>
      </w:r>
    </w:p>
    <w:p w14:paraId="795CD3F9">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B4AE083">
      <w:pPr>
        <w:snapToGrid w:val="0"/>
        <w:spacing w:line="300" w:lineRule="auto"/>
        <w:jc w:val="left"/>
        <w:rPr>
          <w:rFonts w:hint="eastAsia" w:ascii="仿宋" w:hAnsi="仿宋" w:eastAsia="宋体" w:cs="仿宋"/>
          <w:i/>
          <w:iCs/>
          <w:color w:val="0623BA"/>
          <w:sz w:val="24"/>
          <w:lang w:eastAsia="zh-CN"/>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 xml:space="preserve"> </w:t>
      </w:r>
      <w:r>
        <w:rPr>
          <w:rFonts w:ascii="仿宋" w:hAnsi="仿宋" w:eastAsia="仿宋" w:cs="仿宋"/>
          <w:i/>
          <w:iCs/>
          <w:color w:val="0623BA"/>
          <w:sz w:val="24"/>
        </w:rPr>
        <w:t>光伏组件工作时会产生热量</w:t>
      </w:r>
      <w:r>
        <w:rPr>
          <w:rFonts w:hint="eastAsia" w:ascii="仿宋" w:hAnsi="仿宋" w:eastAsia="仿宋" w:cs="仿宋"/>
          <w:i/>
          <w:iCs/>
          <w:color w:val="0623BA"/>
          <w:sz w:val="24"/>
        </w:rPr>
        <w:t>，</w:t>
      </w:r>
      <w:r>
        <w:rPr>
          <w:rFonts w:ascii="仿宋" w:hAnsi="仿宋" w:eastAsia="仿宋" w:cs="仿宋"/>
          <w:i/>
          <w:iCs/>
          <w:color w:val="0623BA"/>
          <w:sz w:val="24"/>
        </w:rPr>
        <w:t>背板温度过高时会影响发电效率</w:t>
      </w:r>
      <w:r>
        <w:rPr>
          <w:rFonts w:hint="eastAsia" w:ascii="仿宋" w:hAnsi="仿宋" w:eastAsia="仿宋" w:cs="仿宋"/>
          <w:i/>
          <w:iCs/>
          <w:color w:val="0623BA"/>
          <w:sz w:val="24"/>
        </w:rPr>
        <w:t>，</w:t>
      </w:r>
      <w:r>
        <w:rPr>
          <w:rFonts w:ascii="仿宋" w:hAnsi="仿宋" w:eastAsia="仿宋" w:cs="仿宋"/>
          <w:i/>
          <w:iCs/>
          <w:color w:val="0623BA"/>
          <w:sz w:val="24"/>
        </w:rPr>
        <w:t>背板采取通风措施是有效的解决办法。</w:t>
      </w:r>
      <w:r>
        <w:rPr>
          <w:rFonts w:hint="default" w:ascii="仿宋" w:hAnsi="仿宋" w:eastAsia="仿宋" w:cs="仿宋"/>
          <w:i/>
          <w:iCs/>
          <w:color w:val="0623BA"/>
          <w:sz w:val="24"/>
        </w:rPr>
        <w:t>IEC</w:t>
      </w:r>
      <w:r>
        <w:rPr>
          <w:rFonts w:hint="default" w:ascii="仿宋" w:hAnsi="仿宋" w:eastAsia="仿宋" w:cs="仿宋"/>
          <w:i/>
          <w:iCs/>
          <w:color w:val="0623BA"/>
          <w:sz w:val="24"/>
          <w:lang w:val="en-US" w:eastAsia="zh-CN"/>
        </w:rPr>
        <w:t>规定</w:t>
      </w:r>
      <w:r>
        <w:rPr>
          <w:rFonts w:hint="default" w:ascii="仿宋" w:hAnsi="仿宋" w:eastAsia="仿宋" w:cs="仿宋"/>
          <w:i/>
          <w:iCs/>
          <w:color w:val="0623BA"/>
          <w:sz w:val="24"/>
        </w:rPr>
        <w:t>的光伏组件可靠性检测实验最高工作温度8</w:t>
      </w:r>
      <w:r>
        <w:rPr>
          <w:rFonts w:ascii="仿宋" w:hAnsi="仿宋" w:eastAsia="仿宋" w:cs="仿宋"/>
          <w:i/>
          <w:iCs/>
          <w:color w:val="0623BA"/>
          <w:sz w:val="24"/>
        </w:rPr>
        <w:t>5</w:t>
      </w:r>
      <w:r>
        <w:rPr>
          <w:rFonts w:hint="default" w:ascii="仿宋" w:hAnsi="仿宋" w:eastAsia="仿宋" w:cs="仿宋"/>
          <w:i/>
          <w:iCs/>
          <w:color w:val="0623BA"/>
          <w:sz w:val="24"/>
        </w:rPr>
        <w:t>℃</w:t>
      </w:r>
      <w:r>
        <w:rPr>
          <w:rFonts w:hint="default" w:ascii="仿宋" w:hAnsi="仿宋" w:eastAsia="仿宋" w:cs="仿宋"/>
          <w:i/>
          <w:iCs/>
          <w:color w:val="0623BA"/>
          <w:sz w:val="24"/>
          <w:lang w:eastAsia="zh-CN"/>
        </w:rPr>
        <w:t>，</w:t>
      </w:r>
      <w:r>
        <w:rPr>
          <w:rFonts w:hint="default" w:ascii="仿宋" w:hAnsi="仿宋" w:eastAsia="仿宋" w:cs="仿宋"/>
          <w:i/>
          <w:iCs/>
          <w:color w:val="0623BA"/>
          <w:sz w:val="24"/>
        </w:rPr>
        <w:t>高温运行检测标准为9</w:t>
      </w:r>
      <w:r>
        <w:rPr>
          <w:rFonts w:ascii="仿宋" w:hAnsi="仿宋" w:eastAsia="仿宋" w:cs="仿宋"/>
          <w:i/>
          <w:iCs/>
          <w:color w:val="0623BA"/>
          <w:sz w:val="24"/>
        </w:rPr>
        <w:t>0</w:t>
      </w:r>
      <w:r>
        <w:rPr>
          <w:rFonts w:hint="default" w:ascii="仿宋" w:hAnsi="仿宋" w:eastAsia="仿宋" w:cs="仿宋"/>
          <w:i/>
          <w:iCs/>
          <w:color w:val="0623BA"/>
          <w:sz w:val="24"/>
        </w:rPr>
        <w:t>℃-</w:t>
      </w:r>
      <w:r>
        <w:rPr>
          <w:rFonts w:ascii="仿宋" w:hAnsi="仿宋" w:eastAsia="仿宋" w:cs="仿宋"/>
          <w:i/>
          <w:iCs/>
          <w:color w:val="0623BA"/>
          <w:sz w:val="24"/>
        </w:rPr>
        <w:t>100</w:t>
      </w:r>
      <w:r>
        <w:rPr>
          <w:rFonts w:hint="default" w:ascii="仿宋" w:hAnsi="仿宋" w:eastAsia="仿宋" w:cs="仿宋"/>
          <w:i/>
          <w:iCs/>
          <w:color w:val="0623BA"/>
          <w:sz w:val="24"/>
        </w:rPr>
        <w:t>℃</w:t>
      </w:r>
      <w:r>
        <w:rPr>
          <w:rFonts w:hint="default" w:ascii="仿宋" w:hAnsi="仿宋" w:eastAsia="仿宋" w:cs="仿宋"/>
          <w:i/>
          <w:iCs/>
          <w:color w:val="0623BA"/>
          <w:sz w:val="24"/>
          <w:lang w:eastAsia="zh-CN"/>
        </w:rPr>
        <w:t>。</w:t>
      </w:r>
      <w:r>
        <w:rPr>
          <w:rFonts w:hint="default" w:ascii="仿宋" w:hAnsi="仿宋" w:eastAsia="仿宋" w:cs="仿宋"/>
          <w:i/>
          <w:iCs/>
          <w:color w:val="0623BA"/>
          <w:sz w:val="24"/>
        </w:rPr>
        <w:t>高温不仅仅对组件效率有影响，对于围护结构系统中的有机材料均有影响，如结构胶、封边胶、中空玻璃的暖边等。尤其是结构胶，常规硅酮结构胶</w:t>
      </w:r>
      <w:r>
        <w:rPr>
          <w:rFonts w:hint="default" w:ascii="仿宋" w:hAnsi="仿宋" w:eastAsia="仿宋" w:cs="仿宋"/>
          <w:i/>
          <w:iCs/>
          <w:color w:val="0623BA"/>
          <w:sz w:val="24"/>
          <w:lang w:val="en-US" w:eastAsia="zh-CN"/>
        </w:rPr>
        <w:t>耐受温度为</w:t>
      </w:r>
      <w:r>
        <w:rPr>
          <w:rFonts w:hint="default" w:ascii="仿宋" w:hAnsi="仿宋" w:eastAsia="仿宋" w:cs="仿宋"/>
          <w:i/>
          <w:iCs/>
          <w:color w:val="0623BA"/>
          <w:sz w:val="24"/>
        </w:rPr>
        <w:t>9</w:t>
      </w:r>
      <w:r>
        <w:rPr>
          <w:rFonts w:hint="eastAsia" w:ascii="仿宋" w:hAnsi="仿宋" w:eastAsia="仿宋" w:cs="仿宋"/>
          <w:i/>
          <w:iCs/>
          <w:color w:val="0623BA"/>
          <w:sz w:val="24"/>
        </w:rPr>
        <w:t>0</w:t>
      </w:r>
      <w:r>
        <w:rPr>
          <w:rFonts w:hint="default" w:ascii="仿宋" w:hAnsi="仿宋" w:eastAsia="仿宋" w:cs="仿宋"/>
          <w:i/>
          <w:iCs/>
          <w:color w:val="0623BA"/>
          <w:sz w:val="24"/>
        </w:rPr>
        <w:t>℃</w:t>
      </w:r>
      <w:r>
        <w:rPr>
          <w:rFonts w:hint="default" w:ascii="仿宋" w:hAnsi="仿宋" w:eastAsia="仿宋" w:cs="仿宋"/>
          <w:i/>
          <w:iCs/>
          <w:color w:val="0623BA"/>
          <w:sz w:val="24"/>
          <w:lang w:val="en-US" w:eastAsia="zh-CN"/>
        </w:rPr>
        <w:t>以下</w:t>
      </w:r>
      <w:r>
        <w:rPr>
          <w:rFonts w:hint="default" w:ascii="仿宋" w:hAnsi="仿宋" w:eastAsia="仿宋" w:cs="仿宋"/>
          <w:i/>
          <w:iCs/>
          <w:color w:val="0623BA"/>
          <w:sz w:val="24"/>
        </w:rPr>
        <w:t>。</w:t>
      </w:r>
    </w:p>
    <w:p w14:paraId="4033880B">
      <w:pPr>
        <w:snapToGrid w:val="0"/>
        <w:spacing w:line="300" w:lineRule="auto"/>
        <w:jc w:val="left"/>
        <w:rPr>
          <w:sz w:val="24"/>
        </w:rPr>
      </w:pPr>
      <w:r>
        <w:rPr>
          <w:b/>
          <w:bCs/>
          <w:sz w:val="24"/>
        </w:rPr>
        <w:t>5.</w:t>
      </w:r>
      <w:r>
        <w:rPr>
          <w:rFonts w:hint="eastAsia"/>
          <w:b/>
          <w:bCs/>
          <w:sz w:val="24"/>
          <w:lang w:val="en-US" w:eastAsia="zh-CN"/>
        </w:rPr>
        <w:t>2</w:t>
      </w:r>
      <w:r>
        <w:rPr>
          <w:b/>
          <w:bCs/>
          <w:sz w:val="24"/>
        </w:rPr>
        <w:t>.1</w:t>
      </w:r>
      <w:r>
        <w:rPr>
          <w:rFonts w:hint="eastAsia"/>
          <w:b/>
          <w:bCs/>
          <w:sz w:val="24"/>
          <w:lang w:val="en-US" w:eastAsia="zh-CN"/>
        </w:rPr>
        <w:t>3</w:t>
      </w:r>
      <w:r>
        <w:rPr>
          <w:rFonts w:hint="eastAsia"/>
          <w:sz w:val="24"/>
        </w:rPr>
        <w:t xml:space="preserve"> </w:t>
      </w:r>
      <w:r>
        <w:rPr>
          <w:sz w:val="24"/>
        </w:rPr>
        <w:t>既有建筑上增设或改造光伏发电系统时，应满足建筑的采光</w:t>
      </w:r>
      <w:r>
        <w:rPr>
          <w:rFonts w:hint="eastAsia"/>
          <w:sz w:val="24"/>
        </w:rPr>
        <w:t>、</w:t>
      </w:r>
      <w:r>
        <w:rPr>
          <w:sz w:val="24"/>
        </w:rPr>
        <w:t>通风</w:t>
      </w:r>
      <w:r>
        <w:rPr>
          <w:rFonts w:hint="eastAsia"/>
          <w:sz w:val="24"/>
        </w:rPr>
        <w:t>、</w:t>
      </w:r>
      <w:r>
        <w:rPr>
          <w:sz w:val="24"/>
        </w:rPr>
        <w:t>节能和安全</w:t>
      </w:r>
      <w:r>
        <w:rPr>
          <w:rFonts w:hint="eastAsia"/>
          <w:sz w:val="24"/>
        </w:rPr>
        <w:t>、</w:t>
      </w:r>
      <w:r>
        <w:rPr>
          <w:sz w:val="24"/>
        </w:rPr>
        <w:t>疏散等要求，以及光伏组件所在建筑部位的结构</w:t>
      </w:r>
      <w:r>
        <w:rPr>
          <w:rFonts w:hint="eastAsia"/>
          <w:sz w:val="24"/>
        </w:rPr>
        <w:t>、</w:t>
      </w:r>
      <w:r>
        <w:rPr>
          <w:sz w:val="24"/>
        </w:rPr>
        <w:t>防火</w:t>
      </w:r>
      <w:r>
        <w:rPr>
          <w:rFonts w:hint="eastAsia"/>
          <w:sz w:val="24"/>
        </w:rPr>
        <w:t>、</w:t>
      </w:r>
      <w:r>
        <w:rPr>
          <w:sz w:val="24"/>
        </w:rPr>
        <w:t>防水</w:t>
      </w:r>
      <w:r>
        <w:rPr>
          <w:rFonts w:hint="eastAsia"/>
          <w:sz w:val="24"/>
        </w:rPr>
        <w:t>、</w:t>
      </w:r>
      <w:r>
        <w:rPr>
          <w:sz w:val="24"/>
        </w:rPr>
        <w:t>防雷等技术要求。</w:t>
      </w:r>
    </w:p>
    <w:p w14:paraId="664E9310">
      <w:pPr>
        <w:snapToGrid w:val="0"/>
        <w:spacing w:line="300" w:lineRule="auto"/>
        <w:jc w:val="left"/>
        <w:rPr>
          <w:sz w:val="24"/>
        </w:rPr>
      </w:pPr>
      <w:r>
        <w:rPr>
          <w:b/>
          <w:bCs/>
          <w:sz w:val="24"/>
        </w:rPr>
        <w:t>5.</w:t>
      </w:r>
      <w:r>
        <w:rPr>
          <w:rFonts w:hint="eastAsia"/>
          <w:b/>
          <w:bCs/>
          <w:sz w:val="24"/>
          <w:lang w:val="en-US" w:eastAsia="zh-CN"/>
        </w:rPr>
        <w:t>2</w:t>
      </w:r>
      <w:r>
        <w:rPr>
          <w:b/>
          <w:bCs/>
          <w:sz w:val="24"/>
        </w:rPr>
        <w:t>.1</w:t>
      </w:r>
      <w:r>
        <w:rPr>
          <w:rFonts w:hint="eastAsia"/>
          <w:b/>
          <w:bCs/>
          <w:sz w:val="24"/>
          <w:lang w:val="en-US" w:eastAsia="zh-CN"/>
        </w:rPr>
        <w:t>4</w:t>
      </w:r>
      <w:r>
        <w:rPr>
          <w:rFonts w:hint="eastAsia"/>
          <w:sz w:val="24"/>
        </w:rPr>
        <w:t xml:space="preserve"> </w:t>
      </w:r>
      <w:r>
        <w:rPr>
          <w:sz w:val="24"/>
        </w:rPr>
        <w:t>既有建筑增设或改造光伏发电系统时，光伏组件应采用可靠的构造方式与建筑连接；屋面上增设光伏发电系统及与主体结构连接的混凝土基座时，应经结构专业复核，其防水</w:t>
      </w:r>
      <w:r>
        <w:rPr>
          <w:rFonts w:hint="eastAsia"/>
          <w:sz w:val="24"/>
        </w:rPr>
        <w:t>、</w:t>
      </w:r>
      <w:r>
        <w:rPr>
          <w:sz w:val="24"/>
        </w:rPr>
        <w:t>保温构造应符合现行国家标准《屋面工程设计规范》GB50345的规定 。</w:t>
      </w:r>
    </w:p>
    <w:p w14:paraId="1C7F39E1">
      <w:pPr>
        <w:snapToGrid w:val="0"/>
        <w:spacing w:line="300" w:lineRule="auto"/>
        <w:jc w:val="left"/>
        <w:rPr>
          <w:sz w:val="24"/>
        </w:rPr>
      </w:pPr>
      <w:r>
        <w:rPr>
          <w:b/>
          <w:bCs/>
          <w:sz w:val="24"/>
        </w:rPr>
        <w:t>5.</w:t>
      </w:r>
      <w:r>
        <w:rPr>
          <w:rFonts w:hint="eastAsia"/>
          <w:b/>
          <w:bCs/>
          <w:sz w:val="24"/>
          <w:lang w:val="en-US" w:eastAsia="zh-CN"/>
        </w:rPr>
        <w:t>2</w:t>
      </w:r>
      <w:r>
        <w:rPr>
          <w:b/>
          <w:bCs/>
          <w:sz w:val="24"/>
        </w:rPr>
        <w:t>.1</w:t>
      </w:r>
      <w:r>
        <w:rPr>
          <w:rFonts w:hint="eastAsia"/>
          <w:b/>
          <w:bCs/>
          <w:sz w:val="24"/>
          <w:lang w:val="en-US" w:eastAsia="zh-CN"/>
        </w:rPr>
        <w:t>5</w:t>
      </w:r>
      <w:r>
        <w:rPr>
          <w:rFonts w:hint="eastAsia"/>
          <w:sz w:val="24"/>
        </w:rPr>
        <w:t xml:space="preserve"> </w:t>
      </w:r>
      <w:r>
        <w:rPr>
          <w:sz w:val="24"/>
        </w:rPr>
        <w:t>既有建筑增设或改造光伏发电系统时，管线宜利用原有管井和路由进行敷设，做好穿越屋面及墙体部位的防水及防火处理</w:t>
      </w:r>
      <w:r>
        <w:rPr>
          <w:rFonts w:hint="eastAsia"/>
          <w:sz w:val="24"/>
        </w:rPr>
        <w:t>。</w:t>
      </w:r>
      <w:r>
        <w:rPr>
          <w:sz w:val="24"/>
        </w:rPr>
        <w:t>必须开洞时，应保证原结构安全，做好防水层</w:t>
      </w:r>
      <w:r>
        <w:rPr>
          <w:rFonts w:hint="eastAsia"/>
          <w:sz w:val="24"/>
        </w:rPr>
        <w:t>、</w:t>
      </w:r>
      <w:r>
        <w:rPr>
          <w:sz w:val="24"/>
        </w:rPr>
        <w:t>保温层等部位的修复。</w:t>
      </w:r>
    </w:p>
    <w:p w14:paraId="68A69EE2">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61FBF64">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13</w:t>
      </w:r>
      <w:r>
        <w:rPr>
          <w:rFonts w:hint="default" w:ascii="Times New Roman" w:hAnsi="Times New Roman" w:eastAsia="仿宋" w:cs="Times New Roman"/>
          <w:i/>
          <w:iCs/>
          <w:color w:val="0623BA"/>
          <w:sz w:val="24"/>
          <w:highlight w:val="none"/>
          <w:lang w:val="en-US" w:eastAsia="zh-CN"/>
        </w:rPr>
        <w:t>~</w:t>
      </w:r>
      <w:r>
        <w:rPr>
          <w:rFonts w:hint="eastAsia" w:ascii="仿宋" w:hAnsi="仿宋" w:eastAsia="仿宋" w:cs="仿宋"/>
          <w:i/>
          <w:iCs/>
          <w:color w:val="0623BA"/>
          <w:sz w:val="24"/>
          <w:highlight w:val="none"/>
        </w:rPr>
        <w:t>5.</w:t>
      </w:r>
      <w:r>
        <w:rPr>
          <w:rFonts w:hint="eastAsia" w:ascii="仿宋" w:hAnsi="仿宋" w:eastAsia="仿宋" w:cs="仿宋"/>
          <w:i/>
          <w:iCs/>
          <w:color w:val="0623BA"/>
          <w:sz w:val="24"/>
          <w:highlight w:val="none"/>
          <w:lang w:val="en-US" w:eastAsia="zh-CN"/>
        </w:rPr>
        <w:t>2</w:t>
      </w:r>
      <w:r>
        <w:rPr>
          <w:rFonts w:hint="eastAsia" w:ascii="仿宋" w:hAnsi="仿宋" w:eastAsia="仿宋" w:cs="仿宋"/>
          <w:i/>
          <w:iCs/>
          <w:color w:val="0623BA"/>
          <w:sz w:val="24"/>
          <w:highlight w:val="none"/>
        </w:rPr>
        <w:t>.</w:t>
      </w:r>
      <w:r>
        <w:rPr>
          <w:rFonts w:hint="eastAsia" w:ascii="仿宋" w:hAnsi="仿宋" w:eastAsia="仿宋" w:cs="仿宋"/>
          <w:i/>
          <w:iCs/>
          <w:color w:val="0623BA"/>
          <w:sz w:val="24"/>
          <w:highlight w:val="none"/>
          <w:lang w:val="en-US" w:eastAsia="zh-CN"/>
        </w:rPr>
        <w:t>15</w:t>
      </w:r>
      <w:r>
        <w:rPr>
          <w:rFonts w:hint="eastAsia" w:ascii="仿宋" w:hAnsi="仿宋" w:eastAsia="仿宋" w:cs="仿宋"/>
          <w:i/>
          <w:iCs/>
          <w:color w:val="0623BA"/>
          <w:sz w:val="24"/>
          <w:highlight w:val="none"/>
        </w:rPr>
        <w:t>在</w:t>
      </w:r>
      <w:r>
        <w:rPr>
          <w:rFonts w:hint="eastAsia" w:ascii="仿宋" w:hAnsi="仿宋" w:eastAsia="仿宋" w:cs="仿宋"/>
          <w:i/>
          <w:iCs/>
          <w:color w:val="0623BA"/>
          <w:sz w:val="24"/>
        </w:rPr>
        <w:t>既有建筑上增设或改造光伏发电系统时，应结合建筑的现状进行一体化设计和结构复核，不应破坏建筑的原有功能，充分利用现有条件，必要时可进行适当的改造，使光伏应用与建筑有机结合，满足功能、安全及相关的技术要求。</w:t>
      </w:r>
    </w:p>
    <w:p w14:paraId="6A23CD1E">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在既有建筑上增设或改造安装光伏发电系统时可能会影响光伏组件所在部位的使用功能和安全要求，本条强调安装光伏组件及管线时不应破坏外墙及屋面的保温、防水、防火、防雷等性能，破坏时必须及时修复，以保证建筑节能、建筑功能等不能影响。特别强调光伏组件或管线的设置不应影响建筑的防疏散通道，充分考虑线路的防火要求。</w:t>
      </w:r>
    </w:p>
    <w:p w14:paraId="3CC21216">
      <w:pPr>
        <w:keepNext/>
        <w:keepLines/>
        <w:snapToGrid w:val="0"/>
        <w:spacing w:before="72" w:beforeLines="30" w:after="72" w:afterLines="30" w:line="300" w:lineRule="auto"/>
        <w:jc w:val="center"/>
        <w:outlineLvl w:val="2"/>
        <w:rPr>
          <w:b/>
          <w:sz w:val="24"/>
          <w:szCs w:val="32"/>
        </w:rPr>
      </w:pPr>
      <w:bookmarkStart w:id="138" w:name="_Toc6589"/>
      <w:bookmarkStart w:id="139" w:name="_Toc26486"/>
      <w:bookmarkStart w:id="140" w:name="_Toc5950"/>
      <w:bookmarkStart w:id="141" w:name="_Toc3407"/>
      <w:bookmarkStart w:id="142" w:name="_Toc25761"/>
      <w:bookmarkStart w:id="143" w:name="_Toc17235"/>
      <w:bookmarkStart w:id="144" w:name="_Toc7921"/>
      <w:bookmarkStart w:id="145" w:name="_Toc30281"/>
      <w:r>
        <w:rPr>
          <w:b/>
          <w:sz w:val="24"/>
          <w:szCs w:val="32"/>
        </w:rPr>
        <w:t>5.</w:t>
      </w:r>
      <w:r>
        <w:rPr>
          <w:rFonts w:hint="default"/>
          <w:b/>
          <w:sz w:val="24"/>
          <w:szCs w:val="32"/>
          <w:lang w:val="en-US" w:eastAsia="zh-CN"/>
        </w:rPr>
        <w:t>3</w:t>
      </w:r>
      <w:r>
        <w:rPr>
          <w:b/>
          <w:sz w:val="24"/>
          <w:szCs w:val="32"/>
        </w:rPr>
        <w:t>组件</w:t>
      </w:r>
      <w:bookmarkEnd w:id="138"/>
      <w:bookmarkEnd w:id="139"/>
      <w:bookmarkEnd w:id="140"/>
      <w:bookmarkEnd w:id="141"/>
      <w:bookmarkEnd w:id="142"/>
      <w:bookmarkEnd w:id="143"/>
      <w:bookmarkEnd w:id="144"/>
      <w:bookmarkEnd w:id="145"/>
    </w:p>
    <w:p w14:paraId="15911F65">
      <w:pPr>
        <w:snapToGrid w:val="0"/>
        <w:spacing w:line="300" w:lineRule="auto"/>
        <w:jc w:val="left"/>
        <w:rPr>
          <w:rFonts w:hint="eastAsia"/>
          <w:sz w:val="24"/>
        </w:rPr>
      </w:pPr>
      <w:r>
        <w:rPr>
          <w:b/>
          <w:bCs/>
          <w:sz w:val="24"/>
        </w:rPr>
        <w:t>5.</w:t>
      </w:r>
      <w:r>
        <w:rPr>
          <w:rFonts w:hint="eastAsia"/>
          <w:b/>
          <w:bCs/>
          <w:sz w:val="24"/>
          <w:lang w:val="en-US" w:eastAsia="zh-CN"/>
        </w:rPr>
        <w:t>3</w:t>
      </w:r>
      <w:r>
        <w:rPr>
          <w:b/>
          <w:bCs/>
          <w:sz w:val="24"/>
        </w:rPr>
        <w:t>.1</w:t>
      </w:r>
      <w:r>
        <w:rPr>
          <w:rFonts w:hint="eastAsia"/>
          <w:b/>
          <w:bCs/>
          <w:sz w:val="24"/>
        </w:rPr>
        <w:t xml:space="preserve"> </w:t>
      </w:r>
      <w:r>
        <w:rPr>
          <w:sz w:val="24"/>
        </w:rPr>
        <w:t>光伏组件尺寸和形状的选择宜与建筑模数尺寸相协调且应符合现行国家标准《建筑模数协调标准》GB/T 50002的有关规定。</w:t>
      </w:r>
    </w:p>
    <w:p w14:paraId="554199D4">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50F0838">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.1 晶硅电池在排列组合形成组件的设计中，会有爬电距离、最小电气间隙、串间距和片间距的要求，因此光伏构件尺寸应结合建筑围护结构板材分格尺寸、装配间隙、电池芯片尺寸和上述电气安装尺寸进行专门设计，确定电气参数。</w:t>
      </w:r>
    </w:p>
    <w:p w14:paraId="0300E837">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 xml:space="preserve">在圆形或不规则形状屋顶或墙面安装光伏组件时，往往受到总面积和光伏组件回路模数的影响，此时，采用外形一致但无发电功能的光伏组件予以填充，此类光伏组件称为“装饰片”，其外形往往呈现不规则形状。除了充作“装饰片”的光伏组件不安装接线盒和单线外，其他部分的材料和制作工艺应一致。 </w:t>
      </w:r>
    </w:p>
    <w:p w14:paraId="7FFD532E">
      <w:pPr>
        <w:snapToGrid w:val="0"/>
        <w:spacing w:line="300" w:lineRule="auto"/>
        <w:jc w:val="left"/>
        <w:rPr>
          <w:sz w:val="24"/>
        </w:rPr>
      </w:pPr>
      <w:r>
        <w:rPr>
          <w:b/>
          <w:bCs/>
          <w:sz w:val="24"/>
        </w:rPr>
        <w:t>5.</w:t>
      </w:r>
      <w:r>
        <w:rPr>
          <w:rFonts w:hint="eastAsia"/>
          <w:b/>
          <w:bCs/>
          <w:sz w:val="24"/>
          <w:lang w:val="en-US" w:eastAsia="zh-CN"/>
        </w:rPr>
        <w:t>3</w:t>
      </w:r>
      <w:r>
        <w:rPr>
          <w:b/>
          <w:bCs/>
          <w:sz w:val="24"/>
        </w:rPr>
        <w:t>.2</w:t>
      </w:r>
      <w:r>
        <w:rPr>
          <w:rFonts w:hint="eastAsia"/>
          <w:sz w:val="24"/>
        </w:rPr>
        <w:t xml:space="preserve"> </w:t>
      </w:r>
      <w:r>
        <w:rPr>
          <w:sz w:val="24"/>
        </w:rPr>
        <w:t>作为遮阳或采光构件的光伏组件设计应符合下列</w:t>
      </w:r>
      <w:r>
        <w:rPr>
          <w:rFonts w:hint="eastAsia"/>
          <w:sz w:val="24"/>
          <w:lang w:val="en-US" w:eastAsia="zh-CN"/>
        </w:rPr>
        <w:t>要求</w:t>
      </w:r>
      <w:r>
        <w:rPr>
          <w:sz w:val="24"/>
        </w:rPr>
        <w:t>：</w:t>
      </w:r>
    </w:p>
    <w:p w14:paraId="1E57E39D">
      <w:pPr>
        <w:snapToGrid w:val="0"/>
        <w:spacing w:line="300" w:lineRule="auto"/>
        <w:ind w:firstLine="482" w:firstLineChars="200"/>
        <w:jc w:val="left"/>
        <w:rPr>
          <w:sz w:val="24"/>
        </w:rPr>
      </w:pPr>
      <w:r>
        <w:rPr>
          <w:b/>
          <w:bCs/>
          <w:sz w:val="24"/>
        </w:rPr>
        <w:t>1</w:t>
      </w:r>
      <w:r>
        <w:rPr>
          <w:rFonts w:hint="eastAsia"/>
          <w:sz w:val="24"/>
          <w:lang w:val="en-US" w:eastAsia="zh-CN"/>
        </w:rPr>
        <w:t xml:space="preserve"> </w:t>
      </w:r>
      <w:r>
        <w:rPr>
          <w:sz w:val="24"/>
        </w:rPr>
        <w:t>光伏组件应符合现行国家标准《建筑采光设计标准》GB 50033的有关规定</w:t>
      </w:r>
      <w:r>
        <w:rPr>
          <w:rFonts w:hint="eastAsia"/>
          <w:sz w:val="24"/>
          <w:lang w:val="en-US" w:eastAsia="zh-CN"/>
        </w:rPr>
        <w:t>及</w:t>
      </w:r>
      <w:r>
        <w:rPr>
          <w:rFonts w:hint="eastAsia"/>
          <w:sz w:val="24"/>
        </w:rPr>
        <w:t>《建筑环境通用规范》GB</w:t>
      </w:r>
      <w:r>
        <w:rPr>
          <w:rFonts w:hint="eastAsia"/>
          <w:sz w:val="24"/>
          <w:lang w:val="en-US" w:eastAsia="zh-CN"/>
        </w:rPr>
        <w:t xml:space="preserve"> </w:t>
      </w:r>
      <w:r>
        <w:rPr>
          <w:rFonts w:hint="eastAsia"/>
          <w:sz w:val="24"/>
        </w:rPr>
        <w:t>55016-2021</w:t>
      </w:r>
      <w:r>
        <w:rPr>
          <w:rFonts w:hint="eastAsia"/>
          <w:sz w:val="24"/>
          <w:lang w:val="en-US" w:eastAsia="zh-CN"/>
        </w:rPr>
        <w:t>中</w:t>
      </w:r>
      <w:r>
        <w:rPr>
          <w:rFonts w:hint="eastAsia"/>
          <w:sz w:val="24"/>
        </w:rPr>
        <w:t>3</w:t>
      </w:r>
      <w:r>
        <w:rPr>
          <w:sz w:val="24"/>
        </w:rPr>
        <w:t>.1.4</w:t>
      </w:r>
      <w:r>
        <w:rPr>
          <w:rFonts w:hint="eastAsia"/>
          <w:sz w:val="24"/>
        </w:rPr>
        <w:t>和3</w:t>
      </w:r>
      <w:r>
        <w:rPr>
          <w:sz w:val="24"/>
        </w:rPr>
        <w:t>.2.7</w:t>
      </w:r>
      <w:r>
        <w:rPr>
          <w:rFonts w:hint="eastAsia"/>
          <w:sz w:val="24"/>
        </w:rPr>
        <w:t>的条文要求</w:t>
      </w:r>
      <w:r>
        <w:rPr>
          <w:sz w:val="24"/>
        </w:rPr>
        <w:t>；</w:t>
      </w:r>
    </w:p>
    <w:p w14:paraId="2000E26F">
      <w:pPr>
        <w:snapToGrid w:val="0"/>
        <w:spacing w:line="300" w:lineRule="auto"/>
        <w:ind w:firstLine="482" w:firstLineChars="200"/>
        <w:jc w:val="left"/>
        <w:rPr>
          <w:sz w:val="24"/>
        </w:rPr>
      </w:pPr>
      <w:r>
        <w:rPr>
          <w:b/>
          <w:bCs/>
          <w:sz w:val="24"/>
        </w:rPr>
        <w:t>2</w:t>
      </w:r>
      <w:r>
        <w:rPr>
          <w:rFonts w:hint="eastAsia"/>
          <w:sz w:val="24"/>
          <w:lang w:val="en-US" w:eastAsia="zh-CN"/>
        </w:rPr>
        <w:t xml:space="preserve"> </w:t>
      </w:r>
      <w:r>
        <w:rPr>
          <w:sz w:val="24"/>
        </w:rPr>
        <w:t>作为遮阳构件的光伏组件应符合室内采光</w:t>
      </w:r>
      <w:r>
        <w:rPr>
          <w:rFonts w:hint="eastAsia"/>
          <w:sz w:val="24"/>
          <w:lang w:eastAsia="zh-CN"/>
        </w:rPr>
        <w:t>、</w:t>
      </w:r>
      <w:r>
        <w:rPr>
          <w:sz w:val="24"/>
        </w:rPr>
        <w:t>日照</w:t>
      </w:r>
      <w:r>
        <w:rPr>
          <w:rFonts w:hint="eastAsia"/>
          <w:sz w:val="24"/>
          <w:lang w:val="en-US" w:eastAsia="zh-CN"/>
        </w:rPr>
        <w:t>和</w:t>
      </w:r>
      <w:r>
        <w:rPr>
          <w:sz w:val="24"/>
        </w:rPr>
        <w:t>遮阳系数的要求；</w:t>
      </w:r>
    </w:p>
    <w:p w14:paraId="7BD2B3FD">
      <w:pPr>
        <w:snapToGrid w:val="0"/>
        <w:spacing w:line="300" w:lineRule="auto"/>
        <w:ind w:firstLine="482" w:firstLineChars="200"/>
        <w:jc w:val="left"/>
        <w:rPr>
          <w:sz w:val="24"/>
        </w:rPr>
      </w:pPr>
      <w:r>
        <w:rPr>
          <w:b/>
          <w:bCs/>
          <w:sz w:val="24"/>
        </w:rPr>
        <w:t>3</w:t>
      </w:r>
      <w:r>
        <w:rPr>
          <w:rFonts w:hint="eastAsia"/>
          <w:sz w:val="24"/>
          <w:lang w:val="en-US" w:eastAsia="zh-CN"/>
        </w:rPr>
        <w:t xml:space="preserve"> </w:t>
      </w:r>
      <w:r>
        <w:rPr>
          <w:sz w:val="24"/>
        </w:rPr>
        <w:t>光伏窗应符合采光、通风、观景等使用功能的要求；</w:t>
      </w:r>
    </w:p>
    <w:p w14:paraId="7FCBB29A">
      <w:pPr>
        <w:snapToGrid w:val="0"/>
        <w:spacing w:line="300" w:lineRule="auto"/>
        <w:ind w:firstLine="482" w:firstLineChars="200"/>
        <w:jc w:val="left"/>
        <w:rPr>
          <w:sz w:val="24"/>
        </w:rPr>
      </w:pPr>
      <w:r>
        <w:rPr>
          <w:b/>
          <w:bCs/>
          <w:sz w:val="24"/>
        </w:rPr>
        <w:t>4</w:t>
      </w:r>
      <w:r>
        <w:rPr>
          <w:rFonts w:hint="eastAsia"/>
          <w:sz w:val="24"/>
          <w:lang w:val="en-US" w:eastAsia="zh-CN"/>
        </w:rPr>
        <w:t xml:space="preserve"> </w:t>
      </w:r>
      <w:r>
        <w:rPr>
          <w:sz w:val="24"/>
        </w:rPr>
        <w:t>用于建筑透光区域的光伏组件，其接线盒不应影响室内采光。</w:t>
      </w:r>
    </w:p>
    <w:p w14:paraId="3BFABEE6">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BF021B4">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.2 在建筑透光区域设置</w:t>
      </w:r>
      <w:r>
        <w:rPr>
          <w:rFonts w:hint="eastAsia" w:ascii="仿宋" w:hAnsi="仿宋" w:eastAsia="仿宋" w:cs="仿宋"/>
          <w:i/>
          <w:iCs/>
          <w:color w:val="0623BA"/>
          <w:sz w:val="24"/>
          <w:lang w:val="en-US" w:eastAsia="zh-CN"/>
        </w:rPr>
        <w:t>光伏组件</w:t>
      </w:r>
      <w:r>
        <w:rPr>
          <w:rFonts w:hint="eastAsia" w:ascii="仿宋" w:hAnsi="仿宋" w:eastAsia="仿宋" w:cs="仿宋"/>
          <w:i/>
          <w:iCs/>
          <w:color w:val="0623BA"/>
          <w:sz w:val="24"/>
        </w:rPr>
        <w:t>建筑物的</w:t>
      </w:r>
      <w:r>
        <w:rPr>
          <w:rFonts w:hint="eastAsia" w:ascii="仿宋" w:hAnsi="仿宋" w:eastAsia="仿宋" w:cs="仿宋"/>
          <w:i/>
          <w:iCs/>
          <w:color w:val="0623BA"/>
          <w:sz w:val="24"/>
          <w:lang w:val="en-US" w:eastAsia="zh-CN"/>
        </w:rPr>
        <w:t>采</w:t>
      </w:r>
      <w:r>
        <w:rPr>
          <w:rFonts w:hint="eastAsia" w:ascii="仿宋" w:hAnsi="仿宋" w:eastAsia="仿宋" w:cs="仿宋"/>
          <w:i/>
          <w:iCs/>
          <w:color w:val="0623BA"/>
          <w:sz w:val="24"/>
        </w:rPr>
        <w:t>光设计必须符合现行国家标准《建筑采光设计标准》GB 50033 的采光要求。普通光伏组件所用布纹超白钢化玻璃具有阻挡视线的作用。安装在观光处的光伏组件应采用光面超白钢化玻璃制作高透光率双玻光伏组件。为了节约成本，高透光率双玻光伏组件背面的玻璃可以采用普通光面钢化玻璃。</w:t>
      </w:r>
    </w:p>
    <w:p w14:paraId="300D8247">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普通光伏组件的接线盒一般粘在背面，接线盒较大，影响美观。因此设计时应将接线盒设置在边角处或隐藏起来。旁路二极管没有了接线盒的保护，要考虑采用其他方法来保护，可将旁路二极管和连接电缆线隐藏在幕墙骨架结构或线槽中，避免阳光直射和雨水侵蚀。</w:t>
      </w:r>
    </w:p>
    <w:p w14:paraId="0DF09940">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建材型光伏构件的透光率可通过调整晶体硅太阳电池的间距进行控制，也可通过对</w:t>
      </w:r>
      <w:r>
        <w:rPr>
          <w:rFonts w:hint="eastAsia" w:ascii="仿宋" w:hAnsi="仿宋" w:eastAsia="仿宋" w:cs="仿宋"/>
          <w:i/>
          <w:iCs/>
          <w:color w:val="0623BA"/>
          <w:sz w:val="24"/>
          <w:lang w:val="en-US" w:eastAsia="zh-CN"/>
        </w:rPr>
        <w:t>晶</w:t>
      </w:r>
      <w:r>
        <w:rPr>
          <w:rFonts w:hint="eastAsia" w:ascii="仿宋" w:hAnsi="仿宋" w:eastAsia="仿宋" w:cs="仿宋"/>
          <w:i/>
          <w:iCs/>
          <w:color w:val="0623BA"/>
          <w:sz w:val="24"/>
        </w:rPr>
        <w:t>体硅太阳电池激光打孔</w:t>
      </w:r>
      <w:r>
        <w:rPr>
          <w:rFonts w:hint="eastAsia" w:ascii="仿宋" w:hAnsi="仿宋" w:eastAsia="仿宋" w:cs="仿宋"/>
          <w:i/>
          <w:iCs/>
          <w:color w:val="0623BA"/>
          <w:sz w:val="24"/>
          <w:lang w:val="en-US" w:eastAsia="zh-CN"/>
        </w:rPr>
        <w:t>获</w:t>
      </w:r>
      <w:r>
        <w:rPr>
          <w:rFonts w:hint="eastAsia" w:ascii="仿宋" w:hAnsi="仿宋" w:eastAsia="仿宋" w:cs="仿宋"/>
          <w:i/>
          <w:iCs/>
          <w:color w:val="0623BA"/>
          <w:sz w:val="24"/>
        </w:rPr>
        <w:t>得透光效果。</w:t>
      </w:r>
    </w:p>
    <w:p w14:paraId="768B5FD7">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光伏组件应符合</w:t>
      </w:r>
      <w:r>
        <w:rPr>
          <w:rFonts w:hint="eastAsia" w:ascii="仿宋" w:hAnsi="仿宋" w:eastAsia="仿宋" w:cs="仿宋"/>
          <w:i/>
          <w:iCs/>
          <w:color w:val="0623BA"/>
          <w:sz w:val="24"/>
        </w:rPr>
        <w:t>《建筑环境通用规范》GB</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rPr>
        <w:t>55016-2021</w:t>
      </w:r>
      <w:r>
        <w:rPr>
          <w:rFonts w:hint="eastAsia" w:ascii="仿宋" w:hAnsi="仿宋" w:eastAsia="仿宋" w:cs="仿宋"/>
          <w:i/>
          <w:iCs/>
          <w:color w:val="0623BA"/>
          <w:sz w:val="24"/>
          <w:lang w:val="en-US" w:eastAsia="zh-CN"/>
        </w:rPr>
        <w:t>中</w:t>
      </w:r>
      <w:r>
        <w:rPr>
          <w:rFonts w:hint="eastAsia" w:ascii="仿宋" w:hAnsi="仿宋" w:eastAsia="仿宋" w:cs="仿宋"/>
          <w:i/>
          <w:iCs/>
          <w:color w:val="0623BA"/>
          <w:sz w:val="24"/>
        </w:rPr>
        <w:t>3.1.4和3.2.7的条文要求</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对人员可触及的光环境设施，当表面温度高于70℃时，应采取隔离保护措施。光伏系统散热良好的情况下，正常工作温度会在45℃左右，背面绝热正面散热良好的情况下，正常工作温度会在60℃左右，但背面不散热甚至聚热的情况下，背板温度会达到85℃</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甚至100℃以上。因此散热措施和隔离保护措施应至少考虑一项。主要功能房间采光窗的颜色透射指数不应低于80。透光部分设计为透光性薄膜光伏构件，需提供颜色透射指数检测报告。</w:t>
      </w:r>
    </w:p>
    <w:p w14:paraId="5F4675FC">
      <w:pPr>
        <w:snapToGrid w:val="0"/>
        <w:spacing w:line="300" w:lineRule="auto"/>
        <w:jc w:val="left"/>
        <w:rPr>
          <w:sz w:val="24"/>
        </w:rPr>
      </w:pPr>
      <w:r>
        <w:rPr>
          <w:b/>
          <w:bCs/>
          <w:sz w:val="24"/>
        </w:rPr>
        <w:t>5.</w:t>
      </w:r>
      <w:r>
        <w:rPr>
          <w:rFonts w:hint="eastAsia"/>
          <w:b/>
          <w:bCs/>
          <w:sz w:val="24"/>
          <w:lang w:val="en-US" w:eastAsia="zh-CN"/>
        </w:rPr>
        <w:t>3</w:t>
      </w:r>
      <w:r>
        <w:rPr>
          <w:b/>
          <w:bCs/>
          <w:sz w:val="24"/>
        </w:rPr>
        <w:t>.3</w:t>
      </w:r>
      <w:r>
        <w:rPr>
          <w:rFonts w:hint="eastAsia"/>
          <w:sz w:val="24"/>
        </w:rPr>
        <w:t xml:space="preserve"> </w:t>
      </w:r>
      <w:r>
        <w:rPr>
          <w:sz w:val="24"/>
        </w:rPr>
        <w:t>光伏组件表面色彩选择应符合下列</w:t>
      </w:r>
      <w:r>
        <w:rPr>
          <w:rFonts w:hint="eastAsia"/>
          <w:sz w:val="24"/>
          <w:lang w:val="en-US" w:eastAsia="zh-CN"/>
        </w:rPr>
        <w:t>要求</w:t>
      </w:r>
      <w:r>
        <w:rPr>
          <w:sz w:val="24"/>
        </w:rPr>
        <w:t>：</w:t>
      </w:r>
    </w:p>
    <w:p w14:paraId="241EFEA8">
      <w:pPr>
        <w:snapToGrid w:val="0"/>
        <w:spacing w:line="300" w:lineRule="auto"/>
        <w:ind w:firstLine="482" w:firstLineChars="200"/>
        <w:jc w:val="left"/>
        <w:rPr>
          <w:sz w:val="24"/>
        </w:rPr>
      </w:pPr>
      <w:r>
        <w:rPr>
          <w:b/>
          <w:bCs/>
          <w:sz w:val="24"/>
        </w:rPr>
        <w:t>1</w:t>
      </w:r>
      <w:r>
        <w:rPr>
          <w:rFonts w:hint="eastAsia"/>
          <w:b/>
          <w:bCs/>
          <w:sz w:val="24"/>
          <w:lang w:val="en-US" w:eastAsia="zh-CN"/>
        </w:rPr>
        <w:t xml:space="preserve"> </w:t>
      </w:r>
      <w:r>
        <w:rPr>
          <w:sz w:val="24"/>
        </w:rPr>
        <w:t>光伏组件的色彩应与建筑整体色调相匹配；</w:t>
      </w:r>
    </w:p>
    <w:p w14:paraId="051A79B7">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光伏组件边框的颜色应与光伏电池的色彩及建筑整体设计相匹配；</w:t>
      </w:r>
    </w:p>
    <w:p w14:paraId="54B6468A">
      <w:pPr>
        <w:snapToGrid w:val="0"/>
        <w:spacing w:line="300" w:lineRule="auto"/>
        <w:ind w:firstLine="482" w:firstLineChars="200"/>
        <w:jc w:val="left"/>
        <w:rPr>
          <w:sz w:val="24"/>
        </w:rPr>
      </w:pPr>
      <w:r>
        <w:rPr>
          <w:b/>
          <w:bCs/>
          <w:sz w:val="24"/>
        </w:rPr>
        <w:t>3</w:t>
      </w:r>
      <w:r>
        <w:rPr>
          <w:rFonts w:hint="eastAsia"/>
          <w:b/>
          <w:bCs/>
          <w:sz w:val="24"/>
          <w:lang w:val="en-US" w:eastAsia="zh-CN"/>
        </w:rPr>
        <w:t xml:space="preserve"> </w:t>
      </w:r>
      <w:r>
        <w:rPr>
          <w:sz w:val="24"/>
        </w:rPr>
        <w:t>对色彩有特殊要求的光伏组件，应根据设计要求确定。</w:t>
      </w:r>
    </w:p>
    <w:p w14:paraId="03B2CB5C">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1FF1D7A7">
      <w:pPr>
        <w:snapToGrid w:val="0"/>
        <w:spacing w:line="300" w:lineRule="auto"/>
        <w:jc w:val="left"/>
        <w:rPr>
          <w:rFonts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 xml:space="preserve">.3 </w:t>
      </w:r>
      <w:r>
        <w:rPr>
          <w:rFonts w:ascii="仿宋" w:hAnsi="仿宋" w:eastAsia="仿宋" w:cs="仿宋"/>
          <w:i/>
          <w:iCs/>
          <w:color w:val="0623BA"/>
          <w:sz w:val="24"/>
        </w:rPr>
        <w:t>光伏组件的色彩可通过调整背板玻璃的颜色和花纹来达到色彩一致的要求或其他建筑效果的要求。</w:t>
      </w:r>
    </w:p>
    <w:p w14:paraId="042E62A0">
      <w:pPr>
        <w:snapToGrid w:val="0"/>
        <w:spacing w:line="300" w:lineRule="auto"/>
        <w:ind w:firstLine="0" w:firstLineChars="0"/>
        <w:jc w:val="left"/>
        <w:rPr>
          <w:rFonts w:hint="default"/>
          <w:b w:val="0"/>
          <w:bCs w:val="0"/>
          <w:sz w:val="24"/>
        </w:rPr>
      </w:pPr>
      <w:bookmarkStart w:id="146" w:name="_Toc65528725"/>
      <w:bookmarkStart w:id="147" w:name="_Toc65535140"/>
      <w:r>
        <w:rPr>
          <w:rFonts w:hint="default"/>
          <w:b/>
          <w:bCs/>
          <w:sz w:val="24"/>
        </w:rPr>
        <w:t>5</w:t>
      </w:r>
      <w:r>
        <w:rPr>
          <w:b/>
          <w:bCs/>
          <w:sz w:val="24"/>
        </w:rPr>
        <w:t>.3.4</w:t>
      </w:r>
      <w:r>
        <w:rPr>
          <w:rFonts w:hint="eastAsia"/>
          <w:b w:val="0"/>
          <w:bCs w:val="0"/>
          <w:sz w:val="24"/>
          <w:lang w:val="en-US" w:eastAsia="zh-CN"/>
        </w:rPr>
        <w:t xml:space="preserve"> </w:t>
      </w:r>
      <w:r>
        <w:rPr>
          <w:b w:val="0"/>
          <w:bCs w:val="0"/>
          <w:sz w:val="24"/>
        </w:rPr>
        <w:t>光伏构件</w:t>
      </w:r>
      <w:r>
        <w:rPr>
          <w:rFonts w:hint="default"/>
          <w:b w:val="0"/>
          <w:bCs w:val="0"/>
          <w:sz w:val="24"/>
        </w:rPr>
        <w:t>面板玻璃应选用超白钢化玻璃，其余层</w:t>
      </w:r>
      <w:r>
        <w:rPr>
          <w:b w:val="0"/>
          <w:bCs w:val="0"/>
          <w:sz w:val="24"/>
        </w:rPr>
        <w:t>普通钢化玻璃宜经过均质化处理</w:t>
      </w:r>
      <w:bookmarkEnd w:id="146"/>
      <w:bookmarkEnd w:id="147"/>
      <w:r>
        <w:rPr>
          <w:rFonts w:hint="default"/>
          <w:b w:val="0"/>
          <w:bCs w:val="0"/>
          <w:sz w:val="24"/>
        </w:rPr>
        <w:t>，各层玻璃应满足</w:t>
      </w:r>
      <w:r>
        <w:rPr>
          <w:b w:val="0"/>
          <w:bCs w:val="0"/>
          <w:sz w:val="24"/>
        </w:rPr>
        <w:t>《建筑玻璃应用技术规程》JGJ 113</w:t>
      </w:r>
      <w:r>
        <w:rPr>
          <w:rFonts w:hint="default"/>
          <w:b w:val="0"/>
          <w:bCs w:val="0"/>
          <w:sz w:val="24"/>
        </w:rPr>
        <w:t>的相关要求。</w:t>
      </w:r>
    </w:p>
    <w:p w14:paraId="491378A7">
      <w:pPr>
        <w:snapToGrid w:val="0"/>
        <w:spacing w:line="300" w:lineRule="auto"/>
        <w:ind w:firstLine="0" w:firstLineChars="0"/>
        <w:jc w:val="left"/>
        <w:rPr>
          <w:rFonts w:hint="default"/>
          <w:b w:val="0"/>
          <w:bCs w:val="0"/>
          <w:sz w:val="24"/>
        </w:rPr>
      </w:pPr>
      <w:bookmarkStart w:id="148" w:name="_Toc65535141"/>
      <w:bookmarkStart w:id="149" w:name="_Toc65528726"/>
      <w:r>
        <w:rPr>
          <w:rFonts w:hint="default"/>
          <w:b/>
          <w:bCs/>
          <w:sz w:val="24"/>
        </w:rPr>
        <w:t>5</w:t>
      </w:r>
      <w:r>
        <w:rPr>
          <w:b/>
          <w:bCs/>
          <w:sz w:val="24"/>
        </w:rPr>
        <w:t>.3.5</w:t>
      </w:r>
      <w:r>
        <w:rPr>
          <w:rFonts w:hint="eastAsia"/>
          <w:b w:val="0"/>
          <w:bCs w:val="0"/>
          <w:sz w:val="24"/>
          <w:lang w:val="en-US" w:eastAsia="zh-CN"/>
        </w:rPr>
        <w:t xml:space="preserve"> </w:t>
      </w:r>
      <w:r>
        <w:rPr>
          <w:b w:val="0"/>
          <w:bCs w:val="0"/>
          <w:sz w:val="24"/>
        </w:rPr>
        <w:t>夹胶光伏构件的胶片层应满足强度和耐候要求</w:t>
      </w:r>
      <w:r>
        <w:rPr>
          <w:rFonts w:hint="default"/>
          <w:b w:val="0"/>
          <w:bCs w:val="0"/>
          <w:sz w:val="24"/>
        </w:rPr>
        <w:t>，</w:t>
      </w:r>
      <w:bookmarkEnd w:id="148"/>
      <w:bookmarkEnd w:id="149"/>
      <w:bookmarkStart w:id="150" w:name="_Toc65528727"/>
      <w:bookmarkStart w:id="151" w:name="_Toc65535142"/>
      <w:r>
        <w:rPr>
          <w:b w:val="0"/>
          <w:bCs w:val="0"/>
          <w:sz w:val="24"/>
        </w:rPr>
        <w:t>厚度选择应符合建筑安全</w:t>
      </w:r>
      <w:r>
        <w:rPr>
          <w:rFonts w:hint="default"/>
          <w:b w:val="0"/>
          <w:bCs w:val="0"/>
          <w:sz w:val="24"/>
        </w:rPr>
        <w:t>和耐候</w:t>
      </w:r>
      <w:r>
        <w:rPr>
          <w:b w:val="0"/>
          <w:bCs w:val="0"/>
          <w:sz w:val="24"/>
        </w:rPr>
        <w:t>要求</w:t>
      </w:r>
      <w:r>
        <w:rPr>
          <w:rFonts w:hint="default"/>
          <w:b w:val="0"/>
          <w:bCs w:val="0"/>
          <w:sz w:val="24"/>
        </w:rPr>
        <w:t>。</w:t>
      </w:r>
      <w:r>
        <w:rPr>
          <w:b w:val="0"/>
          <w:bCs w:val="0"/>
          <w:sz w:val="24"/>
        </w:rPr>
        <w:t>PVB</w:t>
      </w:r>
      <w:r>
        <w:rPr>
          <w:rFonts w:hint="default"/>
          <w:b w:val="0"/>
          <w:bCs w:val="0"/>
          <w:sz w:val="24"/>
        </w:rPr>
        <w:t>、SGP单边</w:t>
      </w:r>
      <w:r>
        <w:rPr>
          <w:b w:val="0"/>
          <w:bCs w:val="0"/>
          <w:sz w:val="24"/>
        </w:rPr>
        <w:t>厚度选用准则</w:t>
      </w:r>
      <w:r>
        <w:rPr>
          <w:rFonts w:hint="default"/>
          <w:b w:val="0"/>
          <w:bCs w:val="0"/>
          <w:sz w:val="24"/>
        </w:rPr>
        <w:t>应符合表</w:t>
      </w:r>
      <w:r>
        <w:rPr>
          <w:rFonts w:hint="eastAsia"/>
          <w:b w:val="0"/>
          <w:bCs w:val="0"/>
          <w:sz w:val="24"/>
          <w:lang w:val="en-US" w:eastAsia="zh-CN"/>
        </w:rPr>
        <w:t>5.3.5</w:t>
      </w:r>
      <w:r>
        <w:rPr>
          <w:rFonts w:hint="default"/>
          <w:b w:val="0"/>
          <w:bCs w:val="0"/>
          <w:sz w:val="24"/>
        </w:rPr>
        <w:t>规定。</w:t>
      </w:r>
      <w:bookmarkEnd w:id="150"/>
      <w:bookmarkEnd w:id="151"/>
      <w:r>
        <w:rPr>
          <w:rFonts w:hint="default"/>
          <w:b w:val="0"/>
          <w:bCs w:val="0"/>
          <w:sz w:val="24"/>
        </w:rPr>
        <w:t>外露的光伏夹胶玻璃边缘应封边处理。</w:t>
      </w:r>
    </w:p>
    <w:p w14:paraId="4BA922F4">
      <w:pPr>
        <w:snapToGrid w:val="0"/>
        <w:spacing w:line="300" w:lineRule="auto"/>
        <w:ind w:firstLine="0" w:firstLineChars="0"/>
        <w:jc w:val="center"/>
        <w:rPr>
          <w:rFonts w:hint="default"/>
          <w:b/>
          <w:bCs/>
          <w:sz w:val="21"/>
          <w:szCs w:val="21"/>
        </w:rPr>
      </w:pPr>
      <w:r>
        <w:rPr>
          <w:rFonts w:hint="eastAsia"/>
          <w:b/>
          <w:bCs/>
          <w:sz w:val="21"/>
          <w:szCs w:val="21"/>
          <w:lang w:val="en-US" w:eastAsia="zh-CN"/>
        </w:rPr>
        <w:t xml:space="preserve">表5.3.5  </w:t>
      </w:r>
      <w:r>
        <w:rPr>
          <w:b/>
          <w:bCs/>
          <w:sz w:val="21"/>
          <w:szCs w:val="21"/>
        </w:rPr>
        <w:t>PVB</w:t>
      </w:r>
      <w:r>
        <w:rPr>
          <w:rFonts w:hint="default"/>
          <w:b/>
          <w:bCs/>
          <w:sz w:val="21"/>
          <w:szCs w:val="21"/>
        </w:rPr>
        <w:t>、SGP单边</w:t>
      </w:r>
      <w:r>
        <w:rPr>
          <w:b/>
          <w:bCs/>
          <w:sz w:val="21"/>
          <w:szCs w:val="21"/>
        </w:rPr>
        <w:t>厚度选用准则</w:t>
      </w:r>
    </w:p>
    <w:tbl>
      <w:tblPr>
        <w:tblStyle w:val="15"/>
        <w:tblW w:w="81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3"/>
        <w:gridCol w:w="1794"/>
        <w:gridCol w:w="2627"/>
        <w:gridCol w:w="1860"/>
      </w:tblGrid>
      <w:tr w14:paraId="39C68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863" w:type="dxa"/>
            <w:vMerge w:val="restart"/>
            <w:vAlign w:val="center"/>
          </w:tcPr>
          <w:p w14:paraId="7F07E2D0">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钢化玻璃厚度（mm）</w:t>
            </w:r>
          </w:p>
        </w:tc>
        <w:tc>
          <w:tcPr>
            <w:tcW w:w="6281" w:type="dxa"/>
            <w:gridSpan w:val="3"/>
            <w:vAlign w:val="center"/>
          </w:tcPr>
          <w:p w14:paraId="6CF4C0D7">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PVB胶膜膜厚度（mm）</w:t>
            </w:r>
          </w:p>
        </w:tc>
      </w:tr>
      <w:tr w14:paraId="3AF52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863" w:type="dxa"/>
            <w:vMerge w:val="continue"/>
            <w:vAlign w:val="center"/>
          </w:tcPr>
          <w:p w14:paraId="67B3F6ED">
            <w:pPr>
              <w:jc w:val="center"/>
              <w:rPr>
                <w:rFonts w:hint="default" w:ascii="Times New Roman" w:hAnsi="Times New Roman" w:eastAsia="宋体" w:cs="Times New Roman"/>
                <w:b/>
                <w:bCs/>
                <w:sz w:val="21"/>
                <w:szCs w:val="21"/>
              </w:rPr>
            </w:pPr>
          </w:p>
        </w:tc>
        <w:tc>
          <w:tcPr>
            <w:tcW w:w="1794" w:type="dxa"/>
            <w:vAlign w:val="center"/>
          </w:tcPr>
          <w:p w14:paraId="60C4C803">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短边</w:t>
            </w:r>
            <w:r>
              <w:rPr>
                <w:rFonts w:hint="eastAsia" w:ascii="宋体" w:hAnsi="宋体" w:eastAsia="宋体" w:cs="宋体"/>
                <w:b/>
                <w:bCs/>
                <w:sz w:val="21"/>
                <w:szCs w:val="21"/>
              </w:rPr>
              <w:t>≤</w:t>
            </w:r>
            <w:r>
              <w:rPr>
                <w:rFonts w:hint="default" w:ascii="Times New Roman" w:hAnsi="Times New Roman" w:eastAsia="宋体" w:cs="Times New Roman"/>
                <w:b/>
                <w:bCs/>
                <w:sz w:val="21"/>
                <w:szCs w:val="21"/>
              </w:rPr>
              <w:t>800 mm</w:t>
            </w:r>
          </w:p>
        </w:tc>
        <w:tc>
          <w:tcPr>
            <w:tcW w:w="2627" w:type="dxa"/>
            <w:vAlign w:val="center"/>
          </w:tcPr>
          <w:p w14:paraId="2B2336CF">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800 mm＜短边</w:t>
            </w:r>
            <w:r>
              <w:rPr>
                <w:rFonts w:hint="eastAsia" w:ascii="宋体" w:hAnsi="宋体" w:eastAsia="宋体" w:cs="宋体"/>
                <w:b/>
                <w:bCs/>
                <w:sz w:val="21"/>
                <w:szCs w:val="21"/>
              </w:rPr>
              <w:t>≤</w:t>
            </w:r>
            <w:r>
              <w:rPr>
                <w:rFonts w:hint="default" w:ascii="Times New Roman" w:hAnsi="Times New Roman" w:eastAsia="宋体" w:cs="Times New Roman"/>
                <w:b/>
                <w:bCs/>
                <w:sz w:val="21"/>
                <w:szCs w:val="21"/>
              </w:rPr>
              <w:t>1500 mm</w:t>
            </w:r>
          </w:p>
        </w:tc>
        <w:tc>
          <w:tcPr>
            <w:tcW w:w="1860" w:type="dxa"/>
            <w:vAlign w:val="center"/>
          </w:tcPr>
          <w:p w14:paraId="1D124193">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短边＞1500 mm</w:t>
            </w:r>
          </w:p>
        </w:tc>
      </w:tr>
      <w:tr w14:paraId="68FA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863" w:type="dxa"/>
            <w:vAlign w:val="center"/>
          </w:tcPr>
          <w:p w14:paraId="2183CEEB">
            <w:pPr>
              <w:jc w:val="center"/>
              <w:rPr>
                <w:rFonts w:hint="default" w:ascii="Times New Roman" w:hAnsi="Times New Roman" w:eastAsia="宋体" w:cs="Times New Roman"/>
                <w:sz w:val="21"/>
                <w:szCs w:val="21"/>
              </w:rPr>
            </w:pPr>
            <w:r>
              <w:rPr>
                <w:rFonts w:hint="eastAsia" w:ascii="宋体" w:hAnsi="宋体" w:eastAsia="宋体" w:cs="宋体"/>
                <w:b/>
                <w:bCs/>
                <w:sz w:val="21"/>
                <w:szCs w:val="21"/>
              </w:rPr>
              <w:t>≤</w:t>
            </w:r>
            <w:r>
              <w:rPr>
                <w:rFonts w:hint="default" w:ascii="Times New Roman" w:hAnsi="Times New Roman" w:eastAsia="宋体" w:cs="Times New Roman"/>
                <w:sz w:val="21"/>
                <w:szCs w:val="21"/>
              </w:rPr>
              <w:t>6</w:t>
            </w:r>
          </w:p>
        </w:tc>
        <w:tc>
          <w:tcPr>
            <w:tcW w:w="1794" w:type="dxa"/>
            <w:vAlign w:val="center"/>
          </w:tcPr>
          <w:p w14:paraId="18F4EF3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0.76</w:t>
            </w:r>
          </w:p>
        </w:tc>
        <w:tc>
          <w:tcPr>
            <w:tcW w:w="2627" w:type="dxa"/>
            <w:vAlign w:val="center"/>
          </w:tcPr>
          <w:p w14:paraId="3F79A14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1.14</w:t>
            </w:r>
          </w:p>
        </w:tc>
        <w:tc>
          <w:tcPr>
            <w:tcW w:w="1860" w:type="dxa"/>
            <w:vAlign w:val="center"/>
          </w:tcPr>
          <w:p w14:paraId="073FC81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w:t>
            </w:r>
          </w:p>
        </w:tc>
      </w:tr>
      <w:tr w14:paraId="34FA1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863" w:type="dxa"/>
            <w:vAlign w:val="center"/>
          </w:tcPr>
          <w:p w14:paraId="6F7285F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8~12</w:t>
            </w:r>
          </w:p>
        </w:tc>
        <w:tc>
          <w:tcPr>
            <w:tcW w:w="1794" w:type="dxa"/>
            <w:vAlign w:val="center"/>
          </w:tcPr>
          <w:p w14:paraId="5BEA46E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1.14</w:t>
            </w:r>
          </w:p>
        </w:tc>
        <w:tc>
          <w:tcPr>
            <w:tcW w:w="2627" w:type="dxa"/>
            <w:vAlign w:val="center"/>
          </w:tcPr>
          <w:p w14:paraId="512A6E0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w:t>
            </w:r>
          </w:p>
        </w:tc>
        <w:tc>
          <w:tcPr>
            <w:tcW w:w="1860" w:type="dxa"/>
            <w:vAlign w:val="center"/>
          </w:tcPr>
          <w:p w14:paraId="3C1BA29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w:t>
            </w:r>
          </w:p>
        </w:tc>
      </w:tr>
      <w:tr w14:paraId="00844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863" w:type="dxa"/>
            <w:vAlign w:val="center"/>
          </w:tcPr>
          <w:p w14:paraId="38B71F8A">
            <w:pPr>
              <w:jc w:val="center"/>
              <w:rPr>
                <w:rFonts w:hint="default" w:ascii="Times New Roman" w:hAnsi="Times New Roman" w:eastAsia="宋体"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 xml:space="preserve">15 </w:t>
            </w:r>
          </w:p>
        </w:tc>
        <w:tc>
          <w:tcPr>
            <w:tcW w:w="1794" w:type="dxa"/>
            <w:vAlign w:val="center"/>
          </w:tcPr>
          <w:p w14:paraId="4A6446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w:t>
            </w:r>
          </w:p>
        </w:tc>
        <w:tc>
          <w:tcPr>
            <w:tcW w:w="2627" w:type="dxa"/>
            <w:vAlign w:val="center"/>
          </w:tcPr>
          <w:p w14:paraId="16D3481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2.88</w:t>
            </w:r>
          </w:p>
        </w:tc>
        <w:tc>
          <w:tcPr>
            <w:tcW w:w="1860" w:type="dxa"/>
            <w:vAlign w:val="center"/>
          </w:tcPr>
          <w:p w14:paraId="68A6C26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2.88</w:t>
            </w:r>
          </w:p>
        </w:tc>
      </w:tr>
    </w:tbl>
    <w:p w14:paraId="03C57020">
      <w:pPr>
        <w:snapToGrid w:val="0"/>
        <w:spacing w:line="300" w:lineRule="auto"/>
        <w:ind w:firstLine="480" w:firstLineChars="200"/>
        <w:jc w:val="left"/>
        <w:rPr>
          <w:sz w:val="24"/>
        </w:rPr>
      </w:pPr>
      <w:r>
        <w:rPr>
          <w:sz w:val="24"/>
        </w:rPr>
        <w:t>注：钢化玻璃厚度的选取以夹胶光伏构件中较厚钢化玻璃片的厚度为准。</w:t>
      </w:r>
    </w:p>
    <w:p w14:paraId="651E59C2">
      <w:pPr>
        <w:snapToGrid w:val="0"/>
        <w:spacing w:line="300" w:lineRule="auto"/>
        <w:jc w:val="left"/>
        <w:rPr>
          <w:sz w:val="24"/>
        </w:rPr>
      </w:pPr>
      <w:bookmarkStart w:id="152" w:name="_Toc65535143"/>
      <w:bookmarkStart w:id="153" w:name="_Toc65528728"/>
      <w:r>
        <w:rPr>
          <w:rFonts w:hint="default"/>
          <w:b/>
          <w:bCs/>
          <w:sz w:val="24"/>
        </w:rPr>
        <w:t>5</w:t>
      </w:r>
      <w:r>
        <w:rPr>
          <w:b/>
          <w:bCs/>
          <w:sz w:val="24"/>
        </w:rPr>
        <w:t>.3.6</w:t>
      </w:r>
      <w:r>
        <w:rPr>
          <w:rFonts w:hint="default"/>
          <w:b w:val="0"/>
          <w:bCs w:val="0"/>
          <w:sz w:val="24"/>
          <w:lang w:val="en-US" w:eastAsia="zh-CN"/>
        </w:rPr>
        <w:t xml:space="preserve"> </w:t>
      </w:r>
      <w:r>
        <w:rPr>
          <w:sz w:val="24"/>
        </w:rPr>
        <w:t>夹胶光伏构件的各层玻璃如作为结构受力构件参与结构计算时，各层单片玻璃厚度差不宜大于3mm。</w:t>
      </w:r>
      <w:bookmarkEnd w:id="152"/>
      <w:bookmarkEnd w:id="153"/>
    </w:p>
    <w:p w14:paraId="0118516E">
      <w:pPr>
        <w:snapToGrid w:val="0"/>
        <w:spacing w:line="300" w:lineRule="auto"/>
        <w:jc w:val="left"/>
        <w:rPr>
          <w:rFonts w:hint="eastAsia" w:ascii="仿宋" w:hAnsi="仿宋" w:eastAsia="仿宋" w:cs="仿宋"/>
          <w:b w:val="0"/>
          <w:bCs w:val="0"/>
          <w:i/>
          <w:iCs/>
          <w:color w:val="0623BA"/>
          <w:sz w:val="24"/>
        </w:rPr>
      </w:pPr>
      <w:r>
        <w:rPr>
          <w:rFonts w:hint="eastAsia" w:ascii="仿宋" w:hAnsi="仿宋" w:eastAsia="仿宋" w:cs="仿宋"/>
          <w:b w:val="0"/>
          <w:bCs w:val="0"/>
          <w:i/>
          <w:iCs/>
          <w:color w:val="0623BA"/>
          <w:sz w:val="24"/>
        </w:rPr>
        <w:t>【条文说明】</w:t>
      </w:r>
    </w:p>
    <w:p w14:paraId="0A171BBF">
      <w:pPr>
        <w:snapToGrid w:val="0"/>
        <w:spacing w:line="300" w:lineRule="auto"/>
        <w:jc w:val="left"/>
        <w:rPr>
          <w:rFonts w:hint="eastAsia" w:ascii="仿宋" w:hAnsi="仿宋" w:eastAsia="仿宋" w:cs="仿宋"/>
          <w:b w:val="0"/>
          <w:bCs w:val="0"/>
          <w:i/>
          <w:iCs/>
          <w:color w:val="0623BA"/>
          <w:sz w:val="24"/>
        </w:rPr>
      </w:pPr>
      <w:r>
        <w:rPr>
          <w:rFonts w:hint="eastAsia" w:ascii="仿宋" w:hAnsi="仿宋" w:eastAsia="仿宋" w:cs="仿宋"/>
          <w:b w:val="0"/>
          <w:bCs w:val="0"/>
          <w:i/>
          <w:iCs/>
          <w:color w:val="0623BA"/>
          <w:sz w:val="24"/>
          <w:lang w:val="en-US" w:eastAsia="zh-CN"/>
        </w:rPr>
        <w:t>5.3.6</w:t>
      </w:r>
      <w:r>
        <w:rPr>
          <w:rFonts w:hint="eastAsia" w:ascii="仿宋" w:hAnsi="仿宋" w:eastAsia="仿宋" w:cs="仿宋"/>
          <w:b w:val="0"/>
          <w:bCs w:val="0"/>
          <w:i/>
          <w:iCs/>
          <w:color w:val="0623BA"/>
          <w:sz w:val="24"/>
        </w:rPr>
        <w:t>无论是两层还是三层的夹胶光伏构件，各层玻璃如共同受力参与结构计算，厚度相差过大，则两片玻璃受力不均匀，容易产生破裂。但是如果某一层玻璃不参与受力计算，如6T+0.76PVB+2T钢化夹胶玻璃，所有荷载均由6mm钢化玻璃承担，2mm钢化玻璃仅视为一层保护膜不参与结构计算，则可以不考虑“厚度差3mm”的要求，又如：8T+1.14PVB+3.2（碲化镉）+1.14PVB+8T钢化夹胶玻璃，中间的3.2mm玻璃为薄膜电池的芯片，不钢化，不参与受力，同样为设计合理的光伏构件。但，因为3.2mm浮法玻璃的边缘强度太低，在做需要拼接的大尺寸光伏构件设计时，应注意，不要将浮法玻璃的拼缝位置设计在整片光伏构件的中部，结构变形最大处。</w:t>
      </w:r>
    </w:p>
    <w:p w14:paraId="5CDECEB3">
      <w:pPr>
        <w:snapToGrid w:val="0"/>
        <w:spacing w:line="300" w:lineRule="auto"/>
        <w:jc w:val="left"/>
        <w:rPr>
          <w:sz w:val="24"/>
        </w:rPr>
      </w:pPr>
      <w:bookmarkStart w:id="154" w:name="_Toc65535144"/>
      <w:bookmarkStart w:id="155" w:name="_Toc65528729"/>
      <w:r>
        <w:rPr>
          <w:b/>
          <w:bCs/>
          <w:sz w:val="24"/>
        </w:rPr>
        <w:t>5.</w:t>
      </w:r>
      <w:r>
        <w:rPr>
          <w:rFonts w:hint="default"/>
          <w:b/>
          <w:bCs/>
          <w:sz w:val="24"/>
          <w:lang w:eastAsia="zh-CN"/>
        </w:rPr>
        <w:t>3</w:t>
      </w:r>
      <w:r>
        <w:rPr>
          <w:b/>
          <w:bCs/>
          <w:sz w:val="24"/>
        </w:rPr>
        <w:t>.7</w:t>
      </w:r>
      <w:r>
        <w:rPr>
          <w:rFonts w:hint="default"/>
          <w:b/>
          <w:bCs/>
          <w:sz w:val="24"/>
        </w:rPr>
        <w:t xml:space="preserve"> </w:t>
      </w:r>
      <w:r>
        <w:rPr>
          <w:rFonts w:hint="eastAsia"/>
          <w:sz w:val="24"/>
        </w:rPr>
        <w:t>单玻封装</w:t>
      </w:r>
      <w:r>
        <w:rPr>
          <w:sz w:val="24"/>
        </w:rPr>
        <w:t>光伏构件的玻璃厚度不宜小于5mm</w:t>
      </w:r>
      <w:r>
        <w:rPr>
          <w:rFonts w:hint="eastAsia"/>
          <w:sz w:val="24"/>
        </w:rPr>
        <w:t>，带有背板持力层的光伏构件的面板玻璃厚度不宜小于3</w:t>
      </w:r>
      <w:r>
        <w:rPr>
          <w:sz w:val="24"/>
        </w:rPr>
        <w:t>.2</w:t>
      </w:r>
      <w:r>
        <w:rPr>
          <w:rFonts w:hint="eastAsia"/>
          <w:sz w:val="24"/>
        </w:rPr>
        <w:t>mm</w:t>
      </w:r>
      <w:r>
        <w:rPr>
          <w:sz w:val="24"/>
        </w:rPr>
        <w:t>。</w:t>
      </w:r>
      <w:bookmarkEnd w:id="154"/>
      <w:bookmarkEnd w:id="155"/>
    </w:p>
    <w:p w14:paraId="7AEFA118">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【条文说明】</w:t>
      </w:r>
    </w:p>
    <w:p w14:paraId="49ED2DFE">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 xml:space="preserve">5.3.7 </w:t>
      </w:r>
      <w:r>
        <w:rPr>
          <w:rFonts w:hint="eastAsia" w:ascii="仿宋" w:hAnsi="仿宋" w:eastAsia="仿宋" w:cs="仿宋"/>
          <w:i/>
          <w:iCs/>
          <w:color w:val="0623BA"/>
          <w:sz w:val="24"/>
        </w:rPr>
        <w:t>单玻封装光伏构件的结构构成通常为玻璃+EVA+PV+EVA+光伏背膜，由于多了两层胶片，使得该结构的抗冲击性能（软物冲击和硬物冲击）增加，满足安全玻璃的要求，而该类构件必须采用有边框的设计，这就避免了裸边玻璃在运输安装过程中小于6mm情况下容易破损的问题。因此，单层玻璃夹胶光伏构件的最小玻璃厚度定为5mm。还有一种结构为单玻光伏组件加建材背板的结构，主要持力层为背板材料，面板仅为电池的保护层，因此3.2mm钢化玻璃满足《建筑玻璃应用技术规程》JGJ 113的相关要求，可以使用。</w:t>
      </w:r>
    </w:p>
    <w:p w14:paraId="04BEBEC5">
      <w:pPr>
        <w:pStyle w:val="2"/>
        <w:rPr>
          <w:rFonts w:hint="eastAsia"/>
          <w:sz w:val="24"/>
        </w:rPr>
      </w:pPr>
      <w:r>
        <w:rPr>
          <w:b/>
          <w:bCs/>
          <w:sz w:val="24"/>
        </w:rPr>
        <w:t>5.</w:t>
      </w:r>
      <w:r>
        <w:rPr>
          <w:rFonts w:hint="eastAsia"/>
          <w:b/>
          <w:bCs/>
          <w:sz w:val="24"/>
          <w:lang w:eastAsia="zh-CN"/>
        </w:rPr>
        <w:t>3</w:t>
      </w:r>
      <w:r>
        <w:rPr>
          <w:b/>
          <w:bCs/>
          <w:sz w:val="24"/>
        </w:rPr>
        <w:t>.8</w:t>
      </w:r>
      <w:r>
        <w:rPr>
          <w:rFonts w:hint="eastAsia"/>
          <w:b/>
          <w:bCs/>
          <w:sz w:val="24"/>
          <w:lang w:val="en-US" w:eastAsia="zh-CN"/>
        </w:rPr>
        <w:t xml:space="preserve"> </w:t>
      </w:r>
      <w:r>
        <w:rPr>
          <w:rFonts w:hint="eastAsia"/>
          <w:sz w:val="24"/>
        </w:rPr>
        <w:t>带边框的光伏构件应考虑接地措施。</w:t>
      </w:r>
    </w:p>
    <w:p w14:paraId="564B4851">
      <w:pPr>
        <w:pStyle w:val="2"/>
        <w:rPr>
          <w:rFonts w:hint="eastAsia" w:ascii="Times New Roman" w:hAnsi="Times New Roman" w:eastAsia="宋体" w:cs="Times New Roman"/>
          <w:b w:val="0"/>
          <w:bCs w:val="0"/>
          <w:i w:val="0"/>
          <w:iCs w:val="0"/>
          <w:color w:val="auto"/>
          <w:sz w:val="24"/>
          <w:szCs w:val="24"/>
          <w:highlight w:val="none"/>
          <w:lang w:val="en-US" w:eastAsia="zh-CN"/>
        </w:rPr>
      </w:pPr>
      <w:r>
        <w:rPr>
          <w:rFonts w:hint="eastAsia" w:cs="Times New Roman"/>
          <w:b/>
          <w:bCs/>
          <w:i w:val="0"/>
          <w:iCs w:val="0"/>
          <w:color w:val="auto"/>
          <w:sz w:val="24"/>
          <w:szCs w:val="24"/>
          <w:highlight w:val="none"/>
          <w:lang w:val="en-US" w:eastAsia="zh-CN"/>
        </w:rPr>
        <w:t>5.3.9</w:t>
      </w:r>
      <w:r>
        <w:rPr>
          <w:rFonts w:hint="eastAsia" w:ascii="Times New Roman" w:hAnsi="Times New Roman" w:eastAsia="宋体" w:cs="Times New Roman"/>
          <w:b w:val="0"/>
          <w:bCs w:val="0"/>
          <w:i w:val="0"/>
          <w:iCs w:val="0"/>
          <w:color w:val="auto"/>
          <w:sz w:val="24"/>
          <w:szCs w:val="24"/>
          <w:highlight w:val="none"/>
          <w:lang w:val="en-US" w:eastAsia="zh-CN"/>
        </w:rPr>
        <w:t xml:space="preserve"> 光伏方阵的数量应根据总装机容量及光伏组件串的容量确定。</w:t>
      </w:r>
    </w:p>
    <w:p w14:paraId="74F71E1D">
      <w:pPr>
        <w:keepNext/>
        <w:keepLines/>
        <w:snapToGrid w:val="0"/>
        <w:spacing w:before="72" w:beforeLines="30" w:after="72" w:afterLines="30" w:line="300" w:lineRule="auto"/>
        <w:jc w:val="center"/>
        <w:outlineLvl w:val="2"/>
        <w:rPr>
          <w:b/>
          <w:sz w:val="24"/>
          <w:szCs w:val="32"/>
        </w:rPr>
      </w:pPr>
      <w:bookmarkStart w:id="156" w:name="_Toc20622"/>
      <w:bookmarkStart w:id="157" w:name="_Toc9688"/>
      <w:bookmarkStart w:id="158" w:name="_Toc6114"/>
      <w:bookmarkStart w:id="159" w:name="_Toc2631"/>
      <w:bookmarkStart w:id="160" w:name="_Toc16868"/>
      <w:bookmarkStart w:id="161" w:name="_Toc6233"/>
      <w:bookmarkStart w:id="162" w:name="_Toc32620"/>
      <w:bookmarkStart w:id="163" w:name="_Toc131"/>
      <w:r>
        <w:rPr>
          <w:b/>
          <w:sz w:val="24"/>
          <w:szCs w:val="32"/>
        </w:rPr>
        <w:t>5.</w:t>
      </w:r>
      <w:r>
        <w:rPr>
          <w:rFonts w:hint="default"/>
          <w:b/>
          <w:sz w:val="24"/>
          <w:szCs w:val="32"/>
          <w:lang w:val="en-US" w:eastAsia="zh-CN"/>
        </w:rPr>
        <w:t>4</w:t>
      </w:r>
      <w:r>
        <w:rPr>
          <w:b/>
          <w:sz w:val="24"/>
          <w:szCs w:val="32"/>
        </w:rPr>
        <w:t>构造</w:t>
      </w:r>
      <w:bookmarkEnd w:id="156"/>
      <w:bookmarkEnd w:id="157"/>
      <w:bookmarkEnd w:id="158"/>
      <w:bookmarkEnd w:id="159"/>
      <w:bookmarkEnd w:id="160"/>
      <w:bookmarkEnd w:id="161"/>
      <w:bookmarkEnd w:id="162"/>
      <w:bookmarkEnd w:id="163"/>
    </w:p>
    <w:p w14:paraId="0AEF7D03">
      <w:pPr>
        <w:snapToGrid w:val="0"/>
        <w:spacing w:line="300" w:lineRule="auto"/>
        <w:jc w:val="left"/>
        <w:rPr>
          <w:sz w:val="24"/>
        </w:rPr>
      </w:pPr>
      <w:r>
        <w:rPr>
          <w:b/>
          <w:bCs/>
          <w:sz w:val="24"/>
        </w:rPr>
        <w:t>5.</w:t>
      </w:r>
      <w:r>
        <w:rPr>
          <w:rFonts w:hint="eastAsia"/>
          <w:b/>
          <w:bCs/>
          <w:sz w:val="24"/>
          <w:lang w:val="en-US" w:eastAsia="zh-CN"/>
        </w:rPr>
        <w:t>4</w:t>
      </w:r>
      <w:r>
        <w:rPr>
          <w:b/>
          <w:bCs/>
          <w:sz w:val="24"/>
        </w:rPr>
        <w:t>.1</w:t>
      </w:r>
      <w:r>
        <w:rPr>
          <w:sz w:val="24"/>
        </w:rPr>
        <w:t xml:space="preserve"> 光伏组件的安装不应影响所在部位的雨水排放。</w:t>
      </w:r>
    </w:p>
    <w:p w14:paraId="71E2093A">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B20942C">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 xml:space="preserve">.1 光伏组件不应影响安装部位建筑雨水系统设计。不应造成局部积水、防水层破坏、渗漏等情况。 </w:t>
      </w:r>
    </w:p>
    <w:p w14:paraId="2F9DDB8F">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2</w:t>
      </w:r>
      <w:r>
        <w:rPr>
          <w:sz w:val="24"/>
        </w:rPr>
        <w:t xml:space="preserve"> 光伏组件宜采用易于维修、更换的安装方式。</w:t>
      </w:r>
    </w:p>
    <w:p w14:paraId="3E4A0F1B">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3</w:t>
      </w:r>
      <w:r>
        <w:rPr>
          <w:rFonts w:hint="eastAsia"/>
          <w:sz w:val="24"/>
        </w:rPr>
        <w:t xml:space="preserve"> </w:t>
      </w:r>
      <w:r>
        <w:rPr>
          <w:sz w:val="24"/>
        </w:rPr>
        <w:t>当光伏组件平行于安装部位时，其与安装部位的间距应符合安装和通风散热的要求。</w:t>
      </w:r>
    </w:p>
    <w:p w14:paraId="1DD13998">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D32D472">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.3 安装光伏组件时，应采取必要的通风降温措施以抑制其表面温度升高。一般情况下，组件与安装面层之间设置50mm以上的空隙</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 xml:space="preserve">组件之间也留有空隙，会有效控制组件背面的温度升高。 </w:t>
      </w:r>
    </w:p>
    <w:p w14:paraId="428555C6">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4</w:t>
      </w:r>
      <w:r>
        <w:rPr>
          <w:rFonts w:hint="eastAsia"/>
          <w:sz w:val="24"/>
        </w:rPr>
        <w:t xml:space="preserve"> </w:t>
      </w:r>
      <w:r>
        <w:rPr>
          <w:sz w:val="24"/>
        </w:rPr>
        <w:t>屋面防水层上安装光伏组件时，应采取相应的防水措施。光伏组件的管线穿过屋面处应预埋防水套管，应做防水密封处理。建筑屋面安装光伏发电系统不应影响屋面防水的周期性更新和维护。</w:t>
      </w:r>
    </w:p>
    <w:p w14:paraId="1A395AC6">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B95A788">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 xml:space="preserve">.4 在屋面防水层上安装光伏组件时，其与周围屋面材料连接部位应做好建筑构造处理，应符合屋面整体的保温、防水等围护结构功能要求。如光伏组件支座与结构层相连时，防水层应包到支座和金属埋件的上部，形成较高的泛水，地脚螺栓周围缝隙容易渗水，应做密封处理；支架基座部位应做附加防水层。附加层宜空铺，空铺宽度不应小于200mm。建筑屋面防水材料的使用寿命较短，需周期性更新和维护，所以在进行光伏组件安装时应考虑为防水材料的更新维护创造条件。  </w:t>
      </w:r>
    </w:p>
    <w:p w14:paraId="3614D878">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 xml:space="preserve">5 </w:t>
      </w:r>
      <w:r>
        <w:rPr>
          <w:sz w:val="24"/>
        </w:rPr>
        <w:t>平屋面上安装光伏组件应符合下列</w:t>
      </w:r>
      <w:r>
        <w:rPr>
          <w:rFonts w:hint="eastAsia"/>
          <w:sz w:val="24"/>
          <w:lang w:val="en-US" w:eastAsia="zh-CN"/>
        </w:rPr>
        <w:t>规定</w:t>
      </w:r>
      <w:r>
        <w:rPr>
          <w:sz w:val="24"/>
        </w:rPr>
        <w:t>：</w:t>
      </w:r>
    </w:p>
    <w:p w14:paraId="2FE3E308">
      <w:pPr>
        <w:snapToGrid w:val="0"/>
        <w:spacing w:line="300" w:lineRule="auto"/>
        <w:ind w:firstLine="482" w:firstLineChars="200"/>
        <w:jc w:val="left"/>
        <w:rPr>
          <w:sz w:val="24"/>
        </w:rPr>
      </w:pPr>
      <w:r>
        <w:rPr>
          <w:b/>
          <w:bCs/>
          <w:sz w:val="24"/>
        </w:rPr>
        <w:t xml:space="preserve">1 </w:t>
      </w:r>
      <w:r>
        <w:rPr>
          <w:sz w:val="24"/>
        </w:rPr>
        <w:t>光伏方阵应设置方便人工清洗、维护的设施与通道</w:t>
      </w:r>
      <w:r>
        <w:rPr>
          <w:rFonts w:hint="eastAsia"/>
          <w:sz w:val="24"/>
          <w:lang w:eastAsia="zh-CN"/>
        </w:rPr>
        <w:t>，</w:t>
      </w:r>
      <w:r>
        <w:rPr>
          <w:rFonts w:hint="eastAsia"/>
          <w:sz w:val="24"/>
          <w:lang w:val="en-US" w:eastAsia="zh-CN"/>
        </w:rPr>
        <w:t>宽度不小于400mm</w:t>
      </w:r>
      <w:r>
        <w:rPr>
          <w:sz w:val="24"/>
        </w:rPr>
        <w:t>；</w:t>
      </w:r>
    </w:p>
    <w:p w14:paraId="0256E432">
      <w:pPr>
        <w:snapToGrid w:val="0"/>
        <w:spacing w:line="300" w:lineRule="auto"/>
        <w:ind w:firstLine="482" w:firstLineChars="200"/>
        <w:jc w:val="left"/>
        <w:rPr>
          <w:sz w:val="24"/>
        </w:rPr>
      </w:pPr>
      <w:r>
        <w:rPr>
          <w:b/>
          <w:bCs/>
          <w:sz w:val="24"/>
        </w:rPr>
        <w:t>2</w:t>
      </w:r>
      <w:r>
        <w:rPr>
          <w:sz w:val="24"/>
        </w:rPr>
        <w:t>在平屋面防水层上安装光伏组件时，其支架基座下部应增设附加防水层；</w:t>
      </w:r>
    </w:p>
    <w:p w14:paraId="35F2BE36">
      <w:pPr>
        <w:snapToGrid w:val="0"/>
        <w:spacing w:line="300" w:lineRule="auto"/>
        <w:ind w:firstLine="482" w:firstLineChars="200"/>
        <w:jc w:val="left"/>
        <w:rPr>
          <w:sz w:val="24"/>
        </w:rPr>
      </w:pPr>
      <w:r>
        <w:rPr>
          <w:b/>
          <w:bCs/>
          <w:sz w:val="24"/>
        </w:rPr>
        <w:t>3</w:t>
      </w:r>
      <w:r>
        <w:rPr>
          <w:sz w:val="24"/>
        </w:rPr>
        <w:t>光伏组件周围屋面、检修通道、屋面出入口和光伏方阵之间的人行通道上部宜铺设保护层。</w:t>
      </w:r>
    </w:p>
    <w:p w14:paraId="7CCC7918">
      <w:pPr>
        <w:pStyle w:val="3"/>
        <w:spacing w:before="0" w:after="0" w:line="300" w:lineRule="auto"/>
        <w:ind w:firstLine="482" w:firstLineChars="200"/>
        <w:jc w:val="left"/>
        <w:rPr>
          <w:rFonts w:hint="default" w:ascii="Times New Roman" w:hAnsi="Times New Roman" w:eastAsia="宋体" w:cs="Times New Roman"/>
          <w:b w:val="0"/>
          <w:bCs w:val="0"/>
          <w:i w:val="0"/>
          <w:iCs w:val="0"/>
          <w:color w:val="auto"/>
          <w:sz w:val="24"/>
          <w:szCs w:val="24"/>
          <w:highlight w:val="none"/>
        </w:rPr>
      </w:pPr>
      <w:r>
        <w:rPr>
          <w:rFonts w:hint="eastAsia" w:ascii="Times New Roman" w:hAnsi="Times New Roman" w:cs="Times New Roman"/>
          <w:b/>
          <w:bCs/>
          <w:i w:val="0"/>
          <w:iCs w:val="0"/>
          <w:color w:val="auto"/>
          <w:sz w:val="24"/>
          <w:szCs w:val="24"/>
          <w:highlight w:val="none"/>
          <w:lang w:val="en-US" w:eastAsia="zh-CN"/>
        </w:rPr>
        <w:t>4</w:t>
      </w:r>
      <w:r>
        <w:rPr>
          <w:rFonts w:hint="default" w:ascii="Times New Roman" w:hAnsi="Times New Roman" w:eastAsia="宋体" w:cs="Times New Roman"/>
          <w:b/>
          <w:bCs/>
          <w:i w:val="0"/>
          <w:iCs w:val="0"/>
          <w:color w:val="auto"/>
          <w:sz w:val="24"/>
          <w:szCs w:val="24"/>
          <w:highlight w:val="none"/>
        </w:rPr>
        <w:t xml:space="preserve"> </w:t>
      </w:r>
      <w:r>
        <w:rPr>
          <w:rFonts w:hint="default" w:ascii="Times New Roman" w:hAnsi="Times New Roman" w:eastAsia="宋体" w:cs="Times New Roman"/>
          <w:b w:val="0"/>
          <w:bCs w:val="0"/>
          <w:i w:val="0"/>
          <w:iCs w:val="0"/>
          <w:color w:val="auto"/>
          <w:sz w:val="24"/>
          <w:szCs w:val="24"/>
          <w:highlight w:val="none"/>
        </w:rPr>
        <w:t>光伏组件的最低点距屋顶之间的距离应满足通风散热的间隙要求，绿化屋顶的光伏组件的最低点应高于其附近绿化植被的最大高度。</w:t>
      </w:r>
    </w:p>
    <w:p w14:paraId="1C6763CC">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F0EFEAC">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.5 平屋面上安装光伏组件应符合以下要求：</w:t>
      </w:r>
    </w:p>
    <w:p w14:paraId="619BBE4E">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1 应设置扫雪通道及人员安全保障设施。屋面光伏方阵之间应预留不小于400mm的检修通道。</w:t>
      </w:r>
    </w:p>
    <w:p w14:paraId="5D269AF5">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2 光伏组件支座与结构层相连时，防水层应包到支座和金属埋件的上部，形成较高的泛水</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 xml:space="preserve"> 地脚螺栓周围缝隙容易渗水，应做密封处理。</w:t>
      </w:r>
    </w:p>
    <w:p w14:paraId="457EECDA">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3 需要经常维修的光伏组件周围屋面、检修通道、屋面出</w:t>
      </w:r>
      <w:r>
        <w:rPr>
          <w:rFonts w:hint="eastAsia" w:ascii="仿宋" w:hAnsi="仿宋" w:eastAsia="仿宋" w:cs="仿宋"/>
          <w:i/>
          <w:iCs/>
          <w:color w:val="0623BA"/>
          <w:sz w:val="24"/>
          <w:lang w:val="en-US" w:eastAsia="zh-CN"/>
        </w:rPr>
        <w:t>入</w:t>
      </w:r>
      <w:r>
        <w:rPr>
          <w:rFonts w:hint="eastAsia" w:ascii="仿宋" w:hAnsi="仿宋" w:eastAsia="仿宋" w:cs="仿宋"/>
          <w:i/>
          <w:iCs/>
          <w:color w:val="0623BA"/>
          <w:sz w:val="24"/>
        </w:rPr>
        <w:t xml:space="preserve">口以及人行通道上面应设置刚性保护层对防水层进行保护，一般可铺设水泥砖。 </w:t>
      </w:r>
    </w:p>
    <w:p w14:paraId="0F6D22F8">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 xml:space="preserve">6 </w:t>
      </w:r>
      <w:r>
        <w:rPr>
          <w:sz w:val="24"/>
        </w:rPr>
        <w:t>坡屋面上安装光伏组件</w:t>
      </w:r>
      <w:r>
        <w:rPr>
          <w:rFonts w:hint="eastAsia"/>
          <w:sz w:val="24"/>
          <w:lang w:val="en-US" w:eastAsia="zh-CN"/>
        </w:rPr>
        <w:t>和光伏构件</w:t>
      </w:r>
      <w:r>
        <w:rPr>
          <w:sz w:val="24"/>
        </w:rPr>
        <w:t>应符合下列</w:t>
      </w:r>
      <w:r>
        <w:rPr>
          <w:rFonts w:hint="eastAsia"/>
          <w:sz w:val="24"/>
          <w:lang w:val="en-US" w:eastAsia="zh-CN"/>
        </w:rPr>
        <w:t>要求</w:t>
      </w:r>
      <w:r>
        <w:rPr>
          <w:sz w:val="24"/>
        </w:rPr>
        <w:t>：</w:t>
      </w:r>
    </w:p>
    <w:p w14:paraId="4F557254">
      <w:pPr>
        <w:snapToGrid w:val="0"/>
        <w:spacing w:line="300" w:lineRule="auto"/>
        <w:ind w:firstLine="482" w:firstLineChars="200"/>
        <w:jc w:val="left"/>
        <w:rPr>
          <w:sz w:val="24"/>
        </w:rPr>
      </w:pPr>
      <w:r>
        <w:rPr>
          <w:b/>
          <w:bCs/>
          <w:sz w:val="24"/>
        </w:rPr>
        <w:t xml:space="preserve">1 </w:t>
      </w:r>
      <w:r>
        <w:rPr>
          <w:sz w:val="24"/>
        </w:rPr>
        <w:t>光伏组件</w:t>
      </w:r>
      <w:r>
        <w:rPr>
          <w:rFonts w:hint="eastAsia"/>
          <w:sz w:val="24"/>
        </w:rPr>
        <w:t>应采用顺坡架空或顺坡镶嵌的安装方式，水平面上的投影不应超出建筑物立面或者屋面边缘范围</w:t>
      </w:r>
      <w:r>
        <w:rPr>
          <w:sz w:val="24"/>
        </w:rPr>
        <w:t>；</w:t>
      </w:r>
    </w:p>
    <w:p w14:paraId="5C296953">
      <w:pPr>
        <w:snapToGrid w:val="0"/>
        <w:spacing w:line="300" w:lineRule="auto"/>
        <w:ind w:firstLine="482" w:firstLineChars="200"/>
        <w:jc w:val="left"/>
        <w:rPr>
          <w:rFonts w:ascii="Times New Roman" w:hAnsi="Times New Roman" w:eastAsia="宋体" w:cs="Times New Roman"/>
          <w:sz w:val="24"/>
          <w:szCs w:val="24"/>
        </w:rPr>
      </w:pPr>
      <w:r>
        <w:rPr>
          <w:b/>
          <w:bCs/>
          <w:sz w:val="24"/>
        </w:rPr>
        <w:t>2</w:t>
      </w:r>
      <w:r>
        <w:rPr>
          <w:rFonts w:hint="eastAsia"/>
          <w:b/>
          <w:bCs/>
          <w:sz w:val="24"/>
          <w:lang w:val="en-US" w:eastAsia="zh-CN"/>
        </w:rPr>
        <w:t xml:space="preserve"> </w:t>
      </w:r>
      <w:r>
        <w:rPr>
          <w:rFonts w:ascii="Times New Roman" w:hAnsi="Times New Roman" w:eastAsia="宋体" w:cs="Times New Roman"/>
          <w:b w:val="0"/>
          <w:bCs w:val="0"/>
          <w:i w:val="0"/>
          <w:iCs w:val="0"/>
          <w:color w:val="auto"/>
          <w:sz w:val="24"/>
          <w:szCs w:val="24"/>
        </w:rPr>
        <w:t>宜设置便于人员检修的相关设施或选用满足上人强度要求的光伏组件；</w:t>
      </w:r>
      <w:r>
        <w:rPr>
          <w:rFonts w:ascii="Times New Roman" w:hAnsi="Times New Roman" w:eastAsia="宋体" w:cs="Times New Roman"/>
          <w:sz w:val="24"/>
          <w:szCs w:val="24"/>
        </w:rPr>
        <w:t xml:space="preserve"> </w:t>
      </w:r>
    </w:p>
    <w:p w14:paraId="21E75D1F">
      <w:pPr>
        <w:snapToGrid w:val="0"/>
        <w:spacing w:line="300" w:lineRule="auto"/>
        <w:ind w:firstLine="482" w:firstLineChars="200"/>
        <w:jc w:val="left"/>
        <w:rPr>
          <w:sz w:val="24"/>
        </w:rPr>
      </w:pPr>
      <w:r>
        <w:rPr>
          <w:rFonts w:hint="default"/>
          <w:b/>
          <w:bCs/>
          <w:sz w:val="24"/>
          <w:lang w:val="en-US"/>
        </w:rPr>
        <w:t>3</w:t>
      </w:r>
      <w:r>
        <w:rPr>
          <w:sz w:val="24"/>
        </w:rPr>
        <w:t>光伏瓦宜与屋顶普通瓦模数相匹配，不应影响屋面正常的排水功能。</w:t>
      </w:r>
    </w:p>
    <w:p w14:paraId="1B643FD8">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0BB8C96">
      <w:pPr>
        <w:snapToGrid w:val="0"/>
        <w:spacing w:line="300" w:lineRule="auto"/>
        <w:ind w:left="480" w:hanging="480" w:hangingChars="200"/>
        <w:jc w:val="left"/>
        <w:rPr>
          <w:rFonts w:hint="eastAsia" w:ascii="仿宋" w:hAnsi="仿宋" w:eastAsia="仿宋" w:cs="仿宋"/>
          <w:b w:val="0"/>
          <w:bCs w:val="0"/>
          <w:i/>
          <w:iCs/>
          <w:color w:val="0623BA"/>
          <w:sz w:val="24"/>
          <w:szCs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6</w:t>
      </w:r>
      <w:r>
        <w:rPr>
          <w:rFonts w:hint="eastAsia" w:ascii="仿宋" w:hAnsi="仿宋" w:eastAsia="仿宋" w:cs="仿宋"/>
          <w:i/>
          <w:iCs/>
          <w:color w:val="0623BA"/>
          <w:sz w:val="24"/>
        </w:rPr>
        <w:t xml:space="preserve"> </w:t>
      </w:r>
      <w:r>
        <w:rPr>
          <w:rFonts w:hint="eastAsia" w:ascii="仿宋" w:hAnsi="仿宋" w:eastAsia="仿宋" w:cs="仿宋"/>
          <w:b w:val="0"/>
          <w:bCs w:val="0"/>
          <w:i/>
          <w:iCs/>
          <w:color w:val="0623BA"/>
          <w:sz w:val="24"/>
          <w:szCs w:val="24"/>
        </w:rPr>
        <w:t>本条对光伏组件布置在建筑坡屋面上时的要求作出规定。</w:t>
      </w:r>
    </w:p>
    <w:p w14:paraId="75A43344">
      <w:pPr>
        <w:snapToGrid w:val="0"/>
        <w:spacing w:line="300" w:lineRule="auto"/>
        <w:ind w:left="0" w:firstLine="482" w:firstLineChars="200"/>
        <w:jc w:val="left"/>
        <w:rPr>
          <w:rFonts w:hint="eastAsia" w:ascii="仿宋" w:hAnsi="仿宋" w:eastAsia="仿宋" w:cs="仿宋"/>
          <w:b w:val="0"/>
          <w:bCs w:val="0"/>
          <w:i/>
          <w:iCs/>
          <w:color w:val="0623BA"/>
          <w:sz w:val="24"/>
          <w:szCs w:val="24"/>
        </w:rPr>
      </w:pPr>
      <w:r>
        <w:rPr>
          <w:rFonts w:hint="eastAsia" w:ascii="仿宋" w:hAnsi="仿宋" w:eastAsia="仿宋" w:cs="仿宋"/>
          <w:b/>
          <w:bCs/>
          <w:i/>
          <w:iCs/>
          <w:color w:val="0623BA"/>
          <w:sz w:val="24"/>
          <w:szCs w:val="24"/>
        </w:rPr>
        <w:t xml:space="preserve">1 </w:t>
      </w:r>
      <w:r>
        <w:rPr>
          <w:rFonts w:hint="eastAsia" w:ascii="仿宋" w:hAnsi="仿宋" w:eastAsia="仿宋" w:cs="仿宋"/>
          <w:b w:val="0"/>
          <w:bCs w:val="0"/>
          <w:i/>
          <w:iCs/>
          <w:color w:val="0623BA"/>
          <w:sz w:val="24"/>
          <w:szCs w:val="24"/>
        </w:rPr>
        <w:t>安装在坡屋面上的光伏组件宜根据建筑物实际情况，选择顺坡镶嵌设置或顺坡架空设置方式。应尽量避免超出建筑物立面或者屋面边缘范围，影响周围建筑与自身的美观；</w:t>
      </w:r>
    </w:p>
    <w:p w14:paraId="05B95511">
      <w:pPr>
        <w:snapToGrid w:val="0"/>
        <w:spacing w:line="300" w:lineRule="auto"/>
        <w:ind w:left="0" w:firstLine="482" w:firstLineChars="200"/>
        <w:jc w:val="left"/>
        <w:rPr>
          <w:rFonts w:hint="eastAsia" w:ascii="仿宋" w:hAnsi="仿宋" w:eastAsia="仿宋" w:cs="仿宋"/>
          <w:i/>
          <w:iCs/>
          <w:color w:val="0623BA"/>
          <w:sz w:val="24"/>
          <w:szCs w:val="24"/>
        </w:rPr>
      </w:pPr>
      <w:r>
        <w:rPr>
          <w:rFonts w:hint="eastAsia" w:ascii="仿宋" w:hAnsi="仿宋" w:eastAsia="仿宋" w:cs="仿宋"/>
          <w:b/>
          <w:bCs/>
          <w:i/>
          <w:iCs/>
          <w:color w:val="0623BA"/>
          <w:sz w:val="24"/>
          <w:szCs w:val="24"/>
        </w:rPr>
        <w:t xml:space="preserve">2 </w:t>
      </w:r>
      <w:r>
        <w:rPr>
          <w:rFonts w:hint="eastAsia" w:ascii="仿宋" w:hAnsi="仿宋" w:eastAsia="仿宋" w:cs="仿宋"/>
          <w:b w:val="0"/>
          <w:bCs w:val="0"/>
          <w:i/>
          <w:iCs/>
          <w:color w:val="0623BA"/>
          <w:sz w:val="24"/>
          <w:szCs w:val="24"/>
        </w:rPr>
        <w:t>考虑光伏组件的日常检修需求，宜根据屋面实际情况，设置适宜的便于上人检修的相关设施。在坡面不具备预留检修通道的条件时，宜选用满足上人强度要求的光伏组件，以应对组件可能出现的踩踏维修需求</w:t>
      </w:r>
      <w:r>
        <w:rPr>
          <w:rFonts w:hint="eastAsia" w:ascii="仿宋" w:hAnsi="仿宋" w:eastAsia="仿宋" w:cs="仿宋"/>
          <w:b w:val="0"/>
          <w:bCs w:val="0"/>
          <w:i/>
          <w:iCs/>
          <w:color w:val="0623BA"/>
          <w:sz w:val="24"/>
          <w:szCs w:val="24"/>
          <w:lang w:eastAsia="zh-CN"/>
        </w:rPr>
        <w:t>；</w:t>
      </w:r>
    </w:p>
    <w:p w14:paraId="19FDA693">
      <w:pPr>
        <w:snapToGrid w:val="0"/>
        <w:spacing w:line="300" w:lineRule="auto"/>
        <w:ind w:left="0" w:firstLine="480" w:firstLineChars="200"/>
        <w:jc w:val="left"/>
        <w:rPr>
          <w:rFonts w:hint="eastAsia" w:ascii="仿宋" w:hAnsi="仿宋" w:eastAsia="仿宋" w:cs="仿宋"/>
          <w:i/>
          <w:iCs/>
          <w:color w:val="0623BA"/>
          <w:sz w:val="24"/>
          <w:szCs w:val="24"/>
          <w:lang w:val="en-US" w:eastAsia="zh-CN"/>
        </w:rPr>
      </w:pPr>
      <w:r>
        <w:rPr>
          <w:rFonts w:hint="eastAsia" w:ascii="仿宋" w:hAnsi="仿宋" w:eastAsia="仿宋" w:cs="仿宋"/>
          <w:i/>
          <w:iCs/>
          <w:color w:val="0623BA"/>
          <w:sz w:val="24"/>
          <w:szCs w:val="24"/>
          <w:lang w:val="en-US" w:eastAsia="zh-CN"/>
        </w:rPr>
        <w:t>3 光伏瓦应重点考虑</w:t>
      </w:r>
      <w:r>
        <w:rPr>
          <w:rFonts w:hint="eastAsia" w:ascii="仿宋" w:hAnsi="仿宋" w:eastAsia="仿宋" w:cs="仿宋"/>
          <w:i/>
          <w:iCs/>
          <w:color w:val="0623BA"/>
          <w:sz w:val="24"/>
        </w:rPr>
        <w:t>整体屋面的通风散热问题</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光伏瓦自身以及顺水条、挂瓦条、连接件的结构强度和变形问题</w:t>
      </w:r>
      <w:r>
        <w:rPr>
          <w:rFonts w:hint="eastAsia" w:ascii="仿宋" w:hAnsi="仿宋" w:eastAsia="仿宋" w:cs="仿宋"/>
          <w:i/>
          <w:iCs/>
          <w:color w:val="0623BA"/>
          <w:sz w:val="24"/>
          <w:lang w:eastAsia="zh-CN"/>
        </w:rPr>
        <w:t>，光伏瓦的单块可更换问题，边框接地措施。</w:t>
      </w:r>
    </w:p>
    <w:p w14:paraId="46D29364">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7</w:t>
      </w:r>
      <w:r>
        <w:rPr>
          <w:rFonts w:hint="eastAsia"/>
          <w:sz w:val="24"/>
        </w:rPr>
        <w:t xml:space="preserve"> </w:t>
      </w:r>
      <w:r>
        <w:rPr>
          <w:sz w:val="24"/>
        </w:rPr>
        <w:t>阳台或平台上安装光伏</w:t>
      </w:r>
      <w:r>
        <w:rPr>
          <w:rFonts w:hint="eastAsia"/>
          <w:sz w:val="24"/>
          <w:lang w:val="en-US" w:eastAsia="zh-CN"/>
        </w:rPr>
        <w:t>构件</w:t>
      </w:r>
      <w:r>
        <w:rPr>
          <w:sz w:val="24"/>
        </w:rPr>
        <w:t>应符合下列</w:t>
      </w:r>
      <w:r>
        <w:rPr>
          <w:rFonts w:hint="eastAsia"/>
          <w:sz w:val="24"/>
          <w:lang w:val="en-US" w:eastAsia="zh-CN"/>
        </w:rPr>
        <w:t>要求</w:t>
      </w:r>
      <w:r>
        <w:rPr>
          <w:sz w:val="24"/>
        </w:rPr>
        <w:t>：</w:t>
      </w:r>
    </w:p>
    <w:p w14:paraId="01D3A194">
      <w:pPr>
        <w:snapToGrid w:val="0"/>
        <w:spacing w:line="300" w:lineRule="auto"/>
        <w:ind w:firstLine="480" w:firstLineChars="200"/>
        <w:jc w:val="left"/>
        <w:rPr>
          <w:sz w:val="24"/>
        </w:rPr>
      </w:pPr>
      <w:r>
        <w:rPr>
          <w:sz w:val="24"/>
        </w:rPr>
        <w:t>1 安装在阳台或平台栏板上的光伏组件支架应与栏板主体结构上的预埋件牢固连接；</w:t>
      </w:r>
    </w:p>
    <w:p w14:paraId="40CFDE05">
      <w:pPr>
        <w:snapToGrid w:val="0"/>
        <w:spacing w:line="300" w:lineRule="auto"/>
        <w:ind w:firstLine="480" w:firstLineChars="200"/>
        <w:jc w:val="left"/>
        <w:rPr>
          <w:sz w:val="24"/>
        </w:rPr>
      </w:pPr>
      <w:r>
        <w:rPr>
          <w:sz w:val="24"/>
        </w:rPr>
        <w:t>2 构成阳台或平台栏板的光伏组件，应符合刚度、强度防护功能和电气安全要求，其高度应符合护栏高度的要求。</w:t>
      </w:r>
    </w:p>
    <w:p w14:paraId="25070F85">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F9378E2">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.7 阳台或平台上安装光伏组件应符合以下要求：</w:t>
      </w:r>
    </w:p>
    <w:p w14:paraId="5A60B877">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1 对不具有阳台栏板功能，通过其他连接方式安装在阳台栏板上的光伏组件，其支架应与阳台栏板上的预埋件牢固连接，通过计算确定预埋件的尺寸与预埋深度，防止坠落事件的发生；</w:t>
      </w:r>
    </w:p>
    <w:p w14:paraId="562464B8">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2 作为阳台栏板的光伏组件，应符合建筑阳台栏板强度及高度的要求。阳台栏板高度应随建筑高度而增高，如低层、多层住宅的阳台栏板净高不应低1.05m，中、高层，高层住宅的阳台栏板不应低于1.10m，这是根据人体重心和心理因素而定的。</w:t>
      </w:r>
    </w:p>
    <w:p w14:paraId="445DE9D0">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8</w:t>
      </w:r>
      <w:r>
        <w:rPr>
          <w:rFonts w:hint="eastAsia"/>
          <w:sz w:val="24"/>
        </w:rPr>
        <w:t xml:space="preserve"> </w:t>
      </w:r>
      <w:r>
        <w:rPr>
          <w:sz w:val="24"/>
        </w:rPr>
        <w:t>墙面上安装光伏组件应符合下列</w:t>
      </w:r>
      <w:r>
        <w:rPr>
          <w:rFonts w:hint="eastAsia"/>
          <w:sz w:val="24"/>
          <w:lang w:val="en-US" w:eastAsia="zh-CN"/>
        </w:rPr>
        <w:t>要求</w:t>
      </w:r>
      <w:r>
        <w:rPr>
          <w:sz w:val="24"/>
        </w:rPr>
        <w:t>：</w:t>
      </w:r>
    </w:p>
    <w:p w14:paraId="3BCC98B0">
      <w:pPr>
        <w:snapToGrid w:val="0"/>
        <w:spacing w:line="300" w:lineRule="auto"/>
        <w:ind w:firstLine="482" w:firstLineChars="200"/>
        <w:jc w:val="left"/>
        <w:rPr>
          <w:sz w:val="24"/>
        </w:rPr>
      </w:pPr>
      <w:r>
        <w:rPr>
          <w:b/>
          <w:bCs/>
          <w:sz w:val="24"/>
        </w:rPr>
        <w:t xml:space="preserve">1 </w:t>
      </w:r>
      <w:r>
        <w:rPr>
          <w:sz w:val="24"/>
        </w:rPr>
        <w:t>光伏组件与墙面的连接不应影响墙体的保温构造和节能效果；</w:t>
      </w:r>
    </w:p>
    <w:p w14:paraId="5A878F25">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对设置在墙面的光伏组件的引线穿过墙面处，应预埋防水套管；穿墙管线不宜设在结构柱处；</w:t>
      </w:r>
    </w:p>
    <w:p w14:paraId="2CF31C22">
      <w:pPr>
        <w:snapToGrid w:val="0"/>
        <w:spacing w:line="300" w:lineRule="auto"/>
        <w:ind w:firstLine="482" w:firstLineChars="200"/>
        <w:jc w:val="left"/>
        <w:rPr>
          <w:rFonts w:hint="eastAsia" w:eastAsia="宋体"/>
          <w:sz w:val="24"/>
          <w:lang w:eastAsia="zh-CN"/>
        </w:rPr>
      </w:pPr>
      <w:r>
        <w:rPr>
          <w:b/>
          <w:bCs/>
          <w:sz w:val="24"/>
        </w:rPr>
        <w:t>3</w:t>
      </w:r>
      <w:r>
        <w:rPr>
          <w:rFonts w:hint="eastAsia"/>
          <w:b/>
          <w:bCs/>
          <w:sz w:val="24"/>
          <w:lang w:val="en-US" w:eastAsia="zh-CN"/>
        </w:rPr>
        <w:t xml:space="preserve"> </w:t>
      </w:r>
      <w:r>
        <w:rPr>
          <w:sz w:val="24"/>
        </w:rPr>
        <w:t>光伏组件镶嵌在墙面时，宜与墙面装饰材料、色彩、风格等协调处理</w:t>
      </w:r>
      <w:r>
        <w:rPr>
          <w:rFonts w:hint="eastAsia"/>
          <w:sz w:val="24"/>
          <w:lang w:eastAsia="zh-CN"/>
        </w:rPr>
        <w:t>。</w:t>
      </w:r>
    </w:p>
    <w:p w14:paraId="3CCA94F2">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A8B5B3E">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.8 墙面上安装光伏组件应符合以下要求：</w:t>
      </w:r>
    </w:p>
    <w:p w14:paraId="269D67BD">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1 光伏组件安装具有外保温构造的墙体上时，其与墙面连接部位易产生冷桥，应做特殊断桥或保温构造处理；</w:t>
      </w:r>
    </w:p>
    <w:p w14:paraId="76E72921">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2 预埋防水套管可防止水渗</w:t>
      </w:r>
      <w:r>
        <w:rPr>
          <w:rFonts w:hint="eastAsia" w:ascii="仿宋" w:hAnsi="仿宋" w:eastAsia="仿宋" w:cs="仿宋"/>
          <w:i/>
          <w:iCs/>
          <w:color w:val="0623BA"/>
          <w:sz w:val="24"/>
          <w:lang w:val="en-US" w:eastAsia="zh-CN"/>
        </w:rPr>
        <w:t>入</w:t>
      </w:r>
      <w:r>
        <w:rPr>
          <w:rFonts w:hint="eastAsia" w:ascii="仿宋" w:hAnsi="仿宋" w:eastAsia="仿宋" w:cs="仿宋"/>
          <w:i/>
          <w:iCs/>
          <w:color w:val="0623BA"/>
          <w:sz w:val="24"/>
        </w:rPr>
        <w:t>墙体构造层；管线穿越结构柱会影响结构性能. 因此穿墙管线不宜设在结构柱内；</w:t>
      </w:r>
    </w:p>
    <w:p w14:paraId="39E5DE27">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3 光伏组件镶嵌在墙面时，应由建筑设计专业结合建筑立面进行统筹设计。</w:t>
      </w:r>
    </w:p>
    <w:p w14:paraId="5AF21116">
      <w:pPr>
        <w:snapToGrid w:val="0"/>
        <w:spacing w:line="300" w:lineRule="auto"/>
        <w:jc w:val="left"/>
        <w:rPr>
          <w:sz w:val="24"/>
        </w:rPr>
      </w:pPr>
      <w:r>
        <w:rPr>
          <w:b/>
          <w:bCs/>
          <w:sz w:val="24"/>
        </w:rPr>
        <w:t>5.</w:t>
      </w:r>
      <w:r>
        <w:rPr>
          <w:rFonts w:hint="eastAsia"/>
          <w:b/>
          <w:bCs/>
          <w:sz w:val="24"/>
          <w:lang w:val="en-US" w:eastAsia="zh-CN"/>
        </w:rPr>
        <w:t>4</w:t>
      </w:r>
      <w:r>
        <w:rPr>
          <w:b/>
          <w:bCs/>
          <w:sz w:val="24"/>
        </w:rPr>
        <w:t>.</w:t>
      </w:r>
      <w:r>
        <w:rPr>
          <w:rFonts w:hint="eastAsia"/>
          <w:b/>
          <w:bCs/>
          <w:sz w:val="24"/>
        </w:rPr>
        <w:t>9</w:t>
      </w:r>
      <w:r>
        <w:rPr>
          <w:rFonts w:hint="eastAsia"/>
          <w:sz w:val="24"/>
        </w:rPr>
        <w:t xml:space="preserve"> </w:t>
      </w:r>
      <w:r>
        <w:rPr>
          <w:sz w:val="24"/>
        </w:rPr>
        <w:t>建筑幕墙上安装光伏组件应符合下列</w:t>
      </w:r>
      <w:r>
        <w:rPr>
          <w:rFonts w:hint="eastAsia"/>
          <w:sz w:val="24"/>
          <w:lang w:val="en-US" w:eastAsia="zh-CN"/>
        </w:rPr>
        <w:t>要求</w:t>
      </w:r>
      <w:r>
        <w:rPr>
          <w:sz w:val="24"/>
        </w:rPr>
        <w:t>：</w:t>
      </w:r>
    </w:p>
    <w:p w14:paraId="3A9C0DB0">
      <w:pPr>
        <w:snapToGrid w:val="0"/>
        <w:spacing w:line="300" w:lineRule="auto"/>
        <w:ind w:firstLine="482" w:firstLineChars="200"/>
        <w:jc w:val="left"/>
        <w:rPr>
          <w:sz w:val="24"/>
        </w:rPr>
      </w:pPr>
      <w:r>
        <w:rPr>
          <w:b/>
          <w:bCs/>
          <w:sz w:val="24"/>
        </w:rPr>
        <w:t xml:space="preserve">1 </w:t>
      </w:r>
      <w:r>
        <w:rPr>
          <w:rFonts w:hint="eastAsia"/>
          <w:b/>
          <w:bCs/>
          <w:sz w:val="24"/>
          <w:lang w:val="en-US" w:eastAsia="zh-CN"/>
        </w:rPr>
        <w:t xml:space="preserve"> </w:t>
      </w:r>
      <w:r>
        <w:rPr>
          <w:sz w:val="24"/>
        </w:rPr>
        <w:t>光伏组件的尺寸应符合幕墙设计模数与幕墙协调统一；</w:t>
      </w:r>
    </w:p>
    <w:p w14:paraId="045CC2B6">
      <w:pPr>
        <w:snapToGrid w:val="0"/>
        <w:spacing w:line="300" w:lineRule="auto"/>
        <w:ind w:firstLine="482" w:firstLineChars="200"/>
        <w:jc w:val="left"/>
        <w:rPr>
          <w:sz w:val="24"/>
        </w:rPr>
      </w:pPr>
      <w:r>
        <w:rPr>
          <w:rFonts w:hint="eastAsia"/>
          <w:b/>
          <w:bCs/>
          <w:sz w:val="24"/>
          <w:lang w:val="en-US" w:eastAsia="zh-CN"/>
        </w:rPr>
        <w:t xml:space="preserve">2 </w:t>
      </w:r>
      <w:r>
        <w:rPr>
          <w:sz w:val="24"/>
        </w:rPr>
        <w:t>光伏幕墙的性能应符合现行行业标准《玻璃幕墙工程技术规范》JGJ102的有关规定；</w:t>
      </w:r>
    </w:p>
    <w:p w14:paraId="1C46DB10">
      <w:pPr>
        <w:snapToGrid w:val="0"/>
        <w:spacing w:line="300" w:lineRule="auto"/>
        <w:ind w:firstLine="482" w:firstLineChars="200"/>
        <w:jc w:val="left"/>
        <w:rPr>
          <w:sz w:val="24"/>
        </w:rPr>
      </w:pPr>
      <w:r>
        <w:rPr>
          <w:b/>
          <w:bCs/>
          <w:sz w:val="24"/>
        </w:rPr>
        <w:t>3</w:t>
      </w:r>
      <w:r>
        <w:rPr>
          <w:rFonts w:hint="eastAsia"/>
          <w:b/>
          <w:bCs/>
          <w:sz w:val="24"/>
          <w:lang w:val="en-US" w:eastAsia="zh-CN"/>
        </w:rPr>
        <w:t xml:space="preserve"> </w:t>
      </w:r>
      <w:r>
        <w:rPr>
          <w:sz w:val="24"/>
        </w:rPr>
        <w:t>由光伏幕墙构成的雨篷、檐口和采光顶，应符合建筑相应部位的刚度、强度、排水功能及防止空中坠物的安全性能规定；</w:t>
      </w:r>
    </w:p>
    <w:p w14:paraId="4FA4263C">
      <w:pPr>
        <w:snapToGrid w:val="0"/>
        <w:spacing w:line="300" w:lineRule="auto"/>
        <w:ind w:firstLine="482" w:firstLineChars="200"/>
        <w:jc w:val="left"/>
        <w:rPr>
          <w:sz w:val="24"/>
        </w:rPr>
      </w:pPr>
      <w:r>
        <w:rPr>
          <w:rFonts w:hint="eastAsia"/>
          <w:b/>
          <w:bCs/>
          <w:sz w:val="24"/>
          <w:lang w:eastAsia="zh-CN"/>
        </w:rPr>
        <w:t>4</w:t>
      </w:r>
      <w:r>
        <w:rPr>
          <w:rFonts w:hint="eastAsia"/>
          <w:b/>
          <w:bCs/>
          <w:sz w:val="24"/>
          <w:lang w:val="en-US" w:eastAsia="zh-CN"/>
        </w:rPr>
        <w:t xml:space="preserve"> </w:t>
      </w:r>
      <w:r>
        <w:rPr>
          <w:sz w:val="24"/>
        </w:rPr>
        <w:t>光伏组件之间的缝宽应满足幕墙温度变形和主体结构位移的要求，应在嵌缝材料受力和变形承受范围之内。</w:t>
      </w:r>
    </w:p>
    <w:p w14:paraId="2BB300F0">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FC05F14">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.9 幕墙上安装光伏组件应符合以下要求：</w:t>
      </w:r>
    </w:p>
    <w:p w14:paraId="638CF22E">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1 安装在幕墙上的光伏组件尺寸应符合所安装幕墙板材的模数，既有利于安装，又与建筑幕墙在视觉上融为一体；</w:t>
      </w:r>
    </w:p>
    <w:p w14:paraId="40E7949A">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2 光伏幕墙的性能应与所安装普通幕墙具备同等的强度，以及具有同等保温、隔热、防水等性能，保证幕墙的整体性能；</w:t>
      </w:r>
    </w:p>
    <w:p w14:paraId="1E9A3DD9">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3 使用 PVB夹胶层的光伏构件可以符合建筑上使用安全玻璃的要求；用EVA 层压的光伏构件需要采用特殊的结构。防止玻璃自爆后因EVA强度不够而引发事故。</w:t>
      </w:r>
    </w:p>
    <w:p w14:paraId="6E28F956">
      <w:pPr>
        <w:snapToGrid w:val="0"/>
        <w:spacing w:line="300" w:lineRule="auto"/>
        <w:jc w:val="left"/>
        <w:rPr>
          <w:sz w:val="24"/>
        </w:rPr>
      </w:pPr>
      <w:r>
        <w:rPr>
          <w:b/>
          <w:bCs/>
          <w:sz w:val="24"/>
        </w:rPr>
        <w:t>5.</w:t>
      </w:r>
      <w:r>
        <w:rPr>
          <w:rFonts w:hint="eastAsia"/>
          <w:b/>
          <w:bCs/>
          <w:sz w:val="24"/>
          <w:lang w:val="en-US" w:eastAsia="zh-CN"/>
        </w:rPr>
        <w:t>4</w:t>
      </w:r>
      <w:r>
        <w:rPr>
          <w:b/>
          <w:bCs/>
          <w:sz w:val="24"/>
        </w:rPr>
        <w:t>.1</w:t>
      </w:r>
      <w:r>
        <w:rPr>
          <w:rFonts w:hint="eastAsia"/>
          <w:b/>
          <w:bCs/>
          <w:sz w:val="24"/>
        </w:rPr>
        <w:t>0</w:t>
      </w:r>
      <w:r>
        <w:rPr>
          <w:rFonts w:hint="eastAsia"/>
          <w:sz w:val="24"/>
        </w:rPr>
        <w:t xml:space="preserve"> </w:t>
      </w:r>
      <w:r>
        <w:rPr>
          <w:sz w:val="24"/>
        </w:rPr>
        <w:t>光伏采光顶、透光光伏幕墙、光伏窗应采取隐藏线缆和线缆散热的措施，应方便线路检修。</w:t>
      </w:r>
    </w:p>
    <w:p w14:paraId="3AE8D6A3">
      <w:pPr>
        <w:snapToGrid w:val="0"/>
        <w:spacing w:line="300" w:lineRule="auto"/>
        <w:jc w:val="left"/>
        <w:rPr>
          <w:sz w:val="24"/>
        </w:rPr>
      </w:pPr>
      <w:r>
        <w:rPr>
          <w:b/>
          <w:bCs/>
          <w:sz w:val="24"/>
        </w:rPr>
        <w:t>5.</w:t>
      </w:r>
      <w:r>
        <w:rPr>
          <w:rFonts w:hint="eastAsia"/>
          <w:b/>
          <w:bCs/>
          <w:sz w:val="24"/>
          <w:lang w:val="en-US" w:eastAsia="zh-CN"/>
        </w:rPr>
        <w:t>4</w:t>
      </w:r>
      <w:r>
        <w:rPr>
          <w:b/>
          <w:bCs/>
          <w:sz w:val="24"/>
        </w:rPr>
        <w:t>.1</w:t>
      </w:r>
      <w:r>
        <w:rPr>
          <w:rFonts w:hint="eastAsia"/>
          <w:b/>
          <w:bCs/>
          <w:sz w:val="24"/>
        </w:rPr>
        <w:t>1</w:t>
      </w:r>
      <w:r>
        <w:rPr>
          <w:rFonts w:hint="eastAsia"/>
          <w:sz w:val="24"/>
        </w:rPr>
        <w:t xml:space="preserve"> </w:t>
      </w:r>
      <w:r>
        <w:rPr>
          <w:sz w:val="24"/>
        </w:rPr>
        <w:t>光伏组件不宜设置为可开启窗扇。</w:t>
      </w:r>
    </w:p>
    <w:p w14:paraId="0EF48CD7">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303A811">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 xml:space="preserve">.10 为了符合开启部位的设计要求，作为开启扇的光伏组件不宜并入光伏发电系统。若需并入，应考虑开启处线缆的耐久性、统一的开闭和开启角度以及合理的并串联设计。 </w:t>
      </w:r>
    </w:p>
    <w:p w14:paraId="0E8026E9">
      <w:pPr>
        <w:snapToGrid w:val="0"/>
        <w:spacing w:line="300" w:lineRule="auto"/>
        <w:jc w:val="left"/>
        <w:rPr>
          <w:sz w:val="24"/>
        </w:rPr>
      </w:pPr>
      <w:r>
        <w:rPr>
          <w:b/>
          <w:bCs/>
          <w:sz w:val="24"/>
        </w:rPr>
        <w:t>5.</w:t>
      </w:r>
      <w:r>
        <w:rPr>
          <w:rFonts w:hint="eastAsia"/>
          <w:b/>
          <w:bCs/>
          <w:sz w:val="24"/>
          <w:lang w:val="en-US" w:eastAsia="zh-CN"/>
        </w:rPr>
        <w:t>4</w:t>
      </w:r>
      <w:r>
        <w:rPr>
          <w:b/>
          <w:bCs/>
          <w:sz w:val="24"/>
        </w:rPr>
        <w:t>.1</w:t>
      </w:r>
      <w:r>
        <w:rPr>
          <w:rFonts w:hint="eastAsia"/>
          <w:b/>
          <w:bCs/>
          <w:sz w:val="24"/>
        </w:rPr>
        <w:t>2</w:t>
      </w:r>
      <w:r>
        <w:rPr>
          <w:rFonts w:hint="eastAsia"/>
          <w:sz w:val="24"/>
        </w:rPr>
        <w:t xml:space="preserve"> </w:t>
      </w:r>
      <w:r>
        <w:rPr>
          <w:sz w:val="24"/>
        </w:rPr>
        <w:t>采用螺栓连接的光伏组件，应采取防松、防滑措施；采用挂接或插接的光伏组件，应采取防脱、防滑措施。</w:t>
      </w:r>
    </w:p>
    <w:p w14:paraId="65F261FB">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8EF5032">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.12 光伏组件采用螺栓连接时应加放松垫片</w:t>
      </w:r>
      <w:r>
        <w:rPr>
          <w:rFonts w:hint="eastAsia" w:ascii="仿宋" w:hAnsi="仿宋" w:eastAsia="仿宋" w:cs="仿宋"/>
          <w:i/>
          <w:iCs/>
          <w:color w:val="0623BA"/>
          <w:sz w:val="24"/>
          <w:lang w:val="en-US" w:eastAsia="zh-CN"/>
        </w:rPr>
        <w:t>并</w:t>
      </w:r>
      <w:r>
        <w:rPr>
          <w:rFonts w:hint="eastAsia" w:ascii="仿宋" w:hAnsi="仿宋" w:eastAsia="仿宋" w:cs="仿宋"/>
          <w:i/>
          <w:iCs/>
          <w:color w:val="0623BA"/>
          <w:sz w:val="24"/>
        </w:rPr>
        <w:t xml:space="preserve">拧紧固定牢固。 </w:t>
      </w:r>
    </w:p>
    <w:p w14:paraId="6CD87286">
      <w:pPr>
        <w:snapToGrid w:val="0"/>
        <w:spacing w:line="300" w:lineRule="auto"/>
        <w:jc w:val="left"/>
        <w:rPr>
          <w:sz w:val="24"/>
        </w:rPr>
      </w:pPr>
      <w:r>
        <w:rPr>
          <w:b/>
          <w:bCs/>
          <w:sz w:val="24"/>
        </w:rPr>
        <w:t>5.</w:t>
      </w:r>
      <w:r>
        <w:rPr>
          <w:rFonts w:hint="eastAsia"/>
          <w:b/>
          <w:bCs/>
          <w:sz w:val="24"/>
          <w:lang w:val="en-US" w:eastAsia="zh-CN"/>
        </w:rPr>
        <w:t>4</w:t>
      </w:r>
      <w:r>
        <w:rPr>
          <w:b/>
          <w:bCs/>
          <w:sz w:val="24"/>
        </w:rPr>
        <w:t>.1</w:t>
      </w:r>
      <w:r>
        <w:rPr>
          <w:rFonts w:hint="eastAsia"/>
          <w:b/>
          <w:bCs/>
          <w:sz w:val="24"/>
        </w:rPr>
        <w:t>3</w:t>
      </w:r>
      <w:r>
        <w:rPr>
          <w:sz w:val="24"/>
        </w:rPr>
        <w:t xml:space="preserve"> 设置于建筑物内部的光伏发电系统管线应与建筑物其它管线综合设计</w:t>
      </w:r>
      <w:r>
        <w:rPr>
          <w:rFonts w:hint="eastAsia"/>
          <w:sz w:val="24"/>
        </w:rPr>
        <w:t>、</w:t>
      </w:r>
      <w:r>
        <w:rPr>
          <w:sz w:val="24"/>
        </w:rPr>
        <w:t>统筹安排，便于安装</w:t>
      </w:r>
      <w:r>
        <w:rPr>
          <w:rFonts w:hint="eastAsia"/>
          <w:sz w:val="24"/>
        </w:rPr>
        <w:t>、</w:t>
      </w:r>
      <w:r>
        <w:rPr>
          <w:sz w:val="24"/>
        </w:rPr>
        <w:t>检修</w:t>
      </w:r>
      <w:r>
        <w:rPr>
          <w:rFonts w:hint="eastAsia"/>
          <w:sz w:val="24"/>
        </w:rPr>
        <w:t>、</w:t>
      </w:r>
      <w:r>
        <w:rPr>
          <w:sz w:val="24"/>
        </w:rPr>
        <w:t>维护及管理。</w:t>
      </w:r>
    </w:p>
    <w:p w14:paraId="2B9A6786">
      <w:pPr>
        <w:snapToGrid w:val="0"/>
        <w:spacing w:line="300" w:lineRule="auto"/>
        <w:jc w:val="left"/>
        <w:rPr>
          <w:sz w:val="24"/>
          <w:highlight w:val="cyan"/>
        </w:rPr>
      </w:pPr>
    </w:p>
    <w:p w14:paraId="7092F636">
      <w:pPr>
        <w:snapToGrid w:val="0"/>
        <w:spacing w:line="300" w:lineRule="auto"/>
        <w:jc w:val="left"/>
        <w:rPr>
          <w:sz w:val="24"/>
          <w:highlight w:val="cyan"/>
        </w:rPr>
      </w:pPr>
    </w:p>
    <w:p w14:paraId="7734CCC4">
      <w:pPr>
        <w:snapToGrid w:val="0"/>
        <w:spacing w:line="300" w:lineRule="auto"/>
        <w:jc w:val="left"/>
        <w:rPr>
          <w:sz w:val="24"/>
        </w:rPr>
      </w:pPr>
      <w:r>
        <w:rPr>
          <w:sz w:val="24"/>
        </w:rPr>
        <w:br w:type="page"/>
      </w:r>
    </w:p>
    <w:p w14:paraId="2BD6911E">
      <w:pPr>
        <w:pStyle w:val="5"/>
        <w:spacing w:before="95" w:beforeLines="30" w:after="95" w:afterLines="30" w:line="300" w:lineRule="auto"/>
        <w:jc w:val="center"/>
        <w:rPr>
          <w:rFonts w:ascii="Times New Roman" w:hAnsi="Times New Roman" w:eastAsia="黑体" w:cs="Times New Roman"/>
          <w:sz w:val="28"/>
          <w:szCs w:val="28"/>
        </w:rPr>
      </w:pPr>
      <w:bookmarkStart w:id="164" w:name="_Toc19934"/>
      <w:bookmarkStart w:id="165" w:name="_Toc21906"/>
      <w:bookmarkStart w:id="166" w:name="_Toc12709"/>
      <w:bookmarkStart w:id="167" w:name="_Toc21468"/>
      <w:bookmarkStart w:id="168" w:name="_Toc29688"/>
      <w:bookmarkStart w:id="169" w:name="_Toc16117"/>
      <w:bookmarkStart w:id="170" w:name="_Toc13742"/>
      <w:bookmarkStart w:id="171" w:name="_Toc17314"/>
      <w:r>
        <w:rPr>
          <w:rFonts w:ascii="Times New Roman" w:hAnsi="Times New Roman" w:eastAsia="黑体" w:cs="Times New Roman"/>
          <w:sz w:val="28"/>
          <w:szCs w:val="28"/>
        </w:rPr>
        <w:t>6 结构设计</w:t>
      </w:r>
      <w:bookmarkEnd w:id="164"/>
      <w:bookmarkEnd w:id="165"/>
      <w:bookmarkEnd w:id="166"/>
      <w:bookmarkEnd w:id="167"/>
      <w:bookmarkEnd w:id="168"/>
      <w:bookmarkEnd w:id="169"/>
      <w:bookmarkEnd w:id="170"/>
      <w:bookmarkEnd w:id="171"/>
    </w:p>
    <w:p w14:paraId="3D635012">
      <w:pPr>
        <w:keepNext/>
        <w:keepLines/>
        <w:snapToGrid w:val="0"/>
        <w:spacing w:before="95" w:beforeLines="30" w:after="95" w:afterLines="30" w:line="300" w:lineRule="auto"/>
        <w:jc w:val="center"/>
        <w:outlineLvl w:val="2"/>
        <w:rPr>
          <w:b/>
          <w:sz w:val="24"/>
          <w:szCs w:val="32"/>
        </w:rPr>
      </w:pPr>
      <w:bookmarkStart w:id="172" w:name="_Toc12716"/>
      <w:bookmarkStart w:id="173" w:name="_Toc31370"/>
      <w:bookmarkStart w:id="174" w:name="_Toc4416"/>
      <w:bookmarkStart w:id="175" w:name="_Toc11195"/>
      <w:bookmarkStart w:id="176" w:name="_Toc30028"/>
      <w:bookmarkStart w:id="177" w:name="_Toc505"/>
      <w:bookmarkStart w:id="178" w:name="_Toc13984"/>
      <w:bookmarkStart w:id="179" w:name="_Toc5446"/>
      <w:r>
        <w:rPr>
          <w:b/>
          <w:sz w:val="24"/>
          <w:szCs w:val="32"/>
        </w:rPr>
        <w:t>6.1一般规定</w:t>
      </w:r>
      <w:bookmarkEnd w:id="172"/>
      <w:bookmarkEnd w:id="173"/>
      <w:bookmarkEnd w:id="174"/>
      <w:bookmarkEnd w:id="175"/>
      <w:bookmarkEnd w:id="176"/>
      <w:bookmarkEnd w:id="177"/>
      <w:bookmarkEnd w:id="178"/>
      <w:bookmarkEnd w:id="179"/>
    </w:p>
    <w:p w14:paraId="01958AF6">
      <w:pPr>
        <w:snapToGrid w:val="0"/>
        <w:spacing w:line="300" w:lineRule="auto"/>
        <w:jc w:val="left"/>
        <w:rPr>
          <w:sz w:val="24"/>
        </w:rPr>
      </w:pPr>
      <w:r>
        <w:rPr>
          <w:b/>
          <w:bCs/>
          <w:sz w:val="24"/>
        </w:rPr>
        <w:t>6.1.1</w:t>
      </w:r>
      <w:r>
        <w:rPr>
          <w:rFonts w:hint="eastAsia"/>
          <w:sz w:val="24"/>
        </w:rPr>
        <w:t xml:space="preserve"> </w:t>
      </w:r>
      <w:r>
        <w:rPr>
          <w:sz w:val="24"/>
        </w:rPr>
        <w:t>建筑光伏系统的结构设计应包括下列内容：</w:t>
      </w:r>
    </w:p>
    <w:p w14:paraId="4C26DE22">
      <w:pPr>
        <w:snapToGrid w:val="0"/>
        <w:spacing w:line="300" w:lineRule="auto"/>
        <w:ind w:firstLine="482" w:firstLineChars="200"/>
        <w:jc w:val="left"/>
        <w:rPr>
          <w:sz w:val="24"/>
        </w:rPr>
      </w:pPr>
      <w:r>
        <w:rPr>
          <w:b/>
          <w:bCs/>
          <w:sz w:val="24"/>
        </w:rPr>
        <w:t xml:space="preserve">1 </w:t>
      </w:r>
      <w:r>
        <w:rPr>
          <w:sz w:val="24"/>
        </w:rPr>
        <w:t>结构方案设计，包括结构选型、</w:t>
      </w:r>
      <w:r>
        <w:rPr>
          <w:rFonts w:hint="eastAsia"/>
          <w:sz w:val="24"/>
        </w:rPr>
        <w:t>构件设计</w:t>
      </w:r>
      <w:r>
        <w:rPr>
          <w:sz w:val="24"/>
        </w:rPr>
        <w:t>；</w:t>
      </w:r>
    </w:p>
    <w:p w14:paraId="471C47FC">
      <w:pPr>
        <w:snapToGrid w:val="0"/>
        <w:spacing w:line="300" w:lineRule="auto"/>
        <w:ind w:firstLine="482" w:firstLineChars="200"/>
        <w:jc w:val="left"/>
        <w:rPr>
          <w:sz w:val="24"/>
        </w:rPr>
      </w:pPr>
      <w:r>
        <w:rPr>
          <w:b/>
          <w:bCs/>
          <w:sz w:val="24"/>
        </w:rPr>
        <w:t xml:space="preserve">2 </w:t>
      </w:r>
      <w:r>
        <w:rPr>
          <w:sz w:val="24"/>
        </w:rPr>
        <w:t>作用及作用效应分析；</w:t>
      </w:r>
    </w:p>
    <w:p w14:paraId="16A9D7D5">
      <w:pPr>
        <w:snapToGrid w:val="0"/>
        <w:spacing w:line="300" w:lineRule="auto"/>
        <w:ind w:firstLine="482" w:firstLineChars="200"/>
        <w:jc w:val="left"/>
        <w:rPr>
          <w:sz w:val="24"/>
        </w:rPr>
      </w:pPr>
      <w:r>
        <w:rPr>
          <w:b/>
          <w:bCs/>
          <w:sz w:val="24"/>
        </w:rPr>
        <w:t xml:space="preserve">3 </w:t>
      </w:r>
      <w:r>
        <w:rPr>
          <w:sz w:val="24"/>
        </w:rPr>
        <w:t>结构的极限状态设计；</w:t>
      </w:r>
    </w:p>
    <w:p w14:paraId="4FBD17BB">
      <w:pPr>
        <w:snapToGrid w:val="0"/>
        <w:spacing w:line="300" w:lineRule="auto"/>
        <w:ind w:firstLine="482" w:firstLineChars="200"/>
        <w:jc w:val="left"/>
        <w:rPr>
          <w:sz w:val="24"/>
        </w:rPr>
      </w:pPr>
      <w:r>
        <w:rPr>
          <w:b/>
          <w:bCs/>
          <w:sz w:val="24"/>
        </w:rPr>
        <w:t xml:space="preserve">4 </w:t>
      </w:r>
      <w:r>
        <w:rPr>
          <w:sz w:val="24"/>
        </w:rPr>
        <w:t>结构及构件的构造、连接措施；</w:t>
      </w:r>
    </w:p>
    <w:p w14:paraId="624B2CDD">
      <w:pPr>
        <w:snapToGrid w:val="0"/>
        <w:spacing w:line="300" w:lineRule="auto"/>
        <w:ind w:firstLine="482" w:firstLineChars="200"/>
        <w:jc w:val="left"/>
        <w:rPr>
          <w:sz w:val="24"/>
        </w:rPr>
      </w:pPr>
      <w:r>
        <w:rPr>
          <w:b/>
          <w:bCs/>
          <w:sz w:val="24"/>
        </w:rPr>
        <w:t xml:space="preserve">5 </w:t>
      </w:r>
      <w:r>
        <w:rPr>
          <w:sz w:val="24"/>
        </w:rPr>
        <w:t>耐久性的要求；</w:t>
      </w:r>
    </w:p>
    <w:p w14:paraId="52383569">
      <w:pPr>
        <w:pStyle w:val="2"/>
        <w:ind w:firstLine="482" w:firstLineChars="200"/>
        <w:rPr>
          <w:rFonts w:hint="default" w:eastAsia="宋体"/>
          <w:lang w:val="en-US" w:eastAsia="zh-CN"/>
        </w:rPr>
      </w:pPr>
      <w:r>
        <w:rPr>
          <w:rFonts w:hint="default"/>
          <w:b/>
          <w:bCs/>
          <w:sz w:val="24"/>
          <w:lang w:val="en-US" w:eastAsia="zh-CN"/>
        </w:rPr>
        <w:t xml:space="preserve">6 </w:t>
      </w:r>
      <w:r>
        <w:rPr>
          <w:rFonts w:hint="eastAsia"/>
          <w:sz w:val="24"/>
          <w:szCs w:val="24"/>
          <w:highlight w:val="none"/>
          <w:u w:val="none" w:color="auto"/>
          <w:lang w:val="en-US" w:eastAsia="zh-CN"/>
        </w:rPr>
        <w:t>结构的稳定性计算；</w:t>
      </w:r>
    </w:p>
    <w:p w14:paraId="2BD4E6A2">
      <w:pPr>
        <w:snapToGrid w:val="0"/>
        <w:spacing w:line="300" w:lineRule="auto"/>
        <w:ind w:firstLine="482" w:firstLineChars="200"/>
        <w:jc w:val="left"/>
        <w:rPr>
          <w:sz w:val="24"/>
        </w:rPr>
      </w:pPr>
      <w:r>
        <w:rPr>
          <w:rFonts w:hint="eastAsia"/>
          <w:b/>
          <w:bCs/>
          <w:sz w:val="24"/>
          <w:lang w:val="en-US" w:eastAsia="zh-CN"/>
        </w:rPr>
        <w:t>7</w:t>
      </w:r>
      <w:r>
        <w:rPr>
          <w:b/>
          <w:bCs/>
          <w:sz w:val="24"/>
        </w:rPr>
        <w:t xml:space="preserve"> </w:t>
      </w:r>
      <w:r>
        <w:rPr>
          <w:sz w:val="24"/>
        </w:rPr>
        <w:t>符合特殊要求结构的专门性能设计。</w:t>
      </w:r>
    </w:p>
    <w:p w14:paraId="5651B1D2">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7BA7830">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6.1.1 结构方案设计非常重要</w:t>
      </w:r>
      <w:r>
        <w:rPr>
          <w:rFonts w:hint="eastAsia" w:ascii="仿宋" w:hAnsi="仿宋" w:eastAsia="仿宋" w:cs="仿宋"/>
          <w:i/>
          <w:iCs/>
          <w:color w:val="0623BA"/>
          <w:sz w:val="24"/>
          <w:lang w:val="en-US" w:eastAsia="zh-CN"/>
        </w:rPr>
        <w:t>。</w:t>
      </w:r>
      <w:r>
        <w:rPr>
          <w:rFonts w:hint="eastAsia" w:ascii="仿宋" w:hAnsi="仿宋" w:eastAsia="仿宋" w:cs="仿宋"/>
          <w:i/>
          <w:iCs/>
          <w:color w:val="0623BA"/>
          <w:sz w:val="24"/>
        </w:rPr>
        <w:t>不仅关系到建筑光伏系统自身的安全性. 还关系到建筑主体的结构安全还需要兼顾建筑光伏系统与主体建筑的协调美观和整体的经济性，因此要予以重视。</w:t>
      </w:r>
    </w:p>
    <w:p w14:paraId="52FCD29F">
      <w:pPr>
        <w:snapToGrid w:val="0"/>
        <w:spacing w:line="300" w:lineRule="auto"/>
        <w:jc w:val="left"/>
        <w:rPr>
          <w:sz w:val="24"/>
        </w:rPr>
      </w:pPr>
      <w:r>
        <w:rPr>
          <w:b/>
          <w:bCs/>
          <w:sz w:val="24"/>
        </w:rPr>
        <w:t>6.1.2</w:t>
      </w:r>
      <w:r>
        <w:rPr>
          <w:rFonts w:hint="eastAsia"/>
          <w:sz w:val="24"/>
        </w:rPr>
        <w:t xml:space="preserve"> </w:t>
      </w:r>
      <w:r>
        <w:rPr>
          <w:sz w:val="24"/>
        </w:rPr>
        <w:t>建筑光伏系统的结构设计应符合下列</w:t>
      </w:r>
      <w:r>
        <w:rPr>
          <w:rFonts w:hint="eastAsia"/>
          <w:sz w:val="24"/>
          <w:lang w:val="en-US" w:eastAsia="zh-CN"/>
        </w:rPr>
        <w:t>规定</w:t>
      </w:r>
      <w:r>
        <w:rPr>
          <w:sz w:val="24"/>
        </w:rPr>
        <w:t>：</w:t>
      </w:r>
    </w:p>
    <w:p w14:paraId="4AE58F10">
      <w:pPr>
        <w:snapToGrid w:val="0"/>
        <w:spacing w:line="300" w:lineRule="auto"/>
        <w:ind w:firstLine="482" w:firstLineChars="200"/>
        <w:jc w:val="left"/>
        <w:rPr>
          <w:sz w:val="24"/>
        </w:rPr>
      </w:pPr>
      <w:r>
        <w:rPr>
          <w:b/>
          <w:bCs/>
          <w:sz w:val="24"/>
        </w:rPr>
        <w:t>1</w:t>
      </w:r>
      <w:r>
        <w:rPr>
          <w:rFonts w:hint="eastAsia"/>
          <w:b/>
          <w:bCs/>
          <w:sz w:val="24"/>
        </w:rPr>
        <w:t xml:space="preserve"> </w:t>
      </w:r>
      <w:r>
        <w:rPr>
          <w:sz w:val="24"/>
        </w:rPr>
        <w:t>建筑附加光伏发电系统的结构设计</w:t>
      </w:r>
      <w:r>
        <w:rPr>
          <w:rFonts w:hint="eastAsia"/>
          <w:sz w:val="24"/>
          <w:lang w:val="en-US" w:eastAsia="zh-CN"/>
        </w:rPr>
        <w:t>工作</w:t>
      </w:r>
      <w:r>
        <w:rPr>
          <w:sz w:val="24"/>
        </w:rPr>
        <w:t>年限不应小于25年；</w:t>
      </w:r>
    </w:p>
    <w:p w14:paraId="657704A7">
      <w:pPr>
        <w:snapToGrid w:val="0"/>
        <w:spacing w:line="300" w:lineRule="auto"/>
        <w:ind w:firstLine="482" w:firstLineChars="200"/>
        <w:jc w:val="left"/>
        <w:rPr>
          <w:sz w:val="24"/>
        </w:rPr>
      </w:pPr>
      <w:r>
        <w:rPr>
          <w:b/>
          <w:bCs/>
          <w:sz w:val="24"/>
        </w:rPr>
        <w:t>2</w:t>
      </w:r>
      <w:r>
        <w:rPr>
          <w:rFonts w:hint="eastAsia"/>
          <w:b/>
          <w:bCs/>
          <w:sz w:val="24"/>
        </w:rPr>
        <w:t xml:space="preserve"> </w:t>
      </w:r>
      <w:r>
        <w:rPr>
          <w:sz w:val="24"/>
        </w:rPr>
        <w:t>建筑集成光伏发电系统的支撑结构，其结构设计</w:t>
      </w:r>
      <w:r>
        <w:rPr>
          <w:rFonts w:hint="eastAsia"/>
          <w:sz w:val="24"/>
          <w:lang w:val="en-US" w:eastAsia="zh-CN"/>
        </w:rPr>
        <w:t>工作</w:t>
      </w:r>
      <w:r>
        <w:rPr>
          <w:sz w:val="24"/>
        </w:rPr>
        <w:t>年限不应小于其替代的建筑构件的设计</w:t>
      </w:r>
      <w:r>
        <w:rPr>
          <w:rFonts w:hint="eastAsia"/>
          <w:sz w:val="24"/>
          <w:lang w:val="en-US" w:eastAsia="zh-CN"/>
        </w:rPr>
        <w:t>工作</w:t>
      </w:r>
      <w:r>
        <w:rPr>
          <w:sz w:val="24"/>
        </w:rPr>
        <w:t>年限。</w:t>
      </w:r>
    </w:p>
    <w:p w14:paraId="204DDE89">
      <w:pPr>
        <w:pStyle w:val="2"/>
        <w:spacing w:line="300" w:lineRule="auto"/>
      </w:pPr>
      <w:r>
        <w:rPr>
          <w:b/>
          <w:bCs/>
          <w:sz w:val="24"/>
        </w:rPr>
        <w:t>6.1.3</w:t>
      </w:r>
      <w:r>
        <w:rPr>
          <w:rFonts w:hint="eastAsia"/>
          <w:sz w:val="24"/>
        </w:rPr>
        <w:t xml:space="preserve"> </w:t>
      </w:r>
      <w:r>
        <w:rPr>
          <w:sz w:val="24"/>
        </w:rPr>
        <w:t>光伏采光顶结构构件的结构计算应符合现行行业标准《采光顶与金属屋面技术规程》JGJ</w:t>
      </w:r>
      <w:r>
        <w:rPr>
          <w:rFonts w:hint="eastAsia"/>
          <w:sz w:val="24"/>
        </w:rPr>
        <w:t xml:space="preserve"> </w:t>
      </w:r>
      <w:r>
        <w:rPr>
          <w:sz w:val="24"/>
        </w:rPr>
        <w:t>255的有关规定。</w:t>
      </w:r>
    </w:p>
    <w:p w14:paraId="098747D5">
      <w:pPr>
        <w:snapToGrid w:val="0"/>
        <w:spacing w:line="300" w:lineRule="auto"/>
        <w:jc w:val="left"/>
        <w:rPr>
          <w:sz w:val="24"/>
        </w:rPr>
      </w:pPr>
      <w:r>
        <w:rPr>
          <w:b/>
          <w:bCs/>
          <w:sz w:val="24"/>
        </w:rPr>
        <w:t>6.1.4</w:t>
      </w:r>
      <w:r>
        <w:rPr>
          <w:rFonts w:hint="eastAsia"/>
          <w:sz w:val="24"/>
        </w:rPr>
        <w:t xml:space="preserve"> </w:t>
      </w:r>
      <w:r>
        <w:rPr>
          <w:sz w:val="24"/>
        </w:rPr>
        <w:t>光伏幕墙构件的结构计算应符合现行行业标准《玻璃幕墙工程技术规范》JGJ 102的有关规定。</w:t>
      </w:r>
    </w:p>
    <w:p w14:paraId="58405ADF">
      <w:pPr>
        <w:snapToGrid w:val="0"/>
        <w:spacing w:line="300" w:lineRule="auto"/>
        <w:jc w:val="left"/>
        <w:rPr>
          <w:sz w:val="24"/>
        </w:rPr>
      </w:pPr>
      <w:r>
        <w:rPr>
          <w:b/>
          <w:bCs/>
          <w:sz w:val="24"/>
        </w:rPr>
        <w:t>6.1.5</w:t>
      </w:r>
      <w:r>
        <w:rPr>
          <w:rFonts w:hint="eastAsia"/>
          <w:sz w:val="24"/>
        </w:rPr>
        <w:t xml:space="preserve"> 建筑用光伏组件或光伏构件构件</w:t>
      </w:r>
      <w:r>
        <w:rPr>
          <w:sz w:val="24"/>
        </w:rPr>
        <w:t>应包括光伏发电组件强度及刚度校核、支撑构件的强度及刚度校核、光伏发电组件与支撑构件的连接计算、支撑构件与主体结构的连接计算。</w:t>
      </w:r>
    </w:p>
    <w:p w14:paraId="7434B162">
      <w:pPr>
        <w:snapToGrid w:val="0"/>
        <w:spacing w:line="300" w:lineRule="auto"/>
        <w:jc w:val="left"/>
        <w:rPr>
          <w:sz w:val="24"/>
        </w:rPr>
      </w:pPr>
      <w:bookmarkStart w:id="180" w:name="_Toc65528721"/>
      <w:bookmarkStart w:id="181" w:name="_Toc65535136"/>
      <w:r>
        <w:rPr>
          <w:b/>
          <w:bCs/>
          <w:sz w:val="24"/>
        </w:rPr>
        <w:t>6.1.6</w:t>
      </w:r>
      <w:r>
        <w:rPr>
          <w:rFonts w:hint="eastAsia"/>
          <w:b/>
          <w:bCs/>
          <w:sz w:val="24"/>
          <w:lang w:val="en-US" w:eastAsia="zh-CN"/>
        </w:rPr>
        <w:t xml:space="preserve"> </w:t>
      </w:r>
      <w:r>
        <w:rPr>
          <w:sz w:val="24"/>
        </w:rPr>
        <w:t>金属板</w:t>
      </w:r>
      <w:r>
        <w:rPr>
          <w:rFonts w:hint="eastAsia"/>
          <w:sz w:val="24"/>
        </w:rPr>
        <w:t>封装的</w:t>
      </w:r>
      <w:r>
        <w:rPr>
          <w:sz w:val="24"/>
        </w:rPr>
        <w:t>光伏构件应满足现行</w:t>
      </w:r>
      <w:r>
        <w:rPr>
          <w:rFonts w:hint="eastAsia"/>
          <w:sz w:val="24"/>
        </w:rPr>
        <w:t>行业</w:t>
      </w:r>
      <w:r>
        <w:rPr>
          <w:sz w:val="24"/>
        </w:rPr>
        <w:t>标准《金属与石材幕墙工程技术规范》JGJ 133</w:t>
      </w:r>
      <w:r>
        <w:rPr>
          <w:rFonts w:hint="eastAsia"/>
          <w:sz w:val="24"/>
        </w:rPr>
        <w:t>中</w:t>
      </w:r>
      <w:r>
        <w:rPr>
          <w:sz w:val="24"/>
        </w:rPr>
        <w:t>板材选型和结构计算的</w:t>
      </w:r>
      <w:r>
        <w:rPr>
          <w:rFonts w:hint="eastAsia"/>
          <w:sz w:val="24"/>
        </w:rPr>
        <w:t>要求。</w:t>
      </w:r>
    </w:p>
    <w:p w14:paraId="70BC8685">
      <w:pPr>
        <w:snapToGrid w:val="0"/>
        <w:spacing w:line="300" w:lineRule="auto"/>
        <w:jc w:val="left"/>
        <w:rPr>
          <w:sz w:val="24"/>
        </w:rPr>
      </w:pPr>
      <w:r>
        <w:rPr>
          <w:b/>
          <w:bCs/>
          <w:sz w:val="24"/>
        </w:rPr>
        <w:t>6.1.7</w:t>
      </w:r>
      <w:r>
        <w:rPr>
          <w:rFonts w:hint="eastAsia"/>
          <w:sz w:val="24"/>
          <w:lang w:val="en-US" w:eastAsia="zh-CN"/>
        </w:rPr>
        <w:t xml:space="preserve"> </w:t>
      </w:r>
      <w:r>
        <w:rPr>
          <w:sz w:val="24"/>
        </w:rPr>
        <w:t>人造板</w:t>
      </w:r>
      <w:r>
        <w:rPr>
          <w:rFonts w:hint="eastAsia"/>
          <w:sz w:val="24"/>
        </w:rPr>
        <w:t>封装的</w:t>
      </w:r>
      <w:r>
        <w:rPr>
          <w:sz w:val="24"/>
        </w:rPr>
        <w:t>光伏构件应满足现行</w:t>
      </w:r>
      <w:r>
        <w:rPr>
          <w:rFonts w:hint="eastAsia"/>
          <w:sz w:val="24"/>
        </w:rPr>
        <w:t>行业</w:t>
      </w:r>
      <w:r>
        <w:rPr>
          <w:sz w:val="24"/>
        </w:rPr>
        <w:t>标准《人造板材幕墙工程技术规范》JGJ 336</w:t>
      </w:r>
      <w:r>
        <w:rPr>
          <w:rFonts w:hint="eastAsia"/>
          <w:sz w:val="24"/>
        </w:rPr>
        <w:t>中</w:t>
      </w:r>
      <w:r>
        <w:rPr>
          <w:sz w:val="24"/>
        </w:rPr>
        <w:t>板材选型和结构计算的</w:t>
      </w:r>
      <w:r>
        <w:rPr>
          <w:rFonts w:hint="eastAsia"/>
          <w:sz w:val="24"/>
        </w:rPr>
        <w:t>要求</w:t>
      </w:r>
      <w:r>
        <w:rPr>
          <w:sz w:val="24"/>
        </w:rPr>
        <w:t>。</w:t>
      </w:r>
      <w:bookmarkEnd w:id="180"/>
      <w:bookmarkEnd w:id="181"/>
    </w:p>
    <w:p w14:paraId="28B1F9E9">
      <w:pPr>
        <w:snapToGrid w:val="0"/>
        <w:spacing w:line="300" w:lineRule="auto"/>
        <w:jc w:val="left"/>
        <w:rPr>
          <w:rFonts w:hint="eastAsia" w:eastAsia="宋体"/>
          <w:sz w:val="24"/>
          <w:lang w:eastAsia="zh-CN"/>
        </w:rPr>
      </w:pPr>
      <w:r>
        <w:rPr>
          <w:b/>
          <w:bCs/>
          <w:sz w:val="24"/>
        </w:rPr>
        <w:t>6.1.8</w:t>
      </w:r>
      <w:r>
        <w:rPr>
          <w:rFonts w:hint="eastAsia"/>
          <w:b/>
          <w:bCs/>
          <w:sz w:val="24"/>
          <w:lang w:val="en-US" w:eastAsia="zh-CN"/>
        </w:rPr>
        <w:t xml:space="preserve"> </w:t>
      </w:r>
      <w:r>
        <w:rPr>
          <w:rFonts w:hint="eastAsia"/>
          <w:sz w:val="24"/>
        </w:rPr>
        <w:t>光伏瓦应满足</w:t>
      </w:r>
      <w:r>
        <w:rPr>
          <w:sz w:val="24"/>
        </w:rPr>
        <w:t>《建筑玻璃应用技术规程》JGJ 113</w:t>
      </w:r>
      <w:r>
        <w:rPr>
          <w:rFonts w:hint="eastAsia"/>
          <w:sz w:val="24"/>
        </w:rPr>
        <w:t>的相关要求</w:t>
      </w:r>
      <w:r>
        <w:rPr>
          <w:rFonts w:hint="eastAsia"/>
          <w:sz w:val="24"/>
          <w:lang w:eastAsia="zh-CN"/>
        </w:rPr>
        <w:t>。</w:t>
      </w:r>
    </w:p>
    <w:p w14:paraId="23C3D2C9">
      <w:pPr>
        <w:snapToGrid w:val="0"/>
        <w:spacing w:line="300" w:lineRule="auto"/>
        <w:jc w:val="left"/>
        <w:rPr>
          <w:rFonts w:hint="eastAsia" w:eastAsia="宋体"/>
          <w:sz w:val="24"/>
          <w:lang w:eastAsia="zh-CN"/>
        </w:rPr>
      </w:pPr>
      <w:r>
        <w:rPr>
          <w:rFonts w:hint="eastAsia"/>
          <w:b/>
          <w:bCs/>
          <w:sz w:val="24"/>
        </w:rPr>
        <w:t>6</w:t>
      </w:r>
      <w:r>
        <w:rPr>
          <w:b/>
          <w:bCs/>
          <w:sz w:val="24"/>
        </w:rPr>
        <w:t>.1.9</w:t>
      </w:r>
      <w:r>
        <w:rPr>
          <w:rFonts w:hint="eastAsia"/>
          <w:sz w:val="24"/>
          <w:lang w:val="en-US" w:eastAsia="zh-CN"/>
        </w:rPr>
        <w:t xml:space="preserve"> </w:t>
      </w:r>
      <w:r>
        <w:rPr>
          <w:sz w:val="24"/>
        </w:rPr>
        <w:t>建筑附加光伏发电系统</w:t>
      </w:r>
      <w:r>
        <w:rPr>
          <w:rFonts w:hint="eastAsia"/>
          <w:sz w:val="24"/>
        </w:rPr>
        <w:t>所选用的光伏组件应满足</w:t>
      </w:r>
      <w:r>
        <w:rPr>
          <w:sz w:val="24"/>
        </w:rPr>
        <w:t>《建筑用光伏构件通用技术要求》JG/T 492</w:t>
      </w:r>
      <w:r>
        <w:rPr>
          <w:rFonts w:hint="eastAsia"/>
          <w:sz w:val="24"/>
        </w:rPr>
        <w:t>的相关结构安全规定</w:t>
      </w:r>
      <w:r>
        <w:rPr>
          <w:rFonts w:hint="eastAsia"/>
          <w:sz w:val="24"/>
          <w:lang w:eastAsia="zh-CN"/>
        </w:rPr>
        <w:t>。</w:t>
      </w:r>
    </w:p>
    <w:p w14:paraId="404F2CF2">
      <w:pPr>
        <w:keepNext/>
        <w:keepLines/>
        <w:snapToGrid w:val="0"/>
        <w:spacing w:before="72" w:beforeLines="30" w:after="72" w:afterLines="30" w:line="300" w:lineRule="auto"/>
        <w:jc w:val="center"/>
        <w:outlineLvl w:val="2"/>
        <w:rPr>
          <w:b/>
          <w:sz w:val="24"/>
          <w:szCs w:val="32"/>
        </w:rPr>
      </w:pPr>
      <w:bookmarkStart w:id="182" w:name="_Toc19297"/>
      <w:bookmarkStart w:id="183" w:name="_Toc8163"/>
      <w:bookmarkStart w:id="184" w:name="_Toc4089"/>
      <w:bookmarkStart w:id="185" w:name="_Toc545"/>
      <w:bookmarkStart w:id="186" w:name="_Toc9339"/>
      <w:bookmarkStart w:id="187" w:name="_Toc9209"/>
      <w:bookmarkStart w:id="188" w:name="_Toc7049"/>
      <w:bookmarkStart w:id="189" w:name="_Toc11619"/>
      <w:r>
        <w:rPr>
          <w:b/>
          <w:sz w:val="24"/>
          <w:szCs w:val="32"/>
        </w:rPr>
        <w:t>6.2设计</w:t>
      </w:r>
      <w:r>
        <w:rPr>
          <w:rFonts w:hint="default"/>
          <w:b/>
          <w:sz w:val="24"/>
          <w:szCs w:val="32"/>
        </w:rPr>
        <w:t>参数</w:t>
      </w:r>
      <w:bookmarkEnd w:id="182"/>
      <w:bookmarkEnd w:id="183"/>
      <w:bookmarkEnd w:id="184"/>
      <w:bookmarkEnd w:id="185"/>
      <w:bookmarkEnd w:id="186"/>
      <w:bookmarkEnd w:id="187"/>
      <w:bookmarkEnd w:id="188"/>
      <w:bookmarkEnd w:id="189"/>
    </w:p>
    <w:p w14:paraId="0F3F6E8D">
      <w:pPr>
        <w:snapToGrid w:val="0"/>
        <w:spacing w:line="300" w:lineRule="auto"/>
        <w:jc w:val="left"/>
        <w:rPr>
          <w:sz w:val="24"/>
        </w:rPr>
      </w:pPr>
      <w:r>
        <w:rPr>
          <w:b/>
          <w:bCs/>
          <w:sz w:val="24"/>
        </w:rPr>
        <w:t>6.2.1</w:t>
      </w:r>
      <w:r>
        <w:rPr>
          <w:sz w:val="24"/>
        </w:rPr>
        <w:t xml:space="preserve"> </w:t>
      </w:r>
      <w:r>
        <w:rPr>
          <w:rFonts w:hint="eastAsia"/>
          <w:sz w:val="24"/>
        </w:rPr>
        <w:t>建筑光伏系统的结构设计应符合下列</w:t>
      </w:r>
      <w:r>
        <w:rPr>
          <w:rFonts w:hint="eastAsia"/>
          <w:sz w:val="24"/>
          <w:lang w:val="en-US" w:eastAsia="zh-CN"/>
        </w:rPr>
        <w:t>要求</w:t>
      </w:r>
      <w:r>
        <w:rPr>
          <w:rFonts w:hint="eastAsia"/>
          <w:sz w:val="24"/>
        </w:rPr>
        <w:t>：</w:t>
      </w:r>
    </w:p>
    <w:p w14:paraId="03CD0B2A">
      <w:pPr>
        <w:snapToGrid w:val="0"/>
        <w:spacing w:line="300" w:lineRule="auto"/>
        <w:ind w:firstLine="482" w:firstLineChars="200"/>
        <w:jc w:val="left"/>
        <w:rPr>
          <w:rFonts w:hint="eastAsia" w:eastAsia="宋体"/>
          <w:sz w:val="24"/>
          <w:lang w:eastAsia="zh-CN"/>
        </w:rPr>
      </w:pPr>
      <w:r>
        <w:rPr>
          <w:rFonts w:hint="eastAsia"/>
          <w:b/>
          <w:bCs/>
          <w:sz w:val="24"/>
        </w:rPr>
        <w:t xml:space="preserve">1 </w:t>
      </w:r>
      <w:r>
        <w:rPr>
          <w:rFonts w:hint="eastAsia"/>
          <w:sz w:val="24"/>
        </w:rPr>
        <w:t>非抗震设计时，应考虑系统自重、风荷载、雪荷载和检修荷载作用效应组合</w:t>
      </w:r>
      <w:r>
        <w:rPr>
          <w:rFonts w:hint="eastAsia"/>
          <w:sz w:val="24"/>
          <w:lang w:eastAsia="zh-CN"/>
        </w:rPr>
        <w:t>；</w:t>
      </w:r>
    </w:p>
    <w:p w14:paraId="63D1C44E">
      <w:pPr>
        <w:snapToGrid w:val="0"/>
        <w:spacing w:line="300" w:lineRule="auto"/>
        <w:ind w:firstLine="482" w:firstLineChars="200"/>
        <w:jc w:val="left"/>
        <w:rPr>
          <w:rFonts w:hint="eastAsia" w:eastAsia="宋体"/>
          <w:sz w:val="24"/>
          <w:lang w:eastAsia="zh-CN"/>
        </w:rPr>
      </w:pPr>
      <w:r>
        <w:rPr>
          <w:rFonts w:hint="eastAsia"/>
          <w:b/>
          <w:bCs/>
          <w:sz w:val="24"/>
        </w:rPr>
        <w:t xml:space="preserve">2 </w:t>
      </w:r>
      <w:r>
        <w:rPr>
          <w:rFonts w:hint="eastAsia"/>
          <w:sz w:val="24"/>
        </w:rPr>
        <w:t>抗震设计时，应考虑系统自重、风荷载、雪荷载、检修荷载和地震作用效应组合</w:t>
      </w:r>
      <w:r>
        <w:rPr>
          <w:rFonts w:hint="eastAsia"/>
          <w:sz w:val="24"/>
          <w:lang w:eastAsia="zh-CN"/>
        </w:rPr>
        <w:t>；</w:t>
      </w:r>
    </w:p>
    <w:p w14:paraId="73A60403">
      <w:pPr>
        <w:snapToGrid w:val="0"/>
        <w:spacing w:line="300" w:lineRule="auto"/>
        <w:ind w:firstLine="482" w:firstLineChars="200"/>
        <w:jc w:val="left"/>
        <w:rPr>
          <w:sz w:val="24"/>
        </w:rPr>
      </w:pPr>
      <w:r>
        <w:rPr>
          <w:rFonts w:hint="eastAsia"/>
          <w:b/>
          <w:bCs/>
          <w:sz w:val="24"/>
        </w:rPr>
        <w:t xml:space="preserve">3 </w:t>
      </w:r>
      <w:r>
        <w:rPr>
          <w:rFonts w:hint="eastAsia"/>
          <w:sz w:val="24"/>
        </w:rPr>
        <w:t>作用效应组合应按照国家标准《工程结构通用规范》GB 55001</w:t>
      </w:r>
      <w:r>
        <w:rPr>
          <w:rFonts w:hint="eastAsia"/>
          <w:sz w:val="24"/>
          <w:lang w:eastAsia="zh-CN"/>
        </w:rPr>
        <w:t>、《建筑结构荷载规范》GB50009、《建筑抗震设计规范》GB50011</w:t>
      </w:r>
      <w:r>
        <w:rPr>
          <w:rFonts w:hint="eastAsia"/>
          <w:sz w:val="24"/>
        </w:rPr>
        <w:t>的有关规定进行计算。</w:t>
      </w:r>
    </w:p>
    <w:p w14:paraId="3CDDBD59">
      <w:pPr>
        <w:snapToGrid w:val="0"/>
        <w:spacing w:line="300" w:lineRule="auto"/>
        <w:jc w:val="left"/>
        <w:rPr>
          <w:sz w:val="24"/>
        </w:rPr>
      </w:pPr>
      <w:r>
        <w:rPr>
          <w:b/>
          <w:bCs/>
          <w:sz w:val="24"/>
        </w:rPr>
        <w:t>6.2.</w:t>
      </w:r>
      <w:r>
        <w:rPr>
          <w:rFonts w:hint="eastAsia"/>
          <w:b/>
          <w:bCs/>
          <w:sz w:val="24"/>
        </w:rPr>
        <w:t>2</w:t>
      </w:r>
      <w:r>
        <w:rPr>
          <w:sz w:val="24"/>
        </w:rPr>
        <w:t xml:space="preserve"> 玻璃的强度设计值及其他物理力学性能应符合现行行业标准《建筑玻璃应用技术规程》JGJ 113的有关规定。</w:t>
      </w:r>
    </w:p>
    <w:p w14:paraId="1847AA66">
      <w:pPr>
        <w:snapToGrid w:val="0"/>
        <w:spacing w:line="300" w:lineRule="auto"/>
        <w:jc w:val="left"/>
        <w:rPr>
          <w:sz w:val="24"/>
        </w:rPr>
      </w:pPr>
      <w:r>
        <w:rPr>
          <w:b/>
          <w:bCs/>
          <w:sz w:val="24"/>
        </w:rPr>
        <w:t>6.2.</w:t>
      </w:r>
      <w:r>
        <w:rPr>
          <w:rFonts w:hint="eastAsia"/>
          <w:b/>
          <w:bCs/>
          <w:sz w:val="24"/>
        </w:rPr>
        <w:t>3</w:t>
      </w:r>
      <w:r>
        <w:rPr>
          <w:sz w:val="24"/>
        </w:rPr>
        <w:t xml:space="preserve"> 钢材的强度设计值及其他物理力学性能应按现行国家标准《钢结构设计标准》GB50017和《冷弯薄壁型钢结构技术规范》GB 50018的规定采用。</w:t>
      </w:r>
    </w:p>
    <w:p w14:paraId="4059C08D">
      <w:pPr>
        <w:snapToGrid w:val="0"/>
        <w:spacing w:line="300" w:lineRule="auto"/>
        <w:jc w:val="left"/>
        <w:rPr>
          <w:sz w:val="24"/>
          <w:highlight w:val="cyan"/>
        </w:rPr>
      </w:pPr>
      <w:r>
        <w:rPr>
          <w:b/>
          <w:bCs/>
          <w:sz w:val="24"/>
        </w:rPr>
        <w:t>6.2</w:t>
      </w:r>
      <w:r>
        <w:rPr>
          <w:rFonts w:hint="eastAsia"/>
          <w:b/>
          <w:bCs/>
          <w:sz w:val="24"/>
        </w:rPr>
        <w:t>.4</w:t>
      </w:r>
      <w:r>
        <w:rPr>
          <w:sz w:val="24"/>
        </w:rPr>
        <w:t xml:space="preserve"> 铝合金材料的强度设计值及其他物理力学性能应按现行国家标准《铝合金结构设计规范》GB 50429</w:t>
      </w:r>
      <w:r>
        <w:rPr>
          <w:rFonts w:hint="eastAsia"/>
          <w:sz w:val="24"/>
        </w:rPr>
        <w:t>和《一般工业用铝及铝合金挤压型材》GBT6892</w:t>
      </w:r>
      <w:r>
        <w:rPr>
          <w:sz w:val="24"/>
        </w:rPr>
        <w:t>的规定采用。</w:t>
      </w:r>
    </w:p>
    <w:p w14:paraId="220738CD">
      <w:pPr>
        <w:snapToGrid w:val="0"/>
        <w:spacing w:line="300" w:lineRule="auto"/>
        <w:jc w:val="left"/>
        <w:rPr>
          <w:sz w:val="24"/>
        </w:rPr>
      </w:pPr>
      <w:r>
        <w:rPr>
          <w:b/>
          <w:bCs/>
          <w:sz w:val="24"/>
        </w:rPr>
        <w:t>6.2.</w:t>
      </w:r>
      <w:r>
        <w:rPr>
          <w:rFonts w:hint="eastAsia"/>
          <w:b/>
          <w:bCs/>
          <w:sz w:val="24"/>
        </w:rPr>
        <w:t>5</w:t>
      </w:r>
      <w:r>
        <w:rPr>
          <w:b/>
          <w:bCs/>
          <w:sz w:val="24"/>
        </w:rPr>
        <w:t xml:space="preserve"> </w:t>
      </w:r>
      <w:r>
        <w:rPr>
          <w:sz w:val="24"/>
        </w:rPr>
        <w:t>配重式支架结构附加屋面光伏系统的支撑系统应计算其整体抗滑移、抗倾覆能力。</w:t>
      </w:r>
    </w:p>
    <w:p w14:paraId="2A4B12F3">
      <w:pPr>
        <w:keepNext/>
        <w:keepLines/>
        <w:snapToGrid w:val="0"/>
        <w:spacing w:before="72" w:beforeLines="30" w:after="72" w:afterLines="30" w:line="300" w:lineRule="auto"/>
        <w:jc w:val="center"/>
        <w:outlineLvl w:val="2"/>
        <w:rPr>
          <w:b/>
          <w:sz w:val="24"/>
          <w:szCs w:val="32"/>
        </w:rPr>
      </w:pPr>
      <w:bookmarkStart w:id="190" w:name="_Toc13410"/>
      <w:bookmarkStart w:id="191" w:name="_Toc21849"/>
      <w:bookmarkStart w:id="192" w:name="_Toc17123"/>
      <w:bookmarkStart w:id="193" w:name="_Toc29161"/>
      <w:bookmarkStart w:id="194" w:name="_Toc5098"/>
      <w:bookmarkStart w:id="195" w:name="_Toc1607"/>
      <w:bookmarkStart w:id="196" w:name="_Toc31844"/>
      <w:bookmarkStart w:id="197" w:name="_Toc12091"/>
      <w:r>
        <w:rPr>
          <w:b/>
          <w:sz w:val="24"/>
          <w:szCs w:val="32"/>
        </w:rPr>
        <w:t>6.3荷载和作用</w:t>
      </w:r>
      <w:bookmarkEnd w:id="190"/>
      <w:bookmarkEnd w:id="191"/>
      <w:bookmarkEnd w:id="192"/>
      <w:bookmarkEnd w:id="193"/>
      <w:bookmarkEnd w:id="194"/>
      <w:bookmarkEnd w:id="195"/>
      <w:bookmarkEnd w:id="196"/>
      <w:bookmarkEnd w:id="197"/>
    </w:p>
    <w:p w14:paraId="0C5A1506">
      <w:pPr>
        <w:pStyle w:val="2"/>
        <w:spacing w:line="300" w:lineRule="auto"/>
        <w:rPr>
          <w:sz w:val="24"/>
        </w:rPr>
      </w:pPr>
      <w:r>
        <w:rPr>
          <w:b/>
          <w:bCs/>
          <w:sz w:val="24"/>
        </w:rPr>
        <w:t>6.3.</w:t>
      </w:r>
      <w:r>
        <w:rPr>
          <w:rFonts w:hint="eastAsia"/>
          <w:b/>
          <w:bCs/>
          <w:sz w:val="24"/>
          <w:lang w:val="en-US" w:eastAsia="zh-CN"/>
        </w:rPr>
        <w:t>1</w:t>
      </w:r>
      <w:r>
        <w:rPr>
          <w:sz w:val="24"/>
        </w:rPr>
        <w:t xml:space="preserve"> </w:t>
      </w:r>
      <w:r>
        <w:rPr>
          <w:rFonts w:hint="eastAsia"/>
          <w:sz w:val="24"/>
        </w:rPr>
        <w:t>建筑附加光伏发电系统的风荷载应按下式计算：</w:t>
      </w:r>
    </w:p>
    <w:p w14:paraId="012C365E">
      <w:pPr>
        <w:spacing w:line="300" w:lineRule="auto"/>
        <w:jc w:val="center"/>
      </w:pPr>
      <w:bookmarkStart w:id="198" w:name="_Toc28787"/>
      <w:bookmarkStart w:id="199" w:name="_Toc20041"/>
      <w:bookmarkStart w:id="200" w:name="_Toc874"/>
      <w:r>
        <w:rPr>
          <w:rFonts w:hint="eastAsia"/>
          <w:position w:val="-14"/>
          <w:lang w:val="en-US" w:eastAsia="zh-CN"/>
        </w:rPr>
        <w:t xml:space="preserve">                       </w:t>
      </w:r>
      <w:r>
        <w:rPr>
          <w:position w:val="-14"/>
        </w:rPr>
        <w:object>
          <v:shape id="_x0000_i1025" o:spt="75" type="#_x0000_t75" style="height:22.4pt;width:93.75pt;" o:ole="t" filled="f" o:preferrelative="t" stroked="f" coordsize="21600,21600">
            <v:path/>
            <v:fill on="f" focussize="0,0"/>
            <v:stroke on="f" joinstyle="miter"/>
            <v:imagedata r:id="rId16" o:title=""/>
            <o:lock v:ext="edit" aspectratio="f"/>
            <w10:wrap type="none"/>
            <w10:anchorlock/>
          </v:shape>
          <o:OLEObject Type="Embed" ProgID="Equation.DSMT4" ShapeID="_x0000_i1025" DrawAspect="Content" ObjectID="_1468075725" r:id="rId15">
            <o:LockedField>false</o:LockedField>
          </o:OLEObject>
        </w:object>
      </w:r>
      <w:r>
        <w:t xml:space="preserve">          </w:t>
      </w:r>
      <w:r>
        <w:rPr>
          <w:rFonts w:hint="eastAsia"/>
        </w:rPr>
        <w:t xml:space="preserve">    </w:t>
      </w:r>
      <w:r>
        <w:rPr>
          <w:position w:val="-12"/>
          <w:sz w:val="24"/>
        </w:rPr>
        <w:t xml:space="preserve">  </w:t>
      </w:r>
      <w:r>
        <w:rPr>
          <w:rFonts w:hint="eastAsia"/>
          <w:position w:val="-12"/>
          <w:sz w:val="24"/>
          <w:lang w:val="en-US" w:eastAsia="zh-CN"/>
        </w:rPr>
        <w:t xml:space="preserve">            </w:t>
      </w:r>
      <w:r>
        <w:rPr>
          <w:rFonts w:hint="eastAsia"/>
          <w:position w:val="-12"/>
          <w:sz w:val="24"/>
        </w:rPr>
        <w:t>（6.3.</w:t>
      </w:r>
      <w:r>
        <w:rPr>
          <w:rFonts w:hint="eastAsia"/>
          <w:position w:val="-12"/>
          <w:sz w:val="24"/>
          <w:lang w:val="en-US" w:eastAsia="zh-CN"/>
        </w:rPr>
        <w:t>1</w:t>
      </w:r>
      <w:r>
        <w:rPr>
          <w:rFonts w:hint="eastAsia"/>
          <w:position w:val="-12"/>
          <w:sz w:val="24"/>
        </w:rPr>
        <w:t>）</w:t>
      </w:r>
      <w:bookmarkEnd w:id="198"/>
      <w:bookmarkEnd w:id="199"/>
      <w:bookmarkEnd w:id="200"/>
    </w:p>
    <w:p w14:paraId="7C82D61D">
      <w:pPr>
        <w:pStyle w:val="2"/>
        <w:spacing w:after="0" w:line="300" w:lineRule="auto"/>
        <w:rPr>
          <w:sz w:val="24"/>
        </w:rPr>
      </w:pPr>
      <w:r>
        <w:rPr>
          <w:rFonts w:hint="eastAsia"/>
          <w:sz w:val="24"/>
        </w:rPr>
        <w:t>式中：</w:t>
      </w:r>
      <w:r>
        <w:rPr>
          <w:rFonts w:hint="eastAsia"/>
          <w:sz w:val="24"/>
        </w:rPr>
        <w:object>
          <v:shape id="_x0000_i1026" o:spt="75" type="#_x0000_t75" style="height:18.35pt;width:14.95pt;" o:ole="t" filled="f" o:preferrelative="t" stroked="f" coordsize="21600,21600">
            <v:path/>
            <v:fill on="f" focussize="0,0"/>
            <v:stroke on="f" joinstyle="miter"/>
            <v:imagedata r:id="rId18" o:title=""/>
            <o:lock v:ext="edit" aspectratio="f"/>
            <w10:wrap type="none"/>
            <w10:anchorlock/>
          </v:shape>
          <o:OLEObject Type="Embed" ProgID="Equation.DSMT4" ShapeID="_x0000_i1026" DrawAspect="Content" ObjectID="_1468075726" r:id="rId17">
            <o:LockedField>false</o:LockedField>
          </o:OLEObject>
        </w:object>
      </w:r>
      <w:r>
        <w:rPr>
          <w:sz w:val="24"/>
        </w:rPr>
        <w:t>——</w:t>
      </w:r>
      <w:r>
        <w:rPr>
          <w:rFonts w:hint="eastAsia"/>
          <w:sz w:val="24"/>
        </w:rPr>
        <w:t>风荷载标准值（</w:t>
      </w:r>
      <w:r>
        <w:rPr>
          <w:sz w:val="24"/>
        </w:rPr>
        <w:t>kN/m</w:t>
      </w:r>
      <w:r>
        <w:rPr>
          <w:sz w:val="24"/>
          <w:vertAlign w:val="superscript"/>
        </w:rPr>
        <w:t>2</w:t>
      </w:r>
      <w:r>
        <w:rPr>
          <w:sz w:val="24"/>
        </w:rPr>
        <w:t>)</w:t>
      </w:r>
    </w:p>
    <w:p w14:paraId="186CDB9A">
      <w:pPr>
        <w:pStyle w:val="2"/>
        <w:spacing w:after="0" w:line="300" w:lineRule="auto"/>
        <w:ind w:left="1522" w:leftChars="350" w:hanging="787" w:hangingChars="328"/>
        <w:textAlignment w:val="center"/>
        <w:rPr>
          <w:b/>
          <w:bCs/>
          <w:sz w:val="24"/>
        </w:rPr>
      </w:pPr>
      <w:r>
        <w:rPr>
          <w:rFonts w:hint="eastAsia"/>
          <w:sz w:val="24"/>
        </w:rPr>
        <w:object>
          <v:shape id="_x0000_i1027" o:spt="75" type="#_x0000_t75" style="height:19pt;width:17pt;" o:ole="t" filled="f" o:preferrelative="t" stroked="f" coordsize="21600,21600">
            <v:path/>
            <v:fill on="f" focussize="0,0"/>
            <v:stroke on="f" joinstyle="miter"/>
            <v:imagedata r:id="rId20" o:title=""/>
            <o:lock v:ext="edit" aspectratio="f"/>
            <w10:wrap type="none"/>
            <w10:anchorlock/>
          </v:shape>
          <o:OLEObject Type="Embed" ProgID="Equation.DSMT4" ShapeID="_x0000_i1027" DrawAspect="Content" ObjectID="_1468075727" r:id="rId19">
            <o:LockedField>false</o:LockedField>
          </o:OLEObject>
        </w:object>
      </w:r>
      <w:r>
        <w:rPr>
          <w:sz w:val="24"/>
        </w:rPr>
        <w:t>——</w:t>
      </w:r>
      <w:r>
        <w:rPr>
          <w:rFonts w:hint="eastAsia"/>
          <w:sz w:val="24"/>
        </w:rPr>
        <w:t>阵风系数，应按现行国家标准《建筑结构荷载规范》</w:t>
      </w:r>
      <w:r>
        <w:rPr>
          <w:sz w:val="24"/>
        </w:rPr>
        <w:t>GB 50009</w:t>
      </w:r>
      <w:r>
        <w:rPr>
          <w:rFonts w:hint="eastAsia"/>
          <w:sz w:val="24"/>
        </w:rPr>
        <w:t>的规定采用；</w:t>
      </w:r>
    </w:p>
    <w:p w14:paraId="727978CC">
      <w:pPr>
        <w:pStyle w:val="2"/>
        <w:spacing w:after="0" w:line="300" w:lineRule="auto"/>
        <w:ind w:left="1522" w:leftChars="350" w:hanging="787" w:hangingChars="328"/>
        <w:textAlignment w:val="center"/>
        <w:rPr>
          <w:sz w:val="24"/>
        </w:rPr>
      </w:pPr>
      <w:r>
        <w:rPr>
          <w:rFonts w:hint="eastAsia"/>
          <w:sz w:val="24"/>
        </w:rPr>
        <w:object>
          <v:shape id="_x0000_i1028" o:spt="75" type="#_x0000_t75" style="height:18.35pt;width:14.25pt;" o:ole="t" filled="f" o:preferrelative="t" stroked="f" coordsize="21600,21600">
            <v:path/>
            <v:fill on="f" focussize="0,0"/>
            <v:stroke on="f" joinstyle="miter"/>
            <v:imagedata r:id="rId22" o:title=""/>
            <o:lock v:ext="edit" aspectratio="f"/>
            <w10:wrap type="none"/>
            <w10:anchorlock/>
          </v:shape>
          <o:OLEObject Type="Embed" ProgID="Equation.DSMT4" ShapeID="_x0000_i1028" DrawAspect="Content" ObjectID="_1468075728" r:id="rId21">
            <o:LockedField>false</o:LockedField>
          </o:OLEObject>
        </w:object>
      </w:r>
      <w:r>
        <w:rPr>
          <w:sz w:val="24"/>
        </w:rPr>
        <w:t>——</w:t>
      </w:r>
      <w:r>
        <w:rPr>
          <w:rFonts w:hint="eastAsia"/>
          <w:sz w:val="24"/>
        </w:rPr>
        <w:t>风压高度变化系数，应按现行广东省标准《建筑结构荷载规范》</w:t>
      </w:r>
      <w:r>
        <w:rPr>
          <w:sz w:val="24"/>
        </w:rPr>
        <w:t>DBJ/T 15-101</w:t>
      </w:r>
      <w:r>
        <w:rPr>
          <w:rFonts w:hint="eastAsia"/>
          <w:sz w:val="24"/>
        </w:rPr>
        <w:t>的规定采用；</w:t>
      </w:r>
    </w:p>
    <w:p w14:paraId="0ED82CFC">
      <w:pPr>
        <w:pStyle w:val="2"/>
        <w:spacing w:after="0" w:line="300" w:lineRule="auto"/>
        <w:ind w:left="1522" w:leftChars="350" w:hanging="787" w:hangingChars="328"/>
        <w:textAlignment w:val="center"/>
        <w:rPr>
          <w:sz w:val="24"/>
        </w:rPr>
      </w:pPr>
      <w:r>
        <w:rPr>
          <w:rFonts w:hint="eastAsia"/>
          <w:sz w:val="24"/>
        </w:rPr>
        <w:object>
          <v:shape id="_x0000_i1029" o:spt="75" type="#_x0000_t75" style="height:18.35pt;width:12.9pt;" o:ole="t" filled="f" o:preferrelative="t" stroked="f" coordsize="21600,21600">
            <v:path/>
            <v:fill on="f" focussize="0,0"/>
            <v:stroke on="f" joinstyle="miter"/>
            <v:imagedata r:id="rId24" o:title=""/>
            <o:lock v:ext="edit" aspectratio="f"/>
            <w10:wrap type="none"/>
            <w10:anchorlock/>
          </v:shape>
          <o:OLEObject Type="Embed" ProgID="Equation.DSMT4" ShapeID="_x0000_i1029" DrawAspect="Content" ObjectID="_1468075729" r:id="rId23">
            <o:LockedField>false</o:LockedField>
          </o:OLEObject>
        </w:object>
      </w:r>
      <w:r>
        <w:rPr>
          <w:sz w:val="24"/>
        </w:rPr>
        <w:t>——</w:t>
      </w:r>
      <w:r>
        <w:rPr>
          <w:rFonts w:hint="eastAsia"/>
          <w:sz w:val="24"/>
        </w:rPr>
        <w:t>风荷载体型系数，应按本标准第</w:t>
      </w:r>
      <w:r>
        <w:rPr>
          <w:sz w:val="24"/>
        </w:rPr>
        <w:t>6.3.4</w:t>
      </w:r>
      <w:r>
        <w:rPr>
          <w:rFonts w:hint="eastAsia"/>
          <w:sz w:val="24"/>
        </w:rPr>
        <w:t>条的规定采用；</w:t>
      </w:r>
    </w:p>
    <w:p w14:paraId="1E2CFD33">
      <w:pPr>
        <w:pStyle w:val="2"/>
        <w:spacing w:after="0" w:line="300" w:lineRule="auto"/>
        <w:ind w:left="1522" w:leftChars="350" w:hanging="787" w:hangingChars="328"/>
        <w:textAlignment w:val="center"/>
        <w:rPr>
          <w:sz w:val="24"/>
        </w:rPr>
      </w:pPr>
      <w:r>
        <w:rPr>
          <w:rFonts w:hint="eastAsia"/>
          <w:sz w:val="24"/>
        </w:rPr>
        <w:object>
          <v:shape id="_x0000_i1030" o:spt="75" type="#_x0000_t75" style="height:18.35pt;width:14.95pt;" o:ole="t" filled="f" o:preferrelative="t" stroked="f" coordsize="21600,21600">
            <v:path/>
            <v:fill on="f" focussize="0,0"/>
            <v:stroke on="f" joinstyle="miter"/>
            <v:imagedata r:id="rId26" o:title=""/>
            <o:lock v:ext="edit" aspectratio="f"/>
            <w10:wrap type="none"/>
            <w10:anchorlock/>
          </v:shape>
          <o:OLEObject Type="Embed" ProgID="Equation.DSMT4" ShapeID="_x0000_i1030" DrawAspect="Content" ObjectID="_1468075730" r:id="rId25">
            <o:LockedField>false</o:LockedField>
          </o:OLEObject>
        </w:object>
      </w:r>
      <w:r>
        <w:rPr>
          <w:sz w:val="24"/>
        </w:rPr>
        <w:t>——</w:t>
      </w:r>
      <w:r>
        <w:rPr>
          <w:rFonts w:hint="eastAsia"/>
          <w:sz w:val="24"/>
        </w:rPr>
        <w:t>基本风压（</w:t>
      </w:r>
      <w:r>
        <w:rPr>
          <w:sz w:val="24"/>
        </w:rPr>
        <w:t>kN/m</w:t>
      </w:r>
      <w:r>
        <w:rPr>
          <w:sz w:val="24"/>
          <w:vertAlign w:val="superscript"/>
        </w:rPr>
        <w:t>2</w:t>
      </w:r>
      <w:r>
        <w:rPr>
          <w:rFonts w:hint="eastAsia"/>
          <w:sz w:val="24"/>
        </w:rPr>
        <w:t>），</w:t>
      </w:r>
      <w:r>
        <w:rPr>
          <w:rFonts w:hint="eastAsia"/>
          <w:sz w:val="24"/>
          <w:lang w:val="en-US" w:eastAsia="zh-CN"/>
        </w:rPr>
        <w:t>应按</w:t>
      </w:r>
      <w:r>
        <w:rPr>
          <w:rFonts w:hint="eastAsia"/>
          <w:sz w:val="24"/>
        </w:rPr>
        <w:t>现行广东省标准《建筑结构荷载规范》DBJ/T 15-101</w:t>
      </w:r>
      <w:r>
        <w:rPr>
          <w:rFonts w:hint="eastAsia"/>
          <w:sz w:val="24"/>
          <w:lang w:val="en-US" w:eastAsia="zh-CN"/>
        </w:rPr>
        <w:t>的规定采用，对于建筑集成光伏发电系统，风压重现期与主体结构构件一致；对于建筑附加光伏发电系统，风压重现期可取25年</w:t>
      </w:r>
      <w:r>
        <w:rPr>
          <w:rFonts w:hint="eastAsia"/>
          <w:sz w:val="24"/>
        </w:rPr>
        <w:t>。</w:t>
      </w:r>
    </w:p>
    <w:p w14:paraId="168CFEC8">
      <w:pPr>
        <w:pStyle w:val="2"/>
        <w:spacing w:after="0" w:line="300" w:lineRule="auto"/>
        <w:rPr>
          <w:sz w:val="24"/>
        </w:rPr>
      </w:pPr>
      <w:r>
        <w:rPr>
          <w:b/>
          <w:bCs/>
          <w:sz w:val="24"/>
        </w:rPr>
        <w:t>6.3.</w:t>
      </w:r>
      <w:r>
        <w:rPr>
          <w:rFonts w:hint="eastAsia"/>
          <w:b/>
          <w:bCs/>
          <w:sz w:val="24"/>
          <w:lang w:val="en-US" w:eastAsia="zh-CN"/>
        </w:rPr>
        <w:t>2</w:t>
      </w:r>
      <w:r>
        <w:rPr>
          <w:sz w:val="24"/>
        </w:rPr>
        <w:t xml:space="preserve"> </w:t>
      </w:r>
      <w:r>
        <w:rPr>
          <w:rFonts w:hint="eastAsia"/>
          <w:sz w:val="24"/>
        </w:rPr>
        <w:t>风荷载体型系数应按下式计算：</w:t>
      </w:r>
    </w:p>
    <w:p w14:paraId="25CD8071">
      <w:pPr>
        <w:pStyle w:val="2"/>
        <w:spacing w:after="0" w:line="300" w:lineRule="auto"/>
        <w:jc w:val="right"/>
        <w:textAlignment w:val="center"/>
        <w:rPr>
          <w:sz w:val="24"/>
        </w:rPr>
      </w:pPr>
      <w:r>
        <w:rPr>
          <w:position w:val="-12"/>
          <w:sz w:val="24"/>
        </w:rPr>
        <w:object>
          <v:shape id="_x0000_i1031" o:spt="75" type="#_x0000_t75" style="height:21.75pt;width:64.55pt;" o:ole="t" filled="f" o:preferrelative="t" stroked="f" coordsize="21600,21600">
            <v:path/>
            <v:fill on="f" focussize="0,0"/>
            <v:stroke on="f" joinstyle="miter"/>
            <v:imagedata r:id="rId28" o:title=""/>
            <o:lock v:ext="edit" aspectratio="f"/>
            <w10:wrap type="none"/>
            <w10:anchorlock/>
          </v:shape>
          <o:OLEObject Type="Embed" ProgID="Equation.DSMT4" ShapeID="_x0000_i1031" DrawAspect="Content" ObjectID="_1468075731" r:id="rId27">
            <o:LockedField>false</o:LockedField>
          </o:OLEObject>
        </w:object>
      </w:r>
      <w:r>
        <w:rPr>
          <w:position w:val="-12"/>
          <w:sz w:val="24"/>
        </w:rPr>
        <w:t xml:space="preserve">                     </w:t>
      </w:r>
      <w:r>
        <w:rPr>
          <w:rFonts w:hint="eastAsia"/>
          <w:position w:val="-12"/>
          <w:sz w:val="24"/>
        </w:rPr>
        <w:t>（</w:t>
      </w:r>
      <w:r>
        <w:rPr>
          <w:position w:val="-12"/>
          <w:sz w:val="24"/>
        </w:rPr>
        <w:t>6.3.</w:t>
      </w:r>
      <w:r>
        <w:rPr>
          <w:rFonts w:hint="eastAsia"/>
          <w:position w:val="-12"/>
          <w:sz w:val="24"/>
          <w:lang w:val="en-US" w:eastAsia="zh-CN"/>
        </w:rPr>
        <w:t>2</w:t>
      </w:r>
      <w:r>
        <w:rPr>
          <w:rFonts w:hint="eastAsia"/>
          <w:position w:val="-12"/>
          <w:sz w:val="24"/>
        </w:rPr>
        <w:t>）</w:t>
      </w:r>
    </w:p>
    <w:p w14:paraId="3029A6B3">
      <w:pPr>
        <w:pStyle w:val="2"/>
        <w:spacing w:after="0" w:line="300" w:lineRule="auto"/>
        <w:ind w:left="1507" w:hanging="1507" w:hangingChars="628"/>
        <w:rPr>
          <w:sz w:val="24"/>
        </w:rPr>
      </w:pPr>
      <w:r>
        <w:rPr>
          <w:rFonts w:hint="eastAsia"/>
          <w:sz w:val="24"/>
        </w:rPr>
        <w:t>式中：</w:t>
      </w:r>
      <w:r>
        <w:rPr>
          <w:position w:val="-12"/>
          <w:sz w:val="24"/>
        </w:rPr>
        <w:object>
          <v:shape id="_x0000_i1032" o:spt="75" type="#_x0000_t75" style="height:18.35pt;width:17pt;" o:ole="t" filled="f" o:preferrelative="t" stroked="f" coordsize="21600,21600">
            <v:path/>
            <v:fill on="f" focussize="0,0"/>
            <v:stroke on="f" joinstyle="miter"/>
            <v:imagedata r:id="rId30" o:title=""/>
            <o:lock v:ext="edit" aspectratio="f"/>
            <w10:wrap type="none"/>
            <w10:anchorlock/>
          </v:shape>
          <o:OLEObject Type="Embed" ProgID="Equation.DSMT4" ShapeID="_x0000_i1032" DrawAspect="Content" ObjectID="_1468075732" r:id="rId29">
            <o:LockedField>false</o:LockedField>
          </o:OLEObject>
        </w:object>
      </w:r>
      <w:r>
        <w:rPr>
          <w:sz w:val="24"/>
        </w:rPr>
        <w:t>——</w:t>
      </w:r>
      <w:r>
        <w:rPr>
          <w:rFonts w:hint="eastAsia"/>
          <w:sz w:val="24"/>
        </w:rPr>
        <w:t>风荷载局部体型系数，按现行广东省标准《建筑结构荷载规范》</w:t>
      </w:r>
      <w:r>
        <w:rPr>
          <w:sz w:val="24"/>
        </w:rPr>
        <w:t>DBJ/T 15-101</w:t>
      </w:r>
      <w:r>
        <w:rPr>
          <w:rFonts w:hint="eastAsia"/>
          <w:sz w:val="24"/>
        </w:rPr>
        <w:t>计算围护结构构件及其连接件的风荷载局部体型系数；</w:t>
      </w:r>
    </w:p>
    <w:p w14:paraId="04E0D42A">
      <w:pPr>
        <w:pStyle w:val="2"/>
        <w:spacing w:after="0" w:line="300" w:lineRule="auto"/>
        <w:ind w:left="1522" w:leftChars="350" w:hanging="787" w:hangingChars="328"/>
        <w:rPr>
          <w:sz w:val="24"/>
        </w:rPr>
      </w:pPr>
      <w:r>
        <w:rPr>
          <w:position w:val="-10"/>
          <w:sz w:val="24"/>
        </w:rPr>
        <w:object>
          <v:shape id="_x0000_i1033" o:spt="75" type="#_x0000_t75" style="height:16.3pt;width:10.85pt;" o:ole="t" filled="f" o:preferrelative="t" stroked="f" coordsize="21600,21600">
            <v:path/>
            <v:fill on="f" focussize="0,0"/>
            <v:stroke on="f" joinstyle="miter"/>
            <v:imagedata r:id="rId32" o:title=""/>
            <o:lock v:ext="edit" aspectratio="f"/>
            <w10:wrap type="none"/>
            <w10:anchorlock/>
          </v:shape>
          <o:OLEObject Type="Embed" ProgID="Equation.DSMT4" ShapeID="_x0000_i1033" DrawAspect="Content" ObjectID="_1468075733" r:id="rId31">
            <o:LockedField>false</o:LockedField>
          </o:OLEObject>
        </w:object>
      </w:r>
      <w:r>
        <w:rPr>
          <w:sz w:val="24"/>
        </w:rPr>
        <w:t>——</w:t>
      </w:r>
      <w:r>
        <w:rPr>
          <w:rFonts w:hint="eastAsia"/>
          <w:sz w:val="24"/>
        </w:rPr>
        <w:t>调整系数，对于</w:t>
      </w:r>
      <w:r>
        <w:rPr>
          <w:rFonts w:hint="eastAsia"/>
          <w:sz w:val="24"/>
          <w:lang w:val="en-US" w:eastAsia="zh-CN"/>
        </w:rPr>
        <w:t>建筑</w:t>
      </w:r>
      <w:r>
        <w:rPr>
          <w:rFonts w:hint="eastAsia"/>
          <w:sz w:val="24"/>
        </w:rPr>
        <w:t>集成式光伏</w:t>
      </w:r>
      <w:r>
        <w:rPr>
          <w:rFonts w:hint="eastAsia"/>
          <w:sz w:val="24"/>
          <w:lang w:val="en-US" w:eastAsia="zh-CN"/>
        </w:rPr>
        <w:t>发电</w:t>
      </w:r>
      <w:r>
        <w:rPr>
          <w:rFonts w:hint="eastAsia"/>
          <w:sz w:val="24"/>
        </w:rPr>
        <w:t>系统，调整系数取值为1，对于</w:t>
      </w:r>
      <w:r>
        <w:rPr>
          <w:rFonts w:hint="eastAsia"/>
          <w:sz w:val="24"/>
          <w:lang w:val="en-US" w:eastAsia="zh-CN"/>
        </w:rPr>
        <w:t>建筑</w:t>
      </w:r>
      <w:r>
        <w:rPr>
          <w:rFonts w:hint="eastAsia"/>
          <w:sz w:val="24"/>
        </w:rPr>
        <w:t>附加式屋面光伏系统构造，可以根据形式确定调整系数如下：</w:t>
      </w:r>
    </w:p>
    <w:p w14:paraId="379A3D9A">
      <w:pPr>
        <w:pStyle w:val="2"/>
        <w:spacing w:after="0" w:line="300" w:lineRule="auto"/>
        <w:ind w:firstLine="482" w:firstLineChars="200"/>
        <w:rPr>
          <w:rFonts w:hint="eastAsia" w:eastAsia="宋体"/>
          <w:sz w:val="24"/>
          <w:lang w:eastAsia="zh-CN"/>
        </w:rPr>
      </w:pPr>
      <w:r>
        <w:rPr>
          <w:b/>
          <w:bCs/>
          <w:sz w:val="24"/>
        </w:rPr>
        <w:t xml:space="preserve">1 </w:t>
      </w:r>
      <w:r>
        <w:rPr>
          <w:rFonts w:hint="eastAsia"/>
          <w:sz w:val="24"/>
        </w:rPr>
        <w:t>对于平屋面上设置带倾角的附加式屋面光伏系统，调整系数应分区域取值（图</w:t>
      </w:r>
      <w:r>
        <w:rPr>
          <w:sz w:val="24"/>
        </w:rPr>
        <w:t>6.3.</w:t>
      </w:r>
      <w:r>
        <w:rPr>
          <w:rFonts w:hint="eastAsia"/>
          <w:sz w:val="24"/>
          <w:lang w:val="en-US" w:eastAsia="zh-CN"/>
        </w:rPr>
        <w:t>2</w:t>
      </w:r>
      <w:r>
        <w:rPr>
          <w:sz w:val="24"/>
        </w:rPr>
        <w:t>-1</w:t>
      </w:r>
      <w:r>
        <w:rPr>
          <w:rFonts w:hint="eastAsia"/>
          <w:sz w:val="24"/>
        </w:rPr>
        <w:t>和图</w:t>
      </w:r>
      <w:r>
        <w:rPr>
          <w:sz w:val="24"/>
        </w:rPr>
        <w:t>6.3.</w:t>
      </w:r>
      <w:r>
        <w:rPr>
          <w:rFonts w:hint="eastAsia"/>
          <w:sz w:val="24"/>
          <w:lang w:val="en-US" w:eastAsia="zh-CN"/>
        </w:rPr>
        <w:t>2</w:t>
      </w:r>
      <w:r>
        <w:rPr>
          <w:sz w:val="24"/>
        </w:rPr>
        <w:t>-2</w:t>
      </w:r>
      <w:r>
        <w:rPr>
          <w:rFonts w:hint="eastAsia"/>
          <w:sz w:val="24"/>
        </w:rPr>
        <w:t>）</w:t>
      </w:r>
      <w:r>
        <w:rPr>
          <w:rFonts w:hint="eastAsia"/>
          <w:sz w:val="24"/>
          <w:lang w:eastAsia="zh-CN"/>
        </w:rPr>
        <w:t>；</w:t>
      </w:r>
    </w:p>
    <w:p w14:paraId="543F7BBB">
      <w:pPr>
        <w:pStyle w:val="2"/>
        <w:spacing w:line="300" w:lineRule="auto"/>
        <w:jc w:val="center"/>
      </w:pPr>
      <w:r>
        <w:drawing>
          <wp:inline distT="0" distB="0" distL="114300" distR="114300">
            <wp:extent cx="3684270" cy="2416175"/>
            <wp:effectExtent l="0" t="0" r="11430" b="3175"/>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33"/>
                    <a:stretch>
                      <a:fillRect/>
                    </a:stretch>
                  </pic:blipFill>
                  <pic:spPr>
                    <a:xfrm>
                      <a:off x="0" y="0"/>
                      <a:ext cx="3684270" cy="2416175"/>
                    </a:xfrm>
                    <a:prstGeom prst="rect">
                      <a:avLst/>
                    </a:prstGeom>
                    <a:noFill/>
                    <a:ln>
                      <a:noFill/>
                    </a:ln>
                  </pic:spPr>
                </pic:pic>
              </a:graphicData>
            </a:graphic>
          </wp:inline>
        </w:drawing>
      </w:r>
    </w:p>
    <w:p w14:paraId="172B65E5">
      <w:pPr>
        <w:pStyle w:val="2"/>
        <w:spacing w:after="0" w:line="300" w:lineRule="auto"/>
        <w:jc w:val="center"/>
      </w:pPr>
      <w:r>
        <w:rPr>
          <w:rFonts w:hint="eastAsia"/>
        </w:rPr>
        <w:t>图6.3.</w:t>
      </w:r>
      <w:r>
        <w:rPr>
          <w:rFonts w:hint="eastAsia"/>
          <w:lang w:val="en-US" w:eastAsia="zh-CN"/>
        </w:rPr>
        <w:t>2</w:t>
      </w:r>
      <w:r>
        <w:rPr>
          <w:rFonts w:hint="eastAsia"/>
        </w:rPr>
        <w:t>-1 无女儿墙平屋面</w:t>
      </w:r>
    </w:p>
    <w:p w14:paraId="3A78EB49">
      <w:pPr>
        <w:pStyle w:val="2"/>
        <w:numPr>
          <w:ilvl w:val="255"/>
          <w:numId w:val="0"/>
        </w:numPr>
        <w:spacing w:after="0" w:line="300" w:lineRule="auto"/>
        <w:jc w:val="center"/>
      </w:pPr>
      <w:r>
        <w:rPr>
          <w:i/>
          <w:iCs/>
        </w:rPr>
        <w:t>B</w:t>
      </w:r>
      <w:r>
        <w:rPr>
          <w:rFonts w:hint="eastAsia"/>
        </w:rPr>
        <w:t>-建筑迎风宽度</w:t>
      </w:r>
    </w:p>
    <w:p w14:paraId="2637631D">
      <w:pPr>
        <w:pStyle w:val="2"/>
        <w:numPr>
          <w:ilvl w:val="255"/>
          <w:numId w:val="0"/>
        </w:numPr>
        <w:spacing w:after="0" w:line="300" w:lineRule="auto"/>
        <w:jc w:val="center"/>
      </w:pPr>
      <w:r>
        <w:rPr>
          <w:rFonts w:hint="eastAsia"/>
        </w:rPr>
        <w:t>注：</w:t>
      </w:r>
      <w:r>
        <w:rPr>
          <w:i/>
          <w:iCs/>
        </w:rPr>
        <w:t>E</w:t>
      </w:r>
      <w:r>
        <w:rPr>
          <w:rFonts w:hint="eastAsia"/>
        </w:rPr>
        <w:t>应取2</w:t>
      </w:r>
      <w:r>
        <w:rPr>
          <w:i/>
          <w:iCs/>
        </w:rPr>
        <w:t>H</w:t>
      </w:r>
      <w:r>
        <w:rPr>
          <w:rFonts w:hint="eastAsia"/>
        </w:rPr>
        <w:t>和</w:t>
      </w:r>
      <w:r>
        <w:rPr>
          <w:i/>
          <w:iCs/>
        </w:rPr>
        <w:t>B</w:t>
      </w:r>
      <w:r>
        <w:rPr>
          <w:rFonts w:hint="eastAsia"/>
        </w:rPr>
        <w:t>中较小值，</w:t>
      </w:r>
      <w:r>
        <w:rPr>
          <w:i/>
          <w:iCs/>
        </w:rPr>
        <w:t>H</w:t>
      </w:r>
      <w:r>
        <w:rPr>
          <w:rFonts w:hint="eastAsia"/>
        </w:rPr>
        <w:t>为屋顶高度。</w:t>
      </w:r>
    </w:p>
    <w:p w14:paraId="5F4E77CC">
      <w:pPr>
        <w:spacing w:line="300" w:lineRule="auto"/>
        <w:jc w:val="center"/>
      </w:pPr>
      <w:r>
        <w:drawing>
          <wp:inline distT="0" distB="0" distL="114300" distR="114300">
            <wp:extent cx="3571875" cy="2384425"/>
            <wp:effectExtent l="0" t="0" r="9525" b="15875"/>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34"/>
                    <a:stretch>
                      <a:fillRect/>
                    </a:stretch>
                  </pic:blipFill>
                  <pic:spPr>
                    <a:xfrm>
                      <a:off x="0" y="0"/>
                      <a:ext cx="3571875" cy="2384425"/>
                    </a:xfrm>
                    <a:prstGeom prst="rect">
                      <a:avLst/>
                    </a:prstGeom>
                    <a:noFill/>
                    <a:ln>
                      <a:noFill/>
                    </a:ln>
                  </pic:spPr>
                </pic:pic>
              </a:graphicData>
            </a:graphic>
          </wp:inline>
        </w:drawing>
      </w:r>
    </w:p>
    <w:p w14:paraId="4AA1D4DB">
      <w:pPr>
        <w:pStyle w:val="2"/>
        <w:spacing w:after="0" w:line="300" w:lineRule="auto"/>
        <w:jc w:val="center"/>
      </w:pPr>
      <w:r>
        <w:rPr>
          <w:rFonts w:hint="eastAsia"/>
        </w:rPr>
        <w:t>图6.3.</w:t>
      </w:r>
      <w:r>
        <w:rPr>
          <w:rFonts w:hint="eastAsia"/>
          <w:lang w:val="en-US" w:eastAsia="zh-CN"/>
        </w:rPr>
        <w:t>2</w:t>
      </w:r>
      <w:r>
        <w:rPr>
          <w:rFonts w:hint="eastAsia"/>
        </w:rPr>
        <w:t>-2 带1.5m高女儿墙平屋面</w:t>
      </w:r>
    </w:p>
    <w:p w14:paraId="5C5EEA53">
      <w:pPr>
        <w:pStyle w:val="2"/>
        <w:numPr>
          <w:ilvl w:val="255"/>
          <w:numId w:val="0"/>
        </w:numPr>
        <w:spacing w:after="0" w:line="300" w:lineRule="auto"/>
        <w:jc w:val="center"/>
      </w:pPr>
      <w:r>
        <w:rPr>
          <w:rFonts w:hint="eastAsia"/>
          <w:i/>
          <w:iCs/>
        </w:rPr>
        <w:t>B</w:t>
      </w:r>
      <w:r>
        <w:rPr>
          <w:rFonts w:hint="eastAsia"/>
        </w:rPr>
        <w:t>-建筑迎风宽度</w:t>
      </w:r>
    </w:p>
    <w:p w14:paraId="321AFA5E">
      <w:pPr>
        <w:pStyle w:val="2"/>
        <w:numPr>
          <w:ilvl w:val="255"/>
          <w:numId w:val="0"/>
        </w:numPr>
        <w:spacing w:after="0" w:line="300" w:lineRule="auto"/>
        <w:jc w:val="center"/>
      </w:pPr>
      <w:r>
        <w:rPr>
          <w:rFonts w:hint="eastAsia"/>
        </w:rPr>
        <w:t>注：</w:t>
      </w:r>
      <w:r>
        <w:rPr>
          <w:rFonts w:hint="eastAsia"/>
          <w:i/>
          <w:iCs/>
        </w:rPr>
        <w:t>E</w:t>
      </w:r>
      <w:r>
        <w:rPr>
          <w:rFonts w:hint="eastAsia"/>
        </w:rPr>
        <w:t>应取2</w:t>
      </w:r>
      <w:r>
        <w:rPr>
          <w:rFonts w:hint="eastAsia"/>
          <w:i/>
          <w:iCs/>
        </w:rPr>
        <w:t>H</w:t>
      </w:r>
      <w:r>
        <w:rPr>
          <w:rFonts w:hint="eastAsia"/>
        </w:rPr>
        <w:t>和</w:t>
      </w:r>
      <w:r>
        <w:rPr>
          <w:rFonts w:hint="eastAsia"/>
          <w:i/>
          <w:iCs/>
        </w:rPr>
        <w:t>B</w:t>
      </w:r>
      <w:r>
        <w:rPr>
          <w:rFonts w:hint="eastAsia"/>
        </w:rPr>
        <w:t>中较小值。</w:t>
      </w:r>
    </w:p>
    <w:p w14:paraId="21923041">
      <w:pPr>
        <w:pStyle w:val="2"/>
        <w:spacing w:after="0" w:line="300" w:lineRule="auto"/>
        <w:ind w:firstLine="482" w:firstLineChars="200"/>
        <w:rPr>
          <w:rFonts w:hint="eastAsia" w:eastAsia="宋体"/>
          <w:sz w:val="24"/>
          <w:lang w:eastAsia="zh-CN"/>
        </w:rPr>
      </w:pPr>
      <w:r>
        <w:rPr>
          <w:b/>
          <w:bCs/>
          <w:sz w:val="24"/>
        </w:rPr>
        <w:t xml:space="preserve">2 </w:t>
      </w:r>
      <w:r>
        <w:rPr>
          <w:rFonts w:hint="eastAsia"/>
          <w:sz w:val="24"/>
        </w:rPr>
        <w:t>对于单坡屋面上设置平行于屋面坡度的附加式屋面光伏系统，调整系数应分区域取值（图</w:t>
      </w:r>
      <w:r>
        <w:rPr>
          <w:sz w:val="24"/>
        </w:rPr>
        <w:t>6.3.</w:t>
      </w:r>
      <w:r>
        <w:rPr>
          <w:rFonts w:hint="eastAsia"/>
          <w:sz w:val="24"/>
          <w:lang w:val="en-US" w:eastAsia="zh-CN"/>
        </w:rPr>
        <w:t>2</w:t>
      </w:r>
      <w:r>
        <w:rPr>
          <w:sz w:val="24"/>
        </w:rPr>
        <w:t>-3</w:t>
      </w:r>
      <w:r>
        <w:rPr>
          <w:rFonts w:hint="eastAsia"/>
          <w:sz w:val="24"/>
        </w:rPr>
        <w:t>）</w:t>
      </w:r>
      <w:r>
        <w:rPr>
          <w:rFonts w:hint="eastAsia"/>
          <w:sz w:val="24"/>
          <w:lang w:eastAsia="zh-CN"/>
        </w:rPr>
        <w:t>；</w:t>
      </w:r>
    </w:p>
    <w:p w14:paraId="206837D3">
      <w:pPr>
        <w:pStyle w:val="2"/>
        <w:spacing w:line="300" w:lineRule="auto"/>
        <w:jc w:val="center"/>
      </w:pPr>
      <w:r>
        <w:drawing>
          <wp:inline distT="0" distB="0" distL="114300" distR="114300">
            <wp:extent cx="5253355" cy="1897380"/>
            <wp:effectExtent l="0" t="0" r="4445" b="762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35"/>
                    <a:stretch>
                      <a:fillRect/>
                    </a:stretch>
                  </pic:blipFill>
                  <pic:spPr>
                    <a:xfrm>
                      <a:off x="0" y="0"/>
                      <a:ext cx="5253355" cy="1897380"/>
                    </a:xfrm>
                    <a:prstGeom prst="rect">
                      <a:avLst/>
                    </a:prstGeom>
                    <a:noFill/>
                    <a:ln>
                      <a:noFill/>
                    </a:ln>
                  </pic:spPr>
                </pic:pic>
              </a:graphicData>
            </a:graphic>
          </wp:inline>
        </w:drawing>
      </w:r>
    </w:p>
    <w:p w14:paraId="5050DE34">
      <w:pPr>
        <w:pStyle w:val="2"/>
        <w:spacing w:after="0" w:line="300" w:lineRule="auto"/>
        <w:jc w:val="center"/>
      </w:pPr>
      <w:r>
        <w:rPr>
          <w:rFonts w:hint="eastAsia"/>
        </w:rPr>
        <w:t>图6.3.</w:t>
      </w:r>
      <w:r>
        <w:rPr>
          <w:rFonts w:hint="eastAsia"/>
          <w:lang w:val="en-US" w:eastAsia="zh-CN"/>
        </w:rPr>
        <w:t>2</w:t>
      </w:r>
      <w:r>
        <w:rPr>
          <w:rFonts w:hint="eastAsia"/>
        </w:rPr>
        <w:t>-3 单坡屋面</w:t>
      </w:r>
    </w:p>
    <w:p w14:paraId="03B294E3">
      <w:pPr>
        <w:pStyle w:val="2"/>
        <w:numPr>
          <w:ilvl w:val="255"/>
          <w:numId w:val="0"/>
        </w:numPr>
        <w:spacing w:after="0" w:line="300" w:lineRule="auto"/>
        <w:jc w:val="center"/>
      </w:pPr>
      <w:r>
        <w:rPr>
          <w:rFonts w:hint="eastAsia"/>
          <w:i/>
          <w:iCs/>
        </w:rPr>
        <w:t>H</w:t>
      </w:r>
      <w:r>
        <w:t>-</w:t>
      </w:r>
      <w:r>
        <w:rPr>
          <w:rFonts w:hint="eastAsia"/>
        </w:rPr>
        <w:t>屋顶高度；</w:t>
      </w:r>
      <w:r>
        <w:rPr>
          <w:rFonts w:hint="eastAsia"/>
          <w:i/>
          <w:iCs/>
        </w:rPr>
        <w:t>B</w:t>
      </w:r>
      <w:r>
        <w:rPr>
          <w:rFonts w:hint="eastAsia"/>
        </w:rPr>
        <w:t>-建筑迎风宽度</w:t>
      </w:r>
    </w:p>
    <w:p w14:paraId="77520C97">
      <w:pPr>
        <w:pStyle w:val="2"/>
        <w:numPr>
          <w:ilvl w:val="255"/>
          <w:numId w:val="0"/>
        </w:numPr>
        <w:spacing w:after="0" w:line="300" w:lineRule="auto"/>
        <w:jc w:val="center"/>
      </w:pPr>
      <w:r>
        <w:rPr>
          <w:rFonts w:hint="eastAsia"/>
        </w:rPr>
        <w:t>注：</w:t>
      </w:r>
      <w:r>
        <w:rPr>
          <w:rFonts w:hint="eastAsia"/>
          <w:i/>
          <w:iCs/>
        </w:rPr>
        <w:t>E</w:t>
      </w:r>
      <w:r>
        <w:rPr>
          <w:rFonts w:hint="eastAsia"/>
        </w:rPr>
        <w:t>应取2</w:t>
      </w:r>
      <w:r>
        <w:rPr>
          <w:rFonts w:hint="eastAsia"/>
          <w:i/>
          <w:iCs/>
        </w:rPr>
        <w:t>H</w:t>
      </w:r>
      <w:r>
        <w:rPr>
          <w:rFonts w:hint="eastAsia"/>
        </w:rPr>
        <w:t>和</w:t>
      </w:r>
      <w:r>
        <w:rPr>
          <w:rFonts w:hint="eastAsia"/>
          <w:i/>
          <w:iCs/>
        </w:rPr>
        <w:t>B</w:t>
      </w:r>
      <w:r>
        <w:rPr>
          <w:rFonts w:hint="eastAsia"/>
        </w:rPr>
        <w:t>中较小值。</w:t>
      </w:r>
    </w:p>
    <w:p w14:paraId="1A2965B1">
      <w:pPr>
        <w:pStyle w:val="2"/>
        <w:spacing w:after="0" w:line="300" w:lineRule="auto"/>
        <w:ind w:firstLine="482" w:firstLineChars="200"/>
        <w:rPr>
          <w:rFonts w:hint="eastAsia" w:eastAsia="宋体"/>
          <w:sz w:val="24"/>
          <w:lang w:eastAsia="zh-CN"/>
        </w:rPr>
      </w:pPr>
      <w:r>
        <w:rPr>
          <w:b/>
          <w:bCs/>
          <w:sz w:val="24"/>
        </w:rPr>
        <w:t xml:space="preserve">3 </w:t>
      </w:r>
      <w:r>
        <w:rPr>
          <w:rFonts w:hint="eastAsia"/>
          <w:sz w:val="24"/>
        </w:rPr>
        <w:t>对于双坡屋面上设置平行于屋面坡度的附加式屋面光伏系统，调整系数应分区域取值（图</w:t>
      </w:r>
      <w:r>
        <w:rPr>
          <w:sz w:val="24"/>
        </w:rPr>
        <w:t>6.3.</w:t>
      </w:r>
      <w:r>
        <w:rPr>
          <w:rFonts w:hint="eastAsia"/>
          <w:sz w:val="24"/>
          <w:lang w:val="en-US" w:eastAsia="zh-CN"/>
        </w:rPr>
        <w:t>2</w:t>
      </w:r>
      <w:r>
        <w:rPr>
          <w:sz w:val="24"/>
        </w:rPr>
        <w:t>-4</w:t>
      </w:r>
      <w:r>
        <w:rPr>
          <w:rFonts w:hint="eastAsia"/>
          <w:sz w:val="24"/>
        </w:rPr>
        <w:t>）</w:t>
      </w:r>
      <w:r>
        <w:rPr>
          <w:rFonts w:hint="eastAsia"/>
          <w:sz w:val="24"/>
          <w:lang w:eastAsia="zh-CN"/>
        </w:rPr>
        <w:t>。</w:t>
      </w:r>
    </w:p>
    <w:p w14:paraId="0B540C16">
      <w:pPr>
        <w:numPr>
          <w:ilvl w:val="255"/>
          <w:numId w:val="0"/>
        </w:numPr>
        <w:spacing w:line="300" w:lineRule="auto"/>
        <w:jc w:val="center"/>
      </w:pPr>
      <w:r>
        <w:drawing>
          <wp:inline distT="0" distB="0" distL="114300" distR="114300">
            <wp:extent cx="4650105" cy="2656840"/>
            <wp:effectExtent l="0" t="0" r="17145" b="10160"/>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36"/>
                    <a:stretch>
                      <a:fillRect/>
                    </a:stretch>
                  </pic:blipFill>
                  <pic:spPr>
                    <a:xfrm>
                      <a:off x="0" y="0"/>
                      <a:ext cx="4650105" cy="2656840"/>
                    </a:xfrm>
                    <a:prstGeom prst="rect">
                      <a:avLst/>
                    </a:prstGeom>
                    <a:noFill/>
                    <a:ln>
                      <a:noFill/>
                    </a:ln>
                  </pic:spPr>
                </pic:pic>
              </a:graphicData>
            </a:graphic>
          </wp:inline>
        </w:drawing>
      </w:r>
    </w:p>
    <w:p w14:paraId="0279CEB9">
      <w:pPr>
        <w:pStyle w:val="2"/>
        <w:spacing w:after="0" w:line="300" w:lineRule="auto"/>
        <w:jc w:val="center"/>
      </w:pPr>
      <w:r>
        <w:rPr>
          <w:rFonts w:hint="eastAsia"/>
        </w:rPr>
        <w:t>图6.3.</w:t>
      </w:r>
      <w:r>
        <w:rPr>
          <w:rFonts w:hint="eastAsia"/>
          <w:lang w:val="en-US" w:eastAsia="zh-CN"/>
        </w:rPr>
        <w:t>2</w:t>
      </w:r>
      <w:r>
        <w:rPr>
          <w:rFonts w:hint="eastAsia"/>
        </w:rPr>
        <w:t>-4 双坡屋面</w:t>
      </w:r>
    </w:p>
    <w:p w14:paraId="0BF06630">
      <w:pPr>
        <w:pStyle w:val="2"/>
        <w:numPr>
          <w:ilvl w:val="255"/>
          <w:numId w:val="0"/>
        </w:numPr>
        <w:spacing w:after="0" w:line="300" w:lineRule="auto"/>
        <w:jc w:val="center"/>
      </w:pPr>
      <w:r>
        <w:rPr>
          <w:i/>
          <w:iCs/>
        </w:rPr>
        <w:t>H</w:t>
      </w:r>
      <w:r>
        <w:rPr>
          <w:rFonts w:hint="eastAsia"/>
        </w:rPr>
        <w:t>-屋顶高度；</w:t>
      </w:r>
      <w:r>
        <w:rPr>
          <w:rFonts w:hint="eastAsia"/>
          <w:i/>
          <w:iCs/>
        </w:rPr>
        <w:t>B</w:t>
      </w:r>
      <w:r>
        <w:rPr>
          <w:rFonts w:hint="eastAsia"/>
        </w:rPr>
        <w:t>-建筑迎风宽度</w:t>
      </w:r>
    </w:p>
    <w:p w14:paraId="68E72FC0">
      <w:pPr>
        <w:pStyle w:val="2"/>
        <w:numPr>
          <w:ilvl w:val="255"/>
          <w:numId w:val="0"/>
        </w:numPr>
        <w:spacing w:after="0" w:line="300" w:lineRule="auto"/>
        <w:jc w:val="center"/>
      </w:pPr>
      <w:r>
        <w:rPr>
          <w:rFonts w:hint="eastAsia"/>
        </w:rPr>
        <w:t>注：</w:t>
      </w:r>
      <w:r>
        <w:rPr>
          <w:rFonts w:hint="eastAsia"/>
          <w:i/>
          <w:iCs/>
        </w:rPr>
        <w:t>E</w:t>
      </w:r>
      <w:r>
        <w:rPr>
          <w:rFonts w:hint="eastAsia"/>
        </w:rPr>
        <w:t>应取2</w:t>
      </w:r>
      <w:r>
        <w:rPr>
          <w:rFonts w:hint="eastAsia"/>
          <w:i/>
          <w:iCs/>
        </w:rPr>
        <w:t>H</w:t>
      </w:r>
      <w:r>
        <w:rPr>
          <w:rFonts w:hint="eastAsia"/>
        </w:rPr>
        <w:t>和</w:t>
      </w:r>
      <w:r>
        <w:rPr>
          <w:rFonts w:hint="eastAsia"/>
          <w:i/>
          <w:iCs/>
        </w:rPr>
        <w:t>B</w:t>
      </w:r>
      <w:r>
        <w:rPr>
          <w:rFonts w:hint="eastAsia"/>
        </w:rPr>
        <w:t>中较小值。</w:t>
      </w:r>
    </w:p>
    <w:p w14:paraId="227D49DB">
      <w:pPr>
        <w:pStyle w:val="2"/>
        <w:spacing w:after="0" w:line="300" w:lineRule="auto"/>
        <w:rPr>
          <w:rFonts w:hint="eastAsia"/>
          <w:sz w:val="24"/>
        </w:rPr>
      </w:pPr>
      <w:r>
        <w:rPr>
          <w:b/>
          <w:bCs/>
          <w:sz w:val="24"/>
        </w:rPr>
        <w:t>6.3.</w:t>
      </w:r>
      <w:r>
        <w:rPr>
          <w:rFonts w:hint="eastAsia"/>
          <w:b/>
          <w:bCs/>
          <w:sz w:val="24"/>
          <w:lang w:val="en-US" w:eastAsia="zh-CN"/>
        </w:rPr>
        <w:t>3</w:t>
      </w:r>
      <w:r>
        <w:rPr>
          <w:rFonts w:hint="eastAsia"/>
          <w:b/>
          <w:bCs/>
          <w:sz w:val="24"/>
        </w:rPr>
        <w:t xml:space="preserve"> </w:t>
      </w:r>
      <w:r>
        <w:rPr>
          <w:rFonts w:hint="eastAsia"/>
          <w:sz w:val="24"/>
        </w:rPr>
        <w:t>对于体型复杂、周边干扰效应明显或风敏感的</w:t>
      </w:r>
      <w:r>
        <w:rPr>
          <w:rFonts w:hint="eastAsia"/>
          <w:sz w:val="24"/>
          <w:lang w:val="en-US" w:eastAsia="zh-CN"/>
        </w:rPr>
        <w:t>大型</w:t>
      </w:r>
      <w:r>
        <w:rPr>
          <w:rFonts w:hint="eastAsia"/>
          <w:sz w:val="24"/>
        </w:rPr>
        <w:t>光伏系统工程，</w:t>
      </w:r>
      <w:r>
        <w:rPr>
          <w:rFonts w:hint="eastAsia"/>
          <w:sz w:val="24"/>
          <w:lang w:val="en-US" w:eastAsia="zh-CN"/>
        </w:rPr>
        <w:t>宜</w:t>
      </w:r>
      <w:r>
        <w:rPr>
          <w:rFonts w:hint="eastAsia"/>
          <w:sz w:val="24"/>
        </w:rPr>
        <w:t>进行风洞试验确定风荷载。</w:t>
      </w:r>
    </w:p>
    <w:p w14:paraId="1BF3371D">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E9D705A">
      <w:pPr>
        <w:pStyle w:val="2"/>
        <w:spacing w:line="300" w:lineRule="auto"/>
        <w:ind w:firstLine="0" w:firstLineChars="0"/>
        <w:rPr>
          <w:rFonts w:hint="eastAsia" w:ascii="仿宋" w:hAnsi="仿宋" w:eastAsia="仿宋" w:cs="仿宋"/>
          <w:b w:val="0"/>
          <w:bCs w:val="0"/>
          <w:i/>
          <w:iCs/>
          <w:color w:val="0623BA"/>
          <w:sz w:val="24"/>
          <w:lang w:val="en-US" w:eastAsia="zh-CN"/>
        </w:rPr>
      </w:pPr>
      <w:r>
        <w:rPr>
          <w:rFonts w:hint="eastAsia" w:ascii="仿宋" w:hAnsi="仿宋" w:eastAsia="仿宋" w:cs="仿宋"/>
          <w:b w:val="0"/>
          <w:bCs w:val="0"/>
          <w:i/>
          <w:iCs/>
          <w:color w:val="0623BA"/>
          <w:sz w:val="24"/>
          <w:lang w:val="en-US" w:eastAsia="zh-CN"/>
        </w:rPr>
        <w:t>6.3.3 建筑太阳能光伏系统工程的抗风性能不仅关系到发电效率等经济指标，还涉及到安全问题，尤其是在强风易发多发地区，需要予以重视。本条给出有必要采用风洞试验确定风荷载的条件说明：</w:t>
      </w:r>
    </w:p>
    <w:p w14:paraId="53B580C9">
      <w:pPr>
        <w:pStyle w:val="2"/>
        <w:spacing w:line="300" w:lineRule="auto"/>
        <w:ind w:firstLine="480" w:firstLineChars="200"/>
        <w:rPr>
          <w:rFonts w:hint="eastAsia" w:ascii="仿宋" w:hAnsi="仿宋" w:eastAsia="仿宋" w:cs="仿宋"/>
          <w:b w:val="0"/>
          <w:bCs w:val="0"/>
          <w:i/>
          <w:iCs/>
          <w:color w:val="0623BA"/>
          <w:sz w:val="24"/>
          <w:lang w:val="en-US" w:eastAsia="zh-CN"/>
        </w:rPr>
      </w:pPr>
      <w:r>
        <w:rPr>
          <w:rFonts w:hint="eastAsia" w:ascii="仿宋" w:hAnsi="仿宋" w:eastAsia="仿宋" w:cs="仿宋"/>
          <w:b w:val="0"/>
          <w:bCs w:val="0"/>
          <w:i/>
          <w:iCs/>
          <w:color w:val="0623BA"/>
          <w:sz w:val="24"/>
          <w:lang w:val="en-US" w:eastAsia="zh-CN"/>
        </w:rPr>
        <w:t>1 现行规范给出的风荷载体型系数等主要适用于体型较为规则的结构，难以涵盖复杂体型结构；</w:t>
      </w:r>
    </w:p>
    <w:p w14:paraId="64F55F2E">
      <w:pPr>
        <w:pStyle w:val="2"/>
        <w:spacing w:line="300" w:lineRule="auto"/>
        <w:ind w:firstLine="480" w:firstLineChars="200"/>
        <w:rPr>
          <w:rFonts w:hint="eastAsia" w:ascii="仿宋" w:hAnsi="仿宋" w:eastAsia="仿宋" w:cs="仿宋"/>
          <w:b w:val="0"/>
          <w:bCs w:val="0"/>
          <w:i/>
          <w:iCs/>
          <w:color w:val="0623BA"/>
          <w:sz w:val="24"/>
          <w:lang w:val="en-US" w:eastAsia="zh-CN"/>
        </w:rPr>
      </w:pPr>
      <w:r>
        <w:rPr>
          <w:rFonts w:hint="eastAsia" w:ascii="仿宋" w:hAnsi="仿宋" w:eastAsia="仿宋" w:cs="仿宋"/>
          <w:b w:val="0"/>
          <w:bCs w:val="0"/>
          <w:i/>
          <w:iCs/>
          <w:color w:val="0623BA"/>
          <w:sz w:val="24"/>
          <w:lang w:val="en-US" w:eastAsia="zh-CN"/>
        </w:rPr>
        <w:t>2 当周边建筑距离目标建筑较近时，存在明显干扰效应，会增大局部风压；</w:t>
      </w:r>
    </w:p>
    <w:p w14:paraId="3A2C7F24">
      <w:pPr>
        <w:pStyle w:val="2"/>
        <w:spacing w:line="300" w:lineRule="auto"/>
        <w:ind w:firstLine="480" w:firstLineChars="200"/>
        <w:rPr>
          <w:rFonts w:hint="eastAsia" w:ascii="仿宋" w:hAnsi="仿宋" w:eastAsia="仿宋" w:cs="仿宋"/>
          <w:b w:val="0"/>
          <w:bCs w:val="0"/>
          <w:i/>
          <w:iCs/>
          <w:color w:val="0623BA"/>
          <w:sz w:val="24"/>
          <w:lang w:val="en-US" w:eastAsia="zh-CN"/>
        </w:rPr>
      </w:pPr>
      <w:r>
        <w:rPr>
          <w:rFonts w:hint="eastAsia" w:ascii="仿宋" w:hAnsi="仿宋" w:eastAsia="仿宋" w:cs="仿宋"/>
          <w:b w:val="0"/>
          <w:bCs w:val="0"/>
          <w:i/>
          <w:iCs/>
          <w:color w:val="0623BA"/>
          <w:sz w:val="24"/>
          <w:lang w:val="en-US" w:eastAsia="zh-CN"/>
        </w:rPr>
        <w:t>3 风敏感结构主要指刚度较柔的结构，如加装在大跨度屋盖上的光伏系统工程等；</w:t>
      </w:r>
    </w:p>
    <w:p w14:paraId="1E91D7D0">
      <w:pPr>
        <w:pStyle w:val="2"/>
        <w:spacing w:line="300" w:lineRule="auto"/>
        <w:ind w:firstLine="480" w:firstLineChars="200"/>
        <w:rPr>
          <w:rFonts w:hint="eastAsia" w:ascii="仿宋" w:hAnsi="仿宋" w:eastAsia="仿宋" w:cs="仿宋"/>
          <w:b w:val="0"/>
          <w:bCs w:val="0"/>
          <w:i/>
          <w:iCs/>
          <w:color w:val="0623BA"/>
          <w:sz w:val="24"/>
          <w:lang w:val="en-US" w:eastAsia="zh-CN"/>
        </w:rPr>
      </w:pPr>
      <w:r>
        <w:rPr>
          <w:rFonts w:hint="eastAsia" w:ascii="仿宋" w:hAnsi="仿宋" w:eastAsia="仿宋" w:cs="仿宋"/>
          <w:b w:val="0"/>
          <w:bCs w:val="0"/>
          <w:i/>
          <w:iCs/>
          <w:color w:val="0623BA"/>
          <w:sz w:val="24"/>
          <w:lang w:val="en-US" w:eastAsia="zh-CN"/>
        </w:rPr>
        <w:t>4 大型光伏系统工程主要指光伏系统投资额超过1000万元的工程，此类工程抗风破坏导致的经济损失和安全问题较大。当光伏系统工程满足上述条件时，有必要通过风洞试验来确定其风荷载来保障抗风性能。</w:t>
      </w:r>
    </w:p>
    <w:p w14:paraId="4220CCED">
      <w:pPr>
        <w:rPr>
          <w:rFonts w:hint="default"/>
          <w:sz w:val="24"/>
          <w:lang w:val="en-US" w:eastAsia="zh-CN"/>
        </w:rPr>
      </w:pPr>
      <w:r>
        <w:rPr>
          <w:b/>
          <w:bCs/>
          <w:sz w:val="24"/>
        </w:rPr>
        <w:t>6.3.</w:t>
      </w:r>
      <w:r>
        <w:rPr>
          <w:rFonts w:hint="default"/>
          <w:b/>
          <w:bCs/>
          <w:sz w:val="24"/>
          <w:lang w:val="en-US" w:eastAsia="zh-CN"/>
        </w:rPr>
        <w:t>4</w:t>
      </w:r>
      <w:r>
        <w:rPr>
          <w:rFonts w:hint="default"/>
          <w:b/>
          <w:bCs/>
          <w:sz w:val="24"/>
        </w:rPr>
        <w:t xml:space="preserve"> </w:t>
      </w:r>
      <w:r>
        <w:rPr>
          <w:rFonts w:hint="default"/>
          <w:sz w:val="24"/>
          <w:lang w:val="en-US" w:eastAsia="zh-CN"/>
        </w:rPr>
        <w:t>建筑</w:t>
      </w:r>
      <w:r>
        <w:rPr>
          <w:rFonts w:hint="default"/>
          <w:sz w:val="24"/>
        </w:rPr>
        <w:t>光伏发电系统的</w:t>
      </w:r>
      <w:r>
        <w:rPr>
          <w:rFonts w:hint="default"/>
          <w:sz w:val="24"/>
          <w:lang w:val="en-US" w:eastAsia="zh-CN"/>
        </w:rPr>
        <w:t>施工检修荷载应符合以下规定：</w:t>
      </w:r>
    </w:p>
    <w:p w14:paraId="531D093B">
      <w:pPr>
        <w:snapToGrid w:val="0"/>
        <w:spacing w:line="300" w:lineRule="auto"/>
        <w:ind w:firstLine="482" w:firstLineChars="200"/>
        <w:rPr>
          <w:rFonts w:hint="default"/>
          <w:b w:val="0"/>
          <w:bCs w:val="0"/>
          <w:sz w:val="24"/>
          <w:lang w:val="en-US" w:eastAsia="zh-CN"/>
        </w:rPr>
      </w:pPr>
      <w:r>
        <w:rPr>
          <w:rFonts w:hint="default"/>
          <w:b/>
          <w:bCs/>
          <w:sz w:val="24"/>
          <w:lang w:val="en-US" w:eastAsia="zh-CN"/>
        </w:rPr>
        <w:t>1</w:t>
      </w:r>
      <w:r>
        <w:rPr>
          <w:rFonts w:hint="default"/>
          <w:b w:val="0"/>
          <w:bCs w:val="0"/>
          <w:sz w:val="24"/>
          <w:lang w:val="en-US" w:eastAsia="zh-CN"/>
        </w:rPr>
        <w:t xml:space="preserve"> 施工检修集中荷载标准值应按实际荷载取用且不应小于1kN</w:t>
      </w:r>
      <w:r>
        <w:rPr>
          <w:rFonts w:hint="eastAsia"/>
          <w:b w:val="0"/>
          <w:bCs w:val="0"/>
          <w:sz w:val="24"/>
          <w:lang w:val="en-US" w:eastAsia="zh-CN"/>
        </w:rPr>
        <w:t>并</w:t>
      </w:r>
      <w:r>
        <w:rPr>
          <w:rFonts w:hint="default"/>
          <w:b w:val="0"/>
          <w:bCs w:val="0"/>
          <w:sz w:val="24"/>
          <w:lang w:val="en-US" w:eastAsia="zh-CN"/>
        </w:rPr>
        <w:t>应在最不利位置处进行验算；</w:t>
      </w:r>
    </w:p>
    <w:p w14:paraId="59AA9542">
      <w:pPr>
        <w:snapToGrid w:val="0"/>
        <w:spacing w:line="300" w:lineRule="auto"/>
        <w:ind w:firstLine="482" w:firstLineChars="200"/>
        <w:rPr>
          <w:rFonts w:hint="default"/>
          <w:b w:val="0"/>
          <w:bCs w:val="0"/>
          <w:sz w:val="24"/>
          <w:lang w:val="en-US" w:eastAsia="zh-CN"/>
        </w:rPr>
      </w:pPr>
      <w:r>
        <w:rPr>
          <w:rFonts w:hint="default"/>
          <w:b/>
          <w:bCs/>
          <w:sz w:val="24"/>
          <w:lang w:val="en-US" w:eastAsia="zh-CN"/>
        </w:rPr>
        <w:t>2</w:t>
      </w:r>
      <w:r>
        <w:rPr>
          <w:rFonts w:hint="default"/>
          <w:b w:val="0"/>
          <w:bCs w:val="0"/>
          <w:sz w:val="24"/>
          <w:lang w:val="en-US" w:eastAsia="zh-CN"/>
        </w:rPr>
        <w:t xml:space="preserve"> 进行支架构件承载力验算时，荷载组合应取永久荷载和施工检修荷载，永久荷载的分项系数取1.3，施工或检修荷载的分项系数取1.5；</w:t>
      </w:r>
    </w:p>
    <w:p w14:paraId="3D107BA9">
      <w:pPr>
        <w:snapToGrid w:val="0"/>
        <w:spacing w:line="300" w:lineRule="auto"/>
        <w:ind w:firstLine="482" w:firstLineChars="200"/>
        <w:rPr>
          <w:rFonts w:hint="default"/>
          <w:b w:val="0"/>
          <w:bCs w:val="0"/>
          <w:sz w:val="24"/>
          <w:lang w:val="en-US" w:eastAsia="zh-CN"/>
        </w:rPr>
      </w:pPr>
      <w:r>
        <w:rPr>
          <w:rFonts w:hint="default"/>
          <w:b/>
          <w:bCs/>
          <w:sz w:val="24"/>
          <w:lang w:val="en-US" w:eastAsia="zh-CN"/>
        </w:rPr>
        <w:t>3</w:t>
      </w:r>
      <w:r>
        <w:rPr>
          <w:rFonts w:hint="default"/>
          <w:b w:val="0"/>
          <w:bCs w:val="0"/>
          <w:sz w:val="24"/>
          <w:lang w:val="en-US" w:eastAsia="zh-CN"/>
        </w:rPr>
        <w:t xml:space="preserve"> 进行支架构件位移验算时，荷载组合应取永久荷载和施工检修荷载，分项系数均应取1.0。</w:t>
      </w:r>
    </w:p>
    <w:p w14:paraId="16D097BA">
      <w:pPr>
        <w:snapToGrid w:val="0"/>
        <w:spacing w:line="300" w:lineRule="auto"/>
        <w:rPr>
          <w:rFonts w:hint="default"/>
          <w:b w:val="0"/>
          <w:bCs w:val="0"/>
          <w:sz w:val="24"/>
          <w:lang w:val="en-US" w:eastAsia="zh-CN"/>
        </w:rPr>
      </w:pPr>
      <w:r>
        <w:rPr>
          <w:rFonts w:hint="default"/>
          <w:b/>
          <w:bCs/>
          <w:sz w:val="24"/>
          <w:lang w:val="en-US" w:eastAsia="zh-CN"/>
        </w:rPr>
        <w:t xml:space="preserve">6.3.5 </w:t>
      </w:r>
      <w:r>
        <w:rPr>
          <w:rFonts w:hint="default"/>
          <w:b w:val="0"/>
          <w:bCs w:val="0"/>
          <w:sz w:val="24"/>
          <w:lang w:val="en-US" w:eastAsia="zh-CN"/>
        </w:rPr>
        <w:t>作用于建筑光伏发电系统上的雪荷载标准值</w:t>
      </w:r>
      <w:r>
        <w:rPr>
          <w:rFonts w:hint="default"/>
          <w:b w:val="0"/>
          <w:bCs w:val="0"/>
          <w:sz w:val="24"/>
        </w:rPr>
        <w:t>，应按现行广东省标准《建筑结构荷载规范》DBJ/T 15-101的规定采用</w:t>
      </w:r>
      <w:r>
        <w:rPr>
          <w:rFonts w:hint="default"/>
          <w:b w:val="0"/>
          <w:bCs w:val="0"/>
          <w:sz w:val="24"/>
          <w:lang w:val="en-US" w:eastAsia="zh-CN"/>
        </w:rPr>
        <w:t>并应符合以下规定：</w:t>
      </w:r>
    </w:p>
    <w:p w14:paraId="3C00E971">
      <w:pPr>
        <w:snapToGrid w:val="0"/>
        <w:spacing w:line="300" w:lineRule="auto"/>
        <w:ind w:firstLine="482" w:firstLineChars="200"/>
        <w:rPr>
          <w:rFonts w:hint="default"/>
          <w:b w:val="0"/>
          <w:bCs w:val="0"/>
          <w:sz w:val="24"/>
        </w:rPr>
      </w:pPr>
      <w:r>
        <w:rPr>
          <w:rFonts w:hint="default"/>
          <w:b/>
          <w:bCs/>
          <w:sz w:val="24"/>
          <w:lang w:val="en-US" w:eastAsia="zh-CN"/>
        </w:rPr>
        <w:t xml:space="preserve">1 </w:t>
      </w:r>
      <w:r>
        <w:rPr>
          <w:rFonts w:hint="default"/>
          <w:b w:val="0"/>
          <w:bCs w:val="0"/>
          <w:sz w:val="24"/>
        </w:rPr>
        <w:t>对于建筑集成光伏发电系统，</w:t>
      </w:r>
      <w:r>
        <w:rPr>
          <w:rFonts w:hint="default"/>
          <w:b w:val="0"/>
          <w:bCs w:val="0"/>
          <w:sz w:val="24"/>
          <w:lang w:val="en-US" w:eastAsia="zh-CN"/>
        </w:rPr>
        <w:t>雪荷载重现期应</w:t>
      </w:r>
      <w:r>
        <w:rPr>
          <w:rFonts w:hint="default"/>
          <w:b w:val="0"/>
          <w:bCs w:val="0"/>
          <w:sz w:val="24"/>
        </w:rPr>
        <w:t>与主体结构构件一致；</w:t>
      </w:r>
    </w:p>
    <w:p w14:paraId="484CB38F">
      <w:pPr>
        <w:snapToGrid w:val="0"/>
        <w:spacing w:line="300" w:lineRule="auto"/>
        <w:ind w:firstLine="482" w:firstLineChars="200"/>
        <w:rPr>
          <w:rFonts w:hint="default"/>
          <w:b w:val="0"/>
          <w:bCs w:val="0"/>
          <w:sz w:val="24"/>
          <w:lang w:eastAsia="zh-CN"/>
        </w:rPr>
      </w:pPr>
      <w:r>
        <w:rPr>
          <w:rFonts w:hint="default"/>
          <w:b/>
          <w:bCs/>
          <w:sz w:val="24"/>
          <w:lang w:val="en-US" w:eastAsia="zh-CN"/>
        </w:rPr>
        <w:t xml:space="preserve">2 </w:t>
      </w:r>
      <w:r>
        <w:rPr>
          <w:rFonts w:hint="default"/>
          <w:b w:val="0"/>
          <w:bCs w:val="0"/>
          <w:sz w:val="24"/>
        </w:rPr>
        <w:t>对于建筑附加光伏发电系统，</w:t>
      </w:r>
      <w:r>
        <w:rPr>
          <w:rFonts w:hint="default"/>
          <w:b w:val="0"/>
          <w:bCs w:val="0"/>
          <w:sz w:val="24"/>
          <w:lang w:val="en-US" w:eastAsia="zh-CN"/>
        </w:rPr>
        <w:t>雪荷载</w:t>
      </w:r>
      <w:r>
        <w:rPr>
          <w:rFonts w:hint="default"/>
          <w:b w:val="0"/>
          <w:bCs w:val="0"/>
          <w:sz w:val="24"/>
        </w:rPr>
        <w:t>重现期可取25年</w:t>
      </w:r>
      <w:r>
        <w:rPr>
          <w:rFonts w:hint="default"/>
          <w:b w:val="0"/>
          <w:bCs w:val="0"/>
          <w:sz w:val="24"/>
          <w:lang w:eastAsia="zh-CN"/>
        </w:rPr>
        <w:t>。</w:t>
      </w:r>
    </w:p>
    <w:p w14:paraId="12FB3281">
      <w:pPr>
        <w:keepNext/>
        <w:keepLines/>
        <w:snapToGrid w:val="0"/>
        <w:spacing w:before="72" w:beforeLines="30" w:after="72" w:afterLines="30" w:line="300" w:lineRule="auto"/>
        <w:jc w:val="center"/>
        <w:outlineLvl w:val="2"/>
        <w:rPr>
          <w:b/>
          <w:sz w:val="24"/>
          <w:szCs w:val="32"/>
        </w:rPr>
      </w:pPr>
      <w:bookmarkStart w:id="201" w:name="_Toc8872"/>
      <w:bookmarkStart w:id="202" w:name="_Toc8528"/>
      <w:bookmarkStart w:id="203" w:name="_Toc10539"/>
      <w:bookmarkStart w:id="204" w:name="_Toc16031"/>
      <w:bookmarkStart w:id="205" w:name="_Toc25068"/>
      <w:bookmarkStart w:id="206" w:name="_Toc5731"/>
      <w:bookmarkStart w:id="207" w:name="_Toc19295"/>
      <w:bookmarkStart w:id="208" w:name="_Toc15181"/>
      <w:r>
        <w:rPr>
          <w:b/>
          <w:sz w:val="24"/>
          <w:szCs w:val="32"/>
        </w:rPr>
        <w:t>6.4</w:t>
      </w:r>
      <w:r>
        <w:rPr>
          <w:rFonts w:hint="eastAsia"/>
          <w:b/>
          <w:sz w:val="24"/>
          <w:szCs w:val="32"/>
          <w:lang w:val="en-US" w:eastAsia="zh-CN"/>
        </w:rPr>
        <w:t xml:space="preserve"> </w:t>
      </w:r>
      <w:r>
        <w:rPr>
          <w:b/>
          <w:sz w:val="24"/>
          <w:szCs w:val="32"/>
        </w:rPr>
        <w:t>光伏构件结构设计</w:t>
      </w:r>
      <w:bookmarkEnd w:id="201"/>
      <w:bookmarkEnd w:id="202"/>
      <w:bookmarkEnd w:id="203"/>
      <w:bookmarkEnd w:id="204"/>
      <w:bookmarkEnd w:id="205"/>
      <w:bookmarkEnd w:id="206"/>
      <w:bookmarkEnd w:id="207"/>
      <w:bookmarkEnd w:id="208"/>
    </w:p>
    <w:p w14:paraId="56CBE615">
      <w:pPr>
        <w:snapToGrid w:val="0"/>
        <w:spacing w:line="300" w:lineRule="auto"/>
        <w:rPr>
          <w:sz w:val="24"/>
        </w:rPr>
      </w:pPr>
      <w:r>
        <w:rPr>
          <w:b/>
          <w:bCs/>
          <w:sz w:val="24"/>
        </w:rPr>
        <w:t>6.4.1</w:t>
      </w:r>
      <w:r>
        <w:rPr>
          <w:rFonts w:hint="eastAsia"/>
          <w:sz w:val="24"/>
        </w:rPr>
        <w:t xml:space="preserve"> </w:t>
      </w:r>
      <w:r>
        <w:rPr>
          <w:sz w:val="24"/>
        </w:rPr>
        <w:t>光伏构件所选用的玻璃应符合现行行业标准《建筑玻璃应用技术规程》JGJ113的有关规定。</w:t>
      </w:r>
    </w:p>
    <w:p w14:paraId="126F9534">
      <w:pPr>
        <w:snapToGrid w:val="0"/>
        <w:spacing w:line="300" w:lineRule="auto"/>
        <w:jc w:val="left"/>
        <w:rPr>
          <w:sz w:val="24"/>
        </w:rPr>
      </w:pPr>
      <w:r>
        <w:rPr>
          <w:b/>
          <w:bCs/>
          <w:sz w:val="24"/>
        </w:rPr>
        <w:t>6.4.2</w:t>
      </w:r>
      <w:r>
        <w:rPr>
          <w:rFonts w:hint="eastAsia"/>
          <w:sz w:val="24"/>
        </w:rPr>
        <w:t xml:space="preserve"> </w:t>
      </w:r>
      <w:r>
        <w:rPr>
          <w:sz w:val="24"/>
        </w:rPr>
        <w:t>光伏构件挠度计算宜按照有限元方法进行，也可按现行行业标准《玻璃幕墙工程技术规范》JGJ102进行计算。</w:t>
      </w:r>
    </w:p>
    <w:p w14:paraId="4D4A5DC6">
      <w:pPr>
        <w:snapToGrid w:val="0"/>
        <w:spacing w:line="300" w:lineRule="auto"/>
        <w:jc w:val="left"/>
        <w:rPr>
          <w:sz w:val="24"/>
        </w:rPr>
      </w:pPr>
      <w:r>
        <w:rPr>
          <w:b/>
          <w:bCs/>
          <w:sz w:val="24"/>
        </w:rPr>
        <w:t>6.4.3</w:t>
      </w:r>
      <w:r>
        <w:rPr>
          <w:rFonts w:hint="eastAsia"/>
          <w:sz w:val="24"/>
        </w:rPr>
        <w:t xml:space="preserve"> </w:t>
      </w:r>
      <w:r>
        <w:rPr>
          <w:sz w:val="24"/>
        </w:rPr>
        <w:t>光伏构件的挠度应符合建筑构件及光伏组件功能的规定。</w:t>
      </w:r>
    </w:p>
    <w:p w14:paraId="1C827517">
      <w:pPr>
        <w:snapToGrid w:val="0"/>
        <w:spacing w:line="300" w:lineRule="auto"/>
        <w:jc w:val="left"/>
        <w:rPr>
          <w:sz w:val="24"/>
        </w:rPr>
      </w:pPr>
      <w:r>
        <w:rPr>
          <w:b/>
          <w:bCs/>
          <w:sz w:val="24"/>
        </w:rPr>
        <w:t>6.4.4</w:t>
      </w:r>
      <w:r>
        <w:rPr>
          <w:rFonts w:hint="eastAsia"/>
          <w:sz w:val="24"/>
        </w:rPr>
        <w:t xml:space="preserve"> </w:t>
      </w:r>
      <w:r>
        <w:rPr>
          <w:sz w:val="24"/>
        </w:rPr>
        <w:t>带边框的光伏构件其边框挠度不应大于其计算跨度的1/120。</w:t>
      </w:r>
    </w:p>
    <w:p w14:paraId="3B0E49BB">
      <w:pPr>
        <w:keepNext/>
        <w:keepLines/>
        <w:snapToGrid w:val="0"/>
        <w:spacing w:before="72" w:beforeLines="30" w:after="72" w:afterLines="30" w:line="300" w:lineRule="auto"/>
        <w:jc w:val="center"/>
        <w:outlineLvl w:val="2"/>
        <w:rPr>
          <w:b/>
          <w:sz w:val="24"/>
          <w:szCs w:val="32"/>
        </w:rPr>
      </w:pPr>
      <w:bookmarkStart w:id="209" w:name="_Toc11806"/>
      <w:bookmarkStart w:id="210" w:name="_Toc22006"/>
      <w:bookmarkStart w:id="211" w:name="_Toc19740"/>
      <w:bookmarkStart w:id="212" w:name="_Toc17657"/>
      <w:bookmarkStart w:id="213" w:name="_Toc2817"/>
      <w:bookmarkStart w:id="214" w:name="_Toc2938"/>
      <w:bookmarkStart w:id="215" w:name="_Toc21334"/>
      <w:bookmarkStart w:id="216" w:name="_Toc27572"/>
      <w:r>
        <w:rPr>
          <w:b/>
          <w:sz w:val="24"/>
          <w:szCs w:val="32"/>
        </w:rPr>
        <w:t>6.5支撑结构设计</w:t>
      </w:r>
      <w:bookmarkEnd w:id="209"/>
      <w:bookmarkEnd w:id="210"/>
      <w:bookmarkEnd w:id="211"/>
      <w:bookmarkEnd w:id="212"/>
      <w:bookmarkEnd w:id="213"/>
      <w:bookmarkEnd w:id="214"/>
      <w:bookmarkEnd w:id="215"/>
      <w:bookmarkEnd w:id="216"/>
    </w:p>
    <w:p w14:paraId="626DE9F9">
      <w:pPr>
        <w:snapToGrid w:val="0"/>
        <w:spacing w:line="300" w:lineRule="auto"/>
        <w:jc w:val="left"/>
        <w:rPr>
          <w:sz w:val="24"/>
        </w:rPr>
      </w:pPr>
      <w:r>
        <w:rPr>
          <w:b/>
          <w:bCs/>
          <w:sz w:val="24"/>
        </w:rPr>
        <w:t>6.5.1</w:t>
      </w:r>
      <w:r>
        <w:rPr>
          <w:sz w:val="24"/>
        </w:rPr>
        <w:t xml:space="preserve"> 荷载标准值作用下产生的挠度应符合表6.5.1的规定。</w:t>
      </w:r>
    </w:p>
    <w:p w14:paraId="0D9F3361">
      <w:pPr>
        <w:snapToGrid w:val="0"/>
        <w:spacing w:line="300" w:lineRule="auto"/>
        <w:jc w:val="center"/>
        <w:rPr>
          <w:b/>
          <w:bCs/>
          <w:sz w:val="21"/>
          <w:szCs w:val="21"/>
        </w:rPr>
      </w:pPr>
      <w:r>
        <w:rPr>
          <w:b/>
          <w:bCs/>
          <w:sz w:val="21"/>
          <w:szCs w:val="21"/>
        </w:rPr>
        <w:t>表6.5.1荷载标准值作用下产生的挠度</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508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shd w:val="clear" w:color="auto" w:fill="auto"/>
            <w:vAlign w:val="center"/>
          </w:tcPr>
          <w:p w14:paraId="7CFCA3C2">
            <w:pPr>
              <w:snapToGrid w:val="0"/>
              <w:spacing w:line="300" w:lineRule="auto"/>
              <w:jc w:val="center"/>
              <w:rPr>
                <w:sz w:val="21"/>
                <w:szCs w:val="21"/>
              </w:rPr>
            </w:pPr>
            <w:r>
              <w:rPr>
                <w:sz w:val="21"/>
                <w:szCs w:val="21"/>
              </w:rPr>
              <w:t>铝合金结构</w:t>
            </w:r>
          </w:p>
        </w:tc>
        <w:tc>
          <w:tcPr>
            <w:tcW w:w="2841" w:type="dxa"/>
            <w:shd w:val="clear" w:color="auto" w:fill="auto"/>
            <w:vAlign w:val="center"/>
          </w:tcPr>
          <w:p w14:paraId="4050D441">
            <w:pPr>
              <w:snapToGrid w:val="0"/>
              <w:spacing w:line="300" w:lineRule="auto"/>
              <w:jc w:val="center"/>
              <w:rPr>
                <w:sz w:val="21"/>
                <w:szCs w:val="21"/>
              </w:rPr>
            </w:pPr>
            <w:r>
              <w:rPr>
                <w:sz w:val="21"/>
                <w:szCs w:val="21"/>
              </w:rPr>
              <w:t>1/180</w:t>
            </w:r>
          </w:p>
        </w:tc>
      </w:tr>
      <w:tr w14:paraId="3A4C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shd w:val="clear" w:color="auto" w:fill="auto"/>
            <w:vAlign w:val="center"/>
          </w:tcPr>
          <w:p w14:paraId="44535710">
            <w:pPr>
              <w:snapToGrid w:val="0"/>
              <w:spacing w:line="300" w:lineRule="auto"/>
              <w:jc w:val="center"/>
              <w:rPr>
                <w:sz w:val="21"/>
                <w:szCs w:val="21"/>
              </w:rPr>
            </w:pPr>
            <w:r>
              <w:rPr>
                <w:sz w:val="21"/>
                <w:szCs w:val="21"/>
              </w:rPr>
              <w:t>钢结构</w:t>
            </w:r>
          </w:p>
        </w:tc>
        <w:tc>
          <w:tcPr>
            <w:tcW w:w="2841" w:type="dxa"/>
            <w:shd w:val="clear" w:color="auto" w:fill="auto"/>
            <w:vAlign w:val="center"/>
          </w:tcPr>
          <w:p w14:paraId="0118E3F2">
            <w:pPr>
              <w:snapToGrid w:val="0"/>
              <w:spacing w:line="300" w:lineRule="auto"/>
              <w:jc w:val="center"/>
              <w:rPr>
                <w:sz w:val="21"/>
                <w:szCs w:val="21"/>
              </w:rPr>
            </w:pPr>
            <w:r>
              <w:rPr>
                <w:sz w:val="21"/>
                <w:szCs w:val="21"/>
              </w:rPr>
              <w:t>1/200</w:t>
            </w:r>
          </w:p>
        </w:tc>
      </w:tr>
      <w:tr w14:paraId="49F4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shd w:val="clear" w:color="auto" w:fill="auto"/>
            <w:vAlign w:val="center"/>
          </w:tcPr>
          <w:p w14:paraId="28624CEC">
            <w:pPr>
              <w:snapToGrid w:val="0"/>
              <w:spacing w:line="300" w:lineRule="auto"/>
              <w:jc w:val="center"/>
              <w:rPr>
                <w:sz w:val="21"/>
                <w:szCs w:val="21"/>
              </w:rPr>
            </w:pPr>
            <w:r>
              <w:rPr>
                <w:sz w:val="21"/>
                <w:szCs w:val="21"/>
              </w:rPr>
              <w:t>木结构</w:t>
            </w:r>
          </w:p>
        </w:tc>
        <w:tc>
          <w:tcPr>
            <w:tcW w:w="2841" w:type="dxa"/>
            <w:shd w:val="clear" w:color="auto" w:fill="auto"/>
            <w:vAlign w:val="center"/>
          </w:tcPr>
          <w:p w14:paraId="39B7A889">
            <w:pPr>
              <w:snapToGrid w:val="0"/>
              <w:spacing w:line="300" w:lineRule="auto"/>
              <w:jc w:val="center"/>
              <w:rPr>
                <w:sz w:val="21"/>
                <w:szCs w:val="21"/>
              </w:rPr>
            </w:pPr>
            <w:r>
              <w:rPr>
                <w:sz w:val="21"/>
                <w:szCs w:val="21"/>
              </w:rPr>
              <w:t>L≤3.3m</w:t>
            </w:r>
          </w:p>
        </w:tc>
        <w:tc>
          <w:tcPr>
            <w:tcW w:w="2841" w:type="dxa"/>
            <w:shd w:val="clear" w:color="auto" w:fill="auto"/>
            <w:vAlign w:val="center"/>
          </w:tcPr>
          <w:p w14:paraId="4E958FC2">
            <w:pPr>
              <w:snapToGrid w:val="0"/>
              <w:spacing w:line="300" w:lineRule="auto"/>
              <w:jc w:val="center"/>
              <w:rPr>
                <w:sz w:val="21"/>
                <w:szCs w:val="21"/>
              </w:rPr>
            </w:pPr>
            <w:r>
              <w:rPr>
                <w:sz w:val="21"/>
                <w:szCs w:val="21"/>
              </w:rPr>
              <w:t>1/200</w:t>
            </w:r>
          </w:p>
        </w:tc>
      </w:tr>
      <w:tr w14:paraId="2599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auto"/>
            <w:vAlign w:val="center"/>
          </w:tcPr>
          <w:p w14:paraId="7530075D">
            <w:pPr>
              <w:snapToGrid w:val="0"/>
              <w:spacing w:line="300" w:lineRule="auto"/>
              <w:jc w:val="center"/>
              <w:rPr>
                <w:sz w:val="21"/>
                <w:szCs w:val="21"/>
              </w:rPr>
            </w:pPr>
          </w:p>
        </w:tc>
        <w:tc>
          <w:tcPr>
            <w:tcW w:w="2841" w:type="dxa"/>
            <w:shd w:val="clear" w:color="auto" w:fill="auto"/>
            <w:vAlign w:val="center"/>
          </w:tcPr>
          <w:p w14:paraId="32520A83">
            <w:pPr>
              <w:snapToGrid w:val="0"/>
              <w:spacing w:line="300" w:lineRule="auto"/>
              <w:jc w:val="center"/>
              <w:rPr>
                <w:sz w:val="21"/>
                <w:szCs w:val="21"/>
              </w:rPr>
            </w:pPr>
            <w:r>
              <w:rPr>
                <w:sz w:val="21"/>
                <w:szCs w:val="21"/>
              </w:rPr>
              <w:t>L＞3.3m</w:t>
            </w:r>
          </w:p>
        </w:tc>
        <w:tc>
          <w:tcPr>
            <w:tcW w:w="2841" w:type="dxa"/>
            <w:shd w:val="clear" w:color="auto" w:fill="auto"/>
            <w:vAlign w:val="center"/>
          </w:tcPr>
          <w:p w14:paraId="564CFFB8">
            <w:pPr>
              <w:snapToGrid w:val="0"/>
              <w:spacing w:line="300" w:lineRule="auto"/>
              <w:jc w:val="center"/>
              <w:rPr>
                <w:sz w:val="21"/>
                <w:szCs w:val="21"/>
              </w:rPr>
            </w:pPr>
            <w:r>
              <w:rPr>
                <w:sz w:val="21"/>
                <w:szCs w:val="21"/>
              </w:rPr>
              <w:t>1/250</w:t>
            </w:r>
          </w:p>
        </w:tc>
      </w:tr>
    </w:tbl>
    <w:p w14:paraId="3487F1B4">
      <w:pPr>
        <w:pStyle w:val="2"/>
        <w:spacing w:line="300" w:lineRule="auto"/>
        <w:rPr>
          <w:sz w:val="24"/>
        </w:rPr>
      </w:pPr>
      <w:r>
        <w:rPr>
          <w:b/>
          <w:bCs/>
          <w:sz w:val="24"/>
        </w:rPr>
        <w:t>6.5.2</w:t>
      </w:r>
      <w:r>
        <w:rPr>
          <w:sz w:val="24"/>
        </w:rPr>
        <w:t xml:space="preserve"> 在风荷载标准值作用下，面板支架的顶点水平位移不宜大于其高度的1/150。</w:t>
      </w:r>
    </w:p>
    <w:p w14:paraId="4AFDEE18">
      <w:pPr>
        <w:keepNext/>
        <w:keepLines/>
        <w:snapToGrid w:val="0"/>
        <w:spacing w:before="72" w:beforeLines="30" w:after="72" w:afterLines="30" w:line="300" w:lineRule="auto"/>
        <w:jc w:val="center"/>
        <w:outlineLvl w:val="2"/>
        <w:rPr>
          <w:b/>
          <w:sz w:val="24"/>
          <w:szCs w:val="32"/>
        </w:rPr>
      </w:pPr>
      <w:bookmarkStart w:id="217" w:name="_Toc28626"/>
      <w:bookmarkStart w:id="218" w:name="_Toc11730"/>
      <w:bookmarkStart w:id="219" w:name="_Toc18501"/>
      <w:bookmarkStart w:id="220" w:name="_Toc573"/>
      <w:bookmarkStart w:id="221" w:name="_Toc7476"/>
      <w:bookmarkStart w:id="222" w:name="_Toc20876"/>
      <w:bookmarkStart w:id="223" w:name="_Toc12622"/>
      <w:bookmarkStart w:id="224" w:name="_Toc23557"/>
      <w:r>
        <w:rPr>
          <w:b/>
          <w:sz w:val="24"/>
          <w:szCs w:val="32"/>
        </w:rPr>
        <w:t>6.6连接结构设计</w:t>
      </w:r>
      <w:bookmarkEnd w:id="217"/>
      <w:bookmarkEnd w:id="218"/>
      <w:bookmarkEnd w:id="219"/>
      <w:bookmarkEnd w:id="220"/>
      <w:bookmarkEnd w:id="221"/>
      <w:bookmarkEnd w:id="222"/>
      <w:bookmarkEnd w:id="223"/>
      <w:bookmarkEnd w:id="224"/>
    </w:p>
    <w:p w14:paraId="7BF56B5D">
      <w:pPr>
        <w:snapToGrid w:val="0"/>
        <w:spacing w:line="300" w:lineRule="auto"/>
        <w:jc w:val="left"/>
        <w:rPr>
          <w:rFonts w:eastAsia="宋体"/>
          <w:sz w:val="24"/>
        </w:rPr>
      </w:pPr>
      <w:r>
        <w:rPr>
          <w:b/>
          <w:bCs/>
          <w:sz w:val="24"/>
        </w:rPr>
        <w:t>6.</w:t>
      </w:r>
      <w:r>
        <w:rPr>
          <w:rFonts w:hint="eastAsia"/>
          <w:b/>
          <w:bCs/>
          <w:sz w:val="24"/>
        </w:rPr>
        <w:t>6.1</w:t>
      </w:r>
      <w:r>
        <w:rPr>
          <w:rFonts w:hint="eastAsia"/>
          <w:sz w:val="24"/>
        </w:rPr>
        <w:t xml:space="preserve"> </w:t>
      </w:r>
      <w:r>
        <w:rPr>
          <w:rFonts w:hint="default" w:eastAsia="宋体"/>
          <w:sz w:val="24"/>
        </w:rPr>
        <w:t>支撑与主体结构的连接应能承受光伏屋面结构传来的应力，应能有效传递至主体结构。</w:t>
      </w:r>
    </w:p>
    <w:p w14:paraId="2960C075">
      <w:pPr>
        <w:snapToGrid w:val="0"/>
        <w:spacing w:line="300" w:lineRule="auto"/>
        <w:jc w:val="left"/>
        <w:rPr>
          <w:sz w:val="24"/>
        </w:rPr>
      </w:pPr>
      <w:r>
        <w:rPr>
          <w:b/>
          <w:bCs/>
          <w:sz w:val="24"/>
        </w:rPr>
        <w:t>6.</w:t>
      </w:r>
      <w:r>
        <w:rPr>
          <w:rFonts w:hint="eastAsia"/>
          <w:b/>
          <w:bCs/>
          <w:sz w:val="24"/>
        </w:rPr>
        <w:t>6.2</w:t>
      </w:r>
      <w:r>
        <w:rPr>
          <w:rFonts w:hint="eastAsia"/>
          <w:sz w:val="24"/>
        </w:rPr>
        <w:t xml:space="preserve"> </w:t>
      </w:r>
      <w:r>
        <w:rPr>
          <w:sz w:val="24"/>
        </w:rPr>
        <w:t>在金属屋面和瓦屋面上安装建筑光伏系统，支撑系统所承受的荷载应通过连接件传递至屋面</w:t>
      </w:r>
      <w:r>
        <w:rPr>
          <w:rFonts w:hint="eastAsia"/>
          <w:sz w:val="24"/>
          <w:lang w:val="en-US" w:eastAsia="zh-CN"/>
        </w:rPr>
        <w:t>檩</w:t>
      </w:r>
      <w:r>
        <w:rPr>
          <w:sz w:val="24"/>
        </w:rPr>
        <w:t>条。</w:t>
      </w:r>
    </w:p>
    <w:p w14:paraId="363CD6A7">
      <w:pPr>
        <w:snapToGrid w:val="0"/>
        <w:spacing w:line="300" w:lineRule="auto"/>
        <w:jc w:val="left"/>
        <w:rPr>
          <w:sz w:val="24"/>
        </w:rPr>
      </w:pPr>
      <w:r>
        <w:rPr>
          <w:b/>
          <w:bCs/>
          <w:sz w:val="24"/>
        </w:rPr>
        <w:t>6.</w:t>
      </w:r>
      <w:r>
        <w:rPr>
          <w:rFonts w:hint="eastAsia"/>
          <w:b/>
          <w:bCs/>
          <w:sz w:val="24"/>
        </w:rPr>
        <w:t>6.3</w:t>
      </w:r>
      <w:r>
        <w:rPr>
          <w:rFonts w:hint="eastAsia"/>
          <w:sz w:val="24"/>
        </w:rPr>
        <w:t xml:space="preserve"> </w:t>
      </w:r>
      <w:r>
        <w:rPr>
          <w:sz w:val="24"/>
        </w:rPr>
        <w:t>建筑光伏方阵的支撑系统与主体混凝土结构宜通过预埋件连接。预埋件的计算宜采用有限元的方法进行，也可按现行行业标准《玻璃幕墙工程技术规范》JGJ102计算。</w:t>
      </w:r>
    </w:p>
    <w:p w14:paraId="02C00FAA">
      <w:pPr>
        <w:snapToGrid w:val="0"/>
        <w:spacing w:line="300" w:lineRule="auto"/>
        <w:jc w:val="left"/>
        <w:rPr>
          <w:sz w:val="24"/>
        </w:rPr>
      </w:pPr>
      <w:r>
        <w:rPr>
          <w:b/>
          <w:bCs/>
          <w:sz w:val="24"/>
        </w:rPr>
        <w:t>6.6.4</w:t>
      </w:r>
      <w:r>
        <w:rPr>
          <w:sz w:val="24"/>
        </w:rPr>
        <w:t xml:space="preserve"> </w:t>
      </w:r>
      <w:r>
        <w:rPr>
          <w:rFonts w:hint="eastAsia"/>
          <w:sz w:val="24"/>
        </w:rPr>
        <w:t>建筑附加光伏发电系统的预埋件设计</w:t>
      </w:r>
      <w:r>
        <w:rPr>
          <w:rFonts w:hint="eastAsia"/>
          <w:sz w:val="24"/>
          <w:lang w:val="en-US" w:eastAsia="zh-CN"/>
        </w:rPr>
        <w:t>工作</w:t>
      </w:r>
      <w:r>
        <w:rPr>
          <w:rFonts w:hint="eastAsia"/>
          <w:sz w:val="24"/>
        </w:rPr>
        <w:t>年限应与主体结构相同。</w:t>
      </w:r>
    </w:p>
    <w:p w14:paraId="3973189D">
      <w:pPr>
        <w:snapToGrid w:val="0"/>
        <w:spacing w:line="300" w:lineRule="auto"/>
        <w:jc w:val="left"/>
        <w:rPr>
          <w:sz w:val="24"/>
        </w:rPr>
      </w:pPr>
      <w:r>
        <w:rPr>
          <w:b/>
          <w:bCs/>
          <w:sz w:val="24"/>
        </w:rPr>
        <w:t>6.6.</w:t>
      </w:r>
      <w:r>
        <w:rPr>
          <w:rFonts w:hint="eastAsia"/>
          <w:b/>
          <w:bCs/>
          <w:sz w:val="24"/>
        </w:rPr>
        <w:t>5</w:t>
      </w:r>
      <w:r>
        <w:rPr>
          <w:rFonts w:hint="eastAsia"/>
          <w:sz w:val="24"/>
        </w:rPr>
        <w:t xml:space="preserve"> </w:t>
      </w:r>
      <w:r>
        <w:rPr>
          <w:sz w:val="24"/>
        </w:rPr>
        <w:t>当光伏方阵的支撑系统与主体混凝土结构采用后加锚栓连接时，</w:t>
      </w:r>
      <w:r>
        <w:rPr>
          <w:rFonts w:hint="eastAsia"/>
          <w:sz w:val="24"/>
        </w:rPr>
        <w:t>除应符合现行行业标准《混凝土结构后锚固技术规程》JGJ 145 规定之外，尚</w:t>
      </w:r>
      <w:r>
        <w:rPr>
          <w:sz w:val="24"/>
        </w:rPr>
        <w:t>应符合下列规定：</w:t>
      </w:r>
    </w:p>
    <w:p w14:paraId="76B56371">
      <w:pPr>
        <w:snapToGrid w:val="0"/>
        <w:spacing w:line="300" w:lineRule="auto"/>
        <w:ind w:firstLine="482" w:firstLineChars="200"/>
        <w:jc w:val="left"/>
        <w:rPr>
          <w:rFonts w:hint="eastAsia" w:eastAsia="宋体"/>
          <w:sz w:val="24"/>
          <w:lang w:eastAsia="zh-CN"/>
        </w:rPr>
      </w:pPr>
      <w:r>
        <w:rPr>
          <w:b/>
          <w:bCs/>
          <w:sz w:val="24"/>
        </w:rPr>
        <w:t>1</w:t>
      </w:r>
      <w:r>
        <w:rPr>
          <w:rFonts w:hint="eastAsia"/>
          <w:sz w:val="24"/>
          <w:lang w:val="en-US" w:eastAsia="zh-CN"/>
        </w:rPr>
        <w:t xml:space="preserve"> </w:t>
      </w:r>
      <w:r>
        <w:rPr>
          <w:sz w:val="24"/>
        </w:rPr>
        <w:t>锚栓连接应进行承载力现场试验和极限拉拔试验</w:t>
      </w:r>
      <w:r>
        <w:rPr>
          <w:rFonts w:hint="eastAsia"/>
          <w:sz w:val="24"/>
          <w:lang w:eastAsia="zh-CN"/>
        </w:rPr>
        <w:t>；</w:t>
      </w:r>
    </w:p>
    <w:p w14:paraId="313BB4E8">
      <w:pPr>
        <w:snapToGrid w:val="0"/>
        <w:spacing w:line="300" w:lineRule="auto"/>
        <w:ind w:firstLine="482" w:firstLineChars="200"/>
        <w:jc w:val="left"/>
        <w:rPr>
          <w:rFonts w:hint="eastAsia" w:eastAsia="宋体"/>
          <w:sz w:val="24"/>
          <w:lang w:eastAsia="zh-CN"/>
        </w:rPr>
      </w:pPr>
      <w:r>
        <w:rPr>
          <w:rFonts w:hint="eastAsia"/>
          <w:b/>
          <w:bCs/>
          <w:sz w:val="24"/>
          <w:lang w:val="en-US" w:eastAsia="zh-CN"/>
        </w:rPr>
        <w:t>2</w:t>
      </w:r>
      <w:r>
        <w:rPr>
          <w:rFonts w:hint="eastAsia"/>
          <w:sz w:val="24"/>
          <w:lang w:val="en-US" w:eastAsia="zh-CN"/>
        </w:rPr>
        <w:t xml:space="preserve"> </w:t>
      </w:r>
      <w:r>
        <w:rPr>
          <w:sz w:val="24"/>
        </w:rPr>
        <w:t>每个连接点锚栓不应少于2个，锚栓直径不应小于10mm</w:t>
      </w:r>
      <w:r>
        <w:rPr>
          <w:rFonts w:hint="eastAsia"/>
          <w:sz w:val="24"/>
          <w:lang w:eastAsia="zh-CN"/>
        </w:rPr>
        <w:t>；</w:t>
      </w:r>
    </w:p>
    <w:p w14:paraId="6BA5E2D2">
      <w:pPr>
        <w:snapToGrid w:val="0"/>
        <w:spacing w:line="300" w:lineRule="auto"/>
        <w:ind w:firstLine="482" w:firstLineChars="200"/>
        <w:jc w:val="left"/>
        <w:rPr>
          <w:rFonts w:hint="eastAsia" w:eastAsia="宋体"/>
          <w:sz w:val="24"/>
          <w:lang w:eastAsia="zh-CN"/>
        </w:rPr>
      </w:pPr>
      <w:r>
        <w:rPr>
          <w:rFonts w:hint="eastAsia"/>
          <w:b/>
          <w:bCs/>
          <w:sz w:val="24"/>
          <w:lang w:val="en-US" w:eastAsia="zh-CN"/>
        </w:rPr>
        <w:t>3</w:t>
      </w:r>
      <w:r>
        <w:rPr>
          <w:rFonts w:hint="eastAsia"/>
          <w:sz w:val="24"/>
          <w:lang w:val="en-US" w:eastAsia="zh-CN"/>
        </w:rPr>
        <w:t xml:space="preserve"> </w:t>
      </w:r>
      <w:r>
        <w:rPr>
          <w:sz w:val="24"/>
        </w:rPr>
        <w:t>碳素钢锚栓应进行防腐蚀处理</w:t>
      </w:r>
      <w:r>
        <w:rPr>
          <w:rFonts w:hint="eastAsia"/>
          <w:sz w:val="24"/>
          <w:lang w:eastAsia="zh-CN"/>
        </w:rPr>
        <w:t>；</w:t>
      </w:r>
    </w:p>
    <w:p w14:paraId="24E8DC2E">
      <w:pPr>
        <w:snapToGrid w:val="0"/>
        <w:spacing w:line="300" w:lineRule="auto"/>
        <w:ind w:firstLine="482" w:firstLineChars="200"/>
        <w:jc w:val="left"/>
        <w:rPr>
          <w:sz w:val="24"/>
        </w:rPr>
      </w:pPr>
      <w:r>
        <w:rPr>
          <w:rFonts w:hint="eastAsia"/>
          <w:b/>
          <w:bCs/>
          <w:sz w:val="24"/>
          <w:lang w:val="en-US" w:eastAsia="zh-CN"/>
        </w:rPr>
        <w:t>4</w:t>
      </w:r>
      <w:r>
        <w:rPr>
          <w:rFonts w:hint="eastAsia"/>
          <w:sz w:val="24"/>
          <w:lang w:val="en-US" w:eastAsia="zh-CN"/>
        </w:rPr>
        <w:t xml:space="preserve"> </w:t>
      </w:r>
      <w:r>
        <w:rPr>
          <w:sz w:val="24"/>
        </w:rPr>
        <w:t>在地震设防区应使用抗震型锚栓。</w:t>
      </w:r>
    </w:p>
    <w:p w14:paraId="0197226E">
      <w:pPr>
        <w:widowControl/>
        <w:snapToGrid w:val="0"/>
        <w:spacing w:line="300" w:lineRule="auto"/>
        <w:jc w:val="left"/>
        <w:rPr>
          <w:sz w:val="24"/>
        </w:rPr>
      </w:pPr>
      <w:bookmarkStart w:id="225" w:name="_Toc32236"/>
      <w:r>
        <w:rPr>
          <w:rFonts w:hint="default"/>
          <w:b/>
          <w:bCs/>
          <w:sz w:val="24"/>
          <w:lang w:val="en-US" w:eastAsia="zh-CN"/>
        </w:rPr>
        <w:t xml:space="preserve">6.6.6 </w:t>
      </w:r>
      <w:r>
        <w:rPr>
          <w:rFonts w:hint="default"/>
          <w:b w:val="0"/>
          <w:bCs w:val="0"/>
          <w:sz w:val="24"/>
          <w:lang w:val="en-US" w:eastAsia="zh-CN"/>
        </w:rPr>
        <w:t>连接</w:t>
      </w:r>
      <w:r>
        <w:rPr>
          <w:rFonts w:hint="default"/>
          <w:b w:val="0"/>
          <w:bCs w:val="0"/>
          <w:sz w:val="24"/>
        </w:rPr>
        <w:t>光伏组件</w:t>
      </w:r>
      <w:r>
        <w:rPr>
          <w:rFonts w:hint="default"/>
          <w:b w:val="0"/>
          <w:bCs w:val="0"/>
          <w:sz w:val="24"/>
          <w:lang w:val="en-US" w:eastAsia="zh-CN"/>
        </w:rPr>
        <w:t>与支撑系统</w:t>
      </w:r>
      <w:r>
        <w:rPr>
          <w:rFonts w:hint="default"/>
          <w:b w:val="0"/>
          <w:bCs w:val="0"/>
          <w:sz w:val="24"/>
        </w:rPr>
        <w:t>的</w:t>
      </w:r>
      <w:r>
        <w:rPr>
          <w:rFonts w:hint="default"/>
          <w:b w:val="0"/>
          <w:bCs w:val="0"/>
          <w:sz w:val="24"/>
          <w:lang w:val="en-US" w:eastAsia="zh-CN"/>
        </w:rPr>
        <w:t>紧固</w:t>
      </w:r>
      <w:r>
        <w:rPr>
          <w:rFonts w:hint="default"/>
          <w:b w:val="0"/>
          <w:bCs w:val="0"/>
          <w:sz w:val="24"/>
        </w:rPr>
        <w:t>件</w:t>
      </w:r>
      <w:r>
        <w:rPr>
          <w:rFonts w:hint="default"/>
          <w:b w:val="0"/>
          <w:bCs w:val="0"/>
          <w:sz w:val="24"/>
          <w:lang w:val="en-US" w:eastAsia="zh-CN"/>
        </w:rPr>
        <w:t>应</w:t>
      </w:r>
      <w:r>
        <w:rPr>
          <w:rFonts w:hint="default"/>
          <w:b w:val="0"/>
          <w:bCs w:val="0"/>
          <w:sz w:val="24"/>
        </w:rPr>
        <w:t>满足抗风</w:t>
      </w:r>
      <w:r>
        <w:rPr>
          <w:rFonts w:hint="default"/>
          <w:b w:val="0"/>
          <w:bCs w:val="0"/>
          <w:sz w:val="24"/>
          <w:lang w:val="en-US" w:eastAsia="zh-CN"/>
        </w:rPr>
        <w:t>及</w:t>
      </w:r>
      <w:r>
        <w:rPr>
          <w:rFonts w:hint="default"/>
          <w:b w:val="0"/>
          <w:bCs w:val="0"/>
          <w:sz w:val="24"/>
        </w:rPr>
        <w:t>耐久性</w:t>
      </w:r>
      <w:r>
        <w:rPr>
          <w:rFonts w:hint="default"/>
          <w:b w:val="0"/>
          <w:bCs w:val="0"/>
          <w:sz w:val="24"/>
          <w:lang w:val="en-US" w:eastAsia="zh-CN"/>
        </w:rPr>
        <w:t>要求。</w:t>
      </w:r>
      <w:bookmarkEnd w:id="225"/>
      <w:r>
        <w:rPr>
          <w:sz w:val="24"/>
        </w:rPr>
        <w:br w:type="page"/>
      </w:r>
    </w:p>
    <w:p w14:paraId="2402233C">
      <w:pPr>
        <w:pStyle w:val="5"/>
        <w:spacing w:before="95" w:beforeLines="30" w:after="95" w:afterLines="30" w:line="300" w:lineRule="auto"/>
        <w:jc w:val="center"/>
        <w:rPr>
          <w:rFonts w:ascii="Times New Roman" w:hAnsi="Times New Roman" w:eastAsia="黑体" w:cs="Times New Roman"/>
          <w:sz w:val="28"/>
          <w:szCs w:val="28"/>
        </w:rPr>
      </w:pPr>
      <w:bookmarkStart w:id="226" w:name="_Toc29345"/>
      <w:bookmarkStart w:id="227" w:name="_Toc29771"/>
      <w:bookmarkStart w:id="228" w:name="_Toc1132"/>
      <w:bookmarkStart w:id="229" w:name="_Toc11343"/>
      <w:bookmarkStart w:id="230" w:name="_Toc28215"/>
      <w:bookmarkStart w:id="231" w:name="_Toc22099"/>
      <w:bookmarkStart w:id="232" w:name="_Toc13588"/>
      <w:bookmarkStart w:id="233" w:name="_Toc6780"/>
      <w:r>
        <w:rPr>
          <w:rFonts w:ascii="Times New Roman" w:hAnsi="Times New Roman" w:eastAsia="黑体" w:cs="Times New Roman"/>
          <w:sz w:val="28"/>
          <w:szCs w:val="28"/>
        </w:rPr>
        <w:t>7 光伏发电系统设计</w:t>
      </w:r>
      <w:bookmarkEnd w:id="226"/>
      <w:bookmarkEnd w:id="227"/>
      <w:bookmarkEnd w:id="228"/>
      <w:bookmarkEnd w:id="229"/>
      <w:bookmarkEnd w:id="230"/>
      <w:bookmarkEnd w:id="231"/>
      <w:bookmarkEnd w:id="232"/>
      <w:bookmarkEnd w:id="233"/>
    </w:p>
    <w:p w14:paraId="5652EB32">
      <w:pPr>
        <w:keepNext/>
        <w:keepLines/>
        <w:snapToGrid w:val="0"/>
        <w:spacing w:before="95" w:beforeLines="30" w:after="95" w:afterLines="30" w:line="300" w:lineRule="auto"/>
        <w:jc w:val="center"/>
        <w:outlineLvl w:val="2"/>
        <w:rPr>
          <w:b/>
          <w:sz w:val="24"/>
          <w:szCs w:val="32"/>
        </w:rPr>
      </w:pPr>
      <w:bookmarkStart w:id="234" w:name="_Toc12331"/>
      <w:bookmarkStart w:id="235" w:name="_Toc21766"/>
      <w:bookmarkStart w:id="236" w:name="_Toc29930"/>
      <w:bookmarkStart w:id="237" w:name="_Toc20018"/>
      <w:bookmarkStart w:id="238" w:name="_Toc23444"/>
      <w:bookmarkStart w:id="239" w:name="_Toc19577"/>
      <w:r>
        <w:rPr>
          <w:b/>
          <w:sz w:val="24"/>
          <w:szCs w:val="32"/>
        </w:rPr>
        <w:t>7.1一般规定</w:t>
      </w:r>
      <w:bookmarkEnd w:id="234"/>
      <w:bookmarkEnd w:id="235"/>
      <w:bookmarkEnd w:id="236"/>
      <w:bookmarkEnd w:id="237"/>
      <w:bookmarkEnd w:id="238"/>
      <w:bookmarkEnd w:id="239"/>
    </w:p>
    <w:p w14:paraId="03A9A6CF">
      <w:pPr>
        <w:snapToGrid w:val="0"/>
        <w:spacing w:line="300" w:lineRule="auto"/>
        <w:rPr>
          <w:sz w:val="24"/>
        </w:rPr>
      </w:pPr>
      <w:r>
        <w:rPr>
          <w:rFonts w:hint="eastAsia"/>
          <w:b/>
          <w:bCs/>
          <w:sz w:val="24"/>
        </w:rPr>
        <w:t xml:space="preserve">7.1.1 </w:t>
      </w:r>
      <w:r>
        <w:rPr>
          <w:rFonts w:hint="eastAsia"/>
          <w:sz w:val="24"/>
        </w:rPr>
        <w:t>光伏系统应结合建筑条件，综合发电量、系统效率、并网条件、用电负荷、安全和运行维护等要求进行设计，应符合现行国家标准《建筑光伏系统应用技术标准》GB/T 51368的有关规定。</w:t>
      </w:r>
    </w:p>
    <w:p w14:paraId="401F32DD">
      <w:pPr>
        <w:snapToGrid w:val="0"/>
        <w:spacing w:line="300" w:lineRule="auto"/>
        <w:rPr>
          <w:sz w:val="24"/>
        </w:rPr>
      </w:pPr>
      <w:r>
        <w:rPr>
          <w:rFonts w:hint="eastAsia"/>
          <w:b/>
          <w:bCs/>
          <w:sz w:val="24"/>
        </w:rPr>
        <w:t>7.1.</w:t>
      </w:r>
      <w:r>
        <w:rPr>
          <w:rFonts w:hint="eastAsia"/>
          <w:b/>
          <w:bCs/>
          <w:sz w:val="24"/>
          <w:lang w:val="en-US" w:eastAsia="zh-CN"/>
        </w:rPr>
        <w:t>2</w:t>
      </w:r>
      <w:r>
        <w:rPr>
          <w:rFonts w:hint="eastAsia"/>
          <w:sz w:val="24"/>
        </w:rPr>
        <w:t>用户侧并网的建筑光伏发电系统与并入公共电网的建筑光伏发电系统的接入方式应符合现行国家标准《建筑光伏系统应用技术标准》GB/T 51368的有关规定。</w:t>
      </w:r>
    </w:p>
    <w:p w14:paraId="0DFB00A6">
      <w:pPr>
        <w:snapToGrid w:val="0"/>
        <w:spacing w:line="300" w:lineRule="auto"/>
        <w:jc w:val="left"/>
        <w:rPr>
          <w:kern w:val="0"/>
          <w:sz w:val="24"/>
        </w:rPr>
      </w:pPr>
      <w:r>
        <w:rPr>
          <w:rFonts w:hint="eastAsia"/>
          <w:b/>
          <w:bCs/>
          <w:sz w:val="24"/>
        </w:rPr>
        <w:t>7.1.</w:t>
      </w:r>
      <w:r>
        <w:rPr>
          <w:rFonts w:hint="eastAsia"/>
          <w:b/>
          <w:bCs/>
          <w:sz w:val="24"/>
          <w:lang w:val="en-US" w:eastAsia="zh-CN"/>
        </w:rPr>
        <w:t>3</w:t>
      </w:r>
      <w:r>
        <w:rPr>
          <w:rFonts w:hint="eastAsia"/>
          <w:sz w:val="24"/>
        </w:rPr>
        <w:t xml:space="preserve"> </w:t>
      </w:r>
      <w:r>
        <w:rPr>
          <w:rFonts w:hint="eastAsia"/>
          <w:kern w:val="0"/>
          <w:sz w:val="24"/>
        </w:rPr>
        <w:t>光伏发电系统的选型</w:t>
      </w:r>
      <w:r>
        <w:rPr>
          <w:kern w:val="0"/>
          <w:sz w:val="24"/>
        </w:rPr>
        <w:t>应根据当地电网条件、负荷性质和系统运行方式等因素确定</w:t>
      </w:r>
      <w:r>
        <w:rPr>
          <w:rFonts w:hint="eastAsia"/>
          <w:kern w:val="0"/>
          <w:sz w:val="24"/>
          <w:lang w:val="en-US" w:eastAsia="zh-CN"/>
        </w:rPr>
        <w:t>。</w:t>
      </w:r>
    </w:p>
    <w:p w14:paraId="75F2BD26">
      <w:pPr>
        <w:snapToGrid w:val="0"/>
        <w:spacing w:line="300" w:lineRule="auto"/>
        <w:jc w:val="left"/>
      </w:pPr>
      <w:r>
        <w:rPr>
          <w:rFonts w:hint="eastAsia" w:ascii="仿宋" w:hAnsi="仿宋" w:eastAsia="仿宋" w:cs="仿宋"/>
          <w:b/>
          <w:bCs/>
          <w:i/>
          <w:iCs/>
          <w:color w:val="0623BA"/>
          <w:sz w:val="24"/>
        </w:rPr>
        <w:t>【条文说明】</w:t>
      </w:r>
    </w:p>
    <w:p w14:paraId="32043C14">
      <w:pPr>
        <w:snapToGrid w:val="0"/>
        <w:spacing w:line="300" w:lineRule="auto"/>
        <w:rPr>
          <w:rFonts w:ascii="仿宋" w:hAnsi="仿宋" w:eastAsia="仿宋" w:cs="仿宋"/>
          <w:i/>
          <w:iCs/>
          <w:color w:val="0623BA"/>
          <w:sz w:val="24"/>
        </w:rPr>
      </w:pPr>
      <w:r>
        <w:rPr>
          <w:rFonts w:hint="eastAsia" w:ascii="仿宋" w:hAnsi="仿宋" w:eastAsia="仿宋" w:cs="仿宋"/>
          <w:i/>
          <w:iCs/>
          <w:color w:val="0623BA"/>
          <w:sz w:val="24"/>
        </w:rPr>
        <w:t>7.1.</w:t>
      </w:r>
      <w:r>
        <w:rPr>
          <w:rFonts w:hint="eastAsia" w:ascii="仿宋" w:hAnsi="仿宋" w:eastAsia="仿宋" w:cs="仿宋"/>
          <w:i/>
          <w:iCs/>
          <w:color w:val="0623BA"/>
          <w:sz w:val="24"/>
          <w:lang w:val="en-US" w:eastAsia="zh-CN"/>
        </w:rPr>
        <w:t>3</w:t>
      </w:r>
      <w:r>
        <w:rPr>
          <w:rFonts w:hint="eastAsia" w:ascii="仿宋" w:hAnsi="仿宋" w:eastAsia="仿宋" w:cs="仿宋"/>
          <w:i/>
          <w:iCs/>
          <w:color w:val="0623BA"/>
          <w:sz w:val="24"/>
        </w:rPr>
        <w:t>光伏发电系统的选型宜按表</w:t>
      </w:r>
      <w:r>
        <w:rPr>
          <w:rFonts w:hint="eastAsia" w:ascii="仿宋" w:hAnsi="仿宋" w:eastAsia="仿宋" w:cs="仿宋"/>
          <w:i/>
          <w:iCs/>
          <w:color w:val="0623BA"/>
          <w:sz w:val="24"/>
          <w:lang w:val="en-US" w:eastAsia="zh-CN"/>
        </w:rPr>
        <w:t>7-1</w:t>
      </w:r>
      <w:r>
        <w:rPr>
          <w:rFonts w:hint="eastAsia" w:ascii="仿宋" w:hAnsi="仿宋" w:eastAsia="仿宋" w:cs="仿宋"/>
          <w:i/>
          <w:iCs/>
          <w:color w:val="0623BA"/>
          <w:sz w:val="24"/>
        </w:rPr>
        <w:t>进行选择</w:t>
      </w:r>
    </w:p>
    <w:p w14:paraId="1AE81FD1">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表</w:t>
      </w:r>
      <w:r>
        <w:rPr>
          <w:rFonts w:hint="eastAsia" w:ascii="仿宋" w:hAnsi="仿宋" w:eastAsia="仿宋" w:cs="仿宋"/>
          <w:i/>
          <w:iCs/>
          <w:color w:val="0623BA"/>
          <w:sz w:val="24"/>
          <w:lang w:val="en-US" w:eastAsia="zh-CN"/>
        </w:rPr>
        <w:t xml:space="preserve">7-1 </w:t>
      </w:r>
      <w:r>
        <w:rPr>
          <w:rFonts w:hint="eastAsia" w:ascii="仿宋" w:hAnsi="仿宋" w:eastAsia="仿宋" w:cs="仿宋"/>
          <w:i/>
          <w:iCs/>
          <w:color w:val="0623BA"/>
          <w:sz w:val="24"/>
        </w:rPr>
        <w:t>系统选型</w:t>
      </w:r>
    </w:p>
    <w:tbl>
      <w:tblPr>
        <w:tblStyle w:val="15"/>
        <w:tblW w:w="0" w:type="auto"/>
        <w:tblInd w:w="0" w:type="dxa"/>
        <w:tblLayout w:type="fixed"/>
        <w:tblCellMar>
          <w:top w:w="0" w:type="dxa"/>
          <w:left w:w="108" w:type="dxa"/>
          <w:bottom w:w="0" w:type="dxa"/>
          <w:right w:w="108" w:type="dxa"/>
        </w:tblCellMar>
      </w:tblPr>
      <w:tblGrid>
        <w:gridCol w:w="1512"/>
        <w:gridCol w:w="1444"/>
        <w:gridCol w:w="1444"/>
        <w:gridCol w:w="3988"/>
      </w:tblGrid>
      <w:tr w14:paraId="62D4CF75">
        <w:tblPrEx>
          <w:tblCellMar>
            <w:top w:w="0" w:type="dxa"/>
            <w:left w:w="108" w:type="dxa"/>
            <w:bottom w:w="0" w:type="dxa"/>
            <w:right w:w="108" w:type="dxa"/>
          </w:tblCellMar>
        </w:tblPrEx>
        <w:tc>
          <w:tcPr>
            <w:tcW w:w="1512" w:type="dxa"/>
            <w:tcBorders>
              <w:top w:val="single" w:color="000000" w:sz="4" w:space="0"/>
              <w:left w:val="single" w:color="000000" w:sz="4" w:space="0"/>
              <w:bottom w:val="single" w:color="000000" w:sz="4" w:space="0"/>
              <w:right w:val="single" w:color="000000" w:sz="4" w:space="0"/>
            </w:tcBorders>
            <w:vAlign w:val="center"/>
          </w:tcPr>
          <w:p w14:paraId="1DCA85E5">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系统类型</w:t>
            </w:r>
          </w:p>
        </w:tc>
        <w:tc>
          <w:tcPr>
            <w:tcW w:w="1444" w:type="dxa"/>
            <w:tcBorders>
              <w:top w:val="single" w:color="000000" w:sz="4" w:space="0"/>
              <w:left w:val="nil"/>
              <w:bottom w:val="single" w:color="000000" w:sz="4" w:space="0"/>
              <w:right w:val="single" w:color="000000" w:sz="4" w:space="0"/>
            </w:tcBorders>
            <w:vAlign w:val="center"/>
          </w:tcPr>
          <w:p w14:paraId="19EE94C7">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电流类型</w:t>
            </w:r>
          </w:p>
        </w:tc>
        <w:tc>
          <w:tcPr>
            <w:tcW w:w="1444" w:type="dxa"/>
            <w:tcBorders>
              <w:top w:val="single" w:color="000000" w:sz="4" w:space="0"/>
              <w:left w:val="nil"/>
              <w:bottom w:val="single" w:color="000000" w:sz="4" w:space="0"/>
              <w:right w:val="single" w:color="000000" w:sz="4" w:space="0"/>
            </w:tcBorders>
            <w:vAlign w:val="center"/>
          </w:tcPr>
          <w:p w14:paraId="02705356">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有无储能装置</w:t>
            </w:r>
          </w:p>
        </w:tc>
        <w:tc>
          <w:tcPr>
            <w:tcW w:w="3988" w:type="dxa"/>
            <w:tcBorders>
              <w:top w:val="single" w:color="000000" w:sz="4" w:space="0"/>
              <w:left w:val="nil"/>
              <w:bottom w:val="single" w:color="000000" w:sz="4" w:space="0"/>
              <w:right w:val="single" w:color="000000" w:sz="4" w:space="0"/>
            </w:tcBorders>
            <w:vAlign w:val="center"/>
          </w:tcPr>
          <w:p w14:paraId="4DD891EC">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适用范围</w:t>
            </w:r>
          </w:p>
        </w:tc>
      </w:tr>
      <w:tr w14:paraId="4D47507E">
        <w:tblPrEx>
          <w:tblCellMar>
            <w:top w:w="0" w:type="dxa"/>
            <w:left w:w="108" w:type="dxa"/>
            <w:bottom w:w="0" w:type="dxa"/>
            <w:right w:w="108" w:type="dxa"/>
          </w:tblCellMar>
        </w:tblPrEx>
        <w:trPr>
          <w:trHeight w:val="449" w:hRule="atLeast"/>
        </w:trPr>
        <w:tc>
          <w:tcPr>
            <w:tcW w:w="1512" w:type="dxa"/>
            <w:vMerge w:val="restart"/>
            <w:tcBorders>
              <w:top w:val="nil"/>
              <w:left w:val="single" w:color="000000" w:sz="4" w:space="0"/>
              <w:bottom w:val="single" w:color="000000" w:sz="4" w:space="0"/>
              <w:right w:val="single" w:color="000000" w:sz="4" w:space="0"/>
            </w:tcBorders>
            <w:vAlign w:val="center"/>
          </w:tcPr>
          <w:p w14:paraId="082256EF">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并网光伏系统</w:t>
            </w:r>
          </w:p>
        </w:tc>
        <w:tc>
          <w:tcPr>
            <w:tcW w:w="1444" w:type="dxa"/>
            <w:vMerge w:val="restart"/>
            <w:tcBorders>
              <w:top w:val="nil"/>
              <w:left w:val="nil"/>
              <w:bottom w:val="single" w:color="000000" w:sz="4" w:space="0"/>
              <w:right w:val="single" w:color="000000" w:sz="4" w:space="0"/>
            </w:tcBorders>
            <w:vAlign w:val="center"/>
          </w:tcPr>
          <w:p w14:paraId="6FAD8263">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交流系统</w:t>
            </w:r>
          </w:p>
        </w:tc>
        <w:tc>
          <w:tcPr>
            <w:tcW w:w="1444" w:type="dxa"/>
            <w:tcBorders>
              <w:top w:val="single" w:color="000000" w:sz="4" w:space="0"/>
              <w:left w:val="nil"/>
              <w:right w:val="single" w:color="000000" w:sz="4" w:space="0"/>
            </w:tcBorders>
            <w:vAlign w:val="center"/>
          </w:tcPr>
          <w:p w14:paraId="763DF808">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有</w:t>
            </w:r>
          </w:p>
        </w:tc>
        <w:tc>
          <w:tcPr>
            <w:tcW w:w="3988" w:type="dxa"/>
            <w:tcBorders>
              <w:top w:val="single" w:color="000000" w:sz="4" w:space="0"/>
              <w:left w:val="nil"/>
              <w:right w:val="single" w:color="000000" w:sz="4" w:space="0"/>
            </w:tcBorders>
            <w:vAlign w:val="center"/>
          </w:tcPr>
          <w:p w14:paraId="73287916">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用于一</w:t>
            </w:r>
            <w:r>
              <w:rPr>
                <w:rFonts w:hint="eastAsia" w:ascii="仿宋" w:hAnsi="仿宋" w:eastAsia="仿宋" w:cs="仿宋"/>
                <w:i/>
                <w:iCs/>
                <w:color w:val="0623BA"/>
                <w:sz w:val="24"/>
                <w:lang w:eastAsia="zh-CN"/>
              </w:rPr>
              <w:t>、</w:t>
            </w:r>
            <w:r>
              <w:rPr>
                <w:rFonts w:hint="eastAsia" w:ascii="仿宋" w:hAnsi="仿宋" w:eastAsia="仿宋" w:cs="仿宋"/>
                <w:i/>
                <w:iCs/>
                <w:color w:val="0623BA"/>
                <w:sz w:val="24"/>
                <w:lang w:val="en-US" w:eastAsia="zh-CN"/>
              </w:rPr>
              <w:t>二</w:t>
            </w:r>
            <w:r>
              <w:rPr>
                <w:rFonts w:hint="eastAsia" w:ascii="仿宋" w:hAnsi="仿宋" w:eastAsia="仿宋" w:cs="仿宋"/>
                <w:i/>
                <w:iCs/>
                <w:color w:val="0623BA"/>
                <w:sz w:val="24"/>
              </w:rPr>
              <w:t>类负荷供电</w:t>
            </w:r>
          </w:p>
        </w:tc>
      </w:tr>
      <w:tr w14:paraId="791B8E67">
        <w:tblPrEx>
          <w:tblCellMar>
            <w:top w:w="0" w:type="dxa"/>
            <w:left w:w="108" w:type="dxa"/>
            <w:bottom w:w="0" w:type="dxa"/>
            <w:right w:w="108" w:type="dxa"/>
          </w:tblCellMar>
        </w:tblPrEx>
        <w:tc>
          <w:tcPr>
            <w:tcW w:w="1512" w:type="dxa"/>
            <w:vMerge w:val="continue"/>
            <w:tcBorders>
              <w:top w:val="nil"/>
              <w:left w:val="single" w:color="000000" w:sz="4" w:space="0"/>
              <w:bottom w:val="single" w:color="000000" w:sz="4" w:space="0"/>
              <w:right w:val="single" w:color="000000" w:sz="4" w:space="0"/>
            </w:tcBorders>
            <w:vAlign w:val="center"/>
          </w:tcPr>
          <w:p w14:paraId="3176335C">
            <w:pPr>
              <w:snapToGrid w:val="0"/>
              <w:spacing w:line="300" w:lineRule="auto"/>
              <w:jc w:val="center"/>
              <w:rPr>
                <w:rFonts w:ascii="仿宋" w:hAnsi="仿宋" w:eastAsia="仿宋" w:cs="仿宋"/>
                <w:i/>
                <w:iCs/>
                <w:color w:val="0623BA"/>
                <w:sz w:val="24"/>
              </w:rPr>
            </w:pPr>
          </w:p>
        </w:tc>
        <w:tc>
          <w:tcPr>
            <w:tcW w:w="1444" w:type="dxa"/>
            <w:vMerge w:val="continue"/>
            <w:tcBorders>
              <w:top w:val="nil"/>
              <w:left w:val="nil"/>
              <w:bottom w:val="single" w:color="000000" w:sz="4" w:space="0"/>
              <w:right w:val="single" w:color="000000" w:sz="4" w:space="0"/>
            </w:tcBorders>
            <w:vAlign w:val="center"/>
          </w:tcPr>
          <w:p w14:paraId="40BFBDEF">
            <w:pPr>
              <w:snapToGrid w:val="0"/>
              <w:spacing w:line="300" w:lineRule="auto"/>
              <w:jc w:val="center"/>
              <w:rPr>
                <w:rFonts w:ascii="仿宋" w:hAnsi="仿宋" w:eastAsia="仿宋" w:cs="仿宋"/>
                <w:i/>
                <w:iCs/>
                <w:color w:val="0623BA"/>
                <w:sz w:val="24"/>
              </w:rPr>
            </w:pPr>
          </w:p>
        </w:tc>
        <w:tc>
          <w:tcPr>
            <w:tcW w:w="1444" w:type="dxa"/>
            <w:tcBorders>
              <w:top w:val="single" w:color="000000" w:sz="4" w:space="0"/>
              <w:left w:val="nil"/>
              <w:bottom w:val="single" w:color="000000" w:sz="4" w:space="0"/>
              <w:right w:val="single" w:color="000000" w:sz="4" w:space="0"/>
            </w:tcBorders>
            <w:vAlign w:val="center"/>
          </w:tcPr>
          <w:p w14:paraId="3105EF01">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无</w:t>
            </w:r>
          </w:p>
        </w:tc>
        <w:tc>
          <w:tcPr>
            <w:tcW w:w="3988" w:type="dxa"/>
            <w:tcBorders>
              <w:top w:val="single" w:color="000000" w:sz="4" w:space="0"/>
              <w:left w:val="nil"/>
              <w:bottom w:val="single" w:color="000000" w:sz="4" w:space="0"/>
              <w:right w:val="single" w:color="000000" w:sz="4" w:space="0"/>
            </w:tcBorders>
            <w:vAlign w:val="center"/>
          </w:tcPr>
          <w:p w14:paraId="63B042E4">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用于三类负荷供电</w:t>
            </w:r>
          </w:p>
        </w:tc>
      </w:tr>
      <w:tr w14:paraId="71A29F79">
        <w:tblPrEx>
          <w:tblCellMar>
            <w:top w:w="0" w:type="dxa"/>
            <w:left w:w="108" w:type="dxa"/>
            <w:bottom w:w="0" w:type="dxa"/>
            <w:right w:w="108" w:type="dxa"/>
          </w:tblCellMar>
        </w:tblPrEx>
        <w:tc>
          <w:tcPr>
            <w:tcW w:w="1512" w:type="dxa"/>
            <w:vMerge w:val="restart"/>
            <w:tcBorders>
              <w:top w:val="nil"/>
              <w:left w:val="single" w:color="000000" w:sz="4" w:space="0"/>
              <w:bottom w:val="single" w:color="000000" w:sz="4" w:space="0"/>
              <w:right w:val="single" w:color="000000" w:sz="4" w:space="0"/>
            </w:tcBorders>
            <w:vAlign w:val="center"/>
          </w:tcPr>
          <w:p w14:paraId="4B4EEC2C">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独立光伏系统</w:t>
            </w:r>
          </w:p>
        </w:tc>
        <w:tc>
          <w:tcPr>
            <w:tcW w:w="1444" w:type="dxa"/>
            <w:vMerge w:val="restart"/>
            <w:tcBorders>
              <w:top w:val="nil"/>
              <w:left w:val="nil"/>
              <w:bottom w:val="single" w:color="000000" w:sz="4" w:space="0"/>
              <w:right w:val="single" w:color="000000" w:sz="4" w:space="0"/>
            </w:tcBorders>
            <w:vAlign w:val="center"/>
          </w:tcPr>
          <w:p w14:paraId="2E309924">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直流系统</w:t>
            </w:r>
          </w:p>
        </w:tc>
        <w:tc>
          <w:tcPr>
            <w:tcW w:w="1444" w:type="dxa"/>
            <w:tcBorders>
              <w:top w:val="single" w:color="000000" w:sz="4" w:space="0"/>
              <w:left w:val="nil"/>
              <w:bottom w:val="single" w:color="000000" w:sz="4" w:space="0"/>
              <w:right w:val="single" w:color="000000" w:sz="4" w:space="0"/>
            </w:tcBorders>
            <w:vAlign w:val="center"/>
          </w:tcPr>
          <w:p w14:paraId="55A3202A">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有</w:t>
            </w:r>
          </w:p>
        </w:tc>
        <w:tc>
          <w:tcPr>
            <w:tcW w:w="3988" w:type="dxa"/>
            <w:tcBorders>
              <w:top w:val="single" w:color="000000" w:sz="4" w:space="0"/>
              <w:left w:val="nil"/>
              <w:bottom w:val="single" w:color="000000" w:sz="4" w:space="0"/>
              <w:right w:val="single" w:color="000000" w:sz="4" w:space="0"/>
            </w:tcBorders>
            <w:vAlign w:val="center"/>
          </w:tcPr>
          <w:p w14:paraId="780605C5">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偏远无电网地区，电力负荷为直流设备且供电连续性要求较高</w:t>
            </w:r>
          </w:p>
        </w:tc>
      </w:tr>
      <w:tr w14:paraId="63A6F77C">
        <w:tblPrEx>
          <w:tblCellMar>
            <w:top w:w="0" w:type="dxa"/>
            <w:left w:w="108" w:type="dxa"/>
            <w:bottom w:w="0" w:type="dxa"/>
            <w:right w:w="108" w:type="dxa"/>
          </w:tblCellMar>
        </w:tblPrEx>
        <w:trPr>
          <w:trHeight w:val="568" w:hRule="atLeast"/>
        </w:trPr>
        <w:tc>
          <w:tcPr>
            <w:tcW w:w="1512" w:type="dxa"/>
            <w:vMerge w:val="continue"/>
            <w:tcBorders>
              <w:top w:val="nil"/>
              <w:left w:val="single" w:color="000000" w:sz="4" w:space="0"/>
              <w:bottom w:val="single" w:color="000000" w:sz="4" w:space="0"/>
              <w:right w:val="single" w:color="000000" w:sz="4" w:space="0"/>
            </w:tcBorders>
            <w:vAlign w:val="center"/>
          </w:tcPr>
          <w:p w14:paraId="7C1E33E0">
            <w:pPr>
              <w:snapToGrid w:val="0"/>
              <w:spacing w:line="300" w:lineRule="auto"/>
              <w:jc w:val="center"/>
              <w:rPr>
                <w:rFonts w:ascii="仿宋" w:hAnsi="仿宋" w:eastAsia="仿宋" w:cs="仿宋"/>
                <w:i/>
                <w:iCs/>
                <w:color w:val="0623BA"/>
                <w:sz w:val="24"/>
              </w:rPr>
            </w:pPr>
          </w:p>
        </w:tc>
        <w:tc>
          <w:tcPr>
            <w:tcW w:w="1444" w:type="dxa"/>
            <w:vMerge w:val="continue"/>
            <w:tcBorders>
              <w:top w:val="nil"/>
              <w:left w:val="nil"/>
              <w:bottom w:val="single" w:color="000000" w:sz="4" w:space="0"/>
              <w:right w:val="single" w:color="000000" w:sz="4" w:space="0"/>
            </w:tcBorders>
            <w:vAlign w:val="center"/>
          </w:tcPr>
          <w:p w14:paraId="2978DF74">
            <w:pPr>
              <w:snapToGrid w:val="0"/>
              <w:spacing w:line="300" w:lineRule="auto"/>
              <w:jc w:val="center"/>
              <w:rPr>
                <w:rFonts w:ascii="仿宋" w:hAnsi="仿宋" w:eastAsia="仿宋" w:cs="仿宋"/>
                <w:i/>
                <w:iCs/>
                <w:color w:val="0623BA"/>
                <w:sz w:val="24"/>
              </w:rPr>
            </w:pPr>
          </w:p>
        </w:tc>
        <w:tc>
          <w:tcPr>
            <w:tcW w:w="1444" w:type="dxa"/>
            <w:tcBorders>
              <w:top w:val="single" w:color="000000" w:sz="4" w:space="0"/>
              <w:left w:val="nil"/>
              <w:bottom w:val="single" w:color="000000" w:sz="4" w:space="0"/>
              <w:right w:val="single" w:color="000000" w:sz="4" w:space="0"/>
            </w:tcBorders>
            <w:vAlign w:val="center"/>
          </w:tcPr>
          <w:p w14:paraId="3AFC6A83">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无</w:t>
            </w:r>
          </w:p>
        </w:tc>
        <w:tc>
          <w:tcPr>
            <w:tcW w:w="3988" w:type="dxa"/>
            <w:tcBorders>
              <w:top w:val="single" w:color="000000" w:sz="4" w:space="0"/>
              <w:left w:val="nil"/>
              <w:bottom w:val="single" w:color="000000" w:sz="4" w:space="0"/>
              <w:right w:val="single" w:color="000000" w:sz="4" w:space="0"/>
            </w:tcBorders>
            <w:vAlign w:val="center"/>
          </w:tcPr>
          <w:p w14:paraId="7A54B7E6">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偏远无电网地区，电力负荷为直流设备且供电无连续性要求</w:t>
            </w:r>
          </w:p>
        </w:tc>
      </w:tr>
      <w:tr w14:paraId="5A960F19">
        <w:tblPrEx>
          <w:tblCellMar>
            <w:top w:w="0" w:type="dxa"/>
            <w:left w:w="108" w:type="dxa"/>
            <w:bottom w:w="0" w:type="dxa"/>
            <w:right w:w="108" w:type="dxa"/>
          </w:tblCellMar>
        </w:tblPrEx>
        <w:trPr>
          <w:trHeight w:val="568" w:hRule="atLeast"/>
        </w:trPr>
        <w:tc>
          <w:tcPr>
            <w:tcW w:w="1512" w:type="dxa"/>
            <w:vMerge w:val="continue"/>
            <w:tcBorders>
              <w:top w:val="nil"/>
              <w:left w:val="single" w:color="000000" w:sz="4" w:space="0"/>
              <w:bottom w:val="single" w:color="000000" w:sz="4" w:space="0"/>
              <w:right w:val="single" w:color="000000" w:sz="4" w:space="0"/>
            </w:tcBorders>
            <w:vAlign w:val="center"/>
          </w:tcPr>
          <w:p w14:paraId="041EC867">
            <w:pPr>
              <w:snapToGrid w:val="0"/>
              <w:spacing w:line="300" w:lineRule="auto"/>
              <w:jc w:val="center"/>
              <w:rPr>
                <w:rFonts w:ascii="仿宋" w:hAnsi="仿宋" w:eastAsia="仿宋" w:cs="仿宋"/>
                <w:i/>
                <w:iCs/>
                <w:color w:val="0623BA"/>
                <w:sz w:val="24"/>
              </w:rPr>
            </w:pPr>
          </w:p>
        </w:tc>
        <w:tc>
          <w:tcPr>
            <w:tcW w:w="1444" w:type="dxa"/>
            <w:vMerge w:val="restart"/>
            <w:tcBorders>
              <w:top w:val="nil"/>
              <w:left w:val="nil"/>
              <w:right w:val="single" w:color="000000" w:sz="4" w:space="0"/>
            </w:tcBorders>
            <w:vAlign w:val="center"/>
          </w:tcPr>
          <w:p w14:paraId="029D6EA2">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交流系统</w:t>
            </w:r>
          </w:p>
        </w:tc>
        <w:tc>
          <w:tcPr>
            <w:tcW w:w="1444" w:type="dxa"/>
            <w:tcBorders>
              <w:top w:val="single" w:color="000000" w:sz="4" w:space="0"/>
              <w:left w:val="nil"/>
              <w:bottom w:val="single" w:color="000000" w:sz="4" w:space="0"/>
              <w:right w:val="single" w:color="000000" w:sz="4" w:space="0"/>
            </w:tcBorders>
            <w:vAlign w:val="center"/>
          </w:tcPr>
          <w:p w14:paraId="77B3B8BB">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有</w:t>
            </w:r>
          </w:p>
        </w:tc>
        <w:tc>
          <w:tcPr>
            <w:tcW w:w="3988" w:type="dxa"/>
            <w:tcBorders>
              <w:top w:val="single" w:color="000000" w:sz="4" w:space="0"/>
              <w:left w:val="nil"/>
              <w:bottom w:val="single" w:color="000000" w:sz="4" w:space="0"/>
              <w:right w:val="single" w:color="000000" w:sz="4" w:space="0"/>
            </w:tcBorders>
            <w:vAlign w:val="center"/>
          </w:tcPr>
          <w:p w14:paraId="66B2BA9C">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偏远无电网地区，电力负荷为交流设备且供电连续性要求较高</w:t>
            </w:r>
          </w:p>
        </w:tc>
      </w:tr>
      <w:tr w14:paraId="30B2905E">
        <w:tblPrEx>
          <w:tblCellMar>
            <w:top w:w="0" w:type="dxa"/>
            <w:left w:w="108" w:type="dxa"/>
            <w:bottom w:w="0" w:type="dxa"/>
            <w:right w:w="108" w:type="dxa"/>
          </w:tblCellMar>
        </w:tblPrEx>
        <w:trPr>
          <w:trHeight w:val="604" w:hRule="atLeast"/>
        </w:trPr>
        <w:tc>
          <w:tcPr>
            <w:tcW w:w="1512" w:type="dxa"/>
            <w:vMerge w:val="continue"/>
            <w:tcBorders>
              <w:top w:val="nil"/>
              <w:left w:val="single" w:color="000000" w:sz="4" w:space="0"/>
              <w:bottom w:val="single" w:color="000000" w:sz="4" w:space="0"/>
              <w:right w:val="single" w:color="000000" w:sz="4" w:space="0"/>
            </w:tcBorders>
            <w:vAlign w:val="center"/>
          </w:tcPr>
          <w:p w14:paraId="43FD6538">
            <w:pPr>
              <w:snapToGrid w:val="0"/>
              <w:spacing w:line="300" w:lineRule="auto"/>
              <w:jc w:val="center"/>
              <w:rPr>
                <w:rFonts w:ascii="仿宋" w:hAnsi="仿宋" w:eastAsia="仿宋" w:cs="仿宋"/>
                <w:i/>
                <w:iCs/>
                <w:color w:val="0623BA"/>
                <w:sz w:val="24"/>
              </w:rPr>
            </w:pPr>
          </w:p>
        </w:tc>
        <w:tc>
          <w:tcPr>
            <w:tcW w:w="1444" w:type="dxa"/>
            <w:vMerge w:val="continue"/>
            <w:tcBorders>
              <w:left w:val="nil"/>
              <w:bottom w:val="single" w:color="000000" w:sz="4" w:space="0"/>
              <w:right w:val="single" w:color="000000" w:sz="4" w:space="0"/>
            </w:tcBorders>
            <w:vAlign w:val="center"/>
          </w:tcPr>
          <w:p w14:paraId="3FFACB8A">
            <w:pPr>
              <w:snapToGrid w:val="0"/>
              <w:spacing w:line="300" w:lineRule="auto"/>
              <w:jc w:val="center"/>
              <w:rPr>
                <w:rFonts w:ascii="仿宋" w:hAnsi="仿宋" w:eastAsia="仿宋" w:cs="仿宋"/>
                <w:i/>
                <w:iCs/>
                <w:color w:val="0623BA"/>
                <w:sz w:val="24"/>
              </w:rPr>
            </w:pPr>
          </w:p>
        </w:tc>
        <w:tc>
          <w:tcPr>
            <w:tcW w:w="1444" w:type="dxa"/>
            <w:tcBorders>
              <w:top w:val="single" w:color="000000" w:sz="4" w:space="0"/>
              <w:left w:val="nil"/>
              <w:bottom w:val="single" w:color="000000" w:sz="4" w:space="0"/>
              <w:right w:val="single" w:color="000000" w:sz="4" w:space="0"/>
            </w:tcBorders>
            <w:vAlign w:val="center"/>
          </w:tcPr>
          <w:p w14:paraId="7C55A7F1">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无</w:t>
            </w:r>
          </w:p>
        </w:tc>
        <w:tc>
          <w:tcPr>
            <w:tcW w:w="3988" w:type="dxa"/>
            <w:tcBorders>
              <w:top w:val="single" w:color="000000" w:sz="4" w:space="0"/>
              <w:left w:val="nil"/>
              <w:bottom w:val="single" w:color="000000" w:sz="4" w:space="0"/>
              <w:right w:val="single" w:color="000000" w:sz="4" w:space="0"/>
            </w:tcBorders>
            <w:vAlign w:val="center"/>
          </w:tcPr>
          <w:p w14:paraId="23C17595">
            <w:pPr>
              <w:snapToGrid w:val="0"/>
              <w:spacing w:line="300" w:lineRule="auto"/>
              <w:jc w:val="center"/>
              <w:rPr>
                <w:rFonts w:ascii="仿宋" w:hAnsi="仿宋" w:eastAsia="仿宋" w:cs="仿宋"/>
                <w:i/>
                <w:iCs/>
                <w:color w:val="0623BA"/>
                <w:sz w:val="24"/>
              </w:rPr>
            </w:pPr>
            <w:r>
              <w:rPr>
                <w:rFonts w:hint="eastAsia" w:ascii="仿宋" w:hAnsi="仿宋" w:eastAsia="仿宋" w:cs="仿宋"/>
                <w:i/>
                <w:iCs/>
                <w:color w:val="0623BA"/>
                <w:sz w:val="24"/>
              </w:rPr>
              <w:t>偏远无电网地区，电力负荷为交流设备且供电无连续性要求</w:t>
            </w:r>
          </w:p>
        </w:tc>
      </w:tr>
    </w:tbl>
    <w:p w14:paraId="329AB0F4">
      <w:pPr>
        <w:spacing w:beforeLines="0" w:afterLines="0" w:line="300" w:lineRule="auto"/>
        <w:rPr>
          <w:highlight w:val="yellow"/>
        </w:rPr>
      </w:pPr>
      <w:r>
        <w:rPr>
          <w:rFonts w:hint="eastAsia"/>
          <w:b/>
          <w:bCs/>
          <w:sz w:val="24"/>
          <w:highlight w:val="none"/>
        </w:rPr>
        <w:t>7.1.</w:t>
      </w:r>
      <w:r>
        <w:rPr>
          <w:rFonts w:hint="eastAsia"/>
          <w:b/>
          <w:bCs/>
          <w:sz w:val="24"/>
          <w:highlight w:val="none"/>
          <w:lang w:eastAsia="zh-CN"/>
        </w:rPr>
        <w:t>4</w:t>
      </w:r>
      <w:r>
        <w:rPr>
          <w:rFonts w:hint="eastAsia"/>
          <w:highlight w:val="none"/>
        </w:rPr>
        <w:t xml:space="preserve"> </w:t>
      </w:r>
      <w:r>
        <w:rPr>
          <w:rFonts w:hint="eastAsia" w:ascii="Times New Roman" w:hAnsi="Times New Roman" w:eastAsia="宋体" w:cs="Times New Roman"/>
          <w:b w:val="0"/>
          <w:bCs w:val="0"/>
          <w:i w:val="0"/>
          <w:iCs w:val="0"/>
          <w:color w:val="auto"/>
          <w:sz w:val="24"/>
          <w:szCs w:val="24"/>
        </w:rPr>
        <w:t>建筑光伏系统的并网应当符合《光伏发电系统接入配电网技术规定》GB/T 29319和《光伏发电站接入电力系统技术规定》GB/T 19964的规定，其接入设计应当符合《光伏发电接入配电网设计规范》GB/T 50865和《光伏发电站接入电力系统设计规范》GB/T 50866的规定。</w:t>
      </w:r>
    </w:p>
    <w:p w14:paraId="73735FF4">
      <w:pPr>
        <w:snapToGrid w:val="0"/>
        <w:spacing w:beforeLines="0" w:afterLines="0" w:line="300" w:lineRule="auto"/>
        <w:rPr>
          <w:sz w:val="24"/>
        </w:rPr>
      </w:pPr>
      <w:r>
        <w:rPr>
          <w:b/>
          <w:bCs/>
          <w:sz w:val="24"/>
        </w:rPr>
        <w:t>7.1.</w:t>
      </w:r>
      <w:r>
        <w:rPr>
          <w:rFonts w:hint="eastAsia"/>
          <w:b/>
          <w:bCs/>
          <w:sz w:val="24"/>
          <w:lang w:val="en-US" w:eastAsia="zh-CN"/>
        </w:rPr>
        <w:t>5</w:t>
      </w:r>
      <w:r>
        <w:rPr>
          <w:sz w:val="24"/>
        </w:rPr>
        <w:t xml:space="preserve"> </w:t>
      </w:r>
      <w:r>
        <w:rPr>
          <w:rFonts w:hint="eastAsia"/>
          <w:sz w:val="24"/>
        </w:rPr>
        <w:t>建筑光伏系统中逆变器、汇流箱、变压器、配电柜、无功补偿装置等应满足的使用环境条件要求应符合现行国家标准《建筑光伏系统应用技术标准》GB/T 51368的有关规定。</w:t>
      </w:r>
    </w:p>
    <w:p w14:paraId="7D094C55">
      <w:pPr>
        <w:snapToGrid w:val="0"/>
        <w:spacing w:beforeLines="0" w:afterLines="0" w:line="300" w:lineRule="auto"/>
        <w:rPr>
          <w:rFonts w:hint="eastAsia"/>
          <w:sz w:val="24"/>
        </w:rPr>
      </w:pPr>
      <w:r>
        <w:rPr>
          <w:b/>
          <w:bCs/>
          <w:sz w:val="24"/>
        </w:rPr>
        <w:t>7.1.</w:t>
      </w:r>
      <w:r>
        <w:rPr>
          <w:rFonts w:hint="eastAsia"/>
          <w:b/>
          <w:bCs/>
          <w:sz w:val="24"/>
          <w:lang w:val="en-US" w:eastAsia="zh-CN"/>
        </w:rPr>
        <w:t>6</w:t>
      </w:r>
      <w:r>
        <w:rPr>
          <w:sz w:val="24"/>
        </w:rPr>
        <w:t xml:space="preserve"> </w:t>
      </w:r>
      <w:r>
        <w:rPr>
          <w:rFonts w:hint="eastAsia"/>
          <w:sz w:val="24"/>
        </w:rPr>
        <w:t>光伏系统中的所有设备和部件，应符合现行国家和行业相关产品标准的规定，主要设备应有国家相关认证机构的产品认证。</w:t>
      </w:r>
    </w:p>
    <w:p w14:paraId="005B7E8D">
      <w:pPr>
        <w:keepNext/>
        <w:keepLines/>
        <w:snapToGrid w:val="0"/>
        <w:spacing w:before="0" w:beforeLines="0" w:after="0" w:afterLines="0" w:line="300" w:lineRule="auto"/>
        <w:jc w:val="center"/>
        <w:outlineLvl w:val="2"/>
        <w:rPr>
          <w:b/>
          <w:sz w:val="24"/>
          <w:szCs w:val="32"/>
        </w:rPr>
      </w:pPr>
      <w:bookmarkStart w:id="240" w:name="_Toc6948"/>
      <w:bookmarkStart w:id="241" w:name="_Toc7966"/>
      <w:bookmarkStart w:id="242" w:name="_Toc7252"/>
      <w:bookmarkStart w:id="243" w:name="_Toc12040"/>
      <w:bookmarkStart w:id="244" w:name="_Toc24383"/>
      <w:bookmarkStart w:id="245" w:name="_Toc29835"/>
      <w:r>
        <w:rPr>
          <w:b/>
          <w:sz w:val="24"/>
          <w:szCs w:val="32"/>
        </w:rPr>
        <w:t>7.</w:t>
      </w:r>
      <w:r>
        <w:rPr>
          <w:rFonts w:hint="default"/>
          <w:b/>
          <w:sz w:val="24"/>
          <w:szCs w:val="32"/>
        </w:rPr>
        <w:t>2光伏</w:t>
      </w:r>
      <w:r>
        <w:rPr>
          <w:rFonts w:hint="default"/>
          <w:b/>
          <w:bCs w:val="0"/>
          <w:sz w:val="24"/>
          <w:szCs w:val="32"/>
        </w:rPr>
        <w:t>发电</w:t>
      </w:r>
      <w:r>
        <w:rPr>
          <w:rFonts w:hint="default"/>
          <w:b/>
          <w:sz w:val="24"/>
          <w:szCs w:val="32"/>
        </w:rPr>
        <w:t>系统技术要求</w:t>
      </w:r>
      <w:bookmarkEnd w:id="240"/>
      <w:bookmarkEnd w:id="241"/>
      <w:bookmarkEnd w:id="242"/>
      <w:bookmarkEnd w:id="243"/>
      <w:bookmarkEnd w:id="244"/>
      <w:bookmarkEnd w:id="245"/>
    </w:p>
    <w:p w14:paraId="50F69AAA">
      <w:pPr>
        <w:snapToGrid w:val="0"/>
        <w:spacing w:beforeLines="0" w:afterLines="0" w:line="300" w:lineRule="auto"/>
        <w:rPr>
          <w:sz w:val="24"/>
        </w:rPr>
      </w:pPr>
      <w:r>
        <w:rPr>
          <w:b/>
          <w:bCs/>
          <w:sz w:val="24"/>
        </w:rPr>
        <w:t>7.</w:t>
      </w:r>
      <w:r>
        <w:rPr>
          <w:rFonts w:hint="eastAsia"/>
          <w:b/>
          <w:bCs/>
          <w:sz w:val="24"/>
        </w:rPr>
        <w:t>2</w:t>
      </w:r>
      <w:r>
        <w:rPr>
          <w:b/>
          <w:bCs/>
          <w:sz w:val="24"/>
        </w:rPr>
        <w:t>.</w:t>
      </w:r>
      <w:r>
        <w:rPr>
          <w:rFonts w:hint="eastAsia"/>
          <w:b/>
          <w:bCs/>
          <w:sz w:val="24"/>
        </w:rPr>
        <w:t>1</w:t>
      </w:r>
      <w:r>
        <w:rPr>
          <w:sz w:val="24"/>
        </w:rPr>
        <w:t xml:space="preserve"> </w:t>
      </w:r>
      <w:r>
        <w:rPr>
          <w:rFonts w:hint="eastAsia"/>
          <w:sz w:val="24"/>
        </w:rPr>
        <w:t>建筑</w:t>
      </w:r>
      <w:r>
        <w:rPr>
          <w:sz w:val="24"/>
        </w:rPr>
        <w:t>光伏发电一次系统</w:t>
      </w:r>
      <w:r>
        <w:rPr>
          <w:rFonts w:hint="eastAsia"/>
          <w:sz w:val="24"/>
        </w:rPr>
        <w:t>的设备配置、母线电压设定、接线方式等应符合现行国家标准《建筑光伏系统应用技术标准》GB/T 51368的有关规定。</w:t>
      </w:r>
    </w:p>
    <w:p w14:paraId="4CA6D8F6">
      <w:pPr>
        <w:spacing w:beforeLines="0" w:afterLines="0" w:line="300" w:lineRule="auto"/>
        <w:rPr>
          <w:sz w:val="24"/>
        </w:rPr>
      </w:pPr>
      <w:r>
        <w:rPr>
          <w:b/>
          <w:bCs/>
          <w:sz w:val="24"/>
        </w:rPr>
        <w:t>7.</w:t>
      </w:r>
      <w:r>
        <w:rPr>
          <w:rFonts w:hint="eastAsia"/>
          <w:b/>
          <w:bCs/>
          <w:sz w:val="24"/>
        </w:rPr>
        <w:t>2</w:t>
      </w:r>
      <w:r>
        <w:rPr>
          <w:b/>
          <w:bCs/>
          <w:sz w:val="24"/>
        </w:rPr>
        <w:t>.</w:t>
      </w:r>
      <w:r>
        <w:rPr>
          <w:rFonts w:hint="eastAsia"/>
          <w:b/>
          <w:bCs/>
          <w:sz w:val="24"/>
        </w:rPr>
        <w:t>2</w:t>
      </w:r>
      <w:r>
        <w:rPr>
          <w:sz w:val="24"/>
        </w:rPr>
        <w:t xml:space="preserve"> </w:t>
      </w:r>
      <w:r>
        <w:rPr>
          <w:rFonts w:hint="eastAsia"/>
          <w:sz w:val="24"/>
        </w:rPr>
        <w:t>建筑光伏发电二次系统的继电保护功能、监控系统功能、并网自动化系统功能等应符合现行国家标准《建筑光伏系统应用技术标准》GB/T 51368的有关规定。</w:t>
      </w:r>
    </w:p>
    <w:p w14:paraId="5EE6CDF2">
      <w:pPr>
        <w:pStyle w:val="2"/>
        <w:spacing w:beforeLines="0" w:after="0" w:afterLines="0" w:line="300" w:lineRule="auto"/>
        <w:rPr>
          <w:sz w:val="24"/>
        </w:rPr>
      </w:pPr>
      <w:r>
        <w:rPr>
          <w:b/>
          <w:bCs/>
          <w:sz w:val="24"/>
        </w:rPr>
        <w:t>7.</w:t>
      </w:r>
      <w:r>
        <w:rPr>
          <w:rFonts w:hint="eastAsia"/>
          <w:b/>
          <w:bCs/>
          <w:sz w:val="24"/>
        </w:rPr>
        <w:t>2</w:t>
      </w:r>
      <w:r>
        <w:rPr>
          <w:b/>
          <w:bCs/>
          <w:sz w:val="24"/>
        </w:rPr>
        <w:t>.</w:t>
      </w:r>
      <w:r>
        <w:rPr>
          <w:rFonts w:hint="eastAsia"/>
          <w:b/>
          <w:bCs/>
          <w:sz w:val="24"/>
        </w:rPr>
        <w:t>3</w:t>
      </w:r>
      <w:r>
        <w:rPr>
          <w:sz w:val="24"/>
        </w:rPr>
        <w:t xml:space="preserve"> </w:t>
      </w:r>
      <w:r>
        <w:rPr>
          <w:rFonts w:hint="eastAsia"/>
          <w:sz w:val="24"/>
        </w:rPr>
        <w:t>建筑光伏发电自用电系统的电压等级、接地方式、工作电源引接方式、供电电源配置等应符合现行国家标准《建筑光伏系统应用技术标准》GB/T 51368的有关规定。</w:t>
      </w:r>
    </w:p>
    <w:p w14:paraId="5F20154D">
      <w:pPr>
        <w:snapToGrid w:val="0"/>
        <w:spacing w:beforeLines="0" w:afterLines="0" w:line="300" w:lineRule="auto"/>
        <w:rPr>
          <w:sz w:val="24"/>
        </w:rPr>
      </w:pPr>
      <w:r>
        <w:rPr>
          <w:b/>
          <w:bCs/>
          <w:sz w:val="24"/>
        </w:rPr>
        <w:t>7.</w:t>
      </w:r>
      <w:r>
        <w:rPr>
          <w:rFonts w:hint="eastAsia"/>
          <w:b/>
          <w:bCs/>
          <w:sz w:val="24"/>
        </w:rPr>
        <w:t>2</w:t>
      </w:r>
      <w:r>
        <w:rPr>
          <w:b/>
          <w:bCs/>
          <w:sz w:val="24"/>
        </w:rPr>
        <w:t>.</w:t>
      </w:r>
      <w:r>
        <w:rPr>
          <w:rFonts w:hint="eastAsia"/>
          <w:b/>
          <w:bCs/>
          <w:sz w:val="24"/>
        </w:rPr>
        <w:t>4</w:t>
      </w:r>
      <w:r>
        <w:rPr>
          <w:sz w:val="24"/>
        </w:rPr>
        <w:t xml:space="preserve"> </w:t>
      </w:r>
      <w:r>
        <w:rPr>
          <w:rFonts w:hint="eastAsia"/>
          <w:sz w:val="24"/>
        </w:rPr>
        <w:t>建筑</w:t>
      </w:r>
      <w:r>
        <w:rPr>
          <w:sz w:val="24"/>
        </w:rPr>
        <w:t>光伏发电</w:t>
      </w:r>
      <w:r>
        <w:rPr>
          <w:rFonts w:hint="eastAsia"/>
          <w:sz w:val="24"/>
        </w:rPr>
        <w:t>直流</w:t>
      </w:r>
      <w:r>
        <w:rPr>
          <w:sz w:val="24"/>
        </w:rPr>
        <w:t>系统应符合以下</w:t>
      </w:r>
      <w:r>
        <w:rPr>
          <w:rFonts w:hint="eastAsia"/>
          <w:sz w:val="24"/>
          <w:lang w:val="en-US" w:eastAsia="zh-CN"/>
        </w:rPr>
        <w:t>规定</w:t>
      </w:r>
      <w:r>
        <w:rPr>
          <w:sz w:val="24"/>
        </w:rPr>
        <w:t>：</w:t>
      </w:r>
    </w:p>
    <w:p w14:paraId="57B46D49">
      <w:pPr>
        <w:snapToGrid w:val="0"/>
        <w:spacing w:beforeLines="0" w:afterLines="0" w:line="300" w:lineRule="auto"/>
        <w:ind w:firstLine="482" w:firstLineChars="200"/>
        <w:rPr>
          <w:sz w:val="24"/>
        </w:rPr>
      </w:pPr>
      <w:r>
        <w:rPr>
          <w:rFonts w:hint="eastAsia"/>
          <w:b/>
          <w:bCs/>
          <w:sz w:val="24"/>
        </w:rPr>
        <w:t xml:space="preserve">1 </w:t>
      </w:r>
      <w:r>
        <w:rPr>
          <w:sz w:val="24"/>
        </w:rPr>
        <w:t>光伏发电系统直流侧宜配置直流故障电弧检测和保护功能</w:t>
      </w:r>
      <w:r>
        <w:rPr>
          <w:rFonts w:hint="eastAsia"/>
          <w:sz w:val="24"/>
        </w:rPr>
        <w:t>；</w:t>
      </w:r>
    </w:p>
    <w:p w14:paraId="4B1298B1">
      <w:pPr>
        <w:snapToGrid w:val="0"/>
        <w:spacing w:beforeLines="0" w:afterLines="0" w:line="300" w:lineRule="auto"/>
        <w:ind w:firstLine="482" w:firstLineChars="200"/>
        <w:rPr>
          <w:sz w:val="24"/>
        </w:rPr>
      </w:pPr>
      <w:r>
        <w:rPr>
          <w:rFonts w:hint="eastAsia"/>
          <w:b/>
          <w:bCs/>
          <w:sz w:val="24"/>
        </w:rPr>
        <w:t xml:space="preserve">2 </w:t>
      </w:r>
      <w:r>
        <w:rPr>
          <w:rFonts w:hint="eastAsia"/>
          <w:sz w:val="24"/>
        </w:rPr>
        <w:t>直流线路耐压等级应高于光伏方阵电压的1.25倍；</w:t>
      </w:r>
    </w:p>
    <w:p w14:paraId="5DA636FD">
      <w:pPr>
        <w:snapToGrid w:val="0"/>
        <w:spacing w:beforeLines="0" w:afterLines="0" w:line="300" w:lineRule="auto"/>
        <w:ind w:firstLine="482" w:firstLineChars="200"/>
        <w:rPr>
          <w:sz w:val="24"/>
        </w:rPr>
      </w:pPr>
      <w:r>
        <w:rPr>
          <w:rFonts w:hint="eastAsia"/>
          <w:b/>
          <w:bCs/>
          <w:sz w:val="24"/>
        </w:rPr>
        <w:t xml:space="preserve">3 </w:t>
      </w:r>
      <w:r>
        <w:rPr>
          <w:rFonts w:hint="eastAsia"/>
          <w:sz w:val="24"/>
        </w:rPr>
        <w:t>额定载流量应高于短路保护电器整定值，短路保护电器整定值应高于光伏方阵的标称短路电流的1.25倍；</w:t>
      </w:r>
    </w:p>
    <w:p w14:paraId="295E55B7">
      <w:pPr>
        <w:snapToGrid w:val="0"/>
        <w:spacing w:beforeLines="0" w:afterLines="0" w:line="300" w:lineRule="auto"/>
        <w:ind w:firstLine="482" w:firstLineChars="200"/>
        <w:rPr>
          <w:sz w:val="24"/>
        </w:rPr>
      </w:pPr>
      <w:r>
        <w:rPr>
          <w:rFonts w:hint="eastAsia"/>
          <w:b/>
          <w:bCs/>
          <w:sz w:val="24"/>
        </w:rPr>
        <w:t xml:space="preserve">4 </w:t>
      </w:r>
      <w:r>
        <w:rPr>
          <w:rFonts w:hint="eastAsia"/>
          <w:sz w:val="24"/>
        </w:rPr>
        <w:t>满发状态下，直流线路电压损失应控制在3%以内。</w:t>
      </w:r>
    </w:p>
    <w:p w14:paraId="1EF3770D">
      <w:pPr>
        <w:pStyle w:val="2"/>
        <w:spacing w:beforeLines="0" w:after="0" w:afterLines="0" w:line="300" w:lineRule="auto"/>
        <w:rPr>
          <w:b/>
          <w:bCs/>
          <w:sz w:val="24"/>
        </w:rPr>
      </w:pPr>
      <w:r>
        <w:rPr>
          <w:rFonts w:hint="eastAsia"/>
          <w:b/>
          <w:bCs/>
          <w:sz w:val="24"/>
        </w:rPr>
        <w:t>7.2.5</w:t>
      </w:r>
      <w:r>
        <w:rPr>
          <w:rFonts w:hint="eastAsia"/>
          <w:sz w:val="24"/>
        </w:rPr>
        <w:t xml:space="preserve"> </w:t>
      </w:r>
      <w:r>
        <w:rPr>
          <w:rFonts w:hint="eastAsia"/>
          <w:kern w:val="0"/>
          <w:sz w:val="24"/>
        </w:rPr>
        <w:t>建筑光伏系统配置的储能宜采用以电化学储能为主，电化学储能系统设计应符合现行国家标准《电化学储能电站设计规范》GB 51048的有关规定；涉及到其他储能类型，如超级电容储能系统设计应符合现行国家标准《超级电容器 第1部分：总则》GB/T 34870.1的有关规定、压缩空气储能系统设计应符合现行国家标准《电力储能用压缩空气储能系统技术要求》GB/T 43687的有关规定等。</w:t>
      </w:r>
    </w:p>
    <w:p w14:paraId="341A38DA">
      <w:pPr>
        <w:pStyle w:val="2"/>
        <w:spacing w:beforeLines="0" w:after="0" w:afterLines="0" w:line="300" w:lineRule="auto"/>
        <w:rPr>
          <w:sz w:val="24"/>
        </w:rPr>
      </w:pPr>
      <w:r>
        <w:rPr>
          <w:rFonts w:hint="eastAsia"/>
          <w:b/>
          <w:bCs/>
          <w:sz w:val="24"/>
        </w:rPr>
        <w:t>7.2.6</w:t>
      </w:r>
      <w:r>
        <w:rPr>
          <w:rFonts w:hint="eastAsia"/>
          <w:sz w:val="24"/>
        </w:rPr>
        <w:t xml:space="preserve"> 建筑</w:t>
      </w:r>
      <w:r>
        <w:rPr>
          <w:sz w:val="24"/>
        </w:rPr>
        <w:t>光伏发电</w:t>
      </w:r>
      <w:r>
        <w:rPr>
          <w:rFonts w:hint="eastAsia"/>
          <w:sz w:val="24"/>
        </w:rPr>
        <w:t>储能系统的容量配置应符合现行国家标准《建筑光伏系统应用技术标准》GB/T 51368的有关规定。</w:t>
      </w:r>
    </w:p>
    <w:p w14:paraId="33C8834E">
      <w:pPr>
        <w:keepNext/>
        <w:keepLines/>
        <w:snapToGrid w:val="0"/>
        <w:spacing w:before="0" w:beforeLines="0" w:after="0" w:afterLines="0" w:line="300" w:lineRule="auto"/>
        <w:jc w:val="center"/>
        <w:outlineLvl w:val="2"/>
        <w:rPr>
          <w:b/>
          <w:bCs w:val="0"/>
          <w:sz w:val="24"/>
          <w:szCs w:val="32"/>
        </w:rPr>
      </w:pPr>
      <w:bookmarkStart w:id="246" w:name="_Toc27810"/>
      <w:bookmarkStart w:id="247" w:name="_Toc4384"/>
      <w:bookmarkStart w:id="248" w:name="_Toc4180"/>
      <w:bookmarkStart w:id="249" w:name="_Toc15963"/>
      <w:bookmarkStart w:id="250" w:name="_Toc8042"/>
      <w:bookmarkStart w:id="251" w:name="_Toc22981"/>
      <w:r>
        <w:rPr>
          <w:rFonts w:hint="default"/>
          <w:b/>
          <w:bCs w:val="0"/>
          <w:sz w:val="24"/>
          <w:szCs w:val="32"/>
        </w:rPr>
        <w:t>7.3光伏发电系统电气设计</w:t>
      </w:r>
      <w:bookmarkEnd w:id="246"/>
      <w:bookmarkEnd w:id="247"/>
      <w:bookmarkEnd w:id="248"/>
      <w:bookmarkEnd w:id="249"/>
      <w:bookmarkEnd w:id="250"/>
      <w:bookmarkEnd w:id="251"/>
    </w:p>
    <w:p w14:paraId="43DC61A5">
      <w:pPr>
        <w:spacing w:beforeLines="0" w:afterLines="0" w:line="300" w:lineRule="auto"/>
        <w:rPr>
          <w:sz w:val="24"/>
        </w:rPr>
      </w:pPr>
      <w:r>
        <w:rPr>
          <w:rFonts w:hint="eastAsia"/>
          <w:b/>
          <w:bCs/>
          <w:sz w:val="24"/>
        </w:rPr>
        <w:t>7.3.1</w:t>
      </w:r>
      <w:r>
        <w:rPr>
          <w:rFonts w:hint="eastAsia"/>
          <w:sz w:val="24"/>
        </w:rPr>
        <w:t xml:space="preserve"> 建筑</w:t>
      </w:r>
      <w:r>
        <w:rPr>
          <w:sz w:val="24"/>
        </w:rPr>
        <w:t>光伏</w:t>
      </w:r>
      <w:r>
        <w:rPr>
          <w:rFonts w:hint="eastAsia"/>
          <w:sz w:val="24"/>
        </w:rPr>
        <w:t>方阵电气系统设计，包括直流系统电压等级、逆变器接入组串或子方阵数量、方阵内线缆和组间线缆敷设等应符合现行国家标准《特殊装置或场所的要求 太阳能光伏（PV）电源系统》GB/T16895.32、地方标准《光伏建筑一体化设计要求》DB11/T 2037的有关规定。</w:t>
      </w:r>
    </w:p>
    <w:p w14:paraId="63678322">
      <w:pPr>
        <w:widowControl/>
        <w:spacing w:beforeLines="0" w:afterLines="0" w:line="300" w:lineRule="auto"/>
        <w:jc w:val="left"/>
        <w:rPr>
          <w:rFonts w:hint="eastAsia" w:eastAsia="宋体"/>
          <w:kern w:val="0"/>
          <w:sz w:val="24"/>
          <w:lang w:eastAsia="zh-CN"/>
        </w:rPr>
      </w:pPr>
      <w:r>
        <w:rPr>
          <w:rFonts w:hint="eastAsia"/>
          <w:b/>
          <w:bCs/>
          <w:sz w:val="24"/>
        </w:rPr>
        <w:t>7.3.2</w:t>
      </w:r>
      <w:r>
        <w:rPr>
          <w:rFonts w:hint="eastAsia"/>
          <w:sz w:val="24"/>
        </w:rPr>
        <w:t xml:space="preserve"> 建筑</w:t>
      </w:r>
      <w:r>
        <w:rPr>
          <w:sz w:val="24"/>
        </w:rPr>
        <w:t>光伏</w:t>
      </w:r>
      <w:r>
        <w:rPr>
          <w:rFonts w:hint="eastAsia"/>
          <w:sz w:val="24"/>
        </w:rPr>
        <w:t>方阵</w:t>
      </w:r>
      <w:r>
        <w:rPr>
          <w:rFonts w:hint="eastAsia"/>
          <w:kern w:val="0"/>
          <w:sz w:val="24"/>
        </w:rPr>
        <w:t>中同一组串中各光伏组件的电性能参数宜保持一致，同一组串光伏组件的短路电流和最大工作点电流的离散性应小于±5%，并联的各组串间总开路电压和最大功率点电压的离散性应小于±5%</w:t>
      </w:r>
      <w:r>
        <w:rPr>
          <w:rFonts w:hint="eastAsia"/>
          <w:kern w:val="0"/>
          <w:sz w:val="24"/>
          <w:lang w:eastAsia="zh-CN"/>
        </w:rPr>
        <w:t>，</w:t>
      </w:r>
      <w:r>
        <w:rPr>
          <w:rFonts w:hint="eastAsia"/>
          <w:sz w:val="24"/>
          <w:lang w:val="en-US" w:eastAsia="zh-CN"/>
        </w:rPr>
        <w:t>可</w:t>
      </w:r>
      <w:r>
        <w:rPr>
          <w:rFonts w:hint="eastAsia"/>
          <w:sz w:val="24"/>
        </w:rPr>
        <w:t>根据辐射量仿真结果，进行电气组串设计</w:t>
      </w:r>
      <w:r>
        <w:rPr>
          <w:rFonts w:hint="eastAsia"/>
          <w:sz w:val="24"/>
          <w:lang w:eastAsia="zh-CN"/>
        </w:rPr>
        <w:t>。</w:t>
      </w:r>
    </w:p>
    <w:p w14:paraId="5863A492">
      <w:pPr>
        <w:widowControl/>
        <w:spacing w:beforeLines="0" w:afterLines="0" w:line="300" w:lineRule="auto"/>
        <w:jc w:val="left"/>
        <w:rPr>
          <w:kern w:val="0"/>
          <w:sz w:val="24"/>
        </w:rPr>
      </w:pPr>
      <w:r>
        <w:rPr>
          <w:rFonts w:hint="eastAsia"/>
          <w:b/>
          <w:bCs/>
          <w:sz w:val="24"/>
        </w:rPr>
        <w:t xml:space="preserve">7.3.3 </w:t>
      </w:r>
      <w:r>
        <w:rPr>
          <w:rFonts w:hint="eastAsia"/>
          <w:sz w:val="24"/>
        </w:rPr>
        <w:t>建筑</w:t>
      </w:r>
      <w:r>
        <w:rPr>
          <w:rFonts w:hint="eastAsia"/>
          <w:kern w:val="0"/>
          <w:sz w:val="24"/>
        </w:rPr>
        <w:t>光伏方阵应根据控制设备的额定直流电压、最大功率跟踪控制范围、环境温度、光伏组件的最大输出工作电压及其温度系数，确定光伏组件的串联数。光伏组件串的串联数可按下列公式计算：</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7"/>
        <w:gridCol w:w="6177"/>
        <w:gridCol w:w="1348"/>
      </w:tblGrid>
      <w:tr w14:paraId="5A01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97" w:type="dxa"/>
            <w:vAlign w:val="center"/>
          </w:tcPr>
          <w:p w14:paraId="270145C2">
            <w:pPr>
              <w:pStyle w:val="2"/>
              <w:spacing w:beforeLines="0" w:after="0" w:afterLines="0" w:line="300" w:lineRule="auto"/>
              <w:jc w:val="center"/>
            </w:pPr>
          </w:p>
        </w:tc>
        <w:tc>
          <w:tcPr>
            <w:tcW w:w="6177" w:type="dxa"/>
            <w:vAlign w:val="center"/>
          </w:tcPr>
          <w:p w14:paraId="3611E8CD">
            <w:pPr>
              <w:pStyle w:val="2"/>
              <w:spacing w:beforeLines="0" w:after="0" w:afterLines="0" w:line="300" w:lineRule="auto"/>
              <w:jc w:val="center"/>
            </w:pPr>
            <w:r>
              <w:rPr>
                <w:position w:val="-30"/>
              </w:rPr>
              <w:object>
                <v:shape id="_x0000_i1034" o:spt="75" type="#_x0000_t75" style="height:34.1pt;width:129.1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p>
        </w:tc>
        <w:tc>
          <w:tcPr>
            <w:tcW w:w="1348" w:type="dxa"/>
            <w:vAlign w:val="center"/>
          </w:tcPr>
          <w:p w14:paraId="5309DA87">
            <w:pPr>
              <w:pStyle w:val="2"/>
              <w:spacing w:beforeLines="0" w:after="0" w:afterLines="0" w:line="300" w:lineRule="auto"/>
              <w:jc w:val="right"/>
            </w:pPr>
            <w:r>
              <w:rPr>
                <w:sz w:val="24"/>
              </w:rPr>
              <w:t>（</w:t>
            </w:r>
            <w:r>
              <w:rPr>
                <w:rFonts w:hint="eastAsia"/>
                <w:sz w:val="24"/>
              </w:rPr>
              <w:t>7.3.</w:t>
            </w:r>
            <w:r>
              <w:rPr>
                <w:rFonts w:hint="eastAsia"/>
                <w:sz w:val="24"/>
                <w:lang w:val="en-US" w:eastAsia="zh-CN"/>
              </w:rPr>
              <w:t>3</w:t>
            </w:r>
            <w:r>
              <w:rPr>
                <w:rFonts w:hint="eastAsia"/>
                <w:sz w:val="24"/>
              </w:rPr>
              <w:t>-1</w:t>
            </w:r>
            <w:r>
              <w:rPr>
                <w:sz w:val="24"/>
              </w:rPr>
              <w:t>）</w:t>
            </w:r>
          </w:p>
        </w:tc>
      </w:tr>
      <w:tr w14:paraId="0287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97" w:type="dxa"/>
            <w:vAlign w:val="center"/>
          </w:tcPr>
          <w:p w14:paraId="4362A28D">
            <w:pPr>
              <w:pStyle w:val="2"/>
              <w:spacing w:beforeLines="0" w:after="0" w:afterLines="0" w:line="300" w:lineRule="auto"/>
              <w:jc w:val="center"/>
            </w:pPr>
          </w:p>
        </w:tc>
        <w:tc>
          <w:tcPr>
            <w:tcW w:w="6177" w:type="dxa"/>
            <w:vAlign w:val="center"/>
          </w:tcPr>
          <w:p w14:paraId="37C4A096">
            <w:pPr>
              <w:pStyle w:val="2"/>
              <w:spacing w:beforeLines="0" w:after="0" w:afterLines="0" w:line="300" w:lineRule="auto"/>
              <w:jc w:val="center"/>
            </w:pPr>
            <w:r>
              <w:rPr>
                <w:position w:val="-32"/>
              </w:rPr>
              <w:object>
                <v:shape id="_x0000_i1035" o:spt="75" type="#_x0000_t75" style="height:36.95pt;width:275.05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p>
        </w:tc>
        <w:tc>
          <w:tcPr>
            <w:tcW w:w="1348" w:type="dxa"/>
            <w:vAlign w:val="center"/>
          </w:tcPr>
          <w:p w14:paraId="102AC170">
            <w:pPr>
              <w:pStyle w:val="2"/>
              <w:spacing w:beforeLines="0" w:after="0" w:afterLines="0" w:line="300" w:lineRule="auto"/>
              <w:jc w:val="right"/>
              <w:rPr>
                <w:sz w:val="24"/>
              </w:rPr>
            </w:pPr>
            <w:r>
              <w:rPr>
                <w:sz w:val="24"/>
              </w:rPr>
              <w:t>（</w:t>
            </w:r>
            <w:r>
              <w:rPr>
                <w:rFonts w:hint="eastAsia"/>
                <w:sz w:val="24"/>
              </w:rPr>
              <w:t>7.3.</w:t>
            </w:r>
            <w:r>
              <w:rPr>
                <w:rFonts w:hint="eastAsia"/>
                <w:sz w:val="24"/>
                <w:lang w:val="en-US" w:eastAsia="zh-CN"/>
              </w:rPr>
              <w:t>3</w:t>
            </w:r>
            <w:r>
              <w:rPr>
                <w:rFonts w:hint="eastAsia"/>
                <w:sz w:val="24"/>
              </w:rPr>
              <w:t>-2</w:t>
            </w:r>
            <w:r>
              <w:rPr>
                <w:sz w:val="24"/>
              </w:rPr>
              <w:t>）</w:t>
            </w:r>
          </w:p>
        </w:tc>
      </w:tr>
    </w:tbl>
    <w:p w14:paraId="0CCA69FC">
      <w:pPr>
        <w:spacing w:beforeLines="0" w:afterLines="0" w:line="300" w:lineRule="auto"/>
        <w:rPr>
          <w:sz w:val="24"/>
        </w:rPr>
      </w:pPr>
      <w:r>
        <w:rPr>
          <w:sz w:val="24"/>
        </w:rPr>
        <w:t>式中：</w:t>
      </w:r>
    </w:p>
    <w:p w14:paraId="20B17B1D">
      <w:pPr>
        <w:spacing w:beforeLines="0" w:afterLines="0" w:line="300" w:lineRule="auto"/>
        <w:ind w:firstLine="420" w:firstLineChars="200"/>
        <w:rPr>
          <w:sz w:val="24"/>
        </w:rPr>
      </w:pPr>
      <w:r>
        <w:rPr>
          <w:position w:val="-12"/>
        </w:rPr>
        <w:object>
          <v:shape id="_x0000_i1036" o:spt="75" type="#_x0000_t75" style="height:18.25pt;width:15.8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6" r:id="rId41">
            <o:LockedField>false</o:LockedField>
          </o:OLEObject>
        </w:object>
      </w:r>
      <w:r>
        <w:rPr>
          <w:sz w:val="24"/>
        </w:rPr>
        <w:t>——光伏组件的开路电压温度系数；</w:t>
      </w:r>
    </w:p>
    <w:p w14:paraId="69534CD3">
      <w:pPr>
        <w:spacing w:beforeLines="0" w:afterLines="0" w:line="300" w:lineRule="auto"/>
        <w:ind w:firstLine="420" w:firstLineChars="200"/>
        <w:rPr>
          <w:sz w:val="24"/>
        </w:rPr>
      </w:pPr>
      <w:r>
        <w:rPr>
          <w:position w:val="-12"/>
        </w:rPr>
        <w:object>
          <v:shape id="_x0000_i1037" o:spt="75" type="#_x0000_t75" style="height:19.2pt;width:15.8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7" r:id="rId43">
            <o:LockedField>false</o:LockedField>
          </o:OLEObject>
        </w:object>
      </w:r>
      <w:r>
        <w:rPr>
          <w:sz w:val="24"/>
        </w:rPr>
        <w:t>——光伏组件的工作电压温度系数；</w:t>
      </w:r>
    </w:p>
    <w:p w14:paraId="06C219B5">
      <w:pPr>
        <w:spacing w:beforeLines="0" w:afterLines="0" w:line="300" w:lineRule="auto"/>
        <w:ind w:firstLine="420" w:firstLineChars="200"/>
        <w:rPr>
          <w:sz w:val="24"/>
        </w:rPr>
      </w:pPr>
      <w:r>
        <w:rPr>
          <w:position w:val="-12"/>
        </w:rPr>
        <w:object>
          <v:shape id="_x0000_i1038" o:spt="75" type="#_x0000_t75" style="height:18.25pt;width:15.85pt;" o:ole="t" filled="f" o:preferrelative="t" stroked="f" coordsize="21600,21600">
            <v:path/>
            <v:fill on="f" focussize="0,0"/>
            <v:stroke on="f" joinstyle="miter"/>
            <v:imagedata r:id="rId46" o:title=""/>
            <o:lock v:ext="edit" aspectratio="t"/>
            <w10:wrap type="none"/>
            <w10:anchorlock/>
          </v:shape>
          <o:OLEObject Type="Embed" ProgID="Equation.DSMT4" ShapeID="_x0000_i1038" DrawAspect="Content" ObjectID="_1468075738" r:id="rId45">
            <o:LockedField>false</o:LockedField>
          </o:OLEObject>
        </w:object>
      </w:r>
      <w:r>
        <w:rPr>
          <w:sz w:val="24"/>
        </w:rPr>
        <w:t>——光伏组件的串联数（</w:t>
      </w:r>
      <w:r>
        <w:rPr>
          <w:position w:val="-12"/>
        </w:rPr>
        <w:object>
          <v:shape id="_x0000_i1039" o:spt="75" type="#_x0000_t75" style="height:18.25pt;width:15.85pt;" o:ole="t" filled="f" o:preferrelative="t" stroked="f" coordsize="21600,21600">
            <v:path/>
            <v:fill on="f" focussize="0,0"/>
            <v:stroke on="f" joinstyle="miter"/>
            <v:imagedata r:id="rId48" o:title=""/>
            <o:lock v:ext="edit" aspectratio="t"/>
            <w10:wrap type="none"/>
            <w10:anchorlock/>
          </v:shape>
          <o:OLEObject Type="Embed" ProgID="Equation.DSMT4" ShapeID="_x0000_i1039" DrawAspect="Content" ObjectID="_1468075739" r:id="rId47">
            <o:LockedField>false</o:LockedField>
          </o:OLEObject>
        </w:object>
      </w:r>
      <w:r>
        <w:rPr>
          <w:sz w:val="24"/>
        </w:rPr>
        <w:t>取整）；</w:t>
      </w:r>
    </w:p>
    <w:p w14:paraId="62049A00">
      <w:pPr>
        <w:spacing w:beforeLines="0" w:afterLines="0" w:line="300" w:lineRule="auto"/>
        <w:ind w:firstLine="420" w:firstLineChars="200"/>
        <w:rPr>
          <w:sz w:val="24"/>
        </w:rPr>
      </w:pPr>
      <w:r>
        <w:rPr>
          <w:position w:val="-12"/>
        </w:rPr>
        <w:object>
          <v:shape id="_x0000_i1040" o:spt="75" type="#_x0000_t75" style="height:18.25pt;width:18.25pt;" o:ole="t" filled="f" o:preferrelative="t" stroked="f" coordsize="21600,21600">
            <v:path/>
            <v:fill on="f" focussize="0,0"/>
            <v:stroke on="f" joinstyle="miter"/>
            <v:imagedata r:id="rId50" o:title=""/>
            <o:lock v:ext="edit" aspectratio="t"/>
            <w10:wrap type="none"/>
            <w10:anchorlock/>
          </v:shape>
          <o:OLEObject Type="Embed" ProgID="Equation.DSMT4" ShapeID="_x0000_i1040" DrawAspect="Content" ObjectID="_1468075740" r:id="rId49">
            <o:LockedField>false</o:LockedField>
          </o:OLEObject>
        </w:object>
      </w:r>
      <w:r>
        <w:rPr>
          <w:sz w:val="24"/>
        </w:rPr>
        <w:t>——光伏组件工作条件下的极限低温（</w:t>
      </w:r>
      <w:r>
        <w:rPr>
          <w:position w:val="-6"/>
        </w:rPr>
        <w:object>
          <v:shape id="_x0000_i1041" o:spt="75" type="#_x0000_t75" style="height:15.85pt;width:15.85pt;" o:ole="t" filled="f" o:preferrelative="t" stroked="f" coordsize="21600,21600">
            <v:path/>
            <v:fill on="f" focussize="0,0"/>
            <v:stroke on="f" joinstyle="miter"/>
            <v:imagedata r:id="rId52" o:title=""/>
            <o:lock v:ext="edit" aspectratio="t"/>
            <w10:wrap type="none"/>
            <w10:anchorlock/>
          </v:shape>
          <o:OLEObject Type="Embed" ProgID="Equation.DSMT4" ShapeID="_x0000_i1041" DrawAspect="Content" ObjectID="_1468075741" r:id="rId51">
            <o:LockedField>false</o:LockedField>
          </o:OLEObject>
        </w:object>
      </w:r>
      <w:r>
        <w:rPr>
          <w:sz w:val="24"/>
        </w:rPr>
        <w:t>）；</w:t>
      </w:r>
    </w:p>
    <w:p w14:paraId="7F575A25">
      <w:pPr>
        <w:spacing w:beforeLines="0" w:afterLines="0" w:line="300" w:lineRule="auto"/>
        <w:ind w:firstLine="420" w:firstLineChars="200"/>
        <w:rPr>
          <w:sz w:val="24"/>
        </w:rPr>
      </w:pPr>
      <w:r>
        <w:rPr>
          <w:position w:val="-12"/>
        </w:rPr>
        <w:object>
          <v:shape id="_x0000_i1042" o:spt="75" type="#_x0000_t75" style="height:18.25pt;width:19.2pt;" o:ole="t" filled="f" o:preferrelative="t" stroked="f" coordsize="21600,21600">
            <v:path/>
            <v:fill on="f" focussize="0,0"/>
            <v:stroke on="f" joinstyle="miter"/>
            <v:imagedata r:id="rId54" o:title=""/>
            <o:lock v:ext="edit" aspectratio="t"/>
            <w10:wrap type="none"/>
            <w10:anchorlock/>
          </v:shape>
          <o:OLEObject Type="Embed" ProgID="Equation.DSMT4" ShapeID="_x0000_i1042" DrawAspect="Content" ObjectID="_1468075742" r:id="rId53">
            <o:LockedField>false</o:LockedField>
          </o:OLEObject>
        </w:object>
      </w:r>
      <w:r>
        <w:rPr>
          <w:sz w:val="24"/>
        </w:rPr>
        <w:t>——光伏组件工作条件下的极限高温（</w:t>
      </w:r>
      <w:r>
        <w:rPr>
          <w:position w:val="-6"/>
        </w:rPr>
        <w:object>
          <v:shape id="_x0000_i1043" o:spt="75" type="#_x0000_t75" style="height:15.85pt;width:15.85pt;" o:ole="t" filled="f" o:preferrelative="t" stroked="f" coordsize="21600,21600">
            <v:path/>
            <v:fill on="f" focussize="0,0"/>
            <v:stroke on="f" joinstyle="miter"/>
            <v:imagedata r:id="rId52" o:title=""/>
            <o:lock v:ext="edit" aspectratio="t"/>
            <w10:wrap type="none"/>
            <w10:anchorlock/>
          </v:shape>
          <o:OLEObject Type="Embed" ProgID="Equation.DSMT4" ShapeID="_x0000_i1043" DrawAspect="Content" ObjectID="_1468075743" r:id="rId55">
            <o:LockedField>false</o:LockedField>
          </o:OLEObject>
        </w:object>
      </w:r>
      <w:r>
        <w:rPr>
          <w:sz w:val="24"/>
        </w:rPr>
        <w:t>）；</w:t>
      </w:r>
    </w:p>
    <w:p w14:paraId="08468385">
      <w:pPr>
        <w:spacing w:beforeLines="0" w:afterLines="0" w:line="300" w:lineRule="auto"/>
        <w:ind w:firstLine="420" w:firstLineChars="200"/>
        <w:rPr>
          <w:sz w:val="24"/>
        </w:rPr>
      </w:pPr>
      <w:r>
        <w:rPr>
          <w:position w:val="-12"/>
        </w:rPr>
        <w:object>
          <v:shape id="_x0000_i1044" o:spt="75" type="#_x0000_t75" style="height:18.25pt;width:28.8pt;" o:ole="t" filled="f" o:preferrelative="t" stroked="f" coordsize="21600,21600">
            <v:path/>
            <v:fill on="f" focussize="0,0"/>
            <v:stroke on="f" joinstyle="miter"/>
            <v:imagedata r:id="rId57" o:title=""/>
            <o:lock v:ext="edit" aspectratio="t"/>
            <w10:wrap type="none"/>
            <w10:anchorlock/>
          </v:shape>
          <o:OLEObject Type="Embed" ProgID="Equation.DSMT4" ShapeID="_x0000_i1044" DrawAspect="Content" ObjectID="_1468075744" r:id="rId56">
            <o:LockedField>false</o:LockedField>
          </o:OLEObject>
        </w:object>
      </w:r>
      <w:r>
        <w:rPr>
          <w:sz w:val="24"/>
        </w:rPr>
        <w:t>——逆变器允许的最大直流输入电压（V）；</w:t>
      </w:r>
    </w:p>
    <w:p w14:paraId="65F85B4F">
      <w:pPr>
        <w:spacing w:beforeLines="0" w:afterLines="0" w:line="300" w:lineRule="auto"/>
        <w:ind w:firstLine="420" w:firstLineChars="200"/>
        <w:rPr>
          <w:sz w:val="24"/>
        </w:rPr>
      </w:pPr>
      <w:r>
        <w:rPr>
          <w:position w:val="-14"/>
        </w:rPr>
        <w:object>
          <v:shape id="_x0000_i1045" o:spt="75" type="#_x0000_t75" style="height:19.2pt;width:36.95pt;" o:ole="t" filled="f" o:preferrelative="t" stroked="f" coordsize="21600,21600">
            <v:path/>
            <v:fill on="f" focussize="0,0"/>
            <v:stroke on="f" joinstyle="miter"/>
            <v:imagedata r:id="rId59" o:title=""/>
            <o:lock v:ext="edit" aspectratio="t"/>
            <w10:wrap type="none"/>
            <w10:anchorlock/>
          </v:shape>
          <o:OLEObject Type="Embed" ProgID="Equation.DSMT4" ShapeID="_x0000_i1045" DrawAspect="Content" ObjectID="_1468075745" r:id="rId58">
            <o:LockedField>false</o:LockedField>
          </o:OLEObject>
        </w:object>
      </w:r>
      <w:r>
        <w:rPr>
          <w:sz w:val="24"/>
        </w:rPr>
        <w:t>——逆变器MPPT电压最大值（V）；</w:t>
      </w:r>
    </w:p>
    <w:p w14:paraId="22C86458">
      <w:pPr>
        <w:spacing w:beforeLines="0" w:afterLines="0" w:line="300" w:lineRule="auto"/>
        <w:ind w:firstLine="420" w:firstLineChars="200"/>
        <w:rPr>
          <w:sz w:val="24"/>
        </w:rPr>
      </w:pPr>
      <w:r>
        <w:rPr>
          <w:position w:val="-14"/>
        </w:rPr>
        <w:object>
          <v:shape id="_x0000_i1046" o:spt="75" type="#_x0000_t75" style="height:19.2pt;width:36pt;" o:ole="t" filled="f" o:preferrelative="t" stroked="f" coordsize="21600,21600">
            <v:path/>
            <v:fill on="f" focussize="0,0"/>
            <v:stroke on="f" joinstyle="miter"/>
            <v:imagedata r:id="rId61" o:title=""/>
            <o:lock v:ext="edit" aspectratio="t"/>
            <w10:wrap type="none"/>
            <w10:anchorlock/>
          </v:shape>
          <o:OLEObject Type="Embed" ProgID="Equation.DSMT4" ShapeID="_x0000_i1046" DrawAspect="Content" ObjectID="_1468075746" r:id="rId60">
            <o:LockedField>false</o:LockedField>
          </o:OLEObject>
        </w:object>
      </w:r>
      <w:r>
        <w:rPr>
          <w:sz w:val="24"/>
        </w:rPr>
        <w:t>——逆变器MPPT电压最小值（V）；</w:t>
      </w:r>
    </w:p>
    <w:p w14:paraId="1E6DDD35">
      <w:pPr>
        <w:spacing w:beforeLines="0" w:afterLines="0" w:line="300" w:lineRule="auto"/>
        <w:ind w:firstLine="420" w:firstLineChars="200"/>
        <w:rPr>
          <w:sz w:val="24"/>
        </w:rPr>
      </w:pPr>
      <w:r>
        <w:rPr>
          <w:position w:val="-12"/>
        </w:rPr>
        <w:object>
          <v:shape id="_x0000_i1047" o:spt="75" type="#_x0000_t75" style="height:18.25pt;width:15.85pt;" o:ole="t" filled="f" o:preferrelative="t" stroked="f" coordsize="21600,21600">
            <v:path/>
            <v:fill on="f" focussize="0,0"/>
            <v:stroke on="f" joinstyle="miter"/>
            <v:imagedata r:id="rId63" o:title=""/>
            <o:lock v:ext="edit" aspectratio="t"/>
            <w10:wrap type="none"/>
            <w10:anchorlock/>
          </v:shape>
          <o:OLEObject Type="Embed" ProgID="Equation.DSMT4" ShapeID="_x0000_i1047" DrawAspect="Content" ObjectID="_1468075747" r:id="rId62">
            <o:LockedField>false</o:LockedField>
          </o:OLEObject>
        </w:object>
      </w:r>
      <w:r>
        <w:rPr>
          <w:sz w:val="24"/>
        </w:rPr>
        <w:t>——光伏组件的开路电压（V）；</w:t>
      </w:r>
    </w:p>
    <w:p w14:paraId="0CAFDC40">
      <w:pPr>
        <w:spacing w:beforeLines="0" w:afterLines="0" w:line="300" w:lineRule="auto"/>
        <w:ind w:firstLine="420" w:firstLineChars="200"/>
        <w:rPr>
          <w:rFonts w:hint="eastAsia" w:eastAsia="宋体"/>
          <w:sz w:val="24"/>
          <w:lang w:eastAsia="zh-CN"/>
        </w:rPr>
      </w:pPr>
      <w:r>
        <w:rPr>
          <w:position w:val="-14"/>
        </w:rPr>
        <w:object>
          <v:shape id="_x0000_i1048" o:spt="75" type="#_x0000_t75" style="height:19.2pt;width:19.2pt;" o:ole="t" filled="f" o:preferrelative="t" stroked="f" coordsize="21600,21600">
            <v:path/>
            <v:fill on="f" focussize="0,0"/>
            <v:stroke on="f" joinstyle="miter"/>
            <v:imagedata r:id="rId65" o:title=""/>
            <o:lock v:ext="edit" aspectratio="t"/>
            <w10:wrap type="none"/>
            <w10:anchorlock/>
          </v:shape>
          <o:OLEObject Type="Embed" ProgID="Equation.DSMT4" ShapeID="_x0000_i1048" DrawAspect="Content" ObjectID="_1468075748" r:id="rId64">
            <o:LockedField>false</o:LockedField>
          </o:OLEObject>
        </w:object>
      </w:r>
      <w:r>
        <w:rPr>
          <w:sz w:val="24"/>
        </w:rPr>
        <w:t>——光伏组件的工作电压（V）</w:t>
      </w:r>
      <w:r>
        <w:rPr>
          <w:rFonts w:hint="eastAsia"/>
          <w:sz w:val="24"/>
          <w:lang w:val="en-US" w:eastAsia="zh-CN"/>
        </w:rPr>
        <w:t>。</w:t>
      </w:r>
    </w:p>
    <w:p w14:paraId="64EC3F38">
      <w:pPr>
        <w:widowControl/>
        <w:spacing w:beforeLines="0" w:afterLines="0" w:line="300" w:lineRule="auto"/>
        <w:jc w:val="left"/>
        <w:rPr>
          <w:kern w:val="0"/>
          <w:sz w:val="24"/>
        </w:rPr>
      </w:pPr>
      <w:r>
        <w:rPr>
          <w:rFonts w:hint="eastAsia"/>
          <w:b/>
          <w:bCs/>
          <w:sz w:val="24"/>
        </w:rPr>
        <w:t>7.3.4</w:t>
      </w:r>
      <w:r>
        <w:rPr>
          <w:rFonts w:hint="eastAsia"/>
          <w:sz w:val="24"/>
        </w:rPr>
        <w:t xml:space="preserve"> 建筑</w:t>
      </w:r>
      <w:r>
        <w:rPr>
          <w:rFonts w:hint="eastAsia"/>
          <w:kern w:val="0"/>
          <w:sz w:val="24"/>
        </w:rPr>
        <w:t>光伏组件串的并联数应根据总装机容量及光伏组件串的容量确定。光伏组件并联数可按下式计算：</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A34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840" w:type="dxa"/>
            <w:vAlign w:val="center"/>
          </w:tcPr>
          <w:p w14:paraId="653C69CA">
            <w:pPr>
              <w:pStyle w:val="2"/>
              <w:spacing w:beforeLines="0" w:after="0" w:afterLines="0" w:line="300" w:lineRule="auto"/>
              <w:jc w:val="center"/>
            </w:pPr>
          </w:p>
        </w:tc>
        <w:tc>
          <w:tcPr>
            <w:tcW w:w="2841" w:type="dxa"/>
            <w:vAlign w:val="center"/>
          </w:tcPr>
          <w:p w14:paraId="684B752C">
            <w:pPr>
              <w:pStyle w:val="2"/>
              <w:spacing w:beforeLines="0" w:after="0" w:afterLines="0" w:line="300" w:lineRule="auto"/>
              <w:jc w:val="center"/>
            </w:pPr>
            <w:r>
              <w:rPr>
                <w:position w:val="-30"/>
              </w:rPr>
              <w:object>
                <v:shape id="_x0000_i1049" o:spt="75" type="#_x0000_t75" style="height:34.1pt;width:68.15pt;" o:ole="t" filled="f" o:preferrelative="t" stroked="f" coordsize="21600,21600">
                  <v:path/>
                  <v:fill on="f" focussize="0,0"/>
                  <v:stroke on="f" joinstyle="miter"/>
                  <v:imagedata r:id="rId67" o:title=""/>
                  <o:lock v:ext="edit" aspectratio="t"/>
                  <w10:wrap type="none"/>
                  <w10:anchorlock/>
                </v:shape>
                <o:OLEObject Type="Embed" ProgID="Equation.DSMT4" ShapeID="_x0000_i1049" DrawAspect="Content" ObjectID="_1468075749" r:id="rId66">
                  <o:LockedField>false</o:LockedField>
                </o:OLEObject>
              </w:object>
            </w:r>
          </w:p>
        </w:tc>
        <w:tc>
          <w:tcPr>
            <w:tcW w:w="2841" w:type="dxa"/>
            <w:vAlign w:val="center"/>
          </w:tcPr>
          <w:p w14:paraId="63233719">
            <w:pPr>
              <w:pStyle w:val="2"/>
              <w:spacing w:beforeLines="0" w:after="0" w:afterLines="0" w:line="300" w:lineRule="auto"/>
              <w:jc w:val="right"/>
            </w:pPr>
            <w:r>
              <w:rPr>
                <w:sz w:val="24"/>
              </w:rPr>
              <w:t>（</w:t>
            </w:r>
            <w:r>
              <w:rPr>
                <w:rFonts w:hint="eastAsia"/>
                <w:sz w:val="24"/>
              </w:rPr>
              <w:t>7.3.</w:t>
            </w:r>
            <w:r>
              <w:rPr>
                <w:rFonts w:hint="eastAsia"/>
                <w:sz w:val="24"/>
                <w:lang w:val="en-US" w:eastAsia="zh-CN"/>
              </w:rPr>
              <w:t>4</w:t>
            </w:r>
            <w:r>
              <w:rPr>
                <w:sz w:val="24"/>
              </w:rPr>
              <w:t>）</w:t>
            </w:r>
          </w:p>
        </w:tc>
      </w:tr>
    </w:tbl>
    <w:p w14:paraId="36FD9EAE">
      <w:pPr>
        <w:spacing w:beforeLines="0" w:afterLines="0" w:line="300" w:lineRule="auto"/>
        <w:rPr>
          <w:sz w:val="24"/>
        </w:rPr>
      </w:pPr>
      <w:r>
        <w:rPr>
          <w:sz w:val="24"/>
        </w:rPr>
        <w:t>式中：</w:t>
      </w:r>
    </w:p>
    <w:p w14:paraId="55FE4132">
      <w:pPr>
        <w:spacing w:beforeLines="0" w:afterLines="0" w:line="300" w:lineRule="auto"/>
        <w:ind w:firstLine="420" w:firstLineChars="200"/>
        <w:rPr>
          <w:sz w:val="24"/>
        </w:rPr>
      </w:pPr>
      <w:r>
        <w:rPr>
          <w:position w:val="-14"/>
        </w:rPr>
        <w:object>
          <v:shape id="_x0000_i1050" o:spt="75" type="#_x0000_t75" style="height:19.2pt;width:18.25pt;" o:ole="t" filled="f" o:preferrelative="t" stroked="f" coordsize="21600,21600">
            <v:path/>
            <v:fill on="f" focussize="0,0"/>
            <v:stroke on="f" joinstyle="miter"/>
            <v:imagedata r:id="rId69" o:title=""/>
            <o:lock v:ext="edit" aspectratio="t"/>
            <w10:wrap type="none"/>
            <w10:anchorlock/>
          </v:shape>
          <o:OLEObject Type="Embed" ProgID="Equation.DSMT4" ShapeID="_x0000_i1050" DrawAspect="Content" ObjectID="_1468075750" r:id="rId68">
            <o:LockedField>false</o:LockedField>
          </o:OLEObject>
        </w:object>
      </w:r>
      <w:r>
        <w:rPr>
          <w:sz w:val="24"/>
        </w:rPr>
        <w:t>——光伏组件并联个数；</w:t>
      </w:r>
    </w:p>
    <w:p w14:paraId="05D866C1">
      <w:pPr>
        <w:spacing w:beforeLines="0" w:afterLines="0" w:line="300" w:lineRule="auto"/>
        <w:ind w:firstLine="420" w:firstLineChars="200"/>
        <w:rPr>
          <w:sz w:val="24"/>
        </w:rPr>
      </w:pPr>
      <w:r>
        <w:rPr>
          <w:position w:val="-12"/>
        </w:rPr>
        <w:object>
          <v:shape id="_x0000_i1051" o:spt="75" type="#_x0000_t75" style="height:18.25pt;width:12.95pt;" o:ole="t" filled="f" o:preferrelative="t" stroked="f" coordsize="21600,21600">
            <v:path/>
            <v:fill on="f" focussize="0,0"/>
            <v:stroke on="f" joinstyle="miter"/>
            <v:imagedata r:id="rId71" o:title=""/>
            <o:lock v:ext="edit" aspectratio="t"/>
            <w10:wrap type="none"/>
            <w10:anchorlock/>
          </v:shape>
          <o:OLEObject Type="Embed" ProgID="Equation.DSMT4" ShapeID="_x0000_i1051" DrawAspect="Content" ObjectID="_1468075751" r:id="rId70">
            <o:LockedField>false</o:LockedField>
          </o:OLEObject>
        </w:object>
      </w:r>
      <w:r>
        <w:rPr>
          <w:sz w:val="24"/>
        </w:rPr>
        <w:t>——系统输出总功率（Wp）；</w:t>
      </w:r>
    </w:p>
    <w:p w14:paraId="477F1112">
      <w:pPr>
        <w:spacing w:beforeLines="0" w:afterLines="0" w:line="300" w:lineRule="auto"/>
        <w:ind w:firstLine="420" w:firstLineChars="200"/>
        <w:rPr>
          <w:sz w:val="24"/>
        </w:rPr>
      </w:pPr>
      <w:r>
        <w:rPr>
          <w:position w:val="-12"/>
        </w:rPr>
        <w:object>
          <v:shape id="_x0000_i1052" o:spt="75" type="#_x0000_t75" style="height:18.25pt;width:14.9pt;" o:ole="t" filled="f" o:preferrelative="t" stroked="f" coordsize="21600,21600">
            <v:path/>
            <v:fill on="f" focussize="0,0"/>
            <v:stroke on="f" joinstyle="miter"/>
            <v:imagedata r:id="rId73" o:title=""/>
            <o:lock v:ext="edit" aspectratio="t"/>
            <w10:wrap type="none"/>
            <w10:anchorlock/>
          </v:shape>
          <o:OLEObject Type="Embed" ProgID="Equation.DSMT4" ShapeID="_x0000_i1052" DrawAspect="Content" ObjectID="_1468075752" r:id="rId72">
            <o:LockedField>false</o:LockedField>
          </o:OLEObject>
        </w:object>
      </w:r>
      <w:r>
        <w:rPr>
          <w:sz w:val="24"/>
        </w:rPr>
        <w:t>——单个组件最大输出功率（Wp）；</w:t>
      </w:r>
    </w:p>
    <w:p w14:paraId="59841443">
      <w:pPr>
        <w:spacing w:beforeLines="0" w:afterLines="0" w:line="300" w:lineRule="auto"/>
        <w:ind w:firstLine="420" w:firstLineChars="200"/>
        <w:rPr>
          <w:sz w:val="24"/>
        </w:rPr>
      </w:pPr>
      <w:r>
        <w:rPr>
          <w:position w:val="-12"/>
        </w:rPr>
        <w:object>
          <v:shape id="_x0000_i1053" o:spt="75" type="#_x0000_t75" style="height:18.25pt;width:15.85pt;" o:ole="t" filled="f" o:preferrelative="t" stroked="f" coordsize="21600,21600">
            <v:path/>
            <v:fill on="f" focussize="0,0"/>
            <v:stroke on="f" joinstyle="miter"/>
            <v:imagedata r:id="rId75" o:title=""/>
            <o:lock v:ext="edit" aspectratio="t"/>
            <w10:wrap type="none"/>
            <w10:anchorlock/>
          </v:shape>
          <o:OLEObject Type="Embed" ProgID="Equation.DSMT4" ShapeID="_x0000_i1053" DrawAspect="Content" ObjectID="_1468075753" r:id="rId74">
            <o:LockedField>false</o:LockedField>
          </o:OLEObject>
        </w:object>
      </w:r>
      <w:r>
        <w:rPr>
          <w:sz w:val="24"/>
        </w:rPr>
        <w:t>——组件串联个数。</w:t>
      </w:r>
    </w:p>
    <w:p w14:paraId="77AB516B">
      <w:pPr>
        <w:pStyle w:val="2"/>
        <w:spacing w:beforeLines="0" w:after="0" w:afterLines="0" w:line="300" w:lineRule="auto"/>
        <w:rPr>
          <w:sz w:val="24"/>
        </w:rPr>
      </w:pPr>
      <w:r>
        <w:rPr>
          <w:rFonts w:hint="eastAsia"/>
          <w:b/>
          <w:bCs/>
          <w:sz w:val="24"/>
        </w:rPr>
        <w:t>7.3.</w:t>
      </w:r>
      <w:r>
        <w:rPr>
          <w:rFonts w:hint="eastAsia"/>
          <w:b/>
          <w:bCs/>
          <w:sz w:val="24"/>
          <w:lang w:val="en-US" w:eastAsia="zh-CN"/>
        </w:rPr>
        <w:t>5</w:t>
      </w:r>
      <w:r>
        <w:rPr>
          <w:rFonts w:hint="eastAsia"/>
          <w:b/>
          <w:bCs/>
          <w:sz w:val="24"/>
        </w:rPr>
        <w:t xml:space="preserve"> </w:t>
      </w:r>
      <w:r>
        <w:rPr>
          <w:rFonts w:hint="eastAsia"/>
          <w:sz w:val="24"/>
        </w:rPr>
        <w:t>建筑光伏发电系统的变压器及配电设备的选型、结构与布置等应符合现行国家标准《建筑光伏系统应用技术标准》GB/T 51368的有关规定。</w:t>
      </w:r>
    </w:p>
    <w:p w14:paraId="25DF21F0">
      <w:pPr>
        <w:pStyle w:val="2"/>
        <w:spacing w:beforeLines="0" w:after="0" w:afterLines="0" w:line="300" w:lineRule="auto"/>
        <w:rPr>
          <w:sz w:val="24"/>
        </w:rPr>
      </w:pPr>
      <w:r>
        <w:rPr>
          <w:rFonts w:hint="eastAsia"/>
          <w:b/>
          <w:bCs/>
          <w:sz w:val="24"/>
        </w:rPr>
        <w:t>7.3.</w:t>
      </w:r>
      <w:r>
        <w:rPr>
          <w:rFonts w:hint="eastAsia"/>
          <w:b/>
          <w:bCs/>
          <w:sz w:val="24"/>
          <w:lang w:val="en-US" w:eastAsia="zh-CN"/>
        </w:rPr>
        <w:t>6</w:t>
      </w:r>
      <w:r>
        <w:rPr>
          <w:rFonts w:hint="eastAsia"/>
          <w:sz w:val="24"/>
        </w:rPr>
        <w:t xml:space="preserve"> 建筑光伏发电系统的电缆敷设应符合现行国家标准《建筑光伏系统应用技术标准》GB/T 51368的有关规定。</w:t>
      </w:r>
    </w:p>
    <w:p w14:paraId="2047E868">
      <w:pPr>
        <w:keepNext/>
        <w:keepLines/>
        <w:snapToGrid w:val="0"/>
        <w:spacing w:before="0" w:beforeLines="0" w:after="0" w:afterLines="0" w:line="300" w:lineRule="auto"/>
        <w:jc w:val="center"/>
        <w:outlineLvl w:val="2"/>
        <w:rPr>
          <w:b/>
          <w:sz w:val="24"/>
          <w:szCs w:val="32"/>
        </w:rPr>
      </w:pPr>
      <w:bookmarkStart w:id="252" w:name="_Toc12206"/>
      <w:bookmarkStart w:id="253" w:name="_Toc11112"/>
      <w:bookmarkStart w:id="254" w:name="_Toc10020"/>
      <w:bookmarkStart w:id="255" w:name="_Toc14311"/>
      <w:bookmarkStart w:id="256" w:name="_Toc20501"/>
      <w:bookmarkStart w:id="257" w:name="_Toc24955"/>
      <w:r>
        <w:rPr>
          <w:rFonts w:hint="default"/>
          <w:b/>
          <w:sz w:val="24"/>
          <w:szCs w:val="32"/>
        </w:rPr>
        <w:t>7.4光伏发电系统发电量估算</w:t>
      </w:r>
      <w:bookmarkEnd w:id="252"/>
      <w:bookmarkEnd w:id="253"/>
      <w:bookmarkEnd w:id="254"/>
      <w:bookmarkEnd w:id="255"/>
      <w:bookmarkEnd w:id="256"/>
      <w:bookmarkEnd w:id="257"/>
    </w:p>
    <w:p w14:paraId="4D37A9B8">
      <w:pPr>
        <w:spacing w:beforeLines="0" w:afterLines="0" w:line="300" w:lineRule="auto"/>
        <w:rPr>
          <w:sz w:val="24"/>
        </w:rPr>
      </w:pPr>
      <w:r>
        <w:rPr>
          <w:rFonts w:hint="eastAsia"/>
          <w:b/>
          <w:bCs/>
          <w:sz w:val="24"/>
        </w:rPr>
        <w:t>7.4.1</w:t>
      </w:r>
      <w:r>
        <w:rPr>
          <w:rFonts w:hint="eastAsia"/>
          <w:sz w:val="24"/>
        </w:rPr>
        <w:t xml:space="preserve"> 光伏系统分单元发电量估算应根据站址所在地的太阳能资源情况并考虑光伏系统设计、光伏方阵布置和环境条件等各种因素后确定。具体可按下式计算：</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22A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40" w:type="dxa"/>
            <w:vAlign w:val="center"/>
          </w:tcPr>
          <w:p w14:paraId="1A19C4CC">
            <w:pPr>
              <w:pStyle w:val="2"/>
              <w:spacing w:beforeLines="0" w:after="0" w:afterLines="0" w:line="300" w:lineRule="auto"/>
              <w:jc w:val="center"/>
            </w:pPr>
          </w:p>
        </w:tc>
        <w:tc>
          <w:tcPr>
            <w:tcW w:w="2841" w:type="dxa"/>
            <w:vAlign w:val="center"/>
          </w:tcPr>
          <w:p w14:paraId="386B2A77">
            <w:pPr>
              <w:pStyle w:val="2"/>
              <w:spacing w:beforeLines="0" w:after="0" w:afterLines="0" w:line="300" w:lineRule="auto"/>
              <w:jc w:val="center"/>
            </w:pPr>
            <w:r>
              <w:rPr>
                <w:position w:val="-30"/>
              </w:rPr>
              <w:object>
                <v:shape id="_x0000_i1054" o:spt="75" type="#_x0000_t75" style="height:34.1pt;width:86.9pt;" o:ole="t" filled="f" o:preferrelative="t" stroked="f" coordsize="21600,21600">
                  <v:path/>
                  <v:fill on="f" focussize="0,0"/>
                  <v:stroke on="f" joinstyle="miter"/>
                  <v:imagedata r:id="rId77" o:title=""/>
                  <o:lock v:ext="edit" aspectratio="t"/>
                  <w10:wrap type="none"/>
                  <w10:anchorlock/>
                </v:shape>
                <o:OLEObject Type="Embed" ProgID="Equation.DSMT4" ShapeID="_x0000_i1054" DrawAspect="Content" ObjectID="_1468075754" r:id="rId76">
                  <o:LockedField>false</o:LockedField>
                </o:OLEObject>
              </w:object>
            </w:r>
          </w:p>
        </w:tc>
        <w:tc>
          <w:tcPr>
            <w:tcW w:w="2841" w:type="dxa"/>
            <w:vAlign w:val="center"/>
          </w:tcPr>
          <w:p w14:paraId="2753F3B7">
            <w:pPr>
              <w:pStyle w:val="2"/>
              <w:spacing w:beforeLines="0" w:after="0" w:afterLines="0" w:line="300" w:lineRule="auto"/>
              <w:jc w:val="right"/>
            </w:pPr>
            <w:r>
              <w:rPr>
                <w:sz w:val="24"/>
              </w:rPr>
              <w:t>（</w:t>
            </w:r>
            <w:r>
              <w:rPr>
                <w:rFonts w:hint="eastAsia"/>
                <w:sz w:val="24"/>
              </w:rPr>
              <w:t>7.4.1</w:t>
            </w:r>
            <w:r>
              <w:rPr>
                <w:sz w:val="24"/>
              </w:rPr>
              <w:t>）</w:t>
            </w:r>
          </w:p>
        </w:tc>
      </w:tr>
    </w:tbl>
    <w:p w14:paraId="28EF4432">
      <w:pPr>
        <w:spacing w:beforeLines="0" w:afterLines="0" w:line="300" w:lineRule="auto"/>
        <w:rPr>
          <w:sz w:val="24"/>
        </w:rPr>
      </w:pPr>
      <w:r>
        <w:rPr>
          <w:rFonts w:hint="eastAsia"/>
          <w:sz w:val="24"/>
        </w:rPr>
        <w:t>式中：</w:t>
      </w:r>
    </w:p>
    <w:p w14:paraId="6E073B89">
      <w:pPr>
        <w:spacing w:beforeLines="0" w:afterLines="0" w:line="300" w:lineRule="auto"/>
        <w:ind w:firstLine="840" w:firstLineChars="400"/>
        <w:rPr>
          <w:sz w:val="24"/>
        </w:rPr>
      </w:pPr>
      <w:r>
        <w:rPr>
          <w:position w:val="-12"/>
        </w:rPr>
        <w:object>
          <v:shape id="_x0000_i1055" o:spt="75" type="#_x0000_t75" style="height:18.25pt;width:16.8pt;" o:ole="t" filled="f" o:preferrelative="t" stroked="f" coordsize="21600,21600">
            <v:path/>
            <v:fill on="f" focussize="0,0"/>
            <v:stroke on="f" joinstyle="miter"/>
            <v:imagedata r:id="rId79" o:title=""/>
            <o:lock v:ext="edit" aspectratio="t"/>
            <w10:wrap type="none"/>
            <w10:anchorlock/>
          </v:shape>
          <o:OLEObject Type="Embed" ProgID="Equation.DSMT4" ShapeID="_x0000_i1055" DrawAspect="Content" ObjectID="_1468075755" r:id="rId78">
            <o:LockedField>false</o:LockedField>
          </o:OLEObject>
        </w:object>
      </w:r>
      <w:r>
        <w:rPr>
          <w:sz w:val="24"/>
        </w:rPr>
        <w:t>——</w:t>
      </w:r>
      <w:r>
        <w:rPr>
          <w:rFonts w:hint="eastAsia"/>
          <w:sz w:val="24"/>
        </w:rPr>
        <w:t>水平面太阳能总辐照量（kW</w:t>
      </w:r>
      <w:r>
        <w:rPr>
          <w:rFonts w:hint="default" w:ascii="Times New Roman" w:hAnsi="Times New Roman" w:cs="Times New Roman"/>
          <w:sz w:val="24"/>
        </w:rPr>
        <w:t>·</w:t>
      </w:r>
      <w:r>
        <w:rPr>
          <w:rFonts w:hint="eastAsia"/>
          <w:sz w:val="24"/>
        </w:rPr>
        <w:t>h/m</w:t>
      </w:r>
      <w:r>
        <w:rPr>
          <w:rFonts w:hint="eastAsia"/>
          <w:sz w:val="24"/>
          <w:vertAlign w:val="superscript"/>
        </w:rPr>
        <w:t>2</w:t>
      </w:r>
      <w:r>
        <w:rPr>
          <w:rFonts w:hint="eastAsia"/>
          <w:sz w:val="24"/>
        </w:rPr>
        <w:t>，峰值小时数）；</w:t>
      </w:r>
    </w:p>
    <w:p w14:paraId="579669A5">
      <w:pPr>
        <w:spacing w:beforeLines="0" w:afterLines="0" w:line="300" w:lineRule="auto"/>
        <w:ind w:firstLine="840" w:firstLineChars="400"/>
        <w:rPr>
          <w:sz w:val="24"/>
        </w:rPr>
      </w:pPr>
      <w:r>
        <w:rPr>
          <w:position w:val="-12"/>
        </w:rPr>
        <w:object>
          <v:shape id="_x0000_i1056" o:spt="75" type="#_x0000_t75" style="height:18.25pt;width:12.95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56" r:id="rId80">
            <o:LockedField>false</o:LockedField>
          </o:OLEObject>
        </w:object>
      </w:r>
      <w:r>
        <w:rPr>
          <w:sz w:val="24"/>
        </w:rPr>
        <w:t>——</w:t>
      </w:r>
      <w:r>
        <w:rPr>
          <w:rFonts w:hint="eastAsia"/>
          <w:sz w:val="24"/>
        </w:rPr>
        <w:t>第i单元上网发电量（kW</w:t>
      </w:r>
      <w:r>
        <w:rPr>
          <w:rFonts w:hint="default" w:ascii="Times New Roman" w:hAnsi="Times New Roman" w:cs="Times New Roman"/>
          <w:sz w:val="24"/>
        </w:rPr>
        <w:t>·</w:t>
      </w:r>
      <w:r>
        <w:rPr>
          <w:rFonts w:hint="eastAsia"/>
          <w:sz w:val="24"/>
        </w:rPr>
        <w:t>h）；</w:t>
      </w:r>
    </w:p>
    <w:p w14:paraId="7B1BD0C5">
      <w:pPr>
        <w:spacing w:beforeLines="0" w:afterLines="0" w:line="300" w:lineRule="auto"/>
        <w:ind w:firstLine="840" w:firstLineChars="400"/>
        <w:rPr>
          <w:sz w:val="24"/>
        </w:rPr>
      </w:pPr>
      <w:r>
        <w:rPr>
          <w:position w:val="-12"/>
        </w:rPr>
        <w:object>
          <v:shape id="_x0000_i1057" o:spt="75" type="#_x0000_t75" style="height:18.25pt;width:13.9pt;" o:ole="t" filled="f" o:preferrelative="t" stroked="f" coordsize="21600,21600">
            <v:path/>
            <v:fill on="f" focussize="0,0"/>
            <v:stroke on="f" joinstyle="miter"/>
            <v:imagedata r:id="rId83" o:title=""/>
            <o:lock v:ext="edit" aspectratio="t"/>
            <w10:wrap type="none"/>
            <w10:anchorlock/>
          </v:shape>
          <o:OLEObject Type="Embed" ProgID="Equation.DSMT4" ShapeID="_x0000_i1057" DrawAspect="Content" ObjectID="_1468075757" r:id="rId82">
            <o:LockedField>false</o:LockedField>
          </o:OLEObject>
        </w:object>
      </w:r>
      <w:r>
        <w:rPr>
          <w:sz w:val="24"/>
        </w:rPr>
        <w:t>——</w:t>
      </w:r>
      <w:r>
        <w:rPr>
          <w:rFonts w:hint="eastAsia"/>
          <w:sz w:val="24"/>
        </w:rPr>
        <w:t>标准条件的辐照度（常数=1 kW</w:t>
      </w:r>
      <w:r>
        <w:rPr>
          <w:rFonts w:hint="default" w:ascii="Times New Roman" w:hAnsi="Times New Roman" w:cs="Times New Roman"/>
          <w:sz w:val="24"/>
        </w:rPr>
        <w:t>·</w:t>
      </w:r>
      <w:r>
        <w:rPr>
          <w:rFonts w:hint="eastAsia"/>
          <w:sz w:val="24"/>
        </w:rPr>
        <w:t>h/m</w:t>
      </w:r>
      <w:r>
        <w:rPr>
          <w:rFonts w:hint="eastAsia"/>
          <w:sz w:val="24"/>
          <w:vertAlign w:val="superscript"/>
        </w:rPr>
        <w:t>2</w:t>
      </w:r>
      <w:r>
        <w:rPr>
          <w:rFonts w:hint="eastAsia"/>
          <w:sz w:val="24"/>
        </w:rPr>
        <w:t>）；</w:t>
      </w:r>
    </w:p>
    <w:p w14:paraId="77DE4ECB">
      <w:pPr>
        <w:spacing w:beforeLines="0" w:afterLines="0" w:line="300" w:lineRule="auto"/>
        <w:ind w:firstLine="840" w:firstLineChars="400"/>
        <w:rPr>
          <w:sz w:val="24"/>
        </w:rPr>
      </w:pPr>
      <w:r>
        <w:rPr>
          <w:position w:val="-12"/>
        </w:rPr>
        <w:object>
          <v:shape id="_x0000_i1058" o:spt="75" type="#_x0000_t75" style="height:18.25pt;width:19.2pt;" o:ole="t" filled="f" o:preferrelative="t" stroked="f" coordsize="21600,21600">
            <v:path/>
            <v:fill on="f" focussize="0,0"/>
            <v:stroke on="f" joinstyle="miter"/>
            <v:imagedata r:id="rId85" o:title=""/>
            <o:lock v:ext="edit" aspectratio="t"/>
            <w10:wrap type="none"/>
            <w10:anchorlock/>
          </v:shape>
          <o:OLEObject Type="Embed" ProgID="Equation.DSMT4" ShapeID="_x0000_i1058" DrawAspect="Content" ObjectID="_1468075758" r:id="rId84">
            <o:LockedField>false</o:LockedField>
          </o:OLEObject>
        </w:object>
      </w:r>
      <w:r>
        <w:rPr>
          <w:sz w:val="24"/>
        </w:rPr>
        <w:t>——</w:t>
      </w:r>
      <w:r>
        <w:rPr>
          <w:rFonts w:hint="eastAsia"/>
          <w:sz w:val="24"/>
        </w:rPr>
        <w:t>组件安装总容量（kWp）；</w:t>
      </w:r>
    </w:p>
    <w:p w14:paraId="29B1D124">
      <w:pPr>
        <w:spacing w:beforeLines="0" w:afterLines="0" w:line="300" w:lineRule="auto"/>
        <w:ind w:left="0" w:leftChars="0" w:firstLine="840" w:firstLineChars="400"/>
        <w:rPr>
          <w:rFonts w:hint="eastAsia"/>
          <w:sz w:val="24"/>
        </w:rPr>
      </w:pPr>
      <w:r>
        <w:rPr>
          <w:position w:val="-4"/>
        </w:rPr>
        <w:object>
          <v:shape id="_x0000_i1059" o:spt="75" type="#_x0000_t75" style="height:12.95pt;width:12.95pt;" o:ole="t" filled="f" o:preferrelative="t" stroked="f" coordsize="21600,21600">
            <v:path/>
            <v:fill on="f" focussize="0,0"/>
            <v:stroke on="f" joinstyle="miter"/>
            <v:imagedata r:id="rId87" o:title=""/>
            <o:lock v:ext="edit" aspectratio="t"/>
            <w10:wrap type="none"/>
            <w10:anchorlock/>
          </v:shape>
          <o:OLEObject Type="Embed" ProgID="Equation.DSMT4" ShapeID="_x0000_i1059" DrawAspect="Content" ObjectID="_1468075759" r:id="rId86">
            <o:LockedField>false</o:LockedField>
          </o:OLEObject>
        </w:object>
      </w:r>
      <w:r>
        <w:rPr>
          <w:sz w:val="24"/>
        </w:rPr>
        <w:t>——</w:t>
      </w:r>
      <w:r>
        <w:rPr>
          <w:rFonts w:hint="eastAsia"/>
          <w:sz w:val="24"/>
        </w:rPr>
        <w:t>综合效率系数。综合效率系数K包括：光伏组件类型修正系数、光伏方阵的倾角、方位角修正系数、光伏发电系统可用率、光照利用率、逆变器效率、集电线路损耗、升压变压器损耗、光伏组件表面污染修正系数、光伏组件转换效率修正系数</w:t>
      </w:r>
      <w:r>
        <w:rPr>
          <w:rFonts w:hint="eastAsia"/>
          <w:sz w:val="24"/>
          <w:lang w:eastAsia="zh-CN"/>
        </w:rPr>
        <w:t>、</w:t>
      </w:r>
      <w:r>
        <w:rPr>
          <w:rFonts w:hint="eastAsia"/>
          <w:sz w:val="24"/>
          <w:lang w:val="en-US" w:eastAsia="zh-CN"/>
        </w:rPr>
        <w:t>温度</w:t>
      </w:r>
      <w:r>
        <w:rPr>
          <w:rFonts w:hint="eastAsia"/>
          <w:sz w:val="24"/>
        </w:rPr>
        <w:t>影响系数。</w:t>
      </w:r>
    </w:p>
    <w:p w14:paraId="05AD5C0B">
      <w:pPr>
        <w:snapToGrid w:val="0"/>
        <w:spacing w:beforeLines="0" w:afterLines="0" w:line="300" w:lineRule="auto"/>
        <w:jc w:val="left"/>
        <w:rPr>
          <w:rFonts w:ascii="仿宋" w:hAnsi="仿宋" w:eastAsia="仿宋" w:cs="仿宋"/>
          <w:b/>
          <w:bCs/>
          <w:i/>
          <w:iCs/>
          <w:color w:val="0623BA"/>
          <w:sz w:val="24"/>
        </w:rPr>
      </w:pPr>
      <w:r>
        <w:rPr>
          <w:rFonts w:hint="eastAsia" w:ascii="仿宋" w:hAnsi="仿宋" w:eastAsia="仿宋" w:cs="仿宋"/>
          <w:b/>
          <w:bCs/>
          <w:i/>
          <w:iCs/>
          <w:color w:val="0623BA"/>
          <w:sz w:val="24"/>
        </w:rPr>
        <w:t>【条文说明】</w:t>
      </w:r>
    </w:p>
    <w:p w14:paraId="1B3AD27F">
      <w:pPr>
        <w:pStyle w:val="2"/>
        <w:spacing w:beforeLines="0" w:after="0" w:afterLines="0" w:line="300" w:lineRule="auto"/>
        <w:rPr>
          <w:rFonts w:hint="eastAsia" w:ascii="仿宋" w:hAnsi="仿宋" w:eastAsia="仿宋" w:cs="仿宋"/>
          <w:i/>
          <w:iCs/>
          <w:color w:val="0623BA"/>
          <w:kern w:val="2"/>
          <w:sz w:val="24"/>
          <w:szCs w:val="24"/>
          <w:lang w:val="en-US" w:eastAsia="zh-CN" w:bidi="ar-SA"/>
        </w:rPr>
      </w:pPr>
      <w:r>
        <w:rPr>
          <w:rFonts w:hint="eastAsia" w:ascii="仿宋" w:hAnsi="仿宋" w:eastAsia="仿宋" w:cs="仿宋"/>
          <w:i/>
          <w:iCs/>
          <w:color w:val="0623BA"/>
          <w:kern w:val="2"/>
          <w:sz w:val="24"/>
          <w:szCs w:val="24"/>
          <w:lang w:val="en-US" w:eastAsia="zh-CN" w:bidi="ar-SA"/>
        </w:rPr>
        <w:t>7.4.1 非开敞式设计的BIPV系统，温度影响系数应根据热工性能仿真作为依据。</w:t>
      </w:r>
    </w:p>
    <w:p w14:paraId="66C6224E">
      <w:pPr>
        <w:spacing w:beforeLines="0" w:afterLines="0" w:line="300" w:lineRule="auto"/>
        <w:rPr>
          <w:sz w:val="24"/>
        </w:rPr>
      </w:pPr>
      <w:r>
        <w:rPr>
          <w:rFonts w:hint="eastAsia"/>
          <w:b/>
          <w:bCs/>
          <w:sz w:val="24"/>
        </w:rPr>
        <w:t>7.4.2</w:t>
      </w:r>
      <w:r>
        <w:rPr>
          <w:rFonts w:hint="eastAsia"/>
          <w:sz w:val="24"/>
        </w:rPr>
        <w:t xml:space="preserve"> </w:t>
      </w:r>
      <w:r>
        <w:rPr>
          <w:sz w:val="24"/>
        </w:rPr>
        <w:t>建筑光伏系统</w:t>
      </w:r>
      <w:r>
        <w:rPr>
          <w:rFonts w:hint="eastAsia"/>
          <w:sz w:val="24"/>
        </w:rPr>
        <w:t>理论</w:t>
      </w:r>
      <w:r>
        <w:rPr>
          <w:sz w:val="24"/>
        </w:rPr>
        <w:t>发电量的</w:t>
      </w:r>
      <w:r>
        <w:rPr>
          <w:rFonts w:hint="eastAsia"/>
          <w:sz w:val="24"/>
        </w:rPr>
        <w:t>估算应符合现行国家标准《建筑光伏系统应用技术标准》GB/T 51368的有关规定。</w:t>
      </w:r>
    </w:p>
    <w:p w14:paraId="79421A7A">
      <w:pPr>
        <w:snapToGrid w:val="0"/>
        <w:spacing w:beforeLines="0" w:afterLines="0" w:line="300" w:lineRule="auto"/>
        <w:jc w:val="left"/>
        <w:rPr>
          <w:rFonts w:ascii="仿宋" w:hAnsi="仿宋" w:eastAsia="仿宋" w:cs="仿宋"/>
          <w:b/>
          <w:bCs/>
          <w:i/>
          <w:iCs/>
          <w:color w:val="0623BA"/>
          <w:sz w:val="24"/>
        </w:rPr>
      </w:pPr>
      <w:r>
        <w:rPr>
          <w:rFonts w:hint="eastAsia" w:ascii="仿宋" w:hAnsi="仿宋" w:eastAsia="仿宋" w:cs="仿宋"/>
          <w:b/>
          <w:bCs/>
          <w:i/>
          <w:iCs/>
          <w:color w:val="0623BA"/>
          <w:sz w:val="24"/>
        </w:rPr>
        <w:t>【条文说明】</w:t>
      </w:r>
    </w:p>
    <w:p w14:paraId="3871A0BB">
      <w:pPr>
        <w:snapToGrid w:val="0"/>
        <w:spacing w:beforeLines="0" w:afterLines="0" w:line="300" w:lineRule="auto"/>
        <w:rPr>
          <w:rFonts w:ascii="仿宋" w:hAnsi="仿宋" w:eastAsia="仿宋" w:cs="仿宋"/>
          <w:i/>
          <w:iCs/>
          <w:color w:val="0623BA"/>
          <w:sz w:val="24"/>
        </w:rPr>
      </w:pPr>
      <w:r>
        <w:rPr>
          <w:rFonts w:hint="eastAsia" w:ascii="仿宋" w:hAnsi="仿宋" w:eastAsia="仿宋" w:cs="仿宋"/>
          <w:i/>
          <w:iCs/>
          <w:color w:val="0623BA"/>
          <w:sz w:val="24"/>
        </w:rPr>
        <w:t>7.4.2 建筑光伏系统的发电量应按不同的系统类型、组件类型、方阵布置及设备的配置进行计算，宜以每个并网点为单元，分单元计算发电量，总的发电量应按下式计算：</w:t>
      </w:r>
    </w:p>
    <w:p w14:paraId="0D97118F">
      <w:pPr>
        <w:snapToGrid w:val="0"/>
        <w:spacing w:beforeLines="0" w:afterLines="0" w:line="300" w:lineRule="auto"/>
        <w:ind w:firstLine="420" w:firstLineChars="200"/>
        <w:jc w:val="center"/>
        <w:rPr>
          <w:rFonts w:hint="default" w:ascii="仿宋" w:hAnsi="仿宋" w:eastAsia="宋体" w:cs="仿宋"/>
          <w:i/>
          <w:iCs/>
          <w:color w:val="0623BA"/>
          <w:sz w:val="24"/>
          <w:lang w:val="en-US" w:eastAsia="zh-CN"/>
        </w:rPr>
      </w:pPr>
      <w:r>
        <w:rPr>
          <w:rFonts w:hint="eastAsia"/>
          <w:position w:val="-28"/>
          <w:lang w:val="en-US" w:eastAsia="zh-CN"/>
        </w:rPr>
        <w:t xml:space="preserve">                        </w:t>
      </w:r>
      <w:r>
        <w:rPr>
          <w:position w:val="-28"/>
        </w:rPr>
        <w:object>
          <v:shape id="_x0000_i1060" o:spt="75" type="#_x0000_t75" style="height:34.1pt;width:54.25pt;" o:ole="t" filled="f" o:preferrelative="t" stroked="f" coordsize="21600,21600">
            <v:path/>
            <v:fill on="f" focussize="0,0"/>
            <v:stroke on="f" joinstyle="miter"/>
            <v:imagedata r:id="rId89" o:title=""/>
            <o:lock v:ext="edit" aspectratio="t"/>
            <w10:wrap type="none"/>
            <w10:anchorlock/>
          </v:shape>
          <o:OLEObject Type="Embed" ProgID="Equation.DSMT4" ShapeID="_x0000_i1060" DrawAspect="Content" ObjectID="_1468075760" r:id="rId88">
            <o:LockedField>false</o:LockedField>
          </o:OLEObject>
        </w:object>
      </w:r>
      <w:r>
        <w:rPr>
          <w:rFonts w:hint="eastAsia"/>
          <w:position w:val="-28"/>
          <w:lang w:val="en-US" w:eastAsia="zh-CN"/>
        </w:rPr>
        <w:t xml:space="preserve">                                </w:t>
      </w:r>
      <w:r>
        <w:rPr>
          <w:sz w:val="24"/>
        </w:rPr>
        <w:t>（</w:t>
      </w:r>
      <w:r>
        <w:rPr>
          <w:rFonts w:hint="eastAsia"/>
          <w:sz w:val="24"/>
          <w:lang w:val="en-US" w:eastAsia="zh-CN"/>
        </w:rPr>
        <w:t>1</w:t>
      </w:r>
      <w:r>
        <w:rPr>
          <w:sz w:val="24"/>
        </w:rPr>
        <w:t>）</w:t>
      </w:r>
    </w:p>
    <w:p w14:paraId="49212725">
      <w:pPr>
        <w:snapToGrid w:val="0"/>
        <w:spacing w:beforeLines="0" w:afterLines="0" w:line="300" w:lineRule="auto"/>
        <w:ind w:firstLine="0" w:firstLineChars="0"/>
        <w:rPr>
          <w:rFonts w:ascii="仿宋" w:hAnsi="仿宋" w:eastAsia="仿宋" w:cs="仿宋"/>
          <w:i/>
          <w:iCs/>
          <w:color w:val="0623BA"/>
          <w:sz w:val="24"/>
        </w:rPr>
      </w:pPr>
      <w:r>
        <w:rPr>
          <w:rFonts w:hint="eastAsia" w:ascii="仿宋" w:hAnsi="仿宋" w:eastAsia="仿宋" w:cs="仿宋"/>
          <w:i/>
          <w:iCs/>
          <w:color w:val="0623BA"/>
          <w:sz w:val="24"/>
        </w:rPr>
        <w:t>式中：</w:t>
      </w:r>
    </w:p>
    <w:p w14:paraId="6B73D87C">
      <w:pPr>
        <w:snapToGrid w:val="0"/>
        <w:spacing w:beforeLines="0" w:afterLines="0" w:line="300" w:lineRule="auto"/>
        <w:ind w:firstLine="420" w:firstLineChars="200"/>
        <w:rPr>
          <w:rFonts w:ascii="仿宋" w:hAnsi="仿宋" w:eastAsia="仿宋" w:cs="仿宋"/>
          <w:i/>
          <w:iCs/>
          <w:color w:val="0623BA"/>
          <w:sz w:val="24"/>
        </w:rPr>
      </w:pPr>
      <w:r>
        <w:rPr>
          <w:position w:val="-14"/>
        </w:rPr>
        <w:object>
          <v:shape id="_x0000_i1061" o:spt="75" type="#_x0000_t75" style="height:19.2pt;width:14.9pt;" o:ole="t" filled="f" o:preferrelative="t" stroked="f" coordsize="21600,21600">
            <v:path/>
            <v:fill on="f" focussize="0,0"/>
            <v:stroke on="f" joinstyle="miter"/>
            <v:imagedata r:id="rId91" o:title=""/>
            <o:lock v:ext="edit" aspectratio="t"/>
            <w10:wrap type="none"/>
            <w10:anchorlock/>
          </v:shape>
          <o:OLEObject Type="Embed" ProgID="Equation.DSMT4" ShapeID="_x0000_i1061" DrawAspect="Content" ObjectID="_1468075761" r:id="rId90">
            <o:LockedField>false</o:LockedField>
          </o:OLEObject>
        </w:object>
      </w:r>
      <w:r>
        <w:rPr>
          <w:rFonts w:hint="eastAsia" w:ascii="仿宋" w:hAnsi="仿宋" w:eastAsia="仿宋" w:cs="仿宋"/>
          <w:i/>
          <w:iCs/>
          <w:color w:val="0623BA"/>
          <w:sz w:val="24"/>
        </w:rPr>
        <w:t>——光伏系统的总发电量（kWh）；</w:t>
      </w:r>
    </w:p>
    <w:p w14:paraId="1CBF5FE1">
      <w:pPr>
        <w:snapToGrid w:val="0"/>
        <w:spacing w:beforeLines="0" w:afterLines="0" w:line="300" w:lineRule="auto"/>
        <w:ind w:firstLine="420" w:firstLineChars="200"/>
        <w:rPr>
          <w:rFonts w:hint="eastAsia" w:ascii="仿宋" w:hAnsi="仿宋" w:eastAsia="仿宋" w:cs="仿宋"/>
          <w:i/>
          <w:iCs/>
          <w:color w:val="0623BA"/>
          <w:sz w:val="24"/>
        </w:rPr>
      </w:pPr>
      <w:r>
        <w:rPr>
          <w:position w:val="-12"/>
        </w:rPr>
        <w:object>
          <v:shape id="_x0000_i1062" o:spt="75" type="#_x0000_t75" style="height:18.25pt;width:13.9pt;" o:ole="t" filled="f" o:preferrelative="t" stroked="f" coordsize="21600,21600">
            <v:path/>
            <v:fill on="f" focussize="0,0"/>
            <v:stroke on="f" joinstyle="miter"/>
            <v:imagedata r:id="rId93" o:title=""/>
            <o:lock v:ext="edit" aspectratio="t"/>
            <w10:wrap type="none"/>
            <w10:anchorlock/>
          </v:shape>
          <o:OLEObject Type="Embed" ProgID="Equation.DSMT4" ShapeID="_x0000_i1062" DrawAspect="Content" ObjectID="_1468075762" r:id="rId92">
            <o:LockedField>false</o:LockedField>
          </o:OLEObject>
        </w:object>
      </w:r>
      <w:r>
        <w:rPr>
          <w:rFonts w:hint="eastAsia" w:ascii="仿宋" w:hAnsi="仿宋" w:eastAsia="仿宋" w:cs="仿宋"/>
          <w:i/>
          <w:iCs/>
          <w:color w:val="0623BA"/>
          <w:sz w:val="24"/>
        </w:rPr>
        <w:t>——第i单元上网发电量（kWh）。</w:t>
      </w:r>
    </w:p>
    <w:p w14:paraId="491EC392">
      <w:pPr>
        <w:spacing w:beforeLines="0" w:afterLines="0" w:line="300" w:lineRule="auto"/>
        <w:rPr>
          <w:sz w:val="24"/>
        </w:rPr>
      </w:pPr>
      <w:r>
        <w:rPr>
          <w:rFonts w:hint="eastAsia"/>
          <w:b/>
          <w:bCs/>
          <w:sz w:val="24"/>
        </w:rPr>
        <w:t xml:space="preserve">7.4.3 </w:t>
      </w:r>
      <w:r>
        <w:rPr>
          <w:sz w:val="24"/>
        </w:rPr>
        <w:t>建筑光伏系统</w:t>
      </w:r>
      <w:r>
        <w:rPr>
          <w:rFonts w:hint="eastAsia"/>
          <w:sz w:val="24"/>
        </w:rPr>
        <w:t>能效、光伏发电单元能效、光伏组件效率、光伏组件串联失配率、光伏组串并联失配率、线缆损耗、光伏逆变器转换效率以及变压器效率等</w:t>
      </w:r>
      <w:r>
        <w:rPr>
          <w:sz w:val="24"/>
        </w:rPr>
        <w:t>的</w:t>
      </w:r>
      <w:r>
        <w:rPr>
          <w:rFonts w:hint="eastAsia"/>
          <w:sz w:val="24"/>
        </w:rPr>
        <w:t>技术要求、测试方法及计算方式宜采用现行国家标准《光伏发电效率技术规范》GB/T 39857的有关规定。</w:t>
      </w:r>
    </w:p>
    <w:p w14:paraId="16FA4E07">
      <w:pPr>
        <w:keepNext/>
        <w:keepLines/>
        <w:snapToGrid w:val="0"/>
        <w:spacing w:before="0" w:beforeLines="0" w:after="0" w:afterLines="0" w:line="300" w:lineRule="auto"/>
        <w:jc w:val="center"/>
        <w:outlineLvl w:val="2"/>
        <w:rPr>
          <w:b/>
          <w:sz w:val="24"/>
          <w:szCs w:val="32"/>
        </w:rPr>
      </w:pPr>
      <w:bookmarkStart w:id="258" w:name="_Toc2240"/>
      <w:bookmarkStart w:id="259" w:name="_Toc14604"/>
      <w:bookmarkStart w:id="260" w:name="_Toc19034"/>
      <w:bookmarkStart w:id="261" w:name="_Toc23323"/>
      <w:bookmarkStart w:id="262" w:name="_Toc17375"/>
      <w:bookmarkStart w:id="263" w:name="_Toc27544"/>
      <w:r>
        <w:rPr>
          <w:b/>
          <w:sz w:val="24"/>
          <w:szCs w:val="32"/>
        </w:rPr>
        <w:t>7.</w:t>
      </w:r>
      <w:r>
        <w:rPr>
          <w:rFonts w:hint="default"/>
          <w:b/>
          <w:sz w:val="24"/>
          <w:szCs w:val="32"/>
        </w:rPr>
        <w:t>5防雷与接地</w:t>
      </w:r>
      <w:bookmarkEnd w:id="258"/>
      <w:bookmarkEnd w:id="259"/>
      <w:bookmarkEnd w:id="260"/>
      <w:bookmarkEnd w:id="261"/>
      <w:bookmarkEnd w:id="262"/>
      <w:bookmarkEnd w:id="263"/>
    </w:p>
    <w:p w14:paraId="7B4D5D15">
      <w:pPr>
        <w:snapToGrid w:val="0"/>
        <w:spacing w:beforeLines="0" w:afterLines="0" w:line="300" w:lineRule="auto"/>
        <w:rPr>
          <w:b/>
          <w:bCs/>
          <w:sz w:val="24"/>
        </w:rPr>
      </w:pPr>
      <w:r>
        <w:rPr>
          <w:b/>
          <w:bCs/>
          <w:sz w:val="24"/>
        </w:rPr>
        <w:t>7.</w:t>
      </w:r>
      <w:r>
        <w:rPr>
          <w:rFonts w:hint="eastAsia"/>
          <w:b/>
          <w:bCs/>
          <w:sz w:val="24"/>
        </w:rPr>
        <w:t>5</w:t>
      </w:r>
      <w:r>
        <w:rPr>
          <w:b/>
          <w:bCs/>
          <w:sz w:val="24"/>
        </w:rPr>
        <w:t>.1</w:t>
      </w:r>
      <w:r>
        <w:rPr>
          <w:sz w:val="24"/>
        </w:rPr>
        <w:t xml:space="preserve"> </w:t>
      </w:r>
      <w:r>
        <w:rPr>
          <w:rFonts w:hint="eastAsia"/>
          <w:sz w:val="24"/>
        </w:rPr>
        <w:t>建筑光伏系统应采取防雷措施，以防止或减少雷电造成的危害，保护人身和设备安全，所采取设施不应遮挡光伏组件。</w:t>
      </w:r>
    </w:p>
    <w:p w14:paraId="4D8A67D5">
      <w:pPr>
        <w:snapToGrid w:val="0"/>
        <w:spacing w:beforeLines="0" w:afterLines="0" w:line="300" w:lineRule="auto"/>
        <w:rPr>
          <w:sz w:val="24"/>
        </w:rPr>
      </w:pPr>
      <w:r>
        <w:rPr>
          <w:b/>
          <w:bCs/>
          <w:sz w:val="24"/>
        </w:rPr>
        <w:t>7.</w:t>
      </w:r>
      <w:r>
        <w:rPr>
          <w:rFonts w:hint="eastAsia"/>
          <w:b/>
          <w:bCs/>
          <w:sz w:val="24"/>
        </w:rPr>
        <w:t>5</w:t>
      </w:r>
      <w:r>
        <w:rPr>
          <w:b/>
          <w:bCs/>
          <w:sz w:val="24"/>
        </w:rPr>
        <w:t>.</w:t>
      </w:r>
      <w:r>
        <w:rPr>
          <w:rFonts w:hint="eastAsia"/>
          <w:b/>
          <w:bCs/>
          <w:sz w:val="24"/>
        </w:rPr>
        <w:t>2</w:t>
      </w:r>
      <w:r>
        <w:rPr>
          <w:sz w:val="24"/>
        </w:rPr>
        <w:t xml:space="preserve"> </w:t>
      </w:r>
      <w:r>
        <w:rPr>
          <w:rFonts w:hint="eastAsia"/>
          <w:sz w:val="24"/>
        </w:rPr>
        <w:t>新建建筑光伏系统的防雷</w:t>
      </w:r>
      <w:r>
        <w:rPr>
          <w:rFonts w:hint="eastAsia"/>
          <w:sz w:val="24"/>
          <w:lang w:val="en-US" w:eastAsia="zh-CN"/>
        </w:rPr>
        <w:t>等级</w:t>
      </w:r>
      <w:r>
        <w:rPr>
          <w:rFonts w:hint="eastAsia"/>
          <w:sz w:val="24"/>
        </w:rPr>
        <w:t>应与建筑本身的防雷</w:t>
      </w:r>
      <w:r>
        <w:rPr>
          <w:rFonts w:hint="eastAsia"/>
          <w:sz w:val="24"/>
          <w:lang w:val="en-US" w:eastAsia="zh-CN"/>
        </w:rPr>
        <w:t>等级</w:t>
      </w:r>
      <w:r>
        <w:rPr>
          <w:rFonts w:hint="eastAsia"/>
          <w:sz w:val="24"/>
        </w:rPr>
        <w:t>一致。建筑物屋面光伏方阵接闪器应与建筑物防雷系统进行综合设计。太阳能光伏系统防雷接地系统应符合现行国家标准GB 50057《建筑物防雷设计规范》、GB / T 50065《交流电气装置的接地设计规范》等相关标准有关规定。</w:t>
      </w:r>
    </w:p>
    <w:p w14:paraId="0B337623">
      <w:pPr>
        <w:snapToGrid w:val="0"/>
        <w:spacing w:beforeLines="0" w:afterLines="0" w:line="300" w:lineRule="auto"/>
        <w:rPr>
          <w:sz w:val="24"/>
        </w:rPr>
      </w:pPr>
      <w:r>
        <w:rPr>
          <w:b/>
          <w:bCs/>
          <w:sz w:val="24"/>
        </w:rPr>
        <w:t>7.</w:t>
      </w:r>
      <w:r>
        <w:rPr>
          <w:rFonts w:hint="eastAsia"/>
          <w:b/>
          <w:bCs/>
          <w:sz w:val="24"/>
        </w:rPr>
        <w:t>5</w:t>
      </w:r>
      <w:r>
        <w:rPr>
          <w:b/>
          <w:bCs/>
          <w:sz w:val="24"/>
        </w:rPr>
        <w:t>.</w:t>
      </w:r>
      <w:r>
        <w:rPr>
          <w:rFonts w:hint="eastAsia"/>
          <w:b/>
          <w:bCs/>
          <w:sz w:val="24"/>
        </w:rPr>
        <w:t>3</w:t>
      </w:r>
      <w:r>
        <w:rPr>
          <w:sz w:val="24"/>
        </w:rPr>
        <w:t xml:space="preserve"> </w:t>
      </w:r>
      <w:r>
        <w:rPr>
          <w:rFonts w:hint="eastAsia"/>
          <w:sz w:val="24"/>
        </w:rPr>
        <w:t>既有建筑改造光伏系统时，改造后建筑防雷</w:t>
      </w:r>
      <w:r>
        <w:rPr>
          <w:rFonts w:hint="eastAsia"/>
          <w:sz w:val="24"/>
          <w:lang w:val="en-US" w:eastAsia="zh-CN"/>
        </w:rPr>
        <w:t>等级</w:t>
      </w:r>
      <w:r>
        <w:rPr>
          <w:rFonts w:hint="eastAsia"/>
          <w:sz w:val="24"/>
        </w:rPr>
        <w:t>应不低于原建筑建成时的防雷</w:t>
      </w:r>
      <w:r>
        <w:rPr>
          <w:rFonts w:hint="eastAsia"/>
          <w:sz w:val="24"/>
          <w:lang w:val="en-US" w:eastAsia="zh-CN"/>
        </w:rPr>
        <w:t>等级</w:t>
      </w:r>
      <w:r>
        <w:rPr>
          <w:rFonts w:hint="eastAsia"/>
          <w:sz w:val="24"/>
        </w:rPr>
        <w:t>。</w:t>
      </w:r>
    </w:p>
    <w:p w14:paraId="021B37E4">
      <w:pPr>
        <w:pStyle w:val="2"/>
        <w:spacing w:beforeLines="0" w:after="0" w:afterLines="0" w:line="300" w:lineRule="auto"/>
        <w:rPr>
          <w:sz w:val="24"/>
        </w:rPr>
      </w:pPr>
      <w:r>
        <w:rPr>
          <w:b/>
          <w:bCs/>
          <w:sz w:val="24"/>
        </w:rPr>
        <w:t>7.</w:t>
      </w:r>
      <w:r>
        <w:rPr>
          <w:rFonts w:hint="eastAsia"/>
          <w:b/>
          <w:bCs/>
          <w:sz w:val="24"/>
        </w:rPr>
        <w:t>5</w:t>
      </w:r>
      <w:r>
        <w:rPr>
          <w:b/>
          <w:bCs/>
          <w:sz w:val="24"/>
        </w:rPr>
        <w:t>.</w:t>
      </w:r>
      <w:r>
        <w:rPr>
          <w:rFonts w:hint="eastAsia"/>
          <w:b/>
          <w:bCs/>
          <w:sz w:val="24"/>
        </w:rPr>
        <w:t>4</w:t>
      </w:r>
      <w:r>
        <w:rPr>
          <w:sz w:val="24"/>
        </w:rPr>
        <w:t xml:space="preserve"> </w:t>
      </w:r>
      <w:r>
        <w:rPr>
          <w:rFonts w:hint="eastAsia"/>
          <w:sz w:val="24"/>
        </w:rPr>
        <w:t>屋面工程的防雷设计、建筑光伏系统采用的接闪器、引下线及接地体应符合现行国家标准《建筑物防雷设计规范》GB 50057、《光伏发电站防雷技术要求》GB/T 32512、《光伏建筑一体化系统防雷技术规范》GB/T 36963、《建筑光伏系统应用技术标准》GB/T 51368及其他标准的相关规定，应根据建筑防雷</w:t>
      </w:r>
      <w:r>
        <w:rPr>
          <w:rFonts w:hint="eastAsia"/>
          <w:sz w:val="24"/>
          <w:lang w:val="en-US" w:eastAsia="zh-CN"/>
        </w:rPr>
        <w:t>等级</w:t>
      </w:r>
      <w:r>
        <w:rPr>
          <w:rFonts w:hint="eastAsia"/>
          <w:sz w:val="24"/>
        </w:rPr>
        <w:t>要求、现场土壤条件和气候条件进行选择。</w:t>
      </w:r>
    </w:p>
    <w:p w14:paraId="08D08156">
      <w:pPr>
        <w:pStyle w:val="2"/>
        <w:spacing w:beforeLines="0" w:after="0" w:afterLines="0" w:line="300" w:lineRule="auto"/>
        <w:rPr>
          <w:sz w:val="24"/>
        </w:rPr>
      </w:pPr>
      <w:r>
        <w:rPr>
          <w:b/>
          <w:bCs/>
          <w:sz w:val="24"/>
        </w:rPr>
        <w:t>7.</w:t>
      </w:r>
      <w:r>
        <w:rPr>
          <w:rFonts w:hint="eastAsia"/>
          <w:b/>
          <w:bCs/>
          <w:sz w:val="24"/>
        </w:rPr>
        <w:t>5</w:t>
      </w:r>
      <w:r>
        <w:rPr>
          <w:b/>
          <w:bCs/>
          <w:sz w:val="24"/>
        </w:rPr>
        <w:t>.</w:t>
      </w:r>
      <w:r>
        <w:rPr>
          <w:rFonts w:hint="eastAsia"/>
          <w:b/>
          <w:bCs/>
          <w:sz w:val="24"/>
        </w:rPr>
        <w:t xml:space="preserve">5 </w:t>
      </w:r>
      <w:r>
        <w:rPr>
          <w:rFonts w:hint="eastAsia"/>
          <w:sz w:val="24"/>
        </w:rPr>
        <w:t>等电位及防雷接地应可靠连接并有效贯通，连接点间的连接电阻不应高于0.1</w:t>
      </w:r>
      <w:r>
        <w:rPr>
          <w:rFonts w:hint="default" w:ascii="Times New Roman" w:hAnsi="Times New Roman" w:cs="Times New Roman"/>
          <w:sz w:val="24"/>
        </w:rPr>
        <w:t>Ω</w:t>
      </w:r>
      <w:r>
        <w:rPr>
          <w:rFonts w:hint="eastAsia"/>
          <w:sz w:val="24"/>
        </w:rPr>
        <w:t>。</w:t>
      </w:r>
    </w:p>
    <w:p w14:paraId="5B35B28C">
      <w:pPr>
        <w:snapToGrid w:val="0"/>
        <w:spacing w:beforeLines="0" w:afterLines="0" w:line="300" w:lineRule="auto"/>
        <w:jc w:val="left"/>
        <w:rPr>
          <w:rFonts w:ascii="仿宋" w:hAnsi="仿宋" w:eastAsia="仿宋" w:cs="仿宋"/>
          <w:b/>
          <w:bCs/>
          <w:i/>
          <w:iCs/>
          <w:color w:val="0623BA"/>
          <w:sz w:val="24"/>
        </w:rPr>
      </w:pPr>
      <w:r>
        <w:rPr>
          <w:rFonts w:hint="eastAsia" w:ascii="仿宋" w:hAnsi="仿宋" w:eastAsia="仿宋" w:cs="仿宋"/>
          <w:b/>
          <w:bCs/>
          <w:i/>
          <w:iCs/>
          <w:color w:val="0623BA"/>
          <w:sz w:val="24"/>
        </w:rPr>
        <w:t>【条文说明】</w:t>
      </w:r>
    </w:p>
    <w:p w14:paraId="7817325C">
      <w:pPr>
        <w:snapToGrid w:val="0"/>
        <w:spacing w:beforeLines="0" w:afterLines="0" w:line="300" w:lineRule="auto"/>
        <w:jc w:val="left"/>
        <w:rPr>
          <w:rFonts w:ascii="仿宋" w:hAnsi="仿宋" w:eastAsia="仿宋" w:cs="仿宋"/>
          <w:i/>
          <w:iCs/>
          <w:color w:val="0623BA"/>
          <w:sz w:val="24"/>
        </w:rPr>
      </w:pPr>
      <w:r>
        <w:rPr>
          <w:rFonts w:hint="eastAsia" w:ascii="仿宋" w:hAnsi="仿宋" w:eastAsia="仿宋" w:cs="仿宋"/>
          <w:i/>
          <w:iCs/>
          <w:color w:val="0623BA"/>
          <w:sz w:val="24"/>
        </w:rPr>
        <w:t>7.5.</w:t>
      </w:r>
      <w:r>
        <w:rPr>
          <w:rFonts w:hint="eastAsia" w:ascii="仿宋" w:hAnsi="仿宋" w:eastAsia="仿宋" w:cs="仿宋"/>
          <w:i/>
          <w:iCs/>
          <w:color w:val="0623BA"/>
          <w:sz w:val="24"/>
          <w:lang w:val="en-US" w:eastAsia="zh-CN"/>
        </w:rPr>
        <w:t>5</w:t>
      </w:r>
      <w:r>
        <w:rPr>
          <w:rFonts w:hint="eastAsia" w:ascii="仿宋" w:hAnsi="仿宋" w:eastAsia="仿宋" w:cs="仿宋"/>
          <w:i/>
          <w:iCs/>
          <w:color w:val="0623BA"/>
          <w:sz w:val="24"/>
        </w:rPr>
        <w:t xml:space="preserve"> 连接点包括：</w:t>
      </w:r>
    </w:p>
    <w:p w14:paraId="700EF261">
      <w:pPr>
        <w:snapToGrid w:val="0"/>
        <w:spacing w:beforeLines="0" w:afterLines="0" w:line="300" w:lineRule="auto"/>
        <w:ind w:firstLine="480" w:firstLineChars="200"/>
        <w:jc w:val="left"/>
        <w:rPr>
          <w:rFonts w:ascii="仿宋" w:hAnsi="仿宋" w:eastAsia="仿宋" w:cs="仿宋"/>
          <w:i/>
          <w:iCs/>
          <w:color w:val="0623BA"/>
          <w:sz w:val="24"/>
        </w:rPr>
      </w:pPr>
      <w:r>
        <w:rPr>
          <w:rFonts w:hint="eastAsia" w:ascii="仿宋" w:hAnsi="仿宋" w:eastAsia="仿宋" w:cs="仿宋"/>
          <w:i/>
          <w:iCs/>
          <w:color w:val="0623BA"/>
          <w:sz w:val="24"/>
          <w:lang w:val="en-US" w:eastAsia="zh-CN"/>
        </w:rPr>
        <w:t>1</w:t>
      </w:r>
      <w:r>
        <w:rPr>
          <w:rFonts w:ascii="仿宋" w:hAnsi="仿宋" w:eastAsia="仿宋" w:cs="仿宋"/>
          <w:i/>
          <w:iCs/>
          <w:color w:val="0623BA"/>
          <w:sz w:val="24"/>
        </w:rPr>
        <w:t xml:space="preserve"> </w:t>
      </w:r>
      <w:r>
        <w:rPr>
          <w:rFonts w:hint="eastAsia" w:ascii="仿宋" w:hAnsi="仿宋" w:eastAsia="仿宋" w:cs="仿宋"/>
          <w:i/>
          <w:iCs/>
          <w:color w:val="0623BA"/>
          <w:sz w:val="24"/>
        </w:rPr>
        <w:t>组件边框间和</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或</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与下部支撑结构间的等电位连接及其与接地主干网间的连接；</w:t>
      </w:r>
    </w:p>
    <w:p w14:paraId="57ED8AE1">
      <w:pPr>
        <w:snapToGrid w:val="0"/>
        <w:spacing w:beforeLines="0" w:afterLines="0" w:line="300" w:lineRule="auto"/>
        <w:ind w:firstLine="480" w:firstLineChars="200"/>
        <w:jc w:val="left"/>
        <w:rPr>
          <w:rFonts w:ascii="仿宋" w:hAnsi="仿宋" w:eastAsia="仿宋" w:cs="仿宋"/>
          <w:i/>
          <w:iCs/>
          <w:color w:val="0623BA"/>
          <w:sz w:val="24"/>
        </w:rPr>
      </w:pPr>
      <w:r>
        <w:rPr>
          <w:rFonts w:hint="eastAsia" w:ascii="仿宋" w:hAnsi="仿宋" w:eastAsia="仿宋" w:cs="仿宋"/>
          <w:i/>
          <w:iCs/>
          <w:color w:val="0623BA"/>
          <w:sz w:val="24"/>
          <w:lang w:val="en-US" w:eastAsia="zh-CN"/>
        </w:rPr>
        <w:t>2</w:t>
      </w:r>
      <w:r>
        <w:rPr>
          <w:rFonts w:ascii="仿宋" w:hAnsi="仿宋" w:eastAsia="仿宋" w:cs="仿宋"/>
          <w:i/>
          <w:iCs/>
          <w:color w:val="0623BA"/>
          <w:sz w:val="24"/>
        </w:rPr>
        <w:t xml:space="preserve"> </w:t>
      </w:r>
      <w:r>
        <w:rPr>
          <w:rFonts w:hint="eastAsia" w:ascii="仿宋" w:hAnsi="仿宋" w:eastAsia="仿宋" w:cs="仿宋"/>
          <w:i/>
          <w:iCs/>
          <w:color w:val="0623BA"/>
          <w:sz w:val="24"/>
        </w:rPr>
        <w:t>逆变器、汇流箱及其他布置于建筑屋面或墙体的电气设备与接地主干网间的连接；</w:t>
      </w:r>
    </w:p>
    <w:p w14:paraId="0622327D">
      <w:pPr>
        <w:snapToGrid w:val="0"/>
        <w:spacing w:beforeLines="0" w:afterLines="0" w:line="300" w:lineRule="auto"/>
        <w:ind w:firstLine="480" w:firstLineChars="200"/>
        <w:jc w:val="left"/>
        <w:rPr>
          <w:rFonts w:ascii="仿宋" w:hAnsi="仿宋" w:eastAsia="仿宋" w:cs="仿宋"/>
          <w:i/>
          <w:iCs/>
          <w:color w:val="0623BA"/>
          <w:sz w:val="24"/>
        </w:rPr>
      </w:pPr>
      <w:r>
        <w:rPr>
          <w:rFonts w:hint="eastAsia" w:ascii="仿宋" w:hAnsi="仿宋" w:eastAsia="仿宋" w:cs="仿宋"/>
          <w:i/>
          <w:iCs/>
          <w:color w:val="0623BA"/>
          <w:sz w:val="24"/>
          <w:lang w:val="en-US" w:eastAsia="zh-CN"/>
        </w:rPr>
        <w:t>3</w:t>
      </w:r>
      <w:r>
        <w:rPr>
          <w:rFonts w:ascii="仿宋" w:hAnsi="仿宋" w:eastAsia="仿宋" w:cs="仿宋"/>
          <w:i/>
          <w:iCs/>
          <w:color w:val="0623BA"/>
          <w:sz w:val="24"/>
        </w:rPr>
        <w:t xml:space="preserve"> </w:t>
      </w:r>
      <w:r>
        <w:rPr>
          <w:rFonts w:hint="eastAsia" w:ascii="仿宋" w:hAnsi="仿宋" w:eastAsia="仿宋" w:cs="仿宋"/>
          <w:i/>
          <w:iCs/>
          <w:color w:val="0623BA"/>
          <w:sz w:val="24"/>
        </w:rPr>
        <w:t>光伏建筑一体化防雷体系与建筑主体结构防雷体系间的连接</w:t>
      </w:r>
      <w:r>
        <w:rPr>
          <w:rFonts w:ascii="仿宋" w:hAnsi="仿宋" w:eastAsia="仿宋" w:cs="仿宋"/>
          <w:i/>
          <w:iCs/>
          <w:color w:val="0623BA"/>
          <w:sz w:val="24"/>
        </w:rPr>
        <w:t>。</w:t>
      </w:r>
    </w:p>
    <w:p w14:paraId="3741D994">
      <w:pPr>
        <w:pStyle w:val="2"/>
        <w:spacing w:beforeLines="0" w:after="0" w:afterLines="0" w:line="300" w:lineRule="auto"/>
        <w:rPr>
          <w:rFonts w:hint="eastAsia"/>
          <w:sz w:val="24"/>
        </w:rPr>
      </w:pPr>
      <w:r>
        <w:rPr>
          <w:rFonts w:hint="eastAsia" w:ascii="Times New Roman" w:hAnsi="Times New Roman" w:eastAsia="宋体" w:cs="Times New Roman"/>
          <w:b/>
          <w:bCs/>
          <w:sz w:val="24"/>
        </w:rPr>
        <w:t>7.5.</w:t>
      </w:r>
      <w:r>
        <w:rPr>
          <w:rFonts w:hint="eastAsia" w:ascii="Times New Roman" w:hAnsi="Times New Roman" w:eastAsia="宋体" w:cs="Times New Roman"/>
          <w:b/>
          <w:bCs/>
          <w:sz w:val="24"/>
          <w:lang w:val="en-US" w:eastAsia="zh-CN"/>
        </w:rPr>
        <w:t>6</w:t>
      </w:r>
      <w:r>
        <w:rPr>
          <w:rFonts w:hint="eastAsia" w:ascii="Times New Roman" w:hAnsi="Times New Roman" w:eastAsia="宋体" w:cs="Times New Roman"/>
          <w:b/>
          <w:bCs/>
          <w:sz w:val="24"/>
        </w:rPr>
        <w:t xml:space="preserve"> </w:t>
      </w:r>
      <w:r>
        <w:rPr>
          <w:rFonts w:hint="eastAsia"/>
          <w:sz w:val="24"/>
          <w:lang w:val="en-US" w:eastAsia="zh-CN"/>
        </w:rPr>
        <w:t>建筑</w:t>
      </w:r>
      <w:r>
        <w:rPr>
          <w:rFonts w:hint="eastAsia"/>
          <w:sz w:val="24"/>
        </w:rPr>
        <w:t>光伏系统防雷装置利用钢筋混凝土屋面、梁、柱、基础内的钢筋作为引下线和接地装置时，接地装置材料规格及尺寸应符合现行国家标准《建筑物防雷设计规范》GB50057</w:t>
      </w:r>
      <w:r>
        <w:rPr>
          <w:rFonts w:hint="eastAsia"/>
          <w:sz w:val="24"/>
          <w:lang w:eastAsia="zh-CN"/>
        </w:rPr>
        <w:t>、</w:t>
      </w:r>
      <w:r>
        <w:rPr>
          <w:rFonts w:hint="eastAsia"/>
          <w:sz w:val="24"/>
        </w:rPr>
        <w:t>《交流电气装置的过电压保护和绝缘配合设计规范》GB/T 50064</w:t>
      </w:r>
      <w:r>
        <w:rPr>
          <w:rFonts w:hint="eastAsia"/>
          <w:sz w:val="24"/>
          <w:lang w:val="en-US" w:eastAsia="zh-CN"/>
        </w:rPr>
        <w:t>和《建筑电气与智能化通用规范》GB 55024等</w:t>
      </w:r>
      <w:r>
        <w:rPr>
          <w:rFonts w:hint="eastAsia"/>
          <w:sz w:val="24"/>
        </w:rPr>
        <w:t>有关规定。</w:t>
      </w:r>
    </w:p>
    <w:p w14:paraId="513F9ED7">
      <w:pPr>
        <w:pStyle w:val="2"/>
        <w:spacing w:beforeLines="0" w:after="0" w:afterLines="0" w:line="300" w:lineRule="auto"/>
        <w:rPr>
          <w:rFonts w:hint="eastAsia"/>
          <w:sz w:val="24"/>
        </w:rPr>
      </w:pPr>
      <w:r>
        <w:rPr>
          <w:rFonts w:hint="eastAsia"/>
          <w:b/>
          <w:bCs/>
          <w:sz w:val="24"/>
        </w:rPr>
        <w:t>7.5.</w:t>
      </w:r>
      <w:r>
        <w:rPr>
          <w:rFonts w:hint="eastAsia"/>
          <w:b/>
          <w:bCs/>
          <w:sz w:val="24"/>
          <w:lang w:val="en-US" w:eastAsia="zh-CN"/>
        </w:rPr>
        <w:t>7</w:t>
      </w:r>
      <w:r>
        <w:rPr>
          <w:rFonts w:hint="eastAsia"/>
          <w:b/>
          <w:bCs/>
          <w:sz w:val="24"/>
        </w:rPr>
        <w:t xml:space="preserve"> </w:t>
      </w:r>
      <w:r>
        <w:rPr>
          <w:rFonts w:hint="eastAsia"/>
          <w:sz w:val="24"/>
          <w:lang w:val="en-US" w:eastAsia="zh-CN"/>
        </w:rPr>
        <w:t>建筑</w:t>
      </w:r>
      <w:r>
        <w:rPr>
          <w:rFonts w:hint="eastAsia"/>
          <w:sz w:val="24"/>
        </w:rPr>
        <w:t>光伏发电系统电气装置、设施的金属部件应进行等电位连接并接地。光伏阵列接地装置应连续、可靠，</w:t>
      </w:r>
      <w:r>
        <w:rPr>
          <w:rFonts w:hint="eastAsia" w:ascii="Times New Roman" w:hAnsi="Times New Roman" w:eastAsia="宋体" w:cs="Times New Roman"/>
          <w:b w:val="0"/>
          <w:bCs w:val="0"/>
          <w:sz w:val="24"/>
          <w:szCs w:val="24"/>
          <w:u w:val="none"/>
          <w:vertAlign w:val="baseline"/>
          <w:lang w:val="en-US" w:eastAsia="zh-CN"/>
        </w:rPr>
        <w:t>太阳能光伏发电系统的接地应为共用接地系统，其电阻值应与建筑物主体保持一致。</w:t>
      </w:r>
    </w:p>
    <w:p w14:paraId="3BCFDF94">
      <w:pPr>
        <w:spacing w:line="300" w:lineRule="auto"/>
      </w:pPr>
    </w:p>
    <w:p w14:paraId="4A123C70">
      <w:pPr>
        <w:widowControl/>
        <w:spacing w:line="300" w:lineRule="auto"/>
        <w:jc w:val="left"/>
        <w:rPr>
          <w:sz w:val="24"/>
        </w:rPr>
      </w:pPr>
      <w:r>
        <w:rPr>
          <w:sz w:val="24"/>
        </w:rPr>
        <w:br w:type="page"/>
      </w:r>
    </w:p>
    <w:p w14:paraId="4FA703BB">
      <w:pPr>
        <w:pStyle w:val="5"/>
        <w:spacing w:before="95" w:beforeLines="30" w:after="95" w:afterLines="30" w:line="300" w:lineRule="auto"/>
        <w:jc w:val="center"/>
        <w:rPr>
          <w:rFonts w:ascii="Times New Roman" w:hAnsi="Times New Roman" w:eastAsia="黑体" w:cs="Times New Roman"/>
          <w:sz w:val="28"/>
          <w:szCs w:val="28"/>
        </w:rPr>
      </w:pPr>
      <w:bookmarkStart w:id="264" w:name="_Toc25902"/>
      <w:bookmarkStart w:id="265" w:name="_Toc8023"/>
      <w:bookmarkStart w:id="266" w:name="_Toc18754"/>
      <w:bookmarkStart w:id="267" w:name="_Toc16313"/>
      <w:bookmarkStart w:id="268" w:name="_Toc18581"/>
      <w:bookmarkStart w:id="269" w:name="_Toc14893"/>
      <w:bookmarkStart w:id="270" w:name="_Toc31895"/>
      <w:bookmarkStart w:id="271" w:name="_Toc7277"/>
      <w:r>
        <w:rPr>
          <w:rFonts w:ascii="Times New Roman" w:hAnsi="Times New Roman" w:eastAsia="黑体" w:cs="Times New Roman"/>
          <w:sz w:val="28"/>
          <w:szCs w:val="28"/>
        </w:rPr>
        <w:t xml:space="preserve">8 </w:t>
      </w:r>
      <w:r>
        <w:rPr>
          <w:rFonts w:hint="default" w:ascii="Times New Roman" w:hAnsi="Times New Roman" w:eastAsia="黑体" w:cs="Times New Roman"/>
          <w:sz w:val="28"/>
          <w:szCs w:val="28"/>
        </w:rPr>
        <w:t>光伏发电</w:t>
      </w:r>
      <w:r>
        <w:rPr>
          <w:rFonts w:ascii="Times New Roman" w:hAnsi="Times New Roman" w:eastAsia="黑体" w:cs="Times New Roman"/>
          <w:sz w:val="28"/>
          <w:szCs w:val="28"/>
        </w:rPr>
        <w:t>系统接入</w:t>
      </w:r>
      <w:bookmarkEnd w:id="264"/>
      <w:bookmarkEnd w:id="265"/>
      <w:bookmarkEnd w:id="266"/>
      <w:bookmarkEnd w:id="267"/>
      <w:bookmarkEnd w:id="268"/>
      <w:bookmarkEnd w:id="269"/>
      <w:bookmarkEnd w:id="270"/>
      <w:bookmarkEnd w:id="271"/>
    </w:p>
    <w:p w14:paraId="1D47212C">
      <w:pPr>
        <w:keepNext/>
        <w:keepLines/>
        <w:snapToGrid w:val="0"/>
        <w:spacing w:before="95" w:beforeLines="30" w:after="95" w:afterLines="30" w:line="300" w:lineRule="auto"/>
        <w:jc w:val="center"/>
        <w:outlineLvl w:val="2"/>
        <w:rPr>
          <w:b/>
          <w:sz w:val="24"/>
          <w:szCs w:val="32"/>
        </w:rPr>
      </w:pPr>
      <w:bookmarkStart w:id="272" w:name="_Toc20421"/>
      <w:bookmarkStart w:id="273" w:name="_Toc20827"/>
      <w:bookmarkStart w:id="274" w:name="_Toc27078"/>
      <w:bookmarkStart w:id="275" w:name="_Toc27239"/>
      <w:bookmarkStart w:id="276" w:name="_Toc2932"/>
      <w:bookmarkStart w:id="277" w:name="_Toc3956"/>
      <w:bookmarkStart w:id="278" w:name="_Toc3595"/>
      <w:bookmarkStart w:id="279" w:name="_Toc21048"/>
      <w:r>
        <w:rPr>
          <w:b/>
          <w:sz w:val="24"/>
          <w:szCs w:val="32"/>
        </w:rPr>
        <w:t>8.1</w:t>
      </w:r>
      <w:r>
        <w:rPr>
          <w:rFonts w:hint="eastAsia"/>
          <w:b/>
          <w:sz w:val="24"/>
          <w:szCs w:val="32"/>
          <w:lang w:val="en-US" w:eastAsia="zh-CN"/>
        </w:rPr>
        <w:t xml:space="preserve"> </w:t>
      </w:r>
      <w:r>
        <w:rPr>
          <w:b/>
          <w:sz w:val="24"/>
          <w:szCs w:val="32"/>
        </w:rPr>
        <w:t>一般规定</w:t>
      </w:r>
      <w:bookmarkEnd w:id="272"/>
      <w:bookmarkEnd w:id="273"/>
      <w:bookmarkEnd w:id="274"/>
      <w:bookmarkEnd w:id="275"/>
      <w:bookmarkEnd w:id="276"/>
      <w:bookmarkEnd w:id="277"/>
    </w:p>
    <w:p w14:paraId="3CFC8C19">
      <w:pPr>
        <w:snapToGrid w:val="0"/>
        <w:spacing w:line="300" w:lineRule="auto"/>
        <w:rPr>
          <w:b/>
          <w:bCs/>
          <w:sz w:val="24"/>
        </w:rPr>
      </w:pPr>
      <w:r>
        <w:rPr>
          <w:b/>
          <w:bCs/>
          <w:sz w:val="24"/>
        </w:rPr>
        <w:t xml:space="preserve">8.1.1 </w:t>
      </w:r>
      <w:r>
        <w:rPr>
          <w:sz w:val="24"/>
        </w:rPr>
        <w:t>建筑光伏系统并网应符合现行国家标准《光伏发电系统接入配电网技术规定》GB/T29319和《光伏发电站接入电力系统技术规定》GB/T19964的有关规定。建筑光伏系统接入设计应符合现行国家标准《光伏发电接入配电网设计规范》GB/T50865和《光伏发电站接入电力系统设计规范》GB/T50866的有关规定。</w:t>
      </w:r>
    </w:p>
    <w:p w14:paraId="61DD5C98">
      <w:pPr>
        <w:snapToGrid w:val="0"/>
        <w:spacing w:line="300" w:lineRule="auto"/>
        <w:rPr>
          <w:sz w:val="24"/>
        </w:rPr>
      </w:pPr>
      <w:r>
        <w:rPr>
          <w:b/>
          <w:bCs/>
          <w:sz w:val="24"/>
        </w:rPr>
        <w:t>8.1.2</w:t>
      </w:r>
      <w:r>
        <w:rPr>
          <w:sz w:val="24"/>
        </w:rPr>
        <w:t xml:space="preserve"> </w:t>
      </w:r>
      <w:r>
        <w:rPr>
          <w:bCs/>
          <w:kern w:val="0"/>
          <w:sz w:val="24"/>
        </w:rPr>
        <w:t>建筑光伏系统应满足本地区并网要求，</w:t>
      </w:r>
      <w:r>
        <w:rPr>
          <w:sz w:val="24"/>
        </w:rPr>
        <w:t>各并网点电压等级宜根据装机容量按表8.1.2选取。最终并网电压等级应根据电网条件，通过技术经济比选论证确定。当高低两级电压均具备接入条件时，宜采用低电压等级接入。</w:t>
      </w:r>
    </w:p>
    <w:p w14:paraId="0E9B66FE">
      <w:pPr>
        <w:snapToGrid w:val="0"/>
        <w:spacing w:line="300" w:lineRule="auto"/>
        <w:jc w:val="center"/>
        <w:rPr>
          <w:b/>
          <w:bCs/>
          <w:sz w:val="21"/>
          <w:szCs w:val="21"/>
        </w:rPr>
      </w:pPr>
      <w:r>
        <w:rPr>
          <w:b/>
          <w:bCs/>
          <w:sz w:val="21"/>
          <w:szCs w:val="21"/>
        </w:rPr>
        <w:t>表8.1.2 光伏系统并网电压等级</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91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8914E36">
            <w:pPr>
              <w:pStyle w:val="2"/>
              <w:spacing w:after="0" w:line="300" w:lineRule="auto"/>
              <w:jc w:val="center"/>
              <w:rPr>
                <w:b w:val="0"/>
                <w:bCs w:val="0"/>
                <w:sz w:val="21"/>
                <w:szCs w:val="21"/>
              </w:rPr>
            </w:pPr>
            <w:r>
              <w:rPr>
                <w:b w:val="0"/>
                <w:bCs w:val="0"/>
                <w:sz w:val="21"/>
                <w:szCs w:val="21"/>
              </w:rPr>
              <w:t>序号</w:t>
            </w:r>
          </w:p>
        </w:tc>
        <w:tc>
          <w:tcPr>
            <w:tcW w:w="2841" w:type="dxa"/>
            <w:vAlign w:val="center"/>
          </w:tcPr>
          <w:p w14:paraId="368858E8">
            <w:pPr>
              <w:pStyle w:val="2"/>
              <w:spacing w:after="0" w:line="300" w:lineRule="auto"/>
              <w:jc w:val="center"/>
              <w:rPr>
                <w:rFonts w:hint="eastAsia" w:eastAsia="宋体"/>
                <w:b w:val="0"/>
                <w:bCs w:val="0"/>
                <w:sz w:val="21"/>
                <w:szCs w:val="21"/>
                <w:lang w:eastAsia="zh-CN"/>
              </w:rPr>
            </w:pPr>
            <w:r>
              <w:rPr>
                <w:b w:val="0"/>
                <w:bCs w:val="0"/>
                <w:sz w:val="21"/>
                <w:szCs w:val="21"/>
              </w:rPr>
              <w:t>容量</w:t>
            </w:r>
            <w:r>
              <w:rPr>
                <w:rFonts w:hint="eastAsia"/>
                <w:b w:val="0"/>
                <w:bCs w:val="0"/>
                <w:sz w:val="21"/>
                <w:szCs w:val="21"/>
                <w:lang w:eastAsia="zh-CN"/>
              </w:rPr>
              <w:t>（</w:t>
            </w:r>
            <w:r>
              <w:rPr>
                <w:sz w:val="21"/>
                <w:szCs w:val="21"/>
              </w:rPr>
              <w:t>kW</w:t>
            </w:r>
            <w:r>
              <w:rPr>
                <w:rFonts w:hint="eastAsia"/>
                <w:b w:val="0"/>
                <w:bCs w:val="0"/>
                <w:sz w:val="21"/>
                <w:szCs w:val="21"/>
                <w:lang w:eastAsia="zh-CN"/>
              </w:rPr>
              <w:t>）</w:t>
            </w:r>
          </w:p>
        </w:tc>
        <w:tc>
          <w:tcPr>
            <w:tcW w:w="2841" w:type="dxa"/>
            <w:vAlign w:val="center"/>
          </w:tcPr>
          <w:p w14:paraId="24E778E4">
            <w:pPr>
              <w:pStyle w:val="2"/>
              <w:spacing w:after="0" w:line="300" w:lineRule="auto"/>
              <w:jc w:val="center"/>
              <w:rPr>
                <w:b w:val="0"/>
                <w:bCs w:val="0"/>
                <w:sz w:val="21"/>
                <w:szCs w:val="21"/>
              </w:rPr>
            </w:pPr>
            <w:r>
              <w:rPr>
                <w:b w:val="0"/>
                <w:bCs w:val="0"/>
                <w:sz w:val="21"/>
                <w:szCs w:val="21"/>
              </w:rPr>
              <w:t>电压等级</w:t>
            </w:r>
          </w:p>
        </w:tc>
      </w:tr>
      <w:tr w14:paraId="5BD2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2BC3B0B">
            <w:pPr>
              <w:pStyle w:val="2"/>
              <w:spacing w:after="0" w:line="300" w:lineRule="auto"/>
              <w:jc w:val="center"/>
              <w:rPr>
                <w:sz w:val="21"/>
                <w:szCs w:val="21"/>
              </w:rPr>
            </w:pPr>
            <w:r>
              <w:rPr>
                <w:sz w:val="21"/>
                <w:szCs w:val="21"/>
              </w:rPr>
              <w:t>1</w:t>
            </w:r>
          </w:p>
        </w:tc>
        <w:tc>
          <w:tcPr>
            <w:tcW w:w="2841" w:type="dxa"/>
            <w:vAlign w:val="center"/>
          </w:tcPr>
          <w:p w14:paraId="0CABAEF2">
            <w:pPr>
              <w:pStyle w:val="2"/>
              <w:spacing w:after="0" w:line="300" w:lineRule="auto"/>
              <w:jc w:val="center"/>
              <w:rPr>
                <w:sz w:val="21"/>
                <w:szCs w:val="21"/>
              </w:rPr>
            </w:pPr>
            <w:r>
              <w:rPr>
                <w:sz w:val="21"/>
                <w:szCs w:val="21"/>
              </w:rPr>
              <w:t>S</w:t>
            </w:r>
            <w:r>
              <w:rPr>
                <w:rFonts w:hint="eastAsia"/>
                <w:sz w:val="21"/>
                <w:szCs w:val="21"/>
              </w:rPr>
              <w:t>≤</w:t>
            </w:r>
            <w:r>
              <w:rPr>
                <w:sz w:val="21"/>
                <w:szCs w:val="21"/>
              </w:rPr>
              <w:t>8</w:t>
            </w:r>
          </w:p>
        </w:tc>
        <w:tc>
          <w:tcPr>
            <w:tcW w:w="2841" w:type="dxa"/>
            <w:vAlign w:val="center"/>
          </w:tcPr>
          <w:p w14:paraId="639DC52A">
            <w:pPr>
              <w:pStyle w:val="2"/>
              <w:spacing w:after="0" w:line="300" w:lineRule="auto"/>
              <w:jc w:val="center"/>
              <w:rPr>
                <w:sz w:val="21"/>
                <w:szCs w:val="21"/>
              </w:rPr>
            </w:pPr>
            <w:r>
              <w:rPr>
                <w:sz w:val="21"/>
                <w:szCs w:val="21"/>
              </w:rPr>
              <w:t>220V/单相</w:t>
            </w:r>
          </w:p>
        </w:tc>
      </w:tr>
      <w:tr w14:paraId="0683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6C773B7">
            <w:pPr>
              <w:pStyle w:val="2"/>
              <w:spacing w:after="0" w:line="300" w:lineRule="auto"/>
              <w:jc w:val="center"/>
              <w:rPr>
                <w:sz w:val="21"/>
                <w:szCs w:val="21"/>
              </w:rPr>
            </w:pPr>
            <w:r>
              <w:rPr>
                <w:sz w:val="21"/>
                <w:szCs w:val="21"/>
              </w:rPr>
              <w:t>2</w:t>
            </w:r>
          </w:p>
        </w:tc>
        <w:tc>
          <w:tcPr>
            <w:tcW w:w="2841" w:type="dxa"/>
            <w:vAlign w:val="center"/>
          </w:tcPr>
          <w:p w14:paraId="25A6E402">
            <w:pPr>
              <w:pStyle w:val="2"/>
              <w:spacing w:after="0" w:line="300" w:lineRule="auto"/>
              <w:jc w:val="center"/>
              <w:rPr>
                <w:sz w:val="21"/>
                <w:szCs w:val="21"/>
              </w:rPr>
            </w:pPr>
            <w:r>
              <w:rPr>
                <w:sz w:val="21"/>
                <w:szCs w:val="21"/>
              </w:rPr>
              <w:t>8&lt;S</w:t>
            </w:r>
            <w:r>
              <w:rPr>
                <w:rFonts w:hint="eastAsia"/>
                <w:sz w:val="21"/>
                <w:szCs w:val="21"/>
              </w:rPr>
              <w:t>≤</w:t>
            </w:r>
            <w:r>
              <w:rPr>
                <w:sz w:val="21"/>
                <w:szCs w:val="21"/>
              </w:rPr>
              <w:t>500</w:t>
            </w:r>
          </w:p>
        </w:tc>
        <w:tc>
          <w:tcPr>
            <w:tcW w:w="2841" w:type="dxa"/>
            <w:vAlign w:val="center"/>
          </w:tcPr>
          <w:p w14:paraId="4F5D291D">
            <w:pPr>
              <w:pStyle w:val="2"/>
              <w:spacing w:after="0" w:line="300" w:lineRule="auto"/>
              <w:jc w:val="center"/>
              <w:rPr>
                <w:sz w:val="21"/>
                <w:szCs w:val="21"/>
              </w:rPr>
            </w:pPr>
            <w:r>
              <w:rPr>
                <w:sz w:val="21"/>
                <w:szCs w:val="21"/>
              </w:rPr>
              <w:t>380V/三相</w:t>
            </w:r>
          </w:p>
        </w:tc>
      </w:tr>
      <w:tr w14:paraId="4086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AEC998D">
            <w:pPr>
              <w:pStyle w:val="2"/>
              <w:spacing w:after="0" w:line="300" w:lineRule="auto"/>
              <w:jc w:val="center"/>
              <w:rPr>
                <w:sz w:val="21"/>
                <w:szCs w:val="21"/>
              </w:rPr>
            </w:pPr>
            <w:r>
              <w:rPr>
                <w:sz w:val="21"/>
                <w:szCs w:val="21"/>
              </w:rPr>
              <w:t>3</w:t>
            </w:r>
          </w:p>
        </w:tc>
        <w:tc>
          <w:tcPr>
            <w:tcW w:w="2841" w:type="dxa"/>
            <w:vAlign w:val="center"/>
          </w:tcPr>
          <w:p w14:paraId="513BF107">
            <w:pPr>
              <w:pStyle w:val="2"/>
              <w:spacing w:after="0" w:line="300" w:lineRule="auto"/>
              <w:jc w:val="center"/>
              <w:rPr>
                <w:sz w:val="21"/>
                <w:szCs w:val="21"/>
              </w:rPr>
            </w:pPr>
            <w:r>
              <w:rPr>
                <w:sz w:val="21"/>
                <w:szCs w:val="21"/>
              </w:rPr>
              <w:t>500&lt;S</w:t>
            </w:r>
            <w:r>
              <w:rPr>
                <w:rFonts w:hint="eastAsia"/>
                <w:sz w:val="21"/>
                <w:szCs w:val="21"/>
              </w:rPr>
              <w:t>≤</w:t>
            </w:r>
            <w:r>
              <w:rPr>
                <w:sz w:val="21"/>
                <w:szCs w:val="21"/>
              </w:rPr>
              <w:t>6000</w:t>
            </w:r>
          </w:p>
        </w:tc>
        <w:tc>
          <w:tcPr>
            <w:tcW w:w="2841" w:type="dxa"/>
            <w:vAlign w:val="center"/>
          </w:tcPr>
          <w:p w14:paraId="2FC5A40B">
            <w:pPr>
              <w:pStyle w:val="2"/>
              <w:spacing w:after="0" w:line="300" w:lineRule="auto"/>
              <w:jc w:val="center"/>
              <w:rPr>
                <w:sz w:val="21"/>
                <w:szCs w:val="21"/>
              </w:rPr>
            </w:pPr>
            <w:r>
              <w:rPr>
                <w:sz w:val="21"/>
                <w:szCs w:val="21"/>
              </w:rPr>
              <w:t>10kV/三相</w:t>
            </w:r>
          </w:p>
        </w:tc>
      </w:tr>
      <w:tr w14:paraId="0763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281D69A">
            <w:pPr>
              <w:pStyle w:val="2"/>
              <w:spacing w:after="0" w:line="300" w:lineRule="auto"/>
              <w:jc w:val="center"/>
              <w:rPr>
                <w:sz w:val="21"/>
                <w:szCs w:val="21"/>
              </w:rPr>
            </w:pPr>
            <w:r>
              <w:rPr>
                <w:sz w:val="21"/>
                <w:szCs w:val="21"/>
              </w:rPr>
              <w:t>4</w:t>
            </w:r>
          </w:p>
        </w:tc>
        <w:tc>
          <w:tcPr>
            <w:tcW w:w="2841" w:type="dxa"/>
            <w:vAlign w:val="center"/>
          </w:tcPr>
          <w:p w14:paraId="15CC2161">
            <w:pPr>
              <w:pStyle w:val="2"/>
              <w:spacing w:after="0" w:line="300" w:lineRule="auto"/>
              <w:jc w:val="center"/>
              <w:rPr>
                <w:sz w:val="21"/>
                <w:szCs w:val="21"/>
              </w:rPr>
            </w:pPr>
            <w:r>
              <w:rPr>
                <w:sz w:val="21"/>
                <w:szCs w:val="21"/>
              </w:rPr>
              <w:t>S&gt;6000</w:t>
            </w:r>
          </w:p>
        </w:tc>
        <w:tc>
          <w:tcPr>
            <w:tcW w:w="2841" w:type="dxa"/>
            <w:vAlign w:val="center"/>
          </w:tcPr>
          <w:p w14:paraId="00969E9C">
            <w:pPr>
              <w:pStyle w:val="2"/>
              <w:spacing w:after="0" w:line="300" w:lineRule="auto"/>
              <w:jc w:val="center"/>
              <w:rPr>
                <w:sz w:val="21"/>
                <w:szCs w:val="21"/>
              </w:rPr>
            </w:pPr>
            <w:r>
              <w:rPr>
                <w:sz w:val="21"/>
                <w:szCs w:val="21"/>
              </w:rPr>
              <w:t>35kV及以上/三相</w:t>
            </w:r>
          </w:p>
        </w:tc>
      </w:tr>
    </w:tbl>
    <w:p w14:paraId="32DFB24D">
      <w:pPr>
        <w:widowControl/>
        <w:spacing w:line="300" w:lineRule="auto"/>
        <w:rPr>
          <w:bCs/>
          <w:kern w:val="0"/>
          <w:sz w:val="24"/>
        </w:rPr>
      </w:pPr>
      <w:r>
        <w:rPr>
          <w:b/>
          <w:kern w:val="0"/>
          <w:sz w:val="24"/>
        </w:rPr>
        <w:t>8.1.3</w:t>
      </w:r>
      <w:r>
        <w:rPr>
          <w:kern w:val="0"/>
          <w:sz w:val="24"/>
        </w:rPr>
        <w:t xml:space="preserve"> </w:t>
      </w:r>
      <w:r>
        <w:rPr>
          <w:bCs/>
          <w:kern w:val="0"/>
          <w:sz w:val="24"/>
        </w:rPr>
        <w:t>光伏系统接入电网的方式应根据光伏系统的容量及电网</w:t>
      </w:r>
      <w:r>
        <w:rPr>
          <w:rFonts w:hint="eastAsia"/>
          <w:bCs/>
          <w:kern w:val="0"/>
          <w:sz w:val="24"/>
        </w:rPr>
        <w:t>承载运行</w:t>
      </w:r>
      <w:r>
        <w:rPr>
          <w:bCs/>
          <w:kern w:val="0"/>
          <w:sz w:val="24"/>
        </w:rPr>
        <w:t>具体情况，在接入系统设计中通过经济比较后确定，接入方式可</w:t>
      </w:r>
      <w:r>
        <w:rPr>
          <w:rFonts w:hint="eastAsia"/>
          <w:bCs/>
          <w:kern w:val="0"/>
          <w:sz w:val="24"/>
          <w:lang w:val="en-US" w:eastAsia="zh-CN"/>
        </w:rPr>
        <w:t>参考</w:t>
      </w:r>
      <w:r>
        <w:rPr>
          <w:bCs/>
          <w:kern w:val="0"/>
          <w:sz w:val="24"/>
        </w:rPr>
        <w:t>表8.1.3进行设计</w:t>
      </w:r>
      <w:r>
        <w:rPr>
          <w:rFonts w:hint="default"/>
          <w:bCs/>
          <w:kern w:val="0"/>
          <w:sz w:val="24"/>
          <w:lang w:eastAsia="zh-CN"/>
        </w:rPr>
        <w:t>，</w:t>
      </w:r>
      <w:r>
        <w:rPr>
          <w:rFonts w:hint="default"/>
          <w:bCs/>
          <w:kern w:val="0"/>
          <w:sz w:val="24"/>
          <w:lang w:val="en-US" w:eastAsia="zh-CN"/>
        </w:rPr>
        <w:t>具体实施需</w:t>
      </w:r>
      <w:r>
        <w:rPr>
          <w:rFonts w:hint="default" w:ascii="Times New Roman" w:hAnsi="Times New Roman" w:eastAsia="宋体" w:cs="Times New Roman"/>
          <w:b w:val="0"/>
          <w:bCs/>
          <w:kern w:val="0"/>
          <w:sz w:val="24"/>
          <w:szCs w:val="24"/>
          <w:u w:val="none" w:color="auto"/>
          <w:vertAlign w:val="baseline"/>
          <w:lang w:val="en-US" w:eastAsia="zh-CN"/>
        </w:rPr>
        <w:t>与供电部门协商</w:t>
      </w:r>
      <w:r>
        <w:rPr>
          <w:bCs/>
          <w:kern w:val="0"/>
          <w:sz w:val="24"/>
        </w:rPr>
        <w:t>。</w:t>
      </w:r>
    </w:p>
    <w:p w14:paraId="6CB7C6C6">
      <w:pPr>
        <w:snapToGrid w:val="0"/>
        <w:spacing w:line="300" w:lineRule="auto"/>
        <w:jc w:val="center"/>
        <w:rPr>
          <w:b/>
          <w:bCs/>
          <w:sz w:val="21"/>
          <w:szCs w:val="21"/>
        </w:rPr>
      </w:pPr>
      <w:r>
        <w:rPr>
          <w:b/>
          <w:bCs/>
          <w:sz w:val="21"/>
          <w:szCs w:val="21"/>
        </w:rPr>
        <w:t>表8.1.3 光伏系统接入电网方式</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527"/>
        <w:gridCol w:w="2545"/>
        <w:gridCol w:w="3634"/>
      </w:tblGrid>
      <w:tr w14:paraId="6069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7DF8E12B">
            <w:pPr>
              <w:pStyle w:val="2"/>
              <w:spacing w:after="0" w:line="300" w:lineRule="auto"/>
              <w:jc w:val="center"/>
              <w:rPr>
                <w:b w:val="0"/>
                <w:bCs w:val="0"/>
                <w:sz w:val="21"/>
                <w:szCs w:val="21"/>
              </w:rPr>
            </w:pPr>
            <w:r>
              <w:rPr>
                <w:b w:val="0"/>
                <w:bCs w:val="0"/>
                <w:sz w:val="21"/>
                <w:szCs w:val="21"/>
              </w:rPr>
              <w:t>序号</w:t>
            </w:r>
          </w:p>
        </w:tc>
        <w:tc>
          <w:tcPr>
            <w:tcW w:w="896" w:type="pct"/>
            <w:vAlign w:val="center"/>
          </w:tcPr>
          <w:p w14:paraId="492EDA86">
            <w:pPr>
              <w:pStyle w:val="2"/>
              <w:spacing w:after="0" w:line="300" w:lineRule="auto"/>
              <w:jc w:val="center"/>
              <w:rPr>
                <w:b w:val="0"/>
                <w:bCs w:val="0"/>
                <w:sz w:val="21"/>
                <w:szCs w:val="21"/>
              </w:rPr>
            </w:pPr>
            <w:r>
              <w:rPr>
                <w:b w:val="0"/>
                <w:bCs w:val="0"/>
                <w:sz w:val="21"/>
                <w:szCs w:val="21"/>
              </w:rPr>
              <w:t>并网方式</w:t>
            </w:r>
          </w:p>
        </w:tc>
        <w:tc>
          <w:tcPr>
            <w:tcW w:w="1493" w:type="pct"/>
            <w:vAlign w:val="center"/>
          </w:tcPr>
          <w:p w14:paraId="68C71401">
            <w:pPr>
              <w:pStyle w:val="2"/>
              <w:spacing w:after="0" w:line="300" w:lineRule="auto"/>
              <w:jc w:val="center"/>
              <w:rPr>
                <w:b w:val="0"/>
                <w:bCs w:val="0"/>
                <w:sz w:val="21"/>
                <w:szCs w:val="21"/>
              </w:rPr>
            </w:pPr>
            <w:r>
              <w:rPr>
                <w:b w:val="0"/>
                <w:bCs w:val="0"/>
                <w:sz w:val="21"/>
                <w:szCs w:val="21"/>
              </w:rPr>
              <w:t>用电方式</w:t>
            </w:r>
          </w:p>
        </w:tc>
        <w:tc>
          <w:tcPr>
            <w:tcW w:w="2132" w:type="pct"/>
          </w:tcPr>
          <w:p w14:paraId="235C81A6">
            <w:pPr>
              <w:pStyle w:val="2"/>
              <w:spacing w:after="0" w:line="300" w:lineRule="auto"/>
              <w:jc w:val="center"/>
              <w:rPr>
                <w:b w:val="0"/>
                <w:bCs w:val="0"/>
                <w:sz w:val="21"/>
                <w:szCs w:val="21"/>
              </w:rPr>
            </w:pPr>
            <w:r>
              <w:rPr>
                <w:b w:val="0"/>
                <w:bCs w:val="0"/>
                <w:sz w:val="21"/>
                <w:szCs w:val="21"/>
              </w:rPr>
              <w:t>适用范围</w:t>
            </w:r>
          </w:p>
        </w:tc>
      </w:tr>
      <w:tr w14:paraId="03E1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2AD814ED">
            <w:pPr>
              <w:pStyle w:val="2"/>
              <w:spacing w:after="0" w:line="300" w:lineRule="auto"/>
              <w:jc w:val="center"/>
              <w:rPr>
                <w:sz w:val="21"/>
                <w:szCs w:val="21"/>
              </w:rPr>
            </w:pPr>
            <w:r>
              <w:rPr>
                <w:sz w:val="21"/>
                <w:szCs w:val="21"/>
              </w:rPr>
              <w:t>1</w:t>
            </w:r>
          </w:p>
        </w:tc>
        <w:tc>
          <w:tcPr>
            <w:tcW w:w="896" w:type="pct"/>
            <w:vAlign w:val="center"/>
          </w:tcPr>
          <w:p w14:paraId="17F478A9">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自然人户用分布式光伏</w:t>
            </w:r>
          </w:p>
        </w:tc>
        <w:tc>
          <w:tcPr>
            <w:tcW w:w="1493" w:type="pct"/>
            <w:vAlign w:val="center"/>
          </w:tcPr>
          <w:p w14:paraId="77CC6BB0">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可选择</w:t>
            </w:r>
            <w:r>
              <w:rPr>
                <w:rFonts w:hint="eastAsia" w:ascii="Times New Roman" w:hAnsi="Times New Roman" w:eastAsia="宋体" w:cs="Times New Roman"/>
                <w:color w:val="auto"/>
                <w:kern w:val="2"/>
                <w:sz w:val="21"/>
                <w:szCs w:val="21"/>
                <w:lang w:eastAsia="zh-CN"/>
              </w:rPr>
              <w:t>全额上网、全部自发自用</w:t>
            </w:r>
            <w:r>
              <w:rPr>
                <w:rFonts w:hint="eastAsia" w:ascii="Times New Roman" w:hAnsi="Times New Roman" w:eastAsia="宋体" w:cs="Times New Roman"/>
                <w:color w:val="auto"/>
                <w:kern w:val="2"/>
                <w:sz w:val="21"/>
                <w:szCs w:val="21"/>
                <w:lang w:val="en-US" w:eastAsia="zh-CN"/>
              </w:rPr>
              <w:t>或</w:t>
            </w:r>
            <w:r>
              <w:rPr>
                <w:rFonts w:hint="eastAsia" w:ascii="Times New Roman" w:hAnsi="Times New Roman" w:eastAsia="宋体" w:cs="Times New Roman"/>
                <w:color w:val="auto"/>
                <w:kern w:val="2"/>
                <w:sz w:val="21"/>
                <w:szCs w:val="21"/>
                <w:lang w:eastAsia="zh-CN"/>
              </w:rPr>
              <w:t>自发自用余电上网</w:t>
            </w:r>
            <w:r>
              <w:rPr>
                <w:rFonts w:hint="eastAsia" w:ascii="Times New Roman" w:hAnsi="Times New Roman" w:eastAsia="宋体" w:cs="Times New Roman"/>
                <w:color w:val="auto"/>
                <w:kern w:val="2"/>
                <w:sz w:val="21"/>
                <w:szCs w:val="21"/>
                <w:lang w:val="en-US" w:eastAsia="zh-CN"/>
              </w:rPr>
              <w:t>模式</w:t>
            </w:r>
          </w:p>
        </w:tc>
        <w:tc>
          <w:tcPr>
            <w:tcW w:w="2132" w:type="pct"/>
            <w:vAlign w:val="top"/>
          </w:tcPr>
          <w:p w14:paraId="0E4043B4">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公共连接点电压等级不超过380伏的分布式光伏</w:t>
            </w:r>
          </w:p>
        </w:tc>
      </w:tr>
      <w:tr w14:paraId="48A0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6DEECA1F">
            <w:pPr>
              <w:pStyle w:val="2"/>
              <w:spacing w:after="0" w:line="300" w:lineRule="auto"/>
              <w:jc w:val="center"/>
              <w:rPr>
                <w:rFonts w:hint="eastAsia" w:eastAsia="宋体"/>
                <w:sz w:val="21"/>
                <w:szCs w:val="21"/>
                <w:lang w:val="en-US" w:eastAsia="zh-CN"/>
              </w:rPr>
            </w:pPr>
            <w:r>
              <w:rPr>
                <w:rFonts w:hint="eastAsia"/>
                <w:sz w:val="21"/>
                <w:szCs w:val="21"/>
                <w:lang w:val="en-US" w:eastAsia="zh-CN"/>
              </w:rPr>
              <w:t>2</w:t>
            </w:r>
          </w:p>
        </w:tc>
        <w:tc>
          <w:tcPr>
            <w:tcW w:w="896" w:type="pct"/>
            <w:vAlign w:val="center"/>
          </w:tcPr>
          <w:p w14:paraId="7CF86D94">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非自然人户用分布式光伏</w:t>
            </w:r>
          </w:p>
        </w:tc>
        <w:tc>
          <w:tcPr>
            <w:tcW w:w="1493" w:type="pct"/>
            <w:vAlign w:val="center"/>
          </w:tcPr>
          <w:p w14:paraId="4EBF3123">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kern w:val="2"/>
                <w:sz w:val="21"/>
                <w:szCs w:val="21"/>
                <w:lang w:val="en-US" w:eastAsia="zh-CN"/>
              </w:rPr>
              <w:t>可选择</w:t>
            </w:r>
            <w:r>
              <w:rPr>
                <w:rFonts w:hint="eastAsia" w:ascii="Times New Roman" w:hAnsi="Times New Roman" w:eastAsia="宋体" w:cs="Times New Roman"/>
                <w:color w:val="auto"/>
                <w:kern w:val="2"/>
                <w:sz w:val="21"/>
                <w:szCs w:val="21"/>
                <w:lang w:eastAsia="zh-CN"/>
              </w:rPr>
              <w:t>全额上网、全部自发自用</w:t>
            </w:r>
            <w:r>
              <w:rPr>
                <w:rFonts w:hint="eastAsia" w:ascii="Times New Roman" w:hAnsi="Times New Roman" w:eastAsia="宋体" w:cs="Times New Roman"/>
                <w:color w:val="auto"/>
                <w:kern w:val="2"/>
                <w:sz w:val="21"/>
                <w:szCs w:val="21"/>
                <w:lang w:val="en-US" w:eastAsia="zh-CN"/>
              </w:rPr>
              <w:t>或</w:t>
            </w:r>
            <w:r>
              <w:rPr>
                <w:rFonts w:hint="eastAsia" w:ascii="Times New Roman" w:hAnsi="Times New Roman" w:eastAsia="宋体" w:cs="Times New Roman"/>
                <w:color w:val="auto"/>
                <w:kern w:val="2"/>
                <w:sz w:val="21"/>
                <w:szCs w:val="21"/>
                <w:lang w:eastAsia="zh-CN"/>
              </w:rPr>
              <w:t>自发自用余电上网</w:t>
            </w:r>
            <w:r>
              <w:rPr>
                <w:rFonts w:hint="eastAsia" w:ascii="Times New Roman" w:hAnsi="Times New Roman" w:eastAsia="宋体" w:cs="Times New Roman"/>
                <w:color w:val="auto"/>
                <w:kern w:val="2"/>
                <w:sz w:val="21"/>
                <w:szCs w:val="21"/>
                <w:lang w:val="en-US" w:eastAsia="zh-CN"/>
              </w:rPr>
              <w:t>模式</w:t>
            </w:r>
          </w:p>
        </w:tc>
        <w:tc>
          <w:tcPr>
            <w:tcW w:w="2132" w:type="pct"/>
            <w:vAlign w:val="top"/>
          </w:tcPr>
          <w:p w14:paraId="2E5F4E26">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公共连接点电压等级不超过10千伏、总装机容量不超过6兆瓦的分布式光伏</w:t>
            </w:r>
          </w:p>
        </w:tc>
      </w:tr>
      <w:tr w14:paraId="6BC4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2F7E8454">
            <w:pPr>
              <w:pStyle w:val="2"/>
              <w:spacing w:after="0" w:line="300" w:lineRule="auto"/>
              <w:jc w:val="center"/>
              <w:rPr>
                <w:rFonts w:hint="eastAsia" w:eastAsia="宋体"/>
                <w:sz w:val="21"/>
                <w:szCs w:val="21"/>
                <w:lang w:val="en-US" w:eastAsia="zh-CN"/>
              </w:rPr>
            </w:pPr>
            <w:r>
              <w:rPr>
                <w:rFonts w:hint="eastAsia"/>
                <w:sz w:val="21"/>
                <w:szCs w:val="21"/>
                <w:lang w:val="en-US" w:eastAsia="zh-CN"/>
              </w:rPr>
              <w:t>3</w:t>
            </w:r>
          </w:p>
        </w:tc>
        <w:tc>
          <w:tcPr>
            <w:tcW w:w="896" w:type="pct"/>
            <w:vAlign w:val="center"/>
          </w:tcPr>
          <w:p w14:paraId="1F9BD2FA">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一般工商业分布式光伏</w:t>
            </w:r>
          </w:p>
        </w:tc>
        <w:tc>
          <w:tcPr>
            <w:tcW w:w="1493" w:type="pct"/>
            <w:vAlign w:val="center"/>
          </w:tcPr>
          <w:p w14:paraId="30685B66">
            <w:pPr>
              <w:pStyle w:val="2"/>
              <w:spacing w:after="0" w:line="300" w:lineRule="auto"/>
              <w:jc w:val="center"/>
              <w:rPr>
                <w:rFonts w:hint="default" w:ascii="Times New Roman" w:hAnsi="Times New Roman" w:eastAsia="宋体" w:cs="Times New Roman"/>
                <w:kern w:val="2"/>
                <w:sz w:val="21"/>
                <w:szCs w:val="21"/>
                <w:lang w:val="en-US" w:eastAsia="zh-CN" w:bidi="ar-SA"/>
              </w:rPr>
            </w:pPr>
            <w:r>
              <w:rPr>
                <w:rFonts w:hint="default" w:eastAsia="宋体"/>
                <w:sz w:val="21"/>
                <w:szCs w:val="21"/>
              </w:rPr>
              <w:t>可选择全部自发自用或自发自用余电上网</w:t>
            </w:r>
          </w:p>
        </w:tc>
        <w:tc>
          <w:tcPr>
            <w:tcW w:w="2132" w:type="pct"/>
            <w:vAlign w:val="top"/>
          </w:tcPr>
          <w:p w14:paraId="255D57DF">
            <w:pPr>
              <w:pStyle w:val="2"/>
              <w:spacing w:after="0" w:line="30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公共连接点电压等级为10千伏（20千伏）及以下、总装机容量不超过6兆瓦的分布式光伏</w:t>
            </w:r>
          </w:p>
        </w:tc>
      </w:tr>
      <w:tr w14:paraId="4D3C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2F3D9696">
            <w:pPr>
              <w:pStyle w:val="2"/>
              <w:spacing w:after="0" w:line="300" w:lineRule="auto"/>
              <w:jc w:val="center"/>
              <w:rPr>
                <w:rFonts w:hint="eastAsia" w:eastAsia="宋体"/>
                <w:sz w:val="21"/>
                <w:szCs w:val="21"/>
                <w:lang w:val="en-US" w:eastAsia="zh-CN"/>
              </w:rPr>
            </w:pPr>
            <w:r>
              <w:rPr>
                <w:rFonts w:hint="eastAsia"/>
                <w:sz w:val="21"/>
                <w:szCs w:val="21"/>
                <w:lang w:val="en-US" w:eastAsia="zh-CN"/>
              </w:rPr>
              <w:t>4</w:t>
            </w:r>
          </w:p>
        </w:tc>
        <w:tc>
          <w:tcPr>
            <w:tcW w:w="896" w:type="pct"/>
            <w:vAlign w:val="center"/>
          </w:tcPr>
          <w:p w14:paraId="683AF30D">
            <w:pPr>
              <w:pStyle w:val="2"/>
              <w:spacing w:after="0" w:line="300" w:lineRule="auto"/>
              <w:jc w:val="center"/>
              <w:rPr>
                <w:rFonts w:ascii="Times New Roman" w:hAnsi="Times New Roman" w:eastAsia="宋体" w:cs="Times New Roman"/>
                <w:kern w:val="2"/>
                <w:sz w:val="21"/>
                <w:szCs w:val="21"/>
                <w:lang w:val="en-US" w:eastAsia="zh-CN" w:bidi="ar-SA"/>
              </w:rPr>
            </w:pPr>
            <w:r>
              <w:rPr>
                <w:rFonts w:hint="eastAsia"/>
                <w:sz w:val="21"/>
                <w:szCs w:val="21"/>
              </w:rPr>
              <w:t>大型工商业分布式光伏</w:t>
            </w:r>
          </w:p>
        </w:tc>
        <w:tc>
          <w:tcPr>
            <w:tcW w:w="1493" w:type="pct"/>
            <w:vAlign w:val="center"/>
          </w:tcPr>
          <w:p w14:paraId="4140E19E">
            <w:pPr>
              <w:pStyle w:val="2"/>
              <w:spacing w:after="0" w:line="300" w:lineRule="auto"/>
              <w:jc w:val="center"/>
              <w:rPr>
                <w:sz w:val="21"/>
                <w:szCs w:val="21"/>
              </w:rPr>
            </w:pPr>
            <w:r>
              <w:rPr>
                <w:rFonts w:hint="default" w:ascii="Times New Roman" w:hAnsi="Times New Roman" w:eastAsia="宋体" w:cs="Times New Roman"/>
                <w:kern w:val="2"/>
                <w:sz w:val="21"/>
                <w:szCs w:val="21"/>
                <w:lang w:val="en-US" w:eastAsia="zh-CN"/>
              </w:rPr>
              <w:t>全部</w:t>
            </w:r>
            <w:r>
              <w:rPr>
                <w:rFonts w:hint="default" w:ascii="Times New Roman" w:hAnsi="Times New Roman" w:eastAsia="宋体" w:cs="Times New Roman"/>
                <w:kern w:val="2"/>
                <w:sz w:val="21"/>
                <w:szCs w:val="21"/>
                <w:lang w:eastAsia="zh-CN"/>
              </w:rPr>
              <w:t>自发自用</w:t>
            </w:r>
          </w:p>
        </w:tc>
        <w:tc>
          <w:tcPr>
            <w:tcW w:w="2132" w:type="pct"/>
            <w:vAlign w:val="top"/>
          </w:tcPr>
          <w:p w14:paraId="73559F92">
            <w:pPr>
              <w:pStyle w:val="2"/>
              <w:spacing w:after="0" w:line="300" w:lineRule="auto"/>
              <w:jc w:val="center"/>
              <w:rPr>
                <w:rFonts w:ascii="Times New Roman" w:hAnsi="Times New Roman" w:eastAsia="宋体" w:cs="Times New Roman"/>
                <w:kern w:val="2"/>
                <w:sz w:val="21"/>
                <w:szCs w:val="21"/>
                <w:lang w:val="en-US" w:eastAsia="zh-CN" w:bidi="ar-SA"/>
              </w:rPr>
            </w:pPr>
            <w:r>
              <w:rPr>
                <w:rFonts w:hint="eastAsia"/>
                <w:sz w:val="21"/>
                <w:szCs w:val="21"/>
              </w:rPr>
              <w:t>公共连接点电压等级为35千伏、总装机容量不超过20兆瓦或公共连接点电压等级为110千伏（66千伏）、总装机容量不超过50兆瓦的分布式光伏。</w:t>
            </w:r>
          </w:p>
        </w:tc>
      </w:tr>
      <w:tr w14:paraId="7181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0C7A853F">
            <w:pPr>
              <w:pStyle w:val="2"/>
              <w:spacing w:after="0" w:line="300" w:lineRule="auto"/>
              <w:jc w:val="center"/>
              <w:rPr>
                <w:rFonts w:hint="eastAsia" w:eastAsia="宋体"/>
                <w:sz w:val="21"/>
                <w:szCs w:val="21"/>
                <w:lang w:eastAsia="zh-CN"/>
              </w:rPr>
            </w:pPr>
            <w:r>
              <w:rPr>
                <w:rFonts w:hint="eastAsia"/>
                <w:sz w:val="21"/>
                <w:szCs w:val="21"/>
                <w:lang w:val="en-US" w:eastAsia="zh-CN"/>
              </w:rPr>
              <w:t>5</w:t>
            </w:r>
          </w:p>
        </w:tc>
        <w:tc>
          <w:tcPr>
            <w:tcW w:w="896" w:type="pct"/>
            <w:vAlign w:val="center"/>
          </w:tcPr>
          <w:p w14:paraId="2485ED65">
            <w:pPr>
              <w:pStyle w:val="2"/>
              <w:spacing w:after="0" w:line="300" w:lineRule="auto"/>
              <w:jc w:val="center"/>
              <w:rPr>
                <w:sz w:val="21"/>
                <w:szCs w:val="21"/>
              </w:rPr>
            </w:pPr>
            <w:r>
              <w:rPr>
                <w:sz w:val="21"/>
                <w:szCs w:val="21"/>
              </w:rPr>
              <w:t>集中并网方式</w:t>
            </w:r>
          </w:p>
        </w:tc>
        <w:tc>
          <w:tcPr>
            <w:tcW w:w="1493" w:type="pct"/>
            <w:vAlign w:val="center"/>
          </w:tcPr>
          <w:p w14:paraId="45BC9196">
            <w:pPr>
              <w:pStyle w:val="2"/>
              <w:spacing w:after="0" w:line="300" w:lineRule="auto"/>
              <w:jc w:val="center"/>
              <w:rPr>
                <w:sz w:val="21"/>
                <w:szCs w:val="21"/>
              </w:rPr>
            </w:pPr>
            <w:r>
              <w:rPr>
                <w:sz w:val="21"/>
                <w:szCs w:val="21"/>
              </w:rPr>
              <w:t>光伏电站所发电量，全部</w:t>
            </w:r>
          </w:p>
        </w:tc>
        <w:tc>
          <w:tcPr>
            <w:tcW w:w="2132" w:type="pct"/>
          </w:tcPr>
          <w:p w14:paraId="2389BDD5">
            <w:pPr>
              <w:pStyle w:val="2"/>
              <w:spacing w:after="0" w:line="300" w:lineRule="auto"/>
              <w:jc w:val="center"/>
              <w:rPr>
                <w:sz w:val="21"/>
                <w:szCs w:val="21"/>
              </w:rPr>
            </w:pPr>
            <w:r>
              <w:rPr>
                <w:sz w:val="21"/>
                <w:szCs w:val="21"/>
              </w:rPr>
              <w:t>应用于大型屋顶电站，建筑负荷不稳</w:t>
            </w:r>
          </w:p>
        </w:tc>
      </w:tr>
    </w:tbl>
    <w:p w14:paraId="0A0FF34C">
      <w:pPr>
        <w:keepNext w:val="0"/>
        <w:keepLines w:val="0"/>
        <w:snapToGrid/>
        <w:spacing w:before="0" w:beforeLines="-2147483648" w:after="0" w:afterLines="-2147483648" w:line="240" w:lineRule="auto"/>
        <w:jc w:val="center"/>
        <w:outlineLvl w:val="9"/>
        <w:rPr>
          <w:rFonts w:hint="default" w:eastAsia="宋体"/>
          <w:b w:val="0"/>
          <w:bCs w:val="0"/>
          <w:lang w:val="en-US" w:eastAsia="zh-CN"/>
        </w:rPr>
      </w:pPr>
      <w:bookmarkStart w:id="280" w:name="_Toc8615"/>
      <w:bookmarkStart w:id="281" w:name="_Toc4860"/>
      <w:bookmarkStart w:id="282" w:name="_Toc3857"/>
      <w:bookmarkStart w:id="283" w:name="_Toc24599"/>
      <w:bookmarkStart w:id="284" w:name="_Toc7189"/>
      <w:r>
        <w:rPr>
          <w:rFonts w:hint="default"/>
          <w:b w:val="0"/>
          <w:bCs w:val="0"/>
          <w:szCs w:val="21"/>
          <w:lang w:val="en-US" w:eastAsia="zh-CN"/>
        </w:rPr>
        <w:t>续</w:t>
      </w:r>
      <w:r>
        <w:rPr>
          <w:b w:val="0"/>
          <w:bCs w:val="0"/>
          <w:sz w:val="21"/>
          <w:szCs w:val="21"/>
        </w:rPr>
        <w:t>表8.1.3</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527"/>
        <w:gridCol w:w="2545"/>
        <w:gridCol w:w="3634"/>
      </w:tblGrid>
      <w:tr w14:paraId="47E7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70906E99">
            <w:pPr>
              <w:pStyle w:val="2"/>
              <w:spacing w:after="0" w:line="300" w:lineRule="auto"/>
              <w:jc w:val="center"/>
              <w:rPr>
                <w:b w:val="0"/>
                <w:bCs w:val="0"/>
                <w:sz w:val="21"/>
                <w:szCs w:val="21"/>
              </w:rPr>
            </w:pPr>
            <w:r>
              <w:rPr>
                <w:b w:val="0"/>
                <w:bCs w:val="0"/>
                <w:sz w:val="21"/>
                <w:szCs w:val="21"/>
              </w:rPr>
              <w:t>序号</w:t>
            </w:r>
          </w:p>
        </w:tc>
        <w:tc>
          <w:tcPr>
            <w:tcW w:w="896" w:type="pct"/>
            <w:vAlign w:val="center"/>
          </w:tcPr>
          <w:p w14:paraId="54C5C60D">
            <w:pPr>
              <w:pStyle w:val="2"/>
              <w:spacing w:after="0" w:line="300" w:lineRule="auto"/>
              <w:jc w:val="center"/>
              <w:rPr>
                <w:b w:val="0"/>
                <w:bCs w:val="0"/>
                <w:sz w:val="21"/>
                <w:szCs w:val="21"/>
              </w:rPr>
            </w:pPr>
            <w:r>
              <w:rPr>
                <w:b w:val="0"/>
                <w:bCs w:val="0"/>
                <w:sz w:val="21"/>
                <w:szCs w:val="21"/>
              </w:rPr>
              <w:t>并网方式</w:t>
            </w:r>
          </w:p>
        </w:tc>
        <w:tc>
          <w:tcPr>
            <w:tcW w:w="1493" w:type="pct"/>
            <w:vAlign w:val="center"/>
          </w:tcPr>
          <w:p w14:paraId="62FFE180">
            <w:pPr>
              <w:pStyle w:val="2"/>
              <w:spacing w:after="0" w:line="300" w:lineRule="auto"/>
              <w:jc w:val="center"/>
              <w:rPr>
                <w:b w:val="0"/>
                <w:bCs w:val="0"/>
                <w:sz w:val="21"/>
                <w:szCs w:val="21"/>
              </w:rPr>
            </w:pPr>
            <w:r>
              <w:rPr>
                <w:b w:val="0"/>
                <w:bCs w:val="0"/>
                <w:sz w:val="21"/>
                <w:szCs w:val="21"/>
              </w:rPr>
              <w:t>用电方式</w:t>
            </w:r>
          </w:p>
        </w:tc>
        <w:tc>
          <w:tcPr>
            <w:tcW w:w="2132" w:type="pct"/>
          </w:tcPr>
          <w:p w14:paraId="56FDF26B">
            <w:pPr>
              <w:pStyle w:val="2"/>
              <w:spacing w:after="0" w:line="300" w:lineRule="auto"/>
              <w:jc w:val="center"/>
              <w:rPr>
                <w:b w:val="0"/>
                <w:bCs w:val="0"/>
                <w:sz w:val="21"/>
                <w:szCs w:val="21"/>
              </w:rPr>
            </w:pPr>
            <w:r>
              <w:rPr>
                <w:b w:val="0"/>
                <w:bCs w:val="0"/>
                <w:sz w:val="21"/>
                <w:szCs w:val="21"/>
              </w:rPr>
              <w:t>适用范围</w:t>
            </w:r>
          </w:p>
        </w:tc>
      </w:tr>
      <w:tr w14:paraId="296D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vAlign w:val="center"/>
          </w:tcPr>
          <w:p w14:paraId="6F06C294">
            <w:pPr>
              <w:pStyle w:val="2"/>
              <w:spacing w:after="0" w:line="300" w:lineRule="auto"/>
              <w:jc w:val="center"/>
              <w:rPr>
                <w:sz w:val="21"/>
                <w:szCs w:val="21"/>
              </w:rPr>
            </w:pPr>
          </w:p>
        </w:tc>
        <w:tc>
          <w:tcPr>
            <w:tcW w:w="896" w:type="pct"/>
            <w:vAlign w:val="center"/>
          </w:tcPr>
          <w:p w14:paraId="46E12987">
            <w:pPr>
              <w:pStyle w:val="2"/>
              <w:spacing w:after="0" w:line="300" w:lineRule="auto"/>
              <w:jc w:val="center"/>
              <w:rPr>
                <w:rFonts w:hint="eastAsia" w:ascii="Times New Roman" w:hAnsi="Times New Roman" w:eastAsia="宋体" w:cs="Times New Roman"/>
                <w:kern w:val="2"/>
                <w:sz w:val="21"/>
                <w:szCs w:val="21"/>
                <w:lang w:val="en-US" w:eastAsia="zh-CN" w:bidi="ar-SA"/>
              </w:rPr>
            </w:pPr>
          </w:p>
        </w:tc>
        <w:tc>
          <w:tcPr>
            <w:tcW w:w="1493" w:type="pct"/>
            <w:vAlign w:val="center"/>
          </w:tcPr>
          <w:p w14:paraId="239E9A35">
            <w:pPr>
              <w:pStyle w:val="2"/>
              <w:spacing w:after="0" w:line="300" w:lineRule="auto"/>
              <w:jc w:val="center"/>
              <w:rPr>
                <w:rFonts w:hint="eastAsia" w:ascii="Times New Roman" w:hAnsi="Times New Roman" w:eastAsia="宋体" w:cs="Times New Roman"/>
                <w:kern w:val="2"/>
                <w:sz w:val="21"/>
                <w:szCs w:val="21"/>
                <w:lang w:val="en-US" w:eastAsia="zh-CN" w:bidi="ar-SA"/>
              </w:rPr>
            </w:pPr>
            <w:r>
              <w:rPr>
                <w:sz w:val="21"/>
                <w:szCs w:val="21"/>
              </w:rPr>
              <w:t>上网，以并网电价形式计量</w:t>
            </w:r>
          </w:p>
        </w:tc>
        <w:tc>
          <w:tcPr>
            <w:tcW w:w="2132" w:type="pct"/>
            <w:vAlign w:val="top"/>
          </w:tcPr>
          <w:p w14:paraId="5C1DFDBF">
            <w:pPr>
              <w:pStyle w:val="2"/>
              <w:spacing w:after="0" w:line="300" w:lineRule="auto"/>
              <w:jc w:val="center"/>
              <w:rPr>
                <w:rFonts w:hint="eastAsia" w:ascii="Times New Roman" w:hAnsi="Times New Roman" w:eastAsia="宋体" w:cs="Times New Roman"/>
                <w:kern w:val="2"/>
                <w:sz w:val="21"/>
                <w:szCs w:val="21"/>
                <w:lang w:val="en-US" w:eastAsia="zh-CN" w:bidi="ar-SA"/>
              </w:rPr>
            </w:pPr>
            <w:r>
              <w:rPr>
                <w:sz w:val="21"/>
                <w:szCs w:val="21"/>
              </w:rPr>
              <w:t>定、不能完全消纳且离变电所较近的场所。</w:t>
            </w:r>
          </w:p>
        </w:tc>
      </w:tr>
    </w:tbl>
    <w:p w14:paraId="0720BF24">
      <w:pPr>
        <w:keepNext/>
        <w:keepLines/>
        <w:snapToGrid w:val="0"/>
        <w:spacing w:before="95" w:beforeLines="30" w:after="95" w:afterLines="30" w:line="300" w:lineRule="auto"/>
        <w:jc w:val="center"/>
        <w:outlineLvl w:val="2"/>
        <w:rPr>
          <w:b/>
          <w:sz w:val="24"/>
          <w:szCs w:val="32"/>
        </w:rPr>
      </w:pPr>
      <w:r>
        <w:rPr>
          <w:b/>
          <w:sz w:val="24"/>
          <w:szCs w:val="32"/>
        </w:rPr>
        <w:t>8.2</w:t>
      </w:r>
      <w:r>
        <w:rPr>
          <w:rFonts w:hint="default" w:ascii="Times New Roman" w:hAnsi="Times New Roman" w:eastAsia="宋体" w:cs="Times New Roman"/>
          <w:b/>
          <w:sz w:val="24"/>
          <w:szCs w:val="32"/>
          <w:lang w:val="en-US" w:eastAsia="zh-CN"/>
        </w:rPr>
        <w:t>系统</w:t>
      </w:r>
      <w:r>
        <w:rPr>
          <w:b/>
          <w:sz w:val="24"/>
          <w:szCs w:val="32"/>
        </w:rPr>
        <w:t>运行</w:t>
      </w:r>
      <w:bookmarkEnd w:id="280"/>
      <w:bookmarkEnd w:id="281"/>
      <w:bookmarkEnd w:id="282"/>
    </w:p>
    <w:p w14:paraId="3D191704">
      <w:pPr>
        <w:keepNext w:val="0"/>
        <w:keepLines w:val="0"/>
        <w:snapToGrid/>
        <w:spacing w:before="0" w:beforeLines="-2147483648" w:after="0" w:afterLines="-2147483648" w:line="360" w:lineRule="auto"/>
        <w:jc w:val="left"/>
        <w:outlineLvl w:val="9"/>
        <w:rPr>
          <w:rFonts w:hint="default"/>
          <w:sz w:val="24"/>
          <w:lang w:eastAsia="zh-CN"/>
        </w:rPr>
      </w:pPr>
      <w:bookmarkStart w:id="285" w:name="_Toc22302"/>
      <w:bookmarkStart w:id="286" w:name="_Toc16241"/>
      <w:r>
        <w:rPr>
          <w:b/>
          <w:bCs/>
          <w:sz w:val="24"/>
        </w:rPr>
        <w:t xml:space="preserve">8.2.1 </w:t>
      </w:r>
      <w:r>
        <w:rPr>
          <w:sz w:val="24"/>
        </w:rPr>
        <w:t>建筑光伏系统并网运行技术规范应符合现行国家标准《建筑光伏系统应用技术标准》GB/T51368</w:t>
      </w:r>
      <w:r>
        <w:rPr>
          <w:rFonts w:hint="eastAsia"/>
          <w:sz w:val="24"/>
          <w:lang w:val="en-US" w:eastAsia="zh-CN"/>
        </w:rPr>
        <w:t>和</w:t>
      </w:r>
      <w:r>
        <w:rPr>
          <w:sz w:val="24"/>
        </w:rPr>
        <w:t>《光伏系统并网技术要求》GB/T19939</w:t>
      </w:r>
      <w:r>
        <w:rPr>
          <w:rFonts w:hint="eastAsia"/>
          <w:sz w:val="24"/>
        </w:rPr>
        <w:t>的有关规定</w:t>
      </w:r>
      <w:r>
        <w:rPr>
          <w:rFonts w:hint="default"/>
          <w:sz w:val="24"/>
          <w:lang w:eastAsia="zh-CN"/>
        </w:rPr>
        <w:t>。</w:t>
      </w:r>
      <w:bookmarkEnd w:id="285"/>
      <w:bookmarkEnd w:id="286"/>
    </w:p>
    <w:p w14:paraId="14BC73A7">
      <w:pPr>
        <w:spacing w:line="360" w:lineRule="auto"/>
        <w:rPr>
          <w:sz w:val="24"/>
        </w:rPr>
      </w:pPr>
      <w:r>
        <w:rPr>
          <w:b/>
          <w:bCs/>
          <w:sz w:val="24"/>
        </w:rPr>
        <w:t>8.</w:t>
      </w:r>
      <w:r>
        <w:rPr>
          <w:rFonts w:hint="eastAsia"/>
          <w:b/>
          <w:bCs/>
          <w:sz w:val="24"/>
          <w:lang w:val="en-US" w:eastAsia="zh-CN"/>
        </w:rPr>
        <w:t>2</w:t>
      </w:r>
      <w:r>
        <w:rPr>
          <w:b/>
          <w:bCs/>
          <w:sz w:val="24"/>
        </w:rPr>
        <w:t>.</w:t>
      </w:r>
      <w:r>
        <w:rPr>
          <w:rFonts w:hint="eastAsia"/>
          <w:b/>
          <w:bCs/>
          <w:sz w:val="24"/>
          <w:lang w:val="en-US" w:eastAsia="zh-CN"/>
        </w:rPr>
        <w:t>2</w:t>
      </w:r>
      <w:r>
        <w:rPr>
          <w:sz w:val="24"/>
        </w:rPr>
        <w:t xml:space="preserve"> 建筑光伏系统在满足以下条件时宜采用自发自用离网运行模式：</w:t>
      </w:r>
    </w:p>
    <w:p w14:paraId="63FBA744">
      <w:pPr>
        <w:pStyle w:val="2"/>
        <w:snapToGrid w:val="0"/>
        <w:spacing w:after="0" w:line="360" w:lineRule="auto"/>
        <w:ind w:firstLine="482" w:firstLineChars="200"/>
        <w:rPr>
          <w:sz w:val="24"/>
        </w:rPr>
      </w:pPr>
      <w:r>
        <w:rPr>
          <w:b/>
          <w:bCs/>
          <w:sz w:val="24"/>
        </w:rPr>
        <w:t xml:space="preserve">1 </w:t>
      </w:r>
      <w:r>
        <w:rPr>
          <w:sz w:val="24"/>
        </w:rPr>
        <w:t>电力需求较高且用电模式与光伏发电模式相匹配的建筑，如大型商业中心、工业设施等；</w:t>
      </w:r>
    </w:p>
    <w:p w14:paraId="7CA3375D">
      <w:pPr>
        <w:pStyle w:val="2"/>
        <w:snapToGrid w:val="0"/>
        <w:spacing w:after="0" w:line="360" w:lineRule="auto"/>
        <w:ind w:firstLine="482" w:firstLineChars="200"/>
        <w:rPr>
          <w:sz w:val="24"/>
        </w:rPr>
      </w:pPr>
      <w:r>
        <w:rPr>
          <w:b/>
          <w:bCs/>
          <w:sz w:val="24"/>
        </w:rPr>
        <w:t xml:space="preserve">2 </w:t>
      </w:r>
      <w:r>
        <w:rPr>
          <w:sz w:val="24"/>
        </w:rPr>
        <w:t>建筑在白天有较高的电力需求（如办公楼、商场等），此时光伏发电可在高峰期直接供电；</w:t>
      </w:r>
    </w:p>
    <w:p w14:paraId="7BA54F76">
      <w:pPr>
        <w:pStyle w:val="2"/>
        <w:snapToGrid w:val="0"/>
        <w:spacing w:after="0" w:line="360" w:lineRule="auto"/>
        <w:ind w:firstLine="482" w:firstLineChars="200"/>
        <w:rPr>
          <w:sz w:val="24"/>
        </w:rPr>
      </w:pPr>
      <w:r>
        <w:rPr>
          <w:b/>
          <w:bCs/>
          <w:sz w:val="24"/>
        </w:rPr>
        <w:t xml:space="preserve">3 </w:t>
      </w:r>
      <w:r>
        <w:rPr>
          <w:sz w:val="24"/>
        </w:rPr>
        <w:t>建筑具备智能用电管理系统，能够在光伏发电量高时优先调动建筑内部大功率设备（如空调、热水器等）运行；</w:t>
      </w:r>
    </w:p>
    <w:p w14:paraId="719D33B8">
      <w:pPr>
        <w:pStyle w:val="2"/>
        <w:snapToGrid w:val="0"/>
        <w:spacing w:after="0" w:line="360" w:lineRule="auto"/>
        <w:ind w:firstLine="482" w:firstLineChars="200"/>
        <w:rPr>
          <w:sz w:val="24"/>
        </w:rPr>
      </w:pPr>
      <w:r>
        <w:rPr>
          <w:b/>
          <w:bCs/>
          <w:sz w:val="24"/>
        </w:rPr>
        <w:t xml:space="preserve">4 </w:t>
      </w:r>
      <w:r>
        <w:rPr>
          <w:sz w:val="24"/>
        </w:rPr>
        <w:t>建筑配备高效储能系统，能够在光伏发电高峰期储存多余电能，以满足夜间或阴雨天气的用电需求。</w:t>
      </w:r>
    </w:p>
    <w:p w14:paraId="2128B9F7">
      <w:pPr>
        <w:keepNext/>
        <w:keepLines/>
        <w:snapToGrid w:val="0"/>
        <w:spacing w:before="95" w:beforeLines="30" w:after="95" w:afterLines="30" w:line="300" w:lineRule="auto"/>
        <w:jc w:val="center"/>
        <w:outlineLvl w:val="2"/>
        <w:rPr>
          <w:b/>
          <w:sz w:val="24"/>
          <w:szCs w:val="32"/>
        </w:rPr>
      </w:pPr>
      <w:bookmarkStart w:id="287" w:name="_Toc32156"/>
      <w:bookmarkStart w:id="288" w:name="_Toc13553"/>
      <w:bookmarkStart w:id="289" w:name="_Toc21511"/>
      <w:r>
        <w:rPr>
          <w:b/>
          <w:sz w:val="24"/>
          <w:szCs w:val="32"/>
        </w:rPr>
        <w:t>8.</w:t>
      </w:r>
      <w:r>
        <w:rPr>
          <w:rFonts w:hint="default"/>
          <w:b/>
          <w:sz w:val="24"/>
          <w:szCs w:val="32"/>
          <w:lang w:val="en-US" w:eastAsia="zh-CN"/>
        </w:rPr>
        <w:t>3</w:t>
      </w:r>
      <w:r>
        <w:rPr>
          <w:b/>
          <w:sz w:val="24"/>
          <w:szCs w:val="32"/>
        </w:rPr>
        <w:t>智能运行</w:t>
      </w:r>
      <w:bookmarkEnd w:id="287"/>
      <w:bookmarkEnd w:id="288"/>
      <w:bookmarkEnd w:id="289"/>
    </w:p>
    <w:p w14:paraId="26F5F4D6">
      <w:pPr>
        <w:spacing w:line="360" w:lineRule="auto"/>
        <w:rPr>
          <w:sz w:val="24"/>
        </w:rPr>
      </w:pPr>
      <w:r>
        <w:rPr>
          <w:b/>
          <w:bCs/>
          <w:sz w:val="24"/>
        </w:rPr>
        <w:t>8.</w:t>
      </w:r>
      <w:r>
        <w:rPr>
          <w:rFonts w:hint="eastAsia"/>
          <w:b/>
          <w:bCs/>
          <w:sz w:val="24"/>
          <w:lang w:val="en-US" w:eastAsia="zh-CN"/>
        </w:rPr>
        <w:t>3</w:t>
      </w:r>
      <w:r>
        <w:rPr>
          <w:b/>
          <w:bCs/>
          <w:sz w:val="24"/>
        </w:rPr>
        <w:t>.1</w:t>
      </w:r>
      <w:r>
        <w:rPr>
          <w:sz w:val="24"/>
        </w:rPr>
        <w:t xml:space="preserve"> 中、大型建筑光伏系统的系统架构、智能运行、智能检修维护、物资管理、市场营销管理、安全管理的技术要求宜参考现行国家标准《智能光伏发电站 第1部分：总则》GB/T 44228.1的有关规定。</w:t>
      </w:r>
    </w:p>
    <w:p w14:paraId="37124C3E">
      <w:pPr>
        <w:pStyle w:val="2"/>
        <w:spacing w:line="360" w:lineRule="auto"/>
        <w:rPr>
          <w:sz w:val="24"/>
        </w:rPr>
      </w:pPr>
      <w:r>
        <w:rPr>
          <w:b/>
          <w:bCs/>
          <w:sz w:val="24"/>
        </w:rPr>
        <w:t>8.</w:t>
      </w:r>
      <w:r>
        <w:rPr>
          <w:rFonts w:hint="eastAsia"/>
          <w:b/>
          <w:bCs/>
          <w:sz w:val="24"/>
          <w:lang w:val="en-US" w:eastAsia="zh-CN"/>
        </w:rPr>
        <w:t>3</w:t>
      </w:r>
      <w:r>
        <w:rPr>
          <w:b/>
          <w:bCs/>
          <w:sz w:val="24"/>
        </w:rPr>
        <w:t xml:space="preserve">.2 </w:t>
      </w:r>
      <w:r>
        <w:rPr>
          <w:sz w:val="24"/>
        </w:rPr>
        <w:t>建筑光伏发电的监控计量系统应符合现行国家标准《建筑光伏系统应用技术标准》GB/T51368、《电测量及电能计量装置设计技术规程》DL/T 5137</w:t>
      </w:r>
      <w:r>
        <w:rPr>
          <w:rFonts w:hint="eastAsia"/>
          <w:sz w:val="24"/>
          <w:lang w:val="en-US" w:eastAsia="zh-CN"/>
        </w:rPr>
        <w:t>和</w:t>
      </w:r>
      <w:r>
        <w:rPr>
          <w:sz w:val="24"/>
        </w:rPr>
        <w:t>《电能计量装置技术管理规程》DL/T 448的有关规定。</w:t>
      </w:r>
    </w:p>
    <w:p w14:paraId="44B6CAC3">
      <w:pPr>
        <w:pStyle w:val="2"/>
        <w:snapToGrid w:val="0"/>
        <w:spacing w:after="0" w:line="360" w:lineRule="auto"/>
        <w:rPr>
          <w:sz w:val="24"/>
        </w:rPr>
      </w:pPr>
      <w:r>
        <w:rPr>
          <w:b/>
          <w:bCs/>
          <w:sz w:val="24"/>
        </w:rPr>
        <w:t>8.</w:t>
      </w:r>
      <w:r>
        <w:rPr>
          <w:rFonts w:hint="eastAsia"/>
          <w:b/>
          <w:bCs/>
          <w:sz w:val="24"/>
          <w:lang w:val="en-US" w:eastAsia="zh-CN"/>
        </w:rPr>
        <w:t>3</w:t>
      </w:r>
      <w:r>
        <w:rPr>
          <w:b/>
          <w:bCs/>
          <w:sz w:val="24"/>
        </w:rPr>
        <w:t>.3</w:t>
      </w:r>
      <w:r>
        <w:rPr>
          <w:sz w:val="24"/>
        </w:rPr>
        <w:t xml:space="preserve"> 建筑光伏系统宜配置与智能控制终端相兼容的通用数据接口，可接受智能控制终端对光伏系统离并网接入模式的远程切换控制。该终端能对光伏系统工作范围内的环境参数、电气参数、设备工作状态、系统经济性进行实时数据监测与计算，使光伏系统在安全可靠的条件下尽量以经济性最优模式运行。</w:t>
      </w:r>
    </w:p>
    <w:p w14:paraId="16BA2E0E">
      <w:pPr>
        <w:pStyle w:val="2"/>
        <w:spacing w:line="360" w:lineRule="auto"/>
        <w:rPr>
          <w:sz w:val="24"/>
        </w:rPr>
      </w:pPr>
      <w:r>
        <w:rPr>
          <w:b/>
          <w:bCs/>
          <w:sz w:val="24"/>
        </w:rPr>
        <w:t>8.</w:t>
      </w:r>
      <w:r>
        <w:rPr>
          <w:rFonts w:hint="eastAsia"/>
          <w:b/>
          <w:bCs/>
          <w:sz w:val="24"/>
          <w:lang w:val="en-US" w:eastAsia="zh-CN"/>
        </w:rPr>
        <w:t>3</w:t>
      </w:r>
      <w:r>
        <w:rPr>
          <w:b/>
          <w:bCs/>
          <w:sz w:val="24"/>
        </w:rPr>
        <w:t>.4</w:t>
      </w:r>
      <w:r>
        <w:rPr>
          <w:sz w:val="24"/>
        </w:rPr>
        <w:t xml:space="preserve"> 建筑光伏系统宜配置智能调配系统，该系统能根据监控计量系统的实时数据，自动调整光伏系统发电量和电网供电量的配比，优化电力供应。</w:t>
      </w:r>
    </w:p>
    <w:p w14:paraId="28DEF742">
      <w:pPr>
        <w:pStyle w:val="2"/>
        <w:spacing w:line="360" w:lineRule="auto"/>
        <w:rPr>
          <w:sz w:val="24"/>
        </w:rPr>
      </w:pPr>
      <w:r>
        <w:rPr>
          <w:b/>
          <w:bCs/>
          <w:sz w:val="24"/>
        </w:rPr>
        <w:t>8.</w:t>
      </w:r>
      <w:r>
        <w:rPr>
          <w:rFonts w:hint="eastAsia"/>
          <w:b/>
          <w:bCs/>
          <w:sz w:val="24"/>
          <w:lang w:val="en-US" w:eastAsia="zh-CN"/>
        </w:rPr>
        <w:t>3</w:t>
      </w:r>
      <w:r>
        <w:rPr>
          <w:b/>
          <w:bCs/>
          <w:sz w:val="24"/>
        </w:rPr>
        <w:t>.5</w:t>
      </w:r>
      <w:r>
        <w:rPr>
          <w:sz w:val="24"/>
        </w:rPr>
        <w:t xml:space="preserve"> 建筑光伏系统</w:t>
      </w:r>
      <w:r>
        <w:rPr>
          <w:rFonts w:hint="eastAsia"/>
          <w:sz w:val="24"/>
        </w:rPr>
        <w:t>的运行维护</w:t>
      </w:r>
      <w:r>
        <w:rPr>
          <w:sz w:val="24"/>
        </w:rPr>
        <w:t>宜</w:t>
      </w:r>
      <w:r>
        <w:rPr>
          <w:rFonts w:hint="eastAsia"/>
          <w:sz w:val="24"/>
        </w:rPr>
        <w:t>采用人工智能、物联网等</w:t>
      </w:r>
      <w:r>
        <w:rPr>
          <w:sz w:val="24"/>
        </w:rPr>
        <w:t>智能运</w:t>
      </w:r>
      <w:r>
        <w:rPr>
          <w:rFonts w:hint="eastAsia"/>
          <w:sz w:val="24"/>
        </w:rPr>
        <w:t>维</w:t>
      </w:r>
      <w:r>
        <w:rPr>
          <w:sz w:val="24"/>
        </w:rPr>
        <w:t>技术，</w:t>
      </w:r>
      <w:r>
        <w:rPr>
          <w:rFonts w:hint="eastAsia"/>
          <w:sz w:val="24"/>
        </w:rPr>
        <w:t>运行方式可采用</w:t>
      </w:r>
      <w:r>
        <w:rPr>
          <w:sz w:val="24"/>
        </w:rPr>
        <w:t>如</w:t>
      </w:r>
      <w:r>
        <w:rPr>
          <w:rFonts w:hint="eastAsia"/>
          <w:sz w:val="24"/>
        </w:rPr>
        <w:t>：智能微电网、</w:t>
      </w:r>
      <w:r>
        <w:rPr>
          <w:sz w:val="24"/>
        </w:rPr>
        <w:t>虚拟电厂与光储直柔等</w:t>
      </w:r>
      <w:r>
        <w:rPr>
          <w:rFonts w:hint="eastAsia"/>
          <w:sz w:val="24"/>
        </w:rPr>
        <w:t>先进</w:t>
      </w:r>
      <w:r>
        <w:rPr>
          <w:sz w:val="24"/>
        </w:rPr>
        <w:t>技术，提升能源管理效率与可再生能源利用率。</w:t>
      </w:r>
    </w:p>
    <w:p w14:paraId="1374EE81">
      <w:pPr>
        <w:snapToGrid w:val="0"/>
        <w:spacing w:line="360" w:lineRule="auto"/>
        <w:jc w:val="left"/>
        <w:rPr>
          <w:rFonts w:eastAsia="仿宋"/>
          <w:b/>
          <w:bCs/>
          <w:i/>
          <w:iCs/>
          <w:color w:val="0623BA"/>
          <w:sz w:val="24"/>
        </w:rPr>
      </w:pPr>
      <w:r>
        <w:rPr>
          <w:rFonts w:eastAsia="仿宋"/>
          <w:b/>
          <w:bCs/>
          <w:i/>
          <w:iCs/>
          <w:color w:val="0623BA"/>
          <w:sz w:val="24"/>
        </w:rPr>
        <w:t>【条文说明】</w:t>
      </w:r>
    </w:p>
    <w:p w14:paraId="284D85B3">
      <w:pPr>
        <w:snapToGrid w:val="0"/>
        <w:spacing w:beforeLines="0" w:afterLines="0" w:line="300" w:lineRule="auto"/>
        <w:ind w:firstLine="0" w:firstLineChars="0"/>
        <w:jc w:val="left"/>
        <w:rPr>
          <w:rFonts w:hint="eastAsia" w:ascii="仿宋" w:hAnsi="仿宋" w:eastAsia="仿宋" w:cs="仿宋"/>
          <w:i/>
          <w:iCs/>
          <w:color w:val="0623BA"/>
          <w:sz w:val="24"/>
        </w:rPr>
      </w:pPr>
      <w:r>
        <w:rPr>
          <w:rFonts w:eastAsia="仿宋"/>
          <w:i/>
          <w:iCs/>
          <w:color w:val="0623BA"/>
          <w:sz w:val="24"/>
        </w:rPr>
        <w:t>8.</w:t>
      </w:r>
      <w:r>
        <w:rPr>
          <w:rFonts w:hint="eastAsia" w:eastAsia="仿宋"/>
          <w:i/>
          <w:iCs/>
          <w:color w:val="0623BA"/>
          <w:sz w:val="24"/>
          <w:lang w:val="en-US" w:eastAsia="zh-CN"/>
        </w:rPr>
        <w:t>3</w:t>
      </w:r>
      <w:r>
        <w:rPr>
          <w:rFonts w:eastAsia="仿宋"/>
          <w:i/>
          <w:iCs/>
          <w:color w:val="0623BA"/>
          <w:sz w:val="24"/>
        </w:rPr>
        <w:t xml:space="preserve">.5  </w:t>
      </w:r>
      <w:r>
        <w:rPr>
          <w:rFonts w:hint="eastAsia" w:ascii="仿宋" w:hAnsi="仿宋" w:eastAsia="仿宋" w:cs="仿宋"/>
          <w:i/>
          <w:iCs/>
          <w:color w:val="0623BA"/>
          <w:sz w:val="24"/>
        </w:rPr>
        <w:t>智能运行技术可以是：</w:t>
      </w:r>
    </w:p>
    <w:p w14:paraId="28EE07B8">
      <w:pPr>
        <w:snapToGrid w:val="0"/>
        <w:spacing w:beforeLines="0" w:afterLines="0"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rPr>
        <w:t>虚拟电厂智能运行技术能通过信息技术整合建筑光伏系统与周边分布式能源资源（如电动汽车、热泵等），实现集中管理与优化调度的系统；</w:t>
      </w:r>
    </w:p>
    <w:p w14:paraId="70732587">
      <w:pPr>
        <w:snapToGrid w:val="0"/>
        <w:spacing w:beforeLines="0" w:afterLines="0"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2</w:t>
      </w:r>
      <w:r>
        <w:rPr>
          <w:rFonts w:hint="eastAsia" w:ascii="仿宋" w:hAnsi="仿宋" w:eastAsia="仿宋" w:cs="仿宋"/>
          <w:i/>
          <w:iCs/>
          <w:color w:val="0623BA"/>
          <w:sz w:val="24"/>
          <w:lang w:val="en-US" w:eastAsia="zh-CN"/>
        </w:rPr>
        <w:t xml:space="preserve"> </w:t>
      </w:r>
      <w:r>
        <w:rPr>
          <w:rFonts w:hint="eastAsia" w:ascii="仿宋" w:hAnsi="仿宋" w:eastAsia="仿宋" w:cs="仿宋"/>
          <w:i/>
          <w:iCs/>
          <w:color w:val="0623BA"/>
          <w:sz w:val="24"/>
        </w:rPr>
        <w:t>光储直柔智能运行技术能将光伏发电与储能系统直接连接，实时调节电力供应与需求的灵活接入方式，确保建筑在用电高峰和低谷时的供电稳定。</w:t>
      </w:r>
    </w:p>
    <w:p w14:paraId="6B0C47CD">
      <w:pPr>
        <w:keepNext/>
        <w:keepLines/>
        <w:snapToGrid w:val="0"/>
        <w:spacing w:before="95" w:beforeLines="30" w:after="95" w:afterLines="30" w:line="300" w:lineRule="auto"/>
        <w:jc w:val="center"/>
        <w:outlineLvl w:val="2"/>
        <w:rPr>
          <w:b/>
          <w:sz w:val="24"/>
          <w:szCs w:val="32"/>
        </w:rPr>
      </w:pPr>
      <w:bookmarkStart w:id="290" w:name="_Toc3142"/>
      <w:bookmarkStart w:id="291" w:name="_Toc18833"/>
      <w:bookmarkStart w:id="292" w:name="_Toc28615"/>
      <w:bookmarkStart w:id="293" w:name="_Toc25829"/>
      <w:r>
        <w:rPr>
          <w:b/>
          <w:sz w:val="24"/>
          <w:szCs w:val="32"/>
        </w:rPr>
        <w:t>8.</w:t>
      </w:r>
      <w:r>
        <w:rPr>
          <w:rFonts w:hint="default"/>
          <w:b/>
          <w:sz w:val="24"/>
          <w:szCs w:val="32"/>
          <w:lang w:val="en-US" w:eastAsia="zh-CN"/>
        </w:rPr>
        <w:t>4</w:t>
      </w:r>
      <w:r>
        <w:rPr>
          <w:b/>
          <w:sz w:val="24"/>
          <w:szCs w:val="32"/>
        </w:rPr>
        <w:t>安全及保护</w:t>
      </w:r>
      <w:bookmarkEnd w:id="283"/>
      <w:bookmarkEnd w:id="284"/>
      <w:bookmarkEnd w:id="290"/>
      <w:bookmarkEnd w:id="291"/>
      <w:bookmarkEnd w:id="292"/>
      <w:bookmarkEnd w:id="293"/>
    </w:p>
    <w:p w14:paraId="4DB01D1E">
      <w:pPr>
        <w:widowControl/>
        <w:spacing w:line="300" w:lineRule="auto"/>
        <w:rPr>
          <w:kern w:val="0"/>
          <w:sz w:val="24"/>
        </w:rPr>
      </w:pPr>
      <w:r>
        <w:rPr>
          <w:b/>
          <w:bCs/>
          <w:kern w:val="0"/>
          <w:sz w:val="24"/>
        </w:rPr>
        <w:t>8.</w:t>
      </w:r>
      <w:r>
        <w:rPr>
          <w:rFonts w:hint="eastAsia"/>
          <w:b/>
          <w:bCs/>
          <w:kern w:val="0"/>
          <w:sz w:val="24"/>
          <w:lang w:val="en-US" w:eastAsia="zh-CN"/>
        </w:rPr>
        <w:t>4</w:t>
      </w:r>
      <w:r>
        <w:rPr>
          <w:b/>
          <w:bCs/>
          <w:kern w:val="0"/>
          <w:sz w:val="24"/>
        </w:rPr>
        <w:t>.1</w:t>
      </w:r>
      <w:r>
        <w:rPr>
          <w:kern w:val="0"/>
          <w:sz w:val="24"/>
        </w:rPr>
        <w:t xml:space="preserve"> 并网建筑光伏系统的安全及保护要求应</w:t>
      </w:r>
      <w:r>
        <w:rPr>
          <w:sz w:val="24"/>
        </w:rPr>
        <w:t>参考现行国家标准</w:t>
      </w:r>
      <w:r>
        <w:rPr>
          <w:kern w:val="0"/>
          <w:sz w:val="24"/>
        </w:rPr>
        <w:t>《光伏系统并网技术要求》GB/T 19939</w:t>
      </w:r>
      <w:r>
        <w:rPr>
          <w:sz w:val="24"/>
        </w:rPr>
        <w:t>的有关规定</w:t>
      </w:r>
      <w:r>
        <w:rPr>
          <w:kern w:val="0"/>
          <w:sz w:val="24"/>
        </w:rPr>
        <w:t>。</w:t>
      </w:r>
    </w:p>
    <w:p w14:paraId="2836EA18">
      <w:pPr>
        <w:pStyle w:val="2"/>
        <w:spacing w:line="300" w:lineRule="auto"/>
        <w:rPr>
          <w:bCs/>
          <w:kern w:val="0"/>
          <w:sz w:val="24"/>
        </w:rPr>
      </w:pPr>
      <w:r>
        <w:rPr>
          <w:b/>
          <w:bCs/>
          <w:kern w:val="0"/>
          <w:sz w:val="24"/>
        </w:rPr>
        <w:t>8.</w:t>
      </w:r>
      <w:r>
        <w:rPr>
          <w:rFonts w:hint="eastAsia"/>
          <w:b/>
          <w:bCs/>
          <w:kern w:val="0"/>
          <w:sz w:val="24"/>
          <w:lang w:val="en-US" w:eastAsia="zh-CN"/>
        </w:rPr>
        <w:t>4</w:t>
      </w:r>
      <w:r>
        <w:rPr>
          <w:b/>
          <w:bCs/>
          <w:kern w:val="0"/>
          <w:sz w:val="24"/>
        </w:rPr>
        <w:t>.2</w:t>
      </w:r>
      <w:r>
        <w:rPr>
          <w:kern w:val="0"/>
          <w:sz w:val="24"/>
        </w:rPr>
        <w:t xml:space="preserve"> 并网建筑光伏系统应具有自动检测功能及并网切断保护功能并满足以下</w:t>
      </w:r>
      <w:r>
        <w:rPr>
          <w:rFonts w:hint="eastAsia"/>
          <w:kern w:val="0"/>
          <w:sz w:val="24"/>
          <w:lang w:val="en-US" w:eastAsia="zh-CN"/>
        </w:rPr>
        <w:t>规定</w:t>
      </w:r>
      <w:r>
        <w:rPr>
          <w:bCs/>
          <w:kern w:val="0"/>
          <w:sz w:val="24"/>
        </w:rPr>
        <w:t>：</w:t>
      </w:r>
    </w:p>
    <w:p w14:paraId="5A46F051">
      <w:pPr>
        <w:spacing w:line="300" w:lineRule="auto"/>
        <w:ind w:firstLine="482" w:firstLineChars="200"/>
      </w:pPr>
      <w:r>
        <w:rPr>
          <w:b/>
          <w:bCs w:val="0"/>
          <w:kern w:val="0"/>
          <w:sz w:val="24"/>
          <w:szCs w:val="22"/>
        </w:rPr>
        <w:t xml:space="preserve">1 </w:t>
      </w:r>
      <w:r>
        <w:rPr>
          <w:bCs/>
          <w:kern w:val="0"/>
          <w:sz w:val="24"/>
          <w:szCs w:val="22"/>
        </w:rPr>
        <w:t>在公共电网接口处的电压超出表8.</w:t>
      </w:r>
      <w:r>
        <w:rPr>
          <w:rFonts w:hint="eastAsia"/>
          <w:bCs/>
          <w:kern w:val="0"/>
          <w:sz w:val="24"/>
          <w:szCs w:val="22"/>
          <w:lang w:val="en-US" w:eastAsia="zh-CN"/>
        </w:rPr>
        <w:t>4</w:t>
      </w:r>
      <w:r>
        <w:rPr>
          <w:bCs/>
          <w:kern w:val="0"/>
          <w:sz w:val="24"/>
          <w:szCs w:val="22"/>
        </w:rPr>
        <w:t>.</w:t>
      </w:r>
      <w:r>
        <w:rPr>
          <w:rFonts w:hint="eastAsia"/>
          <w:bCs/>
          <w:kern w:val="0"/>
          <w:sz w:val="24"/>
          <w:szCs w:val="22"/>
          <w:lang w:val="en-US" w:eastAsia="zh-CN"/>
        </w:rPr>
        <w:t>2</w:t>
      </w:r>
      <w:r>
        <w:rPr>
          <w:bCs/>
          <w:kern w:val="0"/>
          <w:sz w:val="24"/>
          <w:szCs w:val="22"/>
        </w:rPr>
        <w:t>规定的范围时，光伏系统应停止向公共电网送电；</w:t>
      </w:r>
    </w:p>
    <w:p w14:paraId="49B9EC97">
      <w:pPr>
        <w:snapToGrid w:val="0"/>
        <w:spacing w:line="300" w:lineRule="auto"/>
        <w:jc w:val="center"/>
        <w:rPr>
          <w:b/>
          <w:bCs/>
          <w:sz w:val="21"/>
          <w:szCs w:val="21"/>
        </w:rPr>
      </w:pPr>
      <w:r>
        <w:rPr>
          <w:b/>
          <w:bCs/>
          <w:sz w:val="21"/>
          <w:szCs w:val="21"/>
        </w:rPr>
        <w:t>表8.</w:t>
      </w:r>
      <w:r>
        <w:rPr>
          <w:rFonts w:hint="eastAsia"/>
          <w:b/>
          <w:bCs/>
          <w:sz w:val="21"/>
          <w:szCs w:val="21"/>
          <w:lang w:val="en-US" w:eastAsia="zh-CN"/>
        </w:rPr>
        <w:t>4</w:t>
      </w:r>
      <w:r>
        <w:rPr>
          <w:b/>
          <w:bCs/>
          <w:sz w:val="21"/>
          <w:szCs w:val="21"/>
        </w:rPr>
        <w:t>.</w:t>
      </w:r>
      <w:r>
        <w:rPr>
          <w:rFonts w:hint="eastAsia"/>
          <w:b/>
          <w:bCs/>
          <w:sz w:val="21"/>
          <w:szCs w:val="21"/>
          <w:lang w:val="en-US" w:eastAsia="zh-CN"/>
        </w:rPr>
        <w:t>2</w:t>
      </w:r>
      <w:r>
        <w:rPr>
          <w:b/>
          <w:bCs/>
          <w:sz w:val="21"/>
          <w:szCs w:val="21"/>
        </w:rPr>
        <w:t xml:space="preserve"> 异常电压的响应</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4252"/>
      </w:tblGrid>
      <w:tr w14:paraId="348E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Pr>
          <w:p w14:paraId="512C168D">
            <w:pPr>
              <w:pStyle w:val="2"/>
              <w:spacing w:after="0" w:line="300" w:lineRule="auto"/>
              <w:jc w:val="center"/>
              <w:rPr>
                <w:b/>
                <w:bCs/>
                <w:sz w:val="21"/>
                <w:szCs w:val="21"/>
              </w:rPr>
            </w:pPr>
            <w:r>
              <w:rPr>
                <w:b/>
                <w:bCs/>
                <w:sz w:val="21"/>
                <w:szCs w:val="21"/>
              </w:rPr>
              <w:t>电压（公共电网接口处）</w:t>
            </w:r>
          </w:p>
        </w:tc>
        <w:tc>
          <w:tcPr>
            <w:tcW w:w="4252" w:type="dxa"/>
          </w:tcPr>
          <w:p w14:paraId="190AB516">
            <w:pPr>
              <w:pStyle w:val="2"/>
              <w:spacing w:after="0" w:line="300" w:lineRule="auto"/>
              <w:jc w:val="center"/>
              <w:rPr>
                <w:b/>
                <w:bCs/>
                <w:sz w:val="21"/>
                <w:szCs w:val="21"/>
              </w:rPr>
            </w:pPr>
            <w:r>
              <w:rPr>
                <w:b/>
                <w:bCs/>
                <w:sz w:val="21"/>
                <w:szCs w:val="21"/>
              </w:rPr>
              <w:t>最大分闸时间</w:t>
            </w:r>
          </w:p>
        </w:tc>
      </w:tr>
      <w:tr w14:paraId="1CDC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Pr>
          <w:p w14:paraId="0AA84BBD">
            <w:pPr>
              <w:pStyle w:val="2"/>
              <w:spacing w:after="0" w:line="300" w:lineRule="auto"/>
              <w:jc w:val="center"/>
              <w:rPr>
                <w:sz w:val="21"/>
                <w:szCs w:val="21"/>
              </w:rPr>
            </w:pPr>
            <w:r>
              <w:rPr>
                <w:sz w:val="21"/>
                <w:szCs w:val="21"/>
              </w:rPr>
              <w:t>U &lt;50% UN</w:t>
            </w:r>
          </w:p>
        </w:tc>
        <w:tc>
          <w:tcPr>
            <w:tcW w:w="4252" w:type="dxa"/>
          </w:tcPr>
          <w:p w14:paraId="2B304386">
            <w:pPr>
              <w:pStyle w:val="2"/>
              <w:spacing w:after="0" w:line="300" w:lineRule="auto"/>
              <w:jc w:val="center"/>
              <w:rPr>
                <w:rFonts w:hint="eastAsia" w:eastAsia="宋体"/>
                <w:sz w:val="21"/>
                <w:szCs w:val="21"/>
                <w:lang w:eastAsia="zh-CN"/>
              </w:rPr>
            </w:pPr>
            <w:r>
              <w:rPr>
                <w:sz w:val="21"/>
                <w:szCs w:val="21"/>
              </w:rPr>
              <w:t>0.1</w:t>
            </w:r>
            <w:r>
              <w:rPr>
                <w:rFonts w:hint="eastAsia"/>
                <w:sz w:val="21"/>
                <w:szCs w:val="21"/>
                <w:lang w:val="en-US" w:eastAsia="zh-CN"/>
              </w:rPr>
              <w:t>0s</w:t>
            </w:r>
          </w:p>
        </w:tc>
      </w:tr>
      <w:tr w14:paraId="3E8C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Pr>
          <w:p w14:paraId="1A8573BE">
            <w:pPr>
              <w:pStyle w:val="2"/>
              <w:spacing w:after="0" w:line="300" w:lineRule="auto"/>
              <w:jc w:val="center"/>
              <w:rPr>
                <w:sz w:val="21"/>
                <w:szCs w:val="21"/>
              </w:rPr>
            </w:pPr>
            <w:r>
              <w:rPr>
                <w:sz w:val="21"/>
                <w:szCs w:val="21"/>
              </w:rPr>
              <w:t>50% UN</w:t>
            </w:r>
            <w:r>
              <w:rPr>
                <w:rFonts w:hint="eastAsia"/>
                <w:sz w:val="21"/>
                <w:szCs w:val="21"/>
              </w:rPr>
              <w:t>≤</w:t>
            </w:r>
            <w:r>
              <w:rPr>
                <w:sz w:val="21"/>
                <w:szCs w:val="21"/>
              </w:rPr>
              <w:t>U&lt;85% UN</w:t>
            </w:r>
          </w:p>
        </w:tc>
        <w:tc>
          <w:tcPr>
            <w:tcW w:w="4252" w:type="dxa"/>
          </w:tcPr>
          <w:p w14:paraId="2FBB5825">
            <w:pPr>
              <w:pStyle w:val="2"/>
              <w:spacing w:after="0" w:line="300" w:lineRule="auto"/>
              <w:jc w:val="center"/>
              <w:rPr>
                <w:rFonts w:hint="eastAsia" w:eastAsia="宋体"/>
                <w:sz w:val="21"/>
                <w:szCs w:val="21"/>
                <w:lang w:eastAsia="zh-CN"/>
              </w:rPr>
            </w:pPr>
            <w:r>
              <w:rPr>
                <w:sz w:val="21"/>
                <w:szCs w:val="21"/>
              </w:rPr>
              <w:t>2.0</w:t>
            </w:r>
            <w:r>
              <w:rPr>
                <w:rFonts w:hint="eastAsia"/>
                <w:sz w:val="21"/>
                <w:szCs w:val="21"/>
                <w:lang w:val="en-US" w:eastAsia="zh-CN"/>
              </w:rPr>
              <w:t>0s</w:t>
            </w:r>
          </w:p>
        </w:tc>
      </w:tr>
      <w:tr w14:paraId="67E3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Pr>
          <w:p w14:paraId="5D2036AC">
            <w:pPr>
              <w:pStyle w:val="2"/>
              <w:spacing w:after="0" w:line="300" w:lineRule="auto"/>
              <w:jc w:val="center"/>
              <w:rPr>
                <w:sz w:val="21"/>
                <w:szCs w:val="21"/>
              </w:rPr>
            </w:pPr>
            <w:r>
              <w:rPr>
                <w:sz w:val="21"/>
                <w:szCs w:val="21"/>
              </w:rPr>
              <w:t>85% UN</w:t>
            </w:r>
            <w:r>
              <w:rPr>
                <w:rFonts w:hint="eastAsia"/>
                <w:sz w:val="21"/>
                <w:szCs w:val="21"/>
              </w:rPr>
              <w:t>≤</w:t>
            </w:r>
            <w:r>
              <w:rPr>
                <w:sz w:val="21"/>
                <w:szCs w:val="21"/>
              </w:rPr>
              <w:t>U</w:t>
            </w:r>
            <w:r>
              <w:rPr>
                <w:rFonts w:hint="eastAsia"/>
                <w:sz w:val="21"/>
                <w:szCs w:val="21"/>
              </w:rPr>
              <w:t>≤</w:t>
            </w:r>
            <w:r>
              <w:rPr>
                <w:sz w:val="21"/>
                <w:szCs w:val="21"/>
              </w:rPr>
              <w:t>110% UN</w:t>
            </w:r>
          </w:p>
        </w:tc>
        <w:tc>
          <w:tcPr>
            <w:tcW w:w="4252" w:type="dxa"/>
          </w:tcPr>
          <w:p w14:paraId="02FEB676">
            <w:pPr>
              <w:pStyle w:val="2"/>
              <w:spacing w:after="0" w:line="300" w:lineRule="auto"/>
              <w:jc w:val="center"/>
              <w:rPr>
                <w:sz w:val="21"/>
                <w:szCs w:val="21"/>
              </w:rPr>
            </w:pPr>
            <w:r>
              <w:rPr>
                <w:sz w:val="21"/>
                <w:szCs w:val="21"/>
              </w:rPr>
              <w:t>保持运行</w:t>
            </w:r>
          </w:p>
        </w:tc>
      </w:tr>
      <w:tr w14:paraId="09CF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Pr>
          <w:p w14:paraId="3234F540">
            <w:pPr>
              <w:pStyle w:val="2"/>
              <w:spacing w:after="0" w:line="300" w:lineRule="auto"/>
              <w:jc w:val="center"/>
              <w:rPr>
                <w:sz w:val="21"/>
                <w:szCs w:val="21"/>
              </w:rPr>
            </w:pPr>
            <w:r>
              <w:rPr>
                <w:sz w:val="21"/>
                <w:szCs w:val="21"/>
              </w:rPr>
              <w:t>110% UN&lt;U&lt;135% UN</w:t>
            </w:r>
          </w:p>
        </w:tc>
        <w:tc>
          <w:tcPr>
            <w:tcW w:w="4252" w:type="dxa"/>
          </w:tcPr>
          <w:p w14:paraId="1B00BBE7">
            <w:pPr>
              <w:pStyle w:val="2"/>
              <w:spacing w:after="0" w:line="300" w:lineRule="auto"/>
              <w:jc w:val="center"/>
              <w:rPr>
                <w:rFonts w:hint="eastAsia" w:eastAsia="宋体"/>
                <w:sz w:val="21"/>
                <w:szCs w:val="21"/>
                <w:lang w:eastAsia="zh-CN"/>
              </w:rPr>
            </w:pPr>
            <w:r>
              <w:rPr>
                <w:sz w:val="21"/>
                <w:szCs w:val="21"/>
              </w:rPr>
              <w:t>2.0</w:t>
            </w:r>
            <w:r>
              <w:rPr>
                <w:rFonts w:hint="eastAsia"/>
                <w:sz w:val="21"/>
                <w:szCs w:val="21"/>
                <w:lang w:val="en-US" w:eastAsia="zh-CN"/>
              </w:rPr>
              <w:t>0s</w:t>
            </w:r>
          </w:p>
        </w:tc>
      </w:tr>
      <w:tr w14:paraId="7A2E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0" w:type="dxa"/>
          </w:tcPr>
          <w:p w14:paraId="67863658">
            <w:pPr>
              <w:pStyle w:val="2"/>
              <w:spacing w:after="0" w:line="300" w:lineRule="auto"/>
              <w:jc w:val="center"/>
              <w:rPr>
                <w:sz w:val="21"/>
                <w:szCs w:val="21"/>
              </w:rPr>
            </w:pPr>
            <w:r>
              <w:rPr>
                <w:sz w:val="21"/>
                <w:szCs w:val="21"/>
              </w:rPr>
              <w:t>135% UN</w:t>
            </w:r>
            <w:r>
              <w:rPr>
                <w:rFonts w:hint="eastAsia"/>
                <w:sz w:val="21"/>
                <w:szCs w:val="21"/>
              </w:rPr>
              <w:t>≤</w:t>
            </w:r>
            <w:r>
              <w:rPr>
                <w:sz w:val="21"/>
                <w:szCs w:val="21"/>
              </w:rPr>
              <w:t xml:space="preserve"> U</w:t>
            </w:r>
          </w:p>
        </w:tc>
        <w:tc>
          <w:tcPr>
            <w:tcW w:w="4252" w:type="dxa"/>
          </w:tcPr>
          <w:p w14:paraId="5255A91C">
            <w:pPr>
              <w:pStyle w:val="2"/>
              <w:spacing w:after="0" w:line="300" w:lineRule="auto"/>
              <w:jc w:val="center"/>
              <w:rPr>
                <w:rFonts w:hint="eastAsia" w:eastAsia="宋体"/>
                <w:sz w:val="21"/>
                <w:szCs w:val="21"/>
                <w:lang w:eastAsia="zh-CN"/>
              </w:rPr>
            </w:pPr>
            <w:r>
              <w:rPr>
                <w:sz w:val="21"/>
                <w:szCs w:val="21"/>
              </w:rPr>
              <w:t>0.05</w:t>
            </w:r>
            <w:r>
              <w:rPr>
                <w:rFonts w:hint="eastAsia"/>
                <w:sz w:val="21"/>
                <w:szCs w:val="21"/>
                <w:lang w:val="en-US" w:eastAsia="zh-CN"/>
              </w:rPr>
              <w:t>s</w:t>
            </w:r>
          </w:p>
        </w:tc>
      </w:tr>
    </w:tbl>
    <w:p w14:paraId="28A14E2F">
      <w:pPr>
        <w:widowControl/>
        <w:spacing w:line="300" w:lineRule="auto"/>
        <w:ind w:firstLine="480" w:firstLineChars="200"/>
        <w:rPr>
          <w:bCs/>
          <w:kern w:val="0"/>
          <w:sz w:val="24"/>
        </w:rPr>
      </w:pPr>
      <w:r>
        <w:rPr>
          <w:bCs/>
          <w:kern w:val="0"/>
          <w:sz w:val="24"/>
        </w:rPr>
        <w:t>注：最大分闸时间是指异常状态发生到逆变器停止向公共电网送电的时间，U</w:t>
      </w:r>
      <w:r>
        <w:rPr>
          <w:bCs/>
          <w:kern w:val="0"/>
          <w:sz w:val="24"/>
          <w:vertAlign w:val="subscript"/>
        </w:rPr>
        <w:t>N</w:t>
      </w:r>
      <w:r>
        <w:rPr>
          <w:bCs/>
          <w:kern w:val="0"/>
          <w:sz w:val="24"/>
        </w:rPr>
        <w:t>为额定电压。</w:t>
      </w:r>
    </w:p>
    <w:p w14:paraId="307563BA">
      <w:pPr>
        <w:widowControl/>
        <w:spacing w:line="300" w:lineRule="auto"/>
        <w:ind w:firstLine="482" w:firstLineChars="200"/>
        <w:rPr>
          <w:bCs/>
          <w:kern w:val="0"/>
          <w:sz w:val="24"/>
          <w:szCs w:val="22"/>
        </w:rPr>
      </w:pPr>
      <w:r>
        <w:rPr>
          <w:b/>
          <w:bCs w:val="0"/>
          <w:kern w:val="0"/>
          <w:sz w:val="24"/>
          <w:szCs w:val="22"/>
        </w:rPr>
        <w:t xml:space="preserve">2 </w:t>
      </w:r>
      <w:r>
        <w:rPr>
          <w:sz w:val="24"/>
        </w:rPr>
        <w:t>建筑</w:t>
      </w:r>
      <w:r>
        <w:rPr>
          <w:bCs/>
          <w:kern w:val="0"/>
          <w:sz w:val="24"/>
          <w:szCs w:val="22"/>
        </w:rPr>
        <w:t>光伏系统在公共电网接口处频率偏差超出规定限值时，频率保护应在0.2</w:t>
      </w:r>
      <w:r>
        <w:rPr>
          <w:rFonts w:hint="eastAsia"/>
          <w:bCs/>
          <w:kern w:val="0"/>
          <w:sz w:val="24"/>
          <w:szCs w:val="22"/>
          <w:lang w:val="en-US" w:eastAsia="zh-CN"/>
        </w:rPr>
        <w:t>s</w:t>
      </w:r>
      <w:r>
        <w:rPr>
          <w:bCs/>
          <w:kern w:val="0"/>
          <w:sz w:val="24"/>
          <w:szCs w:val="22"/>
        </w:rPr>
        <w:t>内动作，将光伏系统与公共电网断开；</w:t>
      </w:r>
    </w:p>
    <w:p w14:paraId="4FCD0D0B">
      <w:pPr>
        <w:widowControl/>
        <w:spacing w:line="300" w:lineRule="auto"/>
        <w:ind w:firstLine="482" w:firstLineChars="200"/>
        <w:rPr>
          <w:bCs/>
          <w:kern w:val="0"/>
          <w:sz w:val="24"/>
          <w:szCs w:val="22"/>
        </w:rPr>
      </w:pPr>
      <w:r>
        <w:rPr>
          <w:b/>
          <w:bCs w:val="0"/>
          <w:kern w:val="0"/>
          <w:sz w:val="24"/>
          <w:szCs w:val="22"/>
        </w:rPr>
        <w:t xml:space="preserve">3 </w:t>
      </w:r>
      <w:r>
        <w:rPr>
          <w:bCs/>
          <w:kern w:val="0"/>
          <w:sz w:val="24"/>
          <w:szCs w:val="22"/>
        </w:rPr>
        <w:t>当公共电网失压时，防孤岛效应保护应在2</w:t>
      </w:r>
      <w:r>
        <w:rPr>
          <w:rFonts w:hint="eastAsia"/>
          <w:bCs/>
          <w:kern w:val="0"/>
          <w:sz w:val="24"/>
          <w:szCs w:val="22"/>
          <w:lang w:val="en-US" w:eastAsia="zh-CN"/>
        </w:rPr>
        <w:t>s</w:t>
      </w:r>
      <w:r>
        <w:rPr>
          <w:bCs/>
          <w:kern w:val="0"/>
          <w:sz w:val="24"/>
          <w:szCs w:val="22"/>
        </w:rPr>
        <w:t>内完成，将</w:t>
      </w:r>
      <w:r>
        <w:rPr>
          <w:sz w:val="24"/>
        </w:rPr>
        <w:t>建筑</w:t>
      </w:r>
      <w:r>
        <w:rPr>
          <w:bCs/>
          <w:kern w:val="0"/>
          <w:sz w:val="24"/>
          <w:szCs w:val="22"/>
        </w:rPr>
        <w:t>光伏系统与公共电网断开；</w:t>
      </w:r>
    </w:p>
    <w:p w14:paraId="07CE5D79">
      <w:pPr>
        <w:widowControl/>
        <w:spacing w:line="300" w:lineRule="auto"/>
        <w:ind w:firstLine="482" w:firstLineChars="200"/>
        <w:rPr>
          <w:bCs/>
          <w:kern w:val="0"/>
          <w:sz w:val="24"/>
          <w:szCs w:val="22"/>
        </w:rPr>
      </w:pPr>
      <w:r>
        <w:rPr>
          <w:b/>
          <w:bCs w:val="0"/>
          <w:kern w:val="0"/>
          <w:sz w:val="24"/>
          <w:szCs w:val="22"/>
        </w:rPr>
        <w:t xml:space="preserve">4 </w:t>
      </w:r>
      <w:r>
        <w:rPr>
          <w:sz w:val="24"/>
        </w:rPr>
        <w:t>建筑</w:t>
      </w:r>
      <w:r>
        <w:rPr>
          <w:bCs/>
          <w:kern w:val="0"/>
          <w:sz w:val="24"/>
          <w:szCs w:val="22"/>
        </w:rPr>
        <w:t>光伏系统对公共电网应设置短路保护。当公共电网短路时，逆变器的过电流应不大于额定电流的1.5倍，应在0.1</w:t>
      </w:r>
      <w:r>
        <w:rPr>
          <w:rFonts w:hint="eastAsia"/>
          <w:bCs/>
          <w:kern w:val="0"/>
          <w:sz w:val="24"/>
          <w:szCs w:val="22"/>
          <w:lang w:val="en-US" w:eastAsia="zh-CN"/>
        </w:rPr>
        <w:t>s</w:t>
      </w:r>
      <w:r>
        <w:rPr>
          <w:bCs/>
          <w:kern w:val="0"/>
          <w:sz w:val="24"/>
          <w:szCs w:val="22"/>
        </w:rPr>
        <w:t>内将光伏系统与公共电网断开；</w:t>
      </w:r>
    </w:p>
    <w:p w14:paraId="1F725C70">
      <w:pPr>
        <w:widowControl/>
        <w:spacing w:line="300" w:lineRule="auto"/>
        <w:ind w:firstLine="482" w:firstLineChars="200"/>
        <w:rPr>
          <w:bCs/>
          <w:kern w:val="0"/>
          <w:sz w:val="24"/>
          <w:szCs w:val="22"/>
        </w:rPr>
      </w:pPr>
      <w:r>
        <w:rPr>
          <w:b/>
          <w:bCs w:val="0"/>
          <w:kern w:val="0"/>
          <w:sz w:val="24"/>
          <w:szCs w:val="22"/>
        </w:rPr>
        <w:t xml:space="preserve">5 </w:t>
      </w:r>
      <w:r>
        <w:rPr>
          <w:bCs/>
          <w:kern w:val="0"/>
          <w:sz w:val="24"/>
          <w:szCs w:val="22"/>
        </w:rPr>
        <w:t>非逆流并网</w:t>
      </w:r>
      <w:r>
        <w:rPr>
          <w:sz w:val="24"/>
        </w:rPr>
        <w:t>建筑</w:t>
      </w:r>
      <w:r>
        <w:rPr>
          <w:bCs/>
          <w:kern w:val="0"/>
          <w:sz w:val="24"/>
          <w:szCs w:val="22"/>
        </w:rPr>
        <w:t>光伏系统应在公共电网供电变压器次级设置逆流检测装置。当检测到的逆电流超出逆变器额定输出的5%时，逆向功率保护应在0.5</w:t>
      </w:r>
      <w:r>
        <w:rPr>
          <w:rFonts w:hint="eastAsia"/>
          <w:bCs/>
          <w:kern w:val="0"/>
          <w:sz w:val="24"/>
          <w:szCs w:val="22"/>
          <w:lang w:val="en-US" w:eastAsia="zh-CN"/>
        </w:rPr>
        <w:t>s</w:t>
      </w:r>
      <w:r>
        <w:rPr>
          <w:bCs/>
          <w:kern w:val="0"/>
          <w:sz w:val="24"/>
          <w:szCs w:val="22"/>
        </w:rPr>
        <w:t>至2</w:t>
      </w:r>
      <w:r>
        <w:rPr>
          <w:rFonts w:hint="eastAsia"/>
          <w:bCs/>
          <w:kern w:val="0"/>
          <w:sz w:val="24"/>
          <w:szCs w:val="22"/>
          <w:lang w:val="en-US" w:eastAsia="zh-CN"/>
        </w:rPr>
        <w:t>s</w:t>
      </w:r>
      <w:r>
        <w:rPr>
          <w:bCs/>
          <w:kern w:val="0"/>
          <w:sz w:val="24"/>
          <w:szCs w:val="22"/>
        </w:rPr>
        <w:t>内将光伏系统与公共电网断开。</w:t>
      </w:r>
    </w:p>
    <w:p w14:paraId="46EFF114">
      <w:pPr>
        <w:widowControl/>
        <w:spacing w:line="300" w:lineRule="auto"/>
        <w:rPr>
          <w:bCs/>
          <w:kern w:val="0"/>
          <w:sz w:val="24"/>
        </w:rPr>
      </w:pPr>
      <w:r>
        <w:rPr>
          <w:b/>
          <w:bCs/>
          <w:kern w:val="0"/>
          <w:sz w:val="24"/>
        </w:rPr>
        <w:t>8.</w:t>
      </w:r>
      <w:r>
        <w:rPr>
          <w:rFonts w:hint="eastAsia"/>
          <w:b/>
          <w:bCs/>
          <w:kern w:val="0"/>
          <w:sz w:val="24"/>
          <w:lang w:val="en-US" w:eastAsia="zh-CN"/>
        </w:rPr>
        <w:t>4</w:t>
      </w:r>
      <w:r>
        <w:rPr>
          <w:b/>
          <w:bCs/>
          <w:kern w:val="0"/>
          <w:sz w:val="24"/>
        </w:rPr>
        <w:t>.3</w:t>
      </w:r>
      <w:r>
        <w:rPr>
          <w:kern w:val="0"/>
          <w:sz w:val="24"/>
        </w:rPr>
        <w:t xml:space="preserve"> 建筑</w:t>
      </w:r>
      <w:r>
        <w:rPr>
          <w:bCs/>
          <w:kern w:val="0"/>
          <w:sz w:val="24"/>
        </w:rPr>
        <w:t>光伏系统应根据系统接入条件和供电部门要求选择安装电网保护装置并应符合国家现行标准《光伏（PV）系统电网接口特性》GB/T 20046和《继电保护和安全自动装置技术规程》GB/T 14285的有关规定。</w:t>
      </w:r>
    </w:p>
    <w:p w14:paraId="6409AA2D">
      <w:pPr>
        <w:widowControl/>
        <w:spacing w:line="300" w:lineRule="auto"/>
        <w:rPr>
          <w:bCs/>
          <w:kern w:val="0"/>
          <w:sz w:val="24"/>
        </w:rPr>
      </w:pPr>
      <w:r>
        <w:rPr>
          <w:b/>
          <w:bCs/>
          <w:kern w:val="0"/>
          <w:sz w:val="24"/>
        </w:rPr>
        <w:t>8.</w:t>
      </w:r>
      <w:r>
        <w:rPr>
          <w:rFonts w:hint="eastAsia"/>
          <w:b/>
          <w:bCs/>
          <w:kern w:val="0"/>
          <w:sz w:val="24"/>
          <w:lang w:val="en-US" w:eastAsia="zh-CN"/>
        </w:rPr>
        <w:t>4</w:t>
      </w:r>
      <w:r>
        <w:rPr>
          <w:b/>
          <w:bCs/>
          <w:kern w:val="0"/>
          <w:sz w:val="24"/>
        </w:rPr>
        <w:t>.4</w:t>
      </w:r>
      <w:r>
        <w:rPr>
          <w:kern w:val="0"/>
          <w:sz w:val="24"/>
        </w:rPr>
        <w:t xml:space="preserve"> </w:t>
      </w:r>
      <w:r>
        <w:rPr>
          <w:bCs/>
          <w:kern w:val="0"/>
          <w:sz w:val="24"/>
        </w:rPr>
        <w:t>当公用电网电能质量超限时，</w:t>
      </w:r>
      <w:r>
        <w:rPr>
          <w:sz w:val="24"/>
        </w:rPr>
        <w:t>建筑</w:t>
      </w:r>
      <w:r>
        <w:rPr>
          <w:bCs/>
          <w:kern w:val="0"/>
          <w:sz w:val="24"/>
        </w:rPr>
        <w:t>光伏系统应自动与公用电网解列，在公用电网质量恢复正常后的5min之内，光伏系统不得向电网供电。</w:t>
      </w:r>
    </w:p>
    <w:p w14:paraId="27EF34CC">
      <w:pPr>
        <w:snapToGrid w:val="0"/>
        <w:spacing w:line="300" w:lineRule="auto"/>
        <w:rPr>
          <w:sz w:val="24"/>
        </w:rPr>
      </w:pPr>
      <w:r>
        <w:rPr>
          <w:b/>
          <w:bCs/>
          <w:sz w:val="24"/>
        </w:rPr>
        <w:t>8.</w:t>
      </w:r>
      <w:r>
        <w:rPr>
          <w:rFonts w:hint="eastAsia"/>
          <w:b/>
          <w:bCs/>
          <w:sz w:val="24"/>
          <w:lang w:val="en-US" w:eastAsia="zh-CN"/>
        </w:rPr>
        <w:t>4</w:t>
      </w:r>
      <w:r>
        <w:rPr>
          <w:b/>
          <w:bCs/>
          <w:sz w:val="24"/>
        </w:rPr>
        <w:t>.5</w:t>
      </w:r>
      <w:r>
        <w:rPr>
          <w:sz w:val="24"/>
        </w:rPr>
        <w:t xml:space="preserve"> 建筑光伏发电系统交流侧电气装置过电压保护和接地应符合现行国家标准《交流电气装置的过电压保护和绝缘配合设计规范》GB/T 50064和《交流电气装置的接地设计规范》GB/T 50065的有关规定。</w:t>
      </w:r>
    </w:p>
    <w:p w14:paraId="1214A0CA">
      <w:pPr>
        <w:snapToGrid w:val="0"/>
        <w:spacing w:line="300" w:lineRule="auto"/>
        <w:rPr>
          <w:sz w:val="24"/>
        </w:rPr>
      </w:pPr>
      <w:r>
        <w:rPr>
          <w:b/>
          <w:bCs/>
          <w:sz w:val="24"/>
        </w:rPr>
        <w:t>8.</w:t>
      </w:r>
      <w:r>
        <w:rPr>
          <w:rFonts w:hint="eastAsia"/>
          <w:b/>
          <w:bCs/>
          <w:sz w:val="24"/>
          <w:lang w:val="en-US" w:eastAsia="zh-CN"/>
        </w:rPr>
        <w:t>4</w:t>
      </w:r>
      <w:r>
        <w:rPr>
          <w:b/>
          <w:bCs/>
          <w:sz w:val="24"/>
        </w:rPr>
        <w:t>.6</w:t>
      </w:r>
      <w:r>
        <w:rPr>
          <w:sz w:val="24"/>
        </w:rPr>
        <w:t xml:space="preserve"> 建筑光伏系统应具有漏电保护和漏电火灾报警系统的功能并满足现行国家标准《低压配电设计规范》GB 50054的有关规定。</w:t>
      </w:r>
    </w:p>
    <w:p w14:paraId="3F628B47">
      <w:pPr>
        <w:pStyle w:val="2"/>
        <w:spacing w:line="300" w:lineRule="auto"/>
        <w:rPr>
          <w:sz w:val="24"/>
        </w:rPr>
      </w:pPr>
      <w:r>
        <w:rPr>
          <w:b/>
          <w:bCs/>
          <w:sz w:val="24"/>
        </w:rPr>
        <w:t>8.</w:t>
      </w:r>
      <w:r>
        <w:rPr>
          <w:rFonts w:hint="eastAsia"/>
          <w:b/>
          <w:bCs/>
          <w:sz w:val="24"/>
          <w:lang w:val="en-US" w:eastAsia="zh-CN"/>
        </w:rPr>
        <w:t>4</w:t>
      </w:r>
      <w:r>
        <w:rPr>
          <w:b/>
          <w:bCs/>
          <w:sz w:val="24"/>
        </w:rPr>
        <w:t>.7</w:t>
      </w:r>
      <w:r>
        <w:rPr>
          <w:sz w:val="24"/>
        </w:rPr>
        <w:t xml:space="preserve"> 中、大型建筑光伏监控系统的设计和配置应符合现行国家标准《分布式光伏发电系统远程监控技术规范》GB/T34932的有关规定。</w:t>
      </w:r>
    </w:p>
    <w:bookmarkEnd w:id="278"/>
    <w:bookmarkEnd w:id="279"/>
    <w:p w14:paraId="31E8D2FD">
      <w:pPr>
        <w:spacing w:line="300" w:lineRule="auto"/>
      </w:pPr>
    </w:p>
    <w:p w14:paraId="1B81102F">
      <w:pPr>
        <w:widowControl/>
        <w:spacing w:line="300" w:lineRule="auto"/>
        <w:jc w:val="left"/>
        <w:rPr>
          <w:sz w:val="24"/>
        </w:rPr>
      </w:pPr>
      <w:r>
        <w:rPr>
          <w:sz w:val="24"/>
        </w:rPr>
        <w:br w:type="page"/>
      </w:r>
    </w:p>
    <w:p w14:paraId="19F23B3F">
      <w:pPr>
        <w:pStyle w:val="5"/>
        <w:spacing w:before="95" w:beforeLines="30" w:after="95" w:afterLines="30" w:line="300" w:lineRule="auto"/>
        <w:jc w:val="center"/>
        <w:rPr>
          <w:rFonts w:ascii="Times New Roman" w:hAnsi="Times New Roman" w:eastAsia="黑体" w:cs="Times New Roman"/>
          <w:sz w:val="28"/>
          <w:szCs w:val="28"/>
        </w:rPr>
      </w:pPr>
      <w:bookmarkStart w:id="294" w:name="_Toc8359"/>
      <w:bookmarkStart w:id="295" w:name="_Toc1576"/>
      <w:bookmarkStart w:id="296" w:name="_Toc28560"/>
      <w:bookmarkStart w:id="297" w:name="_Toc12599"/>
      <w:bookmarkStart w:id="298" w:name="_Toc8725"/>
      <w:bookmarkStart w:id="299" w:name="_Toc13022"/>
      <w:bookmarkStart w:id="300" w:name="_Toc12666"/>
      <w:bookmarkStart w:id="301" w:name="_Toc23991"/>
      <w:r>
        <w:rPr>
          <w:rFonts w:hint="default" w:ascii="Times New Roman" w:hAnsi="Times New Roman" w:eastAsia="黑体" w:cs="Times New Roman"/>
          <w:sz w:val="28"/>
          <w:szCs w:val="28"/>
          <w:lang w:val="en-US" w:eastAsia="zh-CN"/>
        </w:rPr>
        <w:t>9</w:t>
      </w:r>
      <w:r>
        <w:rPr>
          <w:rFonts w:ascii="Times New Roman" w:hAnsi="Times New Roman" w:eastAsia="黑体" w:cs="Times New Roman"/>
          <w:sz w:val="28"/>
          <w:szCs w:val="28"/>
        </w:rPr>
        <w:t xml:space="preserve"> 给排水设计</w:t>
      </w:r>
      <w:bookmarkEnd w:id="294"/>
      <w:bookmarkEnd w:id="295"/>
      <w:bookmarkEnd w:id="296"/>
      <w:bookmarkEnd w:id="297"/>
      <w:bookmarkEnd w:id="298"/>
      <w:bookmarkEnd w:id="299"/>
      <w:bookmarkEnd w:id="300"/>
      <w:bookmarkEnd w:id="301"/>
    </w:p>
    <w:p w14:paraId="4C06D2A8">
      <w:pPr>
        <w:keepNext/>
        <w:keepLines/>
        <w:snapToGrid w:val="0"/>
        <w:spacing w:before="95" w:beforeLines="30" w:after="95" w:afterLines="30" w:line="300" w:lineRule="auto"/>
        <w:jc w:val="center"/>
        <w:outlineLvl w:val="2"/>
        <w:rPr>
          <w:b/>
          <w:sz w:val="24"/>
          <w:szCs w:val="32"/>
        </w:rPr>
      </w:pPr>
      <w:bookmarkStart w:id="302" w:name="_Toc22268"/>
      <w:bookmarkStart w:id="303" w:name="_Toc26878"/>
      <w:bookmarkStart w:id="304" w:name="_Toc30673"/>
      <w:bookmarkStart w:id="305" w:name="_Toc32101"/>
      <w:bookmarkStart w:id="306" w:name="_Toc11979"/>
      <w:bookmarkStart w:id="307" w:name="_Toc27181"/>
      <w:bookmarkStart w:id="308" w:name="_Toc2105"/>
      <w:bookmarkStart w:id="309" w:name="_Toc30082"/>
      <w:r>
        <w:rPr>
          <w:rFonts w:hint="default"/>
          <w:b/>
          <w:sz w:val="24"/>
          <w:szCs w:val="32"/>
          <w:lang w:val="en-US" w:eastAsia="zh-CN"/>
        </w:rPr>
        <w:t>9</w:t>
      </w:r>
      <w:r>
        <w:rPr>
          <w:b/>
          <w:sz w:val="24"/>
          <w:szCs w:val="32"/>
        </w:rPr>
        <w:t>.1 一般规定</w:t>
      </w:r>
      <w:bookmarkEnd w:id="302"/>
      <w:bookmarkEnd w:id="303"/>
      <w:bookmarkEnd w:id="304"/>
      <w:bookmarkEnd w:id="305"/>
      <w:bookmarkEnd w:id="306"/>
      <w:bookmarkEnd w:id="307"/>
      <w:bookmarkEnd w:id="308"/>
      <w:bookmarkEnd w:id="309"/>
    </w:p>
    <w:p w14:paraId="7D0D81CB">
      <w:pPr>
        <w:snapToGrid w:val="0"/>
        <w:spacing w:line="300" w:lineRule="auto"/>
        <w:jc w:val="left"/>
        <w:rPr>
          <w:sz w:val="24"/>
        </w:rPr>
      </w:pPr>
      <w:r>
        <w:rPr>
          <w:rFonts w:hint="eastAsia"/>
          <w:b/>
          <w:bCs/>
          <w:sz w:val="24"/>
          <w:lang w:val="en-US" w:eastAsia="zh-CN"/>
        </w:rPr>
        <w:t>9</w:t>
      </w:r>
      <w:r>
        <w:rPr>
          <w:b/>
          <w:bCs/>
          <w:sz w:val="24"/>
        </w:rPr>
        <w:t>.</w:t>
      </w:r>
      <w:r>
        <w:rPr>
          <w:rFonts w:hint="eastAsia"/>
          <w:b/>
          <w:bCs/>
          <w:sz w:val="24"/>
        </w:rPr>
        <w:t>1</w:t>
      </w:r>
      <w:r>
        <w:rPr>
          <w:b/>
          <w:bCs/>
          <w:sz w:val="24"/>
        </w:rPr>
        <w:t>.1</w:t>
      </w:r>
      <w:r>
        <w:rPr>
          <w:rFonts w:hint="eastAsia"/>
          <w:sz w:val="24"/>
        </w:rPr>
        <w:t xml:space="preserve"> </w:t>
      </w:r>
      <w:r>
        <w:rPr>
          <w:sz w:val="24"/>
        </w:rPr>
        <w:t>光伏组件清洗宜使用再生水。</w:t>
      </w:r>
    </w:p>
    <w:p w14:paraId="2DA7A662">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3780869">
      <w:pPr>
        <w:pStyle w:val="2"/>
        <w:snapToGrid/>
        <w:spacing w:line="300" w:lineRule="auto"/>
        <w:jc w:val="left"/>
        <w:rPr>
          <w:rFonts w:hint="eastAsia" w:ascii="仿宋" w:hAnsi="仿宋" w:eastAsia="仿宋" w:cs="仿宋"/>
          <w:i/>
          <w:iCs/>
          <w:color w:val="0623BA"/>
          <w:sz w:val="24"/>
          <w:highlight w:val="none"/>
        </w:rPr>
      </w:pPr>
      <w:r>
        <w:rPr>
          <w:rFonts w:hint="eastAsia" w:ascii="仿宋" w:hAnsi="仿宋" w:eastAsia="仿宋" w:cs="仿宋"/>
          <w:b/>
          <w:bCs/>
          <w:i/>
          <w:iCs/>
          <w:color w:val="0623BA"/>
          <w:sz w:val="24"/>
          <w:lang w:val="en-US" w:eastAsia="zh-CN"/>
        </w:rPr>
        <w:t>9</w:t>
      </w:r>
      <w:r>
        <w:rPr>
          <w:rFonts w:hint="eastAsia" w:ascii="仿宋" w:hAnsi="仿宋" w:eastAsia="仿宋" w:cs="仿宋"/>
          <w:b/>
          <w:bCs/>
          <w:i/>
          <w:iCs/>
          <w:color w:val="0623BA"/>
          <w:sz w:val="24"/>
        </w:rPr>
        <w:t xml:space="preserve">.1.1 </w:t>
      </w:r>
      <w:r>
        <w:rPr>
          <w:rFonts w:hint="eastAsia" w:ascii="仿宋" w:hAnsi="仿宋" w:eastAsia="仿宋" w:cs="仿宋"/>
          <w:i/>
          <w:iCs/>
          <w:color w:val="0623BA"/>
          <w:sz w:val="24"/>
        </w:rPr>
        <w:t>设置中水处理、雨水回用等设施，出水水质满足车辆冲洗标准的场所，优先使用再生水作为清洗水源。</w:t>
      </w:r>
    </w:p>
    <w:p w14:paraId="29DA43FB">
      <w:pPr>
        <w:snapToGrid w:val="0"/>
        <w:spacing w:line="300" w:lineRule="auto"/>
        <w:jc w:val="left"/>
        <w:rPr>
          <w:rFonts w:hint="default"/>
          <w:b w:val="0"/>
          <w:bCs w:val="0"/>
          <w:sz w:val="24"/>
          <w:lang w:val="en-US" w:eastAsia="zh-CN"/>
        </w:rPr>
      </w:pPr>
      <w:r>
        <w:rPr>
          <w:rFonts w:hint="default"/>
          <w:b/>
          <w:bCs/>
          <w:sz w:val="24"/>
          <w:lang w:val="en-US" w:eastAsia="zh-CN"/>
        </w:rPr>
        <w:t>9.1.2</w:t>
      </w:r>
      <w:r>
        <w:rPr>
          <w:rFonts w:hint="eastAsia"/>
          <w:b/>
          <w:bCs/>
          <w:sz w:val="24"/>
          <w:lang w:val="en-US" w:eastAsia="zh-CN"/>
        </w:rPr>
        <w:t xml:space="preserve"> </w:t>
      </w:r>
      <w:r>
        <w:rPr>
          <w:rFonts w:hint="default"/>
          <w:b w:val="0"/>
          <w:bCs w:val="0"/>
          <w:sz w:val="24"/>
          <w:lang w:val="en-US" w:eastAsia="zh-CN"/>
        </w:rPr>
        <w:t>光伏组件排水宜采用有组织排水，设置独立的收集管道，就近排入雨水系统。</w:t>
      </w:r>
    </w:p>
    <w:p w14:paraId="0F9E6003">
      <w:pPr>
        <w:snapToGrid w:val="0"/>
        <w:spacing w:line="300" w:lineRule="auto"/>
        <w:jc w:val="left"/>
        <w:rPr>
          <w:sz w:val="24"/>
        </w:rPr>
      </w:pPr>
      <w:r>
        <w:rPr>
          <w:rFonts w:hint="eastAsia"/>
          <w:b/>
          <w:bCs/>
          <w:sz w:val="24"/>
          <w:lang w:val="en-US" w:eastAsia="zh-CN"/>
        </w:rPr>
        <w:t>9</w:t>
      </w:r>
      <w:r>
        <w:rPr>
          <w:b/>
          <w:bCs/>
          <w:sz w:val="24"/>
        </w:rPr>
        <w:t>.</w:t>
      </w:r>
      <w:r>
        <w:rPr>
          <w:rFonts w:hint="eastAsia"/>
          <w:b/>
          <w:bCs/>
          <w:sz w:val="24"/>
        </w:rPr>
        <w:t>1</w:t>
      </w:r>
      <w:r>
        <w:rPr>
          <w:b/>
          <w:bCs/>
          <w:sz w:val="24"/>
        </w:rPr>
        <w:t>.</w:t>
      </w:r>
      <w:r>
        <w:rPr>
          <w:rFonts w:hint="eastAsia"/>
          <w:b/>
          <w:bCs/>
          <w:sz w:val="24"/>
          <w:lang w:val="en-US" w:eastAsia="zh-CN"/>
        </w:rPr>
        <w:t>3</w:t>
      </w:r>
      <w:r>
        <w:rPr>
          <w:rFonts w:hint="eastAsia"/>
          <w:sz w:val="24"/>
        </w:rPr>
        <w:t xml:space="preserve"> </w:t>
      </w:r>
      <w:r>
        <w:rPr>
          <w:sz w:val="24"/>
        </w:rPr>
        <w:t>屋面排水和防水应符合现行国家标准《建筑给水排水设计规范》GB 50015 的规定。</w:t>
      </w:r>
    </w:p>
    <w:p w14:paraId="742AA3B8">
      <w:pPr>
        <w:snapToGrid w:val="0"/>
        <w:spacing w:line="300" w:lineRule="auto"/>
        <w:jc w:val="left"/>
        <w:rPr>
          <w:sz w:val="24"/>
        </w:rPr>
      </w:pPr>
      <w:r>
        <w:rPr>
          <w:rFonts w:hint="eastAsia"/>
          <w:b/>
          <w:bCs/>
          <w:sz w:val="24"/>
          <w:lang w:val="en-US" w:eastAsia="zh-CN"/>
        </w:rPr>
        <w:t>9</w:t>
      </w:r>
      <w:r>
        <w:rPr>
          <w:b/>
          <w:bCs/>
          <w:sz w:val="24"/>
        </w:rPr>
        <w:t>.</w:t>
      </w:r>
      <w:r>
        <w:rPr>
          <w:rFonts w:hint="eastAsia"/>
          <w:b/>
          <w:bCs/>
          <w:sz w:val="24"/>
        </w:rPr>
        <w:t>1</w:t>
      </w:r>
      <w:r>
        <w:rPr>
          <w:b/>
          <w:bCs/>
          <w:sz w:val="24"/>
        </w:rPr>
        <w:t>.</w:t>
      </w:r>
      <w:r>
        <w:rPr>
          <w:rFonts w:hint="eastAsia"/>
          <w:b/>
          <w:bCs/>
          <w:sz w:val="24"/>
          <w:lang w:val="en-US" w:eastAsia="zh-CN"/>
        </w:rPr>
        <w:t>4</w:t>
      </w:r>
      <w:r>
        <w:rPr>
          <w:rFonts w:hint="eastAsia"/>
          <w:sz w:val="24"/>
        </w:rPr>
        <w:t xml:space="preserve"> </w:t>
      </w:r>
      <w:r>
        <w:rPr>
          <w:sz w:val="24"/>
        </w:rPr>
        <w:t>光伏系统各组成部分在建筑中的位置应合理确定</w:t>
      </w:r>
      <w:r>
        <w:rPr>
          <w:rFonts w:hint="eastAsia"/>
          <w:sz w:val="24"/>
          <w:lang w:eastAsia="zh-CN"/>
        </w:rPr>
        <w:t>，</w:t>
      </w:r>
      <w:r>
        <w:rPr>
          <w:sz w:val="24"/>
        </w:rPr>
        <w:t>满足其所在部位的建筑防水、排水、雨水、隔热及节能、美观等功能要求。</w:t>
      </w:r>
    </w:p>
    <w:p w14:paraId="339413EC">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249B8D92">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9</w:t>
      </w: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 xml:space="preserve"> 建筑设计应与光伏系统设计同步进行。建筑设计根据选定的光伏系统类型，确定光伏组件形式、安装面积、尺寸大小、安装位置及方式；了解连接管线走向</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考虑辅助能源及辅助设施条件；明确光伏系统各部分的相对关系。然后，合理安排光伏系统各组成部分在建筑中的位置。光伏组件安装在建筑屋面、阳台、墙面或其他部位时，不应造成局部积水、防水层破坏、渗漏和影响建筑保温、隔热及美观等功能要求。</w:t>
      </w:r>
    </w:p>
    <w:p w14:paraId="4314FD03">
      <w:pPr>
        <w:keepNext/>
        <w:keepLines/>
        <w:snapToGrid w:val="0"/>
        <w:spacing w:before="95" w:beforeLines="30" w:after="95" w:afterLines="30" w:line="300" w:lineRule="auto"/>
        <w:jc w:val="center"/>
        <w:outlineLvl w:val="2"/>
        <w:rPr>
          <w:b/>
          <w:sz w:val="24"/>
          <w:szCs w:val="32"/>
        </w:rPr>
      </w:pPr>
      <w:bookmarkStart w:id="310" w:name="_Toc20049"/>
      <w:bookmarkStart w:id="311" w:name="_Toc30860"/>
      <w:bookmarkStart w:id="312" w:name="_Toc2899"/>
      <w:bookmarkStart w:id="313" w:name="_Toc17007"/>
      <w:bookmarkStart w:id="314" w:name="_Toc12"/>
      <w:bookmarkStart w:id="315" w:name="_Toc6423"/>
      <w:bookmarkStart w:id="316" w:name="_Toc19845"/>
      <w:bookmarkStart w:id="317" w:name="_Toc7671"/>
      <w:r>
        <w:rPr>
          <w:rFonts w:hint="default"/>
          <w:b/>
          <w:sz w:val="24"/>
          <w:szCs w:val="32"/>
          <w:lang w:val="en-US" w:eastAsia="zh-CN"/>
        </w:rPr>
        <w:t>9</w:t>
      </w:r>
      <w:r>
        <w:rPr>
          <w:b/>
          <w:sz w:val="24"/>
          <w:szCs w:val="32"/>
        </w:rPr>
        <w:t>.</w:t>
      </w:r>
      <w:r>
        <w:rPr>
          <w:rFonts w:hint="default"/>
          <w:b/>
          <w:sz w:val="24"/>
          <w:szCs w:val="32"/>
        </w:rPr>
        <w:t>2</w:t>
      </w:r>
      <w:r>
        <w:rPr>
          <w:b/>
          <w:sz w:val="24"/>
          <w:szCs w:val="32"/>
        </w:rPr>
        <w:t xml:space="preserve"> </w:t>
      </w:r>
      <w:r>
        <w:rPr>
          <w:rFonts w:hint="default"/>
          <w:b/>
          <w:sz w:val="24"/>
          <w:szCs w:val="32"/>
        </w:rPr>
        <w:t>屋面排水</w:t>
      </w:r>
      <w:bookmarkEnd w:id="310"/>
      <w:bookmarkEnd w:id="311"/>
      <w:bookmarkEnd w:id="312"/>
      <w:bookmarkEnd w:id="313"/>
      <w:bookmarkEnd w:id="314"/>
      <w:bookmarkEnd w:id="315"/>
      <w:bookmarkEnd w:id="316"/>
      <w:bookmarkEnd w:id="317"/>
    </w:p>
    <w:p w14:paraId="33088425">
      <w:pPr>
        <w:snapToGrid w:val="0"/>
        <w:spacing w:line="300" w:lineRule="auto"/>
        <w:jc w:val="left"/>
        <w:rPr>
          <w:sz w:val="24"/>
        </w:rPr>
      </w:pPr>
      <w:r>
        <w:rPr>
          <w:rFonts w:hint="eastAsia"/>
          <w:b/>
          <w:bCs/>
          <w:sz w:val="24"/>
          <w:lang w:val="en-US" w:eastAsia="zh-CN"/>
        </w:rPr>
        <w:t>9</w:t>
      </w:r>
      <w:r>
        <w:rPr>
          <w:b/>
          <w:bCs/>
          <w:sz w:val="24"/>
        </w:rPr>
        <w:t>.</w:t>
      </w:r>
      <w:r>
        <w:rPr>
          <w:rFonts w:hint="eastAsia"/>
          <w:b/>
          <w:bCs/>
          <w:sz w:val="24"/>
          <w:lang w:val="en-US" w:eastAsia="zh-CN"/>
        </w:rPr>
        <w:t>2</w:t>
      </w:r>
      <w:r>
        <w:rPr>
          <w:b/>
          <w:bCs/>
          <w:sz w:val="24"/>
        </w:rPr>
        <w:t>.</w:t>
      </w:r>
      <w:r>
        <w:rPr>
          <w:rFonts w:hint="eastAsia"/>
          <w:b/>
          <w:bCs/>
          <w:sz w:val="24"/>
          <w:lang w:val="en-US" w:eastAsia="zh-CN"/>
        </w:rPr>
        <w:t>1</w:t>
      </w:r>
      <w:r>
        <w:rPr>
          <w:rFonts w:hint="eastAsia"/>
          <w:sz w:val="24"/>
        </w:rPr>
        <w:t xml:space="preserve"> </w:t>
      </w:r>
      <w:r>
        <w:rPr>
          <w:sz w:val="24"/>
        </w:rPr>
        <w:t>光伏组件不应影响安装部位建筑雨水系统设计，不应造成局部积水、防水层破坏、渗漏等情况。</w:t>
      </w:r>
    </w:p>
    <w:p w14:paraId="0312CAE2">
      <w:pPr>
        <w:snapToGrid w:val="0"/>
        <w:spacing w:line="300" w:lineRule="auto"/>
        <w:jc w:val="left"/>
        <w:rPr>
          <w:sz w:val="24"/>
        </w:rPr>
      </w:pPr>
      <w:r>
        <w:rPr>
          <w:rFonts w:hint="eastAsia"/>
          <w:b/>
          <w:bCs/>
          <w:sz w:val="24"/>
          <w:lang w:val="en-US" w:eastAsia="zh-CN"/>
        </w:rPr>
        <w:t>9</w:t>
      </w:r>
      <w:r>
        <w:rPr>
          <w:rFonts w:hint="eastAsia"/>
          <w:b/>
          <w:bCs/>
          <w:sz w:val="24"/>
        </w:rPr>
        <w:t>.</w:t>
      </w:r>
      <w:r>
        <w:rPr>
          <w:rFonts w:hint="eastAsia"/>
          <w:b/>
          <w:bCs/>
          <w:sz w:val="24"/>
          <w:lang w:val="en-US" w:eastAsia="zh-CN"/>
        </w:rPr>
        <w:t>2</w:t>
      </w:r>
      <w:r>
        <w:rPr>
          <w:rFonts w:hint="eastAsia"/>
          <w:b/>
          <w:bCs/>
          <w:sz w:val="24"/>
        </w:rPr>
        <w:t>.</w:t>
      </w:r>
      <w:r>
        <w:rPr>
          <w:rFonts w:hint="eastAsia"/>
          <w:b/>
          <w:bCs/>
          <w:sz w:val="24"/>
          <w:lang w:val="en-US" w:eastAsia="zh-CN"/>
        </w:rPr>
        <w:t>2</w:t>
      </w:r>
      <w:r>
        <w:rPr>
          <w:rFonts w:hint="eastAsia"/>
          <w:sz w:val="24"/>
        </w:rPr>
        <w:t xml:space="preserve"> 在建筑屋面上安装光伏的组件，基座形式应利于屋面排水，避免与屋面排水方向垂直的条形基座。</w:t>
      </w:r>
    </w:p>
    <w:p w14:paraId="2E5F8350">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C951539">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9</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 xml:space="preserve"> </w:t>
      </w:r>
      <w:r>
        <w:rPr>
          <w:rFonts w:ascii="仿宋" w:hAnsi="仿宋" w:eastAsia="仿宋" w:cs="仿宋"/>
          <w:i/>
          <w:iCs/>
          <w:color w:val="0623BA"/>
          <w:sz w:val="24"/>
        </w:rPr>
        <w:t>屋面上安装光伏组件还应符合以下要求：</w:t>
      </w:r>
    </w:p>
    <w:p w14:paraId="5272E515">
      <w:pPr>
        <w:pStyle w:val="2"/>
        <w:spacing w:line="300" w:lineRule="auto"/>
        <w:ind w:firstLine="480" w:firstLineChars="200"/>
        <w:rPr>
          <w:rFonts w:hint="eastAsia" w:ascii="仿宋" w:hAnsi="仿宋" w:eastAsia="仿宋" w:cs="仿宋"/>
          <w:i/>
          <w:iCs/>
          <w:color w:val="0623BA"/>
          <w:sz w:val="24"/>
        </w:rPr>
      </w:pPr>
      <w:r>
        <w:rPr>
          <w:rFonts w:ascii="仿宋" w:hAnsi="仿宋" w:eastAsia="仿宋" w:cs="仿宋"/>
          <w:i/>
          <w:iCs/>
          <w:color w:val="0623BA"/>
          <w:sz w:val="24"/>
        </w:rPr>
        <w:t>1 采用自动跟踪型和手动调节型支架可提高系统的发电量。自动跟踪型支架还需配置包括太阳辐射测量设备、计算机控制的步进电机等自动跟踪系统。手动调节型支架经济可靠，适合于以月、季度为周期的调节系统；</w:t>
      </w:r>
    </w:p>
    <w:p w14:paraId="2DED74E4">
      <w:pPr>
        <w:pStyle w:val="2"/>
        <w:spacing w:line="300" w:lineRule="auto"/>
        <w:ind w:firstLine="480" w:firstLineChars="200"/>
        <w:rPr>
          <w:rFonts w:hint="eastAsia" w:ascii="仿宋" w:hAnsi="仿宋" w:eastAsia="仿宋" w:cs="仿宋"/>
          <w:i/>
          <w:iCs/>
          <w:color w:val="0623BA"/>
          <w:sz w:val="24"/>
        </w:rPr>
      </w:pPr>
      <w:r>
        <w:rPr>
          <w:rFonts w:ascii="仿宋" w:hAnsi="仿宋" w:eastAsia="仿宋" w:cs="仿宋"/>
          <w:i/>
          <w:iCs/>
          <w:color w:val="0623BA"/>
          <w:sz w:val="24"/>
        </w:rPr>
        <w:t>2 屋面上设置光伏方阵时，前排光伏组件的阴影不应影响后排光伏组件正常工作。另外，还应注意组件的日斑影响；</w:t>
      </w:r>
    </w:p>
    <w:p w14:paraId="084162F8">
      <w:pPr>
        <w:pStyle w:val="2"/>
        <w:spacing w:line="300" w:lineRule="auto"/>
        <w:ind w:firstLine="480" w:firstLineChars="200"/>
        <w:rPr>
          <w:rFonts w:hint="eastAsia" w:ascii="仿宋" w:hAnsi="仿宋" w:eastAsia="仿宋" w:cs="仿宋"/>
          <w:i/>
          <w:iCs/>
          <w:color w:val="0623BA"/>
          <w:sz w:val="24"/>
        </w:rPr>
      </w:pPr>
      <w:r>
        <w:rPr>
          <w:rFonts w:ascii="仿宋" w:hAnsi="仿宋" w:eastAsia="仿宋" w:cs="仿宋"/>
          <w:i/>
          <w:iCs/>
          <w:color w:val="0623BA"/>
          <w:sz w:val="24"/>
        </w:rPr>
        <w:t>3 在建筑屋面上安装光伏组件支架，应选择点式的基座形式，以利于屋面排水。特别要避免与屋面排水方向垂直的条形基座；</w:t>
      </w:r>
    </w:p>
    <w:p w14:paraId="089EA20D">
      <w:pPr>
        <w:pStyle w:val="2"/>
        <w:spacing w:line="300" w:lineRule="auto"/>
        <w:ind w:firstLine="480" w:firstLineChars="200"/>
        <w:rPr>
          <w:rFonts w:hint="eastAsia" w:ascii="仿宋" w:hAnsi="仿宋" w:eastAsia="仿宋" w:cs="仿宋"/>
          <w:i/>
          <w:iCs/>
          <w:color w:val="0623BA"/>
          <w:sz w:val="24"/>
        </w:rPr>
      </w:pPr>
      <w:r>
        <w:rPr>
          <w:rFonts w:ascii="仿宋" w:hAnsi="仿宋" w:eastAsia="仿宋" w:cs="仿宋"/>
          <w:i/>
          <w:iCs/>
          <w:color w:val="0623BA"/>
          <w:sz w:val="24"/>
        </w:rPr>
        <w:t>4 光伏组件基座与结构层相连时，防水层应包到支座和金属埋件的上部，形成较高的泛水，地脚螺栓周围缝隙容易渗水，应作密封处理；</w:t>
      </w:r>
    </w:p>
    <w:p w14:paraId="17635B16">
      <w:pPr>
        <w:pStyle w:val="2"/>
        <w:spacing w:line="300" w:lineRule="auto"/>
        <w:ind w:firstLine="480" w:firstLineChars="200"/>
        <w:rPr>
          <w:rFonts w:hint="eastAsia" w:ascii="仿宋" w:hAnsi="仿宋" w:eastAsia="仿宋" w:cs="仿宋"/>
          <w:i/>
          <w:iCs/>
          <w:color w:val="0623BA"/>
          <w:sz w:val="24"/>
        </w:rPr>
      </w:pPr>
      <w:r>
        <w:rPr>
          <w:rFonts w:ascii="仿宋" w:hAnsi="仿宋" w:eastAsia="仿宋" w:cs="仿宋"/>
          <w:i/>
          <w:iCs/>
          <w:color w:val="0623BA"/>
          <w:sz w:val="24"/>
        </w:rPr>
        <w:t>5 基座部位应做附加防水层。附加层宜空铺，空铺宽度不应小于200mm。为防止卷材防水层收头翘边，避免雨水从开口处渗入防水层下部，应按设计要求做好收头处理。卷材防水层应用压条钉压固定或用密封材料封严</w:t>
      </w:r>
      <w:r>
        <w:rPr>
          <w:rFonts w:hint="eastAsia" w:ascii="仿宋" w:hAnsi="仿宋" w:eastAsia="仿宋" w:cs="仿宋"/>
          <w:i/>
          <w:iCs/>
          <w:color w:val="0623BA"/>
          <w:sz w:val="24"/>
        </w:rPr>
        <w:t>。</w:t>
      </w:r>
    </w:p>
    <w:p w14:paraId="78DA6B93">
      <w:pPr>
        <w:snapToGrid w:val="0"/>
        <w:spacing w:line="300" w:lineRule="auto"/>
        <w:ind w:firstLine="0" w:firstLineChars="0"/>
        <w:jc w:val="left"/>
        <w:rPr>
          <w:sz w:val="24"/>
        </w:rPr>
      </w:pPr>
      <w:r>
        <w:rPr>
          <w:rFonts w:hint="default"/>
          <w:b/>
          <w:bCs/>
          <w:sz w:val="24"/>
          <w:lang w:val="en-US" w:eastAsia="zh-CN"/>
        </w:rPr>
        <w:t>9</w:t>
      </w:r>
      <w:r>
        <w:rPr>
          <w:b/>
          <w:bCs/>
          <w:sz w:val="24"/>
        </w:rPr>
        <w:t>.</w:t>
      </w:r>
      <w:r>
        <w:rPr>
          <w:rFonts w:hint="default"/>
          <w:b/>
          <w:bCs/>
          <w:sz w:val="24"/>
          <w:lang w:val="en-US" w:eastAsia="zh-CN"/>
        </w:rPr>
        <w:t>2</w:t>
      </w:r>
      <w:r>
        <w:rPr>
          <w:b/>
          <w:bCs/>
          <w:sz w:val="24"/>
        </w:rPr>
        <w:t>.</w:t>
      </w:r>
      <w:r>
        <w:rPr>
          <w:rFonts w:hint="default"/>
          <w:b/>
          <w:bCs/>
          <w:sz w:val="24"/>
          <w:lang w:val="en-US" w:eastAsia="zh-CN"/>
        </w:rPr>
        <w:t>3</w:t>
      </w:r>
      <w:r>
        <w:rPr>
          <w:sz w:val="24"/>
        </w:rPr>
        <w:t xml:space="preserve"> 当暴雨强度超出设计承受程度，发生淤寒或组件接线盒、接线端子浸泡等特殊情况时应有相应的应急处理设施，防止发生事故，保障建筑运行需求。</w:t>
      </w:r>
    </w:p>
    <w:p w14:paraId="19845B35">
      <w:pPr>
        <w:keepNext/>
        <w:keepLines/>
        <w:snapToGrid w:val="0"/>
        <w:spacing w:before="95" w:beforeLines="30" w:after="95" w:afterLines="30" w:line="300" w:lineRule="auto"/>
        <w:jc w:val="center"/>
        <w:outlineLvl w:val="2"/>
        <w:rPr>
          <w:b/>
          <w:sz w:val="24"/>
          <w:szCs w:val="32"/>
        </w:rPr>
      </w:pPr>
      <w:bookmarkStart w:id="318" w:name="_Toc16768"/>
      <w:bookmarkStart w:id="319" w:name="_Toc19327"/>
      <w:bookmarkStart w:id="320" w:name="_Toc11931"/>
      <w:bookmarkStart w:id="321" w:name="_Toc15613"/>
      <w:bookmarkStart w:id="322" w:name="_Toc26684"/>
      <w:bookmarkStart w:id="323" w:name="_Toc20100"/>
      <w:bookmarkStart w:id="324" w:name="_Toc13058"/>
      <w:bookmarkStart w:id="325" w:name="_Toc31500"/>
      <w:r>
        <w:rPr>
          <w:rFonts w:hint="default"/>
          <w:b/>
          <w:sz w:val="24"/>
          <w:szCs w:val="32"/>
          <w:lang w:val="en-US" w:eastAsia="zh-CN"/>
        </w:rPr>
        <w:t>9</w:t>
      </w:r>
      <w:r>
        <w:rPr>
          <w:rFonts w:hint="default"/>
          <w:b/>
          <w:sz w:val="24"/>
          <w:szCs w:val="32"/>
        </w:rPr>
        <w:t>.3 光伏水密性</w:t>
      </w:r>
      <w:bookmarkEnd w:id="318"/>
      <w:bookmarkEnd w:id="319"/>
      <w:bookmarkEnd w:id="320"/>
      <w:bookmarkEnd w:id="321"/>
      <w:bookmarkEnd w:id="322"/>
      <w:bookmarkEnd w:id="323"/>
      <w:bookmarkEnd w:id="324"/>
      <w:bookmarkEnd w:id="325"/>
    </w:p>
    <w:p w14:paraId="5DBB5F32">
      <w:pPr>
        <w:snapToGrid w:val="0"/>
        <w:spacing w:line="300" w:lineRule="auto"/>
        <w:jc w:val="left"/>
        <w:rPr>
          <w:sz w:val="24"/>
        </w:rPr>
      </w:pPr>
      <w:r>
        <w:rPr>
          <w:rFonts w:hint="eastAsia"/>
          <w:b/>
          <w:bCs/>
          <w:sz w:val="24"/>
          <w:lang w:val="en-US" w:eastAsia="zh-CN"/>
        </w:rPr>
        <w:t>9</w:t>
      </w:r>
      <w:r>
        <w:rPr>
          <w:b/>
          <w:bCs/>
          <w:sz w:val="24"/>
        </w:rPr>
        <w:t>.</w:t>
      </w:r>
      <w:r>
        <w:rPr>
          <w:rFonts w:hint="eastAsia"/>
          <w:b/>
          <w:bCs/>
          <w:sz w:val="24"/>
          <w:lang w:val="en-US" w:eastAsia="zh-CN"/>
        </w:rPr>
        <w:t>3.1</w:t>
      </w:r>
      <w:r>
        <w:rPr>
          <w:b/>
          <w:bCs/>
          <w:sz w:val="24"/>
        </w:rPr>
        <w:t xml:space="preserve"> </w:t>
      </w:r>
      <w:r>
        <w:rPr>
          <w:sz w:val="24"/>
        </w:rPr>
        <w:t>光伏建筑一体化设计时，应满足以下</w:t>
      </w:r>
      <w:r>
        <w:rPr>
          <w:rFonts w:hint="eastAsia"/>
          <w:sz w:val="24"/>
          <w:lang w:val="en-US" w:eastAsia="zh-CN"/>
        </w:rPr>
        <w:t>规定</w:t>
      </w:r>
      <w:r>
        <w:rPr>
          <w:sz w:val="24"/>
        </w:rPr>
        <w:t>：</w:t>
      </w:r>
    </w:p>
    <w:p w14:paraId="4E8C64A9">
      <w:pPr>
        <w:snapToGrid w:val="0"/>
        <w:spacing w:line="300" w:lineRule="auto"/>
        <w:ind w:firstLine="482" w:firstLineChars="200"/>
        <w:rPr>
          <w:sz w:val="24"/>
        </w:rPr>
      </w:pPr>
      <w:r>
        <w:rPr>
          <w:b/>
          <w:bCs/>
          <w:sz w:val="24"/>
        </w:rPr>
        <w:t xml:space="preserve">1 </w:t>
      </w:r>
      <w:r>
        <w:rPr>
          <w:sz w:val="24"/>
        </w:rPr>
        <w:t>承担防水功能的光伏采光顶，水密性能设计值不应低于150Pa。宜选择适当的结构单元进行水密性试验：系统设计时，宜考虑淋水试验要求并确定淋水试验的淋水量和淋水方向，参照GBT21086中给出的方法进行淋水试验；</w:t>
      </w:r>
    </w:p>
    <w:p w14:paraId="5AB6A6CF">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封闭式光伏幕墙的水密性设计值不应低于700Pa。宜选择适当的结构单元进行水密性试验并按照GB/T 21086的要求进行淋水试验。</w:t>
      </w:r>
    </w:p>
    <w:p w14:paraId="3888DD0F">
      <w:pPr>
        <w:widowControl/>
        <w:spacing w:line="300" w:lineRule="auto"/>
        <w:jc w:val="left"/>
        <w:rPr>
          <w:sz w:val="24"/>
        </w:rPr>
      </w:pPr>
      <w:r>
        <w:rPr>
          <w:sz w:val="24"/>
        </w:rPr>
        <w:br w:type="page"/>
      </w:r>
    </w:p>
    <w:p w14:paraId="0DD34A2E">
      <w:pPr>
        <w:pStyle w:val="5"/>
        <w:spacing w:before="95" w:beforeLines="30" w:after="95" w:afterLines="30" w:line="300" w:lineRule="auto"/>
        <w:jc w:val="center"/>
        <w:rPr>
          <w:rFonts w:ascii="Times New Roman" w:hAnsi="Times New Roman" w:eastAsia="黑体" w:cs="Times New Roman"/>
          <w:sz w:val="28"/>
          <w:szCs w:val="28"/>
        </w:rPr>
      </w:pPr>
      <w:bookmarkStart w:id="326" w:name="_Toc30232"/>
      <w:bookmarkStart w:id="327" w:name="_Toc16227"/>
      <w:bookmarkStart w:id="328" w:name="_Toc7022"/>
      <w:bookmarkStart w:id="329" w:name="_Toc22540"/>
      <w:bookmarkStart w:id="330" w:name="_Toc5396"/>
      <w:bookmarkStart w:id="331" w:name="_Toc31840"/>
      <w:bookmarkStart w:id="332" w:name="_Toc11502"/>
      <w:bookmarkStart w:id="333" w:name="_Toc32275"/>
      <w:r>
        <w:rPr>
          <w:rFonts w:ascii="Times New Roman" w:hAnsi="Times New Roman" w:eastAsia="黑体" w:cs="Times New Roman"/>
          <w:sz w:val="28"/>
          <w:szCs w:val="28"/>
        </w:rPr>
        <w:t>1</w:t>
      </w:r>
      <w:r>
        <w:rPr>
          <w:rFonts w:hint="default" w:ascii="Times New Roman" w:hAnsi="Times New Roman" w:eastAsia="黑体" w:cs="Times New Roman"/>
          <w:sz w:val="28"/>
          <w:szCs w:val="28"/>
          <w:lang w:val="en-US" w:eastAsia="zh-CN"/>
        </w:rPr>
        <w:t>0</w:t>
      </w:r>
      <w:r>
        <w:rPr>
          <w:rFonts w:ascii="Times New Roman" w:hAnsi="Times New Roman" w:eastAsia="黑体" w:cs="Times New Roman"/>
          <w:sz w:val="28"/>
          <w:szCs w:val="28"/>
        </w:rPr>
        <w:t xml:space="preserve"> 工程施工</w:t>
      </w:r>
      <w:bookmarkEnd w:id="326"/>
      <w:bookmarkEnd w:id="327"/>
      <w:bookmarkEnd w:id="328"/>
      <w:bookmarkEnd w:id="329"/>
      <w:bookmarkEnd w:id="330"/>
      <w:bookmarkEnd w:id="331"/>
      <w:bookmarkEnd w:id="332"/>
      <w:bookmarkEnd w:id="333"/>
    </w:p>
    <w:p w14:paraId="7ACE94BF">
      <w:pPr>
        <w:keepNext/>
        <w:keepLines/>
        <w:snapToGrid w:val="0"/>
        <w:spacing w:before="95" w:beforeLines="30" w:after="95" w:afterLines="30" w:line="300" w:lineRule="auto"/>
        <w:jc w:val="center"/>
        <w:outlineLvl w:val="2"/>
        <w:rPr>
          <w:b/>
          <w:sz w:val="24"/>
          <w:szCs w:val="32"/>
        </w:rPr>
      </w:pPr>
      <w:bookmarkStart w:id="334" w:name="_Toc14100"/>
      <w:bookmarkStart w:id="335" w:name="_Toc32633"/>
      <w:bookmarkStart w:id="336" w:name="_Toc19354"/>
      <w:bookmarkStart w:id="337" w:name="_Toc7053"/>
      <w:bookmarkStart w:id="338" w:name="_Toc23551"/>
      <w:bookmarkStart w:id="339" w:name="_Toc11752"/>
      <w:bookmarkStart w:id="340" w:name="_Toc28584"/>
      <w:bookmarkStart w:id="341" w:name="_Toc28395"/>
      <w:r>
        <w:rPr>
          <w:b/>
          <w:sz w:val="24"/>
          <w:szCs w:val="32"/>
        </w:rPr>
        <w:t>1</w:t>
      </w:r>
      <w:r>
        <w:rPr>
          <w:rFonts w:hint="default"/>
          <w:b/>
          <w:sz w:val="24"/>
          <w:szCs w:val="32"/>
          <w:lang w:val="en-US" w:eastAsia="zh-CN"/>
        </w:rPr>
        <w:t>0</w:t>
      </w:r>
      <w:r>
        <w:rPr>
          <w:b/>
          <w:sz w:val="24"/>
          <w:szCs w:val="32"/>
        </w:rPr>
        <w:t>.1一般规定</w:t>
      </w:r>
      <w:bookmarkEnd w:id="334"/>
      <w:bookmarkEnd w:id="335"/>
      <w:bookmarkEnd w:id="336"/>
      <w:bookmarkEnd w:id="337"/>
      <w:bookmarkEnd w:id="338"/>
      <w:bookmarkEnd w:id="339"/>
      <w:bookmarkEnd w:id="340"/>
      <w:bookmarkEnd w:id="341"/>
    </w:p>
    <w:p w14:paraId="4A7B9FE3">
      <w:pPr>
        <w:snapToGrid w:val="0"/>
        <w:spacing w:line="300" w:lineRule="auto"/>
        <w:jc w:val="left"/>
        <w:rPr>
          <w:rFonts w:hint="eastAsia" w:cs="Times New Roman"/>
          <w:sz w:val="24"/>
          <w:szCs w:val="24"/>
          <w:lang w:val="en-US" w:eastAsia="zh-CN"/>
        </w:rPr>
      </w:pPr>
      <w:r>
        <w:rPr>
          <w:b/>
          <w:bCs/>
          <w:sz w:val="24"/>
        </w:rPr>
        <w:t>1</w:t>
      </w:r>
      <w:r>
        <w:rPr>
          <w:rFonts w:hint="eastAsia"/>
          <w:b/>
          <w:bCs/>
          <w:sz w:val="24"/>
          <w:lang w:val="en-US" w:eastAsia="zh-CN"/>
        </w:rPr>
        <w:t>0</w:t>
      </w:r>
      <w:r>
        <w:rPr>
          <w:b/>
          <w:bCs/>
          <w:sz w:val="24"/>
        </w:rPr>
        <w:t>.1.1</w:t>
      </w:r>
      <w:r>
        <w:rPr>
          <w:rFonts w:hint="eastAsia"/>
          <w:b/>
          <w:bCs/>
          <w:sz w:val="24"/>
          <w:lang w:val="en-US" w:eastAsia="zh-CN"/>
        </w:rPr>
        <w:t xml:space="preserve"> </w:t>
      </w:r>
      <w:r>
        <w:rPr>
          <w:rFonts w:hint="eastAsia"/>
          <w:b w:val="0"/>
          <w:bCs w:val="0"/>
          <w:sz w:val="24"/>
          <w:lang w:val="en-US" w:eastAsia="zh-CN"/>
        </w:rPr>
        <w:t>工程施工前准备工作及条件应符</w:t>
      </w:r>
      <w:r>
        <w:rPr>
          <w:rFonts w:hint="eastAsia"/>
          <w:b w:val="0"/>
          <w:bCs w:val="0"/>
          <w:sz w:val="24"/>
          <w:highlight w:val="none"/>
          <w:lang w:val="en-US" w:eastAsia="zh-CN"/>
        </w:rPr>
        <w:t>合《</w:t>
      </w:r>
      <w:r>
        <w:rPr>
          <w:rFonts w:hint="eastAsia"/>
          <w:sz w:val="24"/>
          <w:highlight w:val="none"/>
        </w:rPr>
        <w:t>建筑光伏系统应用技术标准</w:t>
      </w:r>
      <w:r>
        <w:rPr>
          <w:rFonts w:hint="eastAsia"/>
          <w:b w:val="0"/>
          <w:bCs w:val="0"/>
          <w:sz w:val="24"/>
          <w:highlight w:val="none"/>
          <w:lang w:val="en-US" w:eastAsia="zh-CN"/>
        </w:rPr>
        <w:t>》GB</w:t>
      </w:r>
      <w:r>
        <w:rPr>
          <w:rFonts w:hint="eastAsia"/>
          <w:b w:val="0"/>
          <w:bCs w:val="0"/>
          <w:sz w:val="24"/>
          <w:lang w:val="en-US" w:eastAsia="zh-CN"/>
        </w:rPr>
        <w:t>/T 51368的有关规定。施工单位应结合工程自身特点，制定施工安全、职业健康管理方案和</w:t>
      </w:r>
      <w:r>
        <w:rPr>
          <w:rFonts w:hint="eastAsia" w:ascii="Times New Roman" w:hAnsi="Times New Roman" w:eastAsia="宋体" w:cs="Times New Roman"/>
          <w:b w:val="0"/>
          <w:bCs w:val="0"/>
          <w:i w:val="0"/>
          <w:iCs w:val="0"/>
          <w:color w:val="auto"/>
          <w:sz w:val="24"/>
          <w:szCs w:val="24"/>
        </w:rPr>
        <w:t>应急预案，室外工程应根据需要制定季节性施工措施，施工时应严格执行并应符合下</w:t>
      </w:r>
      <w:r>
        <w:rPr>
          <w:rFonts w:hint="eastAsia" w:cs="Times New Roman"/>
          <w:sz w:val="24"/>
          <w:szCs w:val="24"/>
          <w:lang w:val="en-US" w:eastAsia="zh-CN"/>
        </w:rPr>
        <w:t>列要求：</w:t>
      </w:r>
    </w:p>
    <w:p w14:paraId="6F41CAF6">
      <w:pPr>
        <w:snapToGrid w:val="0"/>
        <w:spacing w:line="300" w:lineRule="auto"/>
        <w:ind w:firstLine="482" w:firstLineChars="200"/>
        <w:jc w:val="left"/>
        <w:rPr>
          <w:rFonts w:hint="eastAsia" w:ascii="Times New Roman" w:hAnsi="Times New Roman" w:cs="Times New Roman"/>
          <w:b w:val="0"/>
          <w:bCs w:val="0"/>
          <w:i w:val="0"/>
          <w:iCs w:val="0"/>
          <w:color w:val="auto"/>
          <w:sz w:val="24"/>
          <w:szCs w:val="24"/>
          <w:lang w:eastAsia="zh-CN"/>
        </w:rPr>
      </w:pPr>
      <w:r>
        <w:rPr>
          <w:rFonts w:hint="eastAsia"/>
          <w:b/>
          <w:bCs/>
          <w:sz w:val="24"/>
          <w:lang w:val="en-US" w:eastAsia="zh-CN"/>
        </w:rPr>
        <w:t xml:space="preserve">1 </w:t>
      </w:r>
      <w:r>
        <w:rPr>
          <w:rFonts w:hint="eastAsia" w:ascii="Times New Roman" w:hAnsi="Times New Roman" w:eastAsia="宋体" w:cs="Times New Roman"/>
          <w:b w:val="0"/>
          <w:bCs w:val="0"/>
          <w:i w:val="0"/>
          <w:iCs w:val="0"/>
          <w:color w:val="auto"/>
          <w:sz w:val="24"/>
          <w:szCs w:val="24"/>
        </w:rPr>
        <w:t>施工作业人员必须按照国家规定经过专门的安全作业培训并取得特种作业操作资格证书后，方可上岗作业</w:t>
      </w:r>
      <w:r>
        <w:rPr>
          <w:rFonts w:hint="eastAsia" w:ascii="Times New Roman" w:hAnsi="Times New Roman" w:cs="Times New Roman"/>
          <w:b w:val="0"/>
          <w:bCs w:val="0"/>
          <w:i w:val="0"/>
          <w:iCs w:val="0"/>
          <w:color w:val="auto"/>
          <w:sz w:val="24"/>
          <w:szCs w:val="24"/>
          <w:lang w:eastAsia="zh-CN"/>
        </w:rPr>
        <w:t>；</w:t>
      </w:r>
    </w:p>
    <w:p w14:paraId="6B74894B">
      <w:pPr>
        <w:snapToGrid w:val="0"/>
        <w:spacing w:line="300" w:lineRule="auto"/>
        <w:ind w:firstLine="482" w:firstLineChars="200"/>
        <w:jc w:val="left"/>
        <w:rPr>
          <w:rFonts w:hint="eastAsia" w:eastAsia="宋体"/>
          <w:sz w:val="24"/>
          <w:lang w:eastAsia="zh-CN"/>
        </w:rPr>
      </w:pPr>
      <w:r>
        <w:rPr>
          <w:rFonts w:hint="eastAsia"/>
          <w:b/>
          <w:bCs/>
          <w:sz w:val="24"/>
          <w:lang w:val="en-US" w:eastAsia="zh-CN"/>
        </w:rPr>
        <w:t xml:space="preserve">2 </w:t>
      </w:r>
      <w:r>
        <w:rPr>
          <w:rFonts w:hint="eastAsia"/>
          <w:sz w:val="24"/>
        </w:rPr>
        <w:t>建筑节能工程采用的材料、构件和设备，应在施工进场进行随机抽样复验，复验应为见证取样检验。当复验结果不合格时，工程施工中不得使用</w:t>
      </w:r>
      <w:r>
        <w:rPr>
          <w:rFonts w:hint="eastAsia"/>
          <w:sz w:val="24"/>
          <w:lang w:eastAsia="zh-CN"/>
        </w:rPr>
        <w:t>；</w:t>
      </w:r>
    </w:p>
    <w:p w14:paraId="6585BD7B">
      <w:pPr>
        <w:spacing w:line="300" w:lineRule="auto"/>
        <w:ind w:firstLine="482" w:firstLineChars="200"/>
        <w:rPr>
          <w:rFonts w:hint="eastAsia" w:eastAsia="宋体"/>
          <w:sz w:val="24"/>
          <w:lang w:eastAsia="zh-CN"/>
        </w:rPr>
      </w:pPr>
      <w:r>
        <w:rPr>
          <w:rFonts w:hint="eastAsia" w:cs="Times New Roman"/>
          <w:b/>
          <w:bCs/>
          <w:i w:val="0"/>
          <w:iCs w:val="0"/>
          <w:sz w:val="24"/>
          <w:szCs w:val="24"/>
          <w:lang w:eastAsia="zh-CN"/>
        </w:rPr>
        <w:t>3</w:t>
      </w:r>
      <w:r>
        <w:rPr>
          <w:rFonts w:hint="eastAsia" w:ascii="Times New Roman" w:hAnsi="Times New Roman" w:eastAsia="宋体" w:cs="Times New Roman"/>
          <w:b/>
          <w:bCs/>
          <w:i w:val="0"/>
          <w:iCs w:val="0"/>
          <w:color w:val="auto"/>
          <w:sz w:val="24"/>
          <w:szCs w:val="24"/>
        </w:rPr>
        <w:t xml:space="preserve"> </w:t>
      </w:r>
      <w:r>
        <w:rPr>
          <w:sz w:val="24"/>
        </w:rPr>
        <w:t>电气设备以及钢筋、水泥等</w:t>
      </w:r>
      <w:r>
        <w:rPr>
          <w:rFonts w:hint="eastAsia"/>
          <w:sz w:val="24"/>
        </w:rPr>
        <w:t>材料应存放在干燥、通风场所。在屋顶、楼面的临时堆放应均匀、有序摆放，不得集中放置</w:t>
      </w:r>
      <w:r>
        <w:rPr>
          <w:rFonts w:hint="eastAsia"/>
          <w:sz w:val="24"/>
          <w:lang w:eastAsia="zh-CN"/>
        </w:rPr>
        <w:t>；</w:t>
      </w:r>
    </w:p>
    <w:p w14:paraId="1ECF771F">
      <w:pPr>
        <w:snapToGrid w:val="0"/>
        <w:spacing w:line="300" w:lineRule="auto"/>
        <w:ind w:firstLine="482" w:firstLineChars="200"/>
        <w:jc w:val="left"/>
        <w:rPr>
          <w:rFonts w:hint="eastAsia" w:ascii="Times New Roman" w:hAnsi="Times New Roman" w:eastAsia="宋体" w:cs="Times New Roman"/>
          <w:b w:val="0"/>
          <w:bCs w:val="0"/>
          <w:i w:val="0"/>
          <w:iCs w:val="0"/>
          <w:sz w:val="24"/>
          <w:szCs w:val="24"/>
          <w:lang w:eastAsia="zh-CN"/>
        </w:rPr>
      </w:pPr>
      <w:r>
        <w:rPr>
          <w:rFonts w:hint="eastAsia" w:cs="Times New Roman"/>
          <w:b/>
          <w:bCs/>
          <w:i w:val="0"/>
          <w:iCs w:val="0"/>
          <w:sz w:val="24"/>
          <w:szCs w:val="24"/>
          <w:lang w:val="en-US" w:eastAsia="zh-CN"/>
        </w:rPr>
        <w:t xml:space="preserve">4 </w:t>
      </w:r>
      <w:r>
        <w:rPr>
          <w:rFonts w:hint="eastAsia" w:ascii="Times New Roman" w:hAnsi="Times New Roman" w:eastAsia="宋体" w:cs="Times New Roman"/>
          <w:b w:val="0"/>
          <w:bCs w:val="0"/>
          <w:i w:val="0"/>
          <w:iCs w:val="0"/>
          <w:color w:val="auto"/>
          <w:sz w:val="24"/>
          <w:szCs w:val="24"/>
        </w:rPr>
        <w:t>施工现场临时用电应符合现行国家标准《建设工程施工现场供电安全规范》</w:t>
      </w:r>
      <w:r>
        <w:rPr>
          <w:rFonts w:hint="eastAsia" w:ascii="Times New Roman" w:hAnsi="Times New Roman" w:cs="Times New Roman"/>
          <w:b w:val="0"/>
          <w:bCs w:val="0"/>
          <w:i w:val="0"/>
          <w:iCs w:val="0"/>
          <w:color w:val="auto"/>
          <w:sz w:val="24"/>
          <w:szCs w:val="24"/>
          <w:lang w:val="en-US" w:eastAsia="zh-CN"/>
        </w:rPr>
        <w:t>GB50194</w:t>
      </w:r>
      <w:r>
        <w:rPr>
          <w:rFonts w:hint="eastAsia" w:ascii="Times New Roman" w:hAnsi="Times New Roman" w:eastAsia="宋体" w:cs="Times New Roman"/>
          <w:b w:val="0"/>
          <w:bCs w:val="0"/>
          <w:i w:val="0"/>
          <w:iCs w:val="0"/>
          <w:color w:val="auto"/>
          <w:sz w:val="24"/>
          <w:szCs w:val="24"/>
        </w:rPr>
        <w:t>和现行行业标准《建筑与市政工程施工现场临时用电安全技术标准》</w:t>
      </w:r>
      <w:r>
        <w:rPr>
          <w:rFonts w:hint="eastAsia" w:ascii="Times New Roman" w:hAnsi="Times New Roman" w:cs="Times New Roman"/>
          <w:b w:val="0"/>
          <w:bCs w:val="0"/>
          <w:i w:val="0"/>
          <w:iCs w:val="0"/>
          <w:color w:val="auto"/>
          <w:sz w:val="24"/>
          <w:szCs w:val="24"/>
          <w:lang w:val="en-US" w:eastAsia="zh-CN"/>
        </w:rPr>
        <w:t>JGJ46</w:t>
      </w:r>
      <w:r>
        <w:rPr>
          <w:rFonts w:hint="eastAsia" w:ascii="Times New Roman" w:hAnsi="Times New Roman" w:eastAsia="宋体" w:cs="Times New Roman"/>
          <w:b w:val="0"/>
          <w:bCs w:val="0"/>
          <w:i w:val="0"/>
          <w:iCs w:val="0"/>
          <w:color w:val="auto"/>
          <w:sz w:val="24"/>
          <w:szCs w:val="24"/>
        </w:rPr>
        <w:t>的有关规定并经验收合格后，方可使用</w:t>
      </w:r>
      <w:r>
        <w:rPr>
          <w:rFonts w:hint="eastAsia" w:cs="Times New Roman"/>
          <w:b w:val="0"/>
          <w:bCs w:val="0"/>
          <w:i w:val="0"/>
          <w:iCs w:val="0"/>
          <w:color w:val="auto"/>
          <w:sz w:val="24"/>
          <w:szCs w:val="24"/>
          <w:lang w:eastAsia="zh-CN"/>
        </w:rPr>
        <w:t>；</w:t>
      </w:r>
    </w:p>
    <w:p w14:paraId="525CEACD">
      <w:pPr>
        <w:snapToGrid w:val="0"/>
        <w:spacing w:line="300" w:lineRule="auto"/>
        <w:ind w:firstLine="482" w:firstLineChars="200"/>
        <w:jc w:val="left"/>
        <w:rPr>
          <w:rFonts w:hint="eastAsia" w:eastAsia="宋体"/>
          <w:sz w:val="24"/>
          <w:lang w:val="en-US" w:eastAsia="zh-CN"/>
        </w:rPr>
      </w:pPr>
      <w:r>
        <w:rPr>
          <w:rFonts w:hint="eastAsia" w:cs="Times New Roman"/>
          <w:b/>
          <w:bCs/>
          <w:i w:val="0"/>
          <w:iCs w:val="0"/>
          <w:sz w:val="24"/>
          <w:szCs w:val="24"/>
          <w:lang w:val="en-US" w:eastAsia="zh-CN"/>
        </w:rPr>
        <w:t>5</w:t>
      </w:r>
      <w:r>
        <w:rPr>
          <w:rFonts w:hint="eastAsia" w:ascii="Times New Roman" w:hAnsi="Times New Roman" w:eastAsia="宋体" w:cs="Times New Roman"/>
          <w:b/>
          <w:bCs/>
          <w:i w:val="0"/>
          <w:iCs w:val="0"/>
          <w:color w:val="auto"/>
          <w:sz w:val="24"/>
          <w:szCs w:val="24"/>
        </w:rPr>
        <w:t xml:space="preserve"> </w:t>
      </w:r>
      <w:r>
        <w:rPr>
          <w:rFonts w:hint="eastAsia" w:ascii="Times New Roman" w:hAnsi="Times New Roman" w:eastAsia="宋体" w:cs="Times New Roman"/>
          <w:b w:val="0"/>
          <w:bCs w:val="0"/>
          <w:i w:val="0"/>
          <w:iCs w:val="0"/>
          <w:color w:val="auto"/>
          <w:sz w:val="24"/>
          <w:szCs w:val="24"/>
        </w:rPr>
        <w:t>六级及以上大风、浓雾等恶劣天气应停止露天起重吊装和高处作业</w:t>
      </w:r>
      <w:r>
        <w:rPr>
          <w:rFonts w:hint="eastAsia" w:cs="Times New Roman"/>
          <w:sz w:val="24"/>
          <w:szCs w:val="24"/>
          <w:lang w:eastAsia="zh-CN"/>
        </w:rPr>
        <w:t>。</w:t>
      </w:r>
    </w:p>
    <w:p w14:paraId="22EFD9BD">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0C387B1">
      <w:pPr>
        <w:pStyle w:val="2"/>
        <w:spacing w:after="0" w:line="300" w:lineRule="auto"/>
        <w:ind w:firstLine="0" w:firstLineChars="0"/>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 xml:space="preserve">1 </w:t>
      </w:r>
      <w:r>
        <w:rPr>
          <w:rFonts w:hint="eastAsia" w:ascii="仿宋" w:hAnsi="仿宋" w:eastAsia="仿宋" w:cs="仿宋"/>
          <w:i/>
          <w:iCs/>
          <w:color w:val="0623BA"/>
          <w:sz w:val="24"/>
        </w:rPr>
        <w:t>建设部《房屋建筑工程和市政基础设施工程实行见证取样和送检的规定》</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建建〔2000〕</w:t>
      </w:r>
      <w:bookmarkStart w:id="583" w:name="_GoBack"/>
      <w:bookmarkEnd w:id="583"/>
      <w:r>
        <w:rPr>
          <w:rFonts w:hint="eastAsia" w:ascii="仿宋" w:hAnsi="仿宋" w:eastAsia="仿宋" w:cs="仿宋"/>
          <w:i/>
          <w:iCs/>
          <w:color w:val="0623BA"/>
          <w:sz w:val="24"/>
        </w:rPr>
        <w:t>211号</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文件规定，“重要的试验项目应实行见证取样和检验，以提高试验的真实性和公正性”《民用建筑节能条例》第十六条“施工单位应当对进入施工现场的墙体材料、保温材料、门窗、采暖制冷系统和照明设备进行查验;不符合施工图设计文件要求的，不得使用。”</w:t>
      </w:r>
    </w:p>
    <w:p w14:paraId="6870201B">
      <w:pPr>
        <w:pStyle w:val="2"/>
        <w:spacing w:after="0" w:line="300" w:lineRule="auto"/>
        <w:ind w:firstLine="480" w:firstLineChars="200"/>
        <w:rPr>
          <w:rFonts w:hint="eastAsia" w:ascii="仿宋" w:hAnsi="仿宋" w:eastAsia="仿宋" w:cs="仿宋"/>
          <w:i/>
          <w:iCs/>
          <w:color w:val="0623BA"/>
          <w:sz w:val="24"/>
          <w:lang w:val="en-US" w:eastAsia="zh-CN"/>
        </w:rPr>
      </w:pPr>
      <w:r>
        <w:rPr>
          <w:rFonts w:hint="eastAsia" w:ascii="仿宋" w:hAnsi="仿宋" w:eastAsia="仿宋" w:cs="仿宋"/>
          <w:i/>
          <w:iCs/>
          <w:color w:val="0623BA"/>
          <w:sz w:val="24"/>
        </w:rPr>
        <w:t>对于建筑节能效果影响较大的材料和设备应实施进场</w:t>
      </w:r>
      <w:r>
        <w:rPr>
          <w:rFonts w:hint="eastAsia" w:ascii="仿宋" w:hAnsi="仿宋" w:eastAsia="仿宋" w:cs="仿宋"/>
          <w:i/>
          <w:iCs/>
          <w:color w:val="0623BA"/>
          <w:sz w:val="24"/>
          <w:lang w:val="en-US" w:eastAsia="zh-CN"/>
        </w:rPr>
        <w:t>抽样复验</w:t>
      </w:r>
      <w:r>
        <w:rPr>
          <w:rFonts w:hint="eastAsia" w:ascii="仿宋" w:hAnsi="仿宋" w:eastAsia="仿宋" w:cs="仿宋"/>
          <w:i/>
          <w:iCs/>
          <w:color w:val="0623BA"/>
          <w:sz w:val="24"/>
        </w:rPr>
        <w:t>以验证其质量是否符合要求。</w:t>
      </w:r>
      <w:r>
        <w:rPr>
          <w:rFonts w:hint="eastAsia" w:ascii="仿宋" w:hAnsi="仿宋" w:eastAsia="仿宋" w:cs="仿宋"/>
          <w:i/>
          <w:iCs/>
          <w:color w:val="0623BA"/>
          <w:sz w:val="24"/>
          <w:lang w:val="en-US" w:eastAsia="zh-CN"/>
        </w:rPr>
        <w:t>现</w:t>
      </w:r>
      <w:r>
        <w:rPr>
          <w:rFonts w:hint="eastAsia" w:ascii="仿宋" w:hAnsi="仿宋" w:eastAsia="仿宋" w:cs="仿宋"/>
          <w:i/>
          <w:iCs/>
          <w:color w:val="0623BA"/>
          <w:sz w:val="24"/>
        </w:rPr>
        <w:t>场复验是对进</w:t>
      </w:r>
      <w:r>
        <w:rPr>
          <w:rFonts w:hint="eastAsia" w:ascii="仿宋" w:hAnsi="仿宋" w:eastAsia="仿宋" w:cs="仿宋"/>
          <w:i/>
          <w:iCs/>
          <w:color w:val="0623BA"/>
          <w:sz w:val="24"/>
          <w:lang w:val="en-US" w:eastAsia="zh-CN"/>
        </w:rPr>
        <w:t>入</w:t>
      </w:r>
      <w:r>
        <w:rPr>
          <w:rFonts w:hint="eastAsia" w:ascii="仿宋" w:hAnsi="仿宋" w:eastAsia="仿宋" w:cs="仿宋"/>
          <w:i/>
          <w:iCs/>
          <w:color w:val="0623BA"/>
          <w:sz w:val="24"/>
        </w:rPr>
        <w:t>施工现场的材料、设备等在进场验收</w:t>
      </w:r>
      <w:r>
        <w:rPr>
          <w:rFonts w:hint="eastAsia" w:ascii="仿宋" w:hAnsi="仿宋" w:eastAsia="仿宋" w:cs="仿宋"/>
          <w:i/>
          <w:iCs/>
          <w:color w:val="0623BA"/>
          <w:sz w:val="24"/>
          <w:lang w:val="en-US" w:eastAsia="zh-CN"/>
        </w:rPr>
        <w:t>合格</w:t>
      </w:r>
      <w:r>
        <w:rPr>
          <w:rFonts w:hint="eastAsia" w:ascii="仿宋" w:hAnsi="仿宋" w:eastAsia="仿宋" w:cs="仿宋"/>
          <w:i/>
          <w:iCs/>
          <w:color w:val="0623BA"/>
          <w:sz w:val="24"/>
        </w:rPr>
        <w:t>的基础上，按照有关规定从施工现场抽样送至实验室进行部分</w:t>
      </w:r>
      <w:r>
        <w:rPr>
          <w:rFonts w:hint="eastAsia" w:ascii="仿宋" w:hAnsi="仿宋" w:eastAsia="仿宋" w:cs="仿宋"/>
          <w:i/>
          <w:iCs/>
          <w:color w:val="0623BA"/>
          <w:sz w:val="24"/>
          <w:lang w:val="en-US" w:eastAsia="zh-CN"/>
        </w:rPr>
        <w:t>或全部</w:t>
      </w:r>
      <w:r>
        <w:rPr>
          <w:rFonts w:hint="eastAsia" w:ascii="仿宋" w:hAnsi="仿宋" w:eastAsia="仿宋" w:cs="仿宋"/>
          <w:i/>
          <w:iCs/>
          <w:color w:val="0623BA"/>
          <w:sz w:val="24"/>
        </w:rPr>
        <w:t>性能参数的检验</w:t>
      </w:r>
      <w:r>
        <w:rPr>
          <w:rFonts w:hint="eastAsia" w:ascii="仿宋" w:hAnsi="仿宋" w:eastAsia="仿宋" w:cs="仿宋"/>
          <w:i/>
          <w:iCs/>
          <w:color w:val="0623BA"/>
          <w:sz w:val="24"/>
          <w:lang w:val="en-US" w:eastAsia="zh-CN"/>
        </w:rPr>
        <w:t>并</w:t>
      </w:r>
      <w:r>
        <w:rPr>
          <w:rFonts w:hint="eastAsia" w:ascii="仿宋" w:hAnsi="仿宋" w:eastAsia="仿宋" w:cs="仿宋"/>
          <w:i/>
          <w:iCs/>
          <w:color w:val="0623BA"/>
          <w:sz w:val="24"/>
        </w:rPr>
        <w:t>应见证取样检验，即施工单位在</w:t>
      </w:r>
      <w:r>
        <w:rPr>
          <w:rFonts w:hint="eastAsia" w:ascii="仿宋" w:hAnsi="仿宋" w:eastAsia="仿宋" w:cs="仿宋"/>
          <w:i/>
          <w:iCs/>
          <w:color w:val="0623BA"/>
          <w:sz w:val="24"/>
          <w:lang w:val="en-US" w:eastAsia="zh-CN"/>
        </w:rPr>
        <w:t>监理</w:t>
      </w:r>
      <w:r>
        <w:rPr>
          <w:rFonts w:hint="eastAsia" w:ascii="仿宋" w:hAnsi="仿宋" w:eastAsia="仿宋" w:cs="仿宋"/>
          <w:i/>
          <w:iCs/>
          <w:color w:val="0623BA"/>
          <w:sz w:val="24"/>
        </w:rPr>
        <w:t>或建设单位见证下，按照有关规定从施工现场随机抽样，送至有相应资质的检测机构进行检测并应形成相应的复验报告</w:t>
      </w:r>
      <w:r>
        <w:rPr>
          <w:rFonts w:hint="eastAsia" w:ascii="仿宋" w:hAnsi="仿宋" w:eastAsia="仿宋" w:cs="仿宋"/>
          <w:i/>
          <w:iCs/>
          <w:color w:val="0623BA"/>
          <w:sz w:val="24"/>
          <w:lang w:eastAsia="zh-CN"/>
        </w:rPr>
        <w:t>。</w:t>
      </w:r>
    </w:p>
    <w:p w14:paraId="4B4EDEB1">
      <w:pPr>
        <w:pStyle w:val="2"/>
        <w:spacing w:after="0" w:line="300" w:lineRule="auto"/>
        <w:ind w:firstLine="480" w:firstLineChars="200"/>
        <w:rPr>
          <w:rFonts w:hint="eastAsia" w:ascii="仿宋" w:hAnsi="仿宋" w:eastAsia="仿宋" w:cs="仿宋"/>
          <w:i/>
          <w:iCs/>
          <w:color w:val="0623BA"/>
          <w:sz w:val="24"/>
        </w:rPr>
      </w:pPr>
      <w:r>
        <w:rPr>
          <w:rFonts w:hint="eastAsia" w:ascii="仿宋" w:hAnsi="仿宋" w:eastAsia="仿宋" w:cs="仿宋"/>
          <w:i/>
          <w:iCs/>
          <w:color w:val="0623BA"/>
          <w:sz w:val="24"/>
        </w:rPr>
        <w:t>由于抽样复验需要花费较多的时间和费用，故复验数量、频率和参数应控制到最少，主要针对那些直接影响节能效果的材料、设备的部分参数。当复验的结果出现不合格时，则该材料构件和设备不得使用。</w:t>
      </w:r>
    </w:p>
    <w:p w14:paraId="24731F6B">
      <w:pPr>
        <w:pStyle w:val="2"/>
        <w:spacing w:after="0" w:line="300" w:lineRule="auto"/>
        <w:ind w:firstLine="480" w:firstLineChars="200"/>
        <w:rPr>
          <w:rFonts w:hint="eastAsia" w:ascii="仿宋" w:hAnsi="仿宋" w:eastAsia="仿宋" w:cs="仿宋"/>
          <w:i/>
          <w:iCs/>
          <w:color w:val="0623BA"/>
          <w:sz w:val="24"/>
        </w:rPr>
      </w:pPr>
      <w:r>
        <w:rPr>
          <w:rFonts w:hint="eastAsia" w:ascii="仿宋" w:hAnsi="仿宋" w:eastAsia="仿宋" w:cs="仿宋"/>
          <w:i/>
          <w:iCs/>
          <w:color w:val="0623BA"/>
          <w:sz w:val="24"/>
        </w:rPr>
        <w:t>抽样方法、数量及复验要求应按现行国家标准《建筑节能工程施工质量验收标准》GB50411执行。</w:t>
      </w:r>
    </w:p>
    <w:p w14:paraId="6A7A336D">
      <w:pPr>
        <w:pStyle w:val="2"/>
        <w:spacing w:after="0" w:line="300" w:lineRule="auto"/>
        <w:ind w:firstLine="480" w:firstLineChars="200"/>
        <w:rPr>
          <w:rFonts w:hint="eastAsia" w:ascii="仿宋" w:hAnsi="仿宋" w:eastAsia="仿宋" w:cs="仿宋"/>
          <w:i/>
          <w:iCs/>
          <w:color w:val="0623BA"/>
          <w:sz w:val="24"/>
        </w:rPr>
      </w:pPr>
      <w:r>
        <w:rPr>
          <w:rFonts w:hint="eastAsia" w:ascii="仿宋" w:hAnsi="仿宋" w:eastAsia="仿宋" w:cs="仿宋"/>
          <w:i/>
          <w:iCs/>
          <w:color w:val="0623BA"/>
          <w:sz w:val="24"/>
        </w:rPr>
        <w:t>为防止已经验收合格的设备、构件和原材料在仓储过程中发生性能改变. 需要根据产品的性质来确定防雨、防潮、防刮、防撞、防锈等措施。</w:t>
      </w:r>
    </w:p>
    <w:p w14:paraId="7C9EB084">
      <w:pPr>
        <w:pStyle w:val="2"/>
        <w:spacing w:after="0" w:line="300" w:lineRule="auto"/>
        <w:ind w:firstLine="480" w:firstLineChars="200"/>
        <w:rPr>
          <w:rFonts w:hint="eastAsia" w:ascii="仿宋" w:hAnsi="仿宋" w:eastAsia="仿宋" w:cs="仿宋"/>
          <w:i/>
          <w:iCs/>
          <w:color w:val="0623BA"/>
          <w:sz w:val="24"/>
        </w:rPr>
      </w:pPr>
      <w:r>
        <w:rPr>
          <w:rFonts w:hint="eastAsia" w:ascii="仿宋" w:hAnsi="仿宋" w:eastAsia="仿宋" w:cs="仿宋"/>
          <w:i/>
          <w:iCs/>
          <w:color w:val="0623BA"/>
          <w:sz w:val="24"/>
        </w:rPr>
        <w:t>为避免在屋顶、楼面安装光伏发电系统时的施工荷载超过屋面的承载能力而对屋面造成破坏，本条规定施工所用的各类设备、构件和材料应均匀摆放，避免荷载集中且应根据施工工序，合理有序地安排设备、构件和材料的吊运，避免集中堆放。必要时，在设计阶段应验算屋顶在施工工况下的结构强度。</w:t>
      </w:r>
    </w:p>
    <w:p w14:paraId="3219BF1A">
      <w:pPr>
        <w:snapToGrid w:val="0"/>
        <w:spacing w:line="300" w:lineRule="auto"/>
        <w:ind w:firstLine="0" w:firstLineChars="0"/>
        <w:jc w:val="left"/>
        <w:rPr>
          <w:rFonts w:hint="eastAsia" w:ascii="宋体" w:hAnsi="宋体" w:cs="宋体"/>
          <w:sz w:val="24"/>
          <w:szCs w:val="24"/>
          <w:lang w:eastAsia="zh-CN"/>
        </w:rPr>
      </w:pPr>
      <w:r>
        <w:rPr>
          <w:rFonts w:hint="eastAsia" w:cs="Times New Roman"/>
          <w:b/>
          <w:bCs/>
          <w:i w:val="0"/>
          <w:iCs w:val="0"/>
          <w:sz w:val="24"/>
          <w:szCs w:val="24"/>
          <w:lang w:val="en-US" w:eastAsia="zh-CN"/>
        </w:rPr>
        <w:t>10.1.2</w:t>
      </w:r>
      <w:r>
        <w:rPr>
          <w:rFonts w:hint="eastAsia" w:ascii="Times New Roman" w:hAnsi="Times New Roman" w:cs="Times New Roman"/>
          <w:b/>
          <w:bCs/>
          <w:i w:val="0"/>
          <w:iCs w:val="0"/>
          <w:sz w:val="24"/>
          <w:szCs w:val="24"/>
          <w:lang w:val="en-US" w:eastAsia="zh-CN"/>
        </w:rPr>
        <w:t xml:space="preserve"> </w:t>
      </w:r>
      <w:r>
        <w:rPr>
          <w:rFonts w:hint="eastAsia" w:ascii="Times New Roman" w:hAnsi="Times New Roman"/>
          <w:b w:val="0"/>
          <w:bCs w:val="0"/>
          <w:sz w:val="24"/>
          <w:szCs w:val="24"/>
          <w:lang w:val="en-US" w:eastAsia="zh-CN"/>
        </w:rPr>
        <w:t>采用脚手架施工时，宜与主体结构施工用脚手架相结合。当需单独搭设脚手架时，应编制专项施工方案并应符合《建筑施工脚手架安全技术统一标准》GB51210等相关标准的规定。</w:t>
      </w:r>
    </w:p>
    <w:p w14:paraId="7C1ED89D">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C1F0DC0">
      <w:pPr>
        <w:pStyle w:val="2"/>
        <w:spacing w:line="300" w:lineRule="auto"/>
        <w:ind w:firstLine="0" w:firstLineChars="0"/>
        <w:rPr>
          <w:rFonts w:hint="eastAsia" w:ascii="仿宋" w:hAnsi="仿宋" w:eastAsia="仿宋" w:cs="仿宋"/>
          <w:b w:val="0"/>
          <w:bCs w:val="0"/>
          <w:i/>
          <w:iCs/>
          <w:color w:val="0623BA"/>
          <w:sz w:val="24"/>
          <w:szCs w:val="24"/>
        </w:rPr>
      </w:pPr>
      <w:r>
        <w:rPr>
          <w:rFonts w:hint="eastAsia" w:ascii="仿宋" w:hAnsi="仿宋" w:eastAsia="仿宋" w:cs="仿宋"/>
          <w:b w:val="0"/>
          <w:bCs w:val="0"/>
          <w:i/>
          <w:iCs/>
          <w:color w:val="0623BA"/>
          <w:sz w:val="24"/>
          <w:szCs w:val="24"/>
          <w:lang w:val="en-US" w:eastAsia="zh-CN"/>
        </w:rPr>
        <w:t>10.1.2</w:t>
      </w:r>
      <w:r>
        <w:rPr>
          <w:rFonts w:hint="eastAsia" w:ascii="仿宋" w:hAnsi="仿宋" w:eastAsia="仿宋" w:cs="仿宋"/>
          <w:b w:val="0"/>
          <w:bCs w:val="0"/>
          <w:i/>
          <w:iCs/>
          <w:color w:val="0623BA"/>
          <w:sz w:val="24"/>
          <w:szCs w:val="24"/>
        </w:rPr>
        <w:t>光伏发电系统施工时所需脚手架的搭设方式、脚手架与建筑主体结构之间的间隙，会根据项目设计的不同而有差异，与建筑主体结构施工时所需脚手架的要求也不尽相同。因此，采用脚手架进行光伏发电系统的安装时，须与土建施工单位协商制定脚手架方案。</w:t>
      </w:r>
    </w:p>
    <w:p w14:paraId="53E1761F">
      <w:pPr>
        <w:snapToGrid w:val="0"/>
        <w:spacing w:line="300" w:lineRule="auto"/>
        <w:ind w:firstLine="0" w:firstLineChars="0"/>
        <w:jc w:val="left"/>
        <w:rPr>
          <w:rFonts w:hint="default" w:ascii="Times New Roman" w:hAnsi="Times New Roman"/>
          <w:b w:val="0"/>
          <w:bCs w:val="0"/>
          <w:sz w:val="24"/>
          <w:szCs w:val="24"/>
          <w:lang w:val="en-US" w:eastAsia="zh-CN"/>
        </w:rPr>
      </w:pPr>
      <w:bookmarkStart w:id="342" w:name="_Toc10629"/>
      <w:r>
        <w:rPr>
          <w:rFonts w:hint="default" w:ascii="Times New Roman" w:hAnsi="Times New Roman"/>
          <w:b/>
          <w:bCs/>
          <w:sz w:val="24"/>
          <w:szCs w:val="24"/>
          <w:lang w:val="en-US" w:eastAsia="zh-CN"/>
        </w:rPr>
        <w:t xml:space="preserve">10.1.3 </w:t>
      </w:r>
      <w:r>
        <w:rPr>
          <w:rFonts w:hint="default" w:ascii="Times New Roman" w:hAnsi="Times New Roman"/>
          <w:b w:val="0"/>
          <w:bCs w:val="0"/>
          <w:sz w:val="24"/>
          <w:szCs w:val="24"/>
          <w:lang w:val="en-US" w:eastAsia="zh-CN"/>
        </w:rPr>
        <w:t>光伏组件的输出电缆不得发生非正常短路。连接完成或部分完成的建筑光伏系统，遇有光伏组件破裂的情况应及时设置限制接近的警示牌并由专业人员处置。</w:t>
      </w:r>
      <w:bookmarkEnd w:id="342"/>
    </w:p>
    <w:p w14:paraId="3CEFFCDE">
      <w:pPr>
        <w:snapToGrid w:val="0"/>
        <w:spacing w:line="300" w:lineRule="auto"/>
        <w:ind w:firstLine="0" w:firstLineChars="0"/>
        <w:jc w:val="left"/>
        <w:rPr>
          <w:rFonts w:hint="default" w:ascii="Times New Roman" w:hAnsi="Times New Roman" w:cs="Times New Roman"/>
          <w:b w:val="0"/>
          <w:bCs w:val="0"/>
          <w:i w:val="0"/>
          <w:iCs w:val="0"/>
          <w:sz w:val="24"/>
          <w:szCs w:val="24"/>
          <w:lang w:eastAsia="zh-CN"/>
        </w:rPr>
      </w:pPr>
      <w:bookmarkStart w:id="343" w:name="_Toc27526"/>
      <w:r>
        <w:rPr>
          <w:rFonts w:hint="default" w:ascii="Times New Roman" w:hAnsi="Times New Roman"/>
          <w:b/>
          <w:bCs/>
          <w:sz w:val="24"/>
          <w:szCs w:val="24"/>
          <w:lang w:val="en-US" w:eastAsia="zh-CN"/>
        </w:rPr>
        <w:t xml:space="preserve">10.1.4 </w:t>
      </w:r>
      <w:r>
        <w:rPr>
          <w:rFonts w:ascii="Times New Roman" w:hAnsi="Times New Roman" w:eastAsia="宋体" w:cs="Times New Roman"/>
          <w:b w:val="0"/>
          <w:bCs w:val="0"/>
          <w:i w:val="0"/>
          <w:iCs w:val="0"/>
          <w:sz w:val="24"/>
          <w:szCs w:val="24"/>
        </w:rPr>
        <w:t>在坡度大于</w:t>
      </w:r>
      <w:r>
        <w:rPr>
          <w:rFonts w:hint="default" w:ascii="Times New Roman" w:hAnsi="Times New Roman" w:cs="Times New Roman"/>
          <w:b w:val="0"/>
          <w:bCs w:val="0"/>
          <w:i w:val="0"/>
          <w:iCs w:val="0"/>
          <w:sz w:val="24"/>
          <w:szCs w:val="24"/>
          <w:lang w:val="en-US" w:eastAsia="zh-CN"/>
        </w:rPr>
        <w:t>10</w:t>
      </w:r>
      <w:r>
        <w:rPr>
          <w:rFonts w:hint="default" w:ascii="Times New Roman" w:hAnsi="Times New Roman" w:eastAsia="宋体" w:cs="Times New Roman"/>
          <w:b w:val="0"/>
          <w:bCs w:val="0"/>
          <w:i w:val="0"/>
          <w:iCs w:val="0"/>
          <w:sz w:val="24"/>
          <w:szCs w:val="24"/>
          <w:vertAlign w:val="superscript"/>
          <w:lang w:val="en-US" w:eastAsia="zh-CN"/>
        </w:rPr>
        <w:t>￮</w:t>
      </w:r>
      <w:r>
        <w:rPr>
          <w:rFonts w:ascii="Times New Roman" w:hAnsi="Times New Roman" w:eastAsia="宋体" w:cs="Times New Roman"/>
          <w:b w:val="0"/>
          <w:bCs w:val="0"/>
          <w:i w:val="0"/>
          <w:iCs w:val="0"/>
          <w:sz w:val="24"/>
          <w:szCs w:val="24"/>
        </w:rPr>
        <w:t>的坡屋面上安装施工时，应设置专用踏脚板</w:t>
      </w:r>
      <w:r>
        <w:rPr>
          <w:rFonts w:hint="default" w:ascii="Times New Roman" w:hAnsi="Times New Roman" w:cs="Times New Roman"/>
          <w:b w:val="0"/>
          <w:bCs w:val="0"/>
          <w:i w:val="0"/>
          <w:iCs w:val="0"/>
          <w:sz w:val="24"/>
          <w:szCs w:val="24"/>
          <w:lang w:eastAsia="zh-CN"/>
        </w:rPr>
        <w:t>。</w:t>
      </w:r>
      <w:bookmarkEnd w:id="343"/>
    </w:p>
    <w:p w14:paraId="0DF02258">
      <w:pPr>
        <w:snapToGrid w:val="0"/>
        <w:spacing w:line="300" w:lineRule="auto"/>
        <w:ind w:firstLine="0" w:firstLineChars="0"/>
        <w:jc w:val="left"/>
        <w:rPr>
          <w:rFonts w:hint="default" w:ascii="Times New Roman" w:hAnsi="Times New Roman" w:eastAsia="宋体" w:cs="Times New Roman"/>
          <w:b w:val="0"/>
          <w:bCs w:val="0"/>
          <w:sz w:val="24"/>
          <w:szCs w:val="24"/>
          <w:lang w:val="en-US" w:eastAsia="zh-CN"/>
        </w:rPr>
      </w:pPr>
      <w:bookmarkStart w:id="344" w:name="_Toc14966"/>
      <w:r>
        <w:rPr>
          <w:rFonts w:hint="default" w:ascii="Times New Roman" w:hAnsi="Times New Roman"/>
          <w:b/>
          <w:bCs/>
          <w:sz w:val="24"/>
          <w:szCs w:val="24"/>
          <w:lang w:val="en-US" w:eastAsia="zh-CN"/>
        </w:rPr>
        <w:t xml:space="preserve">10.1.5 </w:t>
      </w:r>
      <w:r>
        <w:rPr>
          <w:rFonts w:hint="default" w:ascii="Times New Roman" w:hAnsi="Times New Roman" w:eastAsia="宋体" w:cs="Times New Roman"/>
          <w:b w:val="0"/>
          <w:bCs w:val="0"/>
          <w:sz w:val="24"/>
          <w:szCs w:val="24"/>
          <w:lang w:val="en-US" w:eastAsia="zh-CN"/>
        </w:rPr>
        <w:t>连接无断弧功能的开关时</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不</w:t>
      </w:r>
      <w:r>
        <w:rPr>
          <w:rFonts w:hint="eastAsia" w:cs="Times New Roman"/>
          <w:b w:val="0"/>
          <w:bCs w:val="0"/>
          <w:sz w:val="24"/>
          <w:szCs w:val="24"/>
          <w:lang w:val="en-US" w:eastAsia="zh-CN"/>
        </w:rPr>
        <w:t>应</w:t>
      </w:r>
      <w:r>
        <w:rPr>
          <w:rFonts w:hint="default" w:ascii="Times New Roman" w:hAnsi="Times New Roman" w:eastAsia="宋体" w:cs="Times New Roman"/>
          <w:b w:val="0"/>
          <w:bCs w:val="0"/>
          <w:sz w:val="24"/>
          <w:szCs w:val="24"/>
          <w:lang w:val="en-US" w:eastAsia="zh-CN"/>
        </w:rPr>
        <w:t>在有负荷或能够形成低阻回路的情况下接通或断开</w:t>
      </w:r>
      <w:r>
        <w:rPr>
          <w:rFonts w:hint="default" w:ascii="Times New Roman" w:hAnsi="Times New Roman" w:cs="Times New Roman"/>
          <w:b w:val="0"/>
          <w:bCs w:val="0"/>
          <w:sz w:val="24"/>
          <w:szCs w:val="24"/>
          <w:lang w:val="en-US" w:eastAsia="zh-CN"/>
        </w:rPr>
        <w:t>。</w:t>
      </w:r>
      <w:bookmarkEnd w:id="344"/>
    </w:p>
    <w:p w14:paraId="627E1F91">
      <w:pPr>
        <w:snapToGrid w:val="0"/>
        <w:spacing w:line="300" w:lineRule="auto"/>
        <w:jc w:val="left"/>
        <w:rPr>
          <w:sz w:val="24"/>
        </w:rPr>
      </w:pPr>
      <w:r>
        <w:rPr>
          <w:b/>
          <w:bCs/>
          <w:sz w:val="24"/>
        </w:rPr>
        <w:t>1</w:t>
      </w:r>
      <w:r>
        <w:rPr>
          <w:rFonts w:hint="eastAsia"/>
          <w:b/>
          <w:bCs/>
          <w:sz w:val="24"/>
          <w:lang w:val="en-US" w:eastAsia="zh-CN"/>
        </w:rPr>
        <w:t>0</w:t>
      </w:r>
      <w:r>
        <w:rPr>
          <w:b/>
          <w:bCs/>
          <w:sz w:val="24"/>
        </w:rPr>
        <w:t>.1.</w:t>
      </w:r>
      <w:r>
        <w:rPr>
          <w:rFonts w:hint="eastAsia"/>
          <w:b/>
          <w:bCs/>
          <w:sz w:val="24"/>
          <w:lang w:val="en-US" w:eastAsia="zh-CN"/>
        </w:rPr>
        <w:t>6</w:t>
      </w:r>
      <w:r>
        <w:rPr>
          <w:rFonts w:hint="eastAsia"/>
          <w:sz w:val="24"/>
        </w:rPr>
        <w:t xml:space="preserve"> </w:t>
      </w:r>
      <w:r>
        <w:rPr>
          <w:sz w:val="24"/>
        </w:rPr>
        <w:t>安装建筑光伏系统的建筑主体结构应完成验收。</w:t>
      </w:r>
    </w:p>
    <w:p w14:paraId="4839E95F">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7AE6D52">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6</w:t>
      </w:r>
      <w:r>
        <w:rPr>
          <w:rFonts w:hint="eastAsia" w:ascii="仿宋" w:hAnsi="仿宋" w:eastAsia="仿宋" w:cs="仿宋"/>
          <w:i/>
          <w:iCs/>
          <w:color w:val="0623BA"/>
          <w:sz w:val="24"/>
        </w:rPr>
        <w:t xml:space="preserve"> 安装建筑光伏系统的建筑主体结构，应完成验收。一方面是保证建筑光伏发电的系统安装施工和运行的安全，另一方面是避免新建建筑物在光伏发电系统安装结束后验收不便。现行常用的主体结构验收国家规范有《建筑工程施工质量验收统一标准》GB 50300、《砌体结构工程质量验收规范》GB 50203、《混凝土结构工程施工质量验收规范》GB 50204、《钢结构工程施工质量验收 标准》GB 50205、《屋面工程质量验收规范》GB50207等。</w:t>
      </w:r>
    </w:p>
    <w:p w14:paraId="6991AF7B">
      <w:pPr>
        <w:pStyle w:val="2"/>
        <w:spacing w:after="0" w:line="300" w:lineRule="auto"/>
      </w:pPr>
      <w:r>
        <w:rPr>
          <w:b/>
          <w:bCs/>
          <w:sz w:val="24"/>
        </w:rPr>
        <w:t>1</w:t>
      </w:r>
      <w:r>
        <w:rPr>
          <w:rFonts w:hint="eastAsia"/>
          <w:b/>
          <w:bCs/>
          <w:sz w:val="24"/>
          <w:lang w:val="en-US" w:eastAsia="zh-CN"/>
        </w:rPr>
        <w:t>0</w:t>
      </w:r>
      <w:r>
        <w:rPr>
          <w:b/>
          <w:bCs/>
          <w:sz w:val="24"/>
        </w:rPr>
        <w:t>.1.</w:t>
      </w:r>
      <w:r>
        <w:rPr>
          <w:rFonts w:hint="eastAsia"/>
          <w:b/>
          <w:bCs/>
          <w:sz w:val="24"/>
          <w:lang w:val="en-US" w:eastAsia="zh-CN"/>
        </w:rPr>
        <w:t>7</w:t>
      </w:r>
      <w:r>
        <w:rPr>
          <w:rFonts w:hint="eastAsia"/>
          <w:sz w:val="24"/>
        </w:rPr>
        <w:t xml:space="preserve"> </w:t>
      </w:r>
      <w:r>
        <w:rPr>
          <w:sz w:val="24"/>
        </w:rPr>
        <w:t>测量</w:t>
      </w:r>
      <w:r>
        <w:rPr>
          <w:sz w:val="24"/>
          <w:highlight w:val="none"/>
        </w:rPr>
        <w:t>放线工作除应符合现行国家标准《工程测量规范》GB50026的有关规定外，尚应符合</w:t>
      </w:r>
      <w:r>
        <w:rPr>
          <w:rFonts w:hint="eastAsia"/>
          <w:b w:val="0"/>
          <w:bCs w:val="0"/>
          <w:sz w:val="24"/>
          <w:highlight w:val="none"/>
          <w:lang w:val="en-US" w:eastAsia="zh-CN"/>
        </w:rPr>
        <w:t>《</w:t>
      </w:r>
      <w:r>
        <w:rPr>
          <w:rFonts w:hint="eastAsia"/>
          <w:sz w:val="24"/>
          <w:highlight w:val="none"/>
        </w:rPr>
        <w:t>建筑光伏系统应用技术标准</w:t>
      </w:r>
      <w:r>
        <w:rPr>
          <w:rFonts w:hint="eastAsia"/>
          <w:b w:val="0"/>
          <w:bCs w:val="0"/>
          <w:sz w:val="24"/>
          <w:highlight w:val="none"/>
          <w:lang w:val="en-US" w:eastAsia="zh-CN"/>
        </w:rPr>
        <w:t>》GB/T 513</w:t>
      </w:r>
      <w:r>
        <w:rPr>
          <w:rFonts w:hint="eastAsia"/>
          <w:b w:val="0"/>
          <w:bCs w:val="0"/>
          <w:sz w:val="24"/>
          <w:lang w:val="en-US" w:eastAsia="zh-CN"/>
        </w:rPr>
        <w:t>68的有关规定。</w:t>
      </w:r>
    </w:p>
    <w:p w14:paraId="66EE961D">
      <w:pPr>
        <w:snapToGrid w:val="0"/>
        <w:spacing w:line="300" w:lineRule="auto"/>
        <w:jc w:val="left"/>
        <w:rPr>
          <w:sz w:val="24"/>
        </w:rPr>
      </w:pPr>
      <w:r>
        <w:rPr>
          <w:b/>
          <w:bCs/>
          <w:sz w:val="24"/>
        </w:rPr>
        <w:t>1</w:t>
      </w:r>
      <w:r>
        <w:rPr>
          <w:rFonts w:hint="eastAsia"/>
          <w:b/>
          <w:bCs/>
          <w:sz w:val="24"/>
          <w:lang w:val="en-US" w:eastAsia="zh-CN"/>
        </w:rPr>
        <w:t>0</w:t>
      </w:r>
      <w:r>
        <w:rPr>
          <w:b/>
          <w:bCs/>
          <w:sz w:val="24"/>
        </w:rPr>
        <w:t>.1.</w:t>
      </w:r>
      <w:r>
        <w:rPr>
          <w:rFonts w:hint="eastAsia"/>
          <w:b/>
          <w:bCs/>
          <w:sz w:val="24"/>
          <w:lang w:val="en-US" w:eastAsia="zh-CN"/>
        </w:rPr>
        <w:t>8</w:t>
      </w:r>
      <w:r>
        <w:rPr>
          <w:rFonts w:hint="eastAsia"/>
          <w:sz w:val="24"/>
        </w:rPr>
        <w:t xml:space="preserve"> </w:t>
      </w:r>
      <w:r>
        <w:rPr>
          <w:sz w:val="24"/>
        </w:rPr>
        <w:t>已经安装完成的建筑光伏系统的构件和设备，应采取</w:t>
      </w:r>
      <w:r>
        <w:rPr>
          <w:rFonts w:hint="eastAsia"/>
          <w:sz w:val="24"/>
          <w:lang w:val="en-US" w:eastAsia="zh-CN"/>
        </w:rPr>
        <w:t>覆盖等</w:t>
      </w:r>
      <w:r>
        <w:rPr>
          <w:sz w:val="24"/>
        </w:rPr>
        <w:t>保护措施</w:t>
      </w:r>
      <w:r>
        <w:rPr>
          <w:rFonts w:hint="eastAsia"/>
          <w:sz w:val="24"/>
          <w:lang w:eastAsia="zh-CN"/>
        </w:rPr>
        <w:t>，</w:t>
      </w:r>
      <w:r>
        <w:rPr>
          <w:rFonts w:hint="eastAsia"/>
          <w:sz w:val="24"/>
          <w:szCs w:val="24"/>
        </w:rPr>
        <w:t>线路连接</w:t>
      </w:r>
      <w:r>
        <w:rPr>
          <w:rFonts w:hint="eastAsia"/>
          <w:sz w:val="24"/>
          <w:szCs w:val="24"/>
          <w:lang w:val="en-US" w:eastAsia="zh-CN"/>
        </w:rPr>
        <w:t>要逐一</w:t>
      </w:r>
      <w:r>
        <w:rPr>
          <w:rFonts w:hint="eastAsia"/>
          <w:sz w:val="24"/>
          <w:szCs w:val="24"/>
        </w:rPr>
        <w:t>检查</w:t>
      </w:r>
      <w:r>
        <w:rPr>
          <w:rFonts w:hint="eastAsia"/>
          <w:sz w:val="24"/>
          <w:szCs w:val="24"/>
          <w:lang w:val="en-US" w:eastAsia="zh-CN"/>
        </w:rPr>
        <w:t>合格后</w:t>
      </w:r>
      <w:r>
        <w:rPr>
          <w:rFonts w:hint="eastAsia"/>
          <w:sz w:val="24"/>
          <w:szCs w:val="24"/>
        </w:rPr>
        <w:t>，再</w:t>
      </w:r>
      <w:r>
        <w:rPr>
          <w:rFonts w:hint="eastAsia"/>
          <w:sz w:val="24"/>
          <w:szCs w:val="24"/>
          <w:lang w:val="en-US" w:eastAsia="zh-CN"/>
        </w:rPr>
        <w:t>撤掉保护措施，</w:t>
      </w:r>
      <w:r>
        <w:rPr>
          <w:rFonts w:hint="eastAsia"/>
          <w:sz w:val="24"/>
        </w:rPr>
        <w:t>光伏组件支架、电缆支架应有可靠接地并应符合现行国家标准《电气装置安装工程 接地装置施工及验收规范》GB 50169 的规定。</w:t>
      </w:r>
    </w:p>
    <w:p w14:paraId="1337F232">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F43B8CF">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 xml:space="preserve">10.1.8 </w:t>
      </w:r>
      <w:r>
        <w:rPr>
          <w:rFonts w:ascii="仿宋" w:hAnsi="仿宋" w:eastAsia="仿宋" w:cs="仿宋"/>
          <w:i/>
          <w:iCs/>
          <w:color w:val="0623BA"/>
          <w:sz w:val="24"/>
        </w:rPr>
        <w:t>在光伏系统的汇流箱、接线盒等处设有注明“当汇流箱从光伏逆变器断开后，汇流箱内的器件仍有可能带电”或相似内容文字。</w:t>
      </w:r>
    </w:p>
    <w:p w14:paraId="314B47B7">
      <w:pPr>
        <w:snapToGrid w:val="0"/>
        <w:spacing w:line="300" w:lineRule="auto"/>
        <w:jc w:val="left"/>
        <w:rPr>
          <w:sz w:val="24"/>
        </w:rPr>
      </w:pPr>
      <w:r>
        <w:rPr>
          <w:rFonts w:hint="eastAsia"/>
          <w:b/>
          <w:bCs/>
          <w:sz w:val="24"/>
        </w:rPr>
        <w:t>1</w:t>
      </w:r>
      <w:r>
        <w:rPr>
          <w:rFonts w:hint="eastAsia"/>
          <w:b/>
          <w:bCs/>
          <w:sz w:val="24"/>
          <w:lang w:val="en-US" w:eastAsia="zh-CN"/>
        </w:rPr>
        <w:t>0</w:t>
      </w:r>
      <w:r>
        <w:rPr>
          <w:rFonts w:hint="eastAsia"/>
          <w:b/>
          <w:bCs/>
          <w:sz w:val="24"/>
        </w:rPr>
        <w:t>.1.</w:t>
      </w:r>
      <w:r>
        <w:rPr>
          <w:rFonts w:hint="eastAsia"/>
          <w:b/>
          <w:bCs/>
          <w:sz w:val="24"/>
          <w:lang w:val="en-US" w:eastAsia="zh-CN"/>
        </w:rPr>
        <w:t>9</w:t>
      </w:r>
      <w:r>
        <w:rPr>
          <w:rFonts w:hint="eastAsia"/>
          <w:sz w:val="24"/>
        </w:rPr>
        <w:t xml:space="preserve"> 光伏方阵处应设警告标识并应按设计要求可靠地固定在支架或连接件上。系统、方阵和组件串等的所有汇流箱、接线盒均应设带电警示标签。</w:t>
      </w:r>
    </w:p>
    <w:p w14:paraId="5376849A">
      <w:pPr>
        <w:snapToGrid w:val="0"/>
        <w:spacing w:line="300" w:lineRule="auto"/>
        <w:jc w:val="left"/>
        <w:rPr>
          <w:rFonts w:hint="eastAsia" w:eastAsia="宋体"/>
          <w:sz w:val="24"/>
          <w:lang w:val="en-US" w:eastAsia="zh-CN"/>
        </w:rPr>
      </w:pPr>
      <w:r>
        <w:rPr>
          <w:b/>
          <w:bCs/>
          <w:sz w:val="24"/>
        </w:rPr>
        <w:t>1</w:t>
      </w:r>
      <w:r>
        <w:rPr>
          <w:rFonts w:hint="eastAsia"/>
          <w:b/>
          <w:bCs/>
          <w:sz w:val="24"/>
          <w:lang w:val="en-US" w:eastAsia="zh-CN"/>
        </w:rPr>
        <w:t>0</w:t>
      </w:r>
      <w:r>
        <w:rPr>
          <w:b/>
          <w:bCs/>
          <w:sz w:val="24"/>
        </w:rPr>
        <w:t>.1.</w:t>
      </w:r>
      <w:r>
        <w:rPr>
          <w:rFonts w:hint="eastAsia"/>
          <w:b/>
          <w:bCs/>
          <w:sz w:val="24"/>
          <w:lang w:val="en-US" w:eastAsia="zh-CN"/>
        </w:rPr>
        <w:t>10</w:t>
      </w:r>
      <w:r>
        <w:rPr>
          <w:sz w:val="24"/>
        </w:rPr>
        <w:t xml:space="preserve"> </w:t>
      </w:r>
      <w:r>
        <w:rPr>
          <w:rFonts w:hint="eastAsia"/>
          <w:sz w:val="24"/>
        </w:rPr>
        <w:t>光伏系统的电气装置安装应符合现行国家标准《建筑电气工程施工质量验收规范》GB 50303 的规定。电缆线路施工应符合现行国家标准《电气装置安装工程 电缆线路施工及验收标准》GB 50168的规定</w:t>
      </w:r>
      <w:r>
        <w:rPr>
          <w:rFonts w:hint="eastAsia"/>
          <w:sz w:val="24"/>
          <w:lang w:eastAsia="zh-CN"/>
        </w:rPr>
        <w:t>。</w:t>
      </w:r>
    </w:p>
    <w:p w14:paraId="5DA1B90F">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A688B2B">
      <w:pPr>
        <w:pStyle w:val="2"/>
        <w:spacing w:line="300" w:lineRule="auto"/>
        <w:ind w:firstLine="0" w:firstLineChars="0"/>
        <w:rPr>
          <w:rFonts w:hint="eastAsia" w:ascii="仿宋" w:hAnsi="仿宋" w:eastAsia="仿宋" w:cs="仿宋"/>
          <w:i/>
          <w:iCs/>
          <w:color w:val="0623BA"/>
          <w:sz w:val="24"/>
        </w:rPr>
      </w:pPr>
      <w:r>
        <w:rPr>
          <w:rFonts w:hint="eastAsia" w:ascii="仿宋" w:hAnsi="仿宋" w:eastAsia="仿宋" w:cs="仿宋"/>
          <w:b w:val="0"/>
          <w:bCs w:val="0"/>
          <w:i/>
          <w:iCs/>
          <w:color w:val="0623BA"/>
          <w:sz w:val="24"/>
        </w:rPr>
        <w:t>1</w:t>
      </w:r>
      <w:r>
        <w:rPr>
          <w:rFonts w:hint="eastAsia" w:ascii="仿宋" w:hAnsi="仿宋" w:eastAsia="仿宋" w:cs="仿宋"/>
          <w:b w:val="0"/>
          <w:bCs w:val="0"/>
          <w:i/>
          <w:iCs/>
          <w:color w:val="0623BA"/>
          <w:sz w:val="24"/>
          <w:lang w:val="en-US" w:eastAsia="zh-CN"/>
        </w:rPr>
        <w:t>0</w:t>
      </w:r>
      <w:r>
        <w:rPr>
          <w:rFonts w:hint="eastAsia" w:ascii="仿宋" w:hAnsi="仿宋" w:eastAsia="仿宋" w:cs="仿宋"/>
          <w:b w:val="0"/>
          <w:bCs w:val="0"/>
          <w:i/>
          <w:iCs/>
          <w:color w:val="0623BA"/>
          <w:sz w:val="24"/>
        </w:rPr>
        <w:t>.1.</w:t>
      </w:r>
      <w:r>
        <w:rPr>
          <w:rFonts w:hint="eastAsia" w:ascii="仿宋" w:hAnsi="仿宋" w:eastAsia="仿宋" w:cs="仿宋"/>
          <w:b w:val="0"/>
          <w:bCs w:val="0"/>
          <w:i/>
          <w:iCs/>
          <w:color w:val="0623BA"/>
          <w:sz w:val="24"/>
          <w:lang w:val="en-US" w:eastAsia="zh-CN"/>
        </w:rPr>
        <w:t>10</w:t>
      </w:r>
      <w:r>
        <w:rPr>
          <w:rFonts w:hint="eastAsia" w:ascii="仿宋" w:hAnsi="仿宋" w:eastAsia="仿宋" w:cs="仿宋"/>
          <w:i/>
          <w:iCs/>
          <w:color w:val="0623BA"/>
          <w:sz w:val="24"/>
        </w:rPr>
        <w:t xml:space="preserve"> 应特别注意极性不能接错。导线电缆连接不能太紧，需留有余量，以免冬天温度降低时形成接触不良，甚至拉断电缆。方阵输出的正、负极和接地线需用不同颜色的导线电缆连接，以免混淆极性，造成事故。</w:t>
      </w:r>
    </w:p>
    <w:p w14:paraId="5E98FE79">
      <w:pPr>
        <w:snapToGrid w:val="0"/>
        <w:spacing w:line="300" w:lineRule="auto"/>
        <w:rPr>
          <w:sz w:val="24"/>
        </w:rPr>
      </w:pPr>
      <w:r>
        <w:rPr>
          <w:b/>
          <w:bCs/>
          <w:sz w:val="24"/>
        </w:rPr>
        <w:t>1</w:t>
      </w:r>
      <w:r>
        <w:rPr>
          <w:rFonts w:hint="eastAsia"/>
          <w:b/>
          <w:bCs/>
          <w:sz w:val="24"/>
          <w:lang w:val="en-US" w:eastAsia="zh-CN"/>
        </w:rPr>
        <w:t>0</w:t>
      </w:r>
      <w:r>
        <w:rPr>
          <w:b/>
          <w:bCs/>
          <w:sz w:val="24"/>
        </w:rPr>
        <w:t>.</w:t>
      </w:r>
      <w:r>
        <w:rPr>
          <w:rFonts w:hint="eastAsia"/>
          <w:b/>
          <w:bCs/>
          <w:sz w:val="24"/>
          <w:lang w:val="en-US" w:eastAsia="zh-CN"/>
        </w:rPr>
        <w:t>1.11</w:t>
      </w:r>
      <w:r>
        <w:rPr>
          <w:sz w:val="24"/>
        </w:rPr>
        <w:t xml:space="preserve"> </w:t>
      </w:r>
      <w:r>
        <w:rPr>
          <w:rFonts w:hint="eastAsia"/>
          <w:sz w:val="24"/>
        </w:rPr>
        <w:t>太阳能系统的施工安装不</w:t>
      </w:r>
      <w:r>
        <w:rPr>
          <w:rFonts w:hint="eastAsia"/>
          <w:sz w:val="24"/>
          <w:lang w:val="en-US" w:eastAsia="zh-CN"/>
        </w:rPr>
        <w:t>应</w:t>
      </w:r>
      <w:r>
        <w:rPr>
          <w:rFonts w:hint="eastAsia"/>
          <w:sz w:val="24"/>
        </w:rPr>
        <w:t>破坏建筑物的结构、屋面、地面防水层和附属设施，不得削弱建筑物在寿命期内承受荷载的能力。</w:t>
      </w:r>
    </w:p>
    <w:p w14:paraId="74F89CE5">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598DA66B">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1</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11</w:t>
      </w:r>
      <w:r>
        <w:rPr>
          <w:rFonts w:hint="eastAsia" w:ascii="仿宋" w:hAnsi="仿宋" w:eastAsia="仿宋" w:cs="仿宋"/>
          <w:i/>
          <w:iCs/>
          <w:color w:val="0623BA"/>
          <w:sz w:val="24"/>
        </w:rPr>
        <w:t xml:space="preserve"> 进行太阳能系统的施工安装，保证建筑物的结构和功能设施安全是重中之重，应放在第一位</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特别在既有建筑上安装系统时，如果不能严格按相关规范进行土建、防水、管道等部位的施工安装，很容易造成对建筑物的结构、屋面、地面防水层和附属设施的破坏，削弱建筑物在寿命期内承受荷载的能力，所以，必须予以充分重视。</w:t>
      </w:r>
    </w:p>
    <w:p w14:paraId="2D040008">
      <w:pPr>
        <w:snapToGrid w:val="0"/>
        <w:spacing w:line="300" w:lineRule="auto"/>
        <w:jc w:val="left"/>
        <w:rPr>
          <w:sz w:val="24"/>
        </w:rPr>
      </w:pPr>
      <w:r>
        <w:rPr>
          <w:b/>
          <w:bCs/>
          <w:sz w:val="24"/>
        </w:rPr>
        <w:t>1</w:t>
      </w:r>
      <w:r>
        <w:rPr>
          <w:rFonts w:hint="eastAsia"/>
          <w:b/>
          <w:bCs/>
          <w:sz w:val="24"/>
          <w:lang w:val="en-US" w:eastAsia="zh-CN"/>
        </w:rPr>
        <w:t>0</w:t>
      </w:r>
      <w:r>
        <w:rPr>
          <w:b/>
          <w:bCs/>
          <w:sz w:val="24"/>
        </w:rPr>
        <w:t>.1.1</w:t>
      </w:r>
      <w:r>
        <w:rPr>
          <w:rFonts w:hint="eastAsia"/>
          <w:b/>
          <w:bCs/>
          <w:sz w:val="24"/>
          <w:lang w:val="en-US" w:eastAsia="zh-CN"/>
        </w:rPr>
        <w:t>2</w:t>
      </w:r>
      <w:r>
        <w:rPr>
          <w:rFonts w:hint="eastAsia"/>
          <w:sz w:val="24"/>
        </w:rPr>
        <w:t xml:space="preserve"> 施工过程及相关试验的资料应完整、齐全。</w:t>
      </w:r>
    </w:p>
    <w:p w14:paraId="57CF90CA">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6C6A58F">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.1.1</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 xml:space="preserve"> 施工过程记录和相关试验记录应由施工方在施工过程中收集整理，作为工程施工过程的取证和验收的依据。工程验收合格后，应移交给业主，作为竣工资料的组成部分。 </w:t>
      </w:r>
    </w:p>
    <w:p w14:paraId="5D2B65C2">
      <w:pPr>
        <w:snapToGrid w:val="0"/>
        <w:spacing w:line="300" w:lineRule="auto"/>
        <w:jc w:val="left"/>
        <w:rPr>
          <w:sz w:val="24"/>
        </w:rPr>
      </w:pPr>
      <w:r>
        <w:rPr>
          <w:b/>
          <w:bCs/>
          <w:sz w:val="24"/>
        </w:rPr>
        <w:t>1</w:t>
      </w:r>
      <w:r>
        <w:rPr>
          <w:rFonts w:hint="eastAsia"/>
          <w:b/>
          <w:bCs/>
          <w:sz w:val="24"/>
          <w:lang w:val="en-US" w:eastAsia="zh-CN"/>
        </w:rPr>
        <w:t>0</w:t>
      </w:r>
      <w:r>
        <w:rPr>
          <w:b/>
          <w:bCs/>
          <w:sz w:val="24"/>
        </w:rPr>
        <w:t>.1.</w:t>
      </w:r>
      <w:r>
        <w:rPr>
          <w:rFonts w:hint="eastAsia"/>
          <w:b/>
          <w:bCs/>
          <w:sz w:val="24"/>
          <w:lang w:val="en-US" w:eastAsia="zh-CN"/>
        </w:rPr>
        <w:t>13</w:t>
      </w:r>
      <w:r>
        <w:rPr>
          <w:rFonts w:hint="eastAsia"/>
          <w:sz w:val="24"/>
        </w:rPr>
        <w:t>穿过楼板、屋面和墙面的电缆防水套管与建筑主体结构之间的缝隙</w:t>
      </w:r>
      <w:r>
        <w:rPr>
          <w:rFonts w:hint="eastAsia" w:cs="Times New Roman"/>
          <w:b w:val="0"/>
          <w:bCs w:val="0"/>
          <w:i w:val="0"/>
          <w:iCs w:val="0"/>
          <w:color w:val="auto"/>
          <w:sz w:val="24"/>
          <w:szCs w:val="24"/>
          <w:highlight w:val="none"/>
          <w:lang w:val="en-US" w:eastAsia="zh-CN"/>
        </w:rPr>
        <w:t>应</w:t>
      </w:r>
      <w:r>
        <w:rPr>
          <w:rFonts w:hint="eastAsia"/>
          <w:sz w:val="24"/>
        </w:rPr>
        <w:t>进行防水处理。</w:t>
      </w:r>
    </w:p>
    <w:p w14:paraId="5703ADDB">
      <w:pPr>
        <w:keepNext/>
        <w:keepLines/>
        <w:snapToGrid w:val="0"/>
        <w:spacing w:before="95" w:beforeLines="30" w:after="95" w:afterLines="30" w:line="300" w:lineRule="auto"/>
        <w:jc w:val="center"/>
        <w:outlineLvl w:val="2"/>
        <w:rPr>
          <w:b/>
          <w:sz w:val="24"/>
          <w:szCs w:val="32"/>
        </w:rPr>
      </w:pPr>
      <w:bookmarkStart w:id="345" w:name="_Toc8609"/>
      <w:bookmarkStart w:id="346" w:name="_Toc4224"/>
      <w:bookmarkStart w:id="347" w:name="_Toc11298"/>
      <w:bookmarkStart w:id="348" w:name="_Toc14243"/>
      <w:bookmarkStart w:id="349" w:name="_Toc1232"/>
      <w:bookmarkStart w:id="350" w:name="_Toc2529"/>
      <w:bookmarkStart w:id="351" w:name="_Toc22448"/>
      <w:bookmarkStart w:id="352" w:name="_Toc20969"/>
      <w:r>
        <w:rPr>
          <w:b/>
          <w:sz w:val="24"/>
          <w:szCs w:val="32"/>
        </w:rPr>
        <w:t>1</w:t>
      </w:r>
      <w:r>
        <w:rPr>
          <w:rFonts w:hint="default"/>
          <w:b/>
          <w:sz w:val="24"/>
          <w:szCs w:val="32"/>
          <w:lang w:val="en-US" w:eastAsia="zh-CN"/>
        </w:rPr>
        <w:t>0</w:t>
      </w:r>
      <w:r>
        <w:rPr>
          <w:b/>
          <w:sz w:val="24"/>
          <w:szCs w:val="32"/>
        </w:rPr>
        <w:t>.2土建工程</w:t>
      </w:r>
      <w:bookmarkEnd w:id="345"/>
      <w:bookmarkEnd w:id="346"/>
      <w:bookmarkEnd w:id="347"/>
      <w:bookmarkEnd w:id="348"/>
      <w:bookmarkEnd w:id="349"/>
      <w:bookmarkEnd w:id="350"/>
      <w:bookmarkEnd w:id="351"/>
      <w:bookmarkEnd w:id="352"/>
    </w:p>
    <w:p w14:paraId="132ABCA1">
      <w:pPr>
        <w:snapToGrid w:val="0"/>
        <w:spacing w:line="300" w:lineRule="auto"/>
        <w:jc w:val="center"/>
        <w:rPr>
          <w:rFonts w:hint="default" w:eastAsia="宋体"/>
          <w:sz w:val="24"/>
          <w:lang w:val="en-US" w:eastAsia="zh-CN"/>
        </w:rPr>
      </w:pPr>
      <w:r>
        <w:rPr>
          <w:rFonts w:hint="default" w:ascii="Times New Roman" w:hAnsi="Times New Roman" w:eastAsia="宋体" w:cs="Times New Roman"/>
          <w:sz w:val="24"/>
        </w:rPr>
        <w:t>Ⅰ</w:t>
      </w:r>
      <w:r>
        <w:rPr>
          <w:rFonts w:hint="eastAsia" w:cs="Times New Roman"/>
          <w:sz w:val="24"/>
          <w:lang w:val="en-US" w:eastAsia="zh-CN"/>
        </w:rPr>
        <w:t xml:space="preserve"> </w:t>
      </w:r>
      <w:r>
        <w:rPr>
          <w:rFonts w:hint="default"/>
          <w:sz w:val="24"/>
          <w:lang w:val="en-US" w:eastAsia="zh-CN"/>
        </w:rPr>
        <w:t>基座</w:t>
      </w:r>
    </w:p>
    <w:p w14:paraId="1B8A0C91">
      <w:pPr>
        <w:snapToGrid w:val="0"/>
        <w:spacing w:line="300" w:lineRule="auto"/>
        <w:rPr>
          <w:sz w:val="24"/>
        </w:rPr>
      </w:pPr>
      <w:r>
        <w:rPr>
          <w:b/>
          <w:bCs/>
          <w:sz w:val="24"/>
        </w:rPr>
        <w:t>1</w:t>
      </w:r>
      <w:r>
        <w:rPr>
          <w:rFonts w:hint="eastAsia"/>
          <w:b/>
          <w:bCs/>
          <w:sz w:val="24"/>
          <w:lang w:val="en-US" w:eastAsia="zh-CN"/>
        </w:rPr>
        <w:t>0</w:t>
      </w:r>
      <w:r>
        <w:rPr>
          <w:b/>
          <w:bCs/>
          <w:sz w:val="24"/>
        </w:rPr>
        <w:t>.2.1</w:t>
      </w:r>
      <w:r>
        <w:rPr>
          <w:rFonts w:hint="eastAsia"/>
          <w:sz w:val="24"/>
        </w:rPr>
        <w:t xml:space="preserve"> </w:t>
      </w:r>
      <w:r>
        <w:rPr>
          <w:sz w:val="24"/>
        </w:rPr>
        <w:t>混凝土工程</w:t>
      </w:r>
      <w:r>
        <w:rPr>
          <w:rFonts w:hint="eastAsia"/>
          <w:sz w:val="24"/>
          <w:lang w:eastAsia="zh-CN"/>
        </w:rPr>
        <w:t>、</w:t>
      </w:r>
      <w:r>
        <w:rPr>
          <w:sz w:val="24"/>
        </w:rPr>
        <w:t>钢结构工程</w:t>
      </w:r>
      <w:r>
        <w:rPr>
          <w:rFonts w:hint="eastAsia"/>
          <w:sz w:val="24"/>
          <w:lang w:eastAsia="zh-CN"/>
        </w:rPr>
        <w:t>、</w:t>
      </w:r>
      <w:r>
        <w:rPr>
          <w:sz w:val="24"/>
        </w:rPr>
        <w:t>铝合金工程的施工应符合现行国家标准的有关规定。</w:t>
      </w:r>
    </w:p>
    <w:p w14:paraId="6EE723A8">
      <w:pPr>
        <w:snapToGrid w:val="0"/>
        <w:spacing w:line="300" w:lineRule="auto"/>
        <w:rPr>
          <w:rFonts w:ascii="Times New Roman" w:hAnsi="Times New Roman" w:eastAsia="宋体" w:cs="Times New Roman"/>
          <w:b w:val="0"/>
          <w:bCs w:val="0"/>
          <w:i w:val="0"/>
          <w:iCs w:val="0"/>
          <w:sz w:val="24"/>
          <w:szCs w:val="24"/>
        </w:rPr>
      </w:pPr>
      <w:r>
        <w:rPr>
          <w:b/>
          <w:bCs/>
          <w:sz w:val="24"/>
        </w:rPr>
        <w:t>1</w:t>
      </w:r>
      <w:r>
        <w:rPr>
          <w:rFonts w:hint="eastAsia"/>
          <w:b/>
          <w:bCs/>
          <w:sz w:val="24"/>
          <w:lang w:eastAsia="zh-CN"/>
        </w:rPr>
        <w:t>0</w:t>
      </w:r>
      <w:r>
        <w:rPr>
          <w:b/>
          <w:bCs/>
          <w:sz w:val="24"/>
        </w:rPr>
        <w:t>.2.</w:t>
      </w:r>
      <w:r>
        <w:rPr>
          <w:rFonts w:hint="default"/>
          <w:b/>
          <w:bCs/>
          <w:sz w:val="24"/>
          <w:lang w:val="en-US" w:eastAsia="zh-CN"/>
        </w:rPr>
        <w:t>2</w:t>
      </w:r>
      <w:r>
        <w:rPr>
          <w:rFonts w:ascii="Times New Roman" w:hAnsi="Times New Roman" w:eastAsia="宋体" w:cs="Times New Roman"/>
          <w:b/>
          <w:bCs/>
          <w:i w:val="0"/>
          <w:iCs w:val="0"/>
          <w:color w:val="000000"/>
          <w:sz w:val="24"/>
          <w:szCs w:val="24"/>
        </w:rPr>
        <w:t xml:space="preserve"> </w:t>
      </w:r>
      <w:r>
        <w:rPr>
          <w:rFonts w:ascii="Times New Roman" w:hAnsi="Times New Roman" w:eastAsia="宋体" w:cs="Times New Roman"/>
          <w:b w:val="0"/>
          <w:bCs w:val="0"/>
          <w:i w:val="0"/>
          <w:iCs w:val="0"/>
          <w:color w:val="000000"/>
          <w:sz w:val="24"/>
          <w:szCs w:val="24"/>
        </w:rPr>
        <w:t>安装在建筑物上的建筑光伏系统基座应与建筑主体结构可靠连接。</w:t>
      </w:r>
    </w:p>
    <w:p w14:paraId="125A4AFC">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B485704">
      <w:pPr>
        <w:pStyle w:val="2"/>
        <w:spacing w:line="300" w:lineRule="auto"/>
        <w:rPr>
          <w:rFonts w:hint="eastAsia" w:ascii="仿宋" w:hAnsi="仿宋" w:eastAsia="仿宋" w:cs="仿宋"/>
          <w:b w:val="0"/>
          <w:bCs w:val="0"/>
          <w:i/>
          <w:iCs/>
          <w:color w:val="0623BA"/>
          <w:sz w:val="24"/>
          <w:szCs w:val="24"/>
        </w:rPr>
      </w:pPr>
      <w:r>
        <w:rPr>
          <w:rFonts w:hint="eastAsia" w:ascii="仿宋" w:hAnsi="仿宋" w:eastAsia="仿宋" w:cs="仿宋"/>
          <w:b w:val="0"/>
          <w:bCs w:val="0"/>
          <w:i/>
          <w:iCs/>
          <w:color w:val="0623BA"/>
          <w:sz w:val="24"/>
          <w:szCs w:val="24"/>
          <w:lang w:val="en-US" w:eastAsia="zh-CN"/>
        </w:rPr>
        <w:t>10.2.2 一</w:t>
      </w:r>
      <w:r>
        <w:rPr>
          <w:rFonts w:hint="eastAsia" w:ascii="仿宋" w:hAnsi="仿宋" w:eastAsia="仿宋" w:cs="仿宋"/>
          <w:b w:val="0"/>
          <w:bCs w:val="0"/>
          <w:i/>
          <w:iCs/>
          <w:color w:val="0623BA"/>
          <w:sz w:val="24"/>
          <w:szCs w:val="24"/>
        </w:rPr>
        <w:t>般情况下</w:t>
      </w:r>
      <w:r>
        <w:rPr>
          <w:rFonts w:hint="eastAsia" w:ascii="仿宋" w:hAnsi="仿宋" w:eastAsia="仿宋" w:cs="仿宋"/>
          <w:b w:val="0"/>
          <w:bCs w:val="0"/>
          <w:i/>
          <w:iCs/>
          <w:color w:val="0623BA"/>
          <w:sz w:val="24"/>
          <w:szCs w:val="24"/>
          <w:lang w:eastAsia="zh-CN"/>
        </w:rPr>
        <w:t>，</w:t>
      </w:r>
      <w:r>
        <w:rPr>
          <w:rFonts w:hint="eastAsia" w:ascii="仿宋" w:hAnsi="仿宋" w:eastAsia="仿宋" w:cs="仿宋"/>
          <w:b w:val="0"/>
          <w:bCs w:val="0"/>
          <w:i/>
          <w:iCs/>
          <w:color w:val="0623BA"/>
          <w:sz w:val="24"/>
          <w:szCs w:val="24"/>
        </w:rPr>
        <w:t>光伏组件或方阵的承重基座都是在屋面结构层上现场砌筑(或浇筑)。对于在既有建筑上安装的建筑附加光伏发电系统工程</w:t>
      </w:r>
      <w:r>
        <w:rPr>
          <w:rFonts w:hint="eastAsia" w:ascii="仿宋" w:hAnsi="仿宋" w:eastAsia="仿宋" w:cs="仿宋"/>
          <w:b w:val="0"/>
          <w:bCs w:val="0"/>
          <w:i/>
          <w:iCs/>
          <w:color w:val="0623BA"/>
          <w:sz w:val="24"/>
          <w:szCs w:val="24"/>
          <w:lang w:eastAsia="zh-CN"/>
        </w:rPr>
        <w:t>，</w:t>
      </w:r>
      <w:r>
        <w:rPr>
          <w:rFonts w:hint="eastAsia" w:ascii="仿宋" w:hAnsi="仿宋" w:eastAsia="仿宋" w:cs="仿宋"/>
          <w:b w:val="0"/>
          <w:bCs w:val="0"/>
          <w:i/>
          <w:iCs/>
          <w:color w:val="0623BA"/>
          <w:sz w:val="24"/>
          <w:szCs w:val="24"/>
        </w:rPr>
        <w:t>需要揭开建筑面层做基座</w:t>
      </w:r>
      <w:r>
        <w:rPr>
          <w:rFonts w:hint="eastAsia" w:ascii="仿宋" w:hAnsi="仿宋" w:eastAsia="仿宋" w:cs="仿宋"/>
          <w:b w:val="0"/>
          <w:bCs w:val="0"/>
          <w:i/>
          <w:iCs/>
          <w:color w:val="0623BA"/>
          <w:sz w:val="24"/>
          <w:szCs w:val="24"/>
          <w:lang w:eastAsia="zh-CN"/>
        </w:rPr>
        <w:t>，</w:t>
      </w:r>
      <w:r>
        <w:rPr>
          <w:rFonts w:hint="eastAsia" w:ascii="仿宋" w:hAnsi="仿宋" w:eastAsia="仿宋" w:cs="仿宋"/>
          <w:b w:val="0"/>
          <w:bCs w:val="0"/>
          <w:i/>
          <w:iCs/>
          <w:color w:val="0623BA"/>
          <w:sz w:val="24"/>
          <w:szCs w:val="24"/>
        </w:rPr>
        <w:t>因此将破坏建筑原有的防水结构。基座完工后</w:t>
      </w:r>
      <w:r>
        <w:rPr>
          <w:rFonts w:hint="eastAsia" w:ascii="仿宋" w:hAnsi="仿宋" w:eastAsia="仿宋" w:cs="仿宋"/>
          <w:b w:val="0"/>
          <w:bCs w:val="0"/>
          <w:i/>
          <w:iCs/>
          <w:color w:val="0623BA"/>
          <w:sz w:val="24"/>
          <w:szCs w:val="24"/>
          <w:lang w:eastAsia="zh-CN"/>
        </w:rPr>
        <w:t>，</w:t>
      </w:r>
      <w:r>
        <w:rPr>
          <w:rFonts w:hint="eastAsia" w:ascii="仿宋" w:hAnsi="仿宋" w:eastAsia="仿宋" w:cs="仿宋"/>
          <w:b w:val="0"/>
          <w:bCs w:val="0"/>
          <w:i/>
          <w:iCs/>
          <w:color w:val="0623BA"/>
          <w:sz w:val="24"/>
          <w:szCs w:val="24"/>
        </w:rPr>
        <w:t>被破坏的部位应重新做防水工程。</w:t>
      </w:r>
    </w:p>
    <w:p w14:paraId="02EEFF02">
      <w:pPr>
        <w:snapToGrid w:val="0"/>
        <w:spacing w:line="300" w:lineRule="auto"/>
        <w:rPr>
          <w:rFonts w:ascii="Times New Roman" w:hAnsi="Times New Roman" w:eastAsia="宋体" w:cs="Times New Roman"/>
          <w:b w:val="0"/>
          <w:bCs w:val="0"/>
          <w:i w:val="0"/>
          <w:iCs w:val="0"/>
          <w:sz w:val="24"/>
          <w:szCs w:val="24"/>
        </w:rPr>
      </w:pPr>
      <w:r>
        <w:rPr>
          <w:b/>
          <w:bCs/>
          <w:sz w:val="24"/>
        </w:rPr>
        <w:t>1</w:t>
      </w:r>
      <w:r>
        <w:rPr>
          <w:rFonts w:hint="eastAsia"/>
          <w:b/>
          <w:bCs/>
          <w:sz w:val="24"/>
          <w:lang w:eastAsia="zh-CN"/>
        </w:rPr>
        <w:t>0</w:t>
      </w:r>
      <w:r>
        <w:rPr>
          <w:b/>
          <w:bCs/>
          <w:sz w:val="24"/>
        </w:rPr>
        <w:t>.2.</w:t>
      </w:r>
      <w:r>
        <w:rPr>
          <w:rFonts w:hint="default"/>
          <w:b/>
          <w:bCs/>
          <w:sz w:val="24"/>
          <w:lang w:val="en-US" w:eastAsia="zh-CN"/>
        </w:rPr>
        <w:t>3</w:t>
      </w:r>
      <w:r>
        <w:rPr>
          <w:rFonts w:ascii="Times New Roman" w:hAnsi="Times New Roman" w:eastAsia="宋体" w:cs="Times New Roman"/>
          <w:b w:val="0"/>
          <w:bCs w:val="0"/>
          <w:i w:val="0"/>
          <w:iCs w:val="0"/>
          <w:color w:val="000000"/>
          <w:sz w:val="24"/>
          <w:szCs w:val="24"/>
        </w:rPr>
        <w:t xml:space="preserve"> 既有建筑光伏系统在安装施工过程中破坏的防水层需要重新修复，</w:t>
      </w:r>
      <w:r>
        <w:rPr>
          <w:rFonts w:hint="eastAsia" w:cs="Times New Roman"/>
          <w:b w:val="0"/>
          <w:bCs w:val="0"/>
          <w:i w:val="0"/>
          <w:iCs w:val="0"/>
          <w:color w:val="000000"/>
          <w:sz w:val="24"/>
          <w:szCs w:val="24"/>
          <w:lang w:val="en-US" w:eastAsia="zh-CN"/>
        </w:rPr>
        <w:t>应</w:t>
      </w:r>
      <w:r>
        <w:rPr>
          <w:rFonts w:ascii="Times New Roman" w:hAnsi="Times New Roman" w:eastAsia="宋体" w:cs="Times New Roman"/>
          <w:b w:val="0"/>
          <w:bCs w:val="0"/>
          <w:i w:val="0"/>
          <w:iCs w:val="0"/>
          <w:color w:val="000000"/>
          <w:sz w:val="24"/>
          <w:szCs w:val="24"/>
        </w:rPr>
        <w:t>不低于原有防水性能且符合《屋面工程质量验收规范》GB 50207的要求。</w:t>
      </w:r>
    </w:p>
    <w:p w14:paraId="7B60163E">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8E508AE">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 xml:space="preserve">10.2.3 </w:t>
      </w:r>
      <w:r>
        <w:rPr>
          <w:rFonts w:hint="eastAsia" w:ascii="仿宋" w:hAnsi="仿宋" w:eastAsia="仿宋" w:cs="仿宋"/>
          <w:i/>
          <w:iCs/>
          <w:color w:val="0623BA"/>
          <w:sz w:val="24"/>
        </w:rPr>
        <w:t>不少建筑光伏系统工程采用预制支架基座</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直接放置在建筑屋面上</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易对屋面造成损害</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应附加防水层和保护层。</w:t>
      </w:r>
    </w:p>
    <w:p w14:paraId="1CCD4BE2">
      <w:pPr>
        <w:snapToGrid w:val="0"/>
        <w:spacing w:line="300" w:lineRule="auto"/>
        <w:ind w:firstLine="0" w:firstLineChars="0"/>
        <w:rPr>
          <w:rFonts w:hint="eastAsia" w:eastAsia="宋体"/>
          <w:lang w:eastAsia="zh-CN"/>
        </w:rPr>
      </w:pPr>
      <w:r>
        <w:rPr>
          <w:rFonts w:hint="eastAsia"/>
          <w:b/>
          <w:bCs/>
          <w:sz w:val="24"/>
          <w:lang w:val="en-US" w:eastAsia="zh-CN"/>
        </w:rPr>
        <w:t xml:space="preserve">10.2.4 </w:t>
      </w:r>
      <w:r>
        <w:rPr>
          <w:rFonts w:hint="eastAsia"/>
          <w:sz w:val="24"/>
        </w:rPr>
        <w:t>基座应按设计要求的位置、数量设置，基座应牢固、整齐</w:t>
      </w:r>
      <w:r>
        <w:rPr>
          <w:rFonts w:hint="eastAsia"/>
          <w:sz w:val="24"/>
          <w:lang w:eastAsia="zh-CN"/>
        </w:rPr>
        <w:t>。</w:t>
      </w:r>
    </w:p>
    <w:p w14:paraId="758B4D58">
      <w:pPr>
        <w:snapToGrid w:val="0"/>
        <w:spacing w:line="300" w:lineRule="auto"/>
        <w:ind w:firstLine="0" w:firstLineChars="0"/>
      </w:pPr>
      <w:r>
        <w:rPr>
          <w:b/>
          <w:bCs/>
          <w:sz w:val="24"/>
        </w:rPr>
        <w:t>1</w:t>
      </w:r>
      <w:r>
        <w:rPr>
          <w:rFonts w:hint="eastAsia"/>
          <w:b/>
          <w:bCs/>
          <w:sz w:val="24"/>
          <w:lang w:eastAsia="zh-CN"/>
        </w:rPr>
        <w:t>0</w:t>
      </w:r>
      <w:r>
        <w:rPr>
          <w:b/>
          <w:bCs/>
          <w:sz w:val="24"/>
        </w:rPr>
        <w:t>.2.</w:t>
      </w:r>
      <w:r>
        <w:rPr>
          <w:rFonts w:hint="eastAsia"/>
          <w:b/>
          <w:bCs/>
          <w:sz w:val="24"/>
          <w:lang w:val="en-US" w:eastAsia="zh-CN"/>
        </w:rPr>
        <w:t>5</w:t>
      </w:r>
      <w:r>
        <w:rPr>
          <w:rFonts w:ascii="Times New Roman" w:hAnsi="Times New Roman" w:eastAsia="宋体" w:cs="Times New Roman"/>
          <w:b/>
          <w:bCs/>
          <w:i w:val="0"/>
          <w:iCs w:val="0"/>
          <w:sz w:val="24"/>
          <w:szCs w:val="24"/>
        </w:rPr>
        <w:t xml:space="preserve"> </w:t>
      </w:r>
      <w:r>
        <w:rPr>
          <w:rFonts w:hint="eastAsia"/>
          <w:sz w:val="24"/>
          <w:lang w:val="en-US" w:eastAsia="zh-CN"/>
        </w:rPr>
        <w:t>预埋件安装到位后，应采取有效措施对预埋件进行固定并进行隐蔽工程验收。</w:t>
      </w:r>
      <w:r>
        <w:rPr>
          <w:rFonts w:hint="eastAsia"/>
          <w:sz w:val="24"/>
        </w:rPr>
        <w:t>预埋件与基座之间的空隙，应采用细石混凝土填捣密实；钢基座及混凝土基座顶面的预埋件，应按设计要求的防腐级别涂上防腐涂料并妥善保护。</w:t>
      </w:r>
    </w:p>
    <w:p w14:paraId="54576600">
      <w:pPr>
        <w:snapToGrid w:val="0"/>
        <w:spacing w:line="300" w:lineRule="auto"/>
        <w:rPr>
          <w:rFonts w:hint="eastAsia"/>
          <w:sz w:val="24"/>
          <w:lang w:val="en-US" w:eastAsia="zh-CN"/>
        </w:rPr>
      </w:pPr>
      <w:r>
        <w:rPr>
          <w:b/>
          <w:bCs/>
          <w:sz w:val="24"/>
        </w:rPr>
        <w:t>1</w:t>
      </w:r>
      <w:r>
        <w:rPr>
          <w:rFonts w:hint="eastAsia"/>
          <w:b/>
          <w:bCs/>
          <w:sz w:val="24"/>
          <w:lang w:val="en-US" w:eastAsia="zh-CN"/>
        </w:rPr>
        <w:t>0</w:t>
      </w:r>
      <w:r>
        <w:rPr>
          <w:b/>
          <w:bCs/>
          <w:sz w:val="24"/>
        </w:rPr>
        <w:t>.2.</w:t>
      </w:r>
      <w:r>
        <w:rPr>
          <w:rFonts w:hint="eastAsia"/>
          <w:b/>
          <w:bCs/>
          <w:sz w:val="24"/>
          <w:lang w:val="en-US" w:eastAsia="zh-CN"/>
        </w:rPr>
        <w:t xml:space="preserve">6 </w:t>
      </w:r>
      <w:r>
        <w:rPr>
          <w:rFonts w:hint="eastAsia"/>
          <w:sz w:val="24"/>
          <w:lang w:val="en-US" w:eastAsia="zh-CN"/>
        </w:rPr>
        <w:t>平板型预埋件和后置锚固连接件锚板在安装时，标高允许偏差不应大于±10m，平面位置允许偏差不应大于±20m；槽型预埋件在安装时，标高允许偏差不应大于±5m，平面位置允许偏差不应大于±10mm。设计无要求时，按照上述要求：设计有更高要求时，应根据设计要求。</w:t>
      </w:r>
    </w:p>
    <w:p w14:paraId="66E194FE">
      <w:pPr>
        <w:snapToGrid w:val="0"/>
        <w:spacing w:line="300" w:lineRule="auto"/>
        <w:jc w:val="center"/>
        <w:rPr>
          <w:rFonts w:hint="default" w:eastAsia="宋体"/>
          <w:b w:val="0"/>
          <w:bCs w:val="0"/>
          <w:sz w:val="24"/>
          <w:lang w:val="en-US" w:eastAsia="zh-CN"/>
        </w:rPr>
      </w:pPr>
      <w:r>
        <w:rPr>
          <w:rFonts w:hint="default" w:ascii="Times New Roman" w:hAnsi="Times New Roman" w:eastAsia="宋体" w:cs="Times New Roman"/>
          <w:b w:val="0"/>
          <w:bCs w:val="0"/>
          <w:sz w:val="24"/>
        </w:rPr>
        <w:t>Ⅱ</w:t>
      </w:r>
      <w:r>
        <w:rPr>
          <w:rFonts w:hint="eastAsia" w:cs="Times New Roman"/>
          <w:b w:val="0"/>
          <w:bCs w:val="0"/>
          <w:sz w:val="24"/>
          <w:lang w:val="en-US" w:eastAsia="zh-CN"/>
        </w:rPr>
        <w:t xml:space="preserve"> </w:t>
      </w:r>
      <w:r>
        <w:rPr>
          <w:rFonts w:hint="default"/>
          <w:b w:val="0"/>
          <w:bCs w:val="0"/>
          <w:sz w:val="24"/>
          <w:lang w:val="en-US" w:eastAsia="zh-CN"/>
        </w:rPr>
        <w:t>支架</w:t>
      </w:r>
    </w:p>
    <w:p w14:paraId="172CB2B8">
      <w:pPr>
        <w:snapToGrid w:val="0"/>
        <w:spacing w:line="300" w:lineRule="auto"/>
        <w:rPr>
          <w:rFonts w:hint="eastAsia" w:eastAsia="宋体"/>
          <w:sz w:val="24"/>
          <w:lang w:eastAsia="zh-CN"/>
        </w:rPr>
      </w:pPr>
      <w:r>
        <w:rPr>
          <w:b/>
          <w:bCs/>
          <w:sz w:val="24"/>
        </w:rPr>
        <w:t>1</w:t>
      </w:r>
      <w:r>
        <w:rPr>
          <w:rFonts w:hint="eastAsia"/>
          <w:b/>
          <w:bCs/>
          <w:sz w:val="24"/>
          <w:lang w:val="en-US" w:eastAsia="zh-CN"/>
        </w:rPr>
        <w:t>0</w:t>
      </w:r>
      <w:r>
        <w:rPr>
          <w:b/>
          <w:bCs/>
          <w:sz w:val="24"/>
        </w:rPr>
        <w:t>.2.</w:t>
      </w:r>
      <w:r>
        <w:rPr>
          <w:rFonts w:hint="eastAsia"/>
          <w:b/>
          <w:bCs/>
          <w:sz w:val="24"/>
          <w:lang w:val="en-US" w:eastAsia="zh-CN"/>
        </w:rPr>
        <w:t>7</w:t>
      </w:r>
      <w:r>
        <w:rPr>
          <w:rFonts w:hint="eastAsia"/>
          <w:sz w:val="24"/>
        </w:rPr>
        <w:t xml:space="preserve"> 支架安装应符合下列规定</w:t>
      </w:r>
      <w:r>
        <w:rPr>
          <w:rFonts w:hint="eastAsia"/>
          <w:sz w:val="24"/>
          <w:lang w:eastAsia="zh-CN"/>
        </w:rPr>
        <w:t>：</w:t>
      </w:r>
    </w:p>
    <w:p w14:paraId="77F18599">
      <w:pPr>
        <w:snapToGrid w:val="0"/>
        <w:spacing w:line="300" w:lineRule="auto"/>
        <w:ind w:firstLine="482" w:firstLineChars="200"/>
        <w:rPr>
          <w:rFonts w:hint="eastAsia"/>
          <w:sz w:val="24"/>
          <w:lang w:eastAsia="zh-CN"/>
        </w:rPr>
      </w:pPr>
      <w:r>
        <w:rPr>
          <w:rFonts w:hint="eastAsia"/>
          <w:b/>
          <w:bCs/>
          <w:sz w:val="24"/>
        </w:rPr>
        <w:t>1</w:t>
      </w:r>
      <w:r>
        <w:rPr>
          <w:rFonts w:hint="eastAsia"/>
          <w:b/>
          <w:bCs/>
          <w:sz w:val="24"/>
          <w:lang w:val="en-US" w:eastAsia="zh-CN"/>
        </w:rPr>
        <w:t xml:space="preserve"> </w:t>
      </w:r>
      <w:r>
        <w:rPr>
          <w:rFonts w:hint="eastAsia"/>
          <w:sz w:val="24"/>
        </w:rPr>
        <w:t>应在连接部件验收合格后安装支架。采用现浇混凝土基座时</w:t>
      </w:r>
      <w:r>
        <w:rPr>
          <w:rFonts w:hint="eastAsia"/>
          <w:sz w:val="24"/>
          <w:lang w:eastAsia="zh-CN"/>
        </w:rPr>
        <w:t>，</w:t>
      </w:r>
      <w:r>
        <w:rPr>
          <w:rFonts w:hint="eastAsia"/>
          <w:sz w:val="24"/>
        </w:rPr>
        <w:t>应在混凝土的强度达到设计强度的</w:t>
      </w:r>
      <w:r>
        <w:rPr>
          <w:rFonts w:hint="eastAsia"/>
          <w:sz w:val="24"/>
          <w:lang w:val="en-US" w:eastAsia="zh-CN"/>
        </w:rPr>
        <w:t>70%以上</w:t>
      </w:r>
      <w:r>
        <w:rPr>
          <w:rFonts w:hint="eastAsia"/>
          <w:sz w:val="24"/>
        </w:rPr>
        <w:t>后安装支架</w:t>
      </w:r>
      <w:r>
        <w:rPr>
          <w:rFonts w:hint="eastAsia"/>
          <w:sz w:val="24"/>
          <w:lang w:eastAsia="zh-CN"/>
        </w:rPr>
        <w:t>；</w:t>
      </w:r>
    </w:p>
    <w:p w14:paraId="403AF1E6">
      <w:pPr>
        <w:snapToGrid w:val="0"/>
        <w:spacing w:line="300" w:lineRule="auto"/>
        <w:ind w:firstLine="482" w:firstLineChars="200"/>
        <w:rPr>
          <w:rFonts w:hint="eastAsia" w:eastAsia="宋体"/>
          <w:sz w:val="24"/>
          <w:lang w:eastAsia="zh-CN"/>
        </w:rPr>
      </w:pPr>
      <w:r>
        <w:rPr>
          <w:rFonts w:hint="eastAsia"/>
          <w:b/>
          <w:bCs/>
          <w:sz w:val="24"/>
        </w:rPr>
        <w:t xml:space="preserve">2 </w:t>
      </w:r>
      <w:r>
        <w:rPr>
          <w:rFonts w:hint="eastAsia"/>
          <w:sz w:val="24"/>
        </w:rPr>
        <w:t>支架安装过程中不应破坏防腐涂层</w:t>
      </w:r>
      <w:r>
        <w:rPr>
          <w:rFonts w:hint="eastAsia"/>
          <w:sz w:val="24"/>
          <w:lang w:eastAsia="zh-CN"/>
        </w:rPr>
        <w:t>；</w:t>
      </w:r>
    </w:p>
    <w:p w14:paraId="413510A2">
      <w:pPr>
        <w:snapToGrid w:val="0"/>
        <w:spacing w:line="300" w:lineRule="auto"/>
        <w:ind w:firstLine="482" w:firstLineChars="200"/>
        <w:rPr>
          <w:rFonts w:hint="eastAsia"/>
          <w:sz w:val="24"/>
          <w:lang w:eastAsia="zh-CN"/>
        </w:rPr>
      </w:pPr>
      <w:r>
        <w:rPr>
          <w:rFonts w:hint="eastAsia"/>
          <w:b/>
          <w:bCs/>
          <w:sz w:val="24"/>
        </w:rPr>
        <w:t xml:space="preserve">3 </w:t>
      </w:r>
      <w:r>
        <w:rPr>
          <w:rFonts w:hint="eastAsia"/>
          <w:sz w:val="24"/>
        </w:rPr>
        <w:t>支架安装过程中不应气剖扩孔</w:t>
      </w:r>
      <w:r>
        <w:rPr>
          <w:rFonts w:hint="eastAsia"/>
          <w:sz w:val="24"/>
          <w:lang w:eastAsia="zh-CN"/>
        </w:rPr>
        <w:t>，</w:t>
      </w:r>
      <w:r>
        <w:rPr>
          <w:rFonts w:hint="eastAsia"/>
          <w:sz w:val="24"/>
        </w:rPr>
        <w:t>热镀锌钢构件</w:t>
      </w:r>
      <w:r>
        <w:rPr>
          <w:rFonts w:hint="eastAsia"/>
          <w:sz w:val="24"/>
          <w:lang w:eastAsia="zh-CN"/>
        </w:rPr>
        <w:t>，</w:t>
      </w:r>
      <w:r>
        <w:rPr>
          <w:rFonts w:hint="eastAsia"/>
          <w:sz w:val="24"/>
        </w:rPr>
        <w:t>不宜现场切割、开孔</w:t>
      </w:r>
      <w:r>
        <w:rPr>
          <w:rFonts w:hint="eastAsia"/>
          <w:sz w:val="24"/>
          <w:lang w:eastAsia="zh-CN"/>
        </w:rPr>
        <w:t>。</w:t>
      </w:r>
    </w:p>
    <w:p w14:paraId="285FA076">
      <w:pPr>
        <w:snapToGrid w:val="0"/>
        <w:spacing w:line="300" w:lineRule="auto"/>
        <w:rPr>
          <w:sz w:val="24"/>
        </w:rPr>
      </w:pPr>
      <w:r>
        <w:rPr>
          <w:b/>
          <w:bCs/>
          <w:sz w:val="24"/>
        </w:rPr>
        <w:t>1</w:t>
      </w:r>
      <w:r>
        <w:rPr>
          <w:rFonts w:hint="eastAsia"/>
          <w:b/>
          <w:bCs/>
          <w:sz w:val="24"/>
          <w:lang w:val="en-US" w:eastAsia="zh-CN"/>
        </w:rPr>
        <w:t>0</w:t>
      </w:r>
      <w:r>
        <w:rPr>
          <w:b/>
          <w:bCs/>
          <w:sz w:val="24"/>
        </w:rPr>
        <w:t>.2.</w:t>
      </w:r>
      <w:r>
        <w:rPr>
          <w:rFonts w:hint="eastAsia"/>
          <w:b/>
          <w:bCs/>
          <w:sz w:val="24"/>
          <w:lang w:val="en-US" w:eastAsia="zh-CN"/>
        </w:rPr>
        <w:t>8</w:t>
      </w:r>
      <w:r>
        <w:rPr>
          <w:rFonts w:hint="eastAsia"/>
          <w:sz w:val="24"/>
        </w:rPr>
        <w:t xml:space="preserve"> </w:t>
      </w:r>
      <w:r>
        <w:rPr>
          <w:sz w:val="24"/>
        </w:rPr>
        <w:t>支架安装应符合下列规定：</w:t>
      </w:r>
    </w:p>
    <w:p w14:paraId="35936017">
      <w:pPr>
        <w:snapToGrid w:val="0"/>
        <w:spacing w:line="300" w:lineRule="auto"/>
        <w:ind w:firstLine="482" w:firstLineChars="200"/>
        <w:jc w:val="left"/>
        <w:rPr>
          <w:rFonts w:hint="eastAsia" w:eastAsia="宋体"/>
          <w:sz w:val="24"/>
          <w:lang w:eastAsia="zh-CN"/>
        </w:rPr>
      </w:pPr>
      <w:r>
        <w:rPr>
          <w:b/>
          <w:bCs/>
          <w:sz w:val="24"/>
        </w:rPr>
        <w:t>1</w:t>
      </w:r>
      <w:r>
        <w:rPr>
          <w:rFonts w:hint="eastAsia"/>
          <w:b/>
          <w:bCs/>
          <w:sz w:val="24"/>
          <w:lang w:val="en-US" w:eastAsia="zh-CN"/>
        </w:rPr>
        <w:t xml:space="preserve"> </w:t>
      </w:r>
      <w:r>
        <w:rPr>
          <w:sz w:val="24"/>
        </w:rPr>
        <w:t>应在连接部件验收合格后安装支架。采用现浇混凝土基座时，应在混凝土的强度达到设计强度的70%以上后安装支架</w:t>
      </w:r>
      <w:r>
        <w:rPr>
          <w:rFonts w:hint="eastAsia"/>
          <w:sz w:val="24"/>
          <w:lang w:eastAsia="zh-CN"/>
        </w:rPr>
        <w:t>；</w:t>
      </w:r>
    </w:p>
    <w:p w14:paraId="2EDA639C">
      <w:pPr>
        <w:snapToGrid w:val="0"/>
        <w:spacing w:line="300" w:lineRule="auto"/>
        <w:ind w:firstLine="482" w:firstLineChars="200"/>
        <w:jc w:val="left"/>
        <w:rPr>
          <w:rFonts w:hint="eastAsia" w:eastAsia="宋体"/>
          <w:sz w:val="24"/>
          <w:lang w:eastAsia="zh-CN"/>
        </w:rPr>
      </w:pPr>
      <w:r>
        <w:rPr>
          <w:b/>
          <w:bCs/>
          <w:sz w:val="24"/>
        </w:rPr>
        <w:t>2</w:t>
      </w:r>
      <w:r>
        <w:rPr>
          <w:rFonts w:hint="eastAsia"/>
          <w:b/>
          <w:bCs/>
          <w:sz w:val="24"/>
          <w:lang w:val="en-US" w:eastAsia="zh-CN"/>
        </w:rPr>
        <w:t xml:space="preserve"> </w:t>
      </w:r>
      <w:r>
        <w:rPr>
          <w:sz w:val="24"/>
        </w:rPr>
        <w:t>支架安装过程中不应破坏防腐涂层</w:t>
      </w:r>
      <w:r>
        <w:rPr>
          <w:rFonts w:hint="eastAsia"/>
          <w:sz w:val="24"/>
          <w:lang w:eastAsia="zh-CN"/>
        </w:rPr>
        <w:t>；</w:t>
      </w:r>
    </w:p>
    <w:p w14:paraId="0F6D5450">
      <w:pPr>
        <w:snapToGrid w:val="0"/>
        <w:spacing w:line="300" w:lineRule="auto"/>
        <w:ind w:firstLine="482" w:firstLineChars="200"/>
        <w:jc w:val="left"/>
        <w:rPr>
          <w:sz w:val="24"/>
        </w:rPr>
      </w:pPr>
      <w:r>
        <w:rPr>
          <w:b/>
          <w:bCs/>
          <w:sz w:val="24"/>
        </w:rPr>
        <w:t>3</w:t>
      </w:r>
      <w:r>
        <w:rPr>
          <w:rFonts w:hint="eastAsia"/>
          <w:b/>
          <w:bCs/>
          <w:sz w:val="24"/>
          <w:lang w:val="en-US" w:eastAsia="zh-CN"/>
        </w:rPr>
        <w:t xml:space="preserve"> </w:t>
      </w:r>
      <w:r>
        <w:rPr>
          <w:sz w:val="24"/>
        </w:rPr>
        <w:t>支架安装过程中不应气割扩孔</w:t>
      </w:r>
      <w:r>
        <w:rPr>
          <w:rFonts w:hint="eastAsia"/>
          <w:sz w:val="24"/>
          <w:lang w:eastAsia="zh-CN"/>
        </w:rPr>
        <w:t>，</w:t>
      </w:r>
      <w:r>
        <w:rPr>
          <w:sz w:val="24"/>
        </w:rPr>
        <w:t>热镀锌钢构件，不宜现场切割、开孔。支架安装的尺寸允许偏差应符合表1</w:t>
      </w:r>
      <w:r>
        <w:rPr>
          <w:rFonts w:hint="eastAsia"/>
          <w:sz w:val="24"/>
          <w:lang w:val="en-US" w:eastAsia="zh-CN"/>
        </w:rPr>
        <w:t>0</w:t>
      </w:r>
      <w:r>
        <w:rPr>
          <w:sz w:val="24"/>
        </w:rPr>
        <w:t>.2.</w:t>
      </w:r>
      <w:r>
        <w:rPr>
          <w:rFonts w:hint="eastAsia"/>
          <w:sz w:val="24"/>
          <w:lang w:val="en-US" w:eastAsia="zh-CN"/>
        </w:rPr>
        <w:t>8</w:t>
      </w:r>
      <w:r>
        <w:rPr>
          <w:sz w:val="24"/>
        </w:rPr>
        <w:t>的规定。</w:t>
      </w:r>
    </w:p>
    <w:p w14:paraId="00A61FC4">
      <w:pPr>
        <w:snapToGrid w:val="0"/>
        <w:spacing w:line="300" w:lineRule="auto"/>
        <w:jc w:val="center"/>
        <w:rPr>
          <w:b/>
          <w:bCs/>
          <w:sz w:val="21"/>
          <w:szCs w:val="21"/>
        </w:rPr>
      </w:pPr>
      <w:r>
        <w:rPr>
          <w:b/>
          <w:bCs/>
          <w:sz w:val="21"/>
          <w:szCs w:val="21"/>
        </w:rPr>
        <w:t>表1</w:t>
      </w:r>
      <w:r>
        <w:rPr>
          <w:rFonts w:hint="eastAsia"/>
          <w:b/>
          <w:bCs/>
          <w:sz w:val="21"/>
          <w:szCs w:val="21"/>
          <w:lang w:val="en-US" w:eastAsia="zh-CN"/>
        </w:rPr>
        <w:t>0</w:t>
      </w:r>
      <w:r>
        <w:rPr>
          <w:b/>
          <w:bCs/>
          <w:sz w:val="21"/>
          <w:szCs w:val="21"/>
        </w:rPr>
        <w:t>.2.</w:t>
      </w:r>
      <w:r>
        <w:rPr>
          <w:rFonts w:hint="eastAsia"/>
          <w:b/>
          <w:bCs/>
          <w:sz w:val="21"/>
          <w:szCs w:val="21"/>
          <w:lang w:val="en-US" w:eastAsia="zh-CN"/>
        </w:rPr>
        <w:t xml:space="preserve">8 </w:t>
      </w:r>
      <w:r>
        <w:rPr>
          <w:b/>
          <w:bCs/>
          <w:sz w:val="21"/>
          <w:szCs w:val="21"/>
        </w:rPr>
        <w:t>支架安装的尺寸允许偏差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E94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6389B90">
            <w:pPr>
              <w:snapToGrid w:val="0"/>
              <w:spacing w:line="240" w:lineRule="auto"/>
              <w:jc w:val="center"/>
              <w:rPr>
                <w:b/>
                <w:bCs/>
                <w:sz w:val="21"/>
                <w:szCs w:val="21"/>
              </w:rPr>
            </w:pPr>
            <w:r>
              <w:rPr>
                <w:b/>
                <w:bCs/>
                <w:sz w:val="21"/>
                <w:szCs w:val="21"/>
              </w:rPr>
              <w:t>项目名称</w:t>
            </w:r>
          </w:p>
        </w:tc>
        <w:tc>
          <w:tcPr>
            <w:tcW w:w="2500" w:type="pct"/>
            <w:vAlign w:val="center"/>
          </w:tcPr>
          <w:p w14:paraId="6853C546">
            <w:pPr>
              <w:snapToGrid w:val="0"/>
              <w:spacing w:line="240" w:lineRule="auto"/>
              <w:jc w:val="center"/>
              <w:rPr>
                <w:b/>
                <w:bCs/>
                <w:sz w:val="21"/>
                <w:szCs w:val="21"/>
              </w:rPr>
            </w:pPr>
            <w:r>
              <w:rPr>
                <w:b/>
                <w:bCs/>
                <w:sz w:val="21"/>
                <w:szCs w:val="21"/>
              </w:rPr>
              <w:t>允许偏差</w:t>
            </w:r>
          </w:p>
        </w:tc>
      </w:tr>
      <w:tr w14:paraId="37EA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89A7F0B">
            <w:pPr>
              <w:snapToGrid w:val="0"/>
              <w:spacing w:line="240" w:lineRule="auto"/>
              <w:jc w:val="center"/>
              <w:rPr>
                <w:sz w:val="21"/>
                <w:szCs w:val="21"/>
              </w:rPr>
            </w:pPr>
            <w:r>
              <w:rPr>
                <w:sz w:val="21"/>
                <w:szCs w:val="21"/>
              </w:rPr>
              <w:t>中心线偏差</w:t>
            </w:r>
          </w:p>
        </w:tc>
        <w:tc>
          <w:tcPr>
            <w:tcW w:w="2500" w:type="pct"/>
            <w:vAlign w:val="center"/>
          </w:tcPr>
          <w:p w14:paraId="5D3F70FC">
            <w:pPr>
              <w:snapToGrid w:val="0"/>
              <w:spacing w:line="240" w:lineRule="auto"/>
              <w:jc w:val="center"/>
              <w:rPr>
                <w:sz w:val="21"/>
                <w:szCs w:val="21"/>
              </w:rPr>
            </w:pPr>
            <w:r>
              <w:rPr>
                <w:rFonts w:hint="eastAsia"/>
                <w:sz w:val="24"/>
                <w:lang w:val="en-US" w:eastAsia="zh-CN"/>
              </w:rPr>
              <w:t>±</w:t>
            </w:r>
            <w:r>
              <w:rPr>
                <w:sz w:val="21"/>
                <w:szCs w:val="21"/>
              </w:rPr>
              <w:t>2mm</w:t>
            </w:r>
          </w:p>
        </w:tc>
      </w:tr>
      <w:tr w14:paraId="40E7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DAB3619">
            <w:pPr>
              <w:snapToGrid w:val="0"/>
              <w:spacing w:line="240" w:lineRule="auto"/>
              <w:jc w:val="center"/>
              <w:rPr>
                <w:sz w:val="21"/>
                <w:szCs w:val="21"/>
              </w:rPr>
            </w:pPr>
            <w:r>
              <w:rPr>
                <w:sz w:val="21"/>
                <w:szCs w:val="21"/>
              </w:rPr>
              <w:t>梁标高偏差(同组)</w:t>
            </w:r>
          </w:p>
        </w:tc>
        <w:tc>
          <w:tcPr>
            <w:tcW w:w="2500" w:type="pct"/>
            <w:vAlign w:val="center"/>
          </w:tcPr>
          <w:p w14:paraId="143CD65C">
            <w:pPr>
              <w:snapToGrid w:val="0"/>
              <w:spacing w:line="240" w:lineRule="auto"/>
              <w:jc w:val="center"/>
              <w:rPr>
                <w:sz w:val="21"/>
                <w:szCs w:val="21"/>
              </w:rPr>
            </w:pPr>
            <w:r>
              <w:rPr>
                <w:rFonts w:hint="eastAsia"/>
                <w:sz w:val="24"/>
                <w:lang w:val="en-US" w:eastAsia="zh-CN"/>
              </w:rPr>
              <w:t>±</w:t>
            </w:r>
            <w:r>
              <w:rPr>
                <w:sz w:val="21"/>
                <w:szCs w:val="21"/>
              </w:rPr>
              <w:t>3mm</w:t>
            </w:r>
          </w:p>
        </w:tc>
      </w:tr>
      <w:tr w14:paraId="689F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80C9A27">
            <w:pPr>
              <w:snapToGrid w:val="0"/>
              <w:spacing w:line="240" w:lineRule="auto"/>
              <w:jc w:val="center"/>
              <w:rPr>
                <w:sz w:val="21"/>
                <w:szCs w:val="21"/>
              </w:rPr>
            </w:pPr>
            <w:r>
              <w:rPr>
                <w:rFonts w:hint="eastAsia"/>
                <w:sz w:val="21"/>
                <w:szCs w:val="21"/>
              </w:rPr>
              <w:t>立柱面偏差(同组)</w:t>
            </w:r>
          </w:p>
        </w:tc>
        <w:tc>
          <w:tcPr>
            <w:tcW w:w="2500" w:type="pct"/>
            <w:vAlign w:val="center"/>
          </w:tcPr>
          <w:p w14:paraId="051B81A9">
            <w:pPr>
              <w:snapToGrid w:val="0"/>
              <w:spacing w:line="240" w:lineRule="auto"/>
              <w:jc w:val="center"/>
              <w:rPr>
                <w:sz w:val="21"/>
                <w:szCs w:val="21"/>
              </w:rPr>
            </w:pPr>
            <w:r>
              <w:rPr>
                <w:rFonts w:hint="eastAsia"/>
                <w:sz w:val="24"/>
                <w:lang w:val="en-US" w:eastAsia="zh-CN"/>
              </w:rPr>
              <w:t>±</w:t>
            </w:r>
            <w:r>
              <w:rPr>
                <w:sz w:val="21"/>
                <w:szCs w:val="21"/>
              </w:rPr>
              <w:t>3mm</w:t>
            </w:r>
          </w:p>
        </w:tc>
      </w:tr>
      <w:tr w14:paraId="27DA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F62AC1F">
            <w:pPr>
              <w:snapToGrid w:val="0"/>
              <w:spacing w:line="240" w:lineRule="auto"/>
              <w:jc w:val="center"/>
              <w:rPr>
                <w:sz w:val="21"/>
                <w:szCs w:val="21"/>
              </w:rPr>
            </w:pPr>
            <w:r>
              <w:rPr>
                <w:rFonts w:hint="eastAsia"/>
                <w:sz w:val="21"/>
                <w:szCs w:val="21"/>
              </w:rPr>
              <w:t>平屋顶支架倾斜角度</w:t>
            </w:r>
          </w:p>
        </w:tc>
        <w:tc>
          <w:tcPr>
            <w:tcW w:w="2500" w:type="pct"/>
            <w:vAlign w:val="center"/>
          </w:tcPr>
          <w:p w14:paraId="4B7D1D34">
            <w:pPr>
              <w:snapToGrid w:val="0"/>
              <w:spacing w:line="240" w:lineRule="auto"/>
              <w:jc w:val="center"/>
              <w:rPr>
                <w:sz w:val="21"/>
                <w:szCs w:val="21"/>
              </w:rPr>
            </w:pPr>
            <w:r>
              <w:rPr>
                <w:rFonts w:hint="eastAsia"/>
                <w:sz w:val="24"/>
                <w:lang w:val="en-US" w:eastAsia="zh-CN"/>
              </w:rPr>
              <w:t>±</w:t>
            </w:r>
            <w:r>
              <w:rPr>
                <w:sz w:val="21"/>
                <w:szCs w:val="21"/>
              </w:rPr>
              <w:t>1°</w:t>
            </w:r>
          </w:p>
        </w:tc>
      </w:tr>
    </w:tbl>
    <w:p w14:paraId="278DE19A">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713676A">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.2.</w:t>
      </w:r>
      <w:r>
        <w:rPr>
          <w:rFonts w:hint="eastAsia" w:ascii="仿宋" w:hAnsi="仿宋" w:eastAsia="仿宋" w:cs="仿宋"/>
          <w:i/>
          <w:iCs/>
          <w:color w:val="0623BA"/>
          <w:sz w:val="24"/>
          <w:lang w:val="en-US" w:eastAsia="zh-CN"/>
        </w:rPr>
        <w:t>8</w:t>
      </w:r>
      <w:r>
        <w:rPr>
          <w:rFonts w:hint="eastAsia" w:ascii="仿宋" w:hAnsi="仿宋" w:eastAsia="仿宋" w:cs="仿宋"/>
          <w:i/>
          <w:iCs/>
          <w:color w:val="0623BA"/>
          <w:sz w:val="24"/>
        </w:rPr>
        <w:t xml:space="preserve"> 本条提出安装支架前混凝土强度的要求，主要是考虑以下两个方面：为了避免出现因在预埋件上焊接产生的高温膨胀造成混凝土裂纹及影响其载荷能力，要求混凝土强度达到70%以后才能进行上部支架焊接。因支架的重量较轻，荷载较小，没有规定支架混凝土强度需达到100%才允许安装支架。由于支架大多采用镀锌件，若破坏了镀锌层，将降低支架的使用寿命</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因此应避免现场切割、开孔等破坏镀锌层的施工。若镀锌层被破坏，应采取相应的防腐补救措施。对支架安装的定位尺寸偏差提出要求，主要是考虑支架安装后的整体观感和对组件安装质量的影响。根据计算，组件安装后角度偏差在±1°时，对组件的效率影响不大，故对支架的安装角度提出此要求。对于斜屋顶，组件一般采取随屋顶角度安装的方式</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因此没有对斜屋顶安装支架的倾斜度提出要求，如设计采用考虑发电效率按最佳倾角安装的方式</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则应按平屋顶支架倾斜角度的偏差值进行控制。</w:t>
      </w:r>
    </w:p>
    <w:p w14:paraId="6013E72F">
      <w:pPr>
        <w:snapToGrid w:val="0"/>
        <w:spacing w:line="300" w:lineRule="auto"/>
        <w:rPr>
          <w:rFonts w:hint="eastAsia"/>
          <w:sz w:val="24"/>
          <w:lang w:val="en-US" w:eastAsia="zh-CN"/>
        </w:rPr>
      </w:pPr>
      <w:r>
        <w:rPr>
          <w:b/>
          <w:bCs/>
          <w:sz w:val="24"/>
        </w:rPr>
        <w:t>1</w:t>
      </w:r>
      <w:r>
        <w:rPr>
          <w:rFonts w:hint="eastAsia"/>
          <w:b/>
          <w:bCs/>
          <w:sz w:val="24"/>
          <w:lang w:val="en-US" w:eastAsia="zh-CN"/>
        </w:rPr>
        <w:t>0</w:t>
      </w:r>
      <w:r>
        <w:rPr>
          <w:b/>
          <w:bCs/>
          <w:sz w:val="24"/>
        </w:rPr>
        <w:t>.2.</w:t>
      </w:r>
      <w:r>
        <w:rPr>
          <w:rFonts w:hint="eastAsia"/>
          <w:b/>
          <w:bCs/>
          <w:sz w:val="24"/>
          <w:lang w:val="en-US" w:eastAsia="zh-CN"/>
        </w:rPr>
        <w:t>9</w:t>
      </w:r>
      <w:r>
        <w:rPr>
          <w:rFonts w:hint="eastAsia"/>
          <w:b/>
          <w:bCs/>
          <w:sz w:val="24"/>
        </w:rPr>
        <w:t xml:space="preserve"> </w:t>
      </w:r>
      <w:r>
        <w:rPr>
          <w:sz w:val="24"/>
        </w:rPr>
        <w:t>现场宜采用机械连接的安装方式。当</w:t>
      </w:r>
      <w:r>
        <w:rPr>
          <w:sz w:val="24"/>
          <w:highlight w:val="none"/>
        </w:rPr>
        <w:t>采用焊接工艺时，焊接工艺应符合</w:t>
      </w:r>
      <w:r>
        <w:rPr>
          <w:rFonts w:hint="eastAsia"/>
          <w:sz w:val="24"/>
          <w:highlight w:val="none"/>
          <w:lang w:eastAsia="zh-CN"/>
        </w:rPr>
        <w:t>《</w:t>
      </w:r>
      <w:r>
        <w:rPr>
          <w:rFonts w:hint="eastAsia"/>
          <w:sz w:val="24"/>
          <w:highlight w:val="none"/>
        </w:rPr>
        <w:t>建筑光伏系统应用技术标准》</w:t>
      </w:r>
      <w:r>
        <w:rPr>
          <w:sz w:val="24"/>
          <w:highlight w:val="none"/>
        </w:rPr>
        <w:t>GB/T51368</w:t>
      </w:r>
      <w:r>
        <w:rPr>
          <w:rFonts w:hint="eastAsia"/>
          <w:sz w:val="24"/>
          <w:highlight w:val="none"/>
          <w:lang w:val="en-US" w:eastAsia="zh-CN"/>
        </w:rPr>
        <w:t>的</w:t>
      </w:r>
      <w:r>
        <w:rPr>
          <w:rFonts w:hint="eastAsia"/>
          <w:sz w:val="24"/>
          <w:lang w:val="en-US" w:eastAsia="zh-CN"/>
        </w:rPr>
        <w:t>有关规定。</w:t>
      </w:r>
    </w:p>
    <w:p w14:paraId="6DAAD75B">
      <w:pPr>
        <w:pStyle w:val="2"/>
        <w:spacing w:line="300" w:lineRule="auto"/>
        <w:jc w:val="center"/>
        <w:rPr>
          <w:rFonts w:hint="default"/>
          <w:sz w:val="24"/>
          <w:lang w:val="en-US" w:eastAsia="zh-CN"/>
        </w:rPr>
      </w:pPr>
      <w:r>
        <w:rPr>
          <w:rFonts w:hint="eastAsia" w:ascii="宋体" w:hAnsi="宋体" w:eastAsia="宋体" w:cs="宋体"/>
          <w:sz w:val="24"/>
          <w:lang w:val="en-US" w:eastAsia="zh-CN"/>
        </w:rPr>
        <w:t>Ⅲ</w:t>
      </w:r>
      <w:r>
        <w:rPr>
          <w:rFonts w:hint="eastAsia"/>
          <w:sz w:val="24"/>
          <w:lang w:val="en-US" w:eastAsia="zh-CN"/>
        </w:rPr>
        <w:t xml:space="preserve"> 连接部件</w:t>
      </w:r>
    </w:p>
    <w:p w14:paraId="3D55ED5A">
      <w:pPr>
        <w:snapToGrid w:val="0"/>
        <w:spacing w:line="300" w:lineRule="auto"/>
        <w:ind w:firstLine="0" w:firstLineChars="0"/>
        <w:rPr>
          <w:sz w:val="24"/>
        </w:rPr>
      </w:pPr>
      <w:r>
        <w:rPr>
          <w:b/>
          <w:bCs/>
          <w:sz w:val="24"/>
        </w:rPr>
        <w:t>1</w:t>
      </w:r>
      <w:r>
        <w:rPr>
          <w:rFonts w:hint="eastAsia"/>
          <w:b/>
          <w:bCs/>
          <w:sz w:val="24"/>
          <w:lang w:val="en-US" w:eastAsia="zh-CN"/>
        </w:rPr>
        <w:t>0</w:t>
      </w:r>
      <w:r>
        <w:rPr>
          <w:b/>
          <w:bCs/>
          <w:sz w:val="24"/>
        </w:rPr>
        <w:t>.2.</w:t>
      </w:r>
      <w:r>
        <w:rPr>
          <w:rFonts w:hint="eastAsia"/>
          <w:b/>
          <w:bCs/>
          <w:sz w:val="24"/>
          <w:lang w:val="en-US" w:eastAsia="zh-CN"/>
        </w:rPr>
        <w:t>10</w:t>
      </w:r>
      <w:r>
        <w:rPr>
          <w:rFonts w:hint="eastAsia"/>
          <w:b/>
          <w:bCs/>
          <w:sz w:val="24"/>
        </w:rPr>
        <w:t xml:space="preserve"> </w:t>
      </w:r>
      <w:r>
        <w:rPr>
          <w:sz w:val="24"/>
        </w:rPr>
        <w:t>支架连接部件的施工偏差应符合下列规定：</w:t>
      </w:r>
    </w:p>
    <w:p w14:paraId="26111BB1">
      <w:pPr>
        <w:snapToGrid w:val="0"/>
        <w:spacing w:line="300" w:lineRule="auto"/>
        <w:ind w:firstLine="480" w:firstLineChars="200"/>
        <w:jc w:val="left"/>
        <w:rPr>
          <w:sz w:val="24"/>
        </w:rPr>
      </w:pPr>
      <w:r>
        <w:rPr>
          <w:sz w:val="24"/>
        </w:rPr>
        <w:t>1</w:t>
      </w:r>
      <w:r>
        <w:rPr>
          <w:rFonts w:hint="eastAsia"/>
          <w:sz w:val="24"/>
          <w:lang w:val="en-US" w:eastAsia="zh-CN"/>
        </w:rPr>
        <w:t xml:space="preserve"> </w:t>
      </w:r>
      <w:r>
        <w:rPr>
          <w:sz w:val="24"/>
        </w:rPr>
        <w:t>混凝土基座的尺寸允许偏差应符合表1</w:t>
      </w:r>
      <w:r>
        <w:rPr>
          <w:rFonts w:hint="eastAsia"/>
          <w:sz w:val="24"/>
          <w:lang w:val="en-US" w:eastAsia="zh-CN"/>
        </w:rPr>
        <w:t>0</w:t>
      </w:r>
      <w:r>
        <w:rPr>
          <w:sz w:val="24"/>
        </w:rPr>
        <w:t>.2.</w:t>
      </w:r>
      <w:r>
        <w:rPr>
          <w:rFonts w:hint="eastAsia"/>
          <w:sz w:val="24"/>
          <w:lang w:val="en-US" w:eastAsia="zh-CN"/>
        </w:rPr>
        <w:t>10</w:t>
      </w:r>
      <w:r>
        <w:rPr>
          <w:sz w:val="24"/>
        </w:rPr>
        <w:t>-1的规定。</w:t>
      </w:r>
    </w:p>
    <w:p w14:paraId="453C35C7">
      <w:pPr>
        <w:snapToGrid w:val="0"/>
        <w:spacing w:line="300" w:lineRule="auto"/>
        <w:jc w:val="center"/>
        <w:rPr>
          <w:b/>
          <w:bCs/>
          <w:sz w:val="21"/>
          <w:szCs w:val="21"/>
        </w:rPr>
      </w:pPr>
      <w:r>
        <w:rPr>
          <w:b/>
          <w:bCs/>
          <w:sz w:val="21"/>
          <w:szCs w:val="21"/>
        </w:rPr>
        <w:t>表1</w:t>
      </w:r>
      <w:r>
        <w:rPr>
          <w:rFonts w:hint="eastAsia"/>
          <w:b/>
          <w:bCs/>
          <w:sz w:val="21"/>
          <w:szCs w:val="21"/>
          <w:lang w:val="en-US" w:eastAsia="zh-CN"/>
        </w:rPr>
        <w:t>0</w:t>
      </w:r>
      <w:r>
        <w:rPr>
          <w:b/>
          <w:bCs/>
          <w:sz w:val="21"/>
          <w:szCs w:val="21"/>
        </w:rPr>
        <w:t>.2.</w:t>
      </w:r>
      <w:r>
        <w:rPr>
          <w:rFonts w:hint="eastAsia"/>
          <w:b/>
          <w:bCs/>
          <w:sz w:val="21"/>
          <w:szCs w:val="21"/>
          <w:lang w:val="en-US" w:eastAsia="zh-CN"/>
        </w:rPr>
        <w:t>10</w:t>
      </w:r>
      <w:r>
        <w:rPr>
          <w:b/>
          <w:bCs/>
          <w:sz w:val="21"/>
          <w:szCs w:val="21"/>
        </w:rPr>
        <w:t>-1混凝土基座的尺寸允许偏差</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A2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58B7C6F7">
            <w:pPr>
              <w:snapToGrid w:val="0"/>
              <w:spacing w:line="300" w:lineRule="auto"/>
              <w:jc w:val="center"/>
              <w:rPr>
                <w:b/>
                <w:bCs/>
                <w:sz w:val="21"/>
                <w:szCs w:val="21"/>
              </w:rPr>
            </w:pPr>
            <w:r>
              <w:rPr>
                <w:rFonts w:hint="eastAsia"/>
                <w:b/>
                <w:bCs/>
                <w:sz w:val="21"/>
                <w:szCs w:val="21"/>
              </w:rPr>
              <w:t>项目名称</w:t>
            </w:r>
          </w:p>
        </w:tc>
        <w:tc>
          <w:tcPr>
            <w:tcW w:w="2500" w:type="pct"/>
            <w:vAlign w:val="center"/>
          </w:tcPr>
          <w:p w14:paraId="026BC282">
            <w:pPr>
              <w:snapToGrid w:val="0"/>
              <w:spacing w:line="300" w:lineRule="auto"/>
              <w:jc w:val="center"/>
              <w:rPr>
                <w:b/>
                <w:bCs/>
                <w:sz w:val="21"/>
                <w:szCs w:val="21"/>
              </w:rPr>
            </w:pPr>
            <w:r>
              <w:rPr>
                <w:rFonts w:hint="eastAsia"/>
                <w:b/>
                <w:bCs/>
                <w:sz w:val="21"/>
                <w:szCs w:val="21"/>
              </w:rPr>
              <w:t>允许偏差(mm)</w:t>
            </w:r>
          </w:p>
        </w:tc>
      </w:tr>
      <w:tr w14:paraId="7C1D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4059006">
            <w:pPr>
              <w:snapToGrid w:val="0"/>
              <w:spacing w:line="300" w:lineRule="auto"/>
              <w:jc w:val="center"/>
              <w:rPr>
                <w:sz w:val="21"/>
                <w:szCs w:val="21"/>
              </w:rPr>
            </w:pPr>
            <w:r>
              <w:rPr>
                <w:rFonts w:hint="eastAsia"/>
                <w:sz w:val="21"/>
                <w:szCs w:val="21"/>
              </w:rPr>
              <w:t>轴线</w:t>
            </w:r>
          </w:p>
        </w:tc>
        <w:tc>
          <w:tcPr>
            <w:tcW w:w="2500" w:type="pct"/>
            <w:vAlign w:val="center"/>
          </w:tcPr>
          <w:p w14:paraId="47FFF48D">
            <w:pPr>
              <w:snapToGrid w:val="0"/>
              <w:spacing w:line="300" w:lineRule="auto"/>
              <w:jc w:val="center"/>
              <w:rPr>
                <w:sz w:val="21"/>
                <w:szCs w:val="21"/>
              </w:rPr>
            </w:pPr>
            <w:r>
              <w:rPr>
                <w:rFonts w:hint="eastAsia"/>
                <w:sz w:val="24"/>
                <w:lang w:val="en-US" w:eastAsia="zh-CN"/>
              </w:rPr>
              <w:t>±</w:t>
            </w:r>
            <w:r>
              <w:rPr>
                <w:rFonts w:hint="eastAsia"/>
                <w:sz w:val="21"/>
                <w:szCs w:val="21"/>
              </w:rPr>
              <w:t>10</w:t>
            </w:r>
          </w:p>
        </w:tc>
      </w:tr>
      <w:tr w14:paraId="35B6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A067B2F">
            <w:pPr>
              <w:snapToGrid w:val="0"/>
              <w:spacing w:line="300" w:lineRule="auto"/>
              <w:jc w:val="center"/>
              <w:rPr>
                <w:sz w:val="21"/>
                <w:szCs w:val="21"/>
              </w:rPr>
            </w:pPr>
            <w:r>
              <w:rPr>
                <w:rFonts w:hint="eastAsia"/>
                <w:sz w:val="21"/>
                <w:szCs w:val="21"/>
              </w:rPr>
              <w:t>顶标高</w:t>
            </w:r>
          </w:p>
        </w:tc>
        <w:tc>
          <w:tcPr>
            <w:tcW w:w="2500" w:type="pct"/>
            <w:vAlign w:val="center"/>
          </w:tcPr>
          <w:p w14:paraId="5C65AC2E">
            <w:pPr>
              <w:snapToGrid w:val="0"/>
              <w:spacing w:line="300" w:lineRule="auto"/>
              <w:jc w:val="center"/>
              <w:rPr>
                <w:sz w:val="21"/>
                <w:szCs w:val="21"/>
              </w:rPr>
            </w:pPr>
            <w:r>
              <w:rPr>
                <w:sz w:val="21"/>
                <w:szCs w:val="21"/>
              </w:rPr>
              <w:t>0</w:t>
            </w:r>
            <w:r>
              <w:rPr>
                <w:rFonts w:hint="eastAsia"/>
                <w:sz w:val="21"/>
                <w:szCs w:val="21"/>
                <w:lang w:eastAsia="zh-CN"/>
              </w:rPr>
              <w:t>，</w:t>
            </w:r>
            <w:r>
              <w:rPr>
                <w:rFonts w:hint="eastAsia"/>
                <w:sz w:val="21"/>
                <w:szCs w:val="21"/>
                <w:lang w:val="en-US" w:eastAsia="zh-CN"/>
              </w:rPr>
              <w:t>-</w:t>
            </w:r>
            <w:r>
              <w:rPr>
                <w:sz w:val="21"/>
                <w:szCs w:val="21"/>
              </w:rPr>
              <w:t>10</w:t>
            </w:r>
          </w:p>
        </w:tc>
      </w:tr>
      <w:tr w14:paraId="251D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62EBAB23">
            <w:pPr>
              <w:snapToGrid w:val="0"/>
              <w:spacing w:line="300" w:lineRule="auto"/>
              <w:jc w:val="center"/>
              <w:rPr>
                <w:sz w:val="21"/>
                <w:szCs w:val="21"/>
              </w:rPr>
            </w:pPr>
            <w:r>
              <w:rPr>
                <w:rFonts w:hint="eastAsia"/>
                <w:sz w:val="21"/>
                <w:szCs w:val="21"/>
              </w:rPr>
              <w:t>截面尺寸</w:t>
            </w:r>
          </w:p>
        </w:tc>
        <w:tc>
          <w:tcPr>
            <w:tcW w:w="2500" w:type="pct"/>
            <w:vAlign w:val="center"/>
          </w:tcPr>
          <w:p w14:paraId="1F4ACB27">
            <w:pPr>
              <w:snapToGrid w:val="0"/>
              <w:spacing w:line="300" w:lineRule="auto"/>
              <w:jc w:val="center"/>
              <w:rPr>
                <w:sz w:val="21"/>
                <w:szCs w:val="21"/>
              </w:rPr>
            </w:pPr>
            <w:r>
              <w:rPr>
                <w:rFonts w:hint="eastAsia"/>
                <w:sz w:val="24"/>
                <w:lang w:val="en-US" w:eastAsia="zh-CN"/>
              </w:rPr>
              <w:t>±</w:t>
            </w:r>
            <w:r>
              <w:rPr>
                <w:rFonts w:hint="eastAsia"/>
                <w:sz w:val="21"/>
                <w:szCs w:val="21"/>
              </w:rPr>
              <w:t>20</w:t>
            </w:r>
          </w:p>
        </w:tc>
      </w:tr>
    </w:tbl>
    <w:p w14:paraId="35FAC5E3">
      <w:pPr>
        <w:snapToGrid w:val="0"/>
        <w:spacing w:line="300" w:lineRule="auto"/>
        <w:ind w:firstLine="480" w:firstLineChars="200"/>
        <w:jc w:val="left"/>
        <w:rPr>
          <w:sz w:val="24"/>
        </w:rPr>
      </w:pPr>
      <w:r>
        <w:rPr>
          <w:sz w:val="24"/>
        </w:rPr>
        <w:t>2</w:t>
      </w:r>
      <w:r>
        <w:rPr>
          <w:rFonts w:hint="eastAsia"/>
          <w:sz w:val="24"/>
          <w:lang w:val="en-US" w:eastAsia="zh-CN"/>
        </w:rPr>
        <w:t xml:space="preserve"> </w:t>
      </w:r>
      <w:r>
        <w:rPr>
          <w:sz w:val="24"/>
        </w:rPr>
        <w:t>锚栓、预埋件的尺寸允许偏差应符合表1</w:t>
      </w:r>
      <w:r>
        <w:rPr>
          <w:rFonts w:hint="eastAsia"/>
          <w:sz w:val="24"/>
          <w:lang w:val="en-US" w:eastAsia="zh-CN"/>
        </w:rPr>
        <w:t>0</w:t>
      </w:r>
      <w:r>
        <w:rPr>
          <w:sz w:val="24"/>
        </w:rPr>
        <w:t>.2.</w:t>
      </w:r>
      <w:r>
        <w:rPr>
          <w:rFonts w:hint="eastAsia"/>
          <w:sz w:val="24"/>
          <w:lang w:val="en-US" w:eastAsia="zh-CN"/>
        </w:rPr>
        <w:t>10</w:t>
      </w:r>
      <w:r>
        <w:rPr>
          <w:sz w:val="24"/>
        </w:rPr>
        <w:t>-2的规定。</w:t>
      </w:r>
    </w:p>
    <w:p w14:paraId="24AB78B0">
      <w:pPr>
        <w:snapToGrid w:val="0"/>
        <w:spacing w:line="300" w:lineRule="auto"/>
        <w:jc w:val="center"/>
        <w:rPr>
          <w:b/>
          <w:bCs/>
          <w:sz w:val="21"/>
          <w:szCs w:val="21"/>
        </w:rPr>
      </w:pPr>
      <w:r>
        <w:rPr>
          <w:b/>
          <w:bCs/>
          <w:sz w:val="21"/>
          <w:szCs w:val="21"/>
        </w:rPr>
        <w:t>表1</w:t>
      </w:r>
      <w:r>
        <w:rPr>
          <w:rFonts w:hint="default"/>
          <w:b/>
          <w:bCs/>
          <w:sz w:val="21"/>
          <w:szCs w:val="21"/>
          <w:lang w:val="en-US" w:eastAsia="zh-CN"/>
        </w:rPr>
        <w:t>0</w:t>
      </w:r>
      <w:r>
        <w:rPr>
          <w:b/>
          <w:bCs/>
          <w:sz w:val="21"/>
          <w:szCs w:val="21"/>
        </w:rPr>
        <w:t>.2.</w:t>
      </w:r>
      <w:r>
        <w:rPr>
          <w:rFonts w:hint="default"/>
          <w:b/>
          <w:bCs/>
          <w:sz w:val="21"/>
          <w:szCs w:val="21"/>
          <w:lang w:val="en-US" w:eastAsia="zh-CN"/>
        </w:rPr>
        <w:t>10</w:t>
      </w:r>
      <w:r>
        <w:rPr>
          <w:b/>
          <w:bCs/>
          <w:sz w:val="21"/>
          <w:szCs w:val="21"/>
        </w:rPr>
        <w:t>-2锚栓、预埋件的尺寸允许偏差</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39"/>
      </w:tblGrid>
      <w:tr w14:paraId="7096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3" w:type="pct"/>
            <w:gridSpan w:val="2"/>
            <w:vAlign w:val="center"/>
          </w:tcPr>
          <w:p w14:paraId="0D0A400A">
            <w:pPr>
              <w:snapToGrid w:val="0"/>
              <w:spacing w:line="240" w:lineRule="auto"/>
              <w:jc w:val="center"/>
              <w:rPr>
                <w:b/>
                <w:bCs/>
                <w:sz w:val="21"/>
                <w:szCs w:val="21"/>
              </w:rPr>
            </w:pPr>
            <w:r>
              <w:rPr>
                <w:b/>
                <w:bCs/>
                <w:sz w:val="21"/>
                <w:szCs w:val="21"/>
              </w:rPr>
              <w:t>项目名称</w:t>
            </w:r>
          </w:p>
        </w:tc>
        <w:tc>
          <w:tcPr>
            <w:tcW w:w="1666" w:type="pct"/>
            <w:vAlign w:val="center"/>
          </w:tcPr>
          <w:p w14:paraId="38E02D05">
            <w:pPr>
              <w:snapToGrid w:val="0"/>
              <w:spacing w:line="240" w:lineRule="auto"/>
              <w:jc w:val="center"/>
              <w:rPr>
                <w:b/>
                <w:bCs/>
                <w:sz w:val="21"/>
                <w:szCs w:val="21"/>
              </w:rPr>
            </w:pPr>
            <w:r>
              <w:rPr>
                <w:b/>
                <w:bCs/>
                <w:sz w:val="21"/>
                <w:szCs w:val="21"/>
              </w:rPr>
              <w:t>允许偏差(mm)</w:t>
            </w:r>
          </w:p>
        </w:tc>
      </w:tr>
      <w:tr w14:paraId="5177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14:paraId="2810D969">
            <w:pPr>
              <w:snapToGrid w:val="0"/>
              <w:spacing w:line="240" w:lineRule="auto"/>
              <w:jc w:val="center"/>
              <w:rPr>
                <w:sz w:val="21"/>
                <w:szCs w:val="21"/>
              </w:rPr>
            </w:pPr>
            <w:r>
              <w:rPr>
                <w:rFonts w:hint="eastAsia"/>
                <w:sz w:val="21"/>
                <w:szCs w:val="21"/>
              </w:rPr>
              <w:t>锚栓</w:t>
            </w:r>
          </w:p>
        </w:tc>
        <w:tc>
          <w:tcPr>
            <w:tcW w:w="1667" w:type="pct"/>
            <w:vAlign w:val="center"/>
          </w:tcPr>
          <w:p w14:paraId="20FC616F">
            <w:pPr>
              <w:snapToGrid w:val="0"/>
              <w:spacing w:line="240" w:lineRule="auto"/>
              <w:jc w:val="center"/>
              <w:rPr>
                <w:sz w:val="21"/>
                <w:szCs w:val="21"/>
              </w:rPr>
            </w:pPr>
            <w:r>
              <w:rPr>
                <w:sz w:val="21"/>
                <w:szCs w:val="21"/>
              </w:rPr>
              <w:t>中心线位置</w:t>
            </w:r>
          </w:p>
        </w:tc>
        <w:tc>
          <w:tcPr>
            <w:tcW w:w="1666" w:type="pct"/>
            <w:vAlign w:val="center"/>
          </w:tcPr>
          <w:p w14:paraId="6D4E11DC">
            <w:pPr>
              <w:snapToGrid w:val="0"/>
              <w:spacing w:line="240" w:lineRule="auto"/>
              <w:jc w:val="center"/>
              <w:rPr>
                <w:sz w:val="21"/>
                <w:szCs w:val="21"/>
              </w:rPr>
            </w:pPr>
            <w:r>
              <w:rPr>
                <w:rFonts w:hint="eastAsia"/>
                <w:sz w:val="24"/>
                <w:lang w:val="en-US" w:eastAsia="zh-CN"/>
              </w:rPr>
              <w:t>±</w:t>
            </w:r>
            <w:r>
              <w:rPr>
                <w:rFonts w:hint="eastAsia"/>
                <w:sz w:val="21"/>
                <w:szCs w:val="21"/>
              </w:rPr>
              <w:t>5</w:t>
            </w:r>
          </w:p>
        </w:tc>
      </w:tr>
      <w:tr w14:paraId="14D5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3397D8D1">
            <w:pPr>
              <w:snapToGrid w:val="0"/>
              <w:spacing w:line="240" w:lineRule="auto"/>
              <w:jc w:val="center"/>
              <w:rPr>
                <w:sz w:val="21"/>
                <w:szCs w:val="21"/>
              </w:rPr>
            </w:pPr>
          </w:p>
        </w:tc>
        <w:tc>
          <w:tcPr>
            <w:tcW w:w="1667" w:type="pct"/>
            <w:vAlign w:val="center"/>
          </w:tcPr>
          <w:p w14:paraId="7BE3311B">
            <w:pPr>
              <w:snapToGrid w:val="0"/>
              <w:spacing w:line="240" w:lineRule="auto"/>
              <w:jc w:val="center"/>
              <w:rPr>
                <w:sz w:val="21"/>
                <w:szCs w:val="21"/>
              </w:rPr>
            </w:pPr>
            <w:r>
              <w:rPr>
                <w:sz w:val="21"/>
                <w:szCs w:val="21"/>
              </w:rPr>
              <w:t>标高(顶部)</w:t>
            </w:r>
          </w:p>
        </w:tc>
        <w:tc>
          <w:tcPr>
            <w:tcW w:w="1666" w:type="pct"/>
            <w:vAlign w:val="center"/>
          </w:tcPr>
          <w:p w14:paraId="791A78FE">
            <w:pPr>
              <w:snapToGrid w:val="0"/>
              <w:spacing w:line="240" w:lineRule="auto"/>
              <w:jc w:val="center"/>
              <w:rPr>
                <w:sz w:val="21"/>
                <w:szCs w:val="21"/>
              </w:rPr>
            </w:pPr>
            <w:r>
              <w:rPr>
                <w:rFonts w:hint="eastAsia"/>
                <w:sz w:val="24"/>
                <w:lang w:val="en-US" w:eastAsia="zh-CN"/>
              </w:rPr>
              <w:t>±</w:t>
            </w:r>
            <w:r>
              <w:rPr>
                <w:sz w:val="21"/>
                <w:szCs w:val="21"/>
              </w:rPr>
              <w:t>20，0</w:t>
            </w:r>
          </w:p>
        </w:tc>
      </w:tr>
      <w:tr w14:paraId="3176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restart"/>
            <w:vAlign w:val="center"/>
          </w:tcPr>
          <w:p w14:paraId="6A2ECBB7">
            <w:pPr>
              <w:snapToGrid w:val="0"/>
              <w:spacing w:line="240" w:lineRule="auto"/>
              <w:jc w:val="center"/>
              <w:rPr>
                <w:sz w:val="21"/>
                <w:szCs w:val="21"/>
              </w:rPr>
            </w:pPr>
            <w:r>
              <w:rPr>
                <w:rFonts w:hint="eastAsia"/>
                <w:sz w:val="21"/>
                <w:szCs w:val="21"/>
              </w:rPr>
              <w:t>预埋钢板</w:t>
            </w:r>
          </w:p>
        </w:tc>
        <w:tc>
          <w:tcPr>
            <w:tcW w:w="1667" w:type="pct"/>
            <w:vAlign w:val="center"/>
          </w:tcPr>
          <w:p w14:paraId="235D2D8D">
            <w:pPr>
              <w:snapToGrid w:val="0"/>
              <w:spacing w:line="240" w:lineRule="auto"/>
              <w:jc w:val="center"/>
              <w:rPr>
                <w:sz w:val="21"/>
                <w:szCs w:val="21"/>
              </w:rPr>
            </w:pPr>
            <w:r>
              <w:rPr>
                <w:sz w:val="21"/>
                <w:szCs w:val="21"/>
              </w:rPr>
              <w:t>中心线位置</w:t>
            </w:r>
          </w:p>
        </w:tc>
        <w:tc>
          <w:tcPr>
            <w:tcW w:w="1666" w:type="pct"/>
            <w:vAlign w:val="center"/>
          </w:tcPr>
          <w:p w14:paraId="23C14C3F">
            <w:pPr>
              <w:snapToGrid w:val="0"/>
              <w:spacing w:line="240" w:lineRule="auto"/>
              <w:jc w:val="center"/>
              <w:rPr>
                <w:sz w:val="21"/>
                <w:szCs w:val="21"/>
              </w:rPr>
            </w:pPr>
            <w:r>
              <w:rPr>
                <w:rFonts w:hint="eastAsia"/>
                <w:sz w:val="24"/>
                <w:lang w:val="en-US" w:eastAsia="zh-CN"/>
              </w:rPr>
              <w:t>±</w:t>
            </w:r>
            <w:r>
              <w:rPr>
                <w:sz w:val="21"/>
                <w:szCs w:val="21"/>
              </w:rPr>
              <w:t>10</w:t>
            </w:r>
          </w:p>
        </w:tc>
      </w:tr>
      <w:tr w14:paraId="2469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Merge w:val="continue"/>
            <w:vAlign w:val="center"/>
          </w:tcPr>
          <w:p w14:paraId="17132839">
            <w:pPr>
              <w:snapToGrid w:val="0"/>
              <w:spacing w:line="240" w:lineRule="auto"/>
              <w:jc w:val="center"/>
              <w:rPr>
                <w:sz w:val="21"/>
                <w:szCs w:val="21"/>
              </w:rPr>
            </w:pPr>
          </w:p>
        </w:tc>
        <w:tc>
          <w:tcPr>
            <w:tcW w:w="1667" w:type="pct"/>
            <w:vAlign w:val="center"/>
          </w:tcPr>
          <w:p w14:paraId="7254A7FD">
            <w:pPr>
              <w:snapToGrid w:val="0"/>
              <w:spacing w:line="240" w:lineRule="auto"/>
              <w:jc w:val="center"/>
              <w:rPr>
                <w:sz w:val="21"/>
                <w:szCs w:val="21"/>
              </w:rPr>
            </w:pPr>
            <w:r>
              <w:rPr>
                <w:sz w:val="21"/>
                <w:szCs w:val="21"/>
              </w:rPr>
              <w:t>标高</w:t>
            </w:r>
          </w:p>
        </w:tc>
        <w:tc>
          <w:tcPr>
            <w:tcW w:w="1666" w:type="pct"/>
            <w:vAlign w:val="center"/>
          </w:tcPr>
          <w:p w14:paraId="1F4D98E5">
            <w:pPr>
              <w:snapToGrid w:val="0"/>
              <w:spacing w:line="240" w:lineRule="auto"/>
              <w:jc w:val="center"/>
              <w:rPr>
                <w:sz w:val="21"/>
                <w:szCs w:val="21"/>
              </w:rPr>
            </w:pPr>
            <w:r>
              <w:rPr>
                <w:sz w:val="21"/>
                <w:szCs w:val="21"/>
              </w:rPr>
              <w:t>0，-5</w:t>
            </w:r>
          </w:p>
        </w:tc>
      </w:tr>
    </w:tbl>
    <w:p w14:paraId="00DF2333">
      <w:pPr>
        <w:snapToGrid w:val="0"/>
        <w:spacing w:line="300" w:lineRule="auto"/>
        <w:ind w:firstLine="480" w:firstLineChars="200"/>
        <w:jc w:val="left"/>
        <w:rPr>
          <w:sz w:val="24"/>
        </w:rPr>
      </w:pPr>
      <w:r>
        <w:rPr>
          <w:sz w:val="24"/>
        </w:rPr>
        <w:t>3</w:t>
      </w:r>
      <w:r>
        <w:rPr>
          <w:rFonts w:hint="eastAsia"/>
          <w:sz w:val="24"/>
          <w:lang w:val="en-US" w:eastAsia="zh-CN"/>
        </w:rPr>
        <w:t xml:space="preserve"> </w:t>
      </w:r>
      <w:r>
        <w:rPr>
          <w:sz w:val="24"/>
        </w:rPr>
        <w:t>金属屋面夹具的尺寸允许偏差应符合表1</w:t>
      </w:r>
      <w:r>
        <w:rPr>
          <w:rFonts w:hint="eastAsia"/>
          <w:sz w:val="24"/>
          <w:lang w:val="en-US" w:eastAsia="zh-CN"/>
        </w:rPr>
        <w:t>0</w:t>
      </w:r>
      <w:r>
        <w:rPr>
          <w:sz w:val="24"/>
        </w:rPr>
        <w:t>.2.</w:t>
      </w:r>
      <w:r>
        <w:rPr>
          <w:rFonts w:hint="eastAsia"/>
          <w:sz w:val="24"/>
          <w:lang w:val="en-US" w:eastAsia="zh-CN"/>
        </w:rPr>
        <w:t>10</w:t>
      </w:r>
      <w:r>
        <w:rPr>
          <w:sz w:val="24"/>
        </w:rPr>
        <w:t>-3的规定。</w:t>
      </w:r>
    </w:p>
    <w:p w14:paraId="5B37D518">
      <w:pPr>
        <w:snapToGrid w:val="0"/>
        <w:spacing w:line="300" w:lineRule="auto"/>
        <w:jc w:val="center"/>
        <w:rPr>
          <w:b/>
          <w:bCs/>
          <w:sz w:val="21"/>
          <w:szCs w:val="21"/>
        </w:rPr>
      </w:pPr>
      <w:r>
        <w:rPr>
          <w:b/>
          <w:bCs/>
          <w:sz w:val="21"/>
          <w:szCs w:val="21"/>
        </w:rPr>
        <w:t>表1</w:t>
      </w:r>
      <w:r>
        <w:rPr>
          <w:rFonts w:hint="eastAsia"/>
          <w:b/>
          <w:bCs/>
          <w:sz w:val="21"/>
          <w:szCs w:val="21"/>
          <w:lang w:eastAsia="zh-CN"/>
        </w:rPr>
        <w:t>0</w:t>
      </w:r>
      <w:r>
        <w:rPr>
          <w:b/>
          <w:bCs/>
          <w:sz w:val="21"/>
          <w:szCs w:val="21"/>
        </w:rPr>
        <w:t>.2.</w:t>
      </w:r>
      <w:r>
        <w:rPr>
          <w:rFonts w:hint="eastAsia"/>
          <w:b/>
          <w:bCs/>
          <w:sz w:val="21"/>
          <w:szCs w:val="21"/>
          <w:lang w:val="en-US" w:eastAsia="zh-CN"/>
        </w:rPr>
        <w:t>10</w:t>
      </w:r>
      <w:r>
        <w:rPr>
          <w:b/>
          <w:bCs/>
          <w:sz w:val="21"/>
          <w:szCs w:val="21"/>
        </w:rPr>
        <w:t>-3金属屋面夹具的尺寸允许偏差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E1A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707E7F8">
            <w:pPr>
              <w:snapToGrid w:val="0"/>
              <w:spacing w:line="240" w:lineRule="auto"/>
              <w:jc w:val="center"/>
              <w:rPr>
                <w:rFonts w:hint="eastAsia"/>
                <w:b/>
                <w:bCs/>
                <w:sz w:val="21"/>
                <w:szCs w:val="21"/>
              </w:rPr>
            </w:pPr>
            <w:r>
              <w:rPr>
                <w:rFonts w:hint="eastAsia"/>
                <w:b/>
                <w:bCs/>
                <w:sz w:val="21"/>
                <w:szCs w:val="21"/>
              </w:rPr>
              <w:t>项目名称</w:t>
            </w:r>
          </w:p>
        </w:tc>
        <w:tc>
          <w:tcPr>
            <w:tcW w:w="2500" w:type="pct"/>
            <w:vAlign w:val="center"/>
          </w:tcPr>
          <w:p w14:paraId="4EAD9A02">
            <w:pPr>
              <w:snapToGrid w:val="0"/>
              <w:spacing w:line="240" w:lineRule="auto"/>
              <w:jc w:val="center"/>
              <w:rPr>
                <w:rFonts w:hint="eastAsia"/>
                <w:b/>
                <w:bCs/>
                <w:sz w:val="21"/>
                <w:szCs w:val="21"/>
              </w:rPr>
            </w:pPr>
            <w:r>
              <w:rPr>
                <w:rFonts w:hint="eastAsia"/>
                <w:b/>
                <w:bCs/>
                <w:sz w:val="21"/>
                <w:szCs w:val="21"/>
              </w:rPr>
              <w:t>允许偏差(mm)</w:t>
            </w:r>
          </w:p>
        </w:tc>
      </w:tr>
      <w:tr w14:paraId="7004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7A23F4A8">
            <w:pPr>
              <w:snapToGrid w:val="0"/>
              <w:spacing w:line="240" w:lineRule="auto"/>
              <w:jc w:val="center"/>
              <w:rPr>
                <w:rFonts w:hint="eastAsia"/>
                <w:sz w:val="21"/>
                <w:szCs w:val="21"/>
              </w:rPr>
            </w:pPr>
            <w:r>
              <w:rPr>
                <w:rFonts w:hint="eastAsia"/>
                <w:sz w:val="21"/>
                <w:szCs w:val="21"/>
              </w:rPr>
              <w:t>轴线</w:t>
            </w:r>
          </w:p>
        </w:tc>
        <w:tc>
          <w:tcPr>
            <w:tcW w:w="2500" w:type="pct"/>
            <w:vAlign w:val="center"/>
          </w:tcPr>
          <w:p w14:paraId="25297ED9">
            <w:pPr>
              <w:snapToGrid w:val="0"/>
              <w:spacing w:line="240" w:lineRule="auto"/>
              <w:jc w:val="center"/>
              <w:rPr>
                <w:rFonts w:hint="eastAsia"/>
                <w:sz w:val="21"/>
                <w:szCs w:val="21"/>
              </w:rPr>
            </w:pPr>
            <w:r>
              <w:rPr>
                <w:rFonts w:hint="eastAsia"/>
                <w:sz w:val="24"/>
                <w:lang w:val="en-US" w:eastAsia="zh-CN"/>
              </w:rPr>
              <w:t>±</w:t>
            </w:r>
            <w:r>
              <w:rPr>
                <w:rFonts w:hint="eastAsia"/>
                <w:sz w:val="21"/>
                <w:szCs w:val="21"/>
              </w:rPr>
              <w:t>10</w:t>
            </w:r>
          </w:p>
        </w:tc>
      </w:tr>
      <w:tr w14:paraId="6BD8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3A01B2FC">
            <w:pPr>
              <w:snapToGrid w:val="0"/>
              <w:spacing w:line="240" w:lineRule="auto"/>
              <w:jc w:val="center"/>
              <w:rPr>
                <w:rFonts w:hint="eastAsia"/>
                <w:sz w:val="21"/>
                <w:szCs w:val="21"/>
              </w:rPr>
            </w:pPr>
            <w:r>
              <w:rPr>
                <w:rFonts w:hint="eastAsia"/>
                <w:sz w:val="21"/>
                <w:szCs w:val="21"/>
              </w:rPr>
              <w:t>顶标高</w:t>
            </w:r>
          </w:p>
        </w:tc>
        <w:tc>
          <w:tcPr>
            <w:tcW w:w="2500" w:type="pct"/>
            <w:vAlign w:val="center"/>
          </w:tcPr>
          <w:p w14:paraId="2CA98023">
            <w:pPr>
              <w:snapToGrid w:val="0"/>
              <w:spacing w:line="240" w:lineRule="auto"/>
              <w:jc w:val="center"/>
              <w:rPr>
                <w:rFonts w:hint="eastAsia"/>
                <w:sz w:val="21"/>
                <w:szCs w:val="21"/>
              </w:rPr>
            </w:pPr>
            <w:r>
              <w:rPr>
                <w:rFonts w:hint="eastAsia"/>
                <w:sz w:val="21"/>
                <w:szCs w:val="21"/>
              </w:rPr>
              <w:t>0</w:t>
            </w:r>
            <w:r>
              <w:rPr>
                <w:rFonts w:hint="eastAsia"/>
                <w:sz w:val="21"/>
                <w:szCs w:val="21"/>
                <w:lang w:eastAsia="zh-CN"/>
              </w:rPr>
              <w:t>，</w:t>
            </w:r>
            <w:r>
              <w:rPr>
                <w:rFonts w:hint="eastAsia"/>
                <w:sz w:val="21"/>
                <w:szCs w:val="21"/>
                <w:lang w:val="en-US" w:eastAsia="zh-CN"/>
              </w:rPr>
              <w:t>-</w:t>
            </w:r>
            <w:r>
              <w:rPr>
                <w:rFonts w:hint="eastAsia"/>
                <w:sz w:val="21"/>
                <w:szCs w:val="21"/>
              </w:rPr>
              <w:t>10</w:t>
            </w:r>
          </w:p>
        </w:tc>
      </w:tr>
      <w:tr w14:paraId="114A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049E621F">
            <w:pPr>
              <w:snapToGrid w:val="0"/>
              <w:spacing w:line="240" w:lineRule="auto"/>
              <w:jc w:val="center"/>
              <w:rPr>
                <w:rFonts w:hint="eastAsia"/>
                <w:sz w:val="21"/>
                <w:szCs w:val="21"/>
              </w:rPr>
            </w:pPr>
            <w:r>
              <w:rPr>
                <w:rFonts w:hint="eastAsia"/>
                <w:sz w:val="21"/>
                <w:szCs w:val="21"/>
              </w:rPr>
              <w:t>外形尺寸</w:t>
            </w:r>
          </w:p>
        </w:tc>
        <w:tc>
          <w:tcPr>
            <w:tcW w:w="2500" w:type="pct"/>
            <w:vAlign w:val="center"/>
          </w:tcPr>
          <w:p w14:paraId="4C3AC7F3">
            <w:pPr>
              <w:snapToGrid w:val="0"/>
              <w:spacing w:line="240" w:lineRule="auto"/>
              <w:jc w:val="center"/>
              <w:rPr>
                <w:rFonts w:hint="eastAsia"/>
                <w:sz w:val="21"/>
                <w:szCs w:val="21"/>
              </w:rPr>
            </w:pPr>
            <w:r>
              <w:rPr>
                <w:rFonts w:hint="eastAsia"/>
                <w:sz w:val="24"/>
                <w:lang w:val="en-US" w:eastAsia="zh-CN"/>
              </w:rPr>
              <w:t>±</w:t>
            </w:r>
            <w:r>
              <w:rPr>
                <w:rFonts w:hint="eastAsia"/>
                <w:sz w:val="21"/>
                <w:szCs w:val="21"/>
              </w:rPr>
              <w:t>5</w:t>
            </w:r>
          </w:p>
        </w:tc>
      </w:tr>
    </w:tbl>
    <w:p w14:paraId="0DC45BC7">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5E1DB42">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.2.</w:t>
      </w:r>
      <w:r>
        <w:rPr>
          <w:rFonts w:hint="eastAsia" w:ascii="仿宋" w:hAnsi="仿宋" w:eastAsia="仿宋" w:cs="仿宋"/>
          <w:i/>
          <w:iCs/>
          <w:color w:val="0623BA"/>
          <w:sz w:val="24"/>
          <w:lang w:val="en-US" w:eastAsia="zh-CN"/>
        </w:rPr>
        <w:t>10</w:t>
      </w:r>
      <w:r>
        <w:rPr>
          <w:rFonts w:hint="eastAsia" w:ascii="仿宋" w:hAnsi="仿宋" w:eastAsia="仿宋" w:cs="仿宋"/>
          <w:i/>
          <w:iCs/>
          <w:color w:val="0623BA"/>
          <w:sz w:val="24"/>
        </w:rPr>
        <w:t xml:space="preserve"> 安装支架的连接部件的施工偏差不仅影响光伏发电系统的结构安全，还会影响后续支架的安装质量。因此在此施工环节应严把质量关，为后续支架安装提供便利条件。本条对不同连接构件施工偏差的限定，主要参照《混凝土结构工程施工质量验收规范》GB 50204、《光伏发电站施工规范》GB 50794、《太阳能</w:t>
      </w:r>
      <w:r>
        <w:rPr>
          <w:rFonts w:hint="eastAsia" w:ascii="仿宋" w:hAnsi="仿宋" w:eastAsia="仿宋" w:cs="仿宋"/>
          <w:i/>
          <w:iCs/>
          <w:color w:val="0623BA"/>
          <w:sz w:val="24"/>
        </w:rPr>
        <w:br w:type="textWrapping"/>
      </w:r>
      <w:r>
        <w:rPr>
          <w:rFonts w:hint="eastAsia" w:ascii="仿宋" w:hAnsi="仿宋" w:eastAsia="仿宋" w:cs="仿宋"/>
          <w:i/>
          <w:iCs/>
          <w:color w:val="0623BA"/>
          <w:sz w:val="24"/>
        </w:rPr>
        <w:t>发电站支架基础技术规范》GB 51101 等现行国家标准和通过对行业普遍的施工水平调研而来。</w:t>
      </w:r>
    </w:p>
    <w:p w14:paraId="39FB012E">
      <w:pPr>
        <w:snapToGrid w:val="0"/>
        <w:spacing w:line="300" w:lineRule="auto"/>
        <w:rPr>
          <w:sz w:val="24"/>
        </w:rPr>
      </w:pPr>
      <w:r>
        <w:rPr>
          <w:b/>
          <w:bCs/>
          <w:sz w:val="24"/>
        </w:rPr>
        <w:t>1</w:t>
      </w:r>
      <w:r>
        <w:rPr>
          <w:rFonts w:hint="eastAsia"/>
          <w:b/>
          <w:bCs/>
          <w:sz w:val="24"/>
          <w:lang w:val="en-US" w:eastAsia="zh-CN"/>
        </w:rPr>
        <w:t>0</w:t>
      </w:r>
      <w:r>
        <w:rPr>
          <w:b/>
          <w:bCs/>
          <w:sz w:val="24"/>
        </w:rPr>
        <w:t>.2.</w:t>
      </w:r>
      <w:r>
        <w:rPr>
          <w:rFonts w:hint="eastAsia"/>
          <w:b/>
          <w:bCs/>
          <w:sz w:val="24"/>
          <w:lang w:val="en-US" w:eastAsia="zh-CN"/>
        </w:rPr>
        <w:t>11</w:t>
      </w:r>
      <w:r>
        <w:rPr>
          <w:rFonts w:hint="eastAsia"/>
          <w:sz w:val="24"/>
        </w:rPr>
        <w:t xml:space="preserve"> </w:t>
      </w:r>
      <w:r>
        <w:rPr>
          <w:sz w:val="24"/>
        </w:rPr>
        <w:t>光伏幕墙连接部件和构件的安装施工应符合现行行业标准《玻璃幕墙工程技术规范》JGJ102和《玻璃幕墙工程质量检验标准》JGJ/T139的有关规定。光伏采光顶连接部件和构件的安装施工应符合现行行业标准《采光顶与金属屋面技术规程》JGJ255的有关规定。光伏遮阳连接部件和构件的安装施工应符合现行行业标准《采光顶与金属屋面技术规程》JGJ255和《建筑遮阳通用要求》JG/T274的有关规定。</w:t>
      </w:r>
    </w:p>
    <w:p w14:paraId="7FAEA716">
      <w:pPr>
        <w:keepNext/>
        <w:keepLines/>
        <w:snapToGrid w:val="0"/>
        <w:spacing w:before="95" w:beforeLines="30" w:after="95" w:afterLines="30" w:line="300" w:lineRule="auto"/>
        <w:jc w:val="center"/>
        <w:outlineLvl w:val="2"/>
        <w:rPr>
          <w:b/>
          <w:sz w:val="24"/>
          <w:szCs w:val="32"/>
        </w:rPr>
      </w:pPr>
      <w:bookmarkStart w:id="353" w:name="_Toc11357"/>
      <w:bookmarkStart w:id="354" w:name="_Toc3364"/>
      <w:bookmarkStart w:id="355" w:name="_Toc16158"/>
      <w:bookmarkStart w:id="356" w:name="_Toc18346"/>
      <w:bookmarkStart w:id="357" w:name="_Toc31415"/>
      <w:bookmarkStart w:id="358" w:name="_Toc3406"/>
      <w:bookmarkStart w:id="359" w:name="_Toc3460"/>
      <w:bookmarkStart w:id="360" w:name="_Toc11888"/>
      <w:r>
        <w:rPr>
          <w:b/>
          <w:sz w:val="24"/>
          <w:szCs w:val="32"/>
        </w:rPr>
        <w:t>1</w:t>
      </w:r>
      <w:r>
        <w:rPr>
          <w:rFonts w:hint="default"/>
          <w:b/>
          <w:sz w:val="24"/>
          <w:szCs w:val="32"/>
          <w:lang w:val="en-US" w:eastAsia="zh-CN"/>
        </w:rPr>
        <w:t>0</w:t>
      </w:r>
      <w:r>
        <w:rPr>
          <w:b/>
          <w:sz w:val="24"/>
          <w:szCs w:val="32"/>
        </w:rPr>
        <w:t>.</w:t>
      </w:r>
      <w:r>
        <w:rPr>
          <w:rFonts w:hint="default"/>
          <w:b/>
          <w:sz w:val="24"/>
          <w:szCs w:val="32"/>
        </w:rPr>
        <w:t>3光伏组件安装</w:t>
      </w:r>
      <w:bookmarkEnd w:id="353"/>
      <w:bookmarkEnd w:id="354"/>
      <w:bookmarkEnd w:id="355"/>
      <w:bookmarkEnd w:id="356"/>
      <w:bookmarkEnd w:id="357"/>
      <w:bookmarkEnd w:id="358"/>
      <w:bookmarkEnd w:id="359"/>
      <w:bookmarkEnd w:id="360"/>
    </w:p>
    <w:p w14:paraId="69561C30">
      <w:pPr>
        <w:snapToGrid w:val="0"/>
        <w:spacing w:line="300" w:lineRule="auto"/>
      </w:pPr>
      <w:r>
        <w:rPr>
          <w:rFonts w:hint="eastAsia"/>
          <w:b/>
          <w:bCs/>
          <w:sz w:val="24"/>
        </w:rPr>
        <w:t>1</w:t>
      </w:r>
      <w:r>
        <w:rPr>
          <w:rFonts w:hint="eastAsia"/>
          <w:b/>
          <w:bCs/>
          <w:sz w:val="24"/>
          <w:lang w:val="en-US" w:eastAsia="zh-CN"/>
        </w:rPr>
        <w:t>0</w:t>
      </w:r>
      <w:r>
        <w:rPr>
          <w:rFonts w:hint="eastAsia"/>
          <w:b/>
          <w:bCs/>
          <w:sz w:val="24"/>
        </w:rPr>
        <w:t>.3.</w:t>
      </w:r>
      <w:r>
        <w:rPr>
          <w:rFonts w:hint="eastAsia"/>
          <w:b/>
          <w:bCs/>
          <w:sz w:val="24"/>
          <w:lang w:val="en-US" w:eastAsia="zh-CN"/>
        </w:rPr>
        <w:t>1</w:t>
      </w:r>
      <w:r>
        <w:rPr>
          <w:rFonts w:hint="eastAsia"/>
          <w:sz w:val="24"/>
        </w:rPr>
        <w:t xml:space="preserve"> 光伏组件安装应符合下列</w:t>
      </w:r>
      <w:r>
        <w:rPr>
          <w:rFonts w:hint="eastAsia"/>
          <w:sz w:val="24"/>
          <w:lang w:val="en-US" w:eastAsia="zh-CN"/>
        </w:rPr>
        <w:t>规定</w:t>
      </w:r>
      <w:r>
        <w:rPr>
          <w:rFonts w:hint="eastAsia"/>
          <w:sz w:val="24"/>
        </w:rPr>
        <w:t>：</w:t>
      </w:r>
    </w:p>
    <w:p w14:paraId="70C28902">
      <w:pPr>
        <w:snapToGrid w:val="0"/>
        <w:spacing w:line="300" w:lineRule="auto"/>
        <w:ind w:firstLine="482" w:firstLineChars="200"/>
      </w:pPr>
      <w:r>
        <w:rPr>
          <w:rFonts w:hint="eastAsia"/>
          <w:b/>
          <w:bCs/>
          <w:sz w:val="24"/>
        </w:rPr>
        <w:t xml:space="preserve">1 </w:t>
      </w:r>
      <w:r>
        <w:rPr>
          <w:rFonts w:hint="eastAsia"/>
          <w:sz w:val="24"/>
        </w:rPr>
        <w:t>光伏组件的拆箱和搬运应按照产品的相关操作说明进行；</w:t>
      </w:r>
    </w:p>
    <w:p w14:paraId="19EFC830">
      <w:pPr>
        <w:snapToGrid w:val="0"/>
        <w:spacing w:line="300" w:lineRule="auto"/>
        <w:ind w:firstLine="482" w:firstLineChars="200"/>
      </w:pPr>
      <w:r>
        <w:rPr>
          <w:rFonts w:hint="eastAsia"/>
          <w:b/>
          <w:bCs/>
          <w:sz w:val="24"/>
        </w:rPr>
        <w:t xml:space="preserve">2 </w:t>
      </w:r>
      <w:r>
        <w:rPr>
          <w:rFonts w:hint="eastAsia"/>
          <w:sz w:val="24"/>
        </w:rPr>
        <w:t>安装前应对各光伏组件进行检查，测量每个组件的开路电压、短路电流等技术参数；</w:t>
      </w:r>
    </w:p>
    <w:p w14:paraId="6CEB7575">
      <w:pPr>
        <w:snapToGrid w:val="0"/>
        <w:spacing w:line="300" w:lineRule="auto"/>
        <w:ind w:firstLine="482" w:firstLineChars="200"/>
      </w:pPr>
      <w:r>
        <w:rPr>
          <w:rFonts w:hint="eastAsia"/>
          <w:b/>
          <w:bCs/>
          <w:sz w:val="24"/>
        </w:rPr>
        <w:t>3</w:t>
      </w:r>
      <w:r>
        <w:rPr>
          <w:rFonts w:hint="eastAsia"/>
          <w:b/>
          <w:bCs/>
          <w:sz w:val="24"/>
          <w:lang w:val="en-US" w:eastAsia="zh-CN"/>
        </w:rPr>
        <w:t xml:space="preserve"> </w:t>
      </w:r>
      <w:r>
        <w:rPr>
          <w:rFonts w:hint="eastAsia"/>
          <w:sz w:val="24"/>
        </w:rPr>
        <w:t>组件</w:t>
      </w:r>
      <w:r>
        <w:rPr>
          <w:rFonts w:hint="eastAsia"/>
          <w:sz w:val="24"/>
          <w:lang w:val="en-US" w:eastAsia="zh-CN"/>
        </w:rPr>
        <w:t>应</w:t>
      </w:r>
      <w:r>
        <w:rPr>
          <w:rFonts w:hint="eastAsia"/>
          <w:sz w:val="24"/>
        </w:rPr>
        <w:t>按照其技术参数进行分类，使最佳工作电流相近的串联在一起，最佳工作电压相近的并联在一起；</w:t>
      </w:r>
    </w:p>
    <w:p w14:paraId="7100632F">
      <w:pPr>
        <w:snapToGrid w:val="0"/>
        <w:spacing w:line="300" w:lineRule="auto"/>
        <w:ind w:firstLine="482" w:firstLineChars="200"/>
      </w:pPr>
      <w:r>
        <w:rPr>
          <w:rFonts w:hint="eastAsia"/>
          <w:b/>
          <w:bCs/>
          <w:sz w:val="24"/>
        </w:rPr>
        <w:t xml:space="preserve">4 </w:t>
      </w:r>
      <w:r>
        <w:rPr>
          <w:rFonts w:hint="eastAsia"/>
          <w:b w:val="0"/>
          <w:bCs w:val="0"/>
          <w:sz w:val="24"/>
          <w:lang w:val="en-US" w:eastAsia="zh-CN"/>
        </w:rPr>
        <w:t>应</w:t>
      </w:r>
      <w:r>
        <w:rPr>
          <w:rFonts w:hint="eastAsia"/>
          <w:sz w:val="24"/>
        </w:rPr>
        <w:t>用钢螺栓或专用卡件将所有的组件固定在安装支架上；</w:t>
      </w:r>
    </w:p>
    <w:p w14:paraId="4306579B">
      <w:pPr>
        <w:snapToGrid w:val="0"/>
        <w:spacing w:line="300" w:lineRule="auto"/>
        <w:ind w:firstLine="482" w:firstLineChars="200"/>
      </w:pPr>
      <w:r>
        <w:rPr>
          <w:rFonts w:hint="eastAsia"/>
          <w:b/>
          <w:bCs/>
          <w:sz w:val="24"/>
        </w:rPr>
        <w:t xml:space="preserve">5 </w:t>
      </w:r>
      <w:r>
        <w:rPr>
          <w:rFonts w:hint="eastAsia"/>
          <w:sz w:val="24"/>
        </w:rPr>
        <w:t>按照组件串并联的设计要求，用导线将组件的正、负极进行连接，导线电缆之间的连接必须可靠。宜用带保护皮的不锈钢夹、绑带、鞍形夹或耐老化的塑</w:t>
      </w:r>
    </w:p>
    <w:p w14:paraId="3F74F6BB">
      <w:pPr>
        <w:snapToGrid w:val="0"/>
        <w:spacing w:line="300" w:lineRule="auto"/>
        <w:ind w:firstLine="0" w:firstLineChars="0"/>
      </w:pPr>
      <w:r>
        <w:rPr>
          <w:rFonts w:hint="eastAsia"/>
          <w:sz w:val="24"/>
        </w:rPr>
        <w:t>料夹将电缆固定在管子或方阵支架上。接线完毕后，应盖上接线盒盖板。当有多个子方阵时，接线可通过分线盒或接线箱集中后输出；</w:t>
      </w:r>
    </w:p>
    <w:p w14:paraId="29ED1178">
      <w:pPr>
        <w:snapToGrid w:val="0"/>
        <w:spacing w:line="300" w:lineRule="auto"/>
        <w:ind w:firstLine="482" w:firstLineChars="200"/>
        <w:rPr>
          <w:rFonts w:hint="eastAsia"/>
          <w:sz w:val="24"/>
        </w:rPr>
      </w:pPr>
      <w:r>
        <w:rPr>
          <w:rFonts w:hint="eastAsia"/>
          <w:b/>
          <w:bCs/>
          <w:sz w:val="24"/>
        </w:rPr>
        <w:t>6</w:t>
      </w:r>
      <w:r>
        <w:rPr>
          <w:rFonts w:hint="eastAsia"/>
          <w:b/>
          <w:bCs/>
          <w:sz w:val="24"/>
          <w:lang w:val="en-US" w:eastAsia="zh-CN"/>
        </w:rPr>
        <w:t xml:space="preserve"> </w:t>
      </w:r>
      <w:r>
        <w:rPr>
          <w:rFonts w:hint="eastAsia"/>
          <w:sz w:val="24"/>
        </w:rPr>
        <w:t>太阳能光伏电池板的安装方位角和</w:t>
      </w:r>
      <w:r>
        <w:rPr>
          <w:sz w:val="24"/>
        </w:rPr>
        <w:t>光伏电池</w:t>
      </w:r>
      <w:r>
        <w:rPr>
          <w:rFonts w:hint="eastAsia"/>
          <w:sz w:val="24"/>
        </w:rPr>
        <w:t>倾角应对照设计要求进行核查，安装误差应在</w:t>
      </w:r>
      <w:r>
        <w:rPr>
          <w:rFonts w:hint="eastAsia"/>
          <w:sz w:val="24"/>
          <w:lang w:val="en-US" w:eastAsia="zh-CN"/>
        </w:rPr>
        <w:t>±</w:t>
      </w:r>
      <w:r>
        <w:rPr>
          <w:rFonts w:hint="eastAsia"/>
          <w:sz w:val="24"/>
        </w:rPr>
        <w:t>3</w:t>
      </w:r>
      <w:r>
        <w:rPr>
          <w:rFonts w:hint="default" w:ascii="Times New Roman" w:hAnsi="Times New Roman" w:cs="Times New Roman"/>
          <w:sz w:val="24"/>
        </w:rPr>
        <w:t>°</w:t>
      </w:r>
      <w:r>
        <w:rPr>
          <w:rFonts w:hint="eastAsia"/>
          <w:sz w:val="24"/>
        </w:rPr>
        <w:t>以内；</w:t>
      </w:r>
    </w:p>
    <w:p w14:paraId="5206D46E">
      <w:pPr>
        <w:snapToGrid w:val="0"/>
        <w:spacing w:line="300" w:lineRule="auto"/>
        <w:ind w:firstLine="482" w:firstLineChars="200"/>
      </w:pPr>
      <w:r>
        <w:rPr>
          <w:rFonts w:hint="eastAsia"/>
          <w:b/>
          <w:bCs/>
          <w:sz w:val="24"/>
        </w:rPr>
        <w:t xml:space="preserve">7 </w:t>
      </w:r>
      <w:r>
        <w:rPr>
          <w:rFonts w:hint="eastAsia"/>
          <w:sz w:val="24"/>
        </w:rPr>
        <w:t>光伏组件与建筑面层之间应留有安装空间和散热间隙，不得被施工杂物等填塞；</w:t>
      </w:r>
    </w:p>
    <w:p w14:paraId="0C2B8605">
      <w:pPr>
        <w:snapToGrid w:val="0"/>
        <w:spacing w:line="300" w:lineRule="auto"/>
        <w:ind w:firstLine="482" w:firstLineChars="200"/>
        <w:rPr>
          <w:rFonts w:hint="eastAsia" w:eastAsia="宋体"/>
          <w:lang w:eastAsia="zh-CN"/>
        </w:rPr>
      </w:pPr>
      <w:r>
        <w:rPr>
          <w:rFonts w:hint="eastAsia"/>
          <w:b/>
          <w:bCs/>
          <w:sz w:val="24"/>
        </w:rPr>
        <w:t>8</w:t>
      </w:r>
      <w:r>
        <w:rPr>
          <w:rFonts w:hint="eastAsia"/>
          <w:b/>
          <w:bCs/>
          <w:sz w:val="24"/>
          <w:lang w:val="en-US" w:eastAsia="zh-CN"/>
        </w:rPr>
        <w:t xml:space="preserve"> </w:t>
      </w:r>
      <w:r>
        <w:rPr>
          <w:rFonts w:hint="eastAsia"/>
          <w:sz w:val="24"/>
        </w:rPr>
        <w:t>光伏组件上正、负极和各种类型传感器接线应正确，压接应牢固，接线盒应采取防水措施</w:t>
      </w:r>
      <w:r>
        <w:rPr>
          <w:rFonts w:hint="eastAsia"/>
          <w:sz w:val="24"/>
          <w:lang w:eastAsia="zh-CN"/>
        </w:rPr>
        <w:t>。</w:t>
      </w:r>
    </w:p>
    <w:p w14:paraId="325348E3">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1B03CEB2">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.3.</w:t>
      </w:r>
      <w:r>
        <w:rPr>
          <w:rFonts w:hint="eastAsia" w:ascii="仿宋" w:hAnsi="仿宋" w:eastAsia="仿宋" w:cs="仿宋"/>
          <w:i/>
          <w:iCs/>
          <w:color w:val="0623BA"/>
          <w:sz w:val="24"/>
          <w:lang w:val="en-US" w:eastAsia="zh-CN"/>
        </w:rPr>
        <w:t>1</w:t>
      </w:r>
      <w:r>
        <w:rPr>
          <w:rFonts w:hint="eastAsia" w:ascii="仿宋" w:hAnsi="仿宋" w:eastAsia="仿宋" w:cs="仿宋"/>
          <w:i/>
          <w:iCs/>
          <w:color w:val="0623BA"/>
          <w:sz w:val="24"/>
        </w:rPr>
        <w:t xml:space="preserve"> 太阳能集热器和光伏电池板安装方位角和倾角与设计要求的容许安装误差。检验安装方位角时，应先使用罗盘仪确定正南向，再使用经纬仪测量出方位角。检验安装倾角则可使用量角器测量。方位角和倾角对太阳能集热器的集热量光伏电池的工作效率影响较大。</w:t>
      </w:r>
    </w:p>
    <w:p w14:paraId="18D74FF8">
      <w:pPr>
        <w:snapToGrid w:val="0"/>
        <w:spacing w:line="300" w:lineRule="auto"/>
        <w:ind w:firstLine="0" w:firstLineChars="0"/>
        <w:rPr>
          <w:rFonts w:ascii="Times New Roman" w:hAnsi="Times New Roman" w:eastAsia="宋体" w:cs="Times New Roman"/>
          <w:b w:val="0"/>
          <w:bCs w:val="0"/>
          <w:color w:val="auto"/>
          <w:sz w:val="24"/>
          <w:szCs w:val="24"/>
        </w:rPr>
      </w:pPr>
      <w:bookmarkStart w:id="361" w:name="_Toc18061"/>
      <w:r>
        <w:rPr>
          <w:rFonts w:hint="default"/>
          <w:b/>
          <w:bCs/>
          <w:color w:val="auto"/>
          <w:sz w:val="24"/>
        </w:rPr>
        <w:t>1</w:t>
      </w:r>
      <w:r>
        <w:rPr>
          <w:rFonts w:hint="default"/>
          <w:b/>
          <w:bCs/>
          <w:color w:val="auto"/>
          <w:sz w:val="24"/>
          <w:lang w:val="en-US" w:eastAsia="zh-CN"/>
        </w:rPr>
        <w:t>0</w:t>
      </w:r>
      <w:r>
        <w:rPr>
          <w:rFonts w:hint="default"/>
          <w:b/>
          <w:bCs/>
          <w:color w:val="auto"/>
          <w:sz w:val="24"/>
        </w:rPr>
        <w:t>.3.</w:t>
      </w:r>
      <w:r>
        <w:rPr>
          <w:rFonts w:hint="default"/>
          <w:b/>
          <w:bCs/>
          <w:color w:val="auto"/>
          <w:sz w:val="24"/>
          <w:lang w:val="en-US" w:eastAsia="zh-CN"/>
        </w:rPr>
        <w:t>2</w:t>
      </w:r>
      <w:r>
        <w:rPr>
          <w:rFonts w:hint="default"/>
          <w:b/>
          <w:bCs/>
          <w:color w:val="auto"/>
          <w:sz w:val="24"/>
        </w:rPr>
        <w:t xml:space="preserve"> </w:t>
      </w:r>
      <w:r>
        <w:rPr>
          <w:rFonts w:hint="default" w:ascii="Times New Roman" w:hAnsi="Times New Roman"/>
          <w:b w:val="0"/>
          <w:bCs w:val="0"/>
          <w:color w:val="auto"/>
          <w:sz w:val="24"/>
          <w:szCs w:val="24"/>
        </w:rPr>
        <w:t>在坡屋面结构安装时，埋设在坡屋面结构层内的预埋件，应在结构层施工时埋入，位置应准确。预埋件应做防腐处理，在光伏方阵安装前妥善保护</w:t>
      </w:r>
      <w:r>
        <w:rPr>
          <w:rFonts w:hint="eastAsia" w:cs="Times New Roman"/>
          <w:b w:val="0"/>
          <w:bCs w:val="0"/>
          <w:i w:val="0"/>
          <w:iCs w:val="0"/>
          <w:color w:val="auto"/>
          <w:sz w:val="24"/>
          <w:szCs w:val="24"/>
          <w:lang w:eastAsia="zh-CN"/>
        </w:rPr>
        <w:t>，</w:t>
      </w:r>
      <w:r>
        <w:rPr>
          <w:rFonts w:hint="default" w:ascii="Times New Roman" w:hAnsi="Times New Roman" w:eastAsia="宋体" w:cs="Times New Roman"/>
          <w:b w:val="0"/>
          <w:bCs w:val="0"/>
          <w:i w:val="0"/>
          <w:iCs w:val="0"/>
          <w:color w:val="auto"/>
          <w:sz w:val="24"/>
          <w:szCs w:val="24"/>
        </w:rPr>
        <w:t>其周边的防水连接构造必须严格按设计要求施工，不得渗漏</w:t>
      </w:r>
      <w:r>
        <w:rPr>
          <w:rFonts w:hint="default" w:ascii="Times New Roman" w:hAnsi="Times New Roman" w:cs="Times New Roman"/>
          <w:b w:val="0"/>
          <w:bCs w:val="0"/>
          <w:i w:val="0"/>
          <w:iCs w:val="0"/>
          <w:color w:val="auto"/>
          <w:sz w:val="24"/>
          <w:szCs w:val="24"/>
          <w:lang w:eastAsia="zh-CN"/>
        </w:rPr>
        <w:t>。</w:t>
      </w:r>
      <w:bookmarkEnd w:id="361"/>
      <w:r>
        <w:rPr>
          <w:rFonts w:ascii="Times New Roman" w:hAnsi="Times New Roman" w:eastAsia="宋体" w:cs="Times New Roman"/>
          <w:b w:val="0"/>
          <w:bCs w:val="0"/>
          <w:color w:val="auto"/>
          <w:sz w:val="24"/>
          <w:szCs w:val="24"/>
        </w:rPr>
        <w:t xml:space="preserve"> </w:t>
      </w:r>
    </w:p>
    <w:p w14:paraId="0D3C6C25">
      <w:pPr>
        <w:snapToGrid w:val="0"/>
        <w:spacing w:line="300" w:lineRule="auto"/>
        <w:rPr>
          <w:rFonts w:hint="eastAsia" w:eastAsia="宋体"/>
          <w:b/>
          <w:bCs/>
          <w:sz w:val="24"/>
          <w:lang w:val="en-US" w:eastAsia="zh-CN"/>
        </w:rPr>
      </w:pPr>
      <w:r>
        <w:rPr>
          <w:rFonts w:hint="eastAsia"/>
          <w:b/>
          <w:bCs/>
          <w:sz w:val="24"/>
          <w:lang w:val="en-US" w:eastAsia="zh-CN"/>
        </w:rPr>
        <w:t xml:space="preserve">10.3.3 </w:t>
      </w:r>
      <w:r>
        <w:rPr>
          <w:rFonts w:ascii="FZSSJW--GB1-0" w:hAnsi="FZSSJW--GB1-0" w:eastAsia="FZSSJW--GB1-0" w:cs="FZSSJW--GB1-0"/>
          <w:b w:val="0"/>
          <w:bCs w:val="0"/>
          <w:i w:val="0"/>
          <w:iCs w:val="0"/>
          <w:color w:val="000000"/>
          <w:sz w:val="24"/>
          <w:szCs w:val="24"/>
        </w:rPr>
        <w:t>光伏幕墙的安装应符合下列</w:t>
      </w:r>
      <w:r>
        <w:rPr>
          <w:rFonts w:hint="eastAsia" w:ascii="FZSSJW--GB1-0" w:hAnsi="FZSSJW--GB1-0" w:eastAsia="宋体" w:cs="FZSSJW--GB1-0"/>
          <w:b w:val="0"/>
          <w:bCs w:val="0"/>
          <w:i w:val="0"/>
          <w:iCs w:val="0"/>
          <w:color w:val="000000"/>
          <w:sz w:val="24"/>
          <w:szCs w:val="24"/>
          <w:lang w:val="en-US" w:eastAsia="zh-CN"/>
        </w:rPr>
        <w:t>规定</w:t>
      </w:r>
      <w:r>
        <w:rPr>
          <w:rFonts w:hint="eastAsia" w:ascii="FZSSJW--GB1-0" w:hAnsi="FZSSJW--GB1-0" w:cs="FZSSJW--GB1-0"/>
          <w:b w:val="0"/>
          <w:bCs w:val="0"/>
          <w:i w:val="0"/>
          <w:iCs w:val="0"/>
          <w:color w:val="000000"/>
          <w:sz w:val="24"/>
          <w:szCs w:val="24"/>
          <w:lang w:eastAsia="zh-CN"/>
        </w:rPr>
        <w:t>：</w:t>
      </w:r>
    </w:p>
    <w:p w14:paraId="4F8E7E98">
      <w:pPr>
        <w:snapToGrid w:val="0"/>
        <w:spacing w:line="300" w:lineRule="auto"/>
        <w:ind w:firstLine="482" w:firstLineChars="200"/>
        <w:rPr>
          <w:rFonts w:hint="default" w:cs="Times New Roman"/>
          <w:b w:val="0"/>
          <w:bCs w:val="0"/>
          <w:i w:val="0"/>
          <w:iCs w:val="0"/>
          <w:sz w:val="24"/>
          <w:szCs w:val="24"/>
          <w:lang w:eastAsia="zh-CN"/>
        </w:rPr>
      </w:pPr>
      <w:r>
        <w:rPr>
          <w:rFonts w:hint="eastAsia" w:cs="Times New Roman"/>
          <w:b/>
          <w:bCs/>
          <w:i w:val="0"/>
          <w:iCs w:val="0"/>
          <w:color w:val="auto"/>
          <w:sz w:val="24"/>
          <w:szCs w:val="24"/>
          <w:lang w:val="en-US" w:eastAsia="zh-CN"/>
        </w:rPr>
        <w:t>1</w:t>
      </w:r>
      <w:r>
        <w:rPr>
          <w:rFonts w:hint="eastAsia" w:cs="Times New Roman"/>
          <w:b w:val="0"/>
          <w:bCs w:val="0"/>
          <w:i w:val="0"/>
          <w:iCs w:val="0"/>
          <w:color w:val="auto"/>
          <w:sz w:val="24"/>
          <w:szCs w:val="24"/>
          <w:lang w:val="en-US" w:eastAsia="zh-CN"/>
        </w:rPr>
        <w:t xml:space="preserve"> </w:t>
      </w:r>
      <w:r>
        <w:rPr>
          <w:rFonts w:hint="default" w:ascii="Times New Roman" w:hAnsi="Times New Roman" w:eastAsia="宋体" w:cs="Times New Roman"/>
          <w:b w:val="0"/>
          <w:bCs w:val="0"/>
          <w:i w:val="0"/>
          <w:iCs w:val="0"/>
          <w:color w:val="auto"/>
          <w:sz w:val="24"/>
          <w:szCs w:val="24"/>
        </w:rPr>
        <w:t>光伏幕墙的安装应符合现行国家标准《建筑幕墙》</w:t>
      </w:r>
      <w:r>
        <w:rPr>
          <w:rFonts w:hint="default" w:cs="Times New Roman"/>
          <w:b w:val="0"/>
          <w:bCs w:val="0"/>
          <w:i w:val="0"/>
          <w:iCs w:val="0"/>
          <w:sz w:val="24"/>
          <w:szCs w:val="24"/>
          <w:lang w:val="en-US" w:eastAsia="zh-CN"/>
        </w:rPr>
        <w:t>GB/T21086</w:t>
      </w:r>
      <w:r>
        <w:rPr>
          <w:rFonts w:hint="default" w:ascii="Times New Roman" w:hAnsi="Times New Roman" w:eastAsia="宋体" w:cs="Times New Roman"/>
          <w:b w:val="0"/>
          <w:bCs w:val="0"/>
          <w:i w:val="0"/>
          <w:iCs w:val="0"/>
          <w:color w:val="auto"/>
          <w:sz w:val="24"/>
          <w:szCs w:val="24"/>
        </w:rPr>
        <w:t>、《建筑装饰装修工程质量验收标准》</w:t>
      </w:r>
      <w:r>
        <w:rPr>
          <w:rFonts w:hint="default" w:cs="Times New Roman"/>
          <w:b w:val="0"/>
          <w:bCs w:val="0"/>
          <w:i w:val="0"/>
          <w:iCs w:val="0"/>
          <w:sz w:val="24"/>
          <w:szCs w:val="24"/>
          <w:lang w:val="en-US" w:eastAsia="zh-CN"/>
        </w:rPr>
        <w:t>GB 50210</w:t>
      </w:r>
      <w:r>
        <w:rPr>
          <w:rFonts w:hint="default" w:ascii="Times New Roman" w:hAnsi="Times New Roman" w:eastAsia="宋体" w:cs="Times New Roman"/>
          <w:b w:val="0"/>
          <w:bCs w:val="0"/>
          <w:i w:val="0"/>
          <w:iCs w:val="0"/>
          <w:color w:val="auto"/>
          <w:sz w:val="24"/>
          <w:szCs w:val="24"/>
        </w:rPr>
        <w:t>和现行行业标准《玻璃幕墙工程技术规范》</w:t>
      </w:r>
      <w:r>
        <w:rPr>
          <w:rFonts w:hint="default" w:cs="Times New Roman"/>
          <w:b w:val="0"/>
          <w:bCs w:val="0"/>
          <w:i w:val="0"/>
          <w:iCs w:val="0"/>
          <w:sz w:val="24"/>
          <w:szCs w:val="24"/>
          <w:lang w:val="en-US" w:eastAsia="zh-CN"/>
        </w:rPr>
        <w:t>JGJ102</w:t>
      </w:r>
      <w:r>
        <w:rPr>
          <w:rFonts w:hint="default" w:ascii="Times New Roman" w:hAnsi="Times New Roman" w:eastAsia="宋体" w:cs="Times New Roman"/>
          <w:b w:val="0"/>
          <w:bCs w:val="0"/>
          <w:i w:val="0"/>
          <w:iCs w:val="0"/>
          <w:color w:val="auto"/>
          <w:sz w:val="24"/>
          <w:szCs w:val="24"/>
        </w:rPr>
        <w:t>、《玻璃幕墙工程质量检验标准》</w:t>
      </w:r>
      <w:r>
        <w:rPr>
          <w:rFonts w:hint="default" w:cs="Times New Roman"/>
          <w:b w:val="0"/>
          <w:bCs w:val="0"/>
          <w:i w:val="0"/>
          <w:iCs w:val="0"/>
          <w:sz w:val="24"/>
          <w:szCs w:val="24"/>
          <w:lang w:val="en-US" w:eastAsia="zh-CN"/>
        </w:rPr>
        <w:t>JGJ/T 139</w:t>
      </w:r>
      <w:r>
        <w:rPr>
          <w:rFonts w:hint="default" w:ascii="Times New Roman" w:hAnsi="Times New Roman" w:eastAsia="宋体" w:cs="Times New Roman"/>
          <w:b w:val="0"/>
          <w:bCs w:val="0"/>
          <w:i w:val="0"/>
          <w:iCs w:val="0"/>
          <w:color w:val="auto"/>
          <w:sz w:val="24"/>
          <w:szCs w:val="24"/>
        </w:rPr>
        <w:t>的有关规定</w:t>
      </w:r>
      <w:r>
        <w:rPr>
          <w:rFonts w:hint="default" w:cs="Times New Roman"/>
          <w:b w:val="0"/>
          <w:bCs w:val="0"/>
          <w:i w:val="0"/>
          <w:iCs w:val="0"/>
          <w:sz w:val="24"/>
          <w:szCs w:val="24"/>
          <w:lang w:eastAsia="zh-CN"/>
        </w:rPr>
        <w:t>；</w:t>
      </w:r>
    </w:p>
    <w:p w14:paraId="25A9B28D">
      <w:pPr>
        <w:snapToGrid w:val="0"/>
        <w:spacing w:line="300" w:lineRule="auto"/>
        <w:ind w:firstLine="482" w:firstLineChars="200"/>
        <w:rPr>
          <w:rFonts w:hint="default" w:ascii="Times New Roman" w:hAnsi="Times New Roman" w:eastAsia="宋体" w:cs="Times New Roman"/>
          <w:b w:val="0"/>
          <w:bCs w:val="0"/>
          <w:i w:val="0"/>
          <w:iCs w:val="0"/>
          <w:sz w:val="24"/>
          <w:szCs w:val="24"/>
        </w:rPr>
      </w:pPr>
      <w:r>
        <w:rPr>
          <w:rFonts w:hint="eastAsia" w:cs="Times New Roman"/>
          <w:b/>
          <w:bCs/>
          <w:i w:val="0"/>
          <w:iCs w:val="0"/>
          <w:color w:val="auto"/>
          <w:sz w:val="24"/>
          <w:szCs w:val="24"/>
          <w:lang w:val="en-US" w:eastAsia="zh-CN"/>
        </w:rPr>
        <w:t xml:space="preserve">2 </w:t>
      </w:r>
      <w:r>
        <w:rPr>
          <w:rFonts w:hint="default" w:ascii="Times New Roman" w:hAnsi="Times New Roman" w:eastAsia="宋体" w:cs="Times New Roman"/>
          <w:b w:val="0"/>
          <w:bCs w:val="0"/>
          <w:i w:val="0"/>
          <w:iCs w:val="0"/>
          <w:color w:val="auto"/>
          <w:sz w:val="24"/>
          <w:szCs w:val="24"/>
        </w:rPr>
        <w:t>光伏幕墙组件大面积安装之前，应进行试安装，对其建筑视觉效果、建筑安全、电气安全进行评估后方可施工；</w:t>
      </w:r>
    </w:p>
    <w:p w14:paraId="79093A2D">
      <w:pPr>
        <w:snapToGrid w:val="0"/>
        <w:spacing w:line="300" w:lineRule="auto"/>
        <w:ind w:firstLine="482" w:firstLineChars="200"/>
        <w:rPr>
          <w:rFonts w:hint="default" w:ascii="Times New Roman" w:hAnsi="Times New Roman" w:eastAsia="宋体" w:cs="Times New Roman"/>
          <w:b w:val="0"/>
          <w:bCs w:val="0"/>
          <w:i w:val="0"/>
          <w:iCs w:val="0"/>
          <w:sz w:val="24"/>
          <w:szCs w:val="24"/>
        </w:rPr>
      </w:pPr>
      <w:r>
        <w:rPr>
          <w:rFonts w:hint="eastAsia" w:cs="Times New Roman"/>
          <w:b/>
          <w:bCs/>
          <w:i w:val="0"/>
          <w:iCs w:val="0"/>
          <w:color w:val="auto"/>
          <w:sz w:val="24"/>
          <w:szCs w:val="24"/>
          <w:lang w:val="en-US" w:eastAsia="zh-CN"/>
        </w:rPr>
        <w:t xml:space="preserve">3 </w:t>
      </w:r>
      <w:r>
        <w:rPr>
          <w:rFonts w:hint="default" w:ascii="Times New Roman" w:hAnsi="Times New Roman" w:eastAsia="宋体" w:cs="Times New Roman"/>
          <w:b w:val="0"/>
          <w:bCs w:val="0"/>
          <w:i w:val="0"/>
          <w:iCs w:val="0"/>
          <w:color w:val="auto"/>
          <w:sz w:val="24"/>
          <w:szCs w:val="24"/>
        </w:rPr>
        <w:t>玻璃幕墙的造型和立面分格应符合设计要求；</w:t>
      </w:r>
    </w:p>
    <w:p w14:paraId="666B953E">
      <w:pPr>
        <w:snapToGrid w:val="0"/>
        <w:spacing w:line="300" w:lineRule="auto"/>
        <w:ind w:firstLine="482" w:firstLineChars="200"/>
        <w:rPr>
          <w:rFonts w:hint="default" w:ascii="Times New Roman" w:hAnsi="Times New Roman" w:eastAsia="宋体" w:cs="Times New Roman"/>
          <w:b w:val="0"/>
          <w:bCs w:val="0"/>
          <w:i w:val="0"/>
          <w:iCs w:val="0"/>
          <w:sz w:val="24"/>
          <w:szCs w:val="24"/>
        </w:rPr>
      </w:pPr>
      <w:r>
        <w:rPr>
          <w:rFonts w:hint="eastAsia" w:cs="Times New Roman"/>
          <w:b/>
          <w:bCs/>
          <w:i w:val="0"/>
          <w:iCs w:val="0"/>
          <w:color w:val="auto"/>
          <w:sz w:val="24"/>
          <w:szCs w:val="24"/>
          <w:lang w:val="en-US" w:eastAsia="zh-CN"/>
        </w:rPr>
        <w:t xml:space="preserve">4 </w:t>
      </w:r>
      <w:r>
        <w:rPr>
          <w:rFonts w:hint="default" w:ascii="Times New Roman" w:hAnsi="Times New Roman" w:eastAsia="宋体" w:cs="Times New Roman"/>
          <w:b w:val="0"/>
          <w:bCs w:val="0"/>
          <w:i w:val="0"/>
          <w:iCs w:val="0"/>
          <w:color w:val="auto"/>
          <w:sz w:val="24"/>
          <w:szCs w:val="24"/>
        </w:rPr>
        <w:t>幕墙玻璃品种、厚度、颜色、光学性能以及组件夹层玻璃中</w:t>
      </w:r>
      <w:r>
        <w:rPr>
          <w:rFonts w:hint="default" w:cs="Times New Roman"/>
          <w:b w:val="0"/>
          <w:bCs w:val="0"/>
          <w:i w:val="0"/>
          <w:iCs w:val="0"/>
          <w:sz w:val="24"/>
          <w:szCs w:val="24"/>
          <w:lang w:val="en-US" w:eastAsia="zh-CN"/>
        </w:rPr>
        <w:t>PVB</w:t>
      </w:r>
      <w:r>
        <w:rPr>
          <w:rFonts w:hint="default" w:ascii="Times New Roman" w:hAnsi="Times New Roman" w:eastAsia="宋体" w:cs="Times New Roman"/>
          <w:b w:val="0"/>
          <w:bCs w:val="0"/>
          <w:i w:val="0"/>
          <w:iCs w:val="0"/>
          <w:color w:val="auto"/>
          <w:sz w:val="24"/>
          <w:szCs w:val="24"/>
        </w:rPr>
        <w:t>夹层胶片的厚度应符合设计要求和现行产品标准的有关规定；</w:t>
      </w:r>
    </w:p>
    <w:p w14:paraId="202AA76E">
      <w:pPr>
        <w:snapToGrid w:val="0"/>
        <w:spacing w:line="300" w:lineRule="auto"/>
        <w:ind w:firstLine="482" w:firstLineChars="200"/>
        <w:rPr>
          <w:rFonts w:hint="eastAsia" w:eastAsia="宋体"/>
          <w:lang w:eastAsia="zh-CN"/>
        </w:rPr>
      </w:pPr>
      <w:r>
        <w:rPr>
          <w:rFonts w:hint="eastAsia" w:cs="Times New Roman"/>
          <w:b/>
          <w:bCs/>
          <w:i w:val="0"/>
          <w:iCs w:val="0"/>
          <w:color w:val="auto"/>
          <w:sz w:val="24"/>
          <w:szCs w:val="24"/>
          <w:lang w:val="en-US" w:eastAsia="zh-CN"/>
        </w:rPr>
        <w:t xml:space="preserve">5 </w:t>
      </w:r>
      <w:r>
        <w:rPr>
          <w:rFonts w:hint="default" w:ascii="Times New Roman" w:hAnsi="Times New Roman" w:eastAsia="宋体" w:cs="Times New Roman"/>
          <w:b w:val="0"/>
          <w:bCs w:val="0"/>
          <w:i w:val="0"/>
          <w:iCs w:val="0"/>
          <w:color w:val="auto"/>
          <w:sz w:val="24"/>
          <w:szCs w:val="24"/>
        </w:rPr>
        <w:t>光伏幕墙与主体结构连接的各种预埋件、连接件、紧固件必须安装牢固，其数量、规格、位置、连接方法和防腐处理必须符合设计要求</w:t>
      </w:r>
      <w:r>
        <w:rPr>
          <w:rFonts w:hint="default" w:cs="Times New Roman"/>
          <w:b w:val="0"/>
          <w:bCs w:val="0"/>
          <w:i w:val="0"/>
          <w:iCs w:val="0"/>
          <w:color w:val="auto"/>
          <w:sz w:val="24"/>
          <w:szCs w:val="24"/>
          <w:lang w:eastAsia="zh-CN"/>
        </w:rPr>
        <w:t>，</w:t>
      </w:r>
      <w:r>
        <w:rPr>
          <w:rFonts w:hint="default"/>
          <w:sz w:val="24"/>
        </w:rPr>
        <w:t>预埋件的误差应按设计要求进行复查。预埋件的标高偏差不应大于10mm，预埋件位置差不应大于20mm</w:t>
      </w:r>
      <w:r>
        <w:rPr>
          <w:rFonts w:hint="eastAsia"/>
          <w:sz w:val="24"/>
          <w:lang w:eastAsia="zh-CN"/>
        </w:rPr>
        <w:t>；</w:t>
      </w:r>
    </w:p>
    <w:p w14:paraId="185011FF">
      <w:pPr>
        <w:snapToGrid w:val="0"/>
        <w:spacing w:line="300" w:lineRule="auto"/>
        <w:ind w:firstLine="482" w:firstLineChars="200"/>
        <w:rPr>
          <w:rFonts w:hint="default" w:ascii="Times New Roman" w:hAnsi="Times New Roman" w:eastAsia="宋体" w:cs="Times New Roman"/>
          <w:b w:val="0"/>
          <w:bCs w:val="0"/>
          <w:i w:val="0"/>
          <w:iCs w:val="0"/>
          <w:sz w:val="24"/>
          <w:szCs w:val="24"/>
        </w:rPr>
      </w:pPr>
      <w:r>
        <w:rPr>
          <w:rFonts w:hint="eastAsia" w:cs="Times New Roman"/>
          <w:b/>
          <w:bCs/>
          <w:i w:val="0"/>
          <w:iCs w:val="0"/>
          <w:color w:val="auto"/>
          <w:sz w:val="24"/>
          <w:szCs w:val="24"/>
          <w:lang w:val="en-US" w:eastAsia="zh-CN"/>
        </w:rPr>
        <w:t xml:space="preserve">6 </w:t>
      </w:r>
      <w:r>
        <w:rPr>
          <w:rFonts w:hint="default" w:ascii="Times New Roman" w:hAnsi="Times New Roman" w:eastAsia="宋体" w:cs="Times New Roman"/>
          <w:b w:val="0"/>
          <w:bCs w:val="0"/>
          <w:i w:val="0"/>
          <w:iCs w:val="0"/>
          <w:color w:val="auto"/>
          <w:sz w:val="24"/>
          <w:szCs w:val="24"/>
        </w:rPr>
        <w:t>光伏幕墙应无渗漏；</w:t>
      </w:r>
    </w:p>
    <w:p w14:paraId="2A7398E3">
      <w:pPr>
        <w:snapToGrid w:val="0"/>
        <w:spacing w:line="300" w:lineRule="auto"/>
        <w:ind w:firstLine="482" w:firstLineChars="200"/>
        <w:rPr>
          <w:rFonts w:hint="default"/>
          <w:b w:val="0"/>
          <w:bCs w:val="0"/>
          <w:sz w:val="24"/>
        </w:rPr>
      </w:pPr>
      <w:r>
        <w:rPr>
          <w:rFonts w:hint="eastAsia" w:cs="Times New Roman"/>
          <w:b/>
          <w:bCs/>
          <w:i w:val="0"/>
          <w:iCs w:val="0"/>
          <w:color w:val="auto"/>
          <w:sz w:val="24"/>
          <w:szCs w:val="24"/>
          <w:lang w:val="en-US" w:eastAsia="zh-CN"/>
        </w:rPr>
        <w:t xml:space="preserve">7 </w:t>
      </w:r>
      <w:r>
        <w:rPr>
          <w:rFonts w:hint="default" w:ascii="Times New Roman" w:hAnsi="Times New Roman" w:eastAsia="宋体" w:cs="Times New Roman"/>
          <w:b w:val="0"/>
          <w:bCs w:val="0"/>
          <w:i w:val="0"/>
          <w:iCs w:val="0"/>
          <w:color w:val="auto"/>
          <w:sz w:val="24"/>
          <w:szCs w:val="24"/>
        </w:rPr>
        <w:t>光伏幕墙与玻璃幕墙同时施工，共同接受幕墙相关的物理性能检测</w:t>
      </w:r>
      <w:r>
        <w:rPr>
          <w:rFonts w:hint="default" w:cs="Times New Roman"/>
          <w:b w:val="0"/>
          <w:bCs w:val="0"/>
          <w:i w:val="0"/>
          <w:iCs w:val="0"/>
          <w:sz w:val="24"/>
          <w:szCs w:val="24"/>
          <w:lang w:eastAsia="zh-CN"/>
        </w:rPr>
        <w:t>。</w:t>
      </w:r>
    </w:p>
    <w:p w14:paraId="6B1382E0">
      <w:pPr>
        <w:snapToGrid w:val="0"/>
        <w:spacing w:line="300" w:lineRule="auto"/>
        <w:jc w:val="left"/>
        <w:rPr>
          <w:rFonts w:hint="default"/>
          <w:sz w:val="24"/>
          <w:lang w:eastAsia="zh-CN"/>
        </w:rPr>
      </w:pPr>
      <w:bookmarkStart w:id="362" w:name="_Toc7711"/>
      <w:r>
        <w:rPr>
          <w:rFonts w:hint="default" w:ascii="Times New Roman" w:hAnsi="Times New Roman"/>
          <w:b/>
          <w:bCs/>
          <w:sz w:val="24"/>
          <w:szCs w:val="24"/>
          <w:lang w:val="en-US" w:eastAsia="zh-CN"/>
        </w:rPr>
        <w:t>10.3.</w:t>
      </w:r>
      <w:r>
        <w:rPr>
          <w:rFonts w:hint="eastAsia"/>
          <w:b/>
          <w:bCs/>
          <w:sz w:val="24"/>
          <w:szCs w:val="24"/>
          <w:lang w:val="en-US" w:eastAsia="zh-CN"/>
        </w:rPr>
        <w:t>4</w:t>
      </w:r>
      <w:r>
        <w:rPr>
          <w:rFonts w:hint="default" w:ascii="Times New Roman" w:hAnsi="Times New Roman"/>
          <w:b/>
          <w:bCs/>
          <w:sz w:val="24"/>
          <w:szCs w:val="24"/>
          <w:lang w:val="en-US" w:eastAsia="zh-CN"/>
        </w:rPr>
        <w:t xml:space="preserve"> </w:t>
      </w:r>
      <w:r>
        <w:rPr>
          <w:rFonts w:hint="default"/>
          <w:sz w:val="24"/>
          <w:lang w:eastAsia="zh-CN"/>
        </w:rPr>
        <w:t>组件的接线应符合下列要求</w:t>
      </w:r>
      <w:bookmarkEnd w:id="362"/>
      <w:r>
        <w:rPr>
          <w:rFonts w:hint="eastAsia"/>
          <w:sz w:val="24"/>
          <w:lang w:eastAsia="zh-CN"/>
        </w:rPr>
        <w:t>：</w:t>
      </w:r>
    </w:p>
    <w:p w14:paraId="2D4F13EB">
      <w:pPr>
        <w:snapToGrid w:val="0"/>
        <w:spacing w:line="300" w:lineRule="auto"/>
        <w:ind w:firstLine="482" w:firstLineChars="200"/>
        <w:jc w:val="left"/>
        <w:rPr>
          <w:rFonts w:hint="default"/>
          <w:sz w:val="24"/>
          <w:lang w:eastAsia="zh-CN"/>
        </w:rPr>
      </w:pPr>
      <w:bookmarkStart w:id="363" w:name="_Toc32550"/>
      <w:r>
        <w:rPr>
          <w:rFonts w:hint="default" w:ascii="Times New Roman" w:hAnsi="Times New Roman"/>
          <w:b/>
          <w:bCs/>
          <w:sz w:val="24"/>
          <w:szCs w:val="24"/>
          <w:lang w:val="en-US" w:eastAsia="zh-CN"/>
        </w:rPr>
        <w:t xml:space="preserve">1 </w:t>
      </w:r>
      <w:r>
        <w:rPr>
          <w:rFonts w:hint="default"/>
          <w:sz w:val="24"/>
          <w:lang w:eastAsia="zh-CN"/>
        </w:rPr>
        <w:t>组件安装和移动的过程中，不应拉扯连接线</w:t>
      </w:r>
      <w:r>
        <w:rPr>
          <w:rFonts w:hint="default" w:ascii="Times New Roman" w:hAnsi="Times New Roman"/>
          <w:b w:val="0"/>
          <w:bCs w:val="0"/>
          <w:sz w:val="24"/>
          <w:szCs w:val="24"/>
          <w:lang w:eastAsia="zh-CN"/>
        </w:rPr>
        <w:t>；</w:t>
      </w:r>
      <w:bookmarkEnd w:id="363"/>
    </w:p>
    <w:p w14:paraId="1B6DC473">
      <w:pPr>
        <w:snapToGrid w:val="0"/>
        <w:spacing w:line="300" w:lineRule="auto"/>
        <w:ind w:firstLine="482" w:firstLineChars="200"/>
        <w:jc w:val="left"/>
        <w:rPr>
          <w:rFonts w:hint="default"/>
          <w:sz w:val="24"/>
          <w:lang w:eastAsia="zh-CN"/>
        </w:rPr>
      </w:pPr>
      <w:bookmarkStart w:id="364" w:name="_Toc4041"/>
      <w:r>
        <w:rPr>
          <w:rFonts w:hint="default" w:ascii="Times New Roman" w:hAnsi="Times New Roman"/>
          <w:b/>
          <w:bCs/>
          <w:sz w:val="24"/>
          <w:szCs w:val="24"/>
          <w:lang w:val="en-US" w:eastAsia="zh-CN"/>
        </w:rPr>
        <w:t xml:space="preserve">2 </w:t>
      </w:r>
      <w:r>
        <w:rPr>
          <w:rFonts w:hint="default"/>
          <w:sz w:val="24"/>
          <w:lang w:eastAsia="zh-CN"/>
        </w:rPr>
        <w:t>施工时，各类设备、装置的正负极严禁短接</w:t>
      </w:r>
      <w:r>
        <w:rPr>
          <w:rFonts w:hint="default" w:ascii="Times New Roman" w:hAnsi="Times New Roman"/>
          <w:b w:val="0"/>
          <w:bCs w:val="0"/>
          <w:sz w:val="24"/>
          <w:szCs w:val="24"/>
          <w:lang w:eastAsia="zh-CN"/>
        </w:rPr>
        <w:t>；</w:t>
      </w:r>
      <w:bookmarkEnd w:id="364"/>
    </w:p>
    <w:p w14:paraId="3918EE31">
      <w:pPr>
        <w:snapToGrid w:val="0"/>
        <w:spacing w:line="300" w:lineRule="auto"/>
        <w:ind w:firstLine="482" w:firstLineChars="200"/>
        <w:jc w:val="left"/>
        <w:rPr>
          <w:rFonts w:hint="default"/>
          <w:sz w:val="24"/>
          <w:lang w:eastAsia="zh-CN"/>
        </w:rPr>
      </w:pPr>
      <w:bookmarkStart w:id="365" w:name="_Toc16879"/>
      <w:r>
        <w:rPr>
          <w:rFonts w:hint="default" w:ascii="Times New Roman" w:hAnsi="Times New Roman"/>
          <w:b/>
          <w:bCs/>
          <w:sz w:val="24"/>
          <w:szCs w:val="24"/>
          <w:lang w:val="en-US" w:eastAsia="zh-CN"/>
        </w:rPr>
        <w:t xml:space="preserve">3 </w:t>
      </w:r>
      <w:r>
        <w:rPr>
          <w:rFonts w:hint="default"/>
          <w:sz w:val="24"/>
          <w:lang w:eastAsia="zh-CN"/>
        </w:rPr>
        <w:t>组件安装时，不应造成玻璃和背板的划伤或破损</w:t>
      </w:r>
      <w:r>
        <w:rPr>
          <w:rFonts w:hint="default" w:ascii="Times New Roman" w:hAnsi="Times New Roman"/>
          <w:b w:val="0"/>
          <w:bCs w:val="0"/>
          <w:sz w:val="24"/>
          <w:szCs w:val="24"/>
          <w:lang w:eastAsia="zh-CN"/>
        </w:rPr>
        <w:t>；</w:t>
      </w:r>
      <w:bookmarkEnd w:id="365"/>
    </w:p>
    <w:p w14:paraId="1D721C29">
      <w:pPr>
        <w:snapToGrid w:val="0"/>
        <w:spacing w:line="300" w:lineRule="auto"/>
        <w:ind w:firstLine="482" w:firstLineChars="200"/>
        <w:jc w:val="left"/>
        <w:rPr>
          <w:rFonts w:hint="default"/>
          <w:sz w:val="24"/>
          <w:lang w:eastAsia="zh-CN"/>
        </w:rPr>
      </w:pPr>
      <w:bookmarkStart w:id="366" w:name="_Toc16835"/>
      <w:r>
        <w:rPr>
          <w:rFonts w:hint="default" w:ascii="Times New Roman" w:hAnsi="Times New Roman"/>
          <w:b/>
          <w:bCs/>
          <w:sz w:val="24"/>
          <w:szCs w:val="24"/>
          <w:lang w:eastAsia="zh-CN"/>
        </w:rPr>
        <w:t>4</w:t>
      </w:r>
      <w:r>
        <w:rPr>
          <w:rFonts w:hint="default" w:ascii="Times New Roman" w:hAnsi="Times New Roman"/>
          <w:b/>
          <w:bCs/>
          <w:sz w:val="24"/>
          <w:szCs w:val="24"/>
          <w:lang w:val="en-US" w:eastAsia="zh-CN"/>
        </w:rPr>
        <w:t xml:space="preserve"> </w:t>
      </w:r>
      <w:r>
        <w:rPr>
          <w:rFonts w:hint="default"/>
          <w:sz w:val="24"/>
          <w:lang w:eastAsia="zh-CN"/>
        </w:rPr>
        <w:t>组件之间连接线不应承受外力且应进行绑扎，整齐、美观</w:t>
      </w:r>
      <w:r>
        <w:rPr>
          <w:rFonts w:hint="default" w:ascii="Times New Roman" w:hAnsi="Times New Roman"/>
          <w:b w:val="0"/>
          <w:bCs w:val="0"/>
          <w:sz w:val="24"/>
          <w:szCs w:val="24"/>
          <w:lang w:eastAsia="zh-CN"/>
        </w:rPr>
        <w:t>；</w:t>
      </w:r>
      <w:bookmarkEnd w:id="366"/>
    </w:p>
    <w:p w14:paraId="6281E87A">
      <w:pPr>
        <w:snapToGrid w:val="0"/>
        <w:spacing w:line="300" w:lineRule="auto"/>
        <w:ind w:firstLine="482" w:firstLineChars="200"/>
        <w:jc w:val="left"/>
        <w:rPr>
          <w:rFonts w:hint="default"/>
          <w:sz w:val="24"/>
          <w:lang w:eastAsia="zh-CN"/>
        </w:rPr>
      </w:pPr>
      <w:bookmarkStart w:id="367" w:name="_Toc30755"/>
      <w:r>
        <w:rPr>
          <w:rFonts w:hint="default" w:ascii="Times New Roman" w:hAnsi="Times New Roman"/>
          <w:b/>
          <w:bCs/>
          <w:sz w:val="24"/>
          <w:szCs w:val="24"/>
          <w:lang w:eastAsia="zh-CN"/>
        </w:rPr>
        <w:t>5</w:t>
      </w:r>
      <w:r>
        <w:rPr>
          <w:rFonts w:hint="default" w:ascii="Times New Roman" w:hAnsi="Times New Roman"/>
          <w:b/>
          <w:bCs/>
          <w:sz w:val="24"/>
          <w:szCs w:val="24"/>
          <w:lang w:val="en-US" w:eastAsia="zh-CN"/>
        </w:rPr>
        <w:t xml:space="preserve"> </w:t>
      </w:r>
      <w:r>
        <w:rPr>
          <w:rFonts w:hint="default"/>
          <w:sz w:val="24"/>
          <w:lang w:eastAsia="zh-CN"/>
        </w:rPr>
        <w:t>组件在运输安装过程中，不应被踩踏、坐卧、撞击或置放物品</w:t>
      </w:r>
      <w:r>
        <w:rPr>
          <w:rFonts w:hint="default" w:ascii="Times New Roman" w:hAnsi="Times New Roman"/>
          <w:b w:val="0"/>
          <w:bCs w:val="0"/>
          <w:sz w:val="24"/>
          <w:szCs w:val="24"/>
          <w:lang w:eastAsia="zh-CN"/>
        </w:rPr>
        <w:t>；</w:t>
      </w:r>
      <w:bookmarkEnd w:id="367"/>
    </w:p>
    <w:p w14:paraId="0E24E6D5">
      <w:pPr>
        <w:snapToGrid w:val="0"/>
        <w:spacing w:line="300" w:lineRule="auto"/>
        <w:ind w:firstLine="482" w:firstLineChars="200"/>
        <w:jc w:val="left"/>
        <w:rPr>
          <w:rFonts w:hint="default"/>
          <w:sz w:val="24"/>
          <w:lang w:eastAsia="zh-CN"/>
        </w:rPr>
      </w:pPr>
      <w:bookmarkStart w:id="368" w:name="_Toc2395"/>
      <w:r>
        <w:rPr>
          <w:rFonts w:hint="default" w:ascii="Times New Roman" w:hAnsi="Times New Roman"/>
          <w:b/>
          <w:bCs/>
          <w:sz w:val="24"/>
          <w:szCs w:val="24"/>
          <w:lang w:eastAsia="zh-CN"/>
        </w:rPr>
        <w:t>6</w:t>
      </w:r>
      <w:r>
        <w:rPr>
          <w:rFonts w:hint="default" w:ascii="Times New Roman" w:hAnsi="Times New Roman"/>
          <w:b/>
          <w:bCs/>
          <w:sz w:val="24"/>
          <w:szCs w:val="24"/>
          <w:lang w:val="en-US" w:eastAsia="zh-CN"/>
        </w:rPr>
        <w:t xml:space="preserve"> </w:t>
      </w:r>
      <w:r>
        <w:rPr>
          <w:rFonts w:hint="default"/>
          <w:sz w:val="24"/>
          <w:lang w:eastAsia="zh-CN"/>
        </w:rPr>
        <w:t>进行组件连线施工时，施工人员应配备安全防护用品，不应触摸金属带电部位</w:t>
      </w:r>
      <w:r>
        <w:rPr>
          <w:rFonts w:hint="default" w:ascii="Times New Roman" w:hAnsi="Times New Roman"/>
          <w:b w:val="0"/>
          <w:bCs w:val="0"/>
          <w:sz w:val="24"/>
          <w:szCs w:val="24"/>
          <w:lang w:eastAsia="zh-CN"/>
        </w:rPr>
        <w:t>；</w:t>
      </w:r>
      <w:bookmarkEnd w:id="368"/>
    </w:p>
    <w:p w14:paraId="2273BE59">
      <w:pPr>
        <w:snapToGrid w:val="0"/>
        <w:spacing w:line="300" w:lineRule="auto"/>
        <w:ind w:firstLine="482" w:firstLineChars="200"/>
        <w:jc w:val="left"/>
        <w:rPr>
          <w:rFonts w:hint="default"/>
          <w:sz w:val="24"/>
          <w:lang w:eastAsia="zh-CN"/>
        </w:rPr>
      </w:pPr>
      <w:bookmarkStart w:id="369" w:name="_Toc30423"/>
      <w:r>
        <w:rPr>
          <w:rFonts w:hint="eastAsia"/>
          <w:b/>
          <w:bCs/>
          <w:sz w:val="24"/>
          <w:szCs w:val="24"/>
          <w:lang w:val="en-US" w:eastAsia="zh-CN"/>
        </w:rPr>
        <w:t>7</w:t>
      </w:r>
      <w:r>
        <w:rPr>
          <w:rFonts w:hint="eastAsia"/>
          <w:b w:val="0"/>
          <w:bCs w:val="0"/>
          <w:sz w:val="24"/>
          <w:szCs w:val="24"/>
          <w:lang w:val="en-US" w:eastAsia="zh-CN"/>
        </w:rPr>
        <w:t xml:space="preserve"> </w:t>
      </w:r>
      <w:r>
        <w:rPr>
          <w:rFonts w:hint="default"/>
          <w:sz w:val="24"/>
          <w:lang w:eastAsia="zh-CN"/>
        </w:rPr>
        <w:t>对组串完成但不具备接引条件的部位，应用绝缘胶布包扎好并做好警示</w:t>
      </w:r>
      <w:r>
        <w:rPr>
          <w:rFonts w:hint="default" w:ascii="Times New Roman" w:hAnsi="Times New Roman"/>
          <w:b w:val="0"/>
          <w:bCs w:val="0"/>
          <w:sz w:val="24"/>
          <w:szCs w:val="24"/>
          <w:lang w:eastAsia="zh-CN"/>
        </w:rPr>
        <w:t>；</w:t>
      </w:r>
      <w:bookmarkEnd w:id="369"/>
    </w:p>
    <w:p w14:paraId="3D6C8FD4">
      <w:pPr>
        <w:snapToGrid w:val="0"/>
        <w:spacing w:line="300" w:lineRule="auto"/>
        <w:ind w:firstLine="482" w:firstLineChars="200"/>
        <w:jc w:val="left"/>
        <w:rPr>
          <w:rFonts w:hint="default"/>
          <w:sz w:val="24"/>
          <w:lang w:eastAsia="zh-CN"/>
        </w:rPr>
      </w:pPr>
      <w:bookmarkStart w:id="370" w:name="_Toc20586"/>
      <w:r>
        <w:rPr>
          <w:rFonts w:hint="eastAsia"/>
          <w:b/>
          <w:bCs/>
          <w:sz w:val="24"/>
          <w:szCs w:val="24"/>
          <w:lang w:val="en-US" w:eastAsia="zh-CN"/>
        </w:rPr>
        <w:t xml:space="preserve">8 </w:t>
      </w:r>
      <w:r>
        <w:rPr>
          <w:rFonts w:hint="default"/>
          <w:sz w:val="24"/>
          <w:lang w:eastAsia="zh-CN"/>
        </w:rPr>
        <w:t>严禁在雨天进行组件的连线工作。</w:t>
      </w:r>
      <w:bookmarkEnd w:id="370"/>
    </w:p>
    <w:p w14:paraId="7B434EFD">
      <w:pPr>
        <w:snapToGrid w:val="0"/>
        <w:spacing w:line="300" w:lineRule="auto"/>
        <w:jc w:val="left"/>
        <w:rPr>
          <w:rFonts w:hint="default"/>
          <w:sz w:val="24"/>
          <w:lang w:eastAsia="zh-CN"/>
        </w:rPr>
      </w:pPr>
      <w:bookmarkStart w:id="371" w:name="_Toc3403"/>
      <w:r>
        <w:rPr>
          <w:rFonts w:hint="default" w:ascii="Times New Roman" w:hAnsi="Times New Roman"/>
          <w:b/>
          <w:bCs/>
          <w:sz w:val="24"/>
          <w:szCs w:val="24"/>
          <w:lang w:val="en-US" w:eastAsia="zh-CN"/>
        </w:rPr>
        <w:t>10.3.</w:t>
      </w:r>
      <w:r>
        <w:rPr>
          <w:rFonts w:hint="eastAsia"/>
          <w:b/>
          <w:bCs/>
          <w:sz w:val="24"/>
          <w:szCs w:val="24"/>
          <w:lang w:val="en-US" w:eastAsia="zh-CN"/>
        </w:rPr>
        <w:t>5</w:t>
      </w:r>
      <w:r>
        <w:rPr>
          <w:rFonts w:hint="default" w:ascii="Times New Roman" w:hAnsi="Times New Roman"/>
          <w:b/>
          <w:bCs/>
          <w:sz w:val="24"/>
          <w:szCs w:val="24"/>
          <w:lang w:val="en-US" w:eastAsia="zh-CN"/>
        </w:rPr>
        <w:t xml:space="preserve"> </w:t>
      </w:r>
      <w:r>
        <w:rPr>
          <w:rFonts w:hint="default"/>
          <w:sz w:val="24"/>
          <w:lang w:eastAsia="zh-CN"/>
        </w:rPr>
        <w:t>方阵的接线应符合以下要求</w:t>
      </w:r>
      <w:r>
        <w:rPr>
          <w:rFonts w:hint="default" w:ascii="Times New Roman" w:hAnsi="Times New Roman"/>
          <w:b w:val="0"/>
          <w:bCs w:val="0"/>
          <w:sz w:val="24"/>
          <w:szCs w:val="24"/>
          <w:lang w:eastAsia="zh-CN"/>
        </w:rPr>
        <w:t>：</w:t>
      </w:r>
      <w:bookmarkEnd w:id="371"/>
    </w:p>
    <w:p w14:paraId="1236F4D2">
      <w:pPr>
        <w:snapToGrid w:val="0"/>
        <w:spacing w:line="300" w:lineRule="auto"/>
        <w:ind w:firstLine="482" w:firstLineChars="200"/>
        <w:jc w:val="left"/>
        <w:rPr>
          <w:rFonts w:hint="default"/>
          <w:sz w:val="24"/>
          <w:lang w:eastAsia="zh-CN"/>
        </w:rPr>
      </w:pPr>
      <w:bookmarkStart w:id="372" w:name="_Toc10961"/>
      <w:r>
        <w:rPr>
          <w:rFonts w:hint="default" w:ascii="Times New Roman" w:hAnsi="Times New Roman"/>
          <w:b/>
          <w:bCs/>
          <w:sz w:val="24"/>
          <w:szCs w:val="24"/>
          <w:lang w:val="en-US" w:eastAsia="zh-CN"/>
        </w:rPr>
        <w:t>1</w:t>
      </w:r>
      <w:r>
        <w:rPr>
          <w:rFonts w:hint="default" w:ascii="Times New Roman" w:hAnsi="Times New Roman"/>
          <w:b w:val="0"/>
          <w:bCs w:val="0"/>
          <w:sz w:val="24"/>
          <w:szCs w:val="24"/>
          <w:lang w:val="en-US" w:eastAsia="zh-CN"/>
        </w:rPr>
        <w:t xml:space="preserve"> </w:t>
      </w:r>
      <w:r>
        <w:rPr>
          <w:rFonts w:hint="default"/>
          <w:sz w:val="24"/>
          <w:lang w:eastAsia="zh-CN"/>
        </w:rPr>
        <w:t>组件间连接件应连接牢固</w:t>
      </w:r>
      <w:r>
        <w:rPr>
          <w:rFonts w:hint="default" w:ascii="Times New Roman" w:hAnsi="Times New Roman"/>
          <w:b w:val="0"/>
          <w:bCs w:val="0"/>
          <w:sz w:val="24"/>
          <w:szCs w:val="24"/>
          <w:lang w:eastAsia="zh-CN"/>
        </w:rPr>
        <w:t>；</w:t>
      </w:r>
      <w:bookmarkEnd w:id="372"/>
    </w:p>
    <w:p w14:paraId="45C84E96">
      <w:pPr>
        <w:snapToGrid w:val="0"/>
        <w:spacing w:line="300" w:lineRule="auto"/>
        <w:ind w:firstLine="482" w:firstLineChars="200"/>
        <w:jc w:val="left"/>
        <w:rPr>
          <w:rFonts w:hint="default"/>
          <w:sz w:val="24"/>
          <w:lang w:eastAsia="zh-CN"/>
        </w:rPr>
      </w:pPr>
      <w:bookmarkStart w:id="373" w:name="_Toc753"/>
      <w:r>
        <w:rPr>
          <w:rFonts w:hint="default" w:ascii="Times New Roman" w:hAnsi="Times New Roman"/>
          <w:b/>
          <w:bCs/>
          <w:sz w:val="24"/>
          <w:szCs w:val="24"/>
          <w:lang w:val="en-US" w:eastAsia="zh-CN"/>
        </w:rPr>
        <w:t xml:space="preserve">2 </w:t>
      </w:r>
      <w:r>
        <w:rPr>
          <w:rFonts w:hint="default"/>
          <w:sz w:val="24"/>
          <w:lang w:eastAsia="zh-CN"/>
        </w:rPr>
        <w:t>组串连接后应检测组串的开路电压和短路电流</w:t>
      </w:r>
      <w:r>
        <w:rPr>
          <w:rFonts w:hint="default" w:ascii="Times New Roman" w:hAnsi="Times New Roman"/>
          <w:b w:val="0"/>
          <w:bCs w:val="0"/>
          <w:sz w:val="24"/>
          <w:szCs w:val="24"/>
          <w:lang w:eastAsia="zh-CN"/>
        </w:rPr>
        <w:t>；</w:t>
      </w:r>
      <w:bookmarkEnd w:id="373"/>
    </w:p>
    <w:p w14:paraId="19EE120C">
      <w:pPr>
        <w:snapToGrid w:val="0"/>
        <w:spacing w:line="300" w:lineRule="auto"/>
        <w:ind w:firstLine="482" w:firstLineChars="200"/>
        <w:jc w:val="left"/>
        <w:rPr>
          <w:rFonts w:hint="default" w:ascii="Times New Roman" w:hAnsi="Times New Roman"/>
          <w:b w:val="0"/>
          <w:bCs w:val="0"/>
          <w:sz w:val="24"/>
          <w:szCs w:val="24"/>
          <w:lang w:eastAsia="zh-CN"/>
        </w:rPr>
      </w:pPr>
      <w:bookmarkStart w:id="374" w:name="_Toc8423"/>
      <w:r>
        <w:rPr>
          <w:rFonts w:hint="default" w:ascii="Times New Roman" w:hAnsi="Times New Roman"/>
          <w:b/>
          <w:bCs/>
          <w:sz w:val="24"/>
          <w:szCs w:val="24"/>
          <w:lang w:val="en-US" w:eastAsia="zh-CN"/>
        </w:rPr>
        <w:t xml:space="preserve">3 </w:t>
      </w:r>
      <w:r>
        <w:rPr>
          <w:rFonts w:hint="default"/>
          <w:sz w:val="24"/>
          <w:lang w:eastAsia="zh-CN"/>
        </w:rPr>
        <w:t>方阵间的跨接线缆应穿管进行保护。</w:t>
      </w:r>
      <w:bookmarkEnd w:id="374"/>
    </w:p>
    <w:p w14:paraId="551EEF12">
      <w:pPr>
        <w:keepNext/>
        <w:keepLines/>
        <w:snapToGrid w:val="0"/>
        <w:spacing w:before="95" w:beforeLines="30" w:after="95" w:afterLines="30" w:line="300" w:lineRule="auto"/>
        <w:jc w:val="center"/>
        <w:outlineLvl w:val="2"/>
        <w:rPr>
          <w:b/>
          <w:sz w:val="24"/>
          <w:szCs w:val="32"/>
        </w:rPr>
      </w:pPr>
      <w:bookmarkStart w:id="375" w:name="_Toc16284"/>
      <w:bookmarkStart w:id="376" w:name="_Toc23331"/>
      <w:bookmarkStart w:id="377" w:name="_Toc9355"/>
      <w:bookmarkStart w:id="378" w:name="_Toc7734"/>
      <w:bookmarkStart w:id="379" w:name="_Toc8915"/>
      <w:bookmarkStart w:id="380" w:name="_Toc21236"/>
      <w:bookmarkStart w:id="381" w:name="_Toc25214"/>
      <w:bookmarkStart w:id="382" w:name="_Toc12548"/>
      <w:r>
        <w:rPr>
          <w:b/>
          <w:sz w:val="24"/>
          <w:szCs w:val="32"/>
        </w:rPr>
        <w:t>1</w:t>
      </w:r>
      <w:r>
        <w:rPr>
          <w:rFonts w:hint="default"/>
          <w:b/>
          <w:sz w:val="24"/>
          <w:szCs w:val="32"/>
          <w:lang w:val="en-US" w:eastAsia="zh-CN"/>
        </w:rPr>
        <w:t>0</w:t>
      </w:r>
      <w:r>
        <w:rPr>
          <w:b/>
          <w:sz w:val="24"/>
          <w:szCs w:val="32"/>
        </w:rPr>
        <w:t>.</w:t>
      </w:r>
      <w:r>
        <w:rPr>
          <w:rFonts w:hint="default"/>
          <w:b/>
          <w:sz w:val="24"/>
          <w:szCs w:val="32"/>
        </w:rPr>
        <w:t>4</w:t>
      </w:r>
      <w:r>
        <w:rPr>
          <w:b/>
          <w:sz w:val="24"/>
          <w:szCs w:val="32"/>
        </w:rPr>
        <w:t>电气安装</w:t>
      </w:r>
      <w:bookmarkEnd w:id="375"/>
      <w:bookmarkEnd w:id="376"/>
      <w:bookmarkEnd w:id="377"/>
      <w:bookmarkEnd w:id="378"/>
      <w:bookmarkEnd w:id="379"/>
      <w:bookmarkEnd w:id="380"/>
      <w:bookmarkEnd w:id="381"/>
      <w:bookmarkEnd w:id="382"/>
    </w:p>
    <w:p w14:paraId="5F2F242D">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4</w:t>
      </w:r>
      <w:r>
        <w:rPr>
          <w:b/>
          <w:bCs/>
          <w:sz w:val="24"/>
        </w:rPr>
        <w:t>.1</w:t>
      </w:r>
      <w:r>
        <w:rPr>
          <w:sz w:val="24"/>
        </w:rPr>
        <w:t xml:space="preserve"> 电气设备安装时，应对设备进行编号；电缆及线路接引完毕后，应对线路进行标识</w:t>
      </w:r>
      <w:r>
        <w:rPr>
          <w:rFonts w:hint="eastAsia"/>
          <w:sz w:val="24"/>
          <w:lang w:eastAsia="zh-CN"/>
        </w:rPr>
        <w:t>，</w:t>
      </w:r>
      <w:r>
        <w:rPr>
          <w:sz w:val="24"/>
        </w:rPr>
        <w:t>各类预留孔洞及电缆管口应进行防火封堵。</w:t>
      </w:r>
    </w:p>
    <w:p w14:paraId="2C64442F">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4</w:t>
      </w:r>
      <w:r>
        <w:rPr>
          <w:b/>
          <w:bCs/>
          <w:sz w:val="24"/>
        </w:rPr>
        <w:t>.</w:t>
      </w:r>
      <w:r>
        <w:rPr>
          <w:rFonts w:hint="eastAsia"/>
          <w:b/>
          <w:bCs/>
          <w:sz w:val="24"/>
          <w:lang w:val="en-US" w:eastAsia="zh-CN"/>
        </w:rPr>
        <w:t>2</w:t>
      </w:r>
      <w:r>
        <w:rPr>
          <w:sz w:val="24"/>
        </w:rPr>
        <w:t xml:space="preserve"> </w:t>
      </w:r>
      <w:r>
        <w:rPr>
          <w:rFonts w:hint="eastAsia"/>
          <w:sz w:val="24"/>
        </w:rPr>
        <w:t>光伏系统的电气装置安装应符合现行国家标准《建筑电气工程施工质量验收规范》GB</w:t>
      </w:r>
      <w:r>
        <w:rPr>
          <w:sz w:val="24"/>
        </w:rPr>
        <w:t xml:space="preserve"> 50303 </w:t>
      </w:r>
      <w:r>
        <w:rPr>
          <w:rFonts w:hint="eastAsia"/>
          <w:sz w:val="24"/>
        </w:rPr>
        <w:t>的规定。</w:t>
      </w:r>
      <w:r>
        <w:rPr>
          <w:sz w:val="24"/>
        </w:rPr>
        <w:t>高压电器设备的安装应符合现行国家标准《电气装置安装工程 高电压电器施工及验收规范》</w:t>
      </w:r>
      <w:r>
        <w:rPr>
          <w:rFonts w:hint="eastAsia"/>
          <w:sz w:val="24"/>
        </w:rPr>
        <w:t>GB50147</w:t>
      </w:r>
      <w:r>
        <w:rPr>
          <w:sz w:val="24"/>
        </w:rPr>
        <w:t>的有关规定</w:t>
      </w:r>
      <w:r>
        <w:rPr>
          <w:rFonts w:hint="eastAsia"/>
          <w:sz w:val="24"/>
        </w:rPr>
        <w:t>。</w:t>
      </w:r>
      <w:r>
        <w:rPr>
          <w:sz w:val="24"/>
        </w:rPr>
        <w:t>低压电器的安装应符合现行国家标准《电气装置安装工程 低压电器施工及验收规范》GB50254 的有关规定。</w:t>
      </w:r>
      <w:r>
        <w:rPr>
          <w:rFonts w:hint="eastAsia"/>
          <w:sz w:val="24"/>
        </w:rPr>
        <w:t>电力变压器的安装应符合现行国家标准《电气装置安装工程 电力变压器、油浸电抗器、互感器施工及验收规范》GB50148 的有关规定。电缆线路施工应符合现行国家标准《电气装置安装工程</w:t>
      </w:r>
      <w:r>
        <w:rPr>
          <w:sz w:val="24"/>
        </w:rPr>
        <w:t xml:space="preserve"> </w:t>
      </w:r>
      <w:r>
        <w:rPr>
          <w:rFonts w:hint="eastAsia"/>
          <w:sz w:val="24"/>
        </w:rPr>
        <w:t>电缆线路施工及验收标准》GB</w:t>
      </w:r>
      <w:r>
        <w:rPr>
          <w:sz w:val="24"/>
        </w:rPr>
        <w:t xml:space="preserve"> 50168 </w:t>
      </w:r>
      <w:r>
        <w:rPr>
          <w:rFonts w:hint="eastAsia"/>
          <w:sz w:val="24"/>
        </w:rPr>
        <w:t>的规定。</w:t>
      </w:r>
    </w:p>
    <w:p w14:paraId="30B4580B">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4</w:t>
      </w:r>
      <w:r>
        <w:rPr>
          <w:b/>
          <w:bCs/>
          <w:sz w:val="24"/>
        </w:rPr>
        <w:t>.</w:t>
      </w:r>
      <w:r>
        <w:rPr>
          <w:rFonts w:hint="eastAsia"/>
          <w:b/>
          <w:bCs/>
          <w:sz w:val="24"/>
          <w:lang w:val="en-US" w:eastAsia="zh-CN"/>
        </w:rPr>
        <w:t>3</w:t>
      </w:r>
      <w:r>
        <w:rPr>
          <w:sz w:val="24"/>
        </w:rPr>
        <w:t xml:space="preserve"> 蓄电池的安装应符合现行国家标准《电气装置安装工程蓄电池施工及验收规范》GB 50172 的有关规定。母线装置的施工应符合现行国家标准《电气装置安装工程 母线装置施工及验收规范》GB 50149 的有关规定。</w:t>
      </w:r>
      <w:r>
        <w:rPr>
          <w:rFonts w:hint="eastAsia"/>
          <w:sz w:val="24"/>
        </w:rPr>
        <w:t>二次设备、盘柜的安装及接线应符合设计要求和现行国家标准《电气装置安装工程盘、柜及二次回路接线施工及验收规范》GB50171 的有关规定。</w:t>
      </w:r>
      <w:r>
        <w:rPr>
          <w:sz w:val="24"/>
        </w:rPr>
        <w:t>直流系统的安装应符合现行国家标准《电气装置安装工程 蓄电池施工及验收规范》</w:t>
      </w:r>
      <w:r>
        <w:rPr>
          <w:rFonts w:hint="eastAsia"/>
          <w:sz w:val="24"/>
        </w:rPr>
        <w:t>GB50172</w:t>
      </w:r>
      <w:r>
        <w:rPr>
          <w:sz w:val="24"/>
        </w:rPr>
        <w:t xml:space="preserve"> 的有关规定</w:t>
      </w:r>
      <w:r>
        <w:rPr>
          <w:rFonts w:hint="eastAsia"/>
          <w:sz w:val="24"/>
        </w:rPr>
        <w:t>。</w:t>
      </w:r>
    </w:p>
    <w:p w14:paraId="3E11DCBA">
      <w:pPr>
        <w:snapToGrid w:val="0"/>
        <w:spacing w:line="300" w:lineRule="auto"/>
        <w:ind w:firstLine="0" w:firstLineChars="0"/>
        <w:jc w:val="left"/>
        <w:rPr>
          <w:sz w:val="24"/>
          <w:highlight w:val="none"/>
        </w:rPr>
      </w:pPr>
      <w:r>
        <w:rPr>
          <w:b/>
          <w:bCs/>
          <w:sz w:val="24"/>
        </w:rPr>
        <w:t>1</w:t>
      </w:r>
      <w:r>
        <w:rPr>
          <w:rFonts w:hint="eastAsia"/>
          <w:b/>
          <w:bCs/>
          <w:sz w:val="24"/>
          <w:lang w:val="en-US" w:eastAsia="zh-CN"/>
        </w:rPr>
        <w:t>0</w:t>
      </w:r>
      <w:r>
        <w:rPr>
          <w:b/>
          <w:bCs/>
          <w:sz w:val="24"/>
        </w:rPr>
        <w:t>.</w:t>
      </w:r>
      <w:r>
        <w:rPr>
          <w:rFonts w:hint="eastAsia"/>
          <w:b/>
          <w:bCs/>
          <w:sz w:val="24"/>
        </w:rPr>
        <w:t>4</w:t>
      </w:r>
      <w:r>
        <w:rPr>
          <w:b/>
          <w:bCs/>
          <w:sz w:val="24"/>
        </w:rPr>
        <w:t>.</w:t>
      </w:r>
      <w:r>
        <w:rPr>
          <w:rFonts w:hint="eastAsia"/>
          <w:b/>
          <w:bCs/>
          <w:sz w:val="24"/>
          <w:lang w:val="en-US" w:eastAsia="zh-CN"/>
        </w:rPr>
        <w:t>4</w:t>
      </w:r>
      <w:r>
        <w:rPr>
          <w:sz w:val="24"/>
        </w:rPr>
        <w:t xml:space="preserve"> 汇流箱的安装应符合</w:t>
      </w:r>
      <w:r>
        <w:rPr>
          <w:rFonts w:hint="eastAsia"/>
          <w:sz w:val="24"/>
          <w:highlight w:val="none"/>
          <w:lang w:eastAsia="zh-CN"/>
        </w:rPr>
        <w:t>《</w:t>
      </w:r>
      <w:r>
        <w:rPr>
          <w:rFonts w:hint="eastAsia"/>
          <w:sz w:val="24"/>
          <w:highlight w:val="none"/>
        </w:rPr>
        <w:t>建筑光伏系统应用技术标准》</w:t>
      </w:r>
      <w:r>
        <w:rPr>
          <w:sz w:val="24"/>
          <w:highlight w:val="none"/>
        </w:rPr>
        <w:t>GB/T51368</w:t>
      </w:r>
      <w:r>
        <w:rPr>
          <w:rFonts w:hint="eastAsia"/>
          <w:sz w:val="24"/>
          <w:highlight w:val="none"/>
          <w:lang w:val="en-US" w:eastAsia="zh-CN"/>
        </w:rPr>
        <w:t>的有关规定。</w:t>
      </w:r>
    </w:p>
    <w:p w14:paraId="27358C62">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1D200646">
      <w:pPr>
        <w:keepNext w:val="0"/>
        <w:keepLines w:val="0"/>
        <w:widowControl/>
        <w:suppressLineNumbers w:val="0"/>
        <w:spacing w:line="300" w:lineRule="auto"/>
        <w:jc w:val="left"/>
        <w:rPr>
          <w:rFonts w:hint="eastAsia" w:ascii="仿宋" w:hAnsi="仿宋" w:eastAsia="仿宋" w:cs="仿宋"/>
          <w:b w:val="0"/>
          <w:bCs w:val="0"/>
          <w:i/>
          <w:iCs/>
          <w:color w:val="0623BA"/>
          <w:kern w:val="2"/>
          <w:sz w:val="24"/>
          <w:szCs w:val="24"/>
          <w:lang w:val="en-US" w:eastAsia="zh-CN" w:bidi="ar"/>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 xml:space="preserve"> 安装前，应检查汇流箱的防护等级</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元器件的品牌和型号符合是否设计图纸要求。在运输、保管过程中，箱内元器件及连线有可能损坏或松动</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应进行检查。汇流箱在进行电缆接引时，如果光伏组件串已经连接完毕</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那么在光伏组件串两端就会产生直流高电压；而逆变器侧如果没有断开点，其他已经引接好的光伏组件串电流可能会从逆变器侧逆流到汇流箱内，很容易对人身和设备造成伤害。所以在汇流箱的光伏组件串电缆引接前，需确保没有电压</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确认光伏组件侧和逆变器侧均有明显断开点。</w:t>
      </w:r>
      <w:r>
        <w:rPr>
          <w:rFonts w:hint="eastAsia" w:ascii="仿宋" w:hAnsi="仿宋" w:eastAsia="仿宋" w:cs="仿宋"/>
          <w:b w:val="0"/>
          <w:bCs w:val="0"/>
          <w:i/>
          <w:iCs/>
          <w:color w:val="0623BA"/>
          <w:kern w:val="2"/>
          <w:sz w:val="24"/>
          <w:szCs w:val="24"/>
          <w:lang w:val="en-US" w:eastAsia="zh-CN" w:bidi="ar"/>
        </w:rPr>
        <w:t>具体要求如下：</w:t>
      </w:r>
    </w:p>
    <w:p w14:paraId="4F28F5F6">
      <w:pPr>
        <w:keepNext w:val="0"/>
        <w:keepLines w:val="0"/>
        <w:widowControl/>
        <w:suppressLineNumbers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b w:val="0"/>
          <w:bCs w:val="0"/>
          <w:i/>
          <w:iCs/>
          <w:color w:val="0623BA"/>
          <w:kern w:val="2"/>
          <w:sz w:val="24"/>
          <w:szCs w:val="24"/>
          <w:lang w:val="en-US" w:eastAsia="zh-CN" w:bidi="ar"/>
        </w:rPr>
        <w:t>1 汇流箱进线端和出线端与汇流箱接地端应进行绝缘测试;</w:t>
      </w:r>
    </w:p>
    <w:p w14:paraId="7DAA7CC2">
      <w:pPr>
        <w:keepNext w:val="0"/>
        <w:keepLines w:val="0"/>
        <w:widowControl/>
        <w:suppressLineNumbers w:val="0"/>
        <w:spacing w:line="300" w:lineRule="auto"/>
        <w:ind w:firstLine="480" w:firstLineChars="200"/>
        <w:jc w:val="left"/>
        <w:rPr>
          <w:rFonts w:hint="eastAsia" w:ascii="仿宋" w:hAnsi="仿宋" w:eastAsia="仿宋" w:cs="仿宋"/>
          <w:b w:val="0"/>
          <w:bCs w:val="0"/>
          <w:i/>
          <w:iCs/>
          <w:color w:val="0623BA"/>
          <w:kern w:val="2"/>
          <w:sz w:val="24"/>
          <w:szCs w:val="24"/>
          <w:lang w:val="en-US" w:eastAsia="zh-CN" w:bidi="ar"/>
        </w:rPr>
      </w:pPr>
      <w:r>
        <w:rPr>
          <w:rFonts w:hint="eastAsia" w:ascii="仿宋" w:hAnsi="仿宋" w:eastAsia="仿宋" w:cs="仿宋"/>
          <w:b w:val="0"/>
          <w:bCs w:val="0"/>
          <w:i/>
          <w:iCs/>
          <w:color w:val="0623BA"/>
          <w:kern w:val="2"/>
          <w:sz w:val="24"/>
          <w:szCs w:val="24"/>
          <w:lang w:val="en-US" w:eastAsia="zh-CN" w:bidi="ar"/>
        </w:rPr>
        <w:t>2 汇流箱内元器件应完好，连接线应无松动；</w:t>
      </w:r>
    </w:p>
    <w:p w14:paraId="346866F8">
      <w:pPr>
        <w:keepNext w:val="0"/>
        <w:keepLines w:val="0"/>
        <w:widowControl/>
        <w:suppressLineNumbers w:val="0"/>
        <w:spacing w:line="300" w:lineRule="auto"/>
        <w:ind w:firstLine="480" w:firstLineChars="200"/>
        <w:jc w:val="left"/>
        <w:rPr>
          <w:rFonts w:hint="eastAsia" w:ascii="仿宋" w:hAnsi="仿宋" w:eastAsia="仿宋" w:cs="仿宋"/>
          <w:b w:val="0"/>
          <w:bCs w:val="0"/>
          <w:i/>
          <w:iCs/>
          <w:color w:val="0623BA"/>
          <w:kern w:val="2"/>
          <w:sz w:val="24"/>
          <w:szCs w:val="24"/>
          <w:lang w:val="en-US" w:eastAsia="zh-CN" w:bidi="ar"/>
        </w:rPr>
      </w:pPr>
      <w:r>
        <w:rPr>
          <w:rFonts w:hint="eastAsia" w:ascii="仿宋" w:hAnsi="仿宋" w:eastAsia="仿宋" w:cs="仿宋"/>
          <w:b w:val="0"/>
          <w:bCs w:val="0"/>
          <w:i/>
          <w:iCs/>
          <w:color w:val="0623BA"/>
          <w:kern w:val="2"/>
          <w:sz w:val="24"/>
          <w:szCs w:val="24"/>
          <w:lang w:val="en-US" w:eastAsia="zh-CN" w:bidi="ar"/>
        </w:rPr>
        <w:t>3 汇流箱中的开关应处于分断状态，熔断器熔丝不应放入；</w:t>
      </w:r>
    </w:p>
    <w:p w14:paraId="71C78764">
      <w:pPr>
        <w:keepNext w:val="0"/>
        <w:keepLines w:val="0"/>
        <w:widowControl/>
        <w:suppressLineNumbers w:val="0"/>
        <w:spacing w:line="300" w:lineRule="auto"/>
        <w:ind w:firstLine="480" w:firstLineChars="200"/>
        <w:jc w:val="left"/>
        <w:rPr>
          <w:rFonts w:hint="eastAsia" w:ascii="仿宋" w:hAnsi="仿宋" w:eastAsia="仿宋" w:cs="仿宋"/>
          <w:b w:val="0"/>
          <w:bCs w:val="0"/>
          <w:i/>
          <w:iCs/>
          <w:color w:val="0623BA"/>
          <w:kern w:val="2"/>
          <w:sz w:val="24"/>
          <w:szCs w:val="24"/>
          <w:lang w:val="en-US" w:eastAsia="zh-CN" w:bidi="ar"/>
        </w:rPr>
      </w:pPr>
      <w:r>
        <w:rPr>
          <w:rFonts w:hint="eastAsia" w:ascii="仿宋" w:hAnsi="仿宋" w:eastAsia="仿宋" w:cs="仿宋"/>
          <w:b w:val="0"/>
          <w:bCs w:val="0"/>
          <w:i/>
          <w:iCs/>
          <w:color w:val="0623BA"/>
          <w:kern w:val="2"/>
          <w:sz w:val="24"/>
          <w:szCs w:val="24"/>
          <w:lang w:val="en-US" w:eastAsia="zh-CN" w:bidi="ar"/>
        </w:rPr>
        <w:t>4 汇流箱内光伏组件串的电缆接引前，光伏组件侧和逆变器侧应有明显断开点；</w:t>
      </w:r>
    </w:p>
    <w:p w14:paraId="193F76B5">
      <w:pPr>
        <w:keepNext w:val="0"/>
        <w:keepLines w:val="0"/>
        <w:widowControl/>
        <w:suppressLineNumbers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b w:val="0"/>
          <w:bCs w:val="0"/>
          <w:i/>
          <w:iCs/>
          <w:color w:val="0623BA"/>
          <w:kern w:val="2"/>
          <w:sz w:val="24"/>
          <w:szCs w:val="24"/>
          <w:lang w:val="en-US" w:eastAsia="zh-CN" w:bidi="ar"/>
        </w:rPr>
        <w:t>5 汇流箱与光伏组件串进行电缆连接时，应先接汇流箱内的输入端子,后接光伏组件接插件。</w:t>
      </w:r>
      <w:r>
        <w:rPr>
          <w:rFonts w:hint="eastAsia" w:ascii="仿宋" w:hAnsi="仿宋" w:eastAsia="仿宋" w:cs="仿宋"/>
          <w:i/>
          <w:iCs/>
          <w:color w:val="0623BA"/>
          <w:kern w:val="2"/>
          <w:sz w:val="24"/>
          <w:szCs w:val="24"/>
          <w:lang w:val="en-US" w:eastAsia="zh-CN" w:bidi="ar"/>
        </w:rPr>
        <w:t xml:space="preserve"> </w:t>
      </w:r>
    </w:p>
    <w:p w14:paraId="1CC69852">
      <w:pPr>
        <w:snapToGrid w:val="0"/>
        <w:spacing w:line="300" w:lineRule="auto"/>
        <w:ind w:firstLine="0" w:firstLineChars="0"/>
        <w:jc w:val="left"/>
        <w:rPr>
          <w:sz w:val="24"/>
        </w:rPr>
      </w:pPr>
      <w:r>
        <w:rPr>
          <w:b/>
          <w:bCs/>
          <w:sz w:val="24"/>
        </w:rPr>
        <w:t>1</w:t>
      </w:r>
      <w:r>
        <w:rPr>
          <w:rFonts w:hint="eastAsia"/>
          <w:b/>
          <w:bCs/>
          <w:sz w:val="24"/>
          <w:lang w:val="en-US" w:eastAsia="zh-CN"/>
        </w:rPr>
        <w:t>0</w:t>
      </w:r>
      <w:r>
        <w:rPr>
          <w:b/>
          <w:bCs/>
          <w:sz w:val="24"/>
        </w:rPr>
        <w:t>.</w:t>
      </w:r>
      <w:r>
        <w:rPr>
          <w:rFonts w:hint="eastAsia"/>
          <w:b/>
          <w:bCs/>
          <w:sz w:val="24"/>
        </w:rPr>
        <w:t>4</w:t>
      </w:r>
      <w:r>
        <w:rPr>
          <w:b/>
          <w:bCs/>
          <w:sz w:val="24"/>
        </w:rPr>
        <w:t>.</w:t>
      </w:r>
      <w:r>
        <w:rPr>
          <w:rFonts w:hint="eastAsia"/>
          <w:b/>
          <w:bCs/>
          <w:sz w:val="24"/>
          <w:lang w:val="en-US" w:eastAsia="zh-CN"/>
        </w:rPr>
        <w:t>5</w:t>
      </w:r>
      <w:r>
        <w:rPr>
          <w:sz w:val="24"/>
        </w:rPr>
        <w:t xml:space="preserve"> 逆变器的安装除应符合现行国家标准《电气装置安装工程盘、柜及二次回路接线施工及验收规范》GB 50171 的有关规定外</w:t>
      </w:r>
      <w:r>
        <w:rPr>
          <w:sz w:val="24"/>
          <w:highlight w:val="none"/>
        </w:rPr>
        <w:t>，尚应符合</w:t>
      </w:r>
      <w:r>
        <w:rPr>
          <w:rFonts w:hint="eastAsia"/>
          <w:sz w:val="24"/>
          <w:highlight w:val="none"/>
          <w:lang w:eastAsia="zh-CN"/>
        </w:rPr>
        <w:t>《</w:t>
      </w:r>
      <w:r>
        <w:rPr>
          <w:rFonts w:hint="eastAsia"/>
          <w:sz w:val="24"/>
          <w:highlight w:val="none"/>
        </w:rPr>
        <w:t>建筑光伏系统应用技术标准》</w:t>
      </w:r>
      <w:r>
        <w:rPr>
          <w:sz w:val="24"/>
          <w:highlight w:val="none"/>
        </w:rPr>
        <w:t>GB/T51368</w:t>
      </w:r>
      <w:r>
        <w:rPr>
          <w:rFonts w:hint="eastAsia"/>
          <w:sz w:val="24"/>
          <w:highlight w:val="none"/>
          <w:lang w:val="en-US" w:eastAsia="zh-CN"/>
        </w:rPr>
        <w:t>的有关规定。</w:t>
      </w:r>
    </w:p>
    <w:p w14:paraId="5C30035A">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47DCBAB">
      <w:pPr>
        <w:pStyle w:val="2"/>
        <w:snapToGrid/>
        <w:spacing w:after="0" w:line="300" w:lineRule="auto"/>
        <w:ind w:firstLine="0" w:firstLineChars="0"/>
        <w:jc w:val="left"/>
        <w:rPr>
          <w:rFonts w:hint="eastAsia" w:ascii="仿宋" w:hAnsi="仿宋" w:eastAsia="仿宋" w:cs="仿宋"/>
          <w:i/>
          <w:iCs/>
          <w:color w:val="0623BA"/>
          <w:sz w:val="24"/>
          <w:lang w:val="en-US" w:eastAsia="zh-CN"/>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.4.</w:t>
      </w:r>
      <w:r>
        <w:rPr>
          <w:rFonts w:hint="eastAsia" w:ascii="仿宋" w:hAnsi="仿宋" w:eastAsia="仿宋" w:cs="仿宋"/>
          <w:i/>
          <w:iCs/>
          <w:color w:val="0623BA"/>
          <w:sz w:val="24"/>
          <w:lang w:val="en-US" w:eastAsia="zh-CN"/>
        </w:rPr>
        <w:t>5</w:t>
      </w:r>
      <w:r>
        <w:rPr>
          <w:rFonts w:hint="eastAsia" w:ascii="仿宋" w:hAnsi="仿宋" w:eastAsia="仿宋" w:cs="仿宋"/>
          <w:i/>
          <w:iCs/>
          <w:color w:val="0623BA"/>
          <w:sz w:val="24"/>
        </w:rPr>
        <w:t xml:space="preserve"> 建筑光伏系统可能会在不同区域安装不同规格、型号的逆变器，要求在逆变器安装前按照图纸进行复核，以免安装位置出现错误，造成不必要的返工。单列柜与接地扁钢之间至少应选取两点进行连接</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以做到重复接地，保证系统接地的可靠性。本条对逆变器安装使用的环境提出相应的要求，这对保证安装质量和设备安全是必要的（如为了防止设备受潮，提出安装地点的屋面、楼板等不得有渗漏现象）。逆变器交流侧电缆接引至升压变压器低压侧或直接接入电网后，不便于电缆绝缘和相序的校验，直流侧电缆的极性和绝缘同样非常重要，故在接引前应仔细检查电缆绝缘</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校对电缆相序和极性，做好施工记录。逆变器的直流侧电缆连接时</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部分光伏组件串已经串接完毕，此时会产生很高的直流开路电压。为保证人身安全，应在逆变器直流侧电缆接线前，确认逆变器直流侧前端有明显的断开点，做好安全防护措施</w:t>
      </w:r>
      <w:r>
        <w:rPr>
          <w:rFonts w:hint="eastAsia" w:ascii="仿宋" w:hAnsi="仿宋" w:eastAsia="仿宋" w:cs="仿宋"/>
          <w:i/>
          <w:iCs/>
          <w:color w:val="0623BA"/>
          <w:sz w:val="24"/>
          <w:lang w:eastAsia="zh-CN"/>
        </w:rPr>
        <w:t>，</w:t>
      </w:r>
      <w:r>
        <w:rPr>
          <w:rFonts w:hint="eastAsia" w:ascii="仿宋" w:hAnsi="仿宋" w:eastAsia="仿宋" w:cs="仿宋"/>
          <w:i/>
          <w:iCs/>
          <w:color w:val="0623BA"/>
          <w:sz w:val="24"/>
          <w:lang w:val="en-US" w:eastAsia="zh-CN"/>
        </w:rPr>
        <w:t>具体要求为：</w:t>
      </w:r>
    </w:p>
    <w:p w14:paraId="677B12B9">
      <w:pPr>
        <w:pStyle w:val="2"/>
        <w:snapToGrid/>
        <w:spacing w:after="0"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1 应检查待安装逆变器的外观、型号、规格；</w:t>
      </w:r>
    </w:p>
    <w:p w14:paraId="27757C81">
      <w:pPr>
        <w:pStyle w:val="2"/>
        <w:snapToGrid/>
        <w:spacing w:after="0"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2 逆变器柜体应进行接地，单列柜与接地扁钢之间应至少选取两点进行连接；</w:t>
      </w:r>
    </w:p>
    <w:p w14:paraId="5F306CB0">
      <w:pPr>
        <w:pStyle w:val="2"/>
        <w:snapToGrid/>
        <w:spacing w:after="0"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3 逆变器交流侧和直流侧电缆接线前应检查电缆绝缘，校对电缆相序和极性；</w:t>
      </w:r>
    </w:p>
    <w:p w14:paraId="6EC75032">
      <w:pPr>
        <w:pStyle w:val="2"/>
        <w:snapToGrid/>
        <w:spacing w:after="0"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4 集中式逆变器直流侧电缆接线前应确认汇流箱侧有明显断开点；</w:t>
      </w:r>
    </w:p>
    <w:p w14:paraId="351FB302">
      <w:pPr>
        <w:pStyle w:val="2"/>
        <w:snapToGrid/>
        <w:spacing w:after="0"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5 逆变器交流侧电缆接线前应确认并网柜侧有明显断开点。</w:t>
      </w:r>
    </w:p>
    <w:p w14:paraId="567D953B">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4</w:t>
      </w:r>
      <w:r>
        <w:rPr>
          <w:b/>
          <w:bCs/>
          <w:sz w:val="24"/>
        </w:rPr>
        <w:t>.</w:t>
      </w:r>
      <w:r>
        <w:rPr>
          <w:rFonts w:hint="eastAsia"/>
          <w:b/>
          <w:bCs/>
          <w:sz w:val="24"/>
          <w:lang w:val="en-US" w:eastAsia="zh-CN"/>
        </w:rPr>
        <w:t>6</w:t>
      </w:r>
      <w:r>
        <w:rPr>
          <w:sz w:val="24"/>
        </w:rPr>
        <w:t xml:space="preserve"> 电缆桥架和线槽的安装应符合下列规定：</w:t>
      </w:r>
    </w:p>
    <w:p w14:paraId="346AEF6B">
      <w:pPr>
        <w:snapToGrid w:val="0"/>
        <w:spacing w:line="300" w:lineRule="auto"/>
        <w:ind w:firstLine="482" w:firstLineChars="200"/>
        <w:rPr>
          <w:sz w:val="24"/>
        </w:rPr>
      </w:pPr>
      <w:r>
        <w:rPr>
          <w:b/>
          <w:bCs/>
          <w:sz w:val="24"/>
        </w:rPr>
        <w:t xml:space="preserve">1 </w:t>
      </w:r>
      <w:r>
        <w:rPr>
          <w:sz w:val="24"/>
        </w:rPr>
        <w:t>槽式大跨距电缆桥架由室外进入室内时</w:t>
      </w:r>
      <w:r>
        <w:rPr>
          <w:rFonts w:hint="eastAsia"/>
          <w:sz w:val="24"/>
        </w:rPr>
        <w:t>，桥架向外的坡度应大于5%并在槽盒底部设置泄水孔</w:t>
      </w:r>
      <w:r>
        <w:rPr>
          <w:sz w:val="24"/>
        </w:rPr>
        <w:t>；</w:t>
      </w:r>
    </w:p>
    <w:p w14:paraId="3B29021D">
      <w:pPr>
        <w:snapToGrid w:val="0"/>
        <w:spacing w:line="300" w:lineRule="auto"/>
        <w:ind w:firstLine="482" w:firstLineChars="200"/>
        <w:rPr>
          <w:sz w:val="24"/>
        </w:rPr>
      </w:pPr>
      <w:r>
        <w:rPr>
          <w:b/>
          <w:bCs/>
          <w:sz w:val="24"/>
        </w:rPr>
        <w:t xml:space="preserve">2 </w:t>
      </w:r>
      <w:r>
        <w:rPr>
          <w:sz w:val="24"/>
        </w:rPr>
        <w:t>电缆桥架与用电设备跨越时</w:t>
      </w:r>
      <w:r>
        <w:rPr>
          <w:rFonts w:hint="eastAsia"/>
          <w:sz w:val="24"/>
        </w:rPr>
        <w:t>，</w:t>
      </w:r>
      <w:r>
        <w:rPr>
          <w:sz w:val="24"/>
        </w:rPr>
        <w:t>净距不应小于0.5m；</w:t>
      </w:r>
    </w:p>
    <w:p w14:paraId="2B915304">
      <w:pPr>
        <w:snapToGrid w:val="0"/>
        <w:spacing w:line="300" w:lineRule="auto"/>
        <w:ind w:firstLine="482" w:firstLineChars="200"/>
        <w:rPr>
          <w:sz w:val="24"/>
        </w:rPr>
      </w:pPr>
      <w:r>
        <w:rPr>
          <w:b/>
          <w:bCs/>
          <w:sz w:val="24"/>
        </w:rPr>
        <w:t xml:space="preserve">3 </w:t>
      </w:r>
      <w:r>
        <w:rPr>
          <w:sz w:val="24"/>
        </w:rPr>
        <w:t>两组电缆桥架在同一高度平行敷设时，净距不应小于0.6m；</w:t>
      </w:r>
    </w:p>
    <w:p w14:paraId="2914FA53">
      <w:pPr>
        <w:snapToGrid w:val="0"/>
        <w:spacing w:line="300" w:lineRule="auto"/>
        <w:ind w:firstLine="482" w:firstLineChars="200"/>
        <w:rPr>
          <w:sz w:val="24"/>
        </w:rPr>
      </w:pPr>
      <w:r>
        <w:rPr>
          <w:b/>
          <w:bCs/>
          <w:sz w:val="24"/>
        </w:rPr>
        <w:t xml:space="preserve">4 </w:t>
      </w:r>
      <w:r>
        <w:rPr>
          <w:sz w:val="24"/>
        </w:rPr>
        <w:t>电缆桥架宜高出地面2.5m以上，桥架顶部距顶棚或其他障碍物不宜小于0.3m</w:t>
      </w:r>
      <w:r>
        <w:rPr>
          <w:rFonts w:hint="eastAsia"/>
          <w:sz w:val="24"/>
        </w:rPr>
        <w:t>，</w:t>
      </w:r>
      <w:r>
        <w:rPr>
          <w:sz w:val="24"/>
        </w:rPr>
        <w:t>桥架内横断面的填充率应符合设计要求；</w:t>
      </w:r>
    </w:p>
    <w:p w14:paraId="131F01C5">
      <w:pPr>
        <w:snapToGrid w:val="0"/>
        <w:spacing w:line="300" w:lineRule="auto"/>
        <w:ind w:firstLine="482" w:firstLineChars="200"/>
        <w:rPr>
          <w:sz w:val="24"/>
        </w:rPr>
      </w:pPr>
      <w:r>
        <w:rPr>
          <w:b/>
          <w:bCs/>
          <w:sz w:val="24"/>
        </w:rPr>
        <w:t xml:space="preserve">5 </w:t>
      </w:r>
      <w:r>
        <w:rPr>
          <w:sz w:val="24"/>
        </w:rPr>
        <w:t>电缆桥架内缆线竖直敷设时，缆线的上端和每间隔</w:t>
      </w:r>
      <w:r>
        <w:rPr>
          <w:rFonts w:hint="eastAsia"/>
          <w:sz w:val="24"/>
          <w:lang w:val="en-US" w:eastAsia="zh-CN"/>
        </w:rPr>
        <w:t>1.</w:t>
      </w:r>
      <w:r>
        <w:rPr>
          <w:sz w:val="24"/>
        </w:rPr>
        <w:t>5m处宜固定在桥架的支架上；水平敷设时，在缆线的首、尾、转弯及每间隔3m</w:t>
      </w:r>
      <w:r>
        <w:rPr>
          <w:rFonts w:hint="eastAsia"/>
          <w:sz w:val="24"/>
          <w:lang w:eastAsia="zh-CN"/>
        </w:rPr>
        <w:t>～</w:t>
      </w:r>
      <w:r>
        <w:rPr>
          <w:sz w:val="24"/>
        </w:rPr>
        <w:t>5m处宜进行固定；</w:t>
      </w:r>
    </w:p>
    <w:p w14:paraId="39FDCE7F">
      <w:pPr>
        <w:snapToGrid w:val="0"/>
        <w:spacing w:line="300" w:lineRule="auto"/>
        <w:ind w:firstLine="482" w:firstLineChars="200"/>
        <w:rPr>
          <w:sz w:val="24"/>
        </w:rPr>
      </w:pPr>
      <w:r>
        <w:rPr>
          <w:b/>
          <w:bCs/>
          <w:sz w:val="24"/>
        </w:rPr>
        <w:t xml:space="preserve">6 </w:t>
      </w:r>
      <w:r>
        <w:rPr>
          <w:sz w:val="24"/>
        </w:rPr>
        <w:t>槽盖在吊顶内设置时，开启面宜保持80mm的垂直净空；</w:t>
      </w:r>
    </w:p>
    <w:p w14:paraId="66789ED6">
      <w:pPr>
        <w:snapToGrid w:val="0"/>
        <w:spacing w:line="300" w:lineRule="auto"/>
        <w:ind w:firstLine="482" w:firstLineChars="200"/>
        <w:rPr>
          <w:sz w:val="24"/>
        </w:rPr>
      </w:pPr>
      <w:r>
        <w:rPr>
          <w:b/>
          <w:bCs/>
          <w:sz w:val="24"/>
        </w:rPr>
        <w:t xml:space="preserve">7 </w:t>
      </w:r>
      <w:r>
        <w:rPr>
          <w:sz w:val="24"/>
        </w:rPr>
        <w:t>布放在线槽的缆线宜顺直不交叉，缆线不应溢出线槽；缆线进出线槽、转弯处应绑扎固定。</w:t>
      </w:r>
    </w:p>
    <w:p w14:paraId="7C34689A">
      <w:pPr>
        <w:snapToGrid w:val="0"/>
        <w:spacing w:line="300" w:lineRule="auto"/>
        <w:ind w:firstLine="0" w:firstLineChars="0"/>
        <w:jc w:val="both"/>
        <w:rPr>
          <w:rFonts w:hint="default" w:eastAsia="宋体"/>
          <w:sz w:val="24"/>
          <w:lang w:eastAsia="zh-CN"/>
        </w:rPr>
      </w:pPr>
      <w:r>
        <w:rPr>
          <w:b/>
          <w:bCs/>
          <w:sz w:val="24"/>
        </w:rPr>
        <w:t>1</w:t>
      </w:r>
      <w:r>
        <w:rPr>
          <w:rFonts w:hint="default"/>
          <w:b/>
          <w:bCs/>
          <w:sz w:val="24"/>
          <w:lang w:val="en-US" w:eastAsia="zh-CN"/>
        </w:rPr>
        <w:t>0</w:t>
      </w:r>
      <w:r>
        <w:rPr>
          <w:b/>
          <w:bCs/>
          <w:sz w:val="24"/>
        </w:rPr>
        <w:t>.</w:t>
      </w:r>
      <w:r>
        <w:rPr>
          <w:rFonts w:hint="default"/>
          <w:b/>
          <w:bCs/>
          <w:sz w:val="24"/>
        </w:rPr>
        <w:t>4</w:t>
      </w:r>
      <w:r>
        <w:rPr>
          <w:b/>
          <w:bCs/>
          <w:sz w:val="24"/>
        </w:rPr>
        <w:t>.</w:t>
      </w:r>
      <w:r>
        <w:rPr>
          <w:rFonts w:hint="default"/>
          <w:b/>
          <w:bCs/>
          <w:sz w:val="24"/>
          <w:lang w:val="en-US" w:eastAsia="zh-CN"/>
        </w:rPr>
        <w:t>7</w:t>
      </w:r>
      <w:r>
        <w:rPr>
          <w:b/>
          <w:bCs/>
          <w:sz w:val="24"/>
        </w:rPr>
        <w:t xml:space="preserve"> </w:t>
      </w:r>
      <w:r>
        <w:rPr>
          <w:sz w:val="24"/>
        </w:rPr>
        <w:t>环境监测仪</w:t>
      </w:r>
      <w:r>
        <w:rPr>
          <w:rFonts w:hint="default"/>
          <w:sz w:val="24"/>
          <w:lang w:eastAsia="zh-CN"/>
        </w:rPr>
        <w:t>、</w:t>
      </w:r>
      <w:r>
        <w:rPr>
          <w:sz w:val="24"/>
        </w:rPr>
        <w:t>通信电缆布线应符合</w:t>
      </w:r>
      <w:r>
        <w:rPr>
          <w:rFonts w:hint="default"/>
          <w:sz w:val="24"/>
          <w:lang w:eastAsia="zh-CN"/>
        </w:rPr>
        <w:t>《</w:t>
      </w:r>
      <w:r>
        <w:rPr>
          <w:rFonts w:hint="default"/>
          <w:sz w:val="24"/>
        </w:rPr>
        <w:t>建筑光伏系统应用技术标准》</w:t>
      </w:r>
      <w:r>
        <w:rPr>
          <w:sz w:val="24"/>
        </w:rPr>
        <w:t>GB/T51368</w:t>
      </w:r>
      <w:r>
        <w:rPr>
          <w:rFonts w:hint="default"/>
          <w:sz w:val="24"/>
          <w:lang w:val="en-US" w:eastAsia="zh-CN"/>
        </w:rPr>
        <w:t>的</w:t>
      </w:r>
      <w:r>
        <w:rPr>
          <w:sz w:val="24"/>
        </w:rPr>
        <w:t>规定</w:t>
      </w:r>
      <w:r>
        <w:rPr>
          <w:rFonts w:hint="default"/>
          <w:sz w:val="24"/>
          <w:lang w:eastAsia="zh-CN"/>
        </w:rPr>
        <w:t>。</w:t>
      </w:r>
    </w:p>
    <w:p w14:paraId="75390220">
      <w:pPr>
        <w:keepNext/>
        <w:keepLines/>
        <w:snapToGrid w:val="0"/>
        <w:spacing w:before="95" w:beforeLines="30" w:after="95" w:afterLines="30" w:line="300" w:lineRule="auto"/>
        <w:jc w:val="center"/>
        <w:outlineLvl w:val="2"/>
        <w:rPr>
          <w:b/>
          <w:sz w:val="24"/>
          <w:szCs w:val="32"/>
        </w:rPr>
      </w:pPr>
      <w:bookmarkStart w:id="383" w:name="_Toc14941"/>
      <w:bookmarkStart w:id="384" w:name="_Toc8489"/>
      <w:bookmarkStart w:id="385" w:name="_Toc8926"/>
      <w:bookmarkStart w:id="386" w:name="_Toc27778"/>
      <w:bookmarkStart w:id="387" w:name="_Toc7623"/>
      <w:bookmarkStart w:id="388" w:name="_Toc6240"/>
      <w:bookmarkStart w:id="389" w:name="_Toc21736"/>
      <w:bookmarkStart w:id="390" w:name="_Toc12086"/>
      <w:r>
        <w:rPr>
          <w:b/>
          <w:sz w:val="24"/>
          <w:szCs w:val="32"/>
        </w:rPr>
        <w:t>1</w:t>
      </w:r>
      <w:r>
        <w:rPr>
          <w:rFonts w:hint="default"/>
          <w:b/>
          <w:sz w:val="24"/>
          <w:szCs w:val="32"/>
          <w:lang w:val="en-US" w:eastAsia="zh-CN"/>
        </w:rPr>
        <w:t>0</w:t>
      </w:r>
      <w:r>
        <w:rPr>
          <w:b/>
          <w:sz w:val="24"/>
          <w:szCs w:val="32"/>
        </w:rPr>
        <w:t>.</w:t>
      </w:r>
      <w:r>
        <w:rPr>
          <w:rFonts w:hint="default"/>
          <w:b/>
          <w:sz w:val="24"/>
          <w:szCs w:val="32"/>
        </w:rPr>
        <w:t>5</w:t>
      </w:r>
      <w:r>
        <w:rPr>
          <w:b/>
          <w:sz w:val="24"/>
          <w:szCs w:val="32"/>
        </w:rPr>
        <w:t>系统调试</w:t>
      </w:r>
      <w:bookmarkEnd w:id="383"/>
      <w:bookmarkEnd w:id="384"/>
      <w:bookmarkEnd w:id="385"/>
      <w:bookmarkEnd w:id="386"/>
      <w:bookmarkEnd w:id="387"/>
      <w:bookmarkEnd w:id="388"/>
      <w:bookmarkEnd w:id="389"/>
      <w:bookmarkEnd w:id="390"/>
    </w:p>
    <w:p w14:paraId="2170CEE0">
      <w:pPr>
        <w:snapToGrid w:val="0"/>
        <w:spacing w:line="300" w:lineRule="auto"/>
        <w:jc w:val="left"/>
        <w:rPr>
          <w:rFonts w:hint="eastAsia" w:eastAsia="宋体"/>
          <w:sz w:val="24"/>
          <w:lang w:val="en-US" w:eastAsia="zh-CN"/>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.1</w:t>
      </w:r>
      <w:r>
        <w:rPr>
          <w:sz w:val="24"/>
        </w:rPr>
        <w:t xml:space="preserve"> 建筑光伏系统的调试应包括光伏组件串、汇流箱、逆变器、配电柜、二次系统、储能系统等设备调试及光伏发电系统的联合调试。</w:t>
      </w:r>
      <w:r>
        <w:rPr>
          <w:rFonts w:ascii="Times New Roman" w:hAnsi="Times New Roman" w:eastAsia="宋体" w:cs="Times New Roman"/>
          <w:b w:val="0"/>
          <w:bCs w:val="0"/>
          <w:i w:val="0"/>
          <w:iCs w:val="0"/>
          <w:color w:val="auto"/>
          <w:sz w:val="24"/>
          <w:szCs w:val="24"/>
        </w:rPr>
        <w:t>光伏发电系统的调试应有调试</w:t>
      </w:r>
      <w:r>
        <w:rPr>
          <w:rFonts w:hint="default" w:ascii="Times New Roman" w:hAnsi="Times New Roman" w:cs="Times New Roman"/>
          <w:b w:val="0"/>
          <w:bCs w:val="0"/>
          <w:i w:val="0"/>
          <w:iCs w:val="0"/>
          <w:color w:val="auto"/>
          <w:sz w:val="24"/>
          <w:szCs w:val="24"/>
          <w:lang w:val="en-US" w:eastAsia="zh-CN"/>
        </w:rPr>
        <w:t>记录。</w:t>
      </w:r>
    </w:p>
    <w:p w14:paraId="125A3C87">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.2</w:t>
      </w:r>
      <w:r>
        <w:rPr>
          <w:sz w:val="24"/>
        </w:rPr>
        <w:t xml:space="preserve"> </w:t>
      </w:r>
      <w:r>
        <w:rPr>
          <w:rFonts w:hint="default"/>
          <w:sz w:val="24"/>
          <w:lang w:val="en-US" w:eastAsia="zh-CN"/>
        </w:rPr>
        <w:t>设备和</w:t>
      </w:r>
      <w:r>
        <w:rPr>
          <w:rFonts w:hint="eastAsia"/>
          <w:sz w:val="24"/>
        </w:rPr>
        <w:t>系统调试前</w:t>
      </w:r>
      <w:r>
        <w:rPr>
          <w:rFonts w:hint="default"/>
          <w:sz w:val="24"/>
          <w:lang w:eastAsia="zh-CN"/>
        </w:rPr>
        <w:t>，</w:t>
      </w:r>
      <w:r>
        <w:rPr>
          <w:rFonts w:ascii="Times New Roman" w:hAnsi="Times New Roman" w:eastAsia="宋体" w:cs="Times New Roman"/>
          <w:b w:val="0"/>
          <w:bCs w:val="0"/>
          <w:i w:val="0"/>
          <w:iCs w:val="0"/>
          <w:color w:val="auto"/>
          <w:sz w:val="24"/>
          <w:szCs w:val="24"/>
        </w:rPr>
        <w:t>应完成安装工作并验收合格；</w:t>
      </w:r>
      <w:r>
        <w:rPr>
          <w:rFonts w:hint="eastAsia"/>
          <w:sz w:val="24"/>
        </w:rPr>
        <w:t>确认设备接线正确无误、牢固无松动且符合设计要求</w:t>
      </w:r>
      <w:r>
        <w:rPr>
          <w:rFonts w:hint="default"/>
          <w:sz w:val="24"/>
          <w:lang w:eastAsia="zh-CN"/>
        </w:rPr>
        <w:t>，</w:t>
      </w:r>
      <w:r>
        <w:rPr>
          <w:rFonts w:ascii="Times New Roman" w:hAnsi="Times New Roman" w:eastAsia="宋体" w:cs="Times New Roman"/>
          <w:b w:val="0"/>
          <w:bCs w:val="0"/>
          <w:i w:val="0"/>
          <w:iCs w:val="0"/>
          <w:color w:val="auto"/>
          <w:sz w:val="24"/>
          <w:szCs w:val="24"/>
        </w:rPr>
        <w:t>装有空调或通风装置等特殊设施的，应安装完毕并投入运行。受电后无法进行或影响运行安全的工程应施工完毕。</w:t>
      </w:r>
    </w:p>
    <w:p w14:paraId="1C4693B2">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 xml:space="preserve">.3 </w:t>
      </w:r>
      <w:r>
        <w:rPr>
          <w:rFonts w:hint="eastAsia"/>
          <w:sz w:val="24"/>
        </w:rPr>
        <w:t>对照系统设计图纸和设备配置清单进行检查，按电气原理图及安装接线图进行检查，确认设备内部接线和外部接线正确无误，应符合低压电力系统设计规范和并网光伏系统设计规范的规定：并网光伏系统与电网间在联结处应有明显的带有标志的可视断开点，应通过变压器等进行电气隔离。</w:t>
      </w:r>
    </w:p>
    <w:p w14:paraId="3E76E19D">
      <w:pPr>
        <w:pStyle w:val="2"/>
        <w:spacing w:after="0" w:line="300" w:lineRule="auto"/>
        <w:rPr>
          <w:rFonts w:hint="eastAsia" w:eastAsia="宋体"/>
          <w:sz w:val="24"/>
          <w:lang w:eastAsia="zh-CN"/>
        </w:rPr>
      </w:pPr>
      <w:r>
        <w:rPr>
          <w:rFonts w:hint="eastAsia"/>
          <w:b/>
          <w:bCs/>
          <w:sz w:val="24"/>
          <w:lang w:val="en-US" w:eastAsia="zh-CN"/>
        </w:rPr>
        <w:t xml:space="preserve">10.5.4 </w:t>
      </w:r>
      <w:r>
        <w:rPr>
          <w:rFonts w:hint="eastAsia"/>
          <w:sz w:val="24"/>
        </w:rPr>
        <w:t>系统绝缘性能应按下列要求与方法进行检查</w:t>
      </w:r>
      <w:r>
        <w:rPr>
          <w:rFonts w:hint="eastAsia"/>
          <w:sz w:val="24"/>
          <w:lang w:eastAsia="zh-CN"/>
        </w:rPr>
        <w:t>：</w:t>
      </w:r>
    </w:p>
    <w:p w14:paraId="5F8F307C">
      <w:pPr>
        <w:pStyle w:val="2"/>
        <w:spacing w:after="0" w:line="300" w:lineRule="auto"/>
        <w:ind w:firstLine="482" w:firstLineChars="200"/>
        <w:rPr>
          <w:rFonts w:hint="eastAsia" w:eastAsia="宋体"/>
          <w:sz w:val="24"/>
          <w:lang w:eastAsia="zh-CN"/>
        </w:rPr>
      </w:pPr>
      <w:r>
        <w:rPr>
          <w:rFonts w:hint="eastAsia"/>
          <w:b/>
          <w:bCs/>
          <w:sz w:val="24"/>
        </w:rPr>
        <w:t xml:space="preserve">1 </w:t>
      </w:r>
      <w:r>
        <w:rPr>
          <w:rFonts w:hint="eastAsia"/>
          <w:sz w:val="24"/>
        </w:rPr>
        <w:t>将光伏方阵、接线箱、逆变器、并网保护装置等设备的连接回路断开，分别用DC500V欧姆表测量主回路各极性与地或外壳的绝缘电阻</w:t>
      </w:r>
      <w:r>
        <w:rPr>
          <w:rFonts w:hint="eastAsia"/>
          <w:sz w:val="24"/>
          <w:lang w:eastAsia="zh-CN"/>
        </w:rPr>
        <w:t>，</w:t>
      </w:r>
      <w:r>
        <w:rPr>
          <w:rFonts w:hint="eastAsia"/>
          <w:sz w:val="24"/>
        </w:rPr>
        <w:t>应不小于1</w:t>
      </w:r>
      <w:r>
        <w:rPr>
          <w:rFonts w:hint="eastAsia"/>
          <w:sz w:val="24"/>
          <w:lang w:val="en-US" w:eastAsia="zh-CN"/>
        </w:rPr>
        <w:t>MΩ；</w:t>
      </w:r>
    </w:p>
    <w:p w14:paraId="5F87B0E8">
      <w:pPr>
        <w:pStyle w:val="2"/>
        <w:spacing w:after="0" w:line="300" w:lineRule="auto"/>
        <w:ind w:firstLine="482" w:firstLineChars="200"/>
        <w:rPr>
          <w:sz w:val="24"/>
        </w:rPr>
      </w:pPr>
      <w:r>
        <w:rPr>
          <w:rFonts w:hint="eastAsia"/>
          <w:b/>
          <w:bCs/>
          <w:sz w:val="24"/>
        </w:rPr>
        <w:t xml:space="preserve">2 </w:t>
      </w:r>
      <w:r>
        <w:rPr>
          <w:rFonts w:hint="eastAsia"/>
          <w:sz w:val="24"/>
        </w:rPr>
        <w:t>将光伏方阵、接线箱、逆变器、并网保护装置等设备的连接回路断开，分别用AC2000V工频交流耐压仪测量主回路各极</w:t>
      </w:r>
      <w:r>
        <w:rPr>
          <w:rFonts w:hint="eastAsia"/>
          <w:sz w:val="24"/>
          <w:lang w:val="en-US" w:eastAsia="zh-CN"/>
        </w:rPr>
        <w:t>性</w:t>
      </w:r>
      <w:r>
        <w:rPr>
          <w:rFonts w:hint="eastAsia"/>
          <w:sz w:val="24"/>
        </w:rPr>
        <w:t>与地或外壳的绝缘耐压，应能承受 AC2000V、1min工频交流电耐压，无闪络、无击穿现象；</w:t>
      </w:r>
    </w:p>
    <w:p w14:paraId="52FA9A72">
      <w:pPr>
        <w:pStyle w:val="2"/>
        <w:spacing w:after="0" w:line="300" w:lineRule="auto"/>
        <w:ind w:firstLine="482" w:firstLineChars="200"/>
        <w:rPr>
          <w:sz w:val="24"/>
        </w:rPr>
      </w:pPr>
      <w:r>
        <w:rPr>
          <w:rFonts w:hint="eastAsia"/>
          <w:b/>
          <w:bCs/>
          <w:sz w:val="24"/>
        </w:rPr>
        <w:t>3</w:t>
      </w:r>
      <w:r>
        <w:rPr>
          <w:rFonts w:hint="eastAsia"/>
          <w:b/>
          <w:bCs/>
          <w:sz w:val="24"/>
          <w:lang w:val="en-US" w:eastAsia="zh-CN"/>
        </w:rPr>
        <w:t xml:space="preserve"> </w:t>
      </w:r>
      <w:r>
        <w:rPr>
          <w:rFonts w:hint="eastAsia"/>
          <w:sz w:val="24"/>
        </w:rPr>
        <w:t>在现场对并网光伏系统的主要设计工作特性进行验证检验，应符合设计要求。</w:t>
      </w:r>
    </w:p>
    <w:p w14:paraId="326777F4">
      <w:pPr>
        <w:snapToGrid w:val="0"/>
        <w:spacing w:line="300" w:lineRule="auto"/>
        <w:jc w:val="left"/>
        <w:rPr>
          <w:rFonts w:hint="eastAsia"/>
          <w:b w:val="0"/>
          <w:bCs w:val="0"/>
          <w:sz w:val="24"/>
        </w:rPr>
      </w:pPr>
      <w:r>
        <w:rPr>
          <w:rFonts w:hint="eastAsia"/>
          <w:b/>
          <w:bCs/>
          <w:sz w:val="24"/>
          <w:lang w:val="en-US" w:eastAsia="zh-CN"/>
        </w:rPr>
        <w:t>10.5.5</w:t>
      </w:r>
      <w:r>
        <w:rPr>
          <w:rFonts w:hint="eastAsia"/>
          <w:b w:val="0"/>
          <w:bCs w:val="0"/>
          <w:sz w:val="24"/>
          <w:lang w:val="en-US" w:eastAsia="zh-CN"/>
        </w:rPr>
        <w:t xml:space="preserve"> </w:t>
      </w:r>
      <w:r>
        <w:rPr>
          <w:rFonts w:hint="eastAsia"/>
          <w:b w:val="0"/>
          <w:bCs w:val="0"/>
          <w:sz w:val="24"/>
        </w:rPr>
        <w:t>采用适当的方法测量地面与方阵电缆之间的绝缘电阻，若方阵输出端装有防雷器，测试前</w:t>
      </w:r>
      <w:r>
        <w:rPr>
          <w:rFonts w:hint="eastAsia" w:cs="Times New Roman"/>
          <w:b w:val="0"/>
          <w:bCs w:val="0"/>
          <w:i w:val="0"/>
          <w:iCs w:val="0"/>
          <w:color w:val="auto"/>
          <w:sz w:val="24"/>
          <w:szCs w:val="24"/>
          <w:highlight w:val="none"/>
          <w:lang w:val="en-US" w:eastAsia="zh-CN"/>
        </w:rPr>
        <w:t>应</w:t>
      </w:r>
      <w:r>
        <w:rPr>
          <w:rFonts w:hint="eastAsia"/>
          <w:b w:val="0"/>
          <w:bCs w:val="0"/>
          <w:sz w:val="24"/>
        </w:rPr>
        <w:t>将防雷器的接地线从电路中脱开，测试完毕</w:t>
      </w:r>
      <w:r>
        <w:rPr>
          <w:rFonts w:hint="eastAsia"/>
          <w:b w:val="0"/>
          <w:bCs w:val="0"/>
          <w:sz w:val="24"/>
          <w:lang w:val="en-US" w:eastAsia="zh-CN"/>
        </w:rPr>
        <w:t>后再恢复</w:t>
      </w:r>
      <w:r>
        <w:rPr>
          <w:rFonts w:hint="eastAsia"/>
          <w:b w:val="0"/>
          <w:bCs w:val="0"/>
          <w:sz w:val="24"/>
        </w:rPr>
        <w:t>原状。</w:t>
      </w:r>
    </w:p>
    <w:p w14:paraId="7ACA5570">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w:t>
      </w:r>
      <w:r>
        <w:rPr>
          <w:rFonts w:hint="eastAsia"/>
          <w:b/>
          <w:bCs/>
          <w:sz w:val="24"/>
          <w:lang w:val="en-US" w:eastAsia="zh-CN"/>
        </w:rPr>
        <w:t>6</w:t>
      </w:r>
      <w:r>
        <w:rPr>
          <w:sz w:val="24"/>
        </w:rPr>
        <w:t xml:space="preserve"> 光伏组件串调试可按现行行业标准《光伏发电站现场组件检测规程》NB/T 32034的方法进行，应符合下列规定：</w:t>
      </w:r>
    </w:p>
    <w:p w14:paraId="4746DEDC">
      <w:pPr>
        <w:snapToGrid w:val="0"/>
        <w:spacing w:line="300" w:lineRule="auto"/>
        <w:ind w:firstLine="482" w:firstLineChars="200"/>
        <w:jc w:val="left"/>
        <w:rPr>
          <w:sz w:val="24"/>
        </w:rPr>
      </w:pPr>
      <w:r>
        <w:rPr>
          <w:b/>
          <w:bCs/>
          <w:sz w:val="24"/>
        </w:rPr>
        <w:t xml:space="preserve">1 </w:t>
      </w:r>
      <w:r>
        <w:rPr>
          <w:sz w:val="24"/>
        </w:rPr>
        <w:t>同一光伏组件串的组件生产厂家、型号及技术参数应一致；</w:t>
      </w:r>
    </w:p>
    <w:p w14:paraId="2584E42D">
      <w:pPr>
        <w:snapToGrid w:val="0"/>
        <w:spacing w:line="300" w:lineRule="auto"/>
        <w:ind w:firstLine="482" w:firstLineChars="200"/>
        <w:jc w:val="left"/>
        <w:rPr>
          <w:sz w:val="24"/>
        </w:rPr>
      </w:pPr>
      <w:r>
        <w:rPr>
          <w:b/>
          <w:bCs/>
          <w:sz w:val="24"/>
        </w:rPr>
        <w:t xml:space="preserve">2 </w:t>
      </w:r>
      <w:r>
        <w:rPr>
          <w:sz w:val="24"/>
        </w:rPr>
        <w:t>测试宜在辐照度不低于600W/</w:t>
      </w:r>
      <w:r>
        <w:rPr>
          <w:rFonts w:hint="eastAsia"/>
          <w:sz w:val="24"/>
          <w:lang w:val="en-US" w:eastAsia="zh-CN"/>
        </w:rPr>
        <w:t>m</w:t>
      </w:r>
      <w:r>
        <w:rPr>
          <w:rFonts w:hint="eastAsia"/>
          <w:sz w:val="24"/>
          <w:vertAlign w:val="superscript"/>
          <w:lang w:val="en-US" w:eastAsia="zh-CN"/>
        </w:rPr>
        <w:t>2</w:t>
      </w:r>
      <w:r>
        <w:rPr>
          <w:sz w:val="24"/>
        </w:rPr>
        <w:t>的条件下进行；</w:t>
      </w:r>
    </w:p>
    <w:p w14:paraId="38E6D3E1">
      <w:pPr>
        <w:snapToGrid w:val="0"/>
        <w:spacing w:line="300" w:lineRule="auto"/>
        <w:ind w:firstLine="482" w:firstLineChars="200"/>
        <w:jc w:val="left"/>
        <w:rPr>
          <w:sz w:val="24"/>
        </w:rPr>
      </w:pPr>
      <w:r>
        <w:rPr>
          <w:b/>
          <w:bCs/>
          <w:sz w:val="24"/>
        </w:rPr>
        <w:t xml:space="preserve">3 </w:t>
      </w:r>
      <w:r>
        <w:rPr>
          <w:sz w:val="24"/>
        </w:rPr>
        <w:t>接入汇流箱内的光伏组件串的极性测试应正确；</w:t>
      </w:r>
    </w:p>
    <w:p w14:paraId="48E87A0E">
      <w:pPr>
        <w:snapToGrid w:val="0"/>
        <w:spacing w:line="300" w:lineRule="auto"/>
        <w:ind w:firstLine="482" w:firstLineChars="200"/>
        <w:jc w:val="left"/>
        <w:rPr>
          <w:sz w:val="24"/>
        </w:rPr>
      </w:pPr>
      <w:r>
        <w:rPr>
          <w:b/>
          <w:bCs/>
          <w:sz w:val="24"/>
        </w:rPr>
        <w:t xml:space="preserve">4 </w:t>
      </w:r>
      <w:r>
        <w:rPr>
          <w:sz w:val="24"/>
        </w:rPr>
        <w:t>相同测试条件下，同一汇流箱内各分支回路光伏组件串之间的开路电压偏差不应大于2%且不应超过5V；</w:t>
      </w:r>
    </w:p>
    <w:p w14:paraId="4E57E4C4">
      <w:pPr>
        <w:snapToGrid w:val="0"/>
        <w:spacing w:line="300" w:lineRule="auto"/>
        <w:ind w:firstLine="482" w:firstLineChars="200"/>
        <w:jc w:val="left"/>
        <w:rPr>
          <w:sz w:val="24"/>
        </w:rPr>
      </w:pPr>
      <w:r>
        <w:rPr>
          <w:b/>
          <w:bCs/>
          <w:sz w:val="24"/>
        </w:rPr>
        <w:t xml:space="preserve">5 </w:t>
      </w:r>
      <w:r>
        <w:rPr>
          <w:sz w:val="24"/>
        </w:rPr>
        <w:t>在发电情况下，对同一汇流箱内各光伏组件串的电流进行检测，相同测试条件下，光伏组件串之间的电流偏差不应超过5%。</w:t>
      </w:r>
    </w:p>
    <w:p w14:paraId="0AA5FF6E">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B8330F1">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6</w:t>
      </w:r>
      <w:r>
        <w:rPr>
          <w:rFonts w:hint="eastAsia" w:ascii="仿宋" w:hAnsi="仿宋" w:eastAsia="仿宋" w:cs="仿宋"/>
          <w:i/>
          <w:iCs/>
          <w:color w:val="0623BA"/>
          <w:sz w:val="24"/>
        </w:rPr>
        <w:t xml:space="preserve"> 光伏组件串在串接过程中，可能会出现接插头反装，因而导致光伏组件串的极性反接现象，在测试过程中，应对此项进行认真检测。相同规格型号的光伏组件串完毕后，在相同测试条件下，其电压、电流偏差不应太大，若电压超出正文规定，应对光伏组件串内的光伏组件进行检查，必要时可对组件进行更换调整。</w:t>
      </w:r>
    </w:p>
    <w:p w14:paraId="21BE8144">
      <w:pPr>
        <w:snapToGrid w:val="0"/>
        <w:spacing w:line="300" w:lineRule="auto"/>
        <w:jc w:val="left"/>
        <w:rPr>
          <w:rFonts w:hint="eastAsia" w:eastAsia="宋体"/>
          <w:sz w:val="24"/>
          <w:highlight w:val="none"/>
          <w:lang w:eastAsia="zh-CN"/>
        </w:rPr>
      </w:pPr>
      <w:r>
        <w:rPr>
          <w:b/>
          <w:bCs/>
          <w:sz w:val="24"/>
        </w:rPr>
        <w:t>1</w:t>
      </w:r>
      <w:r>
        <w:rPr>
          <w:rFonts w:hint="eastAsia"/>
          <w:b/>
          <w:bCs/>
          <w:sz w:val="24"/>
          <w:lang w:val="en-US" w:eastAsia="zh-CN"/>
        </w:rPr>
        <w:t>0</w:t>
      </w:r>
      <w:r>
        <w:rPr>
          <w:b/>
          <w:bCs/>
          <w:sz w:val="24"/>
        </w:rPr>
        <w:t>.</w:t>
      </w:r>
      <w:r>
        <w:rPr>
          <w:rFonts w:hint="eastAsia"/>
          <w:b/>
          <w:bCs/>
          <w:sz w:val="24"/>
        </w:rPr>
        <w:t>5</w:t>
      </w:r>
      <w:r>
        <w:rPr>
          <w:rFonts w:hint="eastAsia"/>
          <w:b/>
          <w:bCs/>
          <w:sz w:val="24"/>
          <w:lang w:val="en-US" w:eastAsia="zh-CN"/>
        </w:rPr>
        <w:t>.7</w:t>
      </w:r>
      <w:r>
        <w:rPr>
          <w:sz w:val="24"/>
        </w:rPr>
        <w:t xml:space="preserve"> 汇流箱的调试可按现行国家标准《光伏发电站汇流箱检测技术规程》GB/T 34933 的有关规定进行，应符合</w:t>
      </w:r>
      <w:r>
        <w:rPr>
          <w:rFonts w:hint="eastAsia"/>
          <w:sz w:val="24"/>
          <w:highlight w:val="none"/>
          <w:lang w:eastAsia="zh-CN"/>
        </w:rPr>
        <w:t>《</w:t>
      </w:r>
      <w:r>
        <w:rPr>
          <w:rFonts w:hint="eastAsia"/>
          <w:sz w:val="24"/>
          <w:highlight w:val="none"/>
        </w:rPr>
        <w:t>建筑光伏系统应用技术标准》</w:t>
      </w:r>
      <w:r>
        <w:rPr>
          <w:sz w:val="24"/>
          <w:highlight w:val="none"/>
        </w:rPr>
        <w:t>GB/T51368</w:t>
      </w:r>
      <w:r>
        <w:rPr>
          <w:rFonts w:hint="eastAsia"/>
          <w:sz w:val="24"/>
          <w:highlight w:val="none"/>
          <w:lang w:val="en-US" w:eastAsia="zh-CN"/>
        </w:rPr>
        <w:t>有关</w:t>
      </w:r>
      <w:r>
        <w:rPr>
          <w:sz w:val="24"/>
          <w:highlight w:val="none"/>
        </w:rPr>
        <w:t>规定</w:t>
      </w:r>
      <w:r>
        <w:rPr>
          <w:rFonts w:hint="eastAsia"/>
          <w:sz w:val="24"/>
          <w:highlight w:val="none"/>
          <w:lang w:eastAsia="zh-CN"/>
        </w:rPr>
        <w:t>。</w:t>
      </w:r>
    </w:p>
    <w:p w14:paraId="6A3E223D">
      <w:pPr>
        <w:pStyle w:val="2"/>
        <w:spacing w:line="300" w:lineRule="auto"/>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0E1DEDA6">
      <w:pPr>
        <w:pStyle w:val="2"/>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0</w:t>
      </w:r>
      <w:r>
        <w:rPr>
          <w:rFonts w:hint="eastAsia" w:ascii="仿宋" w:hAnsi="仿宋" w:eastAsia="仿宋" w:cs="仿宋"/>
          <w:i/>
          <w:iCs/>
          <w:color w:val="0623BA"/>
          <w:sz w:val="24"/>
        </w:rPr>
        <w:t>.5.</w:t>
      </w:r>
      <w:r>
        <w:rPr>
          <w:rFonts w:hint="eastAsia" w:ascii="仿宋" w:hAnsi="仿宋" w:eastAsia="仿宋" w:cs="仿宋"/>
          <w:i/>
          <w:iCs/>
          <w:color w:val="0623BA"/>
          <w:sz w:val="24"/>
          <w:lang w:val="en-US" w:eastAsia="zh-CN"/>
        </w:rPr>
        <w:t>7</w:t>
      </w:r>
      <w:r>
        <w:rPr>
          <w:rFonts w:hint="eastAsia" w:ascii="仿宋" w:hAnsi="仿宋" w:eastAsia="仿宋" w:cs="仿宋"/>
          <w:i/>
          <w:iCs/>
          <w:color w:val="0623BA"/>
          <w:sz w:val="24"/>
        </w:rPr>
        <w:t xml:space="preserve"> 本条规定了逆变器在投入运行之后，投、退汇流箱的顺序，主要是为防止带负荷拉刀闸。 </w:t>
      </w:r>
    </w:p>
    <w:p w14:paraId="15753708">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w:t>
      </w:r>
      <w:r>
        <w:rPr>
          <w:rFonts w:hint="eastAsia"/>
          <w:b/>
          <w:bCs/>
          <w:sz w:val="24"/>
          <w:lang w:val="en-US" w:eastAsia="zh-CN"/>
        </w:rPr>
        <w:t>8</w:t>
      </w:r>
      <w:r>
        <w:rPr>
          <w:sz w:val="24"/>
        </w:rPr>
        <w:t xml:space="preserve"> 逆变器调试应符合现行国家标准《光伏发电站施工规范》G</w:t>
      </w:r>
      <w:r>
        <w:rPr>
          <w:sz w:val="24"/>
          <w:highlight w:val="none"/>
        </w:rPr>
        <w:t>B 50794</w:t>
      </w:r>
      <w:r>
        <w:rPr>
          <w:rFonts w:hint="eastAsia"/>
          <w:sz w:val="24"/>
          <w:highlight w:val="none"/>
          <w:lang w:val="en-US" w:eastAsia="zh-CN"/>
        </w:rPr>
        <w:t>及</w:t>
      </w:r>
      <w:r>
        <w:rPr>
          <w:rFonts w:hint="eastAsia"/>
          <w:sz w:val="24"/>
          <w:highlight w:val="none"/>
          <w:lang w:eastAsia="zh-CN"/>
        </w:rPr>
        <w:t>《</w:t>
      </w:r>
      <w:r>
        <w:rPr>
          <w:rFonts w:hint="eastAsia"/>
          <w:sz w:val="24"/>
          <w:highlight w:val="none"/>
        </w:rPr>
        <w:t>建筑光伏系统应用技术标准》</w:t>
      </w:r>
      <w:r>
        <w:rPr>
          <w:sz w:val="24"/>
          <w:highlight w:val="none"/>
        </w:rPr>
        <w:t>GB/T51368</w:t>
      </w:r>
      <w:r>
        <w:rPr>
          <w:rFonts w:hint="eastAsia"/>
          <w:sz w:val="24"/>
          <w:highlight w:val="none"/>
          <w:lang w:val="en-US" w:eastAsia="zh-CN"/>
        </w:rPr>
        <w:t>的有关</w:t>
      </w:r>
      <w:r>
        <w:rPr>
          <w:sz w:val="24"/>
          <w:highlight w:val="none"/>
        </w:rPr>
        <w:t>规定。配电</w:t>
      </w:r>
      <w:r>
        <w:rPr>
          <w:sz w:val="24"/>
        </w:rPr>
        <w:t>柜的调试应符合现行国家标准《电气装置安装工程 电气设备交接试验标准》GB 50150和《低压成套开关设备和电控设备基本试验方法》GB/T 10233的有关规定。</w:t>
      </w:r>
    </w:p>
    <w:p w14:paraId="54C736E3">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w:t>
      </w:r>
      <w:r>
        <w:rPr>
          <w:rFonts w:hint="eastAsia"/>
          <w:b/>
          <w:bCs/>
          <w:sz w:val="24"/>
          <w:lang w:val="en-US" w:eastAsia="zh-CN"/>
        </w:rPr>
        <w:t>9</w:t>
      </w:r>
      <w:r>
        <w:rPr>
          <w:sz w:val="24"/>
        </w:rPr>
        <w:t xml:space="preserve"> 电化学储能系统的调试除应符合国家现行标准《电力系统用蓄电池直流电源装置运行与维护技术规程》DL/T 724、《电化学储能系统储能变流器技术规范》GB/T 34120、《储能变流器检测技术规程》GB/T 34133的有关规定外</w:t>
      </w:r>
      <w:r>
        <w:rPr>
          <w:rFonts w:hint="eastAsia"/>
          <w:sz w:val="24"/>
        </w:rPr>
        <w:t>，</w:t>
      </w:r>
      <w:r>
        <w:rPr>
          <w:sz w:val="24"/>
        </w:rPr>
        <w:t>尚应检测电化学储能电池反接保护、防雷保护、防反向放电保护。</w:t>
      </w:r>
    </w:p>
    <w:p w14:paraId="24D1A54B">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w:t>
      </w:r>
      <w:r>
        <w:rPr>
          <w:rFonts w:hint="eastAsia"/>
          <w:b/>
          <w:bCs/>
          <w:sz w:val="24"/>
          <w:lang w:val="en-US" w:eastAsia="zh-CN"/>
        </w:rPr>
        <w:t>10</w:t>
      </w:r>
      <w:r>
        <w:rPr>
          <w:sz w:val="24"/>
        </w:rPr>
        <w:t xml:space="preserve"> 建筑光伏系统无功补偿装置的设备调试应符合现行国家标准《光伏发电站无功补偿技术规范》GB/T 29321、《光伏发电站无功补偿装置检测技术规程》GB/T 34931 中的有关规定。</w:t>
      </w:r>
    </w:p>
    <w:p w14:paraId="2CF1C585">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w:t>
      </w:r>
      <w:r>
        <w:rPr>
          <w:rFonts w:hint="eastAsia"/>
          <w:b/>
          <w:bCs/>
          <w:sz w:val="24"/>
          <w:lang w:val="en-US" w:eastAsia="zh-CN"/>
        </w:rPr>
        <w:t>11</w:t>
      </w:r>
      <w:r>
        <w:rPr>
          <w:sz w:val="24"/>
        </w:rPr>
        <w:t xml:space="preserve"> 其他电气设备调试应符合现行国家标准《电气装置安装工程 电气设备交接试验标准》GB 50150 的有关规定。</w:t>
      </w:r>
    </w:p>
    <w:p w14:paraId="5C38EC83">
      <w:pPr>
        <w:snapToGrid w:val="0"/>
        <w:spacing w:line="300" w:lineRule="auto"/>
        <w:ind w:firstLine="0" w:firstLineChars="0"/>
        <w:jc w:val="left"/>
        <w:rPr>
          <w:rFonts w:ascii="Times New Roman" w:hAnsi="Times New Roman" w:eastAsia="宋体" w:cs="Times New Roman"/>
          <w:b w:val="0"/>
          <w:bCs w:val="0"/>
          <w:i w:val="0"/>
          <w:iCs w:val="0"/>
          <w:sz w:val="24"/>
          <w:szCs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.1</w:t>
      </w:r>
      <w:r>
        <w:rPr>
          <w:rFonts w:hint="eastAsia"/>
          <w:b/>
          <w:bCs/>
          <w:sz w:val="24"/>
          <w:lang w:val="en-US" w:eastAsia="zh-CN"/>
        </w:rPr>
        <w:t xml:space="preserve">2 </w:t>
      </w:r>
      <w:r>
        <w:rPr>
          <w:rFonts w:ascii="Times New Roman" w:hAnsi="Times New Roman" w:eastAsia="宋体" w:cs="Times New Roman"/>
          <w:b w:val="0"/>
          <w:bCs w:val="0"/>
          <w:i w:val="0"/>
          <w:iCs w:val="0"/>
          <w:color w:val="auto"/>
          <w:sz w:val="24"/>
          <w:szCs w:val="24"/>
        </w:rPr>
        <w:t>二次系统调试应符合下列</w:t>
      </w:r>
      <w:r>
        <w:rPr>
          <w:rFonts w:hint="eastAsia" w:cs="Times New Roman"/>
          <w:b w:val="0"/>
          <w:bCs w:val="0"/>
          <w:i w:val="0"/>
          <w:iCs w:val="0"/>
          <w:color w:val="auto"/>
          <w:sz w:val="24"/>
          <w:szCs w:val="24"/>
          <w:lang w:val="en-US" w:eastAsia="zh-CN"/>
        </w:rPr>
        <w:t>要求</w:t>
      </w:r>
      <w:r>
        <w:rPr>
          <w:rFonts w:ascii="Times New Roman" w:hAnsi="Times New Roman" w:eastAsia="宋体" w:cs="Times New Roman"/>
          <w:b w:val="0"/>
          <w:bCs w:val="0"/>
          <w:i w:val="0"/>
          <w:iCs w:val="0"/>
          <w:color w:val="auto"/>
          <w:sz w:val="24"/>
          <w:szCs w:val="24"/>
        </w:rPr>
        <w:t>：</w:t>
      </w:r>
    </w:p>
    <w:p w14:paraId="0935F262">
      <w:pPr>
        <w:snapToGrid w:val="0"/>
        <w:spacing w:line="300" w:lineRule="auto"/>
        <w:ind w:firstLine="482" w:firstLineChars="200"/>
        <w:jc w:val="left"/>
        <w:rPr>
          <w:rFonts w:hint="default" w:ascii="Times New Roman" w:hAnsi="Times New Roman" w:eastAsia="宋体" w:cs="Times New Roman"/>
          <w:b w:val="0"/>
          <w:bCs w:val="0"/>
          <w:i w:val="0"/>
          <w:iCs w:val="0"/>
          <w:sz w:val="24"/>
          <w:szCs w:val="24"/>
        </w:rPr>
      </w:pPr>
      <w:r>
        <w:rPr>
          <w:rFonts w:hint="eastAsia"/>
          <w:b/>
          <w:bCs/>
          <w:sz w:val="24"/>
          <w:lang w:val="en-US" w:eastAsia="zh-CN"/>
        </w:rPr>
        <w:t>1</w:t>
      </w:r>
      <w:r>
        <w:rPr>
          <w:rFonts w:hint="default" w:ascii="Times New Roman" w:hAnsi="Times New Roman" w:eastAsia="宋体" w:cs="Times New Roman"/>
          <w:b/>
          <w:bCs/>
          <w:i w:val="0"/>
          <w:iCs w:val="0"/>
          <w:color w:val="auto"/>
          <w:sz w:val="24"/>
          <w:szCs w:val="24"/>
        </w:rPr>
        <w:t xml:space="preserve"> </w:t>
      </w:r>
      <w:r>
        <w:rPr>
          <w:rFonts w:hint="default" w:ascii="Times New Roman" w:hAnsi="Times New Roman" w:eastAsia="宋体" w:cs="Times New Roman"/>
          <w:b w:val="0"/>
          <w:bCs w:val="0"/>
          <w:i w:val="0"/>
          <w:iCs w:val="0"/>
          <w:color w:val="auto"/>
          <w:sz w:val="24"/>
          <w:szCs w:val="24"/>
        </w:rPr>
        <w:t>二次系统的调试工作应由调试单位、生产厂家进行，施工单位配合；</w:t>
      </w:r>
    </w:p>
    <w:p w14:paraId="16117316">
      <w:pPr>
        <w:snapToGrid w:val="0"/>
        <w:spacing w:line="300" w:lineRule="auto"/>
        <w:ind w:firstLine="482" w:firstLineChars="200"/>
        <w:jc w:val="left"/>
        <w:rPr>
          <w:rFonts w:hint="default" w:ascii="Times New Roman" w:hAnsi="Times New Roman" w:eastAsia="宋体" w:cs="Times New Roman"/>
          <w:b w:val="0"/>
          <w:bCs w:val="0"/>
          <w:i w:val="0"/>
          <w:iCs w:val="0"/>
          <w:sz w:val="24"/>
          <w:szCs w:val="24"/>
        </w:rPr>
      </w:pPr>
      <w:r>
        <w:rPr>
          <w:rFonts w:hint="eastAsia"/>
          <w:b/>
          <w:bCs/>
          <w:sz w:val="24"/>
          <w:lang w:val="en-US" w:eastAsia="zh-CN"/>
        </w:rPr>
        <w:t>2</w:t>
      </w:r>
      <w:r>
        <w:rPr>
          <w:rFonts w:hint="default" w:ascii="Times New Roman" w:hAnsi="Times New Roman" w:eastAsia="宋体" w:cs="Times New Roman"/>
          <w:b w:val="0"/>
          <w:bCs w:val="0"/>
          <w:i w:val="0"/>
          <w:iCs w:val="0"/>
          <w:color w:val="auto"/>
          <w:sz w:val="24"/>
          <w:szCs w:val="24"/>
        </w:rPr>
        <w:t xml:space="preserve"> 二次系统的调试内容主要应包括：计算机监控系统、继电保护系统、远动通信系统、电能量信息管理系统、不间断电源系统等；</w:t>
      </w:r>
    </w:p>
    <w:p w14:paraId="2B6FF691">
      <w:pPr>
        <w:snapToGrid w:val="0"/>
        <w:spacing w:line="300" w:lineRule="auto"/>
        <w:ind w:firstLine="482" w:firstLineChars="200"/>
        <w:jc w:val="left"/>
        <w:rPr>
          <w:rFonts w:hint="default" w:ascii="Times New Roman" w:hAnsi="Times New Roman" w:eastAsia="宋体" w:cs="Times New Roman"/>
          <w:b w:val="0"/>
          <w:bCs w:val="0"/>
          <w:i w:val="0"/>
          <w:iCs w:val="0"/>
          <w:sz w:val="24"/>
          <w:szCs w:val="24"/>
        </w:rPr>
      </w:pPr>
      <w:r>
        <w:rPr>
          <w:rFonts w:hint="eastAsia"/>
          <w:b/>
          <w:bCs/>
          <w:sz w:val="24"/>
          <w:lang w:val="en-US" w:eastAsia="zh-CN"/>
        </w:rPr>
        <w:t>3</w:t>
      </w:r>
      <w:r>
        <w:rPr>
          <w:rFonts w:hint="default" w:ascii="Times New Roman" w:hAnsi="Times New Roman" w:eastAsia="宋体" w:cs="Times New Roman"/>
          <w:b/>
          <w:bCs/>
          <w:i w:val="0"/>
          <w:iCs w:val="0"/>
          <w:color w:val="auto"/>
          <w:sz w:val="24"/>
          <w:szCs w:val="24"/>
        </w:rPr>
        <w:t xml:space="preserve"> </w:t>
      </w:r>
      <w:r>
        <w:rPr>
          <w:rFonts w:hint="default" w:ascii="Times New Roman" w:hAnsi="Times New Roman" w:eastAsia="宋体" w:cs="Times New Roman"/>
          <w:b w:val="0"/>
          <w:bCs w:val="0"/>
          <w:i w:val="0"/>
          <w:iCs w:val="0"/>
          <w:color w:val="auto"/>
          <w:sz w:val="24"/>
          <w:szCs w:val="24"/>
        </w:rPr>
        <w:t>计算机监控系统的调试应符合下列</w:t>
      </w:r>
      <w:r>
        <w:rPr>
          <w:rFonts w:hint="eastAsia" w:cs="Times New Roman"/>
          <w:b w:val="0"/>
          <w:bCs w:val="0"/>
          <w:i w:val="0"/>
          <w:iCs w:val="0"/>
          <w:color w:val="auto"/>
          <w:sz w:val="24"/>
          <w:szCs w:val="24"/>
          <w:lang w:val="en-US" w:eastAsia="zh-CN"/>
        </w:rPr>
        <w:t>要求</w:t>
      </w:r>
      <w:r>
        <w:rPr>
          <w:rFonts w:hint="default" w:ascii="Times New Roman" w:hAnsi="Times New Roman" w:eastAsia="宋体" w:cs="Times New Roman"/>
          <w:b w:val="0"/>
          <w:bCs w:val="0"/>
          <w:i w:val="0"/>
          <w:iCs w:val="0"/>
          <w:color w:val="auto"/>
          <w:sz w:val="24"/>
          <w:szCs w:val="24"/>
        </w:rPr>
        <w:t>：</w:t>
      </w:r>
    </w:p>
    <w:p w14:paraId="1D9026AE">
      <w:pPr>
        <w:snapToGrid w:val="0"/>
        <w:spacing w:line="300" w:lineRule="auto"/>
        <w:ind w:firstLine="480" w:firstLineChars="200"/>
        <w:jc w:val="left"/>
        <w:rPr>
          <w:rFonts w:hint="default" w:ascii="Times New Roman" w:hAnsi="Times New Roman" w:eastAsia="宋体" w:cs="Times New Roman"/>
          <w:b w:val="0"/>
          <w:bCs w:val="0"/>
          <w:i w:val="0"/>
          <w:iCs w:val="0"/>
          <w:sz w:val="24"/>
          <w:szCs w:val="24"/>
        </w:rPr>
      </w:pPr>
      <w:r>
        <w:rPr>
          <w:rFonts w:hint="eastAsia" w:cs="Times New Roman"/>
          <w:b w:val="0"/>
          <w:bCs w:val="0"/>
          <w:i w:val="0"/>
          <w:iCs w:val="0"/>
          <w:color w:val="auto"/>
          <w:sz w:val="24"/>
          <w:szCs w:val="24"/>
          <w:lang w:val="en-US" w:eastAsia="zh-CN"/>
        </w:rPr>
        <w:t>1）</w:t>
      </w:r>
      <w:r>
        <w:rPr>
          <w:rFonts w:hint="default" w:ascii="Times New Roman" w:hAnsi="Times New Roman" w:eastAsia="宋体" w:cs="Times New Roman"/>
          <w:b w:val="0"/>
          <w:bCs w:val="0"/>
          <w:i w:val="0"/>
          <w:iCs w:val="0"/>
          <w:color w:val="auto"/>
          <w:sz w:val="24"/>
          <w:szCs w:val="24"/>
        </w:rPr>
        <w:t>计算机监控系统设备的数量、型号、额定参数符合设计要求，接地可靠；</w:t>
      </w:r>
    </w:p>
    <w:p w14:paraId="01BC400E">
      <w:pPr>
        <w:snapToGrid w:val="0"/>
        <w:spacing w:line="300" w:lineRule="auto"/>
        <w:ind w:firstLine="480" w:firstLineChars="200"/>
        <w:jc w:val="left"/>
        <w:rPr>
          <w:rFonts w:hint="default" w:ascii="Times New Roman" w:hAnsi="Times New Roman" w:eastAsia="宋体" w:cs="Times New Roman"/>
          <w:b w:val="0"/>
          <w:bCs w:val="0"/>
          <w:i w:val="0"/>
          <w:iCs w:val="0"/>
          <w:sz w:val="24"/>
          <w:szCs w:val="24"/>
        </w:rPr>
      </w:pPr>
      <w:r>
        <w:rPr>
          <w:rFonts w:hint="eastAsia" w:cs="Times New Roman"/>
          <w:b w:val="0"/>
          <w:bCs w:val="0"/>
          <w:i w:val="0"/>
          <w:iCs w:val="0"/>
          <w:color w:val="auto"/>
          <w:sz w:val="24"/>
          <w:szCs w:val="24"/>
          <w:lang w:val="en-US" w:eastAsia="zh-CN"/>
        </w:rPr>
        <w:t>2）</w:t>
      </w:r>
      <w:r>
        <w:rPr>
          <w:rFonts w:hint="default" w:ascii="Times New Roman" w:hAnsi="Times New Roman" w:eastAsia="宋体" w:cs="Times New Roman"/>
          <w:b w:val="0"/>
          <w:bCs w:val="0"/>
          <w:i w:val="0"/>
          <w:iCs w:val="0"/>
          <w:color w:val="auto"/>
          <w:sz w:val="24"/>
          <w:szCs w:val="24"/>
        </w:rPr>
        <w:t>遥信、遥测、遥控、遥调功能准确、可靠；</w:t>
      </w:r>
    </w:p>
    <w:p w14:paraId="0C93E7F5">
      <w:pPr>
        <w:snapToGrid w:val="0"/>
        <w:spacing w:line="300" w:lineRule="auto"/>
        <w:ind w:firstLine="480" w:firstLineChars="200"/>
        <w:jc w:val="left"/>
        <w:rPr>
          <w:rFonts w:hint="default" w:ascii="Times New Roman" w:hAnsi="Times New Roman" w:eastAsia="宋体" w:cs="Times New Roman"/>
          <w:b w:val="0"/>
          <w:bCs w:val="0"/>
          <w:i w:val="0"/>
          <w:iCs w:val="0"/>
          <w:sz w:val="24"/>
          <w:szCs w:val="24"/>
        </w:rPr>
      </w:pPr>
      <w:r>
        <w:rPr>
          <w:rFonts w:hint="eastAsia" w:cs="Times New Roman"/>
          <w:b w:val="0"/>
          <w:bCs w:val="0"/>
          <w:i w:val="0"/>
          <w:iCs w:val="0"/>
          <w:color w:val="auto"/>
          <w:sz w:val="24"/>
          <w:szCs w:val="24"/>
          <w:lang w:val="en-US" w:eastAsia="zh-CN"/>
        </w:rPr>
        <w:t>3）</w:t>
      </w:r>
      <w:r>
        <w:rPr>
          <w:rFonts w:hint="default" w:ascii="Times New Roman" w:hAnsi="Times New Roman" w:eastAsia="宋体" w:cs="Times New Roman"/>
          <w:b w:val="0"/>
          <w:bCs w:val="0"/>
          <w:i w:val="0"/>
          <w:iCs w:val="0"/>
          <w:color w:val="auto"/>
          <w:sz w:val="24"/>
          <w:szCs w:val="24"/>
        </w:rPr>
        <w:t>计算机监控系统防误操作功能准确、可靠；</w:t>
      </w:r>
    </w:p>
    <w:p w14:paraId="1295F088">
      <w:pPr>
        <w:snapToGrid w:val="0"/>
        <w:spacing w:line="300" w:lineRule="auto"/>
        <w:ind w:firstLine="480" w:firstLineChars="200"/>
        <w:jc w:val="left"/>
        <w:rPr>
          <w:rFonts w:hint="default"/>
          <w:b w:val="0"/>
          <w:bCs w:val="0"/>
          <w:sz w:val="24"/>
        </w:rPr>
      </w:pPr>
      <w:r>
        <w:rPr>
          <w:rFonts w:hint="eastAsia" w:cs="Times New Roman"/>
          <w:b w:val="0"/>
          <w:bCs w:val="0"/>
          <w:i w:val="0"/>
          <w:iCs w:val="0"/>
          <w:color w:val="auto"/>
          <w:sz w:val="24"/>
          <w:szCs w:val="24"/>
          <w:lang w:val="en-US" w:eastAsia="zh-CN"/>
        </w:rPr>
        <w:t>4）</w:t>
      </w:r>
      <w:r>
        <w:rPr>
          <w:rFonts w:hint="default" w:ascii="Times New Roman" w:hAnsi="Times New Roman" w:eastAsia="宋体" w:cs="Times New Roman"/>
          <w:b w:val="0"/>
          <w:bCs w:val="0"/>
          <w:i w:val="0"/>
          <w:iCs w:val="0"/>
          <w:color w:val="auto"/>
          <w:sz w:val="24"/>
          <w:szCs w:val="24"/>
        </w:rPr>
        <w:t>计算机监控系统定值调阅、修改和定值组切换功能正确；</w:t>
      </w:r>
    </w:p>
    <w:p w14:paraId="4E14F2E8">
      <w:pPr>
        <w:snapToGrid w:val="0"/>
        <w:spacing w:line="300" w:lineRule="auto"/>
        <w:ind w:firstLine="480" w:firstLineChars="200"/>
        <w:jc w:val="left"/>
        <w:rPr>
          <w:rFonts w:hint="default"/>
          <w:b w:val="0"/>
          <w:bCs w:val="0"/>
          <w:sz w:val="24"/>
        </w:rPr>
      </w:pPr>
      <w:r>
        <w:rPr>
          <w:rFonts w:hint="eastAsia" w:cs="Times New Roman"/>
          <w:b w:val="0"/>
          <w:bCs w:val="0"/>
          <w:i w:val="0"/>
          <w:iCs w:val="0"/>
          <w:color w:val="auto"/>
          <w:sz w:val="24"/>
          <w:szCs w:val="24"/>
          <w:lang w:val="en-US" w:eastAsia="zh-CN"/>
        </w:rPr>
        <w:t>5）</w:t>
      </w:r>
      <w:r>
        <w:rPr>
          <w:rFonts w:hint="default" w:ascii="Times New Roman" w:hAnsi="Times New Roman" w:eastAsia="宋体" w:cs="Times New Roman"/>
          <w:b w:val="0"/>
          <w:bCs w:val="0"/>
          <w:i w:val="0"/>
          <w:iCs w:val="0"/>
          <w:color w:val="auto"/>
          <w:sz w:val="24"/>
          <w:szCs w:val="24"/>
        </w:rPr>
        <w:t>光伏发电系统智能设备的运行状态和参数等信息均准确反映到监控画面上。</w:t>
      </w:r>
    </w:p>
    <w:p w14:paraId="646DE18D">
      <w:pPr>
        <w:snapToGrid w:val="0"/>
        <w:spacing w:line="300" w:lineRule="auto"/>
        <w:ind w:firstLine="482" w:firstLineChars="200"/>
        <w:jc w:val="left"/>
        <w:rPr>
          <w:rFonts w:hint="default"/>
          <w:b w:val="0"/>
          <w:bCs w:val="0"/>
          <w:sz w:val="24"/>
        </w:rPr>
      </w:pPr>
      <w:r>
        <w:rPr>
          <w:rFonts w:hint="eastAsia"/>
          <w:b/>
          <w:bCs/>
          <w:sz w:val="24"/>
          <w:lang w:val="en-US" w:eastAsia="zh-CN"/>
        </w:rPr>
        <w:t xml:space="preserve">4 </w:t>
      </w:r>
      <w:r>
        <w:rPr>
          <w:rFonts w:hint="default" w:ascii="Times New Roman" w:hAnsi="Times New Roman" w:eastAsia="宋体" w:cs="Times New Roman"/>
          <w:b w:val="0"/>
          <w:bCs w:val="0"/>
          <w:i w:val="0"/>
          <w:iCs w:val="0"/>
          <w:color w:val="auto"/>
          <w:sz w:val="24"/>
          <w:szCs w:val="24"/>
        </w:rPr>
        <w:t>继电保护系统的调试应符合下列</w:t>
      </w:r>
      <w:r>
        <w:rPr>
          <w:rFonts w:hint="eastAsia" w:cs="Times New Roman"/>
          <w:b w:val="0"/>
          <w:bCs w:val="0"/>
          <w:i w:val="0"/>
          <w:iCs w:val="0"/>
          <w:color w:val="auto"/>
          <w:sz w:val="24"/>
          <w:szCs w:val="24"/>
          <w:lang w:val="en-US" w:eastAsia="zh-CN"/>
        </w:rPr>
        <w:t>要求</w:t>
      </w:r>
      <w:r>
        <w:rPr>
          <w:rFonts w:hint="default" w:ascii="Times New Roman" w:hAnsi="Times New Roman" w:eastAsia="宋体" w:cs="Times New Roman"/>
          <w:b w:val="0"/>
          <w:bCs w:val="0"/>
          <w:i w:val="0"/>
          <w:iCs w:val="0"/>
          <w:color w:val="auto"/>
          <w:sz w:val="24"/>
          <w:szCs w:val="24"/>
        </w:rPr>
        <w:t>：</w:t>
      </w:r>
    </w:p>
    <w:p w14:paraId="2A1FCE64">
      <w:pPr>
        <w:snapToGrid w:val="0"/>
        <w:spacing w:line="300" w:lineRule="auto"/>
        <w:ind w:firstLine="480" w:firstLineChars="200"/>
        <w:jc w:val="both"/>
        <w:rPr>
          <w:b w:val="0"/>
          <w:bCs w:val="0"/>
          <w:sz w:val="24"/>
        </w:rPr>
      </w:pPr>
      <w:r>
        <w:rPr>
          <w:rFonts w:hint="default" w:ascii="Times New Roman" w:hAnsi="Times New Roman" w:eastAsia="宋体" w:cs="Times New Roman"/>
          <w:b w:val="0"/>
          <w:bCs w:val="0"/>
          <w:i w:val="0"/>
          <w:iCs w:val="0"/>
          <w:color w:val="auto"/>
          <w:sz w:val="24"/>
          <w:szCs w:val="24"/>
        </w:rPr>
        <w:t>调试时应符合现行行业标准《继电保护和电网安全自动装置检验规程》</w:t>
      </w:r>
      <w:r>
        <w:rPr>
          <w:rFonts w:hint="default" w:cs="Times New Roman"/>
          <w:b w:val="0"/>
          <w:bCs w:val="0"/>
          <w:i w:val="0"/>
          <w:iCs w:val="0"/>
          <w:sz w:val="24"/>
          <w:szCs w:val="24"/>
          <w:lang w:val="en-US" w:eastAsia="zh-CN"/>
        </w:rPr>
        <w:t>DL/T995</w:t>
      </w:r>
      <w:r>
        <w:rPr>
          <w:rFonts w:hint="default" w:ascii="Times New Roman" w:hAnsi="Times New Roman" w:eastAsia="宋体" w:cs="Times New Roman"/>
          <w:b w:val="0"/>
          <w:bCs w:val="0"/>
          <w:i w:val="0"/>
          <w:iCs w:val="0"/>
          <w:color w:val="auto"/>
          <w:sz w:val="24"/>
          <w:szCs w:val="24"/>
        </w:rPr>
        <w:t>的相关规定；继电保护装置单体调试时，检查开入、开出、采样等元件功能正确</w:t>
      </w:r>
      <w:r>
        <w:rPr>
          <w:rFonts w:ascii="Times New Roman" w:hAnsi="Times New Roman" w:eastAsia="宋体" w:cs="Times New Roman"/>
          <w:b w:val="0"/>
          <w:bCs w:val="0"/>
          <w:i w:val="0"/>
          <w:iCs w:val="0"/>
          <w:color w:val="auto"/>
          <w:sz w:val="24"/>
          <w:szCs w:val="24"/>
        </w:rPr>
        <w:t>且校对定值正确；开关在合闸状态下模拟保护动作，开关跳闸且保护动作准确、可靠，动作时间符合要求；</w:t>
      </w:r>
    </w:p>
    <w:p w14:paraId="2D2FF73B">
      <w:pPr>
        <w:numPr>
          <w:ilvl w:val="-1"/>
          <w:numId w:val="0"/>
        </w:numPr>
        <w:snapToGrid w:val="0"/>
        <w:spacing w:line="300" w:lineRule="auto"/>
        <w:ind w:firstLine="480" w:firstLineChars="200"/>
        <w:jc w:val="left"/>
        <w:rPr>
          <w:b w:val="0"/>
          <w:bCs w:val="0"/>
          <w:sz w:val="24"/>
        </w:rPr>
      </w:pPr>
      <w:r>
        <w:rPr>
          <w:rFonts w:hint="eastAsia" w:cs="Times New Roman"/>
          <w:b w:val="0"/>
          <w:bCs w:val="0"/>
          <w:i w:val="0"/>
          <w:iCs w:val="0"/>
          <w:color w:val="auto"/>
          <w:sz w:val="24"/>
          <w:szCs w:val="24"/>
          <w:lang w:val="en-US" w:eastAsia="zh-CN"/>
        </w:rPr>
        <w:t>1）</w:t>
      </w:r>
      <w:r>
        <w:rPr>
          <w:rFonts w:ascii="Times New Roman" w:hAnsi="Times New Roman" w:eastAsia="宋体" w:cs="Times New Roman"/>
          <w:b w:val="0"/>
          <w:bCs w:val="0"/>
          <w:i w:val="0"/>
          <w:iCs w:val="0"/>
          <w:color w:val="auto"/>
          <w:sz w:val="24"/>
          <w:szCs w:val="24"/>
        </w:rPr>
        <w:t>继电保护整组调试时，检查实际继电保护动作逻辑与预设继电保护逻辑策略一致；</w:t>
      </w:r>
    </w:p>
    <w:p w14:paraId="03FB693F">
      <w:pPr>
        <w:numPr>
          <w:ilvl w:val="-1"/>
          <w:numId w:val="0"/>
        </w:numPr>
        <w:snapToGrid w:val="0"/>
        <w:spacing w:line="300" w:lineRule="auto"/>
        <w:ind w:firstLine="480" w:firstLineChars="200"/>
        <w:jc w:val="left"/>
        <w:rPr>
          <w:rFonts w:ascii="Times New Roman" w:hAnsi="Times New Roman" w:eastAsia="宋体" w:cs="Times New Roman"/>
          <w:b w:val="0"/>
          <w:bCs w:val="0"/>
          <w:i w:val="0"/>
          <w:iCs w:val="0"/>
          <w:sz w:val="24"/>
          <w:szCs w:val="24"/>
        </w:rPr>
      </w:pPr>
      <w:r>
        <w:rPr>
          <w:rFonts w:hint="eastAsia" w:cs="Times New Roman"/>
          <w:b w:val="0"/>
          <w:bCs w:val="0"/>
          <w:i w:val="0"/>
          <w:iCs w:val="0"/>
          <w:color w:val="auto"/>
          <w:sz w:val="24"/>
          <w:szCs w:val="24"/>
          <w:lang w:val="en-US" w:eastAsia="zh-CN"/>
        </w:rPr>
        <w:t>2）</w:t>
      </w:r>
      <w:r>
        <w:rPr>
          <w:rFonts w:ascii="Times New Roman" w:hAnsi="Times New Roman" w:eastAsia="宋体" w:cs="Times New Roman"/>
          <w:b w:val="0"/>
          <w:bCs w:val="0"/>
          <w:i w:val="0"/>
          <w:iCs w:val="0"/>
          <w:color w:val="auto"/>
          <w:sz w:val="24"/>
          <w:szCs w:val="24"/>
        </w:rPr>
        <w:t>站控层继电保护信息管理系统的站内通信、交互等功能实现正确；站控层继电保护信息管理系统与远方主站通信、交互等功能实现正确；</w:t>
      </w:r>
    </w:p>
    <w:p w14:paraId="6EF241CF">
      <w:pPr>
        <w:numPr>
          <w:ilvl w:val="-1"/>
          <w:numId w:val="0"/>
        </w:numPr>
        <w:snapToGrid w:val="0"/>
        <w:spacing w:line="300" w:lineRule="auto"/>
        <w:ind w:firstLine="480" w:firstLineChars="200"/>
        <w:jc w:val="left"/>
        <w:rPr>
          <w:rFonts w:ascii="Times New Roman" w:hAnsi="Times New Roman" w:eastAsia="宋体" w:cs="Times New Roman"/>
          <w:b w:val="0"/>
          <w:bCs w:val="0"/>
          <w:i w:val="0"/>
          <w:iCs w:val="0"/>
          <w:sz w:val="24"/>
          <w:szCs w:val="24"/>
        </w:rPr>
      </w:pPr>
      <w:r>
        <w:rPr>
          <w:rFonts w:hint="eastAsia" w:cs="Times New Roman"/>
          <w:b w:val="0"/>
          <w:bCs w:val="0"/>
          <w:i w:val="0"/>
          <w:iCs w:val="0"/>
          <w:color w:val="auto"/>
          <w:sz w:val="24"/>
          <w:szCs w:val="24"/>
          <w:lang w:val="en-US" w:eastAsia="zh-CN"/>
        </w:rPr>
        <w:t>3）</w:t>
      </w:r>
      <w:r>
        <w:rPr>
          <w:rFonts w:ascii="Times New Roman" w:hAnsi="Times New Roman" w:eastAsia="宋体" w:cs="Times New Roman"/>
          <w:b w:val="0"/>
          <w:bCs w:val="0"/>
          <w:i w:val="0"/>
          <w:iCs w:val="0"/>
          <w:color w:val="auto"/>
          <w:sz w:val="24"/>
          <w:szCs w:val="24"/>
        </w:rPr>
        <w:t>调试记录齐全、准确。</w:t>
      </w:r>
    </w:p>
    <w:p w14:paraId="2CDA5521">
      <w:pPr>
        <w:snapToGrid w:val="0"/>
        <w:spacing w:line="300" w:lineRule="auto"/>
        <w:ind w:firstLine="482" w:firstLineChars="200"/>
        <w:jc w:val="left"/>
        <w:rPr>
          <w:rFonts w:ascii="Times New Roman" w:hAnsi="Times New Roman" w:eastAsia="宋体" w:cs="Times New Roman"/>
          <w:b w:val="0"/>
          <w:bCs w:val="0"/>
          <w:i w:val="0"/>
          <w:iCs w:val="0"/>
          <w:sz w:val="24"/>
          <w:szCs w:val="24"/>
        </w:rPr>
      </w:pPr>
      <w:r>
        <w:rPr>
          <w:rFonts w:hint="eastAsia"/>
          <w:b/>
          <w:bCs/>
          <w:sz w:val="24"/>
          <w:lang w:val="en-US" w:eastAsia="zh-CN"/>
        </w:rPr>
        <w:t>5</w:t>
      </w:r>
      <w:r>
        <w:rPr>
          <w:rFonts w:ascii="Times New Roman" w:hAnsi="Times New Roman" w:eastAsia="宋体" w:cs="Times New Roman"/>
          <w:b/>
          <w:bCs/>
          <w:i w:val="0"/>
          <w:iCs w:val="0"/>
          <w:color w:val="auto"/>
          <w:sz w:val="24"/>
          <w:szCs w:val="24"/>
        </w:rPr>
        <w:t xml:space="preserve"> </w:t>
      </w:r>
      <w:r>
        <w:rPr>
          <w:rFonts w:ascii="Times New Roman" w:hAnsi="Times New Roman" w:eastAsia="宋体" w:cs="Times New Roman"/>
          <w:b w:val="0"/>
          <w:bCs w:val="0"/>
          <w:i w:val="0"/>
          <w:iCs w:val="0"/>
          <w:color w:val="auto"/>
          <w:sz w:val="24"/>
          <w:szCs w:val="24"/>
        </w:rPr>
        <w:t>远动通信系统的调试应符合下列</w:t>
      </w:r>
      <w:r>
        <w:rPr>
          <w:rFonts w:hint="eastAsia" w:cs="Times New Roman"/>
          <w:b w:val="0"/>
          <w:bCs w:val="0"/>
          <w:i w:val="0"/>
          <w:iCs w:val="0"/>
          <w:color w:val="auto"/>
          <w:sz w:val="24"/>
          <w:szCs w:val="24"/>
          <w:lang w:val="en-US" w:eastAsia="zh-CN"/>
        </w:rPr>
        <w:t>要求</w:t>
      </w:r>
      <w:r>
        <w:rPr>
          <w:rFonts w:ascii="Times New Roman" w:hAnsi="Times New Roman" w:eastAsia="宋体" w:cs="Times New Roman"/>
          <w:b w:val="0"/>
          <w:bCs w:val="0"/>
          <w:i w:val="0"/>
          <w:iCs w:val="0"/>
          <w:color w:val="auto"/>
          <w:sz w:val="24"/>
          <w:szCs w:val="24"/>
        </w:rPr>
        <w:t>：</w:t>
      </w:r>
    </w:p>
    <w:p w14:paraId="7CAFA8AE">
      <w:pPr>
        <w:snapToGrid w:val="0"/>
        <w:spacing w:line="300" w:lineRule="auto"/>
        <w:ind w:firstLine="480" w:firstLineChars="200"/>
        <w:jc w:val="left"/>
        <w:rPr>
          <w:rFonts w:ascii="Times New Roman" w:hAnsi="Times New Roman" w:eastAsia="宋体" w:cs="Times New Roman"/>
          <w:b w:val="0"/>
          <w:bCs w:val="0"/>
          <w:i w:val="0"/>
          <w:iCs w:val="0"/>
          <w:sz w:val="24"/>
          <w:szCs w:val="24"/>
        </w:rPr>
      </w:pPr>
      <w:r>
        <w:rPr>
          <w:rFonts w:hint="eastAsia" w:cs="Times New Roman"/>
          <w:b w:val="0"/>
          <w:bCs w:val="0"/>
          <w:i w:val="0"/>
          <w:iCs w:val="0"/>
          <w:sz w:val="24"/>
          <w:szCs w:val="24"/>
          <w:lang w:val="en-US" w:eastAsia="zh-CN"/>
        </w:rPr>
        <w:t>1）</w:t>
      </w:r>
      <w:r>
        <w:rPr>
          <w:rFonts w:ascii="Times New Roman" w:hAnsi="Times New Roman" w:eastAsia="宋体" w:cs="Times New Roman"/>
          <w:b w:val="0"/>
          <w:bCs w:val="0"/>
          <w:i w:val="0"/>
          <w:iCs w:val="0"/>
          <w:color w:val="auto"/>
          <w:sz w:val="24"/>
          <w:szCs w:val="24"/>
        </w:rPr>
        <w:t>远动通信装置电源稳定、可靠；</w:t>
      </w:r>
    </w:p>
    <w:p w14:paraId="27CCAF6E">
      <w:pPr>
        <w:snapToGrid w:val="0"/>
        <w:spacing w:line="300" w:lineRule="auto"/>
        <w:ind w:firstLine="480" w:firstLineChars="200"/>
        <w:jc w:val="left"/>
        <w:rPr>
          <w:b w:val="0"/>
          <w:bCs w:val="0"/>
          <w:sz w:val="24"/>
        </w:rPr>
      </w:pPr>
      <w:r>
        <w:rPr>
          <w:rFonts w:hint="eastAsia" w:cs="Times New Roman"/>
          <w:b w:val="0"/>
          <w:bCs w:val="0"/>
          <w:i w:val="0"/>
          <w:iCs w:val="0"/>
          <w:sz w:val="24"/>
          <w:szCs w:val="24"/>
          <w:lang w:val="en-US" w:eastAsia="zh-CN"/>
        </w:rPr>
        <w:t>2）</w:t>
      </w:r>
      <w:r>
        <w:rPr>
          <w:rFonts w:ascii="Times New Roman" w:hAnsi="Times New Roman" w:eastAsia="宋体" w:cs="Times New Roman"/>
          <w:b w:val="0"/>
          <w:bCs w:val="0"/>
          <w:i w:val="0"/>
          <w:iCs w:val="0"/>
          <w:color w:val="auto"/>
          <w:sz w:val="24"/>
          <w:szCs w:val="24"/>
        </w:rPr>
        <w:t>站内远动装置至调度方远动装置的信号通道调试完毕且稳定、可靠；</w:t>
      </w:r>
    </w:p>
    <w:p w14:paraId="7A135B89">
      <w:pPr>
        <w:snapToGrid w:val="0"/>
        <w:spacing w:line="300" w:lineRule="auto"/>
        <w:ind w:firstLine="480" w:firstLineChars="200"/>
        <w:jc w:val="left"/>
        <w:rPr>
          <w:b w:val="0"/>
          <w:bCs w:val="0"/>
          <w:sz w:val="24"/>
        </w:rPr>
      </w:pPr>
      <w:r>
        <w:rPr>
          <w:rFonts w:hint="eastAsia" w:cs="Times New Roman"/>
          <w:b w:val="0"/>
          <w:bCs w:val="0"/>
          <w:i w:val="0"/>
          <w:iCs w:val="0"/>
          <w:sz w:val="24"/>
          <w:szCs w:val="24"/>
          <w:lang w:val="en-US" w:eastAsia="zh-CN"/>
        </w:rPr>
        <w:t>3）</w:t>
      </w:r>
      <w:r>
        <w:rPr>
          <w:rFonts w:ascii="Times New Roman" w:hAnsi="Times New Roman" w:eastAsia="宋体" w:cs="Times New Roman"/>
          <w:b w:val="0"/>
          <w:bCs w:val="0"/>
          <w:i w:val="0"/>
          <w:iCs w:val="0"/>
          <w:color w:val="auto"/>
          <w:sz w:val="24"/>
          <w:szCs w:val="24"/>
        </w:rPr>
        <w:t>调度方遥信、遥测、遥控、遥调功能准确、可靠且满足当地传输方式的要求。</w:t>
      </w:r>
    </w:p>
    <w:p w14:paraId="6251F23C">
      <w:pPr>
        <w:snapToGrid w:val="0"/>
        <w:spacing w:line="300" w:lineRule="auto"/>
        <w:ind w:firstLine="482" w:firstLineChars="200"/>
        <w:jc w:val="left"/>
        <w:rPr>
          <w:b w:val="0"/>
          <w:bCs w:val="0"/>
          <w:sz w:val="24"/>
        </w:rPr>
      </w:pPr>
      <w:r>
        <w:rPr>
          <w:rFonts w:hint="eastAsia"/>
          <w:b/>
          <w:bCs/>
          <w:sz w:val="24"/>
          <w:lang w:val="en-US" w:eastAsia="zh-CN"/>
        </w:rPr>
        <w:t>6</w:t>
      </w:r>
      <w:r>
        <w:rPr>
          <w:rFonts w:ascii="Times New Roman" w:hAnsi="Times New Roman" w:eastAsia="宋体" w:cs="Times New Roman"/>
          <w:b w:val="0"/>
          <w:bCs w:val="0"/>
          <w:i w:val="0"/>
          <w:iCs w:val="0"/>
          <w:color w:val="auto"/>
          <w:sz w:val="24"/>
          <w:szCs w:val="24"/>
        </w:rPr>
        <w:t>电能量信息管理系统的调试应符合下列</w:t>
      </w:r>
      <w:r>
        <w:rPr>
          <w:rFonts w:hint="eastAsia" w:cs="Times New Roman"/>
          <w:b w:val="0"/>
          <w:bCs w:val="0"/>
          <w:i w:val="0"/>
          <w:iCs w:val="0"/>
          <w:color w:val="auto"/>
          <w:sz w:val="24"/>
          <w:szCs w:val="24"/>
          <w:lang w:val="en-US" w:eastAsia="zh-CN"/>
        </w:rPr>
        <w:t>要求</w:t>
      </w:r>
      <w:r>
        <w:rPr>
          <w:rFonts w:ascii="Times New Roman" w:hAnsi="Times New Roman" w:eastAsia="宋体" w:cs="Times New Roman"/>
          <w:b w:val="0"/>
          <w:bCs w:val="0"/>
          <w:i w:val="0"/>
          <w:iCs w:val="0"/>
          <w:color w:val="auto"/>
          <w:sz w:val="24"/>
          <w:szCs w:val="24"/>
        </w:rPr>
        <w:t>：</w:t>
      </w:r>
    </w:p>
    <w:p w14:paraId="23610F23">
      <w:pPr>
        <w:numPr>
          <w:ilvl w:val="0"/>
          <w:numId w:val="2"/>
        </w:numPr>
        <w:snapToGrid w:val="0"/>
        <w:spacing w:line="300" w:lineRule="auto"/>
        <w:ind w:firstLine="480" w:firstLineChars="200"/>
        <w:jc w:val="left"/>
        <w:rPr>
          <w:rFonts w:ascii="Times New Roman" w:hAnsi="Times New Roman" w:eastAsia="宋体" w:cs="Times New Roman"/>
          <w:b w:val="0"/>
          <w:bCs w:val="0"/>
          <w:i w:val="0"/>
          <w:iCs w:val="0"/>
          <w:sz w:val="24"/>
          <w:szCs w:val="24"/>
        </w:rPr>
      </w:pPr>
      <w:r>
        <w:rPr>
          <w:rFonts w:ascii="Times New Roman" w:hAnsi="Times New Roman" w:eastAsia="宋体" w:cs="Times New Roman"/>
          <w:b w:val="0"/>
          <w:bCs w:val="0"/>
          <w:i w:val="0"/>
          <w:iCs w:val="0"/>
          <w:color w:val="auto"/>
          <w:sz w:val="24"/>
          <w:szCs w:val="24"/>
        </w:rPr>
        <w:t>电能量采集系统的配置满足当地电网部门的规定；</w:t>
      </w:r>
    </w:p>
    <w:p w14:paraId="63FE7F03">
      <w:pPr>
        <w:numPr>
          <w:ilvl w:val="0"/>
          <w:numId w:val="2"/>
        </w:numPr>
        <w:snapToGrid w:val="0"/>
        <w:spacing w:line="300" w:lineRule="auto"/>
        <w:ind w:firstLine="480" w:firstLineChars="200"/>
        <w:jc w:val="left"/>
        <w:rPr>
          <w:b w:val="0"/>
          <w:bCs w:val="0"/>
          <w:sz w:val="24"/>
        </w:rPr>
      </w:pPr>
      <w:r>
        <w:rPr>
          <w:rFonts w:ascii="Times New Roman" w:hAnsi="Times New Roman" w:eastAsia="宋体" w:cs="Times New Roman"/>
          <w:b w:val="0"/>
          <w:bCs w:val="0"/>
          <w:i w:val="0"/>
          <w:iCs w:val="0"/>
          <w:color w:val="auto"/>
          <w:sz w:val="24"/>
          <w:szCs w:val="24"/>
        </w:rPr>
        <w:t xml:space="preserve"> 光伏发电系统关口计量的主、副表，其规格、型号及准确度相同且通过当地电力计量检测部门的校验并出具报告；</w:t>
      </w:r>
    </w:p>
    <w:p w14:paraId="5DC17A11">
      <w:pPr>
        <w:numPr>
          <w:ilvl w:val="0"/>
          <w:numId w:val="2"/>
        </w:numPr>
        <w:snapToGrid w:val="0"/>
        <w:spacing w:line="300" w:lineRule="auto"/>
        <w:ind w:firstLine="480" w:firstLineChars="200"/>
        <w:jc w:val="left"/>
        <w:rPr>
          <w:rFonts w:ascii="Times New Roman" w:hAnsi="Times New Roman" w:eastAsia="宋体" w:cs="Times New Roman"/>
          <w:b w:val="0"/>
          <w:bCs w:val="0"/>
          <w:i w:val="0"/>
          <w:iCs w:val="0"/>
          <w:sz w:val="24"/>
          <w:szCs w:val="24"/>
        </w:rPr>
      </w:pPr>
      <w:r>
        <w:rPr>
          <w:rFonts w:ascii="Times New Roman" w:hAnsi="Times New Roman" w:eastAsia="宋体" w:cs="Times New Roman"/>
          <w:b w:val="0"/>
          <w:bCs w:val="0"/>
          <w:i w:val="0"/>
          <w:iCs w:val="0"/>
          <w:color w:val="auto"/>
          <w:sz w:val="24"/>
          <w:szCs w:val="24"/>
        </w:rPr>
        <w:t>光伏发电系统关口表的</w:t>
      </w:r>
      <w:r>
        <w:rPr>
          <w:rFonts w:hint="default" w:cs="Times New Roman"/>
          <w:b w:val="0"/>
          <w:bCs w:val="0"/>
          <w:i w:val="0"/>
          <w:iCs w:val="0"/>
          <w:sz w:val="24"/>
          <w:szCs w:val="24"/>
          <w:lang w:val="en-US" w:eastAsia="zh-CN"/>
        </w:rPr>
        <w:t>CT</w:t>
      </w:r>
      <w:r>
        <w:rPr>
          <w:rFonts w:ascii="Times New Roman" w:hAnsi="Times New Roman" w:eastAsia="宋体" w:cs="Times New Roman"/>
          <w:b w:val="0"/>
          <w:bCs w:val="0"/>
          <w:i w:val="0"/>
          <w:iCs w:val="0"/>
          <w:color w:val="auto"/>
          <w:sz w:val="24"/>
          <w:szCs w:val="24"/>
        </w:rPr>
        <w:t>、</w:t>
      </w:r>
      <w:r>
        <w:rPr>
          <w:rFonts w:hint="default" w:cs="Times New Roman"/>
          <w:b w:val="0"/>
          <w:bCs w:val="0"/>
          <w:i w:val="0"/>
          <w:iCs w:val="0"/>
          <w:sz w:val="24"/>
          <w:szCs w:val="24"/>
          <w:lang w:val="en-US" w:eastAsia="zh-CN"/>
        </w:rPr>
        <w:t>PT</w:t>
      </w:r>
      <w:r>
        <w:rPr>
          <w:rFonts w:ascii="Times New Roman" w:hAnsi="Times New Roman" w:eastAsia="宋体" w:cs="Times New Roman"/>
          <w:b w:val="0"/>
          <w:bCs w:val="0"/>
          <w:i w:val="0"/>
          <w:iCs w:val="0"/>
          <w:color w:val="auto"/>
          <w:sz w:val="24"/>
          <w:szCs w:val="24"/>
        </w:rPr>
        <w:t>通过当地电力计量检测部门的校验并出具报告；</w:t>
      </w:r>
      <w:r>
        <w:rPr>
          <w:rFonts w:ascii="Times New Roman" w:hAnsi="Times New Roman" w:eastAsia="宋体" w:cs="Times New Roman"/>
          <w:b w:val="0"/>
          <w:bCs w:val="0"/>
          <w:i w:val="0"/>
          <w:iCs w:val="0"/>
          <w:color w:val="auto"/>
          <w:sz w:val="24"/>
          <w:szCs w:val="24"/>
        </w:rPr>
        <w:br w:type="textWrapping"/>
      </w:r>
      <w:r>
        <w:rPr>
          <w:rFonts w:hint="eastAsia" w:cs="Times New Roman"/>
          <w:b w:val="0"/>
          <w:bCs w:val="0"/>
          <w:i w:val="0"/>
          <w:iCs w:val="0"/>
          <w:sz w:val="24"/>
          <w:szCs w:val="24"/>
          <w:lang w:val="en-US" w:eastAsia="zh-CN"/>
        </w:rPr>
        <w:t xml:space="preserve">    </w:t>
      </w:r>
      <w:r>
        <w:rPr>
          <w:rFonts w:hint="eastAsia" w:cs="Times New Roman"/>
          <w:b w:val="0"/>
          <w:bCs w:val="0"/>
          <w:i w:val="0"/>
          <w:iCs w:val="0"/>
          <w:sz w:val="24"/>
          <w:szCs w:val="24"/>
          <w:lang w:eastAsia="zh-CN"/>
        </w:rPr>
        <w:t>4）</w:t>
      </w:r>
      <w:r>
        <w:rPr>
          <w:rFonts w:ascii="Times New Roman" w:hAnsi="Times New Roman" w:eastAsia="宋体" w:cs="Times New Roman"/>
          <w:b w:val="0"/>
          <w:bCs w:val="0"/>
          <w:i w:val="0"/>
          <w:iCs w:val="0"/>
          <w:color w:val="auto"/>
          <w:sz w:val="24"/>
          <w:szCs w:val="24"/>
        </w:rPr>
        <w:t>光伏发电系统投入运行前，电度表由当地电力计量部门施加封条、封印；</w:t>
      </w:r>
    </w:p>
    <w:p w14:paraId="6EDA100F">
      <w:pPr>
        <w:numPr>
          <w:ilvl w:val="-1"/>
          <w:numId w:val="0"/>
        </w:numPr>
        <w:snapToGrid w:val="0"/>
        <w:spacing w:line="300" w:lineRule="auto"/>
        <w:ind w:firstLine="480" w:firstLineChars="200"/>
        <w:jc w:val="left"/>
        <w:rPr>
          <w:b w:val="0"/>
          <w:bCs w:val="0"/>
          <w:sz w:val="24"/>
        </w:rPr>
      </w:pPr>
      <w:r>
        <w:rPr>
          <w:rFonts w:hint="eastAsia" w:cs="Times New Roman"/>
          <w:b w:val="0"/>
          <w:bCs w:val="0"/>
          <w:i w:val="0"/>
          <w:iCs w:val="0"/>
          <w:sz w:val="24"/>
          <w:szCs w:val="24"/>
          <w:lang w:val="en-US" w:eastAsia="zh-CN"/>
        </w:rPr>
        <w:t>5）</w:t>
      </w:r>
      <w:r>
        <w:rPr>
          <w:rFonts w:ascii="Times New Roman" w:hAnsi="Times New Roman" w:eastAsia="宋体" w:cs="Times New Roman"/>
          <w:b w:val="0"/>
          <w:bCs w:val="0"/>
          <w:i w:val="0"/>
          <w:iCs w:val="0"/>
          <w:color w:val="auto"/>
          <w:sz w:val="24"/>
          <w:szCs w:val="24"/>
        </w:rPr>
        <w:t xml:space="preserve"> 光伏发电系统的电量信息能实时、准确反馈到当地电力计量中心。</w:t>
      </w:r>
    </w:p>
    <w:p w14:paraId="32F7A7B6">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.1</w:t>
      </w:r>
      <w:r>
        <w:rPr>
          <w:rFonts w:hint="eastAsia"/>
          <w:b/>
          <w:bCs/>
          <w:sz w:val="24"/>
          <w:lang w:val="en-US" w:eastAsia="zh-CN"/>
        </w:rPr>
        <w:t>3</w:t>
      </w:r>
      <w:r>
        <w:rPr>
          <w:sz w:val="24"/>
        </w:rPr>
        <w:t xml:space="preserve"> 建筑光伏系统在完成分步调试、具备电网接入条件后应进行系统联合调试，系统联合调试应符合下列</w:t>
      </w:r>
      <w:r>
        <w:rPr>
          <w:rFonts w:hint="eastAsia" w:cs="Times New Roman"/>
          <w:b w:val="0"/>
          <w:bCs w:val="0"/>
          <w:i w:val="0"/>
          <w:iCs w:val="0"/>
          <w:color w:val="auto"/>
          <w:sz w:val="24"/>
          <w:szCs w:val="24"/>
          <w:lang w:val="en-US" w:eastAsia="zh-CN"/>
        </w:rPr>
        <w:t>要求</w:t>
      </w:r>
      <w:r>
        <w:rPr>
          <w:sz w:val="24"/>
        </w:rPr>
        <w:t>：</w:t>
      </w:r>
    </w:p>
    <w:p w14:paraId="060BFEBC">
      <w:pPr>
        <w:snapToGrid w:val="0"/>
        <w:spacing w:line="300" w:lineRule="auto"/>
        <w:ind w:firstLine="482" w:firstLineChars="200"/>
        <w:jc w:val="left"/>
        <w:rPr>
          <w:rFonts w:hint="eastAsia" w:eastAsia="宋体"/>
          <w:sz w:val="24"/>
          <w:lang w:eastAsia="zh-CN"/>
        </w:rPr>
      </w:pPr>
      <w:r>
        <w:rPr>
          <w:b/>
          <w:bCs/>
          <w:sz w:val="24"/>
        </w:rPr>
        <w:t xml:space="preserve">1 </w:t>
      </w:r>
      <w:r>
        <w:rPr>
          <w:sz w:val="24"/>
        </w:rPr>
        <w:t>合上逆变器电网侧交流空开</w:t>
      </w:r>
      <w:r>
        <w:rPr>
          <w:rFonts w:hint="eastAsia"/>
          <w:sz w:val="24"/>
        </w:rPr>
        <w:t>，</w:t>
      </w:r>
      <w:r>
        <w:rPr>
          <w:sz w:val="24"/>
        </w:rPr>
        <w:t>测量电网侧电压和频率应符合逆变器并网要求</w:t>
      </w:r>
      <w:r>
        <w:rPr>
          <w:rFonts w:hint="eastAsia"/>
          <w:sz w:val="24"/>
          <w:lang w:eastAsia="zh-CN"/>
        </w:rPr>
        <w:t>；</w:t>
      </w:r>
    </w:p>
    <w:p w14:paraId="0DB1721C">
      <w:pPr>
        <w:snapToGrid w:val="0"/>
        <w:spacing w:line="300" w:lineRule="auto"/>
        <w:ind w:firstLine="482" w:firstLineChars="200"/>
        <w:jc w:val="left"/>
        <w:rPr>
          <w:sz w:val="24"/>
        </w:rPr>
      </w:pPr>
      <w:r>
        <w:rPr>
          <w:b/>
          <w:bCs/>
          <w:sz w:val="24"/>
        </w:rPr>
        <w:t xml:space="preserve">2 </w:t>
      </w:r>
      <w:r>
        <w:rPr>
          <w:sz w:val="24"/>
        </w:rPr>
        <w:t>在电网电压、频率均符合并网要求的情况下，合上任意一至两路汇流箱输出直流空开</w:t>
      </w:r>
      <w:r>
        <w:rPr>
          <w:rFonts w:hint="eastAsia"/>
          <w:sz w:val="24"/>
        </w:rPr>
        <w:t>，</w:t>
      </w:r>
      <w:r>
        <w:rPr>
          <w:sz w:val="24"/>
        </w:rPr>
        <w:t>合上相应直流配电柜空开及逆变器侧直流空开，直流电压值应符合逆变器输入条件；</w:t>
      </w:r>
    </w:p>
    <w:p w14:paraId="4140A055">
      <w:pPr>
        <w:snapToGrid w:val="0"/>
        <w:spacing w:line="300" w:lineRule="auto"/>
        <w:ind w:firstLine="482" w:firstLineChars="200"/>
        <w:jc w:val="left"/>
        <w:rPr>
          <w:sz w:val="24"/>
        </w:rPr>
      </w:pPr>
      <w:r>
        <w:rPr>
          <w:b/>
          <w:bCs/>
          <w:sz w:val="24"/>
        </w:rPr>
        <w:t xml:space="preserve">3 </w:t>
      </w:r>
      <w:r>
        <w:rPr>
          <w:sz w:val="24"/>
        </w:rPr>
        <w:t>交流、直流均符合并网运行条件且逆变器无异常，启动逆变器并网运行开关，检测直流电流、二相输出交流电流波形符合要求</w:t>
      </w:r>
      <w:r>
        <w:rPr>
          <w:rFonts w:hint="eastAsia"/>
          <w:sz w:val="24"/>
          <w:lang w:eastAsia="zh-CN"/>
        </w:rPr>
        <w:t>，</w:t>
      </w:r>
      <w:r>
        <w:rPr>
          <w:sz w:val="24"/>
        </w:rPr>
        <w:t>逆变器运行应正常；</w:t>
      </w:r>
    </w:p>
    <w:p w14:paraId="6A5A32BB">
      <w:pPr>
        <w:snapToGrid w:val="0"/>
        <w:spacing w:line="300" w:lineRule="auto"/>
        <w:ind w:firstLine="482" w:firstLineChars="200"/>
        <w:jc w:val="left"/>
        <w:rPr>
          <w:sz w:val="24"/>
        </w:rPr>
      </w:pPr>
      <w:r>
        <w:rPr>
          <w:b/>
          <w:bCs/>
          <w:sz w:val="24"/>
        </w:rPr>
        <w:t xml:space="preserve">4 </w:t>
      </w:r>
      <w:r>
        <w:rPr>
          <w:sz w:val="24"/>
        </w:rPr>
        <w:t>在试运行过程中，听到异响或发现逆变器有异常，应停止逆变器运行；</w:t>
      </w:r>
    </w:p>
    <w:p w14:paraId="4C129783">
      <w:pPr>
        <w:snapToGrid w:val="0"/>
        <w:spacing w:line="300" w:lineRule="auto"/>
        <w:ind w:firstLine="482" w:firstLineChars="200"/>
        <w:jc w:val="left"/>
        <w:rPr>
          <w:sz w:val="24"/>
        </w:rPr>
      </w:pPr>
      <w:r>
        <w:rPr>
          <w:b/>
          <w:bCs/>
          <w:sz w:val="24"/>
        </w:rPr>
        <w:t xml:space="preserve">5 </w:t>
      </w:r>
      <w:r>
        <w:rPr>
          <w:sz w:val="24"/>
        </w:rPr>
        <w:t>正常运行后，应检测功率限制、启停机、紧急停机等功能；</w:t>
      </w:r>
    </w:p>
    <w:p w14:paraId="3693DF58">
      <w:pPr>
        <w:snapToGrid w:val="0"/>
        <w:spacing w:line="300" w:lineRule="auto"/>
        <w:ind w:firstLine="482" w:firstLineChars="200"/>
        <w:jc w:val="left"/>
        <w:rPr>
          <w:sz w:val="24"/>
        </w:rPr>
      </w:pPr>
      <w:r>
        <w:rPr>
          <w:b/>
          <w:bCs/>
          <w:sz w:val="24"/>
        </w:rPr>
        <w:t xml:space="preserve">6 </w:t>
      </w:r>
      <w:r>
        <w:rPr>
          <w:sz w:val="24"/>
        </w:rPr>
        <w:t>应逐步增加直流输入功率检测各功率点运行时的电能质量。</w:t>
      </w:r>
    </w:p>
    <w:p w14:paraId="2D5B3348">
      <w:pPr>
        <w:snapToGrid w:val="0"/>
        <w:spacing w:line="300" w:lineRule="auto"/>
        <w:jc w:val="left"/>
        <w:rPr>
          <w:sz w:val="24"/>
        </w:rPr>
      </w:pPr>
      <w:r>
        <w:rPr>
          <w:b/>
          <w:bCs/>
          <w:sz w:val="24"/>
        </w:rPr>
        <w:t>1</w:t>
      </w:r>
      <w:r>
        <w:rPr>
          <w:rFonts w:hint="eastAsia"/>
          <w:b/>
          <w:bCs/>
          <w:sz w:val="24"/>
          <w:lang w:val="en-US" w:eastAsia="zh-CN"/>
        </w:rPr>
        <w:t>0</w:t>
      </w:r>
      <w:r>
        <w:rPr>
          <w:b/>
          <w:bCs/>
          <w:sz w:val="24"/>
        </w:rPr>
        <w:t>.</w:t>
      </w:r>
      <w:r>
        <w:rPr>
          <w:rFonts w:hint="eastAsia"/>
          <w:b/>
          <w:bCs/>
          <w:sz w:val="24"/>
        </w:rPr>
        <w:t>5</w:t>
      </w:r>
      <w:r>
        <w:rPr>
          <w:b/>
          <w:bCs/>
          <w:sz w:val="24"/>
        </w:rPr>
        <w:t>.1</w:t>
      </w:r>
      <w:r>
        <w:rPr>
          <w:rFonts w:hint="eastAsia"/>
          <w:b/>
          <w:bCs/>
          <w:sz w:val="24"/>
          <w:lang w:val="en-US" w:eastAsia="zh-CN"/>
        </w:rPr>
        <w:t>4</w:t>
      </w:r>
      <w:r>
        <w:rPr>
          <w:sz w:val="24"/>
        </w:rPr>
        <w:t xml:space="preserve"> 独立光伏发电系统调试时应首先确认接线正确、无极性反接及松动情况，合上直流侧断路器后检查设备指示应正常，启动逆变器，电源及电</w:t>
      </w:r>
      <w:r>
        <w:rPr>
          <w:rFonts w:hint="eastAsia"/>
          <w:sz w:val="24"/>
          <w:lang w:val="en-US" w:eastAsia="zh-CN"/>
        </w:rPr>
        <w:t>压</w:t>
      </w:r>
      <w:r>
        <w:rPr>
          <w:sz w:val="24"/>
        </w:rPr>
        <w:t>表指示正确后合上交流断路器。</w:t>
      </w:r>
    </w:p>
    <w:p w14:paraId="2D9DAEF2">
      <w:pPr>
        <w:widowControl/>
        <w:spacing w:line="300" w:lineRule="auto"/>
        <w:jc w:val="left"/>
        <w:rPr>
          <w:sz w:val="24"/>
        </w:rPr>
      </w:pPr>
      <w:r>
        <w:rPr>
          <w:sz w:val="24"/>
        </w:rPr>
        <w:br w:type="page"/>
      </w:r>
    </w:p>
    <w:p w14:paraId="30C72DC2">
      <w:pPr>
        <w:pStyle w:val="5"/>
        <w:spacing w:before="95" w:beforeLines="30" w:after="95" w:afterLines="30" w:line="300" w:lineRule="auto"/>
        <w:jc w:val="center"/>
        <w:rPr>
          <w:rFonts w:ascii="Times New Roman" w:hAnsi="Times New Roman" w:eastAsia="黑体" w:cs="Times New Roman"/>
          <w:sz w:val="28"/>
          <w:szCs w:val="28"/>
        </w:rPr>
      </w:pPr>
      <w:bookmarkStart w:id="391" w:name="_Toc24142"/>
      <w:bookmarkStart w:id="392" w:name="_Toc25956"/>
      <w:bookmarkStart w:id="393" w:name="_Toc19955"/>
      <w:bookmarkStart w:id="394" w:name="_Toc26492"/>
      <w:bookmarkStart w:id="395" w:name="_Toc2487"/>
      <w:bookmarkStart w:id="396" w:name="_Toc14079"/>
      <w:bookmarkStart w:id="397" w:name="_Toc3933"/>
      <w:bookmarkStart w:id="398" w:name="_Toc14316"/>
      <w:r>
        <w:rPr>
          <w:rFonts w:ascii="Times New Roman" w:hAnsi="Times New Roman" w:eastAsia="黑体" w:cs="Times New Roman"/>
          <w:sz w:val="28"/>
          <w:szCs w:val="28"/>
        </w:rPr>
        <w:t>1</w:t>
      </w:r>
      <w:r>
        <w:rPr>
          <w:rFonts w:hint="default" w:ascii="Times New Roman" w:hAnsi="Times New Roman" w:eastAsia="黑体" w:cs="Times New Roman"/>
          <w:sz w:val="28"/>
          <w:szCs w:val="28"/>
          <w:lang w:val="en-US" w:eastAsia="zh-CN"/>
        </w:rPr>
        <w:t>1</w:t>
      </w:r>
      <w:r>
        <w:rPr>
          <w:rFonts w:ascii="Times New Roman" w:hAnsi="Times New Roman" w:eastAsia="黑体" w:cs="Times New Roman"/>
          <w:sz w:val="28"/>
          <w:szCs w:val="28"/>
        </w:rPr>
        <w:t xml:space="preserve"> </w:t>
      </w:r>
      <w:r>
        <w:rPr>
          <w:rFonts w:hint="default" w:ascii="Times New Roman" w:hAnsi="Times New Roman" w:eastAsia="黑体" w:cs="Times New Roman"/>
          <w:sz w:val="28"/>
          <w:szCs w:val="28"/>
        </w:rPr>
        <w:t>环境保护与安全防护</w:t>
      </w:r>
      <w:bookmarkEnd w:id="391"/>
      <w:bookmarkEnd w:id="392"/>
      <w:bookmarkEnd w:id="393"/>
      <w:bookmarkEnd w:id="394"/>
      <w:bookmarkEnd w:id="395"/>
      <w:bookmarkEnd w:id="396"/>
      <w:bookmarkEnd w:id="397"/>
      <w:bookmarkEnd w:id="398"/>
    </w:p>
    <w:p w14:paraId="77B113DE">
      <w:pPr>
        <w:keepNext/>
        <w:keepLines/>
        <w:snapToGrid w:val="0"/>
        <w:spacing w:before="95" w:beforeLines="30" w:after="95" w:afterLines="30" w:line="300" w:lineRule="auto"/>
        <w:jc w:val="center"/>
        <w:outlineLvl w:val="2"/>
        <w:rPr>
          <w:b/>
          <w:sz w:val="24"/>
          <w:szCs w:val="32"/>
        </w:rPr>
      </w:pPr>
      <w:bookmarkStart w:id="399" w:name="_Toc7646"/>
      <w:bookmarkStart w:id="400" w:name="_Toc6018"/>
      <w:bookmarkStart w:id="401" w:name="_Toc22388"/>
      <w:bookmarkStart w:id="402" w:name="_Toc5957"/>
      <w:bookmarkStart w:id="403" w:name="_Toc15544"/>
      <w:bookmarkStart w:id="404" w:name="_Toc20571"/>
      <w:bookmarkStart w:id="405" w:name="_Toc17022"/>
      <w:bookmarkStart w:id="406" w:name="_Toc17390"/>
      <w:r>
        <w:rPr>
          <w:b/>
          <w:sz w:val="24"/>
          <w:szCs w:val="32"/>
        </w:rPr>
        <w:t>1</w:t>
      </w:r>
      <w:r>
        <w:rPr>
          <w:rFonts w:hint="default"/>
          <w:b/>
          <w:sz w:val="24"/>
          <w:szCs w:val="32"/>
          <w:lang w:val="en-US" w:eastAsia="zh-CN"/>
        </w:rPr>
        <w:t>1</w:t>
      </w:r>
      <w:r>
        <w:rPr>
          <w:b/>
          <w:sz w:val="24"/>
          <w:szCs w:val="32"/>
        </w:rPr>
        <w:t>.1 一般规定</w:t>
      </w:r>
      <w:bookmarkEnd w:id="399"/>
      <w:bookmarkEnd w:id="400"/>
      <w:bookmarkEnd w:id="401"/>
      <w:bookmarkEnd w:id="402"/>
      <w:bookmarkEnd w:id="403"/>
      <w:bookmarkEnd w:id="404"/>
      <w:bookmarkEnd w:id="405"/>
      <w:bookmarkEnd w:id="406"/>
    </w:p>
    <w:p w14:paraId="5E70FC34">
      <w:pPr>
        <w:snapToGrid w:val="0"/>
        <w:spacing w:line="300" w:lineRule="auto"/>
        <w:jc w:val="left"/>
        <w:rPr>
          <w:sz w:val="24"/>
        </w:rPr>
      </w:pPr>
      <w:r>
        <w:rPr>
          <w:b/>
          <w:bCs/>
          <w:sz w:val="24"/>
        </w:rPr>
        <w:t>1</w:t>
      </w:r>
      <w:r>
        <w:rPr>
          <w:rFonts w:hint="eastAsia"/>
          <w:b/>
          <w:bCs/>
          <w:sz w:val="24"/>
          <w:lang w:val="en-US" w:eastAsia="zh-CN"/>
        </w:rPr>
        <w:t>1</w:t>
      </w:r>
      <w:r>
        <w:rPr>
          <w:b/>
          <w:bCs/>
          <w:sz w:val="24"/>
        </w:rPr>
        <w:t>.1.1</w:t>
      </w:r>
      <w:r>
        <w:rPr>
          <w:rFonts w:hint="eastAsia"/>
          <w:sz w:val="24"/>
        </w:rPr>
        <w:t xml:space="preserve"> 光伏发电系统的环保、劳动安全</w:t>
      </w:r>
      <w:r>
        <w:rPr>
          <w:rFonts w:hint="eastAsia"/>
          <w:sz w:val="24"/>
          <w:lang w:eastAsia="zh-CN"/>
        </w:rPr>
        <w:t>、</w:t>
      </w:r>
      <w:r>
        <w:rPr>
          <w:rFonts w:hint="eastAsia"/>
          <w:sz w:val="24"/>
          <w:lang w:val="en-US" w:eastAsia="zh-CN"/>
        </w:rPr>
        <w:t>职业卫生</w:t>
      </w:r>
      <w:r>
        <w:rPr>
          <w:rFonts w:hint="eastAsia"/>
          <w:sz w:val="24"/>
        </w:rPr>
        <w:t>应符合现行国家标准《建筑光伏系统应用技术标准》T51368、《光伏发电站设计规范》GB 50797《建筑设计防火规范》GB 50016的规定。</w:t>
      </w:r>
    </w:p>
    <w:p w14:paraId="5889AA27">
      <w:pPr>
        <w:snapToGrid w:val="0"/>
        <w:spacing w:line="300" w:lineRule="auto"/>
        <w:jc w:val="left"/>
        <w:rPr>
          <w:sz w:val="24"/>
        </w:rPr>
      </w:pPr>
      <w:r>
        <w:rPr>
          <w:b/>
          <w:bCs/>
          <w:sz w:val="24"/>
        </w:rPr>
        <w:t>1</w:t>
      </w:r>
      <w:r>
        <w:rPr>
          <w:rFonts w:hint="eastAsia"/>
          <w:b/>
          <w:bCs/>
          <w:sz w:val="24"/>
          <w:lang w:val="en-US" w:eastAsia="zh-CN"/>
        </w:rPr>
        <w:t>1</w:t>
      </w:r>
      <w:r>
        <w:rPr>
          <w:b/>
          <w:bCs/>
          <w:sz w:val="24"/>
        </w:rPr>
        <w:t>.1.</w:t>
      </w:r>
      <w:r>
        <w:rPr>
          <w:rFonts w:hint="eastAsia"/>
          <w:b/>
          <w:bCs/>
          <w:sz w:val="24"/>
          <w:lang w:val="en-US" w:eastAsia="zh-CN"/>
        </w:rPr>
        <w:t>2</w:t>
      </w:r>
      <w:r>
        <w:rPr>
          <w:rFonts w:hint="eastAsia"/>
          <w:sz w:val="24"/>
        </w:rPr>
        <w:t xml:space="preserve"> </w:t>
      </w:r>
      <w:r>
        <w:rPr>
          <w:sz w:val="24"/>
        </w:rPr>
        <w:t>施工单位应针对现场可能发生的危害及事故制定针对性的处置预案并应对现场作业人员进行安全培训。</w:t>
      </w:r>
    </w:p>
    <w:p w14:paraId="428D59D0">
      <w:pPr>
        <w:keepNext/>
        <w:keepLines/>
        <w:snapToGrid w:val="0"/>
        <w:spacing w:before="95" w:beforeLines="30" w:after="95" w:afterLines="30" w:line="300" w:lineRule="auto"/>
        <w:jc w:val="center"/>
        <w:outlineLvl w:val="2"/>
        <w:rPr>
          <w:b/>
          <w:sz w:val="24"/>
          <w:szCs w:val="32"/>
        </w:rPr>
      </w:pPr>
      <w:bookmarkStart w:id="407" w:name="_Toc16191"/>
      <w:bookmarkStart w:id="408" w:name="_Toc10391"/>
      <w:bookmarkStart w:id="409" w:name="_Toc15546"/>
      <w:bookmarkStart w:id="410" w:name="_Toc25664"/>
      <w:bookmarkStart w:id="411" w:name="_Toc3091"/>
      <w:bookmarkStart w:id="412" w:name="_Toc27113"/>
      <w:bookmarkStart w:id="413" w:name="_Toc31359"/>
      <w:bookmarkStart w:id="414" w:name="_Toc22499"/>
      <w:r>
        <w:rPr>
          <w:b/>
          <w:sz w:val="24"/>
          <w:szCs w:val="32"/>
        </w:rPr>
        <w:t>1</w:t>
      </w:r>
      <w:r>
        <w:rPr>
          <w:rFonts w:hint="default"/>
          <w:b/>
          <w:sz w:val="24"/>
          <w:szCs w:val="32"/>
          <w:lang w:val="en-US" w:eastAsia="zh-CN"/>
        </w:rPr>
        <w:t>1</w:t>
      </w:r>
      <w:r>
        <w:rPr>
          <w:b/>
          <w:sz w:val="24"/>
          <w:szCs w:val="32"/>
        </w:rPr>
        <w:t>.2环境保护</w:t>
      </w:r>
      <w:r>
        <w:rPr>
          <w:rFonts w:hint="default"/>
          <w:b/>
          <w:sz w:val="24"/>
          <w:szCs w:val="32"/>
        </w:rPr>
        <w:t>、安全</w:t>
      </w:r>
      <w:bookmarkEnd w:id="407"/>
      <w:bookmarkEnd w:id="408"/>
      <w:bookmarkEnd w:id="409"/>
      <w:bookmarkEnd w:id="410"/>
      <w:bookmarkEnd w:id="411"/>
      <w:bookmarkEnd w:id="412"/>
      <w:bookmarkEnd w:id="413"/>
      <w:bookmarkEnd w:id="414"/>
    </w:p>
    <w:p w14:paraId="152B4354">
      <w:pPr>
        <w:snapToGrid w:val="0"/>
        <w:spacing w:line="300" w:lineRule="auto"/>
        <w:jc w:val="left"/>
        <w:rPr>
          <w:sz w:val="24"/>
        </w:rPr>
      </w:pPr>
      <w:r>
        <w:rPr>
          <w:b/>
          <w:bCs/>
          <w:sz w:val="24"/>
        </w:rPr>
        <w:t>1</w:t>
      </w:r>
      <w:r>
        <w:rPr>
          <w:rFonts w:hint="eastAsia"/>
          <w:b/>
          <w:bCs/>
          <w:sz w:val="24"/>
          <w:lang w:val="en-US" w:eastAsia="zh-CN"/>
        </w:rPr>
        <w:t>1</w:t>
      </w:r>
      <w:r>
        <w:rPr>
          <w:b/>
          <w:bCs/>
          <w:sz w:val="24"/>
        </w:rPr>
        <w:t>.2.1</w:t>
      </w:r>
      <w:r>
        <w:rPr>
          <w:rFonts w:hint="eastAsia"/>
          <w:sz w:val="24"/>
        </w:rPr>
        <w:t xml:space="preserve"> </w:t>
      </w:r>
      <w:r>
        <w:rPr>
          <w:sz w:val="24"/>
        </w:rPr>
        <w:t>光伏组件及光伏发电系统的其他构件产生的光辐射应符合现行国家标准《建筑幕墙》GB/T21086有关规定。</w:t>
      </w:r>
    </w:p>
    <w:p w14:paraId="45AF6468">
      <w:pPr>
        <w:snapToGrid w:val="0"/>
        <w:spacing w:line="300" w:lineRule="auto"/>
        <w:jc w:val="left"/>
        <w:rPr>
          <w:sz w:val="24"/>
        </w:rPr>
      </w:pPr>
      <w:r>
        <w:rPr>
          <w:rFonts w:hint="eastAsia"/>
          <w:b/>
          <w:bCs/>
          <w:sz w:val="24"/>
        </w:rPr>
        <w:t>1</w:t>
      </w:r>
      <w:r>
        <w:rPr>
          <w:rFonts w:hint="eastAsia"/>
          <w:b/>
          <w:bCs/>
          <w:sz w:val="24"/>
          <w:lang w:val="en-US" w:eastAsia="zh-CN"/>
        </w:rPr>
        <w:t>1</w:t>
      </w:r>
      <w:r>
        <w:rPr>
          <w:rFonts w:hint="eastAsia"/>
          <w:b/>
          <w:bCs/>
          <w:sz w:val="24"/>
        </w:rPr>
        <w:t>.2.2</w:t>
      </w:r>
      <w:r>
        <w:rPr>
          <w:rFonts w:hint="eastAsia"/>
          <w:sz w:val="24"/>
        </w:rPr>
        <w:t xml:space="preserve"> 光伏发电系统噪声防治应符合现行国家标准《工业企业厂界环境噪声排放标准》GB 12348和《民用建筑隔声设计规范》GB 50118 的有关规定。</w:t>
      </w:r>
    </w:p>
    <w:p w14:paraId="435173C6">
      <w:pPr>
        <w:snapToGrid w:val="0"/>
        <w:spacing w:line="300" w:lineRule="auto"/>
        <w:jc w:val="left"/>
        <w:rPr>
          <w:sz w:val="24"/>
        </w:rPr>
      </w:pPr>
      <w:r>
        <w:rPr>
          <w:rFonts w:hint="eastAsia"/>
          <w:b/>
          <w:bCs/>
          <w:sz w:val="24"/>
        </w:rPr>
        <w:t>1</w:t>
      </w:r>
      <w:r>
        <w:rPr>
          <w:rFonts w:hint="eastAsia"/>
          <w:b/>
          <w:bCs/>
          <w:sz w:val="24"/>
          <w:lang w:val="en-US" w:eastAsia="zh-CN"/>
        </w:rPr>
        <w:t>1</w:t>
      </w:r>
      <w:r>
        <w:rPr>
          <w:rFonts w:hint="eastAsia"/>
          <w:b/>
          <w:bCs/>
          <w:sz w:val="24"/>
        </w:rPr>
        <w:t>.2.3</w:t>
      </w:r>
      <w:r>
        <w:rPr>
          <w:rFonts w:hint="eastAsia"/>
          <w:sz w:val="24"/>
        </w:rPr>
        <w:t xml:space="preserve"> 在居住、商业和轻工业环境中正常工作的逆变器的电磁发射应不超过现行国家标准《电磁兼容通用标准居住、商业和轻工业环境中的发射》GB 17799.3规定的发射限值</w:t>
      </w:r>
      <w:r>
        <w:rPr>
          <w:rFonts w:hint="eastAsia"/>
          <w:sz w:val="24"/>
          <w:lang w:eastAsia="zh-CN"/>
        </w:rPr>
        <w:t>，</w:t>
      </w:r>
      <w:r>
        <w:rPr>
          <w:rFonts w:hint="eastAsia"/>
          <w:sz w:val="24"/>
        </w:rPr>
        <w:t>连接到工业电网和在工业环境中正常工作的逆变器的电磁发射应不超过现行国家标准《电磁兼容 通用标准 工业环境中的发射》GB17799.4规定的发射限值并符</w:t>
      </w:r>
      <w:r>
        <w:rPr>
          <w:rFonts w:hint="eastAsia"/>
          <w:sz w:val="24"/>
          <w:lang w:val="en-US" w:eastAsia="zh-CN"/>
        </w:rPr>
        <w:t>合</w:t>
      </w:r>
      <w:r>
        <w:rPr>
          <w:rFonts w:hint="eastAsia"/>
          <w:sz w:val="24"/>
        </w:rPr>
        <w:t>现行行业标准《民用建筑电气设计标准》GB 51348的相关规定。</w:t>
      </w:r>
    </w:p>
    <w:p w14:paraId="4C1C8F45">
      <w:pPr>
        <w:snapToGrid w:val="0"/>
        <w:spacing w:line="300" w:lineRule="auto"/>
        <w:jc w:val="left"/>
      </w:pPr>
      <w:r>
        <w:rPr>
          <w:rFonts w:hint="eastAsia"/>
          <w:b/>
          <w:bCs/>
          <w:sz w:val="24"/>
        </w:rPr>
        <w:t>1</w:t>
      </w:r>
      <w:r>
        <w:rPr>
          <w:rFonts w:hint="eastAsia"/>
          <w:b/>
          <w:bCs/>
          <w:sz w:val="24"/>
          <w:lang w:val="en-US" w:eastAsia="zh-CN"/>
        </w:rPr>
        <w:t>1</w:t>
      </w:r>
      <w:r>
        <w:rPr>
          <w:rFonts w:hint="eastAsia"/>
          <w:b/>
          <w:bCs/>
          <w:sz w:val="24"/>
        </w:rPr>
        <w:t>.2.4</w:t>
      </w:r>
      <w:r>
        <w:rPr>
          <w:rFonts w:hint="eastAsia"/>
          <w:sz w:val="24"/>
        </w:rPr>
        <w:t xml:space="preserve"> 平台、走道、吊装孔等有坠落风险处，应设置防护栏杆或盖板</w:t>
      </w:r>
      <w:r>
        <w:rPr>
          <w:rFonts w:hint="eastAsia"/>
          <w:sz w:val="24"/>
          <w:lang w:eastAsia="zh-CN"/>
        </w:rPr>
        <w:t>，</w:t>
      </w:r>
      <w:r>
        <w:rPr>
          <w:rFonts w:hint="eastAsia"/>
          <w:sz w:val="24"/>
        </w:rPr>
        <w:t>楼梯、平台均应</w:t>
      </w:r>
      <w:r>
        <w:rPr>
          <w:rFonts w:hint="eastAsia"/>
          <w:sz w:val="24"/>
          <w:lang w:val="en-US" w:eastAsia="zh-CN"/>
        </w:rPr>
        <w:t>采</w:t>
      </w:r>
      <w:r>
        <w:rPr>
          <w:rFonts w:hint="eastAsia"/>
          <w:sz w:val="24"/>
        </w:rPr>
        <w:t>取防滑措施。需登高检查、维修及更换光伏设备处应设操作平台或扶梯。没有安全防护设施的施工部位应预留相应固定设施，采取相应的防坠落措施。</w:t>
      </w:r>
    </w:p>
    <w:p w14:paraId="68139B1E">
      <w:pPr>
        <w:snapToGrid w:val="0"/>
        <w:spacing w:line="300" w:lineRule="auto"/>
        <w:jc w:val="left"/>
        <w:rPr>
          <w:sz w:val="24"/>
        </w:rPr>
      </w:pPr>
      <w:r>
        <w:rPr>
          <w:rFonts w:hint="eastAsia"/>
          <w:b/>
          <w:bCs/>
          <w:sz w:val="24"/>
        </w:rPr>
        <w:t>1</w:t>
      </w:r>
      <w:r>
        <w:rPr>
          <w:rFonts w:hint="eastAsia"/>
          <w:b/>
          <w:bCs/>
          <w:sz w:val="24"/>
          <w:lang w:val="en-US" w:eastAsia="zh-CN"/>
        </w:rPr>
        <w:t>1</w:t>
      </w:r>
      <w:r>
        <w:rPr>
          <w:rFonts w:hint="eastAsia"/>
          <w:b/>
          <w:bCs/>
          <w:sz w:val="24"/>
        </w:rPr>
        <w:t>.2.5</w:t>
      </w:r>
      <w:r>
        <w:rPr>
          <w:rFonts w:hint="eastAsia"/>
          <w:sz w:val="24"/>
        </w:rPr>
        <w:t xml:space="preserve"> 防坠落伤害设计应符</w:t>
      </w:r>
      <w:r>
        <w:rPr>
          <w:rFonts w:hint="eastAsia"/>
          <w:sz w:val="24"/>
          <w:lang w:val="en-US" w:eastAsia="zh-CN"/>
        </w:rPr>
        <w:t>合</w:t>
      </w:r>
      <w:r>
        <w:rPr>
          <w:rFonts w:hint="eastAsia"/>
          <w:sz w:val="24"/>
        </w:rPr>
        <w:t>现行国家标准《生产设备安全卫生设计总则》GB 5083《固定式钢梯及平台安全要求》GB4053/等标准的规定。</w:t>
      </w:r>
    </w:p>
    <w:p w14:paraId="0B5AEF53">
      <w:pPr>
        <w:snapToGrid w:val="0"/>
        <w:spacing w:line="300" w:lineRule="auto"/>
        <w:jc w:val="left"/>
        <w:rPr>
          <w:rFonts w:hint="eastAsia"/>
          <w:sz w:val="24"/>
        </w:rPr>
      </w:pPr>
      <w:r>
        <w:rPr>
          <w:rFonts w:hint="eastAsia"/>
          <w:b/>
          <w:bCs/>
          <w:sz w:val="24"/>
        </w:rPr>
        <w:t>1</w:t>
      </w:r>
      <w:r>
        <w:rPr>
          <w:rFonts w:hint="eastAsia"/>
          <w:b/>
          <w:bCs/>
          <w:sz w:val="24"/>
          <w:lang w:val="en-US" w:eastAsia="zh-CN"/>
        </w:rPr>
        <w:t>1</w:t>
      </w:r>
      <w:r>
        <w:rPr>
          <w:rFonts w:hint="eastAsia"/>
          <w:b/>
          <w:bCs/>
          <w:sz w:val="24"/>
        </w:rPr>
        <w:t>.2.</w:t>
      </w:r>
      <w:r>
        <w:rPr>
          <w:rFonts w:hint="eastAsia"/>
          <w:b/>
          <w:bCs/>
          <w:sz w:val="24"/>
          <w:lang w:val="en-US" w:eastAsia="zh-CN"/>
        </w:rPr>
        <w:t>6</w:t>
      </w:r>
      <w:r>
        <w:rPr>
          <w:rFonts w:hint="eastAsia"/>
          <w:sz w:val="24"/>
        </w:rPr>
        <w:t xml:space="preserve"> 屋面安装光伏阵列区域应有防止锚固设施失效后光伏组件坠落的措施。</w:t>
      </w:r>
    </w:p>
    <w:p w14:paraId="3E3AB174">
      <w:pPr>
        <w:snapToGrid w:val="0"/>
        <w:spacing w:line="300" w:lineRule="auto"/>
        <w:jc w:val="left"/>
        <w:rPr>
          <w:sz w:val="24"/>
        </w:rPr>
      </w:pPr>
      <w:r>
        <w:rPr>
          <w:rFonts w:hint="eastAsia"/>
          <w:b/>
          <w:bCs/>
          <w:sz w:val="24"/>
        </w:rPr>
        <w:t>1</w:t>
      </w:r>
      <w:r>
        <w:rPr>
          <w:rFonts w:hint="eastAsia"/>
          <w:b/>
          <w:bCs/>
          <w:sz w:val="24"/>
          <w:lang w:val="en-US" w:eastAsia="zh-CN"/>
        </w:rPr>
        <w:t>1</w:t>
      </w:r>
      <w:r>
        <w:rPr>
          <w:rFonts w:hint="eastAsia"/>
          <w:b/>
          <w:bCs/>
          <w:sz w:val="24"/>
        </w:rPr>
        <w:t>.2.</w:t>
      </w:r>
      <w:r>
        <w:rPr>
          <w:rFonts w:hint="eastAsia"/>
          <w:b/>
          <w:bCs/>
          <w:sz w:val="24"/>
          <w:lang w:val="en-US" w:eastAsia="zh-CN"/>
        </w:rPr>
        <w:t>7</w:t>
      </w:r>
      <w:r>
        <w:rPr>
          <w:rFonts w:hint="eastAsia"/>
          <w:sz w:val="24"/>
        </w:rPr>
        <w:t xml:space="preserve"> 电气设备的安全性应符合本</w:t>
      </w:r>
      <w:r>
        <w:rPr>
          <w:rFonts w:hint="eastAsia"/>
          <w:sz w:val="24"/>
          <w:lang w:val="en-US" w:eastAsia="zh-CN"/>
        </w:rPr>
        <w:t>标准</w:t>
      </w:r>
      <w:r>
        <w:rPr>
          <w:rFonts w:hint="eastAsia"/>
          <w:sz w:val="24"/>
        </w:rPr>
        <w:t>及现行</w:t>
      </w:r>
      <w:r>
        <w:rPr>
          <w:rFonts w:hint="eastAsia"/>
          <w:sz w:val="24"/>
          <w:lang w:val="en-US" w:eastAsia="zh-CN"/>
        </w:rPr>
        <w:t>国</w:t>
      </w:r>
      <w:r>
        <w:rPr>
          <w:rFonts w:hint="eastAsia"/>
          <w:sz w:val="24"/>
        </w:rPr>
        <w:t>家标准《国家电气设备安全技术规范》GB 19517的规定。电气设备的布置应满足带电设备的安全防护距离要求</w:t>
      </w:r>
      <w:r>
        <w:rPr>
          <w:rFonts w:hint="eastAsia"/>
          <w:sz w:val="24"/>
          <w:lang w:eastAsia="zh-CN"/>
        </w:rPr>
        <w:t>，</w:t>
      </w:r>
      <w:r>
        <w:rPr>
          <w:rFonts w:hint="eastAsia"/>
          <w:sz w:val="24"/>
        </w:rPr>
        <w:t>应有必要的隔离防护</w:t>
      </w:r>
      <w:r>
        <w:rPr>
          <w:rFonts w:hint="eastAsia"/>
          <w:sz w:val="24"/>
          <w:lang w:val="en-US" w:eastAsia="zh-CN"/>
        </w:rPr>
        <w:t>措施</w:t>
      </w:r>
      <w:r>
        <w:rPr>
          <w:rFonts w:hint="eastAsia"/>
          <w:sz w:val="24"/>
        </w:rPr>
        <w:t>。</w:t>
      </w:r>
    </w:p>
    <w:p w14:paraId="6A43A9D1">
      <w:pPr>
        <w:snapToGrid w:val="0"/>
        <w:spacing w:line="300" w:lineRule="auto"/>
        <w:jc w:val="left"/>
        <w:rPr>
          <w:sz w:val="24"/>
        </w:rPr>
      </w:pPr>
      <w:r>
        <w:rPr>
          <w:rFonts w:hint="eastAsia"/>
          <w:b/>
          <w:bCs/>
          <w:sz w:val="24"/>
        </w:rPr>
        <w:t>1</w:t>
      </w:r>
      <w:r>
        <w:rPr>
          <w:rFonts w:hint="eastAsia"/>
          <w:b/>
          <w:bCs/>
          <w:sz w:val="24"/>
          <w:lang w:val="en-US" w:eastAsia="zh-CN"/>
        </w:rPr>
        <w:t>1</w:t>
      </w:r>
      <w:r>
        <w:rPr>
          <w:rFonts w:hint="eastAsia"/>
          <w:b/>
          <w:bCs/>
          <w:sz w:val="24"/>
        </w:rPr>
        <w:t>.2.</w:t>
      </w:r>
      <w:r>
        <w:rPr>
          <w:rFonts w:hint="eastAsia"/>
          <w:b/>
          <w:bCs/>
          <w:sz w:val="24"/>
          <w:lang w:val="en-US" w:eastAsia="zh-CN"/>
        </w:rPr>
        <w:t>8</w:t>
      </w:r>
      <w:r>
        <w:rPr>
          <w:rFonts w:hint="eastAsia"/>
          <w:sz w:val="24"/>
        </w:rPr>
        <w:t xml:space="preserve"> 防电气伤害设计应符合现行国家标准《低压电气装置第4-41部分：安全防护 电击防护》GB 16895.21的有关规定。</w:t>
      </w:r>
    </w:p>
    <w:p w14:paraId="2B95F56F">
      <w:pPr>
        <w:snapToGrid w:val="0"/>
        <w:spacing w:line="300" w:lineRule="auto"/>
        <w:jc w:val="left"/>
        <w:rPr>
          <w:sz w:val="24"/>
        </w:rPr>
      </w:pPr>
      <w:r>
        <w:rPr>
          <w:rFonts w:hint="eastAsia"/>
          <w:b/>
          <w:bCs/>
          <w:sz w:val="24"/>
        </w:rPr>
        <w:t>1</w:t>
      </w:r>
      <w:r>
        <w:rPr>
          <w:rFonts w:hint="eastAsia"/>
          <w:b/>
          <w:bCs/>
          <w:sz w:val="24"/>
          <w:lang w:val="en-US" w:eastAsia="zh-CN"/>
        </w:rPr>
        <w:t>1</w:t>
      </w:r>
      <w:r>
        <w:rPr>
          <w:rFonts w:hint="eastAsia"/>
          <w:b/>
          <w:bCs/>
          <w:sz w:val="24"/>
        </w:rPr>
        <w:t>.2.</w:t>
      </w:r>
      <w:r>
        <w:rPr>
          <w:rFonts w:hint="eastAsia"/>
          <w:b/>
          <w:bCs/>
          <w:sz w:val="24"/>
          <w:lang w:val="en-US" w:eastAsia="zh-CN"/>
        </w:rPr>
        <w:t>9</w:t>
      </w:r>
      <w:r>
        <w:rPr>
          <w:rFonts w:hint="eastAsia"/>
          <w:sz w:val="24"/>
        </w:rPr>
        <w:t xml:space="preserve"> 防暑、防寒、防潮、防噪声设计应符合现行国家标准《民用建筑供暖通风与空气调节设计规范》GB 50736和《工业建筑供暖通风与空气调节设计规范》GB 5009等标准的规定。</w:t>
      </w:r>
    </w:p>
    <w:p w14:paraId="5B535376">
      <w:pPr>
        <w:widowControl/>
        <w:spacing w:line="300" w:lineRule="auto"/>
        <w:jc w:val="left"/>
        <w:rPr>
          <w:sz w:val="24"/>
        </w:rPr>
      </w:pPr>
      <w:r>
        <w:rPr>
          <w:sz w:val="24"/>
        </w:rPr>
        <w:br w:type="page"/>
      </w:r>
    </w:p>
    <w:p w14:paraId="24019AFF">
      <w:pPr>
        <w:pStyle w:val="5"/>
        <w:spacing w:before="95" w:beforeLines="30" w:after="95" w:afterLines="30" w:line="300" w:lineRule="auto"/>
        <w:jc w:val="center"/>
        <w:rPr>
          <w:rFonts w:ascii="Times New Roman" w:hAnsi="Times New Roman" w:eastAsia="黑体" w:cs="Times New Roman"/>
          <w:sz w:val="28"/>
          <w:szCs w:val="28"/>
        </w:rPr>
      </w:pPr>
      <w:bookmarkStart w:id="415" w:name="_Toc1667"/>
      <w:bookmarkStart w:id="416" w:name="_Toc24597"/>
      <w:bookmarkStart w:id="417" w:name="_Toc18914"/>
      <w:bookmarkStart w:id="418" w:name="_Toc4490"/>
      <w:bookmarkStart w:id="419" w:name="_Toc1438"/>
      <w:bookmarkStart w:id="420" w:name="_Toc17846"/>
      <w:bookmarkStart w:id="421" w:name="_Toc15796"/>
      <w:bookmarkStart w:id="422" w:name="_Toc4467"/>
      <w:r>
        <w:rPr>
          <w:rFonts w:ascii="Times New Roman" w:hAnsi="Times New Roman" w:eastAsia="黑体" w:cs="Times New Roman"/>
          <w:sz w:val="28"/>
          <w:szCs w:val="28"/>
        </w:rPr>
        <w:t>1</w:t>
      </w:r>
      <w:r>
        <w:rPr>
          <w:rFonts w:hint="default" w:ascii="Times New Roman" w:hAnsi="Times New Roman" w:eastAsia="黑体" w:cs="Times New Roman"/>
          <w:sz w:val="28"/>
          <w:szCs w:val="28"/>
          <w:lang w:val="en-US" w:eastAsia="zh-CN"/>
        </w:rPr>
        <w:t>2</w:t>
      </w:r>
      <w:r>
        <w:rPr>
          <w:rFonts w:ascii="Times New Roman" w:hAnsi="Times New Roman" w:eastAsia="黑体" w:cs="Times New Roman"/>
          <w:sz w:val="28"/>
          <w:szCs w:val="28"/>
        </w:rPr>
        <w:t xml:space="preserve"> 消防</w:t>
      </w:r>
      <w:bookmarkEnd w:id="415"/>
      <w:bookmarkEnd w:id="416"/>
      <w:bookmarkEnd w:id="417"/>
      <w:bookmarkEnd w:id="418"/>
      <w:bookmarkEnd w:id="419"/>
      <w:bookmarkEnd w:id="420"/>
      <w:bookmarkEnd w:id="421"/>
      <w:bookmarkEnd w:id="422"/>
    </w:p>
    <w:p w14:paraId="29DA9CFF">
      <w:pPr>
        <w:keepNext/>
        <w:keepLines/>
        <w:snapToGrid w:val="0"/>
        <w:spacing w:before="95" w:beforeLines="30" w:after="95" w:afterLines="30" w:line="300" w:lineRule="auto"/>
        <w:jc w:val="center"/>
        <w:outlineLvl w:val="2"/>
        <w:rPr>
          <w:b/>
          <w:sz w:val="24"/>
          <w:szCs w:val="32"/>
        </w:rPr>
      </w:pPr>
      <w:bookmarkStart w:id="423" w:name="_Toc1250"/>
      <w:bookmarkStart w:id="424" w:name="_Toc26778"/>
      <w:bookmarkStart w:id="425" w:name="_Toc10043"/>
      <w:bookmarkStart w:id="426" w:name="_Toc1381"/>
      <w:bookmarkStart w:id="427" w:name="_Toc29582"/>
      <w:bookmarkStart w:id="428" w:name="_Toc7005"/>
      <w:bookmarkStart w:id="429" w:name="_Toc27300"/>
      <w:bookmarkStart w:id="430" w:name="_Toc29077"/>
      <w:r>
        <w:rPr>
          <w:b/>
          <w:sz w:val="24"/>
          <w:szCs w:val="32"/>
        </w:rPr>
        <w:t>1</w:t>
      </w:r>
      <w:r>
        <w:rPr>
          <w:rFonts w:hint="default"/>
          <w:b/>
          <w:sz w:val="24"/>
          <w:szCs w:val="32"/>
          <w:lang w:val="en-US" w:eastAsia="zh-CN"/>
        </w:rPr>
        <w:t>2</w:t>
      </w:r>
      <w:r>
        <w:rPr>
          <w:b/>
          <w:sz w:val="24"/>
          <w:szCs w:val="32"/>
        </w:rPr>
        <w:t>.1一般规定</w:t>
      </w:r>
      <w:bookmarkEnd w:id="423"/>
      <w:bookmarkEnd w:id="424"/>
      <w:bookmarkEnd w:id="425"/>
      <w:bookmarkEnd w:id="426"/>
      <w:bookmarkEnd w:id="427"/>
      <w:bookmarkEnd w:id="428"/>
      <w:bookmarkEnd w:id="429"/>
      <w:bookmarkEnd w:id="430"/>
    </w:p>
    <w:p w14:paraId="083D80CB">
      <w:pPr>
        <w:snapToGrid w:val="0"/>
        <w:spacing w:line="300" w:lineRule="auto"/>
        <w:jc w:val="left"/>
        <w:rPr>
          <w:sz w:val="24"/>
        </w:rPr>
      </w:pPr>
      <w:r>
        <w:rPr>
          <w:b/>
          <w:bCs/>
          <w:sz w:val="24"/>
        </w:rPr>
        <w:t>1</w:t>
      </w:r>
      <w:r>
        <w:rPr>
          <w:rFonts w:hint="eastAsia"/>
          <w:b/>
          <w:bCs/>
          <w:sz w:val="24"/>
          <w:lang w:val="en-US" w:eastAsia="zh-CN"/>
        </w:rPr>
        <w:t>2</w:t>
      </w:r>
      <w:r>
        <w:rPr>
          <w:b/>
          <w:bCs/>
          <w:sz w:val="24"/>
        </w:rPr>
        <w:t>.1.1</w:t>
      </w:r>
      <w:r>
        <w:rPr>
          <w:sz w:val="24"/>
        </w:rPr>
        <w:t xml:space="preserve"> 建筑光伏系统防火和灭火系统设计应符合现行国家标准《建筑设计防火规范》GB50016、《建筑内部装修设计防火规范》GB50222和《气体灭火系统设计规范》GB50370的有关规定。</w:t>
      </w:r>
    </w:p>
    <w:p w14:paraId="7B90BFCF">
      <w:pPr>
        <w:snapToGrid w:val="0"/>
        <w:spacing w:line="300" w:lineRule="auto"/>
        <w:jc w:val="left"/>
        <w:rPr>
          <w:sz w:val="24"/>
        </w:rPr>
      </w:pPr>
      <w:r>
        <w:rPr>
          <w:b/>
          <w:bCs/>
          <w:sz w:val="24"/>
        </w:rPr>
        <w:t>1</w:t>
      </w:r>
      <w:r>
        <w:rPr>
          <w:rFonts w:hint="eastAsia"/>
          <w:b/>
          <w:bCs/>
          <w:sz w:val="24"/>
          <w:lang w:val="en-US" w:eastAsia="zh-CN"/>
        </w:rPr>
        <w:t>2</w:t>
      </w:r>
      <w:r>
        <w:rPr>
          <w:b/>
          <w:bCs/>
          <w:sz w:val="24"/>
        </w:rPr>
        <w:t>.1.2</w:t>
      </w:r>
      <w:r>
        <w:rPr>
          <w:rFonts w:hint="eastAsia"/>
          <w:sz w:val="24"/>
        </w:rPr>
        <w:t xml:space="preserve"> </w:t>
      </w:r>
      <w:r>
        <w:rPr>
          <w:sz w:val="24"/>
        </w:rPr>
        <w:t>建筑光伏系统安装应避开爆炸危险场所。</w:t>
      </w:r>
    </w:p>
    <w:p w14:paraId="14023E0E">
      <w:pPr>
        <w:snapToGrid w:val="0"/>
        <w:spacing w:line="300" w:lineRule="auto"/>
        <w:jc w:val="left"/>
        <w:rPr>
          <w:sz w:val="24"/>
        </w:rPr>
      </w:pPr>
      <w:r>
        <w:rPr>
          <w:b/>
          <w:bCs/>
          <w:sz w:val="24"/>
        </w:rPr>
        <w:t>1</w:t>
      </w:r>
      <w:r>
        <w:rPr>
          <w:rFonts w:hint="eastAsia"/>
          <w:b/>
          <w:bCs/>
          <w:sz w:val="24"/>
          <w:lang w:val="en-US" w:eastAsia="zh-CN"/>
        </w:rPr>
        <w:t>2</w:t>
      </w:r>
      <w:r>
        <w:rPr>
          <w:b/>
          <w:bCs/>
          <w:sz w:val="24"/>
        </w:rPr>
        <w:t>.1.3</w:t>
      </w:r>
      <w:r>
        <w:rPr>
          <w:rFonts w:hint="eastAsia"/>
          <w:sz w:val="24"/>
        </w:rPr>
        <w:t xml:space="preserve"> </w:t>
      </w:r>
      <w:r>
        <w:rPr>
          <w:sz w:val="24"/>
        </w:rPr>
        <w:t>建筑光伏系统不</w:t>
      </w:r>
      <w:r>
        <w:rPr>
          <w:rFonts w:hint="eastAsia"/>
          <w:sz w:val="24"/>
          <w:lang w:val="en-US" w:eastAsia="zh-CN"/>
        </w:rPr>
        <w:t>应</w:t>
      </w:r>
      <w:r>
        <w:rPr>
          <w:sz w:val="24"/>
        </w:rPr>
        <w:t>影响建筑之间的防火间距及消防疏散。</w:t>
      </w:r>
    </w:p>
    <w:p w14:paraId="1F376160">
      <w:pPr>
        <w:keepNext/>
        <w:keepLines/>
        <w:snapToGrid w:val="0"/>
        <w:spacing w:before="95" w:beforeLines="30" w:after="95" w:afterLines="30" w:line="300" w:lineRule="auto"/>
        <w:jc w:val="center"/>
        <w:outlineLvl w:val="2"/>
        <w:rPr>
          <w:b/>
          <w:sz w:val="24"/>
          <w:szCs w:val="32"/>
        </w:rPr>
      </w:pPr>
      <w:bookmarkStart w:id="431" w:name="_Toc4993"/>
      <w:bookmarkStart w:id="432" w:name="_Toc1880"/>
      <w:bookmarkStart w:id="433" w:name="_Toc17399"/>
      <w:bookmarkStart w:id="434" w:name="_Toc22055"/>
      <w:bookmarkStart w:id="435" w:name="_Toc633"/>
      <w:bookmarkStart w:id="436" w:name="_Toc21045"/>
      <w:bookmarkStart w:id="437" w:name="_Toc9598"/>
      <w:bookmarkStart w:id="438" w:name="_Toc697"/>
      <w:r>
        <w:rPr>
          <w:b/>
          <w:sz w:val="24"/>
          <w:szCs w:val="32"/>
        </w:rPr>
        <w:t>1</w:t>
      </w:r>
      <w:r>
        <w:rPr>
          <w:rFonts w:hint="default"/>
          <w:b/>
          <w:sz w:val="24"/>
          <w:szCs w:val="32"/>
          <w:lang w:val="en-US" w:eastAsia="zh-CN"/>
        </w:rPr>
        <w:t>2</w:t>
      </w:r>
      <w:r>
        <w:rPr>
          <w:b/>
          <w:sz w:val="24"/>
          <w:szCs w:val="32"/>
        </w:rPr>
        <w:t>.2防火</w:t>
      </w:r>
      <w:bookmarkEnd w:id="431"/>
      <w:bookmarkEnd w:id="432"/>
      <w:bookmarkEnd w:id="433"/>
      <w:bookmarkEnd w:id="434"/>
      <w:bookmarkEnd w:id="435"/>
      <w:bookmarkEnd w:id="436"/>
      <w:bookmarkEnd w:id="437"/>
      <w:bookmarkEnd w:id="438"/>
    </w:p>
    <w:p w14:paraId="4A658CF3">
      <w:pPr>
        <w:spacing w:before="199" w:line="259" w:lineRule="auto"/>
        <w:ind w:left="31" w:right="39" w:firstLine="3"/>
        <w:rPr>
          <w:rFonts w:ascii="宋体" w:hAnsi="宋体" w:eastAsia="宋体" w:cs="宋体"/>
          <w:sz w:val="24"/>
          <w:szCs w:val="24"/>
        </w:rPr>
      </w:pPr>
      <w:r>
        <w:rPr>
          <w:b/>
          <w:bCs/>
          <w:sz w:val="24"/>
        </w:rPr>
        <w:t>1</w:t>
      </w:r>
      <w:r>
        <w:rPr>
          <w:rFonts w:hint="eastAsia"/>
          <w:b/>
          <w:bCs/>
          <w:sz w:val="24"/>
          <w:lang w:val="en-US" w:eastAsia="zh-CN"/>
        </w:rPr>
        <w:t>2</w:t>
      </w:r>
      <w:r>
        <w:rPr>
          <w:b/>
          <w:bCs/>
          <w:sz w:val="24"/>
        </w:rPr>
        <w:t>.2.1</w:t>
      </w:r>
      <w:r>
        <w:rPr>
          <w:rFonts w:hint="eastAsia"/>
          <w:b/>
          <w:bCs/>
          <w:sz w:val="24"/>
        </w:rPr>
        <w:t xml:space="preserve"> </w:t>
      </w:r>
      <w:r>
        <w:rPr>
          <w:sz w:val="24"/>
        </w:rPr>
        <w:t>光伏构件的燃烧性能和耐火极限应根据</w:t>
      </w:r>
      <w:r>
        <w:rPr>
          <w:rFonts w:hint="default" w:ascii="Times New Roman" w:hAnsi="Times New Roman" w:eastAsia="宋体" w:cs="Times New Roman"/>
          <w:spacing w:val="0"/>
          <w:sz w:val="24"/>
          <w:szCs w:val="24"/>
          <w:lang w:val="en-US" w:eastAsia="zh-CN"/>
        </w:rPr>
        <w:t>IEC 61730测定。</w:t>
      </w:r>
      <w:r>
        <w:rPr>
          <w:sz w:val="24"/>
        </w:rPr>
        <w:t>建材型光伏构件应采用</w:t>
      </w:r>
      <w:r>
        <w:rPr>
          <w:rFonts w:hint="default" w:ascii="Times New Roman" w:hAnsi="Times New Roman" w:eastAsia="宋体" w:cs="Times New Roman"/>
          <w:spacing w:val="0"/>
          <w:sz w:val="24"/>
          <w:szCs w:val="24"/>
          <w:lang w:val="en-US" w:eastAsia="zh-CN"/>
        </w:rPr>
        <w:t>火焰蔓延A级和燃烧性能A级材料</w:t>
      </w:r>
      <w:r>
        <w:rPr>
          <w:rFonts w:hint="default" w:ascii="Times New Roman" w:hAnsi="Times New Roman" w:eastAsia="宋体" w:cs="Times New Roman"/>
          <w:spacing w:val="0"/>
          <w:sz w:val="24"/>
          <w:szCs w:val="24"/>
          <w:lang w:eastAsia="zh-CN"/>
        </w:rPr>
        <w:t>，</w:t>
      </w:r>
      <w:r>
        <w:rPr>
          <w:sz w:val="24"/>
        </w:rPr>
        <w:t>光伏遮阳构件可采用</w:t>
      </w:r>
      <w:r>
        <w:rPr>
          <w:rFonts w:hint="default" w:ascii="Times New Roman" w:hAnsi="Times New Roman" w:eastAsia="宋体" w:cs="Times New Roman"/>
          <w:spacing w:val="0"/>
          <w:sz w:val="24"/>
          <w:szCs w:val="24"/>
          <w:lang w:val="en-US" w:eastAsia="zh-CN"/>
        </w:rPr>
        <w:t>火焰蔓延A级和燃烧性能C级及以上材料</w:t>
      </w:r>
      <w:r>
        <w:rPr>
          <w:rFonts w:ascii="Times New Roman" w:hAnsi="Times New Roman" w:eastAsia="宋体" w:cs="Times New Roman"/>
          <w:spacing w:val="0"/>
          <w:sz w:val="24"/>
          <w:szCs w:val="24"/>
        </w:rPr>
        <w:t>。</w:t>
      </w:r>
    </w:p>
    <w:p w14:paraId="2102C93F">
      <w:pPr>
        <w:snapToGrid w:val="0"/>
        <w:spacing w:line="300" w:lineRule="auto"/>
        <w:jc w:val="left"/>
        <w:rPr>
          <w:sz w:val="24"/>
          <w:highlight w:val="none"/>
        </w:rPr>
      </w:pPr>
      <w:r>
        <w:rPr>
          <w:b/>
          <w:bCs/>
          <w:sz w:val="24"/>
          <w:highlight w:val="none"/>
        </w:rPr>
        <w:t>1</w:t>
      </w:r>
      <w:r>
        <w:rPr>
          <w:rFonts w:hint="eastAsia"/>
          <w:b/>
          <w:bCs/>
          <w:sz w:val="24"/>
          <w:highlight w:val="none"/>
          <w:lang w:val="en-US" w:eastAsia="zh-CN"/>
        </w:rPr>
        <w:t>2</w:t>
      </w:r>
      <w:r>
        <w:rPr>
          <w:b/>
          <w:bCs/>
          <w:sz w:val="24"/>
          <w:highlight w:val="none"/>
        </w:rPr>
        <w:t>.2.2</w:t>
      </w:r>
      <w:r>
        <w:rPr>
          <w:rFonts w:hint="eastAsia"/>
          <w:sz w:val="24"/>
          <w:highlight w:val="none"/>
        </w:rPr>
        <w:t xml:space="preserve"> </w:t>
      </w:r>
      <w:r>
        <w:rPr>
          <w:sz w:val="24"/>
          <w:highlight w:val="none"/>
        </w:rPr>
        <w:t>控制室、配电室、逆变器室等设备用房应采用耐火极限不低于2.0h的隔墙和耐火极限不低于1.5h的楼板与其他部位隔开，</w:t>
      </w:r>
      <w:r>
        <w:rPr>
          <w:rFonts w:hint="eastAsia"/>
          <w:sz w:val="24"/>
          <w:highlight w:val="none"/>
        </w:rPr>
        <w:t>变配电室开向建筑内的门应采用甲级防火门</w:t>
      </w:r>
      <w:r>
        <w:rPr>
          <w:rFonts w:hint="eastAsia"/>
          <w:sz w:val="24"/>
          <w:highlight w:val="none"/>
          <w:lang w:eastAsia="zh-CN"/>
        </w:rPr>
        <w:t>，</w:t>
      </w:r>
      <w:r>
        <w:rPr>
          <w:sz w:val="24"/>
          <w:highlight w:val="none"/>
        </w:rPr>
        <w:t>其内部所有装修均应采用A级装修材料。</w:t>
      </w:r>
    </w:p>
    <w:p w14:paraId="39C4ABF5">
      <w:pPr>
        <w:snapToGrid w:val="0"/>
        <w:spacing w:line="300" w:lineRule="auto"/>
        <w:jc w:val="left"/>
        <w:rPr>
          <w:rFonts w:hint="default" w:eastAsia="宋体"/>
          <w:sz w:val="24"/>
          <w:lang w:val="en-US" w:eastAsia="zh-CN"/>
        </w:rPr>
      </w:pPr>
      <w:r>
        <w:rPr>
          <w:b/>
          <w:bCs/>
          <w:sz w:val="24"/>
        </w:rPr>
        <w:t>1</w:t>
      </w:r>
      <w:r>
        <w:rPr>
          <w:rFonts w:hint="eastAsia"/>
          <w:b/>
          <w:bCs/>
          <w:sz w:val="24"/>
          <w:lang w:val="en-US" w:eastAsia="zh-CN"/>
        </w:rPr>
        <w:t>2</w:t>
      </w:r>
      <w:r>
        <w:rPr>
          <w:b/>
          <w:bCs/>
          <w:sz w:val="24"/>
        </w:rPr>
        <w:t>.2.3</w:t>
      </w:r>
      <w:r>
        <w:rPr>
          <w:rFonts w:hint="eastAsia"/>
          <w:sz w:val="24"/>
        </w:rPr>
        <w:t xml:space="preserve"> </w:t>
      </w:r>
      <w:r>
        <w:rPr>
          <w:sz w:val="24"/>
        </w:rPr>
        <w:t>光伏幕墙的防火构造应符合现行行业标准《玻璃幕墙工程技术规范》JGJ102的有关规定。无窗间墙和窗槛墙的幕墙应符合现行</w:t>
      </w:r>
      <w:r>
        <w:rPr>
          <w:rFonts w:hint="eastAsia"/>
          <w:sz w:val="24"/>
          <w:lang w:val="en-US" w:eastAsia="zh-CN"/>
        </w:rPr>
        <w:t>国家标准</w:t>
      </w:r>
      <w:r>
        <w:rPr>
          <w:rFonts w:hint="eastAsia"/>
          <w:sz w:val="24"/>
        </w:rPr>
        <w:t>《建筑设计防火规范》GB 50016</w:t>
      </w:r>
      <w:r>
        <w:rPr>
          <w:rFonts w:hint="eastAsia"/>
          <w:sz w:val="24"/>
          <w:lang w:val="en-US" w:eastAsia="zh-CN"/>
        </w:rPr>
        <w:t>的有关规定。</w:t>
      </w:r>
    </w:p>
    <w:p w14:paraId="56468BC4">
      <w:pPr>
        <w:snapToGrid w:val="0"/>
        <w:spacing w:line="300" w:lineRule="auto"/>
        <w:jc w:val="left"/>
        <w:rPr>
          <w:sz w:val="24"/>
        </w:rPr>
      </w:pPr>
      <w:r>
        <w:rPr>
          <w:b/>
          <w:bCs/>
          <w:sz w:val="24"/>
        </w:rPr>
        <w:t>1</w:t>
      </w:r>
      <w:r>
        <w:rPr>
          <w:rFonts w:hint="eastAsia"/>
          <w:b/>
          <w:bCs/>
          <w:sz w:val="24"/>
          <w:lang w:val="en-US" w:eastAsia="zh-CN"/>
        </w:rPr>
        <w:t>2</w:t>
      </w:r>
      <w:r>
        <w:rPr>
          <w:b/>
          <w:bCs/>
          <w:sz w:val="24"/>
        </w:rPr>
        <w:t>.2.</w:t>
      </w:r>
      <w:r>
        <w:rPr>
          <w:rFonts w:hint="eastAsia"/>
          <w:b/>
          <w:bCs/>
          <w:sz w:val="24"/>
          <w:lang w:val="en-US" w:eastAsia="zh-CN"/>
        </w:rPr>
        <w:t>4</w:t>
      </w:r>
      <w:r>
        <w:rPr>
          <w:rFonts w:hint="eastAsia"/>
          <w:sz w:val="24"/>
        </w:rPr>
        <w:t xml:space="preserve"> </w:t>
      </w:r>
      <w:r>
        <w:rPr>
          <w:sz w:val="24"/>
        </w:rPr>
        <w:t>同一光伏幕墙组件不应跨越建筑物的两个防火分区。</w:t>
      </w:r>
    </w:p>
    <w:p w14:paraId="095A6834">
      <w:pPr>
        <w:snapToGrid w:val="0"/>
        <w:spacing w:line="300" w:lineRule="auto"/>
        <w:jc w:val="left"/>
        <w:rPr>
          <w:sz w:val="24"/>
        </w:rPr>
      </w:pPr>
      <w:r>
        <w:rPr>
          <w:b/>
          <w:bCs/>
          <w:sz w:val="24"/>
        </w:rPr>
        <w:t>1</w:t>
      </w:r>
      <w:r>
        <w:rPr>
          <w:rFonts w:hint="eastAsia"/>
          <w:b/>
          <w:bCs/>
          <w:sz w:val="24"/>
          <w:lang w:val="en-US" w:eastAsia="zh-CN"/>
        </w:rPr>
        <w:t>2</w:t>
      </w:r>
      <w:r>
        <w:rPr>
          <w:b/>
          <w:bCs/>
          <w:sz w:val="24"/>
        </w:rPr>
        <w:t>.2.</w:t>
      </w:r>
      <w:r>
        <w:rPr>
          <w:rFonts w:hint="eastAsia"/>
          <w:b/>
          <w:bCs/>
          <w:sz w:val="24"/>
          <w:lang w:val="en-US" w:eastAsia="zh-CN"/>
        </w:rPr>
        <w:t>5</w:t>
      </w:r>
      <w:r>
        <w:rPr>
          <w:rFonts w:hint="eastAsia"/>
          <w:sz w:val="24"/>
        </w:rPr>
        <w:t xml:space="preserve"> </w:t>
      </w:r>
      <w:r>
        <w:rPr>
          <w:sz w:val="24"/>
        </w:rPr>
        <w:t>建筑内的电缆井应独立设置，其井壁应为耐火极限不低于1.0h的不燃烧体，井壁上的检查门应采用丙级防火门。电缆井在每层楼板处应采用不低于楼板耐火极限的不燃烧体或防火封堵材料封堵。</w:t>
      </w:r>
    </w:p>
    <w:p w14:paraId="1FD5E3C6">
      <w:pPr>
        <w:snapToGrid w:val="0"/>
        <w:spacing w:line="300" w:lineRule="auto"/>
        <w:jc w:val="left"/>
        <w:rPr>
          <w:sz w:val="24"/>
        </w:rPr>
      </w:pPr>
      <w:r>
        <w:rPr>
          <w:b/>
          <w:bCs/>
          <w:sz w:val="24"/>
        </w:rPr>
        <w:t>1</w:t>
      </w:r>
      <w:r>
        <w:rPr>
          <w:rFonts w:hint="eastAsia"/>
          <w:b/>
          <w:bCs/>
          <w:sz w:val="24"/>
          <w:lang w:val="en-US" w:eastAsia="zh-CN"/>
        </w:rPr>
        <w:t>2</w:t>
      </w:r>
      <w:r>
        <w:rPr>
          <w:b/>
          <w:bCs/>
          <w:sz w:val="24"/>
        </w:rPr>
        <w:t>.2.</w:t>
      </w:r>
      <w:r>
        <w:rPr>
          <w:rFonts w:hint="eastAsia"/>
          <w:b/>
          <w:bCs/>
          <w:sz w:val="24"/>
          <w:lang w:val="en-US" w:eastAsia="zh-CN"/>
        </w:rPr>
        <w:t>6</w:t>
      </w:r>
      <w:r>
        <w:rPr>
          <w:rFonts w:hint="eastAsia"/>
          <w:sz w:val="24"/>
        </w:rPr>
        <w:t xml:space="preserve"> </w:t>
      </w:r>
      <w:r>
        <w:rPr>
          <w:sz w:val="24"/>
        </w:rPr>
        <w:t>电缆不应敷设在变形缝内。当其穿过变形缝时，应在穿过处加设不燃烧材料套管，应采用不燃烧材料将套管空隙填塞密实。</w:t>
      </w:r>
    </w:p>
    <w:p w14:paraId="720BFFE8">
      <w:pPr>
        <w:snapToGrid w:val="0"/>
        <w:spacing w:line="300" w:lineRule="auto"/>
        <w:jc w:val="left"/>
        <w:rPr>
          <w:sz w:val="24"/>
        </w:rPr>
      </w:pPr>
      <w:r>
        <w:rPr>
          <w:b/>
          <w:bCs/>
          <w:sz w:val="24"/>
        </w:rPr>
        <w:t>1</w:t>
      </w:r>
      <w:r>
        <w:rPr>
          <w:rFonts w:hint="eastAsia"/>
          <w:b/>
          <w:bCs/>
          <w:sz w:val="24"/>
          <w:lang w:val="en-US" w:eastAsia="zh-CN"/>
        </w:rPr>
        <w:t>2</w:t>
      </w:r>
      <w:r>
        <w:rPr>
          <w:b/>
          <w:bCs/>
          <w:sz w:val="24"/>
        </w:rPr>
        <w:t>.2.</w:t>
      </w:r>
      <w:r>
        <w:rPr>
          <w:rFonts w:hint="eastAsia"/>
          <w:b/>
          <w:bCs/>
          <w:sz w:val="24"/>
          <w:lang w:val="en-US" w:eastAsia="zh-CN"/>
        </w:rPr>
        <w:t>7</w:t>
      </w:r>
      <w:r>
        <w:rPr>
          <w:rFonts w:hint="eastAsia"/>
          <w:sz w:val="24"/>
        </w:rPr>
        <w:t xml:space="preserve"> </w:t>
      </w:r>
      <w:r>
        <w:rPr>
          <w:sz w:val="24"/>
        </w:rPr>
        <w:t>电缆不宜穿过防火墙。当穿过时，应采用防火封堵材料将墙与管道之间的空隙紧密填实。</w:t>
      </w:r>
    </w:p>
    <w:p w14:paraId="0517E5B3">
      <w:pPr>
        <w:snapToGrid w:val="0"/>
        <w:spacing w:line="300" w:lineRule="auto"/>
        <w:jc w:val="left"/>
        <w:rPr>
          <w:sz w:val="24"/>
        </w:rPr>
      </w:pPr>
      <w:r>
        <w:rPr>
          <w:b/>
          <w:bCs/>
          <w:sz w:val="24"/>
        </w:rPr>
        <w:t>1</w:t>
      </w:r>
      <w:r>
        <w:rPr>
          <w:rFonts w:hint="eastAsia"/>
          <w:b/>
          <w:bCs/>
          <w:sz w:val="24"/>
          <w:lang w:val="en-US" w:eastAsia="zh-CN"/>
        </w:rPr>
        <w:t>2</w:t>
      </w:r>
      <w:r>
        <w:rPr>
          <w:b/>
          <w:bCs/>
          <w:sz w:val="24"/>
        </w:rPr>
        <w:t>.2.</w:t>
      </w:r>
      <w:r>
        <w:rPr>
          <w:rFonts w:hint="eastAsia"/>
          <w:b/>
          <w:bCs/>
          <w:sz w:val="24"/>
          <w:lang w:val="en-US" w:eastAsia="zh-CN"/>
        </w:rPr>
        <w:t>8</w:t>
      </w:r>
      <w:r>
        <w:rPr>
          <w:rFonts w:hint="eastAsia"/>
          <w:sz w:val="24"/>
        </w:rPr>
        <w:t xml:space="preserve"> </w:t>
      </w:r>
      <w:r>
        <w:rPr>
          <w:sz w:val="24"/>
        </w:rPr>
        <w:t>光伏系统所有外露于空气的材料均为难燃或不燃材料，所有</w:t>
      </w:r>
      <w:r>
        <w:rPr>
          <w:rFonts w:hint="eastAsia"/>
          <w:sz w:val="24"/>
          <w:lang w:val="en-US" w:eastAsia="zh-CN"/>
        </w:rPr>
        <w:t>室内</w:t>
      </w:r>
      <w:r>
        <w:rPr>
          <w:sz w:val="24"/>
        </w:rPr>
        <w:t>的材料燃烧后不</w:t>
      </w:r>
      <w:r>
        <w:rPr>
          <w:rFonts w:hint="eastAsia"/>
          <w:sz w:val="24"/>
          <w:lang w:val="en-US" w:eastAsia="zh-CN"/>
        </w:rPr>
        <w:t>应</w:t>
      </w:r>
      <w:r>
        <w:rPr>
          <w:sz w:val="24"/>
        </w:rPr>
        <w:t>释放有毒有害气体。</w:t>
      </w:r>
    </w:p>
    <w:p w14:paraId="62C67B11">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2470BA3">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.2.</w:t>
      </w:r>
      <w:r>
        <w:rPr>
          <w:rFonts w:hint="eastAsia" w:ascii="仿宋" w:hAnsi="仿宋" w:eastAsia="仿宋" w:cs="仿宋"/>
          <w:i/>
          <w:iCs/>
          <w:color w:val="0623BA"/>
          <w:sz w:val="24"/>
          <w:lang w:val="en-US" w:eastAsia="zh-CN"/>
        </w:rPr>
        <w:t>8</w:t>
      </w:r>
      <w:r>
        <w:rPr>
          <w:rFonts w:hint="eastAsia" w:ascii="仿宋" w:hAnsi="仿宋" w:eastAsia="仿宋" w:cs="仿宋"/>
          <w:i/>
          <w:iCs/>
          <w:color w:val="0623BA"/>
          <w:sz w:val="24"/>
        </w:rPr>
        <w:t xml:space="preserve"> 光伏系统外露于空气的材料包括接线盒、接线头等。隐藏的材料包括光伏线缆、密封胶条、粘结胶水等。</w:t>
      </w:r>
    </w:p>
    <w:p w14:paraId="53A7A1B3">
      <w:pPr>
        <w:snapToGrid w:val="0"/>
        <w:spacing w:line="300" w:lineRule="auto"/>
        <w:jc w:val="left"/>
        <w:rPr>
          <w:sz w:val="24"/>
        </w:rPr>
      </w:pPr>
      <w:r>
        <w:rPr>
          <w:b/>
          <w:bCs/>
          <w:sz w:val="24"/>
        </w:rPr>
        <w:t>1</w:t>
      </w:r>
      <w:r>
        <w:rPr>
          <w:rFonts w:hint="eastAsia"/>
          <w:b/>
          <w:bCs/>
          <w:sz w:val="24"/>
          <w:lang w:val="en-US" w:eastAsia="zh-CN"/>
        </w:rPr>
        <w:t>2</w:t>
      </w:r>
      <w:r>
        <w:rPr>
          <w:b/>
          <w:bCs/>
          <w:sz w:val="24"/>
        </w:rPr>
        <w:t>.2.</w:t>
      </w:r>
      <w:r>
        <w:rPr>
          <w:rFonts w:hint="eastAsia"/>
          <w:b/>
          <w:bCs/>
          <w:sz w:val="24"/>
          <w:lang w:val="en-US" w:eastAsia="zh-CN"/>
        </w:rPr>
        <w:t>9</w:t>
      </w:r>
      <w:r>
        <w:rPr>
          <w:sz w:val="24"/>
        </w:rPr>
        <w:t>建筑内部的配电箱不应直接安装在低于B1级的装修材料上。</w:t>
      </w:r>
    </w:p>
    <w:p w14:paraId="60E9D9D6">
      <w:pPr>
        <w:snapToGrid w:val="0"/>
        <w:spacing w:before="0" w:beforeLines="0" w:after="0" w:afterLines="-2147483648" w:line="300" w:lineRule="auto"/>
        <w:jc w:val="left"/>
        <w:rPr>
          <w:rFonts w:hint="default" w:cs="Times New Roman"/>
          <w:b w:val="0"/>
          <w:bCs w:val="0"/>
          <w:i w:val="0"/>
          <w:iCs w:val="0"/>
          <w:sz w:val="24"/>
          <w:szCs w:val="24"/>
          <w:lang w:eastAsia="zh-CN"/>
        </w:rPr>
      </w:pPr>
      <w:bookmarkStart w:id="439" w:name="_Toc30091"/>
      <w:bookmarkStart w:id="440" w:name="_Toc19121"/>
      <w:bookmarkStart w:id="441" w:name="_Toc17866"/>
      <w:r>
        <w:rPr>
          <w:b/>
          <w:bCs/>
          <w:sz w:val="24"/>
        </w:rPr>
        <w:t>1</w:t>
      </w:r>
      <w:r>
        <w:rPr>
          <w:rFonts w:hint="eastAsia"/>
          <w:b/>
          <w:bCs/>
          <w:sz w:val="24"/>
          <w:lang w:val="en-US" w:eastAsia="zh-CN"/>
        </w:rPr>
        <w:t>2</w:t>
      </w:r>
      <w:r>
        <w:rPr>
          <w:b/>
          <w:bCs/>
          <w:sz w:val="24"/>
        </w:rPr>
        <w:t>.2.1</w:t>
      </w:r>
      <w:r>
        <w:rPr>
          <w:rFonts w:hint="eastAsia"/>
          <w:b/>
          <w:bCs/>
          <w:sz w:val="24"/>
          <w:lang w:val="en-US" w:eastAsia="zh-CN"/>
        </w:rPr>
        <w:t>0</w:t>
      </w:r>
      <w:r>
        <w:rPr>
          <w:rFonts w:hint="eastAsia"/>
          <w:sz w:val="24"/>
        </w:rPr>
        <w:t xml:space="preserve"> </w:t>
      </w:r>
      <w:r>
        <w:rPr>
          <w:rFonts w:ascii="Times New Roman" w:hAnsi="Times New Roman" w:eastAsia="宋体" w:cs="Times New Roman"/>
          <w:b w:val="0"/>
          <w:bCs w:val="0"/>
          <w:i w:val="0"/>
          <w:iCs w:val="0"/>
          <w:color w:val="auto"/>
          <w:sz w:val="24"/>
          <w:szCs w:val="24"/>
        </w:rPr>
        <w:t>建筑光储直柔系统的各部位线缆宜选用铜芯电缆，</w:t>
      </w:r>
      <w:r>
        <w:rPr>
          <w:rFonts w:ascii="Times New Roman" w:hAnsi="Times New Roman" w:eastAsia="宋体" w:cs="Times New Roman"/>
          <w:b w:val="0"/>
          <w:bCs w:val="0"/>
          <w:i w:val="0"/>
          <w:iCs w:val="0"/>
          <w:sz w:val="24"/>
          <w:szCs w:val="24"/>
        </w:rPr>
        <w:t>穿越建筑围护结构的直流电缆宜利用既有建筑的电缆通道，需要另辟通道的应做好防水、防火封堵</w:t>
      </w:r>
      <w:r>
        <w:rPr>
          <w:rFonts w:hint="default" w:cs="Times New Roman"/>
          <w:b w:val="0"/>
          <w:bCs w:val="0"/>
          <w:i w:val="0"/>
          <w:iCs w:val="0"/>
          <w:sz w:val="24"/>
          <w:szCs w:val="24"/>
          <w:lang w:eastAsia="zh-CN"/>
        </w:rPr>
        <w:t>。</w:t>
      </w:r>
    </w:p>
    <w:p w14:paraId="1914EA98">
      <w:pPr>
        <w:pStyle w:val="2"/>
        <w:rPr>
          <w:rFonts w:hint="default"/>
          <w:lang w:val="en-US" w:eastAsia="zh-CN"/>
        </w:rPr>
      </w:pPr>
    </w:p>
    <w:p w14:paraId="5D85EEEB">
      <w:pPr>
        <w:keepNext/>
        <w:keepLines/>
        <w:snapToGrid w:val="0"/>
        <w:spacing w:before="95" w:beforeLines="30" w:after="95" w:afterLines="30" w:line="300" w:lineRule="auto"/>
        <w:jc w:val="center"/>
        <w:outlineLvl w:val="2"/>
        <w:rPr>
          <w:b/>
          <w:sz w:val="24"/>
          <w:szCs w:val="32"/>
        </w:rPr>
      </w:pPr>
      <w:bookmarkStart w:id="442" w:name="_Toc10508"/>
      <w:bookmarkStart w:id="443" w:name="_Toc10836"/>
      <w:bookmarkStart w:id="444" w:name="_Toc7291"/>
      <w:bookmarkStart w:id="445" w:name="_Toc15277"/>
      <w:r>
        <w:rPr>
          <w:b/>
          <w:sz w:val="24"/>
          <w:szCs w:val="32"/>
        </w:rPr>
        <w:t>1</w:t>
      </w:r>
      <w:r>
        <w:rPr>
          <w:rFonts w:hint="default"/>
          <w:b/>
          <w:sz w:val="24"/>
          <w:szCs w:val="32"/>
          <w:lang w:val="en-US" w:eastAsia="zh-CN"/>
        </w:rPr>
        <w:t>2</w:t>
      </w:r>
      <w:r>
        <w:rPr>
          <w:b/>
          <w:sz w:val="24"/>
          <w:szCs w:val="32"/>
        </w:rPr>
        <w:t>.3消防设施</w:t>
      </w:r>
      <w:bookmarkEnd w:id="439"/>
      <w:bookmarkEnd w:id="440"/>
      <w:bookmarkEnd w:id="441"/>
      <w:bookmarkEnd w:id="442"/>
      <w:bookmarkEnd w:id="443"/>
      <w:bookmarkEnd w:id="444"/>
      <w:bookmarkEnd w:id="445"/>
    </w:p>
    <w:p w14:paraId="420EC330">
      <w:pPr>
        <w:snapToGrid w:val="0"/>
        <w:spacing w:line="300" w:lineRule="auto"/>
        <w:jc w:val="left"/>
        <w:rPr>
          <w:sz w:val="24"/>
        </w:rPr>
      </w:pPr>
      <w:r>
        <w:rPr>
          <w:b/>
          <w:bCs/>
          <w:sz w:val="24"/>
        </w:rPr>
        <w:t>1</w:t>
      </w:r>
      <w:r>
        <w:rPr>
          <w:rFonts w:hint="eastAsia"/>
          <w:b/>
          <w:bCs/>
          <w:sz w:val="24"/>
          <w:lang w:val="en-US" w:eastAsia="zh-CN"/>
        </w:rPr>
        <w:t>2</w:t>
      </w:r>
      <w:r>
        <w:rPr>
          <w:b/>
          <w:bCs/>
          <w:sz w:val="24"/>
        </w:rPr>
        <w:t>.3.1</w:t>
      </w:r>
      <w:r>
        <w:rPr>
          <w:rFonts w:hint="eastAsia"/>
          <w:sz w:val="24"/>
        </w:rPr>
        <w:t xml:space="preserve"> </w:t>
      </w:r>
      <w:r>
        <w:rPr>
          <w:sz w:val="24"/>
        </w:rPr>
        <w:t>建筑光伏系统消防给水和灭火设施的设计应根据建筑用途及其重要性、火灾特性和火灾危险性等综合因素按现行国家标准《建筑设计防火规范》GB50016的有关规定执行。</w:t>
      </w:r>
    </w:p>
    <w:p w14:paraId="5225C203">
      <w:pPr>
        <w:snapToGrid w:val="0"/>
        <w:spacing w:line="300" w:lineRule="auto"/>
        <w:jc w:val="left"/>
        <w:rPr>
          <w:sz w:val="24"/>
        </w:rPr>
      </w:pPr>
      <w:r>
        <w:rPr>
          <w:b/>
          <w:bCs/>
          <w:sz w:val="24"/>
        </w:rPr>
        <w:t>1</w:t>
      </w:r>
      <w:r>
        <w:rPr>
          <w:rFonts w:hint="eastAsia"/>
          <w:b/>
          <w:bCs/>
          <w:sz w:val="24"/>
          <w:lang w:val="en-US" w:eastAsia="zh-CN"/>
        </w:rPr>
        <w:t>2</w:t>
      </w:r>
      <w:r>
        <w:rPr>
          <w:b/>
          <w:bCs/>
          <w:sz w:val="24"/>
        </w:rPr>
        <w:t>.3.</w:t>
      </w:r>
      <w:r>
        <w:rPr>
          <w:rFonts w:hint="eastAsia"/>
          <w:b/>
          <w:bCs/>
          <w:sz w:val="24"/>
          <w:lang w:val="en-US" w:eastAsia="zh-CN"/>
        </w:rPr>
        <w:t>2</w:t>
      </w:r>
      <w:r>
        <w:rPr>
          <w:rFonts w:hint="eastAsia"/>
          <w:b/>
          <w:bCs/>
          <w:sz w:val="24"/>
        </w:rPr>
        <w:t xml:space="preserve"> </w:t>
      </w:r>
      <w:r>
        <w:rPr>
          <w:rFonts w:hint="default"/>
          <w:b w:val="0"/>
          <w:bCs w:val="0"/>
          <w:sz w:val="24"/>
        </w:rPr>
        <w:t>人员密集场所和公共建筑</w:t>
      </w:r>
      <w:r>
        <w:rPr>
          <w:sz w:val="24"/>
        </w:rPr>
        <w:t>建筑光伏系统应设置电气火灾监控系统，应符合现行国家标准《电气火灾监控系统》GB14287的有关规定。</w:t>
      </w:r>
    </w:p>
    <w:p w14:paraId="4E144A99">
      <w:pPr>
        <w:snapToGrid w:val="0"/>
        <w:spacing w:line="300" w:lineRule="auto"/>
        <w:jc w:val="left"/>
        <w:rPr>
          <w:sz w:val="24"/>
        </w:rPr>
      </w:pPr>
      <w:r>
        <w:rPr>
          <w:b/>
          <w:bCs/>
          <w:sz w:val="24"/>
        </w:rPr>
        <w:t>1</w:t>
      </w:r>
      <w:r>
        <w:rPr>
          <w:rFonts w:hint="eastAsia"/>
          <w:b/>
          <w:bCs/>
          <w:sz w:val="24"/>
          <w:lang w:val="en-US" w:eastAsia="zh-CN"/>
        </w:rPr>
        <w:t>2</w:t>
      </w:r>
      <w:r>
        <w:rPr>
          <w:b/>
          <w:bCs/>
          <w:sz w:val="24"/>
        </w:rPr>
        <w:t>.3.</w:t>
      </w:r>
      <w:r>
        <w:rPr>
          <w:rFonts w:hint="eastAsia"/>
          <w:b/>
          <w:bCs/>
          <w:sz w:val="24"/>
          <w:lang w:val="en-US" w:eastAsia="zh-CN"/>
        </w:rPr>
        <w:t>3</w:t>
      </w:r>
      <w:r>
        <w:rPr>
          <w:sz w:val="24"/>
        </w:rPr>
        <w:t>发生火灾时可自动或手动切断</w:t>
      </w:r>
      <w:r>
        <w:rPr>
          <w:rFonts w:hint="eastAsia"/>
          <w:sz w:val="24"/>
          <w:lang w:val="en-US" w:eastAsia="zh-CN"/>
        </w:rPr>
        <w:t>控制</w:t>
      </w:r>
      <w:r>
        <w:rPr>
          <w:sz w:val="24"/>
        </w:rPr>
        <w:t>系统电源。</w:t>
      </w:r>
    </w:p>
    <w:p w14:paraId="2BD67D44">
      <w:pPr>
        <w:snapToGrid w:val="0"/>
        <w:spacing w:line="300" w:lineRule="auto"/>
        <w:jc w:val="left"/>
        <w:rPr>
          <w:sz w:val="24"/>
        </w:rPr>
      </w:pPr>
      <w:r>
        <w:rPr>
          <w:b/>
          <w:bCs/>
          <w:sz w:val="24"/>
        </w:rPr>
        <w:t>1</w:t>
      </w:r>
      <w:r>
        <w:rPr>
          <w:rFonts w:hint="eastAsia"/>
          <w:b/>
          <w:bCs/>
          <w:sz w:val="24"/>
          <w:lang w:val="en-US" w:eastAsia="zh-CN"/>
        </w:rPr>
        <w:t>2</w:t>
      </w:r>
      <w:r>
        <w:rPr>
          <w:b/>
          <w:bCs/>
          <w:sz w:val="24"/>
        </w:rPr>
        <w:t>.3.</w:t>
      </w:r>
      <w:r>
        <w:rPr>
          <w:rFonts w:hint="eastAsia"/>
          <w:b/>
          <w:bCs/>
          <w:sz w:val="24"/>
          <w:lang w:val="en-US" w:eastAsia="zh-CN"/>
        </w:rPr>
        <w:t>4</w:t>
      </w:r>
      <w:r>
        <w:rPr>
          <w:rFonts w:hint="eastAsia"/>
          <w:sz w:val="24"/>
        </w:rPr>
        <w:t xml:space="preserve"> </w:t>
      </w:r>
      <w:r>
        <w:rPr>
          <w:sz w:val="24"/>
        </w:rPr>
        <w:t>手提灭火器的设置应符合现行国家标准《建筑灭火器配置设计规范》GB 50140 的有关规定。</w:t>
      </w:r>
    </w:p>
    <w:p w14:paraId="1977F1BB">
      <w:pPr>
        <w:snapToGrid w:val="0"/>
        <w:spacing w:line="300" w:lineRule="auto"/>
        <w:jc w:val="left"/>
        <w:rPr>
          <w:rFonts w:hint="eastAsia"/>
          <w:sz w:val="24"/>
        </w:rPr>
      </w:pPr>
      <w:r>
        <w:rPr>
          <w:rFonts w:hint="eastAsia"/>
          <w:b/>
          <w:bCs/>
          <w:sz w:val="24"/>
        </w:rPr>
        <w:t>1</w:t>
      </w:r>
      <w:r>
        <w:rPr>
          <w:rFonts w:hint="eastAsia"/>
          <w:b/>
          <w:bCs/>
          <w:sz w:val="24"/>
          <w:lang w:val="en-US" w:eastAsia="zh-CN"/>
        </w:rPr>
        <w:t>2</w:t>
      </w:r>
      <w:r>
        <w:rPr>
          <w:rFonts w:hint="eastAsia"/>
          <w:b/>
          <w:bCs/>
          <w:sz w:val="24"/>
        </w:rPr>
        <w:t>.3.</w:t>
      </w:r>
      <w:r>
        <w:rPr>
          <w:rFonts w:hint="eastAsia"/>
          <w:b/>
          <w:bCs/>
          <w:sz w:val="24"/>
          <w:lang w:val="en-US" w:eastAsia="zh-CN"/>
        </w:rPr>
        <w:t>5</w:t>
      </w:r>
      <w:r>
        <w:rPr>
          <w:rFonts w:hint="eastAsia"/>
          <w:sz w:val="24"/>
        </w:rPr>
        <w:t xml:space="preserve"> 光伏系统主要室内电气设备为逆变控制器，因此消防给水系统的设置原则应按《火力发电厂与变电站设计防火规范》GB50229的相关规定执行。</w:t>
      </w:r>
    </w:p>
    <w:p w14:paraId="46952444">
      <w:pPr>
        <w:pStyle w:val="2"/>
        <w:rPr>
          <w:rFonts w:hint="default" w:ascii="宋体" w:hAnsi="宋体" w:eastAsia="宋体" w:cs="宋体"/>
          <w:sz w:val="24"/>
          <w:szCs w:val="24"/>
          <w:lang w:val="en-US" w:eastAsia="zh-CN"/>
        </w:rPr>
      </w:pPr>
    </w:p>
    <w:p w14:paraId="6E8F1F9E">
      <w:pPr>
        <w:widowControl/>
        <w:spacing w:line="300" w:lineRule="auto"/>
        <w:jc w:val="left"/>
        <w:rPr>
          <w:sz w:val="24"/>
        </w:rPr>
      </w:pPr>
      <w:r>
        <w:rPr>
          <w:sz w:val="24"/>
        </w:rPr>
        <w:br w:type="page"/>
      </w:r>
    </w:p>
    <w:p w14:paraId="44FE3AD8">
      <w:pPr>
        <w:pStyle w:val="5"/>
        <w:spacing w:before="95" w:beforeLines="30" w:after="95" w:afterLines="30" w:line="300" w:lineRule="auto"/>
        <w:jc w:val="center"/>
        <w:rPr>
          <w:rFonts w:ascii="Times New Roman" w:hAnsi="Times New Roman" w:eastAsia="黑体" w:cs="Times New Roman"/>
          <w:sz w:val="28"/>
          <w:szCs w:val="28"/>
        </w:rPr>
      </w:pPr>
      <w:bookmarkStart w:id="446" w:name="_Toc16504"/>
      <w:bookmarkStart w:id="447" w:name="_Toc13976"/>
      <w:bookmarkStart w:id="448" w:name="_Toc18576"/>
      <w:bookmarkStart w:id="449" w:name="_Toc31308"/>
      <w:bookmarkStart w:id="450" w:name="_Toc15027"/>
      <w:bookmarkStart w:id="451" w:name="_Toc31997"/>
      <w:bookmarkStart w:id="452" w:name="_Toc7318"/>
      <w:bookmarkStart w:id="453" w:name="_Toc9196"/>
      <w:r>
        <w:rPr>
          <w:rFonts w:ascii="Times New Roman" w:hAnsi="Times New Roman" w:eastAsia="黑体" w:cs="Times New Roman"/>
          <w:sz w:val="28"/>
          <w:szCs w:val="28"/>
        </w:rPr>
        <w:t>1</w:t>
      </w:r>
      <w:r>
        <w:rPr>
          <w:rFonts w:hint="default" w:ascii="Times New Roman" w:hAnsi="Times New Roman" w:eastAsia="黑体" w:cs="Times New Roman"/>
          <w:sz w:val="28"/>
          <w:szCs w:val="28"/>
          <w:lang w:val="en-US" w:eastAsia="zh-CN"/>
        </w:rPr>
        <w:t>3</w:t>
      </w:r>
      <w:r>
        <w:rPr>
          <w:rFonts w:ascii="Times New Roman" w:hAnsi="Times New Roman" w:eastAsia="黑体" w:cs="Times New Roman"/>
          <w:sz w:val="28"/>
          <w:szCs w:val="28"/>
        </w:rPr>
        <w:t xml:space="preserve"> 验收</w:t>
      </w:r>
      <w:bookmarkEnd w:id="446"/>
      <w:bookmarkEnd w:id="447"/>
      <w:bookmarkEnd w:id="448"/>
      <w:bookmarkEnd w:id="449"/>
      <w:bookmarkEnd w:id="450"/>
      <w:bookmarkEnd w:id="451"/>
      <w:bookmarkEnd w:id="452"/>
      <w:bookmarkEnd w:id="453"/>
    </w:p>
    <w:p w14:paraId="52B3B7BA">
      <w:pPr>
        <w:keepNext/>
        <w:keepLines/>
        <w:spacing w:before="95" w:beforeLines="30" w:after="95" w:afterLines="30" w:line="300" w:lineRule="auto"/>
        <w:ind w:firstLine="3614" w:firstLineChars="1500"/>
        <w:outlineLvl w:val="2"/>
        <w:rPr>
          <w:rFonts w:hint="default" w:ascii="Times New Roman" w:hAnsi="Times New Roman" w:eastAsia="宋体" w:cs="Times New Roman"/>
          <w:b/>
          <w:sz w:val="24"/>
          <w:szCs w:val="32"/>
          <w:lang w:val="en-US" w:eastAsia="zh-CN"/>
        </w:rPr>
      </w:pPr>
      <w:bookmarkStart w:id="454" w:name="_Toc3682"/>
      <w:bookmarkStart w:id="455" w:name="_Toc31612"/>
      <w:bookmarkStart w:id="456" w:name="_Toc28265"/>
      <w:bookmarkStart w:id="457" w:name="_Toc30331"/>
      <w:bookmarkStart w:id="458" w:name="_Toc18143"/>
      <w:bookmarkStart w:id="459" w:name="_Toc23462"/>
      <w:r>
        <w:rPr>
          <w:rFonts w:hint="default" w:ascii="Times New Roman" w:hAnsi="Times New Roman" w:eastAsia="宋体" w:cs="Times New Roman"/>
          <w:b/>
          <w:sz w:val="24"/>
          <w:szCs w:val="32"/>
          <w:lang w:val="en-US" w:eastAsia="zh-CN"/>
        </w:rPr>
        <w:t>1</w:t>
      </w:r>
      <w:r>
        <w:rPr>
          <w:rFonts w:hint="default" w:cs="Times New Roman"/>
          <w:b/>
          <w:sz w:val="24"/>
          <w:szCs w:val="32"/>
          <w:lang w:val="en-US" w:eastAsia="zh-CN"/>
        </w:rPr>
        <w:t>3</w:t>
      </w:r>
      <w:r>
        <w:rPr>
          <w:rFonts w:hint="default" w:ascii="Times New Roman" w:hAnsi="Times New Roman" w:eastAsia="宋体" w:cs="Times New Roman"/>
          <w:b/>
          <w:sz w:val="24"/>
          <w:szCs w:val="32"/>
          <w:lang w:val="en-US" w:eastAsia="zh-CN"/>
        </w:rPr>
        <w:t>.1 一般规定</w:t>
      </w:r>
      <w:bookmarkEnd w:id="454"/>
      <w:bookmarkEnd w:id="455"/>
      <w:bookmarkEnd w:id="456"/>
      <w:bookmarkEnd w:id="457"/>
      <w:bookmarkEnd w:id="458"/>
      <w:bookmarkEnd w:id="459"/>
    </w:p>
    <w:p w14:paraId="1B52DC94">
      <w:pPr>
        <w:snapToGrid w:val="0"/>
        <w:spacing w:line="300" w:lineRule="auto"/>
        <w:jc w:val="left"/>
        <w:rPr>
          <w:rFonts w:hint="eastAsia"/>
          <w:sz w:val="24"/>
          <w:lang w:eastAsia="zh-CN"/>
        </w:rPr>
      </w:pPr>
      <w:r>
        <w:rPr>
          <w:b/>
          <w:bCs/>
          <w:sz w:val="24"/>
        </w:rPr>
        <w:t>1</w:t>
      </w:r>
      <w:r>
        <w:rPr>
          <w:rFonts w:hint="eastAsia"/>
          <w:b/>
          <w:bCs/>
          <w:sz w:val="24"/>
          <w:lang w:eastAsia="zh-CN"/>
        </w:rPr>
        <w:t>3</w:t>
      </w:r>
      <w:r>
        <w:rPr>
          <w:b/>
          <w:bCs/>
          <w:sz w:val="24"/>
        </w:rPr>
        <w:t>.</w:t>
      </w:r>
      <w:r>
        <w:rPr>
          <w:rFonts w:hint="eastAsia"/>
          <w:b/>
          <w:bCs/>
          <w:sz w:val="24"/>
          <w:lang w:val="en-US" w:eastAsia="zh-CN"/>
        </w:rPr>
        <w:t xml:space="preserve">1.1 </w:t>
      </w:r>
      <w:r>
        <w:rPr>
          <w:sz w:val="24"/>
          <w:highlight w:val="none"/>
        </w:rPr>
        <w:t>大、中型光伏发电系统应按本标准第1</w:t>
      </w:r>
      <w:r>
        <w:rPr>
          <w:rFonts w:hint="eastAsia"/>
          <w:sz w:val="24"/>
          <w:highlight w:val="none"/>
          <w:lang w:val="en-US" w:eastAsia="zh-CN"/>
        </w:rPr>
        <w:t>3</w:t>
      </w:r>
      <w:r>
        <w:rPr>
          <w:sz w:val="24"/>
          <w:highlight w:val="none"/>
        </w:rPr>
        <w:t>.</w:t>
      </w:r>
      <w:r>
        <w:rPr>
          <w:rFonts w:hint="eastAsia"/>
          <w:sz w:val="24"/>
          <w:highlight w:val="none"/>
          <w:lang w:val="en-US" w:eastAsia="zh-CN"/>
        </w:rPr>
        <w:t>2.3</w:t>
      </w:r>
      <w:r>
        <w:rPr>
          <w:sz w:val="24"/>
          <w:highlight w:val="none"/>
        </w:rPr>
        <w:t>条</w:t>
      </w:r>
      <w:r>
        <w:rPr>
          <w:rFonts w:hint="eastAsia"/>
          <w:sz w:val="24"/>
          <w:highlight w:val="none"/>
          <w:lang w:val="en-US" w:eastAsia="zh-CN"/>
        </w:rPr>
        <w:t>和</w:t>
      </w:r>
      <w:r>
        <w:rPr>
          <w:sz w:val="24"/>
          <w:highlight w:val="none"/>
        </w:rPr>
        <w:t>第1</w:t>
      </w:r>
      <w:r>
        <w:rPr>
          <w:rFonts w:hint="eastAsia"/>
          <w:sz w:val="24"/>
          <w:highlight w:val="none"/>
          <w:lang w:eastAsia="zh-CN"/>
        </w:rPr>
        <w:t>3</w:t>
      </w:r>
      <w:r>
        <w:rPr>
          <w:sz w:val="24"/>
          <w:highlight w:val="none"/>
        </w:rPr>
        <w:t>.</w:t>
      </w:r>
      <w:r>
        <w:rPr>
          <w:rFonts w:hint="eastAsia"/>
          <w:sz w:val="24"/>
          <w:highlight w:val="none"/>
          <w:lang w:eastAsia="zh-CN"/>
        </w:rPr>
        <w:t>2</w:t>
      </w:r>
      <w:r>
        <w:rPr>
          <w:sz w:val="24"/>
          <w:highlight w:val="none"/>
        </w:rPr>
        <w:t>.11条的规定验收</w:t>
      </w:r>
      <w:r>
        <w:rPr>
          <w:rFonts w:hint="eastAsia"/>
          <w:sz w:val="24"/>
          <w:highlight w:val="none"/>
          <w:lang w:eastAsia="zh-CN"/>
        </w:rPr>
        <w:t>。</w:t>
      </w:r>
      <w:r>
        <w:rPr>
          <w:sz w:val="24"/>
        </w:rPr>
        <w:t>光伏发电系统的光伏组件或方阵检查测试表应按本标准附录</w:t>
      </w:r>
      <w:r>
        <w:rPr>
          <w:rFonts w:hint="eastAsia"/>
          <w:sz w:val="24"/>
          <w:lang w:val="en-US" w:eastAsia="zh-CN"/>
        </w:rPr>
        <w:t>B</w:t>
      </w:r>
      <w:r>
        <w:rPr>
          <w:sz w:val="24"/>
        </w:rPr>
        <w:t>的格式填写</w:t>
      </w:r>
      <w:r>
        <w:rPr>
          <w:rFonts w:hint="eastAsia"/>
          <w:sz w:val="24"/>
          <w:lang w:eastAsia="zh-CN"/>
        </w:rPr>
        <w:t>。</w:t>
      </w:r>
    </w:p>
    <w:p w14:paraId="2E92D5A6">
      <w:pPr>
        <w:snapToGrid w:val="0"/>
        <w:spacing w:line="300" w:lineRule="auto"/>
        <w:jc w:val="left"/>
        <w:rPr>
          <w:sz w:val="24"/>
        </w:rPr>
      </w:pPr>
      <w:r>
        <w:rPr>
          <w:rFonts w:hint="eastAsia"/>
          <w:b/>
          <w:bCs/>
          <w:sz w:val="24"/>
          <w:lang w:val="en-US" w:eastAsia="zh-CN"/>
        </w:rPr>
        <w:t xml:space="preserve">13.1.2 </w:t>
      </w:r>
      <w:r>
        <w:rPr>
          <w:sz w:val="24"/>
        </w:rPr>
        <w:t>小型光伏发电系统可根据项目的实际情况</w:t>
      </w:r>
      <w:r>
        <w:rPr>
          <w:rFonts w:hint="eastAsia"/>
          <w:sz w:val="24"/>
          <w:lang w:eastAsia="zh-CN"/>
        </w:rPr>
        <w:t>，</w:t>
      </w:r>
      <w:r>
        <w:rPr>
          <w:rFonts w:hint="eastAsia"/>
          <w:sz w:val="24"/>
          <w:lang w:val="en-US" w:eastAsia="zh-CN"/>
        </w:rPr>
        <w:t>对其结构及电气</w:t>
      </w:r>
      <w:r>
        <w:rPr>
          <w:sz w:val="24"/>
        </w:rPr>
        <w:t>按有关规定进行验收。</w:t>
      </w:r>
    </w:p>
    <w:p w14:paraId="717D73ED">
      <w:pPr>
        <w:snapToGrid w:val="0"/>
        <w:spacing w:line="300" w:lineRule="auto"/>
        <w:ind w:firstLine="0" w:firstLineChars="0"/>
        <w:jc w:val="left"/>
        <w:rPr>
          <w:rFonts w:ascii="Times New Roman" w:hAnsi="Times New Roman" w:eastAsia="宋体" w:cs="Times New Roman"/>
          <w:b w:val="0"/>
          <w:bCs w:val="0"/>
          <w:i w:val="0"/>
          <w:iCs w:val="0"/>
          <w:sz w:val="24"/>
          <w:szCs w:val="24"/>
        </w:rPr>
      </w:pPr>
      <w:r>
        <w:rPr>
          <w:rFonts w:hint="default"/>
          <w:b/>
          <w:bCs/>
          <w:sz w:val="24"/>
          <w:lang w:val="en-US" w:eastAsia="zh-CN"/>
        </w:rPr>
        <w:t xml:space="preserve">13.1.3 </w:t>
      </w:r>
      <w:r>
        <w:rPr>
          <w:rFonts w:ascii="Times New Roman" w:hAnsi="Times New Roman" w:eastAsia="宋体" w:cs="Times New Roman"/>
          <w:b w:val="0"/>
          <w:bCs w:val="0"/>
          <w:i w:val="0"/>
          <w:iCs w:val="0"/>
          <w:color w:val="000000"/>
          <w:sz w:val="24"/>
          <w:szCs w:val="24"/>
        </w:rPr>
        <w:t>建筑光伏工程为建筑节能分部工程的一个子分部工程，其分项工程、检验批划分应符合下列</w:t>
      </w:r>
      <w:r>
        <w:rPr>
          <w:rFonts w:hint="eastAsia" w:cs="Times New Roman"/>
          <w:b w:val="0"/>
          <w:bCs w:val="0"/>
          <w:i w:val="0"/>
          <w:iCs w:val="0"/>
          <w:color w:val="000000"/>
          <w:sz w:val="24"/>
          <w:szCs w:val="24"/>
          <w:lang w:eastAsia="zh-CN"/>
        </w:rPr>
        <w:t>要求</w:t>
      </w:r>
      <w:r>
        <w:rPr>
          <w:rFonts w:ascii="Times New Roman" w:hAnsi="Times New Roman" w:eastAsia="宋体" w:cs="Times New Roman"/>
          <w:b w:val="0"/>
          <w:bCs w:val="0"/>
          <w:i w:val="0"/>
          <w:iCs w:val="0"/>
          <w:color w:val="000000"/>
          <w:sz w:val="24"/>
          <w:szCs w:val="24"/>
        </w:rPr>
        <w:t>：</w:t>
      </w:r>
    </w:p>
    <w:p w14:paraId="1E291977">
      <w:pPr>
        <w:snapToGrid w:val="0"/>
        <w:spacing w:line="300" w:lineRule="auto"/>
        <w:ind w:firstLine="482" w:firstLineChars="200"/>
        <w:jc w:val="left"/>
        <w:rPr>
          <w:rFonts w:ascii="Times New Roman" w:hAnsi="Times New Roman" w:eastAsia="宋体" w:cs="Times New Roman"/>
          <w:b w:val="0"/>
          <w:bCs w:val="0"/>
          <w:i w:val="0"/>
          <w:iCs w:val="0"/>
          <w:sz w:val="24"/>
          <w:szCs w:val="24"/>
        </w:rPr>
      </w:pPr>
      <w:r>
        <w:rPr>
          <w:rFonts w:hint="default" w:cs="Times New Roman"/>
          <w:b/>
          <w:bCs/>
          <w:i w:val="0"/>
          <w:iCs w:val="0"/>
          <w:sz w:val="24"/>
          <w:szCs w:val="24"/>
          <w:lang w:eastAsia="zh-CN"/>
        </w:rPr>
        <w:t>1</w:t>
      </w:r>
      <w:r>
        <w:rPr>
          <w:rFonts w:ascii="Times New Roman" w:hAnsi="Times New Roman" w:eastAsia="宋体" w:cs="Times New Roman"/>
          <w:b/>
          <w:bCs/>
          <w:i w:val="0"/>
          <w:iCs w:val="0"/>
          <w:color w:val="000000"/>
          <w:sz w:val="24"/>
          <w:szCs w:val="24"/>
        </w:rPr>
        <w:t xml:space="preserve"> </w:t>
      </w:r>
      <w:r>
        <w:rPr>
          <w:rFonts w:ascii="Times New Roman" w:hAnsi="Times New Roman" w:eastAsia="宋体" w:cs="Times New Roman"/>
          <w:b w:val="0"/>
          <w:bCs w:val="0"/>
          <w:i w:val="0"/>
          <w:iCs w:val="0"/>
          <w:color w:val="000000"/>
          <w:sz w:val="24"/>
          <w:szCs w:val="24"/>
        </w:rPr>
        <w:t>建筑光伏子分部工程分为基座、支架、光伏组件、电气系统四个分项工程；</w:t>
      </w:r>
    </w:p>
    <w:p w14:paraId="50C3FCC6">
      <w:pPr>
        <w:snapToGrid w:val="0"/>
        <w:spacing w:line="300" w:lineRule="auto"/>
        <w:ind w:firstLine="482" w:firstLineChars="200"/>
        <w:jc w:val="left"/>
        <w:rPr>
          <w:rFonts w:ascii="Times New Roman" w:hAnsi="Times New Roman" w:eastAsia="宋体" w:cs="Times New Roman"/>
          <w:b w:val="0"/>
          <w:bCs w:val="0"/>
          <w:i w:val="0"/>
          <w:iCs w:val="0"/>
          <w:sz w:val="24"/>
          <w:szCs w:val="24"/>
        </w:rPr>
      </w:pPr>
      <w:r>
        <w:rPr>
          <w:rFonts w:hint="eastAsia"/>
          <w:b/>
          <w:bCs/>
          <w:sz w:val="24"/>
          <w:lang w:val="en-US" w:eastAsia="zh-CN"/>
        </w:rPr>
        <w:t xml:space="preserve">2 </w:t>
      </w:r>
      <w:r>
        <w:rPr>
          <w:rFonts w:ascii="Times New Roman" w:hAnsi="Times New Roman" w:eastAsia="宋体" w:cs="Times New Roman"/>
          <w:b w:val="0"/>
          <w:bCs w:val="0"/>
          <w:i w:val="0"/>
          <w:iCs w:val="0"/>
          <w:color w:val="000000"/>
          <w:sz w:val="24"/>
          <w:szCs w:val="24"/>
        </w:rPr>
        <w:t>建筑光伏子分部工程可按照分项工程进行验收，当分项工程较大时，可以将分项工程分为若干个检验批进行验收；</w:t>
      </w:r>
    </w:p>
    <w:p w14:paraId="473CCFB7">
      <w:pPr>
        <w:snapToGrid w:val="0"/>
        <w:spacing w:line="300" w:lineRule="auto"/>
        <w:ind w:firstLine="482" w:firstLineChars="200"/>
        <w:jc w:val="left"/>
        <w:rPr>
          <w:rFonts w:ascii="Times New Roman" w:hAnsi="Times New Roman" w:eastAsia="宋体" w:cs="Times New Roman"/>
          <w:b w:val="0"/>
          <w:bCs w:val="0"/>
          <w:i w:val="0"/>
          <w:iCs w:val="0"/>
          <w:sz w:val="24"/>
          <w:szCs w:val="24"/>
        </w:rPr>
      </w:pPr>
      <w:r>
        <w:rPr>
          <w:rFonts w:hint="eastAsia"/>
          <w:b/>
          <w:bCs/>
          <w:sz w:val="24"/>
          <w:lang w:val="en-US" w:eastAsia="zh-CN"/>
        </w:rPr>
        <w:t xml:space="preserve">3 </w:t>
      </w:r>
      <w:r>
        <w:rPr>
          <w:rFonts w:ascii="Times New Roman" w:hAnsi="Times New Roman" w:eastAsia="宋体" w:cs="Times New Roman"/>
          <w:b w:val="0"/>
          <w:bCs w:val="0"/>
          <w:i w:val="0"/>
          <w:iCs w:val="0"/>
          <w:color w:val="000000"/>
          <w:sz w:val="24"/>
          <w:szCs w:val="24"/>
        </w:rPr>
        <w:t>当建筑光伏子分部工程验收无法按照上述要求划分分项工程时，可由建设、 监理、施工等各方协商进行划分，但验收项目、验收内容、验收标准和验收记录均应符合本</w:t>
      </w:r>
      <w:r>
        <w:rPr>
          <w:rFonts w:hint="eastAsia" w:cs="Times New Roman"/>
          <w:b w:val="0"/>
          <w:bCs w:val="0"/>
          <w:i w:val="0"/>
          <w:iCs w:val="0"/>
          <w:sz w:val="24"/>
          <w:szCs w:val="24"/>
          <w:lang w:val="en-US" w:eastAsia="zh-CN"/>
        </w:rPr>
        <w:t>标准</w:t>
      </w:r>
      <w:r>
        <w:rPr>
          <w:rFonts w:ascii="Times New Roman" w:hAnsi="Times New Roman" w:eastAsia="宋体" w:cs="Times New Roman"/>
          <w:b w:val="0"/>
          <w:bCs w:val="0"/>
          <w:i w:val="0"/>
          <w:iCs w:val="0"/>
          <w:color w:val="000000"/>
          <w:sz w:val="24"/>
          <w:szCs w:val="24"/>
        </w:rPr>
        <w:t>的规定。</w:t>
      </w:r>
    </w:p>
    <w:p w14:paraId="1B09D29F">
      <w:pPr>
        <w:snapToGrid w:val="0"/>
        <w:spacing w:line="300" w:lineRule="auto"/>
        <w:ind w:firstLine="0" w:firstLineChars="0"/>
        <w:jc w:val="left"/>
        <w:rPr>
          <w:rFonts w:ascii="Times New Roman" w:hAnsi="Times New Roman" w:eastAsia="宋体" w:cs="Times New Roman"/>
          <w:b w:val="0"/>
          <w:bCs w:val="0"/>
          <w:i w:val="0"/>
          <w:iCs w:val="0"/>
          <w:sz w:val="24"/>
          <w:szCs w:val="24"/>
        </w:rPr>
      </w:pPr>
      <w:r>
        <w:rPr>
          <w:rFonts w:hint="eastAsia"/>
          <w:b/>
          <w:bCs/>
          <w:sz w:val="24"/>
          <w:lang w:val="en-US" w:eastAsia="zh-CN"/>
        </w:rPr>
        <w:t xml:space="preserve">13.1.4 </w:t>
      </w:r>
      <w:r>
        <w:rPr>
          <w:rFonts w:ascii="Times New Roman" w:hAnsi="Times New Roman" w:eastAsia="宋体" w:cs="Times New Roman"/>
          <w:b w:val="0"/>
          <w:bCs w:val="0"/>
          <w:i w:val="0"/>
          <w:iCs w:val="0"/>
          <w:color w:val="000000"/>
          <w:sz w:val="24"/>
          <w:szCs w:val="24"/>
        </w:rPr>
        <w:t>建筑光伏工程施工质量验收的各方参加人员资格、程序和组织应符合下列</w:t>
      </w:r>
      <w:r>
        <w:rPr>
          <w:rFonts w:hint="eastAsia" w:cs="Times New Roman"/>
          <w:b w:val="0"/>
          <w:bCs w:val="0"/>
          <w:i w:val="0"/>
          <w:iCs w:val="0"/>
          <w:color w:val="000000"/>
          <w:sz w:val="24"/>
          <w:szCs w:val="24"/>
          <w:lang w:eastAsia="zh-CN"/>
        </w:rPr>
        <w:t>要求</w:t>
      </w:r>
      <w:r>
        <w:rPr>
          <w:rFonts w:ascii="Times New Roman" w:hAnsi="Times New Roman" w:eastAsia="宋体" w:cs="Times New Roman"/>
          <w:b w:val="0"/>
          <w:bCs w:val="0"/>
          <w:i w:val="0"/>
          <w:iCs w:val="0"/>
          <w:color w:val="000000"/>
          <w:sz w:val="24"/>
          <w:szCs w:val="24"/>
        </w:rPr>
        <w:t>：</w:t>
      </w:r>
    </w:p>
    <w:p w14:paraId="086267F6">
      <w:pPr>
        <w:snapToGrid w:val="0"/>
        <w:spacing w:line="300" w:lineRule="auto"/>
        <w:ind w:firstLine="482" w:firstLineChars="200"/>
        <w:jc w:val="left"/>
        <w:rPr>
          <w:rFonts w:ascii="Times New Roman" w:hAnsi="Times New Roman" w:eastAsia="宋体" w:cs="Times New Roman"/>
          <w:b w:val="0"/>
          <w:bCs w:val="0"/>
          <w:i w:val="0"/>
          <w:iCs w:val="0"/>
          <w:sz w:val="24"/>
          <w:szCs w:val="24"/>
        </w:rPr>
      </w:pPr>
      <w:r>
        <w:rPr>
          <w:rFonts w:hint="eastAsia" w:cs="Times New Roman"/>
          <w:b/>
          <w:bCs/>
          <w:i w:val="0"/>
          <w:iCs w:val="0"/>
          <w:sz w:val="24"/>
          <w:szCs w:val="24"/>
          <w:lang w:val="en-US" w:eastAsia="zh-CN"/>
        </w:rPr>
        <w:t xml:space="preserve">1 </w:t>
      </w:r>
      <w:r>
        <w:rPr>
          <w:rFonts w:ascii="Times New Roman" w:hAnsi="Times New Roman" w:eastAsia="宋体" w:cs="Times New Roman"/>
          <w:b w:val="0"/>
          <w:bCs w:val="0"/>
          <w:i w:val="0"/>
          <w:iCs w:val="0"/>
          <w:color w:val="000000"/>
          <w:sz w:val="24"/>
          <w:szCs w:val="24"/>
        </w:rPr>
        <w:t>检验批验收和隐蔽工程验收应由专业监理工程师（建设单位项目技术负责人）组织并主持，施工单位相关专业质量检查员、施工员参加验收；</w:t>
      </w:r>
    </w:p>
    <w:p w14:paraId="19990E29">
      <w:pPr>
        <w:snapToGrid w:val="0"/>
        <w:spacing w:line="300" w:lineRule="auto"/>
        <w:ind w:firstLine="482" w:firstLineChars="200"/>
        <w:jc w:val="left"/>
        <w:rPr>
          <w:rFonts w:ascii="Times New Roman" w:hAnsi="Times New Roman" w:eastAsia="宋体" w:cs="Times New Roman"/>
          <w:b w:val="0"/>
          <w:bCs w:val="0"/>
          <w:i w:val="0"/>
          <w:iCs w:val="0"/>
          <w:sz w:val="24"/>
          <w:szCs w:val="24"/>
        </w:rPr>
      </w:pPr>
      <w:r>
        <w:rPr>
          <w:rFonts w:hint="eastAsia" w:cs="Times New Roman"/>
          <w:b/>
          <w:bCs/>
          <w:i w:val="0"/>
          <w:iCs w:val="0"/>
          <w:sz w:val="24"/>
          <w:szCs w:val="24"/>
          <w:lang w:eastAsia="zh-CN"/>
        </w:rPr>
        <w:t>2</w:t>
      </w:r>
      <w:r>
        <w:rPr>
          <w:rFonts w:hint="eastAsia" w:cs="Times New Roman"/>
          <w:b/>
          <w:bCs/>
          <w:i w:val="0"/>
          <w:iCs w:val="0"/>
          <w:sz w:val="24"/>
          <w:szCs w:val="24"/>
          <w:lang w:val="en-US" w:eastAsia="zh-CN"/>
        </w:rPr>
        <w:t xml:space="preserve"> </w:t>
      </w:r>
      <w:r>
        <w:rPr>
          <w:rFonts w:ascii="Times New Roman" w:hAnsi="Times New Roman" w:eastAsia="宋体" w:cs="Times New Roman"/>
          <w:b w:val="0"/>
          <w:bCs w:val="0"/>
          <w:i w:val="0"/>
          <w:iCs w:val="0"/>
          <w:color w:val="000000"/>
          <w:sz w:val="24"/>
          <w:szCs w:val="24"/>
        </w:rPr>
        <w:t>分项工程验收应由专业监理工程师（建设单位项目技术负责人）组织并主持，施工单位项目技术负责人和相关专业的质量检查员、施工员参加验收</w:t>
      </w:r>
      <w:r>
        <w:rPr>
          <w:rFonts w:hint="eastAsia" w:cs="Times New Roman"/>
          <w:b w:val="0"/>
          <w:bCs w:val="0"/>
          <w:i w:val="0"/>
          <w:iCs w:val="0"/>
          <w:color w:val="000000"/>
          <w:sz w:val="24"/>
          <w:szCs w:val="24"/>
          <w:lang w:eastAsia="zh-CN"/>
        </w:rPr>
        <w:t>，</w:t>
      </w:r>
      <w:r>
        <w:rPr>
          <w:rFonts w:ascii="Times New Roman" w:hAnsi="Times New Roman" w:eastAsia="宋体" w:cs="Times New Roman"/>
          <w:b w:val="0"/>
          <w:bCs w:val="0"/>
          <w:i w:val="0"/>
          <w:iCs w:val="0"/>
          <w:color w:val="000000"/>
          <w:sz w:val="24"/>
          <w:szCs w:val="24"/>
        </w:rPr>
        <w:t>必要时可邀请主要设备、材料供应商及分包单位、设计单位相关专业人员参加验收；</w:t>
      </w:r>
    </w:p>
    <w:p w14:paraId="590958B3">
      <w:pPr>
        <w:snapToGrid w:val="0"/>
        <w:spacing w:line="300" w:lineRule="auto"/>
        <w:ind w:firstLine="482" w:firstLineChars="200"/>
        <w:jc w:val="left"/>
        <w:rPr>
          <w:rFonts w:ascii="Times New Roman" w:hAnsi="Times New Roman" w:eastAsia="宋体" w:cs="Times New Roman"/>
          <w:sz w:val="24"/>
          <w:szCs w:val="24"/>
        </w:rPr>
      </w:pPr>
      <w:r>
        <w:rPr>
          <w:rFonts w:hint="eastAsia" w:cs="Times New Roman"/>
          <w:b/>
          <w:bCs/>
          <w:i w:val="0"/>
          <w:iCs w:val="0"/>
          <w:sz w:val="24"/>
          <w:szCs w:val="24"/>
          <w:lang w:eastAsia="zh-CN"/>
        </w:rPr>
        <w:t>3</w:t>
      </w:r>
      <w:r>
        <w:rPr>
          <w:rFonts w:hint="eastAsia" w:cs="Times New Roman"/>
          <w:b w:val="0"/>
          <w:bCs w:val="0"/>
          <w:i w:val="0"/>
          <w:iCs w:val="0"/>
          <w:sz w:val="24"/>
          <w:szCs w:val="24"/>
          <w:lang w:val="en-US" w:eastAsia="zh-CN"/>
        </w:rPr>
        <w:t xml:space="preserve"> </w:t>
      </w:r>
      <w:r>
        <w:rPr>
          <w:rFonts w:ascii="Times New Roman" w:hAnsi="Times New Roman" w:eastAsia="宋体" w:cs="Times New Roman"/>
          <w:b w:val="0"/>
          <w:bCs w:val="0"/>
          <w:i w:val="0"/>
          <w:iCs w:val="0"/>
          <w:color w:val="000000"/>
          <w:sz w:val="24"/>
          <w:szCs w:val="24"/>
        </w:rPr>
        <w:t>子分部工程验收应由总监理工程师组织并主持</w:t>
      </w:r>
      <w:r>
        <w:rPr>
          <w:rFonts w:hint="eastAsia" w:cs="Times New Roman"/>
          <w:b w:val="0"/>
          <w:bCs w:val="0"/>
          <w:i w:val="0"/>
          <w:iCs w:val="0"/>
          <w:sz w:val="24"/>
          <w:szCs w:val="24"/>
          <w:lang w:eastAsia="zh-CN"/>
        </w:rPr>
        <w:t>，</w:t>
      </w:r>
      <w:r>
        <w:rPr>
          <w:rFonts w:ascii="Times New Roman" w:hAnsi="Times New Roman" w:eastAsia="宋体" w:cs="Times New Roman"/>
          <w:b w:val="0"/>
          <w:bCs w:val="0"/>
          <w:i w:val="0"/>
          <w:iCs w:val="0"/>
          <w:color w:val="000000"/>
          <w:sz w:val="24"/>
          <w:szCs w:val="24"/>
        </w:rPr>
        <w:t>专业监理工程师应参加验收</w:t>
      </w:r>
      <w:r>
        <w:rPr>
          <w:rFonts w:hint="eastAsia" w:cs="Times New Roman"/>
          <w:b w:val="0"/>
          <w:bCs w:val="0"/>
          <w:i w:val="0"/>
          <w:iCs w:val="0"/>
          <w:sz w:val="24"/>
          <w:szCs w:val="24"/>
          <w:lang w:eastAsia="zh-CN"/>
        </w:rPr>
        <w:t>；</w:t>
      </w:r>
      <w:r>
        <w:rPr>
          <w:rFonts w:ascii="Times New Roman" w:hAnsi="Times New Roman" w:eastAsia="宋体" w:cs="Times New Roman"/>
          <w:b w:val="0"/>
          <w:bCs w:val="0"/>
          <w:i w:val="0"/>
          <w:iCs w:val="0"/>
          <w:color w:val="000000"/>
          <w:sz w:val="24"/>
          <w:szCs w:val="24"/>
        </w:rPr>
        <w:t>施工单位项目负责人、项目技术负责人和相关专业的负责人、质量检查员、 施工员应参加验收</w:t>
      </w:r>
      <w:r>
        <w:rPr>
          <w:rFonts w:hint="eastAsia" w:cs="Times New Roman"/>
          <w:b w:val="0"/>
          <w:bCs w:val="0"/>
          <w:i w:val="0"/>
          <w:iCs w:val="0"/>
          <w:sz w:val="24"/>
          <w:szCs w:val="24"/>
          <w:lang w:eastAsia="zh-CN"/>
        </w:rPr>
        <w:t>；</w:t>
      </w:r>
      <w:r>
        <w:rPr>
          <w:rFonts w:ascii="Times New Roman" w:hAnsi="Times New Roman" w:eastAsia="宋体" w:cs="Times New Roman"/>
          <w:b w:val="0"/>
          <w:bCs w:val="0"/>
          <w:i w:val="0"/>
          <w:iCs w:val="0"/>
          <w:color w:val="000000"/>
          <w:sz w:val="24"/>
          <w:szCs w:val="24"/>
        </w:rPr>
        <w:t>施工单位的质量、技术负责人应参加验收；设计单位项目负责人和相关专业负责人应参加验收；主要设备、材料供应商及分包单位负责人应参加验收。</w:t>
      </w:r>
    </w:p>
    <w:p w14:paraId="2827D6DD">
      <w:pPr>
        <w:keepNext/>
        <w:keepLines/>
        <w:spacing w:before="95" w:beforeLines="30" w:after="95" w:afterLines="30" w:line="300" w:lineRule="auto"/>
        <w:ind w:firstLine="3614" w:firstLineChars="1500"/>
        <w:outlineLvl w:val="2"/>
        <w:rPr>
          <w:rFonts w:hint="default" w:ascii="Times New Roman" w:hAnsi="Times New Roman" w:eastAsia="宋体" w:cs="Times New Roman"/>
          <w:b/>
          <w:sz w:val="24"/>
          <w:szCs w:val="32"/>
        </w:rPr>
      </w:pPr>
      <w:bookmarkStart w:id="460" w:name="_Toc10165"/>
      <w:bookmarkStart w:id="461" w:name="_Toc27731"/>
      <w:bookmarkStart w:id="462" w:name="_Toc8655"/>
      <w:bookmarkStart w:id="463" w:name="_Toc19089"/>
      <w:bookmarkStart w:id="464" w:name="_Toc1862"/>
      <w:bookmarkStart w:id="465" w:name="_Toc4994"/>
      <w:r>
        <w:rPr>
          <w:rFonts w:hint="default" w:ascii="Times New Roman" w:hAnsi="Times New Roman" w:eastAsia="宋体" w:cs="Times New Roman"/>
          <w:b/>
          <w:sz w:val="24"/>
          <w:szCs w:val="32"/>
          <w:lang w:val="en-US" w:eastAsia="zh-CN"/>
        </w:rPr>
        <w:t>1</w:t>
      </w:r>
      <w:r>
        <w:rPr>
          <w:rFonts w:hint="default" w:cs="Times New Roman"/>
          <w:b/>
          <w:sz w:val="24"/>
          <w:szCs w:val="32"/>
          <w:lang w:val="en-US" w:eastAsia="zh-CN"/>
        </w:rPr>
        <w:t>3</w:t>
      </w:r>
      <w:r>
        <w:rPr>
          <w:rFonts w:hint="default" w:ascii="Times New Roman" w:hAnsi="Times New Roman" w:eastAsia="宋体" w:cs="Times New Roman"/>
          <w:b/>
          <w:sz w:val="24"/>
          <w:szCs w:val="32"/>
          <w:lang w:val="en-US" w:eastAsia="zh-CN"/>
        </w:rPr>
        <w:t>.2验收要求</w:t>
      </w:r>
      <w:bookmarkEnd w:id="460"/>
      <w:bookmarkEnd w:id="461"/>
      <w:bookmarkEnd w:id="462"/>
      <w:bookmarkEnd w:id="463"/>
      <w:bookmarkEnd w:id="464"/>
      <w:bookmarkEnd w:id="465"/>
    </w:p>
    <w:p w14:paraId="0BED946C">
      <w:pPr>
        <w:snapToGrid w:val="0"/>
        <w:spacing w:line="300" w:lineRule="auto"/>
        <w:jc w:val="left"/>
        <w:rPr>
          <w:rFonts w:hint="default" w:eastAsia="微软雅黑"/>
          <w:sz w:val="24"/>
          <w:lang w:val="en-US" w:eastAsia="zh-CN"/>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.1</w:t>
      </w:r>
      <w:r>
        <w:rPr>
          <w:rFonts w:hint="eastAsia"/>
          <w:sz w:val="24"/>
        </w:rPr>
        <w:t xml:space="preserve"> </w:t>
      </w:r>
      <w:r>
        <w:rPr>
          <w:rFonts w:hint="default"/>
          <w:color w:val="000000"/>
          <w:sz w:val="24"/>
          <w:lang w:val="en-US" w:eastAsia="zh-CN"/>
        </w:rPr>
        <w:t>光伏系统工程验收应符合《</w:t>
      </w:r>
      <w:r>
        <w:rPr>
          <w:rFonts w:ascii="Times New Roman" w:hAnsi="Times New Roman" w:eastAsia="宋体" w:cs="Times New Roman"/>
          <w:b w:val="0"/>
          <w:bCs w:val="0"/>
          <w:i w:val="0"/>
          <w:iCs w:val="0"/>
          <w:caps w:val="0"/>
          <w:color w:val="000000"/>
          <w:spacing w:val="0"/>
          <w:sz w:val="24"/>
          <w:szCs w:val="24"/>
          <w:shd w:val="clear" w:fill="auto"/>
        </w:rPr>
        <w:t>广东省建筑节能与绿色建筑工程施工质量验收规范</w:t>
      </w:r>
      <w:r>
        <w:rPr>
          <w:rFonts w:hint="default"/>
          <w:color w:val="000000"/>
          <w:sz w:val="24"/>
          <w:lang w:val="en-US" w:eastAsia="zh-CN"/>
        </w:rPr>
        <w:t>》</w:t>
      </w:r>
      <w:r>
        <w:rPr>
          <w:rFonts w:ascii="Times New Roman" w:hAnsi="Times New Roman" w:eastAsia="宋体" w:cs="Times New Roman"/>
          <w:i w:val="0"/>
          <w:iCs w:val="0"/>
          <w:caps w:val="0"/>
          <w:color w:val="000000"/>
          <w:spacing w:val="0"/>
          <w:sz w:val="24"/>
          <w:szCs w:val="24"/>
          <w:shd w:val="clear" w:fill="auto"/>
        </w:rPr>
        <w:t>DBJ 15-65</w:t>
      </w:r>
      <w:r>
        <w:rPr>
          <w:rFonts w:hint="default" w:ascii="Times New Roman" w:hAnsi="Times New Roman" w:eastAsia="宋体" w:cs="Times New Roman"/>
          <w:i w:val="0"/>
          <w:iCs w:val="0"/>
          <w:caps w:val="0"/>
          <w:color w:val="000000"/>
          <w:spacing w:val="0"/>
          <w:sz w:val="24"/>
          <w:szCs w:val="24"/>
          <w:shd w:val="clear" w:fill="auto"/>
          <w:lang w:val="en-US" w:eastAsia="zh-CN"/>
        </w:rPr>
        <w:t>相关规定。</w:t>
      </w:r>
    </w:p>
    <w:p w14:paraId="1699148A">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2</w:t>
      </w:r>
      <w:r>
        <w:rPr>
          <w:rFonts w:hint="eastAsia"/>
          <w:sz w:val="24"/>
        </w:rPr>
        <w:t xml:space="preserve"> </w:t>
      </w:r>
      <w:r>
        <w:rPr>
          <w:sz w:val="24"/>
        </w:rPr>
        <w:t>光伏发电系统工程验收应通过单位工程验收、工程启动验收、工程试运和移交生产验收以及工程竣工验收。</w:t>
      </w:r>
    </w:p>
    <w:p w14:paraId="11A4BC55">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rFonts w:hint="eastAsia"/>
          <w:b/>
          <w:bCs/>
          <w:sz w:val="24"/>
        </w:rPr>
        <w:t>.</w:t>
      </w:r>
      <w:r>
        <w:rPr>
          <w:rFonts w:hint="eastAsia"/>
          <w:b/>
          <w:bCs/>
          <w:sz w:val="24"/>
          <w:lang w:val="en-US" w:eastAsia="zh-CN"/>
        </w:rPr>
        <w:t>3</w:t>
      </w:r>
      <w:r>
        <w:rPr>
          <w:rFonts w:hint="eastAsia"/>
          <w:sz w:val="24"/>
        </w:rPr>
        <w:t xml:space="preserve"> </w:t>
      </w:r>
      <w:r>
        <w:rPr>
          <w:sz w:val="24"/>
        </w:rPr>
        <w:t>光伏发电系统工程验收应符合下列</w:t>
      </w:r>
      <w:r>
        <w:rPr>
          <w:rFonts w:hint="eastAsia"/>
          <w:sz w:val="24"/>
          <w:lang w:eastAsia="zh-CN"/>
        </w:rPr>
        <w:t>要求</w:t>
      </w:r>
      <w:r>
        <w:rPr>
          <w:sz w:val="24"/>
        </w:rPr>
        <w:t>：</w:t>
      </w:r>
    </w:p>
    <w:p w14:paraId="12A4A409">
      <w:pPr>
        <w:snapToGrid w:val="0"/>
        <w:spacing w:line="300" w:lineRule="auto"/>
        <w:ind w:firstLine="482" w:firstLineChars="200"/>
        <w:jc w:val="left"/>
        <w:rPr>
          <w:sz w:val="24"/>
        </w:rPr>
      </w:pPr>
      <w:r>
        <w:rPr>
          <w:b/>
          <w:bCs/>
          <w:sz w:val="24"/>
        </w:rPr>
        <w:t>1</w:t>
      </w:r>
      <w:r>
        <w:rPr>
          <w:rFonts w:hint="eastAsia"/>
          <w:b/>
          <w:bCs/>
          <w:sz w:val="24"/>
          <w:lang w:val="en-US" w:eastAsia="zh-CN"/>
        </w:rPr>
        <w:t xml:space="preserve"> </w:t>
      </w:r>
      <w:r>
        <w:rPr>
          <w:sz w:val="24"/>
        </w:rPr>
        <w:t>单位工程的验收应在施工单位自行检查评定合格的基础上进行；</w:t>
      </w:r>
    </w:p>
    <w:p w14:paraId="07343635">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工程启动验收应在单位工程验收合格的基础上进行；</w:t>
      </w:r>
    </w:p>
    <w:p w14:paraId="1BD376D6">
      <w:pPr>
        <w:snapToGrid w:val="0"/>
        <w:spacing w:line="300" w:lineRule="auto"/>
        <w:ind w:firstLine="482" w:firstLineChars="200"/>
        <w:jc w:val="left"/>
        <w:rPr>
          <w:sz w:val="24"/>
        </w:rPr>
      </w:pPr>
      <w:r>
        <w:rPr>
          <w:b/>
          <w:bCs/>
          <w:sz w:val="24"/>
        </w:rPr>
        <w:t>3</w:t>
      </w:r>
      <w:r>
        <w:rPr>
          <w:rFonts w:hint="eastAsia"/>
          <w:b/>
          <w:bCs/>
          <w:sz w:val="24"/>
          <w:lang w:val="en-US" w:eastAsia="zh-CN"/>
        </w:rPr>
        <w:t xml:space="preserve"> </w:t>
      </w:r>
      <w:r>
        <w:rPr>
          <w:sz w:val="24"/>
        </w:rPr>
        <w:t>工程试运和移交生产验收应在工程启动验收完成并应具备工程试运和移交生产验收条件后进行；</w:t>
      </w:r>
    </w:p>
    <w:p w14:paraId="3445C4D4">
      <w:pPr>
        <w:snapToGrid w:val="0"/>
        <w:spacing w:line="300" w:lineRule="auto"/>
        <w:ind w:firstLine="482" w:firstLineChars="200"/>
        <w:jc w:val="left"/>
        <w:rPr>
          <w:sz w:val="24"/>
        </w:rPr>
      </w:pPr>
      <w:r>
        <w:rPr>
          <w:b/>
          <w:bCs/>
          <w:sz w:val="24"/>
        </w:rPr>
        <w:t>4</w:t>
      </w:r>
      <w:r>
        <w:rPr>
          <w:rFonts w:hint="eastAsia"/>
          <w:b/>
          <w:bCs/>
          <w:sz w:val="24"/>
          <w:lang w:val="en-US" w:eastAsia="zh-CN"/>
        </w:rPr>
        <w:t xml:space="preserve"> </w:t>
      </w:r>
      <w:r>
        <w:rPr>
          <w:sz w:val="24"/>
        </w:rPr>
        <w:t>工程竣工验收应在试运和移交生产验收合格后进行。</w:t>
      </w:r>
    </w:p>
    <w:p w14:paraId="481610F7">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4</w:t>
      </w:r>
      <w:r>
        <w:rPr>
          <w:rFonts w:hint="eastAsia"/>
          <w:b/>
          <w:bCs/>
          <w:sz w:val="24"/>
        </w:rPr>
        <w:t xml:space="preserve"> </w:t>
      </w:r>
      <w:r>
        <w:rPr>
          <w:sz w:val="24"/>
        </w:rPr>
        <w:t>光伏发电系统分项工程检验批质量验收合格标准应符合下列规定：</w:t>
      </w:r>
    </w:p>
    <w:p w14:paraId="03907342">
      <w:pPr>
        <w:snapToGrid w:val="0"/>
        <w:spacing w:line="300" w:lineRule="auto"/>
        <w:ind w:firstLine="482" w:firstLineChars="200"/>
        <w:jc w:val="left"/>
        <w:rPr>
          <w:sz w:val="24"/>
        </w:rPr>
      </w:pPr>
      <w:r>
        <w:rPr>
          <w:b/>
          <w:bCs/>
          <w:sz w:val="24"/>
        </w:rPr>
        <w:t>1</w:t>
      </w:r>
      <w:r>
        <w:rPr>
          <w:rFonts w:hint="eastAsia"/>
          <w:b/>
          <w:bCs/>
          <w:sz w:val="24"/>
          <w:lang w:val="en-US" w:eastAsia="zh-CN"/>
        </w:rPr>
        <w:t xml:space="preserve"> </w:t>
      </w:r>
      <w:r>
        <w:rPr>
          <w:sz w:val="24"/>
        </w:rPr>
        <w:t>主控项目应符合质量合格标准要求；</w:t>
      </w:r>
    </w:p>
    <w:p w14:paraId="7D90960A">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一般项目其检验结果应有80%及以上的检查点（值）符合质量合格标准要求。</w:t>
      </w:r>
    </w:p>
    <w:p w14:paraId="7FD861EB">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5</w:t>
      </w:r>
      <w:r>
        <w:rPr>
          <w:rFonts w:hint="eastAsia"/>
          <w:b/>
          <w:bCs/>
          <w:sz w:val="24"/>
        </w:rPr>
        <w:t xml:space="preserve"> </w:t>
      </w:r>
      <w:r>
        <w:rPr>
          <w:sz w:val="24"/>
        </w:rPr>
        <w:t>光伏发电系统分项工程质量验收合格标准应符合下列</w:t>
      </w:r>
      <w:r>
        <w:rPr>
          <w:rFonts w:hint="eastAsia"/>
          <w:sz w:val="24"/>
          <w:lang w:eastAsia="zh-CN"/>
        </w:rPr>
        <w:t>要求</w:t>
      </w:r>
      <w:r>
        <w:rPr>
          <w:sz w:val="24"/>
        </w:rPr>
        <w:t>：</w:t>
      </w:r>
    </w:p>
    <w:p w14:paraId="006929B7">
      <w:pPr>
        <w:snapToGrid w:val="0"/>
        <w:spacing w:line="300" w:lineRule="auto"/>
        <w:ind w:firstLine="482" w:firstLineChars="200"/>
        <w:jc w:val="left"/>
        <w:rPr>
          <w:sz w:val="24"/>
        </w:rPr>
      </w:pPr>
      <w:r>
        <w:rPr>
          <w:b/>
          <w:bCs/>
          <w:sz w:val="24"/>
        </w:rPr>
        <w:t>1</w:t>
      </w:r>
      <w:r>
        <w:rPr>
          <w:rFonts w:hint="eastAsia"/>
          <w:b/>
          <w:bCs/>
          <w:sz w:val="24"/>
          <w:lang w:val="en-US" w:eastAsia="zh-CN"/>
        </w:rPr>
        <w:t xml:space="preserve"> </w:t>
      </w:r>
      <w:r>
        <w:rPr>
          <w:sz w:val="24"/>
        </w:rPr>
        <w:t>分项工程所含的各检验批均应符合质量合格标准要求；</w:t>
      </w:r>
    </w:p>
    <w:p w14:paraId="4C29FB58">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分项工程所含的各检验批质量验收记录应完整。</w:t>
      </w:r>
      <w:r>
        <w:rPr>
          <w:rFonts w:hint="eastAsia"/>
          <w:sz w:val="24"/>
        </w:rPr>
        <w:t>光伏发电系统施工应对隐蔽部位在隐蔽前验收，应有详细的文字记录和必要的图像资料。</w:t>
      </w:r>
    </w:p>
    <w:p w14:paraId="34AF5C9D">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6</w:t>
      </w:r>
      <w:r>
        <w:rPr>
          <w:rFonts w:hint="eastAsia"/>
          <w:b/>
          <w:bCs/>
          <w:sz w:val="24"/>
        </w:rPr>
        <w:t xml:space="preserve"> </w:t>
      </w:r>
      <w:r>
        <w:rPr>
          <w:sz w:val="24"/>
        </w:rPr>
        <w:t>光伏发电系统分部工程质量验收合格标准应符合下列</w:t>
      </w:r>
      <w:r>
        <w:rPr>
          <w:rFonts w:hint="eastAsia"/>
          <w:sz w:val="24"/>
          <w:lang w:eastAsia="zh-CN"/>
        </w:rPr>
        <w:t>要求</w:t>
      </w:r>
      <w:r>
        <w:rPr>
          <w:sz w:val="24"/>
        </w:rPr>
        <w:t>：</w:t>
      </w:r>
    </w:p>
    <w:p w14:paraId="668F77DC">
      <w:pPr>
        <w:snapToGrid w:val="0"/>
        <w:spacing w:line="300" w:lineRule="auto"/>
        <w:ind w:firstLine="482" w:firstLineChars="200"/>
        <w:jc w:val="left"/>
        <w:rPr>
          <w:sz w:val="24"/>
        </w:rPr>
      </w:pPr>
      <w:r>
        <w:rPr>
          <w:b/>
          <w:bCs/>
          <w:sz w:val="24"/>
        </w:rPr>
        <w:t>1</w:t>
      </w:r>
      <w:r>
        <w:rPr>
          <w:rFonts w:hint="eastAsia"/>
          <w:b/>
          <w:bCs/>
          <w:sz w:val="24"/>
          <w:lang w:val="en-US" w:eastAsia="zh-CN"/>
        </w:rPr>
        <w:t xml:space="preserve"> </w:t>
      </w:r>
      <w:r>
        <w:rPr>
          <w:sz w:val="24"/>
        </w:rPr>
        <w:t>质量控制资料应完整；</w:t>
      </w:r>
    </w:p>
    <w:p w14:paraId="63320B76">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分部工程所含分项工程的质量验收应合格；</w:t>
      </w:r>
    </w:p>
    <w:p w14:paraId="369AE303">
      <w:pPr>
        <w:snapToGrid w:val="0"/>
        <w:spacing w:line="300" w:lineRule="auto"/>
        <w:ind w:firstLine="482" w:firstLineChars="200"/>
        <w:jc w:val="left"/>
        <w:rPr>
          <w:sz w:val="24"/>
        </w:rPr>
      </w:pPr>
      <w:r>
        <w:rPr>
          <w:b/>
          <w:bCs/>
          <w:sz w:val="24"/>
        </w:rPr>
        <w:t>3</w:t>
      </w:r>
      <w:r>
        <w:rPr>
          <w:rFonts w:hint="eastAsia"/>
          <w:b/>
          <w:bCs/>
          <w:sz w:val="24"/>
          <w:lang w:val="en-US" w:eastAsia="zh-CN"/>
        </w:rPr>
        <w:t xml:space="preserve"> </w:t>
      </w:r>
      <w:r>
        <w:rPr>
          <w:sz w:val="24"/>
        </w:rPr>
        <w:t>观感质量验收应符合要求。</w:t>
      </w:r>
    </w:p>
    <w:p w14:paraId="6F5E9654">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7</w:t>
      </w:r>
      <w:r>
        <w:rPr>
          <w:rFonts w:hint="eastAsia"/>
          <w:b/>
          <w:bCs/>
          <w:sz w:val="24"/>
        </w:rPr>
        <w:t xml:space="preserve"> </w:t>
      </w:r>
      <w:r>
        <w:rPr>
          <w:sz w:val="24"/>
        </w:rPr>
        <w:t>光伏发电系统单位工程质量验收合格标准应符合下列</w:t>
      </w:r>
      <w:r>
        <w:rPr>
          <w:rFonts w:hint="eastAsia"/>
          <w:sz w:val="24"/>
          <w:lang w:eastAsia="zh-CN"/>
        </w:rPr>
        <w:t>要求</w:t>
      </w:r>
      <w:r>
        <w:rPr>
          <w:sz w:val="24"/>
        </w:rPr>
        <w:t>：</w:t>
      </w:r>
    </w:p>
    <w:p w14:paraId="2C503AA9">
      <w:pPr>
        <w:snapToGrid w:val="0"/>
        <w:spacing w:line="300" w:lineRule="auto"/>
        <w:ind w:firstLine="482" w:firstLineChars="200"/>
        <w:jc w:val="left"/>
        <w:rPr>
          <w:sz w:val="24"/>
        </w:rPr>
      </w:pPr>
      <w:r>
        <w:rPr>
          <w:b/>
          <w:bCs/>
          <w:sz w:val="24"/>
        </w:rPr>
        <w:t>1</w:t>
      </w:r>
      <w:r>
        <w:rPr>
          <w:rFonts w:hint="eastAsia"/>
          <w:b/>
          <w:bCs/>
          <w:sz w:val="24"/>
          <w:lang w:val="en-US" w:eastAsia="zh-CN"/>
        </w:rPr>
        <w:t xml:space="preserve"> </w:t>
      </w:r>
      <w:r>
        <w:rPr>
          <w:sz w:val="24"/>
        </w:rPr>
        <w:t>质量控制资料应完整；</w:t>
      </w:r>
    </w:p>
    <w:p w14:paraId="2C62A01D">
      <w:pPr>
        <w:snapToGrid w:val="0"/>
        <w:spacing w:line="300" w:lineRule="auto"/>
        <w:ind w:firstLine="482" w:firstLineChars="200"/>
        <w:jc w:val="left"/>
        <w:rPr>
          <w:sz w:val="24"/>
        </w:rPr>
      </w:pPr>
      <w:r>
        <w:rPr>
          <w:b/>
          <w:bCs/>
          <w:sz w:val="24"/>
        </w:rPr>
        <w:t>2</w:t>
      </w:r>
      <w:r>
        <w:rPr>
          <w:rFonts w:hint="eastAsia"/>
          <w:b/>
          <w:bCs/>
          <w:sz w:val="24"/>
          <w:lang w:val="en-US" w:eastAsia="zh-CN"/>
        </w:rPr>
        <w:t xml:space="preserve"> </w:t>
      </w:r>
      <w:r>
        <w:rPr>
          <w:sz w:val="24"/>
        </w:rPr>
        <w:t>单位工程所含分部工程的质量验收应合格；</w:t>
      </w:r>
    </w:p>
    <w:p w14:paraId="27DC57EF">
      <w:pPr>
        <w:snapToGrid w:val="0"/>
        <w:spacing w:line="300" w:lineRule="auto"/>
        <w:ind w:firstLine="482" w:firstLineChars="200"/>
        <w:jc w:val="left"/>
        <w:rPr>
          <w:sz w:val="24"/>
        </w:rPr>
      </w:pPr>
      <w:r>
        <w:rPr>
          <w:b/>
          <w:bCs/>
          <w:sz w:val="24"/>
        </w:rPr>
        <w:t>3</w:t>
      </w:r>
      <w:r>
        <w:rPr>
          <w:rFonts w:hint="eastAsia"/>
          <w:b/>
          <w:bCs/>
          <w:sz w:val="24"/>
          <w:lang w:val="en-US" w:eastAsia="zh-CN"/>
        </w:rPr>
        <w:t xml:space="preserve"> </w:t>
      </w:r>
      <w:r>
        <w:rPr>
          <w:sz w:val="24"/>
        </w:rPr>
        <w:t>主要功能项目的抽查结果应符合相应的技术要求；</w:t>
      </w:r>
    </w:p>
    <w:p w14:paraId="56ADBBCC">
      <w:pPr>
        <w:snapToGrid w:val="0"/>
        <w:spacing w:line="300" w:lineRule="auto"/>
        <w:ind w:firstLine="482" w:firstLineChars="200"/>
        <w:jc w:val="left"/>
        <w:rPr>
          <w:sz w:val="24"/>
        </w:rPr>
      </w:pPr>
      <w:r>
        <w:rPr>
          <w:b/>
          <w:bCs/>
          <w:sz w:val="24"/>
        </w:rPr>
        <w:t>4</w:t>
      </w:r>
      <w:r>
        <w:rPr>
          <w:rFonts w:hint="eastAsia"/>
          <w:b/>
          <w:bCs/>
          <w:sz w:val="24"/>
          <w:lang w:val="en-US" w:eastAsia="zh-CN"/>
        </w:rPr>
        <w:t xml:space="preserve"> </w:t>
      </w:r>
      <w:r>
        <w:rPr>
          <w:sz w:val="24"/>
        </w:rPr>
        <w:t>观感质量验收应符合要求。</w:t>
      </w:r>
    </w:p>
    <w:p w14:paraId="7B96549F">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8</w:t>
      </w:r>
      <w:r>
        <w:rPr>
          <w:rFonts w:hint="eastAsia"/>
          <w:b/>
          <w:bCs/>
          <w:sz w:val="24"/>
        </w:rPr>
        <w:t xml:space="preserve"> </w:t>
      </w:r>
      <w:r>
        <w:rPr>
          <w:sz w:val="24"/>
        </w:rPr>
        <w:t>光伏幕墙工程质量验收尚应符合现行行业标准《玻璃幕墙工程质量检验标准》JGJ/T139的有关规定。光伏采光顶工程质量验收尚应符合现行行业标准《采光顶与金属屋面技术规程》JGJ255</w:t>
      </w:r>
      <w:r>
        <w:rPr>
          <w:rFonts w:hint="eastAsia"/>
          <w:sz w:val="24"/>
        </w:rPr>
        <w:t>、《建筑玻璃采光顶技术要求》JG/T 231</w:t>
      </w:r>
      <w:r>
        <w:rPr>
          <w:sz w:val="24"/>
        </w:rPr>
        <w:t>的有关规定。</w:t>
      </w:r>
    </w:p>
    <w:p w14:paraId="4B6835D8">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9</w:t>
      </w:r>
      <w:r>
        <w:rPr>
          <w:rFonts w:hint="eastAsia"/>
          <w:b/>
          <w:bCs/>
          <w:sz w:val="24"/>
        </w:rPr>
        <w:t xml:space="preserve"> </w:t>
      </w:r>
      <w:r>
        <w:rPr>
          <w:sz w:val="24"/>
        </w:rPr>
        <w:t>单位工程验收组应由建设、设计、监理、施工、调试等有关单位负责人及专业技术人员组成。</w:t>
      </w:r>
    </w:p>
    <w:p w14:paraId="267D157B">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w:t>
      </w:r>
      <w:r>
        <w:rPr>
          <w:rFonts w:hint="eastAsia"/>
          <w:b/>
          <w:bCs/>
          <w:sz w:val="24"/>
          <w:lang w:val="en-US" w:eastAsia="zh-CN"/>
        </w:rPr>
        <w:t>10</w:t>
      </w:r>
      <w:r>
        <w:rPr>
          <w:rFonts w:hint="eastAsia"/>
          <w:b/>
          <w:bCs/>
          <w:sz w:val="24"/>
        </w:rPr>
        <w:t xml:space="preserve"> </w:t>
      </w:r>
      <w:r>
        <w:rPr>
          <w:sz w:val="24"/>
        </w:rPr>
        <w:t>工程启动验收委员会应由建设、监理、调试、生产、设计、政府相关部门和电力主管部门等有关单位组成，施工单位、设备制造商等参建单位应列席工程启动验收会议。</w:t>
      </w:r>
    </w:p>
    <w:p w14:paraId="15B4412B">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.1</w:t>
      </w:r>
      <w:r>
        <w:rPr>
          <w:rFonts w:hint="eastAsia"/>
          <w:b/>
          <w:bCs/>
          <w:sz w:val="24"/>
          <w:lang w:val="en-US" w:eastAsia="zh-CN"/>
        </w:rPr>
        <w:t>1</w:t>
      </w:r>
      <w:r>
        <w:rPr>
          <w:rFonts w:hint="eastAsia"/>
          <w:sz w:val="24"/>
        </w:rPr>
        <w:t xml:space="preserve"> </w:t>
      </w:r>
      <w:r>
        <w:rPr>
          <w:sz w:val="24"/>
        </w:rPr>
        <w:t>工程试运和移交生产验收组应由建设、监理、调试、生产运行、设计等有关单位</w:t>
      </w:r>
      <w:r>
        <w:rPr>
          <w:rFonts w:hint="eastAsia"/>
          <w:sz w:val="24"/>
          <w:lang w:val="en-US" w:eastAsia="zh-CN"/>
        </w:rPr>
        <w:t>人员</w:t>
      </w:r>
      <w:r>
        <w:rPr>
          <w:sz w:val="24"/>
        </w:rPr>
        <w:t>组成。</w:t>
      </w:r>
    </w:p>
    <w:p w14:paraId="35F361CA">
      <w:pPr>
        <w:snapToGrid w:val="0"/>
        <w:spacing w:line="300" w:lineRule="auto"/>
        <w:jc w:val="left"/>
        <w:rPr>
          <w:sz w:val="24"/>
        </w:rPr>
      </w:pPr>
      <w:r>
        <w:rPr>
          <w:b/>
          <w:bCs/>
          <w:sz w:val="24"/>
        </w:rPr>
        <w:t>1</w:t>
      </w:r>
      <w:r>
        <w:rPr>
          <w:rFonts w:hint="eastAsia"/>
          <w:b/>
          <w:bCs/>
          <w:sz w:val="24"/>
          <w:lang w:val="en-US" w:eastAsia="zh-CN"/>
        </w:rPr>
        <w:t>3</w:t>
      </w:r>
      <w:r>
        <w:rPr>
          <w:b/>
          <w:bCs/>
          <w:sz w:val="24"/>
        </w:rPr>
        <w:t>.</w:t>
      </w:r>
      <w:r>
        <w:rPr>
          <w:rFonts w:hint="eastAsia"/>
          <w:b/>
          <w:bCs/>
          <w:sz w:val="24"/>
          <w:lang w:val="en-US" w:eastAsia="zh-CN"/>
        </w:rPr>
        <w:t>2</w:t>
      </w:r>
      <w:r>
        <w:rPr>
          <w:b/>
          <w:bCs/>
          <w:sz w:val="24"/>
        </w:rPr>
        <w:t>.1</w:t>
      </w:r>
      <w:r>
        <w:rPr>
          <w:rFonts w:hint="eastAsia"/>
          <w:b/>
          <w:bCs/>
          <w:sz w:val="24"/>
          <w:lang w:val="en-US" w:eastAsia="zh-CN"/>
        </w:rPr>
        <w:t>2</w:t>
      </w:r>
      <w:r>
        <w:rPr>
          <w:rFonts w:hint="eastAsia"/>
          <w:b/>
          <w:bCs/>
          <w:sz w:val="24"/>
        </w:rPr>
        <w:t xml:space="preserve"> </w:t>
      </w:r>
      <w:r>
        <w:rPr>
          <w:sz w:val="24"/>
        </w:rPr>
        <w:t>工程竣工验收应符合下列</w:t>
      </w:r>
      <w:r>
        <w:rPr>
          <w:rFonts w:hint="eastAsia"/>
          <w:sz w:val="24"/>
          <w:lang w:eastAsia="zh-CN"/>
        </w:rPr>
        <w:t>要求</w:t>
      </w:r>
      <w:r>
        <w:rPr>
          <w:rFonts w:hint="eastAsia"/>
          <w:sz w:val="24"/>
        </w:rPr>
        <w:t>：</w:t>
      </w:r>
    </w:p>
    <w:p w14:paraId="05ED6AF9">
      <w:pPr>
        <w:snapToGrid w:val="0"/>
        <w:spacing w:line="300" w:lineRule="auto"/>
        <w:ind w:firstLine="482" w:firstLineChars="200"/>
        <w:jc w:val="left"/>
        <w:rPr>
          <w:sz w:val="24"/>
        </w:rPr>
      </w:pPr>
      <w:r>
        <w:rPr>
          <w:b/>
          <w:bCs/>
          <w:sz w:val="24"/>
        </w:rPr>
        <w:t>1</w:t>
      </w:r>
      <w:r>
        <w:rPr>
          <w:rFonts w:hint="eastAsia"/>
          <w:b/>
          <w:bCs/>
          <w:sz w:val="24"/>
        </w:rPr>
        <w:t xml:space="preserve"> </w:t>
      </w:r>
      <w:r>
        <w:rPr>
          <w:sz w:val="24"/>
        </w:rPr>
        <w:t>竣工资料应完整齐备；</w:t>
      </w:r>
    </w:p>
    <w:p w14:paraId="224E639C">
      <w:pPr>
        <w:snapToGrid w:val="0"/>
        <w:spacing w:line="300" w:lineRule="auto"/>
        <w:ind w:firstLine="482" w:firstLineChars="200"/>
        <w:jc w:val="left"/>
        <w:rPr>
          <w:sz w:val="24"/>
        </w:rPr>
      </w:pPr>
      <w:r>
        <w:rPr>
          <w:b/>
          <w:bCs/>
          <w:sz w:val="24"/>
        </w:rPr>
        <w:t>2</w:t>
      </w:r>
      <w:r>
        <w:rPr>
          <w:rFonts w:hint="eastAsia"/>
          <w:b/>
          <w:bCs/>
          <w:sz w:val="24"/>
        </w:rPr>
        <w:t xml:space="preserve"> </w:t>
      </w:r>
      <w:r>
        <w:rPr>
          <w:sz w:val="24"/>
        </w:rPr>
        <w:t>工程应按批准的设计要求进行建设；</w:t>
      </w:r>
    </w:p>
    <w:p w14:paraId="10962841">
      <w:pPr>
        <w:snapToGrid w:val="0"/>
        <w:spacing w:line="300" w:lineRule="auto"/>
        <w:ind w:firstLine="482" w:firstLineChars="200"/>
        <w:jc w:val="left"/>
        <w:rPr>
          <w:sz w:val="24"/>
        </w:rPr>
      </w:pPr>
      <w:r>
        <w:rPr>
          <w:b/>
          <w:bCs/>
          <w:sz w:val="24"/>
        </w:rPr>
        <w:t>3</w:t>
      </w:r>
      <w:r>
        <w:rPr>
          <w:rFonts w:hint="eastAsia"/>
          <w:b/>
          <w:bCs/>
          <w:sz w:val="24"/>
        </w:rPr>
        <w:t xml:space="preserve"> </w:t>
      </w:r>
      <w:r>
        <w:rPr>
          <w:sz w:val="24"/>
        </w:rPr>
        <w:t>应检查已完工程在设计、施工、设备制造安装等过程中与质量相关资料的收集、整理和签证归档情况；</w:t>
      </w:r>
    </w:p>
    <w:p w14:paraId="65C5349D">
      <w:pPr>
        <w:snapToGrid w:val="0"/>
        <w:spacing w:line="300" w:lineRule="auto"/>
        <w:ind w:firstLine="482" w:firstLineChars="200"/>
        <w:jc w:val="left"/>
        <w:rPr>
          <w:sz w:val="24"/>
        </w:rPr>
      </w:pPr>
      <w:r>
        <w:rPr>
          <w:b/>
          <w:bCs/>
          <w:sz w:val="24"/>
        </w:rPr>
        <w:t>4</w:t>
      </w:r>
      <w:r>
        <w:rPr>
          <w:rFonts w:hint="eastAsia"/>
          <w:b/>
          <w:bCs/>
          <w:sz w:val="24"/>
        </w:rPr>
        <w:t xml:space="preserve"> </w:t>
      </w:r>
      <w:r>
        <w:rPr>
          <w:sz w:val="24"/>
        </w:rPr>
        <w:t>应检查施工安全管理情况；</w:t>
      </w:r>
    </w:p>
    <w:p w14:paraId="1A12489C">
      <w:pPr>
        <w:snapToGrid w:val="0"/>
        <w:spacing w:line="300" w:lineRule="auto"/>
        <w:ind w:firstLine="482" w:firstLineChars="200"/>
        <w:jc w:val="left"/>
        <w:rPr>
          <w:sz w:val="24"/>
        </w:rPr>
      </w:pPr>
      <w:r>
        <w:rPr>
          <w:b/>
          <w:bCs/>
          <w:sz w:val="24"/>
        </w:rPr>
        <w:t>5</w:t>
      </w:r>
      <w:r>
        <w:rPr>
          <w:rFonts w:hint="eastAsia"/>
          <w:b/>
          <w:bCs/>
          <w:sz w:val="24"/>
        </w:rPr>
        <w:t xml:space="preserve"> </w:t>
      </w:r>
      <w:r>
        <w:rPr>
          <w:sz w:val="24"/>
        </w:rPr>
        <w:t>工程应具备运行或进行下一阶段工作的条件；</w:t>
      </w:r>
    </w:p>
    <w:p w14:paraId="11A9E9FB">
      <w:pPr>
        <w:snapToGrid w:val="0"/>
        <w:spacing w:line="300" w:lineRule="auto"/>
        <w:ind w:firstLine="482" w:firstLineChars="200"/>
        <w:jc w:val="left"/>
        <w:rPr>
          <w:sz w:val="24"/>
        </w:rPr>
      </w:pPr>
      <w:r>
        <w:rPr>
          <w:b/>
          <w:bCs/>
          <w:sz w:val="24"/>
        </w:rPr>
        <w:t>6</w:t>
      </w:r>
      <w:r>
        <w:rPr>
          <w:rFonts w:hint="eastAsia"/>
          <w:b/>
          <w:bCs/>
          <w:sz w:val="24"/>
        </w:rPr>
        <w:t xml:space="preserve"> </w:t>
      </w:r>
      <w:r>
        <w:rPr>
          <w:sz w:val="24"/>
        </w:rPr>
        <w:t>应检查工程投资控制和资金使用情况；</w:t>
      </w:r>
    </w:p>
    <w:p w14:paraId="45FF232E">
      <w:pPr>
        <w:snapToGrid w:val="0"/>
        <w:spacing w:line="300" w:lineRule="auto"/>
        <w:ind w:firstLine="482" w:firstLineChars="200"/>
        <w:jc w:val="left"/>
        <w:rPr>
          <w:sz w:val="24"/>
        </w:rPr>
      </w:pPr>
      <w:r>
        <w:rPr>
          <w:b/>
          <w:bCs/>
          <w:sz w:val="24"/>
        </w:rPr>
        <w:t>7</w:t>
      </w:r>
      <w:r>
        <w:rPr>
          <w:rFonts w:hint="eastAsia"/>
          <w:b/>
          <w:bCs/>
          <w:sz w:val="24"/>
        </w:rPr>
        <w:t xml:space="preserve"> </w:t>
      </w:r>
      <w:r>
        <w:rPr>
          <w:sz w:val="24"/>
        </w:rPr>
        <w:t>应对验收遗留问题提出处理意见。</w:t>
      </w:r>
    </w:p>
    <w:p w14:paraId="5E6C1C93">
      <w:pPr>
        <w:pStyle w:val="2"/>
        <w:spacing w:line="300" w:lineRule="auto"/>
      </w:pPr>
    </w:p>
    <w:p w14:paraId="46E99E1C">
      <w:pPr>
        <w:widowControl/>
        <w:spacing w:line="300" w:lineRule="auto"/>
        <w:jc w:val="left"/>
        <w:rPr>
          <w:sz w:val="24"/>
        </w:rPr>
      </w:pPr>
      <w:r>
        <w:rPr>
          <w:sz w:val="24"/>
        </w:rPr>
        <w:br w:type="page"/>
      </w:r>
    </w:p>
    <w:p w14:paraId="7A0A53BC">
      <w:pPr>
        <w:pStyle w:val="5"/>
        <w:spacing w:before="95" w:beforeLines="30" w:after="95" w:afterLines="30" w:line="300" w:lineRule="auto"/>
        <w:jc w:val="center"/>
        <w:rPr>
          <w:rFonts w:ascii="Times New Roman" w:hAnsi="Times New Roman" w:eastAsia="黑体" w:cs="Times New Roman"/>
          <w:sz w:val="28"/>
          <w:szCs w:val="28"/>
        </w:rPr>
      </w:pPr>
      <w:bookmarkStart w:id="466" w:name="_Toc22931"/>
      <w:bookmarkStart w:id="467" w:name="_Toc11522"/>
      <w:bookmarkStart w:id="468" w:name="_Toc28780"/>
      <w:bookmarkStart w:id="469" w:name="_Toc13787"/>
      <w:bookmarkStart w:id="470" w:name="_Toc18818"/>
      <w:bookmarkStart w:id="471" w:name="_Toc10562"/>
      <w:bookmarkStart w:id="472" w:name="_Toc12182"/>
      <w:bookmarkStart w:id="473" w:name="_Toc15137"/>
      <w:r>
        <w:rPr>
          <w:rFonts w:ascii="Times New Roman" w:hAnsi="Times New Roman" w:eastAsia="黑体" w:cs="Times New Roman"/>
          <w:sz w:val="28"/>
          <w:szCs w:val="28"/>
        </w:rPr>
        <w:t>1</w:t>
      </w:r>
      <w:r>
        <w:rPr>
          <w:rFonts w:hint="default" w:ascii="Times New Roman" w:hAnsi="Times New Roman" w:eastAsia="黑体" w:cs="Times New Roman"/>
          <w:sz w:val="28"/>
          <w:szCs w:val="28"/>
          <w:lang w:val="en-US" w:eastAsia="zh-CN"/>
        </w:rPr>
        <w:t>4</w:t>
      </w:r>
      <w:r>
        <w:rPr>
          <w:rFonts w:ascii="Times New Roman" w:hAnsi="Times New Roman" w:eastAsia="黑体" w:cs="Times New Roman"/>
          <w:sz w:val="28"/>
          <w:szCs w:val="28"/>
        </w:rPr>
        <w:t xml:space="preserve"> 运行与维护</w:t>
      </w:r>
      <w:bookmarkEnd w:id="466"/>
      <w:bookmarkEnd w:id="467"/>
      <w:bookmarkEnd w:id="468"/>
      <w:bookmarkEnd w:id="469"/>
      <w:bookmarkEnd w:id="470"/>
      <w:bookmarkEnd w:id="471"/>
      <w:bookmarkEnd w:id="472"/>
      <w:bookmarkEnd w:id="473"/>
    </w:p>
    <w:p w14:paraId="5C4B2EDC">
      <w:pPr>
        <w:keepNext/>
        <w:keepLines/>
        <w:spacing w:before="95" w:beforeLines="30" w:after="95" w:afterLines="30" w:line="300" w:lineRule="auto"/>
        <w:ind w:firstLine="3614" w:firstLineChars="1500"/>
        <w:outlineLvl w:val="2"/>
        <w:rPr>
          <w:b/>
          <w:sz w:val="24"/>
          <w:szCs w:val="32"/>
        </w:rPr>
      </w:pPr>
      <w:bookmarkStart w:id="474" w:name="_Toc922"/>
      <w:bookmarkStart w:id="475" w:name="_Toc9415"/>
      <w:bookmarkStart w:id="476" w:name="_Toc27394"/>
      <w:bookmarkStart w:id="477" w:name="_Toc2434"/>
      <w:bookmarkStart w:id="478" w:name="_Toc25582"/>
      <w:bookmarkStart w:id="479" w:name="_Toc11387"/>
      <w:bookmarkStart w:id="480" w:name="_Toc15351"/>
      <w:bookmarkStart w:id="481" w:name="_Toc9433"/>
      <w:r>
        <w:rPr>
          <w:b/>
          <w:sz w:val="24"/>
          <w:szCs w:val="32"/>
        </w:rPr>
        <w:t>1</w:t>
      </w:r>
      <w:r>
        <w:rPr>
          <w:rFonts w:hint="default"/>
          <w:b/>
          <w:sz w:val="24"/>
          <w:szCs w:val="32"/>
          <w:lang w:val="en-US" w:eastAsia="zh-CN"/>
        </w:rPr>
        <w:t>4</w:t>
      </w:r>
      <w:r>
        <w:rPr>
          <w:b/>
          <w:sz w:val="24"/>
          <w:szCs w:val="32"/>
        </w:rPr>
        <w:t>.1一般规定</w:t>
      </w:r>
      <w:bookmarkEnd w:id="474"/>
      <w:bookmarkEnd w:id="475"/>
      <w:bookmarkEnd w:id="476"/>
      <w:bookmarkEnd w:id="477"/>
      <w:bookmarkEnd w:id="478"/>
      <w:bookmarkEnd w:id="479"/>
      <w:bookmarkEnd w:id="480"/>
      <w:bookmarkEnd w:id="481"/>
    </w:p>
    <w:p w14:paraId="70FD3943">
      <w:pPr>
        <w:snapToGrid w:val="0"/>
        <w:spacing w:line="300" w:lineRule="auto"/>
        <w:rPr>
          <w:rFonts w:hint="eastAsia" w:ascii="黑体" w:hAnsi="宋体" w:eastAsia="黑体" w:cs="黑体"/>
          <w:color w:val="000000"/>
          <w:sz w:val="22"/>
          <w:szCs w:val="22"/>
        </w:rPr>
      </w:pPr>
      <w:r>
        <w:rPr>
          <w:b/>
          <w:bCs/>
          <w:sz w:val="24"/>
        </w:rPr>
        <w:t>1</w:t>
      </w:r>
      <w:r>
        <w:rPr>
          <w:rFonts w:hint="eastAsia"/>
          <w:b/>
          <w:bCs/>
          <w:sz w:val="24"/>
          <w:lang w:val="en-US" w:eastAsia="zh-CN"/>
        </w:rPr>
        <w:t>4</w:t>
      </w:r>
      <w:r>
        <w:rPr>
          <w:b/>
          <w:bCs/>
          <w:sz w:val="24"/>
        </w:rPr>
        <w:t>.1.1</w:t>
      </w:r>
      <w:r>
        <w:rPr>
          <w:rFonts w:hint="eastAsia"/>
          <w:sz w:val="24"/>
        </w:rPr>
        <w:t xml:space="preserve"> </w:t>
      </w:r>
      <w:r>
        <w:rPr>
          <w:sz w:val="24"/>
        </w:rPr>
        <w:t>建筑光伏系统经验收合格后</w:t>
      </w:r>
      <w:r>
        <w:rPr>
          <w:rFonts w:hint="eastAsia"/>
          <w:sz w:val="24"/>
        </w:rPr>
        <w:t>，</w:t>
      </w:r>
      <w:r>
        <w:rPr>
          <w:sz w:val="24"/>
        </w:rPr>
        <w:t>在系统投用前</w:t>
      </w:r>
      <w:r>
        <w:rPr>
          <w:rFonts w:hint="eastAsia"/>
          <w:sz w:val="24"/>
        </w:rPr>
        <w:t>，</w:t>
      </w:r>
      <w:r>
        <w:rPr>
          <w:sz w:val="24"/>
        </w:rPr>
        <w:t>应制定运行与维护技术手册</w:t>
      </w:r>
      <w:r>
        <w:rPr>
          <w:rFonts w:hint="eastAsia" w:ascii="黑体" w:hAnsi="宋体" w:eastAsia="黑体" w:cs="黑体"/>
          <w:color w:val="000000"/>
          <w:sz w:val="22"/>
          <w:szCs w:val="22"/>
        </w:rPr>
        <w:t>。</w:t>
      </w:r>
    </w:p>
    <w:p w14:paraId="1BA6B7E8">
      <w:pPr>
        <w:snapToGrid w:val="0"/>
        <w:spacing w:line="300" w:lineRule="auto"/>
        <w:rPr>
          <w:sz w:val="24"/>
        </w:rPr>
      </w:pPr>
      <w:r>
        <w:rPr>
          <w:b/>
          <w:bCs/>
          <w:sz w:val="24"/>
        </w:rPr>
        <w:t>1</w:t>
      </w:r>
      <w:r>
        <w:rPr>
          <w:rFonts w:hint="eastAsia"/>
          <w:b/>
          <w:bCs/>
          <w:sz w:val="24"/>
          <w:lang w:val="en-US" w:eastAsia="zh-CN"/>
        </w:rPr>
        <w:t>4</w:t>
      </w:r>
      <w:r>
        <w:rPr>
          <w:b/>
          <w:bCs/>
          <w:sz w:val="24"/>
        </w:rPr>
        <w:t>.1.</w:t>
      </w:r>
      <w:r>
        <w:rPr>
          <w:rFonts w:hint="eastAsia"/>
          <w:b/>
          <w:bCs/>
          <w:sz w:val="24"/>
        </w:rPr>
        <w:t>2</w:t>
      </w:r>
      <w:r>
        <w:rPr>
          <w:rFonts w:hint="eastAsia"/>
          <w:sz w:val="24"/>
        </w:rPr>
        <w:t xml:space="preserve"> </w:t>
      </w:r>
      <w:r>
        <w:rPr>
          <w:sz w:val="24"/>
        </w:rPr>
        <w:t>建筑光伏系统正式投运前，应编制现场运行与维护规程并应对运行与维护人员进行培训</w:t>
      </w:r>
      <w:r>
        <w:rPr>
          <w:rFonts w:hint="eastAsia"/>
          <w:sz w:val="24"/>
          <w:lang w:eastAsia="zh-CN"/>
        </w:rPr>
        <w:t>，</w:t>
      </w:r>
      <w:r>
        <w:rPr>
          <w:rFonts w:hint="eastAsia"/>
          <w:sz w:val="24"/>
          <w:lang w:val="en-US" w:eastAsia="zh-CN"/>
        </w:rPr>
        <w:t>达到</w:t>
      </w:r>
      <w:r>
        <w:rPr>
          <w:sz w:val="24"/>
        </w:rPr>
        <w:t>相应的专业技能。</w:t>
      </w:r>
    </w:p>
    <w:p w14:paraId="3F07CF66">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4042EA89">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 xml:space="preserve"> 本条专业技能指国家规定的各种操作资格，主要包括</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特种作业操作证（电工）、国家职业资格证（电工或太阳能利用工）、电工进网作业许可证；400V以上电压等级接入电网的光伏系统运维人员应具有高压类职业资格证</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接入公共电网的光伏系统运维人员应具有电工进网作业许可证。</w:t>
      </w:r>
    </w:p>
    <w:p w14:paraId="5283D4BC">
      <w:pPr>
        <w:snapToGrid w:val="0"/>
        <w:spacing w:line="300" w:lineRule="auto"/>
        <w:rPr>
          <w:sz w:val="24"/>
        </w:rPr>
      </w:pPr>
      <w:r>
        <w:rPr>
          <w:b/>
          <w:bCs/>
          <w:sz w:val="24"/>
        </w:rPr>
        <w:t>1</w:t>
      </w:r>
      <w:r>
        <w:rPr>
          <w:rFonts w:hint="eastAsia"/>
          <w:b/>
          <w:bCs/>
          <w:sz w:val="24"/>
          <w:lang w:val="en-US" w:eastAsia="zh-CN"/>
        </w:rPr>
        <w:t>4</w:t>
      </w:r>
      <w:r>
        <w:rPr>
          <w:b/>
          <w:bCs/>
          <w:sz w:val="24"/>
        </w:rPr>
        <w:t>.1.</w:t>
      </w:r>
      <w:r>
        <w:rPr>
          <w:rFonts w:hint="eastAsia"/>
          <w:b/>
          <w:bCs/>
          <w:sz w:val="24"/>
          <w:lang w:val="en-US" w:eastAsia="zh-CN"/>
        </w:rPr>
        <w:t>3</w:t>
      </w:r>
      <w:r>
        <w:rPr>
          <w:sz w:val="24"/>
        </w:rPr>
        <w:t xml:space="preserve"> 建筑光伏系统主要部件在运行期间</w:t>
      </w:r>
      <w:r>
        <w:rPr>
          <w:rFonts w:hint="eastAsia"/>
          <w:sz w:val="24"/>
        </w:rPr>
        <w:t>，</w:t>
      </w:r>
      <w:r>
        <w:rPr>
          <w:sz w:val="24"/>
        </w:rPr>
        <w:t>应始终符合国家现行有关产品标准的规定</w:t>
      </w:r>
      <w:r>
        <w:rPr>
          <w:rFonts w:hint="eastAsia"/>
          <w:sz w:val="24"/>
        </w:rPr>
        <w:t>，</w:t>
      </w:r>
      <w:r>
        <w:rPr>
          <w:sz w:val="24"/>
        </w:rPr>
        <w:t>达不到要求的部件应及时维修或更换。</w:t>
      </w:r>
    </w:p>
    <w:p w14:paraId="6454A3EC">
      <w:pPr>
        <w:snapToGrid w:val="0"/>
        <w:spacing w:line="300" w:lineRule="auto"/>
        <w:rPr>
          <w:rFonts w:hint="eastAsia" w:ascii="仿宋" w:hAnsi="仿宋" w:eastAsia="仿宋" w:cs="仿宋"/>
          <w:i/>
          <w:iCs/>
          <w:color w:val="0623BA"/>
          <w:sz w:val="24"/>
        </w:rPr>
      </w:pPr>
      <w:r>
        <w:rPr>
          <w:rFonts w:hint="default" w:ascii="仿宋" w:hAnsi="仿宋" w:eastAsia="仿宋" w:cs="仿宋"/>
          <w:b/>
          <w:bCs/>
          <w:i/>
          <w:iCs/>
          <w:color w:val="0623BA"/>
          <w:sz w:val="24"/>
          <w:highlight w:val="none"/>
        </w:rPr>
        <w:t>1</w:t>
      </w:r>
      <w:r>
        <w:rPr>
          <w:rFonts w:hint="eastAsia" w:ascii="仿宋" w:hAnsi="仿宋" w:eastAsia="仿宋" w:cs="仿宋"/>
          <w:b/>
          <w:bCs/>
          <w:i/>
          <w:iCs/>
          <w:color w:val="0623BA"/>
          <w:sz w:val="24"/>
          <w:highlight w:val="none"/>
          <w:lang w:eastAsia="zh-CN"/>
        </w:rPr>
        <w:t>4</w:t>
      </w:r>
      <w:r>
        <w:rPr>
          <w:rFonts w:hint="default" w:ascii="仿宋" w:hAnsi="仿宋" w:eastAsia="仿宋" w:cs="仿宋"/>
          <w:b/>
          <w:bCs/>
          <w:i/>
          <w:iCs/>
          <w:color w:val="0623BA"/>
          <w:sz w:val="24"/>
          <w:highlight w:val="none"/>
        </w:rPr>
        <w:t>.1.</w:t>
      </w:r>
      <w:r>
        <w:rPr>
          <w:rFonts w:hint="eastAsia" w:ascii="仿宋" w:hAnsi="仿宋" w:eastAsia="仿宋" w:cs="仿宋"/>
          <w:b/>
          <w:bCs/>
          <w:i/>
          <w:iCs/>
          <w:color w:val="0623BA"/>
          <w:sz w:val="24"/>
          <w:highlight w:val="none"/>
          <w:lang w:eastAsia="zh-CN"/>
        </w:rPr>
        <w:t>3</w:t>
      </w:r>
      <w:r>
        <w:rPr>
          <w:rFonts w:hint="eastAsia" w:ascii="仿宋" w:hAnsi="仿宋" w:eastAsia="仿宋" w:cs="仿宋"/>
          <w:i/>
          <w:iCs/>
          <w:color w:val="0623BA"/>
          <w:sz w:val="24"/>
          <w:lang w:eastAsia="zh-CN"/>
        </w:rPr>
        <w:t>建筑集成光伏发电系统</w:t>
      </w:r>
      <w:r>
        <w:rPr>
          <w:rFonts w:hint="eastAsia" w:ascii="仿宋" w:hAnsi="仿宋" w:eastAsia="仿宋" w:cs="仿宋"/>
          <w:i/>
          <w:iCs/>
          <w:color w:val="0623BA"/>
          <w:sz w:val="24"/>
        </w:rPr>
        <w:t>的主要部件包括光伏组件、支撑结构、直流汇流箱、直流配电柜、控制器、逆变器、交流配电柜及线路、建筑结合部件、储能装置、数据通信系统等,各个部件的使用寿命、使用环境、产品性能等参数不尽相同。为保证建筑集成光伏发电系统的运行</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各个部件均应按照产品标准的规定来使用。对不能正常使用的部件</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需要及时维修、更换</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防止事故发生。</w:t>
      </w:r>
    </w:p>
    <w:p w14:paraId="712E9A89">
      <w:pPr>
        <w:snapToGrid w:val="0"/>
        <w:spacing w:line="300" w:lineRule="auto"/>
        <w:rPr>
          <w:sz w:val="24"/>
        </w:rPr>
      </w:pPr>
      <w:r>
        <w:rPr>
          <w:b/>
          <w:bCs/>
          <w:sz w:val="24"/>
        </w:rPr>
        <w:t>1</w:t>
      </w:r>
      <w:r>
        <w:rPr>
          <w:rFonts w:hint="eastAsia"/>
          <w:b/>
          <w:bCs/>
          <w:sz w:val="24"/>
          <w:lang w:val="en-US" w:eastAsia="zh-CN"/>
        </w:rPr>
        <w:t>4</w:t>
      </w:r>
      <w:r>
        <w:rPr>
          <w:b/>
          <w:bCs/>
          <w:sz w:val="24"/>
        </w:rPr>
        <w:t>.1.</w:t>
      </w:r>
      <w:r>
        <w:rPr>
          <w:rFonts w:hint="eastAsia"/>
          <w:b/>
          <w:bCs/>
          <w:sz w:val="24"/>
          <w:lang w:val="en-US" w:eastAsia="zh-CN"/>
        </w:rPr>
        <w:t>4</w:t>
      </w:r>
      <w:r>
        <w:rPr>
          <w:rFonts w:hint="eastAsia"/>
          <w:sz w:val="24"/>
        </w:rPr>
        <w:t xml:space="preserve"> </w:t>
      </w:r>
      <w:r>
        <w:rPr>
          <w:sz w:val="24"/>
        </w:rPr>
        <w:t>建筑光伏系统中的计量设备和器具应符合计量的要求。</w:t>
      </w:r>
    </w:p>
    <w:p w14:paraId="71BC5881">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1D500413">
      <w:pPr>
        <w:snapToGrid w:val="0"/>
        <w:spacing w:line="300" w:lineRule="auto"/>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 xml:space="preserve"> 建筑光伏系统中的计量设备应符合国家现行有关规定</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以便今后获得相关的政策补贴。</w:t>
      </w:r>
    </w:p>
    <w:p w14:paraId="2B8F8FD6">
      <w:pPr>
        <w:snapToGrid w:val="0"/>
        <w:spacing w:line="300" w:lineRule="auto"/>
        <w:rPr>
          <w:rFonts w:hint="default" w:eastAsia="宋体"/>
          <w:sz w:val="24"/>
          <w:lang w:val="en-US" w:eastAsia="zh-CN"/>
        </w:rPr>
      </w:pPr>
      <w:r>
        <w:rPr>
          <w:b/>
          <w:bCs/>
          <w:sz w:val="24"/>
        </w:rPr>
        <w:t>1</w:t>
      </w:r>
      <w:r>
        <w:rPr>
          <w:rFonts w:hint="eastAsia"/>
          <w:b/>
          <w:bCs/>
          <w:sz w:val="24"/>
          <w:lang w:val="en-US" w:eastAsia="zh-CN"/>
        </w:rPr>
        <w:t>4</w:t>
      </w:r>
      <w:r>
        <w:rPr>
          <w:b/>
          <w:bCs/>
          <w:sz w:val="24"/>
        </w:rPr>
        <w:t>.1.</w:t>
      </w:r>
      <w:r>
        <w:rPr>
          <w:rFonts w:hint="eastAsia"/>
          <w:b/>
          <w:bCs/>
          <w:sz w:val="24"/>
          <w:lang w:val="en-US" w:eastAsia="zh-CN"/>
        </w:rPr>
        <w:t>5</w:t>
      </w:r>
      <w:r>
        <w:rPr>
          <w:rFonts w:hint="eastAsia"/>
          <w:b/>
          <w:bCs/>
          <w:sz w:val="24"/>
        </w:rPr>
        <w:t xml:space="preserve"> </w:t>
      </w:r>
      <w:r>
        <w:rPr>
          <w:sz w:val="24"/>
        </w:rPr>
        <w:t>建筑光伏系统</w:t>
      </w:r>
      <w:r>
        <w:rPr>
          <w:rFonts w:hint="eastAsia"/>
          <w:sz w:val="24"/>
          <w:lang w:val="en-US" w:eastAsia="zh-CN"/>
        </w:rPr>
        <w:t>的运营与维护应</w:t>
      </w:r>
      <w:r>
        <w:rPr>
          <w:rFonts w:hint="eastAsia"/>
          <w:sz w:val="24"/>
          <w:highlight w:val="none"/>
          <w:lang w:val="en-US" w:eastAsia="zh-CN"/>
        </w:rPr>
        <w:t>符合《</w:t>
      </w:r>
      <w:r>
        <w:rPr>
          <w:rFonts w:hint="eastAsia"/>
          <w:sz w:val="24"/>
          <w:highlight w:val="none"/>
        </w:rPr>
        <w:t>建筑光伏系统应用技术标准</w:t>
      </w:r>
      <w:r>
        <w:rPr>
          <w:rFonts w:hint="eastAsia"/>
          <w:sz w:val="24"/>
          <w:highlight w:val="none"/>
          <w:lang w:val="en-US" w:eastAsia="zh-CN"/>
        </w:rPr>
        <w:t>》</w:t>
      </w:r>
      <w:r>
        <w:rPr>
          <w:sz w:val="24"/>
          <w:highlight w:val="none"/>
        </w:rPr>
        <w:t>GB/T51368</w:t>
      </w:r>
      <w:r>
        <w:rPr>
          <w:rFonts w:hint="eastAsia"/>
          <w:sz w:val="24"/>
          <w:highlight w:val="none"/>
          <w:lang w:val="en-US" w:eastAsia="zh-CN"/>
        </w:rPr>
        <w:t>的相关规定。</w:t>
      </w:r>
    </w:p>
    <w:p w14:paraId="2CAE5696">
      <w:pPr>
        <w:snapToGrid w:val="0"/>
        <w:spacing w:line="300" w:lineRule="auto"/>
        <w:rPr>
          <w:sz w:val="24"/>
        </w:rPr>
      </w:pPr>
      <w:r>
        <w:rPr>
          <w:b/>
          <w:bCs/>
          <w:sz w:val="24"/>
        </w:rPr>
        <w:t>1</w:t>
      </w:r>
      <w:r>
        <w:rPr>
          <w:rFonts w:hint="eastAsia"/>
          <w:b/>
          <w:bCs/>
          <w:sz w:val="24"/>
          <w:lang w:val="en-US" w:eastAsia="zh-CN"/>
        </w:rPr>
        <w:t>4</w:t>
      </w:r>
      <w:r>
        <w:rPr>
          <w:b/>
          <w:bCs/>
          <w:sz w:val="24"/>
        </w:rPr>
        <w:t>.1.</w:t>
      </w:r>
      <w:r>
        <w:rPr>
          <w:rFonts w:hint="eastAsia"/>
          <w:b/>
          <w:bCs/>
          <w:sz w:val="24"/>
          <w:lang w:val="en-US" w:eastAsia="zh-CN"/>
        </w:rPr>
        <w:t>6</w:t>
      </w:r>
      <w:r>
        <w:rPr>
          <w:rFonts w:hint="eastAsia"/>
          <w:b/>
          <w:bCs/>
          <w:sz w:val="24"/>
        </w:rPr>
        <w:t xml:space="preserve"> </w:t>
      </w:r>
      <w:r>
        <w:rPr>
          <w:sz w:val="24"/>
        </w:rPr>
        <w:t>建筑光伏系统运行与维护应符合现行国家标准《光伏发电站安全规程》GB/T35694、《低压电气装置第4-41部分：安全防护电击防护》GB16895.21、《电气设备应用场所的安全要求第1部分：总则》GB/T24612.1、《电气设备应用场所的安全要求第2部分：在断电状态下操作的安全措施》GB/T24612.2和《配电线路带电作业技术导则》GB/T18857的有关规定。</w:t>
      </w:r>
    </w:p>
    <w:p w14:paraId="2730A8DE">
      <w:pPr>
        <w:snapToGrid w:val="0"/>
        <w:spacing w:line="300" w:lineRule="auto"/>
        <w:jc w:val="left"/>
        <w:rPr>
          <w:sz w:val="24"/>
        </w:rPr>
      </w:pPr>
      <w:r>
        <w:rPr>
          <w:rFonts w:hint="eastAsia"/>
          <w:b/>
          <w:bCs/>
          <w:sz w:val="24"/>
        </w:rPr>
        <w:t>1</w:t>
      </w:r>
      <w:r>
        <w:rPr>
          <w:rFonts w:hint="eastAsia"/>
          <w:b/>
          <w:bCs/>
          <w:sz w:val="24"/>
          <w:lang w:val="en-US" w:eastAsia="zh-CN"/>
        </w:rPr>
        <w:t>4</w:t>
      </w:r>
      <w:r>
        <w:rPr>
          <w:rFonts w:hint="eastAsia"/>
          <w:b/>
          <w:bCs/>
          <w:sz w:val="24"/>
        </w:rPr>
        <w:t>.1.</w:t>
      </w:r>
      <w:r>
        <w:rPr>
          <w:rFonts w:hint="eastAsia"/>
          <w:b/>
          <w:bCs/>
          <w:sz w:val="24"/>
          <w:lang w:val="en-US" w:eastAsia="zh-CN"/>
        </w:rPr>
        <w:t>7</w:t>
      </w:r>
      <w:r>
        <w:rPr>
          <w:rFonts w:hint="eastAsia"/>
          <w:sz w:val="24"/>
        </w:rPr>
        <w:t xml:space="preserve"> 新投入运行的设备应进行核相，无误后方可进行并列运行。由于检修或更换设备引起接线变动时，也应进行核相。</w:t>
      </w:r>
    </w:p>
    <w:p w14:paraId="1FAFCB01">
      <w:pPr>
        <w:snapToGrid w:val="0"/>
        <w:spacing w:line="300" w:lineRule="auto"/>
        <w:rPr>
          <w:rFonts w:hint="eastAsia"/>
          <w:sz w:val="24"/>
          <w:highlight w:val="yellow"/>
        </w:rPr>
      </w:pPr>
      <w:r>
        <w:rPr>
          <w:rFonts w:hint="eastAsia"/>
          <w:b/>
          <w:bCs/>
          <w:sz w:val="24"/>
        </w:rPr>
        <w:t>1</w:t>
      </w:r>
      <w:r>
        <w:rPr>
          <w:rFonts w:hint="eastAsia"/>
          <w:b/>
          <w:bCs/>
          <w:sz w:val="24"/>
          <w:lang w:val="en-US" w:eastAsia="zh-CN"/>
        </w:rPr>
        <w:t>4</w:t>
      </w:r>
      <w:r>
        <w:rPr>
          <w:rFonts w:hint="eastAsia"/>
          <w:b/>
          <w:bCs/>
          <w:sz w:val="24"/>
        </w:rPr>
        <w:t>.1.</w:t>
      </w:r>
      <w:r>
        <w:rPr>
          <w:rFonts w:hint="eastAsia"/>
          <w:b/>
          <w:bCs/>
          <w:sz w:val="24"/>
          <w:lang w:val="en-US" w:eastAsia="zh-CN"/>
        </w:rPr>
        <w:t>8</w:t>
      </w:r>
      <w:r>
        <w:rPr>
          <w:rFonts w:hint="eastAsia"/>
          <w:sz w:val="24"/>
        </w:rPr>
        <w:t xml:space="preserve"> 建筑光伏系统运行和维护的全部过程应进行记录，所有记录应存档并应对每次故障记录进行分析。当建筑光伏系统设备故障时，运行人员应详细记录故障发生的时间、故障现象，协助检修人员进行维护工作</w:t>
      </w:r>
      <w:r>
        <w:rPr>
          <w:rFonts w:hint="eastAsia"/>
          <w:sz w:val="24"/>
          <w:lang w:eastAsia="zh-CN"/>
        </w:rPr>
        <w:t>。</w:t>
      </w:r>
      <w:r>
        <w:rPr>
          <w:rFonts w:hint="eastAsia"/>
          <w:sz w:val="24"/>
        </w:rPr>
        <w:t>故障排除后，检修人员应将出现故障的设备名称、故障现象描述、故障时间、处理方法、备品配件更换情况、检修人员及检修时间等详细情况记入检修台账中，为分析建筑光伏系统运行状况和制定检修方案提供依据。建筑光伏系统的故障处理</w:t>
      </w:r>
      <w:r>
        <w:rPr>
          <w:rFonts w:hint="eastAsia"/>
          <w:sz w:val="24"/>
          <w:lang w:val="en-US" w:eastAsia="zh-CN"/>
        </w:rPr>
        <w:t>参见本标准附录C。</w:t>
      </w:r>
    </w:p>
    <w:p w14:paraId="72D2ED16">
      <w:pPr>
        <w:snapToGrid w:val="0"/>
        <w:spacing w:line="300" w:lineRule="auto"/>
        <w:jc w:val="left"/>
        <w:rPr>
          <w:rFonts w:hint="eastAsia" w:ascii="仿宋" w:hAnsi="仿宋" w:eastAsia="仿宋" w:cs="仿宋"/>
          <w:b/>
          <w:bCs/>
          <w:i/>
          <w:iCs/>
          <w:color w:val="0623BA"/>
          <w:sz w:val="24"/>
          <w:highlight w:val="yellow"/>
        </w:rPr>
      </w:pPr>
      <w:r>
        <w:rPr>
          <w:rFonts w:hint="eastAsia" w:ascii="仿宋" w:hAnsi="仿宋" w:eastAsia="仿宋" w:cs="仿宋"/>
          <w:b/>
          <w:bCs/>
          <w:i/>
          <w:iCs/>
          <w:color w:val="0623BA"/>
          <w:sz w:val="24"/>
        </w:rPr>
        <w:t>【条文说明】</w:t>
      </w:r>
    </w:p>
    <w:p w14:paraId="7A0A4903">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8</w:t>
      </w:r>
      <w:r>
        <w:rPr>
          <w:rFonts w:hint="eastAsia" w:ascii="仿宋" w:hAnsi="仿宋" w:eastAsia="仿宋" w:cs="仿宋"/>
          <w:i/>
          <w:iCs/>
          <w:color w:val="0623BA"/>
          <w:sz w:val="24"/>
        </w:rPr>
        <w:t xml:space="preserve"> 为了衡量系统的性能以及做好管理工作</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建筑光伏系统运行和维护的全过程需做好详细的记录。</w:t>
      </w:r>
    </w:p>
    <w:p w14:paraId="4800FA90">
      <w:pPr>
        <w:pStyle w:val="2"/>
        <w:spacing w:after="0" w:line="300" w:lineRule="auto"/>
        <w:rPr>
          <w:rFonts w:hint="default" w:eastAsia="宋体"/>
          <w:sz w:val="24"/>
          <w:lang w:val="en-US" w:eastAsia="zh-CN"/>
        </w:rPr>
      </w:pPr>
      <w:r>
        <w:rPr>
          <w:rFonts w:hint="eastAsia" w:ascii="Times New Roman" w:hAnsi="Times New Roman" w:eastAsia="宋体" w:cs="Times New Roman"/>
          <w:b/>
          <w:bCs/>
          <w:i w:val="0"/>
          <w:iCs w:val="0"/>
          <w:color w:val="auto"/>
          <w:sz w:val="24"/>
          <w:lang w:val="en-US" w:eastAsia="zh-CN"/>
        </w:rPr>
        <w:t>1</w:t>
      </w:r>
      <w:r>
        <w:rPr>
          <w:rFonts w:hint="eastAsia" w:cs="Times New Roman"/>
          <w:b/>
          <w:bCs/>
          <w:i w:val="0"/>
          <w:iCs w:val="0"/>
          <w:color w:val="auto"/>
          <w:sz w:val="24"/>
          <w:lang w:val="en-US" w:eastAsia="zh-CN"/>
        </w:rPr>
        <w:t>4</w:t>
      </w:r>
      <w:r>
        <w:rPr>
          <w:rFonts w:hint="eastAsia" w:ascii="Times New Roman" w:hAnsi="Times New Roman" w:eastAsia="宋体" w:cs="Times New Roman"/>
          <w:b/>
          <w:bCs/>
          <w:i w:val="0"/>
          <w:iCs w:val="0"/>
          <w:color w:val="auto"/>
          <w:sz w:val="24"/>
          <w:lang w:val="en-US" w:eastAsia="zh-CN"/>
        </w:rPr>
        <w:t>.1.</w:t>
      </w:r>
      <w:r>
        <w:rPr>
          <w:rFonts w:hint="eastAsia" w:cs="Times New Roman"/>
          <w:b/>
          <w:bCs/>
          <w:i w:val="0"/>
          <w:iCs w:val="0"/>
          <w:sz w:val="24"/>
          <w:lang w:val="en-US" w:eastAsia="zh-CN"/>
        </w:rPr>
        <w:t>9</w:t>
      </w:r>
      <w:r>
        <w:rPr>
          <w:rFonts w:hint="eastAsia" w:ascii="Times New Roman" w:hAnsi="Times New Roman" w:eastAsia="宋体" w:cs="Times New Roman"/>
          <w:i w:val="0"/>
          <w:iCs w:val="0"/>
          <w:color w:val="auto"/>
          <w:sz w:val="24"/>
          <w:lang w:val="en-US" w:eastAsia="zh-CN"/>
        </w:rPr>
        <w:t xml:space="preserve"> 光伏</w:t>
      </w:r>
      <w:r>
        <w:rPr>
          <w:rFonts w:hint="eastAsia"/>
          <w:kern w:val="2"/>
          <w:sz w:val="24"/>
          <w:vertAlign w:val="baseline"/>
          <w:lang w:val="en-US" w:eastAsia="zh-CN"/>
        </w:rPr>
        <w:t>小型系统由专业运维单位统一管理，中大型系统宜建立管理团队管理。</w:t>
      </w:r>
    </w:p>
    <w:p w14:paraId="37FD9ED0">
      <w:pPr>
        <w:keepNext/>
        <w:keepLines/>
        <w:spacing w:before="95" w:beforeLines="30" w:after="95" w:afterLines="30" w:line="300" w:lineRule="auto"/>
        <w:ind w:firstLine="0" w:firstLineChars="0"/>
        <w:jc w:val="center"/>
        <w:outlineLvl w:val="2"/>
        <w:rPr>
          <w:rFonts w:hint="default" w:eastAsia="宋体"/>
          <w:b/>
          <w:sz w:val="24"/>
          <w:szCs w:val="32"/>
          <w:lang w:val="en-US" w:eastAsia="zh-CN"/>
        </w:rPr>
      </w:pPr>
      <w:bookmarkStart w:id="482" w:name="_Toc29417"/>
      <w:bookmarkStart w:id="483" w:name="_Toc20878"/>
      <w:bookmarkStart w:id="484" w:name="_Toc17810"/>
      <w:bookmarkStart w:id="485" w:name="_Toc4770"/>
      <w:bookmarkStart w:id="486" w:name="_Toc21285"/>
      <w:bookmarkStart w:id="487" w:name="_Toc14294"/>
      <w:bookmarkStart w:id="488" w:name="_Toc14150"/>
      <w:bookmarkStart w:id="489" w:name="_Toc15147"/>
      <w:r>
        <w:rPr>
          <w:rFonts w:hint="default"/>
          <w:b/>
          <w:sz w:val="24"/>
          <w:szCs w:val="32"/>
        </w:rPr>
        <w:t>1</w:t>
      </w:r>
      <w:r>
        <w:rPr>
          <w:rFonts w:hint="default"/>
          <w:b/>
          <w:sz w:val="24"/>
          <w:szCs w:val="32"/>
          <w:lang w:val="en-US" w:eastAsia="zh-CN"/>
        </w:rPr>
        <w:t>4</w:t>
      </w:r>
      <w:r>
        <w:rPr>
          <w:rFonts w:hint="default"/>
          <w:b/>
          <w:sz w:val="24"/>
          <w:szCs w:val="32"/>
        </w:rPr>
        <w:t xml:space="preserve">.2 </w:t>
      </w:r>
      <w:r>
        <w:rPr>
          <w:rFonts w:hint="default"/>
          <w:b/>
          <w:sz w:val="24"/>
          <w:szCs w:val="32"/>
          <w:lang w:val="en-US" w:eastAsia="zh-CN"/>
        </w:rPr>
        <w:t>建筑</w:t>
      </w:r>
      <w:r>
        <w:rPr>
          <w:rFonts w:hint="default"/>
          <w:b/>
          <w:sz w:val="24"/>
          <w:szCs w:val="32"/>
        </w:rPr>
        <w:t>运行管理</w:t>
      </w:r>
      <w:bookmarkEnd w:id="482"/>
      <w:bookmarkEnd w:id="483"/>
      <w:r>
        <w:rPr>
          <w:rFonts w:hint="default"/>
          <w:b/>
          <w:sz w:val="24"/>
          <w:szCs w:val="32"/>
          <w:lang w:val="en-US" w:eastAsia="zh-CN"/>
        </w:rPr>
        <w:t>与维护</w:t>
      </w:r>
      <w:bookmarkEnd w:id="484"/>
      <w:bookmarkEnd w:id="485"/>
      <w:bookmarkEnd w:id="486"/>
      <w:bookmarkEnd w:id="487"/>
      <w:bookmarkEnd w:id="488"/>
      <w:bookmarkEnd w:id="489"/>
    </w:p>
    <w:p w14:paraId="360DF559">
      <w:pPr>
        <w:snapToGrid w:val="0"/>
        <w:spacing w:line="300" w:lineRule="auto"/>
        <w:rPr>
          <w:sz w:val="24"/>
        </w:rPr>
      </w:pPr>
      <w:r>
        <w:rPr>
          <w:b/>
          <w:bCs/>
          <w:sz w:val="24"/>
        </w:rPr>
        <w:t>1</w:t>
      </w:r>
      <w:r>
        <w:rPr>
          <w:rFonts w:hint="eastAsia"/>
          <w:b/>
          <w:bCs/>
          <w:sz w:val="24"/>
          <w:lang w:val="en-US" w:eastAsia="zh-CN"/>
        </w:rPr>
        <w:t>4</w:t>
      </w:r>
      <w:r>
        <w:rPr>
          <w:b/>
          <w:bCs/>
          <w:sz w:val="24"/>
        </w:rPr>
        <w:t>.</w:t>
      </w:r>
      <w:r>
        <w:rPr>
          <w:rFonts w:hint="eastAsia"/>
          <w:b/>
          <w:bCs/>
          <w:sz w:val="24"/>
          <w:lang w:val="en-US" w:eastAsia="zh-CN"/>
        </w:rPr>
        <w:t>2</w:t>
      </w:r>
      <w:r>
        <w:rPr>
          <w:b/>
          <w:bCs/>
          <w:sz w:val="24"/>
        </w:rPr>
        <w:t>.</w:t>
      </w:r>
      <w:r>
        <w:rPr>
          <w:rFonts w:hint="eastAsia"/>
          <w:b/>
          <w:bCs/>
          <w:sz w:val="24"/>
          <w:lang w:val="en-US" w:eastAsia="zh-CN"/>
        </w:rPr>
        <w:t>1</w:t>
      </w:r>
      <w:r>
        <w:rPr>
          <w:sz w:val="24"/>
        </w:rPr>
        <w:t xml:space="preserve"> 建筑光伏系统的主要部件周围不得堆积易燃易爆物品</w:t>
      </w:r>
      <w:r>
        <w:rPr>
          <w:rFonts w:hint="eastAsia"/>
          <w:sz w:val="24"/>
        </w:rPr>
        <w:t>，</w:t>
      </w:r>
      <w:r>
        <w:rPr>
          <w:sz w:val="24"/>
        </w:rPr>
        <w:t>设备本身及周围环境应散热良好</w:t>
      </w:r>
      <w:r>
        <w:rPr>
          <w:rFonts w:hint="eastAsia"/>
          <w:sz w:val="24"/>
        </w:rPr>
        <w:t>。</w:t>
      </w:r>
      <w:r>
        <w:rPr>
          <w:rFonts w:hint="eastAsia"/>
          <w:sz w:val="24"/>
          <w:lang w:val="en-US" w:eastAsia="zh-CN"/>
        </w:rPr>
        <w:t>设备</w:t>
      </w:r>
      <w:r>
        <w:rPr>
          <w:sz w:val="24"/>
        </w:rPr>
        <w:t>上的灰尘和污物应及时清理。</w:t>
      </w:r>
    </w:p>
    <w:p w14:paraId="059178B3">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6832F62">
      <w:pPr>
        <w:pStyle w:val="2"/>
        <w:spacing w:line="300" w:lineRule="auto"/>
        <w:rPr>
          <w:rFonts w:hint="eastAsia" w:ascii="仿宋" w:hAnsi="仿宋" w:eastAsia="仿宋" w:cs="仿宋"/>
          <w:i/>
          <w:iCs/>
          <w:color w:val="0623BA"/>
          <w:sz w:val="24"/>
        </w:rPr>
      </w:pPr>
      <w:r>
        <w:rPr>
          <w:rFonts w:hint="eastAsia" w:ascii="仿宋" w:hAnsi="仿宋" w:eastAsia="仿宋" w:cs="仿宋"/>
          <w:b w:val="0"/>
          <w:bCs w:val="0"/>
          <w:i/>
          <w:iCs/>
          <w:color w:val="0623BA"/>
          <w:sz w:val="24"/>
        </w:rPr>
        <w:t>1</w:t>
      </w:r>
      <w:r>
        <w:rPr>
          <w:rFonts w:hint="eastAsia" w:ascii="仿宋" w:hAnsi="仿宋" w:eastAsia="仿宋" w:cs="仿宋"/>
          <w:b w:val="0"/>
          <w:bCs w:val="0"/>
          <w:i/>
          <w:iCs/>
          <w:color w:val="0623BA"/>
          <w:sz w:val="24"/>
          <w:lang w:eastAsia="zh-CN"/>
        </w:rPr>
        <w:t>4</w:t>
      </w:r>
      <w:r>
        <w:rPr>
          <w:rFonts w:hint="eastAsia" w:ascii="仿宋" w:hAnsi="仿宋" w:eastAsia="仿宋" w:cs="仿宋"/>
          <w:b w:val="0"/>
          <w:bCs w:val="0"/>
          <w:i/>
          <w:iCs/>
          <w:color w:val="0623BA"/>
          <w:sz w:val="24"/>
        </w:rPr>
        <w:t>.</w:t>
      </w:r>
      <w:r>
        <w:rPr>
          <w:rFonts w:hint="eastAsia" w:ascii="仿宋" w:hAnsi="仿宋" w:eastAsia="仿宋" w:cs="仿宋"/>
          <w:b w:val="0"/>
          <w:bCs w:val="0"/>
          <w:i/>
          <w:iCs/>
          <w:color w:val="0623BA"/>
          <w:sz w:val="24"/>
          <w:lang w:val="en-US" w:eastAsia="zh-CN"/>
        </w:rPr>
        <w:t xml:space="preserve">2.1 </w:t>
      </w:r>
      <w:r>
        <w:rPr>
          <w:rFonts w:hint="eastAsia" w:ascii="仿宋" w:hAnsi="仿宋" w:eastAsia="仿宋" w:cs="仿宋"/>
          <w:i/>
          <w:iCs/>
          <w:color w:val="0623BA"/>
          <w:sz w:val="24"/>
        </w:rPr>
        <w:t>为了防止火灾等事故发生</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光建筑光伏系统主要部件的周围应避免放置杂物。为了防止</w:t>
      </w:r>
      <w:r>
        <w:rPr>
          <w:rFonts w:hint="eastAsia" w:ascii="仿宋" w:hAnsi="仿宋" w:eastAsia="仿宋" w:cs="仿宋"/>
          <w:i/>
          <w:iCs/>
          <w:color w:val="0623BA"/>
          <w:sz w:val="24"/>
          <w:lang w:val="en-US" w:eastAsia="zh-CN"/>
        </w:rPr>
        <w:t>设备</w:t>
      </w:r>
      <w:r>
        <w:rPr>
          <w:rFonts w:hint="eastAsia" w:ascii="仿宋" w:hAnsi="仿宋" w:eastAsia="仿宋" w:cs="仿宋"/>
          <w:i/>
          <w:iCs/>
          <w:color w:val="0623BA"/>
          <w:sz w:val="24"/>
        </w:rPr>
        <w:t>过热、短路等事故</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延长设备使用寿命</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增加发电量</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需保持设备的洁净和周围环境的通风散热。</w:t>
      </w:r>
    </w:p>
    <w:p w14:paraId="5209B097">
      <w:pPr>
        <w:snapToGrid w:val="0"/>
        <w:spacing w:line="300" w:lineRule="auto"/>
        <w:ind w:firstLine="0" w:firstLineChars="0"/>
        <w:jc w:val="left"/>
        <w:rPr>
          <w:rFonts w:hint="eastAsia" w:ascii="Times New Roman" w:hAnsi="Times New Roman" w:eastAsia="宋体" w:cs="Times New Roman"/>
          <w:b w:val="0"/>
          <w:bCs w:val="0"/>
          <w:sz w:val="24"/>
          <w:szCs w:val="24"/>
        </w:rPr>
      </w:pPr>
      <w:bookmarkStart w:id="490" w:name="_Toc22624"/>
      <w:r>
        <w:rPr>
          <w:rFonts w:hint="eastAsia"/>
          <w:b/>
          <w:bCs/>
          <w:sz w:val="24"/>
          <w:highlight w:val="none"/>
        </w:rPr>
        <w:t>1</w:t>
      </w:r>
      <w:r>
        <w:rPr>
          <w:rFonts w:hint="eastAsia"/>
          <w:b/>
          <w:bCs/>
          <w:sz w:val="24"/>
          <w:highlight w:val="none"/>
          <w:lang w:val="en-US" w:eastAsia="zh-CN"/>
        </w:rPr>
        <w:t>4</w:t>
      </w:r>
      <w:r>
        <w:rPr>
          <w:rFonts w:hint="eastAsia"/>
          <w:b/>
          <w:bCs/>
          <w:sz w:val="24"/>
          <w:highlight w:val="none"/>
        </w:rPr>
        <w:t>.</w:t>
      </w:r>
      <w:r>
        <w:rPr>
          <w:rFonts w:hint="eastAsia"/>
          <w:b/>
          <w:bCs/>
          <w:sz w:val="24"/>
          <w:highlight w:val="none"/>
          <w:lang w:val="en-US" w:eastAsia="zh-CN"/>
        </w:rPr>
        <w:t>2</w:t>
      </w:r>
      <w:r>
        <w:rPr>
          <w:rFonts w:hint="eastAsia"/>
          <w:b/>
          <w:bCs/>
          <w:sz w:val="24"/>
          <w:highlight w:val="none"/>
        </w:rPr>
        <w:t>.</w:t>
      </w:r>
      <w:r>
        <w:rPr>
          <w:rFonts w:hint="eastAsia"/>
          <w:b/>
          <w:bCs/>
          <w:sz w:val="24"/>
          <w:highlight w:val="none"/>
          <w:lang w:val="en-US" w:eastAsia="zh-CN"/>
        </w:rPr>
        <w:t>2</w:t>
      </w:r>
      <w:r>
        <w:rPr>
          <w:b/>
          <w:bCs/>
          <w:sz w:val="24"/>
          <w:highlight w:val="none"/>
        </w:rPr>
        <w:t xml:space="preserve"> </w:t>
      </w:r>
      <w:r>
        <w:rPr>
          <w:rFonts w:hint="eastAsia" w:ascii="Times New Roman" w:hAnsi="Times New Roman" w:cs="Times New Roman"/>
          <w:b w:val="0"/>
          <w:bCs w:val="0"/>
          <w:i w:val="0"/>
          <w:iCs w:val="0"/>
          <w:sz w:val="24"/>
          <w:szCs w:val="24"/>
          <w:highlight w:val="none"/>
          <w:lang w:val="en-US" w:eastAsia="zh-CN"/>
        </w:rPr>
        <w:t>每</w:t>
      </w:r>
      <w:r>
        <w:rPr>
          <w:rFonts w:hint="eastAsia" w:ascii="Times New Roman" w:hAnsi="Times New Roman" w:eastAsia="宋体" w:cs="Times New Roman"/>
          <w:b w:val="0"/>
          <w:bCs w:val="0"/>
          <w:i w:val="0"/>
          <w:iCs w:val="0"/>
          <w:sz w:val="24"/>
          <w:szCs w:val="24"/>
          <w:highlight w:val="none"/>
        </w:rPr>
        <w:t>年对光伏系统、支架及锚固结构等至少应进行一次检行。在极端天气来临前应对设备加强巡检并应采取相应防护措施。极端天气以后及系统重新投运前</w:t>
      </w:r>
      <w:r>
        <w:rPr>
          <w:rFonts w:hint="eastAsia" w:cs="Times New Roman"/>
          <w:b w:val="0"/>
          <w:bCs w:val="0"/>
          <w:i w:val="0"/>
          <w:iCs w:val="0"/>
          <w:sz w:val="24"/>
          <w:szCs w:val="24"/>
          <w:highlight w:val="none"/>
          <w:lang w:eastAsia="zh-CN"/>
        </w:rPr>
        <w:t>，</w:t>
      </w:r>
      <w:r>
        <w:rPr>
          <w:rFonts w:hint="eastAsia" w:ascii="Times New Roman" w:hAnsi="Times New Roman" w:eastAsia="宋体" w:cs="Times New Roman"/>
          <w:b w:val="0"/>
          <w:bCs w:val="0"/>
          <w:i w:val="0"/>
          <w:iCs w:val="0"/>
          <w:sz w:val="24"/>
          <w:szCs w:val="24"/>
          <w:highlight w:val="none"/>
        </w:rPr>
        <w:t>应对系统进行全面检查。</w:t>
      </w:r>
      <w:bookmarkEnd w:id="490"/>
    </w:p>
    <w:p w14:paraId="79C8828F">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976A571">
      <w:pPr>
        <w:pStyle w:val="2"/>
        <w:spacing w:line="300" w:lineRule="auto"/>
        <w:rPr>
          <w:rFonts w:hint="eastAsia" w:ascii="仿宋" w:hAnsi="仿宋" w:eastAsia="仿宋" w:cs="仿宋"/>
          <w:i/>
          <w:iCs/>
          <w:color w:val="0623BA"/>
          <w:sz w:val="24"/>
        </w:rPr>
      </w:pPr>
      <w:r>
        <w:rPr>
          <w:rFonts w:hint="eastAsia" w:ascii="仿宋" w:hAnsi="仿宋" w:eastAsia="仿宋" w:cs="仿宋"/>
          <w:b w:val="0"/>
          <w:bCs w:val="0"/>
          <w:i/>
          <w:iCs/>
          <w:color w:val="0623BA"/>
          <w:sz w:val="24"/>
        </w:rPr>
        <w:t>1</w:t>
      </w:r>
      <w:r>
        <w:rPr>
          <w:rFonts w:hint="eastAsia" w:ascii="仿宋" w:hAnsi="仿宋" w:eastAsia="仿宋" w:cs="仿宋"/>
          <w:b w:val="0"/>
          <w:bCs w:val="0"/>
          <w:i/>
          <w:iCs/>
          <w:color w:val="0623BA"/>
          <w:sz w:val="24"/>
          <w:lang w:eastAsia="zh-CN"/>
        </w:rPr>
        <w:t>4</w:t>
      </w:r>
      <w:r>
        <w:rPr>
          <w:rFonts w:hint="eastAsia" w:ascii="仿宋" w:hAnsi="仿宋" w:eastAsia="仿宋" w:cs="仿宋"/>
          <w:b w:val="0"/>
          <w:bCs w:val="0"/>
          <w:i/>
          <w:iCs/>
          <w:color w:val="0623BA"/>
          <w:sz w:val="24"/>
        </w:rPr>
        <w:t>.</w:t>
      </w:r>
      <w:r>
        <w:rPr>
          <w:rFonts w:hint="eastAsia" w:ascii="仿宋" w:hAnsi="仿宋" w:eastAsia="仿宋" w:cs="仿宋"/>
          <w:b w:val="0"/>
          <w:bCs w:val="0"/>
          <w:i/>
          <w:iCs/>
          <w:color w:val="0623BA"/>
          <w:sz w:val="24"/>
          <w:lang w:val="en-US" w:eastAsia="zh-CN"/>
        </w:rPr>
        <w:t xml:space="preserve">2.2 </w:t>
      </w:r>
      <w:r>
        <w:rPr>
          <w:rFonts w:hint="eastAsia" w:ascii="仿宋" w:hAnsi="仿宋" w:eastAsia="仿宋" w:cs="仿宋"/>
          <w:b w:val="0"/>
          <w:bCs w:val="0"/>
          <w:i/>
          <w:iCs/>
          <w:color w:val="0623BA"/>
          <w:sz w:val="24"/>
          <w:szCs w:val="24"/>
          <w:lang w:val="en-US" w:eastAsia="zh-CN"/>
        </w:rPr>
        <w:t>建筑集成光伏发电系统</w:t>
      </w:r>
      <w:r>
        <w:rPr>
          <w:rFonts w:hint="eastAsia" w:ascii="仿宋" w:hAnsi="仿宋" w:eastAsia="仿宋" w:cs="仿宋"/>
          <w:b w:val="0"/>
          <w:bCs w:val="0"/>
          <w:i/>
          <w:iCs/>
          <w:color w:val="0623BA"/>
          <w:sz w:val="24"/>
          <w:szCs w:val="24"/>
        </w:rPr>
        <w:t>项目</w:t>
      </w:r>
      <w:r>
        <w:rPr>
          <w:rFonts w:hint="eastAsia" w:ascii="仿宋" w:hAnsi="仿宋" w:eastAsia="仿宋" w:cs="仿宋"/>
          <w:b w:val="0"/>
          <w:bCs w:val="0"/>
          <w:i/>
          <w:iCs/>
          <w:color w:val="0623BA"/>
          <w:sz w:val="24"/>
          <w:szCs w:val="24"/>
          <w:lang w:val="en-US" w:eastAsia="zh-CN"/>
        </w:rPr>
        <w:t>应定期</w:t>
      </w:r>
      <w:r>
        <w:rPr>
          <w:rFonts w:hint="eastAsia" w:ascii="仿宋" w:hAnsi="仿宋" w:eastAsia="仿宋" w:cs="仿宋"/>
          <w:b w:val="0"/>
          <w:bCs w:val="0"/>
          <w:i/>
          <w:iCs/>
          <w:color w:val="0623BA"/>
          <w:sz w:val="24"/>
          <w:szCs w:val="24"/>
        </w:rPr>
        <w:t>对光伏系统、支架及锚固结构进行检行。</w:t>
      </w:r>
    </w:p>
    <w:p w14:paraId="28B558FE">
      <w:pPr>
        <w:snapToGrid w:val="0"/>
        <w:spacing w:line="300" w:lineRule="auto"/>
        <w:jc w:val="left"/>
        <w:rPr>
          <w:sz w:val="24"/>
        </w:rPr>
      </w:pPr>
      <w:r>
        <w:rPr>
          <w:rFonts w:hint="eastAsia"/>
          <w:b/>
          <w:bCs/>
          <w:sz w:val="24"/>
        </w:rPr>
        <w:t>1</w:t>
      </w:r>
      <w:r>
        <w:rPr>
          <w:rFonts w:hint="eastAsia"/>
          <w:b/>
          <w:bCs/>
          <w:sz w:val="24"/>
          <w:lang w:val="en-US" w:eastAsia="zh-CN"/>
        </w:rPr>
        <w:t>4</w:t>
      </w:r>
      <w:r>
        <w:rPr>
          <w:rFonts w:hint="eastAsia"/>
          <w:b/>
          <w:bCs/>
          <w:sz w:val="24"/>
        </w:rPr>
        <w:t>.</w:t>
      </w:r>
      <w:r>
        <w:rPr>
          <w:rFonts w:hint="eastAsia"/>
          <w:b/>
          <w:bCs/>
          <w:sz w:val="24"/>
          <w:lang w:val="en-US" w:eastAsia="zh-CN"/>
        </w:rPr>
        <w:t>2.3</w:t>
      </w:r>
      <w:r>
        <w:rPr>
          <w:rFonts w:hint="eastAsia"/>
          <w:sz w:val="24"/>
        </w:rPr>
        <w:t xml:space="preserve"> 建筑光伏系统与建筑物结合部分应符合下列</w:t>
      </w:r>
      <w:r>
        <w:rPr>
          <w:rFonts w:hint="eastAsia"/>
          <w:sz w:val="24"/>
          <w:lang w:eastAsia="zh-CN"/>
        </w:rPr>
        <w:t>要求</w:t>
      </w:r>
      <w:r>
        <w:rPr>
          <w:rFonts w:hint="eastAsia"/>
          <w:sz w:val="24"/>
        </w:rPr>
        <w:t>：</w:t>
      </w:r>
    </w:p>
    <w:p w14:paraId="0F2C7257">
      <w:pPr>
        <w:snapToGrid w:val="0"/>
        <w:spacing w:line="300" w:lineRule="auto"/>
        <w:ind w:firstLine="482" w:firstLineChars="200"/>
        <w:jc w:val="left"/>
        <w:rPr>
          <w:rFonts w:hint="eastAsia" w:eastAsia="宋体"/>
          <w:sz w:val="24"/>
          <w:lang w:eastAsia="zh-CN"/>
        </w:rPr>
      </w:pPr>
      <w:r>
        <w:rPr>
          <w:rFonts w:hint="eastAsia"/>
          <w:b/>
          <w:bCs/>
          <w:sz w:val="24"/>
        </w:rPr>
        <w:t xml:space="preserve">1 </w:t>
      </w:r>
      <w:r>
        <w:rPr>
          <w:rFonts w:hint="eastAsia"/>
          <w:sz w:val="24"/>
        </w:rPr>
        <w:t>检查建筑光伏系统与建筑主体结构连接是否牢固，用于固定光伏方阵的植筋或螺栓不应松动</w:t>
      </w:r>
      <w:r>
        <w:rPr>
          <w:rFonts w:hint="eastAsia"/>
          <w:sz w:val="24"/>
          <w:lang w:eastAsia="zh-CN"/>
        </w:rPr>
        <w:t>；</w:t>
      </w:r>
    </w:p>
    <w:p w14:paraId="7A79C8EE">
      <w:pPr>
        <w:snapToGrid w:val="0"/>
        <w:spacing w:line="300" w:lineRule="auto"/>
        <w:ind w:firstLine="482" w:firstLineChars="200"/>
        <w:jc w:val="left"/>
        <w:rPr>
          <w:sz w:val="24"/>
        </w:rPr>
      </w:pPr>
      <w:r>
        <w:rPr>
          <w:rFonts w:hint="eastAsia"/>
          <w:b/>
          <w:bCs/>
          <w:sz w:val="24"/>
        </w:rPr>
        <w:t xml:space="preserve">2 </w:t>
      </w:r>
      <w:r>
        <w:rPr>
          <w:rFonts w:hint="eastAsia"/>
          <w:sz w:val="24"/>
        </w:rPr>
        <w:t>检查光伏方阵整体是否有变形、错位、松动等现象；</w:t>
      </w:r>
    </w:p>
    <w:p w14:paraId="7C0A1455">
      <w:pPr>
        <w:snapToGrid w:val="0"/>
        <w:spacing w:line="300" w:lineRule="auto"/>
        <w:ind w:firstLine="482" w:firstLineChars="200"/>
        <w:jc w:val="left"/>
        <w:rPr>
          <w:sz w:val="24"/>
        </w:rPr>
      </w:pPr>
      <w:r>
        <w:rPr>
          <w:rFonts w:hint="eastAsia"/>
          <w:b/>
          <w:bCs/>
          <w:sz w:val="24"/>
        </w:rPr>
        <w:t xml:space="preserve">3 </w:t>
      </w:r>
      <w:r>
        <w:rPr>
          <w:rFonts w:hint="eastAsia"/>
          <w:sz w:val="24"/>
        </w:rPr>
        <w:t>光伏方阵支架的焊缝不应开焊，金属材料的防锈涂膜应完整，不应有剥落、锈蚀现象；</w:t>
      </w:r>
    </w:p>
    <w:p w14:paraId="782AB619">
      <w:pPr>
        <w:snapToGrid w:val="0"/>
        <w:spacing w:line="300" w:lineRule="auto"/>
        <w:ind w:firstLine="482" w:firstLineChars="200"/>
        <w:jc w:val="left"/>
        <w:rPr>
          <w:sz w:val="24"/>
        </w:rPr>
      </w:pPr>
      <w:r>
        <w:rPr>
          <w:rFonts w:hint="eastAsia"/>
          <w:b/>
          <w:bCs/>
          <w:sz w:val="24"/>
        </w:rPr>
        <w:t xml:space="preserve">4 </w:t>
      </w:r>
      <w:r>
        <w:rPr>
          <w:rFonts w:hint="eastAsia"/>
          <w:sz w:val="24"/>
        </w:rPr>
        <w:t>光伏方阵的支承结构之间不应存在其他设施，建筑光伏系统区域内严禁增设对建筑光伏系统运行及安全可能产生影响的设施。</w:t>
      </w:r>
    </w:p>
    <w:p w14:paraId="36987839">
      <w:pPr>
        <w:snapToGrid w:val="0"/>
        <w:spacing w:line="300" w:lineRule="auto"/>
        <w:rPr>
          <w:sz w:val="24"/>
        </w:rPr>
      </w:pPr>
      <w:r>
        <w:rPr>
          <w:b/>
          <w:bCs/>
          <w:sz w:val="24"/>
        </w:rPr>
        <w:t>1</w:t>
      </w:r>
      <w:r>
        <w:rPr>
          <w:rFonts w:hint="eastAsia"/>
          <w:b/>
          <w:bCs/>
          <w:sz w:val="24"/>
          <w:lang w:val="en-US" w:eastAsia="zh-CN"/>
        </w:rPr>
        <w:t>4</w:t>
      </w:r>
      <w:r>
        <w:rPr>
          <w:b/>
          <w:bCs/>
          <w:sz w:val="24"/>
        </w:rPr>
        <w:t>.</w:t>
      </w:r>
      <w:r>
        <w:rPr>
          <w:rFonts w:hint="eastAsia"/>
          <w:b/>
          <w:bCs/>
          <w:sz w:val="24"/>
          <w:lang w:val="en-US" w:eastAsia="zh-CN"/>
        </w:rPr>
        <w:t>2.4</w:t>
      </w:r>
      <w:r>
        <w:rPr>
          <w:rFonts w:hint="eastAsia"/>
          <w:sz w:val="24"/>
        </w:rPr>
        <w:t xml:space="preserve"> </w:t>
      </w:r>
      <w:r>
        <w:rPr>
          <w:sz w:val="24"/>
        </w:rPr>
        <w:t>建筑光伏系统的各个接线端子应牢固可靠</w:t>
      </w:r>
      <w:r>
        <w:rPr>
          <w:rFonts w:hint="eastAsia"/>
          <w:sz w:val="24"/>
        </w:rPr>
        <w:t>，</w:t>
      </w:r>
      <w:r>
        <w:rPr>
          <w:rFonts w:hint="eastAsia"/>
          <w:sz w:val="24"/>
          <w:lang w:val="en-US" w:eastAsia="zh-CN"/>
        </w:rPr>
        <w:t>设备</w:t>
      </w:r>
      <w:r>
        <w:rPr>
          <w:sz w:val="24"/>
        </w:rPr>
        <w:t>的接线孔处应采取有效封堵措施。</w:t>
      </w:r>
    </w:p>
    <w:p w14:paraId="5E290C04">
      <w:pPr>
        <w:snapToGrid w:val="0"/>
        <w:spacing w:line="300" w:lineRule="auto"/>
        <w:ind w:firstLine="0" w:firstLineChars="0"/>
        <w:jc w:val="left"/>
        <w:rPr>
          <w:rFonts w:hint="eastAsia" w:eastAsia="宋体"/>
          <w:sz w:val="24"/>
          <w:lang w:eastAsia="zh-CN"/>
        </w:rPr>
      </w:pPr>
      <w:r>
        <w:rPr>
          <w:rFonts w:hint="eastAsia"/>
          <w:b/>
          <w:bCs/>
          <w:sz w:val="24"/>
        </w:rPr>
        <w:t>1</w:t>
      </w:r>
      <w:r>
        <w:rPr>
          <w:rFonts w:hint="eastAsia"/>
          <w:b/>
          <w:bCs/>
          <w:sz w:val="24"/>
          <w:lang w:val="en-US" w:eastAsia="zh-CN"/>
        </w:rPr>
        <w:t>4</w:t>
      </w:r>
      <w:r>
        <w:rPr>
          <w:rFonts w:hint="eastAsia"/>
          <w:b/>
          <w:bCs/>
          <w:sz w:val="24"/>
        </w:rPr>
        <w:t>.2.</w:t>
      </w:r>
      <w:r>
        <w:rPr>
          <w:rFonts w:hint="eastAsia"/>
          <w:b/>
          <w:bCs/>
          <w:sz w:val="24"/>
          <w:lang w:val="en-US" w:eastAsia="zh-CN"/>
        </w:rPr>
        <w:t xml:space="preserve">5 </w:t>
      </w:r>
      <w:r>
        <w:rPr>
          <w:rFonts w:hint="default"/>
          <w:sz w:val="24"/>
        </w:rPr>
        <w:t>支撑结构的维护管理应符合下列</w:t>
      </w:r>
      <w:r>
        <w:rPr>
          <w:rFonts w:hint="eastAsia"/>
          <w:sz w:val="24"/>
          <w:lang w:eastAsia="zh-CN"/>
        </w:rPr>
        <w:t>要求：</w:t>
      </w:r>
    </w:p>
    <w:p w14:paraId="42ADB03A">
      <w:pPr>
        <w:snapToGrid w:val="0"/>
        <w:spacing w:line="300" w:lineRule="auto"/>
        <w:ind w:firstLine="482" w:firstLineChars="200"/>
        <w:jc w:val="left"/>
        <w:rPr>
          <w:rFonts w:hint="eastAsia"/>
          <w:sz w:val="24"/>
        </w:rPr>
      </w:pPr>
      <w:r>
        <w:rPr>
          <w:rFonts w:hint="default"/>
          <w:b/>
          <w:bCs/>
          <w:sz w:val="24"/>
          <w:lang w:val="en-US" w:eastAsia="zh-CN"/>
        </w:rPr>
        <w:t xml:space="preserve">1 </w:t>
      </w:r>
      <w:r>
        <w:rPr>
          <w:rFonts w:hint="default"/>
          <w:sz w:val="24"/>
        </w:rPr>
        <w:t>螺栓、焊缝和支撑结构的连接等应牢固可靠</w:t>
      </w:r>
      <w:r>
        <w:rPr>
          <w:rFonts w:hint="eastAsia"/>
          <w:sz w:val="24"/>
          <w:lang w:eastAsia="zh-CN"/>
        </w:rPr>
        <w:t>；</w:t>
      </w:r>
    </w:p>
    <w:p w14:paraId="6F1472E9">
      <w:pPr>
        <w:snapToGrid w:val="0"/>
        <w:spacing w:line="300" w:lineRule="auto"/>
        <w:ind w:firstLine="482" w:firstLineChars="200"/>
        <w:jc w:val="left"/>
        <w:rPr>
          <w:sz w:val="24"/>
        </w:rPr>
      </w:pPr>
      <w:r>
        <w:rPr>
          <w:rFonts w:hint="default"/>
          <w:b/>
          <w:bCs/>
          <w:sz w:val="24"/>
          <w:lang w:eastAsia="zh-CN"/>
        </w:rPr>
        <w:t>2</w:t>
      </w:r>
      <w:r>
        <w:rPr>
          <w:rFonts w:hint="default"/>
          <w:b/>
          <w:bCs/>
          <w:sz w:val="24"/>
        </w:rPr>
        <w:t xml:space="preserve"> </w:t>
      </w:r>
      <w:r>
        <w:rPr>
          <w:rFonts w:hint="default"/>
          <w:sz w:val="24"/>
        </w:rPr>
        <w:t>支撑结构表面的防腐层，不应存在开裂和脱落现象，否则应及时处理。</w:t>
      </w:r>
    </w:p>
    <w:p w14:paraId="01B2D7A5">
      <w:pPr>
        <w:snapToGrid w:val="0"/>
        <w:spacing w:line="300" w:lineRule="auto"/>
        <w:jc w:val="left"/>
        <w:rPr>
          <w:rFonts w:hint="eastAsia"/>
          <w:sz w:val="24"/>
        </w:rPr>
      </w:pPr>
      <w:r>
        <w:rPr>
          <w:rFonts w:hint="eastAsia"/>
          <w:b/>
          <w:bCs/>
          <w:sz w:val="24"/>
        </w:rPr>
        <w:t>1</w:t>
      </w:r>
      <w:r>
        <w:rPr>
          <w:rFonts w:hint="eastAsia"/>
          <w:b/>
          <w:bCs/>
          <w:sz w:val="24"/>
          <w:lang w:val="en-US" w:eastAsia="zh-CN"/>
        </w:rPr>
        <w:t>4</w:t>
      </w:r>
      <w:r>
        <w:rPr>
          <w:rFonts w:hint="eastAsia"/>
          <w:b/>
          <w:bCs/>
          <w:sz w:val="24"/>
        </w:rPr>
        <w:t>.2.</w:t>
      </w:r>
      <w:r>
        <w:rPr>
          <w:rFonts w:hint="eastAsia"/>
          <w:b/>
          <w:bCs/>
          <w:sz w:val="24"/>
          <w:lang w:val="en-US" w:eastAsia="zh-CN"/>
        </w:rPr>
        <w:t xml:space="preserve">6 </w:t>
      </w:r>
      <w:r>
        <w:rPr>
          <w:rFonts w:hint="eastAsia"/>
          <w:sz w:val="24"/>
        </w:rPr>
        <w:t>应建立运行分析制度，依据建筑光伏系统运行的档案资料，定期组织技术人员对建筑光伏系统运行状况进行分析，及时针对存在的问题，提出切实可行的解决方案。</w:t>
      </w:r>
    </w:p>
    <w:p w14:paraId="6CDB55F4">
      <w:pPr>
        <w:keepNext/>
        <w:keepLines/>
        <w:spacing w:before="95" w:beforeLines="30" w:after="95" w:afterLines="30" w:line="300" w:lineRule="auto"/>
        <w:jc w:val="center"/>
        <w:outlineLvl w:val="2"/>
        <w:rPr>
          <w:b/>
          <w:sz w:val="24"/>
          <w:szCs w:val="32"/>
        </w:rPr>
      </w:pPr>
      <w:bookmarkStart w:id="491" w:name="_Toc27745"/>
      <w:bookmarkStart w:id="492" w:name="_Toc3659"/>
      <w:bookmarkStart w:id="493" w:name="_Toc32085"/>
      <w:bookmarkStart w:id="494" w:name="_Toc26886"/>
      <w:bookmarkStart w:id="495" w:name="_Toc15877"/>
      <w:bookmarkStart w:id="496" w:name="_Toc4294"/>
      <w:bookmarkStart w:id="497" w:name="_Toc3816"/>
      <w:bookmarkStart w:id="498" w:name="_Toc362"/>
      <w:r>
        <w:rPr>
          <w:rFonts w:hint="default"/>
          <w:b/>
          <w:sz w:val="24"/>
          <w:szCs w:val="32"/>
        </w:rPr>
        <w:t>1</w:t>
      </w:r>
      <w:r>
        <w:rPr>
          <w:rFonts w:hint="default"/>
          <w:b/>
          <w:sz w:val="24"/>
          <w:szCs w:val="32"/>
          <w:lang w:val="en-US" w:eastAsia="zh-CN"/>
        </w:rPr>
        <w:t>4</w:t>
      </w:r>
      <w:r>
        <w:rPr>
          <w:rFonts w:hint="default"/>
          <w:b/>
          <w:sz w:val="24"/>
          <w:szCs w:val="32"/>
        </w:rPr>
        <w:t>.3</w:t>
      </w:r>
      <w:r>
        <w:rPr>
          <w:rFonts w:hint="default"/>
          <w:b/>
          <w:sz w:val="24"/>
          <w:szCs w:val="32"/>
          <w:lang w:val="en-US" w:eastAsia="zh-CN"/>
        </w:rPr>
        <w:t>光伏系统</w:t>
      </w:r>
      <w:r>
        <w:rPr>
          <w:rFonts w:hint="default"/>
          <w:b/>
          <w:sz w:val="24"/>
          <w:szCs w:val="32"/>
        </w:rPr>
        <w:t>运行管理</w:t>
      </w:r>
      <w:r>
        <w:rPr>
          <w:rFonts w:hint="default"/>
          <w:b/>
          <w:sz w:val="24"/>
          <w:szCs w:val="32"/>
          <w:lang w:val="en-US" w:eastAsia="zh-CN"/>
        </w:rPr>
        <w:t>与维护</w:t>
      </w:r>
      <w:bookmarkEnd w:id="491"/>
      <w:bookmarkEnd w:id="492"/>
      <w:bookmarkEnd w:id="493"/>
      <w:bookmarkEnd w:id="494"/>
      <w:bookmarkEnd w:id="495"/>
      <w:bookmarkEnd w:id="496"/>
      <w:bookmarkEnd w:id="497"/>
      <w:bookmarkEnd w:id="498"/>
    </w:p>
    <w:p w14:paraId="0489AE00">
      <w:pPr>
        <w:snapToGrid w:val="0"/>
        <w:spacing w:line="300" w:lineRule="auto"/>
        <w:jc w:val="left"/>
        <w:rPr>
          <w:sz w:val="24"/>
        </w:rPr>
      </w:pPr>
      <w:r>
        <w:rPr>
          <w:b/>
          <w:bCs/>
          <w:sz w:val="24"/>
        </w:rPr>
        <w:t>1</w:t>
      </w:r>
      <w:r>
        <w:rPr>
          <w:rFonts w:hint="eastAsia"/>
          <w:b/>
          <w:bCs/>
          <w:sz w:val="24"/>
          <w:lang w:val="en-US" w:eastAsia="zh-CN"/>
        </w:rPr>
        <w:t>4.3.1</w:t>
      </w:r>
      <w:r>
        <w:rPr>
          <w:rFonts w:hint="eastAsia"/>
          <w:b/>
          <w:bCs/>
          <w:sz w:val="24"/>
        </w:rPr>
        <w:t xml:space="preserve"> </w:t>
      </w:r>
      <w:r>
        <w:rPr>
          <w:sz w:val="24"/>
        </w:rPr>
        <w:t>光伏系统运行发生异常时，应及时与专业维修人员联系处理。主要设备和控制装置应由专业人员维修。</w:t>
      </w:r>
      <w:r>
        <w:rPr>
          <w:rFonts w:hint="eastAsia"/>
          <w:sz w:val="24"/>
        </w:rPr>
        <w:t>运行和维护操作时应注意作业安全。自行检查的项目严禁涉及带电体或潜在的带电体及设备。</w:t>
      </w:r>
    </w:p>
    <w:p w14:paraId="2DDD25D8">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6E17705D">
      <w:pPr>
        <w:snapToGrid w:val="0"/>
        <w:spacing w:line="300" w:lineRule="auto"/>
        <w:jc w:val="left"/>
        <w:rPr>
          <w:rFonts w:hint="eastAsia" w:ascii="仿宋" w:hAnsi="仿宋" w:eastAsia="仿宋" w:cs="仿宋"/>
          <w:i/>
          <w:iCs/>
          <w:color w:val="0623BA"/>
          <w:sz w:val="24"/>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w:t>
      </w:r>
      <w:r>
        <w:rPr>
          <w:rFonts w:hint="eastAsia" w:ascii="仿宋" w:hAnsi="仿宋" w:eastAsia="仿宋" w:cs="仿宋"/>
          <w:i/>
          <w:iCs/>
          <w:color w:val="0623BA"/>
          <w:sz w:val="24"/>
          <w:lang w:val="en-US" w:eastAsia="zh-CN"/>
        </w:rPr>
        <w:t>3.1</w:t>
      </w:r>
      <w:r>
        <w:rPr>
          <w:rFonts w:hint="eastAsia" w:ascii="仿宋" w:hAnsi="仿宋" w:eastAsia="仿宋" w:cs="仿宋"/>
          <w:i/>
          <w:iCs/>
          <w:color w:val="0623BA"/>
          <w:sz w:val="24"/>
        </w:rPr>
        <w:t xml:space="preserve"> 系统运行发生异常时，应由专业维修人员或在其指导下进行处理。若无法得到及时处理，应按照光伏系统操作手册进行应急处理。</w:t>
      </w:r>
    </w:p>
    <w:p w14:paraId="77DFDD41">
      <w:pPr>
        <w:snapToGrid w:val="0"/>
        <w:spacing w:line="300" w:lineRule="auto"/>
        <w:jc w:val="left"/>
        <w:rPr>
          <w:rFonts w:hint="default" w:eastAsia="宋体"/>
          <w:sz w:val="24"/>
          <w:lang w:val="en-US" w:eastAsia="zh-CN"/>
        </w:rPr>
      </w:pPr>
      <w:r>
        <w:rPr>
          <w:b/>
          <w:bCs/>
          <w:sz w:val="24"/>
        </w:rPr>
        <w:t>1</w:t>
      </w:r>
      <w:r>
        <w:rPr>
          <w:rFonts w:hint="eastAsia"/>
          <w:b/>
          <w:bCs/>
          <w:sz w:val="24"/>
          <w:lang w:val="en-US" w:eastAsia="zh-CN"/>
        </w:rPr>
        <w:t>4</w:t>
      </w:r>
      <w:r>
        <w:rPr>
          <w:b/>
          <w:bCs/>
          <w:sz w:val="24"/>
        </w:rPr>
        <w:t>.</w:t>
      </w:r>
      <w:r>
        <w:rPr>
          <w:rFonts w:hint="eastAsia"/>
          <w:b/>
          <w:bCs/>
          <w:sz w:val="24"/>
        </w:rPr>
        <w:t>3</w:t>
      </w:r>
      <w:r>
        <w:rPr>
          <w:b/>
          <w:bCs/>
          <w:sz w:val="24"/>
        </w:rPr>
        <w:t>.</w:t>
      </w:r>
      <w:r>
        <w:rPr>
          <w:rFonts w:hint="eastAsia"/>
          <w:b/>
          <w:bCs/>
          <w:sz w:val="24"/>
          <w:lang w:val="en-US" w:eastAsia="zh-CN"/>
        </w:rPr>
        <w:t>2</w:t>
      </w:r>
      <w:r>
        <w:rPr>
          <w:rFonts w:hint="eastAsia"/>
          <w:b/>
          <w:bCs/>
          <w:sz w:val="24"/>
        </w:rPr>
        <w:t xml:space="preserve"> </w:t>
      </w:r>
      <w:r>
        <w:rPr>
          <w:sz w:val="24"/>
        </w:rPr>
        <w:t>光伏方阵</w:t>
      </w:r>
      <w:r>
        <w:rPr>
          <w:rFonts w:hint="eastAsia"/>
          <w:sz w:val="24"/>
          <w:lang w:val="en-US" w:eastAsia="zh-CN"/>
        </w:rPr>
        <w:t>应定期检查与维护应按下列要求：</w:t>
      </w:r>
    </w:p>
    <w:p w14:paraId="23E14800">
      <w:pPr>
        <w:snapToGrid w:val="0"/>
        <w:spacing w:line="300" w:lineRule="auto"/>
        <w:ind w:firstLine="482" w:firstLineChars="200"/>
        <w:jc w:val="left"/>
        <w:rPr>
          <w:rFonts w:hint="eastAsia" w:eastAsia="宋体"/>
          <w:sz w:val="24"/>
          <w:lang w:eastAsia="zh-CN"/>
        </w:rPr>
      </w:pPr>
      <w:r>
        <w:rPr>
          <w:rFonts w:hint="eastAsia"/>
          <w:b/>
          <w:bCs/>
          <w:sz w:val="24"/>
        </w:rPr>
        <w:t xml:space="preserve">1 </w:t>
      </w:r>
      <w:r>
        <w:rPr>
          <w:rFonts w:hint="eastAsia"/>
          <w:sz w:val="24"/>
        </w:rPr>
        <w:t>光伏系统的光伏组件，应定期清洗。应使用设备配套或其它安全、环保、无刺激性气味清洁剂，严禁用硬物擦拭。应综合考虑社会、自然等因素确定清洗作业时段，不应在风力大于4级、大雨或大雪等气象条件下清洗光伏组件</w:t>
      </w:r>
      <w:r>
        <w:rPr>
          <w:rFonts w:hint="eastAsia"/>
          <w:sz w:val="24"/>
          <w:lang w:eastAsia="zh-CN"/>
        </w:rPr>
        <w:t>；</w:t>
      </w:r>
    </w:p>
    <w:p w14:paraId="0319D9A9">
      <w:pPr>
        <w:pStyle w:val="2"/>
        <w:spacing w:line="300" w:lineRule="auto"/>
        <w:ind w:firstLine="482" w:firstLineChars="200"/>
        <w:rPr>
          <w:sz w:val="24"/>
        </w:rPr>
      </w:pPr>
      <w:r>
        <w:rPr>
          <w:rFonts w:hint="eastAsia"/>
          <w:b/>
          <w:bCs/>
          <w:sz w:val="24"/>
        </w:rPr>
        <w:t xml:space="preserve">2 </w:t>
      </w:r>
      <w:r>
        <w:rPr>
          <w:rFonts w:hint="eastAsia"/>
          <w:sz w:val="24"/>
        </w:rPr>
        <w:t>应定期检查光伏组件间连线</w:t>
      </w:r>
      <w:r>
        <w:rPr>
          <w:rFonts w:hint="eastAsia"/>
          <w:sz w:val="24"/>
          <w:lang w:eastAsia="zh-CN"/>
        </w:rPr>
        <w:t>，</w:t>
      </w:r>
      <w:r>
        <w:rPr>
          <w:rFonts w:hint="eastAsia"/>
          <w:sz w:val="24"/>
        </w:rPr>
        <w:t>连线连接应可靠、牢固、无接地并绝缘良好；</w:t>
      </w:r>
    </w:p>
    <w:p w14:paraId="226578C7">
      <w:pPr>
        <w:spacing w:line="300" w:lineRule="auto"/>
        <w:ind w:firstLine="482" w:firstLineChars="200"/>
        <w:jc w:val="left"/>
        <w:rPr>
          <w:sz w:val="24"/>
        </w:rPr>
      </w:pPr>
      <w:r>
        <w:rPr>
          <w:rFonts w:hint="eastAsia"/>
          <w:b/>
          <w:bCs/>
          <w:sz w:val="24"/>
        </w:rPr>
        <w:t xml:space="preserve">3 </w:t>
      </w:r>
      <w:r>
        <w:rPr>
          <w:rFonts w:hint="eastAsia"/>
          <w:sz w:val="24"/>
        </w:rPr>
        <w:t>定期检查光伏组件，如有破损或因热斑损坏等及时更换；</w:t>
      </w:r>
    </w:p>
    <w:p w14:paraId="429743A7">
      <w:pPr>
        <w:snapToGrid w:val="0"/>
        <w:spacing w:line="300" w:lineRule="auto"/>
        <w:ind w:firstLine="482" w:firstLineChars="200"/>
        <w:jc w:val="left"/>
        <w:rPr>
          <w:sz w:val="24"/>
        </w:rPr>
      </w:pPr>
      <w:r>
        <w:rPr>
          <w:rFonts w:hint="eastAsia"/>
          <w:b/>
          <w:bCs/>
          <w:sz w:val="24"/>
        </w:rPr>
        <w:t xml:space="preserve">4 </w:t>
      </w:r>
      <w:r>
        <w:rPr>
          <w:rFonts w:hint="eastAsia"/>
          <w:sz w:val="24"/>
        </w:rPr>
        <w:t>建筑光伏系统应定期检查光伏方阵遮挡情况。当光伏方阵被遮挡时，应及时进行处理；</w:t>
      </w:r>
    </w:p>
    <w:p w14:paraId="363CDFA8">
      <w:pPr>
        <w:snapToGrid w:val="0"/>
        <w:spacing w:line="300" w:lineRule="auto"/>
        <w:ind w:firstLine="482" w:firstLineChars="200"/>
        <w:jc w:val="left"/>
        <w:rPr>
          <w:sz w:val="24"/>
        </w:rPr>
      </w:pPr>
      <w:r>
        <w:rPr>
          <w:b/>
          <w:bCs/>
          <w:sz w:val="24"/>
        </w:rPr>
        <w:t xml:space="preserve">5 </w:t>
      </w:r>
      <w:r>
        <w:rPr>
          <w:sz w:val="24"/>
        </w:rPr>
        <w:t>建筑光伏系统的光伏组件、支架等的紧固情况应定期检查，出现松动应及时紧固，出现腐蚀、损坏应及时维修；</w:t>
      </w:r>
    </w:p>
    <w:p w14:paraId="488A4C5F">
      <w:pPr>
        <w:snapToGrid w:val="0"/>
        <w:spacing w:line="300" w:lineRule="auto"/>
        <w:ind w:firstLine="482" w:firstLineChars="200"/>
        <w:jc w:val="left"/>
        <w:rPr>
          <w:rFonts w:hint="eastAsia" w:eastAsia="宋体"/>
          <w:sz w:val="24"/>
          <w:lang w:eastAsia="zh-CN"/>
        </w:rPr>
      </w:pPr>
      <w:r>
        <w:rPr>
          <w:rFonts w:hint="eastAsia"/>
          <w:b/>
          <w:bCs/>
          <w:sz w:val="24"/>
        </w:rPr>
        <w:t xml:space="preserve">6 </w:t>
      </w:r>
      <w:r>
        <w:rPr>
          <w:rFonts w:hint="eastAsia"/>
          <w:sz w:val="24"/>
        </w:rPr>
        <w:t>雨、雪、大风、冰雹等恶劣天气过后应及时检查光伏方阵，发现异常应及时进行处理</w:t>
      </w:r>
      <w:r>
        <w:rPr>
          <w:rFonts w:hint="eastAsia"/>
          <w:sz w:val="24"/>
          <w:lang w:eastAsia="zh-CN"/>
        </w:rPr>
        <w:t>；</w:t>
      </w:r>
    </w:p>
    <w:p w14:paraId="0673C7E9">
      <w:pPr>
        <w:snapToGrid w:val="0"/>
        <w:spacing w:line="300" w:lineRule="auto"/>
        <w:ind w:firstLine="482" w:firstLineChars="200"/>
        <w:jc w:val="left"/>
        <w:rPr>
          <w:sz w:val="24"/>
        </w:rPr>
      </w:pPr>
      <w:r>
        <w:rPr>
          <w:rFonts w:hint="eastAsia"/>
          <w:b/>
          <w:bCs/>
          <w:sz w:val="24"/>
        </w:rPr>
        <w:t xml:space="preserve">7 </w:t>
      </w:r>
      <w:r>
        <w:rPr>
          <w:rFonts w:hint="eastAsia"/>
          <w:sz w:val="24"/>
        </w:rPr>
        <w:t>光伏组件应定期由专业人员检查，若发现下列问题应及时调整或更换：</w:t>
      </w:r>
    </w:p>
    <w:p w14:paraId="5B89C361">
      <w:pPr>
        <w:snapToGrid w:val="0"/>
        <w:spacing w:line="300" w:lineRule="auto"/>
        <w:ind w:firstLine="480" w:firstLineChars="200"/>
        <w:jc w:val="left"/>
        <w:rPr>
          <w:sz w:val="24"/>
        </w:rPr>
      </w:pPr>
      <w:r>
        <w:rPr>
          <w:rFonts w:hint="eastAsia"/>
          <w:sz w:val="24"/>
        </w:rPr>
        <w:t>1）中空玻璃结露、进水、失效；</w:t>
      </w:r>
    </w:p>
    <w:p w14:paraId="58E7218A">
      <w:pPr>
        <w:snapToGrid w:val="0"/>
        <w:spacing w:line="300" w:lineRule="auto"/>
        <w:ind w:firstLine="480" w:firstLineChars="200"/>
        <w:jc w:val="left"/>
        <w:rPr>
          <w:sz w:val="24"/>
        </w:rPr>
      </w:pPr>
      <w:r>
        <w:rPr>
          <w:rFonts w:hint="eastAsia"/>
          <w:sz w:val="24"/>
        </w:rPr>
        <w:t>2）玻璃炸裂；</w:t>
      </w:r>
    </w:p>
    <w:p w14:paraId="75AD73AA">
      <w:pPr>
        <w:snapToGrid w:val="0"/>
        <w:spacing w:line="300" w:lineRule="auto"/>
        <w:ind w:firstLine="480" w:firstLineChars="200"/>
        <w:jc w:val="left"/>
        <w:rPr>
          <w:sz w:val="24"/>
        </w:rPr>
      </w:pPr>
      <w:r>
        <w:rPr>
          <w:rFonts w:hint="eastAsia"/>
          <w:sz w:val="24"/>
        </w:rPr>
        <w:t>3）镀膜玻璃脱膜；</w:t>
      </w:r>
    </w:p>
    <w:p w14:paraId="4C49E0DF">
      <w:pPr>
        <w:snapToGrid w:val="0"/>
        <w:spacing w:line="300" w:lineRule="auto"/>
        <w:ind w:firstLine="480" w:firstLineChars="200"/>
        <w:jc w:val="left"/>
        <w:rPr>
          <w:sz w:val="24"/>
        </w:rPr>
      </w:pPr>
      <w:r>
        <w:rPr>
          <w:rFonts w:hint="eastAsia"/>
          <w:sz w:val="24"/>
        </w:rPr>
        <w:t>4）玻璃松动、开裂、破损等。</w:t>
      </w:r>
    </w:p>
    <w:p w14:paraId="00017F61">
      <w:pPr>
        <w:snapToGrid w:val="0"/>
        <w:spacing w:line="300" w:lineRule="auto"/>
        <w:ind w:firstLine="482" w:firstLineChars="200"/>
        <w:jc w:val="left"/>
        <w:rPr>
          <w:rFonts w:hint="eastAsia" w:eastAsia="宋体"/>
          <w:sz w:val="24"/>
          <w:lang w:eastAsia="zh-CN"/>
        </w:rPr>
      </w:pPr>
      <w:r>
        <w:rPr>
          <w:rFonts w:hint="eastAsia"/>
          <w:b/>
          <w:bCs/>
          <w:sz w:val="24"/>
        </w:rPr>
        <w:t xml:space="preserve">8 </w:t>
      </w:r>
      <w:r>
        <w:rPr>
          <w:rFonts w:hint="eastAsia"/>
          <w:sz w:val="24"/>
        </w:rPr>
        <w:t>光伏组件的密封胶应无脱胶、开裂、起泡等不良现象，密封胶条不应发生脱落或损坏</w:t>
      </w:r>
      <w:r>
        <w:rPr>
          <w:rFonts w:hint="eastAsia"/>
          <w:sz w:val="24"/>
          <w:lang w:eastAsia="zh-CN"/>
        </w:rPr>
        <w:t>；</w:t>
      </w:r>
    </w:p>
    <w:p w14:paraId="0D23D3FC">
      <w:pPr>
        <w:snapToGrid w:val="0"/>
        <w:spacing w:line="300" w:lineRule="auto"/>
        <w:ind w:firstLine="482" w:firstLineChars="200"/>
        <w:jc w:val="left"/>
        <w:rPr>
          <w:rFonts w:hint="eastAsia" w:eastAsia="宋体"/>
          <w:sz w:val="24"/>
          <w:lang w:eastAsia="zh-CN"/>
        </w:rPr>
      </w:pPr>
      <w:r>
        <w:rPr>
          <w:rFonts w:hint="eastAsia"/>
          <w:b/>
          <w:bCs/>
          <w:sz w:val="24"/>
        </w:rPr>
        <w:t xml:space="preserve">9 </w:t>
      </w:r>
      <w:r>
        <w:rPr>
          <w:rFonts w:hint="eastAsia"/>
          <w:sz w:val="24"/>
        </w:rPr>
        <w:t>对光伏组件进行检查、清洗、保养、维修时，所采用的机具设备应牢固、操作灵活方便、安全可靠并应有防止撞击和损伤光伏组件的措施</w:t>
      </w:r>
      <w:r>
        <w:rPr>
          <w:rFonts w:hint="eastAsia"/>
          <w:sz w:val="24"/>
          <w:lang w:eastAsia="zh-CN"/>
        </w:rPr>
        <w:t>；</w:t>
      </w:r>
    </w:p>
    <w:p w14:paraId="43A58E51">
      <w:pPr>
        <w:snapToGrid w:val="0"/>
        <w:spacing w:line="300" w:lineRule="auto"/>
        <w:ind w:firstLine="482" w:firstLineChars="200"/>
        <w:jc w:val="left"/>
        <w:rPr>
          <w:rFonts w:hint="eastAsia" w:eastAsia="宋体"/>
          <w:sz w:val="24"/>
          <w:lang w:eastAsia="zh-CN"/>
        </w:rPr>
      </w:pPr>
      <w:r>
        <w:rPr>
          <w:rFonts w:hint="eastAsia"/>
          <w:b/>
          <w:bCs/>
          <w:sz w:val="24"/>
        </w:rPr>
        <w:t xml:space="preserve">10 </w:t>
      </w:r>
      <w:r>
        <w:rPr>
          <w:rFonts w:hint="eastAsia"/>
          <w:sz w:val="24"/>
        </w:rPr>
        <w:t>清洁光伏组件时，应防止水流入防火隔断材料及组件或方阵的电气接口</w:t>
      </w:r>
      <w:r>
        <w:rPr>
          <w:rFonts w:hint="eastAsia"/>
          <w:sz w:val="24"/>
          <w:lang w:eastAsia="zh-CN"/>
        </w:rPr>
        <w:t>；</w:t>
      </w:r>
    </w:p>
    <w:p w14:paraId="0DB6164C">
      <w:pPr>
        <w:snapToGrid w:val="0"/>
        <w:spacing w:line="300" w:lineRule="auto"/>
        <w:ind w:firstLine="482" w:firstLineChars="200"/>
        <w:jc w:val="left"/>
        <w:rPr>
          <w:sz w:val="24"/>
        </w:rPr>
      </w:pPr>
      <w:r>
        <w:rPr>
          <w:rFonts w:hint="eastAsia"/>
          <w:b/>
          <w:bCs/>
          <w:sz w:val="24"/>
        </w:rPr>
        <w:t xml:space="preserve">11 </w:t>
      </w:r>
      <w:r>
        <w:rPr>
          <w:rFonts w:hint="eastAsia"/>
          <w:sz w:val="24"/>
        </w:rPr>
        <w:t>应定期检查光伏组件、电气设备及接地体等，具体要求如下：</w:t>
      </w:r>
    </w:p>
    <w:p w14:paraId="21441B5E">
      <w:pPr>
        <w:snapToGrid w:val="0"/>
        <w:spacing w:line="300" w:lineRule="auto"/>
        <w:ind w:firstLine="480" w:firstLineChars="200"/>
        <w:jc w:val="left"/>
        <w:rPr>
          <w:sz w:val="24"/>
        </w:rPr>
      </w:pPr>
      <w:r>
        <w:rPr>
          <w:rFonts w:hint="eastAsia"/>
          <w:sz w:val="24"/>
        </w:rPr>
        <w:t>1） 检查光伏组件绝缘性能是否良好；</w:t>
      </w:r>
    </w:p>
    <w:p w14:paraId="55041165">
      <w:pPr>
        <w:snapToGrid w:val="0"/>
        <w:spacing w:line="300" w:lineRule="auto"/>
        <w:ind w:firstLine="480" w:firstLineChars="200"/>
        <w:jc w:val="left"/>
        <w:rPr>
          <w:sz w:val="24"/>
        </w:rPr>
      </w:pPr>
      <w:r>
        <w:rPr>
          <w:rFonts w:hint="eastAsia"/>
          <w:sz w:val="24"/>
        </w:rPr>
        <w:t>2） 检查电气设备外观是否破损或老化，连接是否可靠牢固；</w:t>
      </w:r>
    </w:p>
    <w:p w14:paraId="4E391BAE">
      <w:pPr>
        <w:snapToGrid w:val="0"/>
        <w:spacing w:line="300" w:lineRule="auto"/>
        <w:ind w:firstLine="480" w:firstLineChars="200"/>
        <w:jc w:val="left"/>
        <w:rPr>
          <w:sz w:val="24"/>
        </w:rPr>
      </w:pPr>
      <w:r>
        <w:rPr>
          <w:rFonts w:hint="eastAsia"/>
          <w:sz w:val="24"/>
        </w:rPr>
        <w:t>3） 用钳形电流表测试建筑光伏组件电流，检查光伏组件电流指示是否正常；</w:t>
      </w:r>
    </w:p>
    <w:p w14:paraId="408D4338">
      <w:pPr>
        <w:snapToGrid w:val="0"/>
        <w:spacing w:line="300" w:lineRule="auto"/>
        <w:ind w:firstLine="480" w:firstLineChars="200"/>
        <w:jc w:val="left"/>
        <w:rPr>
          <w:sz w:val="24"/>
        </w:rPr>
      </w:pPr>
      <w:r>
        <w:rPr>
          <w:rFonts w:hint="eastAsia"/>
          <w:sz w:val="24"/>
        </w:rPr>
        <w:t>4） 用扭矩扳手检查螺丝是否松动，确保光伏组件无松动；使用金属边框的建筑光伏组件，边框和支架应结合良好（电性能），边框应牢固接地；</w:t>
      </w:r>
    </w:p>
    <w:p w14:paraId="5D532E6D">
      <w:pPr>
        <w:snapToGrid w:val="0"/>
        <w:spacing w:line="300" w:lineRule="auto"/>
        <w:ind w:firstLine="480" w:firstLineChars="200"/>
        <w:jc w:val="left"/>
        <w:rPr>
          <w:sz w:val="24"/>
        </w:rPr>
      </w:pPr>
      <w:r>
        <w:rPr>
          <w:rFonts w:hint="eastAsia"/>
          <w:sz w:val="24"/>
        </w:rPr>
        <w:t>5） 支架与预埋件、支架本体连接均应牢固可靠；</w:t>
      </w:r>
    </w:p>
    <w:p w14:paraId="37BA3FB6">
      <w:pPr>
        <w:snapToGrid w:val="0"/>
        <w:spacing w:line="300" w:lineRule="auto"/>
        <w:ind w:firstLine="480" w:firstLineChars="200"/>
        <w:jc w:val="left"/>
        <w:rPr>
          <w:sz w:val="24"/>
        </w:rPr>
      </w:pPr>
      <w:r>
        <w:rPr>
          <w:rFonts w:hint="eastAsia"/>
          <w:sz w:val="24"/>
        </w:rPr>
        <w:t>6） 支架表面的防腐涂层，不应出现开裂和脱落现象，若出现上述现象应及时修补。</w:t>
      </w:r>
    </w:p>
    <w:p w14:paraId="59FE1FFF">
      <w:pPr>
        <w:pStyle w:val="2"/>
        <w:spacing w:after="0" w:line="300" w:lineRule="auto"/>
        <w:ind w:firstLine="482" w:firstLineChars="200"/>
        <w:rPr>
          <w:rFonts w:hint="eastAsia" w:eastAsia="宋体"/>
          <w:sz w:val="24"/>
          <w:lang w:eastAsia="zh-CN"/>
        </w:rPr>
      </w:pPr>
      <w:r>
        <w:rPr>
          <w:rFonts w:hint="eastAsia"/>
          <w:b/>
          <w:bCs/>
          <w:sz w:val="24"/>
        </w:rPr>
        <w:t xml:space="preserve">12 </w:t>
      </w:r>
      <w:r>
        <w:rPr>
          <w:rFonts w:hint="eastAsia"/>
          <w:sz w:val="24"/>
        </w:rPr>
        <w:t>边框和支撑结构应结合良好，两者之间接触电阻不应大于4</w:t>
      </w:r>
      <w:r>
        <w:rPr>
          <w:rFonts w:hint="default" w:ascii="Times New Roman" w:hAnsi="Times New Roman" w:cs="Times New Roman"/>
          <w:sz w:val="24"/>
        </w:rPr>
        <w:t>Ω</w:t>
      </w:r>
      <w:r>
        <w:rPr>
          <w:rFonts w:hint="eastAsia"/>
          <w:sz w:val="24"/>
          <w:lang w:eastAsia="zh-CN"/>
        </w:rPr>
        <w:t>；</w:t>
      </w:r>
    </w:p>
    <w:p w14:paraId="7EBF956D">
      <w:pPr>
        <w:pStyle w:val="2"/>
        <w:spacing w:after="0" w:line="300" w:lineRule="auto"/>
        <w:ind w:firstLine="482" w:firstLineChars="200"/>
        <w:rPr>
          <w:rFonts w:hint="eastAsia" w:eastAsia="宋体"/>
          <w:sz w:val="24"/>
          <w:lang w:eastAsia="zh-CN"/>
        </w:rPr>
      </w:pPr>
      <w:r>
        <w:rPr>
          <w:rFonts w:hint="eastAsia"/>
          <w:b/>
          <w:bCs/>
          <w:sz w:val="24"/>
        </w:rPr>
        <w:t xml:space="preserve">13 </w:t>
      </w:r>
      <w:r>
        <w:rPr>
          <w:rFonts w:hint="eastAsia"/>
          <w:sz w:val="24"/>
        </w:rPr>
        <w:t>当太阳辐照度为500W/m</w:t>
      </w:r>
      <w:r>
        <w:rPr>
          <w:rFonts w:hint="eastAsia"/>
          <w:sz w:val="24"/>
          <w:vertAlign w:val="superscript"/>
        </w:rPr>
        <w:t>2</w:t>
      </w:r>
      <w:r>
        <w:rPr>
          <w:rFonts w:hint="eastAsia"/>
          <w:sz w:val="24"/>
        </w:rPr>
        <w:t>以上</w:t>
      </w:r>
      <w:r>
        <w:rPr>
          <w:rFonts w:hint="eastAsia"/>
          <w:sz w:val="24"/>
          <w:lang w:eastAsia="zh-CN"/>
        </w:rPr>
        <w:t>，</w:t>
      </w:r>
      <w:r>
        <w:rPr>
          <w:rFonts w:hint="eastAsia"/>
          <w:sz w:val="24"/>
        </w:rPr>
        <w:t>风速不大于2m/s且无阴影遮挡时，同一光伏组件外表面</w:t>
      </w:r>
      <w:r>
        <w:rPr>
          <w:rFonts w:hint="eastAsia"/>
          <w:sz w:val="24"/>
          <w:lang w:eastAsia="zh-CN"/>
        </w:rPr>
        <w:t>（</w:t>
      </w:r>
      <w:r>
        <w:rPr>
          <w:rFonts w:hint="eastAsia"/>
          <w:sz w:val="24"/>
        </w:rPr>
        <w:t>电池正上方区域</w:t>
      </w:r>
      <w:r>
        <w:rPr>
          <w:rFonts w:hint="eastAsia"/>
          <w:sz w:val="24"/>
          <w:lang w:eastAsia="zh-CN"/>
        </w:rPr>
        <w:t>）</w:t>
      </w:r>
      <w:r>
        <w:rPr>
          <w:rFonts w:hint="eastAsia"/>
          <w:sz w:val="24"/>
        </w:rPr>
        <w:t>温度差异应小于20℃。装机容量大于50kWp的光伏电站，宜配备用于检测光伏组件外表面温度差异的红外线热像仪</w:t>
      </w:r>
      <w:r>
        <w:rPr>
          <w:rFonts w:hint="eastAsia"/>
          <w:sz w:val="24"/>
          <w:lang w:eastAsia="zh-CN"/>
        </w:rPr>
        <w:t>；</w:t>
      </w:r>
    </w:p>
    <w:p w14:paraId="7165EC27">
      <w:pPr>
        <w:pStyle w:val="2"/>
        <w:spacing w:after="0" w:line="300" w:lineRule="auto"/>
        <w:ind w:firstLine="482" w:firstLineChars="200"/>
        <w:rPr>
          <w:sz w:val="24"/>
        </w:rPr>
      </w:pPr>
      <w:r>
        <w:rPr>
          <w:rFonts w:hint="eastAsia"/>
          <w:b/>
          <w:bCs/>
          <w:sz w:val="24"/>
        </w:rPr>
        <w:t xml:space="preserve">14 </w:t>
      </w:r>
      <w:r>
        <w:rPr>
          <w:rFonts w:hint="eastAsia"/>
          <w:sz w:val="24"/>
        </w:rPr>
        <w:t>应使用直流钳型电流表在太阳辐射强度基本一致的条件下测量接人同一个直流汇流箱的各光伏组件串的</w:t>
      </w:r>
      <w:r>
        <w:rPr>
          <w:rFonts w:hint="eastAsia"/>
          <w:sz w:val="24"/>
          <w:lang w:val="en-US" w:eastAsia="zh-CN"/>
        </w:rPr>
        <w:t>输入</w:t>
      </w:r>
      <w:r>
        <w:rPr>
          <w:rFonts w:hint="eastAsia"/>
          <w:sz w:val="24"/>
        </w:rPr>
        <w:t xml:space="preserve">电流并计算其平均值，各组件串与平均值的偏差不应超过5%。 </w:t>
      </w:r>
    </w:p>
    <w:p w14:paraId="124601D6">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281203A">
      <w:pPr>
        <w:snapToGrid w:val="0"/>
        <w:spacing w:line="300" w:lineRule="auto"/>
        <w:jc w:val="left"/>
        <w:rPr>
          <w:rFonts w:hint="eastAsia" w:ascii="仿宋" w:hAnsi="仿宋" w:eastAsia="仿宋" w:cs="仿宋"/>
          <w:i/>
          <w:iCs/>
          <w:color w:val="0623BA"/>
          <w:sz w:val="24"/>
          <w:lang w:eastAsia="zh-CN"/>
        </w:rPr>
      </w:pPr>
      <w:r>
        <w:rPr>
          <w:rFonts w:hint="eastAsia" w:ascii="仿宋" w:hAnsi="仿宋" w:eastAsia="仿宋" w:cs="仿宋"/>
          <w:i/>
          <w:iCs/>
          <w:color w:val="0623BA"/>
          <w:sz w:val="24"/>
        </w:rPr>
        <w:t>1</w:t>
      </w:r>
      <w:r>
        <w:rPr>
          <w:rFonts w:hint="eastAsia" w:ascii="仿宋" w:hAnsi="仿宋" w:eastAsia="仿宋" w:cs="仿宋"/>
          <w:i/>
          <w:iCs/>
          <w:color w:val="0623BA"/>
          <w:sz w:val="24"/>
          <w:lang w:val="en-US" w:eastAsia="zh-CN"/>
        </w:rPr>
        <w:t>4</w:t>
      </w:r>
      <w:r>
        <w:rPr>
          <w:rFonts w:hint="eastAsia" w:ascii="仿宋" w:hAnsi="仿宋" w:eastAsia="仿宋" w:cs="仿宋"/>
          <w:i/>
          <w:iCs/>
          <w:color w:val="0623BA"/>
          <w:sz w:val="24"/>
        </w:rPr>
        <w:t>.3.</w:t>
      </w: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光伏方阵</w:t>
      </w:r>
      <w:r>
        <w:rPr>
          <w:rFonts w:hint="eastAsia" w:ascii="仿宋" w:hAnsi="仿宋" w:eastAsia="仿宋" w:cs="仿宋"/>
          <w:i/>
          <w:iCs/>
          <w:color w:val="0623BA"/>
          <w:sz w:val="24"/>
          <w:lang w:val="en-US" w:eastAsia="zh-CN"/>
        </w:rPr>
        <w:t>应定期检查与维护：</w:t>
      </w:r>
    </w:p>
    <w:p w14:paraId="09A65FDE">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 xml:space="preserve">1 </w:t>
      </w:r>
      <w:r>
        <w:rPr>
          <w:rFonts w:hint="eastAsia" w:ascii="仿宋" w:hAnsi="仿宋" w:eastAsia="仿宋" w:cs="仿宋"/>
          <w:i/>
          <w:iCs/>
          <w:color w:val="0623BA"/>
          <w:sz w:val="24"/>
        </w:rPr>
        <w:t>光伏组件或阵列的清洗应根据当地气候状况</w:t>
      </w:r>
      <w:r>
        <w:rPr>
          <w:rFonts w:hint="eastAsia" w:ascii="仿宋" w:hAnsi="仿宋" w:eastAsia="仿宋" w:cs="仿宋"/>
          <w:i/>
          <w:iCs/>
          <w:color w:val="0623BA"/>
          <w:sz w:val="24"/>
          <w:lang w:val="en-US" w:eastAsia="zh-CN"/>
        </w:rPr>
        <w:t>确</w:t>
      </w:r>
      <w:r>
        <w:rPr>
          <w:rFonts w:hint="eastAsia" w:ascii="仿宋" w:hAnsi="仿宋" w:eastAsia="仿宋" w:cs="仿宋"/>
          <w:i/>
          <w:iCs/>
          <w:color w:val="0623BA"/>
          <w:sz w:val="24"/>
        </w:rPr>
        <w:t>定，在干燥或灰尘较多的季节，应增加清洗次数。清洗时应先用清水冲洗，然后用干净的柔软布将水迹擦干，切勿用有腐蚀性的</w:t>
      </w:r>
      <w:r>
        <w:rPr>
          <w:rFonts w:hint="eastAsia" w:ascii="仿宋" w:hAnsi="仿宋" w:eastAsia="仿宋" w:cs="仿宋"/>
          <w:i/>
          <w:iCs/>
          <w:color w:val="0623BA"/>
          <w:sz w:val="24"/>
          <w:lang w:val="en-US" w:eastAsia="zh-CN"/>
        </w:rPr>
        <w:t>溶剂</w:t>
      </w:r>
      <w:r>
        <w:rPr>
          <w:rFonts w:hint="eastAsia" w:ascii="仿宋" w:hAnsi="仿宋" w:eastAsia="仿宋" w:cs="仿宋"/>
          <w:i/>
          <w:iCs/>
          <w:color w:val="0623BA"/>
          <w:sz w:val="24"/>
        </w:rPr>
        <w:t>冲洗或用硬物擦拭。若遇下雪天气，应及时清扫组件或阵列表面的积雪，清洗(或清扫) 时，应避免在</w:t>
      </w:r>
      <w:r>
        <w:rPr>
          <w:rFonts w:hint="eastAsia" w:ascii="仿宋" w:hAnsi="仿宋" w:eastAsia="仿宋" w:cs="仿宋"/>
          <w:i/>
          <w:iCs/>
          <w:color w:val="0623BA"/>
          <w:sz w:val="24"/>
          <w:lang w:val="en-US" w:eastAsia="zh-CN"/>
        </w:rPr>
        <w:t>太阳辐射</w:t>
      </w:r>
      <w:r>
        <w:rPr>
          <w:rFonts w:hint="eastAsia" w:ascii="仿宋" w:hAnsi="仿宋" w:eastAsia="仿宋" w:cs="仿宋"/>
          <w:i/>
          <w:iCs/>
          <w:color w:val="0623BA"/>
          <w:sz w:val="24"/>
        </w:rPr>
        <w:t>较强时进行。若组件或阵列表面有树叶、鸟粪等杂物，应及时清理干净</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 xml:space="preserve"> </w:t>
      </w:r>
    </w:p>
    <w:p w14:paraId="1024530A">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2</w:t>
      </w:r>
      <w:r>
        <w:rPr>
          <w:rFonts w:hint="eastAsia" w:ascii="仿宋" w:hAnsi="仿宋" w:eastAsia="仿宋" w:cs="仿宋"/>
          <w:i/>
          <w:iCs/>
          <w:color w:val="0623BA"/>
          <w:sz w:val="24"/>
        </w:rPr>
        <w:t>建筑光伏系统宜每年对外观、一致性、接地性能、电流</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电压特性、组件内部缺陷进行检测。应定期检查光伏组件间连线，连线连接应可靠、牢固、无接地并绝缘良好；</w:t>
      </w:r>
    </w:p>
    <w:p w14:paraId="5E5F0144">
      <w:pPr>
        <w:snapToGrid w:val="0"/>
        <w:spacing w:line="300" w:lineRule="auto"/>
        <w:ind w:firstLine="480" w:firstLineChars="200"/>
        <w:jc w:val="left"/>
        <w:rPr>
          <w:rFonts w:hint="eastAsia" w:ascii="仿宋" w:hAnsi="仿宋" w:eastAsia="仿宋" w:cs="仿宋"/>
          <w:b w:val="0"/>
          <w:bCs w:val="0"/>
          <w:i/>
          <w:iCs/>
          <w:color w:val="0623BA"/>
          <w:sz w:val="24"/>
          <w:lang w:eastAsia="zh-CN"/>
        </w:rPr>
      </w:pPr>
      <w:r>
        <w:rPr>
          <w:rFonts w:hint="eastAsia" w:ascii="仿宋" w:hAnsi="仿宋" w:eastAsia="仿宋" w:cs="仿宋"/>
          <w:b w:val="0"/>
          <w:bCs w:val="0"/>
          <w:i/>
          <w:iCs/>
          <w:color w:val="0623BA"/>
          <w:sz w:val="24"/>
          <w:lang w:val="en-US" w:eastAsia="zh-CN"/>
        </w:rPr>
        <w:t xml:space="preserve">9 </w:t>
      </w:r>
      <w:r>
        <w:rPr>
          <w:rFonts w:hint="eastAsia" w:ascii="仿宋" w:hAnsi="仿宋" w:eastAsia="仿宋" w:cs="仿宋"/>
          <w:b w:val="0"/>
          <w:bCs w:val="0"/>
          <w:i/>
          <w:iCs/>
          <w:color w:val="0623BA"/>
          <w:sz w:val="24"/>
        </w:rPr>
        <w:t>光伏组件表面积灰会严重影响光伏系统的发电效率，因此光伏组件表面应保持清洁，定期对组件表面进行清洗。系统的日常维护宜选择在晚上或阴天进行，应避免光伏组件在被阳光晒热的情况下用冷水清洗，冷水可能会导致处于高温状态的组件遇冷破裂同时也不应在风力大于4级时清洗光伏组件。光伏组件一旦出现结露、进水、炸裂、脱膜、破损和开裂等现象，除了影响建筑美观外，还严重影响其安全、发电和隔热等功能，因此需要由专业人士进行定期检查，及时更换损坏的光伏构件</w:t>
      </w:r>
      <w:r>
        <w:rPr>
          <w:rFonts w:hint="eastAsia" w:ascii="仿宋" w:hAnsi="仿宋" w:eastAsia="仿宋" w:cs="仿宋"/>
          <w:b w:val="0"/>
          <w:bCs w:val="0"/>
          <w:i/>
          <w:iCs/>
          <w:color w:val="0623BA"/>
          <w:sz w:val="24"/>
          <w:lang w:eastAsia="zh-CN"/>
        </w:rPr>
        <w:t>；</w:t>
      </w:r>
    </w:p>
    <w:p w14:paraId="1EC6BF0D">
      <w:pPr>
        <w:snapToGrid w:val="0"/>
        <w:spacing w:line="300" w:lineRule="auto"/>
        <w:ind w:firstLine="480" w:firstLineChars="200"/>
        <w:jc w:val="left"/>
        <w:rPr>
          <w:rFonts w:hint="eastAsia" w:ascii="仿宋" w:hAnsi="仿宋" w:eastAsia="仿宋" w:cs="仿宋"/>
          <w:i/>
          <w:iCs/>
          <w:color w:val="0623BA"/>
          <w:sz w:val="24"/>
          <w:lang w:eastAsia="zh-CN"/>
        </w:rPr>
      </w:pPr>
      <w:r>
        <w:rPr>
          <w:rFonts w:hint="eastAsia" w:ascii="仿宋" w:hAnsi="仿宋" w:eastAsia="仿宋" w:cs="仿宋"/>
          <w:i/>
          <w:iCs/>
          <w:color w:val="0623BA"/>
          <w:sz w:val="24"/>
        </w:rPr>
        <w:t>12 光伏组件是整个系统的发电部件</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需要安全接地并有明显的警告标识</w:t>
      </w:r>
      <w:r>
        <w:rPr>
          <w:rFonts w:hint="eastAsia" w:ascii="仿宋" w:hAnsi="仿宋" w:eastAsia="仿宋" w:cs="仿宋"/>
          <w:i/>
          <w:iCs/>
          <w:color w:val="0623BA"/>
          <w:sz w:val="24"/>
          <w:lang w:eastAsia="zh-CN"/>
        </w:rPr>
        <w:t>；</w:t>
      </w:r>
    </w:p>
    <w:p w14:paraId="4465C51D">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rPr>
        <w:t>13 在正常运行状态下</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同一光伏组件电池上方的表面温度差异在5℃</w:t>
      </w:r>
      <w:r>
        <w:rPr>
          <w:rFonts w:hint="default" w:ascii="Times New Roman" w:hAnsi="Times New Roman" w:eastAsia="仿宋" w:cs="Times New Roman"/>
          <w:i/>
          <w:iCs/>
          <w:color w:val="0623BA"/>
          <w:sz w:val="24"/>
          <w:lang w:val="en-US" w:eastAsia="zh-CN"/>
        </w:rPr>
        <w:t>~</w:t>
      </w:r>
      <w:r>
        <w:rPr>
          <w:rFonts w:hint="eastAsia" w:ascii="仿宋" w:hAnsi="仿宋" w:eastAsia="仿宋" w:cs="仿宋"/>
          <w:i/>
          <w:iCs/>
          <w:color w:val="0623BA"/>
          <w:sz w:val="24"/>
        </w:rPr>
        <w:t>10℃。因为系统安装的地理位置、辐照量等都会影响到温差并且检测方法不同</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温差也会有一定的不同</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考虑到恶劣的环境</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同一光伏组件电池上方的组件外表面温度差异需小于20℃</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如超过20℃会降低系统的发电效率</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还存在较大安全隐患。</w:t>
      </w:r>
    </w:p>
    <w:p w14:paraId="050F6165">
      <w:pPr>
        <w:snapToGrid w:val="0"/>
        <w:spacing w:line="300" w:lineRule="auto"/>
        <w:jc w:val="left"/>
        <w:rPr>
          <w:rFonts w:hint="default" w:eastAsia="宋体"/>
          <w:sz w:val="24"/>
          <w:lang w:val="en-US" w:eastAsia="zh-CN"/>
        </w:rPr>
      </w:pPr>
      <w:r>
        <w:rPr>
          <w:b/>
          <w:bCs/>
          <w:sz w:val="24"/>
        </w:rPr>
        <w:t>1</w:t>
      </w:r>
      <w:r>
        <w:rPr>
          <w:rFonts w:hint="eastAsia"/>
          <w:b/>
          <w:bCs/>
          <w:sz w:val="24"/>
          <w:lang w:val="en-US" w:eastAsia="zh-CN"/>
        </w:rPr>
        <w:t>4</w:t>
      </w:r>
      <w:r>
        <w:rPr>
          <w:b/>
          <w:bCs/>
          <w:sz w:val="24"/>
        </w:rPr>
        <w:t>.</w:t>
      </w:r>
      <w:r>
        <w:rPr>
          <w:rFonts w:hint="eastAsia"/>
          <w:b/>
          <w:bCs/>
          <w:sz w:val="24"/>
        </w:rPr>
        <w:t>3</w:t>
      </w:r>
      <w:r>
        <w:rPr>
          <w:b/>
          <w:bCs/>
          <w:sz w:val="24"/>
        </w:rPr>
        <w:t>.</w:t>
      </w:r>
      <w:r>
        <w:rPr>
          <w:rFonts w:hint="eastAsia"/>
          <w:b/>
          <w:bCs/>
          <w:sz w:val="24"/>
          <w:lang w:val="en-US" w:eastAsia="zh-CN"/>
        </w:rPr>
        <w:t>3</w:t>
      </w:r>
      <w:r>
        <w:rPr>
          <w:b/>
          <w:bCs/>
          <w:sz w:val="24"/>
        </w:rPr>
        <w:t xml:space="preserve"> </w:t>
      </w:r>
      <w:r>
        <w:rPr>
          <w:sz w:val="24"/>
        </w:rPr>
        <w:t>电缆</w:t>
      </w:r>
      <w:r>
        <w:rPr>
          <w:rFonts w:hint="eastAsia"/>
          <w:sz w:val="24"/>
          <w:lang w:val="en-US" w:eastAsia="zh-CN"/>
        </w:rPr>
        <w:t>运行与维护应符合下列规定：</w:t>
      </w:r>
    </w:p>
    <w:p w14:paraId="59C01E9F">
      <w:pPr>
        <w:snapToGrid w:val="0"/>
        <w:spacing w:line="300" w:lineRule="auto"/>
        <w:ind w:left="479" w:leftChars="228"/>
        <w:jc w:val="left"/>
        <w:rPr>
          <w:sz w:val="24"/>
        </w:rPr>
      </w:pPr>
      <w:r>
        <w:rPr>
          <w:rFonts w:hint="eastAsia"/>
          <w:b/>
          <w:bCs/>
          <w:sz w:val="24"/>
          <w:lang w:val="en-US" w:eastAsia="zh-CN"/>
        </w:rPr>
        <w:t>1</w:t>
      </w:r>
      <w:r>
        <w:rPr>
          <w:rFonts w:hint="eastAsia"/>
          <w:b/>
          <w:bCs/>
          <w:sz w:val="24"/>
        </w:rPr>
        <w:t xml:space="preserve"> </w:t>
      </w:r>
      <w:r>
        <w:rPr>
          <w:rFonts w:hint="eastAsia"/>
          <w:sz w:val="24"/>
        </w:rPr>
        <w:t>电缆不应在过负荷的状态下运行，电缆的铅包不应出现膨胀、龟裂现象；</w:t>
      </w:r>
    </w:p>
    <w:p w14:paraId="2F0DC2C4">
      <w:pPr>
        <w:snapToGrid w:val="0"/>
        <w:spacing w:line="300" w:lineRule="auto"/>
        <w:ind w:left="479" w:leftChars="228"/>
        <w:jc w:val="left"/>
        <w:rPr>
          <w:sz w:val="24"/>
        </w:rPr>
      </w:pPr>
      <w:r>
        <w:rPr>
          <w:rFonts w:hint="eastAsia"/>
          <w:b/>
          <w:bCs/>
          <w:sz w:val="24"/>
          <w:lang w:val="en-US" w:eastAsia="zh-CN"/>
        </w:rPr>
        <w:t>2</w:t>
      </w:r>
      <w:r>
        <w:rPr>
          <w:rFonts w:hint="eastAsia"/>
          <w:b/>
          <w:bCs/>
          <w:sz w:val="24"/>
        </w:rPr>
        <w:t xml:space="preserve"> </w:t>
      </w:r>
      <w:r>
        <w:rPr>
          <w:rFonts w:hint="eastAsia"/>
          <w:sz w:val="24"/>
        </w:rPr>
        <w:t>电缆在进出设备处的部位应封堵完好，不应存在直径大于10mm的孔洞；</w:t>
      </w:r>
    </w:p>
    <w:p w14:paraId="04559441">
      <w:pPr>
        <w:snapToGrid w:val="0"/>
        <w:spacing w:line="300" w:lineRule="auto"/>
        <w:ind w:firstLine="482" w:firstLineChars="200"/>
        <w:jc w:val="left"/>
        <w:rPr>
          <w:sz w:val="24"/>
        </w:rPr>
      </w:pPr>
      <w:r>
        <w:rPr>
          <w:rFonts w:hint="eastAsia"/>
          <w:b/>
          <w:bCs/>
          <w:sz w:val="24"/>
          <w:lang w:val="en-US" w:eastAsia="zh-CN"/>
        </w:rPr>
        <w:t>3</w:t>
      </w:r>
      <w:r>
        <w:rPr>
          <w:rFonts w:hint="eastAsia"/>
          <w:b/>
          <w:bCs/>
          <w:sz w:val="24"/>
        </w:rPr>
        <w:t xml:space="preserve"> </w:t>
      </w:r>
      <w:r>
        <w:rPr>
          <w:rFonts w:hint="eastAsia"/>
          <w:sz w:val="24"/>
        </w:rPr>
        <w:t>对于电缆对设备外壳造成过大压力、拉力的部位，电缆的支撑点应完好；</w:t>
      </w:r>
    </w:p>
    <w:p w14:paraId="7FD00822">
      <w:pPr>
        <w:snapToGrid w:val="0"/>
        <w:spacing w:line="300" w:lineRule="auto"/>
        <w:ind w:firstLine="482" w:firstLineChars="200"/>
        <w:jc w:val="left"/>
        <w:rPr>
          <w:sz w:val="24"/>
        </w:rPr>
      </w:pPr>
      <w:r>
        <w:rPr>
          <w:rFonts w:hint="eastAsia"/>
          <w:b/>
          <w:bCs/>
          <w:sz w:val="24"/>
          <w:lang w:val="en-US" w:eastAsia="zh-CN"/>
        </w:rPr>
        <w:t>4</w:t>
      </w:r>
      <w:r>
        <w:rPr>
          <w:rFonts w:hint="eastAsia"/>
          <w:b/>
          <w:bCs/>
          <w:sz w:val="24"/>
        </w:rPr>
        <w:t xml:space="preserve"> </w:t>
      </w:r>
      <w:r>
        <w:rPr>
          <w:rFonts w:hint="eastAsia"/>
          <w:sz w:val="24"/>
        </w:rPr>
        <w:t>电缆保护钢管口不应有穿孔、裂缝和显著的凹凸不平</w:t>
      </w:r>
      <w:r>
        <w:rPr>
          <w:rFonts w:hint="eastAsia"/>
          <w:sz w:val="24"/>
          <w:lang w:val="en-US" w:eastAsia="zh-CN"/>
        </w:rPr>
        <w:t>，</w:t>
      </w:r>
      <w:r>
        <w:rPr>
          <w:rFonts w:hint="eastAsia"/>
          <w:sz w:val="24"/>
        </w:rPr>
        <w:t>金属电缆管不应有严重锈蚀；</w:t>
      </w:r>
    </w:p>
    <w:p w14:paraId="1C5A9481">
      <w:pPr>
        <w:snapToGrid w:val="0"/>
        <w:spacing w:line="300" w:lineRule="auto"/>
        <w:ind w:left="479" w:leftChars="228"/>
        <w:jc w:val="left"/>
        <w:rPr>
          <w:sz w:val="24"/>
        </w:rPr>
      </w:pPr>
      <w:r>
        <w:rPr>
          <w:rFonts w:hint="eastAsia"/>
          <w:b/>
          <w:bCs/>
          <w:sz w:val="24"/>
          <w:lang w:val="en-US" w:eastAsia="zh-CN"/>
        </w:rPr>
        <w:t>5</w:t>
      </w:r>
      <w:r>
        <w:rPr>
          <w:rFonts w:hint="eastAsia"/>
          <w:b/>
          <w:bCs/>
          <w:sz w:val="24"/>
        </w:rPr>
        <w:t xml:space="preserve"> </w:t>
      </w:r>
      <w:r>
        <w:rPr>
          <w:rFonts w:hint="eastAsia"/>
          <w:sz w:val="24"/>
        </w:rPr>
        <w:t>室外电缆井内的堆积物、垃圾应及时清理；</w:t>
      </w:r>
    </w:p>
    <w:p w14:paraId="600D17FE">
      <w:pPr>
        <w:snapToGrid w:val="0"/>
        <w:spacing w:line="300" w:lineRule="auto"/>
        <w:ind w:firstLine="482" w:firstLineChars="200"/>
        <w:jc w:val="left"/>
        <w:rPr>
          <w:sz w:val="24"/>
        </w:rPr>
      </w:pPr>
      <w:r>
        <w:rPr>
          <w:rFonts w:hint="eastAsia"/>
          <w:b/>
          <w:bCs/>
          <w:sz w:val="24"/>
          <w:lang w:val="en-US" w:eastAsia="zh-CN"/>
        </w:rPr>
        <w:t>6</w:t>
      </w:r>
      <w:r>
        <w:rPr>
          <w:rFonts w:hint="eastAsia"/>
          <w:b/>
          <w:bCs/>
          <w:sz w:val="24"/>
        </w:rPr>
        <w:t xml:space="preserve"> </w:t>
      </w:r>
      <w:r>
        <w:rPr>
          <w:rFonts w:hint="eastAsia"/>
          <w:sz w:val="24"/>
        </w:rPr>
        <w:t>电缆沟或电缆井的盖板应完好无缺</w:t>
      </w:r>
      <w:r>
        <w:rPr>
          <w:rFonts w:hint="eastAsia"/>
          <w:sz w:val="24"/>
          <w:lang w:eastAsia="zh-CN"/>
        </w:rPr>
        <w:t>，</w:t>
      </w:r>
      <w:r>
        <w:rPr>
          <w:rFonts w:hint="eastAsia"/>
          <w:sz w:val="24"/>
        </w:rPr>
        <w:t>电缆头应无漏油、溢胶、发热、放电等现象；电缆沟内不应有积水或杂物</w:t>
      </w:r>
      <w:r>
        <w:rPr>
          <w:rFonts w:hint="eastAsia"/>
          <w:sz w:val="24"/>
          <w:lang w:eastAsia="zh-CN"/>
        </w:rPr>
        <w:t>，</w:t>
      </w:r>
      <w:r>
        <w:rPr>
          <w:rFonts w:hint="eastAsia"/>
          <w:sz w:val="24"/>
        </w:rPr>
        <w:t>电缆沟内支架应牢固，无锈蚀和松动现象；铠装电缆外皮及铠装不应有影响性能的锈蚀；</w:t>
      </w:r>
    </w:p>
    <w:p w14:paraId="77D4C5CA">
      <w:pPr>
        <w:snapToGrid w:val="0"/>
        <w:spacing w:line="300" w:lineRule="auto"/>
        <w:ind w:left="479" w:leftChars="228" w:firstLine="0" w:firstLineChars="0"/>
        <w:jc w:val="left"/>
        <w:rPr>
          <w:rFonts w:hint="eastAsia"/>
          <w:sz w:val="24"/>
        </w:rPr>
      </w:pPr>
      <w:r>
        <w:rPr>
          <w:rFonts w:hint="eastAsia"/>
          <w:b/>
          <w:bCs/>
          <w:sz w:val="24"/>
          <w:lang w:val="en-US" w:eastAsia="zh-CN"/>
        </w:rPr>
        <w:t>7</w:t>
      </w:r>
      <w:r>
        <w:rPr>
          <w:rFonts w:hint="eastAsia"/>
          <w:b/>
          <w:bCs/>
          <w:sz w:val="24"/>
        </w:rPr>
        <w:t xml:space="preserve"> </w:t>
      </w:r>
      <w:r>
        <w:rPr>
          <w:rFonts w:hint="eastAsia"/>
          <w:sz w:val="24"/>
        </w:rPr>
        <w:t>当光伏系统中使用双拼或多拼电缆时，应检查电流分配和电缆外皮的温度</w:t>
      </w:r>
      <w:r>
        <w:rPr>
          <w:rFonts w:hint="eastAsia"/>
          <w:sz w:val="24"/>
          <w:lang w:eastAsia="zh-CN"/>
        </w:rPr>
        <w:t>；</w:t>
      </w:r>
      <w:r>
        <w:rPr>
          <w:rFonts w:hint="eastAsia"/>
          <w:sz w:val="24"/>
        </w:rPr>
        <w:br w:type="textWrapping"/>
      </w:r>
      <w:r>
        <w:rPr>
          <w:rFonts w:hint="eastAsia"/>
          <w:b/>
          <w:bCs/>
          <w:sz w:val="24"/>
          <w:lang w:val="en-US" w:eastAsia="zh-CN"/>
        </w:rPr>
        <w:t>8</w:t>
      </w:r>
      <w:r>
        <w:rPr>
          <w:rFonts w:hint="eastAsia"/>
          <w:b/>
          <w:bCs/>
          <w:sz w:val="24"/>
        </w:rPr>
        <w:t xml:space="preserve"> </w:t>
      </w:r>
      <w:r>
        <w:rPr>
          <w:rFonts w:hint="eastAsia"/>
          <w:sz w:val="24"/>
        </w:rPr>
        <w:t>电缆终端头接地应良好</w:t>
      </w:r>
      <w:r>
        <w:rPr>
          <w:sz w:val="24"/>
        </w:rPr>
        <w:t>，</w:t>
      </w:r>
      <w:r>
        <w:rPr>
          <w:rFonts w:hint="eastAsia"/>
          <w:sz w:val="24"/>
        </w:rPr>
        <w:t>绝缘套管应完好、清洁</w:t>
      </w:r>
      <w:r>
        <w:rPr>
          <w:sz w:val="24"/>
        </w:rPr>
        <w:t>，</w:t>
      </w:r>
      <w:r>
        <w:rPr>
          <w:rFonts w:hint="eastAsia"/>
          <w:sz w:val="24"/>
        </w:rPr>
        <w:t>无闪络放电痕迹</w:t>
      </w:r>
      <w:r>
        <w:rPr>
          <w:rFonts w:hint="eastAsia"/>
          <w:sz w:val="24"/>
          <w:lang w:eastAsia="zh-CN"/>
        </w:rPr>
        <w:t>，</w:t>
      </w:r>
      <w:r>
        <w:rPr>
          <w:rFonts w:hint="eastAsia"/>
          <w:sz w:val="24"/>
        </w:rPr>
        <w:t>电缆</w:t>
      </w:r>
    </w:p>
    <w:p w14:paraId="33FB6154">
      <w:pPr>
        <w:snapToGrid w:val="0"/>
        <w:spacing w:line="300" w:lineRule="auto"/>
        <w:ind w:left="0" w:leftChars="0" w:firstLine="0" w:firstLineChars="0"/>
        <w:jc w:val="left"/>
        <w:rPr>
          <w:sz w:val="21"/>
        </w:rPr>
      </w:pPr>
      <w:r>
        <w:rPr>
          <w:rFonts w:hint="default"/>
          <w:sz w:val="24"/>
        </w:rPr>
        <w:t>相色应明显、准确；</w:t>
      </w:r>
    </w:p>
    <w:p w14:paraId="187EFB7E">
      <w:pPr>
        <w:snapToGrid w:val="0"/>
        <w:spacing w:line="300" w:lineRule="auto"/>
        <w:ind w:firstLine="482" w:firstLineChars="200"/>
        <w:jc w:val="left"/>
        <w:rPr>
          <w:sz w:val="24"/>
        </w:rPr>
      </w:pPr>
      <w:r>
        <w:rPr>
          <w:rFonts w:hint="eastAsia"/>
          <w:b/>
          <w:bCs/>
          <w:sz w:val="24"/>
          <w:lang w:val="en-US" w:eastAsia="zh-CN"/>
        </w:rPr>
        <w:t>9</w:t>
      </w:r>
      <w:r>
        <w:rPr>
          <w:rFonts w:hint="eastAsia"/>
          <w:b/>
          <w:bCs/>
          <w:sz w:val="24"/>
        </w:rPr>
        <w:t xml:space="preserve"> </w:t>
      </w:r>
      <w:r>
        <w:rPr>
          <w:rFonts w:hint="eastAsia"/>
          <w:sz w:val="24"/>
        </w:rPr>
        <w:t>金属电缆桥架及其支架和引入或引出的金属电缆导管应可靠接地</w:t>
      </w:r>
      <w:r>
        <w:rPr>
          <w:rFonts w:hint="eastAsia"/>
          <w:sz w:val="24"/>
          <w:lang w:eastAsia="zh-CN"/>
        </w:rPr>
        <w:t>，</w:t>
      </w:r>
      <w:r>
        <w:rPr>
          <w:rFonts w:hint="eastAsia"/>
          <w:sz w:val="24"/>
        </w:rPr>
        <w:t>金属电缆桥架间应可靠连接；</w:t>
      </w:r>
    </w:p>
    <w:p w14:paraId="298DEAC8">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0</w:t>
      </w:r>
      <w:r>
        <w:rPr>
          <w:b/>
          <w:bCs/>
          <w:sz w:val="24"/>
        </w:rPr>
        <w:t xml:space="preserve"> </w:t>
      </w:r>
      <w:r>
        <w:rPr>
          <w:sz w:val="24"/>
        </w:rPr>
        <w:t>桥架穿墙处防火封堵应严密、无脱落</w:t>
      </w:r>
      <w:r>
        <w:rPr>
          <w:rFonts w:hint="eastAsia"/>
          <w:sz w:val="24"/>
        </w:rPr>
        <w:t>；</w:t>
      </w:r>
    </w:p>
    <w:p w14:paraId="398B08FF">
      <w:pPr>
        <w:snapToGrid w:val="0"/>
        <w:spacing w:line="300" w:lineRule="auto"/>
        <w:ind w:firstLine="482" w:firstLineChars="200"/>
        <w:jc w:val="left"/>
        <w:rPr>
          <w:sz w:val="24"/>
        </w:rPr>
      </w:pPr>
      <w:r>
        <w:rPr>
          <w:b/>
          <w:bCs/>
          <w:sz w:val="24"/>
        </w:rPr>
        <w:t>1</w:t>
      </w:r>
      <w:r>
        <w:rPr>
          <w:rFonts w:hint="eastAsia"/>
          <w:b/>
          <w:bCs/>
          <w:sz w:val="24"/>
          <w:lang w:val="en-US" w:eastAsia="zh-CN"/>
        </w:rPr>
        <w:t>1</w:t>
      </w:r>
      <w:r>
        <w:rPr>
          <w:rFonts w:hint="eastAsia"/>
          <w:b/>
          <w:bCs/>
          <w:sz w:val="24"/>
        </w:rPr>
        <w:t xml:space="preserve"> </w:t>
      </w:r>
      <w:r>
        <w:rPr>
          <w:sz w:val="24"/>
        </w:rPr>
        <w:t>建筑光伏系统中电缆进出电气设备、电缆沟槽管及墙体处的封堵状态应定期检查，发现封堵材料脱落应及时修补；</w:t>
      </w:r>
    </w:p>
    <w:p w14:paraId="616DCD80">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2</w:t>
      </w:r>
      <w:r>
        <w:rPr>
          <w:b/>
          <w:bCs/>
          <w:sz w:val="24"/>
        </w:rPr>
        <w:t xml:space="preserve"> </w:t>
      </w:r>
      <w:r>
        <w:rPr>
          <w:sz w:val="24"/>
        </w:rPr>
        <w:t>户外线缆的敷设和保护措施的完整性应定期检查，出现损坏应及时维修</w:t>
      </w:r>
      <w:r>
        <w:rPr>
          <w:rFonts w:hint="eastAsia"/>
          <w:sz w:val="24"/>
          <w:lang w:eastAsia="zh-CN"/>
        </w:rPr>
        <w:t>，</w:t>
      </w:r>
      <w:r>
        <w:rPr>
          <w:sz w:val="24"/>
        </w:rPr>
        <w:t>电缆支架结构松动、腐蚀时应及时维修；</w:t>
      </w:r>
    </w:p>
    <w:p w14:paraId="610285E8">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3</w:t>
      </w:r>
      <w:r>
        <w:rPr>
          <w:b/>
          <w:bCs/>
          <w:sz w:val="24"/>
        </w:rPr>
        <w:t xml:space="preserve"> </w:t>
      </w:r>
      <w:r>
        <w:rPr>
          <w:sz w:val="24"/>
        </w:rPr>
        <w:t>电缆沟、井、管、槽、架内的杂物应定期清理并应及时清理架空线路上的抛挂物；</w:t>
      </w:r>
    </w:p>
    <w:p w14:paraId="3363F18A">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4</w:t>
      </w:r>
      <w:r>
        <w:rPr>
          <w:b/>
          <w:bCs/>
          <w:sz w:val="24"/>
        </w:rPr>
        <w:t xml:space="preserve"> </w:t>
      </w:r>
      <w:r>
        <w:rPr>
          <w:sz w:val="24"/>
        </w:rPr>
        <w:t>户外电缆的连接情况应定期检查，出现脱落及松动时应及时维护；</w:t>
      </w:r>
    </w:p>
    <w:p w14:paraId="2F04D374">
      <w:pPr>
        <w:snapToGrid w:val="0"/>
        <w:spacing w:line="300" w:lineRule="auto"/>
        <w:ind w:firstLine="482" w:firstLineChars="200"/>
        <w:jc w:val="left"/>
        <w:rPr>
          <w:rFonts w:hint="eastAsia" w:eastAsia="宋体"/>
          <w:sz w:val="24"/>
          <w:lang w:eastAsia="zh-CN"/>
        </w:rPr>
      </w:pPr>
      <w:r>
        <w:rPr>
          <w:rFonts w:hint="eastAsia"/>
          <w:b/>
          <w:bCs/>
          <w:sz w:val="24"/>
        </w:rPr>
        <w:t>1</w:t>
      </w:r>
      <w:r>
        <w:rPr>
          <w:rFonts w:hint="eastAsia"/>
          <w:b/>
          <w:bCs/>
          <w:sz w:val="24"/>
          <w:lang w:val="en-US" w:eastAsia="zh-CN"/>
        </w:rPr>
        <w:t>5</w:t>
      </w:r>
      <w:r>
        <w:rPr>
          <w:b/>
          <w:bCs/>
          <w:sz w:val="24"/>
        </w:rPr>
        <w:t xml:space="preserve"> </w:t>
      </w:r>
      <w:r>
        <w:rPr>
          <w:sz w:val="24"/>
        </w:rPr>
        <w:t>电力线路的标牌应定期检查，丢失应及时补充，出现无法辨识时应及时更换</w:t>
      </w:r>
      <w:r>
        <w:rPr>
          <w:rFonts w:hint="eastAsia"/>
          <w:sz w:val="24"/>
          <w:lang w:eastAsia="zh-CN"/>
        </w:rPr>
        <w:t>；</w:t>
      </w:r>
    </w:p>
    <w:p w14:paraId="5F2AA021">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6</w:t>
      </w:r>
      <w:r>
        <w:rPr>
          <w:rFonts w:hint="eastAsia"/>
          <w:b/>
          <w:bCs/>
          <w:sz w:val="24"/>
        </w:rPr>
        <w:t xml:space="preserve"> </w:t>
      </w:r>
      <w:r>
        <w:rPr>
          <w:rFonts w:hint="eastAsia"/>
          <w:sz w:val="24"/>
        </w:rPr>
        <w:t>电缆保护层应无损坏、腐蚀、鼓包、龟裂、漏油等现象；</w:t>
      </w:r>
    </w:p>
    <w:p w14:paraId="640B710C">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7</w:t>
      </w:r>
      <w:r>
        <w:rPr>
          <w:rFonts w:hint="eastAsia"/>
          <w:b/>
          <w:bCs/>
          <w:sz w:val="24"/>
        </w:rPr>
        <w:t xml:space="preserve"> </w:t>
      </w:r>
      <w:r>
        <w:rPr>
          <w:rFonts w:hint="eastAsia"/>
          <w:sz w:val="24"/>
        </w:rPr>
        <w:t>按照电缆防火措施要求，检查防火措施是否完整；</w:t>
      </w:r>
    </w:p>
    <w:p w14:paraId="6B496596">
      <w:pPr>
        <w:snapToGrid w:val="0"/>
        <w:spacing w:line="300" w:lineRule="auto"/>
        <w:ind w:firstLine="482" w:firstLineChars="200"/>
        <w:jc w:val="left"/>
        <w:rPr>
          <w:sz w:val="24"/>
        </w:rPr>
      </w:pPr>
      <w:r>
        <w:rPr>
          <w:rFonts w:hint="eastAsia"/>
          <w:b/>
          <w:bCs/>
          <w:sz w:val="24"/>
        </w:rPr>
        <w:t>1</w:t>
      </w:r>
      <w:r>
        <w:rPr>
          <w:rFonts w:hint="eastAsia"/>
          <w:b/>
          <w:bCs/>
          <w:sz w:val="24"/>
          <w:lang w:val="en-US" w:eastAsia="zh-CN"/>
        </w:rPr>
        <w:t>8</w:t>
      </w:r>
      <w:r>
        <w:rPr>
          <w:rFonts w:hint="eastAsia"/>
          <w:b/>
          <w:bCs/>
          <w:sz w:val="24"/>
        </w:rPr>
        <w:t xml:space="preserve"> </w:t>
      </w:r>
      <w:r>
        <w:rPr>
          <w:rFonts w:hint="eastAsia"/>
          <w:sz w:val="24"/>
        </w:rPr>
        <w:t>当发生外皮鼓包或接地线脱落时应及时处理。</w:t>
      </w:r>
    </w:p>
    <w:p w14:paraId="41535CA1">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37DAA97B">
      <w:pPr>
        <w:snapToGrid w:val="0"/>
        <w:spacing w:line="300" w:lineRule="auto"/>
        <w:ind w:firstLine="0" w:firstLineChars="0"/>
        <w:jc w:val="left"/>
        <w:rPr>
          <w:rFonts w:hint="eastAsia" w:ascii="仿宋" w:hAnsi="仿宋" w:eastAsia="仿宋" w:cs="仿宋"/>
          <w:i/>
          <w:iCs/>
          <w:color w:val="0623BA"/>
          <w:sz w:val="24"/>
          <w:lang w:val="en-US" w:eastAsia="zh-CN"/>
        </w:rPr>
      </w:pPr>
      <w:r>
        <w:rPr>
          <w:rFonts w:hint="eastAsia" w:ascii="仿宋" w:hAnsi="仿宋" w:eastAsia="仿宋" w:cs="仿宋"/>
          <w:i/>
          <w:iCs/>
          <w:color w:val="0623BA"/>
          <w:sz w:val="24"/>
          <w:lang w:val="en-US" w:eastAsia="zh-CN"/>
        </w:rPr>
        <w:t>14.3.3本条为电缆运行与维护应遵守的规定：</w:t>
      </w:r>
    </w:p>
    <w:p w14:paraId="50603629">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6</w:t>
      </w:r>
      <w:r>
        <w:rPr>
          <w:rFonts w:hint="eastAsia" w:ascii="仿宋" w:hAnsi="仿宋" w:eastAsia="仿宋" w:cs="仿宋"/>
          <w:i/>
          <w:iCs/>
          <w:color w:val="0623BA"/>
          <w:sz w:val="24"/>
        </w:rPr>
        <w:t xml:space="preserve"> 电缆井内堆积物、垃圾如不能及时清理,将会影响电缆的检修、维护甚至造成电缆的损坏。</w:t>
      </w:r>
    </w:p>
    <w:p w14:paraId="667688D7">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10</w:t>
      </w:r>
      <w:r>
        <w:rPr>
          <w:rFonts w:hint="eastAsia" w:ascii="仿宋" w:hAnsi="仿宋" w:eastAsia="仿宋" w:cs="仿宋"/>
          <w:i/>
          <w:iCs/>
          <w:color w:val="0623BA"/>
          <w:sz w:val="24"/>
        </w:rPr>
        <w:t xml:space="preserve"> 桥架与支架间螺栓、桥架连接板螺栓固定完好,以达到可靠连接的目的。</w:t>
      </w:r>
    </w:p>
    <w:p w14:paraId="2C433341">
      <w:pPr>
        <w:snapToGrid w:val="0"/>
        <w:spacing w:line="300" w:lineRule="auto"/>
        <w:jc w:val="left"/>
        <w:rPr>
          <w:rFonts w:hint="default" w:eastAsia="宋体"/>
          <w:sz w:val="24"/>
          <w:lang w:val="en-US" w:eastAsia="zh-CN"/>
        </w:rPr>
      </w:pPr>
      <w:r>
        <w:rPr>
          <w:b/>
          <w:bCs/>
          <w:sz w:val="24"/>
        </w:rPr>
        <w:t>1</w:t>
      </w:r>
      <w:r>
        <w:rPr>
          <w:rFonts w:hint="eastAsia"/>
          <w:b/>
          <w:bCs/>
          <w:sz w:val="24"/>
          <w:lang w:val="en-US" w:eastAsia="zh-CN"/>
        </w:rPr>
        <w:t>4</w:t>
      </w:r>
      <w:r>
        <w:rPr>
          <w:b/>
          <w:bCs/>
          <w:sz w:val="24"/>
        </w:rPr>
        <w:t>.</w:t>
      </w:r>
      <w:r>
        <w:rPr>
          <w:rFonts w:hint="eastAsia"/>
          <w:b/>
          <w:bCs/>
          <w:sz w:val="24"/>
        </w:rPr>
        <w:t>3</w:t>
      </w:r>
      <w:r>
        <w:rPr>
          <w:b/>
          <w:bCs/>
          <w:sz w:val="24"/>
        </w:rPr>
        <w:t>.</w:t>
      </w:r>
      <w:r>
        <w:rPr>
          <w:rFonts w:hint="eastAsia"/>
          <w:b/>
          <w:bCs/>
          <w:sz w:val="24"/>
          <w:lang w:val="en-US" w:eastAsia="zh-CN"/>
        </w:rPr>
        <w:t>4</w:t>
      </w:r>
      <w:r>
        <w:rPr>
          <w:b/>
          <w:bCs/>
          <w:sz w:val="24"/>
        </w:rPr>
        <w:t xml:space="preserve"> </w:t>
      </w:r>
      <w:r>
        <w:rPr>
          <w:sz w:val="24"/>
        </w:rPr>
        <w:t>储能系统</w:t>
      </w:r>
      <w:r>
        <w:rPr>
          <w:rFonts w:hint="eastAsia"/>
          <w:sz w:val="24"/>
          <w:lang w:val="en-US" w:eastAsia="zh-CN"/>
        </w:rPr>
        <w:t>运行和维护应符合</w:t>
      </w:r>
      <w:r>
        <w:rPr>
          <w:rFonts w:hint="eastAsia"/>
          <w:sz w:val="24"/>
          <w:highlight w:val="none"/>
        </w:rPr>
        <w:t>建筑光伏系统应用技术标准</w:t>
      </w:r>
      <w:r>
        <w:rPr>
          <w:sz w:val="24"/>
          <w:highlight w:val="none"/>
        </w:rPr>
        <w:t>GB/T51368</w:t>
      </w:r>
      <w:r>
        <w:rPr>
          <w:rFonts w:hint="eastAsia"/>
          <w:sz w:val="24"/>
          <w:highlight w:val="none"/>
          <w:lang w:val="en-US" w:eastAsia="zh-CN"/>
        </w:rPr>
        <w:t>规定外，还应符合下列要求：</w:t>
      </w:r>
    </w:p>
    <w:p w14:paraId="480158D0">
      <w:pPr>
        <w:snapToGrid w:val="0"/>
        <w:spacing w:line="300" w:lineRule="auto"/>
        <w:ind w:firstLine="482" w:firstLineChars="200"/>
        <w:jc w:val="left"/>
        <w:rPr>
          <w:rFonts w:hint="eastAsia" w:eastAsia="宋体"/>
          <w:sz w:val="24"/>
          <w:lang w:eastAsia="zh-CN"/>
        </w:rPr>
      </w:pPr>
      <w:r>
        <w:rPr>
          <w:rFonts w:hint="eastAsia"/>
          <w:b/>
          <w:bCs/>
          <w:sz w:val="24"/>
          <w:lang w:val="en-US" w:eastAsia="zh-CN"/>
        </w:rPr>
        <w:t xml:space="preserve">1 </w:t>
      </w:r>
      <w:r>
        <w:rPr>
          <w:rFonts w:hint="eastAsia"/>
          <w:sz w:val="24"/>
        </w:rPr>
        <w:t>定期对储能单元进行满充满放并测试可用容量和充放电时间</w:t>
      </w:r>
      <w:r>
        <w:rPr>
          <w:rFonts w:hint="eastAsia"/>
          <w:sz w:val="24"/>
          <w:lang w:eastAsia="zh-CN"/>
        </w:rPr>
        <w:t>；</w:t>
      </w:r>
    </w:p>
    <w:p w14:paraId="6710F0C7">
      <w:pPr>
        <w:snapToGrid w:val="0"/>
        <w:spacing w:line="300" w:lineRule="auto"/>
        <w:ind w:firstLine="482" w:firstLineChars="200"/>
        <w:jc w:val="left"/>
        <w:rPr>
          <w:rFonts w:hint="eastAsia" w:eastAsia="宋体"/>
          <w:sz w:val="24"/>
          <w:lang w:eastAsia="zh-CN"/>
        </w:rPr>
      </w:pPr>
      <w:r>
        <w:rPr>
          <w:rFonts w:hint="eastAsia"/>
          <w:b/>
          <w:bCs/>
          <w:sz w:val="24"/>
          <w:lang w:val="en-US" w:eastAsia="zh-CN"/>
        </w:rPr>
        <w:t xml:space="preserve">2 </w:t>
      </w:r>
      <w:r>
        <w:rPr>
          <w:rFonts w:hint="eastAsia"/>
          <w:sz w:val="24"/>
        </w:rPr>
        <w:t>定期维护检查电池组承载结构</w:t>
      </w:r>
      <w:r>
        <w:rPr>
          <w:rFonts w:hint="eastAsia"/>
          <w:sz w:val="24"/>
          <w:lang w:eastAsia="zh-CN"/>
        </w:rPr>
        <w:t>；</w:t>
      </w:r>
    </w:p>
    <w:p w14:paraId="4F81BA7D">
      <w:pPr>
        <w:snapToGrid w:val="0"/>
        <w:spacing w:line="300" w:lineRule="auto"/>
        <w:ind w:firstLine="482" w:firstLineChars="200"/>
        <w:jc w:val="left"/>
        <w:rPr>
          <w:rFonts w:hint="eastAsia" w:eastAsia="宋体"/>
          <w:sz w:val="24"/>
          <w:lang w:eastAsia="zh-CN"/>
        </w:rPr>
      </w:pPr>
      <w:r>
        <w:rPr>
          <w:rFonts w:hint="eastAsia"/>
          <w:b/>
          <w:bCs/>
          <w:sz w:val="24"/>
        </w:rPr>
        <w:t xml:space="preserve">3 </w:t>
      </w:r>
      <w:r>
        <w:rPr>
          <w:rFonts w:hint="eastAsia"/>
          <w:sz w:val="24"/>
        </w:rPr>
        <w:t>电压或容量异常的电池组应及时更换且宜采用同品牌、同型号的产品</w:t>
      </w:r>
      <w:r>
        <w:rPr>
          <w:rFonts w:hint="eastAsia"/>
          <w:sz w:val="24"/>
          <w:lang w:eastAsia="zh-CN"/>
        </w:rPr>
        <w:t>；</w:t>
      </w:r>
    </w:p>
    <w:p w14:paraId="2A19D0E7">
      <w:pPr>
        <w:snapToGrid w:val="0"/>
        <w:spacing w:line="300" w:lineRule="auto"/>
        <w:ind w:firstLine="482" w:firstLineChars="200"/>
        <w:jc w:val="left"/>
        <w:rPr>
          <w:rFonts w:hint="eastAsia" w:eastAsia="宋体"/>
          <w:sz w:val="24"/>
          <w:lang w:eastAsia="zh-CN"/>
        </w:rPr>
      </w:pPr>
      <w:r>
        <w:rPr>
          <w:rFonts w:hint="eastAsia"/>
          <w:b/>
          <w:bCs/>
          <w:sz w:val="24"/>
          <w:lang w:val="en-US" w:eastAsia="zh-CN"/>
        </w:rPr>
        <w:t xml:space="preserve">4 </w:t>
      </w:r>
      <w:r>
        <w:rPr>
          <w:rFonts w:hint="eastAsia"/>
          <w:sz w:val="24"/>
        </w:rPr>
        <w:t>应对电池管理系统电池荷电状态(SOC)等状态参数进行校验</w:t>
      </w:r>
      <w:r>
        <w:rPr>
          <w:rFonts w:hint="eastAsia"/>
          <w:sz w:val="24"/>
          <w:lang w:eastAsia="zh-CN"/>
        </w:rPr>
        <w:t>；</w:t>
      </w:r>
    </w:p>
    <w:p w14:paraId="7ED705DA">
      <w:pPr>
        <w:snapToGrid w:val="0"/>
        <w:spacing w:line="300" w:lineRule="auto"/>
        <w:ind w:firstLine="482" w:firstLineChars="200"/>
        <w:jc w:val="left"/>
        <w:rPr>
          <w:rFonts w:hint="eastAsia"/>
          <w:sz w:val="24"/>
        </w:rPr>
      </w:pPr>
      <w:r>
        <w:rPr>
          <w:rFonts w:hint="eastAsia"/>
          <w:b/>
          <w:bCs/>
          <w:sz w:val="24"/>
          <w:lang w:val="en-US" w:eastAsia="zh-CN"/>
        </w:rPr>
        <w:t xml:space="preserve">5 </w:t>
      </w:r>
      <w:r>
        <w:rPr>
          <w:rFonts w:hint="eastAsia"/>
          <w:sz w:val="24"/>
        </w:rPr>
        <w:t>应对电池模块、电池簇均衡维护处理。</w:t>
      </w:r>
    </w:p>
    <w:p w14:paraId="1D7A2DEB">
      <w:pPr>
        <w:snapToGrid w:val="0"/>
        <w:spacing w:line="300" w:lineRule="auto"/>
        <w:jc w:val="left"/>
        <w:rPr>
          <w:sz w:val="24"/>
        </w:rPr>
      </w:pPr>
      <w:r>
        <w:rPr>
          <w:rFonts w:hint="eastAsia"/>
          <w:b/>
          <w:bCs/>
          <w:sz w:val="24"/>
        </w:rPr>
        <w:t>1</w:t>
      </w:r>
      <w:r>
        <w:rPr>
          <w:rFonts w:hint="eastAsia"/>
          <w:b/>
          <w:bCs/>
          <w:sz w:val="24"/>
          <w:lang w:val="en-US" w:eastAsia="zh-CN"/>
        </w:rPr>
        <w:t>4</w:t>
      </w:r>
      <w:r>
        <w:rPr>
          <w:rFonts w:hint="eastAsia"/>
          <w:b/>
          <w:bCs/>
          <w:sz w:val="24"/>
        </w:rPr>
        <w:t>.3.</w:t>
      </w:r>
      <w:r>
        <w:rPr>
          <w:rFonts w:hint="eastAsia"/>
          <w:b/>
          <w:bCs/>
          <w:sz w:val="24"/>
          <w:lang w:val="en-US" w:eastAsia="zh-CN"/>
        </w:rPr>
        <w:t>5</w:t>
      </w:r>
      <w:r>
        <w:rPr>
          <w:rFonts w:hint="eastAsia"/>
          <w:b/>
          <w:bCs/>
          <w:sz w:val="24"/>
        </w:rPr>
        <w:t xml:space="preserve"> </w:t>
      </w:r>
      <w:r>
        <w:rPr>
          <w:rFonts w:hint="eastAsia"/>
          <w:sz w:val="24"/>
        </w:rPr>
        <w:t>直流汇流箱及直流配电柜的运行与维护应符合下列</w:t>
      </w:r>
      <w:r>
        <w:rPr>
          <w:rFonts w:hint="eastAsia"/>
          <w:sz w:val="24"/>
          <w:lang w:val="en-US" w:eastAsia="zh-CN"/>
        </w:rPr>
        <w:t>规定</w:t>
      </w:r>
      <w:r>
        <w:rPr>
          <w:rFonts w:hint="eastAsia"/>
          <w:sz w:val="24"/>
        </w:rPr>
        <w:t>：</w:t>
      </w:r>
    </w:p>
    <w:p w14:paraId="3803C33B">
      <w:pPr>
        <w:snapToGrid w:val="0"/>
        <w:spacing w:line="300" w:lineRule="auto"/>
        <w:ind w:firstLine="482" w:firstLineChars="200"/>
        <w:jc w:val="left"/>
        <w:rPr>
          <w:sz w:val="24"/>
        </w:rPr>
      </w:pPr>
      <w:r>
        <w:rPr>
          <w:rFonts w:hint="eastAsia"/>
          <w:b/>
          <w:bCs/>
          <w:sz w:val="24"/>
        </w:rPr>
        <w:t xml:space="preserve">1 </w:t>
      </w:r>
      <w:r>
        <w:rPr>
          <w:rFonts w:hint="eastAsia"/>
          <w:sz w:val="24"/>
        </w:rPr>
        <w:t>户外使用的汇流箱密封结构应完好，箱体不应存在变形、腐蚀等现象；</w:t>
      </w:r>
    </w:p>
    <w:p w14:paraId="00D0453A">
      <w:pPr>
        <w:snapToGrid w:val="0"/>
        <w:spacing w:line="300" w:lineRule="auto"/>
        <w:ind w:firstLine="482" w:firstLineChars="200"/>
        <w:jc w:val="left"/>
        <w:rPr>
          <w:sz w:val="24"/>
        </w:rPr>
      </w:pPr>
      <w:r>
        <w:rPr>
          <w:rFonts w:hint="eastAsia"/>
          <w:b/>
          <w:bCs/>
          <w:sz w:val="24"/>
        </w:rPr>
        <w:t xml:space="preserve">2 </w:t>
      </w:r>
      <w:r>
        <w:rPr>
          <w:rFonts w:hint="eastAsia"/>
          <w:sz w:val="24"/>
        </w:rPr>
        <w:t>采用金属箱体的汇流箱应可靠接地，汇流箱内防雷器应有效；</w:t>
      </w:r>
    </w:p>
    <w:p w14:paraId="5CA4423C">
      <w:pPr>
        <w:snapToGrid w:val="0"/>
        <w:spacing w:line="300" w:lineRule="auto"/>
        <w:ind w:firstLine="482" w:firstLineChars="200"/>
        <w:jc w:val="left"/>
        <w:rPr>
          <w:sz w:val="24"/>
        </w:rPr>
      </w:pPr>
      <w:r>
        <w:rPr>
          <w:rFonts w:hint="eastAsia"/>
          <w:b/>
          <w:bCs/>
          <w:sz w:val="24"/>
        </w:rPr>
        <w:t xml:space="preserve">3 </w:t>
      </w:r>
      <w:r>
        <w:rPr>
          <w:rFonts w:hint="eastAsia"/>
          <w:sz w:val="24"/>
        </w:rPr>
        <w:t>汇流箱内各接线端子应连接牢固，不应出现松动、锈蚀等现象；</w:t>
      </w:r>
    </w:p>
    <w:p w14:paraId="6C2F63D1">
      <w:pPr>
        <w:snapToGrid w:val="0"/>
        <w:spacing w:line="300" w:lineRule="auto"/>
        <w:ind w:firstLine="482" w:firstLineChars="200"/>
        <w:jc w:val="left"/>
        <w:rPr>
          <w:sz w:val="24"/>
        </w:rPr>
      </w:pPr>
      <w:r>
        <w:rPr>
          <w:rFonts w:hint="eastAsia"/>
          <w:b/>
          <w:bCs/>
          <w:sz w:val="24"/>
        </w:rPr>
        <w:t xml:space="preserve">4 </w:t>
      </w:r>
      <w:r>
        <w:rPr>
          <w:rFonts w:hint="eastAsia"/>
          <w:sz w:val="24"/>
        </w:rPr>
        <w:t>各光伏支路进线端及子方阵出线端，以及接线端子与汇流箱接地端绝缘电阻应大于0.5M（DC500V）；</w:t>
      </w:r>
    </w:p>
    <w:p w14:paraId="00D2012B">
      <w:pPr>
        <w:snapToGrid w:val="0"/>
        <w:spacing w:line="300" w:lineRule="auto"/>
        <w:ind w:firstLine="482" w:firstLineChars="200"/>
        <w:jc w:val="left"/>
        <w:rPr>
          <w:sz w:val="24"/>
        </w:rPr>
      </w:pPr>
      <w:r>
        <w:rPr>
          <w:rFonts w:hint="eastAsia"/>
          <w:b/>
          <w:bCs/>
          <w:sz w:val="24"/>
          <w:lang w:val="en-US" w:eastAsia="zh-CN"/>
        </w:rPr>
        <w:t>5</w:t>
      </w:r>
      <w:r>
        <w:rPr>
          <w:rFonts w:hint="eastAsia"/>
          <w:sz w:val="24"/>
        </w:rPr>
        <w:t xml:space="preserve"> 直流汇流箱和直流配电柜配置的浪涌保护器应有效；</w:t>
      </w:r>
    </w:p>
    <w:p w14:paraId="121B07FE">
      <w:pPr>
        <w:snapToGrid w:val="0"/>
        <w:spacing w:line="300" w:lineRule="auto"/>
        <w:ind w:firstLine="482" w:firstLineChars="200"/>
        <w:jc w:val="left"/>
        <w:rPr>
          <w:sz w:val="24"/>
        </w:rPr>
      </w:pPr>
      <w:r>
        <w:rPr>
          <w:rFonts w:hint="eastAsia"/>
          <w:b/>
          <w:bCs/>
          <w:sz w:val="24"/>
          <w:lang w:val="en-US" w:eastAsia="zh-CN"/>
        </w:rPr>
        <w:t>6</w:t>
      </w:r>
      <w:r>
        <w:rPr>
          <w:rFonts w:hint="eastAsia"/>
          <w:b/>
          <w:bCs/>
          <w:sz w:val="24"/>
        </w:rPr>
        <w:t xml:space="preserve"> </w:t>
      </w:r>
      <w:r>
        <w:rPr>
          <w:rFonts w:hint="eastAsia"/>
          <w:sz w:val="24"/>
        </w:rPr>
        <w:t>直流汇流箱内直流熔丝的规格应符合设计要求；</w:t>
      </w:r>
    </w:p>
    <w:p w14:paraId="01071E6E">
      <w:pPr>
        <w:snapToGrid w:val="0"/>
        <w:spacing w:line="300" w:lineRule="auto"/>
        <w:ind w:firstLine="482" w:firstLineChars="200"/>
        <w:jc w:val="left"/>
        <w:rPr>
          <w:sz w:val="24"/>
        </w:rPr>
      </w:pPr>
      <w:r>
        <w:rPr>
          <w:rFonts w:hint="eastAsia"/>
          <w:b/>
          <w:bCs/>
          <w:sz w:val="24"/>
          <w:lang w:val="en-US" w:eastAsia="zh-CN"/>
        </w:rPr>
        <w:t>7</w:t>
      </w:r>
      <w:r>
        <w:rPr>
          <w:rFonts w:hint="eastAsia"/>
          <w:b/>
          <w:bCs/>
          <w:sz w:val="24"/>
        </w:rPr>
        <w:t xml:space="preserve"> </w:t>
      </w:r>
      <w:r>
        <w:rPr>
          <w:rFonts w:hint="eastAsia"/>
          <w:sz w:val="24"/>
        </w:rPr>
        <w:t>直流配电柜的直流输</w:t>
      </w:r>
      <w:r>
        <w:rPr>
          <w:rFonts w:hint="eastAsia"/>
          <w:sz w:val="24"/>
          <w:lang w:val="en-US" w:eastAsia="zh-CN"/>
        </w:rPr>
        <w:t>入</w:t>
      </w:r>
      <w:r>
        <w:rPr>
          <w:rFonts w:hint="eastAsia"/>
          <w:sz w:val="24"/>
        </w:rPr>
        <w:t>接口与直流汇流箱的连接，直流配电柜的直流输出与并网主机直流输</w:t>
      </w:r>
      <w:r>
        <w:rPr>
          <w:rFonts w:hint="eastAsia"/>
          <w:sz w:val="24"/>
          <w:lang w:val="en-US" w:eastAsia="zh-CN"/>
        </w:rPr>
        <w:t>入</w:t>
      </w:r>
      <w:r>
        <w:rPr>
          <w:rFonts w:hint="eastAsia"/>
          <w:sz w:val="24"/>
        </w:rPr>
        <w:t>处的连接应稳定。</w:t>
      </w:r>
    </w:p>
    <w:p w14:paraId="03F221FA">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7A72FE8E">
      <w:pPr>
        <w:snapToGrid w:val="0"/>
        <w:spacing w:line="300" w:lineRule="auto"/>
        <w:ind w:firstLine="0" w:firstLineChars="0"/>
        <w:jc w:val="left"/>
        <w:rPr>
          <w:rFonts w:hint="eastAsia" w:ascii="仿宋" w:hAnsi="仿宋" w:eastAsia="仿宋" w:cs="仿宋"/>
          <w:i/>
          <w:iCs/>
          <w:color w:val="0623BA"/>
          <w:sz w:val="24"/>
          <w:lang w:val="en-US" w:eastAsia="zh-CN"/>
        </w:rPr>
      </w:pPr>
      <w:r>
        <w:rPr>
          <w:rFonts w:hint="eastAsia" w:ascii="仿宋" w:hAnsi="仿宋" w:eastAsia="仿宋" w:cs="仿宋"/>
          <w:i/>
          <w:iCs/>
          <w:color w:val="0623BA"/>
          <w:sz w:val="24"/>
          <w:lang w:val="en-US" w:eastAsia="zh-CN"/>
        </w:rPr>
        <w:t>14.3.5 本条为</w:t>
      </w:r>
      <w:r>
        <w:rPr>
          <w:rFonts w:hint="eastAsia" w:ascii="仿宋" w:hAnsi="仿宋" w:eastAsia="仿宋" w:cs="仿宋"/>
          <w:i/>
          <w:iCs/>
          <w:color w:val="0623BA"/>
          <w:sz w:val="24"/>
        </w:rPr>
        <w:t>直流汇流箱及直流配电柜的运行与维护应</w:t>
      </w:r>
      <w:r>
        <w:rPr>
          <w:rFonts w:hint="eastAsia" w:ascii="仿宋" w:hAnsi="仿宋" w:eastAsia="仿宋" w:cs="仿宋"/>
          <w:i/>
          <w:iCs/>
          <w:color w:val="0623BA"/>
          <w:sz w:val="24"/>
          <w:lang w:val="en-US" w:eastAsia="zh-CN"/>
        </w:rPr>
        <w:t>遵守的</w:t>
      </w:r>
      <w:r>
        <w:rPr>
          <w:rFonts w:hint="eastAsia" w:ascii="仿宋" w:hAnsi="仿宋" w:eastAsia="仿宋" w:cs="仿宋"/>
          <w:i/>
          <w:iCs/>
          <w:color w:val="0623BA"/>
          <w:sz w:val="24"/>
          <w:lang w:eastAsia="zh-CN"/>
        </w:rPr>
        <w:t>要求：</w:t>
      </w:r>
    </w:p>
    <w:p w14:paraId="241A2F20">
      <w:pPr>
        <w:snapToGrid w:val="0"/>
        <w:spacing w:line="300" w:lineRule="auto"/>
        <w:ind w:firstLine="480" w:firstLineChars="200"/>
        <w:jc w:val="left"/>
        <w:rPr>
          <w:rFonts w:hint="eastAsia" w:ascii="仿宋" w:hAnsi="仿宋" w:eastAsia="仿宋" w:cs="仿宋"/>
          <w:i/>
          <w:iCs/>
          <w:color w:val="0623BA"/>
          <w:sz w:val="24"/>
          <w:lang w:eastAsia="zh-CN"/>
        </w:rPr>
      </w:pPr>
      <w:r>
        <w:rPr>
          <w:rFonts w:hint="eastAsia" w:ascii="仿宋" w:hAnsi="仿宋" w:eastAsia="仿宋" w:cs="仿宋"/>
          <w:i/>
          <w:iCs/>
          <w:color w:val="0623BA"/>
          <w:sz w:val="24"/>
          <w:lang w:val="en-US" w:eastAsia="zh-CN"/>
        </w:rPr>
        <w:t xml:space="preserve">1 </w:t>
      </w:r>
      <w:r>
        <w:rPr>
          <w:rFonts w:hint="eastAsia" w:ascii="仿宋" w:hAnsi="仿宋" w:eastAsia="仿宋" w:cs="仿宋"/>
          <w:i/>
          <w:iCs/>
          <w:color w:val="0623BA"/>
          <w:sz w:val="24"/>
        </w:rPr>
        <w:t>直流汇流箱和直流配电柜是否完好、接线端子接触是否良好会直接影响光伏发电系统的电性能安全</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如存在问题</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可能会导致打火漏电等安</w:t>
      </w:r>
      <w:r>
        <w:rPr>
          <w:rFonts w:hint="eastAsia" w:ascii="仿宋" w:hAnsi="仿宋" w:eastAsia="仿宋" w:cs="仿宋"/>
          <w:i/>
          <w:iCs/>
          <w:color w:val="0623BA"/>
          <w:sz w:val="24"/>
          <w:lang w:val="en-US" w:eastAsia="zh-CN"/>
        </w:rPr>
        <w:t>全</w:t>
      </w:r>
      <w:r>
        <w:rPr>
          <w:rFonts w:hint="eastAsia" w:ascii="仿宋" w:hAnsi="仿宋" w:eastAsia="仿宋" w:cs="仿宋"/>
          <w:i/>
          <w:iCs/>
          <w:color w:val="0623BA"/>
          <w:sz w:val="24"/>
        </w:rPr>
        <w:t>隐患</w:t>
      </w:r>
      <w:r>
        <w:rPr>
          <w:rFonts w:hint="eastAsia" w:ascii="仿宋" w:hAnsi="仿宋" w:eastAsia="仿宋" w:cs="仿宋"/>
          <w:i/>
          <w:iCs/>
          <w:color w:val="0623BA"/>
          <w:sz w:val="24"/>
          <w:lang w:eastAsia="zh-CN"/>
        </w:rPr>
        <w:t>；</w:t>
      </w:r>
    </w:p>
    <w:p w14:paraId="48F96A86">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 xml:space="preserve">8 </w:t>
      </w:r>
      <w:r>
        <w:rPr>
          <w:rFonts w:hint="eastAsia" w:ascii="仿宋" w:hAnsi="仿宋" w:eastAsia="仿宋" w:cs="仿宋"/>
          <w:i/>
          <w:iCs/>
          <w:color w:val="0623BA"/>
          <w:sz w:val="24"/>
        </w:rPr>
        <w:t>直流配电柜的直流输出与并网主机直流输</w:t>
      </w:r>
      <w:r>
        <w:rPr>
          <w:rFonts w:hint="eastAsia" w:ascii="仿宋" w:hAnsi="仿宋" w:eastAsia="仿宋" w:cs="仿宋"/>
          <w:i/>
          <w:iCs/>
          <w:color w:val="0623BA"/>
          <w:sz w:val="24"/>
          <w:lang w:val="en-US" w:eastAsia="zh-CN"/>
        </w:rPr>
        <w:t>入</w:t>
      </w:r>
      <w:r>
        <w:rPr>
          <w:rFonts w:hint="eastAsia" w:ascii="仿宋" w:hAnsi="仿宋" w:eastAsia="仿宋" w:cs="仿宋"/>
          <w:i/>
          <w:iCs/>
          <w:color w:val="0623BA"/>
          <w:sz w:val="24"/>
        </w:rPr>
        <w:t>处的连接情况,直接影响发电系统的稳定性和可靠性。</w:t>
      </w:r>
    </w:p>
    <w:p w14:paraId="5BB598D1">
      <w:pPr>
        <w:snapToGrid w:val="0"/>
        <w:spacing w:line="300" w:lineRule="auto"/>
        <w:jc w:val="left"/>
        <w:rPr>
          <w:sz w:val="24"/>
        </w:rPr>
      </w:pPr>
      <w:r>
        <w:rPr>
          <w:rFonts w:hint="eastAsia"/>
          <w:b/>
          <w:bCs/>
          <w:sz w:val="24"/>
        </w:rPr>
        <w:t>1</w:t>
      </w:r>
      <w:r>
        <w:rPr>
          <w:rFonts w:hint="eastAsia"/>
          <w:b/>
          <w:bCs/>
          <w:sz w:val="24"/>
          <w:lang w:val="en-US" w:eastAsia="zh-CN"/>
        </w:rPr>
        <w:t>4</w:t>
      </w:r>
      <w:r>
        <w:rPr>
          <w:rFonts w:hint="eastAsia"/>
          <w:b/>
          <w:bCs/>
          <w:sz w:val="24"/>
        </w:rPr>
        <w:t>.3.</w:t>
      </w:r>
      <w:r>
        <w:rPr>
          <w:rFonts w:hint="eastAsia"/>
          <w:b/>
          <w:bCs/>
          <w:sz w:val="24"/>
          <w:lang w:val="en-US" w:eastAsia="zh-CN"/>
        </w:rPr>
        <w:t>6</w:t>
      </w:r>
      <w:r>
        <w:rPr>
          <w:rFonts w:hint="eastAsia"/>
          <w:b/>
          <w:bCs/>
          <w:sz w:val="24"/>
        </w:rPr>
        <w:t xml:space="preserve"> </w:t>
      </w:r>
      <w:r>
        <w:rPr>
          <w:rFonts w:hint="eastAsia"/>
          <w:sz w:val="24"/>
        </w:rPr>
        <w:t>交流配电柜运行与维护应符合下列</w:t>
      </w:r>
      <w:r>
        <w:rPr>
          <w:rFonts w:hint="eastAsia"/>
          <w:sz w:val="24"/>
          <w:lang w:val="en-US" w:eastAsia="zh-CN"/>
        </w:rPr>
        <w:t>规定</w:t>
      </w:r>
      <w:r>
        <w:rPr>
          <w:rFonts w:hint="eastAsia"/>
          <w:sz w:val="24"/>
        </w:rPr>
        <w:t>：</w:t>
      </w:r>
    </w:p>
    <w:p w14:paraId="18FA49A2">
      <w:pPr>
        <w:snapToGrid w:val="0"/>
        <w:spacing w:line="300" w:lineRule="auto"/>
        <w:ind w:firstLine="482" w:firstLineChars="200"/>
        <w:jc w:val="left"/>
        <w:rPr>
          <w:rFonts w:hint="eastAsia" w:eastAsia="宋体"/>
          <w:sz w:val="24"/>
          <w:lang w:eastAsia="zh-CN"/>
        </w:rPr>
      </w:pPr>
      <w:r>
        <w:rPr>
          <w:rFonts w:hint="eastAsia"/>
          <w:b/>
          <w:bCs/>
          <w:sz w:val="24"/>
        </w:rPr>
        <w:t xml:space="preserve">1 </w:t>
      </w:r>
      <w:r>
        <w:rPr>
          <w:rFonts w:hint="eastAsia"/>
          <w:sz w:val="24"/>
        </w:rPr>
        <w:t>交流配电柜维护前应提前通知停电起止时间，应将维护所需工具准</w:t>
      </w:r>
      <w:r>
        <w:rPr>
          <w:rFonts w:hint="eastAsia"/>
          <w:sz w:val="24"/>
          <w:lang w:val="en-US" w:eastAsia="zh-CN"/>
        </w:rPr>
        <w:t>备</w:t>
      </w:r>
      <w:r>
        <w:rPr>
          <w:rFonts w:hint="eastAsia"/>
          <w:sz w:val="24"/>
        </w:rPr>
        <w:t>齐全</w:t>
      </w:r>
      <w:r>
        <w:rPr>
          <w:rFonts w:hint="eastAsia"/>
          <w:sz w:val="24"/>
          <w:lang w:eastAsia="zh-CN"/>
        </w:rPr>
        <w:t>；</w:t>
      </w:r>
    </w:p>
    <w:p w14:paraId="36446C61">
      <w:pPr>
        <w:snapToGrid w:val="0"/>
        <w:spacing w:line="300" w:lineRule="auto"/>
        <w:ind w:firstLine="482" w:firstLineChars="200"/>
        <w:jc w:val="left"/>
        <w:rPr>
          <w:rFonts w:hint="eastAsia" w:eastAsia="宋体"/>
          <w:sz w:val="24"/>
          <w:lang w:eastAsia="zh-CN"/>
        </w:rPr>
      </w:pPr>
      <w:r>
        <w:rPr>
          <w:rFonts w:hint="eastAsia"/>
          <w:b/>
          <w:bCs/>
          <w:sz w:val="24"/>
        </w:rPr>
        <w:t xml:space="preserve">2 </w:t>
      </w:r>
      <w:r>
        <w:rPr>
          <w:rFonts w:hint="eastAsia"/>
          <w:sz w:val="24"/>
        </w:rPr>
        <w:t>配电柜的金属底座与基础型钢的镀锌螺栓应可靠连接，防松零件应齐全</w:t>
      </w:r>
      <w:r>
        <w:rPr>
          <w:rFonts w:hint="eastAsia"/>
          <w:sz w:val="24"/>
          <w:lang w:eastAsia="zh-CN"/>
        </w:rPr>
        <w:t>；</w:t>
      </w:r>
    </w:p>
    <w:p w14:paraId="21B43F6C">
      <w:pPr>
        <w:snapToGrid w:val="0"/>
        <w:spacing w:line="300" w:lineRule="auto"/>
        <w:ind w:firstLine="482" w:firstLineChars="200"/>
        <w:jc w:val="left"/>
        <w:rPr>
          <w:sz w:val="24"/>
        </w:rPr>
      </w:pPr>
      <w:r>
        <w:rPr>
          <w:rFonts w:hint="eastAsia"/>
          <w:b/>
          <w:bCs/>
          <w:sz w:val="24"/>
        </w:rPr>
        <w:t xml:space="preserve">3 </w:t>
      </w:r>
      <w:r>
        <w:rPr>
          <w:rFonts w:hint="eastAsia"/>
          <w:sz w:val="24"/>
        </w:rPr>
        <w:t>配电柜标明被控设备编号、名称或操作位置的标识器件应完整</w:t>
      </w:r>
      <w:r>
        <w:rPr>
          <w:rFonts w:hint="eastAsia"/>
          <w:sz w:val="24"/>
          <w:lang w:eastAsia="zh-CN"/>
        </w:rPr>
        <w:t>，</w:t>
      </w:r>
      <w:r>
        <w:rPr>
          <w:rFonts w:hint="eastAsia"/>
          <w:sz w:val="24"/>
        </w:rPr>
        <w:t>编号应清晰、工整；</w:t>
      </w:r>
    </w:p>
    <w:p w14:paraId="2E80DD3F">
      <w:pPr>
        <w:snapToGrid w:val="0"/>
        <w:spacing w:line="300" w:lineRule="auto"/>
        <w:ind w:firstLine="482" w:firstLineChars="200"/>
        <w:jc w:val="left"/>
        <w:rPr>
          <w:sz w:val="24"/>
        </w:rPr>
      </w:pPr>
      <w:r>
        <w:rPr>
          <w:rFonts w:hint="eastAsia"/>
          <w:b/>
          <w:bCs/>
          <w:sz w:val="24"/>
        </w:rPr>
        <w:t xml:space="preserve">4 </w:t>
      </w:r>
      <w:r>
        <w:rPr>
          <w:rFonts w:hint="eastAsia"/>
          <w:sz w:val="24"/>
        </w:rPr>
        <w:t>手车、抽出式成套配电柜推拉应灵活，无卡阻碰撞现象；动触头与静触头的中心线应一致且触头应接触紧密；</w:t>
      </w:r>
    </w:p>
    <w:p w14:paraId="63093746">
      <w:pPr>
        <w:snapToGrid w:val="0"/>
        <w:spacing w:line="300" w:lineRule="auto"/>
        <w:ind w:firstLine="482" w:firstLineChars="200"/>
        <w:jc w:val="left"/>
        <w:rPr>
          <w:rFonts w:hint="eastAsia" w:eastAsia="宋体"/>
          <w:sz w:val="24"/>
          <w:lang w:eastAsia="zh-CN"/>
        </w:rPr>
      </w:pPr>
      <w:r>
        <w:rPr>
          <w:rFonts w:hint="eastAsia"/>
          <w:b/>
          <w:bCs/>
          <w:sz w:val="24"/>
        </w:rPr>
        <w:t xml:space="preserve">5 </w:t>
      </w:r>
      <w:r>
        <w:rPr>
          <w:rFonts w:hint="eastAsia"/>
          <w:sz w:val="24"/>
        </w:rPr>
        <w:t>配电柜中开关的主触点不应有烧熔痕迹,灭弧罩不应烧黑和损坏</w:t>
      </w:r>
      <w:r>
        <w:rPr>
          <w:rFonts w:hint="eastAsia"/>
          <w:sz w:val="24"/>
          <w:lang w:eastAsia="zh-CN"/>
        </w:rPr>
        <w:t>，</w:t>
      </w:r>
      <w:r>
        <w:rPr>
          <w:rFonts w:hint="eastAsia"/>
          <w:sz w:val="24"/>
        </w:rPr>
        <w:t>各接线螺栓应紧固，配电柜内应保持清洁</w:t>
      </w:r>
      <w:r>
        <w:rPr>
          <w:rFonts w:hint="eastAsia"/>
          <w:sz w:val="24"/>
          <w:lang w:eastAsia="zh-CN"/>
        </w:rPr>
        <w:t>；</w:t>
      </w:r>
    </w:p>
    <w:p w14:paraId="67FDB2EA">
      <w:pPr>
        <w:snapToGrid w:val="0"/>
        <w:spacing w:line="300" w:lineRule="auto"/>
        <w:ind w:firstLine="482" w:firstLineChars="200"/>
        <w:jc w:val="left"/>
        <w:rPr>
          <w:sz w:val="24"/>
        </w:rPr>
      </w:pPr>
      <w:r>
        <w:rPr>
          <w:rFonts w:hint="eastAsia"/>
          <w:b/>
          <w:bCs/>
          <w:sz w:val="24"/>
        </w:rPr>
        <w:t xml:space="preserve">6 </w:t>
      </w:r>
      <w:r>
        <w:rPr>
          <w:rFonts w:hint="eastAsia"/>
          <w:sz w:val="24"/>
        </w:rPr>
        <w:t>操作时应按下列步骤进行：逐个断开低压侧的负荷，断开高压侧的断路器，合上接地开关，锁好高压开关柜，在开关把手上挂上“禁止合闸，有人工作”的标识牌，连上另一路供电联络柜；</w:t>
      </w:r>
    </w:p>
    <w:p w14:paraId="0F49C8EF">
      <w:pPr>
        <w:snapToGrid w:val="0"/>
        <w:spacing w:line="300" w:lineRule="auto"/>
        <w:ind w:firstLine="482" w:firstLineChars="200"/>
        <w:jc w:val="left"/>
        <w:rPr>
          <w:sz w:val="24"/>
        </w:rPr>
      </w:pPr>
      <w:r>
        <w:rPr>
          <w:rFonts w:hint="eastAsia"/>
          <w:b/>
          <w:bCs/>
          <w:sz w:val="24"/>
        </w:rPr>
        <w:t xml:space="preserve">7 </w:t>
      </w:r>
      <w:r>
        <w:rPr>
          <w:rFonts w:hint="eastAsia"/>
          <w:sz w:val="24"/>
        </w:rPr>
        <w:t>在母排接触处应重新擦净，涂上电力复合脂，用新弹垫片螺丝加以紧固，检查母排间的绝缘子，间距、连接处有无异常，检查电流、电压、互感器的二次绕组接线端子连接的可靠性；</w:t>
      </w:r>
    </w:p>
    <w:p w14:paraId="51C1007C">
      <w:pPr>
        <w:snapToGrid w:val="0"/>
        <w:spacing w:line="300" w:lineRule="auto"/>
        <w:ind w:firstLine="482" w:firstLineChars="200"/>
        <w:jc w:val="left"/>
        <w:rPr>
          <w:sz w:val="24"/>
        </w:rPr>
      </w:pPr>
      <w:r>
        <w:rPr>
          <w:rFonts w:hint="eastAsia"/>
          <w:b/>
          <w:bCs/>
          <w:sz w:val="24"/>
        </w:rPr>
        <w:t xml:space="preserve">8 </w:t>
      </w:r>
      <w:r>
        <w:rPr>
          <w:rFonts w:hint="eastAsia"/>
          <w:sz w:val="24"/>
        </w:rPr>
        <w:t>维护时应从变压器低压侧开始，配电柜断电后，清洁柜中灰尘，检查母线及引下线连接是否良好，接头点有无发热变色，检查电缆头，接线桩头是否牢固可靠，检查接地线有无锈蚀，接线桩头是否紧固，所有二次回路接线连接可靠，绝缘符合要求；</w:t>
      </w:r>
    </w:p>
    <w:p w14:paraId="4CFD15D7">
      <w:pPr>
        <w:snapToGrid w:val="0"/>
        <w:spacing w:line="300" w:lineRule="auto"/>
        <w:ind w:firstLine="482" w:firstLineChars="200"/>
        <w:jc w:val="left"/>
        <w:rPr>
          <w:sz w:val="24"/>
        </w:rPr>
      </w:pPr>
      <w:r>
        <w:rPr>
          <w:rFonts w:hint="eastAsia"/>
          <w:b/>
          <w:bCs/>
          <w:sz w:val="24"/>
        </w:rPr>
        <w:t xml:space="preserve">9 </w:t>
      </w:r>
      <w:r>
        <w:rPr>
          <w:rFonts w:hint="eastAsia"/>
          <w:sz w:val="24"/>
        </w:rPr>
        <w:t>检查抽柜式开关时，</w:t>
      </w:r>
      <w:r>
        <w:rPr>
          <w:rFonts w:hint="eastAsia"/>
          <w:sz w:val="24"/>
          <w:lang w:val="en-US" w:eastAsia="zh-CN"/>
        </w:rPr>
        <w:t>抽屉</w:t>
      </w:r>
      <w:r>
        <w:rPr>
          <w:rFonts w:hint="eastAsia"/>
          <w:sz w:val="24"/>
        </w:rPr>
        <w:t>式开关柜在推入或拉出时应灵活，机械、闭锁可靠；检查抽</w:t>
      </w:r>
      <w:r>
        <w:rPr>
          <w:rFonts w:hint="eastAsia"/>
          <w:sz w:val="24"/>
          <w:lang w:val="en-US" w:eastAsia="zh-CN"/>
        </w:rPr>
        <w:t>屉</w:t>
      </w:r>
      <w:r>
        <w:rPr>
          <w:rFonts w:hint="eastAsia"/>
          <w:sz w:val="24"/>
        </w:rPr>
        <w:t>柜上的自动空气开关操作机构是否到位，接线螺丝是否紧固，清除接触器触头表面及四周的污物；检查接触器触头接触是否完好，如触头接触不良，必要时可稍微修</w:t>
      </w:r>
      <w:r>
        <w:rPr>
          <w:rFonts w:hint="eastAsia"/>
          <w:sz w:val="24"/>
          <w:lang w:val="en-US" w:eastAsia="zh-CN"/>
        </w:rPr>
        <w:t>整</w:t>
      </w:r>
      <w:r>
        <w:rPr>
          <w:rFonts w:hint="eastAsia"/>
          <w:sz w:val="24"/>
        </w:rPr>
        <w:t>触头表面，电源指示仪表、指示灯应完好；</w:t>
      </w:r>
    </w:p>
    <w:p w14:paraId="2816A0D4">
      <w:pPr>
        <w:snapToGrid w:val="0"/>
        <w:spacing w:line="300" w:lineRule="auto"/>
        <w:ind w:firstLine="482" w:firstLineChars="200"/>
        <w:jc w:val="left"/>
        <w:rPr>
          <w:sz w:val="24"/>
        </w:rPr>
      </w:pPr>
      <w:r>
        <w:rPr>
          <w:rFonts w:hint="eastAsia"/>
          <w:b/>
          <w:bCs/>
          <w:sz w:val="24"/>
        </w:rPr>
        <w:t xml:space="preserve">10 </w:t>
      </w:r>
      <w:r>
        <w:rPr>
          <w:rFonts w:hint="eastAsia"/>
          <w:sz w:val="24"/>
        </w:rPr>
        <w:t>检查电容柜时，应先断开电容柜总开关，用10mm以上的一根导线逐个把电容器对地进行放电后，外观检查壳体应良好，无渗漏现象；</w:t>
      </w:r>
    </w:p>
    <w:p w14:paraId="0CBE882F">
      <w:pPr>
        <w:snapToGrid w:val="0"/>
        <w:spacing w:line="300" w:lineRule="auto"/>
        <w:ind w:firstLine="482" w:firstLineChars="200"/>
        <w:jc w:val="left"/>
        <w:rPr>
          <w:rFonts w:hint="eastAsia" w:eastAsia="宋体"/>
          <w:sz w:val="24"/>
          <w:lang w:eastAsia="zh-CN"/>
        </w:rPr>
      </w:pPr>
      <w:r>
        <w:rPr>
          <w:rFonts w:hint="eastAsia"/>
          <w:b/>
          <w:bCs/>
          <w:sz w:val="24"/>
        </w:rPr>
        <w:t xml:space="preserve">11 </w:t>
      </w:r>
      <w:r>
        <w:rPr>
          <w:rFonts w:hint="eastAsia"/>
          <w:sz w:val="24"/>
        </w:rPr>
        <w:t>检验柜、屏、台、箱、盘间线路的线间和线对地间绝缘电阻值，馈电线路应大于0.5M</w:t>
      </w:r>
      <w:r>
        <w:rPr>
          <w:rFonts w:hint="default" w:ascii="Times New Roman" w:hAnsi="Times New Roman" w:cs="Times New Roman"/>
          <w:sz w:val="24"/>
        </w:rPr>
        <w:t>Ω</w:t>
      </w:r>
      <w:r>
        <w:rPr>
          <w:rFonts w:hint="eastAsia"/>
          <w:sz w:val="24"/>
        </w:rPr>
        <w:t>，二次回路应大于1M</w:t>
      </w:r>
      <w:r>
        <w:rPr>
          <w:rFonts w:hint="default" w:ascii="Times New Roman" w:hAnsi="Times New Roman" w:cs="Times New Roman"/>
          <w:sz w:val="24"/>
        </w:rPr>
        <w:t>Ω</w:t>
      </w:r>
      <w:r>
        <w:rPr>
          <w:rFonts w:hint="eastAsia"/>
          <w:sz w:val="24"/>
          <w:lang w:eastAsia="zh-CN"/>
        </w:rPr>
        <w:t>；</w:t>
      </w:r>
    </w:p>
    <w:p w14:paraId="0F3BF57E">
      <w:pPr>
        <w:snapToGrid w:val="0"/>
        <w:spacing w:line="300" w:lineRule="auto"/>
        <w:ind w:firstLine="482" w:firstLineChars="200"/>
        <w:jc w:val="left"/>
        <w:rPr>
          <w:rFonts w:hint="eastAsia" w:eastAsia="宋体"/>
          <w:sz w:val="24"/>
          <w:lang w:eastAsia="zh-CN"/>
        </w:rPr>
      </w:pPr>
      <w:r>
        <w:rPr>
          <w:rFonts w:hint="eastAsia"/>
          <w:b/>
          <w:bCs/>
          <w:sz w:val="24"/>
        </w:rPr>
        <w:t>12</w:t>
      </w:r>
      <w:r>
        <w:rPr>
          <w:rFonts w:hint="eastAsia"/>
          <w:b/>
          <w:bCs/>
          <w:color w:val="000000"/>
          <w:sz w:val="24"/>
        </w:rPr>
        <w:t xml:space="preserve"> </w:t>
      </w:r>
      <w:r>
        <w:rPr>
          <w:rFonts w:hint="eastAsia"/>
          <w:color w:val="000000"/>
          <w:sz w:val="24"/>
        </w:rPr>
        <w:t>应把各分开关单元从抽屉柜中取出</w:t>
      </w:r>
      <w:r>
        <w:rPr>
          <w:rFonts w:hint="eastAsia"/>
          <w:sz w:val="24"/>
        </w:rPr>
        <w:t>，</w:t>
      </w:r>
      <w:r>
        <w:rPr>
          <w:rFonts w:hint="eastAsia"/>
          <w:color w:val="000000"/>
          <w:sz w:val="24"/>
        </w:rPr>
        <w:t>紧固各接线端子</w:t>
      </w:r>
      <w:r>
        <w:rPr>
          <w:rFonts w:hint="eastAsia"/>
          <w:sz w:val="24"/>
        </w:rPr>
        <w:t>；</w:t>
      </w:r>
      <w:r>
        <w:rPr>
          <w:rFonts w:hint="eastAsia"/>
          <w:color w:val="000000"/>
          <w:sz w:val="24"/>
        </w:rPr>
        <w:t>应检查电流互感器、电流表、电度表的安装和接线</w:t>
      </w:r>
      <w:r>
        <w:rPr>
          <w:rFonts w:hint="eastAsia"/>
          <w:sz w:val="24"/>
        </w:rPr>
        <w:t>，</w:t>
      </w:r>
      <w:r>
        <w:rPr>
          <w:rFonts w:hint="eastAsia"/>
          <w:color w:val="000000"/>
          <w:sz w:val="24"/>
        </w:rPr>
        <w:t>紧固断路器进出线</w:t>
      </w:r>
      <w:r>
        <w:rPr>
          <w:rFonts w:hint="eastAsia"/>
          <w:sz w:val="24"/>
        </w:rPr>
        <w:t>，</w:t>
      </w:r>
      <w:r>
        <w:rPr>
          <w:rFonts w:hint="eastAsia"/>
          <w:color w:val="000000"/>
          <w:sz w:val="24"/>
        </w:rPr>
        <w:t>清洁开关柜内和配电柜后面引出线处的灰尘</w:t>
      </w:r>
      <w:r>
        <w:rPr>
          <w:rFonts w:hint="eastAsia"/>
          <w:sz w:val="24"/>
        </w:rPr>
        <w:t>；</w:t>
      </w:r>
      <w:r>
        <w:rPr>
          <w:rFonts w:hint="eastAsia"/>
          <w:color w:val="000000"/>
          <w:sz w:val="24"/>
        </w:rPr>
        <w:t>手柄操作机构应灵活可靠</w:t>
      </w:r>
      <w:r>
        <w:rPr>
          <w:rFonts w:hint="eastAsia"/>
          <w:color w:val="000000"/>
          <w:sz w:val="24"/>
          <w:lang w:eastAsia="zh-CN"/>
        </w:rPr>
        <w:t>；</w:t>
      </w:r>
    </w:p>
    <w:p w14:paraId="321C5681">
      <w:pPr>
        <w:snapToGrid w:val="0"/>
        <w:spacing w:line="300" w:lineRule="auto"/>
        <w:ind w:firstLine="482" w:firstLineChars="200"/>
        <w:jc w:val="left"/>
        <w:rPr>
          <w:sz w:val="24"/>
        </w:rPr>
      </w:pPr>
      <w:r>
        <w:rPr>
          <w:rFonts w:hint="eastAsia"/>
          <w:b/>
          <w:bCs/>
          <w:sz w:val="24"/>
        </w:rPr>
        <w:t>13</w:t>
      </w:r>
      <w:r>
        <w:rPr>
          <w:rFonts w:hint="eastAsia"/>
          <w:b/>
          <w:bCs/>
          <w:color w:val="000000"/>
          <w:sz w:val="24"/>
        </w:rPr>
        <w:t xml:space="preserve"> </w:t>
      </w:r>
      <w:r>
        <w:rPr>
          <w:rFonts w:hint="eastAsia"/>
          <w:color w:val="000000"/>
          <w:sz w:val="24"/>
        </w:rPr>
        <w:t>低压电器发热物件散热应良好</w:t>
      </w:r>
      <w:r>
        <w:rPr>
          <w:rFonts w:hint="eastAsia"/>
          <w:sz w:val="24"/>
        </w:rPr>
        <w:t>，</w:t>
      </w:r>
      <w:r>
        <w:rPr>
          <w:rFonts w:hint="eastAsia"/>
          <w:color w:val="000000"/>
          <w:sz w:val="24"/>
        </w:rPr>
        <w:t>切换压板应接触良好</w:t>
      </w:r>
      <w:r>
        <w:rPr>
          <w:rFonts w:hint="eastAsia"/>
          <w:sz w:val="24"/>
        </w:rPr>
        <w:t>，</w:t>
      </w:r>
      <w:r>
        <w:rPr>
          <w:rFonts w:hint="eastAsia"/>
          <w:color w:val="000000"/>
          <w:sz w:val="24"/>
        </w:rPr>
        <w:t>信号回路的信号灯、按钮、光字牌、事故报警等动作和信号显示应准确</w:t>
      </w:r>
      <w:r>
        <w:rPr>
          <w:rFonts w:hint="eastAsia"/>
          <w:sz w:val="24"/>
        </w:rPr>
        <w:t>。</w:t>
      </w:r>
    </w:p>
    <w:p w14:paraId="5C9EA72D">
      <w:pPr>
        <w:snapToGrid w:val="0"/>
        <w:spacing w:line="300" w:lineRule="auto"/>
        <w:jc w:val="left"/>
        <w:rPr>
          <w:rFonts w:hint="eastAsia" w:ascii="仿宋" w:hAnsi="仿宋" w:eastAsia="仿宋" w:cs="仿宋"/>
          <w:b/>
          <w:bCs/>
          <w:i/>
          <w:iCs/>
          <w:color w:val="0623BA"/>
          <w:sz w:val="24"/>
        </w:rPr>
      </w:pPr>
      <w:r>
        <w:rPr>
          <w:rFonts w:hint="eastAsia" w:ascii="仿宋" w:hAnsi="仿宋" w:eastAsia="仿宋" w:cs="仿宋"/>
          <w:b/>
          <w:bCs/>
          <w:i/>
          <w:iCs/>
          <w:color w:val="0623BA"/>
          <w:sz w:val="24"/>
        </w:rPr>
        <w:t>【条文说明】</w:t>
      </w:r>
    </w:p>
    <w:p w14:paraId="16D12CE3">
      <w:pPr>
        <w:snapToGrid w:val="0"/>
        <w:spacing w:line="300" w:lineRule="auto"/>
        <w:ind w:firstLine="0" w:firstLineChars="0"/>
        <w:jc w:val="left"/>
        <w:rPr>
          <w:rFonts w:hint="eastAsia" w:ascii="仿宋" w:hAnsi="仿宋" w:eastAsia="仿宋" w:cs="仿宋"/>
          <w:i/>
          <w:iCs/>
          <w:color w:val="0623BA"/>
          <w:sz w:val="24"/>
        </w:rPr>
      </w:pPr>
      <w:r>
        <w:rPr>
          <w:rFonts w:hint="eastAsia" w:ascii="仿宋" w:hAnsi="仿宋" w:eastAsia="仿宋" w:cs="仿宋"/>
          <w:b w:val="0"/>
          <w:bCs w:val="0"/>
          <w:i/>
          <w:iCs/>
          <w:color w:val="0623BA"/>
          <w:sz w:val="24"/>
        </w:rPr>
        <w:t>1</w:t>
      </w:r>
      <w:r>
        <w:rPr>
          <w:rFonts w:hint="eastAsia" w:ascii="仿宋" w:hAnsi="仿宋" w:eastAsia="仿宋" w:cs="仿宋"/>
          <w:b w:val="0"/>
          <w:bCs w:val="0"/>
          <w:i/>
          <w:iCs/>
          <w:color w:val="0623BA"/>
          <w:sz w:val="24"/>
          <w:lang w:val="en-US" w:eastAsia="zh-CN"/>
        </w:rPr>
        <w:t>4</w:t>
      </w:r>
      <w:r>
        <w:rPr>
          <w:rFonts w:hint="eastAsia" w:ascii="仿宋" w:hAnsi="仿宋" w:eastAsia="仿宋" w:cs="仿宋"/>
          <w:b w:val="0"/>
          <w:bCs w:val="0"/>
          <w:i/>
          <w:iCs/>
          <w:color w:val="0623BA"/>
          <w:sz w:val="24"/>
        </w:rPr>
        <w:t>.3.</w:t>
      </w:r>
      <w:r>
        <w:rPr>
          <w:rFonts w:hint="eastAsia" w:ascii="仿宋" w:hAnsi="仿宋" w:eastAsia="仿宋" w:cs="仿宋"/>
          <w:b w:val="0"/>
          <w:bCs w:val="0"/>
          <w:i/>
          <w:iCs/>
          <w:color w:val="0623BA"/>
          <w:sz w:val="24"/>
          <w:lang w:val="en-US" w:eastAsia="zh-CN"/>
        </w:rPr>
        <w:t>6</w:t>
      </w:r>
      <w:r>
        <w:rPr>
          <w:rFonts w:hint="eastAsia" w:ascii="仿宋" w:hAnsi="仿宋" w:eastAsia="仿宋" w:cs="仿宋"/>
          <w:b w:val="0"/>
          <w:bCs w:val="0"/>
          <w:i/>
          <w:iCs/>
          <w:color w:val="0623BA"/>
          <w:sz w:val="24"/>
        </w:rPr>
        <w:t xml:space="preserve"> </w:t>
      </w:r>
      <w:r>
        <w:rPr>
          <w:rFonts w:hint="eastAsia" w:ascii="仿宋" w:hAnsi="仿宋" w:eastAsia="仿宋" w:cs="仿宋"/>
          <w:b w:val="0"/>
          <w:bCs w:val="0"/>
          <w:i/>
          <w:iCs/>
          <w:color w:val="0623BA"/>
          <w:sz w:val="24"/>
          <w:lang w:val="en-US" w:eastAsia="zh-CN"/>
        </w:rPr>
        <w:t>本条为</w:t>
      </w:r>
      <w:r>
        <w:rPr>
          <w:rFonts w:hint="eastAsia" w:ascii="仿宋" w:hAnsi="仿宋" w:eastAsia="仿宋" w:cs="仿宋"/>
          <w:i/>
          <w:iCs/>
          <w:color w:val="0623BA"/>
          <w:sz w:val="24"/>
        </w:rPr>
        <w:t>交流配电柜运行与维护应符合</w:t>
      </w:r>
      <w:r>
        <w:rPr>
          <w:rFonts w:hint="eastAsia" w:ascii="仿宋" w:hAnsi="仿宋" w:eastAsia="仿宋" w:cs="仿宋"/>
          <w:i/>
          <w:iCs/>
          <w:color w:val="0623BA"/>
          <w:sz w:val="24"/>
          <w:lang w:val="en-US" w:eastAsia="zh-CN"/>
        </w:rPr>
        <w:t>的</w:t>
      </w:r>
      <w:r>
        <w:rPr>
          <w:rFonts w:hint="eastAsia" w:ascii="仿宋" w:hAnsi="仿宋" w:eastAsia="仿宋" w:cs="仿宋"/>
          <w:i/>
          <w:iCs/>
          <w:color w:val="0623BA"/>
          <w:sz w:val="24"/>
          <w:lang w:eastAsia="zh-CN"/>
        </w:rPr>
        <w:t>要求</w:t>
      </w:r>
      <w:r>
        <w:rPr>
          <w:rFonts w:hint="eastAsia" w:ascii="仿宋" w:hAnsi="仿宋" w:eastAsia="仿宋" w:cs="仿宋"/>
          <w:i/>
          <w:iCs/>
          <w:color w:val="0623BA"/>
          <w:sz w:val="24"/>
        </w:rPr>
        <w:t>：</w:t>
      </w:r>
    </w:p>
    <w:p w14:paraId="10B948E9">
      <w:pPr>
        <w:snapToGrid w:val="0"/>
        <w:spacing w:line="300" w:lineRule="auto"/>
        <w:ind w:firstLine="480" w:firstLineChars="200"/>
        <w:jc w:val="left"/>
        <w:rPr>
          <w:rFonts w:hint="eastAsia" w:ascii="仿宋" w:hAnsi="仿宋" w:eastAsia="仿宋" w:cs="仿宋"/>
          <w:i/>
          <w:iCs/>
          <w:color w:val="0623BA"/>
          <w:sz w:val="24"/>
        </w:rPr>
      </w:pPr>
      <w:r>
        <w:rPr>
          <w:rFonts w:hint="eastAsia" w:ascii="仿宋" w:hAnsi="仿宋" w:eastAsia="仿宋" w:cs="仿宋"/>
          <w:i/>
          <w:iCs/>
          <w:color w:val="0623BA"/>
          <w:sz w:val="24"/>
          <w:lang w:val="en-US" w:eastAsia="zh-CN"/>
        </w:rPr>
        <w:t xml:space="preserve">5 </w:t>
      </w:r>
      <w:r>
        <w:rPr>
          <w:rFonts w:hint="eastAsia" w:ascii="仿宋" w:hAnsi="仿宋" w:eastAsia="仿宋" w:cs="仿宋"/>
          <w:i/>
          <w:iCs/>
          <w:color w:val="0623BA"/>
          <w:sz w:val="24"/>
        </w:rPr>
        <w:t>是参考现行国家标准《建筑电气工程施工质量验收规范》GB50303关于成套配电柜、控制柜</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屏、台</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和动力、照明配电箱</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盘</w:t>
      </w:r>
      <w:r>
        <w:rPr>
          <w:rFonts w:hint="eastAsia" w:ascii="仿宋" w:hAnsi="仿宋" w:eastAsia="仿宋" w:cs="仿宋"/>
          <w:i/>
          <w:iCs/>
          <w:color w:val="0623BA"/>
          <w:sz w:val="24"/>
          <w:lang w:eastAsia="zh-CN"/>
        </w:rPr>
        <w:t>）</w:t>
      </w:r>
      <w:r>
        <w:rPr>
          <w:rFonts w:hint="eastAsia" w:ascii="仿宋" w:hAnsi="仿宋" w:eastAsia="仿宋" w:cs="仿宋"/>
          <w:i/>
          <w:iCs/>
          <w:color w:val="0623BA"/>
          <w:sz w:val="24"/>
        </w:rPr>
        <w:t>安装中相关内容而确定的。</w:t>
      </w:r>
    </w:p>
    <w:p w14:paraId="536463E6">
      <w:pPr>
        <w:snapToGrid w:val="0"/>
        <w:spacing w:line="300" w:lineRule="auto"/>
        <w:jc w:val="left"/>
        <w:rPr>
          <w:sz w:val="24"/>
        </w:rPr>
      </w:pPr>
      <w:r>
        <w:rPr>
          <w:rFonts w:hint="eastAsia"/>
          <w:b/>
          <w:bCs/>
          <w:sz w:val="24"/>
        </w:rPr>
        <w:t>1</w:t>
      </w:r>
      <w:r>
        <w:rPr>
          <w:rFonts w:hint="eastAsia"/>
          <w:b/>
          <w:bCs/>
          <w:sz w:val="24"/>
          <w:lang w:val="en-US" w:eastAsia="zh-CN"/>
        </w:rPr>
        <w:t>4</w:t>
      </w:r>
      <w:r>
        <w:rPr>
          <w:rFonts w:hint="eastAsia"/>
          <w:b/>
          <w:bCs/>
          <w:sz w:val="24"/>
        </w:rPr>
        <w:t>.3.</w:t>
      </w:r>
      <w:r>
        <w:rPr>
          <w:rFonts w:hint="eastAsia"/>
          <w:b/>
          <w:bCs/>
          <w:sz w:val="24"/>
          <w:lang w:val="en-US" w:eastAsia="zh-CN"/>
        </w:rPr>
        <w:t>7</w:t>
      </w:r>
      <w:r>
        <w:rPr>
          <w:rFonts w:hint="eastAsia"/>
          <w:b/>
          <w:bCs/>
          <w:sz w:val="24"/>
        </w:rPr>
        <w:t xml:space="preserve"> </w:t>
      </w:r>
      <w:r>
        <w:rPr>
          <w:rFonts w:hint="eastAsia"/>
          <w:sz w:val="24"/>
        </w:rPr>
        <w:t>监控通信系统的运行与维护应符合下列</w:t>
      </w:r>
      <w:r>
        <w:rPr>
          <w:rFonts w:hint="eastAsia"/>
          <w:sz w:val="24"/>
          <w:lang w:val="en-US" w:eastAsia="zh-CN"/>
        </w:rPr>
        <w:t>规定</w:t>
      </w:r>
      <w:r>
        <w:rPr>
          <w:rFonts w:hint="eastAsia"/>
          <w:sz w:val="24"/>
        </w:rPr>
        <w:t>：</w:t>
      </w:r>
    </w:p>
    <w:p w14:paraId="323DB369">
      <w:pPr>
        <w:snapToGrid w:val="0"/>
        <w:spacing w:line="300" w:lineRule="auto"/>
        <w:ind w:firstLine="482" w:firstLineChars="200"/>
        <w:jc w:val="left"/>
        <w:rPr>
          <w:sz w:val="24"/>
        </w:rPr>
      </w:pPr>
      <w:r>
        <w:rPr>
          <w:rFonts w:hint="eastAsia"/>
          <w:b/>
          <w:bCs/>
          <w:sz w:val="24"/>
        </w:rPr>
        <w:t xml:space="preserve">1 </w:t>
      </w:r>
      <w:r>
        <w:rPr>
          <w:rFonts w:hint="eastAsia"/>
          <w:sz w:val="24"/>
        </w:rPr>
        <w:t>监控及数据传输系统的设备应保持外观完好，螺栓和密封件应齐全，操作键应接触良好，显示数字应清晰；</w:t>
      </w:r>
    </w:p>
    <w:p w14:paraId="588BEFC0">
      <w:pPr>
        <w:snapToGrid w:val="0"/>
        <w:spacing w:line="300" w:lineRule="auto"/>
        <w:ind w:firstLine="482" w:firstLineChars="200"/>
        <w:jc w:val="left"/>
        <w:rPr>
          <w:sz w:val="24"/>
        </w:rPr>
      </w:pPr>
      <w:r>
        <w:rPr>
          <w:rFonts w:hint="eastAsia"/>
          <w:b/>
          <w:bCs/>
          <w:sz w:val="24"/>
        </w:rPr>
        <w:t xml:space="preserve">2 </w:t>
      </w:r>
      <w:r>
        <w:rPr>
          <w:rFonts w:hint="eastAsia"/>
          <w:sz w:val="24"/>
        </w:rPr>
        <w:t>对于无人值守的数据传输系统，系统的终端显示器，每天应至少检查1次有无故障报警，当有故障报警时，应及时维修；</w:t>
      </w:r>
    </w:p>
    <w:p w14:paraId="6B7AF083">
      <w:pPr>
        <w:snapToGrid w:val="0"/>
        <w:spacing w:line="300" w:lineRule="auto"/>
        <w:ind w:firstLine="482" w:firstLineChars="200"/>
        <w:jc w:val="left"/>
        <w:rPr>
          <w:sz w:val="24"/>
        </w:rPr>
      </w:pPr>
      <w:r>
        <w:rPr>
          <w:rFonts w:hint="eastAsia"/>
          <w:b/>
          <w:bCs/>
          <w:sz w:val="24"/>
        </w:rPr>
        <w:t xml:space="preserve">3 </w:t>
      </w:r>
      <w:r>
        <w:rPr>
          <w:rFonts w:hint="eastAsia"/>
          <w:sz w:val="24"/>
        </w:rPr>
        <w:t>每年应至少对数据传输系统中输入数据的传感器灵敏度进行一次校验</w:t>
      </w:r>
      <w:r>
        <w:rPr>
          <w:rFonts w:hint="eastAsia"/>
          <w:sz w:val="24"/>
          <w:lang w:val="en-US" w:eastAsia="zh-CN"/>
        </w:rPr>
        <w:t>且</w:t>
      </w:r>
      <w:r>
        <w:rPr>
          <w:rFonts w:hint="eastAsia"/>
          <w:sz w:val="24"/>
        </w:rPr>
        <w:t>应对系统的模拟/数字</w:t>
      </w:r>
      <w:r>
        <w:rPr>
          <w:rFonts w:hint="eastAsia"/>
          <w:sz w:val="24"/>
          <w:lang w:eastAsia="zh-CN"/>
        </w:rPr>
        <w:t>（</w:t>
      </w:r>
      <w:r>
        <w:rPr>
          <w:rFonts w:hint="eastAsia"/>
          <w:sz w:val="24"/>
        </w:rPr>
        <w:t>A/D</w:t>
      </w:r>
      <w:r>
        <w:rPr>
          <w:rFonts w:hint="eastAsia"/>
          <w:sz w:val="24"/>
          <w:lang w:eastAsia="zh-CN"/>
        </w:rPr>
        <w:t>）</w:t>
      </w:r>
      <w:r>
        <w:rPr>
          <w:rFonts w:hint="eastAsia"/>
          <w:sz w:val="24"/>
        </w:rPr>
        <w:t>变换器的精度进行检验；</w:t>
      </w:r>
    </w:p>
    <w:p w14:paraId="2E455B97">
      <w:pPr>
        <w:snapToGrid w:val="0"/>
        <w:spacing w:line="300" w:lineRule="auto"/>
        <w:ind w:firstLine="482" w:firstLineChars="200"/>
        <w:jc w:val="left"/>
        <w:rPr>
          <w:rFonts w:hint="eastAsia" w:eastAsia="宋体"/>
          <w:sz w:val="24"/>
          <w:lang w:eastAsia="zh-CN"/>
        </w:rPr>
      </w:pPr>
      <w:r>
        <w:rPr>
          <w:rFonts w:hint="eastAsia"/>
          <w:b/>
          <w:bCs/>
          <w:sz w:val="24"/>
        </w:rPr>
        <w:t xml:space="preserve">4 </w:t>
      </w:r>
      <w:r>
        <w:rPr>
          <w:rFonts w:hint="eastAsia"/>
          <w:sz w:val="24"/>
        </w:rPr>
        <w:t>超过使用年限的数据传输系统中的主要部件，应及时更换</w:t>
      </w:r>
      <w:r>
        <w:rPr>
          <w:rFonts w:hint="eastAsia"/>
          <w:sz w:val="24"/>
          <w:lang w:eastAsia="zh-CN"/>
        </w:rPr>
        <w:t>；</w:t>
      </w:r>
    </w:p>
    <w:p w14:paraId="24560CF3">
      <w:pPr>
        <w:snapToGrid w:val="0"/>
        <w:spacing w:line="300" w:lineRule="auto"/>
        <w:ind w:firstLine="482" w:firstLineChars="200"/>
        <w:jc w:val="left"/>
        <w:rPr>
          <w:sz w:val="24"/>
        </w:rPr>
      </w:pPr>
      <w:r>
        <w:rPr>
          <w:rFonts w:hint="eastAsia"/>
          <w:b/>
          <w:bCs/>
          <w:sz w:val="24"/>
        </w:rPr>
        <w:t xml:space="preserve">5 </w:t>
      </w:r>
      <w:r>
        <w:rPr>
          <w:rFonts w:hint="eastAsia"/>
          <w:sz w:val="24"/>
        </w:rPr>
        <w:t>监控系统设备因故停运或出现严重缺陷时，应立即报告；</w:t>
      </w:r>
    </w:p>
    <w:p w14:paraId="2076FBAA">
      <w:pPr>
        <w:snapToGrid w:val="0"/>
        <w:spacing w:line="300" w:lineRule="auto"/>
        <w:ind w:firstLine="482" w:firstLineChars="200"/>
        <w:jc w:val="left"/>
        <w:rPr>
          <w:sz w:val="24"/>
        </w:rPr>
      </w:pPr>
      <w:r>
        <w:rPr>
          <w:rFonts w:hint="eastAsia"/>
          <w:b/>
          <w:bCs/>
          <w:sz w:val="24"/>
        </w:rPr>
        <w:t xml:space="preserve">6 </w:t>
      </w:r>
      <w:r>
        <w:rPr>
          <w:rFonts w:hint="eastAsia"/>
          <w:sz w:val="24"/>
        </w:rPr>
        <w:t>发生监控系统拒绝执行操作命令时，应立即停止操作，检查自身操作步骤是否正确，如确认无误，方可进行手动操作；</w:t>
      </w:r>
    </w:p>
    <w:p w14:paraId="7178C4B8">
      <w:pPr>
        <w:snapToGrid w:val="0"/>
        <w:spacing w:line="300" w:lineRule="auto"/>
        <w:ind w:firstLine="482" w:firstLineChars="200"/>
        <w:jc w:val="left"/>
        <w:rPr>
          <w:rFonts w:hint="eastAsia"/>
          <w:sz w:val="24"/>
        </w:rPr>
      </w:pPr>
      <w:r>
        <w:rPr>
          <w:rFonts w:hint="eastAsia"/>
          <w:b/>
          <w:bCs/>
          <w:sz w:val="24"/>
        </w:rPr>
        <w:t xml:space="preserve">7 </w:t>
      </w:r>
      <w:r>
        <w:rPr>
          <w:rFonts w:hint="eastAsia"/>
          <w:sz w:val="24"/>
        </w:rPr>
        <w:t>发生监控系统误动作时，应立即停止一切与微机监控系统有关的操作并立即报告；</w:t>
      </w:r>
    </w:p>
    <w:p w14:paraId="4FF43C8A">
      <w:pPr>
        <w:snapToGrid w:val="0"/>
        <w:spacing w:line="300" w:lineRule="auto"/>
        <w:ind w:firstLine="482" w:firstLineChars="200"/>
        <w:jc w:val="left"/>
        <w:rPr>
          <w:sz w:val="24"/>
        </w:rPr>
      </w:pPr>
      <w:r>
        <w:rPr>
          <w:rFonts w:hint="eastAsia"/>
          <w:b/>
          <w:bCs/>
          <w:sz w:val="24"/>
        </w:rPr>
        <w:t xml:space="preserve">8 </w:t>
      </w:r>
      <w:r>
        <w:rPr>
          <w:rFonts w:hint="eastAsia"/>
          <w:sz w:val="24"/>
        </w:rPr>
        <w:t>数据传输系统中的主要部件，凡是超过使用年限的，均应该及时更换。</w:t>
      </w:r>
    </w:p>
    <w:p w14:paraId="4D94F27C">
      <w:pPr>
        <w:snapToGrid w:val="0"/>
        <w:spacing w:line="300" w:lineRule="auto"/>
        <w:jc w:val="center"/>
        <w:rPr>
          <w:sz w:val="24"/>
        </w:rPr>
      </w:pPr>
    </w:p>
    <w:p w14:paraId="77358027">
      <w:pPr>
        <w:spacing w:line="300" w:lineRule="auto"/>
      </w:pPr>
    </w:p>
    <w:p w14:paraId="04A52F37">
      <w:pPr>
        <w:pStyle w:val="5"/>
        <w:snapToGrid w:val="0"/>
        <w:spacing w:before="72" w:beforeLines="30" w:after="72" w:afterLines="30" w:line="300" w:lineRule="auto"/>
        <w:jc w:val="center"/>
        <w:rPr>
          <w:rFonts w:hint="default" w:ascii="Times New Roman" w:hAnsi="Times New Roman" w:eastAsia="黑体" w:cs="Times New Roman"/>
          <w:sz w:val="28"/>
          <w:szCs w:val="28"/>
        </w:rPr>
      </w:pPr>
      <w:bookmarkStart w:id="499" w:name="_Toc29404"/>
      <w:bookmarkStart w:id="500" w:name="_Toc29457"/>
      <w:bookmarkStart w:id="501" w:name="_Toc31460"/>
      <w:bookmarkStart w:id="502" w:name="_Toc14669"/>
      <w:bookmarkStart w:id="503" w:name="_Toc21920"/>
      <w:bookmarkStart w:id="504" w:name="_Toc28470"/>
      <w:bookmarkStart w:id="505" w:name="_Toc28231"/>
      <w:bookmarkStart w:id="506" w:name="_Toc26501"/>
      <w:r>
        <w:rPr>
          <w:rFonts w:ascii="Times New Roman" w:hAnsi="Times New Roman" w:eastAsia="黑体" w:cs="Times New Roman"/>
          <w:sz w:val="28"/>
          <w:szCs w:val="28"/>
        </w:rPr>
        <w:t>附录</w:t>
      </w:r>
      <w:r>
        <w:rPr>
          <w:rFonts w:hint="eastAsia" w:ascii="Times New Roman" w:hAnsi="Times New Roman" w:eastAsia="黑体" w:cs="Times New Roman"/>
          <w:sz w:val="28"/>
          <w:szCs w:val="28"/>
          <w:lang w:val="en-US" w:eastAsia="zh-CN"/>
        </w:rPr>
        <w:t>A</w:t>
      </w:r>
      <w:r>
        <w:rPr>
          <w:rFonts w:ascii="Times New Roman" w:hAnsi="Times New Roman" w:eastAsia="黑体" w:cs="Times New Roman"/>
          <w:sz w:val="28"/>
          <w:szCs w:val="28"/>
        </w:rPr>
        <w:t xml:space="preserve"> </w:t>
      </w:r>
      <w:r>
        <w:rPr>
          <w:rFonts w:hint="default" w:ascii="Times New Roman" w:hAnsi="Times New Roman" w:eastAsia="黑体" w:cs="Times New Roman"/>
          <w:sz w:val="28"/>
          <w:szCs w:val="28"/>
        </w:rPr>
        <w:t>广东</w:t>
      </w:r>
      <w:r>
        <w:rPr>
          <w:rFonts w:hint="eastAsia" w:ascii="Times New Roman" w:hAnsi="Times New Roman" w:eastAsia="黑体" w:cs="Times New Roman"/>
          <w:sz w:val="28"/>
          <w:szCs w:val="28"/>
          <w:lang w:val="en-US" w:eastAsia="zh-CN"/>
        </w:rPr>
        <w:t>省</w:t>
      </w:r>
      <w:r>
        <w:rPr>
          <w:rFonts w:hint="default" w:ascii="Times New Roman" w:hAnsi="Times New Roman" w:eastAsia="黑体" w:cs="Times New Roman"/>
          <w:sz w:val="28"/>
          <w:szCs w:val="28"/>
        </w:rPr>
        <w:t>太阳能资源</w:t>
      </w:r>
      <w:bookmarkEnd w:id="499"/>
      <w:bookmarkEnd w:id="500"/>
      <w:bookmarkEnd w:id="501"/>
      <w:bookmarkEnd w:id="502"/>
      <w:bookmarkEnd w:id="503"/>
      <w:bookmarkEnd w:id="504"/>
      <w:bookmarkEnd w:id="505"/>
      <w:bookmarkEnd w:id="506"/>
    </w:p>
    <w:p w14:paraId="2F04F430">
      <w:pPr>
        <w:pStyle w:val="5"/>
        <w:snapToGrid w:val="0"/>
        <w:spacing w:before="72" w:beforeLines="30" w:after="72" w:afterLines="30" w:line="300" w:lineRule="auto"/>
        <w:jc w:val="both"/>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A.0.1　广东省各地太阳能总辐照量及日辐照量可参照表A.0.1选用。</w:t>
      </w:r>
    </w:p>
    <w:p w14:paraId="3428265E">
      <w:pPr>
        <w:snapToGrid w:val="0"/>
        <w:spacing w:before="72" w:beforeLines="30" w:after="72" w:afterLines="30" w:line="30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表</w:t>
      </w:r>
      <w:r>
        <w:rPr>
          <w:rFonts w:hint="eastAsia" w:ascii="宋体" w:hAnsi="宋体" w:eastAsia="宋体" w:cs="宋体"/>
          <w:b/>
          <w:bCs/>
          <w:sz w:val="24"/>
          <w:szCs w:val="24"/>
          <w:lang w:val="en-US" w:eastAsia="zh-CN"/>
        </w:rPr>
        <w:t>A.0.1　广东省太阳能资源</w:t>
      </w:r>
    </w:p>
    <w:tbl>
      <w:tblPr>
        <w:tblStyle w:val="15"/>
        <w:tblW w:w="5033" w:type="pct"/>
        <w:tblInd w:w="0" w:type="dxa"/>
        <w:tblLayout w:type="autofit"/>
        <w:tblCellMar>
          <w:top w:w="0" w:type="dxa"/>
          <w:left w:w="108" w:type="dxa"/>
          <w:bottom w:w="0" w:type="dxa"/>
          <w:right w:w="108" w:type="dxa"/>
        </w:tblCellMar>
      </w:tblPr>
      <w:tblGrid>
        <w:gridCol w:w="1047"/>
        <w:gridCol w:w="3628"/>
        <w:gridCol w:w="3903"/>
      </w:tblGrid>
      <w:tr w14:paraId="59FDB8EF">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D8978A2">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地点</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70BFB79">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总辐照量（kWh/㎡·a)</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A6D68D4">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日辐照量（kWh/㎡·d）</w:t>
            </w:r>
          </w:p>
        </w:tc>
      </w:tr>
      <w:tr w14:paraId="07432C56">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692F0E3">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广州</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CA7AFB7">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1113</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40892BF">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3.0</w:t>
            </w:r>
          </w:p>
        </w:tc>
      </w:tr>
      <w:tr w14:paraId="0A4363BA">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E5E9680">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汕尾</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A26BFBF">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1309</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D3107F8">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3.6</w:t>
            </w:r>
          </w:p>
        </w:tc>
      </w:tr>
      <w:tr w14:paraId="225F0B89">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F5E4475">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潮阳</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A6CB87D">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1289</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AC8DB0B">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3.5</w:t>
            </w:r>
          </w:p>
        </w:tc>
      </w:tr>
      <w:tr w14:paraId="04A27EDF">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0B0B80F">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阳江</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EEF3D7E">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1215</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5CCD575">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3.3</w:t>
            </w:r>
          </w:p>
        </w:tc>
      </w:tr>
      <w:tr w14:paraId="4884DCE7">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0D12ECC">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揭阳</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9670F14">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1294</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52EC365">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3.5</w:t>
            </w:r>
          </w:p>
        </w:tc>
      </w:tr>
      <w:tr w14:paraId="0609E1A8">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783BC46">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韶关</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261B7C8">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1156</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7D5909A">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3.2</w:t>
            </w:r>
          </w:p>
        </w:tc>
      </w:tr>
      <w:tr w14:paraId="1B7830E3">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D36BEDF">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惠州</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833D01C">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1151</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84CDFF7">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3.2</w:t>
            </w:r>
          </w:p>
        </w:tc>
      </w:tr>
      <w:tr w14:paraId="0D2EE7EA">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C05ACEA">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梅州</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43AAD98">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1182</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B08EC85">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3.2</w:t>
            </w:r>
          </w:p>
        </w:tc>
      </w:tr>
      <w:tr w14:paraId="12927827">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C19FFD7">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汕头</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BA97352">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1288</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D05C856">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3.5</w:t>
            </w:r>
          </w:p>
        </w:tc>
      </w:tr>
      <w:tr w14:paraId="0C568E8C">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1C5C32F">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深圳</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39B463D">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1153</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1924BF5">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3.2</w:t>
            </w:r>
          </w:p>
        </w:tc>
      </w:tr>
      <w:tr w14:paraId="7BC57055">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C782E80">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珠海</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6849E5B">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1115</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18FF985">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3.1</w:t>
            </w:r>
          </w:p>
        </w:tc>
      </w:tr>
      <w:tr w14:paraId="5712592E">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250224F">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佛山</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72B922D">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1114</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DB62A5A">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3.1</w:t>
            </w:r>
          </w:p>
        </w:tc>
      </w:tr>
      <w:tr w14:paraId="0DF9AC70">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823A0A2">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肇庆</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A6841CB">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1115</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50CB5DA">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3.1</w:t>
            </w:r>
          </w:p>
        </w:tc>
      </w:tr>
      <w:tr w14:paraId="37546F3D">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C198837">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湛江</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32BC31F">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1267</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182DDA2">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3.5</w:t>
            </w:r>
          </w:p>
        </w:tc>
      </w:tr>
      <w:tr w14:paraId="416E7A72">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739EE43">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中山</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8532729">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1115</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6F37230">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3.1</w:t>
            </w:r>
          </w:p>
        </w:tc>
      </w:tr>
      <w:tr w14:paraId="24457812">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24E33FD">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河源</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E862A09">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1159</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2B2938E">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3.2</w:t>
            </w:r>
          </w:p>
        </w:tc>
      </w:tr>
      <w:tr w14:paraId="1BF684EA">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5275FB7">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清远</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D2A59B3">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1112</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E5BF878">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3.0</w:t>
            </w:r>
          </w:p>
        </w:tc>
      </w:tr>
      <w:tr w14:paraId="2361B0B1">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652F87E">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顺德</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617E874">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1114</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499E7AD">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3.1</w:t>
            </w:r>
          </w:p>
        </w:tc>
      </w:tr>
      <w:tr w14:paraId="698242EB">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C5DBFE7">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云浮</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E8C3B78">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1119</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6D72A63">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3.1</w:t>
            </w:r>
          </w:p>
        </w:tc>
      </w:tr>
      <w:tr w14:paraId="50F5386B">
        <w:tblPrEx>
          <w:tblCellMar>
            <w:top w:w="0" w:type="dxa"/>
            <w:left w:w="108" w:type="dxa"/>
            <w:bottom w:w="0" w:type="dxa"/>
            <w:right w:w="108" w:type="dxa"/>
          </w:tblCellMar>
        </w:tblPrEx>
        <w:trPr>
          <w:trHeight w:val="400"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97ED80B">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潮州</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6E0A501">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1288</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8FB8ED5">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3.5</w:t>
            </w:r>
          </w:p>
        </w:tc>
      </w:tr>
      <w:tr w14:paraId="4671BED0">
        <w:tblPrEx>
          <w:tblCellMar>
            <w:top w:w="0" w:type="dxa"/>
            <w:left w:w="108" w:type="dxa"/>
            <w:bottom w:w="0" w:type="dxa"/>
            <w:right w:w="108" w:type="dxa"/>
          </w:tblCellMar>
        </w:tblPrEx>
        <w:trPr>
          <w:trHeight w:val="412" w:hRule="atLeast"/>
        </w:trPr>
        <w:tc>
          <w:tcPr>
            <w:tcW w:w="610"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AC246E9">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东莞</w:t>
            </w:r>
          </w:p>
        </w:tc>
        <w:tc>
          <w:tcPr>
            <w:tcW w:w="211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FCA1D66">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1153</w:t>
            </w:r>
          </w:p>
        </w:tc>
        <w:tc>
          <w:tcPr>
            <w:tcW w:w="2274"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ACCE941">
            <w:pPr>
              <w:widowControl/>
              <w:spacing w:line="300" w:lineRule="auto"/>
              <w:jc w:val="center"/>
              <w:textAlignment w:val="bottom"/>
              <w:rPr>
                <w:rFonts w:hint="default" w:ascii="Times New Roman" w:hAnsi="Times New Roman" w:eastAsia="等线" w:cs="Times New Roman"/>
                <w:color w:val="000000"/>
                <w:sz w:val="18"/>
                <w:szCs w:val="18"/>
              </w:rPr>
            </w:pPr>
            <w:r>
              <w:rPr>
                <w:rFonts w:hint="default" w:ascii="Times New Roman" w:hAnsi="Times New Roman" w:eastAsia="等线" w:cs="Times New Roman"/>
                <w:color w:val="000000"/>
                <w:kern w:val="0"/>
                <w:sz w:val="18"/>
                <w:szCs w:val="18"/>
                <w:lang w:bidi="ar"/>
              </w:rPr>
              <w:t>3.2</w:t>
            </w:r>
          </w:p>
        </w:tc>
      </w:tr>
    </w:tbl>
    <w:p w14:paraId="2A2759B6">
      <w:pPr>
        <w:spacing w:line="300" w:lineRule="auto"/>
      </w:pPr>
    </w:p>
    <w:p w14:paraId="5CE5DC90">
      <w:pPr>
        <w:spacing w:line="300" w:lineRule="auto"/>
      </w:pPr>
    </w:p>
    <w:p w14:paraId="35DD07E7">
      <w:pPr>
        <w:pStyle w:val="2"/>
        <w:spacing w:line="300" w:lineRule="auto"/>
      </w:pPr>
    </w:p>
    <w:p w14:paraId="29D2ACD5">
      <w:pPr>
        <w:spacing w:line="300" w:lineRule="auto"/>
      </w:pPr>
    </w:p>
    <w:p w14:paraId="54E1A9E9">
      <w:pPr>
        <w:spacing w:line="300" w:lineRule="auto"/>
        <w:sectPr>
          <w:pgSz w:w="11906" w:h="16838"/>
          <w:pgMar w:top="1440" w:right="1800" w:bottom="1440" w:left="1800" w:header="851" w:footer="992" w:gutter="0"/>
          <w:pgNumType w:fmt="decimal"/>
          <w:cols w:space="425" w:num="1"/>
          <w:docGrid w:type="lines" w:linePitch="312" w:charSpace="0"/>
        </w:sectPr>
      </w:pPr>
    </w:p>
    <w:p w14:paraId="5D75301F">
      <w:pPr>
        <w:pStyle w:val="5"/>
        <w:snapToGrid w:val="0"/>
        <w:spacing w:before="72" w:beforeLines="30" w:after="72" w:afterLines="30" w:line="300" w:lineRule="auto"/>
        <w:jc w:val="center"/>
        <w:rPr>
          <w:rFonts w:ascii="Times New Roman" w:hAnsi="Times New Roman" w:eastAsia="黑体" w:cs="Times New Roman"/>
          <w:sz w:val="28"/>
          <w:szCs w:val="28"/>
        </w:rPr>
      </w:pPr>
      <w:bookmarkStart w:id="507" w:name="_Toc23649"/>
      <w:bookmarkStart w:id="508" w:name="_Toc31372"/>
      <w:bookmarkStart w:id="509" w:name="_Toc11660"/>
      <w:bookmarkStart w:id="510" w:name="_Toc6642"/>
      <w:bookmarkStart w:id="511" w:name="_Toc23375"/>
      <w:bookmarkStart w:id="512" w:name="_Toc115"/>
      <w:bookmarkStart w:id="513" w:name="_Toc27632"/>
      <w:bookmarkStart w:id="514" w:name="_Toc8188"/>
      <w:r>
        <w:rPr>
          <w:rFonts w:ascii="Times New Roman" w:hAnsi="Times New Roman" w:eastAsia="黑体" w:cs="Times New Roman"/>
          <w:sz w:val="28"/>
          <w:szCs w:val="28"/>
        </w:rPr>
        <w:t>附录</w:t>
      </w:r>
      <w:r>
        <w:rPr>
          <w:rFonts w:hint="eastAsia" w:ascii="Times New Roman" w:hAnsi="Times New Roman" w:eastAsia="黑体" w:cs="Times New Roman"/>
          <w:sz w:val="28"/>
          <w:szCs w:val="28"/>
          <w:lang w:val="en-US" w:eastAsia="zh-CN"/>
        </w:rPr>
        <w:t>B</w:t>
      </w:r>
      <w:r>
        <w:rPr>
          <w:rFonts w:ascii="Times New Roman" w:hAnsi="Times New Roman" w:eastAsia="黑体" w:cs="Times New Roman"/>
          <w:sz w:val="28"/>
          <w:szCs w:val="28"/>
        </w:rPr>
        <w:t>光伏组件/方阵检查测试项目</w:t>
      </w:r>
      <w:bookmarkEnd w:id="507"/>
      <w:bookmarkEnd w:id="508"/>
      <w:bookmarkEnd w:id="509"/>
      <w:bookmarkEnd w:id="510"/>
      <w:bookmarkEnd w:id="511"/>
      <w:bookmarkEnd w:id="512"/>
      <w:bookmarkEnd w:id="513"/>
      <w:bookmarkEnd w:id="514"/>
    </w:p>
    <w:p w14:paraId="1FA18D0B">
      <w:pPr>
        <w:snapToGrid w:val="0"/>
        <w:spacing w:line="300" w:lineRule="auto"/>
        <w:rPr>
          <w:rFonts w:hint="eastAsia" w:ascii="宋体" w:hAnsi="宋体" w:eastAsia="宋体" w:cs="宋体"/>
          <w:sz w:val="24"/>
        </w:rPr>
      </w:pPr>
      <w:r>
        <w:rPr>
          <w:rFonts w:hint="eastAsia" w:ascii="宋体" w:hAnsi="宋体" w:cs="宋体"/>
          <w:sz w:val="24"/>
          <w:lang w:val="en-US" w:eastAsia="zh-CN"/>
        </w:rPr>
        <w:t>B</w:t>
      </w:r>
      <w:r>
        <w:rPr>
          <w:rFonts w:hint="eastAsia" w:ascii="宋体" w:hAnsi="宋体" w:eastAsia="宋体" w:cs="宋体"/>
          <w:sz w:val="24"/>
        </w:rPr>
        <w:t>.0.1光伏组件/方阵检查测试项目应按表</w:t>
      </w:r>
      <w:r>
        <w:rPr>
          <w:rFonts w:hint="eastAsia" w:ascii="宋体" w:hAnsi="宋体" w:cs="宋体"/>
          <w:sz w:val="24"/>
          <w:lang w:val="en-US" w:eastAsia="zh-CN"/>
        </w:rPr>
        <w:t>B</w:t>
      </w:r>
      <w:r>
        <w:rPr>
          <w:rFonts w:hint="eastAsia" w:ascii="宋体" w:hAnsi="宋体" w:eastAsia="宋体" w:cs="宋体"/>
          <w:sz w:val="24"/>
        </w:rPr>
        <w:t>.0.1的格式填写。</w:t>
      </w:r>
    </w:p>
    <w:p w14:paraId="53BDBD3A">
      <w:pPr>
        <w:snapToGrid w:val="0"/>
        <w:spacing w:line="300" w:lineRule="auto"/>
        <w:jc w:val="center"/>
        <w:rPr>
          <w:rFonts w:hint="eastAsia" w:ascii="宋体" w:hAnsi="宋体" w:eastAsia="宋体" w:cs="宋体"/>
          <w:b/>
          <w:bCs/>
          <w:sz w:val="24"/>
        </w:rPr>
      </w:pPr>
      <w:r>
        <w:rPr>
          <w:rFonts w:hint="eastAsia" w:ascii="宋体" w:hAnsi="宋体" w:eastAsia="宋体" w:cs="宋体"/>
          <w:b/>
          <w:bCs/>
          <w:sz w:val="24"/>
        </w:rPr>
        <w:t>表</w:t>
      </w:r>
      <w:r>
        <w:rPr>
          <w:rFonts w:hint="eastAsia" w:ascii="宋体" w:hAnsi="宋体" w:cs="宋体"/>
          <w:b/>
          <w:bCs/>
          <w:sz w:val="24"/>
          <w:lang w:val="en-US" w:eastAsia="zh-CN"/>
        </w:rPr>
        <w:t>B</w:t>
      </w:r>
      <w:r>
        <w:rPr>
          <w:rFonts w:hint="eastAsia" w:ascii="宋体" w:hAnsi="宋体" w:eastAsia="宋体" w:cs="宋体"/>
          <w:b/>
          <w:bCs/>
          <w:sz w:val="24"/>
        </w:rPr>
        <w:t>.0.1光伏组件/方阵检查测试项目</w:t>
      </w:r>
    </w:p>
    <w:tbl>
      <w:tblPr>
        <w:tblStyle w:val="16"/>
        <w:tblpPr w:leftFromText="180" w:rightFromText="180" w:vertAnchor="text" w:horzAnchor="page" w:tblpX="1397" w:tblpY="6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870"/>
        <w:gridCol w:w="918"/>
        <w:gridCol w:w="1171"/>
        <w:gridCol w:w="1182"/>
        <w:gridCol w:w="913"/>
        <w:gridCol w:w="315"/>
        <w:gridCol w:w="1233"/>
        <w:gridCol w:w="862"/>
        <w:gridCol w:w="845"/>
        <w:gridCol w:w="850"/>
        <w:gridCol w:w="743"/>
        <w:gridCol w:w="1548"/>
        <w:gridCol w:w="862"/>
        <w:gridCol w:w="992"/>
      </w:tblGrid>
      <w:tr w14:paraId="78E6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vAlign w:val="center"/>
          </w:tcPr>
          <w:p w14:paraId="5AED1F49">
            <w:pPr>
              <w:pStyle w:val="2"/>
              <w:adjustRightInd w:val="0"/>
              <w:snapToGrid w:val="0"/>
              <w:spacing w:line="300" w:lineRule="auto"/>
              <w:jc w:val="center"/>
              <w:rPr>
                <w:sz w:val="18"/>
                <w:szCs w:val="18"/>
              </w:rPr>
            </w:pPr>
            <w:r>
              <w:rPr>
                <w:rFonts w:hint="eastAsia"/>
                <w:sz w:val="18"/>
                <w:szCs w:val="18"/>
              </w:rPr>
              <w:t>检查项目</w:t>
            </w:r>
          </w:p>
        </w:tc>
      </w:tr>
      <w:tr w14:paraId="675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07" w:type="pct"/>
            <w:vMerge w:val="restart"/>
            <w:vAlign w:val="center"/>
          </w:tcPr>
          <w:p w14:paraId="55EBC728">
            <w:pPr>
              <w:pStyle w:val="2"/>
              <w:adjustRightInd w:val="0"/>
              <w:snapToGrid w:val="0"/>
              <w:spacing w:line="300" w:lineRule="auto"/>
              <w:jc w:val="center"/>
              <w:rPr>
                <w:sz w:val="18"/>
                <w:szCs w:val="18"/>
              </w:rPr>
            </w:pPr>
            <w:r>
              <w:rPr>
                <w:rFonts w:hint="eastAsia"/>
                <w:sz w:val="18"/>
                <w:szCs w:val="18"/>
              </w:rPr>
              <w:t>序号</w:t>
            </w:r>
          </w:p>
        </w:tc>
        <w:tc>
          <w:tcPr>
            <w:tcW w:w="631" w:type="pct"/>
            <w:gridSpan w:val="2"/>
            <w:vAlign w:val="center"/>
          </w:tcPr>
          <w:p w14:paraId="7A3C476A">
            <w:pPr>
              <w:pStyle w:val="2"/>
              <w:adjustRightInd w:val="0"/>
              <w:snapToGrid w:val="0"/>
              <w:spacing w:line="300" w:lineRule="auto"/>
              <w:jc w:val="center"/>
              <w:rPr>
                <w:sz w:val="18"/>
                <w:szCs w:val="18"/>
              </w:rPr>
            </w:pPr>
            <w:r>
              <w:rPr>
                <w:rFonts w:hint="eastAsia"/>
                <w:sz w:val="18"/>
                <w:szCs w:val="18"/>
              </w:rPr>
              <w:t>组件串</w:t>
            </w:r>
          </w:p>
        </w:tc>
        <w:tc>
          <w:tcPr>
            <w:tcW w:w="830" w:type="pct"/>
            <w:gridSpan w:val="2"/>
            <w:vAlign w:val="center"/>
          </w:tcPr>
          <w:p w14:paraId="4A555928">
            <w:pPr>
              <w:pStyle w:val="2"/>
              <w:adjustRightInd w:val="0"/>
              <w:snapToGrid w:val="0"/>
              <w:spacing w:line="300" w:lineRule="auto"/>
              <w:jc w:val="center"/>
              <w:rPr>
                <w:sz w:val="18"/>
                <w:szCs w:val="18"/>
              </w:rPr>
            </w:pPr>
            <w:r>
              <w:rPr>
                <w:rFonts w:hint="eastAsia"/>
                <w:sz w:val="18"/>
                <w:szCs w:val="18"/>
              </w:rPr>
              <w:t>方阵组串过电流保护</w:t>
            </w:r>
          </w:p>
        </w:tc>
        <w:tc>
          <w:tcPr>
            <w:tcW w:w="868" w:type="pct"/>
            <w:gridSpan w:val="3"/>
            <w:vAlign w:val="center"/>
          </w:tcPr>
          <w:p w14:paraId="5F3D8EFB">
            <w:pPr>
              <w:pStyle w:val="2"/>
              <w:adjustRightInd w:val="0"/>
              <w:snapToGrid w:val="0"/>
              <w:spacing w:line="300" w:lineRule="auto"/>
              <w:jc w:val="center"/>
              <w:rPr>
                <w:sz w:val="18"/>
                <w:szCs w:val="18"/>
              </w:rPr>
            </w:pPr>
            <w:r>
              <w:rPr>
                <w:rFonts w:hint="eastAsia"/>
                <w:sz w:val="18"/>
                <w:szCs w:val="18"/>
              </w:rPr>
              <w:t>直流电缆1(汇流箱出线)</w:t>
            </w:r>
          </w:p>
        </w:tc>
        <w:tc>
          <w:tcPr>
            <w:tcW w:w="902" w:type="pct"/>
            <w:gridSpan w:val="3"/>
            <w:vAlign w:val="center"/>
          </w:tcPr>
          <w:p w14:paraId="293B0A94">
            <w:pPr>
              <w:pStyle w:val="2"/>
              <w:adjustRightInd w:val="0"/>
              <w:snapToGrid w:val="0"/>
              <w:spacing w:line="300" w:lineRule="auto"/>
              <w:jc w:val="center"/>
              <w:rPr>
                <w:sz w:val="18"/>
                <w:szCs w:val="18"/>
              </w:rPr>
            </w:pPr>
            <w:r>
              <w:rPr>
                <w:rFonts w:hint="eastAsia"/>
                <w:sz w:val="18"/>
                <w:szCs w:val="18"/>
              </w:rPr>
              <w:t>直流电缆 2(直流柜出线)</w:t>
            </w:r>
          </w:p>
        </w:tc>
        <w:tc>
          <w:tcPr>
            <w:tcW w:w="808" w:type="pct"/>
            <w:gridSpan w:val="2"/>
            <w:vAlign w:val="center"/>
          </w:tcPr>
          <w:p w14:paraId="7D21254F">
            <w:pPr>
              <w:pStyle w:val="2"/>
              <w:adjustRightInd w:val="0"/>
              <w:snapToGrid w:val="0"/>
              <w:spacing w:line="300" w:lineRule="auto"/>
              <w:jc w:val="center"/>
              <w:rPr>
                <w:sz w:val="18"/>
                <w:szCs w:val="18"/>
              </w:rPr>
            </w:pPr>
            <w:r>
              <w:rPr>
                <w:rFonts w:hint="eastAsia"/>
                <w:sz w:val="18"/>
                <w:szCs w:val="18"/>
              </w:rPr>
              <w:t>交流电缆(逆变器出线)</w:t>
            </w:r>
          </w:p>
        </w:tc>
        <w:tc>
          <w:tcPr>
            <w:tcW w:w="652" w:type="pct"/>
            <w:gridSpan w:val="2"/>
            <w:vAlign w:val="center"/>
          </w:tcPr>
          <w:p w14:paraId="35492285">
            <w:pPr>
              <w:pStyle w:val="2"/>
              <w:adjustRightInd w:val="0"/>
              <w:snapToGrid w:val="0"/>
              <w:spacing w:line="300" w:lineRule="auto"/>
              <w:jc w:val="center"/>
              <w:rPr>
                <w:sz w:val="18"/>
                <w:szCs w:val="18"/>
              </w:rPr>
            </w:pPr>
            <w:r>
              <w:rPr>
                <w:rFonts w:hint="eastAsia"/>
                <w:sz w:val="18"/>
                <w:szCs w:val="18"/>
              </w:rPr>
              <w:t>逆变器</w:t>
            </w:r>
          </w:p>
        </w:tc>
      </w:tr>
      <w:tr w14:paraId="40B9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07" w:type="pct"/>
            <w:vMerge w:val="continue"/>
            <w:vAlign w:val="center"/>
          </w:tcPr>
          <w:p w14:paraId="095BF724">
            <w:pPr>
              <w:pStyle w:val="2"/>
              <w:adjustRightInd w:val="0"/>
              <w:snapToGrid w:val="0"/>
              <w:spacing w:line="300" w:lineRule="auto"/>
              <w:jc w:val="center"/>
              <w:rPr>
                <w:sz w:val="18"/>
                <w:szCs w:val="18"/>
              </w:rPr>
            </w:pPr>
          </w:p>
        </w:tc>
        <w:tc>
          <w:tcPr>
            <w:tcW w:w="307" w:type="pct"/>
            <w:vAlign w:val="center"/>
          </w:tcPr>
          <w:p w14:paraId="2D4848C8">
            <w:pPr>
              <w:pStyle w:val="2"/>
              <w:adjustRightInd w:val="0"/>
              <w:snapToGrid w:val="0"/>
              <w:spacing w:line="300" w:lineRule="auto"/>
              <w:jc w:val="center"/>
              <w:rPr>
                <w:sz w:val="18"/>
                <w:szCs w:val="18"/>
              </w:rPr>
            </w:pPr>
            <w:r>
              <w:rPr>
                <w:rFonts w:hint="eastAsia"/>
                <w:sz w:val="18"/>
                <w:szCs w:val="18"/>
              </w:rPr>
              <w:t>组件型号</w:t>
            </w:r>
          </w:p>
        </w:tc>
        <w:tc>
          <w:tcPr>
            <w:tcW w:w="323" w:type="pct"/>
            <w:vAlign w:val="center"/>
          </w:tcPr>
          <w:p w14:paraId="3EE2164C">
            <w:pPr>
              <w:pStyle w:val="2"/>
              <w:adjustRightInd w:val="0"/>
              <w:snapToGrid w:val="0"/>
              <w:spacing w:line="300" w:lineRule="auto"/>
              <w:jc w:val="center"/>
              <w:rPr>
                <w:sz w:val="18"/>
                <w:szCs w:val="18"/>
              </w:rPr>
            </w:pPr>
            <w:r>
              <w:rPr>
                <w:rFonts w:hint="eastAsia"/>
                <w:sz w:val="18"/>
                <w:szCs w:val="18"/>
              </w:rPr>
              <w:t>组件数量</w:t>
            </w:r>
          </w:p>
        </w:tc>
        <w:tc>
          <w:tcPr>
            <w:tcW w:w="413" w:type="pct"/>
            <w:vAlign w:val="center"/>
          </w:tcPr>
          <w:p w14:paraId="5C3C2532">
            <w:pPr>
              <w:pStyle w:val="2"/>
              <w:adjustRightInd w:val="0"/>
              <w:snapToGrid w:val="0"/>
              <w:spacing w:line="300" w:lineRule="auto"/>
              <w:jc w:val="center"/>
              <w:rPr>
                <w:sz w:val="18"/>
                <w:szCs w:val="18"/>
              </w:rPr>
            </w:pPr>
            <w:r>
              <w:rPr>
                <w:rFonts w:hint="eastAsia"/>
                <w:sz w:val="18"/>
                <w:szCs w:val="18"/>
              </w:rPr>
              <w:t>额定值（A）</w:t>
            </w:r>
          </w:p>
        </w:tc>
        <w:tc>
          <w:tcPr>
            <w:tcW w:w="416" w:type="pct"/>
            <w:vAlign w:val="center"/>
          </w:tcPr>
          <w:p w14:paraId="7A7CE2C7">
            <w:pPr>
              <w:pStyle w:val="2"/>
              <w:adjustRightInd w:val="0"/>
              <w:snapToGrid w:val="0"/>
              <w:spacing w:line="300" w:lineRule="auto"/>
              <w:jc w:val="center"/>
              <w:rPr>
                <w:sz w:val="18"/>
                <w:szCs w:val="18"/>
              </w:rPr>
            </w:pPr>
            <w:r>
              <w:rPr>
                <w:rFonts w:hint="eastAsia"/>
                <w:sz w:val="18"/>
                <w:szCs w:val="18"/>
              </w:rPr>
              <w:t>额定值（V）</w:t>
            </w:r>
          </w:p>
        </w:tc>
        <w:tc>
          <w:tcPr>
            <w:tcW w:w="322" w:type="pct"/>
            <w:vAlign w:val="center"/>
          </w:tcPr>
          <w:p w14:paraId="29B1CC61">
            <w:pPr>
              <w:pStyle w:val="2"/>
              <w:adjustRightInd w:val="0"/>
              <w:snapToGrid w:val="0"/>
              <w:spacing w:line="300" w:lineRule="auto"/>
              <w:jc w:val="center"/>
              <w:rPr>
                <w:sz w:val="18"/>
                <w:szCs w:val="18"/>
              </w:rPr>
            </w:pPr>
            <w:r>
              <w:rPr>
                <w:rFonts w:hint="eastAsia"/>
                <w:sz w:val="18"/>
                <w:szCs w:val="18"/>
              </w:rPr>
              <w:t>类型</w:t>
            </w:r>
          </w:p>
        </w:tc>
        <w:tc>
          <w:tcPr>
            <w:tcW w:w="546" w:type="pct"/>
            <w:gridSpan w:val="2"/>
            <w:vAlign w:val="center"/>
          </w:tcPr>
          <w:p w14:paraId="0D33C81E">
            <w:pPr>
              <w:pStyle w:val="2"/>
              <w:adjustRightInd w:val="0"/>
              <w:snapToGrid w:val="0"/>
              <w:spacing w:line="300" w:lineRule="auto"/>
              <w:jc w:val="center"/>
              <w:rPr>
                <w:sz w:val="18"/>
                <w:szCs w:val="18"/>
              </w:rPr>
            </w:pPr>
            <w:r>
              <w:rPr>
                <w:rFonts w:hint="eastAsia"/>
                <w:sz w:val="18"/>
                <w:szCs w:val="18"/>
              </w:rPr>
              <w:t>截面积（mm</w:t>
            </w:r>
            <w:r>
              <w:rPr>
                <w:rFonts w:hint="eastAsia"/>
                <w:sz w:val="18"/>
                <w:szCs w:val="18"/>
                <w:vertAlign w:val="superscript"/>
              </w:rPr>
              <w:t>2</w:t>
            </w:r>
            <w:r>
              <w:rPr>
                <w:rFonts w:hint="eastAsia"/>
                <w:sz w:val="18"/>
                <w:szCs w:val="18"/>
              </w:rPr>
              <w:t>）</w:t>
            </w:r>
          </w:p>
        </w:tc>
        <w:tc>
          <w:tcPr>
            <w:tcW w:w="304" w:type="pct"/>
            <w:vAlign w:val="center"/>
          </w:tcPr>
          <w:p w14:paraId="60B92F9C">
            <w:pPr>
              <w:pStyle w:val="2"/>
              <w:adjustRightInd w:val="0"/>
              <w:snapToGrid w:val="0"/>
              <w:spacing w:line="300" w:lineRule="auto"/>
              <w:jc w:val="center"/>
              <w:rPr>
                <w:sz w:val="18"/>
                <w:szCs w:val="18"/>
              </w:rPr>
            </w:pPr>
            <w:r>
              <w:rPr>
                <w:rFonts w:hint="eastAsia"/>
                <w:sz w:val="18"/>
                <w:szCs w:val="18"/>
              </w:rPr>
              <w:t>类型</w:t>
            </w:r>
          </w:p>
        </w:tc>
        <w:tc>
          <w:tcPr>
            <w:tcW w:w="597" w:type="pct"/>
            <w:gridSpan w:val="2"/>
            <w:vAlign w:val="center"/>
          </w:tcPr>
          <w:p w14:paraId="45F256AA">
            <w:pPr>
              <w:pStyle w:val="2"/>
              <w:adjustRightInd w:val="0"/>
              <w:snapToGrid w:val="0"/>
              <w:spacing w:line="300" w:lineRule="auto"/>
              <w:jc w:val="center"/>
              <w:rPr>
                <w:sz w:val="18"/>
                <w:szCs w:val="18"/>
              </w:rPr>
            </w:pPr>
            <w:r>
              <w:rPr>
                <w:rFonts w:hint="eastAsia"/>
                <w:sz w:val="18"/>
                <w:szCs w:val="18"/>
              </w:rPr>
              <w:t>截面积（mm</w:t>
            </w:r>
            <w:r>
              <w:rPr>
                <w:rFonts w:hint="eastAsia"/>
                <w:sz w:val="18"/>
                <w:szCs w:val="18"/>
                <w:vertAlign w:val="superscript"/>
              </w:rPr>
              <w:t>2</w:t>
            </w:r>
            <w:r>
              <w:rPr>
                <w:rFonts w:hint="eastAsia"/>
                <w:sz w:val="18"/>
                <w:szCs w:val="18"/>
              </w:rPr>
              <w:t>）</w:t>
            </w:r>
          </w:p>
        </w:tc>
        <w:tc>
          <w:tcPr>
            <w:tcW w:w="262" w:type="pct"/>
            <w:vAlign w:val="center"/>
          </w:tcPr>
          <w:p w14:paraId="0EE76866">
            <w:pPr>
              <w:pStyle w:val="2"/>
              <w:adjustRightInd w:val="0"/>
              <w:snapToGrid w:val="0"/>
              <w:spacing w:line="300" w:lineRule="auto"/>
              <w:jc w:val="center"/>
              <w:rPr>
                <w:sz w:val="18"/>
                <w:szCs w:val="18"/>
              </w:rPr>
            </w:pPr>
            <w:r>
              <w:rPr>
                <w:rFonts w:hint="eastAsia"/>
                <w:sz w:val="18"/>
                <w:szCs w:val="18"/>
              </w:rPr>
              <w:t>类型</w:t>
            </w:r>
          </w:p>
        </w:tc>
        <w:tc>
          <w:tcPr>
            <w:tcW w:w="546" w:type="pct"/>
            <w:vAlign w:val="center"/>
          </w:tcPr>
          <w:p w14:paraId="73FAFC06">
            <w:pPr>
              <w:pStyle w:val="2"/>
              <w:adjustRightInd w:val="0"/>
              <w:snapToGrid w:val="0"/>
              <w:spacing w:line="300" w:lineRule="auto"/>
              <w:jc w:val="center"/>
              <w:rPr>
                <w:sz w:val="18"/>
                <w:szCs w:val="18"/>
              </w:rPr>
            </w:pPr>
            <w:r>
              <w:rPr>
                <w:rFonts w:hint="eastAsia"/>
                <w:sz w:val="18"/>
                <w:szCs w:val="18"/>
              </w:rPr>
              <w:t>截面积（mm</w:t>
            </w:r>
            <w:r>
              <w:rPr>
                <w:rFonts w:hint="eastAsia"/>
                <w:sz w:val="18"/>
                <w:szCs w:val="18"/>
                <w:vertAlign w:val="superscript"/>
              </w:rPr>
              <w:t>2</w:t>
            </w:r>
            <w:r>
              <w:rPr>
                <w:rFonts w:hint="eastAsia"/>
                <w:sz w:val="18"/>
                <w:szCs w:val="18"/>
              </w:rPr>
              <w:t>）</w:t>
            </w:r>
          </w:p>
        </w:tc>
        <w:tc>
          <w:tcPr>
            <w:tcW w:w="304" w:type="pct"/>
            <w:vAlign w:val="center"/>
          </w:tcPr>
          <w:p w14:paraId="0A89DF2F">
            <w:pPr>
              <w:pStyle w:val="2"/>
              <w:adjustRightInd w:val="0"/>
              <w:snapToGrid w:val="0"/>
              <w:spacing w:line="300" w:lineRule="auto"/>
              <w:jc w:val="center"/>
              <w:rPr>
                <w:sz w:val="18"/>
                <w:szCs w:val="18"/>
              </w:rPr>
            </w:pPr>
            <w:r>
              <w:rPr>
                <w:rFonts w:hint="eastAsia"/>
                <w:sz w:val="18"/>
                <w:szCs w:val="18"/>
              </w:rPr>
              <w:t>序号</w:t>
            </w:r>
          </w:p>
        </w:tc>
        <w:tc>
          <w:tcPr>
            <w:tcW w:w="348" w:type="pct"/>
            <w:vAlign w:val="center"/>
          </w:tcPr>
          <w:p w14:paraId="35406047">
            <w:pPr>
              <w:pStyle w:val="2"/>
              <w:adjustRightInd w:val="0"/>
              <w:snapToGrid w:val="0"/>
              <w:spacing w:line="300" w:lineRule="auto"/>
              <w:jc w:val="center"/>
              <w:rPr>
                <w:sz w:val="18"/>
                <w:szCs w:val="18"/>
              </w:rPr>
            </w:pPr>
            <w:r>
              <w:rPr>
                <w:rFonts w:hint="eastAsia"/>
                <w:sz w:val="18"/>
                <w:szCs w:val="18"/>
              </w:rPr>
              <w:t>型号</w:t>
            </w:r>
          </w:p>
        </w:tc>
      </w:tr>
      <w:tr w14:paraId="555B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3990CC3A">
            <w:pPr>
              <w:pStyle w:val="2"/>
              <w:adjustRightInd w:val="0"/>
              <w:snapToGrid w:val="0"/>
              <w:spacing w:line="300" w:lineRule="auto"/>
              <w:jc w:val="center"/>
              <w:rPr>
                <w:sz w:val="18"/>
                <w:szCs w:val="18"/>
              </w:rPr>
            </w:pPr>
            <w:r>
              <w:rPr>
                <w:rFonts w:hint="eastAsia"/>
                <w:sz w:val="18"/>
                <w:szCs w:val="18"/>
              </w:rPr>
              <w:t>1</w:t>
            </w:r>
          </w:p>
        </w:tc>
        <w:tc>
          <w:tcPr>
            <w:tcW w:w="307" w:type="pct"/>
            <w:vAlign w:val="center"/>
          </w:tcPr>
          <w:p w14:paraId="2DF1203F">
            <w:pPr>
              <w:pStyle w:val="2"/>
              <w:adjustRightInd w:val="0"/>
              <w:snapToGrid w:val="0"/>
              <w:spacing w:line="300" w:lineRule="auto"/>
              <w:jc w:val="center"/>
              <w:rPr>
                <w:sz w:val="18"/>
                <w:szCs w:val="18"/>
              </w:rPr>
            </w:pPr>
          </w:p>
        </w:tc>
        <w:tc>
          <w:tcPr>
            <w:tcW w:w="323" w:type="pct"/>
            <w:vAlign w:val="center"/>
          </w:tcPr>
          <w:p w14:paraId="2529AA17">
            <w:pPr>
              <w:pStyle w:val="2"/>
              <w:adjustRightInd w:val="0"/>
              <w:snapToGrid w:val="0"/>
              <w:spacing w:line="300" w:lineRule="auto"/>
              <w:jc w:val="center"/>
              <w:rPr>
                <w:sz w:val="18"/>
                <w:szCs w:val="18"/>
              </w:rPr>
            </w:pPr>
          </w:p>
        </w:tc>
        <w:tc>
          <w:tcPr>
            <w:tcW w:w="413" w:type="pct"/>
            <w:vAlign w:val="center"/>
          </w:tcPr>
          <w:p w14:paraId="676336AA">
            <w:pPr>
              <w:pStyle w:val="2"/>
              <w:adjustRightInd w:val="0"/>
              <w:snapToGrid w:val="0"/>
              <w:spacing w:line="300" w:lineRule="auto"/>
              <w:jc w:val="center"/>
              <w:rPr>
                <w:sz w:val="18"/>
                <w:szCs w:val="18"/>
              </w:rPr>
            </w:pPr>
          </w:p>
        </w:tc>
        <w:tc>
          <w:tcPr>
            <w:tcW w:w="416" w:type="pct"/>
            <w:vAlign w:val="center"/>
          </w:tcPr>
          <w:p w14:paraId="055BE3B2">
            <w:pPr>
              <w:pStyle w:val="2"/>
              <w:adjustRightInd w:val="0"/>
              <w:snapToGrid w:val="0"/>
              <w:spacing w:line="300" w:lineRule="auto"/>
              <w:jc w:val="center"/>
              <w:rPr>
                <w:sz w:val="18"/>
                <w:szCs w:val="18"/>
              </w:rPr>
            </w:pPr>
          </w:p>
        </w:tc>
        <w:tc>
          <w:tcPr>
            <w:tcW w:w="322" w:type="pct"/>
            <w:vAlign w:val="center"/>
          </w:tcPr>
          <w:p w14:paraId="4607B00A">
            <w:pPr>
              <w:pStyle w:val="2"/>
              <w:adjustRightInd w:val="0"/>
              <w:snapToGrid w:val="0"/>
              <w:spacing w:line="300" w:lineRule="auto"/>
              <w:jc w:val="center"/>
              <w:rPr>
                <w:sz w:val="18"/>
                <w:szCs w:val="18"/>
              </w:rPr>
            </w:pPr>
          </w:p>
        </w:tc>
        <w:tc>
          <w:tcPr>
            <w:tcW w:w="546" w:type="pct"/>
            <w:gridSpan w:val="2"/>
            <w:vAlign w:val="center"/>
          </w:tcPr>
          <w:p w14:paraId="59B2CEB7">
            <w:pPr>
              <w:pStyle w:val="2"/>
              <w:adjustRightInd w:val="0"/>
              <w:snapToGrid w:val="0"/>
              <w:spacing w:line="300" w:lineRule="auto"/>
              <w:jc w:val="center"/>
              <w:rPr>
                <w:sz w:val="18"/>
                <w:szCs w:val="18"/>
              </w:rPr>
            </w:pPr>
          </w:p>
        </w:tc>
        <w:tc>
          <w:tcPr>
            <w:tcW w:w="304" w:type="pct"/>
            <w:vAlign w:val="center"/>
          </w:tcPr>
          <w:p w14:paraId="4B809387">
            <w:pPr>
              <w:pStyle w:val="2"/>
              <w:adjustRightInd w:val="0"/>
              <w:snapToGrid w:val="0"/>
              <w:spacing w:line="300" w:lineRule="auto"/>
              <w:jc w:val="center"/>
              <w:rPr>
                <w:sz w:val="18"/>
                <w:szCs w:val="18"/>
              </w:rPr>
            </w:pPr>
          </w:p>
        </w:tc>
        <w:tc>
          <w:tcPr>
            <w:tcW w:w="597" w:type="pct"/>
            <w:gridSpan w:val="2"/>
            <w:vAlign w:val="center"/>
          </w:tcPr>
          <w:p w14:paraId="41BF2777">
            <w:pPr>
              <w:pStyle w:val="2"/>
              <w:adjustRightInd w:val="0"/>
              <w:snapToGrid w:val="0"/>
              <w:spacing w:line="300" w:lineRule="auto"/>
              <w:jc w:val="center"/>
              <w:rPr>
                <w:sz w:val="18"/>
                <w:szCs w:val="18"/>
              </w:rPr>
            </w:pPr>
          </w:p>
        </w:tc>
        <w:tc>
          <w:tcPr>
            <w:tcW w:w="262" w:type="pct"/>
            <w:vAlign w:val="center"/>
          </w:tcPr>
          <w:p w14:paraId="0332B481">
            <w:pPr>
              <w:pStyle w:val="2"/>
              <w:adjustRightInd w:val="0"/>
              <w:snapToGrid w:val="0"/>
              <w:spacing w:line="300" w:lineRule="auto"/>
              <w:jc w:val="center"/>
              <w:rPr>
                <w:sz w:val="18"/>
                <w:szCs w:val="18"/>
              </w:rPr>
            </w:pPr>
          </w:p>
        </w:tc>
        <w:tc>
          <w:tcPr>
            <w:tcW w:w="546" w:type="pct"/>
            <w:vAlign w:val="center"/>
          </w:tcPr>
          <w:p w14:paraId="5AC073D5">
            <w:pPr>
              <w:pStyle w:val="2"/>
              <w:adjustRightInd w:val="0"/>
              <w:snapToGrid w:val="0"/>
              <w:spacing w:line="300" w:lineRule="auto"/>
              <w:jc w:val="center"/>
              <w:rPr>
                <w:sz w:val="18"/>
                <w:szCs w:val="18"/>
              </w:rPr>
            </w:pPr>
          </w:p>
        </w:tc>
        <w:tc>
          <w:tcPr>
            <w:tcW w:w="304" w:type="pct"/>
            <w:vAlign w:val="center"/>
          </w:tcPr>
          <w:p w14:paraId="76B8C288">
            <w:pPr>
              <w:pStyle w:val="2"/>
              <w:adjustRightInd w:val="0"/>
              <w:snapToGrid w:val="0"/>
              <w:spacing w:line="300" w:lineRule="auto"/>
              <w:jc w:val="center"/>
              <w:rPr>
                <w:sz w:val="18"/>
                <w:szCs w:val="18"/>
              </w:rPr>
            </w:pPr>
          </w:p>
        </w:tc>
        <w:tc>
          <w:tcPr>
            <w:tcW w:w="348" w:type="pct"/>
            <w:vAlign w:val="center"/>
          </w:tcPr>
          <w:p w14:paraId="5102BDF1">
            <w:pPr>
              <w:pStyle w:val="2"/>
              <w:adjustRightInd w:val="0"/>
              <w:snapToGrid w:val="0"/>
              <w:spacing w:line="300" w:lineRule="auto"/>
              <w:jc w:val="center"/>
              <w:rPr>
                <w:sz w:val="18"/>
                <w:szCs w:val="18"/>
              </w:rPr>
            </w:pPr>
          </w:p>
        </w:tc>
      </w:tr>
      <w:tr w14:paraId="55AC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 w:type="pct"/>
            <w:vAlign w:val="center"/>
          </w:tcPr>
          <w:p w14:paraId="04A71CEB">
            <w:pPr>
              <w:pStyle w:val="2"/>
              <w:adjustRightInd w:val="0"/>
              <w:snapToGrid w:val="0"/>
              <w:spacing w:line="300" w:lineRule="auto"/>
              <w:jc w:val="center"/>
              <w:rPr>
                <w:sz w:val="18"/>
                <w:szCs w:val="18"/>
              </w:rPr>
            </w:pPr>
            <w:r>
              <w:rPr>
                <w:rFonts w:hint="eastAsia"/>
                <w:sz w:val="18"/>
                <w:szCs w:val="18"/>
              </w:rPr>
              <w:t>2</w:t>
            </w:r>
          </w:p>
        </w:tc>
        <w:tc>
          <w:tcPr>
            <w:tcW w:w="307" w:type="pct"/>
            <w:vAlign w:val="center"/>
          </w:tcPr>
          <w:p w14:paraId="156D4F21">
            <w:pPr>
              <w:pStyle w:val="2"/>
              <w:adjustRightInd w:val="0"/>
              <w:snapToGrid w:val="0"/>
              <w:spacing w:line="300" w:lineRule="auto"/>
              <w:jc w:val="center"/>
              <w:rPr>
                <w:sz w:val="18"/>
                <w:szCs w:val="18"/>
              </w:rPr>
            </w:pPr>
          </w:p>
        </w:tc>
        <w:tc>
          <w:tcPr>
            <w:tcW w:w="323" w:type="pct"/>
            <w:vAlign w:val="center"/>
          </w:tcPr>
          <w:p w14:paraId="74DFF0FE">
            <w:pPr>
              <w:pStyle w:val="2"/>
              <w:adjustRightInd w:val="0"/>
              <w:snapToGrid w:val="0"/>
              <w:spacing w:line="300" w:lineRule="auto"/>
              <w:jc w:val="center"/>
              <w:rPr>
                <w:sz w:val="18"/>
                <w:szCs w:val="18"/>
              </w:rPr>
            </w:pPr>
          </w:p>
        </w:tc>
        <w:tc>
          <w:tcPr>
            <w:tcW w:w="413" w:type="pct"/>
            <w:vAlign w:val="center"/>
          </w:tcPr>
          <w:p w14:paraId="3FC711E9">
            <w:pPr>
              <w:pStyle w:val="2"/>
              <w:adjustRightInd w:val="0"/>
              <w:snapToGrid w:val="0"/>
              <w:spacing w:line="300" w:lineRule="auto"/>
              <w:jc w:val="center"/>
              <w:rPr>
                <w:sz w:val="18"/>
                <w:szCs w:val="18"/>
              </w:rPr>
            </w:pPr>
          </w:p>
        </w:tc>
        <w:tc>
          <w:tcPr>
            <w:tcW w:w="416" w:type="pct"/>
            <w:vAlign w:val="center"/>
          </w:tcPr>
          <w:p w14:paraId="79BABDD2">
            <w:pPr>
              <w:pStyle w:val="2"/>
              <w:adjustRightInd w:val="0"/>
              <w:snapToGrid w:val="0"/>
              <w:spacing w:line="300" w:lineRule="auto"/>
              <w:jc w:val="center"/>
              <w:rPr>
                <w:sz w:val="18"/>
                <w:szCs w:val="18"/>
              </w:rPr>
            </w:pPr>
          </w:p>
        </w:tc>
        <w:tc>
          <w:tcPr>
            <w:tcW w:w="322" w:type="pct"/>
            <w:vAlign w:val="center"/>
          </w:tcPr>
          <w:p w14:paraId="2B6B4D78">
            <w:pPr>
              <w:pStyle w:val="2"/>
              <w:adjustRightInd w:val="0"/>
              <w:snapToGrid w:val="0"/>
              <w:spacing w:line="300" w:lineRule="auto"/>
              <w:jc w:val="center"/>
              <w:rPr>
                <w:sz w:val="18"/>
                <w:szCs w:val="18"/>
              </w:rPr>
            </w:pPr>
          </w:p>
        </w:tc>
        <w:tc>
          <w:tcPr>
            <w:tcW w:w="546" w:type="pct"/>
            <w:gridSpan w:val="2"/>
            <w:vAlign w:val="center"/>
          </w:tcPr>
          <w:p w14:paraId="602E6A8B">
            <w:pPr>
              <w:pStyle w:val="2"/>
              <w:adjustRightInd w:val="0"/>
              <w:snapToGrid w:val="0"/>
              <w:spacing w:line="300" w:lineRule="auto"/>
              <w:jc w:val="center"/>
              <w:rPr>
                <w:sz w:val="18"/>
                <w:szCs w:val="18"/>
              </w:rPr>
            </w:pPr>
          </w:p>
        </w:tc>
        <w:tc>
          <w:tcPr>
            <w:tcW w:w="304" w:type="pct"/>
            <w:vAlign w:val="center"/>
          </w:tcPr>
          <w:p w14:paraId="40BD5F6A">
            <w:pPr>
              <w:pStyle w:val="2"/>
              <w:adjustRightInd w:val="0"/>
              <w:snapToGrid w:val="0"/>
              <w:spacing w:line="300" w:lineRule="auto"/>
              <w:jc w:val="center"/>
              <w:rPr>
                <w:sz w:val="18"/>
                <w:szCs w:val="18"/>
              </w:rPr>
            </w:pPr>
          </w:p>
        </w:tc>
        <w:tc>
          <w:tcPr>
            <w:tcW w:w="597" w:type="pct"/>
            <w:gridSpan w:val="2"/>
            <w:vAlign w:val="center"/>
          </w:tcPr>
          <w:p w14:paraId="0C2A2C57">
            <w:pPr>
              <w:pStyle w:val="2"/>
              <w:adjustRightInd w:val="0"/>
              <w:snapToGrid w:val="0"/>
              <w:spacing w:line="300" w:lineRule="auto"/>
              <w:jc w:val="center"/>
              <w:rPr>
                <w:sz w:val="18"/>
                <w:szCs w:val="18"/>
              </w:rPr>
            </w:pPr>
          </w:p>
        </w:tc>
        <w:tc>
          <w:tcPr>
            <w:tcW w:w="262" w:type="pct"/>
            <w:vAlign w:val="center"/>
          </w:tcPr>
          <w:p w14:paraId="5AB69CC2">
            <w:pPr>
              <w:pStyle w:val="2"/>
              <w:adjustRightInd w:val="0"/>
              <w:snapToGrid w:val="0"/>
              <w:spacing w:line="300" w:lineRule="auto"/>
              <w:jc w:val="center"/>
              <w:rPr>
                <w:sz w:val="18"/>
                <w:szCs w:val="18"/>
              </w:rPr>
            </w:pPr>
          </w:p>
        </w:tc>
        <w:tc>
          <w:tcPr>
            <w:tcW w:w="546" w:type="pct"/>
            <w:vAlign w:val="center"/>
          </w:tcPr>
          <w:p w14:paraId="5B4502FC">
            <w:pPr>
              <w:pStyle w:val="2"/>
              <w:adjustRightInd w:val="0"/>
              <w:snapToGrid w:val="0"/>
              <w:spacing w:line="300" w:lineRule="auto"/>
              <w:jc w:val="center"/>
              <w:rPr>
                <w:sz w:val="18"/>
                <w:szCs w:val="18"/>
              </w:rPr>
            </w:pPr>
          </w:p>
        </w:tc>
        <w:tc>
          <w:tcPr>
            <w:tcW w:w="304" w:type="pct"/>
            <w:vAlign w:val="center"/>
          </w:tcPr>
          <w:p w14:paraId="677809A1">
            <w:pPr>
              <w:pStyle w:val="2"/>
              <w:adjustRightInd w:val="0"/>
              <w:snapToGrid w:val="0"/>
              <w:spacing w:line="300" w:lineRule="auto"/>
              <w:jc w:val="center"/>
              <w:rPr>
                <w:sz w:val="18"/>
                <w:szCs w:val="18"/>
              </w:rPr>
            </w:pPr>
          </w:p>
        </w:tc>
        <w:tc>
          <w:tcPr>
            <w:tcW w:w="348" w:type="pct"/>
            <w:vAlign w:val="center"/>
          </w:tcPr>
          <w:p w14:paraId="348CA168">
            <w:pPr>
              <w:pStyle w:val="2"/>
              <w:adjustRightInd w:val="0"/>
              <w:snapToGrid w:val="0"/>
              <w:spacing w:line="300" w:lineRule="auto"/>
              <w:jc w:val="center"/>
              <w:rPr>
                <w:sz w:val="18"/>
                <w:szCs w:val="18"/>
              </w:rPr>
            </w:pPr>
          </w:p>
        </w:tc>
      </w:tr>
      <w:tr w14:paraId="774A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31383186">
            <w:pPr>
              <w:pStyle w:val="2"/>
              <w:adjustRightInd w:val="0"/>
              <w:snapToGrid w:val="0"/>
              <w:spacing w:line="300" w:lineRule="auto"/>
              <w:jc w:val="center"/>
              <w:rPr>
                <w:sz w:val="18"/>
                <w:szCs w:val="18"/>
              </w:rPr>
            </w:pPr>
            <w:r>
              <w:rPr>
                <w:rFonts w:hint="eastAsia"/>
                <w:sz w:val="18"/>
                <w:szCs w:val="18"/>
              </w:rPr>
              <w:t>...</w:t>
            </w:r>
          </w:p>
        </w:tc>
        <w:tc>
          <w:tcPr>
            <w:tcW w:w="307" w:type="pct"/>
            <w:vAlign w:val="center"/>
          </w:tcPr>
          <w:p w14:paraId="78DCEB74">
            <w:pPr>
              <w:pStyle w:val="2"/>
              <w:adjustRightInd w:val="0"/>
              <w:snapToGrid w:val="0"/>
              <w:spacing w:line="300" w:lineRule="auto"/>
              <w:jc w:val="center"/>
              <w:rPr>
                <w:sz w:val="18"/>
                <w:szCs w:val="18"/>
              </w:rPr>
            </w:pPr>
          </w:p>
        </w:tc>
        <w:tc>
          <w:tcPr>
            <w:tcW w:w="323" w:type="pct"/>
            <w:vAlign w:val="center"/>
          </w:tcPr>
          <w:p w14:paraId="4BABF159">
            <w:pPr>
              <w:pStyle w:val="2"/>
              <w:adjustRightInd w:val="0"/>
              <w:snapToGrid w:val="0"/>
              <w:spacing w:line="300" w:lineRule="auto"/>
              <w:jc w:val="center"/>
              <w:rPr>
                <w:sz w:val="18"/>
                <w:szCs w:val="18"/>
              </w:rPr>
            </w:pPr>
          </w:p>
        </w:tc>
        <w:tc>
          <w:tcPr>
            <w:tcW w:w="413" w:type="pct"/>
            <w:vAlign w:val="center"/>
          </w:tcPr>
          <w:p w14:paraId="55DC27C0">
            <w:pPr>
              <w:pStyle w:val="2"/>
              <w:adjustRightInd w:val="0"/>
              <w:snapToGrid w:val="0"/>
              <w:spacing w:line="300" w:lineRule="auto"/>
              <w:jc w:val="center"/>
              <w:rPr>
                <w:sz w:val="18"/>
                <w:szCs w:val="18"/>
              </w:rPr>
            </w:pPr>
          </w:p>
        </w:tc>
        <w:tc>
          <w:tcPr>
            <w:tcW w:w="416" w:type="pct"/>
            <w:vAlign w:val="center"/>
          </w:tcPr>
          <w:p w14:paraId="404BF63A">
            <w:pPr>
              <w:pStyle w:val="2"/>
              <w:adjustRightInd w:val="0"/>
              <w:snapToGrid w:val="0"/>
              <w:spacing w:line="300" w:lineRule="auto"/>
              <w:jc w:val="center"/>
              <w:rPr>
                <w:sz w:val="18"/>
                <w:szCs w:val="18"/>
              </w:rPr>
            </w:pPr>
          </w:p>
        </w:tc>
        <w:tc>
          <w:tcPr>
            <w:tcW w:w="322" w:type="pct"/>
            <w:vAlign w:val="center"/>
          </w:tcPr>
          <w:p w14:paraId="74B116B7">
            <w:pPr>
              <w:pStyle w:val="2"/>
              <w:adjustRightInd w:val="0"/>
              <w:snapToGrid w:val="0"/>
              <w:spacing w:line="300" w:lineRule="auto"/>
              <w:jc w:val="center"/>
              <w:rPr>
                <w:sz w:val="18"/>
                <w:szCs w:val="18"/>
              </w:rPr>
            </w:pPr>
          </w:p>
        </w:tc>
        <w:tc>
          <w:tcPr>
            <w:tcW w:w="546" w:type="pct"/>
            <w:gridSpan w:val="2"/>
            <w:vAlign w:val="center"/>
          </w:tcPr>
          <w:p w14:paraId="7B430413">
            <w:pPr>
              <w:pStyle w:val="2"/>
              <w:adjustRightInd w:val="0"/>
              <w:snapToGrid w:val="0"/>
              <w:spacing w:line="300" w:lineRule="auto"/>
              <w:jc w:val="center"/>
              <w:rPr>
                <w:sz w:val="18"/>
                <w:szCs w:val="18"/>
              </w:rPr>
            </w:pPr>
          </w:p>
        </w:tc>
        <w:tc>
          <w:tcPr>
            <w:tcW w:w="304" w:type="pct"/>
            <w:vAlign w:val="center"/>
          </w:tcPr>
          <w:p w14:paraId="4FB9BC1B">
            <w:pPr>
              <w:pStyle w:val="2"/>
              <w:adjustRightInd w:val="0"/>
              <w:snapToGrid w:val="0"/>
              <w:spacing w:line="300" w:lineRule="auto"/>
              <w:jc w:val="center"/>
              <w:rPr>
                <w:sz w:val="18"/>
                <w:szCs w:val="18"/>
              </w:rPr>
            </w:pPr>
          </w:p>
        </w:tc>
        <w:tc>
          <w:tcPr>
            <w:tcW w:w="597" w:type="pct"/>
            <w:gridSpan w:val="2"/>
            <w:vAlign w:val="center"/>
          </w:tcPr>
          <w:p w14:paraId="0873F90D">
            <w:pPr>
              <w:pStyle w:val="2"/>
              <w:adjustRightInd w:val="0"/>
              <w:snapToGrid w:val="0"/>
              <w:spacing w:line="300" w:lineRule="auto"/>
              <w:jc w:val="center"/>
              <w:rPr>
                <w:sz w:val="18"/>
                <w:szCs w:val="18"/>
              </w:rPr>
            </w:pPr>
          </w:p>
        </w:tc>
        <w:tc>
          <w:tcPr>
            <w:tcW w:w="262" w:type="pct"/>
            <w:vAlign w:val="center"/>
          </w:tcPr>
          <w:p w14:paraId="25EDE825">
            <w:pPr>
              <w:pStyle w:val="2"/>
              <w:adjustRightInd w:val="0"/>
              <w:snapToGrid w:val="0"/>
              <w:spacing w:line="300" w:lineRule="auto"/>
              <w:jc w:val="center"/>
              <w:rPr>
                <w:sz w:val="18"/>
                <w:szCs w:val="18"/>
              </w:rPr>
            </w:pPr>
          </w:p>
        </w:tc>
        <w:tc>
          <w:tcPr>
            <w:tcW w:w="546" w:type="pct"/>
            <w:vAlign w:val="center"/>
          </w:tcPr>
          <w:p w14:paraId="4D4604B3">
            <w:pPr>
              <w:pStyle w:val="2"/>
              <w:adjustRightInd w:val="0"/>
              <w:snapToGrid w:val="0"/>
              <w:spacing w:line="300" w:lineRule="auto"/>
              <w:jc w:val="center"/>
              <w:rPr>
                <w:sz w:val="18"/>
                <w:szCs w:val="18"/>
              </w:rPr>
            </w:pPr>
          </w:p>
        </w:tc>
        <w:tc>
          <w:tcPr>
            <w:tcW w:w="304" w:type="pct"/>
            <w:vAlign w:val="center"/>
          </w:tcPr>
          <w:p w14:paraId="698AE2D3">
            <w:pPr>
              <w:pStyle w:val="2"/>
              <w:adjustRightInd w:val="0"/>
              <w:snapToGrid w:val="0"/>
              <w:spacing w:line="300" w:lineRule="auto"/>
              <w:jc w:val="center"/>
              <w:rPr>
                <w:sz w:val="18"/>
                <w:szCs w:val="18"/>
              </w:rPr>
            </w:pPr>
          </w:p>
        </w:tc>
        <w:tc>
          <w:tcPr>
            <w:tcW w:w="348" w:type="pct"/>
            <w:vAlign w:val="center"/>
          </w:tcPr>
          <w:p w14:paraId="5B8B10EE">
            <w:pPr>
              <w:pStyle w:val="2"/>
              <w:adjustRightInd w:val="0"/>
              <w:snapToGrid w:val="0"/>
              <w:spacing w:line="300" w:lineRule="auto"/>
              <w:jc w:val="center"/>
              <w:rPr>
                <w:sz w:val="18"/>
                <w:szCs w:val="18"/>
              </w:rPr>
            </w:pPr>
          </w:p>
        </w:tc>
      </w:tr>
      <w:tr w14:paraId="55F6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4D6DFB09">
            <w:pPr>
              <w:pStyle w:val="2"/>
              <w:adjustRightInd w:val="0"/>
              <w:snapToGrid w:val="0"/>
              <w:spacing w:line="300" w:lineRule="auto"/>
              <w:jc w:val="center"/>
              <w:rPr>
                <w:sz w:val="18"/>
                <w:szCs w:val="18"/>
              </w:rPr>
            </w:pPr>
            <w:r>
              <w:rPr>
                <w:rFonts w:hint="eastAsia"/>
                <w:sz w:val="18"/>
                <w:szCs w:val="18"/>
              </w:rPr>
              <w:t>n</w:t>
            </w:r>
          </w:p>
        </w:tc>
        <w:tc>
          <w:tcPr>
            <w:tcW w:w="307" w:type="pct"/>
            <w:vAlign w:val="center"/>
          </w:tcPr>
          <w:p w14:paraId="220E806F">
            <w:pPr>
              <w:pStyle w:val="2"/>
              <w:adjustRightInd w:val="0"/>
              <w:snapToGrid w:val="0"/>
              <w:spacing w:line="300" w:lineRule="auto"/>
              <w:jc w:val="center"/>
              <w:rPr>
                <w:sz w:val="18"/>
                <w:szCs w:val="18"/>
              </w:rPr>
            </w:pPr>
          </w:p>
        </w:tc>
        <w:tc>
          <w:tcPr>
            <w:tcW w:w="323" w:type="pct"/>
            <w:vAlign w:val="center"/>
          </w:tcPr>
          <w:p w14:paraId="0BC64C8D">
            <w:pPr>
              <w:pStyle w:val="2"/>
              <w:adjustRightInd w:val="0"/>
              <w:snapToGrid w:val="0"/>
              <w:spacing w:line="300" w:lineRule="auto"/>
              <w:jc w:val="center"/>
              <w:rPr>
                <w:sz w:val="18"/>
                <w:szCs w:val="18"/>
              </w:rPr>
            </w:pPr>
          </w:p>
        </w:tc>
        <w:tc>
          <w:tcPr>
            <w:tcW w:w="413" w:type="pct"/>
            <w:vAlign w:val="center"/>
          </w:tcPr>
          <w:p w14:paraId="594EF525">
            <w:pPr>
              <w:pStyle w:val="2"/>
              <w:adjustRightInd w:val="0"/>
              <w:snapToGrid w:val="0"/>
              <w:spacing w:line="300" w:lineRule="auto"/>
              <w:jc w:val="center"/>
              <w:rPr>
                <w:sz w:val="18"/>
                <w:szCs w:val="18"/>
              </w:rPr>
            </w:pPr>
          </w:p>
        </w:tc>
        <w:tc>
          <w:tcPr>
            <w:tcW w:w="416" w:type="pct"/>
            <w:vAlign w:val="center"/>
          </w:tcPr>
          <w:p w14:paraId="1A2ECCC2">
            <w:pPr>
              <w:pStyle w:val="2"/>
              <w:adjustRightInd w:val="0"/>
              <w:snapToGrid w:val="0"/>
              <w:spacing w:line="300" w:lineRule="auto"/>
              <w:jc w:val="center"/>
              <w:rPr>
                <w:sz w:val="18"/>
                <w:szCs w:val="18"/>
              </w:rPr>
            </w:pPr>
          </w:p>
        </w:tc>
        <w:tc>
          <w:tcPr>
            <w:tcW w:w="322" w:type="pct"/>
            <w:vAlign w:val="center"/>
          </w:tcPr>
          <w:p w14:paraId="29E3FCDE">
            <w:pPr>
              <w:pStyle w:val="2"/>
              <w:adjustRightInd w:val="0"/>
              <w:snapToGrid w:val="0"/>
              <w:spacing w:line="300" w:lineRule="auto"/>
              <w:jc w:val="center"/>
              <w:rPr>
                <w:sz w:val="18"/>
                <w:szCs w:val="18"/>
              </w:rPr>
            </w:pPr>
          </w:p>
        </w:tc>
        <w:tc>
          <w:tcPr>
            <w:tcW w:w="546" w:type="pct"/>
            <w:gridSpan w:val="2"/>
            <w:vAlign w:val="center"/>
          </w:tcPr>
          <w:p w14:paraId="26CA3425">
            <w:pPr>
              <w:pStyle w:val="2"/>
              <w:adjustRightInd w:val="0"/>
              <w:snapToGrid w:val="0"/>
              <w:spacing w:line="300" w:lineRule="auto"/>
              <w:jc w:val="center"/>
              <w:rPr>
                <w:sz w:val="18"/>
                <w:szCs w:val="18"/>
              </w:rPr>
            </w:pPr>
          </w:p>
        </w:tc>
        <w:tc>
          <w:tcPr>
            <w:tcW w:w="304" w:type="pct"/>
            <w:vAlign w:val="center"/>
          </w:tcPr>
          <w:p w14:paraId="1C4BED64">
            <w:pPr>
              <w:pStyle w:val="2"/>
              <w:adjustRightInd w:val="0"/>
              <w:snapToGrid w:val="0"/>
              <w:spacing w:line="300" w:lineRule="auto"/>
              <w:jc w:val="center"/>
              <w:rPr>
                <w:sz w:val="18"/>
                <w:szCs w:val="18"/>
              </w:rPr>
            </w:pPr>
          </w:p>
        </w:tc>
        <w:tc>
          <w:tcPr>
            <w:tcW w:w="597" w:type="pct"/>
            <w:gridSpan w:val="2"/>
            <w:vAlign w:val="center"/>
          </w:tcPr>
          <w:p w14:paraId="77652F2F">
            <w:pPr>
              <w:pStyle w:val="2"/>
              <w:adjustRightInd w:val="0"/>
              <w:snapToGrid w:val="0"/>
              <w:spacing w:line="300" w:lineRule="auto"/>
              <w:jc w:val="center"/>
              <w:rPr>
                <w:sz w:val="18"/>
                <w:szCs w:val="18"/>
              </w:rPr>
            </w:pPr>
          </w:p>
        </w:tc>
        <w:tc>
          <w:tcPr>
            <w:tcW w:w="262" w:type="pct"/>
            <w:vAlign w:val="center"/>
          </w:tcPr>
          <w:p w14:paraId="1ADFDAEC">
            <w:pPr>
              <w:pStyle w:val="2"/>
              <w:adjustRightInd w:val="0"/>
              <w:snapToGrid w:val="0"/>
              <w:spacing w:line="300" w:lineRule="auto"/>
              <w:jc w:val="center"/>
              <w:rPr>
                <w:sz w:val="18"/>
                <w:szCs w:val="18"/>
              </w:rPr>
            </w:pPr>
          </w:p>
        </w:tc>
        <w:tc>
          <w:tcPr>
            <w:tcW w:w="546" w:type="pct"/>
            <w:vAlign w:val="center"/>
          </w:tcPr>
          <w:p w14:paraId="7F026363">
            <w:pPr>
              <w:pStyle w:val="2"/>
              <w:adjustRightInd w:val="0"/>
              <w:snapToGrid w:val="0"/>
              <w:spacing w:line="300" w:lineRule="auto"/>
              <w:jc w:val="center"/>
              <w:rPr>
                <w:sz w:val="18"/>
                <w:szCs w:val="18"/>
              </w:rPr>
            </w:pPr>
          </w:p>
        </w:tc>
        <w:tc>
          <w:tcPr>
            <w:tcW w:w="304" w:type="pct"/>
            <w:vAlign w:val="center"/>
          </w:tcPr>
          <w:p w14:paraId="2B4C178B">
            <w:pPr>
              <w:pStyle w:val="2"/>
              <w:adjustRightInd w:val="0"/>
              <w:snapToGrid w:val="0"/>
              <w:spacing w:line="300" w:lineRule="auto"/>
              <w:jc w:val="center"/>
              <w:rPr>
                <w:sz w:val="18"/>
                <w:szCs w:val="18"/>
              </w:rPr>
            </w:pPr>
          </w:p>
        </w:tc>
        <w:tc>
          <w:tcPr>
            <w:tcW w:w="348" w:type="pct"/>
            <w:vAlign w:val="center"/>
          </w:tcPr>
          <w:p w14:paraId="26096504">
            <w:pPr>
              <w:pStyle w:val="2"/>
              <w:adjustRightInd w:val="0"/>
              <w:snapToGrid w:val="0"/>
              <w:spacing w:line="300" w:lineRule="auto"/>
              <w:jc w:val="center"/>
              <w:rPr>
                <w:sz w:val="18"/>
                <w:szCs w:val="18"/>
              </w:rPr>
            </w:pPr>
          </w:p>
        </w:tc>
      </w:tr>
      <w:tr w14:paraId="766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vAlign w:val="center"/>
          </w:tcPr>
          <w:p w14:paraId="7905E025">
            <w:pPr>
              <w:pStyle w:val="2"/>
              <w:adjustRightInd w:val="0"/>
              <w:snapToGrid w:val="0"/>
              <w:spacing w:line="300" w:lineRule="auto"/>
              <w:jc w:val="center"/>
              <w:rPr>
                <w:sz w:val="18"/>
                <w:szCs w:val="18"/>
              </w:rPr>
            </w:pPr>
            <w:r>
              <w:rPr>
                <w:rFonts w:hint="eastAsia"/>
                <w:sz w:val="18"/>
                <w:szCs w:val="18"/>
              </w:rPr>
              <w:t>测试项目</w:t>
            </w:r>
          </w:p>
        </w:tc>
      </w:tr>
      <w:tr w14:paraId="0148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vAlign w:val="center"/>
          </w:tcPr>
          <w:p w14:paraId="21B87DA2">
            <w:pPr>
              <w:pStyle w:val="2"/>
              <w:adjustRightInd w:val="0"/>
              <w:snapToGrid w:val="0"/>
              <w:spacing w:line="300" w:lineRule="auto"/>
              <w:jc w:val="center"/>
              <w:rPr>
                <w:sz w:val="18"/>
                <w:szCs w:val="18"/>
              </w:rPr>
            </w:pPr>
            <w:r>
              <w:rPr>
                <w:rFonts w:hint="eastAsia"/>
                <w:sz w:val="18"/>
                <w:szCs w:val="18"/>
              </w:rPr>
              <w:t>序号</w:t>
            </w:r>
          </w:p>
        </w:tc>
        <w:tc>
          <w:tcPr>
            <w:tcW w:w="1461" w:type="pct"/>
            <w:gridSpan w:val="4"/>
            <w:vAlign w:val="center"/>
          </w:tcPr>
          <w:p w14:paraId="1BD3BF5A">
            <w:pPr>
              <w:pStyle w:val="2"/>
              <w:adjustRightInd w:val="0"/>
              <w:snapToGrid w:val="0"/>
              <w:spacing w:line="300" w:lineRule="auto"/>
              <w:jc w:val="center"/>
              <w:rPr>
                <w:sz w:val="18"/>
                <w:szCs w:val="18"/>
              </w:rPr>
            </w:pPr>
            <w:r>
              <w:rPr>
                <w:rFonts w:hint="eastAsia"/>
                <w:sz w:val="18"/>
                <w:szCs w:val="18"/>
              </w:rPr>
              <w:t>现场组串测试</w:t>
            </w:r>
          </w:p>
        </w:tc>
        <w:tc>
          <w:tcPr>
            <w:tcW w:w="433" w:type="pct"/>
            <w:gridSpan w:val="2"/>
            <w:vMerge w:val="restart"/>
            <w:vAlign w:val="center"/>
          </w:tcPr>
          <w:p w14:paraId="3FDD459F">
            <w:pPr>
              <w:pStyle w:val="2"/>
              <w:adjustRightInd w:val="0"/>
              <w:snapToGrid w:val="0"/>
              <w:spacing w:line="300" w:lineRule="auto"/>
              <w:jc w:val="center"/>
              <w:rPr>
                <w:sz w:val="18"/>
                <w:szCs w:val="18"/>
              </w:rPr>
            </w:pPr>
            <w:r>
              <w:rPr>
                <w:rFonts w:hint="eastAsia"/>
                <w:sz w:val="18"/>
                <w:szCs w:val="18"/>
              </w:rPr>
              <w:t>极性检查</w:t>
            </w:r>
          </w:p>
        </w:tc>
        <w:tc>
          <w:tcPr>
            <w:tcW w:w="434" w:type="pct"/>
            <w:vAlign w:val="center"/>
          </w:tcPr>
          <w:p w14:paraId="77ABECC1">
            <w:pPr>
              <w:pStyle w:val="2"/>
              <w:adjustRightInd w:val="0"/>
              <w:snapToGrid w:val="0"/>
              <w:spacing w:line="300" w:lineRule="auto"/>
              <w:jc w:val="center"/>
              <w:rPr>
                <w:sz w:val="18"/>
                <w:szCs w:val="18"/>
              </w:rPr>
            </w:pPr>
          </w:p>
        </w:tc>
        <w:tc>
          <w:tcPr>
            <w:tcW w:w="1164" w:type="pct"/>
            <w:gridSpan w:val="4"/>
            <w:vAlign w:val="center"/>
          </w:tcPr>
          <w:p w14:paraId="46155125">
            <w:pPr>
              <w:pStyle w:val="2"/>
              <w:adjustRightInd w:val="0"/>
              <w:snapToGrid w:val="0"/>
              <w:spacing w:line="300" w:lineRule="auto"/>
              <w:jc w:val="center"/>
              <w:rPr>
                <w:sz w:val="18"/>
                <w:szCs w:val="18"/>
              </w:rPr>
            </w:pPr>
            <w:r>
              <w:rPr>
                <w:rFonts w:hint="eastAsia"/>
                <w:sz w:val="18"/>
                <w:szCs w:val="18"/>
              </w:rPr>
              <w:t>方阵绝缘电阻</w:t>
            </w:r>
          </w:p>
        </w:tc>
        <w:tc>
          <w:tcPr>
            <w:tcW w:w="546" w:type="pct"/>
            <w:vMerge w:val="restart"/>
            <w:vAlign w:val="center"/>
          </w:tcPr>
          <w:p w14:paraId="79BCB91F">
            <w:pPr>
              <w:pStyle w:val="2"/>
              <w:adjustRightInd w:val="0"/>
              <w:snapToGrid w:val="0"/>
              <w:spacing w:line="300" w:lineRule="auto"/>
              <w:jc w:val="center"/>
              <w:rPr>
                <w:sz w:val="18"/>
                <w:szCs w:val="18"/>
              </w:rPr>
            </w:pPr>
            <w:r>
              <w:rPr>
                <w:rFonts w:hint="eastAsia"/>
                <w:sz w:val="18"/>
                <w:szCs w:val="18"/>
              </w:rPr>
              <w:t>接地电阻测试</w:t>
            </w:r>
          </w:p>
        </w:tc>
        <w:tc>
          <w:tcPr>
            <w:tcW w:w="304" w:type="pct"/>
            <w:vMerge w:val="restart"/>
            <w:vAlign w:val="center"/>
          </w:tcPr>
          <w:p w14:paraId="3861557C">
            <w:pPr>
              <w:pStyle w:val="2"/>
              <w:adjustRightInd w:val="0"/>
              <w:snapToGrid w:val="0"/>
              <w:spacing w:line="300" w:lineRule="auto"/>
              <w:jc w:val="center"/>
              <w:rPr>
                <w:sz w:val="18"/>
                <w:szCs w:val="18"/>
              </w:rPr>
            </w:pPr>
            <w:r>
              <w:rPr>
                <w:rFonts w:hint="eastAsia"/>
                <w:sz w:val="18"/>
                <w:szCs w:val="18"/>
              </w:rPr>
              <w:t>开关装置正常运行</w:t>
            </w:r>
          </w:p>
        </w:tc>
        <w:tc>
          <w:tcPr>
            <w:tcW w:w="348" w:type="pct"/>
            <w:vMerge w:val="restart"/>
            <w:vAlign w:val="center"/>
          </w:tcPr>
          <w:p w14:paraId="20D71A3F">
            <w:pPr>
              <w:pStyle w:val="2"/>
              <w:adjustRightInd w:val="0"/>
              <w:snapToGrid w:val="0"/>
              <w:spacing w:line="300" w:lineRule="auto"/>
              <w:jc w:val="center"/>
              <w:rPr>
                <w:sz w:val="18"/>
                <w:szCs w:val="18"/>
              </w:rPr>
            </w:pPr>
            <w:r>
              <w:rPr>
                <w:rFonts w:hint="eastAsia"/>
                <w:sz w:val="18"/>
                <w:szCs w:val="18"/>
              </w:rPr>
              <w:t>逆变器</w:t>
            </w:r>
          </w:p>
          <w:p w14:paraId="3AA0884D">
            <w:pPr>
              <w:pStyle w:val="2"/>
              <w:adjustRightInd w:val="0"/>
              <w:snapToGrid w:val="0"/>
              <w:spacing w:line="300" w:lineRule="auto"/>
              <w:jc w:val="center"/>
              <w:rPr>
                <w:sz w:val="18"/>
                <w:szCs w:val="18"/>
              </w:rPr>
            </w:pPr>
            <w:r>
              <w:rPr>
                <w:rFonts w:hint="eastAsia"/>
                <w:sz w:val="18"/>
                <w:szCs w:val="18"/>
              </w:rPr>
              <w:t>正常运行</w:t>
            </w:r>
          </w:p>
        </w:tc>
      </w:tr>
      <w:tr w14:paraId="7000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07" w:type="pct"/>
            <w:vMerge w:val="continue"/>
            <w:vAlign w:val="center"/>
          </w:tcPr>
          <w:p w14:paraId="64BE3325">
            <w:pPr>
              <w:pStyle w:val="2"/>
              <w:adjustRightInd w:val="0"/>
              <w:snapToGrid w:val="0"/>
              <w:spacing w:line="300" w:lineRule="auto"/>
              <w:jc w:val="center"/>
              <w:rPr>
                <w:sz w:val="18"/>
                <w:szCs w:val="18"/>
              </w:rPr>
            </w:pPr>
          </w:p>
        </w:tc>
        <w:tc>
          <w:tcPr>
            <w:tcW w:w="307" w:type="pct"/>
            <w:vAlign w:val="center"/>
          </w:tcPr>
          <w:p w14:paraId="2C500912">
            <w:pPr>
              <w:pStyle w:val="2"/>
              <w:adjustRightInd w:val="0"/>
              <w:snapToGrid w:val="0"/>
              <w:spacing w:line="300" w:lineRule="auto"/>
              <w:jc w:val="center"/>
              <w:rPr>
                <w:sz w:val="18"/>
                <w:szCs w:val="18"/>
              </w:rPr>
            </w:pPr>
            <w:r>
              <w:rPr>
                <w:rFonts w:hint="eastAsia"/>
                <w:sz w:val="18"/>
                <w:szCs w:val="18"/>
              </w:rPr>
              <w:t>VOC</w:t>
            </w:r>
          </w:p>
          <w:p w14:paraId="49E5E748">
            <w:pPr>
              <w:pStyle w:val="3"/>
              <w:adjustRightInd w:val="0"/>
              <w:snapToGrid w:val="0"/>
              <w:spacing w:line="300" w:lineRule="auto"/>
              <w:rPr>
                <w:sz w:val="18"/>
                <w:szCs w:val="18"/>
              </w:rPr>
            </w:pPr>
            <w:bookmarkStart w:id="515" w:name="_Toc12174"/>
            <w:bookmarkStart w:id="516" w:name="_Toc270"/>
            <w:bookmarkStart w:id="517" w:name="_Toc26883"/>
            <w:bookmarkStart w:id="518" w:name="_Toc4461"/>
            <w:bookmarkStart w:id="519" w:name="_Toc3332"/>
            <w:bookmarkStart w:id="520" w:name="_Toc22582"/>
            <w:bookmarkStart w:id="521" w:name="_Toc8199"/>
            <w:bookmarkStart w:id="522" w:name="_Toc3846"/>
            <w:bookmarkStart w:id="523" w:name="_Toc14494"/>
            <w:bookmarkStart w:id="524" w:name="_Toc25041"/>
            <w:r>
              <w:rPr>
                <w:rFonts w:hint="eastAsia" w:ascii="Times New Roman" w:hAnsi="Times New Roman"/>
                <w:b w:val="0"/>
                <w:bCs w:val="0"/>
                <w:sz w:val="18"/>
                <w:szCs w:val="18"/>
              </w:rPr>
              <w:t>（V）</w:t>
            </w:r>
            <w:bookmarkEnd w:id="515"/>
            <w:bookmarkEnd w:id="516"/>
            <w:bookmarkEnd w:id="517"/>
            <w:bookmarkEnd w:id="518"/>
            <w:bookmarkEnd w:id="519"/>
            <w:bookmarkEnd w:id="520"/>
            <w:bookmarkEnd w:id="521"/>
            <w:bookmarkEnd w:id="522"/>
            <w:bookmarkEnd w:id="523"/>
            <w:bookmarkEnd w:id="524"/>
          </w:p>
        </w:tc>
        <w:tc>
          <w:tcPr>
            <w:tcW w:w="323" w:type="pct"/>
            <w:vAlign w:val="center"/>
          </w:tcPr>
          <w:p w14:paraId="270299A1">
            <w:pPr>
              <w:pStyle w:val="2"/>
              <w:adjustRightInd w:val="0"/>
              <w:snapToGrid w:val="0"/>
              <w:spacing w:line="300" w:lineRule="auto"/>
              <w:jc w:val="center"/>
              <w:rPr>
                <w:sz w:val="18"/>
                <w:szCs w:val="18"/>
              </w:rPr>
            </w:pPr>
            <w:r>
              <w:rPr>
                <w:rFonts w:hint="eastAsia"/>
                <w:sz w:val="18"/>
                <w:szCs w:val="18"/>
              </w:rPr>
              <w:t>Isc</w:t>
            </w:r>
          </w:p>
          <w:p w14:paraId="38C79FB9">
            <w:pPr>
              <w:pStyle w:val="3"/>
              <w:adjustRightInd w:val="0"/>
              <w:snapToGrid w:val="0"/>
              <w:spacing w:line="300" w:lineRule="auto"/>
              <w:rPr>
                <w:sz w:val="18"/>
                <w:szCs w:val="18"/>
              </w:rPr>
            </w:pPr>
            <w:bookmarkStart w:id="525" w:name="_Toc1629"/>
            <w:bookmarkStart w:id="526" w:name="_Toc7713"/>
            <w:bookmarkStart w:id="527" w:name="_Toc11102"/>
            <w:bookmarkStart w:id="528" w:name="_Toc28828"/>
            <w:bookmarkStart w:id="529" w:name="_Toc17918"/>
            <w:bookmarkStart w:id="530" w:name="_Toc17684"/>
            <w:bookmarkStart w:id="531" w:name="_Toc29499"/>
            <w:bookmarkStart w:id="532" w:name="_Toc28094"/>
            <w:bookmarkStart w:id="533" w:name="_Toc29558"/>
            <w:bookmarkStart w:id="534" w:name="_Toc7739"/>
            <w:r>
              <w:rPr>
                <w:rFonts w:hint="eastAsia" w:ascii="Times New Roman" w:hAnsi="Times New Roman"/>
                <w:b w:val="0"/>
                <w:bCs w:val="0"/>
                <w:sz w:val="18"/>
                <w:szCs w:val="18"/>
              </w:rPr>
              <w:t>(A)</w:t>
            </w:r>
            <w:bookmarkEnd w:id="525"/>
            <w:bookmarkEnd w:id="526"/>
            <w:bookmarkEnd w:id="527"/>
            <w:bookmarkEnd w:id="528"/>
            <w:bookmarkEnd w:id="529"/>
            <w:bookmarkEnd w:id="530"/>
            <w:bookmarkEnd w:id="531"/>
            <w:bookmarkEnd w:id="532"/>
            <w:bookmarkEnd w:id="533"/>
            <w:bookmarkEnd w:id="534"/>
          </w:p>
        </w:tc>
        <w:tc>
          <w:tcPr>
            <w:tcW w:w="413" w:type="pct"/>
            <w:vAlign w:val="center"/>
          </w:tcPr>
          <w:p w14:paraId="22B1D33D">
            <w:pPr>
              <w:pStyle w:val="2"/>
              <w:adjustRightInd w:val="0"/>
              <w:snapToGrid w:val="0"/>
              <w:spacing w:line="300" w:lineRule="auto"/>
              <w:jc w:val="center"/>
              <w:rPr>
                <w:sz w:val="18"/>
                <w:szCs w:val="18"/>
              </w:rPr>
            </w:pPr>
            <w:r>
              <w:rPr>
                <w:rFonts w:hint="eastAsia"/>
                <w:sz w:val="18"/>
                <w:szCs w:val="18"/>
              </w:rPr>
              <w:t>辐照度</w:t>
            </w:r>
          </w:p>
          <w:p w14:paraId="2F9C4632">
            <w:pPr>
              <w:pStyle w:val="3"/>
              <w:adjustRightInd w:val="0"/>
              <w:snapToGrid w:val="0"/>
              <w:spacing w:line="300" w:lineRule="auto"/>
              <w:rPr>
                <w:sz w:val="18"/>
                <w:szCs w:val="18"/>
              </w:rPr>
            </w:pPr>
            <w:bookmarkStart w:id="535" w:name="_Toc12487"/>
            <w:bookmarkStart w:id="536" w:name="_Toc25994"/>
            <w:bookmarkStart w:id="537" w:name="_Toc21533"/>
            <w:bookmarkStart w:id="538" w:name="_Toc27243"/>
            <w:bookmarkStart w:id="539" w:name="_Toc11762"/>
            <w:bookmarkStart w:id="540" w:name="_Toc1797"/>
            <w:bookmarkStart w:id="541" w:name="_Toc22852"/>
            <w:bookmarkStart w:id="542" w:name="_Toc1943"/>
            <w:bookmarkStart w:id="543" w:name="_Toc20314"/>
            <w:bookmarkStart w:id="544" w:name="_Toc22629"/>
            <w:r>
              <w:rPr>
                <w:rFonts w:hint="eastAsia" w:ascii="Times New Roman" w:hAnsi="Times New Roman"/>
                <w:b w:val="0"/>
                <w:bCs w:val="0"/>
                <w:sz w:val="18"/>
                <w:szCs w:val="18"/>
              </w:rPr>
              <w:t>（W/m</w:t>
            </w:r>
            <w:r>
              <w:rPr>
                <w:rFonts w:hint="eastAsia" w:ascii="Times New Roman" w:hAnsi="Times New Roman"/>
                <w:b w:val="0"/>
                <w:bCs w:val="0"/>
                <w:sz w:val="18"/>
                <w:szCs w:val="18"/>
                <w:vertAlign w:val="superscript"/>
              </w:rPr>
              <w:t>2</w:t>
            </w:r>
            <w:r>
              <w:rPr>
                <w:rFonts w:hint="eastAsia" w:ascii="Times New Roman" w:hAnsi="Times New Roman"/>
                <w:b w:val="0"/>
                <w:bCs w:val="0"/>
                <w:sz w:val="18"/>
                <w:szCs w:val="18"/>
              </w:rPr>
              <w:t>）</w:t>
            </w:r>
            <w:bookmarkEnd w:id="535"/>
            <w:bookmarkEnd w:id="536"/>
            <w:bookmarkEnd w:id="537"/>
            <w:bookmarkEnd w:id="538"/>
            <w:bookmarkEnd w:id="539"/>
            <w:bookmarkEnd w:id="540"/>
            <w:bookmarkEnd w:id="541"/>
            <w:bookmarkEnd w:id="542"/>
            <w:bookmarkEnd w:id="543"/>
            <w:bookmarkEnd w:id="544"/>
          </w:p>
        </w:tc>
        <w:tc>
          <w:tcPr>
            <w:tcW w:w="416" w:type="pct"/>
            <w:vAlign w:val="center"/>
          </w:tcPr>
          <w:p w14:paraId="442F4886">
            <w:pPr>
              <w:pStyle w:val="2"/>
              <w:adjustRightInd w:val="0"/>
              <w:snapToGrid w:val="0"/>
              <w:spacing w:line="300" w:lineRule="auto"/>
              <w:jc w:val="center"/>
              <w:rPr>
                <w:sz w:val="18"/>
                <w:szCs w:val="18"/>
              </w:rPr>
            </w:pPr>
            <w:r>
              <w:rPr>
                <w:rFonts w:hint="eastAsia"/>
                <w:sz w:val="18"/>
                <w:szCs w:val="18"/>
              </w:rPr>
              <w:t>温度</w:t>
            </w:r>
          </w:p>
          <w:p w14:paraId="494C4774">
            <w:pPr>
              <w:pStyle w:val="3"/>
              <w:adjustRightInd w:val="0"/>
              <w:snapToGrid w:val="0"/>
              <w:spacing w:line="300" w:lineRule="auto"/>
              <w:rPr>
                <w:sz w:val="18"/>
                <w:szCs w:val="18"/>
              </w:rPr>
            </w:pPr>
            <w:bookmarkStart w:id="545" w:name="_Toc20335"/>
            <w:bookmarkStart w:id="546" w:name="_Toc11842"/>
            <w:bookmarkStart w:id="547" w:name="_Toc9997"/>
            <w:bookmarkStart w:id="548" w:name="_Toc32261"/>
            <w:bookmarkStart w:id="549" w:name="_Toc12919"/>
            <w:bookmarkStart w:id="550" w:name="_Toc20647"/>
            <w:bookmarkStart w:id="551" w:name="_Toc30127"/>
            <w:bookmarkStart w:id="552" w:name="_Toc17490"/>
            <w:bookmarkStart w:id="553" w:name="_Toc15750"/>
            <w:bookmarkStart w:id="554" w:name="_Toc29910"/>
            <w:r>
              <w:rPr>
                <w:rFonts w:hint="eastAsia" w:ascii="Times New Roman" w:hAnsi="Times New Roman"/>
                <w:b w:val="0"/>
                <w:bCs w:val="0"/>
                <w:sz w:val="18"/>
                <w:szCs w:val="18"/>
              </w:rPr>
              <w:t>（℃）</w:t>
            </w:r>
            <w:bookmarkEnd w:id="545"/>
            <w:bookmarkEnd w:id="546"/>
            <w:bookmarkEnd w:id="547"/>
            <w:bookmarkEnd w:id="548"/>
            <w:bookmarkEnd w:id="549"/>
            <w:bookmarkEnd w:id="550"/>
            <w:bookmarkEnd w:id="551"/>
            <w:bookmarkEnd w:id="552"/>
            <w:bookmarkEnd w:id="553"/>
            <w:bookmarkEnd w:id="554"/>
          </w:p>
        </w:tc>
        <w:tc>
          <w:tcPr>
            <w:tcW w:w="433" w:type="pct"/>
            <w:gridSpan w:val="2"/>
            <w:vMerge w:val="continue"/>
            <w:vAlign w:val="center"/>
          </w:tcPr>
          <w:p w14:paraId="1CF63E47">
            <w:pPr>
              <w:pStyle w:val="2"/>
              <w:adjustRightInd w:val="0"/>
              <w:snapToGrid w:val="0"/>
              <w:spacing w:line="300" w:lineRule="auto"/>
              <w:jc w:val="center"/>
              <w:rPr>
                <w:sz w:val="18"/>
                <w:szCs w:val="18"/>
              </w:rPr>
            </w:pPr>
          </w:p>
        </w:tc>
        <w:tc>
          <w:tcPr>
            <w:tcW w:w="434" w:type="pct"/>
            <w:vAlign w:val="center"/>
          </w:tcPr>
          <w:p w14:paraId="7EB1118E">
            <w:pPr>
              <w:pStyle w:val="2"/>
              <w:adjustRightInd w:val="0"/>
              <w:snapToGrid w:val="0"/>
              <w:spacing w:line="300" w:lineRule="auto"/>
              <w:jc w:val="center"/>
              <w:rPr>
                <w:sz w:val="18"/>
                <w:szCs w:val="18"/>
              </w:rPr>
            </w:pPr>
            <w:r>
              <w:rPr>
                <w:rFonts w:hint="eastAsia"/>
                <w:sz w:val="18"/>
                <w:szCs w:val="18"/>
              </w:rPr>
              <w:t>测试电压（V）</w:t>
            </w:r>
          </w:p>
        </w:tc>
        <w:tc>
          <w:tcPr>
            <w:tcW w:w="602" w:type="pct"/>
            <w:gridSpan w:val="2"/>
            <w:vAlign w:val="center"/>
          </w:tcPr>
          <w:p w14:paraId="36DC9BCE">
            <w:pPr>
              <w:pStyle w:val="2"/>
              <w:adjustRightInd w:val="0"/>
              <w:snapToGrid w:val="0"/>
              <w:spacing w:line="300" w:lineRule="auto"/>
              <w:jc w:val="center"/>
              <w:rPr>
                <w:sz w:val="18"/>
                <w:szCs w:val="18"/>
              </w:rPr>
            </w:pPr>
            <w:r>
              <w:rPr>
                <w:rFonts w:hint="eastAsia"/>
                <w:sz w:val="18"/>
                <w:szCs w:val="18"/>
              </w:rPr>
              <w:t>正极时地绝缘电阻（M</w:t>
            </w:r>
            <w:r>
              <w:rPr>
                <w:rFonts w:hint="eastAsia"/>
                <w:sz w:val="18"/>
                <w:szCs w:val="18"/>
                <w:vertAlign w:val="subscript"/>
              </w:rPr>
              <w:t>0</w:t>
            </w:r>
            <w:r>
              <w:rPr>
                <w:rFonts w:hint="eastAsia"/>
                <w:sz w:val="18"/>
                <w:szCs w:val="18"/>
              </w:rPr>
              <w:t>）</w:t>
            </w:r>
          </w:p>
        </w:tc>
        <w:tc>
          <w:tcPr>
            <w:tcW w:w="561" w:type="pct"/>
            <w:gridSpan w:val="2"/>
            <w:vAlign w:val="center"/>
          </w:tcPr>
          <w:p w14:paraId="77A2E024">
            <w:pPr>
              <w:pStyle w:val="2"/>
              <w:adjustRightInd w:val="0"/>
              <w:snapToGrid w:val="0"/>
              <w:spacing w:line="300" w:lineRule="auto"/>
              <w:jc w:val="center"/>
              <w:rPr>
                <w:sz w:val="18"/>
                <w:szCs w:val="18"/>
              </w:rPr>
            </w:pPr>
            <w:r>
              <w:rPr>
                <w:rFonts w:hint="eastAsia"/>
                <w:sz w:val="18"/>
                <w:szCs w:val="18"/>
              </w:rPr>
              <w:t>负极时地绝缘电阻（M</w:t>
            </w:r>
            <w:r>
              <w:rPr>
                <w:rFonts w:hint="eastAsia"/>
                <w:sz w:val="18"/>
                <w:szCs w:val="18"/>
                <w:vertAlign w:val="subscript"/>
              </w:rPr>
              <w:t>0</w:t>
            </w:r>
            <w:r>
              <w:rPr>
                <w:rFonts w:hint="eastAsia"/>
                <w:sz w:val="18"/>
                <w:szCs w:val="18"/>
              </w:rPr>
              <w:t>）</w:t>
            </w:r>
          </w:p>
        </w:tc>
        <w:tc>
          <w:tcPr>
            <w:tcW w:w="546" w:type="pct"/>
            <w:vMerge w:val="continue"/>
            <w:vAlign w:val="center"/>
          </w:tcPr>
          <w:p w14:paraId="62F8B08F">
            <w:pPr>
              <w:pStyle w:val="2"/>
              <w:adjustRightInd w:val="0"/>
              <w:snapToGrid w:val="0"/>
              <w:spacing w:line="300" w:lineRule="auto"/>
              <w:jc w:val="center"/>
              <w:rPr>
                <w:sz w:val="18"/>
                <w:szCs w:val="18"/>
              </w:rPr>
            </w:pPr>
          </w:p>
        </w:tc>
        <w:tc>
          <w:tcPr>
            <w:tcW w:w="304" w:type="pct"/>
            <w:vMerge w:val="continue"/>
            <w:vAlign w:val="center"/>
          </w:tcPr>
          <w:p w14:paraId="6B672E5F">
            <w:pPr>
              <w:pStyle w:val="2"/>
              <w:adjustRightInd w:val="0"/>
              <w:snapToGrid w:val="0"/>
              <w:spacing w:line="300" w:lineRule="auto"/>
              <w:jc w:val="center"/>
              <w:rPr>
                <w:sz w:val="18"/>
                <w:szCs w:val="18"/>
              </w:rPr>
            </w:pPr>
          </w:p>
        </w:tc>
        <w:tc>
          <w:tcPr>
            <w:tcW w:w="348" w:type="pct"/>
            <w:vMerge w:val="continue"/>
            <w:vAlign w:val="center"/>
          </w:tcPr>
          <w:p w14:paraId="1F26D810">
            <w:pPr>
              <w:pStyle w:val="2"/>
              <w:adjustRightInd w:val="0"/>
              <w:snapToGrid w:val="0"/>
              <w:spacing w:line="300" w:lineRule="auto"/>
              <w:jc w:val="center"/>
              <w:rPr>
                <w:sz w:val="18"/>
                <w:szCs w:val="18"/>
              </w:rPr>
            </w:pPr>
          </w:p>
        </w:tc>
      </w:tr>
      <w:tr w14:paraId="5712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76797397">
            <w:pPr>
              <w:pStyle w:val="2"/>
              <w:adjustRightInd w:val="0"/>
              <w:snapToGrid w:val="0"/>
              <w:spacing w:line="300" w:lineRule="auto"/>
              <w:jc w:val="center"/>
              <w:rPr>
                <w:sz w:val="18"/>
                <w:szCs w:val="18"/>
              </w:rPr>
            </w:pPr>
            <w:r>
              <w:rPr>
                <w:rFonts w:hint="eastAsia"/>
                <w:sz w:val="18"/>
                <w:szCs w:val="18"/>
              </w:rPr>
              <w:t>1</w:t>
            </w:r>
          </w:p>
        </w:tc>
        <w:tc>
          <w:tcPr>
            <w:tcW w:w="307" w:type="pct"/>
            <w:vAlign w:val="center"/>
          </w:tcPr>
          <w:p w14:paraId="2BAE32BF">
            <w:pPr>
              <w:pStyle w:val="2"/>
              <w:adjustRightInd w:val="0"/>
              <w:snapToGrid w:val="0"/>
              <w:spacing w:line="300" w:lineRule="auto"/>
              <w:jc w:val="center"/>
              <w:rPr>
                <w:sz w:val="18"/>
                <w:szCs w:val="18"/>
              </w:rPr>
            </w:pPr>
          </w:p>
        </w:tc>
        <w:tc>
          <w:tcPr>
            <w:tcW w:w="323" w:type="pct"/>
            <w:vAlign w:val="center"/>
          </w:tcPr>
          <w:p w14:paraId="5926A9EC">
            <w:pPr>
              <w:pStyle w:val="2"/>
              <w:adjustRightInd w:val="0"/>
              <w:snapToGrid w:val="0"/>
              <w:spacing w:line="300" w:lineRule="auto"/>
              <w:jc w:val="center"/>
              <w:rPr>
                <w:sz w:val="18"/>
                <w:szCs w:val="18"/>
              </w:rPr>
            </w:pPr>
          </w:p>
        </w:tc>
        <w:tc>
          <w:tcPr>
            <w:tcW w:w="413" w:type="pct"/>
            <w:vAlign w:val="center"/>
          </w:tcPr>
          <w:p w14:paraId="6DE13E1B">
            <w:pPr>
              <w:pStyle w:val="2"/>
              <w:adjustRightInd w:val="0"/>
              <w:snapToGrid w:val="0"/>
              <w:spacing w:line="300" w:lineRule="auto"/>
              <w:jc w:val="center"/>
              <w:rPr>
                <w:sz w:val="18"/>
                <w:szCs w:val="18"/>
              </w:rPr>
            </w:pPr>
          </w:p>
        </w:tc>
        <w:tc>
          <w:tcPr>
            <w:tcW w:w="416" w:type="pct"/>
            <w:vAlign w:val="center"/>
          </w:tcPr>
          <w:p w14:paraId="1C1AB954">
            <w:pPr>
              <w:pStyle w:val="2"/>
              <w:adjustRightInd w:val="0"/>
              <w:snapToGrid w:val="0"/>
              <w:spacing w:line="300" w:lineRule="auto"/>
              <w:jc w:val="center"/>
              <w:rPr>
                <w:sz w:val="18"/>
                <w:szCs w:val="18"/>
              </w:rPr>
            </w:pPr>
          </w:p>
        </w:tc>
        <w:tc>
          <w:tcPr>
            <w:tcW w:w="433" w:type="pct"/>
            <w:gridSpan w:val="2"/>
            <w:vAlign w:val="center"/>
          </w:tcPr>
          <w:p w14:paraId="7E4CBDB0">
            <w:pPr>
              <w:pStyle w:val="2"/>
              <w:adjustRightInd w:val="0"/>
              <w:snapToGrid w:val="0"/>
              <w:spacing w:line="300" w:lineRule="auto"/>
              <w:jc w:val="center"/>
              <w:rPr>
                <w:sz w:val="18"/>
                <w:szCs w:val="18"/>
              </w:rPr>
            </w:pPr>
          </w:p>
        </w:tc>
        <w:tc>
          <w:tcPr>
            <w:tcW w:w="434" w:type="pct"/>
            <w:vAlign w:val="center"/>
          </w:tcPr>
          <w:p w14:paraId="6A53A637">
            <w:pPr>
              <w:pStyle w:val="2"/>
              <w:adjustRightInd w:val="0"/>
              <w:snapToGrid w:val="0"/>
              <w:spacing w:line="300" w:lineRule="auto"/>
              <w:jc w:val="center"/>
              <w:rPr>
                <w:sz w:val="18"/>
                <w:szCs w:val="18"/>
              </w:rPr>
            </w:pPr>
          </w:p>
        </w:tc>
        <w:tc>
          <w:tcPr>
            <w:tcW w:w="602" w:type="pct"/>
            <w:gridSpan w:val="2"/>
            <w:vAlign w:val="center"/>
          </w:tcPr>
          <w:p w14:paraId="6B0A3687">
            <w:pPr>
              <w:pStyle w:val="2"/>
              <w:adjustRightInd w:val="0"/>
              <w:snapToGrid w:val="0"/>
              <w:spacing w:line="300" w:lineRule="auto"/>
              <w:jc w:val="center"/>
              <w:rPr>
                <w:sz w:val="18"/>
                <w:szCs w:val="18"/>
              </w:rPr>
            </w:pPr>
          </w:p>
        </w:tc>
        <w:tc>
          <w:tcPr>
            <w:tcW w:w="561" w:type="pct"/>
            <w:gridSpan w:val="2"/>
            <w:vAlign w:val="center"/>
          </w:tcPr>
          <w:p w14:paraId="3E6973BA">
            <w:pPr>
              <w:pStyle w:val="2"/>
              <w:adjustRightInd w:val="0"/>
              <w:snapToGrid w:val="0"/>
              <w:spacing w:line="300" w:lineRule="auto"/>
              <w:jc w:val="center"/>
              <w:rPr>
                <w:sz w:val="18"/>
                <w:szCs w:val="18"/>
              </w:rPr>
            </w:pPr>
          </w:p>
        </w:tc>
        <w:tc>
          <w:tcPr>
            <w:tcW w:w="546" w:type="pct"/>
            <w:vAlign w:val="center"/>
          </w:tcPr>
          <w:p w14:paraId="3B26D442">
            <w:pPr>
              <w:pStyle w:val="2"/>
              <w:adjustRightInd w:val="0"/>
              <w:snapToGrid w:val="0"/>
              <w:spacing w:line="300" w:lineRule="auto"/>
              <w:jc w:val="center"/>
              <w:rPr>
                <w:sz w:val="18"/>
                <w:szCs w:val="18"/>
              </w:rPr>
            </w:pPr>
          </w:p>
        </w:tc>
        <w:tc>
          <w:tcPr>
            <w:tcW w:w="304" w:type="pct"/>
            <w:vAlign w:val="center"/>
          </w:tcPr>
          <w:p w14:paraId="7D37828A">
            <w:pPr>
              <w:pStyle w:val="2"/>
              <w:adjustRightInd w:val="0"/>
              <w:snapToGrid w:val="0"/>
              <w:spacing w:line="300" w:lineRule="auto"/>
              <w:jc w:val="center"/>
              <w:rPr>
                <w:sz w:val="18"/>
                <w:szCs w:val="18"/>
              </w:rPr>
            </w:pPr>
          </w:p>
        </w:tc>
        <w:tc>
          <w:tcPr>
            <w:tcW w:w="348" w:type="pct"/>
            <w:vAlign w:val="center"/>
          </w:tcPr>
          <w:p w14:paraId="10033616">
            <w:pPr>
              <w:pStyle w:val="2"/>
              <w:adjustRightInd w:val="0"/>
              <w:snapToGrid w:val="0"/>
              <w:spacing w:line="300" w:lineRule="auto"/>
              <w:jc w:val="center"/>
              <w:rPr>
                <w:sz w:val="18"/>
                <w:szCs w:val="18"/>
              </w:rPr>
            </w:pPr>
          </w:p>
        </w:tc>
      </w:tr>
      <w:tr w14:paraId="6227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37804EC0">
            <w:pPr>
              <w:pStyle w:val="2"/>
              <w:adjustRightInd w:val="0"/>
              <w:snapToGrid w:val="0"/>
              <w:spacing w:line="300" w:lineRule="auto"/>
              <w:jc w:val="center"/>
              <w:rPr>
                <w:sz w:val="18"/>
                <w:szCs w:val="18"/>
              </w:rPr>
            </w:pPr>
            <w:r>
              <w:rPr>
                <w:rFonts w:hint="eastAsia"/>
                <w:sz w:val="18"/>
                <w:szCs w:val="18"/>
              </w:rPr>
              <w:t>2</w:t>
            </w:r>
          </w:p>
        </w:tc>
        <w:tc>
          <w:tcPr>
            <w:tcW w:w="307" w:type="pct"/>
            <w:vAlign w:val="center"/>
          </w:tcPr>
          <w:p w14:paraId="73B0AFEF">
            <w:pPr>
              <w:pStyle w:val="2"/>
              <w:adjustRightInd w:val="0"/>
              <w:snapToGrid w:val="0"/>
              <w:spacing w:line="300" w:lineRule="auto"/>
              <w:jc w:val="center"/>
              <w:rPr>
                <w:sz w:val="18"/>
                <w:szCs w:val="18"/>
              </w:rPr>
            </w:pPr>
          </w:p>
        </w:tc>
        <w:tc>
          <w:tcPr>
            <w:tcW w:w="323" w:type="pct"/>
            <w:vAlign w:val="center"/>
          </w:tcPr>
          <w:p w14:paraId="4C6798B2">
            <w:pPr>
              <w:pStyle w:val="2"/>
              <w:adjustRightInd w:val="0"/>
              <w:snapToGrid w:val="0"/>
              <w:spacing w:line="300" w:lineRule="auto"/>
              <w:jc w:val="center"/>
              <w:rPr>
                <w:sz w:val="18"/>
                <w:szCs w:val="18"/>
              </w:rPr>
            </w:pPr>
          </w:p>
        </w:tc>
        <w:tc>
          <w:tcPr>
            <w:tcW w:w="413" w:type="pct"/>
            <w:vAlign w:val="center"/>
          </w:tcPr>
          <w:p w14:paraId="7FB8B202">
            <w:pPr>
              <w:pStyle w:val="2"/>
              <w:adjustRightInd w:val="0"/>
              <w:snapToGrid w:val="0"/>
              <w:spacing w:line="300" w:lineRule="auto"/>
              <w:jc w:val="center"/>
              <w:rPr>
                <w:sz w:val="18"/>
                <w:szCs w:val="18"/>
              </w:rPr>
            </w:pPr>
          </w:p>
        </w:tc>
        <w:tc>
          <w:tcPr>
            <w:tcW w:w="416" w:type="pct"/>
            <w:vAlign w:val="center"/>
          </w:tcPr>
          <w:p w14:paraId="336A6B6E">
            <w:pPr>
              <w:pStyle w:val="2"/>
              <w:adjustRightInd w:val="0"/>
              <w:snapToGrid w:val="0"/>
              <w:spacing w:line="300" w:lineRule="auto"/>
              <w:jc w:val="center"/>
              <w:rPr>
                <w:sz w:val="18"/>
                <w:szCs w:val="18"/>
              </w:rPr>
            </w:pPr>
          </w:p>
        </w:tc>
        <w:tc>
          <w:tcPr>
            <w:tcW w:w="433" w:type="pct"/>
            <w:gridSpan w:val="2"/>
            <w:vAlign w:val="center"/>
          </w:tcPr>
          <w:p w14:paraId="64C949C5">
            <w:pPr>
              <w:pStyle w:val="2"/>
              <w:adjustRightInd w:val="0"/>
              <w:snapToGrid w:val="0"/>
              <w:spacing w:line="300" w:lineRule="auto"/>
              <w:jc w:val="center"/>
              <w:rPr>
                <w:sz w:val="18"/>
                <w:szCs w:val="18"/>
              </w:rPr>
            </w:pPr>
          </w:p>
        </w:tc>
        <w:tc>
          <w:tcPr>
            <w:tcW w:w="434" w:type="pct"/>
            <w:vAlign w:val="center"/>
          </w:tcPr>
          <w:p w14:paraId="74979605">
            <w:pPr>
              <w:pStyle w:val="2"/>
              <w:adjustRightInd w:val="0"/>
              <w:snapToGrid w:val="0"/>
              <w:spacing w:line="300" w:lineRule="auto"/>
              <w:jc w:val="center"/>
              <w:rPr>
                <w:sz w:val="18"/>
                <w:szCs w:val="18"/>
              </w:rPr>
            </w:pPr>
          </w:p>
        </w:tc>
        <w:tc>
          <w:tcPr>
            <w:tcW w:w="602" w:type="pct"/>
            <w:gridSpan w:val="2"/>
            <w:vAlign w:val="center"/>
          </w:tcPr>
          <w:p w14:paraId="05B2CB1F">
            <w:pPr>
              <w:pStyle w:val="2"/>
              <w:adjustRightInd w:val="0"/>
              <w:snapToGrid w:val="0"/>
              <w:spacing w:line="300" w:lineRule="auto"/>
              <w:jc w:val="center"/>
              <w:rPr>
                <w:sz w:val="18"/>
                <w:szCs w:val="18"/>
              </w:rPr>
            </w:pPr>
          </w:p>
        </w:tc>
        <w:tc>
          <w:tcPr>
            <w:tcW w:w="561" w:type="pct"/>
            <w:gridSpan w:val="2"/>
            <w:vAlign w:val="center"/>
          </w:tcPr>
          <w:p w14:paraId="38FA1AF5">
            <w:pPr>
              <w:pStyle w:val="2"/>
              <w:adjustRightInd w:val="0"/>
              <w:snapToGrid w:val="0"/>
              <w:spacing w:line="300" w:lineRule="auto"/>
              <w:jc w:val="center"/>
              <w:rPr>
                <w:sz w:val="18"/>
                <w:szCs w:val="18"/>
              </w:rPr>
            </w:pPr>
          </w:p>
        </w:tc>
        <w:tc>
          <w:tcPr>
            <w:tcW w:w="546" w:type="pct"/>
            <w:vAlign w:val="center"/>
          </w:tcPr>
          <w:p w14:paraId="598B7398">
            <w:pPr>
              <w:pStyle w:val="2"/>
              <w:adjustRightInd w:val="0"/>
              <w:snapToGrid w:val="0"/>
              <w:spacing w:line="300" w:lineRule="auto"/>
              <w:jc w:val="center"/>
              <w:rPr>
                <w:sz w:val="18"/>
                <w:szCs w:val="18"/>
              </w:rPr>
            </w:pPr>
          </w:p>
        </w:tc>
        <w:tc>
          <w:tcPr>
            <w:tcW w:w="304" w:type="pct"/>
            <w:vAlign w:val="center"/>
          </w:tcPr>
          <w:p w14:paraId="2A1C7186">
            <w:pPr>
              <w:pStyle w:val="2"/>
              <w:adjustRightInd w:val="0"/>
              <w:snapToGrid w:val="0"/>
              <w:spacing w:line="300" w:lineRule="auto"/>
              <w:jc w:val="center"/>
              <w:rPr>
                <w:sz w:val="18"/>
                <w:szCs w:val="18"/>
              </w:rPr>
            </w:pPr>
          </w:p>
        </w:tc>
        <w:tc>
          <w:tcPr>
            <w:tcW w:w="348" w:type="pct"/>
            <w:vAlign w:val="center"/>
          </w:tcPr>
          <w:p w14:paraId="38A6681D">
            <w:pPr>
              <w:pStyle w:val="2"/>
              <w:adjustRightInd w:val="0"/>
              <w:snapToGrid w:val="0"/>
              <w:spacing w:line="300" w:lineRule="auto"/>
              <w:jc w:val="center"/>
              <w:rPr>
                <w:sz w:val="18"/>
                <w:szCs w:val="18"/>
              </w:rPr>
            </w:pPr>
          </w:p>
        </w:tc>
      </w:tr>
    </w:tbl>
    <w:p w14:paraId="63CA9899">
      <w:pPr>
        <w:spacing w:line="300" w:lineRule="auto"/>
        <w:sectPr>
          <w:pgSz w:w="16838" w:h="11906" w:orient="landscape"/>
          <w:pgMar w:top="1800" w:right="1440" w:bottom="1800" w:left="1440" w:header="851" w:footer="992" w:gutter="0"/>
          <w:pgNumType w:fmt="decimal"/>
          <w:cols w:space="425" w:num="1"/>
          <w:docGrid w:type="lines" w:linePitch="312" w:charSpace="0"/>
        </w:sectPr>
      </w:pPr>
    </w:p>
    <w:p w14:paraId="6B573C0D">
      <w:pPr>
        <w:pStyle w:val="5"/>
        <w:spacing w:before="72" w:beforeLines="30" w:after="72" w:afterLines="30" w:line="300" w:lineRule="auto"/>
        <w:jc w:val="center"/>
        <w:rPr>
          <w:rFonts w:hint="default" w:ascii="Times New Roman" w:hAnsi="Times New Roman" w:eastAsia="黑体" w:cs="Times New Roman"/>
          <w:b/>
          <w:bCs/>
          <w:sz w:val="28"/>
          <w:szCs w:val="28"/>
        </w:rPr>
      </w:pPr>
      <w:bookmarkStart w:id="555" w:name="_Toc6170"/>
      <w:bookmarkStart w:id="556" w:name="_Toc10168"/>
      <w:bookmarkStart w:id="557" w:name="_Toc9740"/>
      <w:bookmarkStart w:id="558" w:name="_Toc30781"/>
      <w:bookmarkStart w:id="559" w:name="_Toc1678"/>
      <w:r>
        <w:rPr>
          <w:rFonts w:ascii="Times New Roman" w:hAnsi="Times New Roman" w:eastAsia="黑体" w:cs="Times New Roman"/>
          <w:sz w:val="28"/>
          <w:szCs w:val="28"/>
        </w:rPr>
        <w:t>附录</w:t>
      </w:r>
      <w:r>
        <w:rPr>
          <w:rFonts w:hint="eastAsia" w:ascii="Times New Roman" w:hAnsi="Times New Roman" w:eastAsia="黑体" w:cs="Times New Roman"/>
          <w:sz w:val="28"/>
          <w:szCs w:val="28"/>
          <w:lang w:val="en-US" w:eastAsia="zh-CN"/>
        </w:rPr>
        <w:t>C</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b/>
          <w:bCs/>
          <w:sz w:val="28"/>
          <w:szCs w:val="28"/>
        </w:rPr>
        <w:t>建筑光伏系统的故障处理表</w:t>
      </w:r>
      <w:bookmarkEnd w:id="555"/>
      <w:bookmarkEnd w:id="556"/>
      <w:bookmarkEnd w:id="557"/>
      <w:bookmarkEnd w:id="558"/>
      <w:bookmarkEnd w:id="559"/>
    </w:p>
    <w:p w14:paraId="688C9E63">
      <w:pPr>
        <w:snapToGrid w:val="0"/>
        <w:spacing w:line="30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C.0.1</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建筑光伏系统的故障处理</w:t>
      </w:r>
      <w:r>
        <w:rPr>
          <w:rFonts w:hint="eastAsia" w:ascii="宋体" w:hAnsi="宋体" w:cs="宋体"/>
          <w:b w:val="0"/>
          <w:bCs w:val="0"/>
          <w:sz w:val="24"/>
          <w:szCs w:val="24"/>
          <w:lang w:val="en-US" w:eastAsia="zh-CN"/>
        </w:rPr>
        <w:t>可参照</w:t>
      </w:r>
      <w:r>
        <w:rPr>
          <w:rFonts w:hint="eastAsia" w:ascii="宋体" w:hAnsi="宋体" w:eastAsia="宋体" w:cs="宋体"/>
          <w:sz w:val="24"/>
        </w:rPr>
        <w:t>表</w:t>
      </w:r>
      <w:r>
        <w:rPr>
          <w:rFonts w:hint="eastAsia" w:ascii="宋体" w:hAnsi="宋体" w:cs="宋体"/>
          <w:sz w:val="24"/>
          <w:lang w:val="en-US" w:eastAsia="zh-CN"/>
        </w:rPr>
        <w:t>C</w:t>
      </w:r>
      <w:r>
        <w:rPr>
          <w:rFonts w:hint="eastAsia" w:ascii="宋体" w:hAnsi="宋体" w:eastAsia="宋体" w:cs="宋体"/>
          <w:sz w:val="24"/>
        </w:rPr>
        <w:t>.0.1</w:t>
      </w:r>
      <w:r>
        <w:rPr>
          <w:rFonts w:hint="eastAsia" w:ascii="宋体" w:hAnsi="宋体" w:cs="宋体"/>
          <w:sz w:val="24"/>
          <w:lang w:val="en-US" w:eastAsia="zh-CN"/>
        </w:rPr>
        <w:t>的方式处理。</w:t>
      </w:r>
    </w:p>
    <w:p w14:paraId="3BC482D7">
      <w:pPr>
        <w:jc w:val="center"/>
        <w:rPr>
          <w:rFonts w:hint="eastAsia" w:ascii="宋体" w:hAnsi="宋体" w:eastAsia="宋体" w:cs="宋体"/>
          <w:b/>
          <w:bCs/>
          <w:sz w:val="24"/>
          <w:lang w:val="en-US" w:eastAsia="zh-CN"/>
        </w:rPr>
      </w:pPr>
      <w:r>
        <w:rPr>
          <w:rFonts w:hint="eastAsia" w:ascii="宋体" w:hAnsi="宋体" w:eastAsia="宋体" w:cs="宋体"/>
          <w:b/>
          <w:bCs/>
          <w:sz w:val="24"/>
          <w:szCs w:val="24"/>
          <w:lang w:val="en-US" w:eastAsia="zh-CN"/>
        </w:rPr>
        <w:t>表C.0.1　</w:t>
      </w:r>
      <w:r>
        <w:rPr>
          <w:rFonts w:hint="eastAsia" w:ascii="宋体" w:hAnsi="宋体" w:eastAsia="宋体" w:cs="宋体"/>
          <w:b/>
          <w:bCs/>
          <w:sz w:val="24"/>
          <w:szCs w:val="24"/>
        </w:rPr>
        <w:t>建筑光伏系统的故障处理表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344"/>
        <w:gridCol w:w="2438"/>
        <w:gridCol w:w="2300"/>
      </w:tblGrid>
      <w:tr w14:paraId="20C9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7806B2FF">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类别</w:t>
            </w:r>
          </w:p>
        </w:tc>
        <w:tc>
          <w:tcPr>
            <w:tcW w:w="2344" w:type="dxa"/>
            <w:vAlign w:val="center"/>
          </w:tcPr>
          <w:p w14:paraId="59BC3246">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常见故障</w:t>
            </w:r>
          </w:p>
        </w:tc>
        <w:tc>
          <w:tcPr>
            <w:tcW w:w="2438" w:type="dxa"/>
            <w:vAlign w:val="center"/>
          </w:tcPr>
          <w:p w14:paraId="3E6638F5">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原因分析</w:t>
            </w:r>
          </w:p>
        </w:tc>
        <w:tc>
          <w:tcPr>
            <w:tcW w:w="2300" w:type="dxa"/>
            <w:vAlign w:val="center"/>
          </w:tcPr>
          <w:p w14:paraId="5E1A3A96">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处理措施</w:t>
            </w:r>
          </w:p>
        </w:tc>
      </w:tr>
      <w:tr w14:paraId="3108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094A4886">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光伏组件</w:t>
            </w:r>
          </w:p>
        </w:tc>
        <w:tc>
          <w:tcPr>
            <w:tcW w:w="2344" w:type="dxa"/>
            <w:vAlign w:val="center"/>
          </w:tcPr>
          <w:p w14:paraId="7E77108C">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外电极断路</w:t>
            </w:r>
          </w:p>
          <w:p w14:paraId="73E0BBB4">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内部断路</w:t>
            </w:r>
          </w:p>
          <w:p w14:paraId="62A23DC8">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旁路二极管短路</w:t>
            </w:r>
          </w:p>
          <w:p w14:paraId="68DEC2AA">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导线短路</w:t>
            </w:r>
          </w:p>
        </w:tc>
        <w:tc>
          <w:tcPr>
            <w:tcW w:w="2438" w:type="dxa"/>
            <w:vAlign w:val="center"/>
          </w:tcPr>
          <w:p w14:paraId="523F514D">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旁路二极管反接</w:t>
            </w:r>
          </w:p>
          <w:p w14:paraId="2DE248F6">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热斑效应</w:t>
            </w:r>
          </w:p>
          <w:p w14:paraId="6C18DF5B">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接线盒脱落</w:t>
            </w:r>
          </w:p>
          <w:p w14:paraId="321CC584">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导线老化</w:t>
            </w:r>
          </w:p>
          <w:p w14:paraId="37B97C76">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背膜开裂</w:t>
            </w:r>
          </w:p>
          <w:p w14:paraId="7CAC7EBF">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边框开裂</w:t>
            </w:r>
          </w:p>
          <w:p w14:paraId="7D950224">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玻璃破碎</w:t>
            </w:r>
          </w:p>
          <w:p w14:paraId="3FA98A72">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电池片发黄</w:t>
            </w:r>
          </w:p>
          <w:p w14:paraId="0599BDE2">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电池栅极断裂</w:t>
            </w:r>
          </w:p>
        </w:tc>
        <w:tc>
          <w:tcPr>
            <w:tcW w:w="2300" w:type="dxa"/>
            <w:vAlign w:val="center"/>
          </w:tcPr>
          <w:p w14:paraId="06EA4F3C">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修理或更换</w:t>
            </w:r>
          </w:p>
        </w:tc>
      </w:tr>
      <w:tr w14:paraId="6516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40" w:type="dxa"/>
            <w:vAlign w:val="center"/>
          </w:tcPr>
          <w:p w14:paraId="58B0D56D">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蓄电池</w:t>
            </w:r>
          </w:p>
        </w:tc>
        <w:tc>
          <w:tcPr>
            <w:tcW w:w="2344" w:type="dxa"/>
            <w:vAlign w:val="center"/>
          </w:tcPr>
          <w:p w14:paraId="5EFE5A43">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温度升高</w:t>
            </w:r>
          </w:p>
          <w:p w14:paraId="61D2FB25">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电解液比重上升或下降浮充电压、电流过大单格短路</w:t>
            </w:r>
          </w:p>
        </w:tc>
        <w:tc>
          <w:tcPr>
            <w:tcW w:w="2438" w:type="dxa"/>
            <w:vAlign w:val="center"/>
          </w:tcPr>
          <w:p w14:paraId="6E6F187B">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通风不良</w:t>
            </w:r>
          </w:p>
          <w:p w14:paraId="02466262">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极板硫酸化</w:t>
            </w:r>
          </w:p>
          <w:p w14:paraId="2BCE652D">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极板铜板开裂</w:t>
            </w:r>
          </w:p>
          <w:p w14:paraId="4E971F62">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控制器电路故障</w:t>
            </w:r>
          </w:p>
        </w:tc>
        <w:tc>
          <w:tcPr>
            <w:tcW w:w="2300" w:type="dxa"/>
            <w:vAlign w:val="center"/>
          </w:tcPr>
          <w:p w14:paraId="1BDA4A62">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改善通风条件</w:t>
            </w:r>
          </w:p>
          <w:p w14:paraId="0BD31236">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纠正充电系统</w:t>
            </w:r>
          </w:p>
          <w:p w14:paraId="1267A511">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调整控制器输出</w:t>
            </w:r>
          </w:p>
          <w:p w14:paraId="5C2AA8BE">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更换损坏的蓄电池</w:t>
            </w:r>
          </w:p>
        </w:tc>
      </w:tr>
      <w:tr w14:paraId="3723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40" w:type="dxa"/>
            <w:vAlign w:val="center"/>
          </w:tcPr>
          <w:p w14:paraId="10AE7C43">
            <w:pPr>
              <w:snapToGrid w:val="0"/>
              <w:spacing w:line="30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晶硅电池</w:t>
            </w:r>
          </w:p>
        </w:tc>
        <w:tc>
          <w:tcPr>
            <w:tcW w:w="2344" w:type="dxa"/>
            <w:vAlign w:val="center"/>
          </w:tcPr>
          <w:p w14:paraId="4AF0675C">
            <w:pPr>
              <w:snapToGrid w:val="0"/>
              <w:spacing w:line="30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光衰</w:t>
            </w:r>
          </w:p>
          <w:p w14:paraId="3AF8F5B0">
            <w:pPr>
              <w:snapToGrid w:val="0"/>
              <w:spacing w:line="30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热斑</w:t>
            </w:r>
          </w:p>
          <w:p w14:paraId="17A5895D">
            <w:pPr>
              <w:snapToGrid w:val="0"/>
              <w:spacing w:line="30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效率下降</w:t>
            </w:r>
          </w:p>
        </w:tc>
        <w:tc>
          <w:tcPr>
            <w:tcW w:w="2438" w:type="dxa"/>
            <w:vAlign w:val="center"/>
          </w:tcPr>
          <w:p w14:paraId="0E081DE0">
            <w:pPr>
              <w:snapToGrid w:val="0"/>
              <w:spacing w:line="300" w:lineRule="auto"/>
              <w:jc w:val="center"/>
              <w:rPr>
                <w:rFonts w:hint="eastAsia" w:ascii="宋体" w:hAnsi="宋体" w:eastAsia="宋体" w:cs="宋体"/>
                <w:i w:val="0"/>
                <w:iCs w:val="0"/>
                <w:caps w:val="0"/>
                <w:spacing w:val="0"/>
                <w:sz w:val="18"/>
                <w:szCs w:val="18"/>
                <w:shd w:val="clear"/>
                <w:lang w:val="en-US" w:eastAsia="zh-CN"/>
              </w:rPr>
            </w:pPr>
            <w:r>
              <w:rPr>
                <w:rFonts w:hint="eastAsia" w:ascii="宋体" w:hAnsi="宋体" w:eastAsia="宋体" w:cs="宋体"/>
                <w:i w:val="0"/>
                <w:iCs w:val="0"/>
                <w:caps w:val="0"/>
                <w:spacing w:val="0"/>
                <w:sz w:val="18"/>
                <w:szCs w:val="18"/>
                <w:shd w:val="clear"/>
                <w:lang w:val="en-US" w:eastAsia="zh-CN"/>
              </w:rPr>
              <w:t>硼氧复合体光照退化局部温度过高</w:t>
            </w:r>
          </w:p>
        </w:tc>
        <w:tc>
          <w:tcPr>
            <w:tcW w:w="2300" w:type="dxa"/>
            <w:vAlign w:val="center"/>
          </w:tcPr>
          <w:p w14:paraId="7D2397C4">
            <w:pPr>
              <w:snapToGrid w:val="0"/>
              <w:spacing w:line="30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更换或翻新</w:t>
            </w:r>
          </w:p>
        </w:tc>
      </w:tr>
      <w:tr w14:paraId="2048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40" w:type="dxa"/>
            <w:vAlign w:val="center"/>
          </w:tcPr>
          <w:p w14:paraId="59B52F34">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薄膜太阳电池</w:t>
            </w:r>
          </w:p>
        </w:tc>
        <w:tc>
          <w:tcPr>
            <w:tcW w:w="2344" w:type="dxa"/>
            <w:vAlign w:val="center"/>
          </w:tcPr>
          <w:p w14:paraId="4060491E">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成膜缺陷</w:t>
            </w:r>
          </w:p>
          <w:p w14:paraId="7181497E">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易潮解</w:t>
            </w:r>
          </w:p>
          <w:p w14:paraId="0437A323">
            <w:pPr>
              <w:snapToGrid w:val="0"/>
              <w:spacing w:line="300" w:lineRule="auto"/>
              <w:jc w:val="center"/>
              <w:rPr>
                <w:rFonts w:hint="eastAsia" w:ascii="宋体" w:hAnsi="宋体" w:eastAsia="宋体" w:cs="宋体"/>
                <w:sz w:val="18"/>
                <w:szCs w:val="18"/>
              </w:rPr>
            </w:pPr>
            <w:r>
              <w:rPr>
                <w:rFonts w:hint="eastAsia" w:ascii="宋体" w:hAnsi="宋体" w:eastAsia="宋体" w:cs="宋体"/>
                <w:i w:val="0"/>
                <w:iCs w:val="0"/>
                <w:caps w:val="0"/>
                <w:spacing w:val="0"/>
                <w:sz w:val="18"/>
                <w:szCs w:val="18"/>
              </w:rPr>
              <w:t>光衰</w:t>
            </w:r>
          </w:p>
        </w:tc>
        <w:tc>
          <w:tcPr>
            <w:tcW w:w="2438" w:type="dxa"/>
            <w:vAlign w:val="center"/>
          </w:tcPr>
          <w:p w14:paraId="61CE8674">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针孔、裂纹、颗粒等</w:t>
            </w:r>
          </w:p>
          <w:p w14:paraId="432F82A4">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薄膜太阳电池容易受潮</w:t>
            </w:r>
          </w:p>
          <w:p w14:paraId="43BF7AD8">
            <w:pPr>
              <w:snapToGrid w:val="0"/>
              <w:spacing w:line="300" w:lineRule="auto"/>
              <w:jc w:val="center"/>
              <w:rPr>
                <w:rFonts w:hint="eastAsia" w:ascii="宋体" w:hAnsi="宋体" w:eastAsia="宋体" w:cs="宋体"/>
                <w:sz w:val="18"/>
                <w:szCs w:val="18"/>
              </w:rPr>
            </w:pPr>
            <w:r>
              <w:rPr>
                <w:rFonts w:hint="eastAsia" w:ascii="宋体" w:hAnsi="宋体" w:eastAsia="宋体" w:cs="宋体"/>
                <w:i w:val="0"/>
                <w:iCs w:val="0"/>
                <w:caps w:val="0"/>
                <w:spacing w:val="0"/>
                <w:sz w:val="18"/>
                <w:szCs w:val="18"/>
                <w:shd w:val="clear"/>
              </w:rPr>
              <w:t>光照下会发生衰减</w:t>
            </w:r>
          </w:p>
        </w:tc>
        <w:tc>
          <w:tcPr>
            <w:tcW w:w="2300" w:type="dxa"/>
            <w:vAlign w:val="center"/>
          </w:tcPr>
          <w:p w14:paraId="679216A3">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修复成膜缺陷</w:t>
            </w:r>
          </w:p>
          <w:p w14:paraId="06A591AA">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防止潮解</w:t>
            </w:r>
          </w:p>
          <w:p w14:paraId="12DCD96D">
            <w:pPr>
              <w:snapToGrid w:val="0"/>
              <w:spacing w:line="300" w:lineRule="auto"/>
              <w:jc w:val="center"/>
              <w:rPr>
                <w:rFonts w:hint="eastAsia" w:ascii="宋体" w:hAnsi="宋体" w:eastAsia="宋体" w:cs="宋体"/>
                <w:sz w:val="18"/>
                <w:szCs w:val="18"/>
              </w:rPr>
            </w:pPr>
            <w:r>
              <w:rPr>
                <w:rFonts w:hint="eastAsia" w:ascii="宋体" w:hAnsi="宋体" w:eastAsia="宋体" w:cs="宋体"/>
                <w:i w:val="0"/>
                <w:iCs w:val="0"/>
                <w:caps w:val="0"/>
                <w:spacing w:val="0"/>
                <w:sz w:val="18"/>
                <w:szCs w:val="18"/>
              </w:rPr>
              <w:t>减少光致衰减</w:t>
            </w:r>
          </w:p>
        </w:tc>
      </w:tr>
      <w:tr w14:paraId="533C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center"/>
          </w:tcPr>
          <w:p w14:paraId="11719134">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逆变器</w:t>
            </w:r>
          </w:p>
        </w:tc>
        <w:tc>
          <w:tcPr>
            <w:tcW w:w="2344" w:type="dxa"/>
            <w:vAlign w:val="center"/>
          </w:tcPr>
          <w:p w14:paraId="69BA20A6">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断路</w:t>
            </w:r>
          </w:p>
          <w:p w14:paraId="02D5FA1B">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过电流</w:t>
            </w:r>
          </w:p>
          <w:p w14:paraId="5AD6428E">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过电压</w:t>
            </w:r>
          </w:p>
          <w:p w14:paraId="1BC43F7D">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过热</w:t>
            </w:r>
          </w:p>
        </w:tc>
        <w:tc>
          <w:tcPr>
            <w:tcW w:w="2438" w:type="dxa"/>
            <w:vAlign w:val="center"/>
          </w:tcPr>
          <w:p w14:paraId="0059869D">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内部电源失效</w:t>
            </w:r>
          </w:p>
          <w:p w14:paraId="3E51AE08">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输入电压不正常</w:t>
            </w:r>
          </w:p>
          <w:p w14:paraId="29691310">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保险丝损坏</w:t>
            </w:r>
          </w:p>
          <w:p w14:paraId="32079588">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功率开关器件损坏</w:t>
            </w:r>
          </w:p>
          <w:p w14:paraId="78B2B031">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遭受雷击损坏</w:t>
            </w:r>
          </w:p>
        </w:tc>
        <w:tc>
          <w:tcPr>
            <w:tcW w:w="2300" w:type="dxa"/>
            <w:vAlign w:val="center"/>
          </w:tcPr>
          <w:p w14:paraId="1DCFB4D3">
            <w:pPr>
              <w:snapToGrid w:val="0"/>
              <w:spacing w:line="300" w:lineRule="auto"/>
              <w:jc w:val="center"/>
              <w:rPr>
                <w:rFonts w:hint="eastAsia" w:ascii="宋体" w:hAnsi="宋体" w:eastAsia="宋体" w:cs="宋体"/>
                <w:sz w:val="18"/>
                <w:szCs w:val="18"/>
              </w:rPr>
            </w:pPr>
            <w:r>
              <w:rPr>
                <w:rFonts w:hint="eastAsia" w:ascii="宋体" w:hAnsi="宋体" w:eastAsia="宋体" w:cs="宋体"/>
                <w:sz w:val="18"/>
                <w:szCs w:val="18"/>
              </w:rPr>
              <w:t>修理或更换</w:t>
            </w:r>
          </w:p>
        </w:tc>
      </w:tr>
    </w:tbl>
    <w:p w14:paraId="178EEA32">
      <w:pPr>
        <w:pStyle w:val="2"/>
        <w:spacing w:line="300" w:lineRule="auto"/>
        <w:sectPr>
          <w:pgSz w:w="11906" w:h="16838"/>
          <w:pgMar w:top="1440" w:right="1800" w:bottom="1440" w:left="1800" w:header="851" w:footer="992" w:gutter="0"/>
          <w:pgNumType w:fmt="decimal"/>
          <w:cols w:space="425" w:num="1"/>
          <w:docGrid w:type="lines" w:linePitch="312" w:charSpace="0"/>
        </w:sectPr>
      </w:pPr>
    </w:p>
    <w:p w14:paraId="5F6FB791">
      <w:pPr>
        <w:keepNext/>
        <w:keepLines/>
        <w:widowControl/>
        <w:adjustRightInd/>
        <w:snapToGrid w:val="0"/>
        <w:spacing w:before="93" w:beforeLines="30" w:after="93" w:afterLines="30" w:line="440" w:lineRule="exact"/>
        <w:jc w:val="center"/>
        <w:outlineLvl w:val="1"/>
        <w:rPr>
          <w:rFonts w:hint="default" w:ascii="Times New Roman" w:hAnsi="Times New Roman" w:eastAsia="黑体" w:cs="Times New Roman"/>
          <w:b w:val="0"/>
          <w:sz w:val="28"/>
          <w:szCs w:val="28"/>
        </w:rPr>
      </w:pPr>
      <w:bookmarkStart w:id="560" w:name="_Toc11887"/>
      <w:bookmarkStart w:id="561" w:name="_Toc22128"/>
      <w:bookmarkStart w:id="562" w:name="_Toc25096"/>
      <w:bookmarkStart w:id="563" w:name="_Toc23233"/>
      <w:bookmarkStart w:id="564" w:name="_Toc25088"/>
      <w:r>
        <w:rPr>
          <w:rFonts w:hint="default" w:ascii="Times New Roman" w:hAnsi="Times New Roman" w:eastAsia="黑体" w:cs="Times New Roman"/>
          <w:b w:val="0"/>
          <w:bCs w:val="0"/>
          <w:sz w:val="28"/>
          <w:szCs w:val="28"/>
        </w:rPr>
        <w:t>本标准用词说明</w:t>
      </w:r>
      <w:bookmarkEnd w:id="560"/>
      <w:bookmarkEnd w:id="561"/>
      <w:bookmarkEnd w:id="562"/>
      <w:bookmarkEnd w:id="563"/>
      <w:bookmarkEnd w:id="564"/>
    </w:p>
    <w:p w14:paraId="5872D170">
      <w:pPr>
        <w:pStyle w:val="10"/>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color w:val="000000"/>
          <w:sz w:val="24"/>
          <w:highlight w:val="none"/>
        </w:rPr>
      </w:pPr>
    </w:p>
    <w:p w14:paraId="310B7BC2">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 为便于在执行本标准时区别对待，对要求严格程度不同的用词说明如下：</w:t>
      </w:r>
    </w:p>
    <w:p w14:paraId="1538274B">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表示很严格，非这样做不可的：</w:t>
      </w:r>
    </w:p>
    <w:p w14:paraId="638EBB18">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正面词采用“必须”，反面词采用“严禁”；</w:t>
      </w:r>
    </w:p>
    <w:p w14:paraId="78980BAB">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表示严格，在正常情况下均应这样做的：</w:t>
      </w:r>
    </w:p>
    <w:p w14:paraId="6CBEBF4C">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正面词采用“应”，反面词采用“不应”或“不得”；</w:t>
      </w:r>
    </w:p>
    <w:p w14:paraId="5D0FA2A9">
      <w:pPr>
        <w:pStyle w:val="1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00" w:leftChars="0"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表示允许有所选择，但在条件许可时，首先应当这样做的；</w:t>
      </w:r>
    </w:p>
    <w:p w14:paraId="3EA615F3">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正面词采用“宜”，反面词采用“不宜”；</w:t>
      </w:r>
    </w:p>
    <w:p w14:paraId="59ED43F9">
      <w:pPr>
        <w:pStyle w:val="10"/>
        <w:keepNext w:val="0"/>
        <w:keepLines w:val="0"/>
        <w:pageBreakBefore w:val="0"/>
        <w:widowControl w:val="0"/>
        <w:kinsoku/>
        <w:wordWrap/>
        <w:overflowPunct/>
        <w:topLinePunct w:val="0"/>
        <w:autoSpaceDE/>
        <w:autoSpaceDN/>
        <w:bidi w:val="0"/>
        <w:adjustRightInd/>
        <w:snapToGrid w:val="0"/>
        <w:spacing w:line="360" w:lineRule="auto"/>
        <w:ind w:firstLine="630" w:firstLineChars="3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表示在一定条件下，可以这样做的，采用“可”。</w:t>
      </w:r>
    </w:p>
    <w:p w14:paraId="5CF0C188">
      <w:pPr>
        <w:pStyle w:val="10"/>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sz w:val="28"/>
          <w:szCs w:val="28"/>
          <w:highlight w:val="none"/>
        </w:rPr>
      </w:pPr>
      <w:r>
        <w:rPr>
          <w:rFonts w:hint="eastAsia" w:ascii="宋体" w:hAnsi="宋体" w:cs="宋体"/>
          <w:color w:val="000000"/>
          <w:sz w:val="21"/>
          <w:szCs w:val="21"/>
          <w:highlight w:val="none"/>
        </w:rPr>
        <w:t xml:space="preserve">2 </w:t>
      </w:r>
      <w:r>
        <w:rPr>
          <w:rFonts w:hint="eastAsia" w:ascii="宋体" w:hAnsi="宋体" w:cs="宋体"/>
          <w:color w:val="000000"/>
          <w:sz w:val="21"/>
          <w:szCs w:val="21"/>
          <w:highlight w:val="none"/>
          <w:lang w:val="en-US" w:eastAsia="zh-CN"/>
        </w:rPr>
        <w:t>条文</w:t>
      </w:r>
      <w:r>
        <w:rPr>
          <w:rFonts w:hint="eastAsia" w:ascii="宋体" w:hAnsi="宋体" w:cs="宋体"/>
          <w:color w:val="000000"/>
          <w:sz w:val="21"/>
          <w:szCs w:val="21"/>
          <w:highlight w:val="none"/>
        </w:rPr>
        <w:t>中指明应按有关标准执行的写法为：“应符合……的规定”或“应满足……的要求”或“应按……执行”。</w:t>
      </w:r>
    </w:p>
    <w:p w14:paraId="3BC36890">
      <w:pPr>
        <w:keepNext w:val="0"/>
        <w:keepLines w:val="0"/>
        <w:pageBreakBefore w:val="0"/>
        <w:widowControl w:val="0"/>
        <w:kinsoku/>
        <w:wordWrap/>
        <w:overflowPunct/>
        <w:topLinePunct w:val="0"/>
        <w:bidi w:val="0"/>
        <w:adjustRightInd/>
        <w:snapToGrid/>
        <w:spacing w:line="360" w:lineRule="auto"/>
        <w:textAlignment w:val="auto"/>
        <w:outlineLvl w:val="9"/>
        <w:rPr>
          <w:rFonts w:hint="default" w:ascii="Times New Roman" w:hAnsi="Times New Roman" w:cs="Times New Roman"/>
          <w:color w:val="00000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D1FFDD">
      <w:pPr>
        <w:keepNext/>
        <w:keepLines/>
        <w:snapToGrid w:val="0"/>
        <w:spacing w:before="93" w:beforeLines="30" w:after="93" w:afterLines="30" w:line="440" w:lineRule="exact"/>
        <w:jc w:val="center"/>
        <w:outlineLvl w:val="1"/>
        <w:rPr>
          <w:rFonts w:ascii="Times New Roman" w:hAnsi="Times New Roman" w:eastAsia="黑体" w:cs="Times New Roman"/>
          <w:sz w:val="28"/>
          <w:szCs w:val="28"/>
        </w:rPr>
      </w:pPr>
      <w:bookmarkStart w:id="565" w:name="_Toc142638407"/>
      <w:bookmarkStart w:id="566" w:name="_Toc11205"/>
      <w:bookmarkStart w:id="567" w:name="_Toc20222"/>
      <w:bookmarkStart w:id="568" w:name="_Toc20508"/>
      <w:bookmarkStart w:id="569" w:name="_Toc149642053"/>
      <w:bookmarkStart w:id="570" w:name="_Toc149641905"/>
      <w:bookmarkStart w:id="571" w:name="_Toc10465"/>
      <w:bookmarkStart w:id="572" w:name="_Toc149642287"/>
      <w:bookmarkStart w:id="573" w:name="_Toc13579"/>
      <w:bookmarkStart w:id="574" w:name="_Toc149641232"/>
      <w:bookmarkStart w:id="575" w:name="_Toc13581"/>
      <w:bookmarkStart w:id="576" w:name="_Toc28866"/>
      <w:r>
        <w:rPr>
          <w:rFonts w:ascii="Times New Roman" w:hAnsi="Times New Roman" w:eastAsia="黑体" w:cs="Times New Roman"/>
          <w:sz w:val="28"/>
          <w:szCs w:val="28"/>
        </w:rPr>
        <w:t>引用标准名录</w:t>
      </w:r>
      <w:bookmarkEnd w:id="565"/>
      <w:bookmarkEnd w:id="566"/>
      <w:bookmarkEnd w:id="567"/>
      <w:bookmarkEnd w:id="568"/>
      <w:bookmarkEnd w:id="569"/>
      <w:bookmarkEnd w:id="570"/>
      <w:bookmarkEnd w:id="571"/>
      <w:bookmarkEnd w:id="572"/>
      <w:bookmarkEnd w:id="573"/>
      <w:bookmarkEnd w:id="574"/>
      <w:bookmarkEnd w:id="575"/>
      <w:bookmarkEnd w:id="576"/>
    </w:p>
    <w:p w14:paraId="7BDBCC69">
      <w:pPr>
        <w:pStyle w:val="2"/>
      </w:pPr>
    </w:p>
    <w:p w14:paraId="0C4ABD9F">
      <w:pPr>
        <w:widowControl/>
        <w:spacing w:line="440" w:lineRule="exact"/>
        <w:ind w:firstLine="420" w:firstLineChars="200"/>
        <w:jc w:val="left"/>
        <w:rPr>
          <w:rFonts w:hint="default" w:ascii="Times New Roman" w:hAnsi="Times New Roman" w:eastAsia="宋体" w:cs="Times New Roman"/>
          <w:sz w:val="21"/>
          <w:highlight w:val="none"/>
          <w:lang w:eastAsia="zh-CN"/>
        </w:rPr>
      </w:pPr>
      <w:r>
        <w:rPr>
          <w:rFonts w:hint="default" w:ascii="Times New Roman" w:hAnsi="Times New Roman" w:eastAsia="宋体" w:cs="Times New Roman"/>
          <w:sz w:val="21"/>
          <w:highlight w:val="none"/>
          <w:lang w:eastAsia="zh-CN"/>
        </w:rPr>
        <w:t>《建筑结构荷载规范》GB</w:t>
      </w:r>
      <w:r>
        <w:rPr>
          <w:rFonts w:hint="eastAsia" w:cs="Times New Roman"/>
          <w:sz w:val="21"/>
          <w:highlight w:val="none"/>
          <w:lang w:val="en-US" w:eastAsia="zh-CN"/>
        </w:rPr>
        <w:t xml:space="preserve"> </w:t>
      </w:r>
      <w:r>
        <w:rPr>
          <w:rFonts w:hint="default" w:ascii="Times New Roman" w:hAnsi="Times New Roman" w:eastAsia="宋体" w:cs="Times New Roman"/>
          <w:sz w:val="21"/>
          <w:highlight w:val="none"/>
          <w:lang w:eastAsia="zh-CN"/>
        </w:rPr>
        <w:t>50009</w:t>
      </w:r>
    </w:p>
    <w:p w14:paraId="089AB34C">
      <w:pPr>
        <w:spacing w:line="440" w:lineRule="exact"/>
        <w:ind w:firstLine="420" w:firstLineChars="200"/>
        <w:rPr>
          <w:rFonts w:hint="default" w:ascii="Times New Roman" w:hAnsi="Times New Roman" w:eastAsia="宋体" w:cs="Times New Roman"/>
          <w:sz w:val="21"/>
          <w:highlight w:val="none"/>
          <w:lang w:eastAsia="zh-CN"/>
        </w:rPr>
      </w:pPr>
      <w:r>
        <w:rPr>
          <w:rFonts w:hint="default" w:ascii="Times New Roman" w:hAnsi="Times New Roman" w:eastAsia="宋体" w:cs="Times New Roman"/>
          <w:sz w:val="21"/>
          <w:highlight w:val="none"/>
          <w:lang w:eastAsia="zh-CN"/>
        </w:rPr>
        <w:t>《建筑抗震设计规范》GB</w:t>
      </w:r>
      <w:r>
        <w:rPr>
          <w:rFonts w:hint="eastAsia" w:cs="Times New Roman"/>
          <w:sz w:val="21"/>
          <w:highlight w:val="none"/>
          <w:lang w:val="en-US" w:eastAsia="zh-CN"/>
        </w:rPr>
        <w:t xml:space="preserve"> </w:t>
      </w:r>
      <w:r>
        <w:rPr>
          <w:rFonts w:hint="default" w:ascii="Times New Roman" w:hAnsi="Times New Roman" w:eastAsia="宋体" w:cs="Times New Roman"/>
          <w:sz w:val="21"/>
          <w:highlight w:val="none"/>
          <w:lang w:eastAsia="zh-CN"/>
        </w:rPr>
        <w:t>50011</w:t>
      </w:r>
    </w:p>
    <w:p w14:paraId="2B2626E8">
      <w:pPr>
        <w:spacing w:line="440" w:lineRule="exact"/>
        <w:ind w:firstLine="420" w:firstLineChars="200"/>
        <w:rPr>
          <w:rStyle w:val="17"/>
          <w:rFonts w:ascii="Times New Roman" w:hAnsi="Times New Roman" w:eastAsia="宋体" w:cs="Times New Roman"/>
          <w:b w:val="0"/>
          <w:bCs w:val="0"/>
          <w:sz w:val="21"/>
          <w:highlight w:val="none"/>
        </w:rPr>
      </w:pPr>
      <w:r>
        <w:rPr>
          <w:rStyle w:val="17"/>
          <w:rFonts w:hint="default" w:ascii="Times New Roman" w:hAnsi="Times New Roman" w:eastAsia="宋体" w:cs="Times New Roman"/>
          <w:b w:val="0"/>
          <w:bCs w:val="0"/>
          <w:sz w:val="21"/>
          <w:highlight w:val="none"/>
          <w:lang w:eastAsia="zh-CN"/>
        </w:rPr>
        <w:t>《</w:t>
      </w:r>
      <w:r>
        <w:rPr>
          <w:rStyle w:val="17"/>
          <w:rFonts w:ascii="Times New Roman" w:hAnsi="Times New Roman" w:eastAsia="宋体" w:cs="Times New Roman"/>
          <w:b w:val="0"/>
          <w:bCs w:val="0"/>
          <w:sz w:val="21"/>
          <w:szCs w:val="24"/>
          <w:highlight w:val="none"/>
        </w:rPr>
        <w:t>民用建筑节水设计标准</w:t>
      </w:r>
      <w:r>
        <w:rPr>
          <w:rStyle w:val="17"/>
          <w:rFonts w:hint="default" w:ascii="Times New Roman" w:hAnsi="Times New Roman" w:eastAsia="宋体" w:cs="Times New Roman"/>
          <w:b w:val="0"/>
          <w:bCs w:val="0"/>
          <w:sz w:val="21"/>
          <w:szCs w:val="24"/>
          <w:highlight w:val="none"/>
          <w:lang w:eastAsia="zh-CN"/>
        </w:rPr>
        <w:t>》</w:t>
      </w:r>
      <w:r>
        <w:rPr>
          <w:rStyle w:val="17"/>
          <w:rFonts w:ascii="Times New Roman" w:hAnsi="Times New Roman" w:eastAsia="宋体" w:cs="Times New Roman"/>
          <w:b w:val="0"/>
          <w:bCs w:val="0"/>
          <w:sz w:val="21"/>
          <w:highlight w:val="none"/>
        </w:rPr>
        <w:t>GB 50555</w:t>
      </w:r>
    </w:p>
    <w:p w14:paraId="63CBD025">
      <w:pPr>
        <w:widowControl/>
        <w:spacing w:line="440" w:lineRule="exact"/>
        <w:ind w:firstLine="420" w:firstLineChars="200"/>
        <w:jc w:val="left"/>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rPr>
        <w:t>《工程结构通用规范》GB 55001</w:t>
      </w:r>
    </w:p>
    <w:p w14:paraId="7F41F51A">
      <w:pPr>
        <w:spacing w:line="440" w:lineRule="exact"/>
        <w:ind w:firstLine="420" w:firstLineChars="200"/>
        <w:rPr>
          <w:rFonts w:hint="default" w:ascii="Times New Roman" w:hAnsi="Times New Roman" w:eastAsia="宋体" w:cs="Times New Roman"/>
          <w:sz w:val="21"/>
          <w:highlight w:val="none"/>
          <w:lang w:val="en-US" w:eastAsia="zh-CN"/>
        </w:rPr>
      </w:pPr>
      <w:r>
        <w:rPr>
          <w:rFonts w:hint="eastAsia" w:ascii="Times New Roman" w:hAnsi="Times New Roman" w:eastAsia="宋体" w:cs="Times New Roman"/>
          <w:sz w:val="21"/>
          <w:highlight w:val="none"/>
          <w:lang w:eastAsia="zh-CN"/>
        </w:rPr>
        <w:t>《</w:t>
      </w:r>
      <w:r>
        <w:rPr>
          <w:rFonts w:hint="default" w:ascii="Times New Roman" w:hAnsi="Times New Roman" w:eastAsia="宋体" w:cs="Times New Roman"/>
          <w:sz w:val="21"/>
          <w:highlight w:val="none"/>
        </w:rPr>
        <w:t>建筑节能与可再生能源利用通用规范</w:t>
      </w:r>
      <w:r>
        <w:rPr>
          <w:rFonts w:hint="eastAsia" w:ascii="Times New Roman" w:hAnsi="Times New Roman" w:eastAsia="宋体" w:cs="Times New Roman"/>
          <w:sz w:val="21"/>
          <w:highlight w:val="none"/>
          <w:lang w:eastAsia="zh-CN"/>
        </w:rPr>
        <w:t>》</w:t>
      </w:r>
      <w:r>
        <w:rPr>
          <w:rFonts w:ascii="Times New Roman" w:hAnsi="Times New Roman" w:eastAsia="宋体" w:cs="Times New Roman"/>
          <w:sz w:val="21"/>
          <w:highlight w:val="none"/>
        </w:rPr>
        <w:t>GB 55015</w:t>
      </w:r>
    </w:p>
    <w:p w14:paraId="4B6BFA67">
      <w:pPr>
        <w:spacing w:line="440" w:lineRule="exact"/>
        <w:ind w:firstLine="420" w:firstLineChars="200"/>
        <w:rPr>
          <w:rFonts w:hint="default" w:ascii="Times New Roman" w:hAnsi="Times New Roman" w:eastAsia="宋体" w:cs="Times New Roman"/>
          <w:highlight w:val="none"/>
        </w:rPr>
      </w:pPr>
      <w:r>
        <w:rPr>
          <w:rFonts w:ascii="Times New Roman" w:hAnsi="Times New Roman" w:eastAsia="宋体" w:cs="Times New Roman"/>
          <w:sz w:val="21"/>
          <w:szCs w:val="24"/>
          <w:highlight w:val="none"/>
        </w:rPr>
        <w:t>《既有建筑维护与改造通用规范》GB 55022</w:t>
      </w:r>
    </w:p>
    <w:p w14:paraId="1550E70E">
      <w:pPr>
        <w:widowControl/>
        <w:spacing w:line="440" w:lineRule="exact"/>
        <w:ind w:firstLine="420" w:firstLineChars="200"/>
        <w:jc w:val="left"/>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rPr>
        <w:t>《电化学储能电站用锂离子电池管理系统技术规范》</w:t>
      </w:r>
      <w:r>
        <w:rPr>
          <w:rFonts w:ascii="Times New Roman" w:hAnsi="Times New Roman" w:eastAsia="宋体" w:cs="Times New Roman"/>
          <w:sz w:val="21"/>
          <w:highlight w:val="none"/>
        </w:rPr>
        <w:t xml:space="preserve">GB/T </w:t>
      </w:r>
      <w:r>
        <w:rPr>
          <w:rFonts w:hint="default" w:ascii="Times New Roman" w:hAnsi="Times New Roman" w:eastAsia="宋体" w:cs="Times New Roman"/>
          <w:sz w:val="21"/>
          <w:highlight w:val="none"/>
          <w:lang w:val="en-US" w:eastAsia="zh-CN"/>
        </w:rPr>
        <w:t>34131</w:t>
      </w:r>
    </w:p>
    <w:p w14:paraId="34B356EA">
      <w:pPr>
        <w:spacing w:line="440" w:lineRule="exact"/>
        <w:ind w:firstLine="420" w:firstLineChars="200"/>
        <w:rPr>
          <w:rFonts w:ascii="Times New Roman" w:hAnsi="Times New Roman" w:eastAsia="宋体" w:cs="Times New Roman"/>
          <w:sz w:val="21"/>
          <w:highlight w:val="none"/>
        </w:rPr>
      </w:pPr>
      <w:r>
        <w:rPr>
          <w:rFonts w:ascii="Times New Roman" w:hAnsi="Times New Roman" w:eastAsia="宋体" w:cs="Times New Roman"/>
          <w:sz w:val="21"/>
          <w:highlight w:val="none"/>
        </w:rPr>
        <w:t>《分布式光伏发电系统远程监控技术规范》GB/T</w:t>
      </w:r>
      <w:r>
        <w:rPr>
          <w:rFonts w:hint="eastAsia" w:cs="Times New Roman"/>
          <w:sz w:val="21"/>
          <w:highlight w:val="none"/>
          <w:lang w:val="en-US" w:eastAsia="zh-CN"/>
        </w:rPr>
        <w:t xml:space="preserve"> </w:t>
      </w:r>
      <w:r>
        <w:rPr>
          <w:rFonts w:ascii="Times New Roman" w:hAnsi="Times New Roman" w:eastAsia="宋体" w:cs="Times New Roman"/>
          <w:sz w:val="21"/>
          <w:highlight w:val="none"/>
        </w:rPr>
        <w:t>34932</w:t>
      </w:r>
    </w:p>
    <w:p w14:paraId="0F1841ED">
      <w:pPr>
        <w:spacing w:line="440" w:lineRule="exact"/>
        <w:ind w:firstLine="420" w:firstLineChars="200"/>
        <w:rPr>
          <w:rFonts w:ascii="Times New Roman" w:hAnsi="Times New Roman" w:eastAsia="宋体" w:cs="Times New Roman"/>
          <w:sz w:val="21"/>
          <w:highlight w:val="none"/>
        </w:rPr>
      </w:pPr>
      <w:r>
        <w:rPr>
          <w:rFonts w:ascii="Times New Roman" w:hAnsi="Times New Roman" w:eastAsia="宋体" w:cs="Times New Roman"/>
          <w:sz w:val="21"/>
          <w:highlight w:val="none"/>
        </w:rPr>
        <w:t>《电力系统电化学储能系统通用技术条件》GB/T 36558</w:t>
      </w:r>
    </w:p>
    <w:p w14:paraId="2A6A2CD1">
      <w:pPr>
        <w:spacing w:line="440" w:lineRule="exact"/>
        <w:ind w:firstLine="420" w:firstLineChars="200"/>
        <w:rPr>
          <w:sz w:val="21"/>
          <w:highlight w:val="none"/>
        </w:rPr>
      </w:pPr>
      <w:r>
        <w:rPr>
          <w:sz w:val="21"/>
          <w:highlight w:val="none"/>
        </w:rPr>
        <w:t>《光伏发电接入配电网设计规范》GB/T</w:t>
      </w:r>
      <w:r>
        <w:rPr>
          <w:rFonts w:hint="eastAsia"/>
          <w:sz w:val="21"/>
          <w:highlight w:val="none"/>
          <w:lang w:val="en-US" w:eastAsia="zh-CN"/>
        </w:rPr>
        <w:t xml:space="preserve"> </w:t>
      </w:r>
      <w:r>
        <w:rPr>
          <w:sz w:val="21"/>
          <w:highlight w:val="none"/>
        </w:rPr>
        <w:t>50865</w:t>
      </w:r>
    </w:p>
    <w:p w14:paraId="299E395E">
      <w:pPr>
        <w:spacing w:line="440" w:lineRule="exact"/>
        <w:ind w:firstLine="420" w:firstLineChars="200"/>
        <w:rPr>
          <w:sz w:val="21"/>
          <w:highlight w:val="none"/>
        </w:rPr>
      </w:pPr>
      <w:r>
        <w:rPr>
          <w:sz w:val="21"/>
          <w:highlight w:val="none"/>
        </w:rPr>
        <w:t>《光伏发电站接入电力系统设计规范》GB/T</w:t>
      </w:r>
      <w:r>
        <w:rPr>
          <w:rFonts w:hint="eastAsia"/>
          <w:sz w:val="21"/>
          <w:highlight w:val="none"/>
          <w:lang w:val="en-US" w:eastAsia="zh-CN"/>
        </w:rPr>
        <w:t xml:space="preserve"> </w:t>
      </w:r>
      <w:r>
        <w:rPr>
          <w:sz w:val="21"/>
          <w:highlight w:val="none"/>
        </w:rPr>
        <w:t>50866</w:t>
      </w:r>
    </w:p>
    <w:p w14:paraId="04191DB6">
      <w:pPr>
        <w:spacing w:line="440" w:lineRule="exact"/>
        <w:ind w:firstLine="420" w:firstLineChars="200"/>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lang w:eastAsia="zh-CN"/>
        </w:rPr>
        <w:t>《建筑光伏系统应用技术标准》</w:t>
      </w:r>
      <w:r>
        <w:rPr>
          <w:rFonts w:hint="default" w:ascii="Times New Roman" w:hAnsi="Times New Roman" w:eastAsia="宋体" w:cs="Times New Roman"/>
          <w:sz w:val="21"/>
          <w:highlight w:val="none"/>
        </w:rPr>
        <w:t>GB</w:t>
      </w:r>
      <w:r>
        <w:rPr>
          <w:rFonts w:hint="default" w:ascii="Times New Roman" w:hAnsi="Times New Roman" w:eastAsia="宋体" w:cs="Times New Roman"/>
          <w:sz w:val="21"/>
          <w:highlight w:val="none"/>
          <w:lang w:val="en-US" w:eastAsia="zh-CN"/>
        </w:rPr>
        <w:t>/</w:t>
      </w:r>
      <w:r>
        <w:rPr>
          <w:rFonts w:hint="default" w:ascii="Times New Roman" w:hAnsi="Times New Roman" w:eastAsia="宋体" w:cs="Times New Roman"/>
          <w:sz w:val="21"/>
          <w:highlight w:val="none"/>
        </w:rPr>
        <w:t>T</w:t>
      </w:r>
      <w:r>
        <w:rPr>
          <w:rFonts w:hint="eastAsia" w:cs="Times New Roman"/>
          <w:sz w:val="21"/>
          <w:highlight w:val="none"/>
          <w:lang w:val="en-US" w:eastAsia="zh-CN"/>
        </w:rPr>
        <w:t xml:space="preserve"> </w:t>
      </w:r>
      <w:r>
        <w:rPr>
          <w:rFonts w:hint="default" w:ascii="Times New Roman" w:hAnsi="Times New Roman" w:eastAsia="宋体" w:cs="Times New Roman"/>
          <w:sz w:val="21"/>
          <w:highlight w:val="none"/>
        </w:rPr>
        <w:t>51368</w:t>
      </w:r>
    </w:p>
    <w:p w14:paraId="6A162D3C">
      <w:pPr>
        <w:spacing w:line="440" w:lineRule="exact"/>
        <w:ind w:firstLine="420" w:firstLineChars="200"/>
        <w:rPr>
          <w:rFonts w:hint="default" w:ascii="Times New Roman" w:hAnsi="Times New Roman" w:eastAsia="宋体" w:cs="Times New Roman"/>
          <w:sz w:val="21"/>
          <w:highlight w:val="none"/>
        </w:rPr>
      </w:pPr>
      <w:r>
        <w:rPr>
          <w:rFonts w:hint="default" w:ascii="Times New Roman" w:hAnsi="Times New Roman" w:eastAsia="宋体" w:cs="Times New Roman"/>
          <w:sz w:val="21"/>
          <w:highlight w:val="none"/>
          <w:lang w:eastAsia="zh-CN"/>
        </w:rPr>
        <w:t>《</w:t>
      </w:r>
      <w:r>
        <w:rPr>
          <w:rFonts w:hint="default" w:ascii="Times New Roman" w:hAnsi="Times New Roman" w:eastAsia="宋体" w:cs="Times New Roman"/>
          <w:sz w:val="21"/>
          <w:highlight w:val="none"/>
        </w:rPr>
        <w:t>光伏建筑一体化系统运行与维护规范</w:t>
      </w:r>
      <w:r>
        <w:rPr>
          <w:rFonts w:hint="default" w:ascii="Times New Roman" w:hAnsi="Times New Roman" w:eastAsia="宋体" w:cs="Times New Roman"/>
          <w:sz w:val="21"/>
          <w:highlight w:val="none"/>
          <w:lang w:eastAsia="zh-CN"/>
        </w:rPr>
        <w:t>》</w:t>
      </w:r>
      <w:r>
        <w:rPr>
          <w:rFonts w:hint="default" w:ascii="Times New Roman" w:hAnsi="Times New Roman" w:eastAsia="宋体" w:cs="Times New Roman"/>
          <w:sz w:val="21"/>
          <w:highlight w:val="none"/>
        </w:rPr>
        <w:t>JGJ/T 264</w:t>
      </w:r>
    </w:p>
    <w:p w14:paraId="2CC22B7E">
      <w:pPr>
        <w:widowControl/>
        <w:spacing w:line="440" w:lineRule="exact"/>
        <w:ind w:firstLine="420" w:firstLineChars="200"/>
        <w:jc w:val="left"/>
        <w:rPr>
          <w:rFonts w:ascii="Times New Roman" w:hAnsi="Times New Roman" w:eastAsia="宋体" w:cs="Times New Roman"/>
          <w:sz w:val="21"/>
          <w:highlight w:val="none"/>
        </w:rPr>
      </w:pPr>
      <w:r>
        <w:rPr>
          <w:rFonts w:hint="default" w:ascii="Times New Roman" w:hAnsi="Times New Roman" w:eastAsia="宋体" w:cs="Times New Roman"/>
          <w:sz w:val="21"/>
          <w:highlight w:val="none"/>
        </w:rPr>
        <w:t>《太阳能光伏发电系统与建筑一体化技术规程》CECS 418</w:t>
      </w:r>
    </w:p>
    <w:p w14:paraId="107F1893">
      <w:pPr>
        <w:rPr>
          <w:rFonts w:hint="default" w:eastAsia="宋体"/>
          <w:lang w:val="en-US" w:eastAsia="zh-CN"/>
        </w:rPr>
      </w:pPr>
    </w:p>
    <w:p w14:paraId="0541CF39">
      <w:pPr>
        <w:pStyle w:val="2"/>
        <w:rPr>
          <w:rFonts w:hint="default"/>
          <w:lang w:val="en-US" w:eastAsia="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E71F8A"/>
    <w:p w14:paraId="1B53D18D">
      <w:pPr>
        <w:pStyle w:val="2"/>
      </w:pPr>
    </w:p>
    <w:p w14:paraId="6B7AA58C">
      <w:pPr>
        <w:jc w:val="center"/>
        <w:rPr>
          <w:sz w:val="36"/>
          <w:szCs w:val="44"/>
        </w:rPr>
      </w:pPr>
      <w:r>
        <w:rPr>
          <w:rFonts w:hint="eastAsia"/>
          <w:sz w:val="36"/>
          <w:szCs w:val="44"/>
        </w:rPr>
        <w:t>广东省标准</w:t>
      </w:r>
    </w:p>
    <w:p w14:paraId="3D3BDEB2">
      <w:pPr>
        <w:rPr>
          <w:b/>
          <w:sz w:val="28"/>
          <w:szCs w:val="28"/>
        </w:rPr>
      </w:pPr>
    </w:p>
    <w:p w14:paraId="5B98A1C6">
      <w:pPr>
        <w:spacing w:line="240" w:lineRule="auto"/>
        <w:jc w:val="center"/>
        <w:outlineLvl w:val="9"/>
        <w:rPr>
          <w:rFonts w:hint="default" w:ascii="Times New Roman" w:hAnsi="Times New Roman"/>
          <w:b/>
          <w:bCs/>
          <w:sz w:val="48"/>
          <w:szCs w:val="48"/>
        </w:rPr>
      </w:pPr>
      <w:bookmarkStart w:id="577" w:name="_Toc9021"/>
      <w:bookmarkStart w:id="578" w:name="_Toc6171"/>
      <w:r>
        <w:rPr>
          <w:rFonts w:hint="default" w:ascii="Times New Roman" w:hAnsi="Times New Roman"/>
          <w:b/>
          <w:bCs/>
          <w:sz w:val="48"/>
          <w:szCs w:val="48"/>
        </w:rPr>
        <w:t>建筑太阳能光伏系统技术标准</w:t>
      </w:r>
      <w:bookmarkEnd w:id="577"/>
      <w:bookmarkEnd w:id="578"/>
    </w:p>
    <w:p w14:paraId="121C6EAE">
      <w:pPr>
        <w:jc w:val="center"/>
        <w:rPr>
          <w:sz w:val="32"/>
          <w:szCs w:val="32"/>
        </w:rPr>
      </w:pPr>
      <w:r>
        <w:rPr>
          <w:sz w:val="32"/>
          <w:szCs w:val="32"/>
        </w:rPr>
        <w:t xml:space="preserve">DBJ/T </w:t>
      </w:r>
      <w:r>
        <w:rPr>
          <w:sz w:val="30"/>
          <w:szCs w:val="30"/>
        </w:rPr>
        <w:t>XXX-XXXX</w:t>
      </w:r>
    </w:p>
    <w:p w14:paraId="68A8F145">
      <w:bookmarkStart w:id="579" w:name="_Toc295744075"/>
      <w:bookmarkStart w:id="580" w:name="_Toc295745298"/>
    </w:p>
    <w:p w14:paraId="405D0663">
      <w:pPr>
        <w:keepNext/>
        <w:keepLines/>
        <w:widowControl/>
        <w:snapToGrid w:val="0"/>
        <w:spacing w:before="93" w:beforeLines="30" w:after="93" w:afterLines="30" w:line="440" w:lineRule="exact"/>
        <w:jc w:val="center"/>
        <w:outlineLvl w:val="1"/>
        <w:rPr>
          <w:rFonts w:eastAsia="黑体"/>
          <w:b w:val="0"/>
          <w:bCs w:val="0"/>
          <w:sz w:val="28"/>
          <w:szCs w:val="28"/>
        </w:rPr>
      </w:pPr>
      <w:bookmarkStart w:id="581" w:name="_Toc29221"/>
      <w:bookmarkStart w:id="582" w:name="_Toc15374"/>
      <w:r>
        <w:rPr>
          <w:rFonts w:hint="default" w:eastAsia="黑体"/>
          <w:b w:val="0"/>
          <w:bCs w:val="0"/>
          <w:sz w:val="28"/>
          <w:szCs w:val="28"/>
        </w:rPr>
        <w:t>条文说明</w:t>
      </w:r>
      <w:bookmarkEnd w:id="579"/>
      <w:bookmarkEnd w:id="580"/>
      <w:bookmarkEnd w:id="581"/>
      <w:bookmarkEnd w:id="582"/>
    </w:p>
    <w:p w14:paraId="63C766BE">
      <w:pPr>
        <w:jc w:val="center"/>
        <w:rPr>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C9B82E0">
      <w:pPr>
        <w:shd w:val="clear"/>
        <w:adjustRightInd w:val="0"/>
        <w:snapToGrid w:val="0"/>
        <w:spacing w:before="93" w:beforeLines="30" w:after="93" w:afterLines="30" w:line="312" w:lineRule="auto"/>
        <w:jc w:val="center"/>
        <w:rPr>
          <w:sz w:val="24"/>
        </w:rPr>
      </w:pPr>
      <w:r>
        <w:rPr>
          <w:sz w:val="36"/>
        </w:rPr>
        <w:t>制定说明</w:t>
      </w:r>
    </w:p>
    <w:p w14:paraId="3D055183">
      <w:pPr>
        <w:shd w:val="clear"/>
        <w:adjustRightInd w:val="0"/>
        <w:snapToGrid w:val="0"/>
        <w:spacing w:before="93" w:beforeLines="30" w:after="93" w:afterLines="30" w:line="312" w:lineRule="auto"/>
        <w:ind w:firstLine="480" w:firstLineChars="200"/>
        <w:rPr>
          <w:sz w:val="24"/>
        </w:rPr>
      </w:pPr>
    </w:p>
    <w:p w14:paraId="50129264">
      <w:pPr>
        <w:shd w:val="clear"/>
        <w:adjustRightInd w:val="0"/>
        <w:snapToGrid w:val="0"/>
        <w:spacing w:before="93" w:beforeLines="30" w:after="93" w:afterLines="30" w:line="312" w:lineRule="auto"/>
        <w:ind w:firstLine="480" w:firstLineChars="200"/>
        <w:rPr>
          <w:sz w:val="24"/>
        </w:rPr>
      </w:pPr>
      <w:r>
        <w:rPr>
          <w:sz w:val="24"/>
        </w:rPr>
        <w:t>《</w:t>
      </w:r>
      <w:r>
        <w:rPr>
          <w:rFonts w:hint="eastAsia"/>
          <w:sz w:val="24"/>
        </w:rPr>
        <w:t>建筑太阳能光伏系统技术标准</w:t>
      </w:r>
      <w:r>
        <w:rPr>
          <w:sz w:val="24"/>
        </w:rPr>
        <w:t xml:space="preserve">》DBJ/T </w:t>
      </w:r>
      <w:r>
        <w:rPr>
          <w:rFonts w:hint="eastAsia"/>
          <w:sz w:val="24"/>
          <w:lang w:val="en-US" w:eastAsia="zh-CN"/>
        </w:rPr>
        <w:t>xx</w:t>
      </w:r>
      <w:r>
        <w:rPr>
          <w:sz w:val="24"/>
        </w:rPr>
        <w:t>-</w:t>
      </w:r>
      <w:r>
        <w:rPr>
          <w:rFonts w:hint="eastAsia"/>
          <w:sz w:val="24"/>
          <w:lang w:val="en-US" w:eastAsia="zh-CN"/>
        </w:rPr>
        <w:t>xxx</w:t>
      </w:r>
      <w:r>
        <w:rPr>
          <w:sz w:val="24"/>
        </w:rPr>
        <w:t>-</w:t>
      </w:r>
      <w:r>
        <w:rPr>
          <w:rFonts w:hint="eastAsia"/>
          <w:sz w:val="24"/>
          <w:lang w:val="en-US" w:eastAsia="zh-CN"/>
        </w:rPr>
        <w:t>xxxx</w:t>
      </w:r>
      <w:r>
        <w:rPr>
          <w:sz w:val="24"/>
        </w:rPr>
        <w:t>，经广东省住房和城乡建设厅20</w:t>
      </w:r>
      <w:r>
        <w:rPr>
          <w:rFonts w:hint="eastAsia"/>
          <w:sz w:val="24"/>
          <w:lang w:val="en-US" w:eastAsia="zh-CN"/>
        </w:rPr>
        <w:t>xx</w:t>
      </w:r>
      <w:r>
        <w:rPr>
          <w:sz w:val="24"/>
        </w:rPr>
        <w:t>年</w:t>
      </w:r>
      <w:r>
        <w:rPr>
          <w:rFonts w:hint="eastAsia"/>
          <w:sz w:val="24"/>
          <w:lang w:val="en-US" w:eastAsia="zh-CN"/>
        </w:rPr>
        <w:t>xx</w:t>
      </w:r>
      <w:r>
        <w:rPr>
          <w:sz w:val="24"/>
        </w:rPr>
        <w:t>月</w:t>
      </w:r>
      <w:r>
        <w:rPr>
          <w:rFonts w:hint="eastAsia"/>
          <w:sz w:val="24"/>
          <w:lang w:val="en-US" w:eastAsia="zh-CN"/>
        </w:rPr>
        <w:t>xx</w:t>
      </w:r>
      <w:r>
        <w:rPr>
          <w:sz w:val="24"/>
        </w:rPr>
        <w:t>日以粤建公告〔20</w:t>
      </w:r>
      <w:r>
        <w:rPr>
          <w:rFonts w:hint="eastAsia"/>
          <w:sz w:val="24"/>
          <w:lang w:val="en-US" w:eastAsia="zh-CN"/>
        </w:rPr>
        <w:t>xx</w:t>
      </w:r>
      <w:r>
        <w:rPr>
          <w:sz w:val="24"/>
        </w:rPr>
        <w:t>〕</w:t>
      </w:r>
      <w:r>
        <w:rPr>
          <w:rFonts w:hint="eastAsia"/>
          <w:sz w:val="24"/>
          <w:lang w:val="en-US" w:eastAsia="zh-CN"/>
        </w:rPr>
        <w:t>xx</w:t>
      </w:r>
      <w:r>
        <w:rPr>
          <w:sz w:val="24"/>
        </w:rPr>
        <w:t>号发布。</w:t>
      </w:r>
    </w:p>
    <w:p w14:paraId="3269705B">
      <w:pPr>
        <w:shd w:val="clear"/>
        <w:adjustRightInd w:val="0"/>
        <w:snapToGrid w:val="0"/>
        <w:spacing w:before="93" w:beforeLines="30" w:after="93" w:afterLines="30" w:line="312" w:lineRule="auto"/>
        <w:ind w:firstLine="480" w:firstLineChars="200"/>
        <w:rPr>
          <w:sz w:val="24"/>
        </w:rPr>
      </w:pPr>
      <w:r>
        <w:rPr>
          <w:rFonts w:hint="eastAsia"/>
          <w:sz w:val="24"/>
          <w:lang w:val="en-US" w:eastAsia="zh-CN"/>
        </w:rPr>
        <w:t>标准</w:t>
      </w:r>
      <w:r>
        <w:rPr>
          <w:sz w:val="24"/>
        </w:rPr>
        <w:t>编制组以国家标准</w:t>
      </w:r>
      <w:r>
        <w:rPr>
          <w:rFonts w:hint="eastAsia"/>
          <w:sz w:val="24"/>
        </w:rPr>
        <w:t>《建筑光伏系统应用技术标准》GB/T51368</w:t>
      </w:r>
      <w:r>
        <w:rPr>
          <w:sz w:val="24"/>
        </w:rPr>
        <w:t>为</w:t>
      </w:r>
      <w:r>
        <w:rPr>
          <w:rFonts w:hint="eastAsia"/>
          <w:sz w:val="24"/>
          <w:lang w:val="en-US" w:eastAsia="zh-CN"/>
        </w:rPr>
        <w:t>主要参考依据</w:t>
      </w:r>
      <w:r>
        <w:rPr>
          <w:sz w:val="24"/>
        </w:rPr>
        <w:t>，认真总结近年来广东省</w:t>
      </w:r>
      <w:r>
        <w:rPr>
          <w:rFonts w:hint="eastAsia"/>
          <w:sz w:val="24"/>
        </w:rPr>
        <w:t>建筑光伏系统应用</w:t>
      </w:r>
      <w:r>
        <w:rPr>
          <w:sz w:val="24"/>
        </w:rPr>
        <w:t>方面的实践和研究成果，借鉴国内、国际先进经验并在广泛征求意见的基础上对具体内容进行了反复讨论、协调和修改，最后经审查定稿。</w:t>
      </w:r>
    </w:p>
    <w:p w14:paraId="0967D960">
      <w:pPr>
        <w:shd w:val="clear"/>
        <w:adjustRightInd w:val="0"/>
        <w:snapToGrid w:val="0"/>
        <w:spacing w:before="93" w:beforeLines="30" w:after="93" w:afterLines="30" w:line="312" w:lineRule="auto"/>
        <w:ind w:firstLine="480" w:firstLineChars="200"/>
        <w:rPr>
          <w:sz w:val="24"/>
        </w:rPr>
      </w:pPr>
      <w:r>
        <w:rPr>
          <w:sz w:val="24"/>
        </w:rPr>
        <w:t>为便于广大设计、科研、学校等单位有关人员在使用本</w:t>
      </w:r>
      <w:r>
        <w:rPr>
          <w:rFonts w:hint="eastAsia"/>
          <w:sz w:val="24"/>
          <w:lang w:val="en-US" w:eastAsia="zh-CN"/>
        </w:rPr>
        <w:t>标准</w:t>
      </w:r>
      <w:r>
        <w:rPr>
          <w:sz w:val="24"/>
        </w:rPr>
        <w:t>时能正确理解和执行条文规定，</w:t>
      </w:r>
      <w:r>
        <w:rPr>
          <w:rFonts w:hint="eastAsia"/>
          <w:sz w:val="24"/>
          <w:lang w:val="en-US" w:eastAsia="zh-CN"/>
        </w:rPr>
        <w:t>标准</w:t>
      </w:r>
      <w:r>
        <w:rPr>
          <w:sz w:val="24"/>
        </w:rPr>
        <w:t>编制组按章、节、条顺序编制了本</w:t>
      </w:r>
      <w:r>
        <w:rPr>
          <w:rFonts w:hint="eastAsia"/>
          <w:sz w:val="24"/>
          <w:lang w:val="en-US" w:eastAsia="zh-CN"/>
        </w:rPr>
        <w:t>标准</w:t>
      </w:r>
      <w:r>
        <w:rPr>
          <w:sz w:val="24"/>
        </w:rPr>
        <w:t>的条文说明，对条文规定的目的、依据以及执行中需要注意的有关事项进行了说明。但是，本条文说明不具备与</w:t>
      </w:r>
      <w:r>
        <w:rPr>
          <w:rFonts w:hint="eastAsia"/>
          <w:sz w:val="24"/>
          <w:lang w:val="en-US" w:eastAsia="zh-CN"/>
        </w:rPr>
        <w:t>标准</w:t>
      </w:r>
      <w:r>
        <w:rPr>
          <w:sz w:val="24"/>
        </w:rPr>
        <w:t>正文同等的法律效力，仅供使用者作为理解和把握</w:t>
      </w:r>
      <w:r>
        <w:rPr>
          <w:rFonts w:hint="eastAsia"/>
          <w:sz w:val="24"/>
          <w:lang w:val="en-US" w:eastAsia="zh-CN"/>
        </w:rPr>
        <w:t>标准</w:t>
      </w:r>
      <w:r>
        <w:rPr>
          <w:sz w:val="24"/>
        </w:rPr>
        <w:t>规定的参考。</w:t>
      </w:r>
    </w:p>
    <w:p w14:paraId="7846DACB">
      <w:pPr>
        <w:shd w:val="clear"/>
        <w:rPr>
          <w:sz w:val="24"/>
        </w:rPr>
      </w:pPr>
      <w:r>
        <w:rPr>
          <w:sz w:val="24"/>
        </w:rPr>
        <w:br w:type="page"/>
      </w:r>
    </w:p>
    <w:p w14:paraId="6DAE4743">
      <w:pPr>
        <w:pStyle w:val="2"/>
        <w:snapToGrid w:val="0"/>
        <w:jc w:val="center"/>
        <w:rPr>
          <w:rFonts w:hint="eastAsia" w:ascii="Times New Roman" w:hAnsi="Times New Roman" w:eastAsia="宋体" w:cs="Times New Roman"/>
          <w:b/>
          <w:bCs/>
          <w:sz w:val="28"/>
          <w:szCs w:val="21"/>
          <w:lang w:val="zh-CN"/>
        </w:rPr>
      </w:pPr>
      <w:r>
        <w:rPr>
          <w:rFonts w:ascii="Times New Roman" w:hAnsi="Times New Roman" w:eastAsia="宋体" w:cs="Times New Roman"/>
          <w:b/>
          <w:bCs/>
          <w:sz w:val="28"/>
          <w:szCs w:val="21"/>
          <w:lang w:val="zh-CN"/>
        </w:rPr>
        <w:t>目</w:t>
      </w:r>
      <w:r>
        <w:rPr>
          <w:rFonts w:hint="eastAsia" w:ascii="Times New Roman" w:hAnsi="Times New Roman" w:eastAsia="宋体" w:cs="Times New Roman"/>
          <w:b/>
          <w:bCs/>
          <w:sz w:val="28"/>
          <w:szCs w:val="21"/>
          <w:lang w:val="en-US" w:eastAsia="zh-CN"/>
        </w:rPr>
        <w:t xml:space="preserve">  </w:t>
      </w:r>
      <w:r>
        <w:rPr>
          <w:rFonts w:hint="eastAsia" w:ascii="Times New Roman" w:hAnsi="Times New Roman" w:eastAsia="宋体" w:cs="Times New Roman"/>
          <w:b/>
          <w:bCs/>
          <w:sz w:val="28"/>
          <w:szCs w:val="21"/>
          <w:u w:val="dotted"/>
          <w:lang w:val="en-US" w:eastAsia="zh-CN"/>
        </w:rPr>
        <w:t>次</w:t>
      </w:r>
    </w:p>
    <w:p w14:paraId="42A7020A">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TOC \o "1-3" \h \z \u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_Toc18868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 总则</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3D5AB35C">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_Toc4260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2 术语</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7DB42A50">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_Toc18584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3 基本规定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4B4C0EB6">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_Toc5210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 设备和材料</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091BD0E0">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_Toc17362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4.1一般规定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23CAF029">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_Toc13924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4.2光伏组件</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04B1BDB5">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_Toc28717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4.3材料</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7A6959F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_Toc4352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逆变器</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230DE85E">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_Toc31728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储能系统</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08342A32">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_Toc1324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 设计</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2C10DF5">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_Toc23037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5.1一般规定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2F7A98DC">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_Toc9547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5.2规划</w:t>
      </w:r>
      <w:r>
        <w:rPr>
          <w:rFonts w:hint="default" w:ascii="Times New Roman" w:hAnsi="Times New Roman" w:eastAsia="宋体" w:cs="Times New Roman"/>
          <w:sz w:val="24"/>
          <w:szCs w:val="24"/>
          <w:lang w:val="en-US" w:eastAsia="zh-CN"/>
        </w:rPr>
        <w:t>和建筑</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54023A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_Toc3407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组件</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09AEC38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_Toc16868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构造</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102C4A7E">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_Toc16117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 结构设计</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163A8C2B">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_Toc5446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6.1一般规定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1835F28">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_Toc13410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6.3荷载和作用</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71D9D9C">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_Toc28215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 光伏发电系统设计</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65F94C25">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_Toc29930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7.1一般规定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1EAA873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_Toc24955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7.4光伏发电系统发电量估算</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667BDA52">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_Toc14604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7.5防雷与接地</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183EE53F">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_Toc25902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8 光伏发电系统接入</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169CB09B">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_Toc32156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智能运行</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223CA2FC">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_Toc8725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 xml:space="preserve"> 给排水设计</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D33F72A">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_Toc27181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9FFDC7A">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_Toc20049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.2屋面排水</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390B9BBF">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_Toc5396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 xml:space="preserve"> 工程施工</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32E0D476">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_Toc28584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37906E4E">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_Toc2529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.2土建工程</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197C0CF1">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_Toc3460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.3光伏组件安装</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6191A4D1">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_Toc23331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.4电气安装</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0B51A3F3">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_Toc14941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.5系统调试</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8682825">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_Toc24597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 消防</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6CC49A47">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_Toc21045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.2防火</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332B2E5C">
      <w:pPr>
        <w:pStyle w:val="14"/>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_Toc12182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xml:space="preserve"> 运行与维护</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55038B14">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_Toc9415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.1一般规定</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7C5408D1">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_Toc17810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建筑</w:t>
      </w:r>
      <w:r>
        <w:rPr>
          <w:rFonts w:hint="default" w:ascii="Times New Roman" w:hAnsi="Times New Roman" w:eastAsia="宋体" w:cs="Times New Roman"/>
          <w:sz w:val="24"/>
          <w:szCs w:val="24"/>
        </w:rPr>
        <w:t>运行管理</w:t>
      </w:r>
      <w:r>
        <w:rPr>
          <w:rFonts w:hint="default" w:ascii="Times New Roman" w:hAnsi="Times New Roman" w:eastAsia="宋体" w:cs="Times New Roman"/>
          <w:sz w:val="24"/>
          <w:szCs w:val="24"/>
          <w:lang w:val="en-US" w:eastAsia="zh-CN"/>
        </w:rPr>
        <w:t>与维护</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4CA34C0D">
      <w:pPr>
        <w:pStyle w:val="8"/>
        <w:tabs>
          <w:tab w:val="right" w:leader="dot" w:pos="8306"/>
        </w:tabs>
        <w:rPr>
          <w:rFonts w:hint="default" w:ascii="Times New Roman" w:hAnsi="Times New Roman" w:eastAsia="宋体" w:cs="Times New Roman"/>
          <w:sz w:val="24"/>
        </w:rPr>
      </w:pPr>
      <w:r>
        <w:rPr>
          <w:rFonts w:hint="default" w:ascii="Times New Roman" w:hAnsi="Times New Roman" w:eastAsia="宋体" w:cs="Times New Roman"/>
          <w:bCs/>
          <w:sz w:val="24"/>
          <w:lang w:val="zh-CN"/>
        </w:rPr>
        <w:fldChar w:fldCharType="begin"/>
      </w:r>
      <w:r>
        <w:rPr>
          <w:rFonts w:hint="default" w:ascii="Times New Roman" w:hAnsi="Times New Roman" w:eastAsia="宋体" w:cs="Times New Roman"/>
          <w:bCs/>
          <w:sz w:val="24"/>
          <w:lang w:val="zh-CN"/>
        </w:rPr>
        <w:instrText xml:space="preserve"> HYPERLINK \l _Toc3659 </w:instrText>
      </w:r>
      <w:r>
        <w:rPr>
          <w:rFonts w:hint="default" w:ascii="Times New Roman" w:hAnsi="Times New Roman" w:eastAsia="宋体" w:cs="Times New Roman"/>
          <w:bCs/>
          <w:sz w:val="24"/>
          <w:lang w:val="zh-CN"/>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lang w:val="en-US" w:eastAsia="zh-CN"/>
        </w:rPr>
        <w:t>光伏系统</w:t>
      </w:r>
      <w:r>
        <w:rPr>
          <w:rFonts w:hint="default" w:ascii="Times New Roman" w:hAnsi="Times New Roman" w:eastAsia="宋体" w:cs="Times New Roman"/>
          <w:sz w:val="24"/>
          <w:szCs w:val="24"/>
        </w:rPr>
        <w:t>运行管理</w:t>
      </w:r>
      <w:r>
        <w:rPr>
          <w:rFonts w:hint="default" w:ascii="Times New Roman" w:hAnsi="Times New Roman" w:eastAsia="宋体" w:cs="Times New Roman"/>
          <w:sz w:val="24"/>
          <w:szCs w:val="24"/>
          <w:lang w:val="en-US" w:eastAsia="zh-CN"/>
        </w:rPr>
        <w:t>与维护</w:t>
      </w:r>
      <w:r>
        <w:rPr>
          <w:rFonts w:hint="default" w:ascii="Times New Roman" w:hAnsi="Times New Roman" w:eastAsia="宋体" w:cs="Times New Roman"/>
          <w:sz w:val="24"/>
        </w:rPr>
        <w:tab/>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bCs/>
          <w:sz w:val="24"/>
          <w:lang w:val="zh-CN"/>
        </w:rPr>
        <w:fldChar w:fldCharType="end"/>
      </w:r>
    </w:p>
    <w:p w14:paraId="65E92DC4">
      <w:pPr>
        <w:pStyle w:val="14"/>
        <w:tabs>
          <w:tab w:val="right" w:leader="dot" w:pos="8306"/>
        </w:tabs>
        <w:rPr>
          <w:rFonts w:hint="default" w:ascii="Times New Roman" w:hAnsi="Times New Roman" w:eastAsia="宋体" w:cs="Times New Roman"/>
          <w:sz w:val="24"/>
        </w:rPr>
      </w:pPr>
    </w:p>
    <w:p w14:paraId="6D270971">
      <w:pPr>
        <w:snapToGrid w:val="0"/>
        <w:spacing w:line="300" w:lineRule="auto"/>
        <w:rPr>
          <w:b/>
          <w:bCs/>
          <w:lang w:val="zh-CN"/>
        </w:rPr>
      </w:pPr>
      <w:r>
        <w:rPr>
          <w:rFonts w:hint="default" w:ascii="Times New Roman" w:hAnsi="Times New Roman" w:eastAsia="宋体" w:cs="Times New Roman"/>
          <w:b/>
          <w:bCs/>
          <w:sz w:val="24"/>
          <w:lang w:val="zh-CN"/>
        </w:rPr>
        <w:fldChar w:fldCharType="end"/>
      </w:r>
    </w:p>
    <w:p w14:paraId="1FD3DFE8">
      <w:pPr>
        <w:pStyle w:val="3"/>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HZ9-PK7483ab-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BZ9-PK748371-Identity-H">
    <w:altName w:val="Segoe Print"/>
    <w:panose1 w:val="00000000000000000000"/>
    <w:charset w:val="00"/>
    <w:family w:val="auto"/>
    <w:pitch w:val="default"/>
    <w:sig w:usb0="00000000" w:usb1="00000000" w:usb2="00000000" w:usb3="00000000" w:csb0="00000000" w:csb1="00000000"/>
  </w:font>
  <w:font w:name="FZSSK-GBK1-020000782-Identity-H">
    <w:altName w:val="Segoe Print"/>
    <w:panose1 w:val="00000000000000000000"/>
    <w:charset w:val="00"/>
    <w:family w:val="auto"/>
    <w:pitch w:val="default"/>
    <w:sig w:usb0="00000000" w:usb1="00000000" w:usb2="00000000" w:usb3="00000000" w:csb0="00000000" w:csb1="00000000"/>
  </w:font>
  <w:font w:name="H-SS9-PK74820000783-Identity-H">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FZSSJW--GB1-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89F6">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77840">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B777840">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9117">
    <w:pPr>
      <w:pStyle w:val="11"/>
      <w:tabs>
        <w:tab w:val="center" w:pos="4536"/>
        <w:tab w:val="clear" w:pos="4153"/>
      </w:tabs>
      <w:jc w:val="both"/>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581F6">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8581F6">
                    <w:pPr>
                      <w:pStyle w:val="11"/>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6073">
    <w:pPr>
      <w:pStyle w:val="11"/>
      <w:framePr w:wrap="around" w:vAnchor="text" w:hAnchor="margin" w:xAlign="center" w:y="1"/>
      <w:rPr>
        <w:rStyle w:val="19"/>
        <w:rFonts w:hint="default"/>
      </w:rPr>
    </w:pPr>
    <w:r>
      <w:fldChar w:fldCharType="begin"/>
    </w:r>
    <w:r>
      <w:rPr>
        <w:rStyle w:val="19"/>
        <w:rFonts w:hint="default"/>
      </w:rPr>
      <w:instrText xml:space="preserve">PAGE  </w:instrText>
    </w:r>
    <w:r>
      <w:fldChar w:fldCharType="end"/>
    </w:r>
  </w:p>
  <w:p w14:paraId="64FE3DB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26EF8">
    <w:pPr>
      <w:pStyle w:val="11"/>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018E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77018E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0A2A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3ECB">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E37B">
    <w:pPr>
      <w:pStyle w:val="11"/>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A47F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1BA47F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4865">
    <w:pPr>
      <w:pStyle w:val="11"/>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C052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120C052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23BE">
    <w:pPr>
      <w:pStyle w:val="11"/>
      <w:jc w:val="center"/>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73472137"/>
                          </w:sdtPr>
                          <w:sdtEndPr>
                            <w:rPr>
                              <w:sz w:val="21"/>
                              <w:szCs w:val="21"/>
                            </w:rPr>
                          </w:sdtEndPr>
                          <w:sdtContent>
                            <w:p w14:paraId="270A3EC5">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490F316">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573472137"/>
                    </w:sdtPr>
                    <w:sdtEndPr>
                      <w:rPr>
                        <w:sz w:val="21"/>
                        <w:szCs w:val="21"/>
                      </w:rPr>
                    </w:sdtEndPr>
                    <w:sdtContent>
                      <w:p w14:paraId="270A3EC5">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490F316">
                    <w:pPr>
                      <w:pStyle w:val="2"/>
                    </w:pPr>
                  </w:p>
                </w:txbxContent>
              </v:textbox>
            </v:shape>
          </w:pict>
        </mc:Fallback>
      </mc:AlternateContent>
    </w:r>
  </w:p>
  <w:p w14:paraId="274700B2">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FF31">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D9BF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AFD9BF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39D5"/>
    <w:multiLevelType w:val="singleLevel"/>
    <w:tmpl w:val="FF8639D5"/>
    <w:lvl w:ilvl="0" w:tentative="0">
      <w:start w:val="1"/>
      <w:numFmt w:val="decimal"/>
      <w:suff w:val="nothing"/>
      <w:lvlText w:val="%1）"/>
      <w:lvlJc w:val="left"/>
    </w:lvl>
  </w:abstractNum>
  <w:abstractNum w:abstractNumId="1">
    <w:nsid w:val="6CEA2025"/>
    <w:multiLevelType w:val="multilevel"/>
    <w:tmpl w:val="6CEA2025"/>
    <w:lvl w:ilvl="0" w:tentative="0">
      <w:start w:val="1"/>
      <w:numFmt w:val="none"/>
      <w:pStyle w:val="29"/>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0AB"/>
    <w:rsid w:val="00000D79"/>
    <w:rsid w:val="000377F7"/>
    <w:rsid w:val="00061D57"/>
    <w:rsid w:val="0006675E"/>
    <w:rsid w:val="000A40AB"/>
    <w:rsid w:val="000A532D"/>
    <w:rsid w:val="000B1EA2"/>
    <w:rsid w:val="000C0690"/>
    <w:rsid w:val="000F0A97"/>
    <w:rsid w:val="001118D6"/>
    <w:rsid w:val="001341D7"/>
    <w:rsid w:val="00165901"/>
    <w:rsid w:val="00203F50"/>
    <w:rsid w:val="00217CD8"/>
    <w:rsid w:val="00242245"/>
    <w:rsid w:val="00244C94"/>
    <w:rsid w:val="002D02BB"/>
    <w:rsid w:val="002F3DFD"/>
    <w:rsid w:val="003149D2"/>
    <w:rsid w:val="00363633"/>
    <w:rsid w:val="0038621F"/>
    <w:rsid w:val="003954C2"/>
    <w:rsid w:val="003A643E"/>
    <w:rsid w:val="00426ACC"/>
    <w:rsid w:val="0044530D"/>
    <w:rsid w:val="00471810"/>
    <w:rsid w:val="004A41B6"/>
    <w:rsid w:val="00705AC6"/>
    <w:rsid w:val="00724D24"/>
    <w:rsid w:val="007975DD"/>
    <w:rsid w:val="007A563E"/>
    <w:rsid w:val="007A778C"/>
    <w:rsid w:val="007F5E65"/>
    <w:rsid w:val="00811F7F"/>
    <w:rsid w:val="008345D3"/>
    <w:rsid w:val="00861890"/>
    <w:rsid w:val="00877868"/>
    <w:rsid w:val="00970E3D"/>
    <w:rsid w:val="009852E6"/>
    <w:rsid w:val="00995BDF"/>
    <w:rsid w:val="009C3AF8"/>
    <w:rsid w:val="009F39AA"/>
    <w:rsid w:val="00A82FD9"/>
    <w:rsid w:val="00AB5FFD"/>
    <w:rsid w:val="00AF0259"/>
    <w:rsid w:val="00B743A7"/>
    <w:rsid w:val="00BD341C"/>
    <w:rsid w:val="00BD6915"/>
    <w:rsid w:val="00C01CDB"/>
    <w:rsid w:val="00C07881"/>
    <w:rsid w:val="00C563DC"/>
    <w:rsid w:val="00C7046E"/>
    <w:rsid w:val="00CF3818"/>
    <w:rsid w:val="00CF5FED"/>
    <w:rsid w:val="00D24618"/>
    <w:rsid w:val="00D30D88"/>
    <w:rsid w:val="00D77BF8"/>
    <w:rsid w:val="00D824A6"/>
    <w:rsid w:val="00DE3664"/>
    <w:rsid w:val="00E23485"/>
    <w:rsid w:val="00E324AE"/>
    <w:rsid w:val="00E57461"/>
    <w:rsid w:val="00E827B5"/>
    <w:rsid w:val="00EF6707"/>
    <w:rsid w:val="00F53669"/>
    <w:rsid w:val="00FB7874"/>
    <w:rsid w:val="019C35EE"/>
    <w:rsid w:val="021F2212"/>
    <w:rsid w:val="02B34B7A"/>
    <w:rsid w:val="02D4025F"/>
    <w:rsid w:val="045B4339"/>
    <w:rsid w:val="05557349"/>
    <w:rsid w:val="05A37CCE"/>
    <w:rsid w:val="05D13AFD"/>
    <w:rsid w:val="06FC4695"/>
    <w:rsid w:val="07A35E68"/>
    <w:rsid w:val="07A94915"/>
    <w:rsid w:val="088038FF"/>
    <w:rsid w:val="089B1A9B"/>
    <w:rsid w:val="08BF37EF"/>
    <w:rsid w:val="08FA7042"/>
    <w:rsid w:val="09091000"/>
    <w:rsid w:val="096B6D32"/>
    <w:rsid w:val="097A7FD3"/>
    <w:rsid w:val="099A78CF"/>
    <w:rsid w:val="099D0093"/>
    <w:rsid w:val="09E077EE"/>
    <w:rsid w:val="0A2A1161"/>
    <w:rsid w:val="0B5523B9"/>
    <w:rsid w:val="0B78105E"/>
    <w:rsid w:val="0C2A7A8F"/>
    <w:rsid w:val="0C9308B1"/>
    <w:rsid w:val="0DAA0307"/>
    <w:rsid w:val="0ED53387"/>
    <w:rsid w:val="0ED76600"/>
    <w:rsid w:val="0EE43F5B"/>
    <w:rsid w:val="0EE574DD"/>
    <w:rsid w:val="0F485DF0"/>
    <w:rsid w:val="0F8D1A5A"/>
    <w:rsid w:val="0FE81425"/>
    <w:rsid w:val="117F5232"/>
    <w:rsid w:val="12343372"/>
    <w:rsid w:val="1266673E"/>
    <w:rsid w:val="128D0B7C"/>
    <w:rsid w:val="12DC4FAB"/>
    <w:rsid w:val="13B0435A"/>
    <w:rsid w:val="13C103B9"/>
    <w:rsid w:val="15890DE2"/>
    <w:rsid w:val="15DE1473"/>
    <w:rsid w:val="15FA419B"/>
    <w:rsid w:val="19BD21C8"/>
    <w:rsid w:val="1A100F3D"/>
    <w:rsid w:val="1AB11224"/>
    <w:rsid w:val="1AE42494"/>
    <w:rsid w:val="1B13216D"/>
    <w:rsid w:val="1B3A5814"/>
    <w:rsid w:val="1B440113"/>
    <w:rsid w:val="1BFE02D1"/>
    <w:rsid w:val="1C87045D"/>
    <w:rsid w:val="1CE74140"/>
    <w:rsid w:val="1D493536"/>
    <w:rsid w:val="1DF13600"/>
    <w:rsid w:val="1DF30CC3"/>
    <w:rsid w:val="1EC91CB5"/>
    <w:rsid w:val="1F833C2E"/>
    <w:rsid w:val="20DC1463"/>
    <w:rsid w:val="22103E76"/>
    <w:rsid w:val="22837CA6"/>
    <w:rsid w:val="22FF0EDA"/>
    <w:rsid w:val="2306700F"/>
    <w:rsid w:val="230C3B8F"/>
    <w:rsid w:val="238333BC"/>
    <w:rsid w:val="24147922"/>
    <w:rsid w:val="242547C5"/>
    <w:rsid w:val="24836498"/>
    <w:rsid w:val="249E2681"/>
    <w:rsid w:val="24E53415"/>
    <w:rsid w:val="250441E3"/>
    <w:rsid w:val="252943A5"/>
    <w:rsid w:val="252D0FCC"/>
    <w:rsid w:val="262F1E2D"/>
    <w:rsid w:val="2647471E"/>
    <w:rsid w:val="274D56D3"/>
    <w:rsid w:val="2750388E"/>
    <w:rsid w:val="278D4B7E"/>
    <w:rsid w:val="27AE6469"/>
    <w:rsid w:val="27F97454"/>
    <w:rsid w:val="28956124"/>
    <w:rsid w:val="289D3530"/>
    <w:rsid w:val="28F61640"/>
    <w:rsid w:val="29204CCD"/>
    <w:rsid w:val="29420F7E"/>
    <w:rsid w:val="29CE2854"/>
    <w:rsid w:val="29E81F1C"/>
    <w:rsid w:val="2AD32C98"/>
    <w:rsid w:val="2B686AB1"/>
    <w:rsid w:val="2BD91E87"/>
    <w:rsid w:val="2CB25723"/>
    <w:rsid w:val="2CF73565"/>
    <w:rsid w:val="2D4A4E5E"/>
    <w:rsid w:val="2DB17E40"/>
    <w:rsid w:val="2DFF535F"/>
    <w:rsid w:val="2E062086"/>
    <w:rsid w:val="2E0954D8"/>
    <w:rsid w:val="2E204225"/>
    <w:rsid w:val="2E2831C7"/>
    <w:rsid w:val="2E821F8B"/>
    <w:rsid w:val="2ED16936"/>
    <w:rsid w:val="303774D1"/>
    <w:rsid w:val="307B7856"/>
    <w:rsid w:val="308A07A2"/>
    <w:rsid w:val="31393DCE"/>
    <w:rsid w:val="318A50C3"/>
    <w:rsid w:val="32C82A45"/>
    <w:rsid w:val="332C3305"/>
    <w:rsid w:val="334A1CFF"/>
    <w:rsid w:val="34182F8C"/>
    <w:rsid w:val="34856DB9"/>
    <w:rsid w:val="34DE71E7"/>
    <w:rsid w:val="353201D7"/>
    <w:rsid w:val="353D7F83"/>
    <w:rsid w:val="359C4F1F"/>
    <w:rsid w:val="360311CD"/>
    <w:rsid w:val="36203DA1"/>
    <w:rsid w:val="36767569"/>
    <w:rsid w:val="37305851"/>
    <w:rsid w:val="37BA0886"/>
    <w:rsid w:val="380B2CC0"/>
    <w:rsid w:val="39AD47AD"/>
    <w:rsid w:val="3A526495"/>
    <w:rsid w:val="3AF27257"/>
    <w:rsid w:val="3BBA15CB"/>
    <w:rsid w:val="3C787A37"/>
    <w:rsid w:val="3CED5E2F"/>
    <w:rsid w:val="3DB027D2"/>
    <w:rsid w:val="3EAE784F"/>
    <w:rsid w:val="3EBF15D8"/>
    <w:rsid w:val="3EF252A0"/>
    <w:rsid w:val="3F0D0E04"/>
    <w:rsid w:val="3FB40682"/>
    <w:rsid w:val="3FB91811"/>
    <w:rsid w:val="3FF55E7C"/>
    <w:rsid w:val="4007741B"/>
    <w:rsid w:val="413260C8"/>
    <w:rsid w:val="418F446A"/>
    <w:rsid w:val="41D2451C"/>
    <w:rsid w:val="41D41D6E"/>
    <w:rsid w:val="4274584B"/>
    <w:rsid w:val="4293696B"/>
    <w:rsid w:val="44224F14"/>
    <w:rsid w:val="442C1EEB"/>
    <w:rsid w:val="447D2CD7"/>
    <w:rsid w:val="44871D32"/>
    <w:rsid w:val="44FE57D7"/>
    <w:rsid w:val="4515727A"/>
    <w:rsid w:val="45242060"/>
    <w:rsid w:val="46023C90"/>
    <w:rsid w:val="46182E91"/>
    <w:rsid w:val="468810E6"/>
    <w:rsid w:val="46A51309"/>
    <w:rsid w:val="473C6FF6"/>
    <w:rsid w:val="47537093"/>
    <w:rsid w:val="479B3611"/>
    <w:rsid w:val="47BE6742"/>
    <w:rsid w:val="48B26B10"/>
    <w:rsid w:val="48FC5D05"/>
    <w:rsid w:val="495E69EE"/>
    <w:rsid w:val="49AB6933"/>
    <w:rsid w:val="4A1B0542"/>
    <w:rsid w:val="4AA81B67"/>
    <w:rsid w:val="4AC7413B"/>
    <w:rsid w:val="4B1E418C"/>
    <w:rsid w:val="4B342EB7"/>
    <w:rsid w:val="4C567460"/>
    <w:rsid w:val="4C7A0720"/>
    <w:rsid w:val="4C7B36AF"/>
    <w:rsid w:val="4C7B5190"/>
    <w:rsid w:val="4CA47AFA"/>
    <w:rsid w:val="4D351206"/>
    <w:rsid w:val="4E126DB3"/>
    <w:rsid w:val="4E9B6076"/>
    <w:rsid w:val="4E9F19BC"/>
    <w:rsid w:val="4F6457CE"/>
    <w:rsid w:val="4FDD63B1"/>
    <w:rsid w:val="50FC089B"/>
    <w:rsid w:val="51F71A67"/>
    <w:rsid w:val="521C3321"/>
    <w:rsid w:val="5240032D"/>
    <w:rsid w:val="52861B73"/>
    <w:rsid w:val="52BA0AFE"/>
    <w:rsid w:val="53CB423F"/>
    <w:rsid w:val="53F90EAD"/>
    <w:rsid w:val="543C0A5F"/>
    <w:rsid w:val="546A4EC4"/>
    <w:rsid w:val="54717DB0"/>
    <w:rsid w:val="54765966"/>
    <w:rsid w:val="54F75C9D"/>
    <w:rsid w:val="55154CF3"/>
    <w:rsid w:val="559304F1"/>
    <w:rsid w:val="56661B31"/>
    <w:rsid w:val="57BC16D3"/>
    <w:rsid w:val="57D16712"/>
    <w:rsid w:val="58417CC5"/>
    <w:rsid w:val="58614E0C"/>
    <w:rsid w:val="58E608E9"/>
    <w:rsid w:val="59C8334B"/>
    <w:rsid w:val="5A21350F"/>
    <w:rsid w:val="5A317606"/>
    <w:rsid w:val="5A4F7C8D"/>
    <w:rsid w:val="5AA61FE2"/>
    <w:rsid w:val="5B3A58BA"/>
    <w:rsid w:val="5BCC12BC"/>
    <w:rsid w:val="5C2B06C5"/>
    <w:rsid w:val="5C2B6BEA"/>
    <w:rsid w:val="5C6546C4"/>
    <w:rsid w:val="5C846E1A"/>
    <w:rsid w:val="5E66499C"/>
    <w:rsid w:val="5E980151"/>
    <w:rsid w:val="5F090A3E"/>
    <w:rsid w:val="5F183F3B"/>
    <w:rsid w:val="5F555B6A"/>
    <w:rsid w:val="5FA30CC1"/>
    <w:rsid w:val="5FF414A2"/>
    <w:rsid w:val="610F0EBC"/>
    <w:rsid w:val="61A56B18"/>
    <w:rsid w:val="62A05609"/>
    <w:rsid w:val="62A34AE2"/>
    <w:rsid w:val="62DC26BD"/>
    <w:rsid w:val="63222E31"/>
    <w:rsid w:val="64593661"/>
    <w:rsid w:val="666B0E1F"/>
    <w:rsid w:val="66B628E5"/>
    <w:rsid w:val="67376100"/>
    <w:rsid w:val="67412DF6"/>
    <w:rsid w:val="68C40E4D"/>
    <w:rsid w:val="691F0930"/>
    <w:rsid w:val="69D408C2"/>
    <w:rsid w:val="6A80032C"/>
    <w:rsid w:val="6A8141D5"/>
    <w:rsid w:val="6A840EC7"/>
    <w:rsid w:val="6AAE0F20"/>
    <w:rsid w:val="6BA82ED1"/>
    <w:rsid w:val="6C946073"/>
    <w:rsid w:val="6CB06CB1"/>
    <w:rsid w:val="6D207945"/>
    <w:rsid w:val="6DF02A81"/>
    <w:rsid w:val="6E964EF7"/>
    <w:rsid w:val="6E9D35C2"/>
    <w:rsid w:val="6F356C51"/>
    <w:rsid w:val="6F924541"/>
    <w:rsid w:val="701F0781"/>
    <w:rsid w:val="70EC4F09"/>
    <w:rsid w:val="71334DC6"/>
    <w:rsid w:val="72446357"/>
    <w:rsid w:val="72DF407A"/>
    <w:rsid w:val="74497A6F"/>
    <w:rsid w:val="75272CF9"/>
    <w:rsid w:val="7547487A"/>
    <w:rsid w:val="7556317C"/>
    <w:rsid w:val="762F4E99"/>
    <w:rsid w:val="7780039E"/>
    <w:rsid w:val="77A13E79"/>
    <w:rsid w:val="77EF6453"/>
    <w:rsid w:val="780743A3"/>
    <w:rsid w:val="78103D37"/>
    <w:rsid w:val="789012BB"/>
    <w:rsid w:val="790D15C3"/>
    <w:rsid w:val="7A141241"/>
    <w:rsid w:val="7A7D4503"/>
    <w:rsid w:val="7B1D7C6E"/>
    <w:rsid w:val="7B534A10"/>
    <w:rsid w:val="7BE72415"/>
    <w:rsid w:val="7C085AAC"/>
    <w:rsid w:val="7C3C70B0"/>
    <w:rsid w:val="7CCD5B18"/>
    <w:rsid w:val="7CD66291"/>
    <w:rsid w:val="7D010F59"/>
    <w:rsid w:val="7E021846"/>
    <w:rsid w:val="7E465F69"/>
    <w:rsid w:val="7E617C36"/>
    <w:rsid w:val="7F253F27"/>
    <w:rsid w:val="7F75428A"/>
    <w:rsid w:val="7F8C61A1"/>
    <w:rsid w:val="7FFE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napToGrid w:val="0"/>
      <w:spacing w:line="360" w:lineRule="auto"/>
      <w:jc w:val="center"/>
      <w:outlineLvl w:val="2"/>
    </w:pPr>
    <w:rPr>
      <w:sz w:val="24"/>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qFormat/>
    <w:uiPriority w:val="0"/>
    <w:pPr>
      <w:jc w:val="left"/>
    </w:pPr>
  </w:style>
  <w:style w:type="paragraph" w:styleId="8">
    <w:name w:val="toc 3"/>
    <w:basedOn w:val="1"/>
    <w:next w:val="1"/>
    <w:qFormat/>
    <w:uiPriority w:val="39"/>
    <w:pPr>
      <w:ind w:left="840" w:leftChars="400"/>
    </w:pPr>
  </w:style>
  <w:style w:type="paragraph" w:styleId="9">
    <w:name w:val="Date"/>
    <w:basedOn w:val="1"/>
    <w:next w:val="1"/>
    <w:link w:val="31"/>
    <w:qFormat/>
    <w:uiPriority w:val="0"/>
    <w:pPr>
      <w:ind w:left="100" w:leftChars="2500"/>
    </w:pPr>
  </w:style>
  <w:style w:type="paragraph" w:styleId="10">
    <w:name w:val="endnote text"/>
    <w:basedOn w:val="1"/>
    <w:qFormat/>
    <w:uiPriority w:val="0"/>
    <w:pPr>
      <w:snapToGrid w:val="0"/>
      <w:jc w:val="left"/>
    </w:pPr>
    <w:rPr>
      <w:kern w:val="0"/>
      <w:sz w:val="20"/>
      <w:szCs w:val="24"/>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39"/>
    <w:pPr>
      <w:ind w:left="420" w:left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qFormat/>
    <w:uiPriority w:val="0"/>
    <w:rPr>
      <w:rFonts w:hint="eastAsia" w:ascii="Times New Roman" w:hAnsi="Times New Roman" w:eastAsia="宋体" w:cs="Times New Roman"/>
    </w:rPr>
  </w:style>
  <w:style w:type="character" w:styleId="20">
    <w:name w:val="Emphasis"/>
    <w:basedOn w:val="17"/>
    <w:qFormat/>
    <w:uiPriority w:val="0"/>
    <w:rPr>
      <w:i/>
    </w:rPr>
  </w:style>
  <w:style w:type="character" w:styleId="21">
    <w:name w:val="Hyperlink"/>
    <w:basedOn w:val="17"/>
    <w:unhideWhenUsed/>
    <w:qFormat/>
    <w:uiPriority w:val="99"/>
    <w:rPr>
      <w:color w:val="0563C1" w:themeColor="hyperlink"/>
      <w:u w:val="single"/>
      <w14:textFill>
        <w14:solidFill>
          <w14:schemeClr w14:val="hlink"/>
        </w14:solidFill>
      </w14:textFill>
    </w:rPr>
  </w:style>
  <w:style w:type="paragraph" w:customStyle="1" w:styleId="22">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fontstyle01"/>
    <w:basedOn w:val="17"/>
    <w:qFormat/>
    <w:uiPriority w:val="0"/>
    <w:rPr>
      <w:rFonts w:ascii="E-HZ9-PK7483ab-Identity-H" w:hAnsi="E-HZ9-PK7483ab-Identity-H" w:eastAsia="E-HZ9-PK7483ab-Identity-H" w:cs="E-HZ9-PK7483ab-Identity-H"/>
      <w:color w:val="000000"/>
      <w:sz w:val="20"/>
      <w:szCs w:val="20"/>
    </w:rPr>
  </w:style>
  <w:style w:type="character" w:customStyle="1" w:styleId="24">
    <w:name w:val="fontstyle11"/>
    <w:basedOn w:val="17"/>
    <w:qFormat/>
    <w:uiPriority w:val="0"/>
    <w:rPr>
      <w:rFonts w:ascii="E-BZ9-PK748371-Identity-H" w:hAnsi="E-BZ9-PK748371-Identity-H" w:eastAsia="E-BZ9-PK748371-Identity-H" w:cs="E-BZ9-PK748371-Identity-H"/>
      <w:color w:val="000000"/>
      <w:sz w:val="20"/>
      <w:szCs w:val="20"/>
    </w:rPr>
  </w:style>
  <w:style w:type="character" w:customStyle="1" w:styleId="25">
    <w:name w:val="fontstyle31"/>
    <w:basedOn w:val="17"/>
    <w:qFormat/>
    <w:uiPriority w:val="0"/>
    <w:rPr>
      <w:rFonts w:ascii="FZSSK-GBK1-020000782-Identity-H" w:hAnsi="FZSSK-GBK1-020000782-Identity-H" w:eastAsia="FZSSK-GBK1-020000782-Identity-H" w:cs="FZSSK-GBK1-020000782-Identity-H"/>
      <w:color w:val="000000"/>
      <w:sz w:val="20"/>
      <w:szCs w:val="20"/>
    </w:rPr>
  </w:style>
  <w:style w:type="character" w:customStyle="1" w:styleId="26">
    <w:name w:val="fontstyle41"/>
    <w:basedOn w:val="17"/>
    <w:qFormat/>
    <w:uiPriority w:val="0"/>
    <w:rPr>
      <w:rFonts w:ascii="H-SS9-PK74820000783-Identity-H" w:hAnsi="H-SS9-PK74820000783-Identity-H" w:eastAsia="H-SS9-PK74820000783-Identity-H" w:cs="H-SS9-PK74820000783-Identity-H"/>
      <w:color w:val="000000"/>
      <w:sz w:val="20"/>
      <w:szCs w:val="20"/>
    </w:rPr>
  </w:style>
  <w:style w:type="character" w:customStyle="1" w:styleId="27">
    <w:name w:val="fontstyle21"/>
    <w:basedOn w:val="17"/>
    <w:qFormat/>
    <w:uiPriority w:val="0"/>
    <w:rPr>
      <w:rFonts w:hint="default" w:ascii="Times New Roman" w:hAnsi="Times New Roman" w:cs="Times New Roman"/>
      <w:color w:val="000000"/>
      <w:sz w:val="32"/>
      <w:szCs w:val="32"/>
    </w:rPr>
  </w:style>
  <w:style w:type="paragraph" w:customStyle="1" w:styleId="28">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1">
    <w:name w:val="日期 字符"/>
    <w:basedOn w:val="17"/>
    <w:link w:val="9"/>
    <w:qFormat/>
    <w:uiPriority w:val="0"/>
    <w:rPr>
      <w:kern w:val="2"/>
      <w:sz w:val="21"/>
      <w:szCs w:val="24"/>
    </w:rPr>
  </w:style>
  <w:style w:type="character" w:customStyle="1" w:styleId="32">
    <w:name w:val="fontstyle51"/>
    <w:basedOn w:val="17"/>
    <w:qFormat/>
    <w:uiPriority w:val="0"/>
    <w:rPr>
      <w:rFonts w:ascii="宋体" w:hAnsi="宋体" w:eastAsia="宋体" w:cs="宋体"/>
      <w:color w:val="000000"/>
      <w:sz w:val="56"/>
      <w:szCs w:val="56"/>
    </w:rPr>
  </w:style>
  <w:style w:type="paragraph" w:styleId="33">
    <w:name w:val="List Paragraph"/>
    <w:basedOn w:val="1"/>
    <w:qFormat/>
    <w:uiPriority w:val="99"/>
    <w:pPr>
      <w:ind w:firstLine="420" w:firstLineChars="200"/>
    </w:pPr>
  </w:style>
  <w:style w:type="character" w:customStyle="1" w:styleId="34">
    <w:name w:val="样式1 Char"/>
    <w:link w:val="35"/>
    <w:qFormat/>
    <w:uiPriority w:val="0"/>
    <w:rPr>
      <w:rFonts w:hint="eastAsia" w:ascii="宋体" w:hAnsi="宋体" w:eastAsia="宋体" w:cs="宋体"/>
      <w:color w:val="000000"/>
      <w:szCs w:val="32"/>
    </w:rPr>
  </w:style>
  <w:style w:type="paragraph" w:customStyle="1" w:styleId="35">
    <w:name w:val="样式1"/>
    <w:basedOn w:val="3"/>
    <w:link w:val="34"/>
    <w:qFormat/>
    <w:uiPriority w:val="0"/>
    <w:pPr>
      <w:autoSpaceDE w:val="0"/>
      <w:autoSpaceDN w:val="0"/>
      <w:spacing w:line="300" w:lineRule="auto"/>
    </w:pPr>
    <w:rPr>
      <w:rFonts w:hint="eastAsia" w:ascii="宋体" w:hAnsi="宋体" w:eastAsia="宋体" w:cs="宋体"/>
      <w:b w:val="0"/>
      <w:color w:val="000000"/>
      <w:szCs w:val="32"/>
    </w:rPr>
  </w:style>
  <w:style w:type="paragraph" w:customStyle="1" w:styleId="3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标准文件_目录标题"/>
    <w:basedOn w:val="1"/>
    <w:qFormat/>
    <w:uiPriority w:val="0"/>
    <w:pPr>
      <w:spacing w:before="480" w:after="150" w:afterLines="150" w:line="240" w:lineRule="auto"/>
      <w:jc w:val="center"/>
    </w:pPr>
    <w:rPr>
      <w:rFonts w:ascii="黑体" w:eastAsia="黑体"/>
      <w:sz w:val="32"/>
    </w:rPr>
  </w:style>
</w:styles>
</file>

<file path=word/_rels/document.xml.rels><?xml version="1.0" encoding="UTF-8" standalone="yes"?>
<Relationships xmlns="http://schemas.openxmlformats.org/package/2006/relationships"><Relationship Id="rId96" Type="http://schemas.openxmlformats.org/officeDocument/2006/relationships/fontTable" Target="fontTable.xml"/><Relationship Id="rId95" Type="http://schemas.openxmlformats.org/officeDocument/2006/relationships/numbering" Target="numbering.xml"/><Relationship Id="rId94" Type="http://schemas.openxmlformats.org/officeDocument/2006/relationships/customXml" Target="../customXml/item1.xml"/><Relationship Id="rId93" Type="http://schemas.openxmlformats.org/officeDocument/2006/relationships/image" Target="media/image42.wmf"/><Relationship Id="rId92" Type="http://schemas.openxmlformats.org/officeDocument/2006/relationships/oleObject" Target="embeddings/oleObject38.bin"/><Relationship Id="rId91" Type="http://schemas.openxmlformats.org/officeDocument/2006/relationships/image" Target="media/image41.wmf"/><Relationship Id="rId90" Type="http://schemas.openxmlformats.org/officeDocument/2006/relationships/oleObject" Target="embeddings/oleObject37.bin"/><Relationship Id="rId9" Type="http://schemas.openxmlformats.org/officeDocument/2006/relationships/footer" Target="footer7.xml"/><Relationship Id="rId89" Type="http://schemas.openxmlformats.org/officeDocument/2006/relationships/image" Target="media/image40.wmf"/><Relationship Id="rId88" Type="http://schemas.openxmlformats.org/officeDocument/2006/relationships/oleObject" Target="embeddings/oleObject36.bin"/><Relationship Id="rId87" Type="http://schemas.openxmlformats.org/officeDocument/2006/relationships/image" Target="media/image39.wmf"/><Relationship Id="rId86" Type="http://schemas.openxmlformats.org/officeDocument/2006/relationships/oleObject" Target="embeddings/oleObject35.bin"/><Relationship Id="rId85" Type="http://schemas.openxmlformats.org/officeDocument/2006/relationships/image" Target="media/image38.wmf"/><Relationship Id="rId84" Type="http://schemas.openxmlformats.org/officeDocument/2006/relationships/oleObject" Target="embeddings/oleObject34.bin"/><Relationship Id="rId83" Type="http://schemas.openxmlformats.org/officeDocument/2006/relationships/image" Target="media/image37.wmf"/><Relationship Id="rId82" Type="http://schemas.openxmlformats.org/officeDocument/2006/relationships/oleObject" Target="embeddings/oleObject33.bin"/><Relationship Id="rId81" Type="http://schemas.openxmlformats.org/officeDocument/2006/relationships/image" Target="media/image36.wmf"/><Relationship Id="rId80" Type="http://schemas.openxmlformats.org/officeDocument/2006/relationships/oleObject" Target="embeddings/oleObject32.bin"/><Relationship Id="rId8" Type="http://schemas.openxmlformats.org/officeDocument/2006/relationships/footer" Target="footer6.xml"/><Relationship Id="rId79" Type="http://schemas.openxmlformats.org/officeDocument/2006/relationships/image" Target="media/image35.wmf"/><Relationship Id="rId78" Type="http://schemas.openxmlformats.org/officeDocument/2006/relationships/oleObject" Target="embeddings/oleObject31.bin"/><Relationship Id="rId77" Type="http://schemas.openxmlformats.org/officeDocument/2006/relationships/image" Target="media/image34.wmf"/><Relationship Id="rId76" Type="http://schemas.openxmlformats.org/officeDocument/2006/relationships/oleObject" Target="embeddings/oleObject30.bin"/><Relationship Id="rId75" Type="http://schemas.openxmlformats.org/officeDocument/2006/relationships/image" Target="media/image33.wmf"/><Relationship Id="rId74" Type="http://schemas.openxmlformats.org/officeDocument/2006/relationships/oleObject" Target="embeddings/oleObject29.bin"/><Relationship Id="rId73" Type="http://schemas.openxmlformats.org/officeDocument/2006/relationships/image" Target="media/image32.wmf"/><Relationship Id="rId72" Type="http://schemas.openxmlformats.org/officeDocument/2006/relationships/oleObject" Target="embeddings/oleObject28.bin"/><Relationship Id="rId71" Type="http://schemas.openxmlformats.org/officeDocument/2006/relationships/image" Target="media/image31.wmf"/><Relationship Id="rId70" Type="http://schemas.openxmlformats.org/officeDocument/2006/relationships/oleObject" Target="embeddings/oleObject27.bin"/><Relationship Id="rId7" Type="http://schemas.openxmlformats.org/officeDocument/2006/relationships/footer" Target="footer5.xml"/><Relationship Id="rId69" Type="http://schemas.openxmlformats.org/officeDocument/2006/relationships/image" Target="media/image30.wmf"/><Relationship Id="rId68" Type="http://schemas.openxmlformats.org/officeDocument/2006/relationships/oleObject" Target="embeddings/oleObject26.bin"/><Relationship Id="rId67" Type="http://schemas.openxmlformats.org/officeDocument/2006/relationships/image" Target="media/image29.wmf"/><Relationship Id="rId66" Type="http://schemas.openxmlformats.org/officeDocument/2006/relationships/oleObject" Target="embeddings/oleObject25.bin"/><Relationship Id="rId65" Type="http://schemas.openxmlformats.org/officeDocument/2006/relationships/image" Target="media/image28.wmf"/><Relationship Id="rId64" Type="http://schemas.openxmlformats.org/officeDocument/2006/relationships/oleObject" Target="embeddings/oleObject24.bin"/><Relationship Id="rId63" Type="http://schemas.openxmlformats.org/officeDocument/2006/relationships/image" Target="media/image27.wmf"/><Relationship Id="rId62" Type="http://schemas.openxmlformats.org/officeDocument/2006/relationships/oleObject" Target="embeddings/oleObject23.bin"/><Relationship Id="rId61" Type="http://schemas.openxmlformats.org/officeDocument/2006/relationships/image" Target="media/image26.wmf"/><Relationship Id="rId60" Type="http://schemas.openxmlformats.org/officeDocument/2006/relationships/oleObject" Target="embeddings/oleObject22.bin"/><Relationship Id="rId6" Type="http://schemas.openxmlformats.org/officeDocument/2006/relationships/footer" Target="footer4.xml"/><Relationship Id="rId59" Type="http://schemas.openxmlformats.org/officeDocument/2006/relationships/image" Target="media/image25.wmf"/><Relationship Id="rId58" Type="http://schemas.openxmlformats.org/officeDocument/2006/relationships/oleObject" Target="embeddings/oleObject21.bin"/><Relationship Id="rId57" Type="http://schemas.openxmlformats.org/officeDocument/2006/relationships/image" Target="media/image24.wmf"/><Relationship Id="rId56" Type="http://schemas.openxmlformats.org/officeDocument/2006/relationships/oleObject" Target="embeddings/oleObject20.bin"/><Relationship Id="rId55" Type="http://schemas.openxmlformats.org/officeDocument/2006/relationships/oleObject" Target="embeddings/oleObject19.bin"/><Relationship Id="rId54" Type="http://schemas.openxmlformats.org/officeDocument/2006/relationships/image" Target="media/image23.wmf"/><Relationship Id="rId53" Type="http://schemas.openxmlformats.org/officeDocument/2006/relationships/oleObject" Target="embeddings/oleObject18.bin"/><Relationship Id="rId52" Type="http://schemas.openxmlformats.org/officeDocument/2006/relationships/image" Target="media/image22.wmf"/><Relationship Id="rId51" Type="http://schemas.openxmlformats.org/officeDocument/2006/relationships/oleObject" Target="embeddings/oleObject17.bin"/><Relationship Id="rId50" Type="http://schemas.openxmlformats.org/officeDocument/2006/relationships/image" Target="media/image21.wmf"/><Relationship Id="rId5" Type="http://schemas.openxmlformats.org/officeDocument/2006/relationships/footer" Target="footer3.xml"/><Relationship Id="rId49" Type="http://schemas.openxmlformats.org/officeDocument/2006/relationships/oleObject" Target="embeddings/oleObject16.bin"/><Relationship Id="rId48" Type="http://schemas.openxmlformats.org/officeDocument/2006/relationships/image" Target="media/image20.wmf"/><Relationship Id="rId47" Type="http://schemas.openxmlformats.org/officeDocument/2006/relationships/oleObject" Target="embeddings/oleObject15.bin"/><Relationship Id="rId46" Type="http://schemas.openxmlformats.org/officeDocument/2006/relationships/image" Target="media/image19.wmf"/><Relationship Id="rId45" Type="http://schemas.openxmlformats.org/officeDocument/2006/relationships/oleObject" Target="embeddings/oleObject14.bin"/><Relationship Id="rId44" Type="http://schemas.openxmlformats.org/officeDocument/2006/relationships/image" Target="media/image18.wmf"/><Relationship Id="rId43" Type="http://schemas.openxmlformats.org/officeDocument/2006/relationships/oleObject" Target="embeddings/oleObject13.bin"/><Relationship Id="rId42" Type="http://schemas.openxmlformats.org/officeDocument/2006/relationships/image" Target="media/image17.wmf"/><Relationship Id="rId41" Type="http://schemas.openxmlformats.org/officeDocument/2006/relationships/oleObject" Target="embeddings/oleObject12.bin"/><Relationship Id="rId40" Type="http://schemas.openxmlformats.org/officeDocument/2006/relationships/image" Target="media/image16.wmf"/><Relationship Id="rId4" Type="http://schemas.openxmlformats.org/officeDocument/2006/relationships/footer" Target="footer2.xml"/><Relationship Id="rId39" Type="http://schemas.openxmlformats.org/officeDocument/2006/relationships/oleObject" Target="embeddings/oleObject11.bin"/><Relationship Id="rId38" Type="http://schemas.openxmlformats.org/officeDocument/2006/relationships/image" Target="media/image15.wmf"/><Relationship Id="rId37" Type="http://schemas.openxmlformats.org/officeDocument/2006/relationships/oleObject" Target="embeddings/oleObject10.bin"/><Relationship Id="rId36" Type="http://schemas.openxmlformats.org/officeDocument/2006/relationships/image" Target="media/image14.png"/><Relationship Id="rId35" Type="http://schemas.openxmlformats.org/officeDocument/2006/relationships/image" Target="media/image13.png"/><Relationship Id="rId34" Type="http://schemas.openxmlformats.org/officeDocument/2006/relationships/image" Target="media/image12.png"/><Relationship Id="rId33" Type="http://schemas.openxmlformats.org/officeDocument/2006/relationships/image" Target="media/image11.png"/><Relationship Id="rId32" Type="http://schemas.openxmlformats.org/officeDocument/2006/relationships/image" Target="media/image10.wmf"/><Relationship Id="rId31" Type="http://schemas.openxmlformats.org/officeDocument/2006/relationships/oleObject" Target="embeddings/oleObject9.bin"/><Relationship Id="rId30" Type="http://schemas.openxmlformats.org/officeDocument/2006/relationships/image" Target="media/image9.wmf"/><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image" Target="media/image8.wmf"/><Relationship Id="rId27" Type="http://schemas.openxmlformats.org/officeDocument/2006/relationships/oleObject" Target="embeddings/oleObject7.bin"/><Relationship Id="rId26" Type="http://schemas.openxmlformats.org/officeDocument/2006/relationships/image" Target="media/image7.wmf"/><Relationship Id="rId25" Type="http://schemas.openxmlformats.org/officeDocument/2006/relationships/oleObject" Target="embeddings/oleObject6.bin"/><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3304</Words>
  <Characters>5442</Characters>
  <Lines>686</Lines>
  <Paragraphs>193</Paragraphs>
  <TotalTime>1</TotalTime>
  <ScaleCrop>false</ScaleCrop>
  <LinksUpToDate>false</LinksUpToDate>
  <CharactersWithSpaces>14503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2024-08-06T08:24:00Z</dcterms:created>
  <dc:creator>Administrator</dc:creator>
  <cp:lastModifiedBy>陌</cp:lastModifiedBy>
  <cp:lastPrinted>2024-10-22T02:38:00Z</cp:lastPrinted>
  <dcterms:modified xsi:type="dcterms:W3CDTF">2025-02-25T09:33:11Z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7390E3E0C88743BD91D178D19CDDBE57</vt:lpwstr>
  </property>
  <property fmtid="{D5CDD505-2E9C-101B-9397-08002B2CF9AE}" pid="4" name="KSOTemplateDocerSaveRecord">
    <vt:lpwstr>eyJoZGlkIjoiYmNhZDU5Nzc0MWRjZjgzYTk5MjI0N2JhZjg4OWRhMWIiLCJ1c2VySWQiOiIxMjA5OTQ0MDAwIn0=</vt:lpwstr>
  </property>
</Properties>
</file>