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6"/>
        <w:widowControl w:val="0"/>
        <w:shd w:val="clear" w:color="auto" w:fill="auto"/>
        <w:overflowPunct w:val="0"/>
        <w:spacing w:line="200" w:lineRule="exact"/>
        <w:jc w:val="left"/>
        <w:rPr>
          <w:rFonts w:ascii="黑体" w:hAnsi="黑体" w:eastAsia="黑体"/>
          <w:b w:val="0"/>
          <w:w w:val="100"/>
          <w:sz w:val="21"/>
          <w:szCs w:val="21"/>
        </w:rPr>
      </w:pPr>
      <w:bookmarkStart w:id="74" w:name="_GoBack"/>
      <w:bookmarkEnd w:id="74"/>
      <w:r>
        <mc:AlternateContent>
          <mc:Choice Requires="wps">
            <w:drawing>
              <wp:anchor distT="0" distB="0" distL="114300" distR="114300" simplePos="0" relativeHeight="251661312" behindDoc="0" locked="0" layoutInCell="1" allowOverlap="1">
                <wp:simplePos x="0" y="0"/>
                <wp:positionH relativeFrom="column">
                  <wp:posOffset>3313430</wp:posOffset>
                </wp:positionH>
                <wp:positionV relativeFrom="paragraph">
                  <wp:posOffset>93345</wp:posOffset>
                </wp:positionV>
                <wp:extent cx="2462530" cy="922020"/>
                <wp:effectExtent l="0" t="0" r="0" b="0"/>
                <wp:wrapNone/>
                <wp:docPr id="27" name="文本框 27"/>
                <wp:cNvGraphicFramePr/>
                <a:graphic xmlns:a="http://schemas.openxmlformats.org/drawingml/2006/main">
                  <a:graphicData uri="http://schemas.microsoft.com/office/word/2010/wordprocessingShape">
                    <wps:wsp>
                      <wps:cNvSpPr txBox="true">
                        <a:spLocks noChangeArrowheads="true"/>
                      </wps:cNvSpPr>
                      <wps:spPr bwMode="auto">
                        <a:xfrm>
                          <a:off x="0" y="0"/>
                          <a:ext cx="2462530" cy="922020"/>
                        </a:xfrm>
                        <a:prstGeom prst="rect">
                          <a:avLst/>
                        </a:prstGeom>
                        <a:noFill/>
                        <a:ln>
                          <a:noFill/>
                        </a:ln>
                      </wps:spPr>
                      <wps:txbx>
                        <w:txbxContent>
                          <w:p>
                            <w:pPr>
                              <w:jc w:val="right"/>
                              <w:rPr>
                                <w:rFonts w:ascii="Times New Roman" w:hAnsi="Times New Roman"/>
                                <w:b/>
                                <w:color w:val="000000"/>
                                <w:sz w:val="96"/>
                                <w:szCs w:val="96"/>
                              </w:rPr>
                            </w:pPr>
                            <w:r>
                              <w:rPr>
                                <w:rFonts w:ascii="Times New Roman" w:hAnsi="Times New Roman"/>
                                <w:b/>
                                <w:color w:val="000000"/>
                                <w:sz w:val="96"/>
                                <w:szCs w:val="96"/>
                              </w:rPr>
                              <w:t>DB</w:t>
                            </w:r>
                            <w:r>
                              <w:rPr>
                                <w:rFonts w:hint="eastAsia" w:ascii="Times New Roman" w:hAnsi="Times New Roman"/>
                                <w:b/>
                                <w:color w:val="000000"/>
                                <w:sz w:val="96"/>
                                <w:szCs w:val="96"/>
                              </w:rPr>
                              <w:t xml:space="preserve"> </w:t>
                            </w:r>
                            <w:r>
                              <w:rPr>
                                <w:rFonts w:ascii="Times New Roman" w:hAnsi="Times New Roman"/>
                                <w:b/>
                                <w:color w:val="000000"/>
                                <w:sz w:val="96"/>
                                <w:szCs w:val="96"/>
                              </w:rPr>
                              <w:t>42</w:t>
                            </w:r>
                          </w:p>
                        </w:txbxContent>
                      </wps:txbx>
                      <wps:bodyPr rot="0" vert="horz" wrap="square" lIns="91440" tIns="45720" rIns="91440" bIns="45720" anchor="t" anchorCtr="false" upright="true">
                        <a:spAutoFit/>
                      </wps:bodyPr>
                    </wps:wsp>
                  </a:graphicData>
                </a:graphic>
                <wp14:sizeRelH relativeFrom="margin">
                  <wp14:pctWidth>40000</wp14:pctWidth>
                </wp14:sizeRelH>
                <wp14:sizeRelV relativeFrom="margin">
                  <wp14:pctHeight>20000</wp14:pctHeight>
                </wp14:sizeRelV>
              </wp:anchor>
            </w:drawing>
          </mc:Choice>
          <mc:Fallback>
            <w:pict>
              <v:shape id="_x0000_s1026" o:spid="_x0000_s1026" o:spt="202" type="#_x0000_t202" style="position:absolute;left:0pt;margin-left:260.9pt;margin-top:7.35pt;height:72.6pt;width:193.9pt;z-index:251661312;mso-width-relative:margin;mso-height-relative:margin;mso-width-percent:400;mso-height-percent:200;" filled="f" stroked="f" coordsize="21600,21600" o:gfxdata="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J8noPDXAAAACgEAAA8A&#10;AAAAAAAAAQAgAAAAOAAAAGRycy9kb3ducmV2LnhtbFBLAQIUABQAAAAIAIdO4kB4N400AgIAANYD&#10;AAAOAAAAAAAAAAEAIAAAADwBAABkcnMvZTJvRG9jLnhtbFBLBQYAAAAABgAGAFkBAACwBQAAAAA=&#10;">
                <v:fill on="f" focussize="0,0"/>
                <v:stroke on="f"/>
                <v:imagedata o:title=""/>
                <o:lock v:ext="edit" aspectratio="f"/>
                <v:textbox style="mso-fit-shape-to-text:t;">
                  <w:txbxContent>
                    <w:p>
                      <w:pPr>
                        <w:jc w:val="right"/>
                        <w:rPr>
                          <w:rFonts w:ascii="Times New Roman" w:hAnsi="Times New Roman"/>
                          <w:b/>
                          <w:color w:val="000000"/>
                          <w:sz w:val="96"/>
                          <w:szCs w:val="96"/>
                        </w:rPr>
                      </w:pPr>
                      <w:r>
                        <w:rPr>
                          <w:rFonts w:ascii="Times New Roman" w:hAnsi="Times New Roman"/>
                          <w:b/>
                          <w:color w:val="000000"/>
                          <w:sz w:val="96"/>
                          <w:szCs w:val="96"/>
                        </w:rPr>
                        <w:t>DB</w:t>
                      </w:r>
                      <w:r>
                        <w:rPr>
                          <w:rFonts w:hint="eastAsia" w:ascii="Times New Roman" w:hAnsi="Times New Roman"/>
                          <w:b/>
                          <w:color w:val="000000"/>
                          <w:sz w:val="96"/>
                          <w:szCs w:val="96"/>
                        </w:rPr>
                        <w:t xml:space="preserve"> </w:t>
                      </w:r>
                      <w:r>
                        <w:rPr>
                          <w:rFonts w:ascii="Times New Roman" w:hAnsi="Times New Roman"/>
                          <w:b/>
                          <w:color w:val="000000"/>
                          <w:sz w:val="96"/>
                          <w:szCs w:val="96"/>
                        </w:rPr>
                        <w:t>42</w:t>
                      </w:r>
                    </w:p>
                  </w:txbxContent>
                </v:textbox>
              </v:shape>
            </w:pict>
          </mc:Fallback>
        </mc:AlternateContent>
      </w:r>
      <w:r>
        <w:rPr>
          <w:rFonts w:ascii="Times New Roman" w:hAnsi="Times New Roman" w:eastAsia="黑体"/>
          <w:w w:val="100"/>
          <w:sz w:val="21"/>
          <w:szCs w:val="21"/>
        </w:rPr>
        <w:t>ICS</w:t>
      </w:r>
      <w:r>
        <w:rPr>
          <w:rFonts w:hint="eastAsia" w:ascii="黑体" w:hAnsi="黑体" w:eastAsia="黑体"/>
          <w:b w:val="0"/>
          <w:w w:val="100"/>
          <w:sz w:val="21"/>
          <w:szCs w:val="21"/>
        </w:rPr>
        <w:t xml:space="preserve"> </w:t>
      </w:r>
      <w:r>
        <w:rPr>
          <w:rFonts w:ascii="黑体" w:hAnsi="黑体" w:eastAsia="黑体"/>
          <w:b w:val="0"/>
          <w:w w:val="100"/>
          <w:sz w:val="21"/>
          <w:szCs w:val="21"/>
        </w:rPr>
        <w:t>91.040.10</w:t>
      </w:r>
    </w:p>
    <w:p>
      <w:pPr>
        <w:pStyle w:val="36"/>
        <w:widowControl w:val="0"/>
        <w:shd w:val="clear" w:color="auto" w:fill="auto"/>
        <w:overflowPunct w:val="0"/>
        <w:spacing w:line="240" w:lineRule="exact"/>
        <w:jc w:val="left"/>
        <w:rPr>
          <w:rFonts w:ascii="黑体" w:hAnsi="黑体" w:eastAsia="黑体"/>
          <w:b w:val="0"/>
          <w:w w:val="100"/>
          <w:sz w:val="21"/>
          <w:szCs w:val="21"/>
        </w:rPr>
      </w:pPr>
      <w:r>
        <w:rPr>
          <w:rFonts w:hint="eastAsia" w:ascii="黑体" w:hAnsi="黑体" w:eastAsia="黑体"/>
          <w:b w:val="0"/>
          <w:w w:val="100"/>
          <w:sz w:val="21"/>
          <w:szCs w:val="21"/>
          <w:lang w:val="en-US" w:eastAsia="zh-CN"/>
        </w:rPr>
        <w:t xml:space="preserve">CCS  </w:t>
      </w:r>
      <w:r>
        <w:rPr>
          <w:rFonts w:ascii="黑体" w:hAnsi="黑体" w:eastAsia="黑体"/>
          <w:b w:val="0"/>
          <w:w w:val="100"/>
          <w:sz w:val="21"/>
          <w:szCs w:val="21"/>
        </w:rPr>
        <w:t>P33</w:t>
      </w:r>
    </w:p>
    <w:p>
      <w:pPr>
        <w:pStyle w:val="36"/>
        <w:widowControl w:val="0"/>
        <w:shd w:val="clear" w:color="auto" w:fill="auto"/>
        <w:overflowPunct w:val="0"/>
        <w:spacing w:line="240" w:lineRule="exact"/>
        <w:jc w:val="left"/>
        <w:rPr>
          <w:rFonts w:ascii="黑体" w:hAnsi="黑体" w:eastAsia="黑体"/>
          <w:b w:val="0"/>
          <w:w w:val="100"/>
          <w:sz w:val="21"/>
          <w:szCs w:val="21"/>
        </w:rPr>
      </w:pPr>
    </w:p>
    <w:p>
      <w:pPr>
        <w:pStyle w:val="36"/>
        <w:widowControl w:val="0"/>
        <w:shd w:val="clear" w:color="auto" w:fill="auto"/>
        <w:overflowPunct w:val="0"/>
        <w:spacing w:line="240" w:lineRule="auto"/>
        <w:jc w:val="both"/>
        <w:rPr>
          <w:rFonts w:ascii="Times New Roman" w:hAnsi="Times New Roman"/>
          <w:b w:val="0"/>
          <w:sz w:val="21"/>
          <w:szCs w:val="21"/>
        </w:rPr>
      </w:pPr>
    </w:p>
    <w:p>
      <w:pPr>
        <w:overflowPunct w:val="0"/>
      </w:pPr>
    </w:p>
    <w:p>
      <w:pPr>
        <w:overflowPunct w:val="0"/>
      </w:pPr>
    </w:p>
    <w:p>
      <w:pPr>
        <w:pStyle w:val="38"/>
        <w:widowControl w:val="0"/>
        <w:overflowPunct w:val="0"/>
        <w:spacing w:line="640" w:lineRule="exact"/>
        <w:rPr>
          <w:rFonts w:eastAsia="Times New Roman"/>
        </w:rPr>
      </w:pPr>
      <w:r>
        <w:rPr>
          <w:rFonts w:hint="eastAsia"/>
        </w:rPr>
        <w:t>湖北省地方标准</w:t>
      </w:r>
    </w:p>
    <w:p>
      <w:pPr>
        <w:overflowPunct w:val="0"/>
      </w:pPr>
    </w:p>
    <w:p>
      <w:pPr>
        <w:wordWrap w:val="0"/>
        <w:overflowPunct w:val="0"/>
        <w:spacing w:line="400" w:lineRule="exact"/>
        <w:ind w:right="315" w:rightChars="150"/>
        <w:jc w:val="right"/>
        <w:rPr>
          <w:rFonts w:ascii="Times New Roman" w:hAnsi="Times New Roman"/>
          <w:sz w:val="28"/>
          <w:szCs w:val="28"/>
        </w:rPr>
      </w:pPr>
      <w:r>
        <w:rPr>
          <w:rFonts w:ascii="Times New Roman" w:hAnsi="Times New Roman"/>
          <w:b/>
          <w:sz w:val="28"/>
          <w:szCs w:val="28"/>
          <w:lang w:val="de-DE"/>
        </w:rPr>
        <w:t>DB</w:t>
      </w:r>
      <w:r>
        <w:rPr>
          <w:rFonts w:hint="eastAsia" w:ascii="Times New Roman" w:hAnsi="Times New Roman"/>
          <w:sz w:val="28"/>
          <w:szCs w:val="28"/>
          <w:lang w:val="de-DE"/>
        </w:rPr>
        <w:t xml:space="preserve"> </w:t>
      </w:r>
      <w:r>
        <w:rPr>
          <w:rFonts w:ascii="黑体" w:hAnsi="黑体" w:eastAsia="黑体"/>
          <w:sz w:val="28"/>
          <w:szCs w:val="28"/>
          <w:lang w:val="de-DE"/>
        </w:rPr>
        <w:t>42/</w:t>
      </w:r>
      <w:r>
        <w:rPr>
          <w:rFonts w:ascii="黑体" w:hAnsi="黑体" w:eastAsia="黑体"/>
          <w:sz w:val="28"/>
          <w:szCs w:val="28"/>
        </w:rPr>
        <w:t xml:space="preserve">T </w:t>
      </w:r>
      <w:r>
        <w:rPr>
          <w:rFonts w:hint="eastAsia" w:ascii="黑体" w:hAnsi="黑体" w:eastAsia="黑体"/>
          <w:sz w:val="24"/>
          <w:lang w:val="de-DE"/>
        </w:rPr>
        <w:t>××</w:t>
      </w:r>
      <w:r>
        <w:rPr>
          <w:rFonts w:ascii="黑体" w:hAnsi="黑体" w:eastAsia="黑体"/>
          <w:sz w:val="28"/>
          <w:szCs w:val="28"/>
          <w:lang w:val="de-DE"/>
        </w:rPr>
        <w:t>—</w:t>
      </w:r>
      <w:r>
        <w:rPr>
          <w:rFonts w:hint="eastAsia" w:ascii="黑体" w:hAnsi="黑体" w:eastAsia="黑体"/>
          <w:sz w:val="28"/>
          <w:szCs w:val="28"/>
          <w:lang w:val="de-DE"/>
        </w:rPr>
        <w:t>202</w:t>
      </w:r>
      <w:r>
        <w:rPr>
          <w:rFonts w:hint="eastAsia" w:ascii="黑体" w:hAnsi="黑体" w:eastAsia="黑体"/>
          <w:sz w:val="24"/>
          <w:lang w:val="de-DE"/>
        </w:rPr>
        <w:t>×</w:t>
      </w:r>
    </w:p>
    <w:p>
      <w:pPr>
        <w:overflowPunct w:val="0"/>
        <w:spacing w:line="260" w:lineRule="exact"/>
        <w:ind w:right="315" w:rightChars="150"/>
        <w:jc w:val="right"/>
        <w:rPr>
          <w:lang w:val="de-DE"/>
        </w:rPr>
      </w:pPr>
    </w:p>
    <w:p>
      <w:pPr>
        <w:overflowPunct w:val="0"/>
      </w:pPr>
    </w:p>
    <w:p>
      <w:pPr>
        <w:overflowPunct w:val="0"/>
      </w:pPr>
      <w:r>
        <mc:AlternateContent>
          <mc:Choice Requires="wpg">
            <w:drawing>
              <wp:anchor distT="0" distB="0" distL="114300" distR="114300" simplePos="0" relativeHeight="251662336" behindDoc="0" locked="0" layoutInCell="1" allowOverlap="1">
                <wp:simplePos x="0" y="0"/>
                <wp:positionH relativeFrom="column">
                  <wp:posOffset>-6985</wp:posOffset>
                </wp:positionH>
                <wp:positionV relativeFrom="paragraph">
                  <wp:posOffset>28575</wp:posOffset>
                </wp:positionV>
                <wp:extent cx="6155690" cy="6563995"/>
                <wp:effectExtent l="0" t="0" r="35560" b="46355"/>
                <wp:wrapNone/>
                <wp:docPr id="24" name="组合 24"/>
                <wp:cNvGraphicFramePr/>
                <a:graphic xmlns:a="http://schemas.openxmlformats.org/drawingml/2006/main">
                  <a:graphicData uri="http://schemas.microsoft.com/office/word/2010/wordprocessingGroup">
                    <wpg:wgp>
                      <wpg:cNvGrpSpPr/>
                      <wpg:grpSpPr>
                        <a:xfrm>
                          <a:off x="0" y="0"/>
                          <a:ext cx="6155690" cy="6563995"/>
                          <a:chOff x="1404" y="4240"/>
                          <a:chExt cx="9694" cy="10337"/>
                        </a:xfrm>
                      </wpg:grpSpPr>
                      <wps:wsp>
                        <wps:cNvPr id="25" name="直线 4"/>
                        <wps:cNvCnPr>
                          <a:cxnSpLocks noChangeShapeType="true"/>
                        </wps:cNvCnPr>
                        <wps:spPr bwMode="auto">
                          <a:xfrm>
                            <a:off x="1404" y="4240"/>
                            <a:ext cx="9694" cy="1"/>
                          </a:xfrm>
                          <a:prstGeom prst="line">
                            <a:avLst/>
                          </a:prstGeom>
                          <a:noFill/>
                          <a:ln w="15240" cmpd="sng">
                            <a:solidFill>
                              <a:srgbClr val="000000"/>
                            </a:solidFill>
                            <a:round/>
                          </a:ln>
                          <a:effectLst/>
                        </wps:spPr>
                        <wps:bodyPr/>
                      </wps:wsp>
                      <wps:wsp>
                        <wps:cNvPr id="26" name="直线 4"/>
                        <wps:cNvCnPr>
                          <a:cxnSpLocks noChangeShapeType="true"/>
                        </wps:cNvCnPr>
                        <wps:spPr bwMode="auto">
                          <a:xfrm>
                            <a:off x="1404" y="14576"/>
                            <a:ext cx="9694" cy="1"/>
                          </a:xfrm>
                          <a:prstGeom prst="line">
                            <a:avLst/>
                          </a:prstGeom>
                          <a:noFill/>
                          <a:ln w="15240" cmpd="sng">
                            <a:solidFill>
                              <a:srgbClr val="000000"/>
                            </a:solidFill>
                            <a:round/>
                          </a:ln>
                          <a:effectLst/>
                        </wps:spPr>
                        <wps:bodyPr/>
                      </wps:wsp>
                    </wpg:wgp>
                  </a:graphicData>
                </a:graphic>
              </wp:anchor>
            </w:drawing>
          </mc:Choice>
          <mc:Fallback>
            <w:pict>
              <v:group id="_x0000_s1026" o:spid="_x0000_s1026" o:spt="203" style="position:absolute;left:0pt;margin-left:-0.55pt;margin-top:2.25pt;height:516.85pt;width:484.7pt;z-index:251662336;mso-width-relative:page;mso-height-relative:page;" coordorigin="1404,4240" coordsize="9694,10337" o:gfxdata="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WAAAA&#10;ZHJzL1BLAQIUABQAAAAIAIdO4kDqV8E32QAAAAkBAAAPAAAAAAAAAAEAIAAAADgAAABkcnMvZG93&#10;bnJldi54bWxQSwECFAAUAAAACACHTuJADzKwfFsCAACNBgAADgAAAAAAAAABACAAAAA+AQAAZHJz&#10;L2Uyb0RvYy54bWxQSwUGAAAAAAYABgBZAQAACwYAAAAA&#10;">
                <o:lock v:ext="edit" aspectratio="f"/>
                <v:line id="直线 4" o:spid="_x0000_s1026" o:spt="20" style="position:absolute;left:1404;top:4240;height:1;width:9694;" filled="f" stroked="t" coordsize="21600,21600" o:gfxdata="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hz6S7vAAAANsAAAAPAAAAAAAAAAEAIAAAADgAAABkcnMvZG93bnJldi54&#10;bWxQSwECFAAUAAAACACHTuJAMy8FnjsAAAA5AAAAEAAAAAAAAAABACAAAAAhAQAAZHJzL3NoYXBl&#10;eG1sLnhtbFBLBQYAAAAABgAGAFsBAADLAwAAAAA=&#10;">
                  <v:fill on="f" focussize="0,0"/>
                  <v:stroke weight="1.2pt" color="#000000" joinstyle="round"/>
                  <v:imagedata o:title=""/>
                  <o:lock v:ext="edit" aspectratio="f"/>
                </v:line>
                <v:line id="直线 4" o:spid="_x0000_s1026" o:spt="20" style="position:absolute;left:1404;top:14576;height:1;width:9694;" filled="f" stroked="t" coordsize="21600,21600" o:gfxdata="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EdOsy7AAAA2wAAAA8AAAAAAAAAAQAgAAAAOAAAAGRycy9kb3ducmV2Lnht&#10;bFBLAQIUABQAAAAIAIdO4kAzLwWeOwAAADkAAAAQAAAAAAAAAAEAIAAAACABAABkcnMvc2hhcGV4&#10;bWwueG1sUEsFBgAAAAAGAAYAWwEAAMoDAAAAAA==&#10;">
                  <v:fill on="f" focussize="0,0"/>
                  <v:stroke weight="1.2pt" color="#000000" joinstyle="round"/>
                  <v:imagedata o:title=""/>
                  <o:lock v:ext="edit" aspectratio="f"/>
                </v:line>
              </v:group>
            </w:pict>
          </mc:Fallback>
        </mc:AlternateContent>
      </w:r>
    </w:p>
    <w:p>
      <w:pPr>
        <w:overflowPunct w:val="0"/>
      </w:pPr>
    </w:p>
    <w:p>
      <w:pPr>
        <w:overflowPunct w:val="0"/>
      </w:pPr>
    </w:p>
    <w:p>
      <w:pPr>
        <w:overflowPunct w:val="0"/>
      </w:pPr>
    </w:p>
    <w:p>
      <w:pPr>
        <w:overflowPunct w:val="0"/>
      </w:pPr>
    </w:p>
    <w:p>
      <w:pPr>
        <w:overflowPunct w:val="0"/>
      </w:pPr>
    </w:p>
    <w:p>
      <w:pPr>
        <w:overflowPunct w:val="0"/>
        <w:spacing w:before="163" w:beforeLines="50"/>
        <w:jc w:val="center"/>
        <w:rPr>
          <w:rFonts w:ascii="黑体" w:hAnsi="黑体" w:eastAsia="黑体"/>
          <w:sz w:val="52"/>
          <w:szCs w:val="52"/>
        </w:rPr>
      </w:pPr>
      <w:r>
        <w:rPr>
          <w:rFonts w:hint="eastAsia" w:ascii="黑体" w:hAnsi="黑体" w:eastAsia="黑体"/>
          <w:sz w:val="52"/>
          <w:szCs w:val="52"/>
        </w:rPr>
        <w:t>超低能耗建筑技术规范</w:t>
      </w:r>
    </w:p>
    <w:p>
      <w:pPr>
        <w:overflowPunct w:val="0"/>
        <w:spacing w:before="163" w:beforeLines="50"/>
        <w:jc w:val="center"/>
        <w:rPr>
          <w:rFonts w:ascii="黑体" w:hAnsi="黑体" w:eastAsia="黑体"/>
          <w:sz w:val="36"/>
          <w:szCs w:val="36"/>
        </w:rPr>
      </w:pPr>
      <w:r>
        <w:rPr>
          <w:rFonts w:hint="eastAsia" w:ascii="黑体" w:hAnsi="黑体" w:eastAsia="黑体"/>
          <w:sz w:val="36"/>
          <w:szCs w:val="36"/>
        </w:rPr>
        <w:t>第</w:t>
      </w:r>
      <w:r>
        <w:rPr>
          <w:rFonts w:hint="eastAsia" w:ascii="黑体" w:hAnsi="黑体" w:eastAsia="黑体"/>
          <w:sz w:val="36"/>
          <w:szCs w:val="36"/>
          <w:lang w:val="en-US" w:eastAsia="zh-CN"/>
        </w:rPr>
        <w:t>2</w:t>
      </w:r>
      <w:r>
        <w:rPr>
          <w:rFonts w:hint="eastAsia" w:ascii="黑体" w:hAnsi="黑体" w:eastAsia="黑体"/>
          <w:sz w:val="36"/>
          <w:szCs w:val="36"/>
        </w:rPr>
        <w:t>部分</w:t>
      </w:r>
      <w:r>
        <w:rPr>
          <w:rFonts w:hint="eastAsia" w:ascii="黑体" w:hAnsi="黑体" w:eastAsia="黑体"/>
          <w:sz w:val="36"/>
          <w:szCs w:val="36"/>
          <w:lang w:eastAsia="zh-CN"/>
        </w:rPr>
        <w:t>：</w:t>
      </w:r>
      <w:r>
        <w:rPr>
          <w:rFonts w:hint="eastAsia" w:ascii="黑体" w:hAnsi="黑体" w:eastAsia="黑体"/>
          <w:sz w:val="36"/>
          <w:szCs w:val="36"/>
        </w:rPr>
        <w:t>公共建筑设计</w:t>
      </w:r>
    </w:p>
    <w:p>
      <w:pPr>
        <w:overflowPunct w:val="0"/>
      </w:pPr>
    </w:p>
    <w:p>
      <w:pPr>
        <w:overflowPunct w:val="0"/>
        <w:jc w:val="center"/>
        <w:rPr>
          <w:rFonts w:ascii="Times New Roman" w:hAnsi="Times New Roman" w:eastAsia="黑体"/>
          <w:sz w:val="32"/>
          <w:szCs w:val="32"/>
        </w:rPr>
      </w:pPr>
      <w:r>
        <w:rPr>
          <w:rFonts w:ascii="Times New Roman" w:hAnsi="Times New Roman" w:eastAsia="黑体"/>
          <w:sz w:val="32"/>
          <w:szCs w:val="32"/>
        </w:rPr>
        <w:t xml:space="preserve">Technical Specifications for Ultra-low Energy Consumption Buildings - </w:t>
      </w:r>
    </w:p>
    <w:p>
      <w:pPr>
        <w:overflowPunct w:val="0"/>
        <w:jc w:val="center"/>
        <w:rPr>
          <w:rFonts w:ascii="Times New Roman" w:hAnsi="Times New Roman" w:eastAsia="黑体"/>
          <w:sz w:val="32"/>
          <w:szCs w:val="32"/>
        </w:rPr>
      </w:pPr>
      <w:r>
        <w:rPr>
          <w:rFonts w:ascii="Times New Roman" w:hAnsi="Times New Roman" w:eastAsia="黑体"/>
          <w:sz w:val="32"/>
          <w:szCs w:val="32"/>
        </w:rPr>
        <w:t>Part 2: Design of Public Buildings</w:t>
      </w:r>
    </w:p>
    <w:p>
      <w:pPr>
        <w:overflowPunct w:val="0"/>
      </w:pPr>
    </w:p>
    <w:p>
      <w:pPr>
        <w:overflowPunct w:val="0"/>
        <w:jc w:val="center"/>
        <w:rPr>
          <w:rFonts w:ascii="黑体" w:hAnsi="黑体" w:eastAsia="黑体"/>
          <w:sz w:val="32"/>
          <w:szCs w:val="32"/>
        </w:rPr>
      </w:pPr>
      <w:r>
        <w:rPr>
          <w:rFonts w:hint="eastAsia" w:ascii="黑体" w:hAnsi="黑体" w:eastAsia="黑体"/>
          <w:sz w:val="32"/>
          <w:szCs w:val="32"/>
        </w:rPr>
        <w:t>（征求意见稿）</w:t>
      </w:r>
    </w:p>
    <w:p>
      <w:pPr>
        <w:overflowPunct w:val="0"/>
      </w:pPr>
    </w:p>
    <w:p>
      <w:pPr>
        <w:overflowPunct w:val="0"/>
      </w:pPr>
    </w:p>
    <w:p>
      <w:pPr>
        <w:overflowPunct w:val="0"/>
      </w:pPr>
    </w:p>
    <w:p>
      <w:pPr>
        <w:overflowPunct w:val="0"/>
      </w:pPr>
    </w:p>
    <w:p>
      <w:pPr>
        <w:overflowPunct w:val="0"/>
      </w:pPr>
    </w:p>
    <w:p>
      <w:pPr>
        <w:overflowPunct w:val="0"/>
      </w:pPr>
    </w:p>
    <w:p>
      <w:pPr>
        <w:overflowPunct w:val="0"/>
      </w:pPr>
    </w:p>
    <w:p>
      <w:pPr>
        <w:overflowPunct w:val="0"/>
      </w:pPr>
    </w:p>
    <w:p>
      <w:pPr>
        <w:overflowPunct w:val="0"/>
      </w:pPr>
      <w:r>
        <mc:AlternateContent>
          <mc:Choice Requires="wps">
            <w:drawing>
              <wp:anchor distT="0" distB="0" distL="114300" distR="114300" simplePos="0" relativeHeight="251663360" behindDoc="0" locked="0" layoutInCell="1" allowOverlap="1">
                <wp:simplePos x="0" y="0"/>
                <wp:positionH relativeFrom="margin">
                  <wp:posOffset>3971925</wp:posOffset>
                </wp:positionH>
                <wp:positionV relativeFrom="margin">
                  <wp:posOffset>8672830</wp:posOffset>
                </wp:positionV>
                <wp:extent cx="2193290" cy="198120"/>
                <wp:effectExtent l="0" t="0" r="16510" b="11430"/>
                <wp:wrapNone/>
                <wp:docPr id="23" name="文本框 23"/>
                <wp:cNvGraphicFramePr/>
                <a:graphic xmlns:a="http://schemas.openxmlformats.org/drawingml/2006/main">
                  <a:graphicData uri="http://schemas.microsoft.com/office/word/2010/wordprocessingShape">
                    <wps:wsp>
                      <wps:cNvSpPr txBox="true">
                        <a:spLocks noChangeArrowheads="true"/>
                      </wps:cNvSpPr>
                      <wps:spPr bwMode="auto">
                        <a:xfrm>
                          <a:off x="0" y="0"/>
                          <a:ext cx="2193290" cy="198120"/>
                        </a:xfrm>
                        <a:prstGeom prst="rect">
                          <a:avLst/>
                        </a:prstGeom>
                        <a:noFill/>
                        <a:ln>
                          <a:noFill/>
                        </a:ln>
                        <a:effectLst/>
                      </wps:spPr>
                      <wps:txbx>
                        <w:txbxContent>
                          <w:p>
                            <w:pPr>
                              <w:pStyle w:val="37"/>
                              <w:spacing w:line="300" w:lineRule="exact"/>
                              <w:jc w:val="right"/>
                            </w:pPr>
                            <w:r>
                              <w:rPr>
                                <w:rFonts w:hint="eastAsia" w:ascii="黑体" w:hAnsi="黑体"/>
                              </w:rPr>
                              <w:t>20××-××-</w:t>
                            </w:r>
                            <w:r>
                              <w:rPr>
                                <w:rFonts w:hint="eastAsia" w:ascii="黑体" w:hAnsi="黑体" w:cs="Arial"/>
                              </w:rPr>
                              <w:t>××</w:t>
                            </w:r>
                            <w:r>
                              <w:rPr>
                                <w:rFonts w:hint="eastAsia" w:ascii="黑体" w:hAnsi="黑体"/>
                              </w:rPr>
                              <w:t>实施</w:t>
                            </w:r>
                          </w:p>
                        </w:txbxContent>
                      </wps:txbx>
                      <wps:bodyPr rot="0" vert="horz" wrap="square" lIns="0" tIns="0" rIns="0" bIns="0" anchor="t" anchorCtr="false" upright="true">
                        <a:noAutofit/>
                      </wps:bodyPr>
                    </wps:wsp>
                  </a:graphicData>
                </a:graphic>
              </wp:anchor>
            </w:drawing>
          </mc:Choice>
          <mc:Fallback>
            <w:pict>
              <v:shape id="_x0000_s1026" o:spid="_x0000_s1026" o:spt="202" type="#_x0000_t202" style="position:absolute;left:0pt;margin-left:312.75pt;margin-top:682.9pt;height:15.6pt;width:172.7pt;mso-position-horizontal-relative:margin;mso-position-vertical-relative:margin;z-index:251663360;mso-width-relative:page;mso-height-relative:page;" filled="f" stroked="f" coordsize="21600,21600" o:gfxdata="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HsUFTLaAAAADQEAAA8A&#10;AAAAAAAAAQAgAAAAOAAAAGRycy9kb3ducmV2LnhtbFBLAQIUABQAAAAIAIdO4kBmaZej/wEAANQD&#10;AAAOAAAAAAAAAAEAIAAAAD8BAABkcnMvZTJvRG9jLnhtbFBLBQYAAAAABgAGAFkBAACwBQAAAAA=&#10;">
                <v:fill on="f" focussize="0,0"/>
                <v:stroke on="f"/>
                <v:imagedata o:title=""/>
                <o:lock v:ext="edit" aspectratio="f"/>
                <v:textbox inset="0mm,0mm,0mm,0mm">
                  <w:txbxContent>
                    <w:p>
                      <w:pPr>
                        <w:pStyle w:val="37"/>
                        <w:spacing w:line="300" w:lineRule="exact"/>
                        <w:jc w:val="right"/>
                      </w:pPr>
                      <w:r>
                        <w:rPr>
                          <w:rFonts w:hint="eastAsia" w:ascii="黑体" w:hAnsi="黑体"/>
                        </w:rPr>
                        <w:t>20××-××-</w:t>
                      </w:r>
                      <w:r>
                        <w:rPr>
                          <w:rFonts w:hint="eastAsia" w:ascii="黑体" w:hAnsi="黑体" w:cs="Arial"/>
                        </w:rPr>
                        <w:t>××</w:t>
                      </w:r>
                      <w:r>
                        <w:rPr>
                          <w:rFonts w:hint="eastAsia" w:ascii="黑体" w:hAnsi="黑体"/>
                        </w:rPr>
                        <w:t>实施</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posOffset>-13970</wp:posOffset>
                </wp:positionH>
                <wp:positionV relativeFrom="margin">
                  <wp:posOffset>8672830</wp:posOffset>
                </wp:positionV>
                <wp:extent cx="2193290" cy="198120"/>
                <wp:effectExtent l="0" t="0" r="16510" b="11430"/>
                <wp:wrapNone/>
                <wp:docPr id="21" name="文本框 21"/>
                <wp:cNvGraphicFramePr/>
                <a:graphic xmlns:a="http://schemas.openxmlformats.org/drawingml/2006/main">
                  <a:graphicData uri="http://schemas.microsoft.com/office/word/2010/wordprocessingShape">
                    <wps:wsp>
                      <wps:cNvSpPr txBox="true">
                        <a:spLocks noChangeArrowheads="true"/>
                      </wps:cNvSpPr>
                      <wps:spPr bwMode="auto">
                        <a:xfrm>
                          <a:off x="0" y="0"/>
                          <a:ext cx="2193290" cy="198120"/>
                        </a:xfrm>
                        <a:prstGeom prst="rect">
                          <a:avLst/>
                        </a:prstGeom>
                        <a:noFill/>
                        <a:ln>
                          <a:noFill/>
                        </a:ln>
                        <a:effectLst/>
                      </wps:spPr>
                      <wps:txbx>
                        <w:txbxContent>
                          <w:p>
                            <w:pPr>
                              <w:pStyle w:val="37"/>
                              <w:spacing w:line="300" w:lineRule="exact"/>
                              <w:rPr>
                                <w:rFonts w:ascii="黑体" w:hAnsi="黑体"/>
                              </w:rPr>
                            </w:pPr>
                            <w:r>
                              <w:rPr>
                                <w:rFonts w:ascii="黑体" w:hAnsi="黑体"/>
                              </w:rPr>
                              <w:t>20</w:t>
                            </w:r>
                            <w:r>
                              <w:rPr>
                                <w:rFonts w:ascii="黑体" w:hAnsi="黑体" w:cs="Arial"/>
                              </w:rPr>
                              <w:t>××</w:t>
                            </w:r>
                            <w:r>
                              <w:rPr>
                                <w:rFonts w:ascii="黑体" w:hAnsi="黑体"/>
                              </w:rPr>
                              <w:t>-</w:t>
                            </w:r>
                            <w:bookmarkStart w:id="73" w:name="_Hlk52710289"/>
                            <w:r>
                              <w:rPr>
                                <w:rFonts w:ascii="黑体" w:hAnsi="黑体" w:cs="Arial"/>
                              </w:rPr>
                              <w:t>××</w:t>
                            </w:r>
                            <w:bookmarkEnd w:id="73"/>
                            <w:r>
                              <w:rPr>
                                <w:rFonts w:ascii="黑体" w:hAnsi="黑体"/>
                              </w:rPr>
                              <w:t>-</w:t>
                            </w:r>
                            <w:r>
                              <w:rPr>
                                <w:rFonts w:ascii="黑体" w:hAnsi="黑体" w:cs="Arial"/>
                              </w:rPr>
                              <w:t>××</w:t>
                            </w:r>
                            <w:r>
                              <w:rPr>
                                <w:rFonts w:hint="eastAsia" w:ascii="黑体" w:hAnsi="黑体" w:cs="黑体"/>
                              </w:rPr>
                              <w:t xml:space="preserve">发布　　　　　　　　　　　　　　　　 </w:t>
                            </w:r>
                          </w:p>
                        </w:txbxContent>
                      </wps:txbx>
                      <wps:bodyPr rot="0" vert="horz" wrap="square" lIns="0" tIns="0" rIns="0" bIns="0" anchor="t" anchorCtr="false" upright="true">
                        <a:noAutofit/>
                      </wps:bodyPr>
                    </wps:wsp>
                  </a:graphicData>
                </a:graphic>
              </wp:anchor>
            </w:drawing>
          </mc:Choice>
          <mc:Fallback>
            <w:pict>
              <v:shape id="_x0000_s1026" o:spid="_x0000_s1026" o:spt="202" type="#_x0000_t202" style="position:absolute;left:0pt;margin-left:-1.1pt;margin-top:682.9pt;height:15.6pt;width:172.7pt;mso-position-horizontal-relative:margin;mso-position-vertical-relative:margin;z-index:251659264;mso-width-relative:page;mso-height-relative:page;" filled="f" stroked="f" coordsize="21600,21600" o:gfxdata="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Dw9KMI2QAAAAwBAAAPAAAA&#10;AAAAAAEAIAAAADgAAABkcnMvZG93bnJldi54bWxQSwECFAAUAAAACACHTuJANofaI/4BAADUAwAA&#10;DgAAAAAAAAABACAAAAA+AQAAZHJzL2Uyb0RvYy54bWxQSwUGAAAAAAYABgBZAQAArgUAAAAA&#10;">
                <v:fill on="f" focussize="0,0"/>
                <v:stroke on="f"/>
                <v:imagedata o:title=""/>
                <o:lock v:ext="edit" aspectratio="f"/>
                <v:textbox inset="0mm,0mm,0mm,0mm">
                  <w:txbxContent>
                    <w:p>
                      <w:pPr>
                        <w:pStyle w:val="37"/>
                        <w:spacing w:line="300" w:lineRule="exact"/>
                        <w:rPr>
                          <w:rFonts w:ascii="黑体" w:hAnsi="黑体"/>
                        </w:rPr>
                      </w:pPr>
                      <w:r>
                        <w:rPr>
                          <w:rFonts w:ascii="黑体" w:hAnsi="黑体"/>
                        </w:rPr>
                        <w:t>20</w:t>
                      </w:r>
                      <w:r>
                        <w:rPr>
                          <w:rFonts w:ascii="黑体" w:hAnsi="黑体" w:cs="Arial"/>
                        </w:rPr>
                        <w:t>××</w:t>
                      </w:r>
                      <w:r>
                        <w:rPr>
                          <w:rFonts w:ascii="黑体" w:hAnsi="黑体"/>
                        </w:rPr>
                        <w:t>-</w:t>
                      </w:r>
                      <w:bookmarkStart w:id="73" w:name="_Hlk52710289"/>
                      <w:r>
                        <w:rPr>
                          <w:rFonts w:ascii="黑体" w:hAnsi="黑体" w:cs="Arial"/>
                        </w:rPr>
                        <w:t>××</w:t>
                      </w:r>
                      <w:bookmarkEnd w:id="73"/>
                      <w:r>
                        <w:rPr>
                          <w:rFonts w:ascii="黑体" w:hAnsi="黑体"/>
                        </w:rPr>
                        <w:t>-</w:t>
                      </w:r>
                      <w:r>
                        <w:rPr>
                          <w:rFonts w:ascii="黑体" w:hAnsi="黑体" w:cs="Arial"/>
                        </w:rPr>
                        <w:t>××</w:t>
                      </w:r>
                      <w:r>
                        <w:rPr>
                          <w:rFonts w:hint="eastAsia" w:ascii="黑体" w:hAnsi="黑体" w:cs="黑体"/>
                        </w:rPr>
                        <w:t xml:space="preserve">发布　　　　　　　　　　　　　　　　 </w:t>
                      </w:r>
                    </w:p>
                  </w:txbxContent>
                </v:textbox>
              </v:shape>
            </w:pict>
          </mc:Fallback>
        </mc:AlternateContent>
      </w:r>
    </w:p>
    <w:p>
      <w:pPr>
        <w:overflowPunct w:val="0"/>
      </w:pPr>
    </w:p>
    <w:p>
      <w:pPr>
        <w:overflowPunct w:val="0"/>
      </w:pPr>
    </w:p>
    <w:p>
      <w:pPr>
        <w:overflowPunct w:val="0"/>
      </w:pPr>
    </w:p>
    <w:p>
      <w:r>
        <mc:AlternateContent>
          <mc:Choice Requires="wpg">
            <w:drawing>
              <wp:anchor distT="0" distB="0" distL="114300" distR="114300" simplePos="0" relativeHeight="251660288" behindDoc="0" locked="0" layoutInCell="1" allowOverlap="1">
                <wp:simplePos x="0" y="0"/>
                <wp:positionH relativeFrom="column">
                  <wp:posOffset>1281430</wp:posOffset>
                </wp:positionH>
                <wp:positionV relativeFrom="paragraph">
                  <wp:posOffset>441325</wp:posOffset>
                </wp:positionV>
                <wp:extent cx="3742055" cy="539750"/>
                <wp:effectExtent l="0" t="0" r="0" b="0"/>
                <wp:wrapNone/>
                <wp:docPr id="16" name="组合 16"/>
                <wp:cNvGraphicFramePr/>
                <a:graphic xmlns:a="http://schemas.openxmlformats.org/drawingml/2006/main">
                  <a:graphicData uri="http://schemas.microsoft.com/office/word/2010/wordprocessingGroup">
                    <wpg:wgp>
                      <wpg:cNvGrpSpPr/>
                      <wpg:grpSpPr>
                        <a:xfrm>
                          <a:off x="0" y="0"/>
                          <a:ext cx="3742055" cy="539750"/>
                          <a:chOff x="3433" y="14922"/>
                          <a:chExt cx="5273" cy="850"/>
                        </a:xfrm>
                      </wpg:grpSpPr>
                      <wps:wsp>
                        <wps:cNvPr id="19" name="文本框 8"/>
                        <wps:cNvSpPr txBox="true">
                          <a:spLocks noChangeArrowheads="true"/>
                        </wps:cNvSpPr>
                        <wps:spPr bwMode="auto">
                          <a:xfrm>
                            <a:off x="3433" y="14922"/>
                            <a:ext cx="3455" cy="850"/>
                          </a:xfrm>
                          <a:prstGeom prst="rect">
                            <a:avLst/>
                          </a:prstGeom>
                          <a:solidFill>
                            <a:srgbClr val="FFFFFF"/>
                          </a:solidFill>
                          <a:ln>
                            <a:noFill/>
                          </a:ln>
                          <a:effectLst/>
                        </wps:spPr>
                        <wps:txbx>
                          <w:txbxContent>
                            <w:p>
                              <w:pPr>
                                <w:pStyle w:val="40"/>
                                <w:spacing w:line="400" w:lineRule="exact"/>
                                <w:jc w:val="distribute"/>
                                <w:rPr>
                                  <w:rFonts w:ascii="黑体" w:hAnsi="黑体" w:eastAsia="黑体"/>
                                  <w:spacing w:val="0"/>
                                  <w:w w:val="100"/>
                                  <w:sz w:val="28"/>
                                  <w:szCs w:val="28"/>
                                </w:rPr>
                              </w:pPr>
                              <w:r>
                                <w:rPr>
                                  <w:rFonts w:hint="eastAsia" w:ascii="黑体" w:hAnsi="黑体" w:eastAsia="黑体"/>
                                  <w:bCs/>
                                  <w:spacing w:val="0"/>
                                  <w:w w:val="100"/>
                                  <w:kern w:val="21"/>
                                  <w:sz w:val="28"/>
                                  <w:szCs w:val="28"/>
                                </w:rPr>
                                <w:t>湖北省住房和城乡建设厅</w:t>
                              </w:r>
                              <w:r>
                                <w:rPr>
                                  <w:rFonts w:ascii="黑体" w:hAnsi="黑体" w:eastAsia="黑体"/>
                                  <w:bCs/>
                                  <w:spacing w:val="0"/>
                                  <w:w w:val="100"/>
                                  <w:kern w:val="21"/>
                                  <w:sz w:val="28"/>
                                  <w:szCs w:val="28"/>
                                </w:rPr>
                                <w:br w:type="textWrapping"/>
                              </w:r>
                              <w:r>
                                <w:rPr>
                                  <w:rFonts w:hint="eastAsia" w:ascii="黑体" w:hAnsi="黑体" w:eastAsia="黑体"/>
                                  <w:bCs/>
                                  <w:spacing w:val="0"/>
                                  <w:w w:val="100"/>
                                  <w:sz w:val="28"/>
                                  <w:szCs w:val="28"/>
                                </w:rPr>
                                <w:t>湖北省市场监督管理局</w:t>
                              </w:r>
                            </w:p>
                          </w:txbxContent>
                        </wps:txbx>
                        <wps:bodyPr rot="0" vert="horz" wrap="square" lIns="0" tIns="0" rIns="0" bIns="0" anchor="t" anchorCtr="false" upright="true">
                          <a:noAutofit/>
                        </wps:bodyPr>
                      </wps:wsp>
                      <wps:wsp>
                        <wps:cNvPr id="20" name="矩形 9"/>
                        <wps:cNvSpPr>
                          <a:spLocks noChangeArrowheads="true"/>
                        </wps:cNvSpPr>
                        <wps:spPr bwMode="auto">
                          <a:xfrm>
                            <a:off x="7323" y="15062"/>
                            <a:ext cx="1383" cy="570"/>
                          </a:xfrm>
                          <a:prstGeom prst="rect">
                            <a:avLst/>
                          </a:prstGeom>
                          <a:noFill/>
                          <a:ln>
                            <a:noFill/>
                          </a:ln>
                          <a:effectLst/>
                        </wps:spPr>
                        <wps:txbx>
                          <w:txbxContent>
                            <w:p>
                              <w:pPr>
                                <w:pStyle w:val="40"/>
                                <w:spacing w:line="400" w:lineRule="exact"/>
                                <w:jc w:val="both"/>
                                <w:rPr>
                                  <w:b/>
                                  <w:bCs/>
                                  <w:spacing w:val="-15"/>
                                  <w:kern w:val="21"/>
                                  <w:sz w:val="36"/>
                                  <w:szCs w:val="36"/>
                                </w:rPr>
                              </w:pPr>
                              <w:r>
                                <w:rPr>
                                  <w:rFonts w:hint="eastAsia" w:ascii="黑体" w:hAnsi="黑体" w:eastAsia="黑体"/>
                                  <w:bCs/>
                                  <w:spacing w:val="0"/>
                                  <w:w w:val="100"/>
                                  <w:sz w:val="28"/>
                                  <w:szCs w:val="28"/>
                                </w:rPr>
                                <w:t>发布</w:t>
                              </w:r>
                            </w:p>
                          </w:txbxContent>
                        </wps:txbx>
                        <wps:bodyPr rot="0" vert="horz" wrap="square" lIns="91440" tIns="45720" rIns="91440" bIns="45720" anchor="t" anchorCtr="false" upright="true">
                          <a:noAutofit/>
                        </wps:bodyPr>
                      </wps:wsp>
                    </wpg:wgp>
                  </a:graphicData>
                </a:graphic>
              </wp:anchor>
            </w:drawing>
          </mc:Choice>
          <mc:Fallback>
            <w:pict>
              <v:group id="_x0000_s1026" o:spid="_x0000_s1026" o:spt="203" style="position:absolute;left:0pt;margin-left:100.9pt;margin-top:34.75pt;height:42.5pt;width:294.65pt;z-index:251660288;mso-width-relative:page;mso-height-relative:page;" coordorigin="3433,14922" coordsize="5273,850" o:gfxdata="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">
                <o:lock v:ext="edit" aspectratio="f"/>
                <v:shape id="文本框 8" o:spid="_x0000_s1026" o:spt="202" type="#_x0000_t202" style="position:absolute;left:3433;top:14922;height:850;width:3455;" fillcolor="#FFFFFF" filled="t" stroked="f" coordsize="21600,21600" o:gfxdata="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XKy7MvAAAANsAAAAPAAAAAAAAAAEAIAAAADgAAABkcnMvZG93bnJldi54&#10;bWxQSwECFAAUAAAACACHTuJAMy8FnjsAAAA5AAAAEAAAAAAAAAABACAAAAAhAQAAZHJzL3NoYXBl&#10;eG1sLnhtbFBLBQYAAAAABgAGAFsBAADLAwAAAAA=&#10;">
                  <v:fill on="t" focussize="0,0"/>
                  <v:stroke on="f"/>
                  <v:imagedata o:title=""/>
                  <o:lock v:ext="edit" aspectratio="f"/>
                  <v:textbox inset="0mm,0mm,0mm,0mm">
                    <w:txbxContent>
                      <w:p>
                        <w:pPr>
                          <w:pStyle w:val="40"/>
                          <w:spacing w:line="400" w:lineRule="exact"/>
                          <w:jc w:val="distribute"/>
                          <w:rPr>
                            <w:rFonts w:ascii="黑体" w:hAnsi="黑体" w:eastAsia="黑体"/>
                            <w:spacing w:val="0"/>
                            <w:w w:val="100"/>
                            <w:sz w:val="28"/>
                            <w:szCs w:val="28"/>
                          </w:rPr>
                        </w:pPr>
                        <w:r>
                          <w:rPr>
                            <w:rFonts w:hint="eastAsia" w:ascii="黑体" w:hAnsi="黑体" w:eastAsia="黑体"/>
                            <w:bCs/>
                            <w:spacing w:val="0"/>
                            <w:w w:val="100"/>
                            <w:kern w:val="21"/>
                            <w:sz w:val="28"/>
                            <w:szCs w:val="28"/>
                          </w:rPr>
                          <w:t>湖北省住房和城乡建设厅</w:t>
                        </w:r>
                        <w:r>
                          <w:rPr>
                            <w:rFonts w:ascii="黑体" w:hAnsi="黑体" w:eastAsia="黑体"/>
                            <w:bCs/>
                            <w:spacing w:val="0"/>
                            <w:w w:val="100"/>
                            <w:kern w:val="21"/>
                            <w:sz w:val="28"/>
                            <w:szCs w:val="28"/>
                          </w:rPr>
                          <w:br w:type="textWrapping"/>
                        </w:r>
                        <w:r>
                          <w:rPr>
                            <w:rFonts w:hint="eastAsia" w:ascii="黑体" w:hAnsi="黑体" w:eastAsia="黑体"/>
                            <w:bCs/>
                            <w:spacing w:val="0"/>
                            <w:w w:val="100"/>
                            <w:sz w:val="28"/>
                            <w:szCs w:val="28"/>
                          </w:rPr>
                          <w:t>湖北省市场监督管理局</w:t>
                        </w:r>
                      </w:p>
                    </w:txbxContent>
                  </v:textbox>
                </v:shape>
                <v:rect id="矩形 9" o:spid="_x0000_s1026" o:spt="1" style="position:absolute;left:7323;top:15062;height:570;width:1383;" filled="f" stroked="f" coordsize="21600,21600" o:gfxdata="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5Tbq27AAAA2wAAAA8AAAAAAAAAAQAgAAAAOAAAAGRycy9kb3ducmV2Lnht&#10;bFBLAQIUABQAAAAIAIdO4kAzLwWeOwAAADkAAAAQAAAAAAAAAAEAIAAAACABAABkcnMvc2hhcGV4&#10;bWwueG1sUEsFBgAAAAAGAAYAWwEAAMoDAAAAAA==&#10;">
                  <v:fill on="f" focussize="0,0"/>
                  <v:stroke on="f"/>
                  <v:imagedata o:title=""/>
                  <o:lock v:ext="edit" aspectratio="f"/>
                  <v:textbox>
                    <w:txbxContent>
                      <w:p>
                        <w:pPr>
                          <w:pStyle w:val="40"/>
                          <w:spacing w:line="400" w:lineRule="exact"/>
                          <w:jc w:val="both"/>
                          <w:rPr>
                            <w:b/>
                            <w:bCs/>
                            <w:spacing w:val="-15"/>
                            <w:kern w:val="21"/>
                            <w:sz w:val="36"/>
                            <w:szCs w:val="36"/>
                          </w:rPr>
                        </w:pPr>
                        <w:r>
                          <w:rPr>
                            <w:rFonts w:hint="eastAsia" w:ascii="黑体" w:hAnsi="黑体" w:eastAsia="黑体"/>
                            <w:bCs/>
                            <w:spacing w:val="0"/>
                            <w:w w:val="100"/>
                            <w:sz w:val="28"/>
                            <w:szCs w:val="28"/>
                          </w:rPr>
                          <w:t>发布</w:t>
                        </w:r>
                      </w:p>
                    </w:txbxContent>
                  </v:textbox>
                </v:rect>
              </v:group>
            </w:pict>
          </mc:Fallback>
        </mc:AlternateContent>
      </w:r>
      <w:r>
        <w:br w:type="page"/>
      </w:r>
    </w:p>
    <w:p>
      <w:pPr>
        <w:overflowPunct w:val="0"/>
        <w:sectPr>
          <w:headerReference r:id="rId5" w:type="first"/>
          <w:footerReference r:id="rId7" w:type="first"/>
          <w:headerReference r:id="rId3" w:type="default"/>
          <w:footerReference r:id="rId6" w:type="default"/>
          <w:headerReference r:id="rId4" w:type="even"/>
          <w:pgSz w:w="11906" w:h="16838"/>
          <w:pgMar w:top="567" w:right="794" w:bottom="1134" w:left="1418" w:header="284" w:footer="284" w:gutter="0"/>
          <w:pgNumType w:start="1"/>
          <w:cols w:space="720" w:num="1"/>
          <w:docGrid w:type="lines" w:linePitch="327" w:charSpace="0"/>
        </w:sectPr>
      </w:pPr>
      <w:r>
        <w:rPr>
          <w:rFonts w:hint="eastAsia"/>
        </w:rPr>
        <w:t>　</w:t>
      </w:r>
    </w:p>
    <w:p>
      <w:pPr>
        <w:pStyle w:val="35"/>
        <w:overflowPunct w:val="0"/>
        <w:ind w:left="0" w:leftChars="0" w:firstLine="0" w:firstLineChars="0"/>
        <w:rPr>
          <w:color w:val="auto"/>
        </w:rPr>
      </w:pPr>
    </w:p>
    <w:p>
      <w:pPr>
        <w:pStyle w:val="35"/>
        <w:overflowPunct w:val="0"/>
        <w:rPr>
          <w:color w:val="auto"/>
        </w:rPr>
      </w:pPr>
    </w:p>
    <w:p>
      <w:pPr>
        <w:pStyle w:val="34"/>
        <w:overflowPunct w:val="0"/>
        <w:spacing w:before="218"/>
        <w:rPr>
          <w:color w:val="auto"/>
        </w:rPr>
      </w:pPr>
      <w:bookmarkStart w:id="0" w:name="_Toc4892"/>
      <w:bookmarkStart w:id="1" w:name="_Toc97537084"/>
      <w:r>
        <w:rPr>
          <w:rFonts w:hint="eastAsia"/>
          <w:color w:val="auto"/>
        </w:rPr>
        <w:t>目　次</w:t>
      </w:r>
      <w:bookmarkEnd w:id="0"/>
      <w:bookmarkEnd w:id="1"/>
    </w:p>
    <w:p>
      <w:pPr>
        <w:pStyle w:val="35"/>
        <w:overflowPunct w:val="0"/>
        <w:spacing w:line="240" w:lineRule="auto"/>
        <w:ind w:firstLine="0" w:firstLineChars="0"/>
        <w:rPr>
          <w:color w:val="auto"/>
        </w:rPr>
      </w:pPr>
    </w:p>
    <w:p>
      <w:pPr>
        <w:pStyle w:val="11"/>
        <w:tabs>
          <w:tab w:val="right" w:leader="dot" w:pos="9354"/>
        </w:tabs>
        <w:overflowPunct w:val="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TOC \o "1-2" \h \u </w:instrText>
      </w:r>
      <w:r>
        <w:rPr>
          <w:rFonts w:ascii="Times New Roman" w:hAnsi="Times New Roman" w:cs="Times New Roman"/>
        </w:rPr>
        <w:fldChar w:fldCharType="separate"/>
      </w:r>
      <w:r>
        <w:fldChar w:fldCharType="begin"/>
      </w:r>
      <w:r>
        <w:instrText xml:space="preserve"> HYPERLINK \l "_Toc21889" </w:instrText>
      </w:r>
      <w:r>
        <w:fldChar w:fldCharType="separate"/>
      </w:r>
      <w:r>
        <w:rPr>
          <w:rFonts w:ascii="Times New Roman" w:hAnsi="Times New Roman" w:cs="Times New Roman"/>
        </w:rPr>
        <w:t>前　言</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_Toc21889 \h </w:instrText>
      </w:r>
      <w:r>
        <w:rPr>
          <w:rFonts w:ascii="Times New Roman" w:hAnsi="Times New Roman" w:cs="Times New Roman"/>
        </w:rPr>
        <w:fldChar w:fldCharType="separate"/>
      </w:r>
      <w:r>
        <w:rPr>
          <w:rFonts w:ascii="Times New Roman" w:hAnsi="Times New Roman" w:cs="Times New Roman"/>
        </w:rPr>
        <w:t>I</w:t>
      </w:r>
      <w:r>
        <w:rPr>
          <w:rFonts w:ascii="Times New Roman" w:hAnsi="Times New Roman" w:cs="Times New Roman"/>
        </w:rPr>
        <w:fldChar w:fldCharType="end"/>
      </w:r>
      <w:r>
        <w:rPr>
          <w:rFonts w:ascii="Times New Roman" w:hAnsi="Times New Roman" w:cs="Times New Roman"/>
        </w:rPr>
        <w:fldChar w:fldCharType="end"/>
      </w:r>
    </w:p>
    <w:p>
      <w:pPr>
        <w:pStyle w:val="11"/>
        <w:tabs>
          <w:tab w:val="right" w:leader="dot" w:pos="9354"/>
        </w:tabs>
        <w:overflowPunct w:val="0"/>
        <w:rPr>
          <w:rFonts w:ascii="Times New Roman" w:hAnsi="Times New Roman" w:cs="Times New Roman"/>
        </w:rPr>
      </w:pPr>
      <w:r>
        <w:fldChar w:fldCharType="begin"/>
      </w:r>
      <w:r>
        <w:instrText xml:space="preserve"> HYPERLINK \l "_Toc4892" </w:instrText>
      </w:r>
      <w:r>
        <w:fldChar w:fldCharType="separate"/>
      </w:r>
      <w:r>
        <w:rPr>
          <w:rFonts w:ascii="Times New Roman" w:hAnsi="Times New Roman" w:cs="Times New Roman"/>
        </w:rPr>
        <w:t>目　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_Toc4892 \h </w:instrText>
      </w:r>
      <w:r>
        <w:rPr>
          <w:rFonts w:ascii="Times New Roman" w:hAnsi="Times New Roman" w:cs="Times New Roman"/>
        </w:rPr>
        <w:fldChar w:fldCharType="separate"/>
      </w:r>
      <w:r>
        <w:rPr>
          <w:rFonts w:ascii="Times New Roman" w:hAnsi="Times New Roman" w:cs="Times New Roman"/>
        </w:rPr>
        <w:t>III</w:t>
      </w:r>
      <w:r>
        <w:rPr>
          <w:rFonts w:ascii="Times New Roman" w:hAnsi="Times New Roman" w:cs="Times New Roman"/>
        </w:rPr>
        <w:fldChar w:fldCharType="end"/>
      </w:r>
      <w:r>
        <w:rPr>
          <w:rFonts w:ascii="Times New Roman" w:hAnsi="Times New Roman" w:cs="Times New Roman"/>
        </w:rPr>
        <w:fldChar w:fldCharType="end"/>
      </w:r>
    </w:p>
    <w:p>
      <w:pPr>
        <w:pStyle w:val="11"/>
        <w:tabs>
          <w:tab w:val="right" w:leader="dot" w:pos="9354"/>
        </w:tabs>
        <w:overflowPunct w:val="0"/>
        <w:rPr>
          <w:rFonts w:ascii="Times New Roman" w:hAnsi="Times New Roman" w:cs="Times New Roman"/>
        </w:rPr>
      </w:pPr>
      <w:r>
        <w:fldChar w:fldCharType="begin"/>
      </w:r>
      <w:r>
        <w:instrText xml:space="preserve"> HYPERLINK \l "_Toc19516" </w:instrText>
      </w:r>
      <w:r>
        <w:fldChar w:fldCharType="separate"/>
      </w:r>
      <w:r>
        <w:rPr>
          <w:rFonts w:ascii="Times New Roman" w:hAnsi="Times New Roman" w:cs="Times New Roman"/>
        </w:rPr>
        <w:t>1</w:t>
      </w:r>
      <w:r>
        <w:rPr>
          <w:rFonts w:hint="eastAsia" w:ascii="Times New Roman" w:hAnsi="Times New Roman" w:cs="Times New Roman"/>
        </w:rPr>
        <w:t>　</w:t>
      </w:r>
      <w:r>
        <w:rPr>
          <w:rFonts w:ascii="Times New Roman" w:hAnsi="Times New Roman" w:cs="Times New Roman"/>
        </w:rPr>
        <w:t>范围</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_Toc19516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11"/>
        <w:tabs>
          <w:tab w:val="right" w:leader="dot" w:pos="9354"/>
        </w:tabs>
        <w:overflowPunct w:val="0"/>
        <w:rPr>
          <w:rFonts w:ascii="Times New Roman" w:hAnsi="Times New Roman" w:cs="Times New Roman"/>
        </w:rPr>
      </w:pPr>
      <w:r>
        <w:fldChar w:fldCharType="begin"/>
      </w:r>
      <w:r>
        <w:instrText xml:space="preserve"> HYPERLINK \l "_Toc12215" </w:instrText>
      </w:r>
      <w:r>
        <w:fldChar w:fldCharType="separate"/>
      </w:r>
      <w:r>
        <w:rPr>
          <w:rFonts w:ascii="Times New Roman" w:hAnsi="Times New Roman" w:cs="Times New Roman"/>
        </w:rPr>
        <w:t>2</w:t>
      </w:r>
      <w:r>
        <w:rPr>
          <w:rFonts w:hint="eastAsia" w:ascii="Times New Roman" w:hAnsi="Times New Roman" w:cs="Times New Roman"/>
        </w:rPr>
        <w:t>　</w:t>
      </w:r>
      <w:r>
        <w:rPr>
          <w:rFonts w:ascii="Times New Roman" w:hAnsi="Times New Roman" w:cs="Times New Roman"/>
        </w:rPr>
        <w:t>规范性引用文件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_Toc12215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11"/>
        <w:tabs>
          <w:tab w:val="right" w:leader="dot" w:pos="9354"/>
        </w:tabs>
        <w:overflowPunct w:val="0"/>
        <w:rPr>
          <w:rFonts w:ascii="Times New Roman" w:hAnsi="Times New Roman" w:cs="Times New Roman"/>
        </w:rPr>
      </w:pPr>
      <w:r>
        <w:fldChar w:fldCharType="begin"/>
      </w:r>
      <w:r>
        <w:instrText xml:space="preserve"> HYPERLINK \l "_Toc27298" </w:instrText>
      </w:r>
      <w:r>
        <w:fldChar w:fldCharType="separate"/>
      </w:r>
      <w:r>
        <w:rPr>
          <w:rFonts w:ascii="Times New Roman" w:hAnsi="Times New Roman" w:cs="Times New Roman"/>
        </w:rPr>
        <w:t>3</w:t>
      </w:r>
      <w:r>
        <w:rPr>
          <w:rFonts w:hint="eastAsia" w:ascii="Times New Roman" w:hAnsi="Times New Roman" w:cs="Times New Roman"/>
        </w:rPr>
        <w:t>　</w:t>
      </w:r>
      <w:r>
        <w:rPr>
          <w:rFonts w:ascii="Times New Roman" w:hAnsi="Times New Roman" w:cs="Times New Roman"/>
        </w:rPr>
        <w:t>术语和定义</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_Toc27298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11"/>
        <w:tabs>
          <w:tab w:val="right" w:leader="dot" w:pos="9354"/>
        </w:tabs>
        <w:overflowPunct w:val="0"/>
        <w:rPr>
          <w:rFonts w:ascii="Times New Roman" w:hAnsi="Times New Roman" w:cs="Times New Roman"/>
        </w:rPr>
      </w:pPr>
      <w:r>
        <w:fldChar w:fldCharType="begin"/>
      </w:r>
      <w:r>
        <w:instrText xml:space="preserve"> HYPERLINK \l "_Toc5114" </w:instrText>
      </w:r>
      <w:r>
        <w:fldChar w:fldCharType="separate"/>
      </w:r>
      <w:r>
        <w:rPr>
          <w:rFonts w:ascii="Times New Roman" w:hAnsi="Times New Roman" w:cs="Times New Roman"/>
        </w:rPr>
        <w:t>4</w:t>
      </w:r>
      <w:r>
        <w:rPr>
          <w:rFonts w:hint="eastAsia" w:ascii="Times New Roman" w:hAnsi="Times New Roman" w:cs="Times New Roman"/>
        </w:rPr>
        <w:t>　</w:t>
      </w:r>
      <w:r>
        <w:rPr>
          <w:rFonts w:ascii="Times New Roman" w:hAnsi="Times New Roman" w:cs="Times New Roman"/>
        </w:rPr>
        <w:t>基本规定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_Toc5114 \h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fldChar w:fldCharType="end"/>
      </w:r>
    </w:p>
    <w:p>
      <w:pPr>
        <w:pStyle w:val="11"/>
        <w:tabs>
          <w:tab w:val="right" w:leader="dot" w:pos="9354"/>
        </w:tabs>
        <w:overflowPunct w:val="0"/>
        <w:rPr>
          <w:rFonts w:ascii="Times New Roman" w:hAnsi="Times New Roman" w:cs="Times New Roman"/>
        </w:rPr>
      </w:pPr>
      <w:r>
        <w:fldChar w:fldCharType="begin"/>
      </w:r>
      <w:r>
        <w:instrText xml:space="preserve"> HYPERLINK \l "_Toc11029" </w:instrText>
      </w:r>
      <w:r>
        <w:fldChar w:fldCharType="separate"/>
      </w:r>
      <w:r>
        <w:rPr>
          <w:rFonts w:ascii="Times New Roman" w:hAnsi="Times New Roman" w:cs="Times New Roman"/>
        </w:rPr>
        <w:t>5</w:t>
      </w:r>
      <w:r>
        <w:rPr>
          <w:rFonts w:hint="eastAsia" w:ascii="Times New Roman" w:hAnsi="Times New Roman" w:cs="Times New Roman"/>
        </w:rPr>
        <w:t>　</w:t>
      </w:r>
      <w:r>
        <w:rPr>
          <w:rFonts w:ascii="Times New Roman" w:hAnsi="Times New Roman" w:cs="Times New Roman"/>
        </w:rPr>
        <w:t>气候响应设计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_Toc11029 \h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9354"/>
        </w:tabs>
        <w:overflowPunct w:val="0"/>
        <w:ind w:left="315" w:leftChars="150"/>
        <w:rPr>
          <w:rFonts w:ascii="Times New Roman" w:hAnsi="Times New Roman" w:cs="Times New Roman"/>
        </w:rPr>
      </w:pPr>
      <w:r>
        <w:fldChar w:fldCharType="begin"/>
      </w:r>
      <w:r>
        <w:instrText xml:space="preserve"> HYPERLINK \l "_Toc2060" </w:instrText>
      </w:r>
      <w:r>
        <w:fldChar w:fldCharType="separate"/>
      </w:r>
      <w:r>
        <w:rPr>
          <w:rFonts w:ascii="Times New Roman" w:hAnsi="Times New Roman" w:cs="Times New Roman"/>
        </w:rPr>
        <w:t>5.1</w:t>
      </w:r>
      <w:r>
        <w:rPr>
          <w:rFonts w:hint="eastAsia" w:ascii="Times New Roman" w:hAnsi="Times New Roman" w:cs="Times New Roman"/>
        </w:rPr>
        <w:t>　</w:t>
      </w:r>
      <w:r>
        <w:rPr>
          <w:rFonts w:ascii="Times New Roman" w:hAnsi="Times New Roman" w:cs="Times New Roman"/>
        </w:rPr>
        <w:t>场地规划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 \h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9354"/>
        </w:tabs>
        <w:overflowPunct w:val="0"/>
        <w:ind w:left="315" w:leftChars="150"/>
        <w:rPr>
          <w:rFonts w:ascii="Times New Roman" w:hAnsi="Times New Roman" w:cs="Times New Roman"/>
        </w:rPr>
      </w:pPr>
      <w:r>
        <w:fldChar w:fldCharType="begin"/>
      </w:r>
      <w:r>
        <w:instrText xml:space="preserve"> HYPERLINK \l "_Toc14148" </w:instrText>
      </w:r>
      <w:r>
        <w:fldChar w:fldCharType="separate"/>
      </w:r>
      <w:r>
        <w:rPr>
          <w:rFonts w:ascii="Times New Roman" w:hAnsi="Times New Roman" w:cs="Times New Roman"/>
        </w:rPr>
        <w:t>5.2</w:t>
      </w:r>
      <w:r>
        <w:rPr>
          <w:rFonts w:hint="eastAsia" w:ascii="Times New Roman" w:hAnsi="Times New Roman" w:cs="Times New Roman"/>
        </w:rPr>
        <w:t>　</w:t>
      </w:r>
      <w:r>
        <w:rPr>
          <w:rFonts w:ascii="Times New Roman" w:hAnsi="Times New Roman" w:cs="Times New Roman"/>
        </w:rPr>
        <w:t>自然采光</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_Toc14148 \h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9354"/>
        </w:tabs>
        <w:overflowPunct w:val="0"/>
        <w:ind w:left="315" w:leftChars="150"/>
        <w:rPr>
          <w:rFonts w:ascii="Times New Roman" w:hAnsi="Times New Roman" w:cs="Times New Roman"/>
        </w:rPr>
      </w:pPr>
      <w:r>
        <w:fldChar w:fldCharType="begin"/>
      </w:r>
      <w:r>
        <w:instrText xml:space="preserve"> HYPERLINK \l "_Toc4214" </w:instrText>
      </w:r>
      <w:r>
        <w:fldChar w:fldCharType="separate"/>
      </w:r>
      <w:r>
        <w:rPr>
          <w:rFonts w:ascii="Times New Roman" w:hAnsi="Times New Roman" w:cs="Times New Roman"/>
        </w:rPr>
        <w:t>5.3</w:t>
      </w:r>
      <w:r>
        <w:rPr>
          <w:rFonts w:hint="eastAsia" w:ascii="Times New Roman" w:hAnsi="Times New Roman" w:cs="Times New Roman"/>
        </w:rPr>
        <w:t>　</w:t>
      </w:r>
      <w:r>
        <w:rPr>
          <w:rFonts w:ascii="Times New Roman" w:hAnsi="Times New Roman" w:cs="Times New Roman"/>
        </w:rPr>
        <w:t>自然通风</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_Toc4214 \h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9354"/>
        </w:tabs>
        <w:overflowPunct w:val="0"/>
        <w:ind w:left="315" w:leftChars="150"/>
        <w:rPr>
          <w:rFonts w:ascii="Times New Roman" w:hAnsi="Times New Roman" w:cs="Times New Roman"/>
        </w:rPr>
      </w:pPr>
      <w:r>
        <w:fldChar w:fldCharType="begin"/>
      </w:r>
      <w:r>
        <w:instrText xml:space="preserve"> HYPERLINK \l "_Toc25791" </w:instrText>
      </w:r>
      <w:r>
        <w:fldChar w:fldCharType="separate"/>
      </w:r>
      <w:r>
        <w:rPr>
          <w:rFonts w:ascii="Times New Roman" w:hAnsi="Times New Roman" w:cs="Times New Roman"/>
        </w:rPr>
        <w:t>5.4</w:t>
      </w:r>
      <w:r>
        <w:rPr>
          <w:rFonts w:hint="eastAsia" w:ascii="Times New Roman" w:hAnsi="Times New Roman" w:cs="Times New Roman"/>
        </w:rPr>
        <w:t>　</w:t>
      </w:r>
      <w:r>
        <w:rPr>
          <w:rFonts w:ascii="Times New Roman" w:hAnsi="Times New Roman" w:cs="Times New Roman"/>
        </w:rPr>
        <w:t>遮阳设计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_Toc25791 \h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fldChar w:fldCharType="end"/>
      </w:r>
    </w:p>
    <w:p>
      <w:pPr>
        <w:pStyle w:val="11"/>
        <w:tabs>
          <w:tab w:val="right" w:leader="dot" w:pos="9354"/>
        </w:tabs>
        <w:overflowPunct w:val="0"/>
        <w:rPr>
          <w:rFonts w:ascii="Times New Roman" w:hAnsi="Times New Roman" w:cs="Times New Roman"/>
        </w:rPr>
      </w:pPr>
      <w:r>
        <w:fldChar w:fldCharType="begin"/>
      </w:r>
      <w:r>
        <w:instrText xml:space="preserve"> HYPERLINK \l "_Toc19187" </w:instrText>
      </w:r>
      <w:r>
        <w:fldChar w:fldCharType="separate"/>
      </w:r>
      <w:r>
        <w:rPr>
          <w:rFonts w:ascii="Times New Roman" w:hAnsi="Times New Roman" w:cs="Times New Roman"/>
        </w:rPr>
        <w:t>6</w:t>
      </w:r>
      <w:r>
        <w:rPr>
          <w:rFonts w:hint="eastAsia" w:ascii="Times New Roman" w:hAnsi="Times New Roman" w:cs="Times New Roman"/>
        </w:rPr>
        <w:t>　</w:t>
      </w:r>
      <w:r>
        <w:rPr>
          <w:rFonts w:ascii="Times New Roman" w:hAnsi="Times New Roman" w:cs="Times New Roman"/>
        </w:rPr>
        <w:t>建筑围护结构热工及构造设计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_Toc19187 \h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9354"/>
        </w:tabs>
        <w:overflowPunct w:val="0"/>
        <w:ind w:left="315" w:leftChars="150"/>
        <w:rPr>
          <w:rFonts w:ascii="Times New Roman" w:hAnsi="Times New Roman" w:cs="Times New Roman"/>
        </w:rPr>
      </w:pPr>
      <w:r>
        <w:fldChar w:fldCharType="begin"/>
      </w:r>
      <w:r>
        <w:instrText xml:space="preserve"> HYPERLINK \l "_Toc10016" </w:instrText>
      </w:r>
      <w:r>
        <w:fldChar w:fldCharType="separate"/>
      </w:r>
      <w:r>
        <w:rPr>
          <w:rFonts w:ascii="Times New Roman" w:hAnsi="Times New Roman" w:cs="Times New Roman"/>
        </w:rPr>
        <w:t>6.1</w:t>
      </w:r>
      <w:r>
        <w:rPr>
          <w:rFonts w:hint="eastAsia" w:ascii="Times New Roman" w:hAnsi="Times New Roman" w:cs="Times New Roman"/>
        </w:rPr>
        <w:t>　</w:t>
      </w:r>
      <w:r>
        <w:rPr>
          <w:rFonts w:ascii="Times New Roman" w:hAnsi="Times New Roman" w:cs="Times New Roman"/>
        </w:rPr>
        <w:t>围护结构热工设计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_Toc10016 \h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9354"/>
        </w:tabs>
        <w:overflowPunct w:val="0"/>
        <w:ind w:left="315" w:leftChars="150"/>
        <w:rPr>
          <w:rFonts w:ascii="Times New Roman" w:hAnsi="Times New Roman" w:cs="Times New Roman"/>
        </w:rPr>
      </w:pPr>
      <w:r>
        <w:fldChar w:fldCharType="begin"/>
      </w:r>
      <w:r>
        <w:instrText xml:space="preserve"> HYPERLINK \l "_Toc32367" </w:instrText>
      </w:r>
      <w:r>
        <w:fldChar w:fldCharType="separate"/>
      </w:r>
      <w:r>
        <w:rPr>
          <w:rFonts w:ascii="Times New Roman" w:hAnsi="Times New Roman" w:cs="Times New Roman"/>
        </w:rPr>
        <w:t>6.2</w:t>
      </w:r>
      <w:r>
        <w:rPr>
          <w:rFonts w:hint="eastAsia" w:ascii="Times New Roman" w:hAnsi="Times New Roman" w:cs="Times New Roman"/>
        </w:rPr>
        <w:t>　</w:t>
      </w:r>
      <w:r>
        <w:rPr>
          <w:rFonts w:ascii="Times New Roman" w:hAnsi="Times New Roman" w:cs="Times New Roman"/>
        </w:rPr>
        <w:t>气密性设计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_Toc32367 \h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9354"/>
        </w:tabs>
        <w:overflowPunct w:val="0"/>
        <w:ind w:left="315" w:leftChars="150"/>
        <w:rPr>
          <w:rFonts w:ascii="Times New Roman" w:hAnsi="Times New Roman" w:cs="Times New Roman"/>
        </w:rPr>
      </w:pPr>
      <w:r>
        <w:fldChar w:fldCharType="begin"/>
      </w:r>
      <w:r>
        <w:instrText xml:space="preserve"> HYPERLINK \l "_Toc11373" </w:instrText>
      </w:r>
      <w:r>
        <w:fldChar w:fldCharType="separate"/>
      </w:r>
      <w:r>
        <w:rPr>
          <w:rFonts w:ascii="Times New Roman" w:hAnsi="Times New Roman" w:cs="Times New Roman"/>
        </w:rPr>
        <w:t>6.3</w:t>
      </w:r>
      <w:r>
        <w:rPr>
          <w:rFonts w:hint="eastAsia" w:ascii="Times New Roman" w:hAnsi="Times New Roman" w:cs="Times New Roman"/>
        </w:rPr>
        <w:t>　</w:t>
      </w:r>
      <w:r>
        <w:rPr>
          <w:rFonts w:ascii="Times New Roman" w:hAnsi="Times New Roman" w:cs="Times New Roman"/>
        </w:rPr>
        <w:t>建筑节能构造设计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_Toc11373 \h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fldChar w:fldCharType="end"/>
      </w:r>
    </w:p>
    <w:p>
      <w:pPr>
        <w:pStyle w:val="11"/>
        <w:tabs>
          <w:tab w:val="right" w:leader="dot" w:pos="9354"/>
        </w:tabs>
        <w:overflowPunct w:val="0"/>
        <w:rPr>
          <w:rFonts w:ascii="Times New Roman" w:hAnsi="Times New Roman" w:cs="Times New Roman"/>
        </w:rPr>
      </w:pPr>
      <w:r>
        <w:fldChar w:fldCharType="begin"/>
      </w:r>
      <w:r>
        <w:instrText xml:space="preserve"> HYPERLINK \l "_Toc24674" </w:instrText>
      </w:r>
      <w:r>
        <w:fldChar w:fldCharType="separate"/>
      </w:r>
      <w:r>
        <w:rPr>
          <w:rFonts w:ascii="Times New Roman" w:hAnsi="Times New Roman" w:cs="Times New Roman"/>
        </w:rPr>
        <w:t>7</w:t>
      </w:r>
      <w:r>
        <w:rPr>
          <w:rFonts w:hint="eastAsia" w:ascii="Times New Roman" w:hAnsi="Times New Roman" w:cs="Times New Roman"/>
        </w:rPr>
        <w:t>　</w:t>
      </w:r>
      <w:r>
        <w:rPr>
          <w:rFonts w:ascii="Times New Roman" w:hAnsi="Times New Roman" w:cs="Times New Roman"/>
        </w:rPr>
        <w:t>供暖通风与空调设计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_Toc24674 \h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9354"/>
        </w:tabs>
        <w:overflowPunct w:val="0"/>
        <w:ind w:left="315" w:leftChars="150"/>
        <w:rPr>
          <w:rFonts w:ascii="Times New Roman" w:hAnsi="Times New Roman" w:cs="Times New Roman"/>
        </w:rPr>
      </w:pPr>
      <w:r>
        <w:fldChar w:fldCharType="begin"/>
      </w:r>
      <w:r>
        <w:instrText xml:space="preserve"> HYPERLINK \l "_Toc15780" </w:instrText>
      </w:r>
      <w:r>
        <w:fldChar w:fldCharType="separate"/>
      </w:r>
      <w:r>
        <w:rPr>
          <w:rFonts w:ascii="Times New Roman" w:hAnsi="Times New Roman" w:cs="Times New Roman"/>
        </w:rPr>
        <w:t>7.1</w:t>
      </w:r>
      <w:r>
        <w:rPr>
          <w:rFonts w:hint="eastAsia" w:ascii="Times New Roman" w:hAnsi="Times New Roman" w:cs="Times New Roman"/>
        </w:rPr>
        <w:t>　</w:t>
      </w:r>
      <w:r>
        <w:rPr>
          <w:rFonts w:ascii="Times New Roman" w:hAnsi="Times New Roman" w:cs="Times New Roman"/>
        </w:rPr>
        <w:t>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_Toc15780 \h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9354"/>
        </w:tabs>
        <w:overflowPunct w:val="0"/>
        <w:ind w:left="315" w:leftChars="150"/>
        <w:rPr>
          <w:rFonts w:ascii="Times New Roman" w:hAnsi="Times New Roman" w:cs="Times New Roman"/>
        </w:rPr>
      </w:pPr>
      <w:r>
        <w:fldChar w:fldCharType="begin"/>
      </w:r>
      <w:r>
        <w:instrText xml:space="preserve"> HYPERLINK \l "_Toc25007" </w:instrText>
      </w:r>
      <w:r>
        <w:fldChar w:fldCharType="separate"/>
      </w:r>
      <w:r>
        <w:rPr>
          <w:rFonts w:ascii="Times New Roman" w:hAnsi="Times New Roman" w:cs="Times New Roman"/>
        </w:rPr>
        <w:t>7.2</w:t>
      </w:r>
      <w:r>
        <w:rPr>
          <w:rFonts w:hint="eastAsia" w:ascii="Times New Roman" w:hAnsi="Times New Roman" w:cs="Times New Roman"/>
        </w:rPr>
        <w:t>　</w:t>
      </w:r>
      <w:r>
        <w:rPr>
          <w:rFonts w:ascii="Times New Roman" w:hAnsi="Times New Roman" w:cs="Times New Roman"/>
        </w:rPr>
        <w:t>通风系统设计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_Toc25007 \h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9354"/>
        </w:tabs>
        <w:overflowPunct w:val="0"/>
        <w:ind w:left="315" w:leftChars="150"/>
        <w:rPr>
          <w:rFonts w:ascii="Times New Roman" w:hAnsi="Times New Roman" w:cs="Times New Roman"/>
        </w:rPr>
      </w:pPr>
      <w:r>
        <w:fldChar w:fldCharType="begin"/>
      </w:r>
      <w:r>
        <w:instrText xml:space="preserve"> HYPERLINK \l "_Toc3214" </w:instrText>
      </w:r>
      <w:r>
        <w:fldChar w:fldCharType="separate"/>
      </w:r>
      <w:r>
        <w:rPr>
          <w:rFonts w:ascii="Times New Roman" w:hAnsi="Times New Roman" w:cs="Times New Roman"/>
        </w:rPr>
        <w:t>7.3</w:t>
      </w:r>
      <w:r>
        <w:rPr>
          <w:rFonts w:hint="eastAsia" w:ascii="Times New Roman" w:hAnsi="Times New Roman" w:cs="Times New Roman"/>
        </w:rPr>
        <w:t>　</w:t>
      </w:r>
      <w:r>
        <w:rPr>
          <w:rFonts w:ascii="Times New Roman" w:hAnsi="Times New Roman" w:cs="Times New Roman"/>
        </w:rPr>
        <w:t>冷热源设计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_Toc3214 \h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9354"/>
        </w:tabs>
        <w:overflowPunct w:val="0"/>
        <w:ind w:left="315" w:leftChars="150"/>
        <w:rPr>
          <w:rFonts w:ascii="Times New Roman" w:hAnsi="Times New Roman" w:cs="Times New Roman"/>
        </w:rPr>
      </w:pPr>
      <w:r>
        <w:fldChar w:fldCharType="begin"/>
      </w:r>
      <w:r>
        <w:instrText xml:space="preserve"> HYPERLINK \l "_Toc10143" </w:instrText>
      </w:r>
      <w:r>
        <w:fldChar w:fldCharType="separate"/>
      </w:r>
      <w:r>
        <w:rPr>
          <w:rFonts w:ascii="Times New Roman" w:hAnsi="Times New Roman" w:cs="Times New Roman"/>
        </w:rPr>
        <w:t>7.4</w:t>
      </w:r>
      <w:r>
        <w:rPr>
          <w:rFonts w:hint="eastAsia" w:ascii="Times New Roman" w:hAnsi="Times New Roman" w:cs="Times New Roman"/>
        </w:rPr>
        <w:t>　</w:t>
      </w:r>
      <w:r>
        <w:rPr>
          <w:rFonts w:ascii="Times New Roman" w:hAnsi="Times New Roman" w:cs="Times New Roman"/>
        </w:rPr>
        <w:t>输配系统及末端设计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_Toc10143 \h </w:instrText>
      </w:r>
      <w:r>
        <w:rPr>
          <w:rFonts w:ascii="Times New Roman" w:hAnsi="Times New Roman" w:cs="Times New Roman"/>
        </w:rPr>
        <w:fldChar w:fldCharType="separate"/>
      </w:r>
      <w:r>
        <w:rPr>
          <w:rFonts w:ascii="Times New Roman" w:hAnsi="Times New Roman" w:cs="Times New Roman"/>
        </w:rPr>
        <w:t>10</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9354"/>
        </w:tabs>
        <w:overflowPunct w:val="0"/>
        <w:ind w:left="315" w:leftChars="150"/>
        <w:rPr>
          <w:rFonts w:ascii="Times New Roman" w:hAnsi="Times New Roman" w:cs="Times New Roman"/>
        </w:rPr>
      </w:pPr>
      <w:r>
        <w:fldChar w:fldCharType="begin"/>
      </w:r>
      <w:r>
        <w:instrText xml:space="preserve"> HYPERLINK \l "_Toc8528" </w:instrText>
      </w:r>
      <w:r>
        <w:fldChar w:fldCharType="separate"/>
      </w:r>
      <w:r>
        <w:rPr>
          <w:rFonts w:ascii="Times New Roman" w:hAnsi="Times New Roman" w:cs="Times New Roman"/>
        </w:rPr>
        <w:t>7.5</w:t>
      </w:r>
      <w:r>
        <w:rPr>
          <w:rFonts w:hint="eastAsia" w:ascii="Times New Roman" w:hAnsi="Times New Roman" w:cs="Times New Roman"/>
        </w:rPr>
        <w:t>　</w:t>
      </w:r>
      <w:r>
        <w:rPr>
          <w:rFonts w:ascii="Times New Roman" w:hAnsi="Times New Roman" w:cs="Times New Roman"/>
        </w:rPr>
        <w:t>监测、控制与计量</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_Toc8528 \h </w:instrText>
      </w:r>
      <w:r>
        <w:rPr>
          <w:rFonts w:ascii="Times New Roman" w:hAnsi="Times New Roman" w:cs="Times New Roman"/>
        </w:rPr>
        <w:fldChar w:fldCharType="separate"/>
      </w:r>
      <w:r>
        <w:rPr>
          <w:rFonts w:ascii="Times New Roman" w:hAnsi="Times New Roman" w:cs="Times New Roman"/>
        </w:rPr>
        <w:t>11</w:t>
      </w:r>
      <w:r>
        <w:rPr>
          <w:rFonts w:ascii="Times New Roman" w:hAnsi="Times New Roman" w:cs="Times New Roman"/>
        </w:rPr>
        <w:fldChar w:fldCharType="end"/>
      </w:r>
      <w:r>
        <w:rPr>
          <w:rFonts w:ascii="Times New Roman" w:hAnsi="Times New Roman" w:cs="Times New Roman"/>
        </w:rPr>
        <w:fldChar w:fldCharType="end"/>
      </w:r>
    </w:p>
    <w:p>
      <w:pPr>
        <w:pStyle w:val="11"/>
        <w:tabs>
          <w:tab w:val="right" w:leader="dot" w:pos="9354"/>
        </w:tabs>
        <w:overflowPunct w:val="0"/>
        <w:rPr>
          <w:rFonts w:ascii="Times New Roman" w:hAnsi="Times New Roman" w:cs="Times New Roman"/>
        </w:rPr>
      </w:pPr>
      <w:r>
        <w:fldChar w:fldCharType="begin"/>
      </w:r>
      <w:r>
        <w:instrText xml:space="preserve"> HYPERLINK \l "_Toc14786" </w:instrText>
      </w:r>
      <w:r>
        <w:fldChar w:fldCharType="separate"/>
      </w:r>
      <w:r>
        <w:rPr>
          <w:rFonts w:ascii="Times New Roman" w:hAnsi="Times New Roman" w:cs="Times New Roman"/>
        </w:rPr>
        <w:t>8</w:t>
      </w:r>
      <w:r>
        <w:rPr>
          <w:rFonts w:hint="eastAsia" w:ascii="Times New Roman" w:hAnsi="Times New Roman" w:cs="Times New Roman"/>
        </w:rPr>
        <w:t>　</w:t>
      </w:r>
      <w:r>
        <w:rPr>
          <w:rFonts w:ascii="Times New Roman" w:hAnsi="Times New Roman" w:cs="Times New Roman"/>
        </w:rPr>
        <w:t>给排水设计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_Toc14786 \h </w:instrText>
      </w:r>
      <w:r>
        <w:rPr>
          <w:rFonts w:ascii="Times New Roman" w:hAnsi="Times New Roman" w:cs="Times New Roman"/>
        </w:rPr>
        <w:fldChar w:fldCharType="separate"/>
      </w:r>
      <w:r>
        <w:rPr>
          <w:rFonts w:ascii="Times New Roman" w:hAnsi="Times New Roman" w:cs="Times New Roman"/>
        </w:rPr>
        <w:t>11</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9354"/>
        </w:tabs>
        <w:overflowPunct w:val="0"/>
        <w:ind w:left="315" w:leftChars="150"/>
        <w:rPr>
          <w:rFonts w:ascii="Times New Roman" w:hAnsi="Times New Roman" w:cs="Times New Roman"/>
        </w:rPr>
      </w:pPr>
      <w:r>
        <w:fldChar w:fldCharType="begin"/>
      </w:r>
      <w:r>
        <w:instrText xml:space="preserve"> HYPERLINK \l "_Toc27983" </w:instrText>
      </w:r>
      <w:r>
        <w:fldChar w:fldCharType="separate"/>
      </w:r>
      <w:r>
        <w:rPr>
          <w:rFonts w:ascii="Times New Roman" w:hAnsi="Times New Roman" w:cs="Times New Roman"/>
        </w:rPr>
        <w:t>8.1</w:t>
      </w:r>
      <w:r>
        <w:rPr>
          <w:rFonts w:hint="eastAsia" w:ascii="Times New Roman" w:hAnsi="Times New Roman" w:cs="Times New Roman"/>
        </w:rPr>
        <w:t>　</w:t>
      </w:r>
      <w:r>
        <w:rPr>
          <w:rFonts w:ascii="Times New Roman" w:hAnsi="Times New Roman" w:cs="Times New Roman"/>
        </w:rPr>
        <w:t>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_Toc27983 \h </w:instrText>
      </w:r>
      <w:r>
        <w:rPr>
          <w:rFonts w:ascii="Times New Roman" w:hAnsi="Times New Roman" w:cs="Times New Roman"/>
        </w:rPr>
        <w:fldChar w:fldCharType="separate"/>
      </w:r>
      <w:r>
        <w:rPr>
          <w:rFonts w:ascii="Times New Roman" w:hAnsi="Times New Roman" w:cs="Times New Roman"/>
        </w:rPr>
        <w:t>11</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9354"/>
        </w:tabs>
        <w:overflowPunct w:val="0"/>
        <w:ind w:left="315" w:leftChars="150"/>
        <w:rPr>
          <w:rFonts w:ascii="Times New Roman" w:hAnsi="Times New Roman" w:cs="Times New Roman"/>
        </w:rPr>
      </w:pPr>
      <w:r>
        <w:fldChar w:fldCharType="begin"/>
      </w:r>
      <w:r>
        <w:instrText xml:space="preserve"> HYPERLINK \l "_Toc29616" </w:instrText>
      </w:r>
      <w:r>
        <w:fldChar w:fldCharType="separate"/>
      </w:r>
      <w:r>
        <w:rPr>
          <w:rFonts w:ascii="Times New Roman" w:hAnsi="Times New Roman" w:cs="Times New Roman"/>
        </w:rPr>
        <w:t>8.2</w:t>
      </w:r>
      <w:r>
        <w:rPr>
          <w:rFonts w:hint="eastAsia" w:ascii="Times New Roman" w:hAnsi="Times New Roman" w:cs="Times New Roman"/>
        </w:rPr>
        <w:t>　</w:t>
      </w:r>
      <w:r>
        <w:rPr>
          <w:rFonts w:ascii="Times New Roman" w:hAnsi="Times New Roman" w:cs="Times New Roman"/>
        </w:rPr>
        <w:t>给排水系统</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_Toc29616 \h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9354"/>
        </w:tabs>
        <w:overflowPunct w:val="0"/>
        <w:ind w:left="315" w:leftChars="150"/>
        <w:rPr>
          <w:rFonts w:ascii="Times New Roman" w:hAnsi="Times New Roman" w:cs="Times New Roman"/>
        </w:rPr>
      </w:pPr>
      <w:r>
        <w:fldChar w:fldCharType="begin"/>
      </w:r>
      <w:r>
        <w:instrText xml:space="preserve"> HYPERLINK \l "_Toc30304" </w:instrText>
      </w:r>
      <w:r>
        <w:fldChar w:fldCharType="separate"/>
      </w:r>
      <w:r>
        <w:rPr>
          <w:rFonts w:ascii="Times New Roman" w:hAnsi="Times New Roman" w:cs="Times New Roman"/>
        </w:rPr>
        <w:t>8.3</w:t>
      </w:r>
      <w:r>
        <w:rPr>
          <w:rFonts w:hint="eastAsia" w:ascii="Times New Roman" w:hAnsi="Times New Roman" w:cs="Times New Roman"/>
        </w:rPr>
        <w:t>　</w:t>
      </w:r>
      <w:r>
        <w:rPr>
          <w:rFonts w:ascii="Times New Roman" w:hAnsi="Times New Roman" w:cs="Times New Roman"/>
        </w:rPr>
        <w:t>热水系统</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_Toc30304 \h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ascii="Times New Roman" w:hAnsi="Times New Roman" w:cs="Times New Roman"/>
        </w:rPr>
        <w:fldChar w:fldCharType="end"/>
      </w:r>
    </w:p>
    <w:p>
      <w:pPr>
        <w:pStyle w:val="11"/>
        <w:tabs>
          <w:tab w:val="right" w:leader="dot" w:pos="9354"/>
        </w:tabs>
        <w:overflowPunct w:val="0"/>
        <w:rPr>
          <w:rFonts w:ascii="Times New Roman" w:hAnsi="Times New Roman" w:cs="Times New Roman"/>
        </w:rPr>
      </w:pPr>
      <w:r>
        <w:fldChar w:fldCharType="begin"/>
      </w:r>
      <w:r>
        <w:instrText xml:space="preserve"> HYPERLINK \l "_Toc519" </w:instrText>
      </w:r>
      <w:r>
        <w:fldChar w:fldCharType="separate"/>
      </w:r>
      <w:r>
        <w:rPr>
          <w:rFonts w:ascii="Times New Roman" w:hAnsi="Times New Roman" w:cs="Times New Roman"/>
        </w:rPr>
        <w:t>9</w:t>
      </w:r>
      <w:r>
        <w:rPr>
          <w:rFonts w:hint="eastAsia" w:ascii="Times New Roman" w:hAnsi="Times New Roman" w:cs="Times New Roman"/>
        </w:rPr>
        <w:t>　</w:t>
      </w:r>
      <w:r>
        <w:rPr>
          <w:rFonts w:ascii="Times New Roman" w:hAnsi="Times New Roman" w:cs="Times New Roman"/>
        </w:rPr>
        <w:t>电气设计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_Toc519 \h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9354"/>
        </w:tabs>
        <w:overflowPunct w:val="0"/>
        <w:ind w:left="315" w:leftChars="150"/>
        <w:rPr>
          <w:rFonts w:ascii="Times New Roman" w:hAnsi="Times New Roman" w:cs="Times New Roman"/>
        </w:rPr>
      </w:pPr>
      <w:r>
        <w:fldChar w:fldCharType="begin"/>
      </w:r>
      <w:r>
        <w:instrText xml:space="preserve"> HYPERLINK \l "_Toc25697" </w:instrText>
      </w:r>
      <w:r>
        <w:fldChar w:fldCharType="separate"/>
      </w:r>
      <w:r>
        <w:rPr>
          <w:rFonts w:ascii="Times New Roman" w:hAnsi="Times New Roman" w:cs="Times New Roman"/>
        </w:rPr>
        <w:t>9.1</w:t>
      </w:r>
      <w:r>
        <w:rPr>
          <w:rFonts w:hint="eastAsia" w:ascii="Times New Roman" w:hAnsi="Times New Roman" w:cs="Times New Roman"/>
        </w:rPr>
        <w:t>　</w:t>
      </w:r>
      <w:r>
        <w:rPr>
          <w:rFonts w:ascii="Times New Roman" w:hAnsi="Times New Roman" w:cs="Times New Roman"/>
        </w:rPr>
        <w:t>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_Toc25697 \h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9354"/>
        </w:tabs>
        <w:overflowPunct w:val="0"/>
        <w:ind w:left="315" w:leftChars="150"/>
        <w:rPr>
          <w:rFonts w:ascii="Times New Roman" w:hAnsi="Times New Roman" w:cs="Times New Roman"/>
        </w:rPr>
      </w:pPr>
      <w:r>
        <w:fldChar w:fldCharType="begin"/>
      </w:r>
      <w:r>
        <w:instrText xml:space="preserve"> HYPERLINK \l "_Toc11284" </w:instrText>
      </w:r>
      <w:r>
        <w:fldChar w:fldCharType="separate"/>
      </w:r>
      <w:r>
        <w:rPr>
          <w:rFonts w:ascii="Times New Roman" w:hAnsi="Times New Roman" w:cs="Times New Roman"/>
        </w:rPr>
        <w:t>9.2</w:t>
      </w:r>
      <w:r>
        <w:rPr>
          <w:rFonts w:hint="eastAsia" w:ascii="Times New Roman" w:hAnsi="Times New Roman" w:cs="Times New Roman"/>
        </w:rPr>
        <w:t>　</w:t>
      </w:r>
      <w:r>
        <w:rPr>
          <w:rFonts w:ascii="Times New Roman" w:hAnsi="Times New Roman" w:cs="Times New Roman"/>
        </w:rPr>
        <w:t>电气节能设计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_Toc11284 \h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9354"/>
        </w:tabs>
        <w:overflowPunct w:val="0"/>
        <w:ind w:left="315" w:leftChars="150"/>
        <w:rPr>
          <w:rFonts w:ascii="Times New Roman" w:hAnsi="Times New Roman" w:cs="Times New Roman"/>
        </w:rPr>
      </w:pPr>
      <w:r>
        <w:fldChar w:fldCharType="begin"/>
      </w:r>
      <w:r>
        <w:instrText xml:space="preserve"> HYPERLINK \l "_Toc19627" </w:instrText>
      </w:r>
      <w:r>
        <w:fldChar w:fldCharType="separate"/>
      </w:r>
      <w:r>
        <w:rPr>
          <w:rFonts w:ascii="Times New Roman" w:hAnsi="Times New Roman" w:cs="Times New Roman"/>
        </w:rPr>
        <w:t>9.3</w:t>
      </w:r>
      <w:r>
        <w:rPr>
          <w:rFonts w:hint="eastAsia" w:ascii="Times New Roman" w:hAnsi="Times New Roman" w:cs="Times New Roman"/>
        </w:rPr>
        <w:t>　</w:t>
      </w:r>
      <w:r>
        <w:rPr>
          <w:rFonts w:ascii="Times New Roman" w:hAnsi="Times New Roman" w:cs="Times New Roman"/>
        </w:rPr>
        <w:t>太阳能光伏发电系统设计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_Toc19627 \h </w:instrText>
      </w:r>
      <w:r>
        <w:rPr>
          <w:rFonts w:ascii="Times New Roman" w:hAnsi="Times New Roman" w:cs="Times New Roman"/>
        </w:rPr>
        <w:fldChar w:fldCharType="separate"/>
      </w:r>
      <w:r>
        <w:rPr>
          <w:rFonts w:ascii="Times New Roman" w:hAnsi="Times New Roman" w:cs="Times New Roman"/>
        </w:rPr>
        <w:t>14</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9354"/>
        </w:tabs>
        <w:overflowPunct w:val="0"/>
        <w:ind w:left="315" w:leftChars="150"/>
        <w:rPr>
          <w:rFonts w:ascii="Times New Roman" w:hAnsi="Times New Roman" w:cs="Times New Roman"/>
        </w:rPr>
      </w:pPr>
      <w:r>
        <w:fldChar w:fldCharType="begin"/>
      </w:r>
      <w:r>
        <w:instrText xml:space="preserve"> HYPERLINK \l "_Toc30727" </w:instrText>
      </w:r>
      <w:r>
        <w:fldChar w:fldCharType="separate"/>
      </w:r>
      <w:r>
        <w:rPr>
          <w:rFonts w:ascii="Times New Roman" w:hAnsi="Times New Roman" w:cs="Times New Roman"/>
        </w:rPr>
        <w:t>9.4</w:t>
      </w:r>
      <w:r>
        <w:rPr>
          <w:rFonts w:hint="eastAsia" w:ascii="Times New Roman" w:hAnsi="Times New Roman" w:cs="Times New Roman"/>
        </w:rPr>
        <w:t>　</w:t>
      </w:r>
      <w:r>
        <w:rPr>
          <w:rFonts w:ascii="Times New Roman" w:hAnsi="Times New Roman" w:cs="Times New Roman"/>
        </w:rPr>
        <w:t>建筑能源与环境管理系统设计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_Toc30727 \h </w:instrText>
      </w:r>
      <w:r>
        <w:rPr>
          <w:rFonts w:ascii="Times New Roman" w:hAnsi="Times New Roman" w:cs="Times New Roman"/>
        </w:rPr>
        <w:fldChar w:fldCharType="separate"/>
      </w:r>
      <w:r>
        <w:rPr>
          <w:rFonts w:ascii="Times New Roman" w:hAnsi="Times New Roman" w:cs="Times New Roman"/>
        </w:rPr>
        <w:t>14</w:t>
      </w:r>
      <w:r>
        <w:rPr>
          <w:rFonts w:ascii="Times New Roman" w:hAnsi="Times New Roman" w:cs="Times New Roman"/>
        </w:rPr>
        <w:fldChar w:fldCharType="end"/>
      </w:r>
      <w:r>
        <w:rPr>
          <w:rFonts w:ascii="Times New Roman" w:hAnsi="Times New Roman" w:cs="Times New Roman"/>
        </w:rPr>
        <w:fldChar w:fldCharType="end"/>
      </w:r>
    </w:p>
    <w:p>
      <w:pPr>
        <w:pStyle w:val="11"/>
        <w:tabs>
          <w:tab w:val="right" w:leader="dot" w:pos="9354"/>
        </w:tabs>
        <w:overflowPunct w:val="0"/>
        <w:rPr>
          <w:rFonts w:ascii="Times New Roman" w:hAnsi="Times New Roman" w:cs="Times New Roman"/>
        </w:rPr>
      </w:pPr>
      <w:r>
        <w:fldChar w:fldCharType="begin"/>
      </w:r>
      <w:r>
        <w:instrText xml:space="preserve"> HYPERLINK \l "_Toc12796" </w:instrText>
      </w:r>
      <w:r>
        <w:fldChar w:fldCharType="separate"/>
      </w:r>
      <w:r>
        <w:rPr>
          <w:rFonts w:ascii="Times New Roman" w:hAnsi="Times New Roman" w:cs="Times New Roman"/>
        </w:rPr>
        <w:t>附录A</w:t>
      </w:r>
      <w:r>
        <w:rPr>
          <w:rFonts w:hint="eastAsia" w:ascii="Times New Roman" w:hAnsi="Times New Roman" w:cs="Times New Roman"/>
        </w:rPr>
        <w:t>　</w:t>
      </w:r>
      <w:r>
        <w:rPr>
          <w:rFonts w:ascii="Times New Roman" w:hAnsi="Times New Roman" w:cs="Times New Roman"/>
        </w:rPr>
        <w:t>能耗指标计算方法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_Toc12796 \h </w:instrText>
      </w:r>
      <w:r>
        <w:rPr>
          <w:rFonts w:ascii="Times New Roman" w:hAnsi="Times New Roman" w:cs="Times New Roman"/>
        </w:rPr>
        <w:fldChar w:fldCharType="separate"/>
      </w:r>
      <w:r>
        <w:rPr>
          <w:rFonts w:ascii="Times New Roman" w:hAnsi="Times New Roman" w:cs="Times New Roman"/>
        </w:rPr>
        <w:t>15</w:t>
      </w:r>
      <w:r>
        <w:rPr>
          <w:rFonts w:ascii="Times New Roman" w:hAnsi="Times New Roman" w:cs="Times New Roman"/>
        </w:rPr>
        <w:fldChar w:fldCharType="end"/>
      </w:r>
      <w:r>
        <w:rPr>
          <w:rFonts w:ascii="Times New Roman" w:hAnsi="Times New Roman" w:cs="Times New Roman"/>
        </w:rPr>
        <w:fldChar w:fldCharType="end"/>
      </w:r>
    </w:p>
    <w:p>
      <w:pPr>
        <w:pStyle w:val="11"/>
        <w:tabs>
          <w:tab w:val="right" w:leader="dot" w:pos="9354"/>
        </w:tabs>
        <w:overflowPunct w:val="0"/>
        <w:rPr>
          <w:rFonts w:ascii="Times New Roman" w:hAnsi="Times New Roman" w:cs="Times New Roman"/>
        </w:rPr>
      </w:pPr>
      <w:r>
        <w:fldChar w:fldCharType="begin"/>
      </w:r>
      <w:r>
        <w:instrText xml:space="preserve"> HYPERLINK \l "_Toc7174" </w:instrText>
      </w:r>
      <w:r>
        <w:fldChar w:fldCharType="separate"/>
      </w:r>
      <w:r>
        <w:rPr>
          <w:rFonts w:ascii="Times New Roman" w:hAnsi="Times New Roman" w:cs="Times New Roman"/>
        </w:rPr>
        <w:t>附录B</w:t>
      </w:r>
      <w:r>
        <w:rPr>
          <w:rFonts w:hint="eastAsia" w:ascii="Times New Roman" w:hAnsi="Times New Roman" w:cs="Times New Roman"/>
        </w:rPr>
        <w:t>　</w:t>
      </w:r>
      <w:r>
        <w:rPr>
          <w:rFonts w:ascii="Times New Roman" w:hAnsi="Times New Roman" w:cs="Times New Roman"/>
        </w:rPr>
        <w:t>外窗设计选型及热工性能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_Toc7174 \h </w:instrText>
      </w:r>
      <w:r>
        <w:rPr>
          <w:rFonts w:ascii="Times New Roman" w:hAnsi="Times New Roman" w:cs="Times New Roman"/>
        </w:rPr>
        <w:fldChar w:fldCharType="separate"/>
      </w:r>
      <w:r>
        <w:rPr>
          <w:rFonts w:ascii="Times New Roman" w:hAnsi="Times New Roman" w:cs="Times New Roman"/>
        </w:rPr>
        <w:t>19</w:t>
      </w:r>
      <w:r>
        <w:rPr>
          <w:rFonts w:ascii="Times New Roman" w:hAnsi="Times New Roman" w:cs="Times New Roman"/>
        </w:rPr>
        <w:fldChar w:fldCharType="end"/>
      </w:r>
      <w:r>
        <w:rPr>
          <w:rFonts w:ascii="Times New Roman" w:hAnsi="Times New Roman" w:cs="Times New Roman"/>
        </w:rPr>
        <w:fldChar w:fldCharType="end"/>
      </w:r>
    </w:p>
    <w:p>
      <w:pPr>
        <w:pStyle w:val="11"/>
        <w:tabs>
          <w:tab w:val="right" w:leader="dot" w:pos="9354"/>
        </w:tabs>
        <w:overflowPunct w:val="0"/>
        <w:rPr>
          <w:rFonts w:ascii="Times New Roman" w:hAnsi="Times New Roman" w:cs="Times New Roman"/>
        </w:rPr>
      </w:pPr>
      <w:r>
        <w:fldChar w:fldCharType="begin"/>
      </w:r>
      <w:r>
        <w:instrText xml:space="preserve"> HYPERLINK \l "_Toc3876" </w:instrText>
      </w:r>
      <w:r>
        <w:fldChar w:fldCharType="separate"/>
      </w:r>
      <w:r>
        <w:rPr>
          <w:rFonts w:ascii="Times New Roman" w:hAnsi="Times New Roman" w:cs="Times New Roman"/>
        </w:rPr>
        <w:t>附录C</w:t>
      </w:r>
      <w:r>
        <w:rPr>
          <w:rFonts w:hint="eastAsia" w:ascii="Times New Roman" w:hAnsi="Times New Roman" w:cs="Times New Roman"/>
        </w:rPr>
        <w:t>　</w:t>
      </w:r>
      <w:r>
        <w:rPr>
          <w:rFonts w:ascii="Times New Roman" w:hAnsi="Times New Roman" w:cs="Times New Roman"/>
          <w:szCs w:val="23"/>
        </w:rPr>
        <w:t>部品</w:t>
      </w:r>
      <w:r>
        <w:rPr>
          <w:rFonts w:ascii="Times New Roman" w:hAnsi="Times New Roman" w:cs="Times New Roman"/>
        </w:rPr>
        <w:t>材料技术要求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_Toc3876 \h </w:instrText>
      </w:r>
      <w:r>
        <w:rPr>
          <w:rFonts w:ascii="Times New Roman" w:hAnsi="Times New Roman" w:cs="Times New Roman"/>
        </w:rPr>
        <w:fldChar w:fldCharType="separate"/>
      </w:r>
      <w:r>
        <w:rPr>
          <w:rFonts w:ascii="Times New Roman" w:hAnsi="Times New Roman" w:cs="Times New Roman"/>
        </w:rPr>
        <w:t>21</w:t>
      </w:r>
      <w:r>
        <w:rPr>
          <w:rFonts w:ascii="Times New Roman" w:hAnsi="Times New Roman" w:cs="Times New Roman"/>
        </w:rPr>
        <w:fldChar w:fldCharType="end"/>
      </w:r>
      <w:r>
        <w:rPr>
          <w:rFonts w:ascii="Times New Roman" w:hAnsi="Times New Roman" w:cs="Times New Roman"/>
        </w:rPr>
        <w:fldChar w:fldCharType="end"/>
      </w:r>
    </w:p>
    <w:p>
      <w:pPr>
        <w:pStyle w:val="11"/>
        <w:tabs>
          <w:tab w:val="right" w:leader="dot" w:pos="9354"/>
        </w:tabs>
        <w:overflowPunct w:val="0"/>
        <w:rPr>
          <w:rFonts w:ascii="Times New Roman" w:hAnsi="Times New Roman" w:cs="Times New Roman"/>
        </w:rPr>
      </w:pPr>
      <w:r>
        <w:fldChar w:fldCharType="begin"/>
      </w:r>
      <w:r>
        <w:instrText xml:space="preserve"> HYPERLINK \l "_Toc20606" </w:instrText>
      </w:r>
      <w:r>
        <w:fldChar w:fldCharType="separate"/>
      </w:r>
      <w:r>
        <w:rPr>
          <w:rFonts w:ascii="Times New Roman" w:hAnsi="Times New Roman" w:cs="Times New Roman"/>
        </w:rPr>
        <w:t>附录D</w:t>
      </w:r>
      <w:r>
        <w:rPr>
          <w:rFonts w:hint="eastAsia" w:ascii="Times New Roman" w:hAnsi="Times New Roman" w:cs="Times New Roman"/>
        </w:rPr>
        <w:t>　</w:t>
      </w:r>
      <w:r>
        <w:rPr>
          <w:rFonts w:ascii="Times New Roman" w:hAnsi="Times New Roman" w:cs="Times New Roman"/>
        </w:rPr>
        <w:t>公共建筑围护结构建筑节能基本构造主要类型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_Toc20606 \h </w:instrText>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r>
        <w:rPr>
          <w:rFonts w:ascii="Times New Roman" w:hAnsi="Times New Roman" w:cs="Times New Roman"/>
        </w:rPr>
        <w:fldChar w:fldCharType="end"/>
      </w:r>
    </w:p>
    <w:p/>
    <w:p>
      <w:pPr>
        <w:rPr>
          <w:rFonts w:hint="eastAsia"/>
        </w:rPr>
      </w:pPr>
    </w:p>
    <w:p>
      <w:pPr>
        <w:pStyle w:val="11"/>
        <w:tabs>
          <w:tab w:val="right" w:leader="dot" w:pos="9354"/>
        </w:tabs>
        <w:overflowPunct w:val="0"/>
      </w:pPr>
      <w:r>
        <w:rPr>
          <w:rFonts w:ascii="Times New Roman" w:hAnsi="Times New Roman" w:cs="Times New Roman"/>
        </w:rPr>
        <w:fldChar w:fldCharType="end"/>
      </w:r>
    </w:p>
    <w:p>
      <w:pPr>
        <w:pStyle w:val="34"/>
        <w:overflowPunct w:val="0"/>
        <w:spacing w:before="218"/>
        <w:rPr>
          <w:color w:val="auto"/>
        </w:rPr>
      </w:pPr>
      <w:bookmarkStart w:id="2" w:name="_Toc63000788"/>
      <w:bookmarkStart w:id="3" w:name="_Toc21889"/>
      <w:bookmarkStart w:id="4" w:name="_Toc97537083"/>
      <w:bookmarkStart w:id="5" w:name="_Toc63000351"/>
      <w:r>
        <w:rPr>
          <w:rFonts w:hint="eastAsia"/>
          <w:color w:val="auto"/>
        </w:rPr>
        <w:t>前　言</w:t>
      </w:r>
      <w:bookmarkEnd w:id="2"/>
      <w:bookmarkEnd w:id="3"/>
      <w:bookmarkEnd w:id="4"/>
      <w:bookmarkEnd w:id="5"/>
    </w:p>
    <w:p>
      <w:pPr>
        <w:overflowPunct w:val="0"/>
        <w:spacing w:line="309" w:lineRule="exact"/>
        <w:ind w:firstLine="421" w:firstLineChars="200"/>
        <w:rPr>
          <w:rFonts w:ascii="宋体" w:hAnsi="宋体"/>
          <w:b/>
          <w:szCs w:val="21"/>
        </w:rPr>
      </w:pPr>
    </w:p>
    <w:p>
      <w:pPr>
        <w:overflowPunct w:val="0"/>
        <w:spacing w:line="309" w:lineRule="exact"/>
        <w:ind w:firstLine="421" w:firstLineChars="200"/>
        <w:rPr>
          <w:rFonts w:ascii="宋体" w:hAnsi="宋体"/>
          <w:b/>
          <w:szCs w:val="21"/>
        </w:rPr>
      </w:pPr>
    </w:p>
    <w:p>
      <w:pPr>
        <w:overflowPunct w:val="0"/>
        <w:ind w:firstLine="420" w:firstLineChars="200"/>
        <w:rPr>
          <w:rFonts w:ascii="宋体" w:hAnsi="宋体"/>
          <w:szCs w:val="21"/>
        </w:rPr>
      </w:pPr>
      <w:r>
        <w:rPr>
          <w:rFonts w:hint="eastAsia" w:ascii="宋体" w:hAnsi="宋体"/>
          <w:szCs w:val="21"/>
        </w:rPr>
        <w:t>本文件按照</w:t>
      </w:r>
      <w:r>
        <w:rPr>
          <w:rFonts w:ascii="宋体" w:hAnsi="宋体"/>
          <w:szCs w:val="21"/>
        </w:rPr>
        <w:t>GB/T 1.1</w:t>
      </w:r>
      <w:r>
        <w:rPr>
          <w:rFonts w:ascii="宋体" w:hAnsi="宋体"/>
          <w:kern w:val="0"/>
          <w:szCs w:val="21"/>
        </w:rPr>
        <w:t>－</w:t>
      </w:r>
      <w:r>
        <w:rPr>
          <w:rFonts w:ascii="宋体" w:hAnsi="宋体"/>
          <w:szCs w:val="21"/>
        </w:rPr>
        <w:t>20</w:t>
      </w:r>
      <w:r>
        <w:rPr>
          <w:rFonts w:hint="eastAsia" w:ascii="宋体" w:hAnsi="宋体"/>
          <w:szCs w:val="21"/>
        </w:rPr>
        <w:t>20《标准化工作导则 第1部分：标准化文件的结构和起草规则》给出的规则起草。</w:t>
      </w:r>
    </w:p>
    <w:p>
      <w:pPr>
        <w:overflowPunct w:val="0"/>
        <w:ind w:firstLine="420" w:firstLineChars="200"/>
        <w:rPr>
          <w:rFonts w:ascii="宋体" w:hAnsi="宋体"/>
          <w:szCs w:val="21"/>
        </w:rPr>
      </w:pPr>
      <w:r>
        <w:rPr>
          <w:rFonts w:hint="eastAsia" w:ascii="宋体" w:hAnsi="宋体"/>
          <w:szCs w:val="21"/>
        </w:rPr>
        <w:t>本文件由湖北省住房和城乡建设厅提出归口。</w:t>
      </w:r>
    </w:p>
    <w:p>
      <w:pPr>
        <w:overflowPunct w:val="0"/>
        <w:ind w:firstLine="420" w:firstLineChars="200"/>
        <w:rPr>
          <w:rFonts w:hint="default" w:ascii="宋体" w:hAnsi="宋体"/>
          <w:szCs w:val="21"/>
          <w:lang w:val="en-US"/>
        </w:rPr>
      </w:pPr>
      <w:r>
        <w:rPr>
          <w:rFonts w:hint="eastAsia" w:ascii="宋体" w:hAnsi="宋体"/>
          <w:szCs w:val="21"/>
        </w:rPr>
        <w:t>本</w:t>
      </w:r>
      <w:r>
        <w:rPr>
          <w:rFonts w:hint="eastAsia" w:ascii="宋体" w:hAnsi="宋体"/>
          <w:szCs w:val="21"/>
          <w:lang w:val="en-US" w:eastAsia="zh-CN"/>
        </w:rPr>
        <w:t>文件</w:t>
      </w:r>
      <w:r>
        <w:rPr>
          <w:rFonts w:hint="eastAsia" w:ascii="宋体" w:hAnsi="宋体"/>
          <w:szCs w:val="21"/>
        </w:rPr>
        <w:t>主编单位：</w:t>
      </w:r>
      <w:r>
        <w:rPr>
          <w:rFonts w:hint="eastAsia" w:ascii="宋体" w:hAnsi="宋体"/>
          <w:szCs w:val="21"/>
          <w:lang w:val="en-US" w:eastAsia="zh-CN"/>
        </w:rPr>
        <w:t>湖北省建筑节能协会、湖北省建设科技与建筑节能办公室、</w:t>
      </w:r>
      <w:r>
        <w:rPr>
          <w:rFonts w:hint="eastAsia" w:ascii="宋体" w:hAnsi="宋体"/>
          <w:szCs w:val="21"/>
        </w:rPr>
        <w:t>中信建筑设计研究总院有限公司</w:t>
      </w:r>
      <w:r>
        <w:rPr>
          <w:rFonts w:hint="eastAsia" w:ascii="宋体" w:hAnsi="宋体"/>
          <w:szCs w:val="21"/>
          <w:lang w:eastAsia="zh-CN"/>
        </w:rPr>
        <w:t>、</w:t>
      </w:r>
      <w:r>
        <w:rPr>
          <w:rFonts w:hint="eastAsia" w:ascii="宋体" w:hAnsi="宋体"/>
          <w:szCs w:val="21"/>
        </w:rPr>
        <w:t>华茂建工集团有限公司</w:t>
      </w:r>
      <w:r>
        <w:rPr>
          <w:rFonts w:hint="eastAsia" w:ascii="宋体" w:hAnsi="宋体"/>
          <w:szCs w:val="21"/>
          <w:lang w:eastAsia="zh-CN"/>
        </w:rPr>
        <w:t>、</w:t>
      </w:r>
      <w:r>
        <w:rPr>
          <w:rFonts w:hint="eastAsia" w:ascii="宋体" w:hAnsi="宋体"/>
          <w:szCs w:val="21"/>
          <w:lang w:val="en-US" w:eastAsia="zh-CN"/>
        </w:rPr>
        <w:t>中交第二公路勘察设计研究院有限公司。</w:t>
      </w:r>
    </w:p>
    <w:p>
      <w:pPr>
        <w:overflowPunct w:val="0"/>
        <w:ind w:firstLine="420" w:firstLineChars="200"/>
        <w:rPr>
          <w:rFonts w:hint="eastAsia" w:ascii="宋体" w:hAnsi="宋体" w:eastAsiaTheme="minorEastAsia"/>
          <w:szCs w:val="21"/>
          <w:lang w:eastAsia="zh-CN"/>
        </w:rPr>
      </w:pPr>
      <w:r>
        <w:rPr>
          <w:rFonts w:hint="eastAsia" w:ascii="宋体" w:hAnsi="宋体"/>
          <w:szCs w:val="21"/>
        </w:rPr>
        <w:t>本文件参编单位：</w:t>
      </w:r>
      <w:r>
        <w:rPr>
          <w:rFonts w:hint="eastAsia" w:ascii="宋体" w:hAnsi="宋体"/>
          <w:szCs w:val="21"/>
          <w:lang w:val="en-US" w:eastAsia="zh-CN"/>
        </w:rPr>
        <w:t>武汉市绿色建筑发展促进中心、</w:t>
      </w:r>
      <w:r>
        <w:rPr>
          <w:rFonts w:hint="eastAsia" w:ascii="宋体" w:hAnsi="宋体"/>
          <w:szCs w:val="21"/>
        </w:rPr>
        <w:t>中南建筑设计院股份有限公司</w:t>
      </w:r>
      <w:r>
        <w:rPr>
          <w:rFonts w:hint="eastAsia" w:ascii="宋体" w:hAnsi="宋体"/>
          <w:szCs w:val="21"/>
          <w:lang w:eastAsia="zh-CN"/>
        </w:rPr>
        <w:t>、</w:t>
      </w:r>
      <w:r>
        <w:rPr>
          <w:rFonts w:hint="eastAsia" w:ascii="宋体" w:hAnsi="宋体"/>
          <w:szCs w:val="21"/>
          <w:lang w:val="en-US" w:eastAsia="zh-CN"/>
        </w:rPr>
        <w:t>华中科技大学、武汉大学、三峡大学、湖北工业大学、</w:t>
      </w:r>
      <w:r>
        <w:rPr>
          <w:rFonts w:hint="eastAsia" w:ascii="宋体" w:hAnsi="宋体"/>
          <w:szCs w:val="21"/>
        </w:rPr>
        <w:t>湖北联投集团有限公司</w:t>
      </w:r>
      <w:r>
        <w:rPr>
          <w:rFonts w:hint="eastAsia" w:ascii="宋体" w:hAnsi="宋体"/>
          <w:szCs w:val="21"/>
          <w:lang w:eastAsia="zh-CN"/>
        </w:rPr>
        <w:t>、</w:t>
      </w:r>
      <w:r>
        <w:rPr>
          <w:rFonts w:hint="eastAsia" w:ascii="宋体" w:hAnsi="宋体"/>
          <w:szCs w:val="21"/>
        </w:rPr>
        <w:t>湖北省建筑科学研究设计院股份有限公司</w:t>
      </w:r>
      <w:r>
        <w:rPr>
          <w:rFonts w:hint="eastAsia" w:ascii="宋体" w:hAnsi="宋体"/>
          <w:szCs w:val="21"/>
          <w:lang w:eastAsia="zh-CN"/>
        </w:rPr>
        <w:t>、</w:t>
      </w:r>
      <w:r>
        <w:rPr>
          <w:rFonts w:hint="eastAsia" w:ascii="宋体" w:hAnsi="宋体"/>
          <w:szCs w:val="21"/>
        </w:rPr>
        <w:t>武汉洪山城市建设投资有限公司</w:t>
      </w:r>
      <w:r>
        <w:rPr>
          <w:rFonts w:hint="eastAsia" w:ascii="宋体" w:hAnsi="宋体"/>
          <w:szCs w:val="21"/>
          <w:lang w:eastAsia="zh-CN"/>
        </w:rPr>
        <w:t>、</w:t>
      </w:r>
      <w:r>
        <w:rPr>
          <w:rFonts w:hint="eastAsia" w:ascii="宋体" w:hAnsi="宋体"/>
          <w:szCs w:val="21"/>
          <w:lang w:val="en-US" w:eastAsia="zh-CN"/>
        </w:rPr>
        <w:t>湖北神州建材有限责任公司、湖北职业技术学院、</w:t>
      </w:r>
      <w:r>
        <w:rPr>
          <w:rFonts w:hint="eastAsia" w:ascii="宋体" w:hAnsi="宋体"/>
          <w:szCs w:val="21"/>
        </w:rPr>
        <w:t>中冶南方武汉建筑设计有限公司</w:t>
      </w:r>
      <w:r>
        <w:rPr>
          <w:rFonts w:hint="eastAsia" w:ascii="宋体" w:hAnsi="宋体"/>
          <w:szCs w:val="21"/>
          <w:lang w:eastAsia="zh-CN"/>
        </w:rPr>
        <w:t>、</w:t>
      </w:r>
      <w:r>
        <w:rPr>
          <w:rFonts w:hint="eastAsia" w:ascii="宋体" w:hAnsi="宋体"/>
          <w:szCs w:val="21"/>
        </w:rPr>
        <w:t>广东博意建筑设计院有限公司</w:t>
      </w:r>
      <w:r>
        <w:rPr>
          <w:rFonts w:hint="eastAsia" w:ascii="宋体" w:hAnsi="宋体"/>
          <w:szCs w:val="21"/>
          <w:lang w:eastAsia="zh-CN"/>
        </w:rPr>
        <w:t>。</w:t>
      </w:r>
    </w:p>
    <w:p>
      <w:pPr>
        <w:overflowPunct w:val="0"/>
        <w:ind w:firstLine="420" w:firstLineChars="200"/>
        <w:rPr>
          <w:rFonts w:hint="eastAsia" w:ascii="宋体" w:hAnsi="宋体"/>
          <w:szCs w:val="21"/>
          <w:lang w:eastAsia="zh-CN"/>
        </w:rPr>
      </w:pPr>
      <w:r>
        <w:rPr>
          <w:rFonts w:hint="eastAsia" w:ascii="宋体" w:hAnsi="宋体"/>
          <w:szCs w:val="21"/>
        </w:rPr>
        <w:t>本文件主要起草人员：</w:t>
      </w:r>
      <w:r>
        <w:rPr>
          <w:rFonts w:hint="eastAsia" w:ascii="宋体" w:hAnsi="宋体"/>
          <w:szCs w:val="21"/>
          <w:lang w:val="en-US" w:eastAsia="zh-CN"/>
        </w:rPr>
        <w:t>彭德柱、</w:t>
      </w:r>
      <w:r>
        <w:rPr>
          <w:rFonts w:hint="eastAsia" w:ascii="宋体" w:hAnsi="宋体"/>
          <w:szCs w:val="21"/>
        </w:rPr>
        <w:t>汤小亮、</w:t>
      </w:r>
      <w:r>
        <w:rPr>
          <w:rFonts w:hint="eastAsia" w:ascii="宋体" w:hAnsi="宋体"/>
          <w:szCs w:val="21"/>
          <w:lang w:val="en-US" w:eastAsia="zh-CN"/>
        </w:rPr>
        <w:t>张玉华、杨世涛、陈宏、</w:t>
      </w:r>
      <w:r>
        <w:rPr>
          <w:rFonts w:hint="eastAsia" w:ascii="宋体" w:hAnsi="宋体"/>
          <w:szCs w:val="21"/>
        </w:rPr>
        <w:t>熊峰、肖伟、陈焰华、</w:t>
      </w:r>
      <w:r>
        <w:rPr>
          <w:rFonts w:hint="eastAsia" w:ascii="宋体" w:hAnsi="宋体"/>
          <w:szCs w:val="21"/>
          <w:lang w:val="en-US" w:eastAsia="zh-CN"/>
        </w:rPr>
        <w:t xml:space="preserve">      李运江、黄凌江、罗克佐、</w:t>
      </w:r>
      <w:r>
        <w:rPr>
          <w:rFonts w:hint="eastAsia" w:ascii="宋体" w:hAnsi="宋体"/>
          <w:szCs w:val="21"/>
        </w:rPr>
        <w:t>杨茂才</w:t>
      </w:r>
      <w:r>
        <w:rPr>
          <w:rFonts w:hint="eastAsia" w:ascii="宋体" w:hAnsi="宋体"/>
          <w:szCs w:val="21"/>
          <w:lang w:eastAsia="zh-CN"/>
        </w:rPr>
        <w:t>、</w:t>
      </w:r>
      <w:r>
        <w:rPr>
          <w:rFonts w:hint="eastAsia" w:ascii="宋体" w:hAnsi="宋体"/>
          <w:szCs w:val="21"/>
          <w:lang w:val="en-US" w:eastAsia="zh-CN"/>
        </w:rPr>
        <w:t>彭学斌、</w:t>
      </w:r>
      <w:r>
        <w:rPr>
          <w:rFonts w:hint="eastAsia" w:ascii="宋体" w:hAnsi="宋体"/>
          <w:szCs w:val="21"/>
        </w:rPr>
        <w:t>严爽明</w:t>
      </w:r>
      <w:r>
        <w:rPr>
          <w:rFonts w:hint="eastAsia" w:ascii="宋体" w:hAnsi="宋体"/>
          <w:szCs w:val="21"/>
          <w:lang w:eastAsia="zh-CN"/>
        </w:rPr>
        <w:t>、何苗</w:t>
      </w:r>
      <w:r>
        <w:rPr>
          <w:rFonts w:hint="eastAsia" w:ascii="宋体" w:hAnsi="宋体"/>
          <w:szCs w:val="21"/>
          <w:lang w:val="en-US" w:eastAsia="zh-CN"/>
        </w:rPr>
        <w:t>、</w:t>
      </w:r>
      <w:r>
        <w:rPr>
          <w:rFonts w:hint="eastAsia" w:ascii="宋体" w:hAnsi="宋体"/>
          <w:szCs w:val="21"/>
        </w:rPr>
        <w:t>易继锋、李传志、李蔚、</w:t>
      </w:r>
      <w:r>
        <w:rPr>
          <w:rFonts w:hint="eastAsia" w:ascii="宋体" w:hAnsi="宋体"/>
          <w:szCs w:val="21"/>
          <w:lang w:val="en-US" w:eastAsia="zh-CN"/>
        </w:rPr>
        <w:t>彭勇、      许小锋、张辉、郭自灿、王敏、许华华、杨玉环、李文强、</w:t>
      </w:r>
      <w:r>
        <w:rPr>
          <w:rFonts w:hint="eastAsia" w:ascii="宋体" w:hAnsi="宋体"/>
          <w:szCs w:val="21"/>
        </w:rPr>
        <w:t>张再鹏</w:t>
      </w:r>
      <w:r>
        <w:rPr>
          <w:rFonts w:hint="eastAsia" w:ascii="宋体" w:hAnsi="宋体"/>
          <w:szCs w:val="21"/>
          <w:lang w:eastAsia="zh-CN"/>
        </w:rPr>
        <w:t>、</w:t>
      </w:r>
      <w:r>
        <w:rPr>
          <w:rFonts w:hint="eastAsia" w:ascii="宋体" w:hAnsi="宋体"/>
          <w:szCs w:val="21"/>
        </w:rPr>
        <w:t>高永利、</w:t>
      </w:r>
      <w:r>
        <w:rPr>
          <w:rFonts w:hint="eastAsia" w:ascii="宋体" w:hAnsi="宋体"/>
          <w:szCs w:val="21"/>
          <w:lang w:val="en-US" w:eastAsia="zh-CN"/>
        </w:rPr>
        <w:t>张朗、彭勇、</w:t>
      </w:r>
      <w:r>
        <w:rPr>
          <w:rFonts w:hint="eastAsia" w:ascii="宋体" w:hAnsi="宋体"/>
          <w:szCs w:val="21"/>
        </w:rPr>
        <w:t>邓宝瑜</w:t>
      </w:r>
      <w:r>
        <w:rPr>
          <w:rFonts w:hint="eastAsia" w:ascii="宋体" w:hAnsi="宋体"/>
          <w:szCs w:val="21"/>
          <w:lang w:val="en-US" w:eastAsia="zh-CN"/>
        </w:rPr>
        <w:t>、喻军、管丹、徐强。</w:t>
      </w:r>
    </w:p>
    <w:p>
      <w:pPr>
        <w:widowControl w:val="0"/>
        <w:kinsoku/>
        <w:overflowPunct w:val="0"/>
        <w:autoSpaceDE/>
        <w:autoSpaceDN/>
        <w:adjustRightInd/>
        <w:snapToGrid/>
        <w:ind w:firstLine="420" w:firstLineChars="200"/>
        <w:jc w:val="both"/>
        <w:textAlignment w:val="auto"/>
        <w:rPr>
          <w:rFonts w:ascii="Times New Roman" w:hAnsi="Times New Roman" w:eastAsia="宋体" w:cs="Times New Roman"/>
          <w:snapToGrid/>
          <w:color w:val="auto"/>
          <w:kern w:val="2"/>
          <w:szCs w:val="24"/>
          <w:lang w:eastAsia="zh-CN"/>
        </w:rPr>
      </w:pPr>
      <w:r>
        <w:rPr>
          <w:rFonts w:hint="eastAsia" w:ascii="Times New Roman" w:hAnsi="Times New Roman" w:eastAsia="宋体" w:cs="Times New Roman"/>
          <w:snapToGrid/>
          <w:color w:val="auto"/>
          <w:kern w:val="2"/>
          <w:szCs w:val="24"/>
          <w:lang w:eastAsia="zh-CN"/>
        </w:rPr>
        <w:t>本文件实施应用中的疑问，可咨询湖北省住房和城乡建设厅，联系电话：027-68873088，邮箱：</w:t>
      </w:r>
      <w:r>
        <w:rPr>
          <w:rFonts w:hint="eastAsia" w:ascii="Times New Roman" w:hAnsi="Times New Roman" w:eastAsia="宋体" w:cs="Times New Roman"/>
          <w:snapToGrid/>
          <w:color w:val="auto"/>
          <w:kern w:val="2"/>
          <w:szCs w:val="24"/>
          <w:lang w:val="en-US" w:eastAsia="zh-CN"/>
        </w:rPr>
        <w:t>bkc@</w:t>
      </w:r>
      <w:r>
        <w:rPr>
          <w:rFonts w:hint="eastAsia" w:ascii="Times New Roman" w:hAnsi="Times New Roman" w:eastAsia="宋体" w:cs="Times New Roman"/>
          <w:snapToGrid/>
          <w:color w:val="auto"/>
          <w:kern w:val="2"/>
          <w:szCs w:val="24"/>
          <w:lang w:eastAsia="zh-CN"/>
        </w:rPr>
        <w:t>hbszjt.net.cn；在执行过程中如有意见和建议请邮寄湖北省建筑节能协会，地址：湖北省武汉市武昌区中南路12号建设大厦905室。</w:t>
      </w:r>
    </w:p>
    <w:p>
      <w:pPr>
        <w:overflowPunct w:val="0"/>
        <w:ind w:firstLine="420" w:firstLineChars="200"/>
        <w:rPr>
          <w:rFonts w:ascii="宋体" w:hAnsi="宋体"/>
          <w:szCs w:val="21"/>
        </w:rPr>
      </w:pPr>
      <w:r>
        <w:rPr>
          <w:rFonts w:hint="eastAsia" w:ascii="宋体" w:hAnsi="宋体"/>
          <w:szCs w:val="21"/>
        </w:rPr>
        <w:t>。</w:t>
      </w:r>
    </w:p>
    <w:p>
      <w:pPr>
        <w:overflowPunct w:val="0"/>
        <w:spacing w:line="309" w:lineRule="exact"/>
        <w:ind w:firstLine="420" w:firstLineChars="200"/>
        <w:rPr>
          <w:rFonts w:ascii="宋体" w:hAnsi="宋体"/>
          <w:szCs w:val="21"/>
        </w:rPr>
      </w:pPr>
    </w:p>
    <w:p>
      <w:pPr>
        <w:pStyle w:val="35"/>
        <w:overflowPunct w:val="0"/>
        <w:rPr>
          <w:color w:val="auto"/>
        </w:rPr>
      </w:pPr>
    </w:p>
    <w:p>
      <w:pPr>
        <w:pStyle w:val="35"/>
        <w:overflowPunct w:val="0"/>
        <w:rPr>
          <w:color w:val="auto"/>
        </w:rPr>
      </w:pPr>
    </w:p>
    <w:p>
      <w:pPr>
        <w:pStyle w:val="35"/>
        <w:overflowPunct w:val="0"/>
        <w:rPr>
          <w:color w:val="auto"/>
        </w:rPr>
      </w:pPr>
    </w:p>
    <w:p>
      <w:pPr>
        <w:pStyle w:val="35"/>
        <w:overflowPunct w:val="0"/>
        <w:rPr>
          <w:color w:val="auto"/>
        </w:rPr>
      </w:pPr>
    </w:p>
    <w:p>
      <w:pPr>
        <w:pStyle w:val="35"/>
        <w:overflowPunct w:val="0"/>
        <w:rPr>
          <w:color w:val="auto"/>
        </w:rPr>
      </w:pPr>
    </w:p>
    <w:p>
      <w:pPr>
        <w:pStyle w:val="35"/>
        <w:overflowPunct w:val="0"/>
        <w:rPr>
          <w:color w:val="auto"/>
        </w:rPr>
      </w:pPr>
    </w:p>
    <w:p>
      <w:pPr>
        <w:pStyle w:val="35"/>
        <w:overflowPunct w:val="0"/>
        <w:rPr>
          <w:color w:val="auto"/>
        </w:rPr>
      </w:pPr>
    </w:p>
    <w:p>
      <w:pPr>
        <w:tabs>
          <w:tab w:val="left" w:pos="5760"/>
        </w:tabs>
        <w:overflowPunct w:val="0"/>
        <w:sectPr>
          <w:headerReference r:id="rId8" w:type="default"/>
          <w:footerReference r:id="rId10" w:type="default"/>
          <w:headerReference r:id="rId9" w:type="even"/>
          <w:footerReference r:id="rId11" w:type="even"/>
          <w:pgSz w:w="11906" w:h="16838"/>
          <w:pgMar w:top="2410" w:right="1134" w:bottom="1134" w:left="1134" w:header="1418" w:footer="964" w:gutter="284"/>
          <w:pgNumType w:fmt="upperRoman" w:start="1"/>
          <w:cols w:space="425" w:num="1"/>
          <w:docGrid w:type="lines" w:linePitch="312" w:charSpace="0"/>
        </w:sectPr>
      </w:pPr>
    </w:p>
    <w:p>
      <w:pPr>
        <w:overflowPunct w:val="0"/>
        <w:spacing w:before="163" w:beforeLines="50"/>
        <w:jc w:val="center"/>
      </w:pPr>
      <w:r>
        <w:rPr>
          <w:rFonts w:hint="eastAsia" w:ascii="黑体" w:hAnsi="黑体" w:eastAsia="黑体"/>
          <w:sz w:val="36"/>
          <w:szCs w:val="36"/>
        </w:rPr>
        <w:t>超低能耗建筑技术规范</w:t>
      </w:r>
      <w:r>
        <w:rPr>
          <w:rFonts w:hint="eastAsia" w:ascii="黑体" w:hAnsi="黑体" w:eastAsia="黑体"/>
          <w:sz w:val="36"/>
          <w:szCs w:val="36"/>
          <w:lang w:val="en-US" w:eastAsia="zh-CN"/>
        </w:rPr>
        <w:t xml:space="preserve">  </w:t>
      </w:r>
      <w:r>
        <w:rPr>
          <w:rFonts w:hint="eastAsia" w:ascii="黑体" w:hAnsi="黑体" w:eastAsia="黑体"/>
          <w:sz w:val="36"/>
          <w:szCs w:val="36"/>
        </w:rPr>
        <w:t>第</w:t>
      </w:r>
      <w:r>
        <w:rPr>
          <w:rFonts w:hint="eastAsia" w:ascii="黑体" w:hAnsi="黑体" w:eastAsia="黑体"/>
          <w:sz w:val="36"/>
          <w:szCs w:val="36"/>
          <w:lang w:val="en-US" w:eastAsia="zh-CN"/>
        </w:rPr>
        <w:t>2</w:t>
      </w:r>
      <w:r>
        <w:rPr>
          <w:rFonts w:hint="eastAsia" w:ascii="黑体" w:hAnsi="黑体" w:eastAsia="黑体"/>
          <w:sz w:val="36"/>
          <w:szCs w:val="36"/>
        </w:rPr>
        <w:t>部分</w:t>
      </w:r>
      <w:r>
        <w:rPr>
          <w:rFonts w:hint="eastAsia" w:ascii="黑体" w:hAnsi="黑体" w:eastAsia="黑体"/>
          <w:sz w:val="36"/>
          <w:szCs w:val="36"/>
          <w:lang w:val="en-US" w:eastAsia="zh-CN"/>
        </w:rPr>
        <w:t>:</w:t>
      </w:r>
      <w:r>
        <w:rPr>
          <w:rFonts w:hint="eastAsia" w:ascii="黑体" w:hAnsi="黑体" w:eastAsia="黑体"/>
          <w:sz w:val="36"/>
          <w:szCs w:val="36"/>
        </w:rPr>
        <w:t xml:space="preserve"> 公共建筑设计</w:t>
      </w:r>
    </w:p>
    <w:p>
      <w:pPr>
        <w:pStyle w:val="2"/>
        <w:numPr>
          <w:ilvl w:val="0"/>
          <w:numId w:val="0"/>
        </w:numPr>
        <w:overflowPunct w:val="0"/>
        <w:spacing w:before="312" w:after="312"/>
        <w:ind w:left="357" w:hanging="357" w:hangingChars="170"/>
      </w:pPr>
      <w:r>
        <w:t>1</w:t>
      </w:r>
      <w:r>
        <w:rPr>
          <w:rFonts w:hint="eastAsia"/>
        </w:rPr>
        <w:t>　</w:t>
      </w:r>
      <w:bookmarkStart w:id="6" w:name="_Toc97537085"/>
      <w:bookmarkStart w:id="7" w:name="_Toc19516"/>
      <w:r>
        <w:rPr>
          <w:rFonts w:hint="eastAsia"/>
        </w:rPr>
        <w:t>范围</w:t>
      </w:r>
      <w:bookmarkEnd w:id="6"/>
      <w:bookmarkEnd w:id="7"/>
    </w:p>
    <w:p>
      <w:pPr>
        <w:overflowPunct w:val="0"/>
        <w:ind w:firstLine="420" w:firstLineChars="200"/>
        <w:rPr>
          <w:rFonts w:hint="eastAsia" w:ascii="Times New Roman" w:hAnsi="Times New Roman" w:cs="Times New Roman"/>
          <w:szCs w:val="21"/>
        </w:rPr>
      </w:pPr>
      <w:r>
        <w:rPr>
          <w:rFonts w:hint="eastAsia" w:ascii="Times New Roman" w:hAnsi="Times New Roman" w:cs="Times New Roman"/>
          <w:szCs w:val="21"/>
        </w:rPr>
        <w:t>本文件规定了超低能耗公共建筑的基本规定、气候响应设计、建筑围护结构热工及构造设计、供暖通风与空调设计、给排水设计、电气设计等。</w:t>
      </w:r>
    </w:p>
    <w:p>
      <w:pPr>
        <w:overflowPunct w:val="0"/>
        <w:ind w:firstLine="420" w:firstLineChars="200"/>
        <w:rPr>
          <w:rFonts w:ascii="Times New Roman" w:hAnsi="Times New Roman" w:cs="Times New Roman"/>
          <w:szCs w:val="21"/>
        </w:rPr>
      </w:pPr>
      <w:r>
        <w:rPr>
          <w:rFonts w:hint="eastAsia" w:ascii="Times New Roman" w:hAnsi="Times New Roman" w:cs="Times New Roman"/>
          <w:szCs w:val="21"/>
        </w:rPr>
        <w:t>本文件适用于湖北省新建、改建和扩建的公共建筑开展超低能耗建筑设计。</w:t>
      </w:r>
    </w:p>
    <w:p>
      <w:pPr>
        <w:pStyle w:val="2"/>
        <w:numPr>
          <w:ilvl w:val="0"/>
          <w:numId w:val="5"/>
        </w:numPr>
        <w:overflowPunct w:val="0"/>
        <w:spacing w:before="312" w:after="312"/>
        <w:ind w:left="357" w:hanging="357" w:hangingChars="170"/>
      </w:pPr>
      <w:bookmarkStart w:id="8" w:name="_Toc97537086"/>
      <w:bookmarkStart w:id="9" w:name="_Toc12215"/>
      <w:r>
        <w:rPr>
          <w:rFonts w:hint="eastAsia"/>
        </w:rPr>
        <w:t>规范性引用文件</w:t>
      </w:r>
      <w:bookmarkEnd w:id="8"/>
      <w:bookmarkEnd w:id="9"/>
    </w:p>
    <w:p>
      <w:pPr>
        <w:ind w:firstLine="420" w:firstLineChars="20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p>
      <w:pPr>
        <w:pStyle w:val="22"/>
        <w:overflowPunct w:val="0"/>
        <w:rPr>
          <w:rFonts w:ascii="Times New Roman" w:hAnsi="Times New Roman" w:cs="Times New Roman"/>
          <w:szCs w:val="21"/>
        </w:rPr>
      </w:pPr>
      <w:r>
        <w:rPr>
          <w:rFonts w:hint="eastAsia" w:ascii="Times New Roman" w:hAnsi="Times New Roman" w:cs="Times New Roman"/>
          <w:szCs w:val="21"/>
        </w:rPr>
        <w:t>GB 50015　建筑给水排水设计标准</w:t>
      </w:r>
    </w:p>
    <w:p>
      <w:pPr>
        <w:pStyle w:val="22"/>
        <w:overflowPunct w:val="0"/>
        <w:rPr>
          <w:rFonts w:ascii="Times New Roman" w:hAnsi="Times New Roman" w:cs="Times New Roman"/>
          <w:szCs w:val="21"/>
        </w:rPr>
      </w:pPr>
      <w:r>
        <w:rPr>
          <w:rFonts w:hint="eastAsia" w:ascii="Times New Roman" w:hAnsi="Times New Roman" w:cs="Times New Roman"/>
          <w:szCs w:val="21"/>
        </w:rPr>
        <w:t>GB 50176　民用建筑热工设计规范</w:t>
      </w:r>
    </w:p>
    <w:p>
      <w:pPr>
        <w:pStyle w:val="22"/>
        <w:overflowPunct w:val="0"/>
        <w:rPr>
          <w:rFonts w:ascii="Times New Roman" w:hAnsi="Times New Roman" w:cs="Times New Roman"/>
          <w:szCs w:val="21"/>
        </w:rPr>
      </w:pPr>
      <w:r>
        <w:rPr>
          <w:rFonts w:hint="eastAsia" w:ascii="Times New Roman" w:hAnsi="Times New Roman" w:cs="Times New Roman"/>
          <w:szCs w:val="21"/>
        </w:rPr>
        <w:t>GB 50189　公共建筑节能设计标准</w:t>
      </w:r>
    </w:p>
    <w:p>
      <w:pPr>
        <w:pStyle w:val="22"/>
        <w:overflowPunct w:val="0"/>
        <w:rPr>
          <w:rFonts w:ascii="Times New Roman" w:hAnsi="Times New Roman" w:cs="Times New Roman"/>
          <w:szCs w:val="21"/>
        </w:rPr>
      </w:pPr>
      <w:r>
        <w:rPr>
          <w:rFonts w:hint="eastAsia" w:ascii="Times New Roman" w:hAnsi="Times New Roman" w:cs="Times New Roman"/>
          <w:szCs w:val="21"/>
        </w:rPr>
        <w:t>GB/T 50378　绿色建筑评价标准</w:t>
      </w:r>
    </w:p>
    <w:p>
      <w:pPr>
        <w:pStyle w:val="22"/>
        <w:overflowPunct w:val="0"/>
        <w:rPr>
          <w:rFonts w:ascii="Times New Roman" w:hAnsi="Times New Roman" w:cs="Times New Roman"/>
          <w:szCs w:val="21"/>
        </w:rPr>
      </w:pPr>
      <w:r>
        <w:rPr>
          <w:rFonts w:hint="eastAsia" w:ascii="Times New Roman" w:hAnsi="Times New Roman" w:cs="Times New Roman"/>
          <w:szCs w:val="21"/>
        </w:rPr>
        <w:t>GB 50555　民用建筑节水设计标准</w:t>
      </w:r>
    </w:p>
    <w:p>
      <w:pPr>
        <w:pStyle w:val="22"/>
        <w:overflowPunct w:val="0"/>
        <w:rPr>
          <w:rFonts w:ascii="Times New Roman" w:hAnsi="Times New Roman" w:cs="Times New Roman"/>
          <w:szCs w:val="21"/>
        </w:rPr>
      </w:pPr>
      <w:r>
        <w:rPr>
          <w:rFonts w:hint="eastAsia" w:ascii="Times New Roman" w:hAnsi="Times New Roman" w:cs="Times New Roman"/>
          <w:szCs w:val="21"/>
        </w:rPr>
        <w:t>GB 50736　民用建筑供暖通风与空气调节设计规范</w:t>
      </w:r>
    </w:p>
    <w:p>
      <w:pPr>
        <w:pStyle w:val="22"/>
        <w:overflowPunct w:val="0"/>
        <w:rPr>
          <w:rFonts w:ascii="Times New Roman" w:hAnsi="Times New Roman" w:cs="Times New Roman"/>
          <w:szCs w:val="21"/>
        </w:rPr>
      </w:pPr>
      <w:r>
        <w:rPr>
          <w:rFonts w:hint="eastAsia" w:ascii="Times New Roman" w:hAnsi="Times New Roman" w:cs="Times New Roman"/>
          <w:szCs w:val="21"/>
        </w:rPr>
        <w:t>GB/T 51350　近零能耗建筑技术标准</w:t>
      </w:r>
    </w:p>
    <w:p>
      <w:pPr>
        <w:pStyle w:val="22"/>
        <w:overflowPunct w:val="0"/>
        <w:rPr>
          <w:rFonts w:ascii="Times New Roman" w:hAnsi="Times New Roman" w:cs="Times New Roman"/>
          <w:szCs w:val="21"/>
        </w:rPr>
      </w:pPr>
      <w:r>
        <w:rPr>
          <w:rFonts w:hint="eastAsia" w:ascii="Times New Roman" w:hAnsi="Times New Roman" w:cs="Times New Roman"/>
          <w:szCs w:val="21"/>
        </w:rPr>
        <w:t>GB 55015　建筑节能与可再生能源利用通用规范</w:t>
      </w:r>
    </w:p>
    <w:p>
      <w:pPr>
        <w:pStyle w:val="22"/>
        <w:overflowPunct w:val="0"/>
        <w:rPr>
          <w:rFonts w:ascii="Times New Roman" w:hAnsi="Times New Roman" w:cs="Times New Roman"/>
          <w:szCs w:val="21"/>
        </w:rPr>
      </w:pPr>
      <w:r>
        <w:rPr>
          <w:rFonts w:hint="eastAsia" w:ascii="Times New Roman" w:hAnsi="Times New Roman" w:cs="Times New Roman"/>
          <w:szCs w:val="21"/>
        </w:rPr>
        <w:t>JGJ/T 449　民用建筑绿色性能计算标准</w:t>
      </w:r>
    </w:p>
    <w:p>
      <w:pPr>
        <w:pStyle w:val="22"/>
        <w:overflowPunct w:val="0"/>
        <w:rPr>
          <w:rFonts w:ascii="Times New Roman" w:hAnsi="Times New Roman" w:cs="Times New Roman"/>
          <w:szCs w:val="21"/>
        </w:rPr>
      </w:pPr>
      <w:r>
        <w:rPr>
          <w:rFonts w:hint="eastAsia" w:ascii="Times New Roman" w:hAnsi="Times New Roman" w:cs="Times New Roman"/>
          <w:szCs w:val="21"/>
        </w:rPr>
        <w:t>DB42/T 1319　绿色建筑设计与工程验收标准</w:t>
      </w:r>
    </w:p>
    <w:p>
      <w:pPr>
        <w:pStyle w:val="22"/>
        <w:overflowPunct w:val="0"/>
        <w:rPr>
          <w:rFonts w:ascii="Times New Roman" w:hAnsi="Times New Roman" w:cs="Times New Roman"/>
          <w:szCs w:val="21"/>
        </w:rPr>
      </w:pPr>
      <w:r>
        <w:rPr>
          <w:rStyle w:val="44"/>
          <w:rFonts w:ascii="Times New Roman" w:hAnsi="Times New Roman" w:eastAsia="宋体" w:cs="Times New Roman"/>
          <w:color w:val="auto"/>
        </w:rPr>
        <w:t>DB42/T</w:t>
      </w:r>
      <w:r>
        <w:rPr>
          <w:rStyle w:val="44"/>
          <w:rFonts w:hint="eastAsia" w:ascii="Times New Roman" w:hAnsi="Times New Roman" w:eastAsia="宋体" w:cs="Times New Roman"/>
          <w:color w:val="auto"/>
        </w:rPr>
        <w:t xml:space="preserve"> </w:t>
      </w:r>
      <w:r>
        <w:rPr>
          <w:rStyle w:val="44"/>
          <w:rFonts w:ascii="Times New Roman" w:hAnsi="Times New Roman" w:eastAsia="宋体" w:cs="Times New Roman"/>
          <w:color w:val="auto"/>
        </w:rPr>
        <w:t>1521</w:t>
      </w:r>
      <w:r>
        <w:rPr>
          <w:rStyle w:val="44"/>
          <w:rFonts w:hint="eastAsia" w:ascii="Times New Roman" w:hAnsi="Times New Roman" w:eastAsia="宋体" w:cs="Times New Roman"/>
          <w:color w:val="auto"/>
        </w:rPr>
        <w:t>　</w:t>
      </w:r>
      <w:r>
        <w:rPr>
          <w:rStyle w:val="44"/>
          <w:rFonts w:hint="eastAsia" w:ascii="宋体" w:hAnsi="宋体" w:eastAsia="宋体"/>
          <w:color w:val="auto"/>
        </w:rPr>
        <w:t>电梯能效测试与评价规则</w:t>
      </w:r>
    </w:p>
    <w:p>
      <w:pPr>
        <w:pStyle w:val="22"/>
        <w:overflowPunct w:val="0"/>
        <w:rPr>
          <w:rFonts w:ascii="Times New Roman" w:hAnsi="Times New Roman" w:cs="Times New Roman"/>
          <w:szCs w:val="21"/>
        </w:rPr>
      </w:pPr>
      <w:r>
        <w:rPr>
          <w:rFonts w:hint="eastAsia" w:ascii="Times New Roman" w:hAnsi="Times New Roman" w:cs="Times New Roman"/>
          <w:szCs w:val="21"/>
        </w:rPr>
        <w:t>DB42/T 2068　外墙保温工程技术规范</w:t>
      </w:r>
    </w:p>
    <w:p>
      <w:pPr>
        <w:pStyle w:val="2"/>
        <w:numPr>
          <w:ilvl w:val="0"/>
          <w:numId w:val="6"/>
        </w:numPr>
        <w:overflowPunct w:val="0"/>
        <w:spacing w:before="312" w:after="156" w:afterLines="50"/>
        <w:ind w:left="357" w:hanging="357" w:hangingChars="170"/>
        <w:rPr>
          <w:rFonts w:hint="eastAsia"/>
        </w:rPr>
      </w:pPr>
      <w:bookmarkStart w:id="10" w:name="_Toc27298"/>
      <w:bookmarkStart w:id="11" w:name="_Toc97537087"/>
      <w:r>
        <w:rPr>
          <w:rFonts w:hint="eastAsia"/>
        </w:rPr>
        <w:t>术语和定义</w:t>
      </w:r>
      <w:bookmarkEnd w:id="10"/>
      <w:bookmarkEnd w:id="11"/>
    </w:p>
    <w:p>
      <w:pPr>
        <w:numPr>
          <w:ilvl w:val="0"/>
          <w:numId w:val="0"/>
        </w:numPr>
        <w:ind w:firstLine="420" w:firstLineChars="200"/>
        <w:rPr>
          <w:rFonts w:hint="default" w:eastAsiaTheme="minorEastAsia"/>
          <w:lang w:val="en-US" w:eastAsia="zh-CN"/>
        </w:rPr>
      </w:pPr>
      <w:r>
        <w:rPr>
          <w:rFonts w:hint="eastAsia"/>
          <w:lang w:val="en-US" w:eastAsia="zh-CN"/>
        </w:rPr>
        <w:t>下列术语和定义适用于本文件。</w:t>
      </w:r>
    </w:p>
    <w:p>
      <w:pPr>
        <w:tabs>
          <w:tab w:val="left" w:pos="397"/>
          <w:tab w:val="left" w:pos="765"/>
        </w:tabs>
        <w:overflowPunct w:val="0"/>
        <w:spacing w:before="156" w:beforeLines="50" w:after="156" w:afterLines="50"/>
        <w:outlineLvl w:val="2"/>
        <w:rPr>
          <w:rFonts w:hint="eastAsia" w:ascii="黑体" w:hAnsi="黑体" w:eastAsia="黑体" w:cs="Times New Roman"/>
          <w:szCs w:val="21"/>
        </w:rPr>
      </w:pPr>
      <w:r>
        <w:rPr>
          <w:rFonts w:hint="eastAsia" w:ascii="黑体" w:hAnsi="黑体" w:eastAsia="黑体" w:cs="Times New Roman"/>
          <w:szCs w:val="21"/>
        </w:rPr>
        <w:t>3.1　</w:t>
      </w:r>
    </w:p>
    <w:p>
      <w:pPr>
        <w:tabs>
          <w:tab w:val="left" w:pos="397"/>
          <w:tab w:val="left" w:pos="765"/>
        </w:tabs>
        <w:overflowPunct w:val="0"/>
        <w:spacing w:before="156" w:beforeLines="50" w:after="156" w:afterLines="50"/>
        <w:ind w:firstLine="420" w:firstLineChars="200"/>
        <w:outlineLvl w:val="2"/>
        <w:rPr>
          <w:rFonts w:hint="eastAsia" w:ascii="黑体" w:hAnsi="黑体" w:eastAsia="黑体" w:cs="Times New Roman"/>
          <w:szCs w:val="21"/>
        </w:rPr>
      </w:pPr>
      <w:r>
        <w:rPr>
          <w:rFonts w:hint="eastAsia" w:ascii="黑体" w:hAnsi="黑体" w:eastAsia="黑体" w:cs="Times New Roman"/>
          <w:szCs w:val="21"/>
        </w:rPr>
        <w:t>超低能耗公共建筑　ultra low energy public building</w:t>
      </w:r>
    </w:p>
    <w:p>
      <w:pPr>
        <w:overflowPunct w:val="0"/>
        <w:ind w:firstLine="420" w:firstLineChars="200"/>
        <w:rPr>
          <w:rFonts w:ascii="Times New Roman" w:hAnsi="Times New Roman" w:cs="Times New Roman"/>
          <w:szCs w:val="21"/>
        </w:rPr>
      </w:pPr>
      <w:r>
        <w:rPr>
          <w:rFonts w:hint="eastAsia" w:ascii="Times New Roman" w:hAnsi="Times New Roman" w:cs="Times New Roman"/>
          <w:szCs w:val="21"/>
        </w:rPr>
        <w:t>适应地域气候特征和场地环境条件，在充分利用被动式建筑技术手段最大幅度降低公共建筑供暖、空调、照明能耗需求基础上，通过主动技术措施最大幅度提高能源设备与系统效率，充分利用可再生能源，以最少的能源消耗提供舒适宜人的建筑室内环境</w:t>
      </w:r>
      <w:r>
        <w:rPr>
          <w:rFonts w:ascii="Times New Roman" w:hAnsi="Times New Roman" w:cs="Times New Roman"/>
          <w:szCs w:val="21"/>
        </w:rPr>
        <w:t>。</w:t>
      </w:r>
    </w:p>
    <w:p>
      <w:pPr>
        <w:tabs>
          <w:tab w:val="left" w:pos="397"/>
          <w:tab w:val="left" w:pos="765"/>
        </w:tabs>
        <w:overflowPunct w:val="0"/>
        <w:spacing w:before="156" w:beforeLines="50" w:after="156" w:afterLines="50"/>
        <w:outlineLvl w:val="2"/>
        <w:rPr>
          <w:rFonts w:hint="eastAsia" w:ascii="黑体" w:hAnsi="黑体" w:eastAsia="黑体" w:cs="Times New Roman"/>
          <w:szCs w:val="21"/>
        </w:rPr>
      </w:pPr>
      <w:r>
        <w:rPr>
          <w:rFonts w:ascii="黑体" w:hAnsi="黑体" w:eastAsia="黑体" w:cs="Times New Roman"/>
          <w:szCs w:val="21"/>
        </w:rPr>
        <w:t>3.2</w:t>
      </w:r>
      <w:r>
        <w:rPr>
          <w:rFonts w:hint="eastAsia" w:ascii="黑体" w:hAnsi="黑体" w:eastAsia="黑体" w:cs="Times New Roman"/>
          <w:szCs w:val="21"/>
        </w:rPr>
        <w:t>　</w:t>
      </w:r>
    </w:p>
    <w:p>
      <w:pPr>
        <w:tabs>
          <w:tab w:val="left" w:pos="397"/>
          <w:tab w:val="left" w:pos="765"/>
        </w:tabs>
        <w:overflowPunct w:val="0"/>
        <w:spacing w:before="156" w:beforeLines="50" w:after="156" w:afterLines="50"/>
        <w:ind w:firstLine="420" w:firstLineChars="200"/>
        <w:outlineLvl w:val="2"/>
        <w:rPr>
          <w:rFonts w:ascii="黑体" w:hAnsi="黑体" w:eastAsia="黑体" w:cs="Times New Roman"/>
          <w:szCs w:val="21"/>
        </w:rPr>
      </w:pPr>
      <w:r>
        <w:rPr>
          <w:rFonts w:hint="eastAsia" w:ascii="黑体" w:hAnsi="黑体" w:eastAsia="黑体" w:cs="Times New Roman"/>
          <w:szCs w:val="21"/>
        </w:rPr>
        <w:t>性能化设计　performance oriented design</w:t>
      </w:r>
    </w:p>
    <w:p>
      <w:pPr>
        <w:overflowPunct w:val="0"/>
        <w:ind w:firstLine="420" w:firstLineChars="200"/>
        <w:rPr>
          <w:rFonts w:ascii="Times New Roman" w:hAnsi="Times New Roman" w:cs="Times New Roman"/>
          <w:szCs w:val="21"/>
        </w:rPr>
      </w:pPr>
      <w:r>
        <w:rPr>
          <w:rFonts w:hint="eastAsia" w:ascii="Times New Roman" w:hAnsi="Times New Roman" w:cs="Times New Roman"/>
          <w:szCs w:val="21"/>
        </w:rPr>
        <w:t>以建筑室内环境参数和能耗指标为性能目标，利用能耗模拟计算软件，对设计方案进行逐步优化，最终达到预定性能目标要求的设计过程。</w:t>
      </w:r>
    </w:p>
    <w:p>
      <w:pPr>
        <w:tabs>
          <w:tab w:val="left" w:pos="397"/>
          <w:tab w:val="left" w:pos="765"/>
        </w:tabs>
        <w:overflowPunct w:val="0"/>
        <w:spacing w:before="156" w:beforeLines="50" w:after="156" w:afterLines="50"/>
        <w:outlineLvl w:val="2"/>
        <w:rPr>
          <w:rFonts w:hint="eastAsia" w:ascii="黑体" w:hAnsi="黑体" w:eastAsia="黑体" w:cs="Times New Roman"/>
          <w:szCs w:val="21"/>
        </w:rPr>
      </w:pPr>
      <w:r>
        <w:rPr>
          <w:rFonts w:ascii="黑体" w:hAnsi="黑体" w:eastAsia="黑体" w:cs="Times New Roman"/>
          <w:szCs w:val="21"/>
        </w:rPr>
        <w:t>3.3</w:t>
      </w:r>
      <w:r>
        <w:rPr>
          <w:rFonts w:hint="eastAsia" w:ascii="黑体" w:hAnsi="黑体" w:eastAsia="黑体" w:cs="Times New Roman"/>
          <w:szCs w:val="21"/>
        </w:rPr>
        <w:t>　</w:t>
      </w:r>
    </w:p>
    <w:p>
      <w:pPr>
        <w:tabs>
          <w:tab w:val="left" w:pos="397"/>
          <w:tab w:val="left" w:pos="765"/>
        </w:tabs>
        <w:overflowPunct w:val="0"/>
        <w:spacing w:before="156" w:beforeLines="50" w:after="156" w:afterLines="50"/>
        <w:ind w:firstLine="420" w:firstLineChars="200"/>
        <w:outlineLvl w:val="2"/>
        <w:rPr>
          <w:rFonts w:ascii="黑体" w:hAnsi="黑体" w:eastAsia="黑体" w:cs="Times New Roman"/>
          <w:szCs w:val="21"/>
        </w:rPr>
      </w:pPr>
      <w:r>
        <w:rPr>
          <w:rFonts w:hint="eastAsia" w:ascii="黑体" w:hAnsi="黑体" w:eastAsia="黑体" w:cs="Times New Roman"/>
          <w:szCs w:val="21"/>
        </w:rPr>
        <w:t>建筑能耗综合值　building energy consumption</w:t>
      </w:r>
    </w:p>
    <w:p>
      <w:pPr>
        <w:overflowPunct w:val="0"/>
        <w:ind w:firstLine="420" w:firstLineChars="200"/>
        <w:rPr>
          <w:rFonts w:ascii="Times New Roman" w:hAnsi="Times New Roman" w:cs="Times New Roman"/>
          <w:szCs w:val="21"/>
        </w:rPr>
      </w:pPr>
      <w:r>
        <w:rPr>
          <w:rFonts w:hint="eastAsia" w:ascii="Times New Roman" w:hAnsi="Times New Roman" w:cs="Times New Roman"/>
          <w:szCs w:val="21"/>
        </w:rPr>
        <w:t>在设定计算条件下，单位面积年供暖空调、照明、生活热水和电梯终端能耗量与可再生能源系统发电量，利用一次能源换算系数统一换算到标准煤当量后两者的差值。</w:t>
      </w:r>
    </w:p>
    <w:p>
      <w:pPr>
        <w:tabs>
          <w:tab w:val="left" w:pos="397"/>
          <w:tab w:val="left" w:pos="765"/>
        </w:tabs>
        <w:overflowPunct w:val="0"/>
        <w:spacing w:before="156" w:beforeLines="50" w:after="156" w:afterLines="50"/>
        <w:outlineLvl w:val="2"/>
        <w:rPr>
          <w:rFonts w:hint="eastAsia" w:ascii="黑体" w:hAnsi="黑体" w:eastAsia="黑体" w:cs="Times New Roman"/>
          <w:szCs w:val="21"/>
        </w:rPr>
      </w:pPr>
      <w:r>
        <w:rPr>
          <w:rFonts w:ascii="黑体" w:hAnsi="黑体" w:eastAsia="黑体" w:cs="Times New Roman"/>
          <w:szCs w:val="21"/>
        </w:rPr>
        <w:t>3.4</w:t>
      </w:r>
      <w:r>
        <w:rPr>
          <w:rFonts w:hint="eastAsia" w:ascii="黑体" w:hAnsi="黑体" w:eastAsia="黑体" w:cs="Times New Roman"/>
          <w:szCs w:val="21"/>
        </w:rPr>
        <w:t>　</w:t>
      </w:r>
    </w:p>
    <w:p>
      <w:pPr>
        <w:tabs>
          <w:tab w:val="left" w:pos="397"/>
          <w:tab w:val="left" w:pos="765"/>
        </w:tabs>
        <w:overflowPunct w:val="0"/>
        <w:spacing w:before="156" w:beforeLines="50" w:after="156" w:afterLines="50"/>
        <w:ind w:firstLine="420" w:firstLineChars="200"/>
        <w:outlineLvl w:val="2"/>
        <w:rPr>
          <w:rFonts w:ascii="黑体" w:hAnsi="黑体" w:eastAsia="黑体" w:cs="Times New Roman"/>
          <w:szCs w:val="21"/>
        </w:rPr>
      </w:pPr>
      <w:r>
        <w:rPr>
          <w:rFonts w:hint="eastAsia" w:ascii="黑体" w:hAnsi="黑体" w:eastAsia="黑体" w:cs="Times New Roman"/>
          <w:szCs w:val="21"/>
        </w:rPr>
        <w:t>建筑综合节能率　building energy saving rate</w:t>
      </w:r>
    </w:p>
    <w:p>
      <w:pPr>
        <w:overflowPunct w:val="0"/>
        <w:ind w:firstLine="420" w:firstLineChars="200"/>
        <w:rPr>
          <w:rFonts w:ascii="Times New Roman" w:hAnsi="Times New Roman" w:cs="Times New Roman"/>
          <w:szCs w:val="21"/>
        </w:rPr>
      </w:pPr>
      <w:r>
        <w:rPr>
          <w:rFonts w:hint="eastAsia" w:ascii="Times New Roman" w:hAnsi="Times New Roman" w:cs="Times New Roman"/>
          <w:szCs w:val="21"/>
        </w:rPr>
        <w:t>基准建筑和设计建筑的建筑能耗综合值差值，与基准建筑的建筑能耗综合值的比值。</w:t>
      </w:r>
    </w:p>
    <w:p>
      <w:pPr>
        <w:tabs>
          <w:tab w:val="left" w:pos="397"/>
          <w:tab w:val="left" w:pos="765"/>
        </w:tabs>
        <w:overflowPunct w:val="0"/>
        <w:spacing w:before="156" w:beforeLines="50" w:after="156" w:afterLines="50"/>
        <w:outlineLvl w:val="2"/>
        <w:rPr>
          <w:rFonts w:hint="eastAsia" w:ascii="黑体" w:hAnsi="黑体" w:eastAsia="黑体" w:cs="Times New Roman"/>
          <w:szCs w:val="21"/>
        </w:rPr>
      </w:pPr>
      <w:r>
        <w:rPr>
          <w:rFonts w:ascii="黑体" w:hAnsi="黑体" w:eastAsia="黑体" w:cs="Times New Roman"/>
          <w:szCs w:val="21"/>
        </w:rPr>
        <w:t>3.5</w:t>
      </w:r>
      <w:r>
        <w:rPr>
          <w:rFonts w:hint="eastAsia" w:ascii="黑体" w:hAnsi="黑体" w:eastAsia="黑体" w:cs="Times New Roman"/>
          <w:szCs w:val="21"/>
        </w:rPr>
        <w:t>　</w:t>
      </w:r>
    </w:p>
    <w:p>
      <w:pPr>
        <w:tabs>
          <w:tab w:val="left" w:pos="397"/>
          <w:tab w:val="left" w:pos="765"/>
        </w:tabs>
        <w:overflowPunct w:val="0"/>
        <w:spacing w:before="156" w:beforeLines="50" w:after="156" w:afterLines="50"/>
        <w:ind w:firstLine="420" w:firstLineChars="200"/>
        <w:outlineLvl w:val="2"/>
        <w:rPr>
          <w:rFonts w:ascii="黑体" w:hAnsi="黑体" w:eastAsia="黑体" w:cs="Times New Roman"/>
          <w:szCs w:val="21"/>
        </w:rPr>
      </w:pPr>
      <w:r>
        <w:rPr>
          <w:rFonts w:hint="eastAsia" w:ascii="黑体" w:hAnsi="黑体" w:eastAsia="黑体" w:cs="Times New Roman"/>
          <w:szCs w:val="21"/>
        </w:rPr>
        <w:t>建筑本体节能率　building energy efficiency improvement rate</w:t>
      </w:r>
    </w:p>
    <w:p>
      <w:pPr>
        <w:overflowPunct w:val="0"/>
        <w:ind w:firstLine="420" w:firstLineChars="200"/>
        <w:rPr>
          <w:rFonts w:ascii="Times New Roman" w:hAnsi="Times New Roman" w:cs="Times New Roman"/>
          <w:szCs w:val="21"/>
        </w:rPr>
      </w:pPr>
      <w:r>
        <w:rPr>
          <w:rFonts w:hint="eastAsia" w:ascii="Times New Roman" w:hAnsi="Times New Roman" w:cs="Times New Roman"/>
          <w:szCs w:val="21"/>
        </w:rPr>
        <w:t>在设定计算条件下，设计建筑不包括可再生能源发电量的建筑能耗综合值与基准建筑的建筑能耗综合值的差值，与基准建筑的建筑能耗综合值的比值。</w:t>
      </w:r>
    </w:p>
    <w:p>
      <w:pPr>
        <w:tabs>
          <w:tab w:val="left" w:pos="397"/>
          <w:tab w:val="left" w:pos="765"/>
        </w:tabs>
        <w:overflowPunct w:val="0"/>
        <w:spacing w:before="156" w:beforeLines="50" w:after="156" w:afterLines="50"/>
        <w:outlineLvl w:val="2"/>
        <w:rPr>
          <w:rFonts w:hint="eastAsia" w:ascii="黑体" w:hAnsi="黑体" w:eastAsia="黑体" w:cs="Times New Roman"/>
          <w:szCs w:val="21"/>
        </w:rPr>
      </w:pPr>
      <w:r>
        <w:rPr>
          <w:rFonts w:ascii="黑体" w:hAnsi="黑体" w:eastAsia="黑体" w:cs="Times New Roman"/>
          <w:szCs w:val="21"/>
        </w:rPr>
        <w:t>3.6</w:t>
      </w:r>
      <w:r>
        <w:rPr>
          <w:rFonts w:hint="eastAsia" w:ascii="黑体" w:hAnsi="黑体" w:eastAsia="黑体" w:cs="Times New Roman"/>
          <w:szCs w:val="21"/>
        </w:rPr>
        <w:t>　</w:t>
      </w:r>
    </w:p>
    <w:p>
      <w:pPr>
        <w:tabs>
          <w:tab w:val="left" w:pos="397"/>
          <w:tab w:val="left" w:pos="765"/>
        </w:tabs>
        <w:overflowPunct w:val="0"/>
        <w:spacing w:before="156" w:beforeLines="50" w:after="156" w:afterLines="50"/>
        <w:ind w:firstLine="420" w:firstLineChars="200"/>
        <w:outlineLvl w:val="2"/>
        <w:rPr>
          <w:rFonts w:ascii="黑体" w:hAnsi="黑体" w:eastAsia="黑体" w:cs="Times New Roman"/>
          <w:szCs w:val="21"/>
        </w:rPr>
      </w:pPr>
      <w:r>
        <w:rPr>
          <w:rFonts w:hint="eastAsia" w:ascii="黑体" w:hAnsi="黑体" w:eastAsia="黑体" w:cs="Times New Roman"/>
          <w:szCs w:val="21"/>
        </w:rPr>
        <w:t>建筑气密性　air tightness of building envelope</w:t>
      </w:r>
    </w:p>
    <w:p>
      <w:pPr>
        <w:overflowPunct w:val="0"/>
        <w:ind w:firstLine="420" w:firstLineChars="200"/>
        <w:rPr>
          <w:rFonts w:ascii="Times New Roman" w:hAnsi="Times New Roman" w:cs="Times New Roman"/>
          <w:szCs w:val="21"/>
        </w:rPr>
      </w:pPr>
      <w:r>
        <w:rPr>
          <w:rFonts w:hint="eastAsia" w:ascii="Times New Roman" w:hAnsi="Times New Roman" w:cs="Times New Roman"/>
          <w:szCs w:val="21"/>
        </w:rPr>
        <w:t>建筑在封闭状态下阻止空气渗透的能力。可表征建筑或房间在正常密闭情况下的无组织空气渗透量。通常采用压差实验检测建筑气密性，以换气次数N</w:t>
      </w:r>
      <w:r>
        <w:rPr>
          <w:rFonts w:hint="eastAsia" w:ascii="Times New Roman" w:hAnsi="Times New Roman" w:cs="Times New Roman"/>
          <w:szCs w:val="21"/>
          <w:vertAlign w:val="subscript"/>
        </w:rPr>
        <w:t>50</w:t>
      </w:r>
      <w:r>
        <w:rPr>
          <w:rFonts w:hint="eastAsia" w:ascii="Times New Roman" w:hAnsi="Times New Roman" w:cs="Times New Roman"/>
          <w:szCs w:val="21"/>
        </w:rPr>
        <w:t>，即室内外50pa压差下换气次数来表征建筑气密性。</w:t>
      </w:r>
    </w:p>
    <w:p>
      <w:pPr>
        <w:tabs>
          <w:tab w:val="left" w:pos="397"/>
          <w:tab w:val="left" w:pos="765"/>
        </w:tabs>
        <w:overflowPunct w:val="0"/>
        <w:spacing w:before="156" w:beforeLines="50" w:after="156" w:afterLines="50"/>
        <w:outlineLvl w:val="2"/>
        <w:rPr>
          <w:rFonts w:hint="eastAsia" w:ascii="黑体" w:hAnsi="黑体" w:eastAsia="黑体" w:cs="Times New Roman"/>
          <w:szCs w:val="21"/>
        </w:rPr>
      </w:pPr>
      <w:r>
        <w:rPr>
          <w:rFonts w:ascii="黑体" w:hAnsi="黑体" w:eastAsia="黑体" w:cs="Times New Roman"/>
          <w:szCs w:val="21"/>
        </w:rPr>
        <w:t>3.7</w:t>
      </w:r>
      <w:r>
        <w:rPr>
          <w:rFonts w:hint="eastAsia" w:ascii="黑体" w:hAnsi="黑体" w:eastAsia="黑体" w:cs="Times New Roman"/>
          <w:szCs w:val="21"/>
        </w:rPr>
        <w:t>　</w:t>
      </w:r>
    </w:p>
    <w:p>
      <w:pPr>
        <w:tabs>
          <w:tab w:val="left" w:pos="397"/>
          <w:tab w:val="left" w:pos="765"/>
        </w:tabs>
        <w:overflowPunct w:val="0"/>
        <w:spacing w:before="156" w:beforeLines="50" w:after="156" w:afterLines="50"/>
        <w:ind w:firstLine="420" w:firstLineChars="200"/>
        <w:outlineLvl w:val="2"/>
        <w:rPr>
          <w:rFonts w:ascii="黑体" w:hAnsi="黑体" w:eastAsia="黑体" w:cs="Times New Roman"/>
          <w:szCs w:val="21"/>
        </w:rPr>
      </w:pPr>
      <w:r>
        <w:rPr>
          <w:rFonts w:hint="eastAsia" w:ascii="黑体" w:hAnsi="黑体" w:eastAsia="黑体" w:cs="Times New Roman"/>
          <w:szCs w:val="21"/>
        </w:rPr>
        <w:t>可再生能源利用率　utilization ration of renewable energy</w:t>
      </w:r>
    </w:p>
    <w:p>
      <w:pPr>
        <w:overflowPunct w:val="0"/>
        <w:ind w:firstLine="420" w:firstLineChars="200"/>
        <w:rPr>
          <w:rFonts w:ascii="Times New Roman" w:hAnsi="Times New Roman" w:cs="Times New Roman"/>
          <w:szCs w:val="21"/>
        </w:rPr>
      </w:pPr>
      <w:r>
        <w:rPr>
          <w:rFonts w:hint="eastAsia" w:ascii="Times New Roman" w:hAnsi="Times New Roman" w:cs="Times New Roman"/>
          <w:szCs w:val="21"/>
        </w:rPr>
        <w:t>供暖空调、照明、生活热水、电梯系统中可再生能源利用量占其能量需求量的比例。</w:t>
      </w:r>
    </w:p>
    <w:p>
      <w:pPr>
        <w:tabs>
          <w:tab w:val="left" w:pos="397"/>
          <w:tab w:val="left" w:pos="765"/>
        </w:tabs>
        <w:overflowPunct w:val="0"/>
        <w:spacing w:before="156" w:beforeLines="50" w:after="156" w:afterLines="50"/>
        <w:outlineLvl w:val="2"/>
        <w:rPr>
          <w:rFonts w:hint="eastAsia" w:ascii="黑体" w:hAnsi="黑体" w:eastAsia="黑体" w:cs="Times New Roman"/>
          <w:szCs w:val="21"/>
        </w:rPr>
      </w:pPr>
      <w:r>
        <w:rPr>
          <w:rFonts w:ascii="黑体" w:hAnsi="黑体" w:eastAsia="黑体" w:cs="Times New Roman"/>
          <w:szCs w:val="21"/>
        </w:rPr>
        <w:t>3.</w:t>
      </w:r>
      <w:r>
        <w:rPr>
          <w:rFonts w:hint="eastAsia" w:ascii="黑体" w:hAnsi="黑体" w:eastAsia="黑体" w:cs="Times New Roman"/>
          <w:szCs w:val="21"/>
          <w:lang w:val="en-US" w:eastAsia="zh-CN"/>
        </w:rPr>
        <w:t>8</w:t>
      </w:r>
      <w:r>
        <w:rPr>
          <w:rFonts w:hint="eastAsia" w:ascii="黑体" w:hAnsi="黑体" w:eastAsia="黑体" w:cs="Times New Roman"/>
          <w:szCs w:val="21"/>
        </w:rPr>
        <w:t>　</w:t>
      </w:r>
    </w:p>
    <w:p>
      <w:pPr>
        <w:tabs>
          <w:tab w:val="left" w:pos="397"/>
          <w:tab w:val="left" w:pos="765"/>
        </w:tabs>
        <w:overflowPunct w:val="0"/>
        <w:spacing w:before="156" w:beforeLines="50" w:after="156" w:afterLines="50"/>
        <w:ind w:firstLine="420" w:firstLineChars="200"/>
        <w:outlineLvl w:val="2"/>
        <w:rPr>
          <w:rFonts w:ascii="黑体" w:hAnsi="黑体" w:eastAsia="黑体" w:cs="Times New Roman"/>
          <w:szCs w:val="21"/>
        </w:rPr>
      </w:pPr>
      <w:r>
        <w:rPr>
          <w:rFonts w:hint="eastAsia" w:ascii="黑体" w:hAnsi="黑体" w:eastAsia="黑体" w:cs="Times New Roman"/>
          <w:szCs w:val="21"/>
        </w:rPr>
        <w:t>防水隔汽材料　Water-proof and air tightness material</w:t>
      </w:r>
    </w:p>
    <w:p>
      <w:pPr>
        <w:overflowPunct w:val="0"/>
        <w:ind w:firstLine="420" w:firstLineChars="200"/>
        <w:rPr>
          <w:rFonts w:ascii="Times New Roman" w:hAnsi="Times New Roman" w:cs="Times New Roman"/>
          <w:szCs w:val="21"/>
        </w:rPr>
      </w:pPr>
      <w:r>
        <w:rPr>
          <w:rFonts w:hint="eastAsia" w:ascii="Times New Roman" w:hAnsi="Times New Roman" w:cs="Times New Roman"/>
          <w:szCs w:val="21"/>
        </w:rPr>
        <w:t>对建筑外围护结构室内侧的缝隙进行密封，防止空气渗透并兼具防水及难透汽性能的材料。</w:t>
      </w:r>
    </w:p>
    <w:p>
      <w:pPr>
        <w:tabs>
          <w:tab w:val="left" w:pos="397"/>
          <w:tab w:val="left" w:pos="765"/>
        </w:tabs>
        <w:overflowPunct w:val="0"/>
        <w:spacing w:before="156" w:beforeLines="50" w:after="156" w:afterLines="50"/>
        <w:outlineLvl w:val="2"/>
        <w:rPr>
          <w:rFonts w:hint="eastAsia" w:ascii="黑体" w:hAnsi="黑体" w:eastAsia="黑体" w:cs="Times New Roman"/>
          <w:szCs w:val="21"/>
        </w:rPr>
      </w:pPr>
      <w:r>
        <w:rPr>
          <w:rFonts w:ascii="黑体" w:hAnsi="黑体" w:eastAsia="黑体" w:cs="Times New Roman"/>
          <w:szCs w:val="21"/>
        </w:rPr>
        <w:t>3.</w:t>
      </w:r>
      <w:r>
        <w:rPr>
          <w:rFonts w:hint="eastAsia" w:ascii="黑体" w:hAnsi="黑体" w:eastAsia="黑体" w:cs="Times New Roman"/>
          <w:szCs w:val="21"/>
          <w:lang w:val="en-US" w:eastAsia="zh-CN"/>
        </w:rPr>
        <w:t>9</w:t>
      </w:r>
      <w:r>
        <w:rPr>
          <w:rFonts w:hint="eastAsia" w:ascii="黑体" w:hAnsi="黑体" w:eastAsia="黑体" w:cs="Times New Roman"/>
          <w:szCs w:val="21"/>
        </w:rPr>
        <w:t>　</w:t>
      </w:r>
    </w:p>
    <w:p>
      <w:pPr>
        <w:tabs>
          <w:tab w:val="left" w:pos="397"/>
          <w:tab w:val="left" w:pos="765"/>
        </w:tabs>
        <w:overflowPunct w:val="0"/>
        <w:spacing w:before="156" w:beforeLines="50" w:after="156" w:afterLines="50"/>
        <w:ind w:firstLine="420" w:firstLineChars="200"/>
        <w:outlineLvl w:val="2"/>
        <w:rPr>
          <w:rFonts w:ascii="黑体" w:hAnsi="黑体" w:eastAsia="黑体" w:cs="Times New Roman"/>
          <w:szCs w:val="21"/>
        </w:rPr>
      </w:pPr>
      <w:r>
        <w:rPr>
          <w:rFonts w:hint="eastAsia" w:ascii="黑体" w:hAnsi="黑体" w:eastAsia="黑体" w:cs="Times New Roman"/>
          <w:szCs w:val="21"/>
        </w:rPr>
        <w:t>防水透汽材料　Water-proof and vapor-permeable material</w:t>
      </w:r>
    </w:p>
    <w:p>
      <w:pPr>
        <w:overflowPunct w:val="0"/>
        <w:ind w:firstLine="420" w:firstLineChars="200"/>
        <w:rPr>
          <w:rFonts w:ascii="Times New Roman" w:hAnsi="Times New Roman" w:cs="Times New Roman"/>
          <w:szCs w:val="21"/>
        </w:rPr>
      </w:pPr>
      <w:r>
        <w:rPr>
          <w:rFonts w:hint="eastAsia" w:ascii="Times New Roman" w:hAnsi="Times New Roman" w:cs="Times New Roman"/>
          <w:szCs w:val="21"/>
        </w:rPr>
        <w:t>对建筑外围护结构室外侧的缝隙进行密封并兼具防水及允许水蒸气透出功能的材料。</w:t>
      </w:r>
    </w:p>
    <w:p>
      <w:pPr>
        <w:pStyle w:val="2"/>
        <w:numPr>
          <w:ilvl w:val="0"/>
          <w:numId w:val="0"/>
        </w:numPr>
        <w:overflowPunct w:val="0"/>
        <w:spacing w:before="312" w:after="312"/>
        <w:ind w:left="357" w:hanging="357" w:hangingChars="170"/>
      </w:pPr>
      <w:r>
        <w:t>4</w:t>
      </w:r>
      <w:r>
        <w:rPr>
          <w:rFonts w:hint="eastAsia"/>
        </w:rPr>
        <w:t>　</w:t>
      </w:r>
      <w:bookmarkStart w:id="12" w:name="_Toc97537088"/>
      <w:bookmarkStart w:id="13" w:name="_Toc5114"/>
      <w:r>
        <w:rPr>
          <w:rFonts w:hint="eastAsia"/>
        </w:rPr>
        <w:t>基本规定</w:t>
      </w:r>
      <w:bookmarkEnd w:id="12"/>
      <w:bookmarkEnd w:id="13"/>
    </w:p>
    <w:p>
      <w:pPr>
        <w:tabs>
          <w:tab w:val="left" w:pos="397"/>
          <w:tab w:val="left" w:pos="765"/>
        </w:tabs>
        <w:overflowPunct w:val="0"/>
        <w:spacing w:before="156" w:beforeLines="50" w:after="156" w:afterLines="50"/>
        <w:outlineLvl w:val="2"/>
        <w:rPr>
          <w:rFonts w:ascii="黑体" w:hAnsi="黑体" w:eastAsia="黑体" w:cs="Times New Roman"/>
          <w:szCs w:val="21"/>
        </w:rPr>
      </w:pPr>
      <w:r>
        <w:rPr>
          <w:rFonts w:hint="eastAsia" w:ascii="黑体" w:hAnsi="黑体" w:eastAsia="黑体" w:cs="Times New Roman"/>
          <w:szCs w:val="21"/>
        </w:rPr>
        <w:t>4.1　一般规定</w:t>
      </w:r>
    </w:p>
    <w:p>
      <w:pPr>
        <w:pStyle w:val="42"/>
        <w:widowControl w:val="0"/>
        <w:tabs>
          <w:tab w:val="left" w:pos="0"/>
          <w:tab w:val="left" w:pos="765"/>
        </w:tabs>
        <w:overflowPunct w:val="0"/>
        <w:autoSpaceDE/>
        <w:autoSpaceDN/>
        <w:spacing w:before="124" w:beforeLines="40"/>
        <w:ind w:firstLine="0" w:firstLineChars="0"/>
        <w:outlineLvl w:val="2"/>
        <w:rPr>
          <w:rFonts w:hAnsi="宋体"/>
        </w:rPr>
      </w:pPr>
      <w:r>
        <w:rPr>
          <w:rFonts w:ascii="黑体" w:hAnsi="黑体"/>
        </w:rPr>
        <w:t>4.1.1</w:t>
      </w:r>
      <w:r>
        <w:rPr>
          <w:rFonts w:hint="eastAsia" w:ascii="黑体" w:hAnsi="黑体"/>
        </w:rPr>
        <w:t>　</w:t>
      </w:r>
      <w:r>
        <w:rPr>
          <w:rFonts w:hint="eastAsia" w:hAnsi="宋体"/>
        </w:rPr>
        <w:t>当建筑年运行能耗</w:t>
      </w:r>
      <w:r>
        <w:rPr>
          <w:rFonts w:ascii="Times New Roman" w:hAnsi="Times New Roman" w:cs="Times New Roman"/>
        </w:rPr>
        <w:t>1000</w:t>
      </w:r>
      <w:r>
        <w:rPr>
          <w:rFonts w:hint="eastAsia" w:hAnsi="宋体"/>
        </w:rPr>
        <w:t>吨标准煤（或电耗</w:t>
      </w:r>
      <w:r>
        <w:rPr>
          <w:rFonts w:ascii="Times New Roman" w:hAnsi="Times New Roman" w:cs="Times New Roman"/>
        </w:rPr>
        <w:t>500</w:t>
      </w:r>
      <w:r>
        <w:rPr>
          <w:rFonts w:hint="eastAsia" w:hAnsi="宋体"/>
        </w:rPr>
        <w:t>万千瓦时）及以上，除应符合本</w:t>
      </w:r>
      <w:r>
        <w:rPr>
          <w:rFonts w:hint="eastAsia" w:hAnsi="宋体"/>
          <w:lang w:val="en-US" w:eastAsia="zh-CN"/>
        </w:rPr>
        <w:t>文件</w:t>
      </w:r>
      <w:r>
        <w:rPr>
          <w:rFonts w:hint="eastAsia" w:hAnsi="宋体"/>
        </w:rPr>
        <w:t>的各项规定外，还应对其超低能耗设计方案进行技术论证</w:t>
      </w:r>
      <w:r>
        <w:rPr>
          <w:rFonts w:hAnsi="宋体"/>
        </w:rPr>
        <w:t>。</w:t>
      </w:r>
    </w:p>
    <w:p>
      <w:pPr>
        <w:pStyle w:val="42"/>
        <w:keepNext w:val="0"/>
        <w:keepLines w:val="0"/>
        <w:pageBreakBefore w:val="0"/>
        <w:widowControl w:val="0"/>
        <w:tabs>
          <w:tab w:val="left" w:pos="0"/>
          <w:tab w:val="left" w:pos="765"/>
        </w:tabs>
        <w:kinsoku/>
        <w:wordWrap/>
        <w:overflowPunct w:val="0"/>
        <w:topLinePunct w:val="0"/>
        <w:autoSpaceDE/>
        <w:autoSpaceDN/>
        <w:bidi w:val="0"/>
        <w:adjustRightInd/>
        <w:snapToGrid/>
        <w:ind w:firstLine="0" w:firstLineChars="0"/>
        <w:textAlignment w:val="auto"/>
        <w:outlineLvl w:val="2"/>
        <w:rPr>
          <w:rFonts w:hAnsi="宋体"/>
        </w:rPr>
      </w:pPr>
      <w:r>
        <w:rPr>
          <w:rFonts w:ascii="黑体" w:hAnsi="黑体"/>
        </w:rPr>
        <w:t>4.1.2</w:t>
      </w:r>
      <w:r>
        <w:rPr>
          <w:rFonts w:hint="eastAsia" w:ascii="黑体" w:hAnsi="黑体"/>
        </w:rPr>
        <w:t>　</w:t>
      </w:r>
      <w:r>
        <w:rPr>
          <w:rFonts w:hint="eastAsia" w:hAnsi="宋体"/>
        </w:rPr>
        <w:t>超低能耗建筑的设计，应遵循“被动优先，主动优化”的原则，通过被动式设计降低建筑供暖空调、照明等能耗需求，并结合设备能效提升和可再生能源利用，实现建筑超低能耗。</w:t>
      </w:r>
    </w:p>
    <w:p>
      <w:pPr>
        <w:pStyle w:val="42"/>
        <w:keepNext w:val="0"/>
        <w:keepLines w:val="0"/>
        <w:pageBreakBefore w:val="0"/>
        <w:widowControl w:val="0"/>
        <w:tabs>
          <w:tab w:val="left" w:pos="0"/>
          <w:tab w:val="left" w:pos="765"/>
        </w:tabs>
        <w:kinsoku/>
        <w:wordWrap/>
        <w:overflowPunct w:val="0"/>
        <w:topLinePunct w:val="0"/>
        <w:autoSpaceDE/>
        <w:autoSpaceDN/>
        <w:bidi w:val="0"/>
        <w:adjustRightInd/>
        <w:snapToGrid/>
        <w:ind w:firstLine="0" w:firstLineChars="0"/>
        <w:textAlignment w:val="auto"/>
        <w:outlineLvl w:val="2"/>
        <w:rPr>
          <w:rFonts w:hAnsi="宋体"/>
        </w:rPr>
      </w:pPr>
      <w:r>
        <w:rPr>
          <w:rFonts w:ascii="黑体" w:hAnsi="黑体"/>
        </w:rPr>
        <w:t>4.1.3</w:t>
      </w:r>
      <w:r>
        <w:rPr>
          <w:rFonts w:hint="eastAsia" w:ascii="黑体" w:hAnsi="黑体"/>
        </w:rPr>
        <w:t>　</w:t>
      </w:r>
      <w:r>
        <w:rPr>
          <w:rFonts w:hint="eastAsia" w:hAnsi="宋体"/>
        </w:rPr>
        <w:t>公共建筑设计应采用性能设计方法，以室内环境和能耗指标为约束目标，通过性能化设计合理确定技术策略。</w:t>
      </w:r>
    </w:p>
    <w:p>
      <w:pPr>
        <w:pStyle w:val="42"/>
        <w:keepNext w:val="0"/>
        <w:keepLines w:val="0"/>
        <w:pageBreakBefore w:val="0"/>
        <w:widowControl w:val="0"/>
        <w:tabs>
          <w:tab w:val="left" w:pos="0"/>
          <w:tab w:val="left" w:pos="765"/>
        </w:tabs>
        <w:kinsoku/>
        <w:wordWrap/>
        <w:overflowPunct w:val="0"/>
        <w:topLinePunct w:val="0"/>
        <w:autoSpaceDE/>
        <w:autoSpaceDN/>
        <w:bidi w:val="0"/>
        <w:adjustRightInd/>
        <w:snapToGrid/>
        <w:ind w:firstLine="0" w:firstLineChars="0"/>
        <w:textAlignment w:val="auto"/>
        <w:outlineLvl w:val="2"/>
        <w:rPr>
          <w:rFonts w:hAnsi="宋体"/>
        </w:rPr>
      </w:pPr>
      <w:r>
        <w:rPr>
          <w:rFonts w:ascii="黑体" w:hAnsi="黑体"/>
        </w:rPr>
        <w:t>4.1.4</w:t>
      </w:r>
      <w:r>
        <w:rPr>
          <w:rFonts w:hint="eastAsia" w:ascii="黑体" w:hAnsi="黑体"/>
        </w:rPr>
        <w:t>　</w:t>
      </w:r>
      <w:r>
        <w:rPr>
          <w:rFonts w:hint="eastAsia" w:hAnsi="宋体"/>
        </w:rPr>
        <w:t>超低能耗建筑应以气候特征为引导进行建筑方案设计，基于湖北省不同地区的气候条件、生活居住习惯，借鉴本地传统建筑被动式措施进行建筑平面总体布局、朝向、采光通风、室内空间布局的气候适应性设计。</w:t>
      </w:r>
    </w:p>
    <w:p>
      <w:pPr>
        <w:pStyle w:val="42"/>
        <w:keepNext w:val="0"/>
        <w:keepLines w:val="0"/>
        <w:pageBreakBefore w:val="0"/>
        <w:widowControl w:val="0"/>
        <w:tabs>
          <w:tab w:val="left" w:pos="0"/>
          <w:tab w:val="left" w:pos="765"/>
        </w:tabs>
        <w:kinsoku/>
        <w:wordWrap/>
        <w:overflowPunct w:val="0"/>
        <w:topLinePunct w:val="0"/>
        <w:autoSpaceDE/>
        <w:autoSpaceDN/>
        <w:bidi w:val="0"/>
        <w:adjustRightInd/>
        <w:snapToGrid/>
        <w:ind w:firstLine="0" w:firstLineChars="0"/>
        <w:textAlignment w:val="auto"/>
        <w:outlineLvl w:val="2"/>
        <w:rPr>
          <w:rFonts w:hAnsi="宋体"/>
        </w:rPr>
      </w:pPr>
      <w:r>
        <w:rPr>
          <w:rFonts w:ascii="黑体" w:hAnsi="黑体"/>
        </w:rPr>
        <w:t>4.1.5</w:t>
      </w:r>
      <w:r>
        <w:rPr>
          <w:rFonts w:hint="eastAsia" w:ascii="黑体" w:hAnsi="黑体"/>
        </w:rPr>
        <w:t>　</w:t>
      </w:r>
      <w:r>
        <w:rPr>
          <w:rFonts w:hint="eastAsia" w:hAnsi="宋体"/>
        </w:rPr>
        <w:t>超低能耗建筑应进行全装修，并应防止装修对建筑围护结构气密层的损坏和对气流组织的影响。</w:t>
      </w:r>
    </w:p>
    <w:p>
      <w:pPr>
        <w:tabs>
          <w:tab w:val="left" w:pos="397"/>
          <w:tab w:val="left" w:pos="765"/>
        </w:tabs>
        <w:overflowPunct w:val="0"/>
        <w:spacing w:before="156" w:beforeLines="50" w:after="156" w:afterLines="50"/>
        <w:outlineLvl w:val="2"/>
        <w:rPr>
          <w:rFonts w:ascii="黑体" w:hAnsi="黑体" w:eastAsia="黑体" w:cs="Times New Roman"/>
          <w:color w:val="auto"/>
          <w:szCs w:val="21"/>
        </w:rPr>
      </w:pPr>
      <w:r>
        <w:rPr>
          <w:rFonts w:hint="eastAsia" w:ascii="黑体" w:hAnsi="黑体" w:eastAsia="黑体" w:cs="Times New Roman"/>
          <w:color w:val="auto"/>
          <w:szCs w:val="21"/>
        </w:rPr>
        <w:t>4.2　能效指标</w:t>
      </w:r>
    </w:p>
    <w:p>
      <w:pPr>
        <w:pStyle w:val="42"/>
        <w:widowControl w:val="0"/>
        <w:tabs>
          <w:tab w:val="left" w:pos="0"/>
          <w:tab w:val="left" w:pos="765"/>
        </w:tabs>
        <w:overflowPunct w:val="0"/>
        <w:autoSpaceDE/>
        <w:autoSpaceDN/>
        <w:spacing w:before="124" w:beforeLines="40" w:line="309" w:lineRule="exact"/>
        <w:ind w:firstLine="0" w:firstLineChars="0"/>
        <w:outlineLvl w:val="2"/>
        <w:rPr>
          <w:rFonts w:hint="eastAsia" w:hAnsi="宋体"/>
          <w:color w:val="auto"/>
        </w:rPr>
      </w:pPr>
      <w:r>
        <w:rPr>
          <w:rFonts w:ascii="黑体" w:hAnsi="黑体"/>
          <w:color w:val="auto"/>
        </w:rPr>
        <w:t>4.2.1　</w:t>
      </w:r>
      <w:r>
        <w:rPr>
          <w:rFonts w:hint="eastAsia" w:hAnsi="宋体"/>
          <w:color w:val="auto"/>
        </w:rPr>
        <w:t>超低能耗公共建筑的能效指标应符合表</w:t>
      </w:r>
      <w:r>
        <w:rPr>
          <w:rFonts w:hint="eastAsia" w:ascii="Times New Roman" w:hAnsi="Times New Roman" w:cs="Times New Roman"/>
          <w:color w:val="auto"/>
          <w:lang w:val="en-US" w:eastAsia="zh-CN"/>
        </w:rPr>
        <w:t>1</w:t>
      </w:r>
      <w:r>
        <w:rPr>
          <w:rFonts w:hint="eastAsia" w:hAnsi="宋体"/>
          <w:color w:val="auto"/>
        </w:rPr>
        <w:t>的规定：</w:t>
      </w:r>
    </w:p>
    <w:p>
      <w:pPr>
        <w:pStyle w:val="42"/>
        <w:widowControl w:val="0"/>
        <w:overflowPunct w:val="0"/>
        <w:autoSpaceDE/>
        <w:autoSpaceDN/>
        <w:spacing w:before="62" w:beforeLines="20" w:after="78" w:afterLines="25" w:line="309" w:lineRule="exact"/>
        <w:ind w:firstLine="0" w:firstLineChars="0"/>
        <w:jc w:val="center"/>
        <w:rPr>
          <w:rFonts w:ascii="黑体" w:hAnsi="黑体" w:eastAsia="黑体" w:cs="黑体"/>
          <w:color w:val="auto"/>
          <w:sz w:val="18"/>
          <w:szCs w:val="18"/>
        </w:rPr>
      </w:pPr>
      <w:r>
        <w:rPr>
          <w:rFonts w:ascii="黑体" w:hAnsi="黑体" w:eastAsia="黑体" w:cs="黑体"/>
          <w:color w:val="auto"/>
          <w:sz w:val="18"/>
          <w:szCs w:val="18"/>
        </w:rPr>
        <w:t>表</w:t>
      </w:r>
      <w:r>
        <w:rPr>
          <w:rFonts w:hint="eastAsia" w:ascii="黑体" w:hAnsi="黑体" w:eastAsia="黑体" w:cs="黑体"/>
          <w:color w:val="auto"/>
          <w:sz w:val="18"/>
          <w:szCs w:val="18"/>
          <w:lang w:val="en-US" w:eastAsia="zh-CN"/>
        </w:rPr>
        <w:t>1</w:t>
      </w:r>
      <w:r>
        <w:rPr>
          <w:rFonts w:hint="eastAsia" w:ascii="黑体" w:hAnsi="黑体" w:eastAsia="黑体" w:cs="黑体"/>
          <w:color w:val="auto"/>
          <w:sz w:val="18"/>
          <w:szCs w:val="18"/>
        </w:rPr>
        <w:t>　超低能耗</w:t>
      </w:r>
      <w:r>
        <w:rPr>
          <w:rFonts w:ascii="黑体" w:hAnsi="黑体" w:eastAsia="黑体" w:cs="黑体"/>
          <w:color w:val="auto"/>
          <w:sz w:val="18"/>
          <w:szCs w:val="18"/>
        </w:rPr>
        <w:t>公共建筑</w:t>
      </w:r>
      <w:r>
        <w:rPr>
          <w:rFonts w:hint="eastAsia" w:ascii="黑体" w:hAnsi="黑体" w:eastAsia="黑体" w:cs="黑体"/>
          <w:color w:val="auto"/>
          <w:sz w:val="18"/>
          <w:szCs w:val="18"/>
        </w:rPr>
        <w:t>能效</w:t>
      </w:r>
      <w:r>
        <w:rPr>
          <w:rFonts w:ascii="黑体" w:hAnsi="黑体" w:eastAsia="黑体" w:cs="黑体"/>
          <w:color w:val="auto"/>
          <w:sz w:val="18"/>
          <w:szCs w:val="18"/>
        </w:rPr>
        <w:t>指标</w:t>
      </w:r>
    </w:p>
    <w:tbl>
      <w:tblPr>
        <w:tblStyle w:val="13"/>
        <w:tblW w:w="9359" w:type="dxa"/>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1688"/>
        <w:gridCol w:w="4632"/>
        <w:gridCol w:w="1592"/>
        <w:gridCol w:w="1447"/>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357" w:hRule="atLeast"/>
          <w:jc w:val="center"/>
        </w:trPr>
        <w:tc>
          <w:tcPr>
            <w:tcW w:w="6320" w:type="dxa"/>
            <w:gridSpan w:val="2"/>
            <w:tcBorders>
              <w:top w:val="single" w:color="auto" w:sz="8" w:space="0"/>
              <w:left w:val="single" w:color="auto" w:sz="8" w:space="0"/>
              <w:bottom w:val="single" w:color="auto" w:sz="8" w:space="0"/>
              <w:right w:val="single" w:color="auto" w:sz="2" w:space="0"/>
            </w:tcBorders>
            <w:vAlign w:val="center"/>
          </w:tcPr>
          <w:p>
            <w:pPr>
              <w:overflowPunct w:val="0"/>
              <w:jc w:val="center"/>
              <w:rPr>
                <w:rFonts w:ascii="宋体" w:hAnsi="宋体" w:eastAsia="宋体" w:cs="宋体"/>
                <w:bCs/>
                <w:sz w:val="18"/>
                <w:szCs w:val="18"/>
              </w:rPr>
            </w:pPr>
            <w:r>
              <w:rPr>
                <w:rFonts w:ascii="宋体" w:hAnsi="宋体" w:eastAsia="宋体" w:cs="宋体"/>
                <w:bCs/>
                <w:sz w:val="18"/>
                <w:szCs w:val="18"/>
              </w:rPr>
              <w:t>气候分区</w:t>
            </w:r>
          </w:p>
        </w:tc>
        <w:tc>
          <w:tcPr>
            <w:tcW w:w="1592" w:type="dxa"/>
            <w:tcBorders>
              <w:top w:val="single" w:color="auto" w:sz="8" w:space="0"/>
              <w:left w:val="single" w:color="auto" w:sz="2" w:space="0"/>
              <w:bottom w:val="single" w:color="auto" w:sz="8" w:space="0"/>
              <w:right w:val="single" w:color="auto" w:sz="2" w:space="0"/>
            </w:tcBorders>
            <w:vAlign w:val="center"/>
          </w:tcPr>
          <w:p>
            <w:pPr>
              <w:overflowPunct w:val="0"/>
              <w:jc w:val="center"/>
              <w:rPr>
                <w:rFonts w:ascii="宋体" w:hAnsi="宋体" w:eastAsia="宋体" w:cs="宋体"/>
                <w:bCs/>
                <w:sz w:val="18"/>
                <w:szCs w:val="18"/>
              </w:rPr>
            </w:pPr>
            <w:r>
              <w:rPr>
                <w:rFonts w:hint="eastAsia" w:ascii="宋体" w:hAnsi="宋体" w:eastAsia="宋体" w:cs="宋体"/>
                <w:bCs/>
                <w:sz w:val="18"/>
                <w:szCs w:val="18"/>
              </w:rPr>
              <w:t>一区</w:t>
            </w:r>
          </w:p>
        </w:tc>
        <w:tc>
          <w:tcPr>
            <w:tcW w:w="1447" w:type="dxa"/>
            <w:tcBorders>
              <w:top w:val="single" w:color="auto" w:sz="8" w:space="0"/>
              <w:left w:val="single" w:color="auto" w:sz="2" w:space="0"/>
              <w:bottom w:val="single" w:color="auto" w:sz="8" w:space="0"/>
              <w:right w:val="single" w:color="auto" w:sz="8" w:space="0"/>
            </w:tcBorders>
            <w:vAlign w:val="center"/>
          </w:tcPr>
          <w:p>
            <w:pPr>
              <w:overflowPunct w:val="0"/>
              <w:jc w:val="center"/>
              <w:rPr>
                <w:rFonts w:ascii="宋体" w:hAnsi="宋体" w:eastAsia="宋体" w:cs="宋体"/>
                <w:bCs/>
                <w:sz w:val="18"/>
                <w:szCs w:val="18"/>
              </w:rPr>
            </w:pPr>
            <w:r>
              <w:rPr>
                <w:rFonts w:hint="eastAsia" w:ascii="宋体" w:hAnsi="宋体" w:eastAsia="宋体" w:cs="宋体"/>
                <w:bCs/>
                <w:sz w:val="18"/>
                <w:szCs w:val="18"/>
              </w:rPr>
              <w:t>二区</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357" w:hRule="atLeast"/>
          <w:jc w:val="center"/>
        </w:trPr>
        <w:tc>
          <w:tcPr>
            <w:tcW w:w="1688" w:type="dxa"/>
            <w:vMerge w:val="restart"/>
            <w:tcBorders>
              <w:top w:val="single" w:color="auto" w:sz="8" w:space="0"/>
              <w:bottom w:val="single" w:color="auto" w:sz="4" w:space="0"/>
              <w:right w:val="single" w:color="auto" w:sz="4" w:space="0"/>
            </w:tcBorders>
            <w:vAlign w:val="center"/>
          </w:tcPr>
          <w:p>
            <w:pPr>
              <w:overflowPunct w:val="0"/>
              <w:jc w:val="center"/>
              <w:rPr>
                <w:rFonts w:ascii="宋体" w:hAnsi="宋体" w:eastAsia="宋体" w:cs="宋体"/>
                <w:bCs/>
                <w:sz w:val="18"/>
                <w:szCs w:val="18"/>
              </w:rPr>
            </w:pPr>
            <w:r>
              <w:rPr>
                <w:rFonts w:ascii="宋体" w:hAnsi="宋体" w:eastAsia="宋体" w:cs="宋体"/>
                <w:bCs/>
                <w:sz w:val="18"/>
                <w:szCs w:val="18"/>
              </w:rPr>
              <w:t>能耗指标</w:t>
            </w:r>
          </w:p>
        </w:tc>
        <w:tc>
          <w:tcPr>
            <w:tcW w:w="4632" w:type="dxa"/>
            <w:tcBorders>
              <w:top w:val="single" w:color="auto" w:sz="8" w:space="0"/>
              <w:left w:val="single" w:color="auto" w:sz="4" w:space="0"/>
              <w:bottom w:val="single" w:color="auto" w:sz="4" w:space="0"/>
              <w:right w:val="single" w:color="auto" w:sz="4" w:space="0"/>
            </w:tcBorders>
            <w:vAlign w:val="center"/>
          </w:tcPr>
          <w:p>
            <w:pPr>
              <w:overflowPunct w:val="0"/>
              <w:jc w:val="center"/>
              <w:rPr>
                <w:rFonts w:ascii="宋体" w:hAnsi="宋体" w:eastAsia="宋体" w:cs="宋体"/>
                <w:bCs/>
                <w:sz w:val="18"/>
                <w:szCs w:val="18"/>
              </w:rPr>
            </w:pPr>
            <w:r>
              <w:rPr>
                <w:rFonts w:hint="eastAsia" w:ascii="宋体" w:hAnsi="宋体" w:eastAsia="宋体" w:cs="宋体"/>
                <w:bCs/>
                <w:sz w:val="18"/>
                <w:szCs w:val="18"/>
              </w:rPr>
              <w:t>建筑综合节能率</w:t>
            </w:r>
          </w:p>
        </w:tc>
        <w:tc>
          <w:tcPr>
            <w:tcW w:w="3039" w:type="dxa"/>
            <w:gridSpan w:val="2"/>
            <w:tcBorders>
              <w:top w:val="single" w:color="auto" w:sz="8" w:space="0"/>
              <w:left w:val="single" w:color="auto" w:sz="4" w:space="0"/>
              <w:bottom w:val="single" w:color="auto" w:sz="4" w:space="0"/>
              <w:right w:val="single" w:color="auto" w:sz="8" w:space="0"/>
            </w:tcBorders>
            <w:vAlign w:val="center"/>
          </w:tcPr>
          <w:p>
            <w:pPr>
              <w:overflowPunct w:val="0"/>
              <w:jc w:val="center"/>
              <w:rPr>
                <w:rFonts w:ascii="宋体" w:hAnsi="宋体" w:eastAsia="宋体" w:cs="宋体"/>
                <w:bCs/>
                <w:sz w:val="18"/>
                <w:szCs w:val="18"/>
              </w:rPr>
            </w:pPr>
            <w:r>
              <w:rPr>
                <w:rFonts w:ascii="宋体" w:hAnsi="宋体" w:eastAsia="宋体" w:cs="宋体"/>
                <w:bCs/>
                <w:sz w:val="18"/>
                <w:szCs w:val="18"/>
              </w:rPr>
              <w:t>≥</w:t>
            </w:r>
            <w:r>
              <w:rPr>
                <w:rFonts w:ascii="Times New Roman" w:hAnsi="Times New Roman" w:eastAsia="宋体" w:cs="Times New Roman"/>
                <w:bCs/>
                <w:sz w:val="18"/>
                <w:szCs w:val="18"/>
              </w:rPr>
              <w:t>37.5</w:t>
            </w:r>
            <w:r>
              <w:rPr>
                <w:rFonts w:hint="eastAsia" w:ascii="宋体" w:hAnsi="宋体" w:eastAsia="宋体" w:cs="宋体"/>
                <w:bCs/>
                <w:sz w:val="18"/>
                <w:szCs w:val="18"/>
              </w:rPr>
              <w:t>%</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166" w:hRule="atLeast"/>
          <w:jc w:val="center"/>
        </w:trPr>
        <w:tc>
          <w:tcPr>
            <w:tcW w:w="1688" w:type="dxa"/>
            <w:vMerge w:val="continue"/>
            <w:tcBorders>
              <w:top w:val="single" w:color="auto" w:sz="4" w:space="0"/>
              <w:bottom w:val="single" w:color="auto" w:sz="4" w:space="0"/>
              <w:right w:val="single" w:color="auto" w:sz="4" w:space="0"/>
            </w:tcBorders>
            <w:vAlign w:val="center"/>
          </w:tcPr>
          <w:p>
            <w:pPr>
              <w:overflowPunct w:val="0"/>
              <w:jc w:val="center"/>
              <w:rPr>
                <w:rFonts w:ascii="宋体" w:hAnsi="宋体" w:eastAsia="宋体" w:cs="宋体"/>
                <w:bCs/>
                <w:sz w:val="18"/>
                <w:szCs w:val="18"/>
              </w:rPr>
            </w:pPr>
          </w:p>
        </w:tc>
        <w:tc>
          <w:tcPr>
            <w:tcW w:w="4632"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宋体" w:hAnsi="宋体" w:eastAsia="宋体" w:cs="宋体"/>
                <w:bCs/>
                <w:sz w:val="18"/>
                <w:szCs w:val="18"/>
              </w:rPr>
            </w:pPr>
            <w:r>
              <w:rPr>
                <w:rFonts w:hint="eastAsia" w:ascii="宋体" w:hAnsi="宋体" w:eastAsia="宋体" w:cs="宋体"/>
                <w:bCs/>
                <w:sz w:val="18"/>
                <w:szCs w:val="18"/>
              </w:rPr>
              <w:t>建筑本体节能率</w:t>
            </w:r>
          </w:p>
        </w:tc>
        <w:tc>
          <w:tcPr>
            <w:tcW w:w="3039" w:type="dxa"/>
            <w:gridSpan w:val="2"/>
            <w:tcBorders>
              <w:top w:val="single" w:color="auto" w:sz="4" w:space="0"/>
              <w:left w:val="single" w:color="auto" w:sz="4" w:space="0"/>
              <w:bottom w:val="single" w:color="auto" w:sz="4" w:space="0"/>
              <w:right w:val="single" w:color="auto" w:sz="8" w:space="0"/>
            </w:tcBorders>
            <w:vAlign w:val="center"/>
          </w:tcPr>
          <w:p>
            <w:pPr>
              <w:overflowPunct w:val="0"/>
              <w:jc w:val="center"/>
              <w:rPr>
                <w:rFonts w:ascii="宋体" w:hAnsi="宋体" w:eastAsia="宋体" w:cs="宋体"/>
                <w:bCs/>
                <w:sz w:val="18"/>
                <w:szCs w:val="18"/>
              </w:rPr>
            </w:pPr>
            <w:r>
              <w:rPr>
                <w:rFonts w:ascii="宋体" w:hAnsi="宋体" w:eastAsia="宋体" w:cs="宋体"/>
                <w:bCs/>
                <w:sz w:val="18"/>
                <w:szCs w:val="18"/>
              </w:rPr>
              <w:t>≥</w:t>
            </w:r>
            <w:r>
              <w:rPr>
                <w:rFonts w:ascii="Times New Roman" w:hAnsi="Times New Roman" w:eastAsia="宋体" w:cs="Times New Roman"/>
                <w:bCs/>
                <w:sz w:val="18"/>
                <w:szCs w:val="18"/>
              </w:rPr>
              <w:t>15</w:t>
            </w:r>
            <w:r>
              <w:rPr>
                <w:rFonts w:hint="eastAsia" w:ascii="宋体" w:hAnsi="宋体" w:eastAsia="宋体" w:cs="宋体"/>
                <w:bCs/>
                <w:sz w:val="18"/>
                <w:szCs w:val="18"/>
              </w:rPr>
              <w:t>%</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357" w:hRule="atLeast"/>
          <w:jc w:val="center"/>
        </w:trPr>
        <w:tc>
          <w:tcPr>
            <w:tcW w:w="1688" w:type="dxa"/>
            <w:tcBorders>
              <w:top w:val="single" w:color="auto" w:sz="4" w:space="0"/>
              <w:bottom w:val="single" w:color="auto" w:sz="4" w:space="0"/>
              <w:right w:val="single" w:color="auto" w:sz="4" w:space="0"/>
            </w:tcBorders>
            <w:vAlign w:val="center"/>
          </w:tcPr>
          <w:p>
            <w:pPr>
              <w:overflowPunct w:val="0"/>
              <w:jc w:val="center"/>
              <w:rPr>
                <w:rFonts w:ascii="宋体" w:hAnsi="宋体" w:eastAsia="宋体" w:cs="宋体"/>
                <w:bCs/>
                <w:sz w:val="18"/>
                <w:szCs w:val="18"/>
              </w:rPr>
            </w:pPr>
            <w:r>
              <w:rPr>
                <w:rFonts w:ascii="宋体" w:hAnsi="宋体" w:eastAsia="宋体" w:cs="宋体"/>
                <w:bCs/>
                <w:sz w:val="18"/>
                <w:szCs w:val="18"/>
              </w:rPr>
              <w:t>气密性指标</w:t>
            </w:r>
          </w:p>
        </w:tc>
        <w:tc>
          <w:tcPr>
            <w:tcW w:w="4632"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宋体" w:hAnsi="宋体" w:eastAsia="宋体" w:cs="宋体"/>
                <w:bCs/>
                <w:sz w:val="18"/>
                <w:szCs w:val="18"/>
              </w:rPr>
            </w:pPr>
            <w:r>
              <w:rPr>
                <w:rFonts w:ascii="宋体" w:hAnsi="宋体" w:eastAsia="宋体" w:cs="宋体"/>
                <w:bCs/>
                <w:sz w:val="18"/>
                <w:szCs w:val="18"/>
              </w:rPr>
              <w:t>气密性指标</w:t>
            </w:r>
            <w:r>
              <w:rPr>
                <w:rFonts w:ascii="Times New Roman" w:hAnsi="Times New Roman" w:eastAsia="宋体" w:cs="Times New Roman"/>
                <w:bCs/>
                <w:sz w:val="18"/>
                <w:szCs w:val="18"/>
              </w:rPr>
              <w:t>N</w:t>
            </w:r>
            <w:r>
              <w:rPr>
                <w:rFonts w:ascii="Times New Roman" w:hAnsi="Times New Roman" w:eastAsia="宋体" w:cs="Times New Roman"/>
                <w:bCs/>
                <w:sz w:val="18"/>
                <w:szCs w:val="18"/>
                <w:vertAlign w:val="subscript"/>
              </w:rPr>
              <w:t>50</w:t>
            </w:r>
            <w:r>
              <w:rPr>
                <w:rFonts w:hint="eastAsia" w:ascii="宋体" w:hAnsi="宋体" w:eastAsia="宋体" w:cs="宋体"/>
                <w:bCs/>
                <w:sz w:val="18"/>
                <w:szCs w:val="18"/>
              </w:rPr>
              <w:t>（</w:t>
            </w:r>
            <w:r>
              <w:rPr>
                <w:rFonts w:ascii="宋体" w:hAnsi="宋体" w:eastAsia="宋体" w:cs="宋体"/>
                <w:bCs/>
                <w:sz w:val="18"/>
                <w:szCs w:val="18"/>
              </w:rPr>
              <w:t>次</w:t>
            </w:r>
            <w:r>
              <w:rPr>
                <w:rFonts w:hint="eastAsia" w:ascii="宋体" w:hAnsi="宋体" w:eastAsia="宋体" w:cs="宋体"/>
                <w:bCs/>
                <w:sz w:val="18"/>
                <w:szCs w:val="18"/>
              </w:rPr>
              <w:t>/h）</w:t>
            </w:r>
          </w:p>
        </w:tc>
        <w:tc>
          <w:tcPr>
            <w:tcW w:w="1592"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宋体" w:hAnsi="宋体" w:eastAsia="宋体" w:cs="宋体"/>
                <w:bCs/>
                <w:sz w:val="18"/>
                <w:szCs w:val="18"/>
              </w:rPr>
            </w:pPr>
            <w:r>
              <w:rPr>
                <w:rFonts w:hint="eastAsia" w:ascii="宋体" w:hAnsi="宋体" w:eastAsia="宋体" w:cs="宋体"/>
                <w:bCs/>
                <w:sz w:val="18"/>
                <w:szCs w:val="18"/>
              </w:rPr>
              <w:t>-</w:t>
            </w:r>
          </w:p>
        </w:tc>
        <w:tc>
          <w:tcPr>
            <w:tcW w:w="1447" w:type="dxa"/>
            <w:tcBorders>
              <w:top w:val="single" w:color="auto" w:sz="4" w:space="0"/>
              <w:left w:val="single" w:color="auto" w:sz="4" w:space="0"/>
              <w:bottom w:val="single" w:color="auto" w:sz="4" w:space="0"/>
              <w:right w:val="single" w:color="auto" w:sz="8" w:space="0"/>
            </w:tcBorders>
            <w:vAlign w:val="center"/>
          </w:tcPr>
          <w:p>
            <w:pPr>
              <w:overflowPunct w:val="0"/>
              <w:jc w:val="center"/>
              <w:rPr>
                <w:rFonts w:ascii="宋体" w:hAnsi="宋体" w:eastAsia="宋体" w:cs="宋体"/>
                <w:bCs/>
                <w:sz w:val="18"/>
                <w:szCs w:val="18"/>
              </w:rPr>
            </w:pPr>
            <w:r>
              <w:rPr>
                <w:rFonts w:hint="eastAsia" w:ascii="宋体" w:hAnsi="宋体" w:eastAsia="宋体" w:cs="宋体"/>
                <w:bCs/>
                <w:sz w:val="18"/>
                <w:szCs w:val="18"/>
              </w:rPr>
              <w:t>≤</w:t>
            </w:r>
            <w:r>
              <w:rPr>
                <w:rFonts w:ascii="Times New Roman" w:hAnsi="Times New Roman" w:eastAsia="宋体" w:cs="Times New Roman"/>
                <w:bCs/>
                <w:sz w:val="18"/>
                <w:szCs w:val="18"/>
              </w:rPr>
              <w:t>1.0</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357" w:hRule="atLeast"/>
          <w:jc w:val="center"/>
        </w:trPr>
        <w:tc>
          <w:tcPr>
            <w:tcW w:w="1688" w:type="dxa"/>
            <w:vMerge w:val="restart"/>
            <w:tcBorders>
              <w:top w:val="single" w:color="auto" w:sz="4" w:space="0"/>
              <w:bottom w:val="single" w:color="auto" w:sz="4" w:space="0"/>
              <w:right w:val="single" w:color="auto" w:sz="4" w:space="0"/>
            </w:tcBorders>
            <w:vAlign w:val="center"/>
          </w:tcPr>
          <w:p>
            <w:pPr>
              <w:overflowPunct w:val="0"/>
              <w:jc w:val="center"/>
              <w:rPr>
                <w:rFonts w:ascii="宋体" w:hAnsi="宋体" w:eastAsia="宋体" w:cs="宋体"/>
                <w:bCs/>
                <w:sz w:val="18"/>
                <w:szCs w:val="18"/>
              </w:rPr>
            </w:pPr>
            <w:r>
              <w:rPr>
                <w:rFonts w:hint="eastAsia" w:ascii="宋体" w:hAnsi="宋体" w:eastAsia="宋体" w:cs="宋体"/>
                <w:bCs/>
                <w:sz w:val="18"/>
                <w:szCs w:val="18"/>
              </w:rPr>
              <w:t>可再生能源利用率</w:t>
            </w:r>
          </w:p>
        </w:tc>
        <w:tc>
          <w:tcPr>
            <w:tcW w:w="4632" w:type="dxa"/>
            <w:tcBorders>
              <w:top w:val="single" w:color="auto" w:sz="4" w:space="0"/>
              <w:left w:val="single" w:color="auto" w:sz="4" w:space="0"/>
              <w:bottom w:val="single" w:color="auto" w:sz="4" w:space="0"/>
              <w:right w:val="single" w:color="auto" w:sz="4" w:space="0"/>
            </w:tcBorders>
            <w:vAlign w:val="center"/>
          </w:tcPr>
          <w:p>
            <w:pPr>
              <w:overflowPunct w:val="0"/>
              <w:jc w:val="center"/>
              <w:rPr>
                <w:rFonts w:ascii="宋体" w:hAnsi="宋体" w:eastAsia="宋体" w:cs="宋体"/>
                <w:bCs/>
                <w:sz w:val="18"/>
                <w:szCs w:val="18"/>
              </w:rPr>
            </w:pPr>
            <w:r>
              <w:rPr>
                <w:rFonts w:hint="eastAsia" w:ascii="宋体" w:hAnsi="宋体" w:eastAsia="宋体" w:cs="宋体"/>
                <w:bCs/>
                <w:sz w:val="18"/>
                <w:szCs w:val="18"/>
              </w:rPr>
              <w:t>建筑高度≥100m</w:t>
            </w:r>
          </w:p>
        </w:tc>
        <w:tc>
          <w:tcPr>
            <w:tcW w:w="3039" w:type="dxa"/>
            <w:gridSpan w:val="2"/>
            <w:tcBorders>
              <w:top w:val="single" w:color="auto" w:sz="4" w:space="0"/>
              <w:left w:val="single" w:color="auto" w:sz="4" w:space="0"/>
              <w:bottom w:val="single" w:color="auto" w:sz="4" w:space="0"/>
              <w:right w:val="single" w:color="auto" w:sz="8" w:space="0"/>
            </w:tcBorders>
            <w:vAlign w:val="center"/>
          </w:tcPr>
          <w:p>
            <w:pPr>
              <w:overflowPunct w:val="0"/>
              <w:jc w:val="center"/>
              <w:rPr>
                <w:rFonts w:ascii="宋体" w:hAnsi="宋体" w:eastAsia="宋体" w:cs="宋体"/>
                <w:bCs/>
                <w:sz w:val="18"/>
                <w:szCs w:val="18"/>
              </w:rPr>
            </w:pPr>
            <w:r>
              <w:rPr>
                <w:rFonts w:ascii="Times New Roman" w:hAnsi="Times New Roman" w:eastAsia="宋体" w:cs="Times New Roman"/>
                <w:bCs/>
                <w:sz w:val="18"/>
                <w:szCs w:val="18"/>
              </w:rPr>
              <w:t>10</w:t>
            </w:r>
            <w:r>
              <w:rPr>
                <w:rFonts w:hint="eastAsia" w:ascii="宋体" w:hAnsi="宋体" w:eastAsia="宋体" w:cs="宋体"/>
                <w:bCs/>
                <w:sz w:val="18"/>
                <w:szCs w:val="18"/>
              </w:rPr>
              <w:t>%</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357" w:hRule="atLeast"/>
          <w:jc w:val="center"/>
        </w:trPr>
        <w:tc>
          <w:tcPr>
            <w:tcW w:w="1688" w:type="dxa"/>
            <w:vMerge w:val="continue"/>
            <w:tcBorders>
              <w:top w:val="single" w:color="auto" w:sz="4" w:space="0"/>
              <w:bottom w:val="single" w:color="auto" w:sz="8" w:space="0"/>
              <w:right w:val="single" w:color="auto" w:sz="4" w:space="0"/>
            </w:tcBorders>
            <w:vAlign w:val="center"/>
          </w:tcPr>
          <w:p>
            <w:pPr>
              <w:overflowPunct w:val="0"/>
              <w:jc w:val="center"/>
              <w:rPr>
                <w:rFonts w:ascii="宋体" w:hAnsi="宋体" w:eastAsia="宋体" w:cs="宋体"/>
                <w:bCs/>
                <w:sz w:val="18"/>
                <w:szCs w:val="18"/>
              </w:rPr>
            </w:pPr>
          </w:p>
        </w:tc>
        <w:tc>
          <w:tcPr>
            <w:tcW w:w="4632" w:type="dxa"/>
            <w:tcBorders>
              <w:top w:val="single" w:color="auto" w:sz="4" w:space="0"/>
              <w:left w:val="single" w:color="auto" w:sz="4" w:space="0"/>
              <w:bottom w:val="single" w:color="auto" w:sz="8" w:space="0"/>
              <w:right w:val="single" w:color="auto" w:sz="4" w:space="0"/>
            </w:tcBorders>
            <w:vAlign w:val="center"/>
          </w:tcPr>
          <w:p>
            <w:pPr>
              <w:overflowPunct w:val="0"/>
              <w:jc w:val="center"/>
              <w:rPr>
                <w:rFonts w:ascii="宋体" w:hAnsi="宋体" w:eastAsia="宋体" w:cs="宋体"/>
                <w:bCs/>
                <w:sz w:val="18"/>
                <w:szCs w:val="18"/>
              </w:rPr>
            </w:pPr>
            <w:r>
              <w:rPr>
                <w:rFonts w:hint="eastAsia" w:ascii="宋体" w:hAnsi="宋体" w:eastAsia="宋体" w:cs="宋体"/>
                <w:bCs/>
                <w:sz w:val="18"/>
                <w:szCs w:val="18"/>
              </w:rPr>
              <w:t>建筑高度＜100m</w:t>
            </w:r>
          </w:p>
        </w:tc>
        <w:tc>
          <w:tcPr>
            <w:tcW w:w="3039" w:type="dxa"/>
            <w:gridSpan w:val="2"/>
            <w:tcBorders>
              <w:top w:val="single" w:color="auto" w:sz="4" w:space="0"/>
              <w:left w:val="single" w:color="auto" w:sz="4" w:space="0"/>
              <w:bottom w:val="single" w:color="auto" w:sz="8" w:space="0"/>
              <w:right w:val="single" w:color="auto" w:sz="8" w:space="0"/>
            </w:tcBorders>
            <w:vAlign w:val="center"/>
          </w:tcPr>
          <w:p>
            <w:pPr>
              <w:overflowPunct w:val="0"/>
              <w:jc w:val="center"/>
              <w:rPr>
                <w:rFonts w:ascii="宋体" w:hAnsi="宋体" w:eastAsia="宋体" w:cs="宋体"/>
                <w:bCs/>
                <w:sz w:val="18"/>
                <w:szCs w:val="18"/>
              </w:rPr>
            </w:pPr>
            <w:r>
              <w:rPr>
                <w:rFonts w:ascii="Times New Roman" w:hAnsi="Times New Roman" w:eastAsia="宋体" w:cs="Times New Roman"/>
                <w:bCs/>
                <w:sz w:val="18"/>
                <w:szCs w:val="18"/>
              </w:rPr>
              <w:t>15</w:t>
            </w:r>
            <w:r>
              <w:rPr>
                <w:rFonts w:hint="eastAsia" w:ascii="宋体" w:hAnsi="宋体" w:eastAsia="宋体" w:cs="宋体"/>
                <w:bCs/>
                <w:sz w:val="18"/>
                <w:szCs w:val="18"/>
              </w:rPr>
              <w:t>%</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9359" w:type="dxa"/>
            <w:gridSpan w:val="4"/>
            <w:tcBorders>
              <w:top w:val="single" w:color="auto" w:sz="8" w:space="0"/>
              <w:left w:val="single" w:color="auto" w:sz="8" w:space="0"/>
              <w:bottom w:val="single" w:color="auto" w:sz="8" w:space="0"/>
              <w:right w:val="single" w:color="auto" w:sz="8" w:space="0"/>
            </w:tcBorders>
            <w:vAlign w:val="center"/>
          </w:tcPr>
          <w:p>
            <w:pPr>
              <w:overflowPunct w:val="0"/>
              <w:jc w:val="left"/>
              <w:rPr>
                <w:rFonts w:ascii="宋体" w:hAnsi="宋体" w:eastAsia="宋体" w:cs="宋体"/>
                <w:bCs/>
                <w:sz w:val="18"/>
                <w:szCs w:val="18"/>
              </w:rPr>
            </w:pPr>
            <w:r>
              <w:rPr>
                <w:rFonts w:hint="eastAsia" w:ascii="宋体" w:hAnsi="宋体" w:eastAsia="宋体" w:cs="宋体"/>
                <w:bCs/>
                <w:sz w:val="18"/>
                <w:szCs w:val="18"/>
              </w:rPr>
              <w:t>注1：能耗降低幅度比较标准为国家标准</w:t>
            </w:r>
            <w:r>
              <w:rPr>
                <w:rFonts w:ascii="宋体" w:hAnsi="宋体" w:eastAsia="宋体" w:cs="宋体"/>
                <w:bCs/>
                <w:sz w:val="18"/>
                <w:szCs w:val="18"/>
              </w:rPr>
              <w:t>《</w:t>
            </w:r>
            <w:r>
              <w:rPr>
                <w:rFonts w:hint="eastAsia" w:ascii="宋体" w:hAnsi="宋体" w:eastAsia="宋体" w:cs="宋体"/>
                <w:bCs/>
                <w:sz w:val="18"/>
                <w:szCs w:val="18"/>
              </w:rPr>
              <w:t>建筑节能与可再生能源利用通用规范</w:t>
            </w:r>
            <w:r>
              <w:rPr>
                <w:rFonts w:ascii="宋体" w:hAnsi="宋体" w:eastAsia="宋体" w:cs="宋体"/>
                <w:bCs/>
                <w:sz w:val="18"/>
                <w:szCs w:val="18"/>
              </w:rPr>
              <w:t>》</w:t>
            </w:r>
            <w:r>
              <w:rPr>
                <w:rFonts w:ascii="Times New Roman" w:hAnsi="Times New Roman" w:eastAsia="宋体" w:cs="Times New Roman"/>
                <w:bCs/>
                <w:sz w:val="18"/>
                <w:szCs w:val="18"/>
              </w:rPr>
              <w:t>GB55015-2021</w:t>
            </w:r>
            <w:r>
              <w:rPr>
                <w:rFonts w:hint="eastAsia" w:ascii="宋体" w:hAnsi="宋体" w:eastAsia="宋体" w:cs="宋体"/>
                <w:bCs/>
                <w:sz w:val="18"/>
                <w:szCs w:val="18"/>
              </w:rPr>
              <w:t>。</w:t>
            </w:r>
          </w:p>
          <w:p>
            <w:pPr>
              <w:overflowPunct w:val="0"/>
              <w:ind w:firstLine="180" w:firstLineChars="100"/>
              <w:jc w:val="left"/>
              <w:rPr>
                <w:rFonts w:ascii="宋体" w:hAnsi="宋体" w:eastAsia="宋体" w:cs="宋体"/>
                <w:bCs/>
                <w:sz w:val="18"/>
                <w:szCs w:val="18"/>
              </w:rPr>
            </w:pPr>
            <w:r>
              <w:rPr>
                <w:rFonts w:hint="eastAsia" w:ascii="宋体" w:hAnsi="宋体" w:eastAsia="宋体" w:cs="宋体"/>
                <w:bCs/>
                <w:sz w:val="18"/>
                <w:szCs w:val="18"/>
              </w:rPr>
              <w:t>2：二区包含房县、竹溪、五峰、咸丰、利川、神农架，一区包含湖北省除二区以外地区。</w:t>
            </w:r>
          </w:p>
        </w:tc>
      </w:tr>
    </w:tbl>
    <w:p>
      <w:pPr>
        <w:pStyle w:val="42"/>
        <w:widowControl w:val="0"/>
        <w:tabs>
          <w:tab w:val="left" w:pos="0"/>
          <w:tab w:val="left" w:pos="765"/>
        </w:tabs>
        <w:overflowPunct w:val="0"/>
        <w:autoSpaceDE/>
        <w:autoSpaceDN/>
        <w:spacing w:line="309" w:lineRule="exact"/>
        <w:ind w:firstLine="0" w:firstLineChars="0"/>
        <w:outlineLvl w:val="2"/>
        <w:rPr>
          <w:rFonts w:ascii="黑体" w:hAnsi="黑体"/>
        </w:rPr>
      </w:pPr>
    </w:p>
    <w:p>
      <w:pPr>
        <w:pStyle w:val="42"/>
        <w:widowControl w:val="0"/>
        <w:tabs>
          <w:tab w:val="left" w:pos="0"/>
          <w:tab w:val="left" w:pos="765"/>
        </w:tabs>
        <w:overflowPunct w:val="0"/>
        <w:autoSpaceDE/>
        <w:autoSpaceDN/>
        <w:ind w:firstLine="0" w:firstLineChars="0"/>
        <w:outlineLvl w:val="2"/>
        <w:rPr>
          <w:rFonts w:hAnsi="宋体"/>
        </w:rPr>
      </w:pPr>
      <w:r>
        <w:rPr>
          <w:rFonts w:ascii="黑体" w:hAnsi="黑体"/>
        </w:rPr>
        <w:t>4.2.2</w:t>
      </w:r>
      <w:r>
        <w:rPr>
          <w:rFonts w:hint="eastAsia" w:ascii="黑体" w:hAnsi="黑体"/>
        </w:rPr>
        <w:t>　</w:t>
      </w:r>
      <w:r>
        <w:rPr>
          <w:rFonts w:hint="eastAsia" w:hAnsi="宋体"/>
        </w:rPr>
        <w:t>建筑本体节能率、综合节能率、可再生能源利用率计算应符合附录</w:t>
      </w:r>
      <w:r>
        <w:rPr>
          <w:rFonts w:ascii="Times New Roman" w:hAnsi="Times New Roman" w:cs="Times New Roman"/>
        </w:rPr>
        <w:t>A</w:t>
      </w:r>
      <w:r>
        <w:rPr>
          <w:rFonts w:hint="eastAsia" w:hAnsi="宋体"/>
        </w:rPr>
        <w:t>的规定。</w:t>
      </w:r>
    </w:p>
    <w:p>
      <w:pPr>
        <w:tabs>
          <w:tab w:val="left" w:pos="397"/>
          <w:tab w:val="left" w:pos="765"/>
        </w:tabs>
        <w:overflowPunct w:val="0"/>
        <w:spacing w:before="156" w:beforeLines="50" w:after="156" w:afterLines="50"/>
        <w:outlineLvl w:val="2"/>
        <w:rPr>
          <w:rFonts w:ascii="黑体" w:hAnsi="黑体" w:eastAsia="黑体" w:cs="Times New Roman"/>
          <w:color w:val="auto"/>
          <w:szCs w:val="21"/>
        </w:rPr>
      </w:pPr>
      <w:r>
        <w:rPr>
          <w:rFonts w:hint="eastAsia" w:ascii="黑体" w:hAnsi="黑体" w:eastAsia="黑体" w:cs="Times New Roman"/>
          <w:szCs w:val="21"/>
        </w:rPr>
        <w:t>4.3　室内环境指标</w:t>
      </w:r>
    </w:p>
    <w:p>
      <w:pPr>
        <w:pStyle w:val="42"/>
        <w:widowControl w:val="0"/>
        <w:tabs>
          <w:tab w:val="left" w:pos="0"/>
          <w:tab w:val="left" w:pos="765"/>
        </w:tabs>
        <w:overflowPunct w:val="0"/>
        <w:autoSpaceDE/>
        <w:autoSpaceDN/>
        <w:spacing w:before="124" w:beforeLines="40"/>
        <w:ind w:firstLine="0" w:firstLineChars="0"/>
        <w:outlineLvl w:val="2"/>
        <w:rPr>
          <w:rFonts w:hAnsi="宋体"/>
          <w:color w:val="auto"/>
        </w:rPr>
      </w:pPr>
      <w:r>
        <w:rPr>
          <w:rFonts w:ascii="黑体" w:hAnsi="黑体"/>
          <w:color w:val="auto"/>
        </w:rPr>
        <w:t>4.3.1</w:t>
      </w:r>
      <w:r>
        <w:rPr>
          <w:rFonts w:hint="eastAsia" w:ascii="黑体" w:hAnsi="黑体"/>
          <w:color w:val="auto"/>
        </w:rPr>
        <w:t>　</w:t>
      </w:r>
      <w:r>
        <w:rPr>
          <w:rFonts w:hint="eastAsia" w:hAnsi="宋体"/>
          <w:color w:val="auto"/>
        </w:rPr>
        <w:t>超低能耗公共建筑主要房间室内热湿环境设计参数应符合表</w:t>
      </w:r>
      <w:r>
        <w:rPr>
          <w:rFonts w:hint="eastAsia" w:ascii="Times New Roman" w:hAnsi="Times New Roman" w:cs="Times New Roman"/>
          <w:color w:val="auto"/>
          <w:lang w:val="en-US" w:eastAsia="zh-CN"/>
        </w:rPr>
        <w:t>2</w:t>
      </w:r>
      <w:r>
        <w:rPr>
          <w:rFonts w:hint="eastAsia" w:hAnsi="宋体"/>
          <w:color w:val="auto"/>
        </w:rPr>
        <w:t>规定：</w:t>
      </w:r>
    </w:p>
    <w:p>
      <w:pPr>
        <w:pStyle w:val="42"/>
        <w:widowControl w:val="0"/>
        <w:overflowPunct w:val="0"/>
        <w:autoSpaceDE/>
        <w:autoSpaceDN/>
        <w:spacing w:before="62" w:beforeLines="20" w:after="78" w:afterLines="25" w:line="309" w:lineRule="exact"/>
        <w:ind w:firstLine="0" w:firstLineChars="0"/>
        <w:jc w:val="center"/>
        <w:rPr>
          <w:rFonts w:ascii="黑体" w:hAnsi="黑体" w:eastAsia="黑体" w:cs="黑体"/>
          <w:color w:val="auto"/>
          <w:sz w:val="18"/>
          <w:szCs w:val="18"/>
        </w:rPr>
      </w:pPr>
      <w:r>
        <w:rPr>
          <w:rFonts w:ascii="黑体" w:hAnsi="黑体" w:eastAsia="黑体" w:cs="黑体"/>
          <w:color w:val="auto"/>
          <w:sz w:val="18"/>
          <w:szCs w:val="18"/>
        </w:rPr>
        <w:t>表</w:t>
      </w:r>
      <w:r>
        <w:rPr>
          <w:rFonts w:hint="eastAsia" w:ascii="黑体" w:hAnsi="黑体" w:eastAsia="黑体" w:cs="黑体"/>
          <w:color w:val="auto"/>
          <w:sz w:val="18"/>
          <w:szCs w:val="18"/>
          <w:lang w:val="en-US" w:eastAsia="zh-CN"/>
        </w:rPr>
        <w:t>2</w:t>
      </w:r>
      <w:r>
        <w:rPr>
          <w:rFonts w:ascii="黑体" w:hAnsi="黑体" w:eastAsia="黑体" w:cs="黑体"/>
          <w:color w:val="auto"/>
          <w:sz w:val="18"/>
          <w:szCs w:val="18"/>
        </w:rPr>
        <w:t>　室内热湿环境设计参数</w:t>
      </w:r>
    </w:p>
    <w:tbl>
      <w:tblPr>
        <w:tblStyle w:val="13"/>
        <w:tblW w:w="9346" w:type="dxa"/>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
      <w:tblGrid>
        <w:gridCol w:w="3114"/>
        <w:gridCol w:w="3115"/>
        <w:gridCol w:w="3117"/>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29" w:hRule="atLeast"/>
          <w:jc w:val="center"/>
        </w:trPr>
        <w:tc>
          <w:tcPr>
            <w:tcW w:w="3114" w:type="dxa"/>
            <w:tcBorders>
              <w:top w:val="single" w:color="auto" w:sz="8" w:space="0"/>
              <w:bottom w:val="single" w:color="auto" w:sz="8" w:space="0"/>
            </w:tcBorders>
            <w:vAlign w:val="center"/>
          </w:tcPr>
          <w:p>
            <w:pPr>
              <w:overflowPunct w:val="0"/>
              <w:jc w:val="center"/>
              <w:rPr>
                <w:rFonts w:ascii="Times New Roman" w:hAnsi="Times New Roman"/>
                <w:sz w:val="18"/>
                <w:szCs w:val="18"/>
              </w:rPr>
            </w:pPr>
            <w:r>
              <w:rPr>
                <w:rFonts w:ascii="Times New Roman" w:hAnsi="Times New Roman"/>
                <w:sz w:val="18"/>
                <w:szCs w:val="18"/>
              </w:rPr>
              <w:t>室内热湿环境参数</w:t>
            </w:r>
          </w:p>
        </w:tc>
        <w:tc>
          <w:tcPr>
            <w:tcW w:w="3115" w:type="dxa"/>
            <w:tcBorders>
              <w:top w:val="single" w:color="auto" w:sz="8" w:space="0"/>
              <w:bottom w:val="single" w:color="auto" w:sz="8" w:space="0"/>
            </w:tcBorders>
            <w:vAlign w:val="center"/>
          </w:tcPr>
          <w:p>
            <w:pPr>
              <w:overflowPunct w:val="0"/>
              <w:jc w:val="center"/>
              <w:rPr>
                <w:rFonts w:ascii="Times New Roman" w:hAnsi="Times New Roman"/>
                <w:sz w:val="18"/>
                <w:szCs w:val="18"/>
              </w:rPr>
            </w:pPr>
            <w:r>
              <w:rPr>
                <w:rFonts w:ascii="Times New Roman" w:hAnsi="Times New Roman"/>
                <w:sz w:val="18"/>
                <w:szCs w:val="18"/>
              </w:rPr>
              <w:t>制冷</w:t>
            </w:r>
          </w:p>
        </w:tc>
        <w:tc>
          <w:tcPr>
            <w:tcW w:w="3117" w:type="dxa"/>
            <w:tcBorders>
              <w:top w:val="single" w:color="auto" w:sz="8" w:space="0"/>
              <w:bottom w:val="single" w:color="auto" w:sz="8" w:space="0"/>
            </w:tcBorders>
            <w:vAlign w:val="center"/>
          </w:tcPr>
          <w:p>
            <w:pPr>
              <w:overflowPunct w:val="0"/>
              <w:jc w:val="center"/>
              <w:rPr>
                <w:rFonts w:ascii="Times New Roman" w:hAnsi="Times New Roman"/>
                <w:sz w:val="18"/>
                <w:szCs w:val="18"/>
              </w:rPr>
            </w:pPr>
            <w:r>
              <w:rPr>
                <w:rFonts w:ascii="Times New Roman" w:hAnsi="Times New Roman"/>
                <w:sz w:val="18"/>
                <w:szCs w:val="18"/>
              </w:rPr>
              <w:t>供热</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20" w:hRule="atLeast"/>
          <w:jc w:val="center"/>
        </w:trPr>
        <w:tc>
          <w:tcPr>
            <w:tcW w:w="3114" w:type="dxa"/>
            <w:tcBorders>
              <w:top w:val="single" w:color="auto" w:sz="8" w:space="0"/>
              <w:bottom w:val="single" w:color="auto" w:sz="4" w:space="0"/>
              <w:right w:val="single" w:color="auto" w:sz="4" w:space="0"/>
            </w:tcBorders>
            <w:vAlign w:val="center"/>
          </w:tcPr>
          <w:p>
            <w:pPr>
              <w:overflowPunct w:val="0"/>
              <w:jc w:val="center"/>
              <w:rPr>
                <w:rFonts w:ascii="Times New Roman" w:hAnsi="Times New Roman"/>
                <w:sz w:val="18"/>
                <w:szCs w:val="18"/>
              </w:rPr>
            </w:pPr>
            <w:r>
              <w:rPr>
                <w:rFonts w:ascii="Times New Roman" w:hAnsi="Times New Roman"/>
                <w:sz w:val="18"/>
                <w:szCs w:val="18"/>
              </w:rPr>
              <w:t>温度（</w:t>
            </w:r>
            <w:r>
              <w:rPr>
                <w:rFonts w:hint="eastAsia" w:ascii="宋体" w:hAnsi="宋体" w:cs="宋体"/>
                <w:sz w:val="18"/>
                <w:szCs w:val="18"/>
              </w:rPr>
              <w:t>℃</w:t>
            </w:r>
            <w:r>
              <w:rPr>
                <w:rFonts w:ascii="Times New Roman" w:hAnsi="Times New Roman"/>
                <w:sz w:val="18"/>
                <w:szCs w:val="18"/>
              </w:rPr>
              <w:t>）</w:t>
            </w:r>
          </w:p>
        </w:tc>
        <w:tc>
          <w:tcPr>
            <w:tcW w:w="3115" w:type="dxa"/>
            <w:tcBorders>
              <w:top w:val="single" w:color="auto" w:sz="8" w:space="0"/>
              <w:left w:val="single" w:color="auto" w:sz="4" w:space="0"/>
              <w:bottom w:val="single" w:color="auto" w:sz="4" w:space="0"/>
              <w:right w:val="single" w:color="auto" w:sz="4" w:space="0"/>
            </w:tcBorders>
            <w:vAlign w:val="center"/>
          </w:tcPr>
          <w:p>
            <w:pPr>
              <w:overflowPunct w:val="0"/>
              <w:jc w:val="center"/>
              <w:rPr>
                <w:rFonts w:ascii="Times New Roman" w:hAnsi="Times New Roman"/>
                <w:sz w:val="18"/>
                <w:szCs w:val="18"/>
              </w:rPr>
            </w:pPr>
            <w:r>
              <w:rPr>
                <w:rFonts w:ascii="Times New Roman" w:hAnsi="Times New Roman"/>
                <w:sz w:val="18"/>
                <w:szCs w:val="18"/>
              </w:rPr>
              <w:t>≤26</w:t>
            </w:r>
          </w:p>
        </w:tc>
        <w:tc>
          <w:tcPr>
            <w:tcW w:w="3117" w:type="dxa"/>
            <w:tcBorders>
              <w:top w:val="single" w:color="auto" w:sz="8" w:space="0"/>
              <w:left w:val="single" w:color="auto" w:sz="4" w:space="0"/>
              <w:bottom w:val="single" w:color="auto" w:sz="4" w:space="0"/>
            </w:tcBorders>
            <w:vAlign w:val="center"/>
          </w:tcPr>
          <w:p>
            <w:pPr>
              <w:overflowPunct w:val="0"/>
              <w:jc w:val="center"/>
              <w:rPr>
                <w:rFonts w:ascii="Times New Roman" w:hAnsi="Times New Roman"/>
                <w:sz w:val="18"/>
                <w:szCs w:val="18"/>
              </w:rPr>
            </w:pPr>
            <w:r>
              <w:rPr>
                <w:rFonts w:ascii="Times New Roman" w:hAnsi="Times New Roman"/>
                <w:sz w:val="18"/>
                <w:szCs w:val="18"/>
              </w:rPr>
              <w:t>≥</w:t>
            </w:r>
            <w:r>
              <w:rPr>
                <w:rFonts w:hint="eastAsia" w:ascii="Times New Roman" w:hAnsi="Times New Roman"/>
                <w:sz w:val="18"/>
                <w:szCs w:val="18"/>
              </w:rPr>
              <w:t>18</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20" w:hRule="atLeast"/>
          <w:jc w:val="center"/>
        </w:trPr>
        <w:tc>
          <w:tcPr>
            <w:tcW w:w="3114" w:type="dxa"/>
            <w:tcBorders>
              <w:top w:val="single" w:color="auto" w:sz="4" w:space="0"/>
              <w:bottom w:val="single" w:color="auto" w:sz="8" w:space="0"/>
              <w:right w:val="single" w:color="auto" w:sz="4" w:space="0"/>
            </w:tcBorders>
            <w:vAlign w:val="center"/>
          </w:tcPr>
          <w:p>
            <w:pPr>
              <w:overflowPunct w:val="0"/>
              <w:jc w:val="center"/>
              <w:rPr>
                <w:rFonts w:ascii="Times New Roman" w:hAnsi="Times New Roman"/>
                <w:sz w:val="18"/>
                <w:szCs w:val="18"/>
              </w:rPr>
            </w:pPr>
            <w:r>
              <w:rPr>
                <w:rFonts w:ascii="Times New Roman" w:hAnsi="Times New Roman"/>
                <w:sz w:val="18"/>
                <w:szCs w:val="18"/>
              </w:rPr>
              <w:t>相对湿度（%）</w:t>
            </w:r>
          </w:p>
        </w:tc>
        <w:tc>
          <w:tcPr>
            <w:tcW w:w="3115" w:type="dxa"/>
            <w:tcBorders>
              <w:top w:val="single" w:color="auto" w:sz="4" w:space="0"/>
              <w:left w:val="single" w:color="auto" w:sz="4" w:space="0"/>
              <w:bottom w:val="single" w:color="auto" w:sz="8" w:space="0"/>
              <w:right w:val="single" w:color="auto" w:sz="4" w:space="0"/>
            </w:tcBorders>
            <w:vAlign w:val="center"/>
          </w:tcPr>
          <w:p>
            <w:pPr>
              <w:overflowPunct w:val="0"/>
              <w:jc w:val="center"/>
              <w:rPr>
                <w:rFonts w:ascii="Times New Roman" w:hAnsi="Times New Roman"/>
                <w:sz w:val="18"/>
                <w:szCs w:val="18"/>
              </w:rPr>
            </w:pPr>
            <w:r>
              <w:rPr>
                <w:rFonts w:ascii="Times New Roman" w:hAnsi="Times New Roman"/>
                <w:sz w:val="18"/>
                <w:szCs w:val="18"/>
              </w:rPr>
              <w:t>≤60</w:t>
            </w:r>
          </w:p>
        </w:tc>
        <w:tc>
          <w:tcPr>
            <w:tcW w:w="3117" w:type="dxa"/>
            <w:tcBorders>
              <w:top w:val="single" w:color="auto" w:sz="4" w:space="0"/>
              <w:left w:val="single" w:color="auto" w:sz="4" w:space="0"/>
              <w:bottom w:val="single" w:color="auto" w:sz="8" w:space="0"/>
            </w:tcBorders>
            <w:vAlign w:val="center"/>
          </w:tcPr>
          <w:p>
            <w:pPr>
              <w:overflowPunct w:val="0"/>
              <w:jc w:val="center"/>
              <w:rPr>
                <w:rFonts w:ascii="Times New Roman" w:hAnsi="Times New Roman"/>
                <w:sz w:val="18"/>
                <w:szCs w:val="18"/>
              </w:rPr>
            </w:pPr>
            <w:r>
              <w:rPr>
                <w:rFonts w:ascii="Times New Roman" w:hAnsi="Times New Roman"/>
                <w:sz w:val="18"/>
                <w:szCs w:val="18"/>
              </w:rPr>
              <w:t>≥30</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981" w:hRule="atLeast"/>
          <w:jc w:val="center"/>
        </w:trPr>
        <w:tc>
          <w:tcPr>
            <w:tcW w:w="9346" w:type="dxa"/>
            <w:gridSpan w:val="3"/>
            <w:tcBorders>
              <w:top w:val="single" w:color="auto" w:sz="8" w:space="0"/>
            </w:tcBorders>
            <w:vAlign w:val="center"/>
          </w:tcPr>
          <w:p>
            <w:pPr>
              <w:overflowPunct w:val="0"/>
              <w:jc w:val="left"/>
              <w:rPr>
                <w:rFonts w:ascii="宋体" w:hAnsi="宋体" w:eastAsia="宋体" w:cs="宋体"/>
                <w:bCs/>
                <w:sz w:val="18"/>
                <w:szCs w:val="18"/>
              </w:rPr>
            </w:pPr>
            <w:r>
              <w:rPr>
                <w:rFonts w:hint="eastAsia" w:ascii="宋体" w:hAnsi="宋体" w:eastAsia="宋体" w:cs="宋体"/>
                <w:bCs/>
                <w:sz w:val="18"/>
                <w:szCs w:val="18"/>
              </w:rPr>
              <w:t>注1：辐射供暖室内设计温度宜降低</w:t>
            </w:r>
            <w:r>
              <w:rPr>
                <w:rFonts w:ascii="Times New Roman" w:hAnsi="Times New Roman" w:eastAsia="宋体" w:cs="Times New Roman"/>
                <w:bCs/>
                <w:sz w:val="18"/>
                <w:szCs w:val="18"/>
              </w:rPr>
              <w:t>2</w:t>
            </w:r>
            <w:r>
              <w:rPr>
                <w:rFonts w:hint="eastAsia" w:ascii="宋体" w:hAnsi="宋体" w:eastAsia="宋体" w:cs="宋体"/>
                <w:bCs/>
                <w:sz w:val="18"/>
                <w:szCs w:val="18"/>
              </w:rPr>
              <w:t>℃；辐射供冷室内设计温度宜提高</w:t>
            </w:r>
            <w:r>
              <w:rPr>
                <w:rFonts w:ascii="Times New Roman" w:hAnsi="Times New Roman" w:eastAsia="宋体" w:cs="Times New Roman"/>
                <w:bCs/>
                <w:sz w:val="18"/>
                <w:szCs w:val="18"/>
              </w:rPr>
              <w:t>0.5</w:t>
            </w:r>
            <w:r>
              <w:rPr>
                <w:rFonts w:hint="eastAsia" w:ascii="宋体" w:hAnsi="宋体" w:eastAsia="宋体" w:cs="宋体"/>
                <w:bCs/>
                <w:sz w:val="18"/>
                <w:szCs w:val="18"/>
              </w:rPr>
              <w:t>℃～</w:t>
            </w:r>
            <w:r>
              <w:rPr>
                <w:rFonts w:ascii="Times New Roman" w:hAnsi="Times New Roman" w:eastAsia="宋体" w:cs="Times New Roman"/>
                <w:bCs/>
                <w:sz w:val="18"/>
                <w:szCs w:val="18"/>
              </w:rPr>
              <w:t>1.5</w:t>
            </w:r>
            <w:r>
              <w:rPr>
                <w:rFonts w:hint="eastAsia" w:ascii="宋体" w:hAnsi="宋体" w:eastAsia="宋体" w:cs="宋体"/>
                <w:bCs/>
                <w:sz w:val="18"/>
                <w:szCs w:val="18"/>
              </w:rPr>
              <w:t>℃。</w:t>
            </w:r>
          </w:p>
          <w:p>
            <w:pPr>
              <w:overflowPunct w:val="0"/>
              <w:jc w:val="left"/>
              <w:rPr>
                <w:rFonts w:ascii="宋体" w:hAnsi="宋体" w:eastAsia="宋体" w:cs="宋体"/>
                <w:bCs/>
                <w:sz w:val="18"/>
                <w:szCs w:val="18"/>
              </w:rPr>
            </w:pPr>
            <w:r>
              <w:rPr>
                <w:rFonts w:hint="eastAsia" w:ascii="宋体" w:hAnsi="宋体" w:eastAsia="宋体" w:cs="宋体"/>
                <w:bCs/>
                <w:sz w:val="18"/>
                <w:szCs w:val="18"/>
              </w:rPr>
              <w:t>注2：新风量指标应满足现行国家标准《民用建筑供暖通风与空气调节设计规范》</w:t>
            </w:r>
            <w:r>
              <w:rPr>
                <w:rFonts w:ascii="Times New Roman" w:hAnsi="Times New Roman" w:eastAsia="宋体" w:cs="Times New Roman"/>
                <w:bCs/>
                <w:sz w:val="18"/>
                <w:szCs w:val="18"/>
              </w:rPr>
              <w:t>GB50376</w:t>
            </w:r>
            <w:r>
              <w:rPr>
                <w:rFonts w:hint="eastAsia" w:ascii="宋体" w:hAnsi="宋体" w:eastAsia="宋体" w:cs="宋体"/>
                <w:bCs/>
                <w:sz w:val="18"/>
                <w:szCs w:val="18"/>
              </w:rPr>
              <w:t>的规定。</w:t>
            </w:r>
          </w:p>
          <w:p>
            <w:pPr>
              <w:overflowPunct w:val="0"/>
              <w:jc w:val="left"/>
              <w:rPr>
                <w:rFonts w:ascii="Times New Roman" w:hAnsi="Times New Roman"/>
                <w:sz w:val="18"/>
                <w:szCs w:val="18"/>
              </w:rPr>
            </w:pPr>
            <w:r>
              <w:rPr>
                <w:rFonts w:hint="eastAsia" w:ascii="宋体" w:hAnsi="宋体" w:eastAsia="宋体" w:cs="宋体"/>
                <w:bCs/>
                <w:sz w:val="18"/>
                <w:szCs w:val="18"/>
              </w:rPr>
              <w:t>注3：冬季室内相对湿度不参与设备选型和能效指标的计算。</w:t>
            </w:r>
          </w:p>
        </w:tc>
      </w:tr>
    </w:tbl>
    <w:p>
      <w:pPr>
        <w:pStyle w:val="42"/>
        <w:widowControl w:val="0"/>
        <w:tabs>
          <w:tab w:val="left" w:pos="0"/>
          <w:tab w:val="left" w:pos="765"/>
        </w:tabs>
        <w:overflowPunct w:val="0"/>
        <w:autoSpaceDE/>
        <w:autoSpaceDN/>
        <w:ind w:firstLine="0" w:firstLineChars="0"/>
        <w:outlineLvl w:val="2"/>
        <w:rPr>
          <w:rFonts w:ascii="黑体" w:hAnsi="黑体"/>
        </w:rPr>
      </w:pPr>
    </w:p>
    <w:p>
      <w:pPr>
        <w:pStyle w:val="42"/>
        <w:widowControl w:val="0"/>
        <w:tabs>
          <w:tab w:val="left" w:pos="0"/>
          <w:tab w:val="left" w:pos="765"/>
        </w:tabs>
        <w:overflowPunct w:val="0"/>
        <w:autoSpaceDE/>
        <w:autoSpaceDN/>
        <w:ind w:firstLine="0" w:firstLineChars="0"/>
        <w:outlineLvl w:val="2"/>
        <w:rPr>
          <w:rFonts w:hAnsi="宋体"/>
        </w:rPr>
      </w:pPr>
      <w:r>
        <w:rPr>
          <w:rFonts w:ascii="黑体" w:hAnsi="黑体"/>
        </w:rPr>
        <w:t>4.3.2</w:t>
      </w:r>
      <w:r>
        <w:rPr>
          <w:rFonts w:hint="eastAsia" w:ascii="黑体" w:hAnsi="黑体"/>
        </w:rPr>
        <w:t>　</w:t>
      </w:r>
      <w:r>
        <w:rPr>
          <w:rFonts w:hint="eastAsia" w:hAnsi="宋体"/>
        </w:rPr>
        <w:t>超低能耗公共建筑主要功能房间的采光系数与自然通风换气次数应符合表</w:t>
      </w:r>
      <w:r>
        <w:rPr>
          <w:rFonts w:hint="eastAsia" w:ascii="Times New Roman" w:hAnsi="Times New Roman" w:cs="Times New Roman"/>
          <w:lang w:val="en-US" w:eastAsia="zh-CN"/>
        </w:rPr>
        <w:t>3</w:t>
      </w:r>
      <w:r>
        <w:rPr>
          <w:rFonts w:hint="eastAsia" w:hAnsi="宋体"/>
        </w:rPr>
        <w:t>的规定：</w:t>
      </w:r>
    </w:p>
    <w:p>
      <w:pPr>
        <w:pStyle w:val="42"/>
        <w:widowControl w:val="0"/>
        <w:overflowPunct w:val="0"/>
        <w:autoSpaceDE/>
        <w:autoSpaceDN/>
        <w:spacing w:before="62" w:beforeLines="20" w:after="78" w:afterLines="25" w:line="309" w:lineRule="exact"/>
        <w:ind w:firstLine="0" w:firstLineChars="0"/>
        <w:jc w:val="center"/>
        <w:rPr>
          <w:rFonts w:ascii="黑体" w:hAnsi="黑体" w:eastAsia="黑体" w:cs="黑体"/>
          <w:sz w:val="18"/>
          <w:szCs w:val="18"/>
        </w:rPr>
      </w:pPr>
      <w:r>
        <w:rPr>
          <w:rFonts w:ascii="黑体" w:hAnsi="黑体" w:eastAsia="黑体" w:cs="黑体"/>
          <w:sz w:val="18"/>
          <w:szCs w:val="18"/>
        </w:rPr>
        <w:t>表</w:t>
      </w:r>
      <w:r>
        <w:rPr>
          <w:rFonts w:hint="eastAsia" w:ascii="黑体" w:hAnsi="黑体" w:eastAsia="黑体" w:cs="黑体"/>
          <w:sz w:val="18"/>
          <w:szCs w:val="18"/>
          <w:lang w:val="en-US" w:eastAsia="zh-CN"/>
        </w:rPr>
        <w:t>3</w:t>
      </w:r>
      <w:r>
        <w:rPr>
          <w:rFonts w:hint="eastAsia" w:ascii="黑体" w:hAnsi="黑体" w:eastAsia="黑体" w:cs="黑体"/>
          <w:sz w:val="18"/>
          <w:szCs w:val="18"/>
        </w:rPr>
        <w:t>　公共建筑</w:t>
      </w:r>
      <w:r>
        <w:rPr>
          <w:rFonts w:ascii="黑体" w:hAnsi="黑体" w:eastAsia="黑体" w:cs="黑体"/>
          <w:sz w:val="18"/>
          <w:szCs w:val="18"/>
        </w:rPr>
        <w:t>室内自然采光与通风设计指标</w:t>
      </w:r>
    </w:p>
    <w:tbl>
      <w:tblPr>
        <w:tblStyle w:val="13"/>
        <w:tblW w:w="934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819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52" w:type="dxa"/>
            <w:tcBorders>
              <w:top w:val="single" w:color="auto" w:sz="8" w:space="0"/>
              <w:bottom w:val="single" w:color="auto" w:sz="8" w:space="0"/>
              <w:right w:val="single" w:color="auto" w:sz="2" w:space="0"/>
            </w:tcBorders>
            <w:vAlign w:val="center"/>
          </w:tcPr>
          <w:p>
            <w:pPr>
              <w:overflowPunct w:val="0"/>
              <w:jc w:val="center"/>
              <w:rPr>
                <w:rFonts w:ascii="Times New Roman" w:hAnsi="Times New Roman"/>
                <w:sz w:val="18"/>
                <w:szCs w:val="18"/>
              </w:rPr>
            </w:pPr>
            <w:r>
              <w:rPr>
                <w:rFonts w:ascii="Times New Roman" w:hAnsi="Times New Roman"/>
                <w:sz w:val="18"/>
                <w:szCs w:val="18"/>
              </w:rPr>
              <w:t>类别</w:t>
            </w:r>
          </w:p>
        </w:tc>
        <w:tc>
          <w:tcPr>
            <w:tcW w:w="8193" w:type="dxa"/>
            <w:tcBorders>
              <w:top w:val="single" w:color="auto" w:sz="8" w:space="0"/>
              <w:left w:val="single" w:color="auto" w:sz="2" w:space="0"/>
              <w:bottom w:val="single" w:color="auto" w:sz="8" w:space="0"/>
            </w:tcBorders>
            <w:vAlign w:val="center"/>
          </w:tcPr>
          <w:p>
            <w:pPr>
              <w:overflowPunct w:val="0"/>
              <w:jc w:val="center"/>
              <w:rPr>
                <w:rFonts w:ascii="Times New Roman" w:hAnsi="Times New Roman"/>
                <w:sz w:val="18"/>
                <w:szCs w:val="18"/>
              </w:rPr>
            </w:pPr>
            <w:r>
              <w:rPr>
                <w:rFonts w:ascii="Times New Roman" w:hAnsi="Times New Roman"/>
                <w:sz w:val="18"/>
                <w:szCs w:val="18"/>
              </w:rPr>
              <w:t>设计指标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52" w:type="dxa"/>
            <w:tcBorders>
              <w:top w:val="single" w:color="auto" w:sz="8" w:space="0"/>
              <w:bottom w:val="single" w:color="auto" w:sz="4" w:space="0"/>
            </w:tcBorders>
            <w:vAlign w:val="center"/>
          </w:tcPr>
          <w:p>
            <w:pPr>
              <w:overflowPunct w:val="0"/>
              <w:jc w:val="center"/>
              <w:rPr>
                <w:rFonts w:ascii="Times New Roman" w:hAnsi="Times New Roman"/>
                <w:sz w:val="18"/>
                <w:szCs w:val="18"/>
              </w:rPr>
            </w:pPr>
            <w:r>
              <w:rPr>
                <w:rFonts w:ascii="Times New Roman" w:hAnsi="Times New Roman"/>
                <w:sz w:val="18"/>
                <w:szCs w:val="18"/>
              </w:rPr>
              <w:t>自然采光</w:t>
            </w:r>
          </w:p>
        </w:tc>
        <w:tc>
          <w:tcPr>
            <w:tcW w:w="8193" w:type="dxa"/>
            <w:tcBorders>
              <w:top w:val="single" w:color="auto" w:sz="8" w:space="0"/>
              <w:bottom w:val="single" w:color="auto" w:sz="4" w:space="0"/>
            </w:tcBorders>
            <w:vAlign w:val="center"/>
          </w:tcPr>
          <w:p>
            <w:pPr>
              <w:overflowPunct w:val="0"/>
              <w:jc w:val="center"/>
              <w:rPr>
                <w:rFonts w:ascii="Times New Roman" w:hAnsi="Times New Roman"/>
                <w:sz w:val="18"/>
                <w:szCs w:val="18"/>
              </w:rPr>
            </w:pPr>
            <w:r>
              <w:rPr>
                <w:rFonts w:hint="eastAsia" w:ascii="Times New Roman" w:hAnsi="Times New Roman"/>
                <w:sz w:val="18"/>
                <w:szCs w:val="18"/>
              </w:rPr>
              <w:t>室内主要功能空间至少60%面积比例区域的采光照度值不低于采光要求的小时数平均不少于</w:t>
            </w:r>
            <w:r>
              <w:rPr>
                <w:rFonts w:ascii="Times New Roman" w:hAnsi="Times New Roman" w:cs="Times New Roman"/>
                <w:sz w:val="18"/>
                <w:szCs w:val="18"/>
              </w:rPr>
              <w:t>4h/d</w:t>
            </w:r>
            <w:r>
              <w:rPr>
                <w:rFonts w:hint="eastAsia" w:ascii="Times New Roman" w:hAnsi="Times New Roman"/>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52" w:type="dxa"/>
            <w:tcBorders>
              <w:top w:val="single" w:color="auto" w:sz="4" w:space="0"/>
              <w:bottom w:val="single" w:color="auto" w:sz="8" w:space="0"/>
            </w:tcBorders>
            <w:vAlign w:val="center"/>
          </w:tcPr>
          <w:p>
            <w:pPr>
              <w:overflowPunct w:val="0"/>
              <w:jc w:val="center"/>
              <w:rPr>
                <w:rFonts w:ascii="Times New Roman" w:hAnsi="Times New Roman"/>
                <w:sz w:val="18"/>
                <w:szCs w:val="18"/>
              </w:rPr>
            </w:pPr>
            <w:r>
              <w:rPr>
                <w:rFonts w:ascii="Times New Roman" w:hAnsi="Times New Roman"/>
                <w:sz w:val="18"/>
                <w:szCs w:val="18"/>
              </w:rPr>
              <w:t>自然通风</w:t>
            </w:r>
          </w:p>
        </w:tc>
        <w:tc>
          <w:tcPr>
            <w:tcW w:w="8193" w:type="dxa"/>
            <w:tcBorders>
              <w:top w:val="single" w:color="auto" w:sz="4" w:space="0"/>
              <w:bottom w:val="single" w:color="auto" w:sz="8" w:space="0"/>
            </w:tcBorders>
            <w:vAlign w:val="center"/>
          </w:tcPr>
          <w:p>
            <w:pPr>
              <w:overflowPunct w:val="0"/>
              <w:jc w:val="center"/>
              <w:rPr>
                <w:rFonts w:ascii="Times New Roman" w:hAnsi="Times New Roman"/>
                <w:sz w:val="18"/>
                <w:szCs w:val="18"/>
              </w:rPr>
            </w:pPr>
            <w:r>
              <w:rPr>
                <w:rFonts w:hint="eastAsia" w:ascii="Times New Roman" w:hAnsi="Times New Roman"/>
                <w:sz w:val="18"/>
                <w:szCs w:val="18"/>
              </w:rPr>
              <w:t>办公、酒店、学校建筑70</w:t>
            </w:r>
            <w:r>
              <w:rPr>
                <w:rFonts w:ascii="Times New Roman" w:hAnsi="Times New Roman"/>
                <w:sz w:val="18"/>
                <w:szCs w:val="18"/>
              </w:rPr>
              <w:t>%的</w:t>
            </w:r>
            <w:r>
              <w:rPr>
                <w:rFonts w:hint="eastAsia" w:ascii="Times New Roman" w:hAnsi="Times New Roman"/>
                <w:sz w:val="18"/>
                <w:szCs w:val="18"/>
              </w:rPr>
              <w:t>主要</w:t>
            </w:r>
            <w:r>
              <w:rPr>
                <w:rFonts w:ascii="Times New Roman" w:hAnsi="Times New Roman"/>
                <w:sz w:val="18"/>
                <w:szCs w:val="18"/>
              </w:rPr>
              <w:t>功能空间</w:t>
            </w:r>
            <w:r>
              <w:rPr>
                <w:rFonts w:hint="eastAsia" w:ascii="Times New Roman" w:hAnsi="Times New Roman"/>
                <w:sz w:val="18"/>
                <w:szCs w:val="18"/>
              </w:rPr>
              <w:t>在过渡季典型工况下室内</w:t>
            </w:r>
            <w:r>
              <w:rPr>
                <w:rFonts w:ascii="Times New Roman" w:hAnsi="Times New Roman"/>
                <w:sz w:val="18"/>
                <w:szCs w:val="18"/>
              </w:rPr>
              <w:t>自然通风换气次数达到</w:t>
            </w:r>
            <w:r>
              <w:rPr>
                <w:rFonts w:ascii="Times New Roman" w:hAnsi="Times New Roman" w:cs="Times New Roman"/>
                <w:sz w:val="18"/>
                <w:szCs w:val="18"/>
              </w:rPr>
              <w:t>2次/h</w:t>
            </w:r>
            <w:r>
              <w:rPr>
                <w:rFonts w:hint="eastAsia" w:ascii="Times New Roman" w:hAnsi="Times New Roman"/>
                <w:sz w:val="18"/>
                <w:szCs w:val="18"/>
              </w:rPr>
              <w:t>。</w:t>
            </w:r>
          </w:p>
        </w:tc>
      </w:tr>
    </w:tbl>
    <w:p>
      <w:pPr>
        <w:pStyle w:val="2"/>
        <w:numPr>
          <w:ilvl w:val="0"/>
          <w:numId w:val="0"/>
        </w:numPr>
        <w:overflowPunct w:val="0"/>
        <w:spacing w:before="312" w:after="312"/>
        <w:ind w:left="357" w:hanging="357" w:hangingChars="170"/>
      </w:pPr>
      <w:bookmarkStart w:id="14" w:name="_Toc97537089"/>
      <w:bookmarkStart w:id="15" w:name="_Toc11029"/>
      <w:r>
        <w:t>5</w:t>
      </w:r>
      <w:r>
        <w:rPr>
          <w:rFonts w:hint="eastAsia"/>
        </w:rPr>
        <w:t>　气候响应设计</w:t>
      </w:r>
      <w:bookmarkEnd w:id="14"/>
      <w:bookmarkEnd w:id="15"/>
    </w:p>
    <w:p>
      <w:pPr>
        <w:tabs>
          <w:tab w:val="left" w:pos="397"/>
          <w:tab w:val="left" w:pos="765"/>
        </w:tabs>
        <w:overflowPunct w:val="0"/>
        <w:spacing w:before="156" w:beforeLines="50" w:after="156" w:afterLines="50"/>
        <w:outlineLvl w:val="2"/>
        <w:rPr>
          <w:rFonts w:ascii="黑体" w:hAnsi="黑体" w:eastAsia="黑体" w:cs="Times New Roman"/>
          <w:szCs w:val="21"/>
        </w:rPr>
      </w:pPr>
      <w:r>
        <w:rPr>
          <w:rFonts w:hint="eastAsia" w:ascii="黑体" w:hAnsi="黑体" w:eastAsia="黑体" w:cs="Times New Roman"/>
          <w:szCs w:val="21"/>
        </w:rPr>
        <w:t>5.1　</w:t>
      </w:r>
      <w:bookmarkStart w:id="16" w:name="_Toc2060"/>
      <w:bookmarkStart w:id="17" w:name="_Toc97537090"/>
      <w:r>
        <w:rPr>
          <w:rFonts w:hint="eastAsia" w:ascii="黑体" w:hAnsi="黑体" w:eastAsia="黑体" w:cs="Times New Roman"/>
          <w:szCs w:val="21"/>
        </w:rPr>
        <w:t>场地规划</w:t>
      </w:r>
      <w:bookmarkEnd w:id="16"/>
      <w:bookmarkEnd w:id="17"/>
    </w:p>
    <w:p>
      <w:pPr>
        <w:pStyle w:val="42"/>
        <w:widowControl w:val="0"/>
        <w:tabs>
          <w:tab w:val="left" w:pos="397"/>
          <w:tab w:val="left" w:pos="765"/>
        </w:tabs>
        <w:overflowPunct w:val="0"/>
        <w:autoSpaceDE/>
        <w:autoSpaceDN/>
        <w:spacing w:line="309" w:lineRule="exact"/>
        <w:ind w:firstLine="0" w:firstLineChars="0"/>
        <w:outlineLvl w:val="2"/>
        <w:rPr>
          <w:rFonts w:hAnsi="宋体"/>
        </w:rPr>
      </w:pPr>
      <w:r>
        <w:rPr>
          <w:rFonts w:ascii="黑体" w:hAnsi="黑体"/>
        </w:rPr>
        <w:t>5.1.1</w:t>
      </w:r>
      <w:r>
        <w:rPr>
          <w:rFonts w:hint="eastAsia" w:ascii="黑体" w:hAnsi="黑体"/>
        </w:rPr>
        <w:t>　</w:t>
      </w:r>
      <w:r>
        <w:rPr>
          <w:rFonts w:hint="eastAsia" w:hAnsi="宋体"/>
        </w:rPr>
        <w:t>建筑场地规划应有利于营造适宜的微气候，为建筑节能提供良好的外部环境，宜采取如下设计措施：</w:t>
      </w:r>
    </w:p>
    <w:p>
      <w:pPr>
        <w:overflowPunct w:val="0"/>
        <w:snapToGrid w:val="0"/>
        <w:spacing w:line="309" w:lineRule="exact"/>
        <w:ind w:firstLine="420"/>
        <w:rPr>
          <w:rFonts w:ascii="宋体" w:hAnsi="宋体" w:cs="宋体"/>
          <w:color w:val="auto"/>
          <w:szCs w:val="21"/>
        </w:rPr>
      </w:pPr>
      <w:r>
        <w:rPr>
          <w:rFonts w:hint="eastAsia" w:ascii="宋体" w:hAnsi="宋体" w:cs="宋体"/>
          <w:color w:val="auto"/>
          <w:szCs w:val="21"/>
          <w:lang w:val="en-US" w:eastAsia="zh-CN"/>
        </w:rPr>
        <w:t>a</w:t>
      </w:r>
      <w:r>
        <w:rPr>
          <w:rFonts w:hint="eastAsia" w:ascii="宋体" w:hAnsi="宋体" w:cs="宋体"/>
          <w:color w:val="auto"/>
          <w:szCs w:val="21"/>
          <w:lang w:eastAsia="zh-CN"/>
        </w:rPr>
        <w:t>）</w:t>
      </w:r>
      <w:r>
        <w:rPr>
          <w:rFonts w:hint="eastAsia" w:ascii="宋体" w:hAnsi="宋体" w:cs="宋体"/>
          <w:color w:val="auto"/>
          <w:szCs w:val="21"/>
        </w:rPr>
        <w:t>建筑群朝向布局宜为南偏东</w:t>
      </w:r>
      <w:r>
        <w:rPr>
          <w:rFonts w:hint="eastAsia" w:ascii="Times New Roman" w:hAnsi="Times New Roman" w:cs="Times New Roman"/>
          <w:color w:val="auto"/>
          <w:szCs w:val="21"/>
        </w:rPr>
        <w:t>15</w:t>
      </w:r>
      <w:r>
        <w:rPr>
          <w:rFonts w:hint="eastAsia" w:ascii="宋体" w:hAnsi="宋体" w:cs="宋体"/>
          <w:color w:val="auto"/>
          <w:szCs w:val="21"/>
        </w:rPr>
        <w:t>°至南偏西</w:t>
      </w:r>
      <w:r>
        <w:rPr>
          <w:rFonts w:hint="eastAsia" w:ascii="Times New Roman" w:hAnsi="Times New Roman" w:cs="Times New Roman"/>
          <w:color w:val="auto"/>
          <w:szCs w:val="21"/>
        </w:rPr>
        <w:t>15</w:t>
      </w:r>
      <w:r>
        <w:rPr>
          <w:rFonts w:hint="eastAsia" w:ascii="宋体" w:hAnsi="宋体" w:cs="宋体"/>
          <w:color w:val="auto"/>
          <w:szCs w:val="21"/>
        </w:rPr>
        <w:t>°之间，应为南偏东</w:t>
      </w:r>
      <w:r>
        <w:rPr>
          <w:rFonts w:ascii="Times New Roman" w:hAnsi="Times New Roman" w:cs="Times New Roman"/>
          <w:color w:val="auto"/>
          <w:szCs w:val="21"/>
        </w:rPr>
        <w:t>30</w:t>
      </w:r>
      <w:r>
        <w:rPr>
          <w:rFonts w:hint="eastAsia" w:ascii="宋体" w:hAnsi="宋体" w:cs="宋体"/>
          <w:color w:val="auto"/>
          <w:szCs w:val="21"/>
        </w:rPr>
        <w:t>°至南偏西</w:t>
      </w:r>
      <w:r>
        <w:rPr>
          <w:rFonts w:ascii="Times New Roman" w:hAnsi="Times New Roman" w:cs="Times New Roman"/>
          <w:color w:val="auto"/>
          <w:szCs w:val="21"/>
        </w:rPr>
        <w:t>30</w:t>
      </w:r>
      <w:r>
        <w:rPr>
          <w:rFonts w:hint="eastAsia" w:ascii="宋体" w:hAnsi="宋体" w:cs="宋体"/>
          <w:color w:val="auto"/>
          <w:szCs w:val="21"/>
        </w:rPr>
        <w:t>°之间，有利于建筑日照、采光与自然通风。</w:t>
      </w:r>
    </w:p>
    <w:p>
      <w:pPr>
        <w:overflowPunct w:val="0"/>
        <w:snapToGrid w:val="0"/>
        <w:spacing w:line="309" w:lineRule="exact"/>
        <w:ind w:firstLine="420"/>
        <w:rPr>
          <w:rFonts w:ascii="宋体" w:hAnsi="宋体" w:cs="宋体"/>
          <w:szCs w:val="21"/>
        </w:rPr>
      </w:pPr>
      <w:r>
        <w:rPr>
          <w:rFonts w:hint="eastAsia" w:ascii="黑体" w:hAnsi="黑体" w:cs="宋体"/>
          <w:color w:val="auto"/>
          <w:szCs w:val="21"/>
          <w:lang w:val="en-US" w:eastAsia="zh-CN"/>
        </w:rPr>
        <w:t>b)</w:t>
      </w:r>
      <w:r>
        <w:rPr>
          <w:rFonts w:hint="eastAsia" w:ascii="黑体" w:hAnsi="黑体" w:cs="宋体"/>
          <w:color w:val="auto"/>
          <w:szCs w:val="21"/>
        </w:rPr>
        <w:t>　</w:t>
      </w:r>
      <w:r>
        <w:rPr>
          <w:rFonts w:hint="eastAsia" w:ascii="宋体" w:hAnsi="宋体" w:cs="宋体"/>
          <w:color w:val="auto"/>
          <w:szCs w:val="21"/>
        </w:rPr>
        <w:t>避免选址于低洼地势，</w:t>
      </w:r>
      <w:r>
        <w:rPr>
          <w:rFonts w:hint="eastAsia" w:ascii="宋体" w:hAnsi="宋体" w:cs="宋体"/>
          <w:szCs w:val="21"/>
        </w:rPr>
        <w:t>尽量使建筑位于地势南侧，便于获得充足的日照。对幼儿园、中小学校、医院以及养老设施等建筑相应满足日照标准要求。</w:t>
      </w:r>
    </w:p>
    <w:p>
      <w:pPr>
        <w:pStyle w:val="42"/>
        <w:widowControl w:val="0"/>
        <w:tabs>
          <w:tab w:val="left" w:pos="397"/>
          <w:tab w:val="left" w:pos="765"/>
        </w:tabs>
        <w:overflowPunct w:val="0"/>
        <w:autoSpaceDE/>
        <w:autoSpaceDN/>
        <w:spacing w:line="309" w:lineRule="exact"/>
        <w:ind w:firstLine="0" w:firstLineChars="0"/>
        <w:outlineLvl w:val="2"/>
        <w:rPr>
          <w:rFonts w:hAnsi="宋体"/>
        </w:rPr>
      </w:pPr>
      <w:r>
        <w:rPr>
          <w:rFonts w:ascii="黑体" w:hAnsi="黑体"/>
        </w:rPr>
        <w:t>5.1.2</w:t>
      </w:r>
      <w:r>
        <w:rPr>
          <w:rFonts w:hint="eastAsia" w:ascii="黑体" w:hAnsi="黑体"/>
        </w:rPr>
        <w:t>　</w:t>
      </w:r>
      <w:r>
        <w:rPr>
          <w:rFonts w:hint="eastAsia" w:hAnsi="宋体"/>
        </w:rPr>
        <w:t>地面宜采用透水铺装，优先选用太阳辐射反射系数≥0.4的浅色铺装材料，减少场地铺装吸收的太阳辐射热量，降低热岛效应。</w:t>
      </w:r>
    </w:p>
    <w:p>
      <w:pPr>
        <w:pStyle w:val="42"/>
        <w:widowControl w:val="0"/>
        <w:tabs>
          <w:tab w:val="left" w:pos="397"/>
          <w:tab w:val="left" w:pos="765"/>
        </w:tabs>
        <w:overflowPunct w:val="0"/>
        <w:autoSpaceDE/>
        <w:autoSpaceDN/>
        <w:spacing w:line="309" w:lineRule="exact"/>
        <w:ind w:firstLine="0" w:firstLineChars="0"/>
        <w:outlineLvl w:val="2"/>
        <w:rPr>
          <w:rFonts w:hAnsi="宋体"/>
        </w:rPr>
      </w:pPr>
      <w:r>
        <w:rPr>
          <w:rFonts w:ascii="黑体" w:hAnsi="黑体"/>
        </w:rPr>
        <w:t>5.1.3</w:t>
      </w:r>
      <w:r>
        <w:rPr>
          <w:rFonts w:hint="eastAsia" w:ascii="黑体" w:hAnsi="黑体"/>
        </w:rPr>
        <w:t>　</w:t>
      </w:r>
      <w:r>
        <w:rPr>
          <w:rFonts w:hint="eastAsia" w:hAnsi="宋体"/>
        </w:rPr>
        <w:t>配建的绿地应符合当地城市规划部门的要求，宜选择适应当地气候和土壤条件的植物，合理配置乔木、灌木、草皮和花卉的比例，场地绿化宜充分考虑垂直绿化、屋顶绿化，提升围护结构的隔热性能，改善室外热环境。</w:t>
      </w:r>
    </w:p>
    <w:p>
      <w:pPr>
        <w:tabs>
          <w:tab w:val="left" w:pos="397"/>
          <w:tab w:val="left" w:pos="765"/>
        </w:tabs>
        <w:overflowPunct w:val="0"/>
        <w:spacing w:before="156" w:beforeLines="50" w:after="156" w:afterLines="50"/>
        <w:outlineLvl w:val="2"/>
        <w:rPr>
          <w:rFonts w:ascii="黑体" w:hAnsi="黑体" w:eastAsia="黑体" w:cs="Times New Roman"/>
          <w:szCs w:val="21"/>
        </w:rPr>
      </w:pPr>
      <w:r>
        <w:rPr>
          <w:rFonts w:hint="eastAsia" w:ascii="黑体" w:hAnsi="黑体" w:eastAsia="黑体" w:cs="Times New Roman"/>
          <w:szCs w:val="21"/>
        </w:rPr>
        <w:t>5.2　</w:t>
      </w:r>
      <w:bookmarkStart w:id="18" w:name="_Toc14148"/>
      <w:bookmarkStart w:id="19" w:name="_Toc97537093"/>
      <w:r>
        <w:rPr>
          <w:rFonts w:hint="eastAsia" w:ascii="黑体" w:hAnsi="黑体" w:eastAsia="黑体" w:cs="Times New Roman"/>
          <w:szCs w:val="21"/>
        </w:rPr>
        <w:t>自然采光</w:t>
      </w:r>
      <w:bookmarkEnd w:id="18"/>
      <w:bookmarkEnd w:id="19"/>
    </w:p>
    <w:p>
      <w:pPr>
        <w:pStyle w:val="42"/>
        <w:tabs>
          <w:tab w:val="left" w:pos="0"/>
          <w:tab w:val="left" w:pos="765"/>
        </w:tabs>
        <w:overflowPunct w:val="0"/>
        <w:autoSpaceDE/>
        <w:autoSpaceDN/>
        <w:spacing w:line="309" w:lineRule="exact"/>
        <w:ind w:firstLine="0" w:firstLineChars="0"/>
        <w:outlineLvl w:val="2"/>
        <w:rPr>
          <w:rFonts w:ascii="Times New Roman" w:hAnsi="Times New Roman" w:cs="Times New Roman"/>
        </w:rPr>
      </w:pPr>
      <w:r>
        <w:rPr>
          <w:rFonts w:ascii="黑体" w:hAnsi="黑体"/>
        </w:rPr>
        <w:t>5.2.1</w:t>
      </w:r>
      <w:r>
        <w:rPr>
          <w:rFonts w:hint="eastAsia" w:ascii="黑体" w:hAnsi="黑体"/>
        </w:rPr>
        <w:t>　</w:t>
      </w:r>
      <w:r>
        <w:rPr>
          <w:rFonts w:hint="eastAsia" w:hAnsi="宋体"/>
        </w:rPr>
        <w:t>在兼顾保温隔热基础上保证立面采光窗的设置面积，公共建筑单面采光时主采光面的窗墙比不宜小于</w:t>
      </w:r>
      <w:r>
        <w:rPr>
          <w:rFonts w:ascii="Times New Roman" w:hAnsi="Times New Roman" w:cs="Times New Roman"/>
        </w:rPr>
        <w:t>0.35</w:t>
      </w:r>
      <w:r>
        <w:rPr>
          <w:rFonts w:hint="eastAsia" w:ascii="Times New Roman" w:hAnsi="Times New Roman" w:cs="Times New Roman"/>
        </w:rPr>
        <w:t>，双面采光时</w:t>
      </w:r>
      <w:r>
        <w:rPr>
          <w:rFonts w:hint="eastAsia" w:hAnsi="宋体"/>
        </w:rPr>
        <w:t>主采光面的</w:t>
      </w:r>
      <w:r>
        <w:rPr>
          <w:rFonts w:hint="eastAsia" w:ascii="Times New Roman" w:hAnsi="Times New Roman" w:cs="Times New Roman"/>
        </w:rPr>
        <w:t>窗墙比不宜小于0.25。</w:t>
      </w:r>
    </w:p>
    <w:p>
      <w:pPr>
        <w:tabs>
          <w:tab w:val="left" w:pos="420"/>
        </w:tabs>
        <w:overflowPunct w:val="0"/>
        <w:snapToGrid w:val="0"/>
        <w:spacing w:line="309" w:lineRule="exact"/>
        <w:outlineLvl w:val="2"/>
        <w:rPr>
          <w:rFonts w:ascii="宋体" w:hAnsi="宋体" w:cs="宋体"/>
          <w:szCs w:val="21"/>
        </w:rPr>
      </w:pPr>
      <w:r>
        <w:rPr>
          <w:rFonts w:ascii="黑体" w:hAnsi="黑体" w:eastAsia="宋体" w:cs="宋体"/>
          <w:szCs w:val="21"/>
        </w:rPr>
        <w:t>5.2.2</w:t>
      </w:r>
      <w:r>
        <w:rPr>
          <w:rFonts w:hint="eastAsia" w:ascii="黑体" w:hAnsi="黑体" w:eastAsia="宋体" w:cs="宋体"/>
          <w:szCs w:val="21"/>
        </w:rPr>
        <w:t>　</w:t>
      </w:r>
      <w:r>
        <w:rPr>
          <w:rFonts w:hint="eastAsia" w:ascii="宋体" w:hAnsi="宋体" w:cs="宋体"/>
          <w:szCs w:val="21"/>
        </w:rPr>
        <w:t>采用自然采光分区，把自然采光要求高的主要房间和活动利用率高空间设计在外区，人员活动低的会议室和后勤用房设计在内区。</w:t>
      </w:r>
    </w:p>
    <w:p>
      <w:pPr>
        <w:tabs>
          <w:tab w:val="left" w:pos="420"/>
        </w:tabs>
        <w:overflowPunct w:val="0"/>
        <w:snapToGrid w:val="0"/>
        <w:spacing w:line="309" w:lineRule="exact"/>
        <w:outlineLvl w:val="2"/>
        <w:rPr>
          <w:rFonts w:ascii="宋体" w:hAnsi="宋体" w:cs="宋体"/>
          <w:szCs w:val="21"/>
        </w:rPr>
      </w:pPr>
      <w:r>
        <w:rPr>
          <w:rFonts w:ascii="黑体" w:hAnsi="黑体" w:eastAsia="宋体" w:cs="宋体"/>
          <w:szCs w:val="21"/>
        </w:rPr>
        <w:t>5.2.3</w:t>
      </w:r>
      <w:r>
        <w:rPr>
          <w:rFonts w:hint="eastAsia" w:ascii="黑体" w:hAnsi="黑体" w:eastAsia="宋体" w:cs="宋体"/>
          <w:szCs w:val="21"/>
        </w:rPr>
        <w:t>　</w:t>
      </w:r>
      <w:r>
        <w:rPr>
          <w:rFonts w:hint="eastAsia" w:ascii="宋体" w:hAnsi="宋体" w:cs="宋体"/>
          <w:szCs w:val="21"/>
        </w:rPr>
        <w:t>主要功能空间内部宜采用开敞式布局，减少内部隔断或采用玻璃隔断实现内区采光，当进深较大时可通过设置反光板、棱镜玻璃等设施加强内区自然采光。</w:t>
      </w:r>
    </w:p>
    <w:p>
      <w:pPr>
        <w:tabs>
          <w:tab w:val="left" w:pos="420"/>
        </w:tabs>
        <w:overflowPunct w:val="0"/>
        <w:snapToGrid w:val="0"/>
        <w:spacing w:line="309" w:lineRule="exact"/>
        <w:outlineLvl w:val="2"/>
        <w:rPr>
          <w:rFonts w:ascii="宋体" w:hAnsi="宋体" w:cs="宋体"/>
          <w:szCs w:val="21"/>
        </w:rPr>
      </w:pPr>
      <w:r>
        <w:rPr>
          <w:rFonts w:ascii="黑体" w:hAnsi="黑体" w:eastAsia="宋体" w:cs="宋体"/>
          <w:szCs w:val="21"/>
        </w:rPr>
        <w:t>5.2.4</w:t>
      </w:r>
      <w:r>
        <w:rPr>
          <w:rFonts w:hint="eastAsia" w:ascii="黑体" w:hAnsi="黑体" w:eastAsia="宋体" w:cs="宋体"/>
          <w:szCs w:val="21"/>
        </w:rPr>
        <w:t>　</w:t>
      </w:r>
      <w:r>
        <w:rPr>
          <w:rFonts w:hint="eastAsia" w:ascii="宋体" w:hAnsi="宋体" w:cs="宋体"/>
          <w:szCs w:val="21"/>
        </w:rPr>
        <w:t>大进深空间的顶层和地下空间可通过设置采光天窗、下沉庭院、导光管等措施改善自然采光，减少照明光源的使用，降低照明能耗。</w:t>
      </w:r>
    </w:p>
    <w:p>
      <w:pPr>
        <w:tabs>
          <w:tab w:val="left" w:pos="0"/>
          <w:tab w:val="left" w:pos="420"/>
        </w:tabs>
        <w:overflowPunct w:val="0"/>
        <w:snapToGrid w:val="0"/>
        <w:spacing w:line="309" w:lineRule="exact"/>
        <w:outlineLvl w:val="2"/>
        <w:rPr>
          <w:rFonts w:ascii="宋体" w:hAnsi="宋体" w:cs="宋体"/>
          <w:szCs w:val="21"/>
        </w:rPr>
      </w:pPr>
      <w:r>
        <w:rPr>
          <w:rFonts w:ascii="黑体" w:hAnsi="黑体" w:eastAsia="宋体" w:cs="宋体"/>
          <w:szCs w:val="21"/>
        </w:rPr>
        <w:t>5.2.5</w:t>
      </w:r>
      <w:r>
        <w:rPr>
          <w:rFonts w:hint="eastAsia" w:ascii="黑体" w:hAnsi="黑体" w:eastAsia="宋体" w:cs="宋体"/>
          <w:szCs w:val="21"/>
        </w:rPr>
        <w:t>　</w:t>
      </w:r>
      <w:r>
        <w:rPr>
          <w:rFonts w:hint="eastAsia" w:ascii="宋体" w:hAnsi="宋体" w:cs="宋体"/>
          <w:szCs w:val="21"/>
        </w:rPr>
        <w:t>应结合自然采光模拟计算优化建筑进深、窗墙比及遮阳设计，实现自然采光与保温隔热的平衡。</w:t>
      </w:r>
    </w:p>
    <w:p>
      <w:pPr>
        <w:tabs>
          <w:tab w:val="left" w:pos="397"/>
          <w:tab w:val="left" w:pos="765"/>
        </w:tabs>
        <w:overflowPunct w:val="0"/>
        <w:spacing w:before="156" w:beforeLines="50" w:after="156" w:afterLines="50"/>
        <w:outlineLvl w:val="2"/>
        <w:rPr>
          <w:rFonts w:ascii="黑体" w:hAnsi="黑体" w:eastAsia="黑体" w:cs="Times New Roman"/>
          <w:szCs w:val="21"/>
        </w:rPr>
      </w:pPr>
      <w:r>
        <w:rPr>
          <w:rFonts w:hint="eastAsia" w:ascii="黑体" w:hAnsi="黑体" w:eastAsia="黑体" w:cs="Times New Roman"/>
          <w:szCs w:val="21"/>
        </w:rPr>
        <w:t>5.3　</w:t>
      </w:r>
      <w:bookmarkStart w:id="20" w:name="_Toc4214"/>
      <w:bookmarkStart w:id="21" w:name="_Toc97537092"/>
      <w:r>
        <w:rPr>
          <w:rFonts w:hint="eastAsia" w:ascii="黑体" w:hAnsi="黑体" w:eastAsia="黑体" w:cs="Times New Roman"/>
          <w:szCs w:val="21"/>
        </w:rPr>
        <w:t>自然</w:t>
      </w:r>
      <w:r>
        <w:rPr>
          <w:rFonts w:ascii="黑体" w:hAnsi="黑体" w:eastAsia="黑体" w:cs="Times New Roman"/>
          <w:szCs w:val="21"/>
        </w:rPr>
        <w:t>通风</w:t>
      </w:r>
      <w:bookmarkEnd w:id="20"/>
      <w:bookmarkEnd w:id="21"/>
    </w:p>
    <w:p>
      <w:pPr>
        <w:tabs>
          <w:tab w:val="left" w:pos="0"/>
        </w:tabs>
        <w:overflowPunct w:val="0"/>
        <w:rPr>
          <w:rFonts w:ascii="宋体" w:hAnsi="宋体" w:cs="宋体"/>
          <w:bCs/>
          <w:szCs w:val="21"/>
        </w:rPr>
      </w:pPr>
      <w:r>
        <w:rPr>
          <w:rFonts w:ascii="黑体" w:hAnsi="黑体" w:eastAsia="宋体" w:cs="宋体"/>
          <w:bCs/>
          <w:szCs w:val="21"/>
        </w:rPr>
        <w:t>5.3.1</w:t>
      </w:r>
      <w:r>
        <w:rPr>
          <w:rFonts w:hint="eastAsia" w:ascii="黑体" w:hAnsi="黑体" w:eastAsia="宋体" w:cs="宋体"/>
          <w:bCs/>
          <w:szCs w:val="21"/>
        </w:rPr>
        <w:t>　</w:t>
      </w:r>
      <w:r>
        <w:rPr>
          <w:rFonts w:hint="eastAsia" w:ascii="宋体" w:hAnsi="宋体" w:cs="宋体"/>
          <w:bCs/>
          <w:szCs w:val="21"/>
        </w:rPr>
        <w:t>应通过建筑与构造设计，挖掘建筑自然通风潜力，有组织的进行过渡季节与夏季的自然通风，减少空调运行时间与能耗，宜采取如下设计措施：</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a) </w:t>
      </w:r>
      <w:r>
        <w:rPr>
          <w:rFonts w:hint="eastAsia" w:ascii="宋体" w:hAnsi="宋体" w:cs="宋体"/>
          <w:szCs w:val="21"/>
        </w:rPr>
        <w:t>合理控制主要功能区域的空间进深，不宜大于层高的</w:t>
      </w:r>
      <w:r>
        <w:rPr>
          <w:rFonts w:ascii="Times New Roman" w:hAnsi="Times New Roman" w:cs="Times New Roman"/>
          <w:szCs w:val="21"/>
        </w:rPr>
        <w:t>5</w:t>
      </w:r>
      <w:r>
        <w:rPr>
          <w:rFonts w:hint="eastAsia" w:ascii="宋体" w:hAnsi="宋体" w:cs="宋体"/>
          <w:szCs w:val="21"/>
        </w:rPr>
        <w:t>倍。</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b) </w:t>
      </w:r>
      <w:r>
        <w:rPr>
          <w:rFonts w:hint="eastAsia" w:ascii="宋体" w:hAnsi="宋体" w:cs="宋体"/>
          <w:szCs w:val="21"/>
        </w:rPr>
        <w:t>在高层公共建筑的中间层设置架空通风，调节局部气候。</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c) </w:t>
      </w:r>
      <w:r>
        <w:rPr>
          <w:rFonts w:hint="eastAsia" w:ascii="宋体" w:hAnsi="宋体" w:cs="宋体"/>
          <w:szCs w:val="21"/>
        </w:rPr>
        <w:t>当公共建筑体量较大，仅采用外立面开窗难以形成有效通风时，宜在建筑中引入中庭或天井，中庭顶部设置通风天窗、通风塔等构造引导自然通风。</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d) </w:t>
      </w:r>
      <w:r>
        <w:rPr>
          <w:rFonts w:hint="eastAsia" w:ascii="宋体" w:hAnsi="宋体" w:cs="宋体"/>
          <w:szCs w:val="21"/>
        </w:rPr>
        <w:t>当建筑朝向不利、外窗开口与主导风向夹角过小时，宜配合导风墙、导风板等构件加强自然通风；地下空间宜通过设置下沉庭院、天井、可开启天窗等方式将自然风引入地下空间通风。</w:t>
      </w:r>
    </w:p>
    <w:p>
      <w:pPr>
        <w:tabs>
          <w:tab w:val="left" w:pos="0"/>
        </w:tabs>
        <w:overflowPunct w:val="0"/>
        <w:rPr>
          <w:rFonts w:ascii="宋体" w:hAnsi="宋体" w:cs="宋体"/>
          <w:szCs w:val="21"/>
        </w:rPr>
      </w:pPr>
      <w:r>
        <w:rPr>
          <w:rFonts w:ascii="黑体" w:hAnsi="黑体" w:eastAsia="宋体" w:cs="宋体"/>
          <w:szCs w:val="21"/>
        </w:rPr>
        <w:t>5.3.2</w:t>
      </w:r>
      <w:r>
        <w:rPr>
          <w:rFonts w:hint="eastAsia" w:ascii="黑体" w:hAnsi="黑体" w:eastAsia="宋体" w:cs="宋体"/>
          <w:szCs w:val="21"/>
        </w:rPr>
        <w:t>　</w:t>
      </w:r>
      <w:r>
        <w:rPr>
          <w:rFonts w:hint="eastAsia" w:ascii="宋体" w:hAnsi="宋体" w:cs="宋体"/>
          <w:szCs w:val="21"/>
        </w:rPr>
        <w:t>宜采用计算机模拟或实测技术方法进行自然通风创新设计，结合建筑表面风压分析，充分利用建筑外立面表面风压条件合理设置可开启窗扇，夏季和过渡季主导风向下可开启外窗内外表面风压差宜大于</w:t>
      </w:r>
      <w:r>
        <w:rPr>
          <w:rFonts w:ascii="Times New Roman" w:hAnsi="Times New Roman" w:cs="Times New Roman"/>
          <w:szCs w:val="21"/>
        </w:rPr>
        <w:t>0.5</w:t>
      </w:r>
      <w:r>
        <w:rPr>
          <w:rFonts w:hint="eastAsia" w:ascii="宋体" w:hAnsi="宋体" w:cs="宋体"/>
          <w:szCs w:val="21"/>
        </w:rPr>
        <w:t>Pa。</w:t>
      </w:r>
    </w:p>
    <w:p>
      <w:pPr>
        <w:tabs>
          <w:tab w:val="left" w:pos="397"/>
          <w:tab w:val="left" w:pos="765"/>
        </w:tabs>
        <w:overflowPunct w:val="0"/>
        <w:spacing w:before="156" w:beforeLines="50" w:after="156" w:afterLines="50"/>
        <w:outlineLvl w:val="2"/>
        <w:rPr>
          <w:rFonts w:ascii="黑体" w:hAnsi="黑体" w:eastAsia="黑体" w:cs="Times New Roman"/>
          <w:szCs w:val="21"/>
        </w:rPr>
      </w:pPr>
      <w:r>
        <w:rPr>
          <w:rFonts w:hint="eastAsia" w:ascii="黑体" w:hAnsi="黑体" w:eastAsia="黑体" w:cs="Times New Roman"/>
          <w:szCs w:val="21"/>
        </w:rPr>
        <w:t>5.4　</w:t>
      </w:r>
      <w:bookmarkStart w:id="22" w:name="_Toc25791"/>
      <w:r>
        <w:rPr>
          <w:rFonts w:hint="eastAsia" w:ascii="黑体" w:hAnsi="黑体" w:eastAsia="黑体" w:cs="Times New Roman"/>
          <w:szCs w:val="21"/>
        </w:rPr>
        <w:t>遮阳设计</w:t>
      </w:r>
      <w:bookmarkEnd w:id="22"/>
    </w:p>
    <w:p>
      <w:pPr>
        <w:tabs>
          <w:tab w:val="left" w:pos="0"/>
          <w:tab w:val="left" w:pos="420"/>
        </w:tabs>
        <w:overflowPunct w:val="0"/>
        <w:snapToGrid w:val="0"/>
        <w:spacing w:line="309" w:lineRule="exact"/>
        <w:outlineLvl w:val="2"/>
        <w:rPr>
          <w:rStyle w:val="44"/>
          <w:rFonts w:asciiTheme="minorEastAsia" w:hAnsiTheme="minorEastAsia"/>
          <w:color w:val="auto"/>
        </w:rPr>
      </w:pPr>
      <w:r>
        <w:rPr>
          <w:rStyle w:val="44"/>
          <w:rFonts w:cs="黑体"/>
          <w:color w:val="auto"/>
        </w:rPr>
        <w:t>5.4.1</w:t>
      </w:r>
      <w:r>
        <w:rPr>
          <w:rStyle w:val="44"/>
          <w:rFonts w:hint="eastAsia" w:cs="黑体"/>
          <w:color w:val="auto"/>
        </w:rPr>
        <w:t>　</w:t>
      </w:r>
      <w:r>
        <w:rPr>
          <w:rStyle w:val="44"/>
          <w:rFonts w:hint="eastAsia" w:ascii="宋体" w:hAnsi="宋体" w:eastAsia="宋体"/>
          <w:color w:val="auto"/>
        </w:rPr>
        <w:t>公共建筑主要功能房间的东、南、西向外窗（包括透光幕墙）应设置遮阳措施，并符合下列规定：</w:t>
      </w:r>
    </w:p>
    <w:p>
      <w:pPr>
        <w:overflowPunct w:val="0"/>
        <w:snapToGrid w:val="0"/>
        <w:spacing w:line="309" w:lineRule="exact"/>
        <w:ind w:firstLine="420"/>
        <w:rPr>
          <w:rStyle w:val="44"/>
          <w:rFonts w:ascii="宋体" w:hAnsi="宋体" w:eastAsia="宋体"/>
          <w:color w:val="auto"/>
        </w:rPr>
      </w:pPr>
      <w:r>
        <w:rPr>
          <w:rFonts w:hint="eastAsia" w:ascii="黑体" w:hAnsi="黑体" w:cs="宋体"/>
          <w:szCs w:val="21"/>
          <w:lang w:val="en-US" w:eastAsia="zh-CN"/>
        </w:rPr>
        <w:t xml:space="preserve">a) </w:t>
      </w:r>
      <w:r>
        <w:rPr>
          <w:rStyle w:val="44"/>
          <w:rFonts w:hint="eastAsia" w:ascii="宋体" w:hAnsi="宋体" w:eastAsia="宋体"/>
          <w:color w:val="auto"/>
        </w:rPr>
        <w:t>采用转折、内凹、挑檐、外廊等形体或构造设计形成建筑自遮阳；</w:t>
      </w:r>
    </w:p>
    <w:p>
      <w:pPr>
        <w:overflowPunct w:val="0"/>
        <w:snapToGrid w:val="0"/>
        <w:spacing w:line="309" w:lineRule="exact"/>
        <w:ind w:firstLine="420"/>
        <w:rPr>
          <w:rStyle w:val="44"/>
          <w:rFonts w:asciiTheme="minorEastAsia" w:hAnsiTheme="minorEastAsia"/>
          <w:color w:val="auto"/>
        </w:rPr>
      </w:pPr>
      <w:r>
        <w:rPr>
          <w:rFonts w:hint="eastAsia" w:ascii="黑体" w:hAnsi="黑体" w:cs="宋体"/>
          <w:szCs w:val="21"/>
          <w:lang w:val="en-US" w:eastAsia="zh-CN"/>
        </w:rPr>
        <w:t xml:space="preserve">b) </w:t>
      </w:r>
      <w:r>
        <w:rPr>
          <w:rStyle w:val="44"/>
          <w:rFonts w:hint="eastAsia" w:ascii="宋体" w:hAnsi="宋体" w:eastAsia="宋体"/>
          <w:color w:val="auto"/>
        </w:rPr>
        <w:t>可采用活动遮阳、固定遮阳、调光玻璃等措施进行遮阳，优先考虑活动遮阳；</w:t>
      </w:r>
    </w:p>
    <w:p>
      <w:pPr>
        <w:overflowPunct w:val="0"/>
        <w:snapToGrid w:val="0"/>
        <w:spacing w:line="309" w:lineRule="exact"/>
        <w:ind w:firstLine="420"/>
        <w:rPr>
          <w:rStyle w:val="44"/>
          <w:rFonts w:asciiTheme="minorEastAsia" w:hAnsiTheme="minorEastAsia"/>
          <w:color w:val="auto"/>
        </w:rPr>
      </w:pPr>
      <w:r>
        <w:rPr>
          <w:rFonts w:hint="eastAsia" w:ascii="黑体" w:hAnsi="黑体" w:cs="宋体"/>
          <w:szCs w:val="21"/>
          <w:lang w:val="en-US" w:eastAsia="zh-CN"/>
        </w:rPr>
        <w:t xml:space="preserve">c) </w:t>
      </w:r>
      <w:r>
        <w:rPr>
          <w:rStyle w:val="44"/>
          <w:rFonts w:hint="eastAsia" w:ascii="宋体" w:hAnsi="宋体" w:eastAsia="宋体"/>
          <w:color w:val="auto"/>
        </w:rPr>
        <w:t>采用外置活动遮阳时，应满足抗风压性能和材料耐久性的规定，与外墙保温系统相连处应采用构造措施防止形成结构性热桥；</w:t>
      </w:r>
    </w:p>
    <w:p>
      <w:pPr>
        <w:overflowPunct w:val="0"/>
        <w:snapToGrid w:val="0"/>
        <w:spacing w:line="309" w:lineRule="exact"/>
        <w:ind w:firstLine="420"/>
        <w:rPr>
          <w:rStyle w:val="44"/>
          <w:rFonts w:ascii="宋体" w:hAnsi="宋体" w:eastAsia="宋体"/>
          <w:color w:val="auto"/>
        </w:rPr>
      </w:pPr>
      <w:r>
        <w:rPr>
          <w:rFonts w:hint="eastAsia" w:ascii="黑体" w:hAnsi="黑体" w:cs="宋体"/>
          <w:szCs w:val="21"/>
          <w:lang w:val="en-US" w:eastAsia="zh-CN"/>
        </w:rPr>
        <w:t xml:space="preserve">d) </w:t>
      </w:r>
      <w:r>
        <w:rPr>
          <w:rStyle w:val="44"/>
          <w:rFonts w:hint="eastAsia" w:ascii="宋体" w:hAnsi="宋体" w:eastAsia="宋体"/>
          <w:color w:val="auto"/>
        </w:rPr>
        <w:t>采用中置活动遮阳时，机械耐久性能</w:t>
      </w:r>
      <w:r>
        <w:rPr>
          <w:rStyle w:val="44"/>
          <w:rFonts w:hint="eastAsia" w:ascii="宋体" w:hAnsi="宋体" w:eastAsia="宋体"/>
          <w:color w:val="auto"/>
          <w:lang w:val="en-US" w:eastAsia="zh-CN"/>
        </w:rPr>
        <w:t>符合</w:t>
      </w:r>
      <w:r>
        <w:rPr>
          <w:rStyle w:val="44"/>
          <w:rFonts w:ascii="Times New Roman" w:hAnsi="Times New Roman" w:eastAsia="宋体" w:cs="Times New Roman"/>
          <w:color w:val="auto"/>
        </w:rPr>
        <w:t>JG/T255</w:t>
      </w:r>
      <w:r>
        <w:rPr>
          <w:rStyle w:val="44"/>
          <w:rFonts w:hint="eastAsia" w:ascii="宋体" w:hAnsi="宋体" w:eastAsia="宋体"/>
          <w:color w:val="auto"/>
        </w:rPr>
        <w:t>中</w:t>
      </w:r>
      <w:r>
        <w:rPr>
          <w:rStyle w:val="44"/>
          <w:rFonts w:hint="eastAsia" w:ascii="宋体" w:hAnsi="宋体" w:eastAsia="宋体"/>
          <w:color w:val="auto"/>
          <w:lang w:val="en-US" w:eastAsia="zh-CN"/>
        </w:rPr>
        <w:t>的规定</w:t>
      </w:r>
      <w:r>
        <w:rPr>
          <w:rStyle w:val="44"/>
          <w:rFonts w:hint="eastAsia" w:ascii="宋体" w:hAnsi="宋体" w:eastAsia="宋体"/>
          <w:color w:val="auto"/>
        </w:rPr>
        <w:t>。</w:t>
      </w:r>
    </w:p>
    <w:p>
      <w:pPr>
        <w:tabs>
          <w:tab w:val="left" w:pos="0"/>
          <w:tab w:val="left" w:pos="420"/>
        </w:tabs>
        <w:overflowPunct w:val="0"/>
        <w:snapToGrid w:val="0"/>
        <w:spacing w:line="309" w:lineRule="exact"/>
        <w:outlineLvl w:val="2"/>
        <w:rPr>
          <w:rStyle w:val="44"/>
          <w:rFonts w:asciiTheme="minorEastAsia" w:hAnsiTheme="minorEastAsia" w:eastAsiaTheme="minorEastAsia"/>
          <w:color w:val="auto"/>
        </w:rPr>
      </w:pPr>
      <w:r>
        <w:rPr>
          <w:rStyle w:val="44"/>
          <w:rFonts w:cs="黑体"/>
          <w:color w:val="auto"/>
        </w:rPr>
        <w:t>5.4.2</w:t>
      </w:r>
      <w:r>
        <w:rPr>
          <w:rStyle w:val="44"/>
          <w:rFonts w:hint="eastAsia" w:cs="黑体"/>
          <w:color w:val="auto"/>
        </w:rPr>
        <w:t>　</w:t>
      </w:r>
      <w:r>
        <w:rPr>
          <w:rStyle w:val="44"/>
          <w:rFonts w:hint="eastAsia" w:asciiTheme="minorEastAsia" w:hAnsiTheme="minorEastAsia" w:eastAsiaTheme="minorEastAsia"/>
          <w:color w:val="auto"/>
        </w:rPr>
        <w:t>采用固定外遮阳时，应通过计算分析对外遮阳构件的尺寸、间距等进行优化设计。南向宜采用水平式外遮阳，东、西向宜采用挡板式遮阳。</w:t>
      </w:r>
    </w:p>
    <w:p>
      <w:pPr>
        <w:tabs>
          <w:tab w:val="left" w:pos="0"/>
          <w:tab w:val="left" w:pos="420"/>
        </w:tabs>
        <w:overflowPunct w:val="0"/>
        <w:snapToGrid w:val="0"/>
        <w:spacing w:line="309" w:lineRule="exact"/>
        <w:outlineLvl w:val="2"/>
        <w:rPr>
          <w:rStyle w:val="44"/>
          <w:rFonts w:asciiTheme="minorEastAsia" w:hAnsiTheme="minorEastAsia" w:eastAsiaTheme="minorEastAsia"/>
          <w:color w:val="auto"/>
        </w:rPr>
      </w:pPr>
      <w:r>
        <w:rPr>
          <w:rStyle w:val="44"/>
          <w:rFonts w:cs="黑体"/>
          <w:color w:val="auto"/>
        </w:rPr>
        <w:t>5.4.3</w:t>
      </w:r>
      <w:r>
        <w:rPr>
          <w:rStyle w:val="44"/>
          <w:rFonts w:hint="eastAsia" w:cs="黑体"/>
          <w:color w:val="auto"/>
        </w:rPr>
        <w:t>　</w:t>
      </w:r>
      <w:r>
        <w:rPr>
          <w:rStyle w:val="44"/>
          <w:rFonts w:hint="eastAsia" w:asciiTheme="minorEastAsia" w:hAnsiTheme="minorEastAsia" w:eastAsiaTheme="minorEastAsia"/>
          <w:color w:val="auto"/>
        </w:rPr>
        <w:t>采用绿化遮阳时，应利用合适的植物布置在建筑需要遮阳的部位，发挥遮阳的功用。</w:t>
      </w:r>
    </w:p>
    <w:p>
      <w:pPr>
        <w:overflowPunct w:val="0"/>
        <w:snapToGrid w:val="0"/>
        <w:spacing w:line="309" w:lineRule="exact"/>
        <w:ind w:firstLine="420"/>
        <w:rPr>
          <w:rFonts w:hint="eastAsia" w:ascii="宋体" w:hAnsi="宋体" w:cs="宋体" w:eastAsiaTheme="minorEastAsia"/>
          <w:szCs w:val="21"/>
          <w:lang w:eastAsia="zh-CN"/>
        </w:rPr>
      </w:pPr>
      <w:r>
        <w:rPr>
          <w:rFonts w:hint="eastAsia" w:ascii="黑体" w:hAnsi="黑体" w:cs="宋体"/>
          <w:szCs w:val="21"/>
          <w:lang w:val="en-US" w:eastAsia="zh-CN"/>
        </w:rPr>
        <w:t xml:space="preserve">a) </w:t>
      </w:r>
      <w:r>
        <w:rPr>
          <w:rFonts w:hint="eastAsia" w:ascii="宋体" w:hAnsi="宋体" w:cs="宋体"/>
          <w:szCs w:val="21"/>
        </w:rPr>
        <w:t>在进行景观设计时，宜考虑在建筑物的南向与西向种植高大落叶乔木，利用绿化植物对建筑进行遮阳</w:t>
      </w:r>
      <w:r>
        <w:rPr>
          <w:rFonts w:hint="eastAsia" w:ascii="宋体" w:hAnsi="宋体" w:cs="宋体"/>
          <w:szCs w:val="21"/>
          <w:lang w:eastAsia="zh-CN"/>
        </w:rPr>
        <w:t>；</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b) </w:t>
      </w:r>
      <w:r>
        <w:rPr>
          <w:rFonts w:hint="eastAsia" w:ascii="宋体" w:hAnsi="宋体" w:cs="宋体"/>
          <w:szCs w:val="21"/>
        </w:rPr>
        <w:t>宜采取立体绿化方式，形成对外围护结构的遮阳隔热。</w:t>
      </w:r>
    </w:p>
    <w:p>
      <w:pPr>
        <w:pStyle w:val="2"/>
        <w:numPr>
          <w:ilvl w:val="0"/>
          <w:numId w:val="0"/>
        </w:numPr>
        <w:overflowPunct w:val="0"/>
        <w:spacing w:before="312" w:after="312"/>
        <w:ind w:left="357" w:hanging="357" w:hangingChars="170"/>
      </w:pPr>
      <w:r>
        <w:t>6</w:t>
      </w:r>
      <w:r>
        <w:rPr>
          <w:rFonts w:hint="eastAsia"/>
        </w:rPr>
        <w:t>　</w:t>
      </w:r>
      <w:bookmarkStart w:id="23" w:name="_Toc19187"/>
      <w:bookmarkStart w:id="24" w:name="_Toc97537095"/>
      <w:r>
        <w:rPr>
          <w:rFonts w:hint="eastAsia"/>
        </w:rPr>
        <w:t>建筑围护结构热工及构造设计</w:t>
      </w:r>
      <w:bookmarkEnd w:id="23"/>
      <w:bookmarkEnd w:id="24"/>
    </w:p>
    <w:p>
      <w:pPr>
        <w:tabs>
          <w:tab w:val="left" w:pos="397"/>
          <w:tab w:val="left" w:pos="765"/>
        </w:tabs>
        <w:overflowPunct w:val="0"/>
        <w:spacing w:before="156" w:beforeLines="50" w:after="156" w:afterLines="50"/>
        <w:outlineLvl w:val="2"/>
        <w:rPr>
          <w:rFonts w:ascii="黑体" w:hAnsi="黑体" w:eastAsia="黑体" w:cs="Times New Roman"/>
          <w:szCs w:val="21"/>
        </w:rPr>
      </w:pPr>
      <w:r>
        <w:rPr>
          <w:rFonts w:hint="eastAsia" w:ascii="黑体" w:hAnsi="黑体" w:eastAsia="黑体" w:cs="Times New Roman"/>
          <w:szCs w:val="21"/>
        </w:rPr>
        <w:t>6.1　</w:t>
      </w:r>
      <w:bookmarkStart w:id="25" w:name="_Toc10016"/>
      <w:r>
        <w:rPr>
          <w:rFonts w:hint="eastAsia" w:ascii="黑体" w:hAnsi="黑体" w:eastAsia="黑体" w:cs="Times New Roman"/>
          <w:szCs w:val="21"/>
        </w:rPr>
        <w:t>围护结构热工设计</w:t>
      </w:r>
      <w:bookmarkEnd w:id="25"/>
    </w:p>
    <w:p>
      <w:pPr>
        <w:tabs>
          <w:tab w:val="left" w:pos="0"/>
          <w:tab w:val="left" w:pos="397"/>
        </w:tabs>
        <w:overflowPunct w:val="0"/>
        <w:snapToGrid w:val="0"/>
        <w:spacing w:line="309" w:lineRule="exact"/>
        <w:outlineLvl w:val="2"/>
        <w:rPr>
          <w:rStyle w:val="44"/>
          <w:rFonts w:ascii="Times New Roman" w:hAnsi="Times New Roman" w:cs="Times New Roman" w:eastAsiaTheme="minorEastAsia"/>
          <w:color w:val="auto"/>
        </w:rPr>
      </w:pPr>
      <w:r>
        <w:rPr>
          <w:rStyle w:val="44"/>
          <w:rFonts w:cs="Times New Roman" w:eastAsiaTheme="minorEastAsia"/>
          <w:color w:val="auto"/>
        </w:rPr>
        <w:t>6.1.1</w:t>
      </w:r>
      <w:r>
        <w:rPr>
          <w:rStyle w:val="44"/>
          <w:rFonts w:hint="eastAsia" w:cs="Times New Roman" w:eastAsiaTheme="minorEastAsia"/>
          <w:color w:val="auto"/>
        </w:rPr>
        <w:t>　</w:t>
      </w:r>
      <w:r>
        <w:rPr>
          <w:rStyle w:val="44"/>
          <w:rFonts w:ascii="Times New Roman" w:hAnsi="Times New Roman" w:cs="Times New Roman" w:eastAsiaTheme="minorEastAsia"/>
          <w:color w:val="auto"/>
        </w:rPr>
        <w:t>公共建筑围护结构热工性能</w:t>
      </w:r>
      <w:r>
        <w:rPr>
          <w:rStyle w:val="44"/>
          <w:rFonts w:hint="eastAsia" w:ascii="Times New Roman" w:hAnsi="Times New Roman" w:cs="Times New Roman" w:eastAsiaTheme="minorEastAsia"/>
          <w:color w:val="auto"/>
        </w:rPr>
        <w:t>应根据性能化设计原则，以本</w:t>
      </w:r>
      <w:r>
        <w:rPr>
          <w:rStyle w:val="44"/>
          <w:rFonts w:hint="eastAsia" w:ascii="Times New Roman" w:hAnsi="Times New Roman" w:cs="Times New Roman" w:eastAsiaTheme="minorEastAsia"/>
          <w:color w:val="auto"/>
          <w:lang w:val="en-US" w:eastAsia="zh-CN"/>
        </w:rPr>
        <w:t>文件</w:t>
      </w:r>
      <w:r>
        <w:rPr>
          <w:rStyle w:val="44"/>
          <w:rFonts w:hint="eastAsia" w:ascii="Times New Roman" w:hAnsi="Times New Roman" w:cs="Times New Roman" w:eastAsiaTheme="minorEastAsia"/>
          <w:color w:val="auto"/>
        </w:rPr>
        <w:t>4.7条建筑能效指标为目标经计算确定，并</w:t>
      </w:r>
      <w:r>
        <w:rPr>
          <w:rStyle w:val="44"/>
          <w:rFonts w:ascii="Times New Roman" w:hAnsi="Times New Roman" w:cs="Times New Roman" w:eastAsiaTheme="minorEastAsia"/>
          <w:color w:val="auto"/>
        </w:rPr>
        <w:t>应</w:t>
      </w:r>
      <w:r>
        <w:rPr>
          <w:rStyle w:val="44"/>
          <w:rFonts w:hint="eastAsia" w:ascii="Times New Roman" w:hAnsi="Times New Roman" w:cs="Times New Roman" w:eastAsiaTheme="minorEastAsia"/>
          <w:color w:val="auto"/>
        </w:rPr>
        <w:t>满足</w:t>
      </w:r>
      <w:r>
        <w:rPr>
          <w:rStyle w:val="44"/>
          <w:rFonts w:ascii="Times New Roman" w:hAnsi="Times New Roman" w:cs="Times New Roman" w:eastAsiaTheme="minorEastAsia"/>
          <w:color w:val="auto"/>
        </w:rPr>
        <w:t>表</w:t>
      </w:r>
      <w:r>
        <w:rPr>
          <w:rStyle w:val="44"/>
          <w:rFonts w:hint="eastAsia" w:ascii="Times New Roman" w:hAnsi="Times New Roman" w:cs="Times New Roman"/>
          <w:color w:val="auto"/>
          <w:lang w:val="en-US" w:eastAsia="zh-CN"/>
        </w:rPr>
        <w:t>4</w:t>
      </w:r>
      <w:r>
        <w:rPr>
          <w:rStyle w:val="44"/>
          <w:rFonts w:ascii="Times New Roman" w:hAnsi="Times New Roman" w:cs="Times New Roman" w:eastAsiaTheme="minorEastAsia"/>
          <w:color w:val="auto"/>
        </w:rPr>
        <w:t>要求。</w:t>
      </w:r>
    </w:p>
    <w:p>
      <w:pPr>
        <w:numPr>
          <w:ilvl w:val="255"/>
          <w:numId w:val="0"/>
        </w:numPr>
        <w:tabs>
          <w:tab w:val="left" w:pos="397"/>
        </w:tabs>
        <w:overflowPunct w:val="0"/>
        <w:snapToGrid w:val="0"/>
        <w:spacing w:line="309" w:lineRule="exact"/>
        <w:jc w:val="center"/>
        <w:rPr>
          <w:rStyle w:val="44"/>
          <w:rFonts w:ascii="Times New Roman" w:hAnsi="Times New Roman" w:cs="Times New Roman" w:eastAsiaTheme="minorEastAsia"/>
          <w:color w:val="auto"/>
        </w:rPr>
      </w:pPr>
      <w:r>
        <w:rPr>
          <w:rFonts w:ascii="黑体" w:hAnsi="黑体" w:eastAsia="黑体" w:cs="黑体"/>
          <w:sz w:val="18"/>
          <w:szCs w:val="18"/>
        </w:rPr>
        <w:t>表</w:t>
      </w:r>
      <w:r>
        <w:rPr>
          <w:rFonts w:hint="eastAsia" w:ascii="黑体" w:hAnsi="黑体" w:eastAsia="黑体" w:cs="黑体"/>
          <w:sz w:val="18"/>
          <w:szCs w:val="18"/>
          <w:lang w:val="en-US" w:eastAsia="zh-CN"/>
        </w:rPr>
        <w:t>4</w:t>
      </w:r>
      <w:r>
        <w:rPr>
          <w:rFonts w:hint="eastAsia" w:ascii="黑体" w:hAnsi="黑体" w:eastAsia="黑体" w:cs="黑体"/>
          <w:sz w:val="18"/>
          <w:szCs w:val="18"/>
        </w:rPr>
        <w:t>　公共建筑围护结构热工性能限值</w:t>
      </w:r>
    </w:p>
    <w:tbl>
      <w:tblPr>
        <w:tblStyle w:val="13"/>
        <w:tblW w:w="936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0" w:type="dxa"/>
          <w:left w:w="57" w:type="dxa"/>
          <w:bottom w:w="0" w:type="dxa"/>
          <w:right w:w="57" w:type="dxa"/>
        </w:tblCellMar>
      </w:tblPr>
      <w:tblGrid>
        <w:gridCol w:w="1601"/>
        <w:gridCol w:w="535"/>
        <w:gridCol w:w="1715"/>
        <w:gridCol w:w="1221"/>
        <w:gridCol w:w="1534"/>
        <w:gridCol w:w="1279"/>
        <w:gridCol w:w="147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57" w:type="dxa"/>
            <w:bottom w:w="0" w:type="dxa"/>
            <w:right w:w="57" w:type="dxa"/>
          </w:tblCellMar>
        </w:tblPrEx>
        <w:trPr>
          <w:jc w:val="center"/>
        </w:trPr>
        <w:tc>
          <w:tcPr>
            <w:tcW w:w="3851" w:type="dxa"/>
            <w:gridSpan w:val="3"/>
            <w:tcBorders>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气候分区</w:t>
            </w:r>
          </w:p>
        </w:tc>
        <w:tc>
          <w:tcPr>
            <w:tcW w:w="2755" w:type="dxa"/>
            <w:gridSpan w:val="2"/>
            <w:tcBorders>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一区</w:t>
            </w:r>
          </w:p>
        </w:tc>
        <w:tc>
          <w:tcPr>
            <w:tcW w:w="2757" w:type="dxa"/>
            <w:gridSpan w:val="2"/>
            <w:tcBorders>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二区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57" w:type="dxa"/>
            <w:bottom w:w="0" w:type="dxa"/>
            <w:right w:w="57" w:type="dxa"/>
          </w:tblCellMar>
        </w:tblPrEx>
        <w:trPr>
          <w:jc w:val="center"/>
        </w:trPr>
        <w:tc>
          <w:tcPr>
            <w:tcW w:w="3851" w:type="dxa"/>
            <w:gridSpan w:val="3"/>
            <w:tcBorders>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围护结构部位</w:t>
            </w:r>
          </w:p>
        </w:tc>
        <w:tc>
          <w:tcPr>
            <w:tcW w:w="1221" w:type="dxa"/>
            <w:tcBorders>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传热系数</w:t>
            </w:r>
          </w:p>
          <w:p>
            <w:pPr>
              <w:overflowPunct w:val="0"/>
              <w:jc w:val="center"/>
              <w:rPr>
                <w:rFonts w:ascii="Times New Roman" w:hAnsi="Times New Roman"/>
                <w:sz w:val="18"/>
                <w:szCs w:val="18"/>
              </w:rPr>
            </w:pPr>
            <w:r>
              <w:rPr>
                <w:rFonts w:hint="eastAsia" w:ascii="Times New Roman" w:hAnsi="Times New Roman"/>
                <w:sz w:val="18"/>
                <w:szCs w:val="18"/>
              </w:rPr>
              <w:t>K[</w:t>
            </w:r>
            <w:r>
              <w:rPr>
                <w:rFonts w:ascii="Times New Roman" w:hAnsi="Times New Roman"/>
                <w:sz w:val="18"/>
                <w:szCs w:val="18"/>
              </w:rPr>
              <w:t>W/（m</w:t>
            </w:r>
            <w:r>
              <w:rPr>
                <w:rFonts w:ascii="Times New Roman" w:hAnsi="Times New Roman"/>
                <w:sz w:val="18"/>
                <w:szCs w:val="18"/>
                <w:vertAlign w:val="superscript"/>
              </w:rPr>
              <w:t>2</w:t>
            </w:r>
            <w:r>
              <w:rPr>
                <w:rFonts w:ascii="Times New Roman" w:hAnsi="Times New Roman"/>
                <w:sz w:val="18"/>
                <w:szCs w:val="18"/>
              </w:rPr>
              <w:sym w:font="Wingdings" w:char="F09E"/>
            </w:r>
            <w:r>
              <w:rPr>
                <w:rFonts w:hint="eastAsia" w:ascii="Times New Roman" w:hAnsi="Times New Roman"/>
                <w:sz w:val="18"/>
                <w:szCs w:val="18"/>
              </w:rPr>
              <w:t>K</w:t>
            </w:r>
            <w:r>
              <w:rPr>
                <w:rFonts w:ascii="Times New Roman" w:hAnsi="Times New Roman"/>
                <w:sz w:val="18"/>
                <w:szCs w:val="18"/>
              </w:rPr>
              <w:t>）</w:t>
            </w:r>
            <w:r>
              <w:rPr>
                <w:rFonts w:hint="eastAsia" w:ascii="Times New Roman" w:hAnsi="Times New Roman"/>
                <w:sz w:val="18"/>
                <w:szCs w:val="18"/>
              </w:rPr>
              <w:t>]</w:t>
            </w:r>
          </w:p>
        </w:tc>
        <w:tc>
          <w:tcPr>
            <w:tcW w:w="1534" w:type="dxa"/>
            <w:tcBorders>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太阳得热系数SHGC（东、南、西向/北向）</w:t>
            </w:r>
          </w:p>
        </w:tc>
        <w:tc>
          <w:tcPr>
            <w:tcW w:w="1279" w:type="dxa"/>
            <w:tcBorders>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传热系数</w:t>
            </w:r>
          </w:p>
          <w:p>
            <w:pPr>
              <w:overflowPunct w:val="0"/>
              <w:jc w:val="center"/>
              <w:rPr>
                <w:rFonts w:ascii="Times New Roman" w:hAnsi="Times New Roman"/>
                <w:sz w:val="18"/>
                <w:szCs w:val="18"/>
              </w:rPr>
            </w:pPr>
            <w:r>
              <w:rPr>
                <w:rFonts w:hint="eastAsia" w:ascii="Times New Roman" w:hAnsi="Times New Roman"/>
                <w:sz w:val="18"/>
                <w:szCs w:val="18"/>
              </w:rPr>
              <w:t>K[</w:t>
            </w:r>
            <w:r>
              <w:rPr>
                <w:rFonts w:ascii="Times New Roman" w:hAnsi="Times New Roman"/>
                <w:sz w:val="18"/>
                <w:szCs w:val="18"/>
              </w:rPr>
              <w:t>W/（m</w:t>
            </w:r>
            <w:r>
              <w:rPr>
                <w:rFonts w:ascii="Times New Roman" w:hAnsi="Times New Roman"/>
                <w:sz w:val="18"/>
                <w:szCs w:val="18"/>
                <w:vertAlign w:val="superscript"/>
              </w:rPr>
              <w:t>2</w:t>
            </w:r>
            <w:r>
              <w:rPr>
                <w:rFonts w:ascii="Times New Roman" w:hAnsi="Times New Roman"/>
                <w:sz w:val="18"/>
                <w:szCs w:val="18"/>
              </w:rPr>
              <w:sym w:font="Wingdings" w:char="F09E"/>
            </w:r>
            <w:r>
              <w:rPr>
                <w:rFonts w:hint="eastAsia" w:ascii="Times New Roman" w:hAnsi="Times New Roman"/>
                <w:sz w:val="18"/>
                <w:szCs w:val="18"/>
              </w:rPr>
              <w:t>K</w:t>
            </w:r>
            <w:r>
              <w:rPr>
                <w:rFonts w:ascii="Times New Roman" w:hAnsi="Times New Roman"/>
                <w:sz w:val="18"/>
                <w:szCs w:val="18"/>
              </w:rPr>
              <w:t>）</w:t>
            </w:r>
            <w:r>
              <w:rPr>
                <w:rFonts w:hint="eastAsia" w:ascii="Times New Roman" w:hAnsi="Times New Roman"/>
                <w:sz w:val="18"/>
                <w:szCs w:val="18"/>
              </w:rPr>
              <w:t>]</w:t>
            </w:r>
          </w:p>
        </w:tc>
        <w:tc>
          <w:tcPr>
            <w:tcW w:w="1478" w:type="dxa"/>
            <w:tcBorders>
              <w:left w:val="single" w:color="auto" w:sz="4" w:space="0"/>
              <w:bottom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太阳得热系数SHGC（东、南、西向/北向）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57" w:type="dxa"/>
            <w:bottom w:w="0" w:type="dxa"/>
            <w:right w:w="57" w:type="dxa"/>
          </w:tblCellMar>
        </w:tblPrEx>
        <w:trPr>
          <w:jc w:val="center"/>
        </w:trPr>
        <w:tc>
          <w:tcPr>
            <w:tcW w:w="2136" w:type="dxa"/>
            <w:gridSpan w:val="2"/>
            <w:vMerge w:val="restart"/>
            <w:tcBorders>
              <w:top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屋面</w:t>
            </w:r>
          </w:p>
        </w:tc>
        <w:tc>
          <w:tcPr>
            <w:tcW w:w="1715" w:type="dxa"/>
            <w:tcBorders>
              <w:top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高层</w:t>
            </w:r>
          </w:p>
        </w:tc>
        <w:tc>
          <w:tcPr>
            <w:tcW w:w="1221" w:type="dxa"/>
            <w:tcBorders>
              <w:top w:val="single" w:color="auto" w:sz="4" w:space="0"/>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≤0.40</w:t>
            </w:r>
          </w:p>
        </w:tc>
        <w:tc>
          <w:tcPr>
            <w:tcW w:w="1534" w:type="dxa"/>
            <w:tcBorders>
              <w:top w:val="single" w:color="auto" w:sz="4" w:space="0"/>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w:t>
            </w:r>
          </w:p>
        </w:tc>
        <w:tc>
          <w:tcPr>
            <w:tcW w:w="1279" w:type="dxa"/>
            <w:tcBorders>
              <w:top w:val="single" w:color="auto" w:sz="4" w:space="0"/>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≤0.30</w:t>
            </w:r>
          </w:p>
        </w:tc>
        <w:tc>
          <w:tcPr>
            <w:tcW w:w="1478" w:type="dxa"/>
            <w:tcBorders>
              <w:top w:val="single" w:color="auto" w:sz="4" w:space="0"/>
              <w:left w:val="single" w:color="auto" w:sz="4" w:space="0"/>
              <w:bottom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PrEx>
        <w:trPr>
          <w:jc w:val="center"/>
        </w:trPr>
        <w:tc>
          <w:tcPr>
            <w:tcW w:w="2136" w:type="dxa"/>
            <w:gridSpan w:val="2"/>
            <w:vMerge w:val="continue"/>
            <w:tcBorders>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p>
        </w:tc>
        <w:tc>
          <w:tcPr>
            <w:tcW w:w="1715" w:type="dxa"/>
            <w:tcBorders>
              <w:top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单、多层</w:t>
            </w:r>
          </w:p>
        </w:tc>
        <w:tc>
          <w:tcPr>
            <w:tcW w:w="1221" w:type="dxa"/>
            <w:tcBorders>
              <w:top w:val="single" w:color="auto" w:sz="4" w:space="0"/>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≤0.30</w:t>
            </w:r>
          </w:p>
        </w:tc>
        <w:tc>
          <w:tcPr>
            <w:tcW w:w="1534" w:type="dxa"/>
            <w:tcBorders>
              <w:top w:val="single" w:color="auto" w:sz="4" w:space="0"/>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p>
        </w:tc>
        <w:tc>
          <w:tcPr>
            <w:tcW w:w="1279" w:type="dxa"/>
            <w:tcBorders>
              <w:top w:val="single" w:color="auto" w:sz="4" w:space="0"/>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≤0.20</w:t>
            </w:r>
          </w:p>
        </w:tc>
        <w:tc>
          <w:tcPr>
            <w:tcW w:w="1478" w:type="dxa"/>
            <w:tcBorders>
              <w:top w:val="single" w:color="auto" w:sz="4" w:space="0"/>
              <w:left w:val="single" w:color="auto" w:sz="4" w:space="0"/>
              <w:bottom w:val="single" w:color="auto" w:sz="4" w:space="0"/>
              <w:tl2br w:val="nil"/>
              <w:tr2bl w:val="nil"/>
            </w:tcBorders>
            <w:vAlign w:val="center"/>
          </w:tcPr>
          <w:p>
            <w:pPr>
              <w:overflowPunct w:val="0"/>
              <w:jc w:val="center"/>
              <w:rPr>
                <w:rFonts w:ascii="Times New Roman" w:hAnsi="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57" w:type="dxa"/>
            <w:bottom w:w="0" w:type="dxa"/>
            <w:right w:w="57" w:type="dxa"/>
          </w:tblCellMar>
        </w:tblPrEx>
        <w:trPr>
          <w:jc w:val="center"/>
        </w:trPr>
        <w:tc>
          <w:tcPr>
            <w:tcW w:w="2136" w:type="dxa"/>
            <w:gridSpan w:val="2"/>
            <w:vMerge w:val="restart"/>
            <w:tcBorders>
              <w:top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外墙（包括非透光幕墙）</w:t>
            </w:r>
          </w:p>
        </w:tc>
        <w:tc>
          <w:tcPr>
            <w:tcW w:w="1715" w:type="dxa"/>
            <w:tcBorders>
              <w:top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热惰性指标D≤2.5</w:t>
            </w:r>
          </w:p>
        </w:tc>
        <w:tc>
          <w:tcPr>
            <w:tcW w:w="1221" w:type="dxa"/>
            <w:tcBorders>
              <w:top w:val="single" w:color="auto" w:sz="4" w:space="0"/>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≤0.50</w:t>
            </w:r>
          </w:p>
        </w:tc>
        <w:tc>
          <w:tcPr>
            <w:tcW w:w="1534" w:type="dxa"/>
            <w:tcBorders>
              <w:top w:val="single" w:color="auto" w:sz="4" w:space="0"/>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w:t>
            </w:r>
          </w:p>
        </w:tc>
        <w:tc>
          <w:tcPr>
            <w:tcW w:w="1279" w:type="dxa"/>
            <w:tcBorders>
              <w:top w:val="single" w:color="auto" w:sz="4" w:space="0"/>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≤0.40</w:t>
            </w:r>
          </w:p>
        </w:tc>
        <w:tc>
          <w:tcPr>
            <w:tcW w:w="1478" w:type="dxa"/>
            <w:tcBorders>
              <w:top w:val="single" w:color="auto" w:sz="4" w:space="0"/>
              <w:left w:val="single" w:color="auto" w:sz="4" w:space="0"/>
              <w:bottom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57" w:type="dxa"/>
            <w:bottom w:w="0" w:type="dxa"/>
            <w:right w:w="57" w:type="dxa"/>
          </w:tblCellMar>
        </w:tblPrEx>
        <w:trPr>
          <w:jc w:val="center"/>
        </w:trPr>
        <w:tc>
          <w:tcPr>
            <w:tcW w:w="2136" w:type="dxa"/>
            <w:gridSpan w:val="2"/>
            <w:vMerge w:val="continue"/>
            <w:tcBorders>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p>
        </w:tc>
        <w:tc>
          <w:tcPr>
            <w:tcW w:w="1715" w:type="dxa"/>
            <w:tcBorders>
              <w:top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热惰性指标D＞2.5</w:t>
            </w:r>
          </w:p>
        </w:tc>
        <w:tc>
          <w:tcPr>
            <w:tcW w:w="1221" w:type="dxa"/>
            <w:tcBorders>
              <w:top w:val="single" w:color="auto" w:sz="4" w:space="0"/>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≤0.60</w:t>
            </w:r>
          </w:p>
        </w:tc>
        <w:tc>
          <w:tcPr>
            <w:tcW w:w="1534" w:type="dxa"/>
            <w:tcBorders>
              <w:top w:val="single" w:color="auto" w:sz="4" w:space="0"/>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w:t>
            </w:r>
          </w:p>
        </w:tc>
        <w:tc>
          <w:tcPr>
            <w:tcW w:w="1279" w:type="dxa"/>
            <w:tcBorders>
              <w:top w:val="single" w:color="auto" w:sz="4" w:space="0"/>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≤0.50</w:t>
            </w:r>
          </w:p>
        </w:tc>
        <w:tc>
          <w:tcPr>
            <w:tcW w:w="1478" w:type="dxa"/>
            <w:tcBorders>
              <w:top w:val="single" w:color="auto" w:sz="4" w:space="0"/>
              <w:left w:val="single" w:color="auto" w:sz="4" w:space="0"/>
              <w:bottom w:val="single" w:color="auto" w:sz="4" w:space="0"/>
              <w:tl2br w:val="nil"/>
              <w:tr2bl w:val="nil"/>
            </w:tcBorders>
            <w:vAlign w:val="center"/>
          </w:tcPr>
          <w:p>
            <w:pPr>
              <w:overflowPunct w:val="0"/>
              <w:jc w:val="center"/>
              <w:rPr>
                <w:rFonts w:ascii="Times New Roman" w:hAnsi="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57" w:type="dxa"/>
            <w:bottom w:w="0" w:type="dxa"/>
            <w:right w:w="57" w:type="dxa"/>
          </w:tblCellMar>
        </w:tblPrEx>
        <w:trPr>
          <w:jc w:val="center"/>
        </w:trPr>
        <w:tc>
          <w:tcPr>
            <w:tcW w:w="3851" w:type="dxa"/>
            <w:gridSpan w:val="3"/>
            <w:tcBorders>
              <w:top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底面接触室外空气的架空或外挑楼板</w:t>
            </w:r>
          </w:p>
        </w:tc>
        <w:tc>
          <w:tcPr>
            <w:tcW w:w="1221" w:type="dxa"/>
            <w:tcBorders>
              <w:top w:val="single" w:color="auto" w:sz="4" w:space="0"/>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≤0.60</w:t>
            </w:r>
          </w:p>
        </w:tc>
        <w:tc>
          <w:tcPr>
            <w:tcW w:w="1534" w:type="dxa"/>
            <w:tcBorders>
              <w:top w:val="single" w:color="auto" w:sz="4" w:space="0"/>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w:t>
            </w:r>
          </w:p>
        </w:tc>
        <w:tc>
          <w:tcPr>
            <w:tcW w:w="1279" w:type="dxa"/>
            <w:tcBorders>
              <w:top w:val="single" w:color="auto" w:sz="4" w:space="0"/>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≤0.50</w:t>
            </w:r>
          </w:p>
        </w:tc>
        <w:tc>
          <w:tcPr>
            <w:tcW w:w="1478" w:type="dxa"/>
            <w:tcBorders>
              <w:top w:val="single" w:color="auto" w:sz="4" w:space="0"/>
              <w:left w:val="single" w:color="auto" w:sz="4" w:space="0"/>
              <w:bottom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PrEx>
        <w:trPr>
          <w:jc w:val="center"/>
        </w:trPr>
        <w:tc>
          <w:tcPr>
            <w:tcW w:w="3851" w:type="dxa"/>
            <w:gridSpan w:val="3"/>
            <w:tcBorders>
              <w:top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地下车库与供暖房间之间的楼板</w:t>
            </w:r>
          </w:p>
        </w:tc>
        <w:tc>
          <w:tcPr>
            <w:tcW w:w="1221" w:type="dxa"/>
            <w:tcBorders>
              <w:top w:val="single" w:color="auto" w:sz="4" w:space="0"/>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w:t>
            </w:r>
          </w:p>
        </w:tc>
        <w:tc>
          <w:tcPr>
            <w:tcW w:w="1534" w:type="dxa"/>
            <w:tcBorders>
              <w:top w:val="single" w:color="auto" w:sz="4" w:space="0"/>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w:t>
            </w:r>
          </w:p>
        </w:tc>
        <w:tc>
          <w:tcPr>
            <w:tcW w:w="1279" w:type="dxa"/>
            <w:tcBorders>
              <w:top w:val="single" w:color="auto" w:sz="4" w:space="0"/>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≤1.00</w:t>
            </w:r>
          </w:p>
        </w:tc>
        <w:tc>
          <w:tcPr>
            <w:tcW w:w="1478" w:type="dxa"/>
            <w:tcBorders>
              <w:top w:val="single" w:color="auto" w:sz="4" w:space="0"/>
              <w:left w:val="single" w:color="auto" w:sz="4" w:space="0"/>
              <w:bottom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57" w:type="dxa"/>
            <w:bottom w:w="0" w:type="dxa"/>
            <w:right w:w="57" w:type="dxa"/>
          </w:tblCellMar>
        </w:tblPrEx>
        <w:trPr>
          <w:jc w:val="center"/>
        </w:trPr>
        <w:tc>
          <w:tcPr>
            <w:tcW w:w="3851" w:type="dxa"/>
            <w:gridSpan w:val="3"/>
            <w:tcBorders>
              <w:top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非供暖楼梯间与供暖房间之间的隔墙</w:t>
            </w:r>
          </w:p>
        </w:tc>
        <w:tc>
          <w:tcPr>
            <w:tcW w:w="1221" w:type="dxa"/>
            <w:tcBorders>
              <w:top w:val="single" w:color="auto" w:sz="4" w:space="0"/>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≤1.50</w:t>
            </w:r>
          </w:p>
        </w:tc>
        <w:tc>
          <w:tcPr>
            <w:tcW w:w="1534" w:type="dxa"/>
            <w:tcBorders>
              <w:top w:val="single" w:color="auto" w:sz="4" w:space="0"/>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w:t>
            </w:r>
          </w:p>
        </w:tc>
        <w:tc>
          <w:tcPr>
            <w:tcW w:w="1279" w:type="dxa"/>
            <w:tcBorders>
              <w:top w:val="single" w:color="auto" w:sz="4" w:space="0"/>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≤1.20</w:t>
            </w:r>
          </w:p>
        </w:tc>
        <w:tc>
          <w:tcPr>
            <w:tcW w:w="1478" w:type="dxa"/>
            <w:tcBorders>
              <w:top w:val="single" w:color="auto" w:sz="4" w:space="0"/>
              <w:left w:val="single" w:color="auto" w:sz="4" w:space="0"/>
              <w:bottom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57" w:type="dxa"/>
            <w:bottom w:w="0" w:type="dxa"/>
            <w:right w:w="57" w:type="dxa"/>
          </w:tblCellMar>
        </w:tblPrEx>
        <w:trPr>
          <w:trHeight w:val="284" w:hRule="atLeast"/>
          <w:jc w:val="center"/>
        </w:trPr>
        <w:tc>
          <w:tcPr>
            <w:tcW w:w="1601" w:type="dxa"/>
            <w:vMerge w:val="restart"/>
            <w:tcBorders>
              <w:top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单一立面外窗</w:t>
            </w:r>
          </w:p>
          <w:p>
            <w:pPr>
              <w:overflowPunct w:val="0"/>
              <w:jc w:val="center"/>
              <w:rPr>
                <w:rFonts w:ascii="Times New Roman" w:hAnsi="Times New Roman"/>
                <w:sz w:val="18"/>
                <w:szCs w:val="18"/>
              </w:rPr>
            </w:pPr>
            <w:r>
              <w:rPr>
                <w:rFonts w:hint="eastAsia" w:ascii="Times New Roman" w:hAnsi="Times New Roman"/>
                <w:sz w:val="18"/>
                <w:szCs w:val="18"/>
              </w:rPr>
              <w:t>（包括透光幕墙）</w:t>
            </w:r>
          </w:p>
        </w:tc>
        <w:tc>
          <w:tcPr>
            <w:tcW w:w="2250" w:type="dxa"/>
            <w:gridSpan w:val="2"/>
            <w:tcBorders>
              <w:top w:val="single" w:color="auto" w:sz="4" w:space="0"/>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窗墙面积比≤0.20</w:t>
            </w:r>
          </w:p>
        </w:tc>
        <w:tc>
          <w:tcPr>
            <w:tcW w:w="1221" w:type="dxa"/>
            <w:tcBorders>
              <w:top w:val="single" w:color="auto" w:sz="4" w:space="0"/>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≤2.00</w:t>
            </w:r>
          </w:p>
        </w:tc>
        <w:tc>
          <w:tcPr>
            <w:tcW w:w="1534" w:type="dxa"/>
            <w:tcBorders>
              <w:top w:val="single" w:color="auto" w:sz="4" w:space="0"/>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≤0.40</w:t>
            </w:r>
          </w:p>
        </w:tc>
        <w:tc>
          <w:tcPr>
            <w:tcW w:w="1279" w:type="dxa"/>
            <w:tcBorders>
              <w:top w:val="single" w:color="auto" w:sz="4" w:space="0"/>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≤1.50</w:t>
            </w:r>
          </w:p>
        </w:tc>
        <w:tc>
          <w:tcPr>
            <w:tcW w:w="1478" w:type="dxa"/>
            <w:tcBorders>
              <w:top w:val="single" w:color="auto" w:sz="4" w:space="0"/>
              <w:left w:val="single" w:color="auto" w:sz="4" w:space="0"/>
              <w:bottom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57" w:type="dxa"/>
            <w:bottom w:w="0" w:type="dxa"/>
            <w:right w:w="57" w:type="dxa"/>
          </w:tblCellMar>
        </w:tblPrEx>
        <w:trPr>
          <w:jc w:val="center"/>
        </w:trPr>
        <w:tc>
          <w:tcPr>
            <w:tcW w:w="1601" w:type="dxa"/>
            <w:vMerge w:val="continue"/>
            <w:tcBorders>
              <w:top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p>
        </w:tc>
        <w:tc>
          <w:tcPr>
            <w:tcW w:w="2250" w:type="dxa"/>
            <w:gridSpan w:val="2"/>
            <w:tcBorders>
              <w:top w:val="single" w:color="auto" w:sz="4" w:space="0"/>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0.20＜窗墙面积比≤0.30</w:t>
            </w:r>
          </w:p>
        </w:tc>
        <w:tc>
          <w:tcPr>
            <w:tcW w:w="1221" w:type="dxa"/>
            <w:tcBorders>
              <w:top w:val="single" w:color="auto" w:sz="4" w:space="0"/>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≤1.80</w:t>
            </w:r>
          </w:p>
        </w:tc>
        <w:tc>
          <w:tcPr>
            <w:tcW w:w="1534" w:type="dxa"/>
            <w:tcBorders>
              <w:top w:val="single" w:color="auto" w:sz="4" w:space="0"/>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≤0.35/0.40</w:t>
            </w:r>
          </w:p>
        </w:tc>
        <w:tc>
          <w:tcPr>
            <w:tcW w:w="1279" w:type="dxa"/>
            <w:tcBorders>
              <w:top w:val="single" w:color="auto" w:sz="4" w:space="0"/>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≤1.40</w:t>
            </w:r>
          </w:p>
        </w:tc>
        <w:tc>
          <w:tcPr>
            <w:tcW w:w="1478" w:type="dxa"/>
            <w:tcBorders>
              <w:top w:val="single" w:color="auto" w:sz="4" w:space="0"/>
              <w:left w:val="single" w:color="auto" w:sz="4" w:space="0"/>
              <w:bottom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≤0.40/—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57" w:type="dxa"/>
            <w:bottom w:w="0" w:type="dxa"/>
            <w:right w:w="57" w:type="dxa"/>
          </w:tblCellMar>
        </w:tblPrEx>
        <w:trPr>
          <w:jc w:val="center"/>
        </w:trPr>
        <w:tc>
          <w:tcPr>
            <w:tcW w:w="1601" w:type="dxa"/>
            <w:vMerge w:val="continue"/>
            <w:tcBorders>
              <w:top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p>
        </w:tc>
        <w:tc>
          <w:tcPr>
            <w:tcW w:w="2250" w:type="dxa"/>
            <w:gridSpan w:val="2"/>
            <w:tcBorders>
              <w:top w:val="single" w:color="auto" w:sz="4" w:space="0"/>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0.30＜窗墙面积比≤0.40</w:t>
            </w:r>
          </w:p>
        </w:tc>
        <w:tc>
          <w:tcPr>
            <w:tcW w:w="1221" w:type="dxa"/>
            <w:tcBorders>
              <w:top w:val="single" w:color="auto" w:sz="4" w:space="0"/>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≤1.80</w:t>
            </w:r>
          </w:p>
        </w:tc>
        <w:tc>
          <w:tcPr>
            <w:tcW w:w="1534" w:type="dxa"/>
            <w:tcBorders>
              <w:top w:val="single" w:color="auto" w:sz="4" w:space="0"/>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≤0.30/0.35</w:t>
            </w:r>
          </w:p>
        </w:tc>
        <w:tc>
          <w:tcPr>
            <w:tcW w:w="1279" w:type="dxa"/>
            <w:tcBorders>
              <w:top w:val="single" w:color="auto" w:sz="4" w:space="0"/>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≤1.40</w:t>
            </w:r>
          </w:p>
        </w:tc>
        <w:tc>
          <w:tcPr>
            <w:tcW w:w="1478" w:type="dxa"/>
            <w:tcBorders>
              <w:top w:val="single" w:color="auto" w:sz="4" w:space="0"/>
              <w:left w:val="single" w:color="auto" w:sz="4" w:space="0"/>
              <w:bottom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≤0.35/—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57" w:type="dxa"/>
            <w:bottom w:w="0" w:type="dxa"/>
            <w:right w:w="57" w:type="dxa"/>
          </w:tblCellMar>
        </w:tblPrEx>
        <w:trPr>
          <w:jc w:val="center"/>
        </w:trPr>
        <w:tc>
          <w:tcPr>
            <w:tcW w:w="1601" w:type="dxa"/>
            <w:vMerge w:val="continue"/>
            <w:tcBorders>
              <w:top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p>
        </w:tc>
        <w:tc>
          <w:tcPr>
            <w:tcW w:w="2250" w:type="dxa"/>
            <w:gridSpan w:val="2"/>
            <w:tcBorders>
              <w:top w:val="single" w:color="auto" w:sz="4" w:space="0"/>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0.40＜窗墙面积比≤0.50</w:t>
            </w:r>
          </w:p>
        </w:tc>
        <w:tc>
          <w:tcPr>
            <w:tcW w:w="1221" w:type="dxa"/>
            <w:tcBorders>
              <w:top w:val="single" w:color="auto" w:sz="4" w:space="0"/>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≤1.60</w:t>
            </w:r>
          </w:p>
        </w:tc>
        <w:tc>
          <w:tcPr>
            <w:tcW w:w="1534" w:type="dxa"/>
            <w:tcBorders>
              <w:top w:val="single" w:color="auto" w:sz="4" w:space="0"/>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≤0.25/0.30</w:t>
            </w:r>
          </w:p>
        </w:tc>
        <w:tc>
          <w:tcPr>
            <w:tcW w:w="1279" w:type="dxa"/>
            <w:tcBorders>
              <w:top w:val="single" w:color="auto" w:sz="4" w:space="0"/>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≤1.30</w:t>
            </w:r>
          </w:p>
        </w:tc>
        <w:tc>
          <w:tcPr>
            <w:tcW w:w="1478" w:type="dxa"/>
            <w:tcBorders>
              <w:top w:val="single" w:color="auto" w:sz="4" w:space="0"/>
              <w:left w:val="single" w:color="auto" w:sz="4" w:space="0"/>
              <w:bottom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≤0.35/—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57" w:type="dxa"/>
            <w:bottom w:w="0" w:type="dxa"/>
            <w:right w:w="57" w:type="dxa"/>
          </w:tblCellMar>
        </w:tblPrEx>
        <w:trPr>
          <w:jc w:val="center"/>
        </w:trPr>
        <w:tc>
          <w:tcPr>
            <w:tcW w:w="1601" w:type="dxa"/>
            <w:vMerge w:val="continue"/>
            <w:tcBorders>
              <w:top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p>
        </w:tc>
        <w:tc>
          <w:tcPr>
            <w:tcW w:w="2250" w:type="dxa"/>
            <w:gridSpan w:val="2"/>
            <w:tcBorders>
              <w:top w:val="single" w:color="auto" w:sz="4" w:space="0"/>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0.50＜窗墙面积比≤0.60</w:t>
            </w:r>
          </w:p>
        </w:tc>
        <w:tc>
          <w:tcPr>
            <w:tcW w:w="1221" w:type="dxa"/>
            <w:tcBorders>
              <w:top w:val="single" w:color="auto" w:sz="4" w:space="0"/>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≤1.60</w:t>
            </w:r>
          </w:p>
        </w:tc>
        <w:tc>
          <w:tcPr>
            <w:tcW w:w="1534" w:type="dxa"/>
            <w:tcBorders>
              <w:top w:val="single" w:color="auto" w:sz="4" w:space="0"/>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≤0.25/0.30</w:t>
            </w:r>
          </w:p>
        </w:tc>
        <w:tc>
          <w:tcPr>
            <w:tcW w:w="1279" w:type="dxa"/>
            <w:tcBorders>
              <w:top w:val="single" w:color="auto" w:sz="4" w:space="0"/>
              <w:left w:val="single" w:color="auto" w:sz="4" w:space="0"/>
              <w:bottom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≤1.30</w:t>
            </w:r>
          </w:p>
        </w:tc>
        <w:tc>
          <w:tcPr>
            <w:tcW w:w="1478" w:type="dxa"/>
            <w:tcBorders>
              <w:top w:val="single" w:color="auto" w:sz="4" w:space="0"/>
              <w:left w:val="single" w:color="auto" w:sz="4" w:space="0"/>
              <w:bottom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≤0.30/—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57" w:type="dxa"/>
            <w:bottom w:w="0" w:type="dxa"/>
            <w:right w:w="57" w:type="dxa"/>
          </w:tblCellMar>
        </w:tblPrEx>
        <w:trPr>
          <w:jc w:val="center"/>
        </w:trPr>
        <w:tc>
          <w:tcPr>
            <w:tcW w:w="3851" w:type="dxa"/>
            <w:gridSpan w:val="3"/>
            <w:tcBorders>
              <w:top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屋顶透光部分（屋顶透光部分面积≤20%）</w:t>
            </w:r>
          </w:p>
        </w:tc>
        <w:tc>
          <w:tcPr>
            <w:tcW w:w="1221" w:type="dxa"/>
            <w:tcBorders>
              <w:top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≤1.50</w:t>
            </w:r>
          </w:p>
        </w:tc>
        <w:tc>
          <w:tcPr>
            <w:tcW w:w="1534" w:type="dxa"/>
            <w:tcBorders>
              <w:top w:val="single" w:color="auto" w:sz="4" w:space="0"/>
              <w:left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≤0.25</w:t>
            </w:r>
          </w:p>
        </w:tc>
        <w:tc>
          <w:tcPr>
            <w:tcW w:w="1279" w:type="dxa"/>
            <w:tcBorders>
              <w:top w:val="single" w:color="auto" w:sz="4" w:space="0"/>
              <w:left w:val="single" w:color="auto" w:sz="4" w:space="0"/>
              <w:righ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≤1.20</w:t>
            </w:r>
          </w:p>
        </w:tc>
        <w:tc>
          <w:tcPr>
            <w:tcW w:w="1478" w:type="dxa"/>
            <w:tcBorders>
              <w:top w:val="single" w:color="auto" w:sz="4" w:space="0"/>
              <w:left w:val="single" w:color="auto" w:sz="4" w:space="0"/>
              <w:tl2br w:val="nil"/>
              <w:tr2bl w:val="nil"/>
            </w:tcBorders>
            <w:vAlign w:val="center"/>
          </w:tcPr>
          <w:p>
            <w:pPr>
              <w:overflowPunct w:val="0"/>
              <w:jc w:val="center"/>
              <w:rPr>
                <w:rFonts w:ascii="Times New Roman" w:hAnsi="Times New Roman"/>
                <w:sz w:val="18"/>
                <w:szCs w:val="18"/>
              </w:rPr>
            </w:pPr>
            <w:r>
              <w:rPr>
                <w:rFonts w:hint="eastAsia" w:ascii="Times New Roman" w:hAnsi="Times New Roman"/>
                <w:sz w:val="18"/>
                <w:szCs w:val="18"/>
              </w:rPr>
              <w:t>—</w:t>
            </w:r>
          </w:p>
        </w:tc>
      </w:tr>
    </w:tbl>
    <w:p>
      <w:pPr>
        <w:tabs>
          <w:tab w:val="left" w:pos="0"/>
          <w:tab w:val="left" w:pos="397"/>
        </w:tabs>
        <w:overflowPunct w:val="0"/>
        <w:snapToGrid w:val="0"/>
        <w:spacing w:line="309" w:lineRule="exact"/>
        <w:outlineLvl w:val="2"/>
        <w:rPr>
          <w:rStyle w:val="44"/>
          <w:rFonts w:eastAsia="宋体"/>
          <w:color w:val="auto"/>
        </w:rPr>
      </w:pP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olor w:val="auto"/>
        </w:rPr>
        <w:t>6.1.2</w:t>
      </w:r>
      <w:r>
        <w:rPr>
          <w:rStyle w:val="44"/>
          <w:rFonts w:hint="eastAsia" w:eastAsia="宋体"/>
          <w:color w:val="auto"/>
        </w:rPr>
        <w:t>　</w:t>
      </w:r>
      <w:r>
        <w:rPr>
          <w:rStyle w:val="44"/>
          <w:rFonts w:hint="eastAsia" w:ascii="宋体" w:hAnsi="宋体" w:eastAsia="宋体"/>
          <w:color w:val="auto"/>
        </w:rPr>
        <w:t>公共建筑围护结构保温系统应根据不同主体结构形式进行构造设计和计算，施工图应包含保温范围图示。</w:t>
      </w: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olor w:val="auto"/>
        </w:rPr>
        <w:t>6.1.3　</w:t>
      </w:r>
      <w:r>
        <w:rPr>
          <w:rStyle w:val="44"/>
          <w:rFonts w:hint="eastAsia" w:ascii="宋体" w:hAnsi="宋体" w:eastAsia="宋体"/>
          <w:color w:val="auto"/>
        </w:rPr>
        <w:t>围护结构保温应优先选用高性能保温材料，以减少保温层厚度。且屋面保温材料吸水率应≤3%。</w:t>
      </w: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olor w:val="auto"/>
        </w:rPr>
        <w:t>6.1.4　</w:t>
      </w:r>
      <w:r>
        <w:rPr>
          <w:rStyle w:val="44"/>
          <w:rFonts w:hint="eastAsia" w:ascii="宋体" w:hAnsi="宋体" w:eastAsia="宋体"/>
          <w:color w:val="auto"/>
        </w:rPr>
        <w:t>公共建筑供暖空调房间外墙主体部位传热系数不应大于非供暖空调房间外墙主体部分传热系数。</w:t>
      </w: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olor w:val="auto"/>
        </w:rPr>
        <w:t>6.1.5　</w:t>
      </w:r>
      <w:r>
        <w:rPr>
          <w:rStyle w:val="44"/>
          <w:rFonts w:hint="eastAsia" w:ascii="宋体" w:hAnsi="宋体" w:eastAsia="宋体"/>
          <w:color w:val="auto"/>
        </w:rPr>
        <w:t>建筑外立面采用非透明构件或组合式构造且按非透光面积未计入窗墙比时，该部分热工性能应满足外墙传热系数限值。</w:t>
      </w: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olor w:val="auto"/>
        </w:rPr>
        <w:t>6.1.6　</w:t>
      </w:r>
      <w:r>
        <w:rPr>
          <w:rStyle w:val="44"/>
          <w:rFonts w:hint="eastAsia" w:ascii="宋体" w:hAnsi="宋体" w:eastAsia="宋体"/>
          <w:color w:val="auto"/>
        </w:rPr>
        <w:t>在室内设计温、湿度条件下，建筑围护结构内表面不得结露。</w:t>
      </w: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olor w:val="auto"/>
        </w:rPr>
        <w:t>6.1.7　</w:t>
      </w:r>
      <w:r>
        <w:rPr>
          <w:rStyle w:val="44"/>
          <w:rFonts w:hint="eastAsia" w:ascii="宋体" w:hAnsi="宋体" w:eastAsia="宋体"/>
          <w:color w:val="auto"/>
        </w:rPr>
        <w:t>建筑外窗应控制东、西向开窗面积，各朝向窗墙面积比宜在</w:t>
      </w:r>
      <w:r>
        <w:rPr>
          <w:rStyle w:val="44"/>
          <w:rFonts w:ascii="Times New Roman" w:hAnsi="Times New Roman" w:eastAsia="宋体" w:cs="Times New Roman"/>
          <w:color w:val="auto"/>
        </w:rPr>
        <w:t>0.</w:t>
      </w:r>
      <w:r>
        <w:rPr>
          <w:rStyle w:val="44"/>
          <w:rFonts w:hint="eastAsia" w:ascii="Times New Roman" w:hAnsi="Times New Roman" w:eastAsia="宋体" w:cs="Times New Roman"/>
          <w:color w:val="auto"/>
        </w:rPr>
        <w:t>2</w:t>
      </w:r>
      <w:r>
        <w:rPr>
          <w:rStyle w:val="44"/>
          <w:rFonts w:ascii="Times New Roman" w:hAnsi="Times New Roman" w:eastAsia="宋体" w:cs="Times New Roman"/>
          <w:color w:val="auto"/>
        </w:rPr>
        <w:t>5～0.40</w:t>
      </w:r>
      <w:r>
        <w:rPr>
          <w:rStyle w:val="44"/>
          <w:rFonts w:hint="eastAsia" w:ascii="宋体" w:hAnsi="宋体" w:eastAsia="宋体"/>
          <w:color w:val="auto"/>
        </w:rPr>
        <w:t>之间，不应超过</w:t>
      </w:r>
      <w:r>
        <w:rPr>
          <w:rStyle w:val="44"/>
          <w:rFonts w:ascii="Times New Roman" w:hAnsi="Times New Roman" w:eastAsia="宋体" w:cs="Times New Roman"/>
          <w:color w:val="auto"/>
        </w:rPr>
        <w:t>0.6</w:t>
      </w:r>
      <w:r>
        <w:rPr>
          <w:rStyle w:val="44"/>
          <w:rFonts w:hint="eastAsia" w:ascii="Times New Roman" w:hAnsi="Times New Roman" w:eastAsia="宋体" w:cs="Times New Roman"/>
          <w:color w:val="auto"/>
        </w:rPr>
        <w:t>。</w:t>
      </w: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olor w:val="auto"/>
        </w:rPr>
        <w:t>6.1.8　</w:t>
      </w:r>
      <w:r>
        <w:rPr>
          <w:rStyle w:val="44"/>
          <w:rFonts w:hint="eastAsia" w:ascii="宋体" w:hAnsi="宋体" w:eastAsia="宋体"/>
          <w:color w:val="auto"/>
        </w:rPr>
        <w:t>建筑外墙、屋面外饰面层应采用浅色饰面或隔热反射涂料，外饰面材料太阳辐射吸收系数应小于</w:t>
      </w:r>
      <w:r>
        <w:rPr>
          <w:rStyle w:val="44"/>
          <w:rFonts w:ascii="Times New Roman" w:hAnsi="Times New Roman" w:eastAsia="宋体" w:cs="Times New Roman"/>
          <w:color w:val="auto"/>
        </w:rPr>
        <w:t>0.60</w:t>
      </w:r>
      <w:r>
        <w:rPr>
          <w:rStyle w:val="44"/>
          <w:rFonts w:hint="eastAsia" w:ascii="宋体" w:hAnsi="宋体" w:eastAsia="宋体"/>
          <w:color w:val="auto"/>
        </w:rPr>
        <w:t>。</w:t>
      </w:r>
      <w:r>
        <w:rPr>
          <w:rFonts w:hint="eastAsia" w:ascii="宋体" w:hAnsi="宋体" w:cs="宋体"/>
          <w:szCs w:val="21"/>
        </w:rPr>
        <w:t>屋面可采取架空通风层、蓄水种植隔热屋顶、遮阳构架、光伏一体化屋面等方式提升隔热性能，改善建筑顶层室内环境。</w:t>
      </w: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olor w:val="auto"/>
        </w:rPr>
        <w:t>6.1.9　</w:t>
      </w:r>
      <w:r>
        <w:rPr>
          <w:rStyle w:val="44"/>
          <w:rFonts w:hint="eastAsia" w:ascii="宋体" w:hAnsi="宋体" w:eastAsia="宋体"/>
          <w:color w:val="auto"/>
        </w:rPr>
        <w:t>建筑外门宜采用气密性及保温性好的成品门。</w:t>
      </w: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olor w:val="auto"/>
        </w:rPr>
        <w:t>6.1.10</w:t>
      </w:r>
      <w:r>
        <w:rPr>
          <w:rStyle w:val="44"/>
          <w:rFonts w:hint="eastAsia" w:eastAsia="宋体"/>
          <w:color w:val="auto"/>
        </w:rPr>
        <w:t>　</w:t>
      </w:r>
      <w:r>
        <w:rPr>
          <w:rStyle w:val="44"/>
          <w:rFonts w:hint="eastAsia" w:ascii="宋体" w:hAnsi="宋体" w:eastAsia="宋体"/>
          <w:color w:val="auto"/>
        </w:rPr>
        <w:t>排气（烟）道宜设置在非采暖空调区域</w:t>
      </w:r>
      <w:r>
        <w:rPr>
          <w:rStyle w:val="44"/>
          <w:rFonts w:hint="eastAsia" w:ascii="Times New Roman" w:hAnsi="Times New Roman" w:cs="Times New Roman"/>
          <w:color w:val="auto"/>
        </w:rPr>
        <w:t>。</w:t>
      </w:r>
    </w:p>
    <w:p>
      <w:pPr>
        <w:tabs>
          <w:tab w:val="left" w:pos="397"/>
          <w:tab w:val="left" w:pos="765"/>
        </w:tabs>
        <w:overflowPunct w:val="0"/>
        <w:spacing w:before="156" w:beforeLines="50" w:after="156" w:afterLines="50"/>
        <w:outlineLvl w:val="2"/>
        <w:rPr>
          <w:rFonts w:ascii="黑体" w:hAnsi="黑体" w:eastAsia="黑体" w:cs="Times New Roman"/>
          <w:szCs w:val="21"/>
        </w:rPr>
      </w:pPr>
      <w:r>
        <w:rPr>
          <w:rFonts w:hint="eastAsia" w:ascii="黑体" w:hAnsi="黑体" w:eastAsia="黑体" w:cs="Times New Roman"/>
          <w:szCs w:val="21"/>
        </w:rPr>
        <w:t>6.2　</w:t>
      </w:r>
      <w:bookmarkStart w:id="26" w:name="_Toc32367"/>
      <w:bookmarkStart w:id="27" w:name="_Toc97537099"/>
      <w:r>
        <w:rPr>
          <w:rFonts w:ascii="黑体" w:hAnsi="黑体" w:eastAsia="黑体" w:cs="Times New Roman"/>
          <w:szCs w:val="21"/>
        </w:rPr>
        <w:t>气密性设计</w:t>
      </w:r>
      <w:bookmarkEnd w:id="26"/>
      <w:bookmarkEnd w:id="27"/>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s="Times New Roman"/>
          <w:color w:val="auto"/>
        </w:rPr>
        <w:t>6.2.1　</w:t>
      </w:r>
      <w:r>
        <w:rPr>
          <w:rStyle w:val="44"/>
          <w:rFonts w:hint="eastAsia" w:ascii="宋体" w:hAnsi="宋体" w:eastAsia="宋体"/>
          <w:color w:val="auto"/>
        </w:rPr>
        <w:t>建筑围护结构的气密层设计应符合下列规定：</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a) </w:t>
      </w:r>
      <w:r>
        <w:rPr>
          <w:rFonts w:hint="eastAsia" w:ascii="宋体" w:hAnsi="宋体" w:cs="宋体"/>
          <w:szCs w:val="21"/>
        </w:rPr>
        <w:t>划分气密性单元时，宜将建筑整体作为一个气密性单元；</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b) </w:t>
      </w:r>
      <w:r>
        <w:rPr>
          <w:rFonts w:hint="eastAsia" w:ascii="宋体" w:hAnsi="宋体" w:cs="宋体"/>
          <w:szCs w:val="21"/>
        </w:rPr>
        <w:t>气密层应连续完整，包绕整个气密区域，施工图中应明确标准气密层位置及构造做法；</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c) </w:t>
      </w:r>
      <w:r>
        <w:rPr>
          <w:rFonts w:hint="eastAsia" w:ascii="宋体" w:hAnsi="宋体" w:cs="宋体"/>
          <w:szCs w:val="21"/>
        </w:rPr>
        <w:t>由不同材料、不同围护结构构成的气密层连接处，应采取气密搭接等气密措施；</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d) </w:t>
      </w:r>
      <w:r>
        <w:rPr>
          <w:rFonts w:hint="eastAsia" w:ascii="宋体" w:hAnsi="宋体" w:cs="宋体"/>
          <w:szCs w:val="21"/>
        </w:rPr>
        <w:t>气密性设计应以建筑整体气密性的控制作为设计目标，应对气密层围护结构、门窗构件、洞口的气密性设计予以重点考虑。</w:t>
      </w: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s="Times New Roman"/>
          <w:color w:val="auto"/>
        </w:rPr>
        <w:t>6.2.2　</w:t>
      </w:r>
      <w:r>
        <w:rPr>
          <w:rStyle w:val="44"/>
          <w:rFonts w:hint="eastAsia" w:ascii="宋体" w:hAnsi="宋体" w:eastAsia="宋体"/>
          <w:color w:val="auto"/>
        </w:rPr>
        <w:t>装配式结构构件拼缝部位应采取气密性保障措施；钢结构体系中构件之间、钢构件与墙板、楼面板的拼缝应采取耐久性密封措施。</w:t>
      </w: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s="Times New Roman"/>
          <w:color w:val="auto"/>
        </w:rPr>
        <w:t>6.2.3　</w:t>
      </w:r>
      <w:r>
        <w:rPr>
          <w:rStyle w:val="44"/>
          <w:rFonts w:hint="eastAsia" w:ascii="宋体" w:hAnsi="宋体" w:eastAsia="宋体"/>
          <w:color w:val="auto"/>
        </w:rPr>
        <w:t>外围护结构各类贯穿性洞口应采取气密性加强措施，穿气密层的机电系统管线交接部位应采用耐久性良好的密封材料密封。</w:t>
      </w:r>
    </w:p>
    <w:p>
      <w:pPr>
        <w:tabs>
          <w:tab w:val="left" w:pos="0"/>
          <w:tab w:val="left" w:pos="397"/>
        </w:tabs>
        <w:overflowPunct w:val="0"/>
        <w:snapToGrid w:val="0"/>
        <w:spacing w:line="309" w:lineRule="exact"/>
        <w:outlineLvl w:val="2"/>
        <w:rPr>
          <w:rFonts w:ascii="宋体" w:hAnsi="宋体" w:cs="宋体"/>
          <w:szCs w:val="21"/>
        </w:rPr>
      </w:pPr>
      <w:r>
        <w:rPr>
          <w:rFonts w:ascii="黑体" w:hAnsi="黑体" w:eastAsia="宋体" w:cs="Times New Roman"/>
          <w:szCs w:val="21"/>
        </w:rPr>
        <w:t>6.2.4　</w:t>
      </w:r>
      <w:r>
        <w:rPr>
          <w:rStyle w:val="44"/>
          <w:rFonts w:hint="eastAsia" w:ascii="宋体" w:hAnsi="宋体" w:eastAsia="宋体"/>
          <w:color w:val="auto"/>
        </w:rPr>
        <w:t>开关、插座、接线盒、消火栓等宜避免设置在有气密要求的墙体，若必须设置，应采取气密性加强措施。</w:t>
      </w: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s="Times New Roman"/>
          <w:color w:val="auto"/>
        </w:rPr>
        <w:t>6.2.5　</w:t>
      </w:r>
      <w:r>
        <w:rPr>
          <w:rStyle w:val="44"/>
          <w:rFonts w:hint="eastAsia" w:ascii="宋体" w:hAnsi="宋体" w:eastAsia="宋体"/>
          <w:color w:val="auto"/>
        </w:rPr>
        <w:t>建筑设计应避免电梯井道穿越气密性单元边界，若必须穿越，宜采取封闭电梯厅等具有气密分隔作用的设计或气密性加强的构造措施。</w:t>
      </w: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s="Times New Roman"/>
          <w:color w:val="auto"/>
        </w:rPr>
        <w:t>6.2.6　</w:t>
      </w:r>
      <w:r>
        <w:rPr>
          <w:rStyle w:val="44"/>
          <w:rFonts w:hint="eastAsia" w:ascii="宋体" w:hAnsi="宋体" w:eastAsia="宋体"/>
          <w:color w:val="auto"/>
        </w:rPr>
        <w:t>外窗气密性能不应低于7级，幕墙气密性能不应低于4级，外门气密性能不宜低于6级。</w:t>
      </w: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s="Times New Roman"/>
          <w:color w:val="auto"/>
        </w:rPr>
        <w:t>6.2.7　</w:t>
      </w:r>
      <w:r>
        <w:rPr>
          <w:rStyle w:val="44"/>
          <w:rFonts w:hint="eastAsia" w:ascii="宋体" w:hAnsi="宋体" w:eastAsia="宋体"/>
          <w:color w:val="auto"/>
        </w:rPr>
        <w:t>当建筑出入口采用旋转门、自动平移门、地弹门等自身不具有气密性的外门时，应通过设置门斗、门套、双层门等设计或构造形式加强气密性。</w:t>
      </w: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s="Times New Roman"/>
          <w:color w:val="auto"/>
        </w:rPr>
        <w:t>6.2.8　</w:t>
      </w:r>
      <w:r>
        <w:rPr>
          <w:rStyle w:val="44"/>
          <w:rFonts w:hint="eastAsia" w:ascii="宋体" w:hAnsi="宋体" w:eastAsia="宋体"/>
          <w:color w:val="auto"/>
        </w:rPr>
        <w:t>外窗（包括透明幕墙）与结构墙体之间的缝隙应采用耐久性良好的密封材料密封。采用防水隔（透）汽材料时，应满足下列要求：</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a) </w:t>
      </w:r>
      <w:r>
        <w:rPr>
          <w:rFonts w:hint="eastAsia" w:ascii="宋体" w:hAnsi="宋体" w:cs="宋体"/>
          <w:szCs w:val="21"/>
        </w:rPr>
        <w:t>防水隔（透）汽材料与门窗框粘贴宽度不应小于</w:t>
      </w:r>
      <w:r>
        <w:rPr>
          <w:rFonts w:ascii="Times New Roman" w:hAnsi="Times New Roman" w:cs="Times New Roman"/>
          <w:szCs w:val="21"/>
        </w:rPr>
        <w:t>15mm</w:t>
      </w:r>
      <w:r>
        <w:rPr>
          <w:rFonts w:hint="eastAsia" w:ascii="宋体" w:hAnsi="宋体" w:cs="宋体"/>
          <w:szCs w:val="21"/>
        </w:rPr>
        <w:t>，粘贴应紧密，无起鼓漏气现象；</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b) </w:t>
      </w:r>
      <w:r>
        <w:rPr>
          <w:rFonts w:hint="eastAsia" w:ascii="宋体" w:hAnsi="宋体" w:cs="宋体"/>
          <w:szCs w:val="21"/>
        </w:rPr>
        <w:t>防水隔（透）汽材料与基层墙体粘贴宽度不应小于</w:t>
      </w:r>
      <w:r>
        <w:rPr>
          <w:rFonts w:ascii="Times New Roman" w:hAnsi="Times New Roman" w:cs="Times New Roman"/>
          <w:szCs w:val="21"/>
        </w:rPr>
        <w:t>50mm</w:t>
      </w:r>
      <w:r>
        <w:rPr>
          <w:rFonts w:hint="eastAsia" w:ascii="宋体" w:hAnsi="宋体" w:cs="宋体"/>
          <w:szCs w:val="21"/>
        </w:rPr>
        <w:t>，粘贴密实，无起鼓漏气现象；</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c) </w:t>
      </w:r>
      <w:r>
        <w:rPr>
          <w:rFonts w:hint="eastAsia" w:ascii="宋体" w:hAnsi="宋体" w:cs="宋体"/>
          <w:szCs w:val="21"/>
        </w:rPr>
        <w:t>防水隔（透）汽材料不宜直接粘贴在保温层上；</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d) </w:t>
      </w:r>
      <w:r>
        <w:rPr>
          <w:rFonts w:hint="eastAsia" w:ascii="宋体" w:hAnsi="宋体" w:cs="宋体"/>
          <w:szCs w:val="21"/>
        </w:rPr>
        <w:t>防水隔（透）汽材料表面应使用适当厚度的材料进行隐蔽覆盖。</w:t>
      </w:r>
    </w:p>
    <w:p>
      <w:pPr>
        <w:tabs>
          <w:tab w:val="left" w:pos="397"/>
          <w:tab w:val="left" w:pos="765"/>
        </w:tabs>
        <w:overflowPunct w:val="0"/>
        <w:spacing w:before="156" w:beforeLines="50" w:after="156" w:afterLines="50"/>
        <w:outlineLvl w:val="2"/>
        <w:rPr>
          <w:rFonts w:ascii="黑体" w:hAnsi="黑体" w:eastAsia="黑体" w:cs="Times New Roman"/>
          <w:szCs w:val="21"/>
        </w:rPr>
      </w:pPr>
      <w:r>
        <w:rPr>
          <w:rFonts w:hint="eastAsia" w:ascii="黑体" w:hAnsi="黑体" w:eastAsia="黑体" w:cs="Times New Roman"/>
          <w:szCs w:val="21"/>
        </w:rPr>
        <w:t>6.3　</w:t>
      </w:r>
      <w:bookmarkStart w:id="28" w:name="_Toc11373"/>
      <w:r>
        <w:rPr>
          <w:rFonts w:hint="eastAsia" w:ascii="黑体" w:hAnsi="黑体" w:eastAsia="黑体" w:cs="Times New Roman"/>
          <w:szCs w:val="21"/>
        </w:rPr>
        <w:t>建筑节能构造设计</w:t>
      </w:r>
      <w:bookmarkEnd w:id="28"/>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s="Times New Roman"/>
          <w:color w:val="auto"/>
        </w:rPr>
        <w:t>6.3.1　</w:t>
      </w:r>
      <w:r>
        <w:rPr>
          <w:rStyle w:val="44"/>
          <w:rFonts w:hint="eastAsia" w:ascii="宋体" w:hAnsi="宋体" w:eastAsia="宋体"/>
          <w:color w:val="auto"/>
        </w:rPr>
        <w:t>公共建筑应根据基层墙体类型和外立面类型选择适宜的保温体系，外墙保温工程应符合</w:t>
      </w:r>
      <w:r>
        <w:rPr>
          <w:rStyle w:val="44"/>
          <w:rFonts w:ascii="Times New Roman" w:hAnsi="Times New Roman" w:eastAsia="宋体" w:cs="Times New Roman"/>
          <w:color w:val="auto"/>
        </w:rPr>
        <w:t>DB42/T2068</w:t>
      </w:r>
      <w:r>
        <w:rPr>
          <w:rStyle w:val="44"/>
          <w:rFonts w:hint="eastAsia" w:ascii="宋体" w:hAnsi="宋体" w:eastAsia="宋体"/>
          <w:color w:val="auto"/>
        </w:rPr>
        <w:t>规定。当外立面采用幕墙体系时，宜采用单元式幕墙方式。</w:t>
      </w: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s="Times New Roman"/>
          <w:color w:val="auto"/>
        </w:rPr>
        <w:t>6.3.2　</w:t>
      </w:r>
      <w:r>
        <w:rPr>
          <w:rStyle w:val="44"/>
          <w:rFonts w:hint="eastAsia" w:ascii="宋体" w:hAnsi="宋体" w:eastAsia="宋体"/>
          <w:color w:val="auto"/>
        </w:rPr>
        <w:t>外墙热桥处理应符合下列规定：</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a) </w:t>
      </w:r>
      <w:r>
        <w:rPr>
          <w:rFonts w:hint="eastAsia" w:ascii="宋体" w:hAnsi="宋体" w:cs="宋体"/>
          <w:szCs w:val="21"/>
        </w:rPr>
        <w:t>　外围护结构的保温层宜连续完整；</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b) </w:t>
      </w:r>
      <w:r>
        <w:rPr>
          <w:rFonts w:hint="eastAsia" w:ascii="宋体" w:hAnsi="宋体" w:cs="宋体"/>
          <w:szCs w:val="21"/>
        </w:rPr>
        <w:t>　外墙上固定导轨、龙骨、支架等可能导致热桥的部件时，应在外墙上设置具有断热桥作用的锚固件，或采用减少接触面积、增加隔热间层、使用非金属材料等措施；</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c) </w:t>
      </w:r>
      <w:r>
        <w:rPr>
          <w:rFonts w:hint="eastAsia" w:ascii="宋体" w:hAnsi="宋体" w:cs="宋体"/>
          <w:szCs w:val="21"/>
        </w:rPr>
        <w:t>　当外墙采用幕墙系统时，幕墙龙骨不宜占用保温层位置或打断保温层，否则应在龙骨处加强保温措施。</w:t>
      </w: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s="Times New Roman"/>
          <w:color w:val="auto"/>
        </w:rPr>
        <w:t>6.3.3　</w:t>
      </w:r>
      <w:r>
        <w:rPr>
          <w:rStyle w:val="44"/>
          <w:rFonts w:hint="eastAsia" w:ascii="宋体" w:hAnsi="宋体" w:eastAsia="宋体"/>
          <w:color w:val="auto"/>
        </w:rPr>
        <w:t>屋面热桥处理应符合下列规定：</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a) </w:t>
      </w:r>
      <w:r>
        <w:rPr>
          <w:rFonts w:hint="eastAsia" w:ascii="宋体" w:hAnsi="宋体" w:cs="宋体"/>
          <w:szCs w:val="21"/>
        </w:rPr>
        <w:t>　外墙采用外保温系统时，屋面保温层应与外墙保温层连续；</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b) </w:t>
      </w:r>
      <w:r>
        <w:rPr>
          <w:rFonts w:hint="eastAsia" w:ascii="宋体" w:hAnsi="宋体" w:cs="宋体"/>
          <w:szCs w:val="21"/>
        </w:rPr>
        <w:t>　采用分层保温材料时，应分层错缝铺贴，各层应有粘结固定；</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c) </w:t>
      </w:r>
      <w:r>
        <w:rPr>
          <w:rFonts w:hint="eastAsia" w:ascii="宋体" w:hAnsi="宋体" w:cs="宋体"/>
          <w:szCs w:val="21"/>
        </w:rPr>
        <w:t>金属屋面、木屋面等轻质屋面，应在保温层靠室外侧设置防水层、结构层下方设置隔汽层；</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d) </w:t>
      </w:r>
      <w:r>
        <w:rPr>
          <w:rFonts w:hint="eastAsia" w:ascii="宋体" w:hAnsi="宋体" w:cs="宋体"/>
          <w:szCs w:val="21"/>
        </w:rPr>
        <w:t>采用正置式保温的屋面，结构层上、保温层下应设置隔汽层；采用倒置式保温的屋面，保温层靠近室外一侧应设置防水层，防水层应延续到女儿墙顶部盖板内；</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e) </w:t>
      </w:r>
      <w:r>
        <w:rPr>
          <w:rFonts w:hint="eastAsia" w:ascii="宋体" w:hAnsi="宋体" w:cs="宋体"/>
          <w:szCs w:val="21"/>
        </w:rPr>
        <w:t>对女儿墙、设备基础、屋面构架、管井、出入口台阶等突出屋面的结构体，应考虑避免热桥的保温措施，其中气候二区应采用保温材料全部包覆，其保温层应与屋面、墙面保温层连续。女儿墙顶部、土建风道出风口顶部宜设置金属盖板，金属盖板与结构连接部位应采取避免热桥的措施；设备基础处与设备支撑件应做断热处理；</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f) </w:t>
      </w:r>
      <w:r>
        <w:rPr>
          <w:rFonts w:hint="eastAsia" w:ascii="宋体" w:hAnsi="宋体" w:cs="宋体"/>
          <w:szCs w:val="21"/>
        </w:rPr>
        <w:t>　穿屋面管道、落水管与预留洞口之间应预留保温空间，穿屋面管道应设置套管进行保护；套管（或屋面结构主体）与管道间应填充保温材料，并做好密封防水措施。</w:t>
      </w: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s="Times New Roman"/>
          <w:color w:val="auto"/>
        </w:rPr>
        <w:t>6.3.4　</w:t>
      </w:r>
      <w:r>
        <w:rPr>
          <w:rStyle w:val="44"/>
          <w:rFonts w:hint="eastAsia" w:ascii="宋体" w:hAnsi="宋体" w:eastAsia="宋体"/>
          <w:color w:val="auto"/>
        </w:rPr>
        <w:t>外门窗、透明幕墙及其遮阳设施热桥处理应符合下列规定：</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a) </w:t>
      </w:r>
      <w:r>
        <w:rPr>
          <w:rFonts w:hint="eastAsia" w:ascii="宋体" w:hAnsi="宋体" w:cs="宋体"/>
          <w:szCs w:val="21"/>
        </w:rPr>
        <w:t>外门窗应综合考虑节能、防水和安全因素选择安装方式，外窗安装位置宜采用尽量靠近保温层，如采用居中安装应对门窗上下口及侧边进行保温段热桥处理；外门窗应与主体结构进行可靠连接，采取断热桥措施，并应做好防水密封处理；</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b) </w:t>
      </w:r>
      <w:r>
        <w:rPr>
          <w:rFonts w:hint="eastAsia" w:ascii="宋体" w:hAnsi="宋体" w:cs="宋体"/>
          <w:szCs w:val="21"/>
        </w:rPr>
        <w:t>外门窗安装用节能型附框，可采用木塑附框、钢塑复合附框、玻纤增强塑料附框、玻纤增强聚氨酯附框等类型，节能附框的性能指标应符合</w:t>
      </w:r>
      <w:r>
        <w:rPr>
          <w:rFonts w:ascii="Times New Roman" w:hAnsi="Times New Roman" w:cs="Times New Roman"/>
          <w:szCs w:val="21"/>
        </w:rPr>
        <w:t>GB/T39866</w:t>
      </w:r>
      <w:r>
        <w:rPr>
          <w:rFonts w:hint="eastAsia" w:ascii="宋体" w:hAnsi="宋体" w:cs="宋体"/>
          <w:szCs w:val="21"/>
        </w:rPr>
        <w:t>的规定，带窗洞预制外墙宜在窗洞位置预埋节能附框，附框成品截面宽度方向热阻应不小于</w:t>
      </w:r>
      <w:r>
        <w:rPr>
          <w:rFonts w:ascii="Times New Roman" w:hAnsi="Times New Roman" w:cs="Times New Roman"/>
          <w:szCs w:val="21"/>
        </w:rPr>
        <w:t>0.28</w:t>
      </w:r>
      <w:r>
        <w:rPr>
          <w:rFonts w:hint="eastAsia" w:ascii="宋体" w:hAnsi="宋体" w:cs="宋体"/>
          <w:szCs w:val="21"/>
        </w:rPr>
        <w:t>（</w:t>
      </w:r>
      <w:r>
        <w:rPr>
          <w:rFonts w:ascii="Times New Roman" w:hAnsi="Times New Roman" w:cs="Times New Roman"/>
          <w:szCs w:val="21"/>
        </w:rPr>
        <w:t>m</w:t>
      </w:r>
      <w:r>
        <w:rPr>
          <w:rFonts w:ascii="Times New Roman" w:hAnsi="Times New Roman" w:cs="Times New Roman"/>
          <w:szCs w:val="21"/>
          <w:vertAlign w:val="superscript"/>
        </w:rPr>
        <w:t>2</w:t>
      </w:r>
      <w:r>
        <w:rPr>
          <w:rFonts w:ascii="Times New Roman" w:hAnsi="Times New Roman" w:cs="Times New Roman"/>
          <w:szCs w:val="21"/>
        </w:rPr>
        <w:t>·K</w:t>
      </w:r>
      <w:r>
        <w:rPr>
          <w:rFonts w:hint="eastAsia" w:ascii="宋体" w:hAnsi="宋体" w:cs="宋体"/>
          <w:szCs w:val="21"/>
        </w:rPr>
        <w:t>）/</w:t>
      </w:r>
      <w:r>
        <w:rPr>
          <w:rFonts w:ascii="Times New Roman" w:hAnsi="Times New Roman" w:cs="Times New Roman"/>
          <w:szCs w:val="21"/>
        </w:rPr>
        <w:t>W</w:t>
      </w:r>
      <w:r>
        <w:rPr>
          <w:rFonts w:hint="eastAsia" w:ascii="宋体" w:hAnsi="宋体" w:cs="宋体"/>
          <w:szCs w:val="21"/>
        </w:rPr>
        <w:t>；</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c) </w:t>
      </w:r>
      <w:r>
        <w:rPr>
          <w:rFonts w:hint="eastAsia" w:ascii="宋体" w:hAnsi="宋体" w:cs="宋体"/>
          <w:szCs w:val="21"/>
        </w:rPr>
        <w:t>外门窗洞口内侧边应设置保温层并与外墙保温形成连续整体，保温层厚度不应小于</w:t>
      </w:r>
      <w:r>
        <w:rPr>
          <w:rFonts w:ascii="Times New Roman" w:hAnsi="Times New Roman" w:cs="Times New Roman"/>
          <w:szCs w:val="21"/>
        </w:rPr>
        <w:t>20mm</w:t>
      </w:r>
      <w:r>
        <w:rPr>
          <w:rFonts w:hint="eastAsia" w:ascii="宋体" w:hAnsi="宋体" w:cs="宋体"/>
          <w:szCs w:val="21"/>
        </w:rPr>
        <w:t>；</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d) </w:t>
      </w:r>
      <w:r>
        <w:rPr>
          <w:rFonts w:hint="eastAsia" w:ascii="宋体" w:hAnsi="宋体" w:cs="宋体"/>
          <w:szCs w:val="21"/>
        </w:rPr>
        <w:t>外窗洞口宜设置金属窗台板对保温层进行保护。金属窗台板与窗框之间应有结构性连接，并采取密封措施；金属窗台板两端及底部与外墙保温层的接缝处应采取密封措施；</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e) </w:t>
      </w:r>
      <w:r>
        <w:rPr>
          <w:rFonts w:hint="eastAsia" w:ascii="宋体" w:hAnsi="宋体" w:cs="宋体"/>
          <w:szCs w:val="21"/>
        </w:rPr>
        <w:t>透明幕墙上的局部非透明部分应采用断热构造或设置保温层，其热工性能不应低于透明幕墙部分的热工性能，否则应按面积加权计入幕墙整体传热系数计算中；</w:t>
      </w:r>
    </w:p>
    <w:p>
      <w:pPr>
        <w:overflowPunct w:val="0"/>
        <w:snapToGrid w:val="0"/>
        <w:spacing w:line="309" w:lineRule="exact"/>
        <w:ind w:firstLine="420"/>
        <w:rPr>
          <w:rFonts w:ascii="宋体" w:hAnsi="宋体" w:cs="宋体"/>
          <w:spacing w:val="-4"/>
          <w:szCs w:val="21"/>
        </w:rPr>
      </w:pPr>
      <w:r>
        <w:rPr>
          <w:rFonts w:hint="eastAsia" w:ascii="黑体" w:hAnsi="黑体" w:cs="宋体"/>
          <w:szCs w:val="21"/>
          <w:lang w:val="en-US" w:eastAsia="zh-CN"/>
        </w:rPr>
        <w:t xml:space="preserve">f) </w:t>
      </w:r>
      <w:r>
        <w:rPr>
          <w:rFonts w:hint="eastAsia" w:ascii="宋体" w:hAnsi="宋体" w:cs="宋体"/>
          <w:spacing w:val="-4"/>
          <w:szCs w:val="21"/>
        </w:rPr>
        <w:t>外门窗或幕墙外遮阳构件应与主体结构进行可靠连接，连接件与主体结构之间应采取断热措施。</w:t>
      </w: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s="Times New Roman"/>
          <w:color w:val="auto"/>
        </w:rPr>
        <w:t>6.3.5　</w:t>
      </w:r>
      <w:r>
        <w:rPr>
          <w:rStyle w:val="44"/>
          <w:rFonts w:hint="eastAsia" w:ascii="宋体" w:hAnsi="宋体" w:eastAsia="宋体"/>
          <w:color w:val="auto"/>
        </w:rPr>
        <w:t>露台、连廊、设备平台、雨棚、挑檐等出挑构件与主体结构的连接应控制热桥效应，热桥处理应符合下列规定：</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a) </w:t>
      </w:r>
      <w:r>
        <w:rPr>
          <w:rFonts w:hint="eastAsia" w:ascii="宋体" w:hAnsi="宋体" w:cs="宋体"/>
          <w:szCs w:val="21"/>
        </w:rPr>
        <w:t>结构性悬挑、延伸等宜采用与主体结构部分断开的方式；</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b) </w:t>
      </w:r>
      <w:r>
        <w:rPr>
          <w:rFonts w:hint="eastAsia" w:ascii="宋体" w:hAnsi="宋体" w:cs="宋体"/>
          <w:szCs w:val="21"/>
        </w:rPr>
        <w:t>当外墙结构性悬挑、延伸构件与主体结构无法断开时，应对与室外空气接触的主要板面进行保温处理，并确保热桥部位不结露。</w:t>
      </w: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s="Times New Roman"/>
          <w:color w:val="auto"/>
        </w:rPr>
        <w:t>6.3.6</w:t>
      </w:r>
      <w:r>
        <w:rPr>
          <w:rStyle w:val="44"/>
          <w:rFonts w:hint="eastAsia" w:eastAsia="宋体" w:cs="Times New Roman"/>
          <w:color w:val="auto"/>
        </w:rPr>
        <w:t>　</w:t>
      </w:r>
      <w:r>
        <w:rPr>
          <w:rStyle w:val="44"/>
          <w:rFonts w:hint="eastAsia" w:ascii="宋体" w:hAnsi="宋体" w:eastAsia="宋体"/>
          <w:color w:val="auto"/>
        </w:rPr>
        <w:t>太阳能系统应进行建筑一体化设计，并对太阳能构件在外围护结构上连接引起的热桥进行阻断处理。</w:t>
      </w: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s="Times New Roman"/>
          <w:color w:val="auto"/>
        </w:rPr>
        <w:t>6.3.7</w:t>
      </w:r>
      <w:r>
        <w:rPr>
          <w:rStyle w:val="44"/>
          <w:rFonts w:hint="eastAsia" w:eastAsia="宋体" w:cs="Times New Roman"/>
          <w:color w:val="auto"/>
        </w:rPr>
        <w:t>　</w:t>
      </w:r>
      <w:r>
        <w:rPr>
          <w:rStyle w:val="44"/>
          <w:rFonts w:hint="eastAsia" w:ascii="宋体" w:hAnsi="宋体" w:eastAsia="宋体"/>
          <w:color w:val="auto"/>
        </w:rPr>
        <w:t>围护结构建筑节能基本构造的主要类型参见表</w:t>
      </w:r>
      <w:r>
        <w:rPr>
          <w:rStyle w:val="44"/>
          <w:rFonts w:hint="eastAsia" w:ascii="Times New Roman" w:hAnsi="Times New Roman" w:eastAsia="宋体" w:cs="Times New Roman"/>
          <w:color w:val="auto"/>
          <w:lang w:val="en-US" w:eastAsia="zh-CN"/>
        </w:rPr>
        <w:t>5</w:t>
      </w:r>
      <w:r>
        <w:rPr>
          <w:rStyle w:val="44"/>
          <w:rFonts w:hint="eastAsia" w:ascii="宋体" w:hAnsi="宋体" w:eastAsia="宋体"/>
          <w:color w:val="auto"/>
        </w:rPr>
        <w:t>，常见构造节点示意图参见附录</w:t>
      </w:r>
      <w:r>
        <w:rPr>
          <w:rStyle w:val="44"/>
          <w:rFonts w:ascii="Times New Roman" w:hAnsi="Times New Roman" w:eastAsia="宋体" w:cs="Times New Roman"/>
          <w:color w:val="auto"/>
        </w:rPr>
        <w:t>D</w:t>
      </w:r>
      <w:r>
        <w:rPr>
          <w:rStyle w:val="44"/>
          <w:rFonts w:hint="eastAsia" w:ascii="宋体" w:hAnsi="宋体" w:eastAsia="宋体"/>
          <w:color w:val="auto"/>
        </w:rPr>
        <w:t>。</w:t>
      </w:r>
    </w:p>
    <w:p>
      <w:pPr>
        <w:pStyle w:val="42"/>
        <w:widowControl w:val="0"/>
        <w:overflowPunct w:val="0"/>
        <w:autoSpaceDE/>
        <w:autoSpaceDN/>
        <w:spacing w:before="62" w:beforeLines="20" w:after="78" w:afterLines="25" w:line="309" w:lineRule="exact"/>
        <w:ind w:firstLine="0" w:firstLineChars="0"/>
        <w:jc w:val="center"/>
        <w:rPr>
          <w:rFonts w:ascii="黑体" w:hAnsi="黑体" w:eastAsia="黑体" w:cs="黑体"/>
          <w:sz w:val="18"/>
          <w:szCs w:val="18"/>
        </w:rPr>
      </w:pPr>
      <w:r>
        <w:rPr>
          <w:rFonts w:ascii="黑体" w:hAnsi="黑体" w:eastAsia="黑体" w:cs="黑体"/>
          <w:sz w:val="18"/>
          <w:szCs w:val="18"/>
        </w:rPr>
        <w:t>表</w:t>
      </w:r>
      <w:r>
        <w:rPr>
          <w:rFonts w:hint="eastAsia" w:ascii="黑体" w:hAnsi="黑体" w:eastAsia="黑体" w:cs="黑体"/>
          <w:sz w:val="18"/>
          <w:szCs w:val="18"/>
          <w:lang w:val="en-US" w:eastAsia="zh-CN"/>
        </w:rPr>
        <w:t>5</w:t>
      </w:r>
      <w:r>
        <w:rPr>
          <w:rFonts w:hint="eastAsia" w:ascii="黑体" w:hAnsi="黑体" w:eastAsia="黑体" w:cs="黑体"/>
          <w:sz w:val="18"/>
          <w:szCs w:val="18"/>
        </w:rPr>
        <w:t>　公共建筑围护结构建筑节能基本构造主要类型</w:t>
      </w:r>
    </w:p>
    <w:tbl>
      <w:tblPr>
        <w:tblStyle w:val="13"/>
        <w:tblW w:w="9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358"/>
        <w:gridCol w:w="2324"/>
        <w:gridCol w:w="812"/>
        <w:gridCol w:w="1371"/>
        <w:gridCol w:w="2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51" w:type="dxa"/>
            <w:shd w:val="clear" w:color="auto" w:fill="auto"/>
            <w:noWrap/>
            <w:vAlign w:val="center"/>
          </w:tcPr>
          <w:p>
            <w:pPr>
              <w:widowControl/>
              <w:overflowPunct w:val="0"/>
              <w:jc w:val="center"/>
              <w:textAlignment w:val="center"/>
              <w:rPr>
                <w:rFonts w:cs="宋体" w:asciiTheme="minorEastAsia" w:hAnsiTheme="minorEastAsia"/>
                <w:sz w:val="18"/>
                <w:szCs w:val="18"/>
              </w:rPr>
            </w:pPr>
            <w:r>
              <w:rPr>
                <w:rFonts w:hint="eastAsia" w:cs="宋体" w:asciiTheme="minorEastAsia" w:hAnsiTheme="minorEastAsia"/>
                <w:kern w:val="0"/>
                <w:sz w:val="18"/>
                <w:szCs w:val="18"/>
                <w:lang w:bidi="ar"/>
              </w:rPr>
              <w:t>序号</w:t>
            </w:r>
          </w:p>
        </w:tc>
        <w:tc>
          <w:tcPr>
            <w:tcW w:w="1358" w:type="dxa"/>
            <w:shd w:val="clear" w:color="auto" w:fill="auto"/>
            <w:noWrap/>
            <w:vAlign w:val="center"/>
          </w:tcPr>
          <w:p>
            <w:pPr>
              <w:widowControl/>
              <w:overflowPunct w:val="0"/>
              <w:jc w:val="center"/>
              <w:textAlignment w:val="center"/>
              <w:rPr>
                <w:rFonts w:cs="宋体" w:asciiTheme="minorEastAsia" w:hAnsiTheme="minorEastAsia"/>
                <w:sz w:val="18"/>
                <w:szCs w:val="18"/>
              </w:rPr>
            </w:pPr>
            <w:r>
              <w:rPr>
                <w:rFonts w:hint="eastAsia" w:cs="宋体" w:asciiTheme="minorEastAsia" w:hAnsiTheme="minorEastAsia"/>
                <w:kern w:val="0"/>
                <w:sz w:val="18"/>
                <w:szCs w:val="18"/>
                <w:lang w:bidi="ar"/>
              </w:rPr>
              <w:t>部位</w:t>
            </w:r>
          </w:p>
        </w:tc>
        <w:tc>
          <w:tcPr>
            <w:tcW w:w="2324" w:type="dxa"/>
            <w:shd w:val="clear" w:color="auto" w:fill="auto"/>
            <w:noWrap/>
            <w:vAlign w:val="center"/>
          </w:tcPr>
          <w:p>
            <w:pPr>
              <w:widowControl/>
              <w:overflowPunct w:val="0"/>
              <w:jc w:val="center"/>
              <w:textAlignment w:val="center"/>
              <w:rPr>
                <w:rFonts w:cs="宋体" w:asciiTheme="minorEastAsia" w:hAnsiTheme="minorEastAsia"/>
                <w:sz w:val="18"/>
                <w:szCs w:val="18"/>
              </w:rPr>
            </w:pPr>
            <w:r>
              <w:rPr>
                <w:rFonts w:hint="eastAsia" w:cs="宋体" w:asciiTheme="minorEastAsia" w:hAnsiTheme="minorEastAsia"/>
                <w:kern w:val="0"/>
                <w:sz w:val="18"/>
                <w:szCs w:val="18"/>
                <w:lang w:bidi="ar"/>
              </w:rPr>
              <w:t>基本构造</w:t>
            </w:r>
          </w:p>
        </w:tc>
        <w:tc>
          <w:tcPr>
            <w:tcW w:w="812" w:type="dxa"/>
            <w:shd w:val="clear" w:color="auto" w:fill="auto"/>
            <w:noWrap/>
            <w:vAlign w:val="center"/>
          </w:tcPr>
          <w:p>
            <w:pPr>
              <w:widowControl/>
              <w:overflowPunct w:val="0"/>
              <w:jc w:val="center"/>
              <w:textAlignment w:val="center"/>
              <w:rPr>
                <w:rFonts w:cs="宋体" w:asciiTheme="minorEastAsia" w:hAnsiTheme="minorEastAsia"/>
                <w:sz w:val="18"/>
                <w:szCs w:val="18"/>
              </w:rPr>
            </w:pPr>
            <w:r>
              <w:rPr>
                <w:rFonts w:hint="eastAsia" w:cs="宋体" w:asciiTheme="minorEastAsia" w:hAnsiTheme="minorEastAsia"/>
                <w:kern w:val="0"/>
                <w:sz w:val="18"/>
                <w:szCs w:val="18"/>
                <w:lang w:bidi="ar"/>
              </w:rPr>
              <w:t>序号</w:t>
            </w:r>
          </w:p>
        </w:tc>
        <w:tc>
          <w:tcPr>
            <w:tcW w:w="1371" w:type="dxa"/>
            <w:shd w:val="clear" w:color="auto" w:fill="auto"/>
            <w:noWrap/>
            <w:vAlign w:val="center"/>
          </w:tcPr>
          <w:p>
            <w:pPr>
              <w:widowControl/>
              <w:overflowPunct w:val="0"/>
              <w:jc w:val="center"/>
              <w:textAlignment w:val="center"/>
              <w:rPr>
                <w:rFonts w:cs="宋体" w:asciiTheme="minorEastAsia" w:hAnsiTheme="minorEastAsia"/>
                <w:sz w:val="18"/>
                <w:szCs w:val="18"/>
              </w:rPr>
            </w:pPr>
            <w:r>
              <w:rPr>
                <w:rFonts w:hint="eastAsia" w:cs="宋体" w:asciiTheme="minorEastAsia" w:hAnsiTheme="minorEastAsia"/>
                <w:kern w:val="0"/>
                <w:sz w:val="18"/>
                <w:szCs w:val="18"/>
                <w:lang w:bidi="ar"/>
              </w:rPr>
              <w:t>部位</w:t>
            </w:r>
          </w:p>
        </w:tc>
        <w:tc>
          <w:tcPr>
            <w:tcW w:w="2741" w:type="dxa"/>
            <w:shd w:val="clear" w:color="auto" w:fill="auto"/>
            <w:noWrap/>
            <w:vAlign w:val="center"/>
          </w:tcPr>
          <w:p>
            <w:pPr>
              <w:widowControl/>
              <w:overflowPunct w:val="0"/>
              <w:jc w:val="center"/>
              <w:textAlignment w:val="center"/>
              <w:rPr>
                <w:rFonts w:cs="宋体" w:asciiTheme="minorEastAsia" w:hAnsiTheme="minorEastAsia"/>
                <w:sz w:val="18"/>
                <w:szCs w:val="18"/>
              </w:rPr>
            </w:pPr>
            <w:r>
              <w:rPr>
                <w:rFonts w:hint="eastAsia" w:cs="宋体" w:asciiTheme="minorEastAsia" w:hAnsiTheme="minorEastAsia"/>
                <w:kern w:val="0"/>
                <w:sz w:val="18"/>
                <w:szCs w:val="18"/>
                <w:lang w:bidi="ar"/>
              </w:rPr>
              <w:t>基本构造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51" w:type="dxa"/>
            <w:shd w:val="clear" w:color="auto" w:fill="auto"/>
            <w:noWrap/>
            <w:vAlign w:val="center"/>
          </w:tcPr>
          <w:p>
            <w:pPr>
              <w:widowControl/>
              <w:overflowPunct w:val="0"/>
              <w:jc w:val="center"/>
              <w:textAlignment w:val="center"/>
              <w:rPr>
                <w:rFonts w:cs="Times New Roman" w:asciiTheme="minorEastAsia" w:hAnsiTheme="minorEastAsia"/>
                <w:sz w:val="18"/>
                <w:szCs w:val="18"/>
              </w:rPr>
            </w:pPr>
            <w:r>
              <w:rPr>
                <w:rFonts w:cs="Times New Roman" w:asciiTheme="minorEastAsia" w:hAnsiTheme="minorEastAsia"/>
                <w:kern w:val="0"/>
                <w:sz w:val="18"/>
                <w:szCs w:val="18"/>
                <w:lang w:bidi="ar"/>
              </w:rPr>
              <w:t>1</w:t>
            </w:r>
          </w:p>
        </w:tc>
        <w:tc>
          <w:tcPr>
            <w:tcW w:w="1358" w:type="dxa"/>
            <w:vMerge w:val="restart"/>
            <w:shd w:val="clear" w:color="auto" w:fill="auto"/>
            <w:noWrap/>
            <w:vAlign w:val="center"/>
          </w:tcPr>
          <w:p>
            <w:pPr>
              <w:widowControl/>
              <w:overflowPunct w:val="0"/>
              <w:jc w:val="center"/>
              <w:textAlignment w:val="center"/>
              <w:rPr>
                <w:rFonts w:cs="宋体" w:asciiTheme="minorEastAsia" w:hAnsiTheme="minorEastAsia"/>
                <w:sz w:val="18"/>
                <w:szCs w:val="18"/>
              </w:rPr>
            </w:pPr>
            <w:r>
              <w:rPr>
                <w:rFonts w:hint="eastAsia" w:cs="宋体" w:asciiTheme="minorEastAsia" w:hAnsiTheme="minorEastAsia"/>
                <w:kern w:val="0"/>
                <w:sz w:val="18"/>
                <w:szCs w:val="18"/>
                <w:lang w:bidi="ar"/>
              </w:rPr>
              <w:t>屋面</w:t>
            </w:r>
          </w:p>
        </w:tc>
        <w:tc>
          <w:tcPr>
            <w:tcW w:w="2324" w:type="dxa"/>
            <w:shd w:val="clear" w:color="auto" w:fill="auto"/>
            <w:noWrap/>
            <w:vAlign w:val="center"/>
          </w:tcPr>
          <w:p>
            <w:pPr>
              <w:widowControl/>
              <w:overflowPunct w:val="0"/>
              <w:jc w:val="center"/>
              <w:textAlignment w:val="center"/>
              <w:rPr>
                <w:rFonts w:cs="宋体" w:asciiTheme="minorEastAsia" w:hAnsiTheme="minorEastAsia"/>
                <w:sz w:val="18"/>
                <w:szCs w:val="18"/>
              </w:rPr>
            </w:pPr>
            <w:r>
              <w:rPr>
                <w:rFonts w:hint="eastAsia" w:cs="宋体" w:asciiTheme="minorEastAsia" w:hAnsiTheme="minorEastAsia"/>
                <w:kern w:val="0"/>
                <w:sz w:val="18"/>
                <w:szCs w:val="18"/>
                <w:lang w:bidi="ar"/>
              </w:rPr>
              <w:t>平屋面</w:t>
            </w:r>
          </w:p>
        </w:tc>
        <w:tc>
          <w:tcPr>
            <w:tcW w:w="812" w:type="dxa"/>
            <w:shd w:val="clear" w:color="auto" w:fill="auto"/>
            <w:noWrap/>
            <w:vAlign w:val="bottom"/>
          </w:tcPr>
          <w:p>
            <w:pPr>
              <w:widowControl/>
              <w:overflowPunct w:val="0"/>
              <w:jc w:val="center"/>
              <w:textAlignment w:val="bottom"/>
              <w:rPr>
                <w:rFonts w:cs="Times New Roman" w:asciiTheme="minorEastAsia" w:hAnsiTheme="minorEastAsia"/>
                <w:sz w:val="18"/>
                <w:szCs w:val="18"/>
              </w:rPr>
            </w:pPr>
            <w:r>
              <w:rPr>
                <w:rFonts w:hint="eastAsia" w:cs="Times New Roman" w:asciiTheme="minorEastAsia" w:hAnsiTheme="minorEastAsia"/>
                <w:sz w:val="18"/>
                <w:szCs w:val="18"/>
              </w:rPr>
              <w:t>6</w:t>
            </w:r>
          </w:p>
        </w:tc>
        <w:tc>
          <w:tcPr>
            <w:tcW w:w="1371" w:type="dxa"/>
            <w:vMerge w:val="restart"/>
            <w:shd w:val="clear" w:color="auto" w:fill="auto"/>
            <w:noWrap/>
            <w:vAlign w:val="center"/>
          </w:tcPr>
          <w:p>
            <w:pPr>
              <w:widowControl/>
              <w:overflowPunct w:val="0"/>
              <w:jc w:val="center"/>
              <w:textAlignment w:val="center"/>
              <w:rPr>
                <w:rFonts w:cs="宋体" w:asciiTheme="minorEastAsia" w:hAnsiTheme="minorEastAsia"/>
                <w:sz w:val="18"/>
                <w:szCs w:val="18"/>
              </w:rPr>
            </w:pPr>
            <w:r>
              <w:rPr>
                <w:rFonts w:hint="eastAsia" w:cs="宋体" w:asciiTheme="minorEastAsia" w:hAnsiTheme="minorEastAsia"/>
                <w:kern w:val="0"/>
                <w:sz w:val="18"/>
                <w:szCs w:val="18"/>
                <w:lang w:bidi="ar"/>
              </w:rPr>
              <w:t>墙体</w:t>
            </w:r>
          </w:p>
        </w:tc>
        <w:tc>
          <w:tcPr>
            <w:tcW w:w="2741" w:type="dxa"/>
            <w:shd w:val="clear" w:color="auto" w:fill="auto"/>
            <w:noWrap/>
            <w:vAlign w:val="center"/>
          </w:tcPr>
          <w:p>
            <w:pPr>
              <w:widowControl/>
              <w:overflowPunct w:val="0"/>
              <w:jc w:val="center"/>
              <w:textAlignment w:val="center"/>
              <w:rPr>
                <w:rFonts w:cs="宋体" w:asciiTheme="minorEastAsia" w:hAnsiTheme="minorEastAsia"/>
                <w:sz w:val="18"/>
                <w:szCs w:val="18"/>
              </w:rPr>
            </w:pPr>
            <w:r>
              <w:rPr>
                <w:rFonts w:hint="eastAsia" w:cs="宋体" w:asciiTheme="minorEastAsia" w:hAnsiTheme="minorEastAsia"/>
                <w:kern w:val="0"/>
                <w:sz w:val="18"/>
                <w:szCs w:val="18"/>
                <w:lang w:bidi="ar"/>
              </w:rPr>
              <w:t>电线盒节点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1" w:type="dxa"/>
            <w:shd w:val="clear" w:color="auto" w:fill="auto"/>
            <w:noWrap/>
            <w:vAlign w:val="center"/>
          </w:tcPr>
          <w:p>
            <w:pPr>
              <w:widowControl/>
              <w:overflowPunct w:val="0"/>
              <w:jc w:val="center"/>
              <w:textAlignment w:val="center"/>
              <w:rPr>
                <w:rFonts w:cs="Times New Roman" w:asciiTheme="minorEastAsia" w:hAnsiTheme="minorEastAsia"/>
                <w:sz w:val="18"/>
                <w:szCs w:val="18"/>
              </w:rPr>
            </w:pPr>
            <w:r>
              <w:rPr>
                <w:rFonts w:cs="Times New Roman" w:asciiTheme="minorEastAsia" w:hAnsiTheme="minorEastAsia"/>
                <w:kern w:val="0"/>
                <w:sz w:val="18"/>
                <w:szCs w:val="18"/>
                <w:lang w:bidi="ar"/>
              </w:rPr>
              <w:t>2</w:t>
            </w:r>
          </w:p>
        </w:tc>
        <w:tc>
          <w:tcPr>
            <w:tcW w:w="1358" w:type="dxa"/>
            <w:vMerge w:val="continue"/>
            <w:shd w:val="clear" w:color="auto" w:fill="auto"/>
            <w:noWrap/>
            <w:vAlign w:val="center"/>
          </w:tcPr>
          <w:p>
            <w:pPr>
              <w:overflowPunct w:val="0"/>
              <w:jc w:val="center"/>
              <w:rPr>
                <w:rFonts w:cs="宋体" w:asciiTheme="minorEastAsia" w:hAnsiTheme="minorEastAsia"/>
                <w:sz w:val="18"/>
                <w:szCs w:val="18"/>
              </w:rPr>
            </w:pPr>
          </w:p>
        </w:tc>
        <w:tc>
          <w:tcPr>
            <w:tcW w:w="2324" w:type="dxa"/>
            <w:shd w:val="clear" w:color="auto" w:fill="auto"/>
            <w:noWrap/>
            <w:vAlign w:val="center"/>
          </w:tcPr>
          <w:p>
            <w:pPr>
              <w:widowControl/>
              <w:overflowPunct w:val="0"/>
              <w:jc w:val="center"/>
              <w:textAlignment w:val="center"/>
              <w:rPr>
                <w:rFonts w:cs="宋体" w:asciiTheme="minorEastAsia" w:hAnsiTheme="minorEastAsia"/>
                <w:sz w:val="18"/>
                <w:szCs w:val="18"/>
              </w:rPr>
            </w:pPr>
            <w:r>
              <w:rPr>
                <w:rFonts w:hint="eastAsia" w:cs="宋体" w:asciiTheme="minorEastAsia" w:hAnsiTheme="minorEastAsia"/>
                <w:kern w:val="0"/>
                <w:sz w:val="18"/>
                <w:szCs w:val="18"/>
                <w:lang w:bidi="ar"/>
              </w:rPr>
              <w:t>种植屋面</w:t>
            </w:r>
          </w:p>
        </w:tc>
        <w:tc>
          <w:tcPr>
            <w:tcW w:w="812" w:type="dxa"/>
            <w:shd w:val="clear" w:color="auto" w:fill="auto"/>
            <w:noWrap/>
            <w:vAlign w:val="bottom"/>
          </w:tcPr>
          <w:p>
            <w:pPr>
              <w:widowControl/>
              <w:overflowPunct w:val="0"/>
              <w:jc w:val="center"/>
              <w:textAlignment w:val="bottom"/>
              <w:rPr>
                <w:rFonts w:cs="Times New Roman" w:asciiTheme="minorEastAsia" w:hAnsiTheme="minorEastAsia"/>
                <w:sz w:val="18"/>
                <w:szCs w:val="18"/>
              </w:rPr>
            </w:pPr>
            <w:r>
              <w:rPr>
                <w:rFonts w:hint="eastAsia" w:cs="Times New Roman" w:asciiTheme="minorEastAsia" w:hAnsiTheme="minorEastAsia"/>
                <w:sz w:val="18"/>
                <w:szCs w:val="18"/>
              </w:rPr>
              <w:t>7</w:t>
            </w:r>
          </w:p>
        </w:tc>
        <w:tc>
          <w:tcPr>
            <w:tcW w:w="1371" w:type="dxa"/>
            <w:vMerge w:val="continue"/>
            <w:shd w:val="clear" w:color="auto" w:fill="auto"/>
            <w:noWrap/>
            <w:vAlign w:val="center"/>
          </w:tcPr>
          <w:p>
            <w:pPr>
              <w:overflowPunct w:val="0"/>
              <w:jc w:val="center"/>
              <w:rPr>
                <w:rFonts w:cs="宋体" w:asciiTheme="minorEastAsia" w:hAnsiTheme="minorEastAsia"/>
                <w:sz w:val="18"/>
                <w:szCs w:val="18"/>
              </w:rPr>
            </w:pPr>
          </w:p>
        </w:tc>
        <w:tc>
          <w:tcPr>
            <w:tcW w:w="2741" w:type="dxa"/>
            <w:shd w:val="clear" w:color="auto" w:fill="auto"/>
            <w:noWrap/>
            <w:vAlign w:val="center"/>
          </w:tcPr>
          <w:p>
            <w:pPr>
              <w:widowControl/>
              <w:overflowPunct w:val="0"/>
              <w:jc w:val="center"/>
              <w:textAlignment w:val="center"/>
              <w:rPr>
                <w:rFonts w:cs="宋体" w:asciiTheme="minorEastAsia" w:hAnsiTheme="minorEastAsia"/>
                <w:sz w:val="18"/>
                <w:szCs w:val="18"/>
              </w:rPr>
            </w:pPr>
            <w:r>
              <w:rPr>
                <w:rFonts w:hint="eastAsia" w:cs="宋体" w:asciiTheme="minorEastAsia" w:hAnsiTheme="minorEastAsia"/>
                <w:sz w:val="18"/>
                <w:szCs w:val="18"/>
              </w:rPr>
              <w:t>雨水管节点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1" w:type="dxa"/>
            <w:shd w:val="clear" w:color="auto" w:fill="auto"/>
            <w:noWrap/>
            <w:vAlign w:val="center"/>
          </w:tcPr>
          <w:p>
            <w:pPr>
              <w:widowControl/>
              <w:overflowPunct w:val="0"/>
              <w:jc w:val="center"/>
              <w:textAlignment w:val="center"/>
              <w:rPr>
                <w:rFonts w:cs="Times New Roman" w:asciiTheme="minorEastAsia" w:hAnsiTheme="minorEastAsia"/>
                <w:sz w:val="18"/>
                <w:szCs w:val="18"/>
              </w:rPr>
            </w:pPr>
            <w:r>
              <w:rPr>
                <w:rFonts w:cs="Times New Roman" w:asciiTheme="minorEastAsia" w:hAnsiTheme="minorEastAsia"/>
                <w:kern w:val="0"/>
                <w:sz w:val="18"/>
                <w:szCs w:val="18"/>
                <w:lang w:bidi="ar"/>
              </w:rPr>
              <w:t>3</w:t>
            </w:r>
          </w:p>
        </w:tc>
        <w:tc>
          <w:tcPr>
            <w:tcW w:w="1358" w:type="dxa"/>
            <w:vMerge w:val="continue"/>
            <w:shd w:val="clear" w:color="auto" w:fill="auto"/>
            <w:noWrap/>
            <w:vAlign w:val="center"/>
          </w:tcPr>
          <w:p>
            <w:pPr>
              <w:overflowPunct w:val="0"/>
              <w:jc w:val="center"/>
              <w:rPr>
                <w:rFonts w:cs="宋体" w:asciiTheme="minorEastAsia" w:hAnsiTheme="minorEastAsia"/>
                <w:sz w:val="18"/>
                <w:szCs w:val="18"/>
              </w:rPr>
            </w:pPr>
          </w:p>
        </w:tc>
        <w:tc>
          <w:tcPr>
            <w:tcW w:w="2324" w:type="dxa"/>
            <w:shd w:val="clear" w:color="auto" w:fill="auto"/>
            <w:noWrap/>
            <w:vAlign w:val="center"/>
          </w:tcPr>
          <w:p>
            <w:pPr>
              <w:widowControl/>
              <w:overflowPunct w:val="0"/>
              <w:jc w:val="center"/>
              <w:textAlignment w:val="center"/>
              <w:rPr>
                <w:rFonts w:cs="宋体" w:asciiTheme="minorEastAsia" w:hAnsiTheme="minorEastAsia"/>
                <w:sz w:val="18"/>
                <w:szCs w:val="18"/>
              </w:rPr>
            </w:pPr>
            <w:r>
              <w:rPr>
                <w:rFonts w:hint="eastAsia" w:cs="宋体" w:asciiTheme="minorEastAsia" w:hAnsiTheme="minorEastAsia"/>
                <w:kern w:val="0"/>
                <w:sz w:val="18"/>
                <w:szCs w:val="18"/>
                <w:lang w:bidi="ar"/>
              </w:rPr>
              <w:t>坡屋面</w:t>
            </w:r>
          </w:p>
        </w:tc>
        <w:tc>
          <w:tcPr>
            <w:tcW w:w="812" w:type="dxa"/>
            <w:shd w:val="clear" w:color="auto" w:fill="auto"/>
            <w:noWrap/>
            <w:vAlign w:val="bottom"/>
          </w:tcPr>
          <w:p>
            <w:pPr>
              <w:widowControl/>
              <w:overflowPunct w:val="0"/>
              <w:jc w:val="center"/>
              <w:textAlignment w:val="bottom"/>
              <w:rPr>
                <w:rFonts w:cs="Times New Roman" w:asciiTheme="minorEastAsia" w:hAnsiTheme="minorEastAsia"/>
                <w:sz w:val="18"/>
                <w:szCs w:val="18"/>
              </w:rPr>
            </w:pPr>
            <w:r>
              <w:rPr>
                <w:rFonts w:hint="eastAsia" w:cs="Times New Roman" w:asciiTheme="minorEastAsia" w:hAnsiTheme="minorEastAsia"/>
                <w:sz w:val="18"/>
                <w:szCs w:val="18"/>
              </w:rPr>
              <w:t>8</w:t>
            </w:r>
          </w:p>
        </w:tc>
        <w:tc>
          <w:tcPr>
            <w:tcW w:w="1371" w:type="dxa"/>
            <w:vMerge w:val="continue"/>
            <w:shd w:val="clear" w:color="auto" w:fill="auto"/>
            <w:noWrap/>
            <w:vAlign w:val="center"/>
          </w:tcPr>
          <w:p>
            <w:pPr>
              <w:overflowPunct w:val="0"/>
              <w:jc w:val="center"/>
              <w:rPr>
                <w:rFonts w:cs="宋体" w:asciiTheme="minorEastAsia" w:hAnsiTheme="minorEastAsia"/>
                <w:sz w:val="18"/>
                <w:szCs w:val="18"/>
              </w:rPr>
            </w:pPr>
          </w:p>
        </w:tc>
        <w:tc>
          <w:tcPr>
            <w:tcW w:w="2741" w:type="dxa"/>
            <w:shd w:val="clear" w:color="auto" w:fill="auto"/>
            <w:noWrap/>
            <w:vAlign w:val="center"/>
          </w:tcPr>
          <w:p>
            <w:pPr>
              <w:widowControl/>
              <w:overflowPunct w:val="0"/>
              <w:jc w:val="center"/>
              <w:textAlignment w:val="center"/>
              <w:rPr>
                <w:rFonts w:cs="宋体" w:asciiTheme="minorEastAsia" w:hAnsiTheme="minorEastAsia"/>
                <w:sz w:val="18"/>
                <w:szCs w:val="18"/>
              </w:rPr>
            </w:pPr>
            <w:r>
              <w:rPr>
                <w:rFonts w:hint="eastAsia" w:cs="宋体" w:asciiTheme="minorEastAsia" w:hAnsiTheme="minorEastAsia"/>
                <w:kern w:val="0"/>
                <w:sz w:val="18"/>
                <w:szCs w:val="18"/>
                <w:lang w:bidi="ar"/>
              </w:rPr>
              <w:t>管道穿外墙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51" w:type="dxa"/>
            <w:shd w:val="clear" w:color="auto" w:fill="auto"/>
            <w:noWrap/>
            <w:vAlign w:val="center"/>
          </w:tcPr>
          <w:p>
            <w:pPr>
              <w:widowControl/>
              <w:overflowPunct w:val="0"/>
              <w:jc w:val="center"/>
              <w:textAlignment w:val="center"/>
              <w:rPr>
                <w:rFonts w:cs="Times New Roman" w:asciiTheme="minorEastAsia" w:hAnsiTheme="minorEastAsia"/>
                <w:sz w:val="18"/>
                <w:szCs w:val="18"/>
              </w:rPr>
            </w:pPr>
            <w:r>
              <w:rPr>
                <w:rFonts w:hint="eastAsia" w:cs="Times New Roman" w:asciiTheme="minorEastAsia" w:hAnsiTheme="minorEastAsia"/>
                <w:sz w:val="18"/>
                <w:szCs w:val="18"/>
              </w:rPr>
              <w:t>4</w:t>
            </w:r>
          </w:p>
        </w:tc>
        <w:tc>
          <w:tcPr>
            <w:tcW w:w="1358" w:type="dxa"/>
            <w:vMerge w:val="restart"/>
            <w:shd w:val="clear" w:color="auto" w:fill="auto"/>
            <w:noWrap/>
            <w:vAlign w:val="center"/>
          </w:tcPr>
          <w:p>
            <w:pPr>
              <w:widowControl/>
              <w:overflowPunct w:val="0"/>
              <w:jc w:val="center"/>
              <w:textAlignment w:val="center"/>
              <w:rPr>
                <w:rFonts w:cs="宋体" w:asciiTheme="minorEastAsia" w:hAnsiTheme="minorEastAsia"/>
                <w:sz w:val="18"/>
                <w:szCs w:val="18"/>
              </w:rPr>
            </w:pPr>
            <w:r>
              <w:rPr>
                <w:rFonts w:hint="eastAsia" w:cs="宋体" w:asciiTheme="minorEastAsia" w:hAnsiTheme="minorEastAsia"/>
                <w:kern w:val="0"/>
                <w:sz w:val="18"/>
                <w:szCs w:val="18"/>
                <w:lang w:bidi="ar"/>
              </w:rPr>
              <w:t>墙体</w:t>
            </w:r>
          </w:p>
        </w:tc>
        <w:tc>
          <w:tcPr>
            <w:tcW w:w="2324" w:type="dxa"/>
            <w:shd w:val="clear" w:color="auto" w:fill="auto"/>
            <w:noWrap/>
            <w:vAlign w:val="center"/>
          </w:tcPr>
          <w:p>
            <w:pPr>
              <w:widowControl/>
              <w:overflowPunct w:val="0"/>
              <w:jc w:val="center"/>
              <w:textAlignment w:val="center"/>
              <w:rPr>
                <w:rFonts w:cs="宋体" w:asciiTheme="minorEastAsia" w:hAnsiTheme="minorEastAsia"/>
                <w:sz w:val="18"/>
                <w:szCs w:val="18"/>
              </w:rPr>
            </w:pPr>
            <w:r>
              <w:rPr>
                <w:rFonts w:hint="eastAsia" w:cs="宋体" w:asciiTheme="minorEastAsia" w:hAnsiTheme="minorEastAsia"/>
                <w:kern w:val="0"/>
                <w:sz w:val="18"/>
                <w:szCs w:val="18"/>
                <w:lang w:bidi="ar"/>
              </w:rPr>
              <w:t>外墙</w:t>
            </w:r>
          </w:p>
        </w:tc>
        <w:tc>
          <w:tcPr>
            <w:tcW w:w="812" w:type="dxa"/>
            <w:vMerge w:val="restart"/>
            <w:shd w:val="clear" w:color="auto" w:fill="auto"/>
            <w:noWrap/>
            <w:vAlign w:val="center"/>
          </w:tcPr>
          <w:p>
            <w:pPr>
              <w:widowControl/>
              <w:overflowPunct w:val="0"/>
              <w:jc w:val="center"/>
              <w:textAlignment w:val="bottom"/>
              <w:rPr>
                <w:rFonts w:cs="Times New Roman" w:asciiTheme="minorEastAsia" w:hAnsiTheme="minorEastAsia"/>
                <w:sz w:val="18"/>
                <w:szCs w:val="18"/>
              </w:rPr>
            </w:pPr>
            <w:r>
              <w:rPr>
                <w:rFonts w:hint="eastAsia" w:cs="Times New Roman" w:asciiTheme="minorEastAsia" w:hAnsiTheme="minorEastAsia"/>
                <w:sz w:val="18"/>
                <w:szCs w:val="18"/>
              </w:rPr>
              <w:t>9</w:t>
            </w:r>
          </w:p>
        </w:tc>
        <w:tc>
          <w:tcPr>
            <w:tcW w:w="1371" w:type="dxa"/>
            <w:vMerge w:val="restart"/>
            <w:shd w:val="clear" w:color="auto" w:fill="auto"/>
            <w:noWrap/>
            <w:vAlign w:val="center"/>
          </w:tcPr>
          <w:p>
            <w:pPr>
              <w:widowControl/>
              <w:overflowPunct w:val="0"/>
              <w:jc w:val="center"/>
              <w:textAlignment w:val="center"/>
              <w:rPr>
                <w:rFonts w:cs="宋体" w:asciiTheme="minorEastAsia" w:hAnsiTheme="minorEastAsia"/>
                <w:sz w:val="18"/>
                <w:szCs w:val="18"/>
                <w:highlight w:val="yellow"/>
              </w:rPr>
            </w:pPr>
            <w:r>
              <w:rPr>
                <w:rFonts w:hint="eastAsia" w:cs="宋体" w:asciiTheme="minorEastAsia" w:hAnsiTheme="minorEastAsia"/>
                <w:kern w:val="0"/>
                <w:sz w:val="18"/>
                <w:szCs w:val="18"/>
                <w:lang w:bidi="ar"/>
              </w:rPr>
              <w:t>外门窗</w:t>
            </w:r>
          </w:p>
        </w:tc>
        <w:tc>
          <w:tcPr>
            <w:tcW w:w="2741" w:type="dxa"/>
            <w:vMerge w:val="restart"/>
            <w:shd w:val="clear" w:color="auto" w:fill="auto"/>
            <w:noWrap/>
            <w:vAlign w:val="center"/>
          </w:tcPr>
          <w:p>
            <w:pPr>
              <w:widowControl/>
              <w:overflowPunct w:val="0"/>
              <w:jc w:val="center"/>
              <w:textAlignment w:val="center"/>
              <w:rPr>
                <w:rFonts w:cs="宋体" w:asciiTheme="minorEastAsia" w:hAnsiTheme="minorEastAsia"/>
                <w:sz w:val="18"/>
                <w:szCs w:val="18"/>
                <w:highlight w:val="yellow"/>
              </w:rPr>
            </w:pPr>
            <w:r>
              <w:rPr>
                <w:rFonts w:hint="eastAsia" w:cs="宋体" w:asciiTheme="minorEastAsia" w:hAnsiTheme="minorEastAsia"/>
                <w:kern w:val="0"/>
                <w:sz w:val="18"/>
                <w:szCs w:val="18"/>
                <w:lang w:bidi="ar"/>
              </w:rPr>
              <w:t>平窗构造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1" w:type="dxa"/>
            <w:shd w:val="clear" w:color="auto" w:fill="auto"/>
            <w:noWrap/>
            <w:vAlign w:val="center"/>
          </w:tcPr>
          <w:p>
            <w:pPr>
              <w:widowControl/>
              <w:overflowPunct w:val="0"/>
              <w:jc w:val="center"/>
              <w:textAlignment w:val="center"/>
              <w:rPr>
                <w:rFonts w:cs="Times New Roman" w:asciiTheme="minorEastAsia" w:hAnsiTheme="minorEastAsia"/>
                <w:sz w:val="18"/>
                <w:szCs w:val="18"/>
              </w:rPr>
            </w:pPr>
            <w:r>
              <w:rPr>
                <w:rFonts w:hint="eastAsia" w:cs="Times New Roman" w:asciiTheme="minorEastAsia" w:hAnsiTheme="minorEastAsia"/>
                <w:sz w:val="18"/>
                <w:szCs w:val="18"/>
              </w:rPr>
              <w:t>5</w:t>
            </w:r>
          </w:p>
        </w:tc>
        <w:tc>
          <w:tcPr>
            <w:tcW w:w="1358" w:type="dxa"/>
            <w:vMerge w:val="continue"/>
            <w:shd w:val="clear" w:color="auto" w:fill="auto"/>
            <w:noWrap/>
            <w:vAlign w:val="center"/>
          </w:tcPr>
          <w:p>
            <w:pPr>
              <w:widowControl/>
              <w:overflowPunct w:val="0"/>
              <w:jc w:val="center"/>
              <w:textAlignment w:val="center"/>
              <w:rPr>
                <w:rFonts w:cs="宋体" w:asciiTheme="minorEastAsia" w:hAnsiTheme="minorEastAsia"/>
                <w:sz w:val="18"/>
                <w:szCs w:val="18"/>
              </w:rPr>
            </w:pPr>
          </w:p>
        </w:tc>
        <w:tc>
          <w:tcPr>
            <w:tcW w:w="2324" w:type="dxa"/>
            <w:shd w:val="clear" w:color="auto" w:fill="auto"/>
            <w:noWrap/>
            <w:vAlign w:val="center"/>
          </w:tcPr>
          <w:p>
            <w:pPr>
              <w:widowControl/>
              <w:overflowPunct w:val="0"/>
              <w:jc w:val="center"/>
              <w:textAlignment w:val="center"/>
              <w:rPr>
                <w:rFonts w:cs="宋体" w:asciiTheme="minorEastAsia" w:hAnsiTheme="minorEastAsia"/>
                <w:sz w:val="18"/>
                <w:szCs w:val="18"/>
              </w:rPr>
            </w:pPr>
            <w:r>
              <w:rPr>
                <w:rFonts w:hint="eastAsia" w:cs="宋体" w:asciiTheme="minorEastAsia" w:hAnsiTheme="minorEastAsia"/>
                <w:kern w:val="0"/>
                <w:sz w:val="18"/>
                <w:szCs w:val="18"/>
                <w:lang w:bidi="ar"/>
              </w:rPr>
              <w:t>阴阳角</w:t>
            </w:r>
          </w:p>
        </w:tc>
        <w:tc>
          <w:tcPr>
            <w:tcW w:w="812" w:type="dxa"/>
            <w:vMerge w:val="continue"/>
            <w:shd w:val="clear" w:color="auto" w:fill="auto"/>
            <w:noWrap/>
            <w:vAlign w:val="bottom"/>
          </w:tcPr>
          <w:p>
            <w:pPr>
              <w:widowControl/>
              <w:overflowPunct w:val="0"/>
              <w:jc w:val="center"/>
              <w:textAlignment w:val="bottom"/>
              <w:rPr>
                <w:rFonts w:cs="Times New Roman" w:asciiTheme="minorEastAsia" w:hAnsiTheme="minorEastAsia"/>
                <w:sz w:val="18"/>
                <w:szCs w:val="18"/>
              </w:rPr>
            </w:pPr>
          </w:p>
        </w:tc>
        <w:tc>
          <w:tcPr>
            <w:tcW w:w="1371" w:type="dxa"/>
            <w:vMerge w:val="continue"/>
            <w:shd w:val="clear" w:color="auto" w:fill="auto"/>
            <w:noWrap/>
            <w:vAlign w:val="center"/>
          </w:tcPr>
          <w:p>
            <w:pPr>
              <w:overflowPunct w:val="0"/>
              <w:jc w:val="center"/>
              <w:rPr>
                <w:rFonts w:cs="宋体" w:asciiTheme="minorEastAsia" w:hAnsiTheme="minorEastAsia"/>
                <w:sz w:val="18"/>
                <w:szCs w:val="18"/>
                <w:highlight w:val="yellow"/>
              </w:rPr>
            </w:pPr>
          </w:p>
        </w:tc>
        <w:tc>
          <w:tcPr>
            <w:tcW w:w="2741" w:type="dxa"/>
            <w:vMerge w:val="continue"/>
            <w:shd w:val="clear" w:color="auto" w:fill="auto"/>
            <w:noWrap/>
            <w:vAlign w:val="center"/>
          </w:tcPr>
          <w:p>
            <w:pPr>
              <w:widowControl/>
              <w:overflowPunct w:val="0"/>
              <w:jc w:val="center"/>
              <w:textAlignment w:val="center"/>
              <w:rPr>
                <w:rFonts w:cs="宋体" w:asciiTheme="minorEastAsia" w:hAnsiTheme="minorEastAsia"/>
                <w:sz w:val="18"/>
                <w:szCs w:val="18"/>
                <w:highlight w:val="yellow"/>
              </w:rPr>
            </w:pPr>
          </w:p>
        </w:tc>
      </w:tr>
    </w:tbl>
    <w:p>
      <w:pPr>
        <w:tabs>
          <w:tab w:val="left" w:pos="0"/>
          <w:tab w:val="left" w:pos="397"/>
        </w:tabs>
        <w:overflowPunct w:val="0"/>
        <w:snapToGrid w:val="0"/>
        <w:spacing w:line="309" w:lineRule="exact"/>
        <w:outlineLvl w:val="2"/>
        <w:rPr>
          <w:rStyle w:val="44"/>
          <w:rFonts w:hint="eastAsia" w:ascii="宋体" w:hAnsi="宋体" w:eastAsia="宋体"/>
          <w:color w:val="auto"/>
        </w:rPr>
      </w:pPr>
    </w:p>
    <w:p>
      <w:pPr>
        <w:pStyle w:val="2"/>
        <w:numPr>
          <w:ilvl w:val="0"/>
          <w:numId w:val="0"/>
        </w:numPr>
        <w:overflowPunct w:val="0"/>
        <w:spacing w:before="312" w:after="312"/>
        <w:ind w:left="357" w:hanging="357" w:hangingChars="170"/>
      </w:pPr>
      <w:r>
        <w:t>7</w:t>
      </w:r>
      <w:r>
        <w:rPr>
          <w:rFonts w:hint="eastAsia"/>
        </w:rPr>
        <w:t>　</w:t>
      </w:r>
      <w:bookmarkStart w:id="29" w:name="_Toc97537100"/>
      <w:bookmarkStart w:id="30" w:name="_Toc24674"/>
      <w:r>
        <w:rPr>
          <w:rFonts w:hint="eastAsia"/>
        </w:rPr>
        <w:t>供暖通风与空调设计</w:t>
      </w:r>
      <w:bookmarkEnd w:id="29"/>
      <w:bookmarkEnd w:id="30"/>
    </w:p>
    <w:p>
      <w:pPr>
        <w:tabs>
          <w:tab w:val="left" w:pos="397"/>
          <w:tab w:val="left" w:pos="765"/>
        </w:tabs>
        <w:overflowPunct w:val="0"/>
        <w:spacing w:before="156" w:beforeLines="50" w:after="156" w:afterLines="50"/>
        <w:outlineLvl w:val="2"/>
        <w:rPr>
          <w:rFonts w:ascii="黑体" w:hAnsi="黑体" w:eastAsia="黑体" w:cs="Times New Roman"/>
          <w:szCs w:val="21"/>
        </w:rPr>
      </w:pPr>
      <w:r>
        <w:rPr>
          <w:rFonts w:ascii="黑体" w:hAnsi="黑体" w:eastAsia="黑体" w:cs="Times New Roman"/>
          <w:szCs w:val="21"/>
        </w:rPr>
        <w:t>7.1</w:t>
      </w:r>
      <w:r>
        <w:rPr>
          <w:rFonts w:hint="eastAsia" w:ascii="黑体" w:hAnsi="黑体" w:eastAsia="黑体" w:cs="Times New Roman"/>
          <w:szCs w:val="21"/>
        </w:rPr>
        <w:t>　</w:t>
      </w:r>
      <w:bookmarkStart w:id="31" w:name="_Toc15780"/>
      <w:r>
        <w:rPr>
          <w:rFonts w:hint="eastAsia" w:ascii="黑体" w:hAnsi="黑体" w:eastAsia="黑体" w:cs="Times New Roman"/>
          <w:szCs w:val="21"/>
        </w:rPr>
        <w:t>一般规定</w:t>
      </w:r>
      <w:bookmarkEnd w:id="31"/>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olor w:val="auto"/>
        </w:rPr>
        <w:t>7.1.1　</w:t>
      </w:r>
      <w:r>
        <w:rPr>
          <w:rStyle w:val="44"/>
          <w:rFonts w:hint="eastAsia" w:ascii="宋体" w:hAnsi="宋体" w:eastAsia="宋体"/>
          <w:color w:val="auto"/>
        </w:rPr>
        <w:t>系统冷热媒温度的选取应符合现行国家标准《民用建筑供暖通风与空气调节设计规范》GB50736的有关规定。在经济技术合理时，冷媒温度宜高于常用设计温度，热媒温度宜低于常用设计温度。在过渡季宜使用冷却水或其他天然冷源进行免费供冷。</w:t>
      </w: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olor w:val="auto"/>
        </w:rPr>
        <w:t>7.1.2　</w:t>
      </w:r>
      <w:r>
        <w:rPr>
          <w:rStyle w:val="44"/>
          <w:rFonts w:hint="eastAsia" w:ascii="宋体" w:hAnsi="宋体" w:eastAsia="宋体"/>
          <w:color w:val="auto"/>
        </w:rPr>
        <w:t>当利用通风可以排除室内的余热、余湿或其它污染物时，宜采用自然通风、机械通风或复合通风的通风方式。并符合下列规定：</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a) </w:t>
      </w:r>
      <w:r>
        <w:rPr>
          <w:rFonts w:hint="eastAsia" w:ascii="宋体" w:hAnsi="宋体" w:cs="宋体"/>
          <w:szCs w:val="21"/>
        </w:rPr>
        <w:t>复合通风中的机械通风应与自然通风协调，不应影响自然通风路径与效果。</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b) </w:t>
      </w:r>
      <w:r>
        <w:rPr>
          <w:rFonts w:hint="eastAsia" w:ascii="宋体" w:hAnsi="宋体" w:cs="宋体"/>
          <w:szCs w:val="21"/>
        </w:rPr>
        <w:t>建筑中庭采用自然通风降温时，可设置机械排风装置加强自然补风。</w:t>
      </w: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olor w:val="auto"/>
        </w:rPr>
        <w:t>7.1.3　</w:t>
      </w:r>
      <w:r>
        <w:rPr>
          <w:rStyle w:val="44"/>
          <w:rFonts w:hint="eastAsia" w:ascii="宋体" w:hAnsi="宋体" w:eastAsia="宋体"/>
          <w:color w:val="auto"/>
        </w:rPr>
        <w:t>应通过对当地能源资源、环境情况和建筑使用模式的综合分析，选择清洁、低碳的供暖、通风和空调方式。</w:t>
      </w: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olor w:val="auto"/>
        </w:rPr>
        <w:t>7.1.4　</w:t>
      </w:r>
      <w:r>
        <w:rPr>
          <w:rStyle w:val="44"/>
          <w:rFonts w:hint="eastAsia" w:ascii="宋体" w:hAnsi="宋体" w:eastAsia="宋体"/>
          <w:color w:val="auto"/>
        </w:rPr>
        <w:t>建筑供暖、通风与空调系统形式应根据以下原则进行选择：</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a) </w:t>
      </w:r>
      <w:r>
        <w:rPr>
          <w:rFonts w:hint="eastAsia" w:ascii="宋体" w:hAnsi="宋体" w:cs="宋体"/>
          <w:szCs w:val="21"/>
        </w:rPr>
        <w:t>适应建筑使用模式，满足房间功能需求；</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b) </w:t>
      </w:r>
      <w:r>
        <w:rPr>
          <w:rFonts w:hint="eastAsia" w:ascii="宋体" w:hAnsi="宋体" w:cs="宋体"/>
          <w:szCs w:val="21"/>
        </w:rPr>
        <w:t>有利于提高室内空气品质和热环境质量；</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c) </w:t>
      </w:r>
      <w:r>
        <w:rPr>
          <w:rFonts w:hint="eastAsia" w:ascii="宋体" w:hAnsi="宋体" w:cs="宋体"/>
          <w:szCs w:val="21"/>
        </w:rPr>
        <w:t>有利于提高设备和系统能效；</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f) </w:t>
      </w:r>
      <w:r>
        <w:rPr>
          <w:rFonts w:hint="eastAsia" w:ascii="宋体" w:hAnsi="宋体" w:cs="宋体"/>
          <w:szCs w:val="21"/>
        </w:rPr>
        <w:t>适应资源环境的约束；</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e) </w:t>
      </w:r>
      <w:r>
        <w:rPr>
          <w:rFonts w:hint="eastAsia" w:ascii="宋体" w:hAnsi="宋体" w:cs="宋体"/>
          <w:szCs w:val="21"/>
        </w:rPr>
        <w:t>全寿命期技术经济合理。</w:t>
      </w: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olor w:val="auto"/>
        </w:rPr>
        <w:t>7.1.5　</w:t>
      </w:r>
      <w:r>
        <w:rPr>
          <w:rStyle w:val="44"/>
          <w:rFonts w:hint="eastAsia" w:ascii="宋体" w:hAnsi="宋体" w:eastAsia="宋体"/>
          <w:color w:val="auto"/>
        </w:rPr>
        <w:t>空调冷源应优先选用蒸发冷却或其他天然冷源，其次选用高温机械制冷冷水机组。</w:t>
      </w: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olor w:val="auto"/>
        </w:rPr>
        <w:t>7.1.6　</w:t>
      </w:r>
      <w:r>
        <w:rPr>
          <w:rStyle w:val="44"/>
          <w:rFonts w:hint="eastAsia" w:ascii="宋体" w:hAnsi="宋体" w:eastAsia="宋体"/>
          <w:color w:val="auto"/>
        </w:rPr>
        <w:t>符合下列情况之一时，宜采用分散设置的空调装置或系统：</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a) </w:t>
      </w:r>
      <w:r>
        <w:rPr>
          <w:rFonts w:hint="eastAsia" w:ascii="宋体" w:hAnsi="宋体" w:cs="宋体"/>
          <w:szCs w:val="21"/>
        </w:rPr>
        <w:t>全年所需供冷、供暖时间短或采用集中供冷、供暖系统不经济；</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b) </w:t>
      </w:r>
      <w:r>
        <w:rPr>
          <w:rFonts w:hint="eastAsia" w:ascii="宋体" w:hAnsi="宋体" w:cs="宋体"/>
          <w:szCs w:val="21"/>
        </w:rPr>
        <w:t>需设空气调节的房间布置分散；</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c) </w:t>
      </w:r>
      <w:r>
        <w:rPr>
          <w:rFonts w:hint="eastAsia" w:ascii="宋体" w:hAnsi="宋体" w:cs="宋体"/>
          <w:szCs w:val="21"/>
        </w:rPr>
        <w:t>设有集中供冷、供暖系统的建筑中，使用时间和要求不同的房间；</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d) </w:t>
      </w:r>
      <w:r>
        <w:rPr>
          <w:rFonts w:hint="eastAsia" w:ascii="宋体" w:hAnsi="宋体" w:cs="宋体"/>
          <w:szCs w:val="21"/>
        </w:rPr>
        <w:t>需增设空调系统，而难以设置机房和管道的既有公共建筑。</w:t>
      </w: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olor w:val="auto"/>
        </w:rPr>
        <w:t>7.1.7　</w:t>
      </w:r>
      <w:r>
        <w:rPr>
          <w:rStyle w:val="44"/>
          <w:rFonts w:hint="eastAsia" w:ascii="宋体" w:hAnsi="宋体" w:eastAsia="宋体"/>
          <w:color w:val="auto"/>
        </w:rPr>
        <w:t>集中空调系统的制冷机房宜采用高效制冷机房。</w:t>
      </w: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olor w:val="auto"/>
        </w:rPr>
        <w:t>7.1.8　</w:t>
      </w:r>
      <w:r>
        <w:rPr>
          <w:rStyle w:val="44"/>
          <w:rFonts w:hint="eastAsia" w:ascii="宋体" w:hAnsi="宋体" w:eastAsia="宋体"/>
          <w:color w:val="auto"/>
        </w:rPr>
        <w:t>供暖、空调、通风末端及循环水泵等用能设备宜优先选用变频控制。</w:t>
      </w: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olor w:val="auto"/>
        </w:rPr>
        <w:t>7.1.9　</w:t>
      </w:r>
      <w:r>
        <w:rPr>
          <w:rStyle w:val="44"/>
          <w:rFonts w:hint="eastAsia" w:ascii="宋体" w:hAnsi="宋体" w:eastAsia="宋体"/>
          <w:color w:val="auto"/>
        </w:rPr>
        <w:t>应根据气候特征，选取适宜的除湿方案；当采用冷冻除湿方案时，其再热过程不应增加除风机能耗外的其他能耗；冷冻除湿系统应纳入空调制冷机房系统能效比计算。</w:t>
      </w: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olor w:val="auto"/>
        </w:rPr>
        <w:t>7.1.10　</w:t>
      </w:r>
      <w:r>
        <w:rPr>
          <w:rStyle w:val="44"/>
          <w:rFonts w:hint="eastAsia" w:ascii="宋体" w:hAnsi="宋体" w:eastAsia="宋体"/>
          <w:color w:val="auto"/>
        </w:rPr>
        <w:t>当采用温湿度独立控制空调系统时，应符合下列要求：</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a) </w:t>
      </w:r>
      <w:r>
        <w:rPr>
          <w:rFonts w:hint="eastAsia" w:ascii="宋体" w:hAnsi="宋体" w:cs="宋体"/>
          <w:szCs w:val="21"/>
        </w:rPr>
        <w:t>应根据气候特点，经技术经济分析论证，确定高温冷源的制备方式和新风除湿方式。在干热气候区应用时，高温冷源宜只承担室内和新风的显热负荷，计算空调冷负荷时，不应将潜热负荷统计到制冷机组负荷中；</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b) </w:t>
      </w:r>
      <w:r>
        <w:rPr>
          <w:rFonts w:hint="eastAsia" w:ascii="宋体" w:hAnsi="宋体" w:cs="宋体"/>
          <w:szCs w:val="21"/>
        </w:rPr>
        <w:t>宜考虑全年对天然冷源和可再生能源的应用措施；</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c) </w:t>
      </w:r>
      <w:r>
        <w:rPr>
          <w:rFonts w:hint="eastAsia" w:ascii="宋体" w:hAnsi="宋体" w:cs="宋体"/>
          <w:szCs w:val="21"/>
        </w:rPr>
        <w:t>不宜采用再热空气处理方式。</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d) </w:t>
      </w:r>
      <w:r>
        <w:rPr>
          <w:rFonts w:hint="eastAsia" w:ascii="宋体" w:hAnsi="宋体" w:cs="宋体"/>
          <w:szCs w:val="21"/>
        </w:rPr>
        <w:t>采用高温冷源的风机盘管宜选用干式风机盘管。</w:t>
      </w:r>
    </w:p>
    <w:p>
      <w:pPr>
        <w:tabs>
          <w:tab w:val="left" w:pos="397"/>
          <w:tab w:val="left" w:pos="765"/>
        </w:tabs>
        <w:overflowPunct w:val="0"/>
        <w:spacing w:before="156" w:beforeLines="50" w:after="156" w:afterLines="50"/>
        <w:outlineLvl w:val="2"/>
        <w:rPr>
          <w:rFonts w:ascii="黑体" w:hAnsi="黑体" w:eastAsia="黑体" w:cs="Times New Roman"/>
          <w:szCs w:val="21"/>
        </w:rPr>
      </w:pPr>
      <w:r>
        <w:rPr>
          <w:rFonts w:ascii="黑体" w:hAnsi="黑体" w:eastAsia="黑体" w:cs="Times New Roman"/>
          <w:szCs w:val="21"/>
        </w:rPr>
        <w:t>7.2</w:t>
      </w:r>
      <w:r>
        <w:rPr>
          <w:rFonts w:hint="eastAsia" w:ascii="黑体" w:hAnsi="黑体" w:eastAsia="黑体" w:cs="Times New Roman"/>
          <w:szCs w:val="21"/>
        </w:rPr>
        <w:t>　</w:t>
      </w:r>
      <w:bookmarkStart w:id="32" w:name="_Toc25007"/>
      <w:r>
        <w:rPr>
          <w:rFonts w:hint="eastAsia" w:ascii="黑体" w:hAnsi="黑体" w:eastAsia="黑体" w:cs="Times New Roman"/>
          <w:szCs w:val="21"/>
        </w:rPr>
        <w:t>通风系统设计</w:t>
      </w:r>
      <w:bookmarkEnd w:id="32"/>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olor w:val="auto"/>
        </w:rPr>
        <w:t>7.2.1　</w:t>
      </w:r>
      <w:r>
        <w:rPr>
          <w:rStyle w:val="44"/>
          <w:rFonts w:hint="eastAsia" w:ascii="宋体" w:hAnsi="宋体" w:eastAsia="宋体"/>
          <w:color w:val="auto"/>
        </w:rPr>
        <w:t>应结合建筑设计充分利用自然通风，自然通风性能要求及相关措施详见第</w:t>
      </w:r>
      <w:r>
        <w:rPr>
          <w:rStyle w:val="44"/>
          <w:rFonts w:ascii="Times New Roman" w:hAnsi="Times New Roman" w:eastAsia="宋体" w:cs="Times New Roman"/>
          <w:color w:val="auto"/>
        </w:rPr>
        <w:t>4.3.2</w:t>
      </w:r>
      <w:r>
        <w:rPr>
          <w:rStyle w:val="44"/>
          <w:rFonts w:ascii="宋体" w:hAnsi="宋体" w:eastAsia="宋体"/>
          <w:color w:val="auto"/>
        </w:rPr>
        <w:t>条和第</w:t>
      </w:r>
      <w:r>
        <w:rPr>
          <w:rStyle w:val="44"/>
          <w:rFonts w:ascii="Times New Roman" w:hAnsi="Times New Roman" w:eastAsia="宋体" w:cs="Times New Roman"/>
          <w:color w:val="auto"/>
        </w:rPr>
        <w:t>5.3</w:t>
      </w:r>
      <w:r>
        <w:rPr>
          <w:rStyle w:val="44"/>
          <w:rFonts w:hint="eastAsia" w:ascii="宋体" w:hAnsi="宋体" w:eastAsia="宋体"/>
          <w:color w:val="auto"/>
        </w:rPr>
        <w:t>节的规定。</w:t>
      </w: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olor w:val="auto"/>
        </w:rPr>
        <w:t>7.2.2　</w:t>
      </w:r>
      <w:r>
        <w:rPr>
          <w:rStyle w:val="44"/>
          <w:rFonts w:hint="eastAsia" w:ascii="宋体" w:hAnsi="宋体" w:eastAsia="宋体"/>
          <w:color w:val="auto"/>
        </w:rPr>
        <w:t>公共建筑通风应做好室内气流组织设计，提高通风系统的有效性；宜设置有组织的通风换气装置满足新风量的需求和过渡季节通风散热需求。</w:t>
      </w: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olor w:val="auto"/>
        </w:rPr>
        <w:t>7.2.3　</w:t>
      </w:r>
      <w:r>
        <w:rPr>
          <w:rStyle w:val="44"/>
          <w:rFonts w:hint="eastAsia" w:ascii="宋体" w:hAnsi="宋体" w:eastAsia="宋体"/>
          <w:color w:val="auto"/>
        </w:rPr>
        <w:t>当通风系统使用时间较长且运行工况（风量、风压）有较大变化时，通风机应采用双速或变速风机。</w:t>
      </w: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olor w:val="auto"/>
        </w:rPr>
        <w:t>7.2.4　</w:t>
      </w:r>
      <w:r>
        <w:rPr>
          <w:rStyle w:val="44"/>
          <w:rFonts w:hint="eastAsia" w:ascii="宋体" w:hAnsi="宋体" w:eastAsia="宋体"/>
          <w:color w:val="auto"/>
        </w:rPr>
        <w:t>超低能耗建筑宜设置排风热回收系统，热回收装置的交换效率应满足</w:t>
      </w:r>
      <w:r>
        <w:rPr>
          <w:rStyle w:val="44"/>
          <w:rFonts w:ascii="Times New Roman" w:hAnsi="Times New Roman" w:eastAsia="宋体" w:cs="Times New Roman"/>
          <w:color w:val="auto"/>
        </w:rPr>
        <w:t>GB/T 21087</w:t>
      </w:r>
      <w:r>
        <w:rPr>
          <w:rStyle w:val="44"/>
          <w:rFonts w:hint="eastAsia" w:ascii="宋体" w:hAnsi="宋体" w:eastAsia="宋体"/>
          <w:color w:val="auto"/>
        </w:rPr>
        <w:t>要求，达到表</w:t>
      </w:r>
      <w:r>
        <w:rPr>
          <w:rStyle w:val="44"/>
          <w:rFonts w:hint="eastAsia" w:ascii="Times New Roman" w:hAnsi="Times New Roman" w:eastAsia="宋体" w:cs="Times New Roman"/>
          <w:color w:val="auto"/>
          <w:lang w:val="en-US" w:eastAsia="zh-CN"/>
        </w:rPr>
        <w:t>6</w:t>
      </w:r>
      <w:r>
        <w:rPr>
          <w:rStyle w:val="44"/>
          <w:rFonts w:hint="eastAsia" w:ascii="宋体" w:hAnsi="宋体" w:eastAsia="宋体"/>
          <w:color w:val="auto"/>
        </w:rPr>
        <w:t>规定。采用排风热回收系统时，应进行风量平衡计算，避免多余渗透风量增加新风能耗。当建筑采用热泵供热或供生活热水时，宜采用冷回收型热泵。</w:t>
      </w:r>
    </w:p>
    <w:p>
      <w:pPr>
        <w:pStyle w:val="42"/>
        <w:widowControl w:val="0"/>
        <w:overflowPunct w:val="0"/>
        <w:autoSpaceDE/>
        <w:autoSpaceDN/>
        <w:spacing w:before="62" w:beforeLines="20" w:after="78" w:afterLines="25" w:line="309" w:lineRule="exact"/>
        <w:ind w:firstLine="0" w:firstLineChars="0"/>
        <w:jc w:val="center"/>
        <w:rPr>
          <w:rFonts w:ascii="黑体" w:hAnsi="黑体" w:eastAsia="黑体" w:cs="黑体"/>
          <w:sz w:val="18"/>
          <w:szCs w:val="18"/>
        </w:rPr>
      </w:pPr>
      <w:r>
        <w:rPr>
          <w:rFonts w:ascii="黑体" w:hAnsi="黑体" w:eastAsia="黑体" w:cs="黑体"/>
          <w:sz w:val="18"/>
          <w:szCs w:val="18"/>
        </w:rPr>
        <w:t>表</w:t>
      </w:r>
      <w:r>
        <w:rPr>
          <w:rFonts w:hint="eastAsia" w:ascii="黑体" w:hAnsi="黑体" w:eastAsia="黑体" w:cs="黑体"/>
          <w:sz w:val="18"/>
          <w:szCs w:val="18"/>
          <w:lang w:val="en-US" w:eastAsia="zh-CN"/>
        </w:rPr>
        <w:t>6</w:t>
      </w:r>
      <w:r>
        <w:rPr>
          <w:rFonts w:ascii="黑体" w:hAnsi="黑体" w:eastAsia="黑体" w:cs="黑体"/>
          <w:sz w:val="18"/>
          <w:szCs w:val="18"/>
        </w:rPr>
        <w:t>　热回收装置交换效率</w:t>
      </w:r>
      <w:r>
        <w:rPr>
          <w:rFonts w:hint="eastAsia" w:ascii="黑体" w:hAnsi="黑体" w:eastAsia="黑体" w:cs="黑体"/>
          <w:sz w:val="18"/>
          <w:szCs w:val="18"/>
        </w:rPr>
        <w:t>限值</w:t>
      </w:r>
    </w:p>
    <w:tbl>
      <w:tblPr>
        <w:tblStyle w:val="13"/>
        <w:tblW w:w="935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339"/>
        <w:gridCol w:w="2339"/>
        <w:gridCol w:w="2339"/>
        <w:gridCol w:w="23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678" w:type="dxa"/>
            <w:gridSpan w:val="2"/>
            <w:vAlign w:val="center"/>
          </w:tcPr>
          <w:p>
            <w:pPr>
              <w:overflowPunct w:val="0"/>
              <w:jc w:val="center"/>
              <w:rPr>
                <w:rStyle w:val="25"/>
                <w:rFonts w:hint="default" w:ascii="Times New Roman" w:hAnsi="Times New Roman" w:cs="Times New Roman"/>
                <w:color w:val="auto"/>
                <w:sz w:val="18"/>
                <w:szCs w:val="18"/>
              </w:rPr>
            </w:pPr>
            <w:r>
              <w:rPr>
                <w:rStyle w:val="25"/>
                <w:rFonts w:hint="default" w:ascii="Times New Roman" w:hAnsi="Times New Roman" w:cs="Times New Roman"/>
                <w:color w:val="auto"/>
                <w:sz w:val="18"/>
                <w:szCs w:val="18"/>
              </w:rPr>
              <w:t>类型</w:t>
            </w:r>
          </w:p>
        </w:tc>
        <w:tc>
          <w:tcPr>
            <w:tcW w:w="2339" w:type="dxa"/>
            <w:vAlign w:val="center"/>
          </w:tcPr>
          <w:p>
            <w:pPr>
              <w:overflowPunct w:val="0"/>
              <w:jc w:val="center"/>
              <w:rPr>
                <w:rStyle w:val="25"/>
                <w:rFonts w:hint="default" w:ascii="Times New Roman" w:hAnsi="Times New Roman" w:cs="Times New Roman"/>
                <w:color w:val="auto"/>
                <w:sz w:val="18"/>
                <w:szCs w:val="18"/>
              </w:rPr>
            </w:pPr>
            <w:r>
              <w:rPr>
                <w:rStyle w:val="25"/>
                <w:rFonts w:hint="default" w:ascii="Times New Roman" w:hAnsi="Times New Roman" w:cs="Times New Roman"/>
                <w:color w:val="auto"/>
                <w:sz w:val="18"/>
                <w:szCs w:val="18"/>
              </w:rPr>
              <w:t>冷量回收</w:t>
            </w:r>
          </w:p>
        </w:tc>
        <w:tc>
          <w:tcPr>
            <w:tcW w:w="2339" w:type="dxa"/>
            <w:vAlign w:val="center"/>
          </w:tcPr>
          <w:p>
            <w:pPr>
              <w:overflowPunct w:val="0"/>
              <w:jc w:val="center"/>
              <w:rPr>
                <w:rStyle w:val="25"/>
                <w:rFonts w:hint="default" w:ascii="Times New Roman" w:hAnsi="Times New Roman" w:cs="Times New Roman"/>
                <w:color w:val="auto"/>
                <w:sz w:val="18"/>
                <w:szCs w:val="18"/>
              </w:rPr>
            </w:pPr>
            <w:r>
              <w:rPr>
                <w:rStyle w:val="25"/>
                <w:rFonts w:hint="default" w:ascii="Times New Roman" w:hAnsi="Times New Roman" w:cs="Times New Roman"/>
                <w:color w:val="auto"/>
                <w:sz w:val="18"/>
                <w:szCs w:val="18"/>
              </w:rPr>
              <w:t>热量回收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339" w:type="dxa"/>
            <w:vAlign w:val="center"/>
          </w:tcPr>
          <w:p>
            <w:pPr>
              <w:overflowPunct w:val="0"/>
              <w:jc w:val="center"/>
              <w:rPr>
                <w:rStyle w:val="25"/>
                <w:rFonts w:hint="default" w:ascii="Times New Roman" w:hAnsi="Times New Roman" w:cs="Times New Roman"/>
                <w:color w:val="auto"/>
                <w:sz w:val="18"/>
                <w:szCs w:val="18"/>
              </w:rPr>
            </w:pPr>
            <w:r>
              <w:rPr>
                <w:rStyle w:val="25"/>
                <w:rFonts w:hint="default" w:ascii="Times New Roman" w:hAnsi="Times New Roman" w:cs="Times New Roman"/>
                <w:color w:val="auto"/>
                <w:sz w:val="18"/>
                <w:szCs w:val="18"/>
              </w:rPr>
              <w:t>全热型ERV和ERC</w:t>
            </w:r>
          </w:p>
        </w:tc>
        <w:tc>
          <w:tcPr>
            <w:tcW w:w="2339" w:type="dxa"/>
            <w:vAlign w:val="center"/>
          </w:tcPr>
          <w:p>
            <w:pPr>
              <w:overflowPunct w:val="0"/>
              <w:jc w:val="center"/>
              <w:rPr>
                <w:rStyle w:val="25"/>
                <w:rFonts w:hint="default" w:ascii="Times New Roman" w:hAnsi="Times New Roman" w:cs="Times New Roman"/>
                <w:color w:val="auto"/>
                <w:sz w:val="18"/>
                <w:szCs w:val="18"/>
              </w:rPr>
            </w:pPr>
            <w:r>
              <w:rPr>
                <w:rStyle w:val="25"/>
                <w:rFonts w:hint="default" w:ascii="Times New Roman" w:hAnsi="Times New Roman" w:cs="Times New Roman"/>
                <w:color w:val="auto"/>
                <w:sz w:val="18"/>
                <w:szCs w:val="18"/>
              </w:rPr>
              <w:t>全热交换效率</w:t>
            </w:r>
          </w:p>
        </w:tc>
        <w:tc>
          <w:tcPr>
            <w:tcW w:w="2339" w:type="dxa"/>
            <w:vAlign w:val="center"/>
          </w:tcPr>
          <w:p>
            <w:pPr>
              <w:overflowPunct w:val="0"/>
              <w:jc w:val="center"/>
              <w:rPr>
                <w:rStyle w:val="25"/>
                <w:rFonts w:hint="default" w:ascii="Times New Roman" w:hAnsi="Times New Roman" w:cs="Times New Roman"/>
                <w:color w:val="auto"/>
                <w:sz w:val="18"/>
                <w:szCs w:val="18"/>
              </w:rPr>
            </w:pPr>
            <w:r>
              <w:rPr>
                <w:rStyle w:val="25"/>
                <w:rFonts w:hint="default" w:ascii="Times New Roman" w:hAnsi="Times New Roman" w:cs="Times New Roman"/>
                <w:color w:val="auto"/>
                <w:sz w:val="18"/>
                <w:szCs w:val="18"/>
              </w:rPr>
              <w:t>＞55%</w:t>
            </w:r>
          </w:p>
        </w:tc>
        <w:tc>
          <w:tcPr>
            <w:tcW w:w="2339" w:type="dxa"/>
            <w:vAlign w:val="center"/>
          </w:tcPr>
          <w:p>
            <w:pPr>
              <w:overflowPunct w:val="0"/>
              <w:jc w:val="center"/>
              <w:rPr>
                <w:rStyle w:val="25"/>
                <w:rFonts w:hint="default" w:ascii="Times New Roman" w:hAnsi="Times New Roman" w:cs="Times New Roman"/>
                <w:color w:val="auto"/>
                <w:sz w:val="18"/>
                <w:szCs w:val="18"/>
              </w:rPr>
            </w:pPr>
            <w:r>
              <w:rPr>
                <w:rStyle w:val="25"/>
                <w:rFonts w:hint="default" w:ascii="Times New Roman" w:hAnsi="Times New Roman" w:cs="Times New Roman"/>
                <w:color w:val="auto"/>
                <w:sz w:val="18"/>
                <w:szCs w:val="18"/>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339" w:type="dxa"/>
            <w:vAlign w:val="center"/>
          </w:tcPr>
          <w:p>
            <w:pPr>
              <w:overflowPunct w:val="0"/>
              <w:jc w:val="center"/>
              <w:rPr>
                <w:rStyle w:val="25"/>
                <w:rFonts w:hint="default" w:ascii="Times New Roman" w:hAnsi="Times New Roman" w:cs="Times New Roman"/>
                <w:color w:val="auto"/>
                <w:sz w:val="18"/>
                <w:szCs w:val="18"/>
              </w:rPr>
            </w:pPr>
            <w:r>
              <w:rPr>
                <w:rStyle w:val="25"/>
                <w:rFonts w:hint="default" w:ascii="Times New Roman" w:hAnsi="Times New Roman" w:cs="Times New Roman"/>
                <w:color w:val="auto"/>
                <w:sz w:val="18"/>
                <w:szCs w:val="18"/>
              </w:rPr>
              <w:t>显热型ERV和ERC</w:t>
            </w:r>
          </w:p>
        </w:tc>
        <w:tc>
          <w:tcPr>
            <w:tcW w:w="2339" w:type="dxa"/>
            <w:vAlign w:val="center"/>
          </w:tcPr>
          <w:p>
            <w:pPr>
              <w:overflowPunct w:val="0"/>
              <w:jc w:val="center"/>
              <w:rPr>
                <w:rStyle w:val="25"/>
                <w:rFonts w:hint="default" w:ascii="Times New Roman" w:hAnsi="Times New Roman" w:cs="Times New Roman"/>
                <w:color w:val="auto"/>
                <w:sz w:val="18"/>
                <w:szCs w:val="18"/>
              </w:rPr>
            </w:pPr>
            <w:r>
              <w:rPr>
                <w:rStyle w:val="25"/>
                <w:rFonts w:hint="default" w:ascii="Times New Roman" w:hAnsi="Times New Roman" w:cs="Times New Roman"/>
                <w:color w:val="auto"/>
                <w:sz w:val="18"/>
                <w:szCs w:val="18"/>
              </w:rPr>
              <w:t>显热交换效率</w:t>
            </w:r>
          </w:p>
        </w:tc>
        <w:tc>
          <w:tcPr>
            <w:tcW w:w="2339" w:type="dxa"/>
            <w:vAlign w:val="center"/>
          </w:tcPr>
          <w:p>
            <w:pPr>
              <w:overflowPunct w:val="0"/>
              <w:jc w:val="center"/>
              <w:rPr>
                <w:rStyle w:val="25"/>
                <w:rFonts w:hint="default" w:ascii="Times New Roman" w:hAnsi="Times New Roman" w:cs="Times New Roman"/>
                <w:color w:val="auto"/>
                <w:sz w:val="18"/>
                <w:szCs w:val="18"/>
              </w:rPr>
            </w:pPr>
            <w:r>
              <w:rPr>
                <w:rStyle w:val="25"/>
                <w:rFonts w:hint="default" w:ascii="Times New Roman" w:hAnsi="Times New Roman" w:cs="Times New Roman"/>
                <w:color w:val="auto"/>
                <w:sz w:val="18"/>
                <w:szCs w:val="18"/>
              </w:rPr>
              <w:t>＞65%</w:t>
            </w:r>
          </w:p>
        </w:tc>
        <w:tc>
          <w:tcPr>
            <w:tcW w:w="2339" w:type="dxa"/>
            <w:vAlign w:val="center"/>
          </w:tcPr>
          <w:p>
            <w:pPr>
              <w:overflowPunct w:val="0"/>
              <w:jc w:val="center"/>
              <w:rPr>
                <w:rStyle w:val="25"/>
                <w:rFonts w:hint="default" w:ascii="Times New Roman" w:hAnsi="Times New Roman" w:cs="Times New Roman"/>
                <w:color w:val="auto"/>
                <w:sz w:val="18"/>
                <w:szCs w:val="18"/>
              </w:rPr>
            </w:pPr>
            <w:r>
              <w:rPr>
                <w:rStyle w:val="25"/>
                <w:rFonts w:hint="default" w:ascii="Times New Roman" w:hAnsi="Times New Roman" w:cs="Times New Roman"/>
                <w:color w:val="auto"/>
                <w:sz w:val="18"/>
                <w:szCs w:val="18"/>
              </w:rPr>
              <w:t>＞70%</w:t>
            </w:r>
          </w:p>
        </w:tc>
      </w:tr>
    </w:tbl>
    <w:p>
      <w:pPr>
        <w:tabs>
          <w:tab w:val="left" w:pos="0"/>
          <w:tab w:val="left" w:pos="397"/>
        </w:tabs>
        <w:overflowPunct w:val="0"/>
        <w:snapToGrid w:val="0"/>
        <w:spacing w:line="309" w:lineRule="exact"/>
        <w:outlineLvl w:val="2"/>
        <w:rPr>
          <w:rStyle w:val="44"/>
          <w:rFonts w:eastAsia="宋体"/>
          <w:color w:val="auto"/>
        </w:rPr>
      </w:pP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olor w:val="auto"/>
        </w:rPr>
        <w:t>7.2.5　</w:t>
      </w:r>
      <w:r>
        <w:rPr>
          <w:rStyle w:val="44"/>
          <w:rFonts w:hint="eastAsia" w:ascii="宋体" w:hAnsi="宋体" w:eastAsia="宋体"/>
          <w:color w:val="auto"/>
        </w:rPr>
        <w:t>宜采用风扇等个性化热环境调节装置，室内过渡空间应提高空调设定温度，减少空调运行时间，降低空调能耗。</w:t>
      </w: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olor w:val="auto"/>
        </w:rPr>
        <w:t>7.2.6　</w:t>
      </w:r>
      <w:r>
        <w:rPr>
          <w:rStyle w:val="44"/>
          <w:rFonts w:hint="eastAsia" w:ascii="宋体" w:hAnsi="宋体" w:eastAsia="宋体"/>
          <w:color w:val="auto"/>
        </w:rPr>
        <w:t>厨房油烟机能效应符合</w:t>
      </w:r>
      <w:r>
        <w:rPr>
          <w:rStyle w:val="44"/>
          <w:rFonts w:ascii="Times New Roman" w:hAnsi="Times New Roman" w:eastAsia="宋体" w:cs="Times New Roman"/>
          <w:color w:val="auto"/>
        </w:rPr>
        <w:t>GB 29539</w:t>
      </w:r>
      <w:r>
        <w:rPr>
          <w:rStyle w:val="44"/>
          <w:rFonts w:hint="eastAsia" w:ascii="宋体" w:hAnsi="宋体" w:eastAsia="宋体"/>
          <w:color w:val="auto"/>
        </w:rPr>
        <w:t>中规定的节能评价值要求。</w:t>
      </w:r>
    </w:p>
    <w:p>
      <w:pPr>
        <w:tabs>
          <w:tab w:val="left" w:pos="397"/>
          <w:tab w:val="left" w:pos="765"/>
        </w:tabs>
        <w:overflowPunct w:val="0"/>
        <w:spacing w:before="156" w:beforeLines="50" w:after="156" w:afterLines="50"/>
        <w:outlineLvl w:val="2"/>
        <w:rPr>
          <w:rFonts w:ascii="黑体" w:hAnsi="黑体" w:eastAsia="黑体" w:cs="Times New Roman"/>
          <w:szCs w:val="21"/>
        </w:rPr>
      </w:pPr>
      <w:r>
        <w:rPr>
          <w:rFonts w:ascii="黑体" w:hAnsi="黑体" w:eastAsia="黑体" w:cs="Times New Roman"/>
          <w:szCs w:val="21"/>
        </w:rPr>
        <w:t>7.3</w:t>
      </w:r>
      <w:bookmarkStart w:id="33" w:name="_Toc3214"/>
      <w:r>
        <w:rPr>
          <w:rFonts w:hint="eastAsia" w:ascii="黑体" w:hAnsi="黑体" w:eastAsia="黑体" w:cs="Times New Roman"/>
          <w:szCs w:val="21"/>
        </w:rPr>
        <w:t>　冷热源设计</w:t>
      </w:r>
      <w:bookmarkEnd w:id="33"/>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olor w:val="auto"/>
        </w:rPr>
        <w:t>7.3.1　</w:t>
      </w:r>
      <w:r>
        <w:rPr>
          <w:rStyle w:val="44"/>
          <w:rFonts w:hint="eastAsia" w:ascii="宋体" w:hAnsi="宋体" w:eastAsia="宋体"/>
          <w:color w:val="auto"/>
        </w:rPr>
        <w:t>超低能耗建筑供暖空调系统冷热源设计应符合下列要求：</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a) </w:t>
      </w:r>
      <w:r>
        <w:rPr>
          <w:rFonts w:hint="eastAsia" w:ascii="宋体" w:hAnsi="宋体" w:cs="宋体"/>
          <w:szCs w:val="21"/>
        </w:rPr>
        <w:t>优先考虑工业余热、废热或热电联产热源作为供暖空调热源，技术经济合理时优先利用浅层地温能、空气能等可再生能源作为供暖空调冷热源。</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b) </w:t>
      </w:r>
      <w:r>
        <w:rPr>
          <w:rFonts w:hint="eastAsia" w:ascii="宋体" w:hAnsi="宋体" w:cs="宋体"/>
          <w:szCs w:val="21"/>
        </w:rPr>
        <w:t>经供暖空调负荷计算，其供暖空调负荷、除湿负荷可全部由新风处理时，宜采用热回收型新风空调一体机作为供暖空调设备，通过对新风的冷热处理，实现对室内的温湿度控制。</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c) </w:t>
      </w:r>
      <w:r>
        <w:rPr>
          <w:rFonts w:hint="eastAsia" w:ascii="宋体" w:hAnsi="宋体" w:cs="宋体"/>
          <w:szCs w:val="21"/>
        </w:rPr>
        <w:t>宜选用热泵类设备作为空调冷热源，可采用多联式空调（热泵）机组、风冷热泵型冷热水机组、地源热泵等各类热泵产品，以充分利用热泵机组的复合功能性及调节灵活性，提高空调系统节能降碳性能。</w:t>
      </w: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olor w:val="auto"/>
        </w:rPr>
        <w:t>7.3.2　</w:t>
      </w:r>
      <w:r>
        <w:rPr>
          <w:rStyle w:val="44"/>
          <w:rFonts w:hint="eastAsia" w:ascii="宋体" w:hAnsi="宋体" w:eastAsia="宋体"/>
          <w:color w:val="auto"/>
        </w:rPr>
        <w:t>供暖空调冷热源设备应选用高效率的机组，其效率应符合下列要求：</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a) </w:t>
      </w:r>
      <w:r>
        <w:rPr>
          <w:rFonts w:hint="eastAsia" w:ascii="宋体" w:hAnsi="宋体" w:cs="宋体"/>
          <w:szCs w:val="21"/>
        </w:rPr>
        <w:t>燃气锅炉的额定热效率不应低于</w:t>
      </w:r>
      <w:r>
        <w:rPr>
          <w:rFonts w:ascii="Times New Roman" w:hAnsi="Times New Roman" w:cs="Times New Roman"/>
          <w:szCs w:val="21"/>
        </w:rPr>
        <w:t>表</w:t>
      </w:r>
      <w:r>
        <w:rPr>
          <w:rFonts w:hint="eastAsia" w:ascii="Times New Roman" w:hAnsi="Times New Roman" w:cs="Times New Roman"/>
          <w:szCs w:val="21"/>
          <w:lang w:val="en-US" w:eastAsia="zh-CN"/>
        </w:rPr>
        <w:t>7</w:t>
      </w:r>
      <w:r>
        <w:rPr>
          <w:rFonts w:hint="eastAsia" w:ascii="宋体" w:hAnsi="宋体" w:cs="宋体"/>
          <w:szCs w:val="21"/>
        </w:rPr>
        <w:t>的规定。</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b) </w:t>
      </w:r>
      <w:r>
        <w:rPr>
          <w:rFonts w:hint="eastAsia" w:ascii="宋体" w:hAnsi="宋体" w:cs="宋体"/>
          <w:szCs w:val="21"/>
        </w:rPr>
        <w:t>冷水（热泵）机组，其在名义制冷工况和规定条件下的性能系数（</w:t>
      </w:r>
      <w:r>
        <w:rPr>
          <w:rFonts w:ascii="Times New Roman" w:hAnsi="Times New Roman" w:cs="Times New Roman"/>
          <w:szCs w:val="21"/>
        </w:rPr>
        <w:t>COP</w:t>
      </w:r>
      <w:r>
        <w:rPr>
          <w:rFonts w:hint="eastAsia" w:ascii="宋体" w:hAnsi="宋体" w:cs="宋体"/>
          <w:szCs w:val="21"/>
        </w:rPr>
        <w:t>）或综合部分负荷性能系数（</w:t>
      </w:r>
      <w:r>
        <w:rPr>
          <w:rFonts w:ascii="Times New Roman" w:hAnsi="Times New Roman" w:cs="Times New Roman"/>
          <w:szCs w:val="21"/>
        </w:rPr>
        <w:t>IPLV</w:t>
      </w:r>
      <w:r>
        <w:rPr>
          <w:rFonts w:hint="eastAsia" w:ascii="宋体" w:hAnsi="宋体" w:cs="宋体"/>
          <w:szCs w:val="21"/>
        </w:rPr>
        <w:t>）应达到</w:t>
      </w:r>
      <w:r>
        <w:rPr>
          <w:rFonts w:ascii="Times New Roman" w:hAnsi="Times New Roman" w:cs="Times New Roman"/>
          <w:szCs w:val="21"/>
        </w:rPr>
        <w:t>GB 19577</w:t>
      </w:r>
      <w:r>
        <w:rPr>
          <w:rFonts w:hint="eastAsia" w:ascii="宋体" w:hAnsi="宋体" w:cs="宋体"/>
          <w:szCs w:val="21"/>
        </w:rPr>
        <w:t>中的1级能效要求。</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c) </w:t>
      </w:r>
      <w:r>
        <w:rPr>
          <w:rFonts w:hint="eastAsia" w:ascii="宋体" w:hAnsi="宋体" w:cs="宋体"/>
          <w:szCs w:val="21"/>
        </w:rPr>
        <w:t>多联式空调（热泵）机组，其能效等级应达到</w:t>
      </w:r>
      <w:r>
        <w:rPr>
          <w:rFonts w:ascii="Times New Roman" w:hAnsi="Times New Roman" w:cs="Times New Roman"/>
          <w:szCs w:val="21"/>
        </w:rPr>
        <w:t>GB/T 21454</w:t>
      </w:r>
      <w:r>
        <w:rPr>
          <w:rFonts w:hint="eastAsia" w:ascii="宋体" w:hAnsi="宋体" w:cs="宋体"/>
          <w:szCs w:val="21"/>
        </w:rPr>
        <w:t>中的</w:t>
      </w:r>
      <w:r>
        <w:rPr>
          <w:rFonts w:ascii="Times New Roman" w:hAnsi="Times New Roman" w:cs="Times New Roman"/>
          <w:szCs w:val="21"/>
        </w:rPr>
        <w:t>1</w:t>
      </w:r>
      <w:r>
        <w:rPr>
          <w:rFonts w:hint="eastAsia" w:ascii="宋体" w:hAnsi="宋体" w:cs="宋体"/>
          <w:szCs w:val="21"/>
        </w:rPr>
        <w:t>级能效要求。</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d) </w:t>
      </w:r>
      <w:r>
        <w:rPr>
          <w:rFonts w:hint="eastAsia" w:ascii="宋体" w:hAnsi="宋体" w:cs="宋体"/>
          <w:szCs w:val="21"/>
        </w:rPr>
        <w:t>采用名义制冷量大于</w:t>
      </w:r>
      <w:r>
        <w:rPr>
          <w:rFonts w:ascii="Times New Roman" w:hAnsi="Times New Roman" w:cs="Times New Roman"/>
          <w:szCs w:val="21"/>
        </w:rPr>
        <w:t>7.1kW</w:t>
      </w:r>
      <w:r>
        <w:rPr>
          <w:rFonts w:hint="eastAsia" w:ascii="宋体" w:hAnsi="宋体" w:cs="宋体"/>
          <w:szCs w:val="21"/>
        </w:rPr>
        <w:t>、电机驱动的单元式空气调节机、风管送风式空调（热泵）机组和直接蒸发式全新风空气处理机组，其能效等级达到</w:t>
      </w:r>
      <w:r>
        <w:rPr>
          <w:rFonts w:ascii="Times New Roman" w:hAnsi="Times New Roman" w:cs="Times New Roman"/>
          <w:szCs w:val="21"/>
        </w:rPr>
        <w:t>GB 19576</w:t>
      </w:r>
      <w:r>
        <w:rPr>
          <w:rFonts w:hint="eastAsia" w:ascii="宋体" w:hAnsi="宋体" w:cs="宋体"/>
          <w:szCs w:val="21"/>
        </w:rPr>
        <w:t>及</w:t>
      </w:r>
      <w:r>
        <w:rPr>
          <w:rFonts w:ascii="Times New Roman" w:hAnsi="Times New Roman" w:cs="Times New Roman"/>
          <w:szCs w:val="21"/>
        </w:rPr>
        <w:t>GB 37479</w:t>
      </w:r>
      <w:r>
        <w:rPr>
          <w:rFonts w:hint="eastAsia" w:ascii="宋体" w:hAnsi="宋体" w:cs="宋体"/>
          <w:szCs w:val="21"/>
        </w:rPr>
        <w:t>的</w:t>
      </w:r>
      <w:r>
        <w:rPr>
          <w:rFonts w:ascii="Times New Roman" w:hAnsi="Times New Roman" w:cs="Times New Roman"/>
          <w:szCs w:val="21"/>
        </w:rPr>
        <w:t>1</w:t>
      </w:r>
      <w:r>
        <w:rPr>
          <w:rFonts w:hint="eastAsia" w:ascii="宋体" w:hAnsi="宋体" w:cs="宋体"/>
          <w:szCs w:val="21"/>
        </w:rPr>
        <w:t>级能效要求。</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e) </w:t>
      </w:r>
      <w:r>
        <w:rPr>
          <w:rFonts w:hint="eastAsia" w:ascii="宋体" w:hAnsi="宋体" w:cs="宋体"/>
          <w:szCs w:val="21"/>
        </w:rPr>
        <w:t>房间空气调节器，其能效等级应达到</w:t>
      </w:r>
      <w:r>
        <w:rPr>
          <w:rFonts w:ascii="Times New Roman" w:hAnsi="Times New Roman" w:cs="Times New Roman"/>
          <w:szCs w:val="21"/>
        </w:rPr>
        <w:t>GB 21455</w:t>
      </w:r>
      <w:r>
        <w:rPr>
          <w:rFonts w:hint="eastAsia" w:ascii="宋体" w:hAnsi="宋体" w:cs="宋体"/>
          <w:szCs w:val="21"/>
        </w:rPr>
        <w:t>的</w:t>
      </w:r>
      <w:r>
        <w:rPr>
          <w:rFonts w:ascii="Times New Roman" w:hAnsi="Times New Roman" w:cs="Times New Roman"/>
          <w:szCs w:val="21"/>
        </w:rPr>
        <w:t>1</w:t>
      </w:r>
      <w:r>
        <w:rPr>
          <w:rFonts w:hint="eastAsia" w:ascii="宋体" w:hAnsi="宋体" w:cs="宋体"/>
          <w:szCs w:val="21"/>
        </w:rPr>
        <w:t>级能效要求。</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f) </w:t>
      </w:r>
      <w:r>
        <w:t>空调制冷机房系统能效比</w:t>
      </w:r>
      <w:r>
        <w:rPr>
          <w:rFonts w:hint="eastAsia"/>
        </w:rPr>
        <w:t>应≥</w:t>
      </w:r>
      <w:r>
        <w:rPr>
          <w:rFonts w:ascii="Times New Roman" w:hAnsi="Times New Roman" w:cs="Times New Roman"/>
        </w:rPr>
        <w:t>4.6</w:t>
      </w:r>
      <w:r>
        <w:rPr>
          <w:rFonts w:hint="eastAsia"/>
        </w:rPr>
        <w:t>，当采用变频多联机、风冷热泵等其他类型的冷热源系统时，系统能效比参考该限值执行。</w:t>
      </w:r>
    </w:p>
    <w:p>
      <w:pPr>
        <w:overflowPunct w:val="0"/>
        <w:snapToGrid w:val="0"/>
        <w:spacing w:line="309" w:lineRule="exact"/>
        <w:ind w:firstLine="420"/>
        <w:rPr>
          <w:rFonts w:hint="eastAsia" w:ascii="宋体" w:hAnsi="宋体" w:cs="宋体"/>
          <w:szCs w:val="21"/>
        </w:rPr>
      </w:pPr>
      <w:r>
        <w:rPr>
          <w:rFonts w:hint="eastAsia" w:ascii="黑体" w:hAnsi="黑体" w:cs="宋体"/>
          <w:szCs w:val="21"/>
          <w:lang w:val="en-US" w:eastAsia="zh-CN"/>
        </w:rPr>
        <w:t xml:space="preserve">g) </w:t>
      </w:r>
      <w:r>
        <w:rPr>
          <w:rFonts w:hint="eastAsia" w:ascii="宋体" w:hAnsi="宋体" w:cs="宋体"/>
          <w:szCs w:val="21"/>
        </w:rPr>
        <w:t>区域供冷系统电冷源综合制冷性能系数不应低于表</w:t>
      </w:r>
      <w:r>
        <w:rPr>
          <w:rFonts w:hint="eastAsia" w:ascii="Times New Roman" w:hAnsi="Times New Roman" w:cs="Times New Roman"/>
          <w:szCs w:val="21"/>
          <w:lang w:val="en-US" w:eastAsia="zh-CN"/>
        </w:rPr>
        <w:t>8</w:t>
      </w:r>
      <w:r>
        <w:rPr>
          <w:rFonts w:hint="eastAsia" w:ascii="宋体" w:hAnsi="宋体" w:cs="宋体"/>
          <w:szCs w:val="21"/>
        </w:rPr>
        <w:t>的规定。</w:t>
      </w:r>
    </w:p>
    <w:p>
      <w:pPr>
        <w:pStyle w:val="42"/>
        <w:widowControl w:val="0"/>
        <w:overflowPunct w:val="0"/>
        <w:autoSpaceDE/>
        <w:autoSpaceDN/>
        <w:spacing w:before="62" w:beforeLines="20" w:after="78" w:afterLines="25" w:line="309" w:lineRule="exact"/>
        <w:ind w:firstLine="0" w:firstLineChars="0"/>
        <w:jc w:val="center"/>
        <w:rPr>
          <w:rFonts w:hint="eastAsia" w:ascii="黑体" w:hAnsi="黑体" w:eastAsia="黑体" w:cs="黑体"/>
          <w:sz w:val="18"/>
          <w:szCs w:val="18"/>
        </w:rPr>
      </w:pPr>
    </w:p>
    <w:p>
      <w:pPr>
        <w:pStyle w:val="42"/>
        <w:widowControl w:val="0"/>
        <w:overflowPunct w:val="0"/>
        <w:autoSpaceDE/>
        <w:autoSpaceDN/>
        <w:spacing w:before="62" w:beforeLines="20" w:after="78" w:afterLines="25" w:line="309" w:lineRule="exact"/>
        <w:ind w:firstLine="0" w:firstLineChars="0"/>
        <w:jc w:val="center"/>
        <w:rPr>
          <w:rFonts w:hint="eastAsia" w:ascii="黑体" w:hAnsi="黑体" w:eastAsia="黑体" w:cs="黑体"/>
          <w:sz w:val="18"/>
          <w:szCs w:val="18"/>
        </w:rPr>
      </w:pPr>
    </w:p>
    <w:p>
      <w:pPr>
        <w:pStyle w:val="42"/>
        <w:widowControl w:val="0"/>
        <w:overflowPunct w:val="0"/>
        <w:autoSpaceDE/>
        <w:autoSpaceDN/>
        <w:spacing w:before="62" w:beforeLines="20" w:after="78" w:afterLines="25" w:line="309" w:lineRule="exact"/>
        <w:ind w:firstLine="0" w:firstLineChars="0"/>
        <w:jc w:val="center"/>
        <w:rPr>
          <w:rFonts w:ascii="黑体" w:hAnsi="黑体" w:eastAsia="黑体" w:cs="黑体"/>
          <w:sz w:val="18"/>
          <w:szCs w:val="18"/>
        </w:rPr>
      </w:pPr>
      <w:r>
        <w:rPr>
          <w:rFonts w:hint="eastAsia" w:ascii="黑体" w:hAnsi="黑体" w:eastAsia="黑体" w:cs="黑体"/>
          <w:sz w:val="18"/>
          <w:szCs w:val="18"/>
        </w:rPr>
        <w:t>表</w:t>
      </w:r>
      <w:r>
        <w:rPr>
          <w:rFonts w:hint="eastAsia" w:ascii="黑体" w:hAnsi="黑体" w:eastAsia="黑体" w:cs="黑体"/>
          <w:sz w:val="18"/>
          <w:szCs w:val="18"/>
          <w:lang w:val="en-US" w:eastAsia="zh-CN"/>
        </w:rPr>
        <w:t>7</w:t>
      </w:r>
      <w:r>
        <w:rPr>
          <w:rFonts w:ascii="黑体" w:hAnsi="黑体" w:eastAsia="黑体" w:cs="黑体"/>
          <w:sz w:val="18"/>
          <w:szCs w:val="18"/>
        </w:rPr>
        <w:t>　</w:t>
      </w:r>
      <w:r>
        <w:rPr>
          <w:rFonts w:hint="eastAsia" w:ascii="黑体" w:hAnsi="黑体" w:eastAsia="黑体" w:cs="黑体"/>
          <w:sz w:val="18"/>
          <w:szCs w:val="18"/>
        </w:rPr>
        <w:t>天然气锅炉名义工况下的热效率（%）</w:t>
      </w:r>
    </w:p>
    <w:tbl>
      <w:tblPr>
        <w:tblStyle w:val="13"/>
        <w:tblW w:w="935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3118"/>
        <w:gridCol w:w="3118"/>
        <w:gridCol w:w="31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jc w:val="center"/>
        </w:trPr>
        <w:tc>
          <w:tcPr>
            <w:tcW w:w="6236" w:type="dxa"/>
            <w:gridSpan w:val="2"/>
            <w:vAlign w:val="center"/>
          </w:tcPr>
          <w:p>
            <w:pPr>
              <w:overflowPunct w:val="0"/>
              <w:jc w:val="center"/>
              <w:rPr>
                <w:rFonts w:ascii="Times New Roman" w:hAnsi="Times New Roman" w:eastAsia="宋体" w:cs="Times New Roman"/>
                <w:sz w:val="18"/>
                <w:szCs w:val="18"/>
              </w:rPr>
            </w:pPr>
            <w:r>
              <w:rPr>
                <w:rFonts w:ascii="Times New Roman" w:hAnsi="Times New Roman" w:eastAsia="宋体" w:cs="Times New Roman"/>
                <w:sz w:val="18"/>
                <w:szCs w:val="18"/>
              </w:rPr>
              <w:t>锅炉类型及燃料种类</w:t>
            </w:r>
          </w:p>
        </w:tc>
        <w:tc>
          <w:tcPr>
            <w:tcW w:w="3120" w:type="dxa"/>
            <w:vAlign w:val="center"/>
          </w:tcPr>
          <w:p>
            <w:pPr>
              <w:overflowPunct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锅炉热效率（%）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jc w:val="center"/>
        </w:trPr>
        <w:tc>
          <w:tcPr>
            <w:tcW w:w="3118" w:type="dxa"/>
            <w:vAlign w:val="center"/>
          </w:tcPr>
          <w:p>
            <w:pPr>
              <w:overflowPunct w:val="0"/>
              <w:jc w:val="center"/>
              <w:rPr>
                <w:rFonts w:ascii="Times New Roman" w:hAnsi="Times New Roman" w:eastAsia="宋体" w:cs="Times New Roman"/>
                <w:sz w:val="18"/>
                <w:szCs w:val="18"/>
              </w:rPr>
            </w:pPr>
            <w:r>
              <w:rPr>
                <w:rFonts w:ascii="Times New Roman" w:hAnsi="Times New Roman" w:eastAsia="宋体" w:cs="Times New Roman"/>
                <w:sz w:val="18"/>
                <w:szCs w:val="18"/>
              </w:rPr>
              <w:t>燃气</w:t>
            </w:r>
            <w:r>
              <w:rPr>
                <w:rFonts w:hint="eastAsia" w:ascii="Times New Roman" w:hAnsi="Times New Roman" w:eastAsia="宋体" w:cs="Times New Roman"/>
                <w:sz w:val="18"/>
                <w:szCs w:val="18"/>
              </w:rPr>
              <w:t>锅炉</w:t>
            </w:r>
          </w:p>
        </w:tc>
        <w:tc>
          <w:tcPr>
            <w:tcW w:w="3118" w:type="dxa"/>
            <w:vAlign w:val="center"/>
          </w:tcPr>
          <w:p>
            <w:pPr>
              <w:overflowPunct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燃气</w:t>
            </w:r>
          </w:p>
        </w:tc>
        <w:tc>
          <w:tcPr>
            <w:tcW w:w="3120" w:type="dxa"/>
            <w:vAlign w:val="center"/>
          </w:tcPr>
          <w:p>
            <w:pPr>
              <w:overflowPunct w:val="0"/>
              <w:jc w:val="center"/>
              <w:rPr>
                <w:rFonts w:ascii="Times New Roman" w:hAnsi="Times New Roman" w:eastAsia="宋体" w:cs="Times New Roman"/>
                <w:sz w:val="18"/>
                <w:szCs w:val="18"/>
              </w:rPr>
            </w:pPr>
            <w:r>
              <w:rPr>
                <w:rFonts w:ascii="Times New Roman" w:hAnsi="Times New Roman" w:eastAsia="宋体" w:cs="Times New Roman"/>
                <w:sz w:val="18"/>
                <w:szCs w:val="18"/>
              </w:rPr>
              <w:t>9</w:t>
            </w:r>
            <w:r>
              <w:rPr>
                <w:rFonts w:hint="eastAsia" w:ascii="Times New Roman" w:hAnsi="Times New Roman" w:eastAsia="宋体" w:cs="Times New Roman"/>
                <w:sz w:val="18"/>
                <w:szCs w:val="18"/>
              </w:rPr>
              <w:t>6</w:t>
            </w:r>
          </w:p>
        </w:tc>
      </w:tr>
    </w:tbl>
    <w:p>
      <w:pPr>
        <w:pStyle w:val="42"/>
        <w:widowControl w:val="0"/>
        <w:overflowPunct w:val="0"/>
        <w:autoSpaceDE/>
        <w:autoSpaceDN/>
        <w:spacing w:before="62" w:beforeLines="20" w:after="78" w:afterLines="25" w:line="309" w:lineRule="exact"/>
        <w:ind w:firstLine="0" w:firstLineChars="0"/>
        <w:jc w:val="center"/>
        <w:rPr>
          <w:rFonts w:hint="eastAsia" w:ascii="黑体" w:hAnsi="黑体" w:eastAsia="黑体" w:cs="黑体"/>
          <w:sz w:val="18"/>
          <w:szCs w:val="18"/>
        </w:rPr>
      </w:pPr>
    </w:p>
    <w:p>
      <w:pPr>
        <w:pStyle w:val="42"/>
        <w:widowControl w:val="0"/>
        <w:overflowPunct w:val="0"/>
        <w:autoSpaceDE/>
        <w:autoSpaceDN/>
        <w:spacing w:before="62" w:beforeLines="20" w:after="78" w:afterLines="25" w:line="309" w:lineRule="exact"/>
        <w:ind w:firstLine="0" w:firstLineChars="0"/>
        <w:jc w:val="center"/>
        <w:rPr>
          <w:rFonts w:ascii="黑体" w:hAnsi="黑体" w:eastAsia="黑体" w:cs="黑体"/>
          <w:sz w:val="18"/>
          <w:szCs w:val="18"/>
        </w:rPr>
      </w:pPr>
      <w:r>
        <w:rPr>
          <w:rFonts w:hint="eastAsia" w:ascii="黑体" w:hAnsi="黑体" w:eastAsia="黑体" w:cs="黑体"/>
          <w:sz w:val="18"/>
          <w:szCs w:val="18"/>
        </w:rPr>
        <w:t>表</w:t>
      </w:r>
      <w:r>
        <w:rPr>
          <w:rFonts w:hint="eastAsia" w:ascii="黑体" w:hAnsi="黑体" w:eastAsia="黑体" w:cs="黑体"/>
          <w:sz w:val="18"/>
          <w:szCs w:val="18"/>
          <w:lang w:val="en-US" w:eastAsia="zh-CN"/>
        </w:rPr>
        <w:t>8</w:t>
      </w:r>
      <w:r>
        <w:rPr>
          <w:rFonts w:ascii="黑体" w:hAnsi="黑体" w:eastAsia="黑体" w:cs="黑体"/>
          <w:sz w:val="18"/>
          <w:szCs w:val="18"/>
        </w:rPr>
        <w:t>　</w:t>
      </w:r>
      <w:r>
        <w:rPr>
          <w:rFonts w:hint="eastAsia" w:ascii="黑体" w:hAnsi="黑体" w:eastAsia="黑体" w:cs="黑体"/>
          <w:sz w:val="18"/>
          <w:szCs w:val="18"/>
        </w:rPr>
        <w:t>区域供冷系统电冷源综合制冷性能系数</w:t>
      </w:r>
    </w:p>
    <w:tbl>
      <w:tblPr>
        <w:tblStyle w:val="13"/>
        <w:tblW w:w="935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2825"/>
        <w:gridCol w:w="3119"/>
        <w:gridCol w:w="341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jc w:val="center"/>
        </w:trPr>
        <w:tc>
          <w:tcPr>
            <w:tcW w:w="2825" w:type="dxa"/>
            <w:vAlign w:val="center"/>
          </w:tcPr>
          <w:p>
            <w:pPr>
              <w:overflowPunct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类型</w:t>
            </w:r>
          </w:p>
        </w:tc>
        <w:tc>
          <w:tcPr>
            <w:tcW w:w="3119" w:type="dxa"/>
            <w:vAlign w:val="center"/>
          </w:tcPr>
          <w:p>
            <w:pPr>
              <w:overflowPunct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名义制冷量CC（kW）</w:t>
            </w:r>
          </w:p>
        </w:tc>
        <w:tc>
          <w:tcPr>
            <w:tcW w:w="3412" w:type="dxa"/>
            <w:vAlign w:val="center"/>
          </w:tcPr>
          <w:p>
            <w:pPr>
              <w:overflowPunct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综合制冷性能系数SCOP（W/W）</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jc w:val="center"/>
        </w:trPr>
        <w:tc>
          <w:tcPr>
            <w:tcW w:w="2825" w:type="dxa"/>
            <w:vMerge w:val="restart"/>
            <w:vAlign w:val="center"/>
          </w:tcPr>
          <w:p>
            <w:pPr>
              <w:overflowPunct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水冷螺杆式</w:t>
            </w:r>
          </w:p>
        </w:tc>
        <w:tc>
          <w:tcPr>
            <w:tcW w:w="3119" w:type="dxa"/>
            <w:vAlign w:val="center"/>
          </w:tcPr>
          <w:p>
            <w:pPr>
              <w:overflowPunct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CC≤528</w:t>
            </w:r>
          </w:p>
        </w:tc>
        <w:tc>
          <w:tcPr>
            <w:tcW w:w="3412" w:type="dxa"/>
            <w:vAlign w:val="center"/>
          </w:tcPr>
          <w:p>
            <w:pPr>
              <w:overflowPunct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jc w:val="center"/>
        </w:trPr>
        <w:tc>
          <w:tcPr>
            <w:tcW w:w="2825" w:type="dxa"/>
            <w:vMerge w:val="continue"/>
            <w:vAlign w:val="center"/>
          </w:tcPr>
          <w:p>
            <w:pPr>
              <w:overflowPunct w:val="0"/>
              <w:jc w:val="center"/>
              <w:rPr>
                <w:rFonts w:ascii="Times New Roman" w:hAnsi="Times New Roman" w:eastAsia="宋体" w:cs="Times New Roman"/>
                <w:sz w:val="18"/>
                <w:szCs w:val="18"/>
              </w:rPr>
            </w:pPr>
          </w:p>
        </w:tc>
        <w:tc>
          <w:tcPr>
            <w:tcW w:w="3119" w:type="dxa"/>
            <w:vAlign w:val="center"/>
          </w:tcPr>
          <w:p>
            <w:pPr>
              <w:overflowPunct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528＜CC≤1163</w:t>
            </w:r>
          </w:p>
        </w:tc>
        <w:tc>
          <w:tcPr>
            <w:tcW w:w="3412" w:type="dxa"/>
            <w:vAlign w:val="center"/>
          </w:tcPr>
          <w:p>
            <w:pPr>
              <w:overflowPunct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4.1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2825" w:type="dxa"/>
            <w:vMerge w:val="continue"/>
            <w:vAlign w:val="center"/>
          </w:tcPr>
          <w:p>
            <w:pPr>
              <w:overflowPunct w:val="0"/>
              <w:jc w:val="center"/>
              <w:rPr>
                <w:rFonts w:ascii="Times New Roman" w:hAnsi="Times New Roman" w:eastAsia="宋体" w:cs="Times New Roman"/>
                <w:sz w:val="18"/>
                <w:szCs w:val="18"/>
              </w:rPr>
            </w:pPr>
          </w:p>
        </w:tc>
        <w:tc>
          <w:tcPr>
            <w:tcW w:w="3119" w:type="dxa"/>
            <w:vAlign w:val="center"/>
          </w:tcPr>
          <w:p>
            <w:pPr>
              <w:overflowPunct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CC＞1163</w:t>
            </w:r>
          </w:p>
        </w:tc>
        <w:tc>
          <w:tcPr>
            <w:tcW w:w="3412" w:type="dxa"/>
            <w:vAlign w:val="center"/>
          </w:tcPr>
          <w:p>
            <w:pPr>
              <w:overflowPunct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jc w:val="center"/>
        </w:trPr>
        <w:tc>
          <w:tcPr>
            <w:tcW w:w="2825" w:type="dxa"/>
            <w:vMerge w:val="restart"/>
            <w:vAlign w:val="center"/>
          </w:tcPr>
          <w:p>
            <w:pPr>
              <w:overflowPunct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水冷离心式</w:t>
            </w:r>
          </w:p>
        </w:tc>
        <w:tc>
          <w:tcPr>
            <w:tcW w:w="3119" w:type="dxa"/>
            <w:shd w:val="clear" w:color="auto" w:fill="auto"/>
            <w:vAlign w:val="center"/>
          </w:tcPr>
          <w:p>
            <w:pPr>
              <w:overflowPunct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CC≤1163</w:t>
            </w:r>
          </w:p>
        </w:tc>
        <w:tc>
          <w:tcPr>
            <w:tcW w:w="3412" w:type="dxa"/>
            <w:vAlign w:val="center"/>
          </w:tcPr>
          <w:p>
            <w:pPr>
              <w:overflowPunct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jc w:val="center"/>
        </w:trPr>
        <w:tc>
          <w:tcPr>
            <w:tcW w:w="2825" w:type="dxa"/>
            <w:vMerge w:val="continue"/>
            <w:vAlign w:val="center"/>
          </w:tcPr>
          <w:p>
            <w:pPr>
              <w:overflowPunct w:val="0"/>
              <w:jc w:val="center"/>
              <w:rPr>
                <w:rFonts w:ascii="Times New Roman" w:hAnsi="Times New Roman" w:eastAsia="宋体" w:cs="Times New Roman"/>
                <w:sz w:val="18"/>
                <w:szCs w:val="18"/>
              </w:rPr>
            </w:pPr>
          </w:p>
        </w:tc>
        <w:tc>
          <w:tcPr>
            <w:tcW w:w="3119" w:type="dxa"/>
            <w:shd w:val="clear" w:color="auto" w:fill="auto"/>
            <w:vAlign w:val="center"/>
          </w:tcPr>
          <w:p>
            <w:pPr>
              <w:overflowPunct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1163＜CC≤2110</w:t>
            </w:r>
          </w:p>
        </w:tc>
        <w:tc>
          <w:tcPr>
            <w:tcW w:w="3412" w:type="dxa"/>
            <w:vAlign w:val="center"/>
          </w:tcPr>
          <w:p>
            <w:pPr>
              <w:overflowPunct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jc w:val="center"/>
        </w:trPr>
        <w:tc>
          <w:tcPr>
            <w:tcW w:w="2825" w:type="dxa"/>
            <w:vMerge w:val="continue"/>
            <w:vAlign w:val="center"/>
          </w:tcPr>
          <w:p>
            <w:pPr>
              <w:overflowPunct w:val="0"/>
              <w:jc w:val="center"/>
              <w:rPr>
                <w:rFonts w:ascii="Times New Roman" w:hAnsi="Times New Roman" w:eastAsia="宋体" w:cs="Times New Roman"/>
                <w:sz w:val="18"/>
                <w:szCs w:val="18"/>
              </w:rPr>
            </w:pPr>
          </w:p>
        </w:tc>
        <w:tc>
          <w:tcPr>
            <w:tcW w:w="3119" w:type="dxa"/>
            <w:shd w:val="clear" w:color="auto" w:fill="auto"/>
            <w:vAlign w:val="center"/>
          </w:tcPr>
          <w:p>
            <w:pPr>
              <w:overflowPunct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CC＞2110</w:t>
            </w:r>
          </w:p>
        </w:tc>
        <w:tc>
          <w:tcPr>
            <w:tcW w:w="3412" w:type="dxa"/>
            <w:vAlign w:val="center"/>
          </w:tcPr>
          <w:p>
            <w:pPr>
              <w:overflowPunct w:val="0"/>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4.6</w:t>
            </w:r>
          </w:p>
        </w:tc>
      </w:tr>
    </w:tbl>
    <w:p>
      <w:pPr>
        <w:tabs>
          <w:tab w:val="left" w:pos="0"/>
          <w:tab w:val="left" w:pos="397"/>
        </w:tabs>
        <w:overflowPunct w:val="0"/>
        <w:snapToGrid w:val="0"/>
        <w:spacing w:line="309" w:lineRule="exact"/>
        <w:outlineLvl w:val="2"/>
        <w:rPr>
          <w:rStyle w:val="44"/>
          <w:rFonts w:eastAsia="宋体"/>
          <w:color w:val="auto"/>
        </w:rPr>
      </w:pP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olor w:val="auto"/>
        </w:rPr>
        <w:t>7.3.3　</w:t>
      </w:r>
      <w:r>
        <w:rPr>
          <w:rStyle w:val="44"/>
          <w:rFonts w:hint="eastAsia" w:ascii="宋体" w:hAnsi="宋体" w:eastAsia="宋体"/>
          <w:color w:val="auto"/>
        </w:rPr>
        <w:t>空气源热泵冷、热水机组的选用宜符合下列要求：</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a) </w:t>
      </w:r>
      <w:r>
        <w:rPr>
          <w:rFonts w:hint="eastAsia" w:ascii="宋体" w:hAnsi="宋体" w:cs="宋体"/>
          <w:szCs w:val="21"/>
        </w:rPr>
        <w:t>具有融霜控制，融霜时间总和不应超过运行周期时间的</w:t>
      </w:r>
      <w:r>
        <w:rPr>
          <w:rFonts w:ascii="Times New Roman" w:hAnsi="Times New Roman" w:cs="Times New Roman"/>
          <w:szCs w:val="21"/>
        </w:rPr>
        <w:t>20%</w:t>
      </w:r>
      <w:r>
        <w:rPr>
          <w:rFonts w:hint="eastAsia" w:ascii="宋体" w:hAnsi="宋体" w:cs="宋体"/>
          <w:szCs w:val="21"/>
        </w:rPr>
        <w:t>。</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b) </w:t>
      </w:r>
      <w:r>
        <w:rPr>
          <w:rFonts w:hint="eastAsia" w:ascii="宋体" w:hAnsi="宋体" w:cs="宋体"/>
          <w:szCs w:val="21"/>
        </w:rPr>
        <w:t>冬季室外空调计算温度时的机组运行性能系数不应低于</w:t>
      </w:r>
      <w:r>
        <w:rPr>
          <w:rFonts w:ascii="Times New Roman" w:hAnsi="Times New Roman" w:cs="Times New Roman"/>
          <w:szCs w:val="21"/>
        </w:rPr>
        <w:t>2.00</w:t>
      </w:r>
      <w:r>
        <w:rPr>
          <w:rFonts w:hint="eastAsia" w:ascii="宋体" w:hAnsi="宋体" w:cs="宋体"/>
          <w:szCs w:val="21"/>
        </w:rPr>
        <w:t>。</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c) </w:t>
      </w:r>
      <w:r>
        <w:rPr>
          <w:rFonts w:hint="eastAsia" w:ascii="宋体" w:hAnsi="宋体" w:cs="宋体"/>
          <w:szCs w:val="21"/>
        </w:rPr>
        <w:t>对于同时供冷、供暖的建筑，宜选用热回收式热泵机组。</w:t>
      </w: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olor w:val="auto"/>
        </w:rPr>
        <w:t>7.3.4　</w:t>
      </w:r>
      <w:r>
        <w:rPr>
          <w:rStyle w:val="44"/>
          <w:rFonts w:hint="eastAsia" w:ascii="宋体" w:hAnsi="宋体" w:eastAsia="宋体"/>
          <w:color w:val="auto"/>
        </w:rPr>
        <w:t>地源热泵系统的设计应用应符合下列规定：</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a) </w:t>
      </w:r>
      <w:r>
        <w:rPr>
          <w:rFonts w:hint="eastAsia" w:ascii="宋体" w:hAnsi="宋体" w:cs="宋体"/>
          <w:szCs w:val="21"/>
        </w:rPr>
        <w:t>应根据建筑负荷特点，对现场条件、能源政策、节能性和经济性等进行分析，与常规空调系统冷热源方案系统进行全年能耗和运行费用对比，对采用地源热泵系统进行工程可行性分析；</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b) </w:t>
      </w:r>
      <w:r>
        <w:rPr>
          <w:rFonts w:hint="eastAsia" w:ascii="宋体" w:hAnsi="宋体" w:cs="宋体"/>
          <w:szCs w:val="21"/>
        </w:rPr>
        <w:t>应根据建筑负荷特点，对建筑全年冷、热负荷特性进行分析，确定合理的地源热泵系统配置方案。宜根据负荷情况与其他空调冷热源组成复合式冷热源系统；</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c) </w:t>
      </w:r>
      <w:r>
        <w:rPr>
          <w:rFonts w:hint="eastAsia" w:ascii="宋体" w:hAnsi="宋体" w:cs="宋体"/>
          <w:szCs w:val="21"/>
        </w:rPr>
        <w:t>建筑面积≤</w:t>
      </w:r>
      <w:r>
        <w:rPr>
          <w:rFonts w:ascii="Times New Roman" w:hAnsi="Times New Roman" w:cs="Times New Roman"/>
          <w:szCs w:val="21"/>
        </w:rPr>
        <w:t>5000m</w:t>
      </w:r>
      <w:r>
        <w:rPr>
          <w:rFonts w:ascii="Times New Roman" w:hAnsi="Times New Roman" w:cs="Times New Roman"/>
          <w:szCs w:val="21"/>
          <w:vertAlign w:val="superscript"/>
        </w:rPr>
        <w:t>2</w:t>
      </w:r>
      <w:r>
        <w:rPr>
          <w:rFonts w:hint="eastAsia" w:ascii="宋体" w:hAnsi="宋体" w:cs="宋体"/>
          <w:szCs w:val="21"/>
        </w:rPr>
        <w:t>时，可采用地源热泵作为空调系统的单一冷热源，埋管侧或地表水换热器应按夏季最大释热量进行设计；建筑面积＞</w:t>
      </w:r>
      <w:r>
        <w:rPr>
          <w:rFonts w:ascii="Times New Roman" w:hAnsi="Times New Roman" w:cs="Times New Roman"/>
          <w:szCs w:val="21"/>
        </w:rPr>
        <w:t>5000m</w:t>
      </w:r>
      <w:r>
        <w:rPr>
          <w:rFonts w:ascii="Times New Roman" w:hAnsi="Times New Roman" w:cs="Times New Roman"/>
          <w:szCs w:val="21"/>
          <w:vertAlign w:val="superscript"/>
        </w:rPr>
        <w:t>2</w:t>
      </w:r>
      <w:r>
        <w:rPr>
          <w:rFonts w:hint="eastAsia" w:ascii="宋体" w:hAnsi="宋体" w:cs="宋体"/>
          <w:szCs w:val="21"/>
        </w:rPr>
        <w:t>时，应采用复合式地源热泵系统，埋管侧或地表水换热器应按冬季最大取热量进行设计，夏季不足部分可采用冷却塔+冷水机组、空气源热泵等辅助冷源供冷；</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d) </w:t>
      </w:r>
      <w:r>
        <w:rPr>
          <w:rFonts w:hint="eastAsia" w:ascii="宋体" w:hAnsi="宋体" w:cs="宋体"/>
          <w:szCs w:val="21"/>
        </w:rPr>
        <w:t>地源热泵机组的能效不应低于</w:t>
      </w:r>
      <w:r>
        <w:rPr>
          <w:rFonts w:ascii="Times New Roman" w:hAnsi="Times New Roman" w:cs="Times New Roman"/>
          <w:szCs w:val="21"/>
        </w:rPr>
        <w:t>GB19577</w:t>
      </w:r>
      <w:r>
        <w:rPr>
          <w:rFonts w:hint="eastAsia" w:ascii="宋体" w:hAnsi="宋体" w:cs="宋体"/>
          <w:szCs w:val="21"/>
        </w:rPr>
        <w:t>规定的</w:t>
      </w:r>
      <w:r>
        <w:rPr>
          <w:rFonts w:hint="eastAsia" w:ascii="Times New Roman" w:hAnsi="Times New Roman" w:cs="Times New Roman"/>
          <w:szCs w:val="21"/>
        </w:rPr>
        <w:t>1</w:t>
      </w:r>
      <w:r>
        <w:rPr>
          <w:rFonts w:hint="eastAsia" w:ascii="宋体" w:hAnsi="宋体" w:cs="宋体"/>
          <w:szCs w:val="21"/>
        </w:rPr>
        <w:t>级能效。</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e) </w:t>
      </w:r>
      <w:r>
        <w:rPr>
          <w:rFonts w:hint="eastAsia" w:ascii="宋体" w:hAnsi="宋体" w:cs="宋体"/>
          <w:szCs w:val="21"/>
        </w:rPr>
        <w:t>地源热泵系统应兼顾生活热水需求，有稳定热水需求的公共建筑，应根据负荷特点选用部分或全部热回收型地源热泵机组。</w:t>
      </w:r>
    </w:p>
    <w:p>
      <w:pPr>
        <w:tabs>
          <w:tab w:val="left" w:pos="397"/>
          <w:tab w:val="left" w:pos="765"/>
        </w:tabs>
        <w:overflowPunct w:val="0"/>
        <w:spacing w:before="156" w:beforeLines="50" w:after="156" w:afterLines="50"/>
        <w:outlineLvl w:val="2"/>
        <w:rPr>
          <w:rFonts w:ascii="黑体" w:hAnsi="黑体" w:eastAsia="黑体" w:cs="Times New Roman"/>
          <w:szCs w:val="21"/>
        </w:rPr>
      </w:pPr>
      <w:r>
        <w:rPr>
          <w:rFonts w:ascii="黑体" w:hAnsi="黑体" w:eastAsia="黑体" w:cs="Times New Roman"/>
          <w:szCs w:val="21"/>
        </w:rPr>
        <w:t>7.4</w:t>
      </w:r>
      <w:r>
        <w:rPr>
          <w:rFonts w:hint="eastAsia" w:ascii="黑体" w:hAnsi="黑体" w:eastAsia="黑体" w:cs="Times New Roman"/>
          <w:szCs w:val="21"/>
        </w:rPr>
        <w:t>　</w:t>
      </w:r>
      <w:bookmarkStart w:id="34" w:name="_Toc10143"/>
      <w:r>
        <w:rPr>
          <w:rFonts w:hint="eastAsia" w:ascii="黑体" w:hAnsi="黑体" w:eastAsia="黑体" w:cs="Times New Roman"/>
          <w:szCs w:val="21"/>
        </w:rPr>
        <w:t>输配系统及末端设计</w:t>
      </w:r>
      <w:bookmarkEnd w:id="34"/>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olor w:val="auto"/>
        </w:rPr>
        <w:t>7.4.1　</w:t>
      </w:r>
      <w:r>
        <w:rPr>
          <w:rStyle w:val="44"/>
          <w:rFonts w:hint="eastAsia" w:ascii="宋体" w:hAnsi="宋体" w:eastAsia="宋体"/>
          <w:color w:val="auto"/>
        </w:rPr>
        <w:t>集中供暖空调应采用高效率的空调水泵及风机，经过管路作用半径控制和优化设计，提高输配系统的能效，并符合下列要求：</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a) </w:t>
      </w:r>
      <w:r>
        <w:rPr>
          <w:rFonts w:hint="eastAsia" w:ascii="宋体" w:hAnsi="宋体" w:cs="宋体"/>
          <w:szCs w:val="21"/>
        </w:rPr>
        <w:t>空调水泵、风机应分别达到</w:t>
      </w:r>
      <w:r>
        <w:rPr>
          <w:rFonts w:ascii="Times New Roman" w:hAnsi="Times New Roman" w:cs="Times New Roman"/>
          <w:szCs w:val="21"/>
        </w:rPr>
        <w:t>GB19761</w:t>
      </w:r>
      <w:r>
        <w:rPr>
          <w:rFonts w:hint="eastAsia" w:ascii="宋体" w:hAnsi="宋体" w:cs="宋体"/>
          <w:szCs w:val="21"/>
        </w:rPr>
        <w:t>、</w:t>
      </w:r>
      <w:r>
        <w:rPr>
          <w:rFonts w:ascii="Times New Roman" w:hAnsi="Times New Roman" w:cs="Times New Roman"/>
          <w:szCs w:val="21"/>
        </w:rPr>
        <w:t>GB19762</w:t>
      </w:r>
      <w:r>
        <w:rPr>
          <w:rFonts w:hint="eastAsia" w:ascii="宋体" w:hAnsi="宋体" w:cs="宋体"/>
          <w:szCs w:val="21"/>
        </w:rPr>
        <w:t>的</w:t>
      </w:r>
      <w:r>
        <w:rPr>
          <w:rFonts w:ascii="Times New Roman" w:hAnsi="Times New Roman" w:cs="Times New Roman"/>
          <w:szCs w:val="21"/>
        </w:rPr>
        <w:t>2</w:t>
      </w:r>
      <w:r>
        <w:rPr>
          <w:rFonts w:hint="eastAsia" w:ascii="宋体" w:hAnsi="宋体" w:cs="宋体"/>
          <w:szCs w:val="21"/>
        </w:rPr>
        <w:t>级能效要求，宜达到</w:t>
      </w:r>
      <w:r>
        <w:rPr>
          <w:rFonts w:ascii="Times New Roman" w:hAnsi="Times New Roman" w:cs="Times New Roman"/>
          <w:szCs w:val="21"/>
        </w:rPr>
        <w:t>1</w:t>
      </w:r>
      <w:r>
        <w:rPr>
          <w:rFonts w:hint="eastAsia" w:ascii="宋体" w:hAnsi="宋体" w:cs="宋体"/>
          <w:szCs w:val="21"/>
        </w:rPr>
        <w:t>级能效要求。</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b) </w:t>
      </w:r>
      <w:r>
        <w:rPr>
          <w:rFonts w:hint="eastAsia" w:ascii="宋体" w:hAnsi="宋体" w:cs="宋体"/>
          <w:szCs w:val="21"/>
        </w:rPr>
        <w:t>空调冷热水系统循环水泵的耗电输冷（热）比宜较</w:t>
      </w:r>
      <w:r>
        <w:rPr>
          <w:rFonts w:ascii="Times New Roman" w:hAnsi="Times New Roman" w:cs="Times New Roman"/>
          <w:szCs w:val="21"/>
        </w:rPr>
        <w:t>GB50736</w:t>
      </w:r>
      <w:r>
        <w:rPr>
          <w:rFonts w:hint="eastAsia" w:ascii="宋体" w:hAnsi="宋体" w:cs="宋体"/>
          <w:szCs w:val="21"/>
        </w:rPr>
        <w:t>要求降低</w:t>
      </w:r>
      <w:r>
        <w:rPr>
          <w:rFonts w:ascii="Times New Roman" w:hAnsi="Times New Roman" w:cs="Times New Roman"/>
          <w:szCs w:val="21"/>
        </w:rPr>
        <w:t>20%</w:t>
      </w:r>
      <w:r>
        <w:rPr>
          <w:rFonts w:hint="eastAsia" w:ascii="宋体" w:hAnsi="宋体" w:cs="宋体"/>
          <w:szCs w:val="21"/>
        </w:rPr>
        <w:t>以上。</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c) </w:t>
      </w:r>
      <w:r>
        <w:rPr>
          <w:rStyle w:val="44"/>
          <w:rFonts w:hint="eastAsia" w:ascii="宋体" w:hAnsi="宋体" w:eastAsia="宋体"/>
          <w:color w:val="auto"/>
        </w:rPr>
        <w:t>通风及空调系统风机单位风量耗功率宜较</w:t>
      </w:r>
      <w:r>
        <w:rPr>
          <w:rStyle w:val="44"/>
          <w:rFonts w:ascii="Times New Roman" w:hAnsi="Times New Roman" w:eastAsia="宋体" w:cs="Times New Roman"/>
          <w:color w:val="auto"/>
        </w:rPr>
        <w:t>GB50189</w:t>
      </w:r>
      <w:r>
        <w:rPr>
          <w:rStyle w:val="44"/>
          <w:rFonts w:hint="eastAsia" w:ascii="宋体" w:hAnsi="宋体" w:eastAsia="宋体"/>
          <w:color w:val="auto"/>
        </w:rPr>
        <w:t>要求降低</w:t>
      </w:r>
      <w:r>
        <w:rPr>
          <w:rStyle w:val="44"/>
          <w:rFonts w:ascii="Times New Roman" w:hAnsi="Times New Roman" w:eastAsia="宋体" w:cs="Times New Roman"/>
          <w:color w:val="auto"/>
        </w:rPr>
        <w:t>20%</w:t>
      </w:r>
      <w:r>
        <w:rPr>
          <w:rStyle w:val="44"/>
          <w:rFonts w:hint="eastAsia" w:ascii="宋体" w:hAnsi="宋体" w:eastAsia="宋体"/>
          <w:color w:val="auto"/>
        </w:rPr>
        <w:t>以上。</w:t>
      </w: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olor w:val="auto"/>
        </w:rPr>
        <w:t>7.4.2　</w:t>
      </w:r>
      <w:r>
        <w:rPr>
          <w:rStyle w:val="44"/>
          <w:rFonts w:hint="eastAsia" w:ascii="宋体" w:hAnsi="宋体" w:eastAsia="宋体"/>
          <w:color w:val="auto"/>
        </w:rPr>
        <w:t>集中空调冷、热水系统的设计应负荷下列要求：</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a) </w:t>
      </w:r>
      <w:r>
        <w:rPr>
          <w:rFonts w:hint="eastAsia" w:ascii="宋体" w:hAnsi="宋体" w:cs="宋体"/>
          <w:szCs w:val="21"/>
        </w:rPr>
        <w:t>空调冷水系统宜采用变流量二级泵系统，并在供回水干管之间设置平衡管或平衡水箱。当各环路的设计水温一致且设计水流阻力接近时，二级泵宜集中设置；当各环路的设计水流阻力相差较大或各系统水温或温差要求不同时，宜按区域或系统分别设置二级泵，且二级泵应采用调速泵。</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b) </w:t>
      </w:r>
      <w:r>
        <w:rPr>
          <w:rFonts w:hint="eastAsia" w:ascii="宋体" w:hAnsi="宋体" w:cs="宋体"/>
          <w:szCs w:val="21"/>
        </w:rPr>
        <w:t>变流量二级泵系统的一级泵与冷热源宜采用“先串后并”的连接方式。</w:t>
      </w: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olor w:val="auto"/>
        </w:rPr>
        <w:t>7.4.3　</w:t>
      </w:r>
      <w:r>
        <w:rPr>
          <w:rStyle w:val="44"/>
          <w:rFonts w:hint="eastAsia" w:ascii="宋体" w:hAnsi="宋体" w:eastAsia="宋体"/>
          <w:color w:val="auto"/>
        </w:rPr>
        <w:t>全空气空调系统设计应符合下列要求：</w:t>
      </w:r>
    </w:p>
    <w:p>
      <w:pPr>
        <w:overflowPunct w:val="0"/>
        <w:snapToGrid w:val="0"/>
        <w:spacing w:line="309" w:lineRule="exact"/>
        <w:ind w:firstLine="420"/>
        <w:rPr>
          <w:rFonts w:hint="eastAsia" w:ascii="宋体" w:hAnsi="宋体" w:cs="宋体" w:eastAsiaTheme="minorEastAsia"/>
          <w:szCs w:val="21"/>
          <w:lang w:eastAsia="zh-CN"/>
        </w:rPr>
      </w:pPr>
      <w:r>
        <w:rPr>
          <w:rFonts w:hint="eastAsia" w:ascii="黑体" w:hAnsi="黑体" w:cs="宋体"/>
          <w:szCs w:val="21"/>
          <w:lang w:val="en-US" w:eastAsia="zh-CN"/>
        </w:rPr>
        <w:t xml:space="preserve">a) </w:t>
      </w:r>
      <w:r>
        <w:rPr>
          <w:rFonts w:hint="eastAsia" w:ascii="宋体" w:hAnsi="宋体" w:cs="宋体"/>
          <w:szCs w:val="21"/>
        </w:rPr>
        <w:t>全空气空调系统应具有可变新风比功能，系统最大新风比不应低于</w:t>
      </w:r>
      <w:r>
        <w:rPr>
          <w:rFonts w:ascii="Times New Roman" w:hAnsi="Times New Roman" w:cs="Times New Roman"/>
          <w:szCs w:val="21"/>
        </w:rPr>
        <w:t>50%</w:t>
      </w:r>
      <w:r>
        <w:rPr>
          <w:rFonts w:hint="eastAsia" w:ascii="宋体" w:hAnsi="宋体" w:cs="宋体"/>
          <w:szCs w:val="21"/>
        </w:rPr>
        <w:t>；人员密集的大空间和全年有供冷需求的区域全空气系统最大新风比不低于</w:t>
      </w:r>
      <w:r>
        <w:rPr>
          <w:rFonts w:ascii="Times New Roman" w:hAnsi="Times New Roman" w:cs="Times New Roman"/>
          <w:szCs w:val="21"/>
        </w:rPr>
        <w:t>70%</w:t>
      </w:r>
      <w:r>
        <w:rPr>
          <w:rFonts w:hint="eastAsia" w:ascii="宋体" w:hAnsi="宋体" w:cs="宋体"/>
          <w:szCs w:val="21"/>
        </w:rPr>
        <w:t>；宜采用焓差法实现过渡季节的可调新风节能运行</w:t>
      </w:r>
      <w:r>
        <w:rPr>
          <w:rFonts w:hint="eastAsia" w:ascii="宋体" w:hAnsi="宋体" w:cs="宋体"/>
          <w:szCs w:val="21"/>
          <w:lang w:val="en-US" w:eastAsia="zh-CN"/>
        </w:rPr>
        <w:t>;</w:t>
      </w:r>
    </w:p>
    <w:p>
      <w:pPr>
        <w:overflowPunct w:val="0"/>
        <w:snapToGrid w:val="0"/>
        <w:spacing w:line="309" w:lineRule="exact"/>
        <w:ind w:firstLine="420"/>
        <w:rPr>
          <w:rFonts w:hint="eastAsia" w:ascii="宋体" w:hAnsi="宋体" w:cs="宋体" w:eastAsiaTheme="minorEastAsia"/>
          <w:szCs w:val="21"/>
          <w:lang w:eastAsia="zh-CN"/>
        </w:rPr>
      </w:pPr>
      <w:r>
        <w:rPr>
          <w:rFonts w:hint="eastAsia" w:ascii="黑体" w:hAnsi="黑体" w:cs="宋体"/>
          <w:szCs w:val="21"/>
          <w:lang w:val="en-US" w:eastAsia="zh-CN"/>
        </w:rPr>
        <w:t xml:space="preserve">b) </w:t>
      </w:r>
      <w:r>
        <w:rPr>
          <w:rFonts w:hint="eastAsia" w:ascii="宋体" w:hAnsi="宋体" w:cs="宋体"/>
          <w:szCs w:val="21"/>
        </w:rPr>
        <w:t>空调排风系统的风量应与空调新风量变化相适应</w:t>
      </w:r>
      <w:r>
        <w:rPr>
          <w:rFonts w:hint="eastAsia" w:ascii="宋体" w:hAnsi="宋体" w:cs="宋体"/>
          <w:szCs w:val="21"/>
          <w:lang w:val="en-US" w:eastAsia="zh-CN"/>
        </w:rPr>
        <w:t>;</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c) </w:t>
      </w:r>
      <w:r>
        <w:rPr>
          <w:rFonts w:hint="eastAsia" w:ascii="宋体" w:hAnsi="宋体" w:cs="宋体"/>
          <w:szCs w:val="21"/>
        </w:rPr>
        <w:t>变风量系统的空气处理机组风机均应采用变速风机。</w:t>
      </w: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olor w:val="auto"/>
        </w:rPr>
        <w:t>7.4.4　</w:t>
      </w:r>
      <w:r>
        <w:rPr>
          <w:rStyle w:val="44"/>
          <w:rFonts w:hint="eastAsia" w:ascii="宋体" w:hAnsi="宋体" w:eastAsia="宋体"/>
          <w:color w:val="auto"/>
        </w:rPr>
        <w:t>新风系统设计应符合下列要求：</w:t>
      </w:r>
    </w:p>
    <w:p>
      <w:pPr>
        <w:overflowPunct w:val="0"/>
        <w:snapToGrid w:val="0"/>
        <w:spacing w:line="309" w:lineRule="exact"/>
        <w:ind w:firstLine="420"/>
        <w:rPr>
          <w:rFonts w:hint="eastAsia" w:ascii="宋体" w:hAnsi="宋体" w:cs="宋体" w:eastAsiaTheme="minorEastAsia"/>
          <w:szCs w:val="21"/>
          <w:lang w:eastAsia="zh-CN"/>
        </w:rPr>
      </w:pPr>
      <w:r>
        <w:rPr>
          <w:rFonts w:hint="eastAsia" w:ascii="黑体" w:hAnsi="黑体" w:cs="宋体"/>
          <w:szCs w:val="21"/>
          <w:lang w:val="en-US" w:eastAsia="zh-CN"/>
        </w:rPr>
        <w:t xml:space="preserve">a) </w:t>
      </w:r>
      <w:r>
        <w:rPr>
          <w:rFonts w:hint="eastAsia" w:ascii="宋体" w:hAnsi="宋体" w:cs="宋体"/>
          <w:szCs w:val="21"/>
        </w:rPr>
        <w:t>人员密度较大且人员数量变化较大的房间，应根据室内</w:t>
      </w:r>
      <w:r>
        <w:rPr>
          <w:rFonts w:ascii="Times New Roman" w:hAnsi="Times New Roman" w:cs="Times New Roman"/>
          <w:szCs w:val="21"/>
        </w:rPr>
        <w:t>CO</w:t>
      </w:r>
      <w:r>
        <w:rPr>
          <w:rFonts w:ascii="Times New Roman" w:hAnsi="Times New Roman" w:cs="Times New Roman"/>
          <w:szCs w:val="21"/>
          <w:vertAlign w:val="subscript"/>
        </w:rPr>
        <w:t>2</w:t>
      </w:r>
      <w:r>
        <w:rPr>
          <w:rFonts w:hint="eastAsia" w:ascii="宋体" w:hAnsi="宋体" w:cs="宋体"/>
          <w:szCs w:val="21"/>
        </w:rPr>
        <w:t>浓度监测值进行新风需求控制，排风量宜适应新风量的变化以维持房间正压</w:t>
      </w:r>
      <w:r>
        <w:rPr>
          <w:rFonts w:hint="eastAsia" w:ascii="宋体" w:hAnsi="宋体" w:cs="宋体"/>
          <w:szCs w:val="21"/>
          <w:lang w:val="en-US" w:eastAsia="zh-CN"/>
        </w:rPr>
        <w:t>;</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b) </w:t>
      </w:r>
      <w:r>
        <w:rPr>
          <w:rFonts w:hint="eastAsia" w:ascii="宋体" w:hAnsi="宋体" w:cs="宋体"/>
          <w:szCs w:val="21"/>
        </w:rPr>
        <w:t>风机盘管加新风空调系统的新风应直接送入各空气调节区，且具备新风量可变调节的功能。</w:t>
      </w:r>
    </w:p>
    <w:p>
      <w:pPr>
        <w:tabs>
          <w:tab w:val="left" w:pos="397"/>
          <w:tab w:val="left" w:pos="765"/>
        </w:tabs>
        <w:overflowPunct w:val="0"/>
        <w:spacing w:before="156" w:beforeLines="50" w:after="156" w:afterLines="50"/>
        <w:outlineLvl w:val="2"/>
        <w:rPr>
          <w:rFonts w:ascii="黑体" w:hAnsi="黑体" w:eastAsia="黑体" w:cs="Times New Roman"/>
          <w:szCs w:val="21"/>
        </w:rPr>
      </w:pPr>
      <w:r>
        <w:rPr>
          <w:rFonts w:ascii="黑体" w:hAnsi="黑体" w:eastAsia="黑体" w:cs="Times New Roman"/>
          <w:szCs w:val="21"/>
        </w:rPr>
        <w:t>7.5</w:t>
      </w:r>
      <w:bookmarkStart w:id="35" w:name="_Toc8528"/>
      <w:r>
        <w:rPr>
          <w:rFonts w:hint="eastAsia" w:ascii="黑体" w:hAnsi="黑体" w:eastAsia="黑体" w:cs="Times New Roman"/>
          <w:szCs w:val="21"/>
        </w:rPr>
        <w:t>　监测、控制与计量</w:t>
      </w:r>
      <w:bookmarkEnd w:id="35"/>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olor w:val="auto"/>
        </w:rPr>
        <w:t>7.5.1　</w:t>
      </w:r>
      <w:r>
        <w:rPr>
          <w:rStyle w:val="44"/>
          <w:rFonts w:hint="eastAsia" w:ascii="宋体" w:hAnsi="宋体" w:eastAsia="宋体"/>
          <w:color w:val="auto"/>
        </w:rPr>
        <w:t>以排除房间余热为主通风系统，应设置通风设备温控装置。</w:t>
      </w: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olor w:val="auto"/>
        </w:rPr>
        <w:t>7.5.2　</w:t>
      </w:r>
      <w:r>
        <w:rPr>
          <w:rStyle w:val="44"/>
          <w:rFonts w:hint="eastAsia" w:ascii="宋体" w:hAnsi="宋体" w:eastAsia="宋体"/>
          <w:color w:val="auto"/>
        </w:rPr>
        <w:t>地下停车库设置通风系统时，应根据车库内的</w:t>
      </w:r>
      <w:r>
        <w:rPr>
          <w:rStyle w:val="44"/>
          <w:rFonts w:ascii="Times New Roman" w:hAnsi="Times New Roman" w:eastAsia="宋体" w:cs="Times New Roman"/>
          <w:color w:val="auto"/>
        </w:rPr>
        <w:t>CO</w:t>
      </w:r>
      <w:r>
        <w:rPr>
          <w:rStyle w:val="44"/>
          <w:rFonts w:hint="eastAsia" w:ascii="宋体" w:hAnsi="宋体" w:eastAsia="宋体"/>
          <w:color w:val="auto"/>
        </w:rPr>
        <w:t>浓度进行自动运行控制。</w:t>
      </w: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olor w:val="auto"/>
        </w:rPr>
        <w:t>7.5.3　</w:t>
      </w:r>
      <w:r>
        <w:rPr>
          <w:rStyle w:val="44"/>
          <w:rFonts w:hint="eastAsia" w:ascii="宋体" w:hAnsi="宋体" w:eastAsia="宋体"/>
          <w:color w:val="auto"/>
        </w:rPr>
        <w:t>空调风系统应结合室外气象条件和室内负荷需求进行节能运行控制：</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a) </w:t>
      </w:r>
      <w:r>
        <w:rPr>
          <w:rFonts w:hint="eastAsia" w:ascii="宋体" w:hAnsi="宋体" w:cs="宋体"/>
          <w:szCs w:val="21"/>
        </w:rPr>
        <w:t>当室内负荷减小时，通过变速风机调节实现低速节能运行。</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b) </w:t>
      </w:r>
      <w:r>
        <w:rPr>
          <w:rFonts w:hint="eastAsia" w:ascii="宋体" w:hAnsi="宋体" w:cs="宋体"/>
          <w:szCs w:val="21"/>
        </w:rPr>
        <w:t>采用可调新风比运行的系统，宜根据室内外焓差比较实现新风量的控制调节。</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c) </w:t>
      </w:r>
      <w:r>
        <w:rPr>
          <w:rFonts w:hint="eastAsia" w:ascii="宋体" w:hAnsi="宋体" w:cs="宋体"/>
          <w:szCs w:val="21"/>
        </w:rPr>
        <w:t>人员密度较大且人员数量变化较大的房间，宜采用新风需求控制。根据室内</w:t>
      </w:r>
      <w:r>
        <w:rPr>
          <w:rFonts w:ascii="Times New Roman" w:hAnsi="Times New Roman" w:cs="Times New Roman"/>
          <w:szCs w:val="21"/>
        </w:rPr>
        <w:t>CO</w:t>
      </w:r>
      <w:r>
        <w:rPr>
          <w:rFonts w:ascii="Times New Roman" w:hAnsi="Times New Roman" w:cs="Times New Roman"/>
          <w:szCs w:val="21"/>
          <w:vertAlign w:val="subscript"/>
        </w:rPr>
        <w:t>2</w:t>
      </w:r>
      <w:r>
        <w:rPr>
          <w:rFonts w:hint="eastAsia" w:ascii="宋体" w:hAnsi="宋体" w:cs="宋体"/>
          <w:szCs w:val="21"/>
        </w:rPr>
        <w:t>浓度监测值实现人员较小时的最小新风节能运行。</w:t>
      </w: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olor w:val="auto"/>
        </w:rPr>
        <w:t>7.5.4　</w:t>
      </w:r>
      <w:r>
        <w:rPr>
          <w:rStyle w:val="44"/>
          <w:rFonts w:hint="eastAsia" w:ascii="宋体" w:hAnsi="宋体" w:eastAsia="宋体"/>
          <w:color w:val="auto"/>
        </w:rPr>
        <w:t>超低能耗公共建筑应对冷热源、输配系统及末端系统进行全面计量、检测与控制，相应计量要求如下：</w:t>
      </w:r>
    </w:p>
    <w:p>
      <w:pPr>
        <w:overflowPunct w:val="0"/>
        <w:snapToGrid w:val="0"/>
        <w:spacing w:line="309" w:lineRule="exact"/>
        <w:ind w:firstLine="420"/>
        <w:rPr>
          <w:rFonts w:hint="eastAsia" w:ascii="宋体" w:hAnsi="宋体" w:cs="宋体" w:eastAsiaTheme="minorEastAsia"/>
          <w:szCs w:val="21"/>
          <w:lang w:eastAsia="zh-CN"/>
        </w:rPr>
      </w:pPr>
      <w:r>
        <w:rPr>
          <w:rFonts w:hint="eastAsia" w:ascii="黑体" w:hAnsi="黑体" w:cs="宋体"/>
          <w:szCs w:val="21"/>
          <w:lang w:val="en-US" w:eastAsia="zh-CN"/>
        </w:rPr>
        <w:t xml:space="preserve">a) </w:t>
      </w:r>
      <w:r>
        <w:rPr>
          <w:rFonts w:hint="eastAsia" w:ascii="宋体" w:hAnsi="宋体" w:cs="宋体"/>
          <w:szCs w:val="21"/>
        </w:rPr>
        <w:t>锅炉房、热力站和制冷机房的燃料消耗量、耗热量、耗电量、供热量、供冷量及补水量应设置计量装置</w:t>
      </w:r>
      <w:r>
        <w:rPr>
          <w:rFonts w:hint="eastAsia" w:ascii="宋体" w:hAnsi="宋体" w:cs="宋体"/>
          <w:szCs w:val="21"/>
          <w:lang w:val="en-US" w:eastAsia="zh-CN"/>
        </w:rPr>
        <w:t>;</w:t>
      </w:r>
    </w:p>
    <w:p>
      <w:pPr>
        <w:overflowPunct w:val="0"/>
        <w:snapToGrid w:val="0"/>
        <w:spacing w:line="309" w:lineRule="exact"/>
        <w:ind w:firstLine="420"/>
        <w:rPr>
          <w:rFonts w:hint="eastAsia" w:ascii="宋体" w:hAnsi="宋体" w:cs="宋体" w:eastAsiaTheme="minorEastAsia"/>
          <w:szCs w:val="21"/>
          <w:lang w:eastAsia="zh-CN"/>
        </w:rPr>
      </w:pPr>
      <w:r>
        <w:rPr>
          <w:rFonts w:hint="eastAsia" w:ascii="黑体" w:hAnsi="黑体" w:cs="宋体"/>
          <w:szCs w:val="21"/>
          <w:lang w:val="en-US" w:eastAsia="zh-CN"/>
        </w:rPr>
        <w:t xml:space="preserve">b) </w:t>
      </w:r>
      <w:r>
        <w:rPr>
          <w:rFonts w:hint="eastAsia" w:ascii="宋体" w:hAnsi="宋体" w:cs="宋体"/>
          <w:szCs w:val="21"/>
        </w:rPr>
        <w:t>集中区域供暖空调系统应在每栋公共建筑的冷源、热源入口处设置冷量和热量计量装置</w:t>
      </w:r>
      <w:r>
        <w:rPr>
          <w:rFonts w:hint="eastAsia" w:ascii="宋体" w:hAnsi="宋体" w:cs="宋体"/>
          <w:szCs w:val="21"/>
          <w:lang w:val="en-US" w:eastAsia="zh-CN"/>
        </w:rPr>
        <w:t>;</w:t>
      </w:r>
    </w:p>
    <w:p>
      <w:pPr>
        <w:overflowPunct w:val="0"/>
        <w:snapToGrid w:val="0"/>
        <w:spacing w:line="309" w:lineRule="exact"/>
        <w:ind w:firstLine="420"/>
        <w:rPr>
          <w:rFonts w:hint="eastAsia" w:ascii="宋体" w:hAnsi="宋体" w:cs="宋体" w:eastAsiaTheme="minorEastAsia"/>
          <w:szCs w:val="21"/>
          <w:lang w:eastAsia="zh-CN"/>
        </w:rPr>
      </w:pPr>
      <w:r>
        <w:rPr>
          <w:rFonts w:hint="eastAsia" w:ascii="黑体" w:hAnsi="黑体" w:cs="宋体"/>
          <w:szCs w:val="21"/>
          <w:lang w:val="en-US" w:eastAsia="zh-CN"/>
        </w:rPr>
        <w:t xml:space="preserve">c) </w:t>
      </w:r>
      <w:r>
        <w:rPr>
          <w:rFonts w:hint="eastAsia" w:ascii="宋体" w:hAnsi="宋体" w:cs="宋体"/>
          <w:szCs w:val="21"/>
        </w:rPr>
        <w:t>锅炉房、热力站和制冷机房的循环水泵用电量宜设置计量表</w:t>
      </w:r>
      <w:r>
        <w:rPr>
          <w:rFonts w:hint="eastAsia" w:ascii="宋体" w:hAnsi="宋体" w:cs="宋体"/>
          <w:szCs w:val="21"/>
          <w:lang w:val="en-US" w:eastAsia="zh-CN"/>
        </w:rPr>
        <w:t>;</w:t>
      </w:r>
    </w:p>
    <w:p>
      <w:pPr>
        <w:overflowPunct w:val="0"/>
        <w:snapToGrid w:val="0"/>
        <w:spacing w:line="309" w:lineRule="exact"/>
        <w:ind w:firstLine="420"/>
        <w:rPr>
          <w:rFonts w:hint="eastAsia" w:ascii="宋体" w:hAnsi="宋体" w:cs="宋体" w:eastAsiaTheme="minorEastAsia"/>
          <w:szCs w:val="21"/>
          <w:lang w:eastAsia="zh-CN"/>
        </w:rPr>
      </w:pPr>
      <w:r>
        <w:rPr>
          <w:rFonts w:hint="eastAsia" w:ascii="黑体" w:hAnsi="黑体" w:cs="宋体"/>
          <w:szCs w:val="21"/>
          <w:lang w:val="en-US" w:eastAsia="zh-CN"/>
        </w:rPr>
        <w:t xml:space="preserve">d) </w:t>
      </w:r>
      <w:r>
        <w:rPr>
          <w:rFonts w:hint="eastAsia" w:ascii="宋体" w:hAnsi="宋体" w:cs="宋体"/>
          <w:szCs w:val="21"/>
        </w:rPr>
        <w:t>公共建筑归属不同使用单位的各部分，宜分别设置冷量和热量计量装置</w:t>
      </w:r>
      <w:r>
        <w:rPr>
          <w:rFonts w:hint="eastAsia" w:ascii="宋体" w:hAnsi="宋体" w:cs="宋体"/>
          <w:szCs w:val="21"/>
          <w:lang w:val="en-US" w:eastAsia="zh-CN"/>
        </w:rPr>
        <w:t>;</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e) </w:t>
      </w:r>
      <w:r>
        <w:rPr>
          <w:rFonts w:hint="eastAsia" w:ascii="宋体" w:hAnsi="宋体" w:cs="宋体"/>
          <w:szCs w:val="21"/>
        </w:rPr>
        <w:t>能量计应具有断电数据保护功能，当电源停止供电时，能量计应能保存所有数据，恢复供电后能恢复正常计量功能。能量计应满足</w:t>
      </w:r>
      <w:r>
        <w:rPr>
          <w:rFonts w:ascii="Times New Roman" w:hAnsi="Times New Roman" w:cs="Times New Roman"/>
          <w:szCs w:val="21"/>
        </w:rPr>
        <w:t>CJ128</w:t>
      </w:r>
      <w:r>
        <w:rPr>
          <w:rFonts w:hint="eastAsia" w:ascii="宋体" w:hAnsi="宋体" w:cs="宋体"/>
          <w:szCs w:val="21"/>
        </w:rPr>
        <w:t>的规定，计量精度达到</w:t>
      </w:r>
      <w:r>
        <w:rPr>
          <w:rFonts w:ascii="Times New Roman" w:hAnsi="Times New Roman" w:cs="Times New Roman"/>
          <w:szCs w:val="21"/>
        </w:rPr>
        <w:t>2</w:t>
      </w:r>
      <w:r>
        <w:rPr>
          <w:rFonts w:hint="eastAsia" w:ascii="宋体" w:hAnsi="宋体" w:cs="宋体"/>
          <w:szCs w:val="21"/>
        </w:rPr>
        <w:t>级及以上，误差不大于</w:t>
      </w:r>
      <w:r>
        <w:rPr>
          <w:rFonts w:ascii="Times New Roman" w:hAnsi="Times New Roman" w:cs="Times New Roman"/>
          <w:szCs w:val="21"/>
        </w:rPr>
        <w:t>5%</w:t>
      </w:r>
      <w:r>
        <w:rPr>
          <w:rFonts w:hint="eastAsia" w:ascii="宋体" w:hAnsi="宋体" w:cs="宋体"/>
          <w:szCs w:val="21"/>
        </w:rPr>
        <w:t>，并具有监测接口或数据通讯接口。</w:t>
      </w: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olor w:val="auto"/>
        </w:rPr>
        <w:t>7.5.5　</w:t>
      </w:r>
      <w:r>
        <w:rPr>
          <w:rStyle w:val="44"/>
          <w:rFonts w:hint="eastAsia" w:ascii="宋体" w:hAnsi="宋体" w:eastAsia="宋体"/>
          <w:color w:val="auto"/>
        </w:rPr>
        <w:t>宜在主要功能区域设置室内空气品质监测系统，对室内温度、湿度、</w:t>
      </w:r>
      <w:r>
        <w:rPr>
          <w:rStyle w:val="44"/>
          <w:rFonts w:ascii="Times New Roman" w:hAnsi="Times New Roman" w:eastAsia="宋体" w:cs="Times New Roman"/>
          <w:color w:val="auto"/>
        </w:rPr>
        <w:t>PM</w:t>
      </w:r>
      <w:r>
        <w:rPr>
          <w:rStyle w:val="44"/>
          <w:rFonts w:ascii="Times New Roman" w:hAnsi="Times New Roman" w:eastAsia="宋体" w:cs="Times New Roman"/>
          <w:color w:val="auto"/>
          <w:vertAlign w:val="subscript"/>
        </w:rPr>
        <w:t>10</w:t>
      </w:r>
      <w:r>
        <w:rPr>
          <w:rStyle w:val="44"/>
          <w:rFonts w:ascii="Times New Roman" w:hAnsi="Times New Roman" w:eastAsia="宋体" w:cs="Times New Roman"/>
          <w:color w:val="auto"/>
        </w:rPr>
        <w:t>、PM</w:t>
      </w:r>
      <w:r>
        <w:rPr>
          <w:rStyle w:val="44"/>
          <w:rFonts w:ascii="Times New Roman" w:hAnsi="Times New Roman" w:eastAsia="宋体" w:cs="Times New Roman"/>
          <w:color w:val="auto"/>
          <w:vertAlign w:val="subscript"/>
        </w:rPr>
        <w:t>2.5</w:t>
      </w:r>
      <w:r>
        <w:rPr>
          <w:rStyle w:val="44"/>
          <w:rFonts w:ascii="Times New Roman" w:hAnsi="Times New Roman" w:eastAsia="宋体" w:cs="Times New Roman"/>
          <w:color w:val="auto"/>
        </w:rPr>
        <w:t>、CO</w:t>
      </w:r>
      <w:r>
        <w:rPr>
          <w:rStyle w:val="44"/>
          <w:rFonts w:ascii="Times New Roman" w:hAnsi="Times New Roman" w:eastAsia="宋体" w:cs="Times New Roman"/>
          <w:color w:val="auto"/>
          <w:vertAlign w:val="subscript"/>
        </w:rPr>
        <w:t>2</w:t>
      </w:r>
      <w:r>
        <w:rPr>
          <w:rStyle w:val="44"/>
          <w:rFonts w:hint="eastAsia" w:ascii="宋体" w:hAnsi="宋体" w:eastAsia="宋体"/>
          <w:color w:val="auto"/>
        </w:rPr>
        <w:t>浓度进行数据监测和实时显示；按照设计时所取的室内环境参数设定建筑室内环境临界值，并按照实际运行情况进行及时调整。</w:t>
      </w:r>
    </w:p>
    <w:p>
      <w:pPr>
        <w:tabs>
          <w:tab w:val="left" w:pos="0"/>
          <w:tab w:val="left" w:pos="397"/>
        </w:tabs>
        <w:overflowPunct w:val="0"/>
        <w:snapToGrid w:val="0"/>
        <w:spacing w:line="309" w:lineRule="exact"/>
        <w:outlineLvl w:val="2"/>
        <w:rPr>
          <w:rStyle w:val="44"/>
          <w:rFonts w:ascii="宋体" w:hAnsi="宋体" w:eastAsia="宋体"/>
          <w:color w:val="auto"/>
        </w:rPr>
      </w:pPr>
      <w:r>
        <w:rPr>
          <w:rStyle w:val="44"/>
          <w:rFonts w:eastAsia="宋体"/>
          <w:color w:val="auto"/>
        </w:rPr>
        <w:t>7.5.6　</w:t>
      </w:r>
      <w:r>
        <w:rPr>
          <w:rStyle w:val="44"/>
          <w:rFonts w:hint="eastAsia" w:ascii="宋体" w:hAnsi="宋体" w:eastAsia="宋体"/>
          <w:color w:val="auto"/>
        </w:rPr>
        <w:t>地源热泵系统应设置监测系统，监测和计量代表性房间的室内温度、系统地源侧与用户侧进出水温度和流量、热泵系统耗电量、地下环境参数。</w:t>
      </w:r>
    </w:p>
    <w:p>
      <w:pPr>
        <w:pStyle w:val="2"/>
        <w:numPr>
          <w:ilvl w:val="0"/>
          <w:numId w:val="0"/>
        </w:numPr>
        <w:overflowPunct w:val="0"/>
        <w:spacing w:before="312" w:after="312"/>
        <w:ind w:left="357" w:hanging="357" w:hangingChars="170"/>
      </w:pPr>
      <w:r>
        <w:t>8</w:t>
      </w:r>
      <w:r>
        <w:rPr>
          <w:rFonts w:hint="eastAsia"/>
        </w:rPr>
        <w:t>　</w:t>
      </w:r>
      <w:bookmarkStart w:id="36" w:name="_Toc97537101"/>
      <w:bookmarkStart w:id="37" w:name="_Toc14786"/>
      <w:r>
        <w:rPr>
          <w:rFonts w:hint="eastAsia"/>
        </w:rPr>
        <w:t>给排水设计</w:t>
      </w:r>
      <w:bookmarkEnd w:id="36"/>
      <w:bookmarkEnd w:id="37"/>
    </w:p>
    <w:p>
      <w:pPr>
        <w:tabs>
          <w:tab w:val="left" w:pos="397"/>
          <w:tab w:val="left" w:pos="765"/>
        </w:tabs>
        <w:overflowPunct w:val="0"/>
        <w:spacing w:before="156" w:beforeLines="50" w:after="156" w:afterLines="50"/>
        <w:outlineLvl w:val="2"/>
        <w:rPr>
          <w:rFonts w:ascii="黑体" w:hAnsi="黑体" w:eastAsia="黑体" w:cs="Times New Roman"/>
          <w:szCs w:val="21"/>
        </w:rPr>
      </w:pPr>
      <w:bookmarkStart w:id="38" w:name="_Toc97537102"/>
      <w:r>
        <w:rPr>
          <w:rFonts w:hint="eastAsia" w:ascii="黑体" w:hAnsi="黑体" w:eastAsia="黑体" w:cs="Times New Roman"/>
          <w:szCs w:val="21"/>
        </w:rPr>
        <w:t>8.1　</w:t>
      </w:r>
      <w:bookmarkStart w:id="39" w:name="_Toc27983"/>
      <w:r>
        <w:rPr>
          <w:rFonts w:hint="eastAsia" w:ascii="黑体" w:hAnsi="黑体" w:eastAsia="黑体" w:cs="Times New Roman"/>
          <w:szCs w:val="21"/>
        </w:rPr>
        <w:t>一般规定</w:t>
      </w:r>
      <w:bookmarkEnd w:id="39"/>
    </w:p>
    <w:p>
      <w:pPr>
        <w:overflowPunct w:val="0"/>
        <w:snapToGrid w:val="0"/>
        <w:spacing w:line="309" w:lineRule="exact"/>
        <w:outlineLvl w:val="2"/>
        <w:rPr>
          <w:rFonts w:ascii="Times New Roman" w:hAnsi="Times New Roman" w:cs="Times New Roman"/>
          <w:szCs w:val="21"/>
        </w:rPr>
      </w:pPr>
      <w:r>
        <w:rPr>
          <w:rFonts w:hint="eastAsia" w:ascii="黑体" w:hAnsi="黑体" w:eastAsia="黑体" w:cs="Times New Roman"/>
          <w:szCs w:val="21"/>
        </w:rPr>
        <w:t>8.1.1</w:t>
      </w:r>
      <w:r>
        <w:rPr>
          <w:rStyle w:val="44"/>
          <w:color w:val="auto"/>
        </w:rPr>
        <w:t>　</w:t>
      </w:r>
      <w:r>
        <w:rPr>
          <w:rStyle w:val="44"/>
          <w:rFonts w:hint="eastAsia" w:asciiTheme="minorEastAsia" w:hAnsiTheme="minorEastAsia" w:eastAsiaTheme="minorEastAsia"/>
          <w:color w:val="auto"/>
        </w:rPr>
        <w:t>建筑给水节水设计应符合</w:t>
      </w:r>
      <w:r>
        <w:rPr>
          <w:rStyle w:val="44"/>
          <w:rFonts w:ascii="Times New Roman" w:hAnsi="Times New Roman" w:cs="Times New Roman" w:eastAsiaTheme="minorEastAsia"/>
          <w:color w:val="auto"/>
        </w:rPr>
        <w:t>GB55020</w:t>
      </w:r>
      <w:r>
        <w:rPr>
          <w:rStyle w:val="44"/>
          <w:rFonts w:hint="eastAsia" w:ascii="Times New Roman" w:hAnsi="Times New Roman" w:cs="Times New Roman"/>
          <w:color w:val="auto"/>
          <w:lang w:eastAsia="zh-CN"/>
        </w:rPr>
        <w:t>、</w:t>
      </w:r>
      <w:r>
        <w:rPr>
          <w:rStyle w:val="44"/>
          <w:rFonts w:hint="eastAsia" w:asciiTheme="minorEastAsia" w:hAnsiTheme="minorEastAsia" w:eastAsiaTheme="minorEastAsia"/>
          <w:color w:val="auto"/>
        </w:rPr>
        <w:t>GB50015和</w:t>
      </w:r>
      <w:r>
        <w:rPr>
          <w:rStyle w:val="44"/>
          <w:rFonts w:ascii="Times New Roman" w:hAnsi="Times New Roman" w:cs="Times New Roman" w:eastAsiaTheme="minorEastAsia"/>
          <w:color w:val="auto"/>
        </w:rPr>
        <w:t>GB50555</w:t>
      </w:r>
      <w:r>
        <w:rPr>
          <w:rStyle w:val="44"/>
          <w:rFonts w:hint="eastAsia" w:asciiTheme="minorEastAsia" w:hAnsiTheme="minorEastAsia" w:eastAsiaTheme="minorEastAsia"/>
          <w:color w:val="auto"/>
        </w:rPr>
        <w:t>有关规定。</w:t>
      </w:r>
    </w:p>
    <w:p>
      <w:pPr>
        <w:overflowPunct w:val="0"/>
        <w:snapToGrid w:val="0"/>
        <w:spacing w:line="309" w:lineRule="exact"/>
        <w:outlineLvl w:val="2"/>
        <w:rPr>
          <w:rFonts w:ascii="Times New Roman" w:hAnsi="Times New Roman" w:cs="Times New Roman"/>
          <w:szCs w:val="21"/>
        </w:rPr>
      </w:pPr>
      <w:r>
        <w:rPr>
          <w:rFonts w:hint="eastAsia" w:ascii="黑体" w:hAnsi="黑体" w:eastAsia="黑体" w:cs="Times New Roman"/>
          <w:szCs w:val="21"/>
        </w:rPr>
        <w:t>8.1.2</w:t>
      </w:r>
      <w:r>
        <w:rPr>
          <w:rStyle w:val="44"/>
          <w:rFonts w:hint="eastAsia" w:ascii="宋体" w:hAnsi="宋体" w:eastAsia="宋体"/>
          <w:color w:val="auto"/>
        </w:rPr>
        <w:t>　离心泵的效率不应低于</w:t>
      </w:r>
      <w:r>
        <w:rPr>
          <w:rStyle w:val="44"/>
          <w:rFonts w:ascii="Times New Roman" w:hAnsi="Times New Roman" w:eastAsia="宋体" w:cs="Times New Roman"/>
          <w:color w:val="auto"/>
        </w:rPr>
        <w:t>GB 19762</w:t>
      </w:r>
      <w:r>
        <w:rPr>
          <w:rStyle w:val="44"/>
          <w:rFonts w:hint="eastAsia" w:ascii="宋体" w:hAnsi="宋体" w:eastAsia="宋体"/>
          <w:color w:val="auto"/>
        </w:rPr>
        <w:t>规定的</w:t>
      </w:r>
      <w:r>
        <w:rPr>
          <w:rStyle w:val="44"/>
          <w:rFonts w:hint="eastAsia" w:ascii="Times New Roman" w:hAnsi="Times New Roman" w:eastAsia="宋体" w:cs="Times New Roman"/>
          <w:color w:val="auto"/>
        </w:rPr>
        <w:t>节能评价值要求</w:t>
      </w:r>
      <w:r>
        <w:rPr>
          <w:rStyle w:val="44"/>
          <w:rFonts w:hint="eastAsia" w:ascii="宋体" w:hAnsi="宋体" w:eastAsia="宋体"/>
          <w:color w:val="auto"/>
        </w:rPr>
        <w:t>。</w:t>
      </w:r>
    </w:p>
    <w:p>
      <w:pPr>
        <w:overflowPunct w:val="0"/>
        <w:snapToGrid w:val="0"/>
        <w:spacing w:line="309" w:lineRule="exact"/>
        <w:outlineLvl w:val="2"/>
        <w:rPr>
          <w:rFonts w:ascii="Times New Roman" w:hAnsi="Times New Roman" w:cs="Times New Roman"/>
          <w:szCs w:val="21"/>
        </w:rPr>
      </w:pPr>
      <w:r>
        <w:rPr>
          <w:rFonts w:hint="eastAsia" w:ascii="黑体" w:hAnsi="黑体" w:eastAsia="黑体" w:cs="Times New Roman"/>
          <w:szCs w:val="21"/>
        </w:rPr>
        <w:t>8.1.3</w:t>
      </w:r>
      <w:r>
        <w:rPr>
          <w:rStyle w:val="44"/>
          <w:rFonts w:hint="eastAsia" w:ascii="宋体" w:hAnsi="宋体" w:eastAsia="宋体"/>
          <w:color w:val="auto"/>
        </w:rPr>
        <w:t>　卫生器具的用水效率等级应不低于</w:t>
      </w:r>
      <w:r>
        <w:rPr>
          <w:rStyle w:val="44"/>
          <w:rFonts w:ascii="Times New Roman" w:hAnsi="Times New Roman" w:eastAsia="宋体" w:cs="Times New Roman"/>
          <w:color w:val="auto"/>
        </w:rPr>
        <w:t>2</w:t>
      </w:r>
      <w:r>
        <w:rPr>
          <w:rStyle w:val="44"/>
          <w:rFonts w:hint="eastAsia" w:ascii="宋体" w:hAnsi="宋体" w:eastAsia="宋体"/>
          <w:color w:val="auto"/>
        </w:rPr>
        <w:t>级，宜不低于</w:t>
      </w:r>
      <w:r>
        <w:rPr>
          <w:rStyle w:val="44"/>
          <w:rFonts w:ascii="Times New Roman" w:hAnsi="Times New Roman" w:eastAsia="宋体" w:cs="Times New Roman"/>
          <w:color w:val="auto"/>
        </w:rPr>
        <w:t>1</w:t>
      </w:r>
      <w:r>
        <w:rPr>
          <w:rStyle w:val="44"/>
          <w:rFonts w:hint="eastAsia" w:ascii="宋体" w:hAnsi="宋体" w:eastAsia="宋体"/>
          <w:color w:val="auto"/>
        </w:rPr>
        <w:t>级。</w:t>
      </w:r>
    </w:p>
    <w:p>
      <w:pPr>
        <w:tabs>
          <w:tab w:val="left" w:pos="397"/>
          <w:tab w:val="left" w:pos="765"/>
        </w:tabs>
        <w:overflowPunct w:val="0"/>
        <w:spacing w:before="156" w:beforeLines="50" w:after="156" w:afterLines="50"/>
        <w:outlineLvl w:val="2"/>
        <w:rPr>
          <w:rFonts w:ascii="黑体" w:hAnsi="黑体" w:eastAsia="黑体" w:cs="Times New Roman"/>
          <w:szCs w:val="21"/>
        </w:rPr>
      </w:pPr>
      <w:r>
        <w:rPr>
          <w:rFonts w:hint="eastAsia" w:ascii="黑体" w:hAnsi="黑体" w:eastAsia="黑体" w:cs="Times New Roman"/>
          <w:szCs w:val="21"/>
        </w:rPr>
        <w:t>8.2　</w:t>
      </w:r>
      <w:bookmarkStart w:id="40" w:name="_Toc29616"/>
      <w:r>
        <w:rPr>
          <w:rFonts w:hint="eastAsia" w:ascii="黑体" w:hAnsi="黑体" w:eastAsia="黑体" w:cs="Times New Roman"/>
          <w:szCs w:val="21"/>
        </w:rPr>
        <w:t>给排水系统</w:t>
      </w:r>
      <w:bookmarkEnd w:id="40"/>
    </w:p>
    <w:p>
      <w:pPr>
        <w:overflowPunct w:val="0"/>
        <w:snapToGrid w:val="0"/>
        <w:spacing w:line="309" w:lineRule="exact"/>
        <w:outlineLvl w:val="2"/>
        <w:rPr>
          <w:rFonts w:ascii="Times New Roman" w:hAnsi="Times New Roman" w:cs="Times New Roman"/>
          <w:szCs w:val="21"/>
        </w:rPr>
      </w:pPr>
      <w:r>
        <w:rPr>
          <w:rFonts w:ascii="黑体" w:hAnsi="黑体" w:eastAsia="宋体" w:cs="Times New Roman"/>
          <w:szCs w:val="21"/>
        </w:rPr>
        <w:t>8.2.1</w:t>
      </w:r>
      <w:r>
        <w:rPr>
          <w:rStyle w:val="44"/>
          <w:color w:val="auto"/>
        </w:rPr>
        <w:t>　</w:t>
      </w:r>
      <w:r>
        <w:rPr>
          <w:rStyle w:val="44"/>
          <w:rFonts w:hint="eastAsia" w:asciiTheme="minorEastAsia" w:hAnsiTheme="minorEastAsia" w:eastAsiaTheme="minorEastAsia"/>
          <w:color w:val="auto"/>
        </w:rPr>
        <w:t>给水系统应充分利用室外管网压力直接供水。</w:t>
      </w:r>
    </w:p>
    <w:p>
      <w:pPr>
        <w:overflowPunct w:val="0"/>
        <w:snapToGrid w:val="0"/>
        <w:spacing w:line="309" w:lineRule="exact"/>
        <w:outlineLvl w:val="2"/>
        <w:rPr>
          <w:rFonts w:ascii="Times New Roman" w:hAnsi="Times New Roman" w:cs="Times New Roman"/>
          <w:szCs w:val="21"/>
        </w:rPr>
      </w:pPr>
      <w:r>
        <w:rPr>
          <w:rFonts w:ascii="黑体" w:hAnsi="黑体" w:eastAsia="宋体" w:cs="Times New Roman"/>
          <w:szCs w:val="21"/>
        </w:rPr>
        <w:t>8.2.2</w:t>
      </w:r>
      <w:r>
        <w:rPr>
          <w:rStyle w:val="44"/>
          <w:rFonts w:hint="eastAsia"/>
          <w:color w:val="auto"/>
        </w:rPr>
        <w:t>　</w:t>
      </w:r>
      <w:r>
        <w:rPr>
          <w:rStyle w:val="44"/>
          <w:rFonts w:hint="eastAsia" w:asciiTheme="minorEastAsia" w:hAnsiTheme="minorEastAsia" w:eastAsiaTheme="minorEastAsia"/>
          <w:color w:val="auto"/>
        </w:rPr>
        <w:t>二次加压泵房应设置在建筑物或建筑小区中用水量大的部位。当用水点分散时，宜居中布置。</w:t>
      </w:r>
    </w:p>
    <w:p>
      <w:pPr>
        <w:overflowPunct w:val="0"/>
        <w:snapToGrid w:val="0"/>
        <w:spacing w:line="309" w:lineRule="exact"/>
        <w:outlineLvl w:val="2"/>
        <w:rPr>
          <w:rFonts w:ascii="Times New Roman" w:hAnsi="Times New Roman" w:cs="Times New Roman"/>
          <w:szCs w:val="21"/>
        </w:rPr>
      </w:pPr>
      <w:r>
        <w:rPr>
          <w:rFonts w:ascii="黑体" w:hAnsi="黑体" w:eastAsia="宋体" w:cs="Times New Roman"/>
          <w:szCs w:val="21"/>
        </w:rPr>
        <w:t>8.2.3</w:t>
      </w:r>
      <w:r>
        <w:rPr>
          <w:rStyle w:val="44"/>
          <w:color w:val="auto"/>
        </w:rPr>
        <w:t>　</w:t>
      </w:r>
      <w:r>
        <w:rPr>
          <w:rStyle w:val="44"/>
          <w:rFonts w:hint="eastAsia" w:asciiTheme="minorEastAsia" w:hAnsiTheme="minorEastAsia" w:eastAsiaTheme="minorEastAsia"/>
          <w:color w:val="auto"/>
        </w:rPr>
        <w:t>集中空调冷却水、游泳池水、洗车场洗车用水、水源热泵用水应循环使用。</w:t>
      </w:r>
    </w:p>
    <w:p>
      <w:pPr>
        <w:overflowPunct w:val="0"/>
        <w:snapToGrid w:val="0"/>
        <w:spacing w:line="309" w:lineRule="exact"/>
        <w:outlineLvl w:val="2"/>
        <w:rPr>
          <w:rFonts w:ascii="Times New Roman" w:hAnsi="Times New Roman" w:cs="Times New Roman"/>
          <w:szCs w:val="21"/>
        </w:rPr>
      </w:pPr>
      <w:r>
        <w:rPr>
          <w:rFonts w:ascii="黑体" w:hAnsi="黑体" w:eastAsia="宋体" w:cs="Times New Roman"/>
          <w:szCs w:val="21"/>
        </w:rPr>
        <w:t>8.2.4</w:t>
      </w:r>
      <w:r>
        <w:rPr>
          <w:rStyle w:val="44"/>
          <w:color w:val="auto"/>
        </w:rPr>
        <w:t>　</w:t>
      </w:r>
      <w:r>
        <w:rPr>
          <w:rStyle w:val="44"/>
          <w:rFonts w:hint="eastAsia" w:ascii="宋体" w:hAnsi="宋体" w:eastAsia="宋体"/>
          <w:color w:val="auto"/>
        </w:rPr>
        <w:t>空调凝结水、水池（水箱）清洗废水、生活给水处理排水应优先作为中水系统水源</w:t>
      </w:r>
      <w:r>
        <w:rPr>
          <w:rStyle w:val="44"/>
          <w:rFonts w:hint="eastAsia" w:asciiTheme="minorEastAsia" w:hAnsiTheme="minorEastAsia" w:eastAsiaTheme="minorEastAsia"/>
          <w:color w:val="auto"/>
        </w:rPr>
        <w:t>。</w:t>
      </w:r>
    </w:p>
    <w:p>
      <w:pPr>
        <w:tabs>
          <w:tab w:val="left" w:pos="397"/>
          <w:tab w:val="left" w:pos="765"/>
        </w:tabs>
        <w:overflowPunct w:val="0"/>
        <w:spacing w:before="156" w:beforeLines="50" w:after="156" w:afterLines="50"/>
        <w:outlineLvl w:val="2"/>
        <w:rPr>
          <w:rFonts w:ascii="黑体" w:hAnsi="黑体" w:eastAsia="黑体" w:cs="Times New Roman"/>
          <w:szCs w:val="21"/>
        </w:rPr>
      </w:pPr>
      <w:r>
        <w:rPr>
          <w:rFonts w:hint="eastAsia" w:ascii="黑体" w:hAnsi="黑体" w:eastAsia="黑体" w:cs="Times New Roman"/>
          <w:szCs w:val="21"/>
        </w:rPr>
        <w:t>8.3　</w:t>
      </w:r>
      <w:bookmarkStart w:id="41" w:name="_Toc30304"/>
      <w:r>
        <w:rPr>
          <w:rFonts w:ascii="黑体" w:hAnsi="黑体" w:eastAsia="黑体" w:cs="Times New Roman"/>
          <w:szCs w:val="21"/>
        </w:rPr>
        <w:t>热水系统</w:t>
      </w:r>
      <w:bookmarkEnd w:id="41"/>
    </w:p>
    <w:p>
      <w:pPr>
        <w:overflowPunct w:val="0"/>
        <w:snapToGrid w:val="0"/>
        <w:spacing w:line="309" w:lineRule="exact"/>
        <w:outlineLvl w:val="2"/>
        <w:rPr>
          <w:rFonts w:ascii="宋体" w:hAnsi="宋体" w:cs="宋体"/>
          <w:szCs w:val="21"/>
        </w:rPr>
      </w:pPr>
      <w:r>
        <w:rPr>
          <w:rFonts w:ascii="黑体" w:hAnsi="黑体" w:eastAsia="宋体" w:cs="Times New Roman"/>
          <w:szCs w:val="21"/>
        </w:rPr>
        <w:t>8.3.1</w:t>
      </w:r>
      <w:r>
        <w:rPr>
          <w:rStyle w:val="44"/>
          <w:color w:val="auto"/>
        </w:rPr>
        <w:t>　</w:t>
      </w:r>
      <w:r>
        <w:rPr>
          <w:rFonts w:hint="eastAsia" w:ascii="宋体" w:hAnsi="宋体" w:cs="宋体"/>
          <w:szCs w:val="21"/>
        </w:rPr>
        <w:t>生活热水系统的热源应符合下列规定：</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a) </w:t>
      </w:r>
      <w:r>
        <w:rPr>
          <w:rFonts w:hint="eastAsia" w:ascii="宋体" w:hAnsi="宋体" w:cs="宋体"/>
          <w:szCs w:val="21"/>
        </w:rPr>
        <w:t>集中热水供应系统通过技术经济比较后，热源宜选用稳定、可靠的余热、废热、地热。</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b) </w:t>
      </w:r>
      <w:r>
        <w:rPr>
          <w:rFonts w:hint="eastAsia" w:ascii="宋体" w:hAnsi="宋体" w:cs="宋体"/>
          <w:szCs w:val="21"/>
        </w:rPr>
        <w:t>应充分利用太阳能或其他可再生能源。</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c) </w:t>
      </w:r>
      <w:r>
        <w:rPr>
          <w:rFonts w:hint="eastAsia" w:ascii="宋体" w:hAnsi="宋体" w:cs="宋体"/>
          <w:szCs w:val="21"/>
        </w:rPr>
        <w:t>集中生活热水系统热源形式应满足</w:t>
      </w:r>
      <w:r>
        <w:rPr>
          <w:rFonts w:ascii="Times New Roman" w:hAnsi="Times New Roman" w:cs="Times New Roman"/>
          <w:szCs w:val="21"/>
        </w:rPr>
        <w:t>GB55015</w:t>
      </w:r>
      <w:r>
        <w:rPr>
          <w:rFonts w:hint="eastAsia" w:ascii="宋体" w:hAnsi="宋体" w:cs="宋体"/>
          <w:szCs w:val="21"/>
        </w:rPr>
        <w:t>的要求。</w:t>
      </w:r>
    </w:p>
    <w:p>
      <w:pPr>
        <w:overflowPunct w:val="0"/>
        <w:snapToGrid w:val="0"/>
        <w:spacing w:line="309" w:lineRule="exact"/>
        <w:outlineLvl w:val="2"/>
        <w:rPr>
          <w:rStyle w:val="44"/>
          <w:rFonts w:ascii="宋体" w:hAnsi="宋体" w:eastAsia="宋体"/>
          <w:color w:val="auto"/>
        </w:rPr>
      </w:pPr>
      <w:r>
        <w:rPr>
          <w:rStyle w:val="44"/>
          <w:rFonts w:eastAsia="宋体" w:cs="Times New Roman"/>
          <w:color w:val="auto"/>
        </w:rPr>
        <w:t>8.3.2</w:t>
      </w:r>
      <w:r>
        <w:rPr>
          <w:rStyle w:val="44"/>
          <w:rFonts w:hint="eastAsia" w:ascii="宋体" w:hAnsi="宋体" w:eastAsia="宋体"/>
          <w:color w:val="auto"/>
        </w:rPr>
        <w:t>　当以燃气锅炉作为集中生活热水热源时，其锅炉额定工况下热效率应符合本</w:t>
      </w:r>
      <w:r>
        <w:rPr>
          <w:rStyle w:val="44"/>
          <w:rFonts w:hint="eastAsia" w:ascii="宋体" w:hAnsi="宋体" w:eastAsia="宋体"/>
          <w:color w:val="auto"/>
          <w:lang w:val="en-US" w:eastAsia="zh-CN"/>
        </w:rPr>
        <w:t>文件</w:t>
      </w:r>
      <w:r>
        <w:rPr>
          <w:rStyle w:val="44"/>
          <w:rFonts w:hint="eastAsia" w:ascii="宋体" w:hAnsi="宋体" w:eastAsia="宋体"/>
          <w:color w:val="auto"/>
        </w:rPr>
        <w:t>表</w:t>
      </w:r>
      <w:r>
        <w:rPr>
          <w:rStyle w:val="44"/>
          <w:rFonts w:hint="eastAsia" w:ascii="Times New Roman" w:hAnsi="Times New Roman" w:eastAsia="宋体" w:cs="Times New Roman"/>
          <w:color w:val="auto"/>
          <w:lang w:val="en-US" w:eastAsia="zh-CN"/>
        </w:rPr>
        <w:t>9</w:t>
      </w:r>
      <w:r>
        <w:rPr>
          <w:rStyle w:val="44"/>
          <w:rFonts w:hint="eastAsia" w:ascii="宋体" w:hAnsi="宋体" w:eastAsia="宋体"/>
          <w:color w:val="auto"/>
        </w:rPr>
        <w:t>的规定。</w:t>
      </w:r>
    </w:p>
    <w:p>
      <w:pPr>
        <w:overflowPunct w:val="0"/>
        <w:snapToGrid w:val="0"/>
        <w:spacing w:line="309" w:lineRule="exact"/>
        <w:outlineLvl w:val="2"/>
        <w:rPr>
          <w:rFonts w:ascii="宋体" w:hAnsi="宋体" w:cs="宋体"/>
          <w:szCs w:val="21"/>
        </w:rPr>
      </w:pPr>
      <w:r>
        <w:rPr>
          <w:rFonts w:ascii="黑体" w:hAnsi="黑体" w:eastAsia="宋体" w:cs="Times New Roman"/>
          <w:szCs w:val="21"/>
        </w:rPr>
        <w:t>8.3.3</w:t>
      </w:r>
      <w:r>
        <w:rPr>
          <w:rStyle w:val="44"/>
          <w:rFonts w:hint="eastAsia" w:ascii="宋体" w:hAnsi="宋体" w:eastAsia="宋体"/>
          <w:color w:val="auto"/>
        </w:rPr>
        <w:t>　当采用空气源热泵热水机组制备生活热水时，</w:t>
      </w:r>
      <w:r>
        <w:rPr>
          <w:rFonts w:hint="eastAsia" w:ascii="宋体" w:hAnsi="宋体" w:cs="宋体"/>
          <w:szCs w:val="21"/>
        </w:rPr>
        <w:t>在名义工况和规定条件下，其</w:t>
      </w:r>
      <w:r>
        <w:rPr>
          <w:rFonts w:ascii="Times New Roman" w:hAnsi="Times New Roman" w:cs="Times New Roman"/>
          <w:szCs w:val="21"/>
        </w:rPr>
        <w:t>COP</w:t>
      </w:r>
      <w:r>
        <w:rPr>
          <w:rFonts w:hint="eastAsia" w:ascii="宋体" w:hAnsi="宋体" w:cs="宋体"/>
          <w:szCs w:val="21"/>
        </w:rPr>
        <w:t>值</w:t>
      </w:r>
      <w:r>
        <w:rPr>
          <w:rFonts w:hint="eastAsia" w:ascii="宋体" w:hAnsi="宋体" w:cs="宋体"/>
          <w:szCs w:val="21"/>
          <w:lang w:val="en-US" w:eastAsia="zh-CN"/>
        </w:rPr>
        <w:t>应满足</w:t>
      </w:r>
      <w:r>
        <w:rPr>
          <w:rFonts w:ascii="Times New Roman" w:hAnsi="Times New Roman" w:cs="Times New Roman"/>
          <w:szCs w:val="21"/>
        </w:rPr>
        <w:t>GB55015</w:t>
      </w:r>
      <w:r>
        <w:rPr>
          <w:rFonts w:hint="eastAsia" w:ascii="宋体" w:hAnsi="宋体" w:cs="宋体"/>
          <w:szCs w:val="21"/>
        </w:rPr>
        <w:t>的要求，并应有保证水质的有效措施。</w:t>
      </w:r>
    </w:p>
    <w:p>
      <w:pPr>
        <w:pStyle w:val="42"/>
        <w:widowControl w:val="0"/>
        <w:overflowPunct w:val="0"/>
        <w:autoSpaceDE/>
        <w:autoSpaceDN/>
        <w:spacing w:before="62" w:beforeLines="20" w:after="78" w:afterLines="25" w:line="309" w:lineRule="exact"/>
        <w:ind w:firstLine="0" w:firstLineChars="0"/>
        <w:jc w:val="center"/>
        <w:rPr>
          <w:rFonts w:hAnsi="宋体"/>
        </w:rPr>
      </w:pPr>
      <w:r>
        <w:rPr>
          <w:rFonts w:ascii="黑体" w:hAnsi="黑体" w:eastAsia="黑体" w:cs="黑体"/>
          <w:sz w:val="18"/>
          <w:szCs w:val="18"/>
        </w:rPr>
        <w:t>表</w:t>
      </w:r>
      <w:r>
        <w:rPr>
          <w:rFonts w:hint="eastAsia" w:ascii="黑体" w:hAnsi="黑体" w:eastAsia="黑体" w:cs="黑体"/>
          <w:sz w:val="18"/>
          <w:szCs w:val="18"/>
          <w:lang w:val="en-US" w:eastAsia="zh-CN"/>
        </w:rPr>
        <w:t>9</w:t>
      </w:r>
      <w:r>
        <w:rPr>
          <w:rFonts w:ascii="黑体" w:hAnsi="黑体" w:eastAsia="黑体" w:cs="黑体"/>
          <w:sz w:val="18"/>
          <w:szCs w:val="18"/>
        </w:rPr>
        <w:t>　</w:t>
      </w:r>
      <w:r>
        <w:rPr>
          <w:rFonts w:hint="eastAsia" w:ascii="黑体" w:hAnsi="黑体" w:eastAsia="黑体" w:cs="黑体"/>
          <w:sz w:val="18"/>
          <w:szCs w:val="18"/>
        </w:rPr>
        <w:t>热泵热水机性能系数（COP）（W/W）</w:t>
      </w:r>
    </w:p>
    <w:tbl>
      <w:tblPr>
        <w:tblStyle w:val="14"/>
        <w:tblW w:w="936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820"/>
        <w:gridCol w:w="1914"/>
        <w:gridCol w:w="1914"/>
        <w:gridCol w:w="1914"/>
        <w:gridCol w:w="180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820" w:type="dxa"/>
            <w:tcBorders>
              <w:right w:val="single" w:color="000000" w:sz="4" w:space="0"/>
              <w:tl2br w:val="nil"/>
              <w:tr2bl w:val="nil"/>
            </w:tcBorders>
            <w:vAlign w:val="center"/>
          </w:tcPr>
          <w:p>
            <w:pPr>
              <w:pStyle w:val="22"/>
              <w:tabs>
                <w:tab w:val="left" w:pos="0"/>
              </w:tabs>
              <w:overflowPunct w:val="0"/>
              <w:snapToGrid w:val="0"/>
              <w:spacing w:line="309" w:lineRule="exact"/>
              <w:ind w:firstLine="0" w:firstLineChars="0"/>
              <w:jc w:val="center"/>
              <w:outlineLvl w:val="2"/>
              <w:rPr>
                <w:rFonts w:ascii="宋体" w:hAnsi="宋体" w:cs="宋体"/>
                <w:sz w:val="18"/>
                <w:szCs w:val="18"/>
              </w:rPr>
            </w:pPr>
            <w:r>
              <w:rPr>
                <w:rFonts w:hint="eastAsia" w:ascii="宋体" w:hAnsi="宋体" w:cs="宋体"/>
                <w:sz w:val="18"/>
                <w:szCs w:val="18"/>
              </w:rPr>
              <w:t>制热量（kW）</w:t>
            </w:r>
          </w:p>
        </w:tc>
        <w:tc>
          <w:tcPr>
            <w:tcW w:w="3828" w:type="dxa"/>
            <w:gridSpan w:val="2"/>
            <w:tcBorders>
              <w:left w:val="single" w:color="000000" w:sz="4" w:space="0"/>
              <w:right w:val="single" w:color="000000" w:sz="4" w:space="0"/>
              <w:tl2br w:val="nil"/>
              <w:tr2bl w:val="nil"/>
            </w:tcBorders>
            <w:vAlign w:val="center"/>
          </w:tcPr>
          <w:p>
            <w:pPr>
              <w:pStyle w:val="22"/>
              <w:tabs>
                <w:tab w:val="left" w:pos="0"/>
              </w:tabs>
              <w:overflowPunct w:val="0"/>
              <w:snapToGrid w:val="0"/>
              <w:spacing w:line="309" w:lineRule="exact"/>
              <w:ind w:firstLine="0" w:firstLineChars="0"/>
              <w:jc w:val="center"/>
              <w:outlineLvl w:val="2"/>
              <w:rPr>
                <w:rFonts w:ascii="宋体" w:hAnsi="宋体" w:cs="宋体"/>
                <w:sz w:val="18"/>
                <w:szCs w:val="18"/>
              </w:rPr>
            </w:pPr>
            <w:r>
              <w:rPr>
                <w:rFonts w:hint="eastAsia" w:ascii="宋体" w:hAnsi="宋体" w:cs="宋体"/>
                <w:sz w:val="18"/>
                <w:szCs w:val="18"/>
              </w:rPr>
              <w:t>热水机型式</w:t>
            </w:r>
          </w:p>
        </w:tc>
        <w:tc>
          <w:tcPr>
            <w:tcW w:w="1914" w:type="dxa"/>
            <w:tcBorders>
              <w:left w:val="single" w:color="000000" w:sz="4" w:space="0"/>
              <w:right w:val="single" w:color="000000" w:sz="4" w:space="0"/>
              <w:tl2br w:val="nil"/>
              <w:tr2bl w:val="nil"/>
            </w:tcBorders>
            <w:vAlign w:val="center"/>
          </w:tcPr>
          <w:p>
            <w:pPr>
              <w:pStyle w:val="22"/>
              <w:tabs>
                <w:tab w:val="left" w:pos="0"/>
              </w:tabs>
              <w:overflowPunct w:val="0"/>
              <w:snapToGrid w:val="0"/>
              <w:spacing w:line="309" w:lineRule="exact"/>
              <w:ind w:firstLine="0" w:firstLineChars="0"/>
              <w:jc w:val="center"/>
              <w:outlineLvl w:val="2"/>
              <w:rPr>
                <w:rFonts w:ascii="宋体" w:hAnsi="宋体" w:cs="宋体"/>
                <w:sz w:val="18"/>
                <w:szCs w:val="18"/>
              </w:rPr>
            </w:pPr>
            <w:r>
              <w:rPr>
                <w:rFonts w:hint="eastAsia" w:ascii="宋体" w:hAnsi="宋体" w:cs="宋体"/>
                <w:sz w:val="18"/>
                <w:szCs w:val="18"/>
              </w:rPr>
              <w:t>普通型</w:t>
            </w:r>
          </w:p>
        </w:tc>
        <w:tc>
          <w:tcPr>
            <w:tcW w:w="1807" w:type="dxa"/>
            <w:tcBorders>
              <w:left w:val="single" w:color="000000" w:sz="4" w:space="0"/>
              <w:tl2br w:val="nil"/>
              <w:tr2bl w:val="nil"/>
            </w:tcBorders>
            <w:vAlign w:val="center"/>
          </w:tcPr>
          <w:p>
            <w:pPr>
              <w:pStyle w:val="22"/>
              <w:tabs>
                <w:tab w:val="left" w:pos="0"/>
              </w:tabs>
              <w:overflowPunct w:val="0"/>
              <w:snapToGrid w:val="0"/>
              <w:spacing w:line="309" w:lineRule="exact"/>
              <w:ind w:firstLine="0" w:firstLineChars="0"/>
              <w:jc w:val="center"/>
              <w:outlineLvl w:val="2"/>
              <w:rPr>
                <w:rFonts w:ascii="宋体" w:hAnsi="宋体" w:cs="宋体"/>
                <w:sz w:val="18"/>
                <w:szCs w:val="18"/>
              </w:rPr>
            </w:pPr>
            <w:r>
              <w:rPr>
                <w:rFonts w:hint="eastAsia" w:ascii="宋体" w:hAnsi="宋体" w:cs="宋体"/>
                <w:sz w:val="18"/>
                <w:szCs w:val="18"/>
              </w:rPr>
              <w:t>低温型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820" w:type="dxa"/>
            <w:vMerge w:val="restart"/>
            <w:tcBorders>
              <w:bottom w:val="single" w:color="000000" w:sz="4" w:space="0"/>
              <w:right w:val="single" w:color="000000" w:sz="4" w:space="0"/>
              <w:tl2br w:val="nil"/>
              <w:tr2bl w:val="nil"/>
            </w:tcBorders>
            <w:vAlign w:val="center"/>
          </w:tcPr>
          <w:p>
            <w:pPr>
              <w:pStyle w:val="22"/>
              <w:tabs>
                <w:tab w:val="left" w:pos="0"/>
              </w:tabs>
              <w:overflowPunct w:val="0"/>
              <w:snapToGrid w:val="0"/>
              <w:spacing w:line="309" w:lineRule="exact"/>
              <w:ind w:firstLine="0" w:firstLineChars="0"/>
              <w:jc w:val="center"/>
              <w:outlineLvl w:val="2"/>
              <w:rPr>
                <w:rFonts w:ascii="宋体" w:hAnsi="宋体" w:cs="宋体"/>
                <w:sz w:val="18"/>
                <w:szCs w:val="18"/>
              </w:rPr>
            </w:pPr>
            <w:r>
              <w:rPr>
                <w:rFonts w:ascii="Times New Roman" w:hAnsi="Times New Roman" w:cs="Times New Roman"/>
                <w:sz w:val="18"/>
                <w:szCs w:val="18"/>
              </w:rPr>
              <w:t>H＜10</w:t>
            </w:r>
          </w:p>
        </w:tc>
        <w:tc>
          <w:tcPr>
            <w:tcW w:w="3828" w:type="dxa"/>
            <w:gridSpan w:val="2"/>
            <w:tcBorders>
              <w:left w:val="single" w:color="000000" w:sz="4" w:space="0"/>
              <w:bottom w:val="single" w:color="000000" w:sz="4" w:space="0"/>
              <w:right w:val="single" w:color="000000" w:sz="4" w:space="0"/>
              <w:tl2br w:val="nil"/>
              <w:tr2bl w:val="nil"/>
            </w:tcBorders>
            <w:vAlign w:val="center"/>
          </w:tcPr>
          <w:p>
            <w:pPr>
              <w:pStyle w:val="22"/>
              <w:tabs>
                <w:tab w:val="left" w:pos="0"/>
              </w:tabs>
              <w:overflowPunct w:val="0"/>
              <w:snapToGrid w:val="0"/>
              <w:spacing w:line="309" w:lineRule="exact"/>
              <w:ind w:firstLine="0" w:firstLineChars="0"/>
              <w:jc w:val="center"/>
              <w:outlineLvl w:val="2"/>
              <w:rPr>
                <w:rFonts w:ascii="宋体" w:hAnsi="宋体" w:cs="宋体"/>
                <w:sz w:val="18"/>
                <w:szCs w:val="18"/>
              </w:rPr>
            </w:pPr>
            <w:r>
              <w:rPr>
                <w:rFonts w:hint="eastAsia" w:ascii="宋体" w:hAnsi="宋体" w:cs="宋体"/>
                <w:sz w:val="18"/>
                <w:szCs w:val="18"/>
              </w:rPr>
              <w:t>一次加热式、循环加热式</w:t>
            </w:r>
          </w:p>
        </w:tc>
        <w:tc>
          <w:tcPr>
            <w:tcW w:w="1914" w:type="dxa"/>
            <w:tcBorders>
              <w:left w:val="single" w:color="000000" w:sz="4" w:space="0"/>
              <w:bottom w:val="single" w:color="000000" w:sz="4" w:space="0"/>
              <w:right w:val="single" w:color="000000" w:sz="4" w:space="0"/>
              <w:tl2br w:val="nil"/>
              <w:tr2bl w:val="nil"/>
            </w:tcBorders>
            <w:vAlign w:val="center"/>
          </w:tcPr>
          <w:p>
            <w:pPr>
              <w:pStyle w:val="22"/>
              <w:tabs>
                <w:tab w:val="left" w:pos="0"/>
              </w:tabs>
              <w:overflowPunct w:val="0"/>
              <w:snapToGrid w:val="0"/>
              <w:spacing w:line="309" w:lineRule="exact"/>
              <w:ind w:firstLine="0" w:firstLineChars="0"/>
              <w:jc w:val="center"/>
              <w:outlineLvl w:val="2"/>
              <w:rPr>
                <w:rFonts w:ascii="Times New Roman" w:hAnsi="Times New Roman" w:cs="Times New Roman"/>
                <w:sz w:val="18"/>
                <w:szCs w:val="18"/>
              </w:rPr>
            </w:pPr>
            <w:r>
              <w:rPr>
                <w:rFonts w:ascii="Times New Roman" w:hAnsi="Times New Roman" w:cs="Times New Roman"/>
                <w:sz w:val="18"/>
                <w:szCs w:val="18"/>
              </w:rPr>
              <w:t>4.40</w:t>
            </w:r>
          </w:p>
        </w:tc>
        <w:tc>
          <w:tcPr>
            <w:tcW w:w="1807" w:type="dxa"/>
            <w:tcBorders>
              <w:left w:val="single" w:color="000000" w:sz="4" w:space="0"/>
              <w:bottom w:val="single" w:color="000000" w:sz="4" w:space="0"/>
              <w:tl2br w:val="nil"/>
              <w:tr2bl w:val="nil"/>
            </w:tcBorders>
            <w:vAlign w:val="center"/>
          </w:tcPr>
          <w:p>
            <w:pPr>
              <w:pStyle w:val="22"/>
              <w:tabs>
                <w:tab w:val="left" w:pos="0"/>
              </w:tabs>
              <w:overflowPunct w:val="0"/>
              <w:snapToGrid w:val="0"/>
              <w:spacing w:line="309" w:lineRule="exact"/>
              <w:ind w:firstLine="0" w:firstLineChars="0"/>
              <w:jc w:val="center"/>
              <w:outlineLvl w:val="2"/>
              <w:rPr>
                <w:rFonts w:ascii="Times New Roman" w:hAnsi="Times New Roman" w:cs="Times New Roman"/>
                <w:sz w:val="18"/>
                <w:szCs w:val="18"/>
              </w:rPr>
            </w:pPr>
            <w:r>
              <w:rPr>
                <w:rFonts w:ascii="Times New Roman" w:hAnsi="Times New Roman" w:cs="Times New Roman"/>
                <w:sz w:val="18"/>
                <w:szCs w:val="18"/>
              </w:rPr>
              <w:t>3.60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820" w:type="dxa"/>
            <w:vMerge w:val="continue"/>
            <w:tcBorders>
              <w:top w:val="single" w:color="000000" w:sz="4" w:space="0"/>
              <w:bottom w:val="single" w:color="000000" w:sz="4" w:space="0"/>
              <w:right w:val="single" w:color="000000" w:sz="4" w:space="0"/>
              <w:tl2br w:val="nil"/>
              <w:tr2bl w:val="nil"/>
            </w:tcBorders>
            <w:vAlign w:val="center"/>
          </w:tcPr>
          <w:p>
            <w:pPr>
              <w:pStyle w:val="22"/>
              <w:tabs>
                <w:tab w:val="left" w:pos="0"/>
              </w:tabs>
              <w:overflowPunct w:val="0"/>
              <w:snapToGrid w:val="0"/>
              <w:spacing w:line="309" w:lineRule="exact"/>
              <w:ind w:firstLine="0" w:firstLineChars="0"/>
              <w:jc w:val="center"/>
              <w:rPr>
                <w:rFonts w:ascii="宋体" w:hAnsi="宋体" w:cs="宋体"/>
                <w:sz w:val="18"/>
                <w:szCs w:val="18"/>
              </w:rPr>
            </w:pPr>
          </w:p>
        </w:tc>
        <w:tc>
          <w:tcPr>
            <w:tcW w:w="382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22"/>
              <w:tabs>
                <w:tab w:val="left" w:pos="0"/>
              </w:tabs>
              <w:overflowPunct w:val="0"/>
              <w:snapToGrid w:val="0"/>
              <w:spacing w:line="309" w:lineRule="exact"/>
              <w:ind w:firstLine="0" w:firstLineChars="0"/>
              <w:jc w:val="center"/>
              <w:outlineLvl w:val="2"/>
              <w:rPr>
                <w:rFonts w:ascii="宋体" w:hAnsi="宋体" w:cs="宋体"/>
                <w:sz w:val="18"/>
                <w:szCs w:val="18"/>
              </w:rPr>
            </w:pPr>
            <w:r>
              <w:rPr>
                <w:rFonts w:hint="eastAsia" w:ascii="宋体" w:hAnsi="宋体" w:cs="宋体"/>
                <w:sz w:val="18"/>
                <w:szCs w:val="18"/>
              </w:rPr>
              <w:t>静态加热式</w:t>
            </w:r>
          </w:p>
        </w:tc>
        <w:tc>
          <w:tcPr>
            <w:tcW w:w="1914"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2"/>
              <w:tabs>
                <w:tab w:val="left" w:pos="0"/>
              </w:tabs>
              <w:overflowPunct w:val="0"/>
              <w:snapToGrid w:val="0"/>
              <w:spacing w:line="309" w:lineRule="exact"/>
              <w:ind w:firstLine="0" w:firstLineChars="0"/>
              <w:jc w:val="center"/>
              <w:outlineLvl w:val="2"/>
              <w:rPr>
                <w:rFonts w:ascii="Times New Roman" w:hAnsi="Times New Roman" w:cs="Times New Roman"/>
                <w:sz w:val="18"/>
                <w:szCs w:val="18"/>
              </w:rPr>
            </w:pPr>
            <w:r>
              <w:rPr>
                <w:rFonts w:ascii="Times New Roman" w:hAnsi="Times New Roman" w:cs="Times New Roman"/>
                <w:sz w:val="18"/>
                <w:szCs w:val="18"/>
              </w:rPr>
              <w:t>4.40</w:t>
            </w:r>
          </w:p>
        </w:tc>
        <w:tc>
          <w:tcPr>
            <w:tcW w:w="1807" w:type="dxa"/>
            <w:tcBorders>
              <w:top w:val="single" w:color="000000" w:sz="4" w:space="0"/>
              <w:left w:val="single" w:color="000000" w:sz="4" w:space="0"/>
              <w:bottom w:val="single" w:color="000000" w:sz="4" w:space="0"/>
              <w:tl2br w:val="nil"/>
              <w:tr2bl w:val="nil"/>
            </w:tcBorders>
            <w:vAlign w:val="center"/>
          </w:tcPr>
          <w:p>
            <w:pPr>
              <w:pStyle w:val="22"/>
              <w:tabs>
                <w:tab w:val="left" w:pos="0"/>
              </w:tabs>
              <w:overflowPunct w:val="0"/>
              <w:snapToGrid w:val="0"/>
              <w:spacing w:line="309" w:lineRule="exact"/>
              <w:ind w:firstLine="0" w:firstLineChars="0"/>
              <w:jc w:val="center"/>
              <w:outlineLvl w:val="2"/>
              <w:rPr>
                <w:rFonts w:ascii="Times New Roman" w:hAnsi="Times New Roman" w:cs="Times New Roman"/>
                <w:sz w:val="18"/>
                <w:szCs w:val="18"/>
              </w:rPr>
            </w:pPr>
            <w:r>
              <w:rPr>
                <w:rFonts w:ascii="Times New Roman" w:hAnsi="Times New Roman" w:cs="Times New Roman"/>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1820" w:type="dxa"/>
            <w:vMerge w:val="restart"/>
            <w:tcBorders>
              <w:top w:val="single" w:color="000000" w:sz="4" w:space="0"/>
              <w:bottom w:val="single" w:color="000000" w:sz="4" w:space="0"/>
              <w:right w:val="single" w:color="000000" w:sz="4" w:space="0"/>
              <w:tl2br w:val="nil"/>
              <w:tr2bl w:val="nil"/>
            </w:tcBorders>
            <w:vAlign w:val="center"/>
          </w:tcPr>
          <w:p>
            <w:pPr>
              <w:pStyle w:val="22"/>
              <w:tabs>
                <w:tab w:val="left" w:pos="0"/>
              </w:tabs>
              <w:overflowPunct w:val="0"/>
              <w:snapToGrid w:val="0"/>
              <w:spacing w:line="309" w:lineRule="exact"/>
              <w:ind w:firstLine="0" w:firstLineChars="0"/>
              <w:jc w:val="center"/>
              <w:outlineLvl w:val="2"/>
              <w:rPr>
                <w:rFonts w:ascii="宋体" w:hAnsi="宋体" w:cs="宋体"/>
                <w:sz w:val="18"/>
                <w:szCs w:val="18"/>
              </w:rPr>
            </w:pPr>
            <w:r>
              <w:rPr>
                <w:rFonts w:ascii="Times New Roman" w:hAnsi="Times New Roman" w:cs="Times New Roman"/>
                <w:sz w:val="18"/>
                <w:szCs w:val="18"/>
              </w:rPr>
              <w:t>H</w:t>
            </w:r>
            <w:r>
              <w:rPr>
                <w:rFonts w:hint="eastAsia" w:ascii="宋体" w:hAnsi="宋体" w:cs="宋体"/>
                <w:sz w:val="18"/>
                <w:szCs w:val="18"/>
              </w:rPr>
              <w:t>≥</w:t>
            </w:r>
            <w:r>
              <w:rPr>
                <w:rFonts w:ascii="Times New Roman" w:hAnsi="Times New Roman" w:cs="Times New Roman"/>
                <w:sz w:val="18"/>
                <w:szCs w:val="18"/>
              </w:rPr>
              <w:t>10</w:t>
            </w:r>
          </w:p>
        </w:tc>
        <w:tc>
          <w:tcPr>
            <w:tcW w:w="382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22"/>
              <w:tabs>
                <w:tab w:val="left" w:pos="0"/>
              </w:tabs>
              <w:overflowPunct w:val="0"/>
              <w:snapToGrid w:val="0"/>
              <w:spacing w:line="309" w:lineRule="exact"/>
              <w:ind w:firstLine="0" w:firstLineChars="0"/>
              <w:jc w:val="center"/>
              <w:outlineLvl w:val="2"/>
              <w:rPr>
                <w:rFonts w:ascii="宋体" w:hAnsi="宋体" w:cs="宋体"/>
                <w:sz w:val="18"/>
                <w:szCs w:val="18"/>
              </w:rPr>
            </w:pPr>
            <w:r>
              <w:rPr>
                <w:rFonts w:hint="eastAsia" w:ascii="宋体" w:hAnsi="宋体" w:cs="宋体"/>
                <w:sz w:val="18"/>
                <w:szCs w:val="18"/>
              </w:rPr>
              <w:t>一次加热式</w:t>
            </w:r>
          </w:p>
        </w:tc>
        <w:tc>
          <w:tcPr>
            <w:tcW w:w="1914"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2"/>
              <w:tabs>
                <w:tab w:val="left" w:pos="0"/>
              </w:tabs>
              <w:overflowPunct w:val="0"/>
              <w:snapToGrid w:val="0"/>
              <w:spacing w:line="309" w:lineRule="exact"/>
              <w:ind w:firstLine="0" w:firstLineChars="0"/>
              <w:jc w:val="center"/>
              <w:outlineLvl w:val="2"/>
              <w:rPr>
                <w:rFonts w:ascii="Times New Roman" w:hAnsi="Times New Roman" w:cs="Times New Roman"/>
                <w:sz w:val="18"/>
                <w:szCs w:val="18"/>
              </w:rPr>
            </w:pPr>
            <w:r>
              <w:rPr>
                <w:rFonts w:ascii="Times New Roman" w:hAnsi="Times New Roman" w:cs="Times New Roman"/>
                <w:sz w:val="18"/>
                <w:szCs w:val="18"/>
              </w:rPr>
              <w:t>4.40</w:t>
            </w:r>
          </w:p>
        </w:tc>
        <w:tc>
          <w:tcPr>
            <w:tcW w:w="1807" w:type="dxa"/>
            <w:tcBorders>
              <w:top w:val="single" w:color="000000" w:sz="4" w:space="0"/>
              <w:left w:val="single" w:color="000000" w:sz="4" w:space="0"/>
              <w:bottom w:val="single" w:color="000000" w:sz="4" w:space="0"/>
              <w:tl2br w:val="nil"/>
              <w:tr2bl w:val="nil"/>
            </w:tcBorders>
            <w:vAlign w:val="center"/>
          </w:tcPr>
          <w:p>
            <w:pPr>
              <w:pStyle w:val="22"/>
              <w:tabs>
                <w:tab w:val="left" w:pos="0"/>
              </w:tabs>
              <w:overflowPunct w:val="0"/>
              <w:snapToGrid w:val="0"/>
              <w:spacing w:line="309" w:lineRule="exact"/>
              <w:ind w:firstLine="0" w:firstLineChars="0"/>
              <w:jc w:val="center"/>
              <w:outlineLvl w:val="2"/>
              <w:rPr>
                <w:rFonts w:ascii="Times New Roman" w:hAnsi="Times New Roman" w:cs="Times New Roman"/>
                <w:sz w:val="18"/>
                <w:szCs w:val="18"/>
              </w:rPr>
            </w:pPr>
            <w:r>
              <w:rPr>
                <w:rFonts w:ascii="Times New Roman" w:hAnsi="Times New Roman" w:cs="Times New Roman"/>
                <w:sz w:val="18"/>
                <w:szCs w:val="18"/>
              </w:rPr>
              <w:t>3.70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820" w:type="dxa"/>
            <w:vMerge w:val="continue"/>
            <w:tcBorders>
              <w:top w:val="single" w:color="000000" w:sz="4" w:space="0"/>
              <w:bottom w:val="single" w:color="000000" w:sz="4" w:space="0"/>
              <w:right w:val="single" w:color="000000" w:sz="4" w:space="0"/>
              <w:tl2br w:val="nil"/>
              <w:tr2bl w:val="nil"/>
            </w:tcBorders>
            <w:vAlign w:val="center"/>
          </w:tcPr>
          <w:p>
            <w:pPr>
              <w:pStyle w:val="22"/>
              <w:tabs>
                <w:tab w:val="left" w:pos="0"/>
              </w:tabs>
              <w:overflowPunct w:val="0"/>
              <w:snapToGrid w:val="0"/>
              <w:spacing w:line="309" w:lineRule="exact"/>
              <w:ind w:firstLine="0" w:firstLineChars="0"/>
              <w:jc w:val="center"/>
              <w:rPr>
                <w:rFonts w:ascii="宋体" w:hAnsi="宋体" w:cs="宋体"/>
                <w:sz w:val="18"/>
                <w:szCs w:val="18"/>
              </w:rPr>
            </w:pPr>
          </w:p>
        </w:tc>
        <w:tc>
          <w:tcPr>
            <w:tcW w:w="1914" w:type="dxa"/>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pStyle w:val="22"/>
              <w:tabs>
                <w:tab w:val="left" w:pos="0"/>
              </w:tabs>
              <w:overflowPunct w:val="0"/>
              <w:snapToGrid w:val="0"/>
              <w:spacing w:line="309" w:lineRule="exact"/>
              <w:ind w:firstLine="0" w:firstLineChars="0"/>
              <w:jc w:val="center"/>
              <w:outlineLvl w:val="2"/>
              <w:rPr>
                <w:rFonts w:ascii="宋体" w:hAnsi="宋体" w:cs="宋体"/>
                <w:sz w:val="18"/>
                <w:szCs w:val="18"/>
              </w:rPr>
            </w:pPr>
            <w:r>
              <w:rPr>
                <w:rFonts w:hint="eastAsia" w:ascii="宋体" w:hAnsi="宋体" w:cs="宋体"/>
                <w:sz w:val="18"/>
                <w:szCs w:val="18"/>
              </w:rPr>
              <w:t>循环加热</w:t>
            </w:r>
          </w:p>
        </w:tc>
        <w:tc>
          <w:tcPr>
            <w:tcW w:w="1914"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2"/>
              <w:tabs>
                <w:tab w:val="left" w:pos="0"/>
              </w:tabs>
              <w:overflowPunct w:val="0"/>
              <w:snapToGrid w:val="0"/>
              <w:spacing w:line="309" w:lineRule="exact"/>
              <w:ind w:firstLine="0" w:firstLineChars="0"/>
              <w:jc w:val="center"/>
              <w:outlineLvl w:val="2"/>
              <w:rPr>
                <w:rFonts w:ascii="宋体" w:hAnsi="宋体" w:cs="宋体"/>
                <w:sz w:val="18"/>
                <w:szCs w:val="18"/>
              </w:rPr>
            </w:pPr>
            <w:r>
              <w:rPr>
                <w:rFonts w:hint="eastAsia" w:ascii="宋体" w:hAnsi="宋体" w:cs="宋体"/>
                <w:sz w:val="18"/>
                <w:szCs w:val="18"/>
              </w:rPr>
              <w:t>不提供水泵</w:t>
            </w:r>
          </w:p>
        </w:tc>
        <w:tc>
          <w:tcPr>
            <w:tcW w:w="1914"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2"/>
              <w:tabs>
                <w:tab w:val="left" w:pos="0"/>
              </w:tabs>
              <w:overflowPunct w:val="0"/>
              <w:snapToGrid w:val="0"/>
              <w:spacing w:line="309" w:lineRule="exact"/>
              <w:ind w:firstLine="0" w:firstLineChars="0"/>
              <w:jc w:val="center"/>
              <w:outlineLvl w:val="2"/>
              <w:rPr>
                <w:rFonts w:ascii="Times New Roman" w:hAnsi="Times New Roman" w:cs="Times New Roman"/>
                <w:sz w:val="18"/>
                <w:szCs w:val="18"/>
              </w:rPr>
            </w:pPr>
            <w:r>
              <w:rPr>
                <w:rFonts w:ascii="Times New Roman" w:hAnsi="Times New Roman" w:cs="Times New Roman"/>
                <w:sz w:val="18"/>
                <w:szCs w:val="18"/>
              </w:rPr>
              <w:t>4.40</w:t>
            </w:r>
          </w:p>
        </w:tc>
        <w:tc>
          <w:tcPr>
            <w:tcW w:w="1807" w:type="dxa"/>
            <w:tcBorders>
              <w:top w:val="single" w:color="000000" w:sz="4" w:space="0"/>
              <w:left w:val="single" w:color="000000" w:sz="4" w:space="0"/>
              <w:bottom w:val="single" w:color="000000" w:sz="4" w:space="0"/>
              <w:tl2br w:val="nil"/>
              <w:tr2bl w:val="nil"/>
            </w:tcBorders>
            <w:vAlign w:val="center"/>
          </w:tcPr>
          <w:p>
            <w:pPr>
              <w:pStyle w:val="22"/>
              <w:tabs>
                <w:tab w:val="left" w:pos="0"/>
              </w:tabs>
              <w:overflowPunct w:val="0"/>
              <w:snapToGrid w:val="0"/>
              <w:spacing w:line="309" w:lineRule="exact"/>
              <w:ind w:firstLine="0" w:firstLineChars="0"/>
              <w:jc w:val="center"/>
              <w:outlineLvl w:val="2"/>
              <w:rPr>
                <w:rFonts w:ascii="Times New Roman" w:hAnsi="Times New Roman" w:cs="Times New Roman"/>
                <w:sz w:val="18"/>
                <w:szCs w:val="18"/>
              </w:rPr>
            </w:pPr>
            <w:r>
              <w:rPr>
                <w:rFonts w:ascii="Times New Roman" w:hAnsi="Times New Roman" w:cs="Times New Roman"/>
                <w:sz w:val="18"/>
                <w:szCs w:val="18"/>
              </w:rPr>
              <w:t>3.70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820" w:type="dxa"/>
            <w:vMerge w:val="continue"/>
            <w:tcBorders>
              <w:top w:val="single" w:color="000000" w:sz="4" w:space="0"/>
              <w:right w:val="single" w:color="000000" w:sz="4" w:space="0"/>
              <w:tl2br w:val="nil"/>
              <w:tr2bl w:val="nil"/>
            </w:tcBorders>
            <w:vAlign w:val="center"/>
          </w:tcPr>
          <w:p>
            <w:pPr>
              <w:pStyle w:val="22"/>
              <w:tabs>
                <w:tab w:val="left" w:pos="0"/>
              </w:tabs>
              <w:overflowPunct w:val="0"/>
              <w:snapToGrid w:val="0"/>
              <w:spacing w:line="309" w:lineRule="exact"/>
              <w:ind w:firstLine="0" w:firstLineChars="0"/>
              <w:jc w:val="center"/>
              <w:rPr>
                <w:rFonts w:ascii="宋体" w:hAnsi="宋体" w:cs="宋体"/>
                <w:sz w:val="18"/>
                <w:szCs w:val="18"/>
              </w:rPr>
            </w:pPr>
          </w:p>
        </w:tc>
        <w:tc>
          <w:tcPr>
            <w:tcW w:w="1914" w:type="dxa"/>
            <w:vMerge w:val="continue"/>
            <w:tcBorders>
              <w:top w:val="single" w:color="000000" w:sz="4" w:space="0"/>
              <w:left w:val="single" w:color="000000" w:sz="4" w:space="0"/>
              <w:right w:val="single" w:color="000000" w:sz="4" w:space="0"/>
              <w:tl2br w:val="nil"/>
              <w:tr2bl w:val="nil"/>
            </w:tcBorders>
            <w:vAlign w:val="center"/>
          </w:tcPr>
          <w:p>
            <w:pPr>
              <w:pStyle w:val="22"/>
              <w:tabs>
                <w:tab w:val="left" w:pos="0"/>
              </w:tabs>
              <w:overflowPunct w:val="0"/>
              <w:snapToGrid w:val="0"/>
              <w:spacing w:line="309" w:lineRule="exact"/>
              <w:ind w:firstLine="0" w:firstLineChars="0"/>
              <w:jc w:val="center"/>
              <w:rPr>
                <w:rFonts w:ascii="宋体" w:hAnsi="宋体" w:cs="宋体"/>
                <w:sz w:val="18"/>
                <w:szCs w:val="18"/>
              </w:rPr>
            </w:pPr>
          </w:p>
        </w:tc>
        <w:tc>
          <w:tcPr>
            <w:tcW w:w="1914" w:type="dxa"/>
            <w:tcBorders>
              <w:top w:val="single" w:color="000000" w:sz="4" w:space="0"/>
              <w:left w:val="single" w:color="000000" w:sz="4" w:space="0"/>
              <w:right w:val="single" w:color="000000" w:sz="4" w:space="0"/>
              <w:tl2br w:val="nil"/>
              <w:tr2bl w:val="nil"/>
            </w:tcBorders>
            <w:vAlign w:val="center"/>
          </w:tcPr>
          <w:p>
            <w:pPr>
              <w:pStyle w:val="22"/>
              <w:tabs>
                <w:tab w:val="left" w:pos="0"/>
              </w:tabs>
              <w:overflowPunct w:val="0"/>
              <w:snapToGrid w:val="0"/>
              <w:spacing w:line="309" w:lineRule="exact"/>
              <w:ind w:firstLine="0" w:firstLineChars="0"/>
              <w:jc w:val="center"/>
              <w:outlineLvl w:val="2"/>
              <w:rPr>
                <w:rFonts w:ascii="宋体" w:hAnsi="宋体" w:cs="宋体"/>
                <w:sz w:val="18"/>
                <w:szCs w:val="18"/>
              </w:rPr>
            </w:pPr>
            <w:r>
              <w:rPr>
                <w:rFonts w:hint="eastAsia" w:ascii="宋体" w:hAnsi="宋体" w:cs="宋体"/>
                <w:sz w:val="18"/>
                <w:szCs w:val="18"/>
              </w:rPr>
              <w:t>提供水泵</w:t>
            </w:r>
          </w:p>
        </w:tc>
        <w:tc>
          <w:tcPr>
            <w:tcW w:w="1914" w:type="dxa"/>
            <w:tcBorders>
              <w:top w:val="single" w:color="000000" w:sz="4" w:space="0"/>
              <w:left w:val="single" w:color="000000" w:sz="4" w:space="0"/>
              <w:right w:val="single" w:color="000000" w:sz="4" w:space="0"/>
              <w:tl2br w:val="nil"/>
              <w:tr2bl w:val="nil"/>
            </w:tcBorders>
            <w:vAlign w:val="center"/>
          </w:tcPr>
          <w:p>
            <w:pPr>
              <w:pStyle w:val="22"/>
              <w:tabs>
                <w:tab w:val="left" w:pos="0"/>
              </w:tabs>
              <w:overflowPunct w:val="0"/>
              <w:snapToGrid w:val="0"/>
              <w:spacing w:line="309" w:lineRule="exact"/>
              <w:ind w:firstLine="0" w:firstLineChars="0"/>
              <w:jc w:val="center"/>
              <w:outlineLvl w:val="2"/>
              <w:rPr>
                <w:rFonts w:ascii="Times New Roman" w:hAnsi="Times New Roman" w:cs="Times New Roman"/>
                <w:sz w:val="18"/>
                <w:szCs w:val="18"/>
              </w:rPr>
            </w:pPr>
            <w:r>
              <w:rPr>
                <w:rFonts w:ascii="Times New Roman" w:hAnsi="Times New Roman" w:cs="Times New Roman"/>
                <w:sz w:val="18"/>
                <w:szCs w:val="18"/>
              </w:rPr>
              <w:t>4.30</w:t>
            </w:r>
          </w:p>
        </w:tc>
        <w:tc>
          <w:tcPr>
            <w:tcW w:w="1807" w:type="dxa"/>
            <w:tcBorders>
              <w:top w:val="single" w:color="000000" w:sz="4" w:space="0"/>
              <w:left w:val="single" w:color="000000" w:sz="4" w:space="0"/>
              <w:tl2br w:val="nil"/>
              <w:tr2bl w:val="nil"/>
            </w:tcBorders>
            <w:vAlign w:val="center"/>
          </w:tcPr>
          <w:p>
            <w:pPr>
              <w:pStyle w:val="22"/>
              <w:tabs>
                <w:tab w:val="left" w:pos="0"/>
              </w:tabs>
              <w:overflowPunct w:val="0"/>
              <w:snapToGrid w:val="0"/>
              <w:spacing w:line="309" w:lineRule="exact"/>
              <w:ind w:firstLine="0" w:firstLineChars="0"/>
              <w:jc w:val="center"/>
              <w:outlineLvl w:val="2"/>
              <w:rPr>
                <w:rFonts w:ascii="Times New Roman" w:hAnsi="Times New Roman" w:cs="Times New Roman"/>
                <w:sz w:val="18"/>
                <w:szCs w:val="18"/>
              </w:rPr>
            </w:pPr>
            <w:r>
              <w:rPr>
                <w:rFonts w:ascii="Times New Roman" w:hAnsi="Times New Roman" w:cs="Times New Roman"/>
                <w:sz w:val="18"/>
                <w:szCs w:val="18"/>
              </w:rPr>
              <w:t>3.60</w:t>
            </w:r>
          </w:p>
        </w:tc>
      </w:tr>
    </w:tbl>
    <w:p>
      <w:pPr>
        <w:overflowPunct w:val="0"/>
        <w:snapToGrid w:val="0"/>
        <w:spacing w:line="309" w:lineRule="exact"/>
        <w:outlineLvl w:val="2"/>
        <w:rPr>
          <w:rFonts w:ascii="黑体" w:hAnsi="黑体" w:eastAsia="宋体" w:cs="Times New Roman"/>
          <w:szCs w:val="21"/>
        </w:rPr>
      </w:pPr>
    </w:p>
    <w:p>
      <w:pPr>
        <w:overflowPunct w:val="0"/>
        <w:snapToGrid w:val="0"/>
        <w:spacing w:line="309" w:lineRule="exact"/>
        <w:outlineLvl w:val="2"/>
        <w:rPr>
          <w:rFonts w:ascii="宋体" w:hAnsi="宋体" w:cs="宋体"/>
          <w:szCs w:val="21"/>
        </w:rPr>
      </w:pPr>
      <w:r>
        <w:rPr>
          <w:rFonts w:ascii="黑体" w:hAnsi="黑体" w:eastAsia="宋体" w:cs="Times New Roman"/>
          <w:szCs w:val="21"/>
        </w:rPr>
        <w:t>8.3.4</w:t>
      </w:r>
      <w:r>
        <w:rPr>
          <w:rFonts w:hint="eastAsia" w:ascii="宋体" w:hAnsi="宋体" w:cs="宋体"/>
          <w:szCs w:val="21"/>
        </w:rPr>
        <w:t>　当采用户式燃气热水器或供暖炉为生活热水热源时，其设备能效应达到</w:t>
      </w:r>
      <w:r>
        <w:rPr>
          <w:rFonts w:ascii="Times New Roman" w:hAnsi="Times New Roman" w:cs="Times New Roman"/>
          <w:szCs w:val="21"/>
        </w:rPr>
        <w:t>GB 20665规定的1</w:t>
      </w:r>
      <w:r>
        <w:rPr>
          <w:rFonts w:hint="eastAsia" w:ascii="宋体" w:hAnsi="宋体" w:cs="宋体"/>
          <w:szCs w:val="21"/>
        </w:rPr>
        <w:t>级</w:t>
      </w:r>
      <w:r>
        <w:rPr>
          <w:rFonts w:hint="eastAsia" w:ascii="宋体" w:hAnsi="宋体" w:cs="宋体"/>
          <w:szCs w:val="21"/>
          <w:lang w:val="en-US" w:eastAsia="zh-CN"/>
        </w:rPr>
        <w:t>能效并符合表10的规定</w:t>
      </w:r>
      <w:r>
        <w:rPr>
          <w:rFonts w:hint="eastAsia" w:ascii="宋体" w:hAnsi="宋体" w:cs="宋体"/>
          <w:szCs w:val="21"/>
        </w:rPr>
        <w:t>。</w:t>
      </w:r>
    </w:p>
    <w:p>
      <w:pPr>
        <w:pStyle w:val="42"/>
        <w:widowControl w:val="0"/>
        <w:overflowPunct w:val="0"/>
        <w:autoSpaceDE/>
        <w:autoSpaceDN/>
        <w:spacing w:before="62" w:beforeLines="20" w:after="78" w:afterLines="25" w:line="309" w:lineRule="exact"/>
        <w:ind w:firstLine="0" w:firstLineChars="0"/>
        <w:jc w:val="center"/>
        <w:rPr>
          <w:rFonts w:hAnsi="宋体" w:eastAsia="黑体"/>
        </w:rPr>
      </w:pPr>
      <w:r>
        <w:rPr>
          <w:rFonts w:ascii="黑体" w:hAnsi="黑体" w:eastAsia="黑体" w:cs="黑体"/>
          <w:sz w:val="18"/>
          <w:szCs w:val="18"/>
        </w:rPr>
        <w:t>表</w:t>
      </w:r>
      <w:r>
        <w:rPr>
          <w:rFonts w:hint="eastAsia" w:ascii="黑体" w:hAnsi="黑体" w:eastAsia="黑体" w:cs="黑体"/>
          <w:sz w:val="18"/>
          <w:szCs w:val="18"/>
          <w:lang w:val="en-US" w:eastAsia="zh-CN"/>
        </w:rPr>
        <w:t>10</w:t>
      </w:r>
      <w:r>
        <w:rPr>
          <w:rFonts w:ascii="黑体" w:hAnsi="黑体" w:eastAsia="黑体" w:cs="黑体"/>
          <w:sz w:val="18"/>
          <w:szCs w:val="18"/>
        </w:rPr>
        <w:t>　</w:t>
      </w:r>
      <w:r>
        <w:rPr>
          <w:rFonts w:hint="eastAsia" w:ascii="黑体" w:hAnsi="黑体" w:eastAsia="黑体" w:cs="黑体"/>
          <w:sz w:val="18"/>
          <w:szCs w:val="18"/>
        </w:rPr>
        <w:t>户式燃气热水器和供暖热水炉（热水）热效率</w:t>
      </w:r>
    </w:p>
    <w:tbl>
      <w:tblPr>
        <w:tblStyle w:val="14"/>
        <w:tblW w:w="9381"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858"/>
        <w:gridCol w:w="1315"/>
        <w:gridCol w:w="120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858" w:type="dxa"/>
            <w:tcBorders>
              <w:right w:val="single" w:color="000000"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cs="宋体"/>
                <w:sz w:val="18"/>
                <w:szCs w:val="18"/>
              </w:rPr>
            </w:pPr>
            <w:r>
              <w:rPr>
                <w:rFonts w:hint="eastAsia" w:ascii="宋体" w:hAnsi="宋体" w:cs="宋体"/>
                <w:sz w:val="18"/>
                <w:szCs w:val="18"/>
              </w:rPr>
              <w:t>类型</w:t>
            </w:r>
          </w:p>
        </w:tc>
        <w:tc>
          <w:tcPr>
            <w:tcW w:w="2523" w:type="dxa"/>
            <w:gridSpan w:val="2"/>
            <w:tcBorders>
              <w:left w:val="single" w:color="000000"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cs="宋体"/>
                <w:sz w:val="18"/>
                <w:szCs w:val="18"/>
              </w:rPr>
            </w:pPr>
            <w:r>
              <w:rPr>
                <w:rFonts w:hint="eastAsia" w:ascii="宋体" w:hAnsi="宋体" w:cs="宋体"/>
                <w:sz w:val="18"/>
                <w:szCs w:val="18"/>
              </w:rPr>
              <w:t>热效率（</w:t>
            </w:r>
            <w:r>
              <w:rPr>
                <w:rFonts w:ascii="Times New Roman" w:hAnsi="Times New Roman" w:cs="Times New Roman"/>
                <w:sz w:val="18"/>
                <w:szCs w:val="18"/>
              </w:rPr>
              <w:t>%</w:t>
            </w:r>
            <w:r>
              <w:rPr>
                <w:rFonts w:hint="eastAsia" w:ascii="宋体" w:hAnsi="宋体" w:cs="宋体"/>
                <w:sz w:val="18"/>
                <w:szCs w:val="1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858" w:type="dxa"/>
            <w:vMerge w:val="restart"/>
            <w:tcBorders>
              <w:right w:val="single" w:color="000000"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cs="宋体"/>
                <w:sz w:val="18"/>
                <w:szCs w:val="18"/>
              </w:rPr>
            </w:pPr>
            <w:r>
              <w:rPr>
                <w:rFonts w:hint="eastAsia" w:ascii="宋体" w:hAnsi="宋体" w:cs="宋体"/>
                <w:sz w:val="18"/>
                <w:szCs w:val="18"/>
              </w:rPr>
              <w:t>户式燃气热水器</w:t>
            </w:r>
          </w:p>
        </w:tc>
        <w:tc>
          <w:tcPr>
            <w:tcW w:w="1315" w:type="dxa"/>
            <w:tcBorders>
              <w:left w:val="single" w:color="000000" w:sz="4" w:space="0"/>
              <w:bottom w:val="single" w:color="000000" w:sz="4" w:space="0"/>
              <w:right w:val="single" w:color="000000" w:sz="4" w:space="0"/>
              <w:tl2br w:val="nil"/>
              <w:tr2bl w:val="nil"/>
            </w:tcBorders>
            <w:vAlign w:val="center"/>
          </w:tcPr>
          <w:p>
            <w:pPr>
              <w:pStyle w:val="22"/>
              <w:tabs>
                <w:tab w:val="left" w:pos="420"/>
              </w:tabs>
              <w:overflowPunct w:val="0"/>
              <w:snapToGrid w:val="0"/>
              <w:spacing w:line="309" w:lineRule="exact"/>
              <w:ind w:firstLine="0" w:firstLineChars="0"/>
              <w:jc w:val="center"/>
              <w:rPr>
                <w:rFonts w:ascii="Times New Roman" w:hAnsi="Times New Roman" w:cs="Times New Roman"/>
                <w:sz w:val="18"/>
                <w:szCs w:val="18"/>
              </w:rPr>
            </w:pPr>
            <w:r>
              <w:rPr>
                <w:rFonts w:ascii="Times New Roman" w:hAnsi="Times New Roman" w:cs="Times New Roman"/>
                <w:sz w:val="18"/>
                <w:szCs w:val="18"/>
              </w:rPr>
              <w:t>η</w:t>
            </w:r>
            <w:r>
              <w:rPr>
                <w:rFonts w:ascii="Times New Roman" w:hAnsi="Times New Roman" w:cs="Times New Roman"/>
                <w:sz w:val="18"/>
                <w:szCs w:val="18"/>
                <w:vertAlign w:val="subscript"/>
              </w:rPr>
              <w:t>1</w:t>
            </w:r>
          </w:p>
        </w:tc>
        <w:tc>
          <w:tcPr>
            <w:tcW w:w="1208" w:type="dxa"/>
            <w:tcBorders>
              <w:left w:val="single" w:color="000000" w:sz="4" w:space="0"/>
              <w:bottom w:val="single" w:color="000000" w:sz="4" w:space="0"/>
              <w:tl2br w:val="nil"/>
              <w:tr2bl w:val="nil"/>
            </w:tcBorders>
            <w:vAlign w:val="center"/>
          </w:tcPr>
          <w:p>
            <w:pPr>
              <w:pStyle w:val="22"/>
              <w:tabs>
                <w:tab w:val="left" w:pos="420"/>
              </w:tabs>
              <w:overflowPunct w:val="0"/>
              <w:snapToGrid w:val="0"/>
              <w:spacing w:line="309" w:lineRule="exact"/>
              <w:ind w:firstLine="0" w:firstLineChars="0"/>
              <w:jc w:val="center"/>
              <w:rPr>
                <w:rFonts w:ascii="Times New Roman" w:hAnsi="Times New Roman" w:cs="Times New Roman"/>
                <w:sz w:val="18"/>
                <w:szCs w:val="18"/>
              </w:rPr>
            </w:pPr>
            <w:r>
              <w:rPr>
                <w:rFonts w:hint="eastAsia" w:ascii="宋体" w:hAnsi="宋体" w:eastAsia="宋体" w:cs="宋体"/>
                <w:sz w:val="18"/>
                <w:szCs w:val="18"/>
              </w:rPr>
              <w:t>≥</w:t>
            </w:r>
            <w:r>
              <w:rPr>
                <w:rFonts w:ascii="Times New Roman" w:hAnsi="Times New Roman" w:cs="Times New Roman"/>
                <w:sz w:val="18"/>
                <w:szCs w:val="18"/>
              </w:rPr>
              <w:t>98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858" w:type="dxa"/>
            <w:vMerge w:val="continue"/>
            <w:tcBorders>
              <w:bottom w:val="single" w:color="000000" w:sz="4" w:space="0"/>
              <w:right w:val="single" w:color="000000"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cs="宋体"/>
                <w:sz w:val="18"/>
                <w:szCs w:val="18"/>
              </w:rPr>
            </w:pPr>
          </w:p>
        </w:tc>
        <w:tc>
          <w:tcPr>
            <w:tcW w:w="1315"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2"/>
              <w:tabs>
                <w:tab w:val="left" w:pos="420"/>
              </w:tabs>
              <w:overflowPunct w:val="0"/>
              <w:snapToGrid w:val="0"/>
              <w:spacing w:line="309" w:lineRule="exact"/>
              <w:ind w:firstLine="0" w:firstLineChars="0"/>
              <w:jc w:val="center"/>
              <w:rPr>
                <w:rFonts w:ascii="Times New Roman" w:hAnsi="Times New Roman" w:cs="Times New Roman"/>
                <w:sz w:val="18"/>
                <w:szCs w:val="18"/>
              </w:rPr>
            </w:pPr>
            <w:r>
              <w:rPr>
                <w:rFonts w:ascii="Times New Roman" w:hAnsi="Times New Roman" w:cs="Times New Roman"/>
                <w:sz w:val="18"/>
                <w:szCs w:val="18"/>
              </w:rPr>
              <w:t>η</w:t>
            </w:r>
            <w:r>
              <w:rPr>
                <w:rFonts w:ascii="Times New Roman" w:hAnsi="Times New Roman" w:cs="Times New Roman"/>
                <w:sz w:val="18"/>
                <w:szCs w:val="18"/>
                <w:vertAlign w:val="subscript"/>
              </w:rPr>
              <w:t>2</w:t>
            </w:r>
          </w:p>
        </w:tc>
        <w:tc>
          <w:tcPr>
            <w:tcW w:w="1208" w:type="dxa"/>
            <w:tcBorders>
              <w:top w:val="single" w:color="000000" w:sz="4" w:space="0"/>
              <w:left w:val="single" w:color="000000" w:sz="4" w:space="0"/>
              <w:bottom w:val="single" w:color="000000" w:sz="4" w:space="0"/>
              <w:tl2br w:val="nil"/>
              <w:tr2bl w:val="nil"/>
            </w:tcBorders>
            <w:vAlign w:val="center"/>
          </w:tcPr>
          <w:p>
            <w:pPr>
              <w:pStyle w:val="22"/>
              <w:tabs>
                <w:tab w:val="left" w:pos="420"/>
              </w:tabs>
              <w:overflowPunct w:val="0"/>
              <w:snapToGrid w:val="0"/>
              <w:spacing w:line="309" w:lineRule="exact"/>
              <w:ind w:firstLine="0" w:firstLineChars="0"/>
              <w:jc w:val="center"/>
              <w:rPr>
                <w:rFonts w:ascii="Times New Roman" w:hAnsi="Times New Roman" w:cs="Times New Roman"/>
                <w:sz w:val="18"/>
                <w:szCs w:val="18"/>
              </w:rPr>
            </w:pPr>
            <w:r>
              <w:rPr>
                <w:rFonts w:hint="eastAsia" w:ascii="宋体" w:hAnsi="宋体" w:eastAsia="宋体" w:cs="宋体"/>
                <w:sz w:val="18"/>
                <w:szCs w:val="18"/>
              </w:rPr>
              <w:t>≥</w:t>
            </w:r>
            <w:r>
              <w:rPr>
                <w:rFonts w:ascii="Times New Roman" w:hAnsi="Times New Roman" w:cs="Times New Roman"/>
                <w:sz w:val="18"/>
                <w:szCs w:val="18"/>
              </w:rPr>
              <w:t>94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6858" w:type="dxa"/>
            <w:vMerge w:val="restart"/>
            <w:tcBorders>
              <w:top w:val="single" w:color="000000" w:sz="4" w:space="0"/>
              <w:right w:val="single" w:color="000000"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cs="宋体"/>
                <w:sz w:val="18"/>
                <w:szCs w:val="18"/>
              </w:rPr>
            </w:pPr>
            <w:r>
              <w:rPr>
                <w:rFonts w:hint="eastAsia" w:ascii="宋体" w:hAnsi="宋体" w:cs="宋体"/>
                <w:sz w:val="18"/>
                <w:szCs w:val="18"/>
              </w:rPr>
              <w:t>户式燃气供暖热水炉（热水）</w:t>
            </w:r>
          </w:p>
        </w:tc>
        <w:tc>
          <w:tcPr>
            <w:tcW w:w="1315"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22"/>
              <w:tabs>
                <w:tab w:val="left" w:pos="420"/>
              </w:tabs>
              <w:overflowPunct w:val="0"/>
              <w:snapToGrid w:val="0"/>
              <w:spacing w:line="309" w:lineRule="exact"/>
              <w:ind w:firstLine="0" w:firstLineChars="0"/>
              <w:jc w:val="center"/>
              <w:rPr>
                <w:rFonts w:ascii="Times New Roman" w:hAnsi="Times New Roman" w:cs="Times New Roman"/>
                <w:sz w:val="18"/>
                <w:szCs w:val="18"/>
              </w:rPr>
            </w:pPr>
            <w:r>
              <w:rPr>
                <w:rFonts w:ascii="Times New Roman" w:hAnsi="Times New Roman" w:cs="Times New Roman"/>
                <w:sz w:val="18"/>
                <w:szCs w:val="18"/>
              </w:rPr>
              <w:t>η</w:t>
            </w:r>
            <w:r>
              <w:rPr>
                <w:rFonts w:ascii="Times New Roman" w:hAnsi="Times New Roman" w:cs="Times New Roman"/>
                <w:sz w:val="18"/>
                <w:szCs w:val="18"/>
                <w:vertAlign w:val="subscript"/>
              </w:rPr>
              <w:t>1</w:t>
            </w:r>
          </w:p>
        </w:tc>
        <w:tc>
          <w:tcPr>
            <w:tcW w:w="1208" w:type="dxa"/>
            <w:tcBorders>
              <w:top w:val="single" w:color="000000" w:sz="4" w:space="0"/>
              <w:left w:val="single" w:color="000000" w:sz="4" w:space="0"/>
              <w:bottom w:val="single" w:color="000000" w:sz="4" w:space="0"/>
              <w:tl2br w:val="nil"/>
              <w:tr2bl w:val="nil"/>
            </w:tcBorders>
            <w:vAlign w:val="center"/>
          </w:tcPr>
          <w:p>
            <w:pPr>
              <w:pStyle w:val="22"/>
              <w:tabs>
                <w:tab w:val="left" w:pos="420"/>
              </w:tabs>
              <w:overflowPunct w:val="0"/>
              <w:snapToGrid w:val="0"/>
              <w:spacing w:line="309" w:lineRule="exact"/>
              <w:ind w:firstLine="0" w:firstLineChars="0"/>
              <w:jc w:val="center"/>
              <w:rPr>
                <w:rFonts w:ascii="Times New Roman" w:hAnsi="Times New Roman" w:cs="Times New Roman"/>
                <w:sz w:val="18"/>
                <w:szCs w:val="18"/>
              </w:rPr>
            </w:pPr>
            <w:r>
              <w:rPr>
                <w:rFonts w:hint="eastAsia" w:ascii="宋体" w:hAnsi="宋体" w:eastAsia="宋体" w:cs="宋体"/>
                <w:sz w:val="18"/>
                <w:szCs w:val="18"/>
              </w:rPr>
              <w:t>≥</w:t>
            </w:r>
            <w:r>
              <w:rPr>
                <w:rFonts w:ascii="Times New Roman" w:hAnsi="Times New Roman" w:cs="Times New Roman"/>
                <w:sz w:val="18"/>
                <w:szCs w:val="18"/>
              </w:rPr>
              <w:t>96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858" w:type="dxa"/>
            <w:vMerge w:val="continue"/>
            <w:tcBorders>
              <w:right w:val="single" w:color="000000"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cs="宋体"/>
                <w:sz w:val="18"/>
                <w:szCs w:val="18"/>
              </w:rPr>
            </w:pPr>
          </w:p>
        </w:tc>
        <w:tc>
          <w:tcPr>
            <w:tcW w:w="1315" w:type="dxa"/>
            <w:tcBorders>
              <w:top w:val="single" w:color="000000" w:sz="4" w:space="0"/>
              <w:left w:val="single" w:color="000000" w:sz="4" w:space="0"/>
              <w:right w:val="single" w:color="000000" w:sz="4" w:space="0"/>
              <w:tl2br w:val="nil"/>
              <w:tr2bl w:val="nil"/>
            </w:tcBorders>
            <w:vAlign w:val="center"/>
          </w:tcPr>
          <w:p>
            <w:pPr>
              <w:pStyle w:val="22"/>
              <w:tabs>
                <w:tab w:val="left" w:pos="420"/>
              </w:tabs>
              <w:overflowPunct w:val="0"/>
              <w:snapToGrid w:val="0"/>
              <w:spacing w:line="309" w:lineRule="exact"/>
              <w:ind w:firstLine="0" w:firstLineChars="0"/>
              <w:jc w:val="center"/>
              <w:rPr>
                <w:rFonts w:ascii="Times New Roman" w:hAnsi="Times New Roman" w:cs="Times New Roman"/>
                <w:sz w:val="18"/>
                <w:szCs w:val="18"/>
              </w:rPr>
            </w:pPr>
            <w:r>
              <w:rPr>
                <w:rFonts w:ascii="Times New Roman" w:hAnsi="Times New Roman" w:cs="Times New Roman"/>
                <w:sz w:val="18"/>
                <w:szCs w:val="18"/>
              </w:rPr>
              <w:t>η</w:t>
            </w:r>
            <w:r>
              <w:rPr>
                <w:rFonts w:ascii="Times New Roman" w:hAnsi="Times New Roman" w:cs="Times New Roman"/>
                <w:sz w:val="18"/>
                <w:szCs w:val="18"/>
                <w:vertAlign w:val="subscript"/>
              </w:rPr>
              <w:t>2</w:t>
            </w:r>
          </w:p>
        </w:tc>
        <w:tc>
          <w:tcPr>
            <w:tcW w:w="1208" w:type="dxa"/>
            <w:tcBorders>
              <w:top w:val="single" w:color="000000" w:sz="4" w:space="0"/>
              <w:left w:val="single" w:color="000000" w:sz="4" w:space="0"/>
              <w:tl2br w:val="nil"/>
              <w:tr2bl w:val="nil"/>
            </w:tcBorders>
            <w:vAlign w:val="center"/>
          </w:tcPr>
          <w:p>
            <w:pPr>
              <w:pStyle w:val="22"/>
              <w:tabs>
                <w:tab w:val="left" w:pos="420"/>
              </w:tabs>
              <w:overflowPunct w:val="0"/>
              <w:snapToGrid w:val="0"/>
              <w:spacing w:line="309" w:lineRule="exact"/>
              <w:ind w:firstLine="0" w:firstLineChars="0"/>
              <w:jc w:val="center"/>
              <w:rPr>
                <w:rFonts w:ascii="Times New Roman" w:hAnsi="Times New Roman" w:cs="Times New Roman"/>
                <w:sz w:val="18"/>
                <w:szCs w:val="18"/>
              </w:rPr>
            </w:pPr>
            <w:r>
              <w:rPr>
                <w:rFonts w:hint="eastAsia" w:ascii="宋体" w:hAnsi="宋体" w:eastAsia="宋体" w:cs="宋体"/>
                <w:sz w:val="18"/>
                <w:szCs w:val="18"/>
              </w:rPr>
              <w:t>≥</w:t>
            </w:r>
            <w:r>
              <w:rPr>
                <w:rFonts w:ascii="Times New Roman" w:hAnsi="Times New Roman" w:cs="Times New Roman"/>
                <w:sz w:val="18"/>
                <w:szCs w:val="18"/>
              </w:rPr>
              <w:t>92</w:t>
            </w:r>
          </w:p>
        </w:tc>
      </w:tr>
    </w:tbl>
    <w:p>
      <w:pPr>
        <w:overflowPunct w:val="0"/>
        <w:snapToGrid w:val="0"/>
        <w:spacing w:line="309" w:lineRule="exact"/>
        <w:outlineLvl w:val="2"/>
        <w:rPr>
          <w:rFonts w:ascii="黑体" w:hAnsi="黑体" w:eastAsia="宋体" w:cs="Times New Roman"/>
          <w:szCs w:val="21"/>
        </w:rPr>
      </w:pPr>
    </w:p>
    <w:p>
      <w:pPr>
        <w:overflowPunct w:val="0"/>
        <w:snapToGrid w:val="0"/>
        <w:spacing w:line="309" w:lineRule="exact"/>
        <w:outlineLvl w:val="2"/>
        <w:rPr>
          <w:rFonts w:ascii="宋体" w:hAnsi="宋体" w:cs="宋体"/>
          <w:szCs w:val="21"/>
        </w:rPr>
      </w:pPr>
      <w:r>
        <w:rPr>
          <w:rFonts w:ascii="黑体" w:hAnsi="黑体" w:eastAsia="宋体" w:cs="Times New Roman"/>
          <w:szCs w:val="21"/>
        </w:rPr>
        <w:t>8.3.5</w:t>
      </w:r>
      <w:r>
        <w:rPr>
          <w:rFonts w:hint="eastAsia" w:ascii="宋体" w:hAnsi="宋体" w:cs="宋体"/>
          <w:szCs w:val="21"/>
        </w:rPr>
        <w:t>　当采用户式电热水器时，其能效等级应达到</w:t>
      </w:r>
      <w:r>
        <w:rPr>
          <w:rFonts w:ascii="Times New Roman" w:hAnsi="Times New Roman" w:cs="Times New Roman"/>
          <w:szCs w:val="21"/>
        </w:rPr>
        <w:t>GB 21519</w:t>
      </w:r>
      <w:r>
        <w:rPr>
          <w:rFonts w:hint="eastAsia" w:ascii="宋体" w:hAnsi="宋体" w:cs="宋体"/>
          <w:szCs w:val="21"/>
        </w:rPr>
        <w:t>规定的</w:t>
      </w:r>
      <w:r>
        <w:rPr>
          <w:rFonts w:ascii="Times New Roman" w:hAnsi="Times New Roman" w:cs="Times New Roman"/>
          <w:szCs w:val="21"/>
        </w:rPr>
        <w:t>1</w:t>
      </w:r>
      <w:r>
        <w:rPr>
          <w:rFonts w:hint="eastAsia" w:ascii="宋体" w:hAnsi="宋体" w:cs="宋体"/>
          <w:szCs w:val="21"/>
        </w:rPr>
        <w:t>级能效</w:t>
      </w:r>
      <w:r>
        <w:rPr>
          <w:rFonts w:hint="eastAsia" w:ascii="宋体" w:hAnsi="宋体" w:cs="宋体"/>
          <w:szCs w:val="21"/>
          <w:lang w:val="en-US" w:eastAsia="zh-CN"/>
        </w:rPr>
        <w:t>并符合表11的规定</w:t>
      </w:r>
      <w:r>
        <w:rPr>
          <w:rFonts w:hint="eastAsia" w:ascii="宋体" w:hAnsi="宋体" w:cs="宋体"/>
          <w:szCs w:val="21"/>
        </w:rPr>
        <w:t>。</w:t>
      </w:r>
    </w:p>
    <w:p>
      <w:pPr>
        <w:pStyle w:val="42"/>
        <w:widowControl w:val="0"/>
        <w:overflowPunct w:val="0"/>
        <w:autoSpaceDE/>
        <w:autoSpaceDN/>
        <w:spacing w:before="62" w:beforeLines="20" w:after="78" w:afterLines="25" w:line="309" w:lineRule="exact"/>
        <w:ind w:firstLine="0" w:firstLineChars="0"/>
        <w:jc w:val="center"/>
        <w:rPr>
          <w:rFonts w:hAnsi="宋体" w:eastAsia="黑体"/>
        </w:rPr>
      </w:pPr>
      <w:r>
        <w:rPr>
          <w:rFonts w:ascii="黑体" w:hAnsi="黑体" w:eastAsia="黑体" w:cs="黑体"/>
          <w:sz w:val="18"/>
          <w:szCs w:val="18"/>
        </w:rPr>
        <w:t>表</w:t>
      </w:r>
      <w:r>
        <w:rPr>
          <w:rFonts w:hint="eastAsia" w:ascii="黑体" w:hAnsi="黑体" w:eastAsia="黑体" w:cs="黑体"/>
          <w:sz w:val="18"/>
          <w:szCs w:val="18"/>
          <w:lang w:val="en-US" w:eastAsia="zh-CN"/>
        </w:rPr>
        <w:t>11</w:t>
      </w:r>
      <w:r>
        <w:rPr>
          <w:rFonts w:ascii="黑体" w:hAnsi="黑体" w:eastAsia="黑体" w:cs="黑体"/>
          <w:sz w:val="18"/>
          <w:szCs w:val="18"/>
        </w:rPr>
        <w:t>　</w:t>
      </w:r>
      <w:r>
        <w:rPr>
          <w:rFonts w:hint="eastAsia" w:ascii="黑体" w:hAnsi="黑体" w:eastAsia="黑体" w:cs="黑体"/>
          <w:sz w:val="18"/>
          <w:szCs w:val="18"/>
        </w:rPr>
        <w:t>户式电热水器能效指标</w:t>
      </w:r>
    </w:p>
    <w:tbl>
      <w:tblPr>
        <w:tblStyle w:val="14"/>
        <w:tblW w:w="936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430"/>
        <w:gridCol w:w="2208"/>
        <w:gridCol w:w="173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5430" w:type="dxa"/>
            <w:tcBorders>
              <w:right w:val="single" w:color="000000"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cs="宋体"/>
                <w:szCs w:val="21"/>
              </w:rPr>
            </w:pPr>
            <w:r>
              <w:rPr>
                <w:rFonts w:hint="eastAsia" w:ascii="宋体" w:hAnsi="宋体" w:cs="宋体"/>
                <w:szCs w:val="21"/>
              </w:rPr>
              <w:t>类型</w:t>
            </w:r>
          </w:p>
        </w:tc>
        <w:tc>
          <w:tcPr>
            <w:tcW w:w="2208" w:type="dxa"/>
            <w:tcBorders>
              <w:left w:val="single" w:color="000000" w:sz="4" w:space="0"/>
              <w:right w:val="single" w:color="000000"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cs="宋体"/>
                <w:szCs w:val="21"/>
              </w:rPr>
            </w:pPr>
            <w:r>
              <w:rPr>
                <w:rFonts w:ascii="Times New Roman" w:hAnsi="Times New Roman" w:cs="Times New Roman"/>
                <w:szCs w:val="21"/>
              </w:rPr>
              <w:t>24h</w:t>
            </w:r>
            <w:r>
              <w:rPr>
                <w:rFonts w:ascii="宋体" w:hAnsi="宋体" w:cs="宋体"/>
                <w:szCs w:val="21"/>
              </w:rPr>
              <w:t>固有能耗系数</w:t>
            </w:r>
          </w:p>
        </w:tc>
        <w:tc>
          <w:tcPr>
            <w:tcW w:w="1731" w:type="dxa"/>
            <w:tcBorders>
              <w:left w:val="single" w:color="000000"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cs="宋体"/>
                <w:szCs w:val="21"/>
              </w:rPr>
            </w:pPr>
            <w:r>
              <w:rPr>
                <w:rFonts w:ascii="宋体" w:hAnsi="宋体" w:cs="宋体"/>
                <w:szCs w:val="21"/>
              </w:rPr>
              <w:t>热水输出率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5430" w:type="dxa"/>
            <w:tcBorders>
              <w:right w:val="single" w:color="000000"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cs="宋体"/>
                <w:szCs w:val="21"/>
              </w:rPr>
            </w:pPr>
            <w:r>
              <w:rPr>
                <w:rFonts w:hint="eastAsia" w:ascii="宋体" w:hAnsi="宋体" w:cs="宋体"/>
                <w:szCs w:val="21"/>
              </w:rPr>
              <w:t>户式电热水器</w:t>
            </w:r>
          </w:p>
        </w:tc>
        <w:tc>
          <w:tcPr>
            <w:tcW w:w="2208" w:type="dxa"/>
            <w:tcBorders>
              <w:left w:val="single" w:color="000000" w:sz="4" w:space="0"/>
              <w:bottom w:val="single" w:color="auto" w:sz="8" w:space="0"/>
              <w:right w:val="single" w:color="000000" w:sz="4" w:space="0"/>
            </w:tcBorders>
            <w:vAlign w:val="center"/>
          </w:tcPr>
          <w:p>
            <w:pPr>
              <w:pStyle w:val="22"/>
              <w:tabs>
                <w:tab w:val="left" w:pos="420"/>
              </w:tabs>
              <w:overflowPunct w:val="0"/>
              <w:snapToGrid w:val="0"/>
              <w:spacing w:line="309" w:lineRule="exact"/>
              <w:ind w:firstLine="0" w:firstLineChars="0"/>
              <w:jc w:val="center"/>
              <w:rPr>
                <w:rFonts w:ascii="宋体" w:hAnsi="宋体" w:cs="宋体"/>
                <w:szCs w:val="21"/>
              </w:rPr>
            </w:pPr>
            <w:r>
              <w:rPr>
                <w:rFonts w:hint="eastAsia" w:ascii="宋体" w:hAnsi="宋体" w:cs="宋体"/>
                <w:szCs w:val="21"/>
              </w:rPr>
              <w:t>≤</w:t>
            </w:r>
            <w:r>
              <w:rPr>
                <w:rFonts w:ascii="Times New Roman" w:hAnsi="Times New Roman" w:cs="Times New Roman"/>
                <w:szCs w:val="21"/>
              </w:rPr>
              <w:t>0.6</w:t>
            </w:r>
          </w:p>
        </w:tc>
        <w:tc>
          <w:tcPr>
            <w:tcW w:w="1731" w:type="dxa"/>
            <w:tcBorders>
              <w:left w:val="single" w:color="000000" w:sz="4" w:space="0"/>
              <w:bottom w:val="single" w:color="auto" w:sz="8" w:space="0"/>
            </w:tcBorders>
            <w:vAlign w:val="center"/>
          </w:tcPr>
          <w:p>
            <w:pPr>
              <w:pStyle w:val="22"/>
              <w:tabs>
                <w:tab w:val="left" w:pos="420"/>
              </w:tabs>
              <w:overflowPunct w:val="0"/>
              <w:snapToGrid w:val="0"/>
              <w:spacing w:line="309" w:lineRule="exact"/>
              <w:ind w:firstLine="0" w:firstLineChars="0"/>
              <w:jc w:val="center"/>
              <w:rPr>
                <w:rFonts w:ascii="宋体" w:hAnsi="宋体" w:cs="宋体"/>
                <w:szCs w:val="21"/>
              </w:rPr>
            </w:pPr>
            <w:r>
              <w:rPr>
                <w:rFonts w:hint="eastAsia" w:ascii="宋体" w:hAnsi="宋体" w:cs="宋体"/>
                <w:szCs w:val="21"/>
              </w:rPr>
              <w:t>≥</w:t>
            </w:r>
            <w:r>
              <w:rPr>
                <w:rFonts w:ascii="Times New Roman" w:hAnsi="Times New Roman" w:cs="Times New Roman"/>
                <w:szCs w:val="21"/>
              </w:rPr>
              <w:t>70%</w:t>
            </w:r>
          </w:p>
        </w:tc>
      </w:tr>
    </w:tbl>
    <w:p>
      <w:pPr>
        <w:overflowPunct w:val="0"/>
        <w:snapToGrid w:val="0"/>
        <w:spacing w:line="309" w:lineRule="exact"/>
        <w:outlineLvl w:val="2"/>
        <w:rPr>
          <w:rFonts w:ascii="黑体" w:hAnsi="黑体" w:eastAsia="宋体" w:cs="Times New Roman"/>
          <w:szCs w:val="21"/>
        </w:rPr>
      </w:pPr>
    </w:p>
    <w:p>
      <w:pPr>
        <w:overflowPunct w:val="0"/>
        <w:snapToGrid w:val="0"/>
        <w:spacing w:line="309" w:lineRule="exact"/>
        <w:outlineLvl w:val="2"/>
        <w:rPr>
          <w:rFonts w:ascii="Times New Roman" w:hAnsi="Times New Roman" w:cs="Times New Roman"/>
          <w:szCs w:val="21"/>
        </w:rPr>
      </w:pPr>
      <w:r>
        <w:rPr>
          <w:rFonts w:ascii="黑体" w:hAnsi="黑体" w:eastAsia="宋体" w:cs="Times New Roman"/>
          <w:szCs w:val="21"/>
        </w:rPr>
        <w:t>8.3.6</w:t>
      </w:r>
      <w:r>
        <w:rPr>
          <w:rFonts w:hint="eastAsia" w:ascii="宋体" w:hAnsi="宋体" w:cs="宋体"/>
          <w:szCs w:val="21"/>
        </w:rPr>
        <w:t>　太阳能热水系统设计效率不应低于</w:t>
      </w:r>
      <w:r>
        <w:rPr>
          <w:rFonts w:ascii="Times New Roman" w:hAnsi="Times New Roman" w:cs="Times New Roman"/>
          <w:szCs w:val="21"/>
        </w:rPr>
        <w:t>GB/T 50801规定的2级</w:t>
      </w:r>
      <w:r>
        <w:rPr>
          <w:rFonts w:hint="eastAsia" w:ascii="宋体" w:hAnsi="宋体" w:cs="宋体"/>
          <w:szCs w:val="21"/>
          <w:lang w:val="en-US" w:eastAsia="zh-CN"/>
        </w:rPr>
        <w:t>并符合表12的规定</w:t>
      </w:r>
      <w:r>
        <w:rPr>
          <w:rFonts w:ascii="Times New Roman" w:hAnsi="Times New Roman" w:cs="Times New Roman"/>
          <w:szCs w:val="21"/>
        </w:rPr>
        <w:t>。</w:t>
      </w:r>
    </w:p>
    <w:p>
      <w:pPr>
        <w:pStyle w:val="42"/>
        <w:widowControl w:val="0"/>
        <w:overflowPunct w:val="0"/>
        <w:autoSpaceDE/>
        <w:autoSpaceDN/>
        <w:spacing w:before="62" w:beforeLines="20" w:after="78" w:afterLines="25" w:line="309" w:lineRule="exact"/>
        <w:ind w:firstLine="0" w:firstLineChars="0"/>
        <w:jc w:val="center"/>
        <w:rPr>
          <w:rFonts w:ascii="黑体" w:hAnsi="黑体" w:eastAsia="黑体" w:cs="黑体"/>
          <w:sz w:val="18"/>
          <w:szCs w:val="18"/>
        </w:rPr>
      </w:pPr>
    </w:p>
    <w:p>
      <w:pPr>
        <w:pStyle w:val="42"/>
        <w:widowControl w:val="0"/>
        <w:overflowPunct w:val="0"/>
        <w:autoSpaceDE/>
        <w:autoSpaceDN/>
        <w:spacing w:before="62" w:beforeLines="20" w:after="78" w:afterLines="25" w:line="309" w:lineRule="exact"/>
        <w:ind w:firstLine="0" w:firstLineChars="0"/>
        <w:jc w:val="center"/>
        <w:rPr>
          <w:rFonts w:ascii="黑体" w:hAnsi="黑体" w:eastAsia="黑体" w:cs="黑体"/>
          <w:sz w:val="18"/>
          <w:szCs w:val="18"/>
        </w:rPr>
      </w:pPr>
    </w:p>
    <w:p>
      <w:pPr>
        <w:pStyle w:val="42"/>
        <w:widowControl w:val="0"/>
        <w:overflowPunct w:val="0"/>
        <w:autoSpaceDE/>
        <w:autoSpaceDN/>
        <w:spacing w:before="62" w:beforeLines="20" w:after="78" w:afterLines="25" w:line="309" w:lineRule="exact"/>
        <w:ind w:firstLine="0" w:firstLineChars="0"/>
        <w:jc w:val="center"/>
        <w:rPr>
          <w:rFonts w:hAnsi="宋体" w:eastAsia="黑体"/>
        </w:rPr>
      </w:pPr>
      <w:r>
        <w:rPr>
          <w:rFonts w:ascii="黑体" w:hAnsi="黑体" w:eastAsia="黑体" w:cs="黑体"/>
          <w:sz w:val="18"/>
          <w:szCs w:val="18"/>
        </w:rPr>
        <w:t>表</w:t>
      </w:r>
      <w:r>
        <w:rPr>
          <w:rFonts w:hint="eastAsia" w:ascii="黑体" w:hAnsi="黑体" w:eastAsia="黑体" w:cs="黑体"/>
          <w:sz w:val="18"/>
          <w:szCs w:val="18"/>
          <w:lang w:val="en-US" w:eastAsia="zh-CN"/>
        </w:rPr>
        <w:t>12</w:t>
      </w:r>
      <w:r>
        <w:rPr>
          <w:rFonts w:ascii="黑体" w:hAnsi="黑体" w:eastAsia="黑体" w:cs="黑体"/>
          <w:sz w:val="18"/>
          <w:szCs w:val="18"/>
        </w:rPr>
        <w:t>　</w:t>
      </w:r>
      <w:r>
        <w:rPr>
          <w:rFonts w:hint="eastAsia" w:ascii="黑体" w:hAnsi="黑体" w:eastAsia="黑体" w:cs="黑体"/>
          <w:sz w:val="18"/>
          <w:szCs w:val="18"/>
        </w:rPr>
        <w:t>太阳能热水系统集热效率</w:t>
      </w:r>
    </w:p>
    <w:tbl>
      <w:tblPr>
        <w:tblStyle w:val="14"/>
        <w:tblW w:w="934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409"/>
        <w:gridCol w:w="393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5409" w:type="dxa"/>
            <w:tcBorders>
              <w:right w:val="single" w:color="000000"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cs="宋体"/>
                <w:sz w:val="18"/>
                <w:szCs w:val="18"/>
              </w:rPr>
            </w:pPr>
            <w:r>
              <w:rPr>
                <w:rFonts w:hint="eastAsia" w:ascii="宋体" w:hAnsi="宋体" w:cs="宋体"/>
                <w:sz w:val="18"/>
                <w:szCs w:val="18"/>
              </w:rPr>
              <w:t>类型</w:t>
            </w:r>
          </w:p>
        </w:tc>
        <w:tc>
          <w:tcPr>
            <w:tcW w:w="3938" w:type="dxa"/>
            <w:tcBorders>
              <w:left w:val="single" w:color="000000"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cs="宋体"/>
                <w:sz w:val="18"/>
                <w:szCs w:val="18"/>
              </w:rPr>
            </w:pPr>
            <w:r>
              <w:rPr>
                <w:rFonts w:hint="eastAsia" w:ascii="宋体" w:hAnsi="宋体" w:cs="宋体"/>
                <w:sz w:val="18"/>
                <w:szCs w:val="18"/>
              </w:rPr>
              <w:t>集热效率η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5409" w:type="dxa"/>
            <w:tcBorders>
              <w:right w:val="single" w:color="000000"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cs="宋体"/>
                <w:sz w:val="18"/>
                <w:szCs w:val="18"/>
              </w:rPr>
            </w:pPr>
            <w:r>
              <w:rPr>
                <w:rFonts w:hint="eastAsia" w:ascii="宋体" w:hAnsi="宋体" w:cs="宋体"/>
                <w:sz w:val="18"/>
                <w:szCs w:val="18"/>
              </w:rPr>
              <w:t>太阳能热水系统</w:t>
            </w:r>
          </w:p>
        </w:tc>
        <w:tc>
          <w:tcPr>
            <w:tcW w:w="3938" w:type="dxa"/>
            <w:tcBorders>
              <w:left w:val="single" w:color="000000" w:sz="4" w:space="0"/>
              <w:bottom w:val="single" w:color="auto" w:sz="8" w:space="0"/>
            </w:tcBorders>
            <w:vAlign w:val="center"/>
          </w:tcPr>
          <w:p>
            <w:pPr>
              <w:pStyle w:val="22"/>
              <w:tabs>
                <w:tab w:val="left" w:pos="420"/>
              </w:tabs>
              <w:overflowPunct w:val="0"/>
              <w:snapToGrid w:val="0"/>
              <w:spacing w:line="309" w:lineRule="exact"/>
              <w:ind w:firstLine="0" w:firstLineChars="0"/>
              <w:jc w:val="center"/>
              <w:rPr>
                <w:rFonts w:ascii="宋体" w:hAnsi="宋体" w:cs="宋体"/>
                <w:sz w:val="18"/>
                <w:szCs w:val="18"/>
              </w:rPr>
            </w:pPr>
            <w:r>
              <w:rPr>
                <w:rFonts w:hint="eastAsia" w:ascii="宋体" w:hAnsi="宋体" w:cs="宋体"/>
                <w:sz w:val="18"/>
                <w:szCs w:val="18"/>
              </w:rPr>
              <w:t>≥</w:t>
            </w:r>
            <w:r>
              <w:rPr>
                <w:rFonts w:ascii="Times New Roman" w:hAnsi="Times New Roman" w:cs="Times New Roman"/>
                <w:sz w:val="18"/>
                <w:szCs w:val="18"/>
              </w:rPr>
              <w:t>50%</w:t>
            </w:r>
          </w:p>
        </w:tc>
      </w:tr>
    </w:tbl>
    <w:p>
      <w:pPr>
        <w:overflowPunct w:val="0"/>
        <w:snapToGrid w:val="0"/>
        <w:spacing w:line="309" w:lineRule="exact"/>
        <w:outlineLvl w:val="2"/>
        <w:rPr>
          <w:rFonts w:ascii="黑体" w:hAnsi="黑体" w:eastAsia="宋体" w:cs="Times New Roman"/>
          <w:szCs w:val="21"/>
        </w:rPr>
      </w:pPr>
    </w:p>
    <w:p>
      <w:pPr>
        <w:overflowPunct w:val="0"/>
        <w:snapToGrid w:val="0"/>
        <w:spacing w:line="309" w:lineRule="exact"/>
        <w:outlineLvl w:val="2"/>
        <w:rPr>
          <w:rFonts w:ascii="宋体" w:hAnsi="宋体" w:cs="宋体"/>
          <w:szCs w:val="21"/>
        </w:rPr>
      </w:pPr>
      <w:r>
        <w:rPr>
          <w:rFonts w:ascii="黑体" w:hAnsi="黑体" w:eastAsia="宋体" w:cs="Times New Roman"/>
          <w:szCs w:val="21"/>
        </w:rPr>
        <w:t>8.3.7</w:t>
      </w:r>
      <w:r>
        <w:rPr>
          <w:rStyle w:val="44"/>
          <w:rFonts w:hint="eastAsia" w:ascii="宋体" w:hAnsi="宋体" w:eastAsia="宋体"/>
          <w:color w:val="auto"/>
        </w:rPr>
        <w:t>　太阳能热利用系统应设置监测系统，监测和计量系统的辅助热源供热量、集热系统进出口水温、集热系统循环水流量、太阳总辐照量，太阳能热水系统的供热水温度、供热水量，太阳能供暖空调系统的供热量及供冷量、室外温度、代表性房间室内温度。</w:t>
      </w:r>
    </w:p>
    <w:bookmarkEnd w:id="38"/>
    <w:p>
      <w:pPr>
        <w:pStyle w:val="2"/>
        <w:numPr>
          <w:ilvl w:val="0"/>
          <w:numId w:val="0"/>
        </w:numPr>
        <w:overflowPunct w:val="0"/>
        <w:spacing w:before="312" w:after="312"/>
        <w:ind w:left="357" w:hanging="357" w:hangingChars="170"/>
      </w:pPr>
      <w:r>
        <w:t>9</w:t>
      </w:r>
      <w:r>
        <w:rPr>
          <w:rFonts w:hint="eastAsia"/>
        </w:rPr>
        <w:t>　</w:t>
      </w:r>
      <w:bookmarkStart w:id="42" w:name="_Toc519"/>
      <w:bookmarkStart w:id="43" w:name="_Toc97537104"/>
      <w:r>
        <w:rPr>
          <w:rFonts w:hint="eastAsia"/>
        </w:rPr>
        <w:t>电气设计</w:t>
      </w:r>
      <w:bookmarkEnd w:id="42"/>
      <w:bookmarkEnd w:id="43"/>
    </w:p>
    <w:p>
      <w:pPr>
        <w:pStyle w:val="3"/>
        <w:numPr>
          <w:ilvl w:val="0"/>
          <w:numId w:val="0"/>
        </w:numPr>
        <w:tabs>
          <w:tab w:val="left" w:pos="0"/>
        </w:tabs>
        <w:overflowPunct w:val="0"/>
        <w:spacing w:before="156" w:beforeLines="50" w:after="156" w:afterLines="50"/>
        <w:rPr>
          <w:rStyle w:val="44"/>
          <w:color w:val="auto"/>
        </w:rPr>
      </w:pPr>
      <w:r>
        <w:rPr>
          <w:rStyle w:val="44"/>
          <w:color w:val="auto"/>
        </w:rPr>
        <w:t>9.1　</w:t>
      </w:r>
      <w:bookmarkStart w:id="44" w:name="_Toc25697"/>
      <w:r>
        <w:rPr>
          <w:rStyle w:val="44"/>
          <w:rFonts w:hint="eastAsia"/>
          <w:color w:val="auto"/>
        </w:rPr>
        <w:t>一般规定</w:t>
      </w:r>
      <w:bookmarkEnd w:id="44"/>
    </w:p>
    <w:p>
      <w:pPr>
        <w:overflowPunct w:val="0"/>
        <w:snapToGrid w:val="0"/>
        <w:spacing w:line="309" w:lineRule="exact"/>
        <w:outlineLvl w:val="2"/>
      </w:pPr>
      <w:r>
        <w:rPr>
          <w:rFonts w:ascii="黑体" w:hAnsi="黑体" w:eastAsia="宋体" w:cs="宋体"/>
        </w:rPr>
        <w:t>9.1.1</w:t>
      </w:r>
      <w:r>
        <w:rPr>
          <w:rFonts w:hint="eastAsia"/>
        </w:rPr>
        <w:t>　电气系统的设计应安全可靠、经济合理、高效节能。　</w:t>
      </w:r>
    </w:p>
    <w:p>
      <w:pPr>
        <w:overflowPunct w:val="0"/>
        <w:snapToGrid w:val="0"/>
        <w:spacing w:line="309" w:lineRule="exact"/>
        <w:outlineLvl w:val="2"/>
      </w:pPr>
      <w:r>
        <w:rPr>
          <w:rFonts w:ascii="黑体" w:hAnsi="黑体" w:eastAsia="宋体" w:cs="宋体"/>
        </w:rPr>
        <w:t>9.1.2</w:t>
      </w:r>
      <w:r>
        <w:rPr>
          <w:rFonts w:hint="eastAsia"/>
        </w:rPr>
        <w:t>　电气系统宜选用技术先进、成熟、可靠，损耗低、谐波发射量少、能效高的节能产品，提高能源利用效率。</w:t>
      </w:r>
    </w:p>
    <w:p>
      <w:pPr>
        <w:pStyle w:val="3"/>
        <w:numPr>
          <w:ilvl w:val="0"/>
          <w:numId w:val="0"/>
        </w:numPr>
        <w:tabs>
          <w:tab w:val="left" w:pos="0"/>
        </w:tabs>
        <w:overflowPunct w:val="0"/>
        <w:spacing w:before="156" w:beforeLines="50" w:after="156" w:afterLines="50"/>
        <w:rPr>
          <w:rStyle w:val="44"/>
          <w:color w:val="auto"/>
        </w:rPr>
      </w:pPr>
      <w:r>
        <w:rPr>
          <w:rStyle w:val="44"/>
          <w:color w:val="auto"/>
        </w:rPr>
        <w:t>9.2　</w:t>
      </w:r>
      <w:bookmarkStart w:id="45" w:name="_Toc11284"/>
      <w:r>
        <w:rPr>
          <w:rStyle w:val="44"/>
          <w:rFonts w:hint="eastAsia"/>
          <w:color w:val="auto"/>
        </w:rPr>
        <w:t>电气节能设计</w:t>
      </w:r>
      <w:bookmarkEnd w:id="45"/>
    </w:p>
    <w:p>
      <w:pPr>
        <w:overflowPunct w:val="0"/>
        <w:snapToGrid w:val="0"/>
        <w:spacing w:line="309" w:lineRule="exact"/>
        <w:outlineLvl w:val="2"/>
        <w:rPr>
          <w:rStyle w:val="44"/>
          <w:rFonts w:ascii="宋体" w:hAnsi="宋体" w:eastAsia="宋体"/>
          <w:color w:val="auto"/>
        </w:rPr>
      </w:pPr>
      <w:r>
        <w:rPr>
          <w:rStyle w:val="44"/>
          <w:rFonts w:eastAsia="宋体"/>
          <w:color w:val="auto"/>
        </w:rPr>
        <w:t>9.2.1</w:t>
      </w:r>
      <w:r>
        <w:rPr>
          <w:rStyle w:val="44"/>
          <w:rFonts w:hint="eastAsia" w:ascii="宋体" w:hAnsi="宋体" w:eastAsia="宋体"/>
          <w:color w:val="auto"/>
        </w:rPr>
        <w:t>　变配电所位置应靠近负荷中心或大功率用电设备。</w:t>
      </w:r>
    </w:p>
    <w:p>
      <w:pPr>
        <w:overflowPunct w:val="0"/>
        <w:snapToGrid w:val="0"/>
        <w:spacing w:line="309" w:lineRule="exact"/>
        <w:outlineLvl w:val="2"/>
        <w:rPr>
          <w:rStyle w:val="44"/>
          <w:rFonts w:ascii="宋体" w:hAnsi="宋体" w:eastAsia="宋体"/>
          <w:color w:val="auto"/>
        </w:rPr>
      </w:pPr>
      <w:r>
        <w:rPr>
          <w:rStyle w:val="44"/>
          <w:rFonts w:eastAsia="宋体"/>
          <w:color w:val="auto"/>
        </w:rPr>
        <w:t>9.2.2</w:t>
      </w:r>
      <w:r>
        <w:rPr>
          <w:rFonts w:hint="eastAsia"/>
        </w:rPr>
        <w:t>　应采用高能效配电变压器，达到</w:t>
      </w:r>
      <w:r>
        <w:rPr>
          <w:rFonts w:ascii="Times New Roman" w:hAnsi="Times New Roman" w:cs="Times New Roman"/>
        </w:rPr>
        <w:t>GB20052</w:t>
      </w:r>
      <w:r>
        <w:rPr>
          <w:rFonts w:hint="eastAsia"/>
        </w:rPr>
        <w:t>中</w:t>
      </w:r>
      <w:r>
        <w:rPr>
          <w:rFonts w:ascii="Times New Roman" w:hAnsi="Times New Roman" w:cs="Times New Roman"/>
        </w:rPr>
        <w:t>1</w:t>
      </w:r>
      <w:r>
        <w:rPr>
          <w:rFonts w:hint="eastAsia"/>
        </w:rPr>
        <w:t>级能效标准。</w:t>
      </w:r>
    </w:p>
    <w:p>
      <w:pPr>
        <w:overflowPunct w:val="0"/>
        <w:snapToGrid w:val="0"/>
        <w:spacing w:line="309" w:lineRule="exact"/>
        <w:outlineLvl w:val="2"/>
        <w:rPr>
          <w:rStyle w:val="44"/>
          <w:rFonts w:ascii="宋体" w:hAnsi="宋体" w:eastAsia="宋体"/>
          <w:color w:val="auto"/>
        </w:rPr>
      </w:pPr>
      <w:r>
        <w:rPr>
          <w:rStyle w:val="44"/>
          <w:rFonts w:eastAsia="宋体"/>
          <w:color w:val="auto"/>
        </w:rPr>
        <w:t>9.2.3</w:t>
      </w:r>
      <w:r>
        <w:rPr>
          <w:rStyle w:val="44"/>
          <w:rFonts w:hint="eastAsia" w:ascii="宋体" w:hAnsi="宋体" w:eastAsia="宋体"/>
          <w:color w:val="auto"/>
        </w:rPr>
        <w:t>　室内照明功率密度值应达到</w:t>
      </w:r>
      <w:r>
        <w:rPr>
          <w:rStyle w:val="44"/>
          <w:rFonts w:ascii="Times New Roman" w:hAnsi="Times New Roman" w:eastAsia="宋体" w:cs="Times New Roman"/>
          <w:color w:val="auto"/>
        </w:rPr>
        <w:t>GB</w:t>
      </w:r>
      <w:r>
        <w:rPr>
          <w:rStyle w:val="44"/>
          <w:rFonts w:hint="eastAsia" w:ascii="Times New Roman" w:hAnsi="Times New Roman" w:eastAsia="宋体" w:cs="Times New Roman"/>
          <w:color w:val="auto"/>
        </w:rPr>
        <w:t>/T50034规定的目标值</w:t>
      </w:r>
      <w:r>
        <w:rPr>
          <w:rStyle w:val="44"/>
          <w:rFonts w:hint="eastAsia" w:ascii="宋体" w:hAnsi="宋体" w:eastAsia="宋体"/>
          <w:color w:val="auto"/>
        </w:rPr>
        <w:t>。</w:t>
      </w:r>
    </w:p>
    <w:p>
      <w:pPr>
        <w:overflowPunct w:val="0"/>
        <w:snapToGrid w:val="0"/>
        <w:spacing w:line="309" w:lineRule="exact"/>
        <w:outlineLvl w:val="2"/>
        <w:rPr>
          <w:rStyle w:val="44"/>
          <w:rFonts w:ascii="宋体" w:hAnsi="宋体" w:eastAsia="宋体"/>
          <w:color w:val="auto"/>
        </w:rPr>
      </w:pPr>
      <w:r>
        <w:rPr>
          <w:rStyle w:val="44"/>
          <w:rFonts w:eastAsia="宋体"/>
          <w:color w:val="auto"/>
        </w:rPr>
        <w:t>9.2.4</w:t>
      </w:r>
      <w:r>
        <w:rPr>
          <w:rStyle w:val="44"/>
          <w:rFonts w:hint="eastAsia" w:ascii="宋体" w:hAnsi="宋体" w:eastAsia="宋体"/>
          <w:color w:val="auto"/>
        </w:rPr>
        <w:t>　照明灯具选用的光源、镇流器的能效不应低于相应能效标准的节能评价值要求；除特殊要求外，照明光源应优先选用高效能发光二极管（</w:t>
      </w:r>
      <w:r>
        <w:rPr>
          <w:rStyle w:val="44"/>
          <w:rFonts w:ascii="Times New Roman" w:hAnsi="Times New Roman" w:eastAsia="宋体" w:cs="Times New Roman"/>
          <w:color w:val="auto"/>
        </w:rPr>
        <w:t>LED</w:t>
      </w:r>
      <w:r>
        <w:rPr>
          <w:rStyle w:val="44"/>
          <w:rFonts w:hint="eastAsia" w:ascii="宋体" w:hAnsi="宋体" w:eastAsia="宋体"/>
          <w:color w:val="auto"/>
        </w:rPr>
        <w:t>）灯，照明灯具功率因数应不低于</w:t>
      </w:r>
      <w:r>
        <w:rPr>
          <w:rStyle w:val="44"/>
          <w:rFonts w:ascii="Times New Roman" w:hAnsi="Times New Roman" w:eastAsia="宋体" w:cs="Times New Roman"/>
          <w:color w:val="auto"/>
        </w:rPr>
        <w:t>0.9</w:t>
      </w:r>
      <w:r>
        <w:rPr>
          <w:rStyle w:val="44"/>
          <w:rFonts w:hint="eastAsia" w:ascii="宋体" w:hAnsi="宋体" w:eastAsia="宋体"/>
          <w:color w:val="auto"/>
        </w:rPr>
        <w:t>。</w:t>
      </w:r>
    </w:p>
    <w:p>
      <w:pPr>
        <w:overflowPunct w:val="0"/>
        <w:snapToGrid w:val="0"/>
        <w:spacing w:line="309" w:lineRule="exact"/>
        <w:outlineLvl w:val="2"/>
        <w:rPr>
          <w:rStyle w:val="44"/>
          <w:rFonts w:ascii="宋体" w:hAnsi="宋体" w:eastAsia="宋体"/>
          <w:color w:val="auto"/>
        </w:rPr>
      </w:pPr>
      <w:r>
        <w:rPr>
          <w:rStyle w:val="44"/>
          <w:rFonts w:eastAsia="宋体"/>
          <w:color w:val="auto"/>
        </w:rPr>
        <w:t>9.2.5</w:t>
      </w:r>
      <w:r>
        <w:rPr>
          <w:rStyle w:val="44"/>
          <w:rFonts w:hint="eastAsia" w:ascii="宋体" w:hAnsi="宋体" w:eastAsia="宋体"/>
          <w:color w:val="auto"/>
        </w:rPr>
        <w:t>　对地下车库、建筑顶层、建筑内区等需要日间照明的空间，宜采用自然光导光系统或采取其他创新设计方法利用自然采光，以满足部分或全部的日间照明需求。</w:t>
      </w:r>
    </w:p>
    <w:p>
      <w:pPr>
        <w:overflowPunct w:val="0"/>
        <w:snapToGrid w:val="0"/>
        <w:spacing w:line="309" w:lineRule="exact"/>
        <w:outlineLvl w:val="2"/>
        <w:rPr>
          <w:rStyle w:val="44"/>
          <w:rFonts w:ascii="宋体" w:hAnsi="宋体" w:eastAsia="宋体"/>
          <w:color w:val="auto"/>
        </w:rPr>
      </w:pPr>
      <w:r>
        <w:rPr>
          <w:rStyle w:val="44"/>
          <w:rFonts w:eastAsia="宋体"/>
          <w:color w:val="auto"/>
        </w:rPr>
        <w:t>9.2.6</w:t>
      </w:r>
      <w:r>
        <w:rPr>
          <w:rStyle w:val="44"/>
          <w:rFonts w:hint="eastAsia" w:ascii="宋体" w:hAnsi="宋体" w:eastAsia="宋体"/>
          <w:color w:val="auto"/>
        </w:rPr>
        <w:t>　照明控制应符合下列规定：</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a) </w:t>
      </w:r>
      <w:r>
        <w:rPr>
          <w:rFonts w:hint="eastAsia" w:ascii="宋体" w:hAnsi="宋体" w:cs="宋体"/>
          <w:szCs w:val="21"/>
        </w:rPr>
        <w:t>公共区域的照明系统应采用分区、定时、感应等节能控制。</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b) </w:t>
      </w:r>
      <w:r>
        <w:rPr>
          <w:rFonts w:hint="eastAsia" w:ascii="宋体" w:hAnsi="宋体" w:cs="宋体"/>
          <w:szCs w:val="21"/>
        </w:rPr>
        <w:t>大空间、多功能、多场景场所的照明，宜采用智能照明控制系统。</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c) </w:t>
      </w:r>
      <w:r>
        <w:rPr>
          <w:rFonts w:hint="eastAsia" w:ascii="宋体" w:hAnsi="宋体" w:cs="宋体"/>
          <w:szCs w:val="21"/>
        </w:rPr>
        <w:t>当设置电动遮阳装置时，照度控制宜与其联动。</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d) </w:t>
      </w:r>
      <w:r>
        <w:rPr>
          <w:rFonts w:hint="eastAsia" w:ascii="宋体" w:hAnsi="宋体" w:cs="宋体"/>
          <w:szCs w:val="21"/>
        </w:rPr>
        <w:t>当采用自然光导光装置时，宜具备照度调节功能。</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e) </w:t>
      </w:r>
      <w:r>
        <w:rPr>
          <w:rFonts w:hint="eastAsia" w:ascii="宋体" w:hAnsi="宋体" w:cs="宋体"/>
          <w:szCs w:val="21"/>
        </w:rPr>
        <w:t>对于人员长期停留空间，应设置有就地控制装置，以满足使用者的个性习惯与个体差异性要求。</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f) </w:t>
      </w:r>
      <w:r>
        <w:rPr>
          <w:rFonts w:hint="eastAsia" w:ascii="宋体" w:hAnsi="宋体" w:cs="宋体"/>
          <w:szCs w:val="21"/>
        </w:rPr>
        <w:t>采光区域照明控制应独立于其他区域的照明控制。</w:t>
      </w:r>
    </w:p>
    <w:p>
      <w:pPr>
        <w:overflowPunct w:val="0"/>
        <w:snapToGrid w:val="0"/>
        <w:spacing w:line="309" w:lineRule="exact"/>
        <w:outlineLvl w:val="2"/>
        <w:rPr>
          <w:rStyle w:val="44"/>
          <w:rFonts w:ascii="宋体" w:hAnsi="宋体" w:eastAsia="宋体"/>
          <w:color w:val="auto"/>
        </w:rPr>
      </w:pPr>
      <w:r>
        <w:rPr>
          <w:rStyle w:val="44"/>
          <w:rFonts w:eastAsia="宋体"/>
          <w:color w:val="auto"/>
        </w:rPr>
        <w:t>9.2.7</w:t>
      </w:r>
      <w:r>
        <w:rPr>
          <w:rStyle w:val="44"/>
          <w:rFonts w:hint="eastAsia" w:ascii="宋体" w:hAnsi="宋体" w:eastAsia="宋体"/>
          <w:color w:val="auto"/>
        </w:rPr>
        <w:t>　应采用节能型电梯产品，且应符合下列规定：</w:t>
      </w:r>
    </w:p>
    <w:p>
      <w:pPr>
        <w:overflowPunct w:val="0"/>
        <w:snapToGrid w:val="0"/>
        <w:spacing w:line="309" w:lineRule="exact"/>
        <w:ind w:firstLine="420"/>
        <w:rPr>
          <w:rStyle w:val="44"/>
          <w:rFonts w:ascii="Times New Roman" w:hAnsi="Times New Roman" w:eastAsia="宋体" w:cs="Times New Roman"/>
          <w:color w:val="auto"/>
        </w:rPr>
      </w:pPr>
      <w:r>
        <w:rPr>
          <w:rFonts w:hint="eastAsia" w:ascii="黑体" w:hAnsi="黑体" w:cs="宋体"/>
          <w:szCs w:val="21"/>
          <w:lang w:val="en-US" w:eastAsia="zh-CN"/>
        </w:rPr>
        <w:t xml:space="preserve">a) </w:t>
      </w:r>
      <w:r>
        <w:rPr>
          <w:rStyle w:val="44"/>
          <w:rFonts w:hint="eastAsia" w:ascii="宋体" w:hAnsi="宋体" w:eastAsia="宋体"/>
          <w:color w:val="auto"/>
        </w:rPr>
        <w:t>电梯能效等级不应低于</w:t>
      </w:r>
      <w:r>
        <w:rPr>
          <w:rStyle w:val="44"/>
          <w:rFonts w:ascii="Times New Roman" w:hAnsi="Times New Roman" w:eastAsia="宋体" w:cs="Times New Roman"/>
          <w:color w:val="auto"/>
        </w:rPr>
        <w:t>DB42/T</w:t>
      </w:r>
      <w:r>
        <w:rPr>
          <w:rStyle w:val="44"/>
          <w:rFonts w:hint="eastAsia" w:ascii="Times New Roman" w:hAnsi="Times New Roman" w:eastAsia="宋体" w:cs="Times New Roman"/>
          <w:color w:val="auto"/>
        </w:rPr>
        <w:t xml:space="preserve"> </w:t>
      </w:r>
      <w:r>
        <w:rPr>
          <w:rStyle w:val="44"/>
          <w:rFonts w:ascii="Times New Roman" w:hAnsi="Times New Roman" w:eastAsia="宋体" w:cs="Times New Roman"/>
          <w:color w:val="auto"/>
        </w:rPr>
        <w:t>1521规定的3级，宜达到2级以上。</w:t>
      </w:r>
    </w:p>
    <w:p>
      <w:pPr>
        <w:overflowPunct w:val="0"/>
        <w:snapToGrid w:val="0"/>
        <w:spacing w:line="309" w:lineRule="exact"/>
        <w:ind w:firstLine="420"/>
        <w:rPr>
          <w:rStyle w:val="44"/>
          <w:rFonts w:ascii="宋体" w:hAnsi="宋体" w:eastAsia="宋体"/>
          <w:color w:val="auto"/>
        </w:rPr>
      </w:pPr>
      <w:r>
        <w:rPr>
          <w:rFonts w:hint="eastAsia" w:ascii="黑体" w:hAnsi="黑体" w:cs="宋体"/>
          <w:szCs w:val="21"/>
          <w:lang w:val="en-US" w:eastAsia="zh-CN"/>
        </w:rPr>
        <w:t xml:space="preserve">b) </w:t>
      </w:r>
      <w:r>
        <w:rPr>
          <w:rStyle w:val="44"/>
          <w:rFonts w:hint="eastAsia" w:ascii="宋体" w:hAnsi="宋体" w:eastAsia="宋体"/>
          <w:color w:val="auto"/>
        </w:rPr>
        <w:t>当设有两台及以上电梯集中排列时，应具备群控功能。</w:t>
      </w:r>
    </w:p>
    <w:p>
      <w:pPr>
        <w:overflowPunct w:val="0"/>
        <w:snapToGrid w:val="0"/>
        <w:spacing w:line="309" w:lineRule="exact"/>
        <w:ind w:firstLine="420"/>
        <w:rPr>
          <w:rStyle w:val="44"/>
          <w:rFonts w:ascii="宋体" w:hAnsi="宋体" w:eastAsia="宋体"/>
          <w:color w:val="auto"/>
        </w:rPr>
      </w:pPr>
      <w:r>
        <w:rPr>
          <w:rFonts w:hint="eastAsia" w:ascii="黑体" w:hAnsi="黑体" w:cs="宋体"/>
          <w:szCs w:val="21"/>
          <w:lang w:val="en-US" w:eastAsia="zh-CN"/>
        </w:rPr>
        <w:t xml:space="preserve">c) </w:t>
      </w:r>
      <w:r>
        <w:rPr>
          <w:rStyle w:val="44"/>
          <w:rFonts w:hint="eastAsia" w:ascii="宋体" w:hAnsi="宋体" w:eastAsia="宋体"/>
          <w:color w:val="auto"/>
        </w:rPr>
        <w:t>电梯无外部召唤，且电梯轿厢内一段时间无预设指令时，应自动关闭轿厢照明及风扇。</w:t>
      </w:r>
    </w:p>
    <w:p>
      <w:pPr>
        <w:overflowPunct w:val="0"/>
        <w:snapToGrid w:val="0"/>
        <w:spacing w:line="309" w:lineRule="exact"/>
        <w:ind w:firstLine="420"/>
        <w:rPr>
          <w:rStyle w:val="44"/>
          <w:rFonts w:ascii="宋体" w:hAnsi="宋体" w:eastAsia="宋体"/>
          <w:color w:val="auto"/>
        </w:rPr>
      </w:pPr>
      <w:r>
        <w:rPr>
          <w:rFonts w:hint="eastAsia" w:ascii="黑体" w:hAnsi="黑体" w:cs="宋体"/>
          <w:szCs w:val="21"/>
          <w:lang w:val="en-US" w:eastAsia="zh-CN"/>
        </w:rPr>
        <w:t xml:space="preserve">d) </w:t>
      </w:r>
      <w:r>
        <w:rPr>
          <w:rStyle w:val="44"/>
          <w:rFonts w:hint="eastAsia" w:ascii="宋体" w:hAnsi="宋体" w:eastAsia="宋体"/>
          <w:color w:val="auto"/>
        </w:rPr>
        <w:t>自动扶梯、自动人行步道应具备空载时暂停或低速运转的功能。</w:t>
      </w:r>
    </w:p>
    <w:p>
      <w:pPr>
        <w:overflowPunct w:val="0"/>
        <w:snapToGrid w:val="0"/>
        <w:spacing w:line="309" w:lineRule="exact"/>
        <w:ind w:firstLine="420"/>
        <w:rPr>
          <w:rStyle w:val="44"/>
          <w:rFonts w:hint="eastAsia" w:ascii="宋体" w:hAnsi="宋体" w:eastAsia="宋体"/>
          <w:color w:val="auto"/>
        </w:rPr>
      </w:pPr>
    </w:p>
    <w:p>
      <w:pPr>
        <w:pStyle w:val="3"/>
        <w:numPr>
          <w:ilvl w:val="0"/>
          <w:numId w:val="0"/>
        </w:numPr>
        <w:tabs>
          <w:tab w:val="left" w:pos="0"/>
        </w:tabs>
        <w:overflowPunct w:val="0"/>
        <w:spacing w:before="156" w:beforeLines="50" w:after="156" w:afterLines="50"/>
        <w:rPr>
          <w:rStyle w:val="44"/>
          <w:color w:val="auto"/>
        </w:rPr>
      </w:pPr>
      <w:r>
        <w:rPr>
          <w:rStyle w:val="44"/>
          <w:color w:val="auto"/>
        </w:rPr>
        <w:t>9.3　</w:t>
      </w:r>
      <w:bookmarkStart w:id="46" w:name="_Toc19627"/>
      <w:r>
        <w:rPr>
          <w:rStyle w:val="44"/>
          <w:rFonts w:hint="eastAsia"/>
          <w:color w:val="auto"/>
        </w:rPr>
        <w:t>太阳能光伏发电系统设计</w:t>
      </w:r>
      <w:bookmarkEnd w:id="46"/>
    </w:p>
    <w:p>
      <w:pPr>
        <w:overflowPunct w:val="0"/>
        <w:snapToGrid w:val="0"/>
        <w:spacing w:line="309" w:lineRule="exact"/>
        <w:outlineLvl w:val="2"/>
        <w:rPr>
          <w:rStyle w:val="44"/>
          <w:rFonts w:ascii="宋体" w:hAnsi="宋体" w:eastAsia="宋体"/>
          <w:color w:val="auto"/>
        </w:rPr>
      </w:pPr>
      <w:r>
        <w:rPr>
          <w:rStyle w:val="44"/>
          <w:rFonts w:eastAsia="宋体"/>
          <w:color w:val="auto"/>
        </w:rPr>
        <w:t>9.3.1</w:t>
      </w:r>
      <w:r>
        <w:rPr>
          <w:rStyle w:val="44"/>
          <w:rFonts w:hint="eastAsia" w:ascii="宋体" w:hAnsi="宋体" w:eastAsia="宋体"/>
          <w:color w:val="auto"/>
        </w:rPr>
        <w:t>　公共建筑应设置太阳能光伏发电系统，并符合下列要求：</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a) </w:t>
      </w:r>
      <w:r>
        <w:rPr>
          <w:rFonts w:hint="eastAsia" w:ascii="宋体" w:hAnsi="宋体" w:cs="宋体"/>
          <w:szCs w:val="21"/>
        </w:rPr>
        <w:t>应与建筑一体化设计，满足</w:t>
      </w:r>
      <w:r>
        <w:rPr>
          <w:rFonts w:ascii="Times New Roman" w:hAnsi="Times New Roman" w:cs="Times New Roman"/>
          <w:szCs w:val="21"/>
        </w:rPr>
        <w:t>GB/T 51368</w:t>
      </w:r>
      <w:r>
        <w:rPr>
          <w:rFonts w:hint="eastAsia" w:ascii="宋体" w:hAnsi="宋体" w:cs="宋体"/>
          <w:szCs w:val="21"/>
        </w:rPr>
        <w:t>、</w:t>
      </w:r>
      <w:r>
        <w:rPr>
          <w:rFonts w:ascii="Times New Roman" w:hAnsi="Times New Roman" w:cs="Times New Roman"/>
          <w:szCs w:val="21"/>
        </w:rPr>
        <w:t>GB/T 36963</w:t>
      </w:r>
      <w:r>
        <w:rPr>
          <w:rFonts w:hint="eastAsia" w:ascii="宋体" w:hAnsi="宋体" w:cs="宋体"/>
          <w:szCs w:val="21"/>
        </w:rPr>
        <w:t>相关要求；</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b) </w:t>
      </w:r>
      <w:r>
        <w:rPr>
          <w:rFonts w:hint="eastAsia" w:ascii="宋体" w:hAnsi="宋体" w:cs="宋体"/>
          <w:szCs w:val="21"/>
        </w:rPr>
        <w:t>光伏发电系统应优先自发自用，宜并网运行；</w:t>
      </w:r>
    </w:p>
    <w:p>
      <w:pPr>
        <w:overflowPunct w:val="0"/>
        <w:snapToGrid w:val="0"/>
        <w:spacing w:line="309" w:lineRule="exact"/>
        <w:ind w:firstLine="420"/>
        <w:rPr>
          <w:rFonts w:ascii="宋体" w:hAnsi="宋体" w:cs="宋体"/>
          <w:szCs w:val="21"/>
        </w:rPr>
      </w:pPr>
      <w:r>
        <w:rPr>
          <w:rFonts w:hint="eastAsia" w:ascii="黑体" w:hAnsi="黑体" w:cs="宋体"/>
          <w:szCs w:val="21"/>
          <w:lang w:val="en-US" w:eastAsia="zh-CN"/>
        </w:rPr>
        <w:t xml:space="preserve">c) </w:t>
      </w:r>
      <w:r>
        <w:rPr>
          <w:rFonts w:hint="eastAsia" w:ascii="宋体" w:hAnsi="宋体" w:cs="宋体"/>
          <w:szCs w:val="21"/>
        </w:rPr>
        <w:t>安装光伏面积占屋顶可利用面积的比例不应低于</w:t>
      </w:r>
      <w:r>
        <w:rPr>
          <w:rFonts w:ascii="Times New Roman" w:hAnsi="Times New Roman" w:cs="Times New Roman"/>
          <w:szCs w:val="21"/>
        </w:rPr>
        <w:t>50%</w:t>
      </w:r>
      <w:r>
        <w:rPr>
          <w:rFonts w:hint="eastAsia" w:ascii="宋体" w:hAnsi="宋体" w:cs="宋体"/>
          <w:szCs w:val="21"/>
        </w:rPr>
        <w:t>；</w:t>
      </w:r>
    </w:p>
    <w:p>
      <w:pPr>
        <w:overflowPunct w:val="0"/>
        <w:snapToGrid w:val="0"/>
        <w:spacing w:line="309" w:lineRule="exact"/>
        <w:ind w:firstLine="420"/>
        <w:rPr>
          <w:rFonts w:ascii="黑体" w:hAnsi="黑体" w:eastAsia="黑体" w:cs="黑体"/>
          <w:sz w:val="18"/>
          <w:szCs w:val="18"/>
        </w:rPr>
      </w:pPr>
      <w:r>
        <w:rPr>
          <w:rFonts w:hint="eastAsia" w:ascii="黑体" w:hAnsi="黑体" w:cs="宋体"/>
          <w:szCs w:val="21"/>
          <w:lang w:val="en-US" w:eastAsia="zh-CN"/>
        </w:rPr>
        <w:t xml:space="preserve">d) </w:t>
      </w:r>
      <w:r>
        <w:rPr>
          <w:rFonts w:hint="eastAsia" w:ascii="宋体" w:hAnsi="宋体" w:cs="宋体"/>
          <w:szCs w:val="21"/>
        </w:rPr>
        <w:t>光伏组件初始发电效率应满足表</w:t>
      </w:r>
      <w:r>
        <w:rPr>
          <w:rFonts w:hint="eastAsia" w:ascii="宋体" w:hAnsi="宋体" w:cs="宋体"/>
          <w:szCs w:val="21"/>
          <w:lang w:val="en-US" w:eastAsia="zh-CN"/>
        </w:rPr>
        <w:t>13</w:t>
      </w:r>
      <w:r>
        <w:rPr>
          <w:rFonts w:hint="eastAsia" w:ascii="宋体" w:hAnsi="宋体" w:cs="宋体"/>
          <w:szCs w:val="21"/>
        </w:rPr>
        <w:t>要求：</w:t>
      </w:r>
    </w:p>
    <w:p>
      <w:pPr>
        <w:pStyle w:val="42"/>
        <w:widowControl w:val="0"/>
        <w:overflowPunct w:val="0"/>
        <w:autoSpaceDE/>
        <w:autoSpaceDN/>
        <w:spacing w:before="62" w:beforeLines="20" w:after="78" w:afterLines="25" w:line="309" w:lineRule="exact"/>
        <w:ind w:firstLine="0" w:firstLineChars="0"/>
        <w:jc w:val="center"/>
        <w:rPr>
          <w:rFonts w:hAnsi="宋体" w:eastAsia="黑体"/>
        </w:rPr>
      </w:pPr>
      <w:r>
        <w:rPr>
          <w:rFonts w:ascii="黑体" w:hAnsi="黑体" w:eastAsia="黑体" w:cs="黑体"/>
          <w:sz w:val="18"/>
          <w:szCs w:val="18"/>
        </w:rPr>
        <w:t>表</w:t>
      </w:r>
      <w:r>
        <w:rPr>
          <w:rFonts w:hint="eastAsia" w:ascii="黑体" w:hAnsi="黑体" w:eastAsia="黑体" w:cs="黑体"/>
          <w:sz w:val="18"/>
          <w:szCs w:val="18"/>
          <w:lang w:val="en-US" w:eastAsia="zh-CN"/>
        </w:rPr>
        <w:t>13</w:t>
      </w:r>
      <w:r>
        <w:rPr>
          <w:rFonts w:ascii="黑体" w:hAnsi="黑体" w:eastAsia="黑体" w:cs="黑体"/>
          <w:sz w:val="18"/>
          <w:szCs w:val="18"/>
        </w:rPr>
        <w:t>　</w:t>
      </w:r>
      <w:r>
        <w:rPr>
          <w:rFonts w:hint="eastAsia" w:ascii="黑体" w:hAnsi="黑体" w:eastAsia="黑体" w:cs="黑体"/>
          <w:sz w:val="18"/>
          <w:szCs w:val="18"/>
        </w:rPr>
        <w:t>光伏组件平均光电转换效率</w:t>
      </w:r>
    </w:p>
    <w:tbl>
      <w:tblPr>
        <w:tblStyle w:val="14"/>
        <w:tblW w:w="934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016"/>
        <w:gridCol w:w="3393"/>
        <w:gridCol w:w="393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5409" w:type="dxa"/>
            <w:gridSpan w:val="2"/>
            <w:tcBorders>
              <w:right w:val="single" w:color="000000"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cs="宋体"/>
                <w:sz w:val="18"/>
                <w:szCs w:val="18"/>
              </w:rPr>
            </w:pPr>
            <w:r>
              <w:rPr>
                <w:rFonts w:hint="eastAsia" w:ascii="宋体" w:hAnsi="宋体" w:cs="宋体"/>
                <w:sz w:val="18"/>
                <w:szCs w:val="18"/>
              </w:rPr>
              <w:t>类型</w:t>
            </w:r>
          </w:p>
        </w:tc>
        <w:tc>
          <w:tcPr>
            <w:tcW w:w="3938" w:type="dxa"/>
            <w:tcBorders>
              <w:left w:val="single" w:color="000000"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cs="宋体"/>
                <w:sz w:val="18"/>
                <w:szCs w:val="18"/>
              </w:rPr>
            </w:pPr>
            <w:r>
              <w:rPr>
                <w:rFonts w:hint="eastAsia" w:ascii="宋体" w:hAnsi="宋体" w:cs="宋体"/>
                <w:sz w:val="18"/>
                <w:szCs w:val="18"/>
              </w:rPr>
              <w:t>平均光电转换效率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2016" w:type="dxa"/>
            <w:vMerge w:val="restart"/>
            <w:tcBorders>
              <w:bottom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cs="宋体"/>
                <w:sz w:val="18"/>
                <w:szCs w:val="18"/>
              </w:rPr>
            </w:pPr>
            <w:r>
              <w:rPr>
                <w:rFonts w:hint="eastAsia" w:ascii="宋体" w:hAnsi="宋体" w:cs="宋体"/>
                <w:sz w:val="18"/>
                <w:szCs w:val="18"/>
              </w:rPr>
              <w:t>晶硅组件</w:t>
            </w:r>
          </w:p>
        </w:tc>
        <w:tc>
          <w:tcPr>
            <w:tcW w:w="3393" w:type="dxa"/>
            <w:tcBorders>
              <w:left w:val="single" w:color="auto" w:sz="4" w:space="0"/>
              <w:bottom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cs="宋体"/>
                <w:sz w:val="18"/>
                <w:szCs w:val="18"/>
              </w:rPr>
            </w:pPr>
            <w:r>
              <w:rPr>
                <w:rFonts w:hint="eastAsia" w:ascii="宋体" w:hAnsi="宋体" w:cs="宋体"/>
                <w:sz w:val="18"/>
                <w:szCs w:val="18"/>
              </w:rPr>
              <w:t>多晶硅</w:t>
            </w:r>
          </w:p>
        </w:tc>
        <w:tc>
          <w:tcPr>
            <w:tcW w:w="3938" w:type="dxa"/>
            <w:tcBorders>
              <w:left w:val="single" w:color="auto" w:sz="4" w:space="0"/>
              <w:bottom w:val="single" w:color="auto" w:sz="4" w:space="0"/>
            </w:tcBorders>
            <w:vAlign w:val="center"/>
          </w:tcPr>
          <w:p>
            <w:pPr>
              <w:pStyle w:val="22"/>
              <w:tabs>
                <w:tab w:val="left" w:pos="420"/>
              </w:tabs>
              <w:overflowPunct w:val="0"/>
              <w:snapToGrid w:val="0"/>
              <w:spacing w:line="309" w:lineRule="exact"/>
              <w:ind w:firstLine="0" w:firstLineChars="0"/>
              <w:jc w:val="center"/>
              <w:rPr>
                <w:rFonts w:ascii="宋体" w:hAnsi="宋体" w:cs="宋体"/>
                <w:sz w:val="18"/>
                <w:szCs w:val="18"/>
              </w:rPr>
            </w:pPr>
            <w:r>
              <w:rPr>
                <w:rFonts w:hint="eastAsia" w:ascii="宋体" w:hAnsi="宋体" w:cs="宋体"/>
                <w:sz w:val="18"/>
                <w:szCs w:val="18"/>
              </w:rPr>
              <w:t>≥</w:t>
            </w:r>
            <w:r>
              <w:rPr>
                <w:rFonts w:ascii="Times New Roman" w:hAnsi="Times New Roman" w:cs="Times New Roman"/>
                <w:sz w:val="18"/>
                <w:szCs w:val="18"/>
              </w:rPr>
              <w:t>18.4%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2016" w:type="dxa"/>
            <w:vMerge w:val="continue"/>
            <w:tcBorders>
              <w:top w:val="single" w:color="auto" w:sz="4" w:space="0"/>
              <w:bottom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cs="宋体"/>
                <w:sz w:val="18"/>
                <w:szCs w:val="18"/>
              </w:rPr>
            </w:pPr>
          </w:p>
        </w:tc>
        <w:tc>
          <w:tcPr>
            <w:tcW w:w="3393" w:type="dxa"/>
            <w:tcBorders>
              <w:top w:val="single" w:color="auto" w:sz="4" w:space="0"/>
              <w:left w:val="single" w:color="auto" w:sz="4" w:space="0"/>
              <w:bottom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cs="宋体"/>
                <w:sz w:val="18"/>
                <w:szCs w:val="18"/>
              </w:rPr>
            </w:pPr>
            <w:r>
              <w:rPr>
                <w:rFonts w:hint="eastAsia" w:ascii="宋体" w:hAnsi="宋体" w:cs="宋体"/>
                <w:sz w:val="18"/>
                <w:szCs w:val="18"/>
              </w:rPr>
              <w:t>单晶硅</w:t>
            </w:r>
          </w:p>
        </w:tc>
        <w:tc>
          <w:tcPr>
            <w:tcW w:w="3938" w:type="dxa"/>
            <w:tcBorders>
              <w:top w:val="single" w:color="auto" w:sz="4" w:space="0"/>
              <w:left w:val="single" w:color="auto" w:sz="4" w:space="0"/>
              <w:bottom w:val="single" w:color="auto" w:sz="4" w:space="0"/>
            </w:tcBorders>
            <w:vAlign w:val="center"/>
          </w:tcPr>
          <w:p>
            <w:pPr>
              <w:overflowPunct w:val="0"/>
              <w:snapToGrid w:val="0"/>
              <w:spacing w:line="309" w:lineRule="exact"/>
              <w:jc w:val="center"/>
              <w:rPr>
                <w:rFonts w:ascii="宋体" w:hAnsi="宋体" w:cs="宋体"/>
                <w:sz w:val="18"/>
                <w:szCs w:val="18"/>
              </w:rPr>
            </w:pPr>
            <w:r>
              <w:rPr>
                <w:rFonts w:hint="eastAsia" w:ascii="宋体" w:hAnsi="宋体" w:cs="宋体"/>
                <w:sz w:val="18"/>
                <w:szCs w:val="18"/>
              </w:rPr>
              <w:t>≥</w:t>
            </w:r>
            <w:r>
              <w:rPr>
                <w:rFonts w:ascii="Times New Roman" w:hAnsi="Times New Roman" w:cs="Times New Roman"/>
                <w:sz w:val="18"/>
                <w:szCs w:val="18"/>
              </w:rPr>
              <w:t>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2016" w:type="dxa"/>
            <w:vMerge w:val="restart"/>
            <w:tcBorders>
              <w:top w:val="single" w:color="auto" w:sz="4" w:space="0"/>
              <w:bottom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cs="宋体"/>
                <w:sz w:val="18"/>
                <w:szCs w:val="18"/>
              </w:rPr>
            </w:pPr>
            <w:r>
              <w:rPr>
                <w:rFonts w:hint="eastAsia" w:ascii="宋体" w:hAnsi="宋体" w:cs="宋体"/>
                <w:sz w:val="18"/>
                <w:szCs w:val="18"/>
              </w:rPr>
              <w:t>薄膜组件</w:t>
            </w:r>
          </w:p>
        </w:tc>
        <w:tc>
          <w:tcPr>
            <w:tcW w:w="3393" w:type="dxa"/>
            <w:tcBorders>
              <w:top w:val="single" w:color="auto" w:sz="4" w:space="0"/>
              <w:left w:val="single" w:color="auto" w:sz="4" w:space="0"/>
              <w:bottom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cs="宋体"/>
                <w:sz w:val="18"/>
                <w:szCs w:val="18"/>
              </w:rPr>
            </w:pPr>
            <w:r>
              <w:rPr>
                <w:rFonts w:hint="eastAsia" w:ascii="宋体" w:hAnsi="宋体" w:cs="宋体"/>
                <w:sz w:val="18"/>
                <w:szCs w:val="18"/>
              </w:rPr>
              <w:t>硅基</w:t>
            </w:r>
          </w:p>
        </w:tc>
        <w:tc>
          <w:tcPr>
            <w:tcW w:w="3938" w:type="dxa"/>
            <w:tcBorders>
              <w:top w:val="single" w:color="auto" w:sz="4" w:space="0"/>
              <w:left w:val="single" w:color="auto" w:sz="4" w:space="0"/>
              <w:bottom w:val="single" w:color="auto" w:sz="4" w:space="0"/>
            </w:tcBorders>
            <w:vAlign w:val="center"/>
          </w:tcPr>
          <w:p>
            <w:pPr>
              <w:overflowPunct w:val="0"/>
              <w:snapToGrid w:val="0"/>
              <w:spacing w:line="309" w:lineRule="exact"/>
              <w:jc w:val="center"/>
              <w:rPr>
                <w:rFonts w:ascii="宋体" w:hAnsi="宋体" w:cs="宋体"/>
                <w:sz w:val="18"/>
                <w:szCs w:val="18"/>
              </w:rPr>
            </w:pPr>
            <w:r>
              <w:rPr>
                <w:rFonts w:hint="eastAsia" w:ascii="宋体" w:hAnsi="宋体" w:cs="宋体"/>
                <w:sz w:val="18"/>
                <w:szCs w:val="18"/>
              </w:rPr>
              <w:t>≥</w:t>
            </w:r>
            <w:r>
              <w:rPr>
                <w:rFonts w:ascii="Times New Roman" w:hAnsi="Times New Roman" w:cs="Times New Roman"/>
                <w:sz w:val="18"/>
                <w:szCs w:val="18"/>
              </w:rPr>
              <w:t>13%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2016" w:type="dxa"/>
            <w:vMerge w:val="continue"/>
            <w:tcBorders>
              <w:top w:val="single" w:color="auto" w:sz="4" w:space="0"/>
              <w:bottom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cs="宋体"/>
                <w:sz w:val="18"/>
                <w:szCs w:val="18"/>
              </w:rPr>
            </w:pPr>
          </w:p>
        </w:tc>
        <w:tc>
          <w:tcPr>
            <w:tcW w:w="3393" w:type="dxa"/>
            <w:tcBorders>
              <w:top w:val="single" w:color="auto" w:sz="4" w:space="0"/>
              <w:left w:val="single" w:color="auto" w:sz="4" w:space="0"/>
              <w:bottom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Times New Roman" w:hAnsi="Times New Roman" w:cs="Times New Roman"/>
                <w:sz w:val="18"/>
                <w:szCs w:val="18"/>
              </w:rPr>
            </w:pPr>
            <w:r>
              <w:rPr>
                <w:rFonts w:ascii="Times New Roman" w:hAnsi="Times New Roman" w:cs="Times New Roman"/>
                <w:sz w:val="18"/>
                <w:szCs w:val="18"/>
              </w:rPr>
              <w:t>CIGS</w:t>
            </w:r>
          </w:p>
        </w:tc>
        <w:tc>
          <w:tcPr>
            <w:tcW w:w="3938" w:type="dxa"/>
            <w:tcBorders>
              <w:top w:val="single" w:color="auto" w:sz="4" w:space="0"/>
              <w:left w:val="single" w:color="auto" w:sz="4" w:space="0"/>
              <w:bottom w:val="single" w:color="auto" w:sz="4" w:space="0"/>
            </w:tcBorders>
            <w:vAlign w:val="center"/>
          </w:tcPr>
          <w:p>
            <w:pPr>
              <w:overflowPunct w:val="0"/>
              <w:snapToGrid w:val="0"/>
              <w:spacing w:line="309" w:lineRule="exact"/>
              <w:jc w:val="center"/>
              <w:rPr>
                <w:rFonts w:ascii="宋体" w:hAnsi="宋体" w:cs="宋体"/>
                <w:sz w:val="18"/>
                <w:szCs w:val="18"/>
              </w:rPr>
            </w:pPr>
            <w:r>
              <w:rPr>
                <w:rFonts w:hint="eastAsia" w:ascii="宋体" w:hAnsi="宋体" w:cs="宋体"/>
                <w:sz w:val="18"/>
                <w:szCs w:val="18"/>
              </w:rPr>
              <w:t>≥</w:t>
            </w:r>
            <w:r>
              <w:rPr>
                <w:rFonts w:ascii="Times New Roman" w:hAnsi="Times New Roman" w:cs="Times New Roman"/>
                <w:sz w:val="18"/>
                <w:szCs w:val="18"/>
              </w:rPr>
              <w:t>16%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2016" w:type="dxa"/>
            <w:vMerge w:val="continue"/>
            <w:tcBorders>
              <w:top w:val="single" w:color="auto" w:sz="4" w:space="0"/>
              <w:bottom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cs="宋体"/>
                <w:sz w:val="18"/>
                <w:szCs w:val="18"/>
              </w:rPr>
            </w:pPr>
          </w:p>
        </w:tc>
        <w:tc>
          <w:tcPr>
            <w:tcW w:w="3393" w:type="dxa"/>
            <w:tcBorders>
              <w:top w:val="single" w:color="auto" w:sz="4" w:space="0"/>
              <w:left w:val="single" w:color="auto" w:sz="4" w:space="0"/>
              <w:bottom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Times New Roman" w:hAnsi="Times New Roman" w:cs="Times New Roman"/>
                <w:sz w:val="18"/>
                <w:szCs w:val="18"/>
              </w:rPr>
            </w:pPr>
            <w:r>
              <w:rPr>
                <w:rFonts w:ascii="Times New Roman" w:hAnsi="Times New Roman" w:cs="Times New Roman"/>
                <w:sz w:val="18"/>
                <w:szCs w:val="18"/>
              </w:rPr>
              <w:t>CdTe</w:t>
            </w:r>
          </w:p>
        </w:tc>
        <w:tc>
          <w:tcPr>
            <w:tcW w:w="3938" w:type="dxa"/>
            <w:tcBorders>
              <w:top w:val="single" w:color="auto" w:sz="4" w:space="0"/>
              <w:left w:val="single" w:color="auto" w:sz="4" w:space="0"/>
              <w:bottom w:val="single" w:color="auto" w:sz="4" w:space="0"/>
            </w:tcBorders>
            <w:vAlign w:val="center"/>
          </w:tcPr>
          <w:p>
            <w:pPr>
              <w:overflowPunct w:val="0"/>
              <w:snapToGrid w:val="0"/>
              <w:spacing w:line="309" w:lineRule="exact"/>
              <w:jc w:val="center"/>
              <w:rPr>
                <w:rFonts w:ascii="宋体" w:hAnsi="宋体" w:cs="宋体"/>
                <w:sz w:val="18"/>
                <w:szCs w:val="18"/>
              </w:rPr>
            </w:pPr>
            <w:r>
              <w:rPr>
                <w:rFonts w:hint="eastAsia" w:ascii="宋体" w:hAnsi="宋体" w:cs="宋体"/>
                <w:sz w:val="18"/>
                <w:szCs w:val="18"/>
              </w:rPr>
              <w:t>≥</w:t>
            </w:r>
            <w:r>
              <w:rPr>
                <w:rFonts w:ascii="Times New Roman" w:hAnsi="Times New Roman" w:cs="Times New Roman"/>
                <w:sz w:val="18"/>
                <w:szCs w:val="18"/>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2016" w:type="dxa"/>
            <w:vMerge w:val="continue"/>
            <w:tcBorders>
              <w:top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cs="宋体"/>
                <w:sz w:val="18"/>
                <w:szCs w:val="18"/>
              </w:rPr>
            </w:pPr>
          </w:p>
        </w:tc>
        <w:tc>
          <w:tcPr>
            <w:tcW w:w="3393" w:type="dxa"/>
            <w:tcBorders>
              <w:top w:val="single" w:color="auto" w:sz="4" w:space="0"/>
              <w:left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cs="宋体"/>
                <w:sz w:val="18"/>
                <w:szCs w:val="18"/>
              </w:rPr>
            </w:pPr>
            <w:r>
              <w:rPr>
                <w:rFonts w:hint="eastAsia" w:ascii="宋体" w:hAnsi="宋体" w:cs="宋体"/>
                <w:sz w:val="18"/>
                <w:szCs w:val="18"/>
              </w:rPr>
              <w:t>其他</w:t>
            </w:r>
          </w:p>
        </w:tc>
        <w:tc>
          <w:tcPr>
            <w:tcW w:w="3938" w:type="dxa"/>
            <w:tcBorders>
              <w:top w:val="single" w:color="auto" w:sz="4" w:space="0"/>
              <w:left w:val="single" w:color="auto" w:sz="4" w:space="0"/>
            </w:tcBorders>
            <w:vAlign w:val="center"/>
          </w:tcPr>
          <w:p>
            <w:pPr>
              <w:overflowPunct w:val="0"/>
              <w:snapToGrid w:val="0"/>
              <w:spacing w:line="309" w:lineRule="exact"/>
              <w:jc w:val="center"/>
              <w:rPr>
                <w:rFonts w:ascii="宋体" w:hAnsi="宋体" w:cs="宋体"/>
                <w:sz w:val="18"/>
                <w:szCs w:val="18"/>
              </w:rPr>
            </w:pPr>
            <w:r>
              <w:rPr>
                <w:rFonts w:hint="eastAsia" w:ascii="宋体" w:hAnsi="宋体" w:cs="宋体"/>
                <w:sz w:val="18"/>
                <w:szCs w:val="18"/>
              </w:rPr>
              <w:t>≥</w:t>
            </w:r>
            <w:r>
              <w:rPr>
                <w:rFonts w:ascii="Times New Roman" w:hAnsi="Times New Roman" w:cs="Times New Roman"/>
                <w:sz w:val="18"/>
                <w:szCs w:val="18"/>
              </w:rPr>
              <w:t>15%</w:t>
            </w:r>
          </w:p>
        </w:tc>
      </w:tr>
    </w:tbl>
    <w:p>
      <w:pPr>
        <w:overflowPunct w:val="0"/>
        <w:snapToGrid w:val="0"/>
        <w:spacing w:line="309" w:lineRule="exact"/>
        <w:outlineLvl w:val="2"/>
        <w:rPr>
          <w:rStyle w:val="44"/>
          <w:rFonts w:eastAsia="宋体"/>
          <w:color w:val="auto"/>
        </w:rPr>
      </w:pPr>
    </w:p>
    <w:p>
      <w:pPr>
        <w:overflowPunct w:val="0"/>
        <w:snapToGrid w:val="0"/>
        <w:spacing w:line="309" w:lineRule="exact"/>
        <w:outlineLvl w:val="2"/>
        <w:rPr>
          <w:rStyle w:val="44"/>
          <w:rFonts w:ascii="宋体" w:hAnsi="宋体" w:eastAsia="宋体"/>
          <w:color w:val="auto"/>
        </w:rPr>
      </w:pPr>
      <w:r>
        <w:rPr>
          <w:rStyle w:val="44"/>
          <w:rFonts w:eastAsia="宋体"/>
          <w:color w:val="auto"/>
        </w:rPr>
        <w:t>9.3.2</w:t>
      </w:r>
      <w:r>
        <w:rPr>
          <w:rStyle w:val="44"/>
          <w:rFonts w:hint="eastAsia" w:ascii="宋体" w:hAnsi="宋体" w:eastAsia="宋体"/>
          <w:color w:val="auto"/>
        </w:rPr>
        <w:t>　光伏系统进行建筑一体化设计时，应有效解决构件在外围护上连接引起的热桥问题，当组件安装支架与建筑结构构件直接连接或为其一部分时，应防止保温层的破坏，或作其他有效的热桥阻断处理。</w:t>
      </w:r>
    </w:p>
    <w:p>
      <w:pPr>
        <w:overflowPunct w:val="0"/>
        <w:snapToGrid w:val="0"/>
        <w:spacing w:line="309" w:lineRule="exact"/>
        <w:outlineLvl w:val="2"/>
      </w:pPr>
      <w:r>
        <w:rPr>
          <w:rFonts w:ascii="黑体" w:hAnsi="黑体" w:eastAsia="宋体" w:cs="宋体"/>
        </w:rPr>
        <w:t>9.3.3</w:t>
      </w:r>
      <w:r>
        <w:rPr>
          <w:rStyle w:val="44"/>
          <w:rFonts w:hint="eastAsia" w:ascii="宋体" w:hAnsi="宋体" w:eastAsia="宋体"/>
          <w:color w:val="auto"/>
        </w:rPr>
        <w:t>　太阳能光伏发电系统应设置监测系统，监测和计量系统的发电量、光伏组件背板表面温度、室外温度、太阳总辐照量。</w:t>
      </w:r>
    </w:p>
    <w:p>
      <w:pPr>
        <w:pStyle w:val="3"/>
        <w:numPr>
          <w:ilvl w:val="0"/>
          <w:numId w:val="0"/>
        </w:numPr>
        <w:tabs>
          <w:tab w:val="left" w:pos="0"/>
        </w:tabs>
        <w:overflowPunct w:val="0"/>
        <w:spacing w:before="156" w:beforeLines="50" w:after="156" w:afterLines="50"/>
        <w:rPr>
          <w:rStyle w:val="44"/>
          <w:color w:val="auto"/>
        </w:rPr>
      </w:pPr>
      <w:r>
        <w:rPr>
          <w:rStyle w:val="44"/>
          <w:color w:val="auto"/>
        </w:rPr>
        <w:t>9.4　</w:t>
      </w:r>
      <w:bookmarkStart w:id="47" w:name="_Toc30727"/>
      <w:r>
        <w:rPr>
          <w:rStyle w:val="44"/>
          <w:rFonts w:hint="eastAsia"/>
          <w:color w:val="auto"/>
        </w:rPr>
        <w:t>建筑能源与环境管理系统设计</w:t>
      </w:r>
      <w:bookmarkEnd w:id="47"/>
    </w:p>
    <w:p>
      <w:pPr>
        <w:overflowPunct w:val="0"/>
        <w:snapToGrid w:val="0"/>
        <w:spacing w:line="309" w:lineRule="exact"/>
        <w:outlineLvl w:val="2"/>
        <w:rPr>
          <w:rStyle w:val="44"/>
          <w:rFonts w:ascii="宋体" w:hAnsi="宋体" w:eastAsia="宋体"/>
          <w:color w:val="auto"/>
        </w:rPr>
      </w:pPr>
      <w:r>
        <w:rPr>
          <w:rStyle w:val="44"/>
          <w:rFonts w:eastAsia="宋体"/>
          <w:color w:val="auto"/>
        </w:rPr>
        <w:t>9.4.1</w:t>
      </w:r>
      <w:r>
        <w:rPr>
          <w:rStyle w:val="44"/>
          <w:rFonts w:hint="eastAsia" w:ascii="宋体" w:hAnsi="宋体" w:eastAsia="宋体"/>
          <w:color w:val="auto"/>
        </w:rPr>
        <w:t>　应设置能耗监测系统，对建筑分类分项能耗进行监测和记录，并应符合下列规定：</w:t>
      </w:r>
    </w:p>
    <w:p>
      <w:pPr>
        <w:overflowPunct w:val="0"/>
        <w:snapToGrid w:val="0"/>
        <w:spacing w:line="309" w:lineRule="exact"/>
        <w:ind w:firstLine="420"/>
        <w:rPr>
          <w:rStyle w:val="44"/>
          <w:rFonts w:ascii="宋体" w:hAnsi="宋体" w:eastAsia="宋体"/>
          <w:color w:val="auto"/>
        </w:rPr>
      </w:pPr>
      <w:r>
        <w:rPr>
          <w:rFonts w:hint="eastAsia" w:ascii="黑体" w:hAnsi="黑体" w:cs="宋体"/>
          <w:szCs w:val="21"/>
          <w:lang w:val="en-US" w:eastAsia="zh-CN"/>
        </w:rPr>
        <w:t xml:space="preserve">a) </w:t>
      </w:r>
      <w:r>
        <w:rPr>
          <w:rStyle w:val="44"/>
          <w:rFonts w:hint="eastAsia" w:ascii="宋体" w:hAnsi="宋体" w:eastAsia="宋体"/>
          <w:color w:val="auto"/>
        </w:rPr>
        <w:t>能耗分类应覆盖建筑内所用的能源种类，能耗分项应保证供暖空调、照明、生活热水以及电梯分项能耗数据的获取。</w:t>
      </w:r>
    </w:p>
    <w:p>
      <w:pPr>
        <w:overflowPunct w:val="0"/>
        <w:snapToGrid w:val="0"/>
        <w:spacing w:line="309" w:lineRule="exact"/>
        <w:ind w:firstLine="420"/>
        <w:rPr>
          <w:rStyle w:val="44"/>
          <w:rFonts w:ascii="宋体" w:hAnsi="宋体" w:eastAsia="宋体"/>
          <w:color w:val="auto"/>
        </w:rPr>
      </w:pPr>
      <w:r>
        <w:rPr>
          <w:rFonts w:hint="eastAsia" w:ascii="黑体" w:hAnsi="黑体" w:cs="宋体"/>
          <w:szCs w:val="21"/>
          <w:lang w:val="en-US" w:eastAsia="zh-CN"/>
        </w:rPr>
        <w:t xml:space="preserve">b) </w:t>
      </w:r>
      <w:r>
        <w:rPr>
          <w:rStyle w:val="44"/>
          <w:rFonts w:hint="eastAsia" w:ascii="宋体" w:hAnsi="宋体" w:eastAsia="宋体"/>
          <w:color w:val="auto"/>
        </w:rPr>
        <w:t>当采用可再生能源时，应对其发电量及供冷热量进行单独计量。</w:t>
      </w:r>
    </w:p>
    <w:p>
      <w:pPr>
        <w:overflowPunct w:val="0"/>
        <w:snapToGrid w:val="0"/>
        <w:spacing w:line="309" w:lineRule="exact"/>
        <w:ind w:firstLine="420"/>
        <w:rPr>
          <w:rStyle w:val="44"/>
          <w:rFonts w:ascii="宋体" w:hAnsi="宋体" w:eastAsia="宋体"/>
          <w:color w:val="auto"/>
        </w:rPr>
      </w:pPr>
      <w:r>
        <w:rPr>
          <w:rFonts w:hint="eastAsia" w:ascii="黑体" w:hAnsi="黑体" w:cs="宋体"/>
          <w:szCs w:val="21"/>
          <w:lang w:val="en-US" w:eastAsia="zh-CN"/>
        </w:rPr>
        <w:t xml:space="preserve">c) </w:t>
      </w:r>
      <w:r>
        <w:rPr>
          <w:rStyle w:val="44"/>
          <w:rFonts w:hint="eastAsia" w:ascii="宋体" w:hAnsi="宋体" w:eastAsia="宋体"/>
          <w:color w:val="auto"/>
        </w:rPr>
        <w:t>当采用储能系统时，应对其蓄放的能量进行计量。</w:t>
      </w:r>
    </w:p>
    <w:p>
      <w:pPr>
        <w:overflowPunct w:val="0"/>
        <w:snapToGrid w:val="0"/>
        <w:spacing w:line="309" w:lineRule="exact"/>
        <w:ind w:firstLine="420"/>
        <w:rPr>
          <w:rStyle w:val="44"/>
          <w:rFonts w:ascii="宋体" w:hAnsi="宋体" w:eastAsia="宋体"/>
          <w:color w:val="auto"/>
        </w:rPr>
      </w:pPr>
      <w:r>
        <w:rPr>
          <w:rFonts w:hint="eastAsia" w:ascii="黑体" w:hAnsi="黑体" w:cs="宋体"/>
          <w:szCs w:val="21"/>
          <w:lang w:val="en-US" w:eastAsia="zh-CN"/>
        </w:rPr>
        <w:t xml:space="preserve">d) </w:t>
      </w:r>
      <w:r>
        <w:rPr>
          <w:rStyle w:val="44"/>
          <w:rFonts w:hint="eastAsia" w:ascii="宋体" w:hAnsi="宋体" w:eastAsia="宋体"/>
          <w:color w:val="auto"/>
        </w:rPr>
        <w:t>电耗计量系统应支持尖峰电价、调峰电价、实时电价、尖峰返利等基于时间的分时电价费率监测。</w:t>
      </w:r>
    </w:p>
    <w:p>
      <w:pPr>
        <w:overflowPunct w:val="0"/>
        <w:snapToGrid w:val="0"/>
        <w:spacing w:line="309" w:lineRule="exact"/>
        <w:ind w:firstLine="420"/>
        <w:rPr>
          <w:rStyle w:val="44"/>
          <w:rFonts w:ascii="宋体" w:hAnsi="宋体" w:eastAsia="宋体"/>
          <w:color w:val="auto"/>
        </w:rPr>
      </w:pPr>
      <w:r>
        <w:rPr>
          <w:rFonts w:hint="eastAsia" w:ascii="黑体" w:hAnsi="黑体" w:cs="宋体"/>
          <w:szCs w:val="21"/>
          <w:lang w:val="en-US" w:eastAsia="zh-CN"/>
        </w:rPr>
        <w:t xml:space="preserve">e) </w:t>
      </w:r>
      <w:r>
        <w:rPr>
          <w:rStyle w:val="44"/>
          <w:rFonts w:hint="eastAsia" w:ascii="宋体" w:hAnsi="宋体" w:eastAsia="宋体"/>
          <w:color w:val="auto"/>
        </w:rPr>
        <w:t>办公建筑宜将照明和插座分别进行电能监测与计量分析。</w:t>
      </w:r>
    </w:p>
    <w:p>
      <w:pPr>
        <w:overflowPunct w:val="0"/>
        <w:snapToGrid w:val="0"/>
        <w:spacing w:line="309" w:lineRule="exact"/>
        <w:outlineLvl w:val="2"/>
        <w:rPr>
          <w:rStyle w:val="44"/>
          <w:rFonts w:ascii="宋体" w:hAnsi="宋体" w:eastAsia="宋体"/>
          <w:color w:val="auto"/>
        </w:rPr>
      </w:pPr>
      <w:r>
        <w:rPr>
          <w:rStyle w:val="44"/>
          <w:rFonts w:eastAsia="宋体"/>
          <w:color w:val="auto"/>
        </w:rPr>
        <w:t>9.4.2</w:t>
      </w:r>
      <w:r>
        <w:rPr>
          <w:rStyle w:val="44"/>
          <w:rFonts w:hint="eastAsia" w:ascii="宋体" w:hAnsi="宋体" w:eastAsia="宋体"/>
          <w:color w:val="auto"/>
        </w:rPr>
        <w:t>　设置建筑设备监控系统，其监控范围包括供配电、照明、电梯、空调等，并具有向建筑内相关集成系统提供建筑设备运行、维护管理状态等信息的条件。</w:t>
      </w:r>
    </w:p>
    <w:p>
      <w:pPr>
        <w:overflowPunct w:val="0"/>
        <w:snapToGrid w:val="0"/>
        <w:spacing w:line="309" w:lineRule="exact"/>
        <w:outlineLvl w:val="2"/>
        <w:rPr>
          <w:rStyle w:val="44"/>
          <w:rFonts w:ascii="宋体" w:hAnsi="宋体" w:eastAsia="宋体"/>
          <w:color w:val="auto"/>
        </w:rPr>
      </w:pPr>
      <w:r>
        <w:rPr>
          <w:rStyle w:val="44"/>
          <w:rFonts w:eastAsia="宋体"/>
          <w:color w:val="auto"/>
        </w:rPr>
        <w:t>9.4.3</w:t>
      </w:r>
      <w:r>
        <w:rPr>
          <w:rStyle w:val="44"/>
          <w:rFonts w:hint="eastAsia" w:ascii="宋体" w:hAnsi="宋体" w:eastAsia="宋体"/>
          <w:color w:val="auto"/>
        </w:rPr>
        <w:t>　建筑能源与环境监控系统宜具备建筑碳排放管理功能，实时计量建筑运行的碳排放量，并对其分析、展示，对建筑节能减排优化运行提供调控反馈。</w:t>
      </w:r>
    </w:p>
    <w:p>
      <w:pPr>
        <w:tabs>
          <w:tab w:val="left" w:pos="397"/>
        </w:tabs>
        <w:overflowPunct w:val="0"/>
        <w:snapToGrid w:val="0"/>
        <w:spacing w:line="309" w:lineRule="exact"/>
        <w:rPr>
          <w:rFonts w:ascii="Times New Roman" w:hAnsi="Times New Roman" w:cs="Times New Roman"/>
          <w:szCs w:val="21"/>
        </w:rPr>
      </w:pPr>
    </w:p>
    <w:p>
      <w:pPr>
        <w:overflowPunct w:val="0"/>
      </w:pPr>
      <w:r>
        <w:rPr>
          <w:rFonts w:hint="eastAsia"/>
          <w:sz w:val="23"/>
          <w:szCs w:val="23"/>
        </w:rPr>
        <w:br w:type="page"/>
      </w:r>
    </w:p>
    <w:p>
      <w:pPr>
        <w:pStyle w:val="56"/>
        <w:keepNext w:val="0"/>
        <w:keepLines w:val="0"/>
        <w:pageBreakBefore w:val="0"/>
        <w:widowControl w:val="0"/>
        <w:kinsoku/>
        <w:wordWrap/>
        <w:overflowPunct w:val="0"/>
        <w:topLinePunct w:val="0"/>
        <w:autoSpaceDE/>
        <w:autoSpaceDN/>
        <w:bidi w:val="0"/>
        <w:adjustRightInd/>
        <w:snapToGrid/>
        <w:spacing w:before="156" w:beforeLines="50" w:after="157" w:afterLines="50" w:line="240" w:lineRule="auto"/>
        <w:ind w:firstLine="0" w:firstLineChars="0"/>
        <w:jc w:val="center"/>
        <w:textAlignment w:val="auto"/>
        <w:outlineLvl w:val="0"/>
        <w:rPr>
          <w:rFonts w:hint="eastAsia" w:ascii="黑体" w:hAnsi="黑体" w:eastAsia="黑体"/>
          <w:color w:val="auto"/>
          <w:szCs w:val="21"/>
        </w:rPr>
      </w:pPr>
      <w:r>
        <w:rPr>
          <w:rFonts w:ascii="黑体" w:hAnsi="黑体" w:eastAsia="黑体"/>
          <w:color w:val="auto"/>
          <w:szCs w:val="21"/>
        </w:rPr>
        <w:t>附录A</w:t>
      </w:r>
      <w:r>
        <w:rPr>
          <w:rFonts w:hint="eastAsia" w:ascii="黑体" w:hAnsi="黑体" w:eastAsia="黑体"/>
          <w:color w:val="auto"/>
          <w:szCs w:val="21"/>
        </w:rPr>
        <w:t>　</w:t>
      </w:r>
      <w:bookmarkStart w:id="48" w:name="_Toc12796"/>
      <w:bookmarkStart w:id="49" w:name="_Toc97537106"/>
    </w:p>
    <w:p>
      <w:pPr>
        <w:pStyle w:val="56"/>
        <w:keepNext w:val="0"/>
        <w:keepLines w:val="0"/>
        <w:pageBreakBefore w:val="0"/>
        <w:widowControl w:val="0"/>
        <w:kinsoku/>
        <w:wordWrap/>
        <w:overflowPunct w:val="0"/>
        <w:topLinePunct w:val="0"/>
        <w:autoSpaceDE/>
        <w:autoSpaceDN/>
        <w:bidi w:val="0"/>
        <w:adjustRightInd/>
        <w:snapToGrid/>
        <w:spacing w:before="156" w:beforeLines="50" w:after="157" w:afterLines="50" w:line="240" w:lineRule="auto"/>
        <w:ind w:firstLine="0" w:firstLineChars="0"/>
        <w:jc w:val="center"/>
        <w:textAlignment w:val="auto"/>
        <w:outlineLvl w:val="0"/>
        <w:rPr>
          <w:rFonts w:hint="eastAsia" w:ascii="黑体" w:hAnsi="黑体" w:eastAsia="黑体"/>
          <w:color w:val="auto"/>
          <w:szCs w:val="21"/>
          <w:lang w:eastAsia="zh-CN"/>
        </w:rPr>
      </w:pPr>
      <w:r>
        <w:rPr>
          <w:rFonts w:hint="eastAsia" w:ascii="黑体" w:hAnsi="黑体" w:eastAsia="黑体"/>
          <w:color w:val="auto"/>
          <w:szCs w:val="21"/>
          <w:lang w:eastAsia="zh-CN"/>
        </w:rPr>
        <w:t>（资料性）</w:t>
      </w:r>
    </w:p>
    <w:p>
      <w:pPr>
        <w:pStyle w:val="56"/>
        <w:keepNext w:val="0"/>
        <w:keepLines w:val="0"/>
        <w:pageBreakBefore w:val="0"/>
        <w:widowControl w:val="0"/>
        <w:kinsoku/>
        <w:wordWrap/>
        <w:overflowPunct w:val="0"/>
        <w:topLinePunct w:val="0"/>
        <w:autoSpaceDE/>
        <w:autoSpaceDN/>
        <w:bidi w:val="0"/>
        <w:adjustRightInd/>
        <w:snapToGrid/>
        <w:spacing w:before="156" w:beforeLines="50" w:after="157" w:afterLines="50" w:line="240" w:lineRule="auto"/>
        <w:ind w:firstLine="0" w:firstLineChars="0"/>
        <w:jc w:val="center"/>
        <w:textAlignment w:val="auto"/>
        <w:outlineLvl w:val="0"/>
        <w:rPr>
          <w:rFonts w:ascii="黑体" w:hAnsi="黑体" w:eastAsia="黑体"/>
          <w:color w:val="auto"/>
          <w:szCs w:val="21"/>
        </w:rPr>
      </w:pPr>
      <w:r>
        <w:rPr>
          <w:rFonts w:hint="eastAsia" w:ascii="黑体" w:hAnsi="黑体" w:eastAsia="黑体"/>
          <w:color w:val="auto"/>
          <w:szCs w:val="21"/>
        </w:rPr>
        <w:t>能耗指标计算方法</w:t>
      </w:r>
      <w:bookmarkEnd w:id="48"/>
      <w:bookmarkEnd w:id="49"/>
    </w:p>
    <w:p>
      <w:pPr>
        <w:pStyle w:val="3"/>
        <w:numPr>
          <w:ilvl w:val="0"/>
          <w:numId w:val="0"/>
        </w:numPr>
        <w:tabs>
          <w:tab w:val="left" w:pos="0"/>
        </w:tabs>
        <w:overflowPunct w:val="0"/>
        <w:spacing w:before="156" w:beforeLines="50" w:after="156" w:afterLines="50"/>
        <w:rPr>
          <w:rStyle w:val="44"/>
          <w:color w:val="auto"/>
        </w:rPr>
      </w:pPr>
      <w:bookmarkStart w:id="50" w:name="_Toc26032"/>
      <w:bookmarkStart w:id="51" w:name="_Toc2950936"/>
      <w:bookmarkStart w:id="52" w:name="_Toc97537107"/>
      <w:r>
        <w:rPr>
          <w:rStyle w:val="44"/>
          <w:color w:val="auto"/>
        </w:rPr>
        <w:t>A.1</w:t>
      </w:r>
      <w:r>
        <w:rPr>
          <w:rStyle w:val="44"/>
          <w:rFonts w:hint="eastAsia"/>
          <w:color w:val="auto"/>
        </w:rPr>
        <w:t>　</w:t>
      </w:r>
      <w:r>
        <w:rPr>
          <w:rStyle w:val="44"/>
          <w:color w:val="auto"/>
        </w:rPr>
        <w:t>一般规定</w:t>
      </w:r>
      <w:bookmarkEnd w:id="50"/>
      <w:bookmarkEnd w:id="51"/>
      <w:bookmarkEnd w:id="52"/>
    </w:p>
    <w:p>
      <w:pPr>
        <w:overflowPunct w:val="0"/>
        <w:snapToGrid w:val="0"/>
        <w:spacing w:line="309" w:lineRule="exact"/>
        <w:outlineLvl w:val="2"/>
        <w:rPr>
          <w:rStyle w:val="44"/>
          <w:rFonts w:ascii="宋体" w:hAnsi="宋体" w:eastAsia="宋体"/>
          <w:color w:val="auto"/>
        </w:rPr>
      </w:pPr>
      <w:r>
        <w:rPr>
          <w:rStyle w:val="44"/>
          <w:rFonts w:eastAsia="宋体"/>
          <w:color w:val="auto"/>
        </w:rPr>
        <w:t>A.1.1</w:t>
      </w:r>
      <w:r>
        <w:rPr>
          <w:rStyle w:val="44"/>
          <w:rFonts w:hint="eastAsia" w:ascii="宋体" w:hAnsi="宋体" w:eastAsia="宋体"/>
          <w:color w:val="auto"/>
        </w:rPr>
        <w:t>　能效指标计算软件应具备下列功能：</w:t>
      </w:r>
    </w:p>
    <w:p>
      <w:pPr>
        <w:overflowPunct w:val="0"/>
        <w:snapToGrid w:val="0"/>
        <w:spacing w:line="309" w:lineRule="exact"/>
        <w:ind w:firstLine="420"/>
        <w:rPr>
          <w:rStyle w:val="44"/>
          <w:rFonts w:ascii="宋体" w:hAnsi="宋体" w:eastAsia="宋体"/>
          <w:color w:val="auto"/>
        </w:rPr>
      </w:pPr>
      <w:r>
        <w:rPr>
          <w:rStyle w:val="44"/>
          <w:rFonts w:hint="eastAsia" w:ascii="宋体" w:hAnsi="宋体" w:eastAsia="宋体"/>
          <w:color w:val="auto"/>
          <w:lang w:val="en-US" w:eastAsia="zh-CN"/>
        </w:rPr>
        <w:t>a</w:t>
      </w:r>
      <w:r>
        <w:rPr>
          <w:rStyle w:val="44"/>
          <w:rFonts w:hint="eastAsia" w:ascii="宋体" w:hAnsi="宋体" w:eastAsia="宋体"/>
          <w:color w:val="auto"/>
          <w:lang w:eastAsia="zh-CN"/>
        </w:rPr>
        <w:t>）</w:t>
      </w:r>
      <w:r>
        <w:rPr>
          <w:rStyle w:val="44"/>
          <w:rFonts w:hint="eastAsia" w:ascii="宋体" w:hAnsi="宋体" w:eastAsia="宋体"/>
          <w:color w:val="auto"/>
        </w:rPr>
        <w:t>采用逐时动态计算方法，具备全年</w:t>
      </w:r>
      <w:r>
        <w:rPr>
          <w:rStyle w:val="44"/>
          <w:rFonts w:ascii="Times New Roman" w:hAnsi="Times New Roman" w:eastAsia="宋体" w:cs="Times New Roman"/>
          <w:color w:val="auto"/>
        </w:rPr>
        <w:t>8760</w:t>
      </w:r>
      <w:r>
        <w:rPr>
          <w:rStyle w:val="44"/>
          <w:rFonts w:hint="eastAsia" w:ascii="宋体" w:hAnsi="宋体" w:eastAsia="宋体"/>
          <w:color w:val="auto"/>
        </w:rPr>
        <w:t>小时逐时负荷计算功能；</w:t>
      </w:r>
    </w:p>
    <w:p>
      <w:pPr>
        <w:overflowPunct w:val="0"/>
        <w:snapToGrid w:val="0"/>
        <w:spacing w:line="309" w:lineRule="exact"/>
        <w:ind w:firstLine="420"/>
        <w:rPr>
          <w:rStyle w:val="44"/>
          <w:rFonts w:ascii="宋体" w:hAnsi="宋体" w:eastAsia="宋体"/>
          <w:color w:val="auto"/>
        </w:rPr>
      </w:pPr>
      <w:r>
        <w:rPr>
          <w:rStyle w:val="44"/>
          <w:rFonts w:hint="eastAsia" w:ascii="宋体" w:hAnsi="宋体" w:eastAsia="宋体"/>
          <w:color w:val="auto"/>
          <w:lang w:val="en-US" w:eastAsia="zh-CN"/>
        </w:rPr>
        <w:t xml:space="preserve">b) </w:t>
      </w:r>
      <w:r>
        <w:rPr>
          <w:rStyle w:val="44"/>
          <w:rFonts w:hint="eastAsia" w:ascii="宋体" w:hAnsi="宋体" w:eastAsia="宋体"/>
          <w:color w:val="auto"/>
        </w:rPr>
        <w:t>能计算围护结构（包括热桥部位）传热、太阳辐射得热、建筑内部得热、通风热损失四部分形成的负荷，计算中应能考虑建筑热惰性对负荷的影响；</w:t>
      </w:r>
    </w:p>
    <w:p>
      <w:pPr>
        <w:overflowPunct w:val="0"/>
        <w:snapToGrid w:val="0"/>
        <w:spacing w:line="309" w:lineRule="exact"/>
        <w:ind w:firstLine="420"/>
        <w:rPr>
          <w:rStyle w:val="44"/>
          <w:rFonts w:ascii="宋体" w:hAnsi="宋体" w:eastAsia="宋体"/>
          <w:color w:val="auto"/>
        </w:rPr>
      </w:pPr>
      <w:r>
        <w:rPr>
          <w:rStyle w:val="44"/>
          <w:rFonts w:hint="eastAsia" w:ascii="宋体" w:hAnsi="宋体" w:eastAsia="宋体"/>
          <w:color w:val="auto"/>
          <w:lang w:val="en-US" w:eastAsia="zh-CN"/>
        </w:rPr>
        <w:t xml:space="preserve">c) </w:t>
      </w:r>
      <w:r>
        <w:rPr>
          <w:rStyle w:val="44"/>
          <w:rFonts w:hint="eastAsia" w:ascii="宋体" w:hAnsi="宋体" w:eastAsia="宋体"/>
          <w:color w:val="auto"/>
        </w:rPr>
        <w:t>能计算</w:t>
      </w:r>
      <w:r>
        <w:rPr>
          <w:rStyle w:val="44"/>
          <w:rFonts w:ascii="Times New Roman" w:hAnsi="Times New Roman" w:eastAsia="宋体" w:cs="Times New Roman"/>
          <w:color w:val="auto"/>
        </w:rPr>
        <w:t>10</w:t>
      </w:r>
      <w:r>
        <w:rPr>
          <w:rStyle w:val="44"/>
          <w:rFonts w:hint="eastAsia" w:ascii="宋体" w:hAnsi="宋体" w:eastAsia="宋体"/>
          <w:color w:val="auto"/>
        </w:rPr>
        <w:t>个以上的建筑分区；</w:t>
      </w:r>
    </w:p>
    <w:p>
      <w:pPr>
        <w:overflowPunct w:val="0"/>
        <w:snapToGrid w:val="0"/>
        <w:spacing w:line="309" w:lineRule="exact"/>
        <w:ind w:firstLine="420"/>
        <w:rPr>
          <w:rStyle w:val="44"/>
          <w:rFonts w:ascii="宋体" w:hAnsi="宋体" w:eastAsia="宋体"/>
          <w:color w:val="auto"/>
        </w:rPr>
      </w:pPr>
      <w:r>
        <w:rPr>
          <w:rStyle w:val="44"/>
          <w:rFonts w:hint="eastAsia" w:ascii="宋体" w:hAnsi="宋体" w:eastAsia="宋体"/>
          <w:color w:val="auto"/>
          <w:lang w:val="en-US" w:eastAsia="zh-CN"/>
        </w:rPr>
        <w:t xml:space="preserve">d) </w:t>
      </w:r>
      <w:r>
        <w:rPr>
          <w:rStyle w:val="44"/>
          <w:rFonts w:hint="eastAsia" w:ascii="宋体" w:hAnsi="宋体" w:eastAsia="宋体"/>
          <w:color w:val="auto"/>
        </w:rPr>
        <w:t>能计算建筑供暖、通风、空调、照明、生活热水、电梯系统的能耗和可再生能源系统利用量；</w:t>
      </w:r>
    </w:p>
    <w:p>
      <w:pPr>
        <w:overflowPunct w:val="0"/>
        <w:snapToGrid w:val="0"/>
        <w:spacing w:line="309" w:lineRule="exact"/>
        <w:ind w:firstLine="420"/>
        <w:rPr>
          <w:rStyle w:val="44"/>
          <w:rFonts w:ascii="宋体" w:hAnsi="宋体" w:eastAsia="宋体"/>
          <w:color w:val="auto"/>
        </w:rPr>
      </w:pPr>
      <w:r>
        <w:rPr>
          <w:rStyle w:val="44"/>
          <w:rFonts w:hint="eastAsia" w:ascii="宋体" w:hAnsi="宋体" w:eastAsia="宋体"/>
          <w:color w:val="auto"/>
          <w:lang w:val="en-US" w:eastAsia="zh-CN"/>
        </w:rPr>
        <w:t>e)</w:t>
      </w:r>
      <w:r>
        <w:rPr>
          <w:rStyle w:val="44"/>
          <w:rFonts w:hint="eastAsia" w:ascii="宋体" w:hAnsi="宋体" w:eastAsia="宋体"/>
          <w:color w:val="auto"/>
        </w:rPr>
        <w:t>能设置渗漏换气量或换气次数，能计算气密性对建筑能耗的影响；</w:t>
      </w:r>
    </w:p>
    <w:p>
      <w:pPr>
        <w:overflowPunct w:val="0"/>
        <w:snapToGrid w:val="0"/>
        <w:spacing w:line="309" w:lineRule="exact"/>
        <w:ind w:firstLine="420"/>
        <w:rPr>
          <w:rStyle w:val="44"/>
          <w:rFonts w:ascii="宋体" w:hAnsi="宋体" w:eastAsia="宋体"/>
          <w:color w:val="auto"/>
        </w:rPr>
      </w:pPr>
      <w:r>
        <w:rPr>
          <w:rStyle w:val="44"/>
          <w:rFonts w:hint="eastAsia" w:ascii="宋体" w:hAnsi="宋体" w:eastAsia="宋体"/>
          <w:color w:val="auto"/>
          <w:lang w:val="en-US" w:eastAsia="zh-CN"/>
        </w:rPr>
        <w:t>f)</w:t>
      </w:r>
      <w:r>
        <w:rPr>
          <w:rStyle w:val="44"/>
          <w:rFonts w:hint="eastAsia" w:ascii="宋体" w:hAnsi="宋体" w:eastAsia="宋体"/>
          <w:color w:val="auto"/>
        </w:rPr>
        <w:t>能计算新风热回收和外遮阳对建筑能耗的影响；</w:t>
      </w:r>
    </w:p>
    <w:p>
      <w:pPr>
        <w:overflowPunct w:val="0"/>
        <w:snapToGrid w:val="0"/>
        <w:spacing w:line="309" w:lineRule="exact"/>
        <w:ind w:firstLine="420"/>
        <w:rPr>
          <w:rStyle w:val="44"/>
          <w:rFonts w:ascii="宋体" w:hAnsi="宋体" w:eastAsia="宋体"/>
          <w:color w:val="auto"/>
        </w:rPr>
      </w:pPr>
      <w:r>
        <w:rPr>
          <w:rStyle w:val="44"/>
          <w:rFonts w:hint="eastAsia" w:ascii="宋体" w:hAnsi="宋体" w:eastAsia="宋体"/>
          <w:color w:val="auto"/>
          <w:lang w:val="en-US" w:eastAsia="zh-CN"/>
        </w:rPr>
        <w:t>g)</w:t>
      </w:r>
      <w:r>
        <w:rPr>
          <w:rStyle w:val="44"/>
          <w:rFonts w:hint="eastAsia" w:ascii="宋体" w:hAnsi="宋体" w:eastAsia="宋体"/>
          <w:color w:val="auto"/>
        </w:rPr>
        <w:t>可分别设置逐时工作日和节假日室内人员数量、照明功率、电气设备功率、室内温度、供暖和空调系统运行时间；</w:t>
      </w:r>
    </w:p>
    <w:p>
      <w:pPr>
        <w:overflowPunct w:val="0"/>
        <w:snapToGrid w:val="0"/>
        <w:spacing w:line="309" w:lineRule="exact"/>
        <w:ind w:firstLine="420"/>
        <w:rPr>
          <w:rStyle w:val="44"/>
          <w:rFonts w:ascii="宋体" w:hAnsi="宋体" w:eastAsia="宋体"/>
          <w:color w:val="auto"/>
        </w:rPr>
      </w:pPr>
      <w:r>
        <w:rPr>
          <w:rStyle w:val="44"/>
          <w:rFonts w:hint="eastAsia" w:ascii="宋体" w:hAnsi="宋体" w:eastAsia="宋体"/>
          <w:color w:val="auto"/>
          <w:lang w:val="en-US" w:eastAsia="zh-CN"/>
        </w:rPr>
        <w:t>h)</w:t>
      </w:r>
      <w:r>
        <w:rPr>
          <w:rStyle w:val="44"/>
          <w:rFonts w:hint="eastAsia" w:ascii="宋体" w:hAnsi="宋体" w:eastAsia="宋体"/>
          <w:color w:val="auto"/>
        </w:rPr>
        <w:t>软件可以输出全年逐时负荷以及全年能耗数据。</w:t>
      </w:r>
    </w:p>
    <w:p>
      <w:pPr>
        <w:overflowPunct w:val="0"/>
        <w:snapToGrid w:val="0"/>
        <w:spacing w:line="309" w:lineRule="exact"/>
        <w:outlineLvl w:val="2"/>
        <w:rPr>
          <w:rStyle w:val="44"/>
          <w:rFonts w:ascii="宋体" w:hAnsi="宋体" w:eastAsia="宋体"/>
          <w:color w:val="auto"/>
        </w:rPr>
      </w:pPr>
      <w:r>
        <w:rPr>
          <w:rStyle w:val="44"/>
          <w:rFonts w:eastAsia="宋体"/>
          <w:color w:val="auto"/>
        </w:rPr>
        <w:t>A.1.2</w:t>
      </w:r>
      <w:r>
        <w:rPr>
          <w:rStyle w:val="44"/>
          <w:rFonts w:hint="eastAsia" w:ascii="宋体" w:hAnsi="宋体" w:eastAsia="宋体"/>
          <w:color w:val="auto"/>
        </w:rPr>
        <w:t>　能效指标的计算应符合下列规定：</w:t>
      </w:r>
    </w:p>
    <w:p>
      <w:pPr>
        <w:overflowPunct w:val="0"/>
        <w:snapToGrid w:val="0"/>
        <w:spacing w:line="309" w:lineRule="exact"/>
        <w:ind w:firstLine="420"/>
        <w:rPr>
          <w:rStyle w:val="44"/>
          <w:rFonts w:ascii="宋体" w:hAnsi="宋体" w:eastAsia="宋体"/>
          <w:color w:val="auto"/>
        </w:rPr>
      </w:pPr>
      <w:r>
        <w:rPr>
          <w:rStyle w:val="44"/>
          <w:rFonts w:hint="eastAsia" w:ascii="宋体" w:hAnsi="宋体" w:eastAsia="宋体"/>
          <w:color w:val="auto"/>
          <w:lang w:val="en-US" w:eastAsia="zh-CN"/>
        </w:rPr>
        <w:t>a</w:t>
      </w:r>
      <w:r>
        <w:rPr>
          <w:rStyle w:val="44"/>
          <w:rFonts w:hint="eastAsia" w:ascii="宋体" w:hAnsi="宋体" w:eastAsia="宋体"/>
          <w:color w:val="auto"/>
          <w:lang w:eastAsia="zh-CN"/>
        </w:rPr>
        <w:t>）</w:t>
      </w:r>
      <w:r>
        <w:rPr>
          <w:rStyle w:val="44"/>
          <w:rFonts w:hint="eastAsia" w:ascii="宋体" w:hAnsi="宋体" w:eastAsia="宋体"/>
          <w:color w:val="auto"/>
        </w:rPr>
        <w:t>气象参数应按现行行业标准《建筑节能气象参数标准》</w:t>
      </w:r>
      <w:r>
        <w:rPr>
          <w:rStyle w:val="44"/>
          <w:rFonts w:ascii="Times New Roman" w:hAnsi="Times New Roman" w:eastAsia="宋体" w:cs="Times New Roman"/>
          <w:color w:val="auto"/>
        </w:rPr>
        <w:t>JGJ/T 346</w:t>
      </w:r>
      <w:r>
        <w:rPr>
          <w:rStyle w:val="44"/>
          <w:rFonts w:hint="eastAsia" w:ascii="宋体" w:hAnsi="宋体" w:eastAsia="宋体"/>
          <w:color w:val="auto"/>
        </w:rPr>
        <w:t>的规定选取。</w:t>
      </w:r>
    </w:p>
    <w:p>
      <w:pPr>
        <w:overflowPunct w:val="0"/>
        <w:snapToGrid w:val="0"/>
        <w:spacing w:line="309" w:lineRule="exact"/>
        <w:ind w:firstLine="420"/>
        <w:rPr>
          <w:rStyle w:val="44"/>
          <w:rFonts w:ascii="宋体" w:hAnsi="宋体" w:eastAsia="宋体"/>
          <w:color w:val="auto"/>
        </w:rPr>
      </w:pPr>
      <w:r>
        <w:rPr>
          <w:rStyle w:val="44"/>
          <w:rFonts w:hint="eastAsia" w:ascii="宋体" w:hAnsi="宋体" w:eastAsia="宋体"/>
          <w:color w:val="auto"/>
          <w:lang w:val="en-US" w:eastAsia="zh-CN"/>
        </w:rPr>
        <w:t>b)</w:t>
      </w:r>
      <w:r>
        <w:rPr>
          <w:rStyle w:val="44"/>
          <w:rFonts w:hint="eastAsia" w:ascii="宋体" w:hAnsi="宋体" w:eastAsia="宋体"/>
          <w:color w:val="auto"/>
        </w:rPr>
        <w:t>供暖年耗热量和供冷年耗冷量应包括围护结构的热损失和处理新风的热（或冷）需求；处理新风的热（冷）需求应扣除从排风中回收的热量（或冷量）。</w:t>
      </w:r>
    </w:p>
    <w:p>
      <w:pPr>
        <w:overflowPunct w:val="0"/>
        <w:snapToGrid w:val="0"/>
        <w:spacing w:line="309" w:lineRule="exact"/>
        <w:ind w:firstLine="420"/>
        <w:rPr>
          <w:rStyle w:val="44"/>
          <w:rFonts w:ascii="宋体" w:hAnsi="宋体" w:eastAsia="宋体"/>
          <w:color w:val="auto"/>
        </w:rPr>
      </w:pPr>
      <w:r>
        <w:rPr>
          <w:rStyle w:val="44"/>
          <w:rFonts w:hint="eastAsia" w:ascii="宋体" w:hAnsi="宋体" w:eastAsia="宋体"/>
          <w:color w:val="auto"/>
          <w:lang w:val="en-US" w:eastAsia="zh-CN"/>
        </w:rPr>
        <w:t>c)</w:t>
      </w:r>
      <w:r>
        <w:rPr>
          <w:rStyle w:val="44"/>
          <w:rFonts w:hint="eastAsia" w:ascii="宋体" w:hAnsi="宋体" w:eastAsia="宋体"/>
          <w:color w:val="auto"/>
        </w:rPr>
        <w:t>当室外温度≤</w:t>
      </w:r>
      <w:r>
        <w:rPr>
          <w:rStyle w:val="44"/>
          <w:rFonts w:ascii="Times New Roman" w:hAnsi="Times New Roman" w:eastAsia="宋体" w:cs="Times New Roman"/>
          <w:color w:val="auto"/>
        </w:rPr>
        <w:t>28℃</w:t>
      </w:r>
      <w:r>
        <w:rPr>
          <w:rStyle w:val="44"/>
          <w:rFonts w:hint="eastAsia" w:ascii="宋体" w:hAnsi="宋体" w:eastAsia="宋体"/>
          <w:color w:val="auto"/>
        </w:rPr>
        <w:t>且相对湿度≤</w:t>
      </w:r>
      <w:r>
        <w:rPr>
          <w:rStyle w:val="44"/>
          <w:rFonts w:ascii="Times New Roman" w:hAnsi="Times New Roman" w:eastAsia="宋体" w:cs="Times New Roman"/>
          <w:color w:val="auto"/>
        </w:rPr>
        <w:t>70%</w:t>
      </w:r>
      <w:r>
        <w:rPr>
          <w:rStyle w:val="44"/>
          <w:rFonts w:hint="eastAsia" w:ascii="宋体" w:hAnsi="宋体" w:eastAsia="宋体"/>
          <w:color w:val="auto"/>
        </w:rPr>
        <w:t>时，应利用自然通风，不计算建筑的供冷需求。</w:t>
      </w:r>
    </w:p>
    <w:p>
      <w:pPr>
        <w:overflowPunct w:val="0"/>
        <w:snapToGrid w:val="0"/>
        <w:spacing w:line="309" w:lineRule="exact"/>
        <w:ind w:firstLine="420"/>
        <w:rPr>
          <w:rStyle w:val="44"/>
          <w:rFonts w:ascii="宋体" w:hAnsi="宋体" w:eastAsia="宋体"/>
          <w:color w:val="auto"/>
        </w:rPr>
      </w:pPr>
      <w:r>
        <w:rPr>
          <w:rStyle w:val="44"/>
          <w:rFonts w:hint="eastAsia" w:ascii="宋体" w:hAnsi="宋体" w:eastAsia="宋体"/>
          <w:color w:val="auto"/>
          <w:lang w:val="en-US" w:eastAsia="zh-CN"/>
        </w:rPr>
        <w:t>d)</w:t>
      </w:r>
      <w:r>
        <w:rPr>
          <w:rStyle w:val="44"/>
          <w:rFonts w:hint="eastAsia" w:ascii="宋体" w:hAnsi="宋体" w:eastAsia="宋体"/>
          <w:color w:val="auto"/>
        </w:rPr>
        <w:t>供暖通风空调系统能耗计算时，应能考虑部分负荷及间歇使用的影响。</w:t>
      </w:r>
    </w:p>
    <w:p>
      <w:pPr>
        <w:overflowPunct w:val="0"/>
        <w:snapToGrid w:val="0"/>
        <w:spacing w:line="309" w:lineRule="exact"/>
        <w:ind w:firstLine="420"/>
        <w:rPr>
          <w:rStyle w:val="44"/>
          <w:rFonts w:ascii="宋体" w:hAnsi="宋体" w:eastAsia="宋体"/>
          <w:color w:val="auto"/>
        </w:rPr>
      </w:pPr>
      <w:r>
        <w:rPr>
          <w:rStyle w:val="44"/>
          <w:rFonts w:hint="eastAsia" w:ascii="宋体" w:hAnsi="宋体" w:eastAsia="宋体"/>
          <w:color w:val="auto"/>
          <w:lang w:val="en-US" w:eastAsia="zh-CN"/>
        </w:rPr>
        <w:t>e)</w:t>
      </w:r>
      <w:r>
        <w:rPr>
          <w:rStyle w:val="44"/>
          <w:rFonts w:hint="eastAsia" w:ascii="宋体" w:hAnsi="宋体" w:eastAsia="宋体"/>
          <w:color w:val="auto"/>
        </w:rPr>
        <w:t>照明能耗的计算应考虑天然采光和自动控制的影响。</w:t>
      </w:r>
    </w:p>
    <w:p>
      <w:pPr>
        <w:overflowPunct w:val="0"/>
        <w:snapToGrid w:val="0"/>
        <w:spacing w:line="309" w:lineRule="exact"/>
        <w:ind w:firstLine="420"/>
        <w:rPr>
          <w:rFonts w:ascii="宋体" w:hAnsi="宋体" w:cs="宋体"/>
          <w:szCs w:val="21"/>
        </w:rPr>
      </w:pPr>
      <w:r>
        <w:rPr>
          <w:rStyle w:val="44"/>
          <w:rFonts w:hint="eastAsia" w:ascii="宋体" w:hAnsi="宋体" w:eastAsia="宋体"/>
          <w:color w:val="auto"/>
          <w:lang w:val="en-US" w:eastAsia="zh-CN"/>
        </w:rPr>
        <w:t>f)</w:t>
      </w:r>
      <w:r>
        <w:rPr>
          <w:rStyle w:val="44"/>
          <w:rFonts w:hint="eastAsia" w:ascii="宋体" w:hAnsi="宋体" w:eastAsia="宋体"/>
          <w:color w:val="auto"/>
        </w:rPr>
        <w:t>应计算可再生能源利用量。</w:t>
      </w:r>
    </w:p>
    <w:p>
      <w:pPr>
        <w:overflowPunct w:val="0"/>
        <w:snapToGrid w:val="0"/>
        <w:spacing w:line="309" w:lineRule="exact"/>
        <w:outlineLvl w:val="2"/>
        <w:rPr>
          <w:rStyle w:val="44"/>
          <w:rFonts w:ascii="宋体" w:hAnsi="宋体" w:eastAsia="宋体"/>
          <w:color w:val="auto"/>
        </w:rPr>
      </w:pPr>
      <w:r>
        <w:rPr>
          <w:rStyle w:val="44"/>
          <w:rFonts w:eastAsia="宋体"/>
          <w:color w:val="auto"/>
        </w:rPr>
        <w:t>A.1.3</w:t>
      </w:r>
      <w:r>
        <w:rPr>
          <w:rStyle w:val="44"/>
          <w:rFonts w:hint="eastAsia" w:ascii="宋体" w:hAnsi="宋体" w:eastAsia="宋体"/>
          <w:color w:val="auto"/>
        </w:rPr>
        <w:t>　设计建筑能效指标计算参数设置应</w:t>
      </w:r>
    </w:p>
    <w:p>
      <w:pPr>
        <w:overflowPunct w:val="0"/>
        <w:snapToGrid w:val="0"/>
        <w:spacing w:line="309" w:lineRule="exact"/>
        <w:ind w:firstLine="420"/>
        <w:rPr>
          <w:rFonts w:ascii="宋体" w:hAnsi="宋体" w:cs="宋体"/>
          <w:szCs w:val="21"/>
        </w:rPr>
      </w:pPr>
      <w:r>
        <w:rPr>
          <w:rStyle w:val="44"/>
          <w:rFonts w:hint="eastAsia" w:ascii="宋体" w:hAnsi="宋体" w:eastAsia="宋体"/>
          <w:color w:val="auto"/>
          <w:lang w:val="en-US" w:eastAsia="zh-CN"/>
        </w:rPr>
        <w:t>a</w:t>
      </w:r>
      <w:r>
        <w:rPr>
          <w:rStyle w:val="44"/>
          <w:rFonts w:hint="eastAsia" w:ascii="宋体" w:hAnsi="宋体" w:eastAsia="宋体"/>
          <w:color w:val="auto"/>
          <w:lang w:eastAsia="zh-CN"/>
        </w:rPr>
        <w:t>）</w:t>
      </w:r>
      <w:r>
        <w:rPr>
          <w:rStyle w:val="44"/>
          <w:rFonts w:hint="eastAsia" w:ascii="宋体" w:hAnsi="宋体" w:eastAsia="宋体"/>
          <w:color w:val="auto"/>
        </w:rPr>
        <w:t>建筑的形状、大小、朝向、内部的空间划分和使用功能、建筑构造尺寸、建筑围护结构传热系数、做法、外窗（包括透光幕墙）太阳得热系数、窗墙面积比、屋面开窗面积应与建筑设计文件一致。</w:t>
      </w:r>
    </w:p>
    <w:p>
      <w:pPr>
        <w:overflowPunct w:val="0"/>
        <w:snapToGrid w:val="0"/>
        <w:spacing w:line="309" w:lineRule="exact"/>
        <w:ind w:firstLine="420"/>
        <w:rPr>
          <w:rFonts w:ascii="宋体" w:hAnsi="宋体" w:cs="宋体"/>
          <w:szCs w:val="21"/>
        </w:rPr>
      </w:pPr>
      <w:r>
        <w:rPr>
          <w:rStyle w:val="44"/>
          <w:rFonts w:hint="eastAsia" w:ascii="宋体" w:hAnsi="宋体" w:eastAsia="宋体"/>
          <w:color w:val="auto"/>
          <w:lang w:val="en-US" w:eastAsia="zh-CN"/>
        </w:rPr>
        <w:t>b)</w:t>
      </w:r>
      <w:r>
        <w:rPr>
          <w:rStyle w:val="44"/>
          <w:rFonts w:hint="eastAsia" w:ascii="宋体" w:hAnsi="宋体" w:eastAsia="宋体"/>
          <w:color w:val="auto"/>
        </w:rPr>
        <w:t>建筑功能区除设计文件明确为非空调区外，均应按设置供暖和空气调节系统计算。</w:t>
      </w:r>
    </w:p>
    <w:p>
      <w:pPr>
        <w:overflowPunct w:val="0"/>
        <w:snapToGrid w:val="0"/>
        <w:spacing w:line="309" w:lineRule="exact"/>
        <w:ind w:firstLine="420"/>
        <w:rPr>
          <w:rFonts w:ascii="宋体" w:hAnsi="宋体" w:cs="宋体"/>
          <w:szCs w:val="21"/>
        </w:rPr>
      </w:pPr>
      <w:r>
        <w:rPr>
          <w:rStyle w:val="44"/>
          <w:rFonts w:hint="eastAsia" w:ascii="宋体" w:hAnsi="宋体" w:eastAsia="宋体"/>
          <w:color w:val="auto"/>
          <w:lang w:val="en-US" w:eastAsia="zh-CN"/>
        </w:rPr>
        <w:t>c)</w:t>
      </w:r>
      <w:r>
        <w:rPr>
          <w:rStyle w:val="44"/>
          <w:rFonts w:hint="eastAsia" w:ascii="宋体" w:hAnsi="宋体" w:eastAsia="宋体"/>
          <w:color w:val="auto"/>
        </w:rPr>
        <w:t>建筑的空气调节和供暖系统运行时间、房间人员密度及在室率、电器设备功率密度及使用率、照明开启时间、活动遮阳装置遮阳系数按照现行国家标准</w:t>
      </w:r>
      <w:r>
        <w:rPr>
          <w:rStyle w:val="44"/>
          <w:rFonts w:ascii="Times New Roman" w:hAnsi="Times New Roman" w:eastAsia="宋体" w:cs="Times New Roman"/>
          <w:color w:val="auto"/>
        </w:rPr>
        <w:t>GB55015</w:t>
      </w:r>
      <w:r>
        <w:rPr>
          <w:rStyle w:val="44"/>
          <w:rFonts w:hint="eastAsia" w:ascii="宋体" w:hAnsi="宋体" w:eastAsia="宋体"/>
          <w:color w:val="auto"/>
        </w:rPr>
        <w:t>附录</w:t>
      </w:r>
      <w:r>
        <w:rPr>
          <w:rStyle w:val="44"/>
          <w:rFonts w:ascii="Times New Roman" w:hAnsi="Times New Roman" w:eastAsia="宋体" w:cs="Times New Roman"/>
          <w:color w:val="auto"/>
        </w:rPr>
        <w:t>C</w:t>
      </w:r>
      <w:r>
        <w:rPr>
          <w:rStyle w:val="44"/>
          <w:rFonts w:hint="eastAsia" w:ascii="宋体" w:hAnsi="宋体" w:eastAsia="宋体"/>
          <w:color w:val="auto"/>
        </w:rPr>
        <w:t>执行。</w:t>
      </w:r>
    </w:p>
    <w:p>
      <w:pPr>
        <w:overflowPunct w:val="0"/>
        <w:snapToGrid w:val="0"/>
        <w:spacing w:line="309" w:lineRule="exact"/>
        <w:ind w:firstLine="420"/>
        <w:rPr>
          <w:rFonts w:ascii="宋体" w:hAnsi="宋体" w:cs="宋体"/>
          <w:szCs w:val="21"/>
        </w:rPr>
      </w:pPr>
      <w:r>
        <w:rPr>
          <w:rStyle w:val="44"/>
          <w:rFonts w:hint="eastAsia" w:ascii="宋体" w:hAnsi="宋体" w:eastAsia="宋体"/>
          <w:color w:val="auto"/>
          <w:lang w:val="en-US" w:eastAsia="zh-CN"/>
        </w:rPr>
        <w:t>d)</w:t>
      </w:r>
      <w:r>
        <w:rPr>
          <w:rStyle w:val="44"/>
          <w:rFonts w:hint="eastAsia" w:ascii="宋体" w:hAnsi="宋体" w:eastAsia="宋体"/>
          <w:color w:val="auto"/>
        </w:rPr>
        <w:t>照明系统的照明功率密度值应与建筑设计文件一致。</w:t>
      </w:r>
    </w:p>
    <w:p>
      <w:pPr>
        <w:overflowPunct w:val="0"/>
        <w:snapToGrid w:val="0"/>
        <w:spacing w:line="309" w:lineRule="exact"/>
        <w:ind w:firstLine="420"/>
        <w:rPr>
          <w:rFonts w:ascii="宋体" w:hAnsi="宋体" w:cs="宋体"/>
          <w:szCs w:val="21"/>
        </w:rPr>
      </w:pPr>
      <w:r>
        <w:rPr>
          <w:rStyle w:val="44"/>
          <w:rFonts w:hint="eastAsia" w:ascii="宋体" w:hAnsi="宋体" w:eastAsia="宋体"/>
          <w:color w:val="auto"/>
          <w:lang w:val="en-US" w:eastAsia="zh-CN"/>
        </w:rPr>
        <w:t>e)</w:t>
      </w:r>
      <w:r>
        <w:rPr>
          <w:rStyle w:val="44"/>
          <w:rFonts w:hint="eastAsia" w:ascii="宋体" w:hAnsi="宋体" w:eastAsia="宋体"/>
          <w:color w:val="auto"/>
        </w:rPr>
        <w:t>供暖、通风、空调、生活热水、电梯系统的系统形式和能效应与设计文件一致。</w:t>
      </w:r>
    </w:p>
    <w:p>
      <w:pPr>
        <w:overflowPunct w:val="0"/>
        <w:snapToGrid w:val="0"/>
        <w:spacing w:line="309" w:lineRule="exact"/>
        <w:ind w:firstLine="420"/>
        <w:rPr>
          <w:rFonts w:ascii="宋体" w:hAnsi="宋体" w:cs="宋体"/>
          <w:szCs w:val="21"/>
        </w:rPr>
      </w:pPr>
      <w:r>
        <w:rPr>
          <w:rStyle w:val="44"/>
          <w:rFonts w:hint="eastAsia" w:ascii="宋体" w:hAnsi="宋体" w:eastAsia="宋体"/>
          <w:color w:val="auto"/>
          <w:lang w:val="en-US" w:eastAsia="zh-CN"/>
        </w:rPr>
        <w:t>f)</w:t>
      </w:r>
      <w:r>
        <w:rPr>
          <w:rStyle w:val="44"/>
          <w:rFonts w:hint="eastAsia" w:ascii="宋体" w:hAnsi="宋体" w:eastAsia="宋体"/>
          <w:color w:val="auto"/>
        </w:rPr>
        <w:t>可再生能源系统形式及效率应与设计文件一致。</w:t>
      </w:r>
    </w:p>
    <w:p>
      <w:pPr>
        <w:overflowPunct w:val="0"/>
        <w:snapToGrid w:val="0"/>
        <w:spacing w:line="309" w:lineRule="exact"/>
        <w:outlineLvl w:val="2"/>
        <w:rPr>
          <w:rFonts w:ascii="宋体" w:hAnsi="宋体" w:cs="宋体"/>
          <w:szCs w:val="21"/>
        </w:rPr>
      </w:pPr>
      <w:r>
        <w:rPr>
          <w:rFonts w:ascii="黑体" w:hAnsi="黑体" w:eastAsia="宋体" w:cs="宋体"/>
          <w:szCs w:val="21"/>
        </w:rPr>
        <w:t>A.1.4</w:t>
      </w:r>
      <w:r>
        <w:rPr>
          <w:rFonts w:hint="eastAsia" w:ascii="宋体" w:hAnsi="宋体" w:cs="宋体"/>
          <w:szCs w:val="21"/>
        </w:rPr>
        <w:t>　基准建筑能耗指标计算应符合下列规定：</w:t>
      </w:r>
    </w:p>
    <w:p>
      <w:pPr>
        <w:overflowPunct w:val="0"/>
        <w:snapToGrid w:val="0"/>
        <w:spacing w:line="309" w:lineRule="exact"/>
        <w:ind w:firstLine="420"/>
        <w:rPr>
          <w:rFonts w:ascii="宋体" w:hAnsi="宋体" w:cs="宋体"/>
          <w:szCs w:val="21"/>
        </w:rPr>
      </w:pPr>
      <w:r>
        <w:rPr>
          <w:rStyle w:val="44"/>
          <w:rFonts w:hint="eastAsia" w:ascii="宋体" w:hAnsi="宋体" w:eastAsia="宋体"/>
          <w:color w:val="auto"/>
          <w:lang w:val="en-US" w:eastAsia="zh-CN"/>
        </w:rPr>
        <w:t>a</w:t>
      </w:r>
      <w:r>
        <w:rPr>
          <w:rStyle w:val="44"/>
          <w:rFonts w:hint="eastAsia" w:ascii="宋体" w:hAnsi="宋体" w:eastAsia="宋体"/>
          <w:color w:val="auto"/>
          <w:lang w:eastAsia="zh-CN"/>
        </w:rPr>
        <w:t>）</w:t>
      </w:r>
      <w:r>
        <w:rPr>
          <w:rFonts w:hint="eastAsia" w:ascii="宋体" w:hAnsi="宋体" w:cs="宋体"/>
          <w:szCs w:val="21"/>
        </w:rPr>
        <w:t>建筑的形状、大小内部的空间划分和使用功能、建筑构造、围护结构做法应与设计建筑一致。</w:t>
      </w:r>
    </w:p>
    <w:p>
      <w:pPr>
        <w:overflowPunct w:val="0"/>
        <w:snapToGrid w:val="0"/>
        <w:spacing w:line="309" w:lineRule="exact"/>
        <w:ind w:firstLine="420"/>
        <w:rPr>
          <w:rFonts w:ascii="宋体" w:hAnsi="宋体" w:cs="宋体"/>
          <w:szCs w:val="21"/>
        </w:rPr>
      </w:pPr>
      <w:r>
        <w:rPr>
          <w:rStyle w:val="44"/>
          <w:rFonts w:hint="eastAsia" w:ascii="宋体" w:hAnsi="宋体" w:eastAsia="宋体"/>
          <w:color w:val="auto"/>
          <w:lang w:val="en-US" w:eastAsia="zh-CN"/>
        </w:rPr>
        <w:t>b)</w:t>
      </w:r>
      <w:r>
        <w:rPr>
          <w:rStyle w:val="44"/>
          <w:rFonts w:hint="eastAsia" w:ascii="宋体" w:hAnsi="宋体" w:eastAsia="宋体"/>
          <w:color w:val="auto"/>
        </w:rPr>
        <w:t>建筑的空气调节和供暖系统运行时间、室内温度、照明开关时间、电梯系统运行时间、房间人均占有的使用面积及在室率、人员新风量及新风机组运行时间表、电器设备功率密度及使用率应与设计建筑一致；照明功率密度值应按照GB55015附录C执行。</w:t>
      </w:r>
    </w:p>
    <w:p>
      <w:pPr>
        <w:overflowPunct w:val="0"/>
        <w:snapToGrid w:val="0"/>
        <w:spacing w:line="309" w:lineRule="exact"/>
        <w:ind w:firstLine="420"/>
        <w:rPr>
          <w:rFonts w:ascii="宋体" w:hAnsi="宋体" w:cs="宋体"/>
          <w:szCs w:val="21"/>
        </w:rPr>
      </w:pPr>
      <w:r>
        <w:rPr>
          <w:rStyle w:val="44"/>
          <w:rFonts w:hint="eastAsia" w:ascii="宋体" w:hAnsi="宋体" w:eastAsia="宋体"/>
          <w:color w:val="auto"/>
          <w:lang w:val="en-US" w:eastAsia="zh-CN"/>
        </w:rPr>
        <w:t>c)</w:t>
      </w:r>
      <w:r>
        <w:rPr>
          <w:rFonts w:hint="eastAsia" w:ascii="宋体" w:hAnsi="宋体" w:cs="宋体"/>
          <w:szCs w:val="21"/>
        </w:rPr>
        <w:t>基准建筑围护结构热工性能和冷热源性能应按</w:t>
      </w:r>
      <w:r>
        <w:rPr>
          <w:rStyle w:val="44"/>
          <w:rFonts w:hint="eastAsia" w:ascii="宋体" w:hAnsi="宋体" w:eastAsia="宋体"/>
          <w:color w:val="auto"/>
        </w:rPr>
        <w:t>GB55015规定值选取，未规定的</w:t>
      </w:r>
      <w:r>
        <w:rPr>
          <w:rFonts w:hint="eastAsia" w:ascii="宋体" w:hAnsi="宋体" w:cs="宋体"/>
          <w:szCs w:val="21"/>
        </w:rPr>
        <w:t>围护结构热工性能和冷热源性能的相关</w:t>
      </w:r>
      <w:r>
        <w:rPr>
          <w:rStyle w:val="44"/>
          <w:rFonts w:hint="eastAsia" w:ascii="宋体" w:hAnsi="宋体" w:eastAsia="宋体"/>
          <w:color w:val="auto"/>
        </w:rPr>
        <w:t>参数应与设计建筑一致。</w:t>
      </w:r>
    </w:p>
    <w:p>
      <w:pPr>
        <w:overflowPunct w:val="0"/>
        <w:snapToGrid w:val="0"/>
        <w:spacing w:line="309" w:lineRule="exact"/>
        <w:ind w:firstLine="420"/>
        <w:rPr>
          <w:rFonts w:ascii="宋体" w:hAnsi="宋体" w:cs="宋体"/>
          <w:szCs w:val="21"/>
        </w:rPr>
      </w:pPr>
      <w:r>
        <w:rPr>
          <w:rStyle w:val="44"/>
          <w:rFonts w:hint="eastAsia" w:ascii="宋体" w:hAnsi="宋体" w:eastAsia="宋体"/>
          <w:color w:val="auto"/>
          <w:lang w:val="en-US" w:eastAsia="zh-CN"/>
        </w:rPr>
        <w:t>d)</w:t>
      </w:r>
      <w:r>
        <w:rPr>
          <w:rStyle w:val="44"/>
          <w:rFonts w:hint="eastAsia" w:ascii="宋体" w:hAnsi="宋体" w:eastAsia="宋体"/>
          <w:color w:val="auto"/>
        </w:rPr>
        <w:t>按照设计建筑实际朝向建立基准建筑模型的计算负荷作为基准建筑负荷。</w:t>
      </w:r>
    </w:p>
    <w:p>
      <w:pPr>
        <w:overflowPunct w:val="0"/>
        <w:snapToGrid w:val="0"/>
        <w:spacing w:line="309" w:lineRule="exact"/>
        <w:ind w:firstLine="420"/>
        <w:rPr>
          <w:rFonts w:ascii="宋体" w:hAnsi="宋体" w:cs="宋体"/>
          <w:szCs w:val="21"/>
        </w:rPr>
      </w:pPr>
      <w:r>
        <w:rPr>
          <w:rStyle w:val="44"/>
          <w:rFonts w:hint="eastAsia" w:ascii="宋体" w:hAnsi="宋体" w:eastAsia="宋体"/>
          <w:color w:val="auto"/>
          <w:lang w:val="en-US" w:eastAsia="zh-CN"/>
        </w:rPr>
        <w:t>e)</w:t>
      </w:r>
      <w:r>
        <w:rPr>
          <w:rStyle w:val="44"/>
          <w:rFonts w:hint="eastAsia" w:ascii="宋体" w:hAnsi="宋体" w:eastAsia="宋体"/>
          <w:color w:val="auto"/>
        </w:rPr>
        <w:t>基准建筑无活动遮阳装置，其窗墙面积比与设计建筑一致。</w:t>
      </w:r>
    </w:p>
    <w:p>
      <w:pPr>
        <w:overflowPunct w:val="0"/>
        <w:snapToGrid w:val="0"/>
        <w:spacing w:line="309" w:lineRule="exact"/>
        <w:ind w:firstLine="420"/>
        <w:rPr>
          <w:rFonts w:ascii="宋体" w:hAnsi="宋体" w:cs="宋体"/>
          <w:szCs w:val="21"/>
        </w:rPr>
      </w:pPr>
      <w:r>
        <w:rPr>
          <w:rFonts w:hint="eastAsia" w:ascii="黑体" w:hAnsi="黑体" w:eastAsia="宋体" w:cs="宋体"/>
          <w:szCs w:val="21"/>
          <w:lang w:val="en-US" w:eastAsia="zh-CN"/>
        </w:rPr>
        <w:t>f)</w:t>
      </w:r>
      <w:r>
        <w:rPr>
          <w:rStyle w:val="44"/>
          <w:rFonts w:hint="eastAsia" w:ascii="宋体" w:hAnsi="宋体" w:eastAsia="宋体"/>
          <w:color w:val="auto"/>
        </w:rPr>
        <w:t>基准建筑的供暖空调系统形式应依据设计建筑的系统形式按照表</w:t>
      </w:r>
      <w:r>
        <w:rPr>
          <w:rStyle w:val="44"/>
          <w:rFonts w:hint="eastAsia" w:ascii="Times New Roman" w:hAnsi="Times New Roman" w:eastAsia="宋体" w:cs="Times New Roman"/>
          <w:color w:val="auto"/>
          <w:lang w:val="en-US" w:eastAsia="zh-CN"/>
        </w:rPr>
        <w:t>A.1</w:t>
      </w:r>
      <w:r>
        <w:rPr>
          <w:rStyle w:val="44"/>
          <w:rFonts w:hint="eastAsia" w:ascii="宋体" w:hAnsi="宋体" w:eastAsia="宋体"/>
          <w:color w:val="auto"/>
        </w:rPr>
        <w:t>确定；基准建筑的生活热水系统形式和用水定额应与设计建筑一致。</w:t>
      </w:r>
    </w:p>
    <w:p>
      <w:pPr>
        <w:overflowPunct w:val="0"/>
        <w:snapToGrid w:val="0"/>
        <w:spacing w:line="309" w:lineRule="exact"/>
        <w:ind w:firstLine="420"/>
        <w:rPr>
          <w:rFonts w:ascii="宋体" w:hAnsi="宋体" w:cs="宋体"/>
          <w:szCs w:val="21"/>
        </w:rPr>
      </w:pPr>
      <w:r>
        <w:rPr>
          <w:rFonts w:hint="eastAsia" w:ascii="黑体" w:hAnsi="黑体" w:eastAsia="宋体" w:cs="宋体"/>
          <w:szCs w:val="21"/>
          <w:lang w:val="en-US" w:eastAsia="zh-CN"/>
        </w:rPr>
        <w:t>g)</w:t>
      </w:r>
      <w:r>
        <w:rPr>
          <w:rStyle w:val="44"/>
          <w:rFonts w:hint="eastAsia" w:ascii="宋体" w:hAnsi="宋体" w:eastAsia="宋体"/>
          <w:color w:val="auto"/>
        </w:rPr>
        <w:t>基准建筑的电梯系统形式、类型、台数、设计速度、额定载客人数应与设计建筑一致，电梯待机时的能量需求（输出）为</w:t>
      </w:r>
      <w:r>
        <w:rPr>
          <w:rStyle w:val="44"/>
          <w:rFonts w:ascii="Times New Roman" w:hAnsi="Times New Roman" w:eastAsia="宋体" w:cs="Times New Roman"/>
          <w:color w:val="auto"/>
        </w:rPr>
        <w:t>200W</w:t>
      </w:r>
      <w:r>
        <w:rPr>
          <w:rStyle w:val="44"/>
          <w:rFonts w:hint="eastAsia" w:ascii="宋体" w:hAnsi="宋体" w:eastAsia="宋体"/>
          <w:color w:val="auto"/>
        </w:rPr>
        <w:t>，运行时的特定能量消耗为</w:t>
      </w:r>
      <w:r>
        <w:rPr>
          <w:rStyle w:val="44"/>
          <w:rFonts w:ascii="Times New Roman" w:hAnsi="Times New Roman" w:eastAsia="宋体" w:cs="Times New Roman"/>
          <w:color w:val="auto"/>
        </w:rPr>
        <w:t>1.26mWh/（kg·m）</w:t>
      </w:r>
      <w:r>
        <w:rPr>
          <w:rStyle w:val="44"/>
          <w:rFonts w:hint="eastAsia" w:ascii="宋体" w:hAnsi="宋体" w:eastAsia="宋体"/>
          <w:color w:val="auto"/>
        </w:rPr>
        <w:t>。</w:t>
      </w:r>
    </w:p>
    <w:p>
      <w:pPr>
        <w:pStyle w:val="42"/>
        <w:widowControl w:val="0"/>
        <w:overflowPunct w:val="0"/>
        <w:autoSpaceDE/>
        <w:autoSpaceDN/>
        <w:spacing w:before="62" w:beforeLines="20" w:after="78" w:afterLines="25" w:line="309" w:lineRule="exact"/>
        <w:ind w:firstLine="0" w:firstLineChars="0"/>
        <w:jc w:val="center"/>
        <w:rPr>
          <w:rFonts w:hAnsi="宋体" w:eastAsia="黑体"/>
        </w:rPr>
      </w:pPr>
      <w:r>
        <w:rPr>
          <w:rFonts w:ascii="黑体" w:hAnsi="黑体" w:eastAsia="黑体" w:cs="黑体"/>
          <w:sz w:val="18"/>
          <w:szCs w:val="18"/>
        </w:rPr>
        <w:t>表</w:t>
      </w:r>
      <w:r>
        <w:rPr>
          <w:rFonts w:hint="eastAsia" w:ascii="黑体" w:hAnsi="黑体" w:eastAsia="黑体" w:cs="黑体"/>
          <w:sz w:val="18"/>
          <w:szCs w:val="18"/>
        </w:rPr>
        <w:t>A.1基准建筑供暖供冷系统形式</w:t>
      </w:r>
    </w:p>
    <w:tbl>
      <w:tblPr>
        <w:tblStyle w:val="14"/>
        <w:tblW w:w="934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44"/>
        <w:gridCol w:w="4101"/>
        <w:gridCol w:w="410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blHeader/>
          <w:jc w:val="center"/>
        </w:trPr>
        <w:tc>
          <w:tcPr>
            <w:tcW w:w="1144" w:type="dxa"/>
            <w:tcBorders>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cs="宋体"/>
                <w:sz w:val="18"/>
                <w:szCs w:val="18"/>
              </w:rPr>
            </w:pPr>
            <w:r>
              <w:rPr>
                <w:rFonts w:hint="eastAsia" w:ascii="宋体" w:hAnsi="宋体" w:cs="宋体"/>
                <w:sz w:val="18"/>
                <w:szCs w:val="18"/>
              </w:rPr>
              <w:t>系统分类</w:t>
            </w:r>
          </w:p>
        </w:tc>
        <w:tc>
          <w:tcPr>
            <w:tcW w:w="4101" w:type="dxa"/>
            <w:tcBorders>
              <w:left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cs="宋体"/>
                <w:sz w:val="18"/>
                <w:szCs w:val="18"/>
              </w:rPr>
            </w:pPr>
            <w:r>
              <w:rPr>
                <w:rFonts w:hint="eastAsia" w:ascii="宋体" w:hAnsi="宋体" w:cs="宋体"/>
                <w:sz w:val="18"/>
                <w:szCs w:val="18"/>
              </w:rPr>
              <w:t>设计建筑</w:t>
            </w:r>
          </w:p>
        </w:tc>
        <w:tc>
          <w:tcPr>
            <w:tcW w:w="4102" w:type="dxa"/>
            <w:tcBorders>
              <w:left w:val="single" w:color="000000"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cs="宋体"/>
                <w:sz w:val="18"/>
                <w:szCs w:val="18"/>
              </w:rPr>
            </w:pPr>
            <w:r>
              <w:rPr>
                <w:rFonts w:hint="eastAsia" w:ascii="宋体" w:hAnsi="宋体" w:cs="宋体"/>
                <w:sz w:val="18"/>
                <w:szCs w:val="18"/>
              </w:rPr>
              <w:t>基准建筑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blHeader/>
          <w:jc w:val="center"/>
        </w:trPr>
        <w:tc>
          <w:tcPr>
            <w:tcW w:w="1144" w:type="dxa"/>
            <w:vMerge w:val="restart"/>
            <w:tcBorders>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冷源</w:t>
            </w:r>
          </w:p>
        </w:tc>
        <w:tc>
          <w:tcPr>
            <w:tcW w:w="4101" w:type="dxa"/>
            <w:tcBorders>
              <w:left w:val="single" w:color="auto" w:sz="4" w:space="0"/>
              <w:bottom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离心式冷水机组</w:t>
            </w:r>
          </w:p>
        </w:tc>
        <w:tc>
          <w:tcPr>
            <w:tcW w:w="4102" w:type="dxa"/>
            <w:tcBorders>
              <w:left w:val="single" w:color="auto" w:sz="4" w:space="0"/>
              <w:bottom w:val="single" w:color="auto" w:sz="4" w:space="0"/>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离心式冷水机组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blHeader/>
          <w:jc w:val="center"/>
        </w:trPr>
        <w:tc>
          <w:tcPr>
            <w:tcW w:w="1144" w:type="dxa"/>
            <w:vMerge w:val="continue"/>
            <w:tcBorders>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p>
        </w:tc>
        <w:tc>
          <w:tcPr>
            <w:tcW w:w="4101" w:type="dxa"/>
            <w:tcBorders>
              <w:top w:val="single" w:color="auto" w:sz="4" w:space="0"/>
              <w:left w:val="single" w:color="auto" w:sz="4" w:space="0"/>
              <w:bottom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螺杆式冷水机组</w:t>
            </w:r>
          </w:p>
        </w:tc>
        <w:tc>
          <w:tcPr>
            <w:tcW w:w="4102" w:type="dxa"/>
            <w:tcBorders>
              <w:top w:val="single" w:color="auto" w:sz="4" w:space="0"/>
              <w:left w:val="single" w:color="auto" w:sz="4" w:space="0"/>
              <w:bottom w:val="single" w:color="auto" w:sz="4" w:space="0"/>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螺杆式冷水机组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blHeader/>
          <w:jc w:val="center"/>
        </w:trPr>
        <w:tc>
          <w:tcPr>
            <w:tcW w:w="1144" w:type="dxa"/>
            <w:vMerge w:val="continue"/>
            <w:tcBorders>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p>
        </w:tc>
        <w:tc>
          <w:tcPr>
            <w:tcW w:w="4101" w:type="dxa"/>
            <w:tcBorders>
              <w:top w:val="single" w:color="auto" w:sz="4" w:space="0"/>
              <w:left w:val="single" w:color="auto" w:sz="4" w:space="0"/>
              <w:bottom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离心式+螺杆式冷水机组</w:t>
            </w:r>
          </w:p>
        </w:tc>
        <w:tc>
          <w:tcPr>
            <w:tcW w:w="4102" w:type="dxa"/>
            <w:tcBorders>
              <w:top w:val="single" w:color="auto" w:sz="4" w:space="0"/>
              <w:left w:val="single" w:color="auto" w:sz="4" w:space="0"/>
              <w:bottom w:val="single" w:color="auto" w:sz="4" w:space="0"/>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离心式+螺杆式冷水机组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blHeader/>
          <w:jc w:val="center"/>
        </w:trPr>
        <w:tc>
          <w:tcPr>
            <w:tcW w:w="1144" w:type="dxa"/>
            <w:vMerge w:val="continue"/>
            <w:tcBorders>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p>
        </w:tc>
        <w:tc>
          <w:tcPr>
            <w:tcW w:w="4101" w:type="dxa"/>
            <w:tcBorders>
              <w:top w:val="single" w:color="auto" w:sz="4" w:space="0"/>
              <w:left w:val="single" w:color="auto" w:sz="4" w:space="0"/>
              <w:bottom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水源/地源热泵</w:t>
            </w:r>
          </w:p>
        </w:tc>
        <w:tc>
          <w:tcPr>
            <w:tcW w:w="4102" w:type="dxa"/>
            <w:tcBorders>
              <w:top w:val="single" w:color="auto" w:sz="4" w:space="0"/>
              <w:left w:val="single" w:color="auto" w:sz="4" w:space="0"/>
              <w:bottom w:val="single" w:color="auto" w:sz="4" w:space="0"/>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螺杆式冷水机组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blHeader/>
          <w:jc w:val="center"/>
        </w:trPr>
        <w:tc>
          <w:tcPr>
            <w:tcW w:w="1144" w:type="dxa"/>
            <w:vMerge w:val="continue"/>
            <w:tcBorders>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p>
        </w:tc>
        <w:tc>
          <w:tcPr>
            <w:tcW w:w="4101" w:type="dxa"/>
            <w:tcBorders>
              <w:top w:val="single" w:color="auto" w:sz="4" w:space="0"/>
              <w:left w:val="single" w:color="auto" w:sz="4" w:space="0"/>
              <w:bottom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风冷热泵</w:t>
            </w:r>
          </w:p>
        </w:tc>
        <w:tc>
          <w:tcPr>
            <w:tcW w:w="4102" w:type="dxa"/>
            <w:tcBorders>
              <w:top w:val="single" w:color="auto" w:sz="4" w:space="0"/>
              <w:left w:val="single" w:color="auto" w:sz="4" w:space="0"/>
              <w:bottom w:val="single" w:color="auto" w:sz="4" w:space="0"/>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风冷热泵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blHeader/>
          <w:jc w:val="center"/>
        </w:trPr>
        <w:tc>
          <w:tcPr>
            <w:tcW w:w="1144" w:type="dxa"/>
            <w:vMerge w:val="continue"/>
            <w:tcBorders>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p>
        </w:tc>
        <w:tc>
          <w:tcPr>
            <w:tcW w:w="4101" w:type="dxa"/>
            <w:tcBorders>
              <w:top w:val="single" w:color="auto" w:sz="4" w:space="0"/>
              <w:left w:val="single" w:color="auto" w:sz="4" w:space="0"/>
              <w:bottom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吸收式制冷机组</w:t>
            </w:r>
          </w:p>
        </w:tc>
        <w:tc>
          <w:tcPr>
            <w:tcW w:w="4102" w:type="dxa"/>
            <w:tcBorders>
              <w:top w:val="single" w:color="auto" w:sz="4" w:space="0"/>
              <w:left w:val="single" w:color="auto" w:sz="4" w:space="0"/>
              <w:bottom w:val="single" w:color="auto" w:sz="4" w:space="0"/>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吸收式制冷机组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blHeader/>
          <w:jc w:val="center"/>
        </w:trPr>
        <w:tc>
          <w:tcPr>
            <w:tcW w:w="1144" w:type="dxa"/>
            <w:vMerge w:val="continue"/>
            <w:tcBorders>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p>
        </w:tc>
        <w:tc>
          <w:tcPr>
            <w:tcW w:w="4101" w:type="dxa"/>
            <w:tcBorders>
              <w:top w:val="single" w:color="auto" w:sz="4" w:space="0"/>
              <w:left w:val="single" w:color="auto" w:sz="4" w:space="0"/>
              <w:bottom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单元式空调机组、多联式空调（热泵）机组或风管送风式空调（热泵）机组</w:t>
            </w:r>
          </w:p>
        </w:tc>
        <w:tc>
          <w:tcPr>
            <w:tcW w:w="4102" w:type="dxa"/>
            <w:tcBorders>
              <w:top w:val="single" w:color="auto" w:sz="4" w:space="0"/>
              <w:left w:val="single" w:color="auto" w:sz="4" w:space="0"/>
              <w:bottom w:val="single" w:color="auto" w:sz="4" w:space="0"/>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单元式空调机组、多联式空调（热泵）机组或风管送风式空调（热泵）机组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blHeader/>
          <w:jc w:val="center"/>
        </w:trPr>
        <w:tc>
          <w:tcPr>
            <w:tcW w:w="1144" w:type="dxa"/>
            <w:vMerge w:val="continue"/>
            <w:tcBorders>
              <w:bottom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p>
        </w:tc>
        <w:tc>
          <w:tcPr>
            <w:tcW w:w="4101" w:type="dxa"/>
            <w:tcBorders>
              <w:top w:val="single" w:color="auto" w:sz="4" w:space="0"/>
              <w:left w:val="single" w:color="auto" w:sz="4" w:space="0"/>
              <w:bottom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集中冷源</w:t>
            </w:r>
          </w:p>
        </w:tc>
        <w:tc>
          <w:tcPr>
            <w:tcW w:w="4102" w:type="dxa"/>
            <w:tcBorders>
              <w:top w:val="single" w:color="auto" w:sz="4" w:space="0"/>
              <w:left w:val="single" w:color="auto" w:sz="4" w:space="0"/>
              <w:bottom w:val="single" w:color="auto" w:sz="4" w:space="0"/>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离心式/螺杆式冷水机组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blHeader/>
          <w:jc w:val="center"/>
        </w:trPr>
        <w:tc>
          <w:tcPr>
            <w:tcW w:w="1144" w:type="dxa"/>
            <w:vMerge w:val="restart"/>
            <w:tcBorders>
              <w:top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热源</w:t>
            </w:r>
          </w:p>
        </w:tc>
        <w:tc>
          <w:tcPr>
            <w:tcW w:w="4101" w:type="dxa"/>
            <w:tcBorders>
              <w:top w:val="single" w:color="auto" w:sz="4" w:space="0"/>
              <w:left w:val="single" w:color="auto" w:sz="4" w:space="0"/>
              <w:bottom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燃油锅炉</w:t>
            </w:r>
          </w:p>
        </w:tc>
        <w:tc>
          <w:tcPr>
            <w:tcW w:w="4102" w:type="dxa"/>
            <w:tcBorders>
              <w:top w:val="single" w:color="auto" w:sz="4" w:space="0"/>
              <w:left w:val="single" w:color="auto" w:sz="4" w:space="0"/>
              <w:bottom w:val="single" w:color="auto" w:sz="4" w:space="0"/>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燃油锅炉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blHeader/>
          <w:jc w:val="center"/>
        </w:trPr>
        <w:tc>
          <w:tcPr>
            <w:tcW w:w="1144" w:type="dxa"/>
            <w:vMerge w:val="continue"/>
            <w:tcBorders>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p>
        </w:tc>
        <w:tc>
          <w:tcPr>
            <w:tcW w:w="4101" w:type="dxa"/>
            <w:tcBorders>
              <w:top w:val="single" w:color="auto" w:sz="4" w:space="0"/>
              <w:left w:val="single" w:color="auto" w:sz="4" w:space="0"/>
              <w:bottom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燃气锅炉</w:t>
            </w:r>
          </w:p>
        </w:tc>
        <w:tc>
          <w:tcPr>
            <w:tcW w:w="4102" w:type="dxa"/>
            <w:tcBorders>
              <w:top w:val="single" w:color="auto" w:sz="4" w:space="0"/>
              <w:left w:val="single" w:color="auto" w:sz="4" w:space="0"/>
              <w:bottom w:val="single" w:color="auto" w:sz="4" w:space="0"/>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燃气锅炉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blHeader/>
          <w:jc w:val="center"/>
        </w:trPr>
        <w:tc>
          <w:tcPr>
            <w:tcW w:w="1144" w:type="dxa"/>
            <w:vMerge w:val="continue"/>
            <w:tcBorders>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p>
        </w:tc>
        <w:tc>
          <w:tcPr>
            <w:tcW w:w="4101" w:type="dxa"/>
            <w:tcBorders>
              <w:top w:val="single" w:color="auto" w:sz="4" w:space="0"/>
              <w:left w:val="single" w:color="auto" w:sz="4" w:space="0"/>
              <w:bottom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风冷热泵</w:t>
            </w:r>
          </w:p>
        </w:tc>
        <w:tc>
          <w:tcPr>
            <w:tcW w:w="4102" w:type="dxa"/>
            <w:tcBorders>
              <w:top w:val="single" w:color="auto" w:sz="4" w:space="0"/>
              <w:left w:val="single" w:color="auto" w:sz="4" w:space="0"/>
              <w:bottom w:val="single" w:color="auto" w:sz="4" w:space="0"/>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燃气锅炉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blHeader/>
          <w:jc w:val="center"/>
        </w:trPr>
        <w:tc>
          <w:tcPr>
            <w:tcW w:w="1144" w:type="dxa"/>
            <w:vMerge w:val="continue"/>
            <w:tcBorders>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p>
        </w:tc>
        <w:tc>
          <w:tcPr>
            <w:tcW w:w="4101" w:type="dxa"/>
            <w:tcBorders>
              <w:top w:val="single" w:color="auto" w:sz="4" w:space="0"/>
              <w:left w:val="single" w:color="auto" w:sz="4" w:space="0"/>
              <w:bottom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地源热泵</w:t>
            </w:r>
          </w:p>
        </w:tc>
        <w:tc>
          <w:tcPr>
            <w:tcW w:w="4102" w:type="dxa"/>
            <w:tcBorders>
              <w:top w:val="single" w:color="auto" w:sz="4" w:space="0"/>
              <w:left w:val="single" w:color="auto" w:sz="4" w:space="0"/>
              <w:bottom w:val="single" w:color="auto" w:sz="4" w:space="0"/>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燃气锅炉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blHeader/>
          <w:jc w:val="center"/>
        </w:trPr>
        <w:tc>
          <w:tcPr>
            <w:tcW w:w="1144" w:type="dxa"/>
            <w:vMerge w:val="continue"/>
            <w:tcBorders>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p>
        </w:tc>
        <w:tc>
          <w:tcPr>
            <w:tcW w:w="4101" w:type="dxa"/>
            <w:tcBorders>
              <w:top w:val="single" w:color="auto" w:sz="4" w:space="0"/>
              <w:left w:val="single" w:color="auto" w:sz="4" w:space="0"/>
              <w:bottom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单元式空调机组、多联式空调（热泵）机组或风管送风式空调（热泵）机组</w:t>
            </w:r>
          </w:p>
        </w:tc>
        <w:tc>
          <w:tcPr>
            <w:tcW w:w="4102" w:type="dxa"/>
            <w:tcBorders>
              <w:top w:val="single" w:color="auto" w:sz="4" w:space="0"/>
              <w:left w:val="single" w:color="auto" w:sz="4" w:space="0"/>
              <w:bottom w:val="single" w:color="auto" w:sz="4" w:space="0"/>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单元式空调机组、多联式空调（热泵）机组或风管送风式空调（热泵）机组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blHeader/>
          <w:jc w:val="center"/>
        </w:trPr>
        <w:tc>
          <w:tcPr>
            <w:tcW w:w="1144" w:type="dxa"/>
            <w:vMerge w:val="continue"/>
            <w:tcBorders>
              <w:bottom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p>
        </w:tc>
        <w:tc>
          <w:tcPr>
            <w:tcW w:w="4101" w:type="dxa"/>
            <w:tcBorders>
              <w:top w:val="single" w:color="auto" w:sz="4" w:space="0"/>
              <w:left w:val="single" w:color="auto" w:sz="4" w:space="0"/>
              <w:bottom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集中热源</w:t>
            </w:r>
          </w:p>
        </w:tc>
        <w:tc>
          <w:tcPr>
            <w:tcW w:w="4102" w:type="dxa"/>
            <w:tcBorders>
              <w:top w:val="single" w:color="auto" w:sz="4" w:space="0"/>
              <w:left w:val="single" w:color="auto" w:sz="4" w:space="0"/>
              <w:bottom w:val="single" w:color="auto" w:sz="4" w:space="0"/>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燃气锅炉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blHeader/>
          <w:jc w:val="center"/>
        </w:trPr>
        <w:tc>
          <w:tcPr>
            <w:tcW w:w="1144" w:type="dxa"/>
            <w:vMerge w:val="restart"/>
            <w:tcBorders>
              <w:top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冷热水输配系统</w:t>
            </w:r>
          </w:p>
        </w:tc>
        <w:tc>
          <w:tcPr>
            <w:tcW w:w="4101" w:type="dxa"/>
            <w:tcBorders>
              <w:top w:val="single" w:color="auto" w:sz="4" w:space="0"/>
              <w:left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一级泵系统</w:t>
            </w:r>
          </w:p>
        </w:tc>
        <w:tc>
          <w:tcPr>
            <w:tcW w:w="4102" w:type="dxa"/>
            <w:tcBorders>
              <w:top w:val="single" w:color="auto" w:sz="4" w:space="0"/>
              <w:left w:val="single" w:color="auto" w:sz="4" w:space="0"/>
              <w:bottom w:val="single" w:color="auto" w:sz="8" w:space="0"/>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一级泵系统（定频）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blHeader/>
          <w:jc w:val="center"/>
        </w:trPr>
        <w:tc>
          <w:tcPr>
            <w:tcW w:w="1144" w:type="dxa"/>
            <w:vMerge w:val="continue"/>
            <w:tcBorders>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p>
        </w:tc>
        <w:tc>
          <w:tcPr>
            <w:tcW w:w="4101" w:type="dxa"/>
            <w:tcBorders>
              <w:top w:val="single" w:color="auto" w:sz="4" w:space="0"/>
              <w:left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二级泵系统</w:t>
            </w:r>
          </w:p>
        </w:tc>
        <w:tc>
          <w:tcPr>
            <w:tcW w:w="4102" w:type="dxa"/>
            <w:tcBorders>
              <w:top w:val="single" w:color="auto" w:sz="4" w:space="0"/>
              <w:left w:val="single" w:color="auto" w:sz="4" w:space="0"/>
              <w:bottom w:val="single" w:color="auto" w:sz="8" w:space="0"/>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二级泵系统（定频）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8" w:hRule="atLeast"/>
          <w:tblHeader/>
          <w:jc w:val="center"/>
        </w:trPr>
        <w:tc>
          <w:tcPr>
            <w:tcW w:w="1144" w:type="dxa"/>
            <w:vMerge w:val="restart"/>
            <w:tcBorders>
              <w:top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风处理和输送系统</w:t>
            </w:r>
          </w:p>
        </w:tc>
        <w:tc>
          <w:tcPr>
            <w:tcW w:w="4101" w:type="dxa"/>
            <w:tcBorders>
              <w:top w:val="single" w:color="auto" w:sz="4" w:space="0"/>
              <w:left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定风量全空气系统</w:t>
            </w:r>
          </w:p>
        </w:tc>
        <w:tc>
          <w:tcPr>
            <w:tcW w:w="4102" w:type="dxa"/>
            <w:tcBorders>
              <w:top w:val="single" w:color="auto" w:sz="4" w:space="0"/>
              <w:left w:val="single" w:color="auto" w:sz="4" w:space="0"/>
              <w:bottom w:val="single" w:color="auto" w:sz="8" w:space="0"/>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定风量全空气系统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blHeader/>
          <w:jc w:val="center"/>
        </w:trPr>
        <w:tc>
          <w:tcPr>
            <w:tcW w:w="1144" w:type="dxa"/>
            <w:vMerge w:val="continue"/>
            <w:tcBorders>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p>
        </w:tc>
        <w:tc>
          <w:tcPr>
            <w:tcW w:w="4101" w:type="dxa"/>
            <w:tcBorders>
              <w:top w:val="single" w:color="auto" w:sz="4" w:space="0"/>
              <w:left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变风量全空气系统</w:t>
            </w:r>
          </w:p>
        </w:tc>
        <w:tc>
          <w:tcPr>
            <w:tcW w:w="4102" w:type="dxa"/>
            <w:tcBorders>
              <w:top w:val="single" w:color="auto" w:sz="4" w:space="0"/>
              <w:left w:val="single" w:color="auto" w:sz="4" w:space="0"/>
              <w:bottom w:val="single" w:color="auto" w:sz="8" w:space="0"/>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定风量全空气系统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blHeader/>
          <w:jc w:val="center"/>
        </w:trPr>
        <w:tc>
          <w:tcPr>
            <w:tcW w:w="1144" w:type="dxa"/>
            <w:vMerge w:val="continue"/>
            <w:tcBorders>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p>
        </w:tc>
        <w:tc>
          <w:tcPr>
            <w:tcW w:w="4101" w:type="dxa"/>
            <w:tcBorders>
              <w:top w:val="single" w:color="auto" w:sz="4" w:space="0"/>
              <w:left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风机盘管+新风系统</w:t>
            </w:r>
          </w:p>
        </w:tc>
        <w:tc>
          <w:tcPr>
            <w:tcW w:w="4102" w:type="dxa"/>
            <w:tcBorders>
              <w:top w:val="single" w:color="auto" w:sz="4" w:space="0"/>
              <w:left w:val="single" w:color="auto" w:sz="4" w:space="0"/>
              <w:bottom w:val="single" w:color="auto" w:sz="8" w:space="0"/>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风机盘管+新风系统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blHeader/>
          <w:jc w:val="center"/>
        </w:trPr>
        <w:tc>
          <w:tcPr>
            <w:tcW w:w="1144" w:type="dxa"/>
            <w:vMerge w:val="continue"/>
            <w:tcBorders>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p>
        </w:tc>
        <w:tc>
          <w:tcPr>
            <w:tcW w:w="4101" w:type="dxa"/>
            <w:tcBorders>
              <w:top w:val="single" w:color="auto" w:sz="4" w:space="0"/>
              <w:left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辐射末端+新风系统</w:t>
            </w:r>
          </w:p>
        </w:tc>
        <w:tc>
          <w:tcPr>
            <w:tcW w:w="4102" w:type="dxa"/>
            <w:tcBorders>
              <w:top w:val="single" w:color="auto" w:sz="4" w:space="0"/>
              <w:left w:val="single" w:color="auto" w:sz="4" w:space="0"/>
              <w:bottom w:val="single" w:color="auto" w:sz="8" w:space="0"/>
            </w:tcBorders>
            <w:vAlign w:val="center"/>
          </w:tcPr>
          <w:p>
            <w:pPr>
              <w:pStyle w:val="22"/>
              <w:tabs>
                <w:tab w:val="left" w:pos="420"/>
              </w:tabs>
              <w:overflowPunct w:val="0"/>
              <w:snapToGrid w:val="0"/>
              <w:spacing w:line="309" w:lineRule="exact"/>
              <w:ind w:firstLine="0" w:firstLineChars="0"/>
              <w:jc w:val="center"/>
              <w:rPr>
                <w:rFonts w:ascii="宋体" w:hAnsi="宋体" w:eastAsia="宋体" w:cs="宋体"/>
                <w:sz w:val="18"/>
                <w:szCs w:val="18"/>
              </w:rPr>
            </w:pPr>
            <w:r>
              <w:rPr>
                <w:rFonts w:hint="eastAsia" w:ascii="宋体" w:hAnsi="宋体" w:eastAsia="宋体" w:cs="宋体"/>
                <w:sz w:val="18"/>
                <w:szCs w:val="18"/>
              </w:rPr>
              <w:t>风机盘管+新风系统</w:t>
            </w:r>
          </w:p>
        </w:tc>
      </w:tr>
    </w:tbl>
    <w:p>
      <w:pPr>
        <w:pStyle w:val="22"/>
        <w:tabs>
          <w:tab w:val="left" w:pos="420"/>
        </w:tabs>
        <w:overflowPunct w:val="0"/>
        <w:snapToGrid w:val="0"/>
        <w:spacing w:line="309" w:lineRule="exact"/>
        <w:ind w:firstLine="0" w:firstLineChars="0"/>
        <w:rPr>
          <w:rFonts w:ascii="宋体" w:hAnsi="宋体" w:cs="宋体"/>
          <w:szCs w:val="21"/>
        </w:rPr>
      </w:pPr>
    </w:p>
    <w:p>
      <w:pPr>
        <w:pStyle w:val="3"/>
        <w:numPr>
          <w:ilvl w:val="0"/>
          <w:numId w:val="0"/>
        </w:numPr>
        <w:tabs>
          <w:tab w:val="left" w:pos="0"/>
        </w:tabs>
        <w:overflowPunct w:val="0"/>
        <w:spacing w:before="156" w:beforeLines="50" w:after="156" w:afterLines="50"/>
        <w:rPr>
          <w:rStyle w:val="44"/>
          <w:color w:val="auto"/>
        </w:rPr>
      </w:pPr>
      <w:bookmarkStart w:id="53" w:name="_Toc9419"/>
      <w:r>
        <w:rPr>
          <w:rStyle w:val="44"/>
          <w:color w:val="auto"/>
        </w:rPr>
        <w:t>A.2</w:t>
      </w:r>
      <w:r>
        <w:rPr>
          <w:rStyle w:val="44"/>
          <w:rFonts w:hint="eastAsia"/>
          <w:color w:val="auto"/>
        </w:rPr>
        <w:t>　计算方法</w:t>
      </w:r>
      <w:bookmarkEnd w:id="53"/>
    </w:p>
    <w:p>
      <w:pPr>
        <w:overflowPunct w:val="0"/>
        <w:snapToGrid w:val="0"/>
        <w:spacing w:line="309" w:lineRule="exact"/>
        <w:outlineLvl w:val="2"/>
        <w:rPr>
          <w:rStyle w:val="44"/>
          <w:rFonts w:hint="eastAsia" w:ascii="宋体" w:hAnsi="宋体" w:eastAsia="宋体"/>
          <w:color w:val="auto"/>
        </w:rPr>
      </w:pPr>
      <w:r>
        <w:rPr>
          <w:rStyle w:val="44"/>
          <w:rFonts w:eastAsia="宋体"/>
          <w:color w:val="auto"/>
        </w:rPr>
        <w:t>A.2.1</w:t>
      </w:r>
      <w:r>
        <w:rPr>
          <w:rStyle w:val="44"/>
          <w:rFonts w:hint="eastAsia" w:ascii="宋体" w:hAnsi="宋体" w:eastAsia="宋体"/>
          <w:color w:val="auto"/>
        </w:rPr>
        <w:t>　建筑能耗综合值应按</w:t>
      </w:r>
      <w:r>
        <w:rPr>
          <w:rStyle w:val="44"/>
          <w:rFonts w:hint="eastAsia" w:ascii="宋体" w:hAnsi="宋体" w:eastAsia="宋体"/>
          <w:color w:val="auto"/>
          <w:lang w:eastAsia="zh-CN"/>
        </w:rPr>
        <w:t>公式（</w:t>
      </w:r>
      <w:r>
        <w:rPr>
          <w:rStyle w:val="44"/>
          <w:rFonts w:hint="eastAsia" w:ascii="宋体" w:hAnsi="宋体" w:eastAsia="宋体"/>
          <w:color w:val="auto"/>
          <w:lang w:val="en-US" w:eastAsia="zh-CN"/>
        </w:rPr>
        <w:t>A.1</w:t>
      </w:r>
      <w:r>
        <w:rPr>
          <w:rStyle w:val="44"/>
          <w:rFonts w:hint="eastAsia" w:ascii="宋体" w:hAnsi="宋体" w:eastAsia="宋体"/>
          <w:color w:val="auto"/>
          <w:lang w:eastAsia="zh-CN"/>
        </w:rPr>
        <w:t>）</w:t>
      </w:r>
      <w:r>
        <w:rPr>
          <w:rStyle w:val="44"/>
          <w:rFonts w:hint="eastAsia" w:ascii="宋体" w:hAnsi="宋体" w:eastAsia="宋体"/>
          <w:color w:val="auto"/>
        </w:rPr>
        <w:t>计算：</w:t>
      </w:r>
    </w:p>
    <w:p>
      <w:pPr>
        <w:overflowPunct w:val="0"/>
        <w:snapToGrid w:val="0"/>
        <w:spacing w:line="309" w:lineRule="exact"/>
        <w:outlineLvl w:val="2"/>
        <w:rPr>
          <w:rFonts w:ascii="Times New Roman" w:hAnsi="Times New Roman"/>
          <w:szCs w:val="21"/>
        </w:rPr>
      </w:pPr>
      <w:r>
        <w:rPr>
          <w:rStyle w:val="44"/>
          <w:rFonts w:hint="eastAsia" w:ascii="宋体" w:hAnsi="宋体" w:eastAsia="宋体"/>
          <w:color w:val="auto"/>
        </w:rPr>
        <w:t>　</w:t>
      </w:r>
      <w:r>
        <w:rPr>
          <w:rStyle w:val="44"/>
          <w:rFonts w:hint="eastAsia" w:ascii="宋体" w:hAnsi="宋体" w:eastAsia="宋体"/>
          <w:color w:val="auto"/>
          <w:lang w:val="en-US" w:eastAsia="zh-CN"/>
        </w:rPr>
        <w:t xml:space="preserve">                  </w:t>
      </w:r>
      <w:r>
        <w:rPr>
          <w:rStyle w:val="44"/>
          <w:rFonts w:hint="eastAsia" w:ascii="宋体" w:hAnsi="宋体" w:eastAsia="宋体"/>
          <w:color w:val="auto"/>
        </w:rPr>
        <w:fldChar w:fldCharType="begin"/>
      </w:r>
      <w:r>
        <w:rPr>
          <w:rStyle w:val="44"/>
          <w:rFonts w:hint="eastAsia" w:ascii="宋体" w:hAnsi="宋体" w:eastAsia="宋体"/>
          <w:color w:val="auto"/>
        </w:rPr>
        <w:instrText xml:space="preserve"> QUOTE </w:instrText>
      </w:r>
      <m:oMath>
        <m:sSub>
          <m:sSubPr>
            <m:ctrlPr>
              <w:rPr>
                <w:rStyle w:val="44"/>
                <w:rFonts w:hint="eastAsia" w:ascii="Cambria Math" w:hAnsi="Cambria Math" w:eastAsia="宋体"/>
                <w:color w:val="auto"/>
              </w:rPr>
            </m:ctrlPr>
          </m:sSubPr>
          <m:e>
            <m:r>
              <m:rPr>
                <m:sty m:val="p"/>
              </m:rPr>
              <w:rPr>
                <w:rStyle w:val="44"/>
                <w:rFonts w:hint="eastAsia" w:ascii="Cambria Math" w:hAnsi="Cambria Math" w:eastAsia="宋体"/>
                <w:color w:val="auto"/>
              </w:rPr>
              <m:t xml:space="preserve">η</m:t>
            </m:r>
            <m:ctrlPr>
              <w:rPr>
                <w:rStyle w:val="44"/>
                <w:rFonts w:hint="eastAsia" w:ascii="Cambria Math" w:hAnsi="Cambria Math" w:eastAsia="宋体"/>
                <w:color w:val="auto"/>
              </w:rPr>
            </m:ctrlPr>
          </m:e>
          <m:sub>
            <m:r>
              <m:rPr>
                <m:sty m:val="p"/>
              </m:rPr>
              <w:rPr>
                <w:rStyle w:val="44"/>
                <w:rFonts w:hint="eastAsia" w:ascii="Cambria Math" w:hAnsi="Cambria Math" w:eastAsia="宋体"/>
                <w:color w:val="auto"/>
              </w:rPr>
              <m:t xml:space="preserve">l</m:t>
            </m:r>
            <m:ctrlPr>
              <w:rPr>
                <w:rStyle w:val="44"/>
                <w:rFonts w:hint="eastAsia" w:ascii="Cambria Math" w:hAnsi="Cambria Math" w:eastAsia="宋体"/>
                <w:color w:val="auto"/>
              </w:rPr>
            </m:ctrlPr>
          </m:sub>
        </m:sSub>
        <m:r>
          <m:rPr>
            <m:sty m:val="p"/>
          </m:rPr>
          <w:rPr>
            <w:rStyle w:val="44"/>
            <w:rFonts w:hint="eastAsia" w:ascii="Cambria Math" w:hAnsi="Cambria Math" w:eastAsia="宋体"/>
            <w:color w:val="auto"/>
          </w:rPr>
          <m:t xml:space="preserve">=</m:t>
        </m:r>
        <m:f>
          <m:fPr>
            <m:ctrlPr>
              <w:rPr>
                <w:rStyle w:val="44"/>
                <w:rFonts w:hint="eastAsia" w:ascii="Cambria Math" w:hAnsi="Cambria Math" w:eastAsia="宋体"/>
                <w:color w:val="auto"/>
              </w:rPr>
            </m:ctrlPr>
          </m:fPr>
          <m:num>
            <m:r>
              <m:rPr>
                <m:sty m:val="p"/>
              </m:rPr>
              <w:rPr>
                <w:rStyle w:val="44"/>
                <w:rFonts w:hint="eastAsia" w:ascii="Cambria Math" w:hAnsi="Cambria Math" w:eastAsia="宋体"/>
                <w:color w:val="auto"/>
              </w:rPr>
              <m:t xml:space="preserve">Q−</m:t>
            </m:r>
            <m:sSub>
              <m:sSubPr>
                <m:ctrlPr>
                  <w:rPr>
                    <w:rStyle w:val="44"/>
                    <w:rFonts w:hint="eastAsia" w:ascii="Cambria Math" w:hAnsi="Cambria Math" w:eastAsia="宋体"/>
                    <w:color w:val="auto"/>
                  </w:rPr>
                </m:ctrlPr>
              </m:sSubPr>
              <m:e>
                <m:r>
                  <m:rPr>
                    <m:sty m:val="p"/>
                  </m:rPr>
                  <w:rPr>
                    <w:rStyle w:val="44"/>
                    <w:rFonts w:hint="eastAsia" w:ascii="Cambria Math" w:hAnsi="Cambria Math" w:eastAsia="宋体"/>
                    <w:color w:val="auto"/>
                  </w:rPr>
                  <m:t xml:space="preserve">Q</m:t>
                </m:r>
                <m:ctrlPr>
                  <w:rPr>
                    <w:rStyle w:val="44"/>
                    <w:rFonts w:hint="eastAsia" w:ascii="Cambria Math" w:hAnsi="Cambria Math" w:eastAsia="宋体"/>
                    <w:color w:val="auto"/>
                  </w:rPr>
                </m:ctrlPr>
              </m:e>
              <m:sub>
                <m:r>
                  <m:rPr>
                    <m:sty m:val="p"/>
                  </m:rPr>
                  <w:rPr>
                    <w:rStyle w:val="44"/>
                    <w:rFonts w:hint="eastAsia" w:ascii="Cambria Math" w:hAnsi="Cambria Math" w:eastAsia="宋体"/>
                    <w:color w:val="auto"/>
                  </w:rPr>
                  <m:t xml:space="preserve">r</m:t>
                </m:r>
                <m:ctrlPr>
                  <w:rPr>
                    <w:rStyle w:val="44"/>
                    <w:rFonts w:hint="eastAsia" w:ascii="Cambria Math" w:hAnsi="Cambria Math" w:eastAsia="宋体"/>
                    <w:color w:val="auto"/>
                  </w:rPr>
                </m:ctrlPr>
              </m:sub>
            </m:sSub>
            <m:ctrlPr>
              <w:rPr>
                <w:rStyle w:val="44"/>
                <w:rFonts w:hint="eastAsia" w:ascii="Cambria Math" w:hAnsi="Cambria Math" w:eastAsia="宋体"/>
                <w:color w:val="auto"/>
              </w:rPr>
            </m:ctrlPr>
          </m:num>
          <m:den>
            <m:sSub>
              <m:sSubPr>
                <m:ctrlPr>
                  <w:rPr>
                    <w:rStyle w:val="44"/>
                    <w:rFonts w:hint="eastAsia" w:ascii="Cambria Math" w:hAnsi="Cambria Math" w:eastAsia="宋体"/>
                    <w:color w:val="auto"/>
                  </w:rPr>
                </m:ctrlPr>
              </m:sSubPr>
              <m:e>
                <m:r>
                  <m:rPr>
                    <m:sty m:val="p"/>
                  </m:rPr>
                  <w:rPr>
                    <w:rStyle w:val="44"/>
                    <w:rFonts w:hint="eastAsia" w:ascii="Cambria Math" w:hAnsi="Cambria Math" w:eastAsia="宋体"/>
                    <w:color w:val="auto"/>
                  </w:rPr>
                  <m:t xml:space="preserve">Q</m:t>
                </m:r>
                <m:ctrlPr>
                  <w:rPr>
                    <w:rStyle w:val="44"/>
                    <w:rFonts w:hint="eastAsia" w:ascii="Cambria Math" w:hAnsi="Cambria Math" w:eastAsia="宋体"/>
                    <w:color w:val="auto"/>
                  </w:rPr>
                </m:ctrlPr>
              </m:e>
              <m:sub>
                <m:r>
                  <m:rPr>
                    <m:sty m:val="p"/>
                  </m:rPr>
                  <w:rPr>
                    <w:rStyle w:val="44"/>
                    <w:rFonts w:hint="eastAsia" w:ascii="Cambria Math" w:hAnsi="Cambria Math" w:eastAsia="宋体"/>
                    <w:color w:val="auto"/>
                  </w:rPr>
                  <m:t xml:space="preserve">r</m:t>
                </m:r>
                <m:ctrlPr>
                  <w:rPr>
                    <w:rStyle w:val="44"/>
                    <w:rFonts w:hint="eastAsia" w:ascii="Cambria Math" w:hAnsi="Cambria Math" w:eastAsia="宋体"/>
                    <w:color w:val="auto"/>
                  </w:rPr>
                </m:ctrlPr>
              </m:sub>
            </m:sSub>
            <m:ctrlPr>
              <w:rPr>
                <w:rStyle w:val="44"/>
                <w:rFonts w:hint="eastAsia" w:ascii="Cambria Math" w:hAnsi="Cambria Math" w:eastAsia="宋体"/>
                <w:color w:val="auto"/>
              </w:rPr>
            </m:ctrlPr>
          </m:den>
        </m:f>
        <m:r>
          <m:rPr>
            <m:sty m:val="p"/>
          </m:rPr>
          <w:rPr>
            <w:rStyle w:val="44"/>
            <w:rFonts w:hint="eastAsia" w:ascii="Cambria Math" w:hAnsi="Cambria Math" w:eastAsia="宋体"/>
            <w:color w:val="auto"/>
          </w:rPr>
          <m:t xml:space="preserve">×100%</m:t>
        </m:r>
      </m:oMath>
      <w:r>
        <w:rPr>
          <w:rStyle w:val="44"/>
          <w:rFonts w:hint="eastAsia" w:ascii="宋体" w:hAnsi="宋体" w:eastAsia="宋体"/>
          <w:color w:val="auto"/>
        </w:rPr>
        <w:instrText xml:space="preserve"> </w:instrText>
      </w:r>
      <w:r>
        <w:rPr>
          <w:rStyle w:val="44"/>
          <w:rFonts w:hint="eastAsia" w:ascii="宋体" w:hAnsi="宋体" w:eastAsia="宋体"/>
          <w:color w:val="auto"/>
        </w:rPr>
        <w:fldChar w:fldCharType="end"/>
      </w:r>
      <m:oMath>
        <m:r>
          <m:rPr>
            <m:sty m:val="p"/>
          </m:rPr>
          <w:rPr>
            <w:rStyle w:val="44"/>
            <w:rFonts w:hint="eastAsia" w:ascii="Cambria Math" w:hAnsi="Cambria Math" w:eastAsia="宋体"/>
            <w:color w:val="auto"/>
          </w:rPr>
          <m:t>E=</m:t>
        </m:r>
        <m:sSub>
          <m:sSubPr>
            <m:ctrlPr>
              <w:rPr>
                <w:rStyle w:val="44"/>
                <w:rFonts w:hint="eastAsia" w:ascii="Cambria Math" w:hAnsi="Cambria Math" w:eastAsia="宋体"/>
                <w:color w:val="auto"/>
              </w:rPr>
            </m:ctrlPr>
          </m:sSubPr>
          <m:e>
            <m:r>
              <m:rPr>
                <m:sty m:val="p"/>
              </m:rPr>
              <w:rPr>
                <w:rStyle w:val="44"/>
                <w:rFonts w:hint="eastAsia" w:ascii="Cambria Math" w:hAnsi="Cambria Math" w:eastAsia="宋体"/>
                <w:color w:val="auto"/>
              </w:rPr>
              <m:t>E</m:t>
            </m:r>
            <m:ctrlPr>
              <w:rPr>
                <w:rStyle w:val="44"/>
                <w:rFonts w:hint="eastAsia" w:ascii="Cambria Math" w:hAnsi="Cambria Math" w:eastAsia="宋体"/>
                <w:color w:val="auto"/>
              </w:rPr>
            </m:ctrlPr>
          </m:e>
          <m:sub>
            <m:r>
              <m:rPr>
                <m:sty m:val="p"/>
              </m:rPr>
              <w:rPr>
                <w:rStyle w:val="44"/>
                <w:rFonts w:hint="eastAsia" w:ascii="Cambria Math" w:hAnsi="Cambria Math" w:eastAsia="宋体"/>
                <w:color w:val="auto"/>
              </w:rPr>
              <m:t>E</m:t>
            </m:r>
            <m:ctrlPr>
              <w:rPr>
                <w:rStyle w:val="44"/>
                <w:rFonts w:hint="eastAsia" w:ascii="Cambria Math" w:hAnsi="Cambria Math" w:eastAsia="宋体"/>
                <w:color w:val="auto"/>
              </w:rPr>
            </m:ctrlPr>
          </m:sub>
        </m:sSub>
        <m:r>
          <m:rPr>
            <m:sty m:val="p"/>
          </m:rPr>
          <w:rPr>
            <w:rStyle w:val="44"/>
            <w:rFonts w:hint="eastAsia" w:ascii="Cambria Math" w:hAnsi="Cambria Math" w:eastAsia="宋体"/>
            <w:color w:val="auto"/>
          </w:rPr>
          <m:t>−</m:t>
        </m:r>
        <m:f>
          <m:fPr>
            <m:ctrlPr>
              <w:rPr>
                <w:rStyle w:val="44"/>
                <w:rFonts w:hint="eastAsia" w:ascii="Cambria Math" w:hAnsi="Cambria Math" w:eastAsia="宋体"/>
                <w:color w:val="auto"/>
              </w:rPr>
            </m:ctrlPr>
          </m:fPr>
          <m:num>
            <m:nary>
              <m:naryPr>
                <m:chr m:val="∑"/>
                <m:limLoc m:val="undOvr"/>
                <m:subHide m:val="true"/>
                <m:supHide m:val="true"/>
                <m:ctrlPr>
                  <w:rPr>
                    <w:rStyle w:val="44"/>
                    <w:rFonts w:hint="eastAsia" w:ascii="Cambria Math" w:hAnsi="Cambria Math" w:eastAsia="宋体"/>
                    <w:color w:val="auto"/>
                  </w:rPr>
                </m:ctrlPr>
              </m:naryPr>
              <m:sub>
                <m:ctrlPr>
                  <w:rPr>
                    <w:rStyle w:val="44"/>
                    <w:rFonts w:hint="eastAsia" w:ascii="Cambria Math" w:hAnsi="Cambria Math" w:eastAsia="宋体"/>
                    <w:color w:val="auto"/>
                  </w:rPr>
                </m:ctrlPr>
              </m:sub>
              <m:sup>
                <m:ctrlPr>
                  <w:rPr>
                    <w:rStyle w:val="44"/>
                    <w:rFonts w:hint="eastAsia" w:ascii="Cambria Math" w:hAnsi="Cambria Math" w:eastAsia="宋体"/>
                    <w:color w:val="auto"/>
                  </w:rPr>
                </m:ctrlPr>
              </m:sup>
              <m:e>
                <m:sSub>
                  <m:sSubPr>
                    <m:ctrlPr>
                      <w:rPr>
                        <w:rStyle w:val="44"/>
                        <w:rFonts w:hint="eastAsia" w:ascii="Cambria Math" w:hAnsi="Cambria Math" w:eastAsia="宋体"/>
                        <w:color w:val="auto"/>
                      </w:rPr>
                    </m:ctrlPr>
                  </m:sSubPr>
                  <m:e>
                    <m:r>
                      <m:rPr>
                        <m:sty m:val="p"/>
                      </m:rPr>
                      <w:rPr>
                        <w:rStyle w:val="44"/>
                        <w:rFonts w:hint="eastAsia" w:ascii="Cambria Math" w:hAnsi="Cambria Math" w:eastAsia="宋体"/>
                        <w:color w:val="auto"/>
                      </w:rPr>
                      <m:t>E</m:t>
                    </m:r>
                    <m:ctrlPr>
                      <w:rPr>
                        <w:rStyle w:val="44"/>
                        <w:rFonts w:hint="eastAsia" w:ascii="Cambria Math" w:hAnsi="Cambria Math" w:eastAsia="宋体"/>
                        <w:color w:val="auto"/>
                      </w:rPr>
                    </m:ctrlPr>
                  </m:e>
                  <m:sub>
                    <m:r>
                      <m:rPr>
                        <m:sty m:val="p"/>
                      </m:rPr>
                      <w:rPr>
                        <w:rStyle w:val="44"/>
                        <w:rFonts w:hint="eastAsia" w:ascii="Cambria Math" w:hAnsi="Cambria Math" w:eastAsia="宋体"/>
                        <w:color w:val="auto"/>
                      </w:rPr>
                      <m:t>r，i</m:t>
                    </m:r>
                    <m:ctrlPr>
                      <w:rPr>
                        <w:rStyle w:val="44"/>
                        <w:rFonts w:hint="eastAsia" w:ascii="Cambria Math" w:hAnsi="Cambria Math" w:eastAsia="宋体"/>
                        <w:color w:val="auto"/>
                      </w:rPr>
                    </m:ctrlPr>
                  </m:sub>
                </m:sSub>
                <m:r>
                  <m:rPr>
                    <m:sty m:val="p"/>
                  </m:rPr>
                  <w:rPr>
                    <w:rStyle w:val="44"/>
                    <w:rFonts w:hint="eastAsia" w:ascii="Cambria Math" w:hAnsi="Cambria Math" w:eastAsia="宋体"/>
                    <w:color w:val="auto"/>
                  </w:rPr>
                  <m:t>×</m:t>
                </m:r>
                <m:sSub>
                  <m:sSubPr>
                    <m:ctrlPr>
                      <w:rPr>
                        <w:rStyle w:val="44"/>
                        <w:rFonts w:hint="eastAsia" w:ascii="Cambria Math" w:hAnsi="Cambria Math" w:eastAsia="宋体"/>
                        <w:color w:val="auto"/>
                      </w:rPr>
                    </m:ctrlPr>
                  </m:sSubPr>
                  <m:e>
                    <m:r>
                      <m:rPr>
                        <m:sty m:val="p"/>
                      </m:rPr>
                      <w:rPr>
                        <w:rStyle w:val="44"/>
                        <w:rFonts w:hint="eastAsia" w:ascii="Cambria Math" w:hAnsi="Cambria Math" w:eastAsia="宋体"/>
                        <w:color w:val="auto"/>
                      </w:rPr>
                      <m:t>f</m:t>
                    </m:r>
                    <m:ctrlPr>
                      <w:rPr>
                        <w:rStyle w:val="44"/>
                        <w:rFonts w:hint="eastAsia" w:ascii="Cambria Math" w:hAnsi="Cambria Math" w:eastAsia="宋体"/>
                        <w:color w:val="auto"/>
                      </w:rPr>
                    </m:ctrlPr>
                  </m:e>
                  <m:sub>
                    <m:r>
                      <m:rPr>
                        <m:sty m:val="p"/>
                      </m:rPr>
                      <w:rPr>
                        <w:rStyle w:val="44"/>
                        <w:rFonts w:hint="eastAsia" w:ascii="Cambria Math" w:hAnsi="Cambria Math" w:eastAsia="宋体"/>
                        <w:color w:val="auto"/>
                      </w:rPr>
                      <m:t>i</m:t>
                    </m:r>
                    <m:ctrlPr>
                      <w:rPr>
                        <w:rStyle w:val="44"/>
                        <w:rFonts w:hint="eastAsia" w:ascii="Cambria Math" w:hAnsi="Cambria Math" w:eastAsia="宋体"/>
                        <w:color w:val="auto"/>
                      </w:rPr>
                    </m:ctrlPr>
                  </m:sub>
                </m:sSub>
                <m:r>
                  <m:rPr>
                    <m:sty m:val="p"/>
                  </m:rPr>
                  <w:rPr>
                    <w:rStyle w:val="44"/>
                    <w:rFonts w:hint="eastAsia" w:ascii="Cambria Math" w:hAnsi="Cambria Math" w:eastAsia="宋体"/>
                    <w:color w:val="auto"/>
                  </w:rPr>
                  <m:t>+</m:t>
                </m:r>
                <m:nary>
                  <m:naryPr>
                    <m:chr m:val="∑"/>
                    <m:limLoc m:val="undOvr"/>
                    <m:subHide m:val="true"/>
                    <m:supHide m:val="true"/>
                    <m:ctrlPr>
                      <w:rPr>
                        <w:rStyle w:val="44"/>
                        <w:rFonts w:hint="eastAsia" w:ascii="Cambria Math" w:hAnsi="Cambria Math" w:eastAsia="宋体"/>
                        <w:color w:val="auto"/>
                      </w:rPr>
                    </m:ctrlPr>
                  </m:naryPr>
                  <m:sub>
                    <m:ctrlPr>
                      <w:rPr>
                        <w:rStyle w:val="44"/>
                        <w:rFonts w:hint="eastAsia" w:ascii="Cambria Math" w:hAnsi="Cambria Math" w:eastAsia="宋体"/>
                        <w:color w:val="auto"/>
                      </w:rPr>
                    </m:ctrlPr>
                  </m:sub>
                  <m:sup>
                    <m:ctrlPr>
                      <w:rPr>
                        <w:rStyle w:val="44"/>
                        <w:rFonts w:hint="eastAsia" w:ascii="Cambria Math" w:hAnsi="Cambria Math" w:eastAsia="宋体"/>
                        <w:color w:val="auto"/>
                      </w:rPr>
                    </m:ctrlPr>
                  </m:sup>
                  <m:e>
                    <m:sSub>
                      <m:sSubPr>
                        <m:ctrlPr>
                          <w:rPr>
                            <w:rStyle w:val="44"/>
                            <w:rFonts w:hint="eastAsia" w:ascii="Cambria Math" w:hAnsi="Cambria Math" w:eastAsia="宋体"/>
                            <w:color w:val="auto"/>
                          </w:rPr>
                        </m:ctrlPr>
                      </m:sSubPr>
                      <m:e>
                        <m:r>
                          <m:rPr>
                            <m:sty m:val="p"/>
                          </m:rPr>
                          <w:rPr>
                            <w:rStyle w:val="44"/>
                            <w:rFonts w:hint="eastAsia" w:ascii="Cambria Math" w:hAnsi="Cambria Math" w:eastAsia="宋体"/>
                            <w:color w:val="auto"/>
                          </w:rPr>
                          <m:t>E</m:t>
                        </m:r>
                        <m:ctrlPr>
                          <w:rPr>
                            <w:rStyle w:val="44"/>
                            <w:rFonts w:hint="eastAsia" w:ascii="Cambria Math" w:hAnsi="Cambria Math" w:eastAsia="宋体"/>
                            <w:color w:val="auto"/>
                          </w:rPr>
                        </m:ctrlPr>
                      </m:e>
                      <m:sub>
                        <m:r>
                          <m:rPr>
                            <m:sty m:val="p"/>
                          </m:rPr>
                          <w:rPr>
                            <w:rStyle w:val="44"/>
                            <w:rFonts w:hint="eastAsia" w:ascii="Cambria Math" w:hAnsi="Cambria Math" w:eastAsia="宋体"/>
                            <w:color w:val="auto"/>
                          </w:rPr>
                          <m:t>rd，i</m:t>
                        </m:r>
                        <m:ctrlPr>
                          <w:rPr>
                            <w:rStyle w:val="44"/>
                            <w:rFonts w:hint="eastAsia" w:ascii="Cambria Math" w:hAnsi="Cambria Math" w:eastAsia="宋体"/>
                            <w:color w:val="auto"/>
                          </w:rPr>
                        </m:ctrlPr>
                      </m:sub>
                    </m:sSub>
                    <m:r>
                      <m:rPr>
                        <m:sty m:val="p"/>
                      </m:rPr>
                      <w:rPr>
                        <w:rStyle w:val="44"/>
                        <w:rFonts w:hint="eastAsia" w:ascii="Cambria Math" w:hAnsi="Cambria Math" w:eastAsia="宋体"/>
                        <w:color w:val="auto"/>
                      </w:rPr>
                      <m:t>×</m:t>
                    </m:r>
                    <m:sSub>
                      <m:sSubPr>
                        <m:ctrlPr>
                          <w:rPr>
                            <w:rStyle w:val="44"/>
                            <w:rFonts w:hint="eastAsia" w:ascii="Cambria Math" w:hAnsi="Cambria Math" w:eastAsia="宋体"/>
                            <w:color w:val="auto"/>
                          </w:rPr>
                        </m:ctrlPr>
                      </m:sSubPr>
                      <m:e>
                        <m:r>
                          <m:rPr>
                            <m:sty m:val="p"/>
                          </m:rPr>
                          <w:rPr>
                            <w:rStyle w:val="44"/>
                            <w:rFonts w:hint="eastAsia" w:ascii="Cambria Math" w:hAnsi="Cambria Math" w:eastAsia="宋体"/>
                            <w:color w:val="auto"/>
                          </w:rPr>
                          <m:t>f</m:t>
                        </m:r>
                        <m:ctrlPr>
                          <w:rPr>
                            <w:rStyle w:val="44"/>
                            <w:rFonts w:hint="eastAsia" w:ascii="Cambria Math" w:hAnsi="Cambria Math" w:eastAsia="宋体"/>
                            <w:color w:val="auto"/>
                          </w:rPr>
                        </m:ctrlPr>
                      </m:e>
                      <m:sub>
                        <m:r>
                          <m:rPr>
                            <m:sty m:val="p"/>
                          </m:rPr>
                          <w:rPr>
                            <w:rStyle w:val="44"/>
                            <w:rFonts w:hint="eastAsia" w:ascii="Cambria Math" w:hAnsi="Cambria Math" w:eastAsia="宋体"/>
                            <w:color w:val="auto"/>
                          </w:rPr>
                          <m:t>i</m:t>
                        </m:r>
                        <m:ctrlPr>
                          <w:rPr>
                            <w:rStyle w:val="44"/>
                            <w:rFonts w:hint="eastAsia" w:ascii="Cambria Math" w:hAnsi="Cambria Math" w:eastAsia="宋体"/>
                            <w:color w:val="auto"/>
                          </w:rPr>
                        </m:ctrlPr>
                      </m:sub>
                    </m:sSub>
                    <m:r>
                      <m:rPr>
                        <m:sty m:val="p"/>
                      </m:rPr>
                      <w:rPr>
                        <w:rStyle w:val="44"/>
                        <w:rFonts w:hint="eastAsia" w:ascii="Cambria Math" w:hAnsi="Cambria Math" w:eastAsia="宋体"/>
                        <w:color w:val="auto"/>
                      </w:rPr>
                      <m:t>+</m:t>
                    </m:r>
                    <m:ctrlPr>
                      <w:rPr>
                        <w:rStyle w:val="44"/>
                        <w:rFonts w:hint="eastAsia" w:ascii="Cambria Math" w:hAnsi="Cambria Math" w:eastAsia="宋体"/>
                        <w:color w:val="auto"/>
                      </w:rPr>
                    </m:ctrlPr>
                  </m:e>
                </m:nary>
                <m:ctrlPr>
                  <w:rPr>
                    <w:rStyle w:val="44"/>
                    <w:rFonts w:hint="eastAsia" w:ascii="Cambria Math" w:hAnsi="Cambria Math" w:eastAsia="宋体"/>
                    <w:color w:val="auto"/>
                  </w:rPr>
                </m:ctrlPr>
              </m:e>
            </m:nary>
            <m:ctrlPr>
              <w:rPr>
                <w:rStyle w:val="44"/>
                <w:rFonts w:hint="eastAsia" w:ascii="Cambria Math" w:hAnsi="Cambria Math" w:eastAsia="宋体"/>
                <w:color w:val="auto"/>
              </w:rPr>
            </m:ctrlPr>
          </m:num>
          <m:den>
            <m:r>
              <m:rPr>
                <m:sty m:val="p"/>
              </m:rPr>
              <w:rPr>
                <w:rStyle w:val="44"/>
                <w:rFonts w:hint="eastAsia" w:ascii="Cambria Math" w:hAnsi="Cambria Math" w:eastAsia="宋体"/>
                <w:color w:val="auto"/>
              </w:rPr>
              <m:t>A</m:t>
            </m:r>
            <m:ctrlPr>
              <w:rPr>
                <w:rStyle w:val="44"/>
                <w:rFonts w:hint="eastAsia" w:ascii="Cambria Math" w:hAnsi="Cambria Math" w:eastAsia="宋体"/>
                <w:color w:val="auto"/>
              </w:rPr>
            </m:ctrlPr>
          </m:den>
        </m:f>
      </m:oMath>
      <w:r>
        <w:rPr>
          <w:rStyle w:val="44"/>
          <w:rFonts w:hint="eastAsia" w:ascii="宋体" w:hAnsi="宋体" w:eastAsia="宋体"/>
          <w:color w:val="auto"/>
        </w:rPr>
        <w:t>　　　　　　　　　　　　　</w:t>
      </w:r>
      <w:r>
        <w:rPr>
          <w:rStyle w:val="44"/>
          <w:rFonts w:hint="eastAsia" w:ascii="宋体" w:hAnsi="宋体" w:eastAsia="宋体"/>
          <w:color w:val="auto"/>
          <w:lang w:eastAsia="zh-CN"/>
        </w:rPr>
        <w:t>公式</w:t>
      </w:r>
      <w:r>
        <w:rPr>
          <w:rStyle w:val="44"/>
          <w:rFonts w:hint="eastAsia" w:ascii="宋体" w:hAnsi="宋体" w:eastAsia="宋体"/>
          <w:color w:val="auto"/>
        </w:rPr>
        <w:t>（</w:t>
      </w:r>
      <w:r>
        <w:rPr>
          <w:rStyle w:val="44"/>
          <w:rFonts w:hint="eastAsia" w:ascii="宋体" w:hAnsi="宋体" w:eastAsia="宋体"/>
          <w:color w:val="auto"/>
          <w:lang w:val="en-US" w:eastAsia="zh-CN"/>
        </w:rPr>
        <w:t>A.1</w:t>
      </w:r>
      <w:r>
        <w:rPr>
          <w:rStyle w:val="44"/>
          <w:rFonts w:hint="eastAsia" w:ascii="宋体" w:hAnsi="宋体" w:eastAsia="宋体"/>
          <w:color w:val="auto"/>
        </w:rPr>
        <w:t>）</w:t>
      </w:r>
      <w:r>
        <w:rPr>
          <w:rFonts w:ascii="Times New Roman" w:hAnsi="Times New Roman"/>
          <w:szCs w:val="21"/>
        </w:rPr>
        <w:t xml:space="preserve">　　　 </w:t>
      </w:r>
    </w:p>
    <w:p>
      <w:pPr>
        <w:overflowPunct w:val="0"/>
        <w:snapToGrid w:val="0"/>
        <w:spacing w:line="309" w:lineRule="exact"/>
        <w:rPr>
          <w:rFonts w:ascii="宋体" w:hAnsi="宋体" w:cs="宋体"/>
          <w:bCs/>
          <w:szCs w:val="21"/>
        </w:rPr>
      </w:pPr>
      <w:r>
        <w:rPr>
          <w:rFonts w:ascii="宋体" w:hAnsi="宋体" w:cs="宋体"/>
          <w:bCs/>
          <w:szCs w:val="21"/>
        </w:rPr>
        <w:t>式中：</w:t>
      </w:r>
      <m:oMath>
        <m:r>
          <m:rPr>
            <m:sty m:val="p"/>
          </m:rPr>
          <w:rPr>
            <w:rFonts w:ascii="Cambria Math" w:hAnsi="Cambria Math" w:cs="宋体"/>
            <w:szCs w:val="21"/>
          </w:rPr>
          <m:t>E</m:t>
        </m:r>
      </m:oMath>
      <w:r>
        <w:rPr>
          <w:rFonts w:ascii="Times New Roman" w:hAnsi="Times New Roman" w:cs="Times New Roman"/>
          <w:bCs/>
          <w:szCs w:val="21"/>
        </w:rPr>
        <w:t>——</w:t>
      </w:r>
      <w:r>
        <w:rPr>
          <w:rFonts w:hint="eastAsia" w:ascii="宋体" w:hAnsi="宋体" w:cs="宋体"/>
          <w:bCs/>
          <w:szCs w:val="21"/>
        </w:rPr>
        <w:t>建筑能耗综合值，</w:t>
      </w:r>
      <w:r>
        <w:rPr>
          <w:rFonts w:ascii="Times New Roman" w:hAnsi="Times New Roman" w:cs="Times New Roman"/>
          <w:bCs/>
          <w:szCs w:val="21"/>
        </w:rPr>
        <w:t>kWh/（m</w:t>
      </w:r>
      <w:r>
        <w:rPr>
          <w:rFonts w:ascii="Times New Roman" w:hAnsi="Times New Roman" w:cs="Times New Roman"/>
          <w:bCs/>
          <w:szCs w:val="21"/>
          <w:vertAlign w:val="superscript"/>
        </w:rPr>
        <w:t>2</w:t>
      </w:r>
      <w:r>
        <w:rPr>
          <w:rFonts w:ascii="Times New Roman" w:hAnsi="Times New Roman" w:cs="Times New Roman"/>
          <w:bCs/>
          <w:szCs w:val="21"/>
        </w:rPr>
        <w:t>·a）</w:t>
      </w:r>
      <w:r>
        <w:rPr>
          <w:rFonts w:ascii="宋体" w:hAnsi="宋体" w:cs="宋体"/>
          <w:bCs/>
          <w:szCs w:val="21"/>
        </w:rPr>
        <w:t>；</w:t>
      </w:r>
    </w:p>
    <w:p>
      <w:pPr>
        <w:overflowPunct w:val="0"/>
        <w:snapToGrid w:val="0"/>
        <w:spacing w:line="309" w:lineRule="exact"/>
        <w:ind w:firstLine="630" w:firstLineChars="300"/>
        <w:rPr>
          <w:rFonts w:ascii="宋体" w:hAnsi="宋体" w:cs="宋体"/>
          <w:bCs/>
          <w:szCs w:val="21"/>
        </w:rPr>
      </w:pPr>
      <m:oMath>
        <m:sSub>
          <m:sSubPr>
            <m:ctrlPr>
              <w:rPr>
                <w:rFonts w:ascii="Cambria Math" w:hAnsi="Cambria Math" w:cs="宋体"/>
                <w:bCs/>
                <w:szCs w:val="21"/>
              </w:rPr>
            </m:ctrlPr>
          </m:sSubPr>
          <m:e>
            <m:r>
              <m:rPr>
                <m:sty m:val="p"/>
              </m:rPr>
              <w:rPr>
                <w:rFonts w:ascii="Cambria Math" w:hAnsi="Cambria Math" w:cs="宋体"/>
                <w:szCs w:val="21"/>
              </w:rPr>
              <m:t>E</m:t>
            </m:r>
            <m:ctrlPr>
              <w:rPr>
                <w:rFonts w:ascii="Cambria Math" w:hAnsi="Cambria Math" w:cs="宋体"/>
                <w:bCs/>
                <w:szCs w:val="21"/>
              </w:rPr>
            </m:ctrlPr>
          </m:e>
          <m:sub>
            <m:r>
              <m:rPr>
                <m:sty m:val="p"/>
              </m:rPr>
              <w:rPr>
                <w:rFonts w:ascii="Cambria Math" w:hAnsi="Cambria Math" w:cs="宋体"/>
                <w:szCs w:val="21"/>
              </w:rPr>
              <m:t>E</m:t>
            </m:r>
            <m:ctrlPr>
              <w:rPr>
                <w:rFonts w:ascii="Cambria Math" w:hAnsi="Cambria Math" w:cs="宋体"/>
                <w:bCs/>
                <w:szCs w:val="21"/>
              </w:rPr>
            </m:ctrlPr>
          </m:sub>
        </m:sSub>
      </m:oMath>
      <w:r>
        <w:rPr>
          <w:rFonts w:ascii="Times New Roman" w:hAnsi="Times New Roman" w:cs="Times New Roman"/>
          <w:bCs/>
          <w:szCs w:val="21"/>
        </w:rPr>
        <w:t>——</w:t>
      </w:r>
      <w:r>
        <w:rPr>
          <w:rFonts w:hint="eastAsia" w:ascii="宋体" w:hAnsi="宋体" w:cs="宋体"/>
          <w:bCs/>
          <w:szCs w:val="21"/>
        </w:rPr>
        <w:t>不含可再生能源发电的建筑能耗综合值</w:t>
      </w:r>
      <w:r>
        <w:rPr>
          <w:rFonts w:ascii="宋体" w:hAnsi="宋体" w:cs="宋体"/>
          <w:bCs/>
          <w:szCs w:val="21"/>
        </w:rPr>
        <w:t>，</w:t>
      </w:r>
      <w:r>
        <w:rPr>
          <w:rFonts w:ascii="Times New Roman" w:hAnsi="Times New Roman" w:cs="Times New Roman"/>
          <w:bCs/>
          <w:szCs w:val="21"/>
        </w:rPr>
        <w:t>kWh/（m</w:t>
      </w:r>
      <w:r>
        <w:rPr>
          <w:rFonts w:ascii="Times New Roman" w:hAnsi="Times New Roman" w:cs="Times New Roman"/>
          <w:bCs/>
          <w:szCs w:val="21"/>
          <w:vertAlign w:val="superscript"/>
        </w:rPr>
        <w:t>2</w:t>
      </w:r>
      <w:r>
        <w:rPr>
          <w:rFonts w:ascii="Times New Roman" w:hAnsi="Times New Roman" w:cs="Times New Roman"/>
          <w:bCs/>
          <w:szCs w:val="21"/>
        </w:rPr>
        <w:t>·a）</w:t>
      </w:r>
      <w:r>
        <w:rPr>
          <w:rFonts w:ascii="宋体" w:hAnsi="宋体" w:cs="宋体"/>
          <w:bCs/>
          <w:szCs w:val="21"/>
        </w:rPr>
        <w:t>；</w:t>
      </w:r>
    </w:p>
    <w:p>
      <w:pPr>
        <w:overflowPunct w:val="0"/>
        <w:snapToGrid w:val="0"/>
        <w:spacing w:line="309" w:lineRule="exact"/>
        <w:ind w:firstLine="630" w:firstLineChars="300"/>
        <w:rPr>
          <w:rFonts w:ascii="宋体" w:hAnsi="宋体" w:cs="宋体"/>
          <w:bCs/>
          <w:szCs w:val="21"/>
        </w:rPr>
      </w:pPr>
      <m:oMath>
        <m:r>
          <m:rPr>
            <m:sty m:val="p"/>
          </m:rPr>
          <w:rPr>
            <w:rFonts w:ascii="Cambria Math" w:hAnsi="Cambria Math" w:cs="宋体"/>
            <w:szCs w:val="21"/>
          </w:rPr>
          <m:t>A</m:t>
        </m:r>
      </m:oMath>
      <w:r>
        <w:rPr>
          <w:rFonts w:ascii="Times New Roman" w:hAnsi="Times New Roman" w:cs="Times New Roman"/>
          <w:bCs/>
          <w:szCs w:val="21"/>
        </w:rPr>
        <w:t>——</w:t>
      </w:r>
      <w:r>
        <w:rPr>
          <w:rFonts w:hint="eastAsia" w:ascii="宋体" w:hAnsi="宋体" w:cs="宋体"/>
          <w:bCs/>
          <w:szCs w:val="21"/>
        </w:rPr>
        <w:t>建筑面积，</w:t>
      </w:r>
      <w:r>
        <w:rPr>
          <w:rFonts w:ascii="Times New Roman" w:hAnsi="Times New Roman" w:cs="Times New Roman"/>
          <w:bCs/>
          <w:szCs w:val="21"/>
        </w:rPr>
        <w:t>m</w:t>
      </w:r>
      <w:r>
        <w:rPr>
          <w:rFonts w:ascii="Times New Roman" w:hAnsi="Times New Roman" w:cs="Times New Roman"/>
          <w:bCs/>
          <w:szCs w:val="21"/>
          <w:vertAlign w:val="superscript"/>
        </w:rPr>
        <w:t>2</w:t>
      </w:r>
      <w:r>
        <w:rPr>
          <w:rFonts w:ascii="宋体" w:hAnsi="宋体" w:cs="宋体"/>
          <w:bCs/>
          <w:szCs w:val="21"/>
        </w:rPr>
        <w:t>；</w:t>
      </w:r>
    </w:p>
    <w:p>
      <w:pPr>
        <w:overflowPunct w:val="0"/>
        <w:snapToGrid w:val="0"/>
        <w:spacing w:line="309" w:lineRule="exact"/>
        <w:ind w:firstLine="630" w:firstLineChars="300"/>
        <w:rPr>
          <w:rFonts w:ascii="宋体" w:hAnsi="宋体" w:cs="宋体"/>
          <w:bCs/>
          <w:szCs w:val="21"/>
        </w:rPr>
      </w:pPr>
      <m:oMath>
        <m:sSub>
          <m:sSubPr>
            <m:ctrlPr>
              <w:rPr>
                <w:rFonts w:ascii="Cambria Math" w:hAnsi="Cambria Math" w:cs="宋体"/>
                <w:bCs/>
                <w:szCs w:val="21"/>
              </w:rPr>
            </m:ctrlPr>
          </m:sSubPr>
          <m:e>
            <m:r>
              <m:rPr>
                <m:sty m:val="p"/>
              </m:rPr>
              <w:rPr>
                <w:rFonts w:ascii="Cambria Math" w:hAnsi="Cambria Math" w:cs="宋体"/>
                <w:szCs w:val="21"/>
              </w:rPr>
              <m:t>f</m:t>
            </m:r>
            <m:ctrlPr>
              <w:rPr>
                <w:rFonts w:ascii="Cambria Math" w:hAnsi="Cambria Math" w:cs="宋体"/>
                <w:bCs/>
                <w:szCs w:val="21"/>
              </w:rPr>
            </m:ctrlPr>
          </m:e>
          <m:sub>
            <m:r>
              <m:rPr>
                <m:sty m:val="p"/>
              </m:rPr>
              <w:rPr>
                <w:rFonts w:ascii="Cambria Math" w:hAnsi="Cambria Math" w:cs="宋体"/>
                <w:szCs w:val="21"/>
              </w:rPr>
              <m:t>i</m:t>
            </m:r>
            <m:ctrlPr>
              <w:rPr>
                <w:rFonts w:ascii="Cambria Math" w:hAnsi="Cambria Math" w:cs="宋体"/>
                <w:bCs/>
                <w:szCs w:val="21"/>
              </w:rPr>
            </m:ctrlPr>
          </m:sub>
        </m:sSub>
      </m:oMath>
      <w:r>
        <w:rPr>
          <w:rFonts w:ascii="Times New Roman" w:hAnsi="Times New Roman" w:cs="Times New Roman"/>
          <w:bCs/>
          <w:szCs w:val="21"/>
        </w:rPr>
        <w:t>——</w:t>
      </w:r>
      <w:r>
        <w:rPr>
          <w:rFonts w:hint="eastAsia" w:ascii="宋体" w:hAnsi="宋体" w:cs="宋体"/>
          <w:bCs/>
          <w:szCs w:val="21"/>
        </w:rPr>
        <w:t>i类型能源的能源换算系数，按表</w:t>
      </w:r>
      <w:r>
        <w:rPr>
          <w:rFonts w:ascii="Times New Roman" w:hAnsi="Times New Roman" w:cs="Times New Roman"/>
          <w:bCs/>
          <w:szCs w:val="21"/>
        </w:rPr>
        <w:t>A.2</w:t>
      </w:r>
      <w:r>
        <w:rPr>
          <w:rFonts w:hint="eastAsia" w:ascii="宋体" w:hAnsi="宋体" w:cs="宋体"/>
          <w:bCs/>
          <w:szCs w:val="21"/>
        </w:rPr>
        <w:t>选取；</w:t>
      </w:r>
    </w:p>
    <w:p>
      <w:pPr>
        <w:overflowPunct w:val="0"/>
        <w:snapToGrid w:val="0"/>
        <w:spacing w:line="309" w:lineRule="exact"/>
        <w:ind w:firstLine="630" w:firstLineChars="300"/>
        <w:rPr>
          <w:rFonts w:ascii="宋体" w:hAnsi="宋体" w:cs="宋体"/>
          <w:bCs/>
          <w:szCs w:val="21"/>
        </w:rPr>
      </w:pPr>
      <m:oMath>
        <m:sSub>
          <m:sSubPr>
            <m:ctrlPr>
              <w:rPr>
                <w:rFonts w:ascii="Cambria Math" w:hAnsi="Cambria Math" w:cs="宋体"/>
                <w:bCs/>
                <w:szCs w:val="21"/>
              </w:rPr>
            </m:ctrlPr>
          </m:sSubPr>
          <m:e>
            <m:r>
              <m:rPr>
                <m:sty m:val="p"/>
              </m:rPr>
              <w:rPr>
                <w:rFonts w:ascii="Cambria Math" w:hAnsi="Cambria Math" w:cs="宋体"/>
                <w:szCs w:val="21"/>
              </w:rPr>
              <m:t>E</m:t>
            </m:r>
            <m:ctrlPr>
              <w:rPr>
                <w:rFonts w:ascii="Cambria Math" w:hAnsi="Cambria Math" w:cs="宋体"/>
                <w:bCs/>
                <w:szCs w:val="21"/>
              </w:rPr>
            </m:ctrlPr>
          </m:e>
          <m:sub>
            <m:r>
              <m:rPr>
                <m:sty m:val="p"/>
              </m:rPr>
              <w:rPr>
                <w:rFonts w:ascii="Cambria Math" w:hAnsi="Cambria Math" w:cs="宋体"/>
                <w:szCs w:val="21"/>
              </w:rPr>
              <m:t>r，i</m:t>
            </m:r>
            <m:ctrlPr>
              <w:rPr>
                <w:rFonts w:ascii="Cambria Math" w:hAnsi="Cambria Math" w:cs="宋体"/>
                <w:bCs/>
                <w:szCs w:val="21"/>
              </w:rPr>
            </m:ctrlPr>
          </m:sub>
        </m:sSub>
      </m:oMath>
      <w:r>
        <w:rPr>
          <w:rFonts w:ascii="Times New Roman" w:hAnsi="Times New Roman" w:cs="Times New Roman"/>
          <w:bCs/>
          <w:szCs w:val="21"/>
        </w:rPr>
        <w:t>——</w:t>
      </w:r>
      <w:r>
        <w:rPr>
          <w:rFonts w:hint="eastAsia" w:ascii="宋体" w:hAnsi="宋体" w:cs="宋体"/>
          <w:bCs/>
          <w:szCs w:val="21"/>
        </w:rPr>
        <w:t>年本体产生的i类型可再生能源发电量，</w:t>
      </w:r>
      <w:r>
        <w:rPr>
          <w:rFonts w:ascii="Times New Roman" w:hAnsi="Times New Roman" w:cs="Times New Roman"/>
          <w:bCs/>
          <w:szCs w:val="21"/>
        </w:rPr>
        <w:t>kWh</w:t>
      </w:r>
      <w:r>
        <w:rPr>
          <w:rFonts w:hint="eastAsia" w:ascii="宋体" w:hAnsi="宋体" w:cs="宋体"/>
          <w:bCs/>
          <w:szCs w:val="21"/>
        </w:rPr>
        <w:t>；</w:t>
      </w:r>
    </w:p>
    <w:p>
      <w:pPr>
        <w:overflowPunct w:val="0"/>
        <w:snapToGrid w:val="0"/>
        <w:spacing w:line="309" w:lineRule="exact"/>
        <w:ind w:firstLine="630" w:firstLineChars="300"/>
        <w:rPr>
          <w:rFonts w:ascii="宋体" w:hAnsi="宋体" w:cs="宋体"/>
          <w:bCs/>
          <w:szCs w:val="21"/>
        </w:rPr>
      </w:pPr>
      <m:oMath>
        <m:sSub>
          <m:sSubPr>
            <m:ctrlPr>
              <w:rPr>
                <w:rFonts w:ascii="Cambria Math" w:hAnsi="Cambria Math" w:cs="宋体"/>
                <w:bCs/>
                <w:szCs w:val="21"/>
              </w:rPr>
            </m:ctrlPr>
          </m:sSubPr>
          <m:e>
            <m:r>
              <m:rPr>
                <m:sty m:val="p"/>
              </m:rPr>
              <w:rPr>
                <w:rFonts w:ascii="Cambria Math" w:hAnsi="Cambria Math" w:cs="宋体"/>
                <w:szCs w:val="21"/>
              </w:rPr>
              <m:t>E</m:t>
            </m:r>
            <m:ctrlPr>
              <w:rPr>
                <w:rFonts w:ascii="Cambria Math" w:hAnsi="Cambria Math" w:cs="宋体"/>
                <w:bCs/>
                <w:szCs w:val="21"/>
              </w:rPr>
            </m:ctrlPr>
          </m:e>
          <m:sub>
            <m:r>
              <m:rPr>
                <m:sty m:val="p"/>
              </m:rPr>
              <w:rPr>
                <w:rFonts w:ascii="Cambria Math" w:hAnsi="Cambria Math" w:cs="宋体"/>
                <w:szCs w:val="21"/>
              </w:rPr>
              <m:t>r</m:t>
            </m:r>
            <m:r>
              <m:rPr>
                <m:sty m:val="p"/>
              </m:rPr>
              <w:rPr>
                <w:rFonts w:hint="eastAsia" w:ascii="Cambria Math" w:hAnsi="Cambria Math" w:cs="宋体"/>
                <w:szCs w:val="21"/>
              </w:rPr>
              <m:t>d</m:t>
            </m:r>
            <m:r>
              <m:rPr>
                <m:sty m:val="p"/>
              </m:rPr>
              <w:rPr>
                <w:rFonts w:ascii="Cambria Math" w:hAnsi="Cambria Math" w:cs="宋体"/>
                <w:szCs w:val="21"/>
              </w:rPr>
              <m:t>，i</m:t>
            </m:r>
            <m:ctrlPr>
              <w:rPr>
                <w:rFonts w:ascii="Cambria Math" w:hAnsi="Cambria Math" w:cs="宋体"/>
                <w:bCs/>
                <w:szCs w:val="21"/>
              </w:rPr>
            </m:ctrlPr>
          </m:sub>
        </m:sSub>
      </m:oMath>
      <w:r>
        <w:rPr>
          <w:rFonts w:ascii="Times New Roman" w:hAnsi="Times New Roman" w:cs="Times New Roman"/>
          <w:bCs/>
          <w:szCs w:val="21"/>
        </w:rPr>
        <w:t>——</w:t>
      </w:r>
      <w:r>
        <w:rPr>
          <w:rFonts w:hint="eastAsia" w:ascii="宋体" w:hAnsi="宋体" w:cs="宋体"/>
          <w:bCs/>
          <w:szCs w:val="21"/>
        </w:rPr>
        <w:t>年周边产生的i类型可再生能源发电量，</w:t>
      </w:r>
      <w:r>
        <w:rPr>
          <w:rFonts w:ascii="Times New Roman" w:hAnsi="Times New Roman" w:cs="Times New Roman"/>
          <w:bCs/>
          <w:szCs w:val="21"/>
        </w:rPr>
        <w:t>kWh</w:t>
      </w:r>
      <w:r>
        <w:rPr>
          <w:rFonts w:hint="eastAsia" w:ascii="宋体" w:hAnsi="宋体" w:cs="宋体"/>
          <w:bCs/>
          <w:szCs w:val="21"/>
        </w:rPr>
        <w:t>。</w:t>
      </w:r>
    </w:p>
    <w:p>
      <w:pPr>
        <w:pStyle w:val="42"/>
        <w:widowControl w:val="0"/>
        <w:overflowPunct w:val="0"/>
        <w:autoSpaceDE/>
        <w:autoSpaceDN/>
        <w:spacing w:before="62" w:beforeLines="20" w:after="78" w:afterLines="25" w:line="309" w:lineRule="exact"/>
        <w:ind w:firstLine="0" w:firstLineChars="0"/>
        <w:jc w:val="center"/>
        <w:rPr>
          <w:rFonts w:hAnsi="宋体" w:eastAsia="黑体"/>
        </w:rPr>
      </w:pPr>
      <w:r>
        <w:rPr>
          <w:rFonts w:ascii="黑体" w:hAnsi="黑体" w:eastAsia="黑体" w:cs="黑体"/>
          <w:sz w:val="18"/>
          <w:szCs w:val="18"/>
        </w:rPr>
        <w:t>表</w:t>
      </w:r>
      <w:r>
        <w:rPr>
          <w:rFonts w:hint="eastAsia" w:ascii="黑体" w:hAnsi="黑体" w:eastAsia="黑体" w:cs="黑体"/>
          <w:sz w:val="18"/>
          <w:szCs w:val="18"/>
        </w:rPr>
        <w:t>A.2</w:t>
      </w:r>
      <w:r>
        <w:rPr>
          <w:rFonts w:ascii="黑体" w:hAnsi="黑体" w:eastAsia="黑体" w:cs="黑体"/>
          <w:sz w:val="18"/>
          <w:szCs w:val="18"/>
        </w:rPr>
        <w:t>　</w:t>
      </w:r>
      <w:r>
        <w:rPr>
          <w:rFonts w:hint="eastAsia" w:ascii="黑体" w:hAnsi="黑体" w:eastAsia="黑体" w:cs="黑体"/>
          <w:sz w:val="18"/>
          <w:szCs w:val="18"/>
        </w:rPr>
        <w:t>能源换算系数</w:t>
      </w:r>
    </w:p>
    <w:tbl>
      <w:tblPr>
        <w:tblStyle w:val="14"/>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5524"/>
        <w:gridCol w:w="2023"/>
        <w:gridCol w:w="202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886" w:type="pct"/>
            <w:tcBorders>
              <w:right w:val="single" w:color="000000"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cs="宋体"/>
                <w:sz w:val="18"/>
                <w:szCs w:val="18"/>
              </w:rPr>
            </w:pPr>
            <w:r>
              <w:rPr>
                <w:rFonts w:hint="eastAsia" w:ascii="宋体" w:hAnsi="宋体" w:cs="宋体"/>
                <w:sz w:val="18"/>
                <w:szCs w:val="18"/>
              </w:rPr>
              <w:t>能源类型</w:t>
            </w:r>
          </w:p>
        </w:tc>
        <w:tc>
          <w:tcPr>
            <w:tcW w:w="1057" w:type="pct"/>
            <w:tcBorders>
              <w:left w:val="single" w:color="000000" w:sz="4" w:space="0"/>
              <w:right w:val="single" w:color="000000"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cs="宋体"/>
                <w:sz w:val="18"/>
                <w:szCs w:val="18"/>
              </w:rPr>
            </w:pPr>
            <w:r>
              <w:rPr>
                <w:rFonts w:hint="eastAsia" w:ascii="宋体" w:hAnsi="宋体" w:cs="宋体"/>
                <w:sz w:val="18"/>
                <w:szCs w:val="18"/>
              </w:rPr>
              <w:t>换算单位</w:t>
            </w:r>
          </w:p>
        </w:tc>
        <w:tc>
          <w:tcPr>
            <w:tcW w:w="1057" w:type="pct"/>
            <w:tcBorders>
              <w:left w:val="single" w:color="000000"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cs="宋体"/>
                <w:sz w:val="18"/>
                <w:szCs w:val="18"/>
              </w:rPr>
            </w:pPr>
            <w:r>
              <w:rPr>
                <w:rFonts w:hint="eastAsia" w:ascii="宋体" w:hAnsi="宋体" w:cs="宋体"/>
                <w:sz w:val="18"/>
                <w:szCs w:val="18"/>
              </w:rPr>
              <w:t>能源换算系数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886" w:type="pct"/>
            <w:tcBorders>
              <w:bottom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cs="宋体"/>
                <w:sz w:val="18"/>
                <w:szCs w:val="18"/>
              </w:rPr>
            </w:pPr>
            <w:r>
              <w:rPr>
                <w:rFonts w:hint="eastAsia" w:ascii="宋体" w:hAnsi="宋体" w:cs="宋体"/>
                <w:sz w:val="18"/>
                <w:szCs w:val="18"/>
              </w:rPr>
              <w:t>标准煤</w:t>
            </w:r>
          </w:p>
        </w:tc>
        <w:tc>
          <w:tcPr>
            <w:tcW w:w="1057" w:type="pct"/>
            <w:tcBorders>
              <w:left w:val="single" w:color="auto" w:sz="4" w:space="0"/>
              <w:bottom w:val="single" w:color="auto" w:sz="4" w:space="0"/>
              <w:right w:val="single" w:color="auto" w:sz="4" w:space="0"/>
            </w:tcBorders>
            <w:vAlign w:val="center"/>
          </w:tcPr>
          <w:p>
            <w:pPr>
              <w:pStyle w:val="22"/>
              <w:tabs>
                <w:tab w:val="left" w:pos="420"/>
              </w:tabs>
              <w:overflowPunct w:val="0"/>
              <w:snapToGrid w:val="0"/>
              <w:spacing w:line="309" w:lineRule="exact"/>
              <w:ind w:firstLine="0" w:firstLineChars="0"/>
              <w:jc w:val="center"/>
              <w:rPr>
                <w:rFonts w:ascii="Times New Roman" w:hAnsi="Times New Roman" w:cs="Times New Roman"/>
                <w:sz w:val="18"/>
                <w:szCs w:val="18"/>
              </w:rPr>
            </w:pPr>
            <w:r>
              <w:rPr>
                <w:rFonts w:ascii="Times New Roman" w:hAnsi="Times New Roman" w:cs="Times New Roman"/>
                <w:sz w:val="18"/>
                <w:szCs w:val="18"/>
              </w:rPr>
              <w:t>kWh/kgce</w:t>
            </w:r>
            <w:r>
              <w:rPr>
                <w:rFonts w:ascii="Times New Roman" w:hAnsi="Times New Roman" w:cs="Times New Roman"/>
                <w:sz w:val="18"/>
                <w:szCs w:val="18"/>
                <w:vertAlign w:val="subscript"/>
              </w:rPr>
              <w:t>终端</w:t>
            </w:r>
          </w:p>
        </w:tc>
        <w:tc>
          <w:tcPr>
            <w:tcW w:w="1057" w:type="pct"/>
            <w:tcBorders>
              <w:left w:val="single" w:color="auto" w:sz="4" w:space="0"/>
              <w:bottom w:val="single" w:color="auto" w:sz="4" w:space="0"/>
            </w:tcBorders>
            <w:vAlign w:val="center"/>
          </w:tcPr>
          <w:p>
            <w:pPr>
              <w:pStyle w:val="22"/>
              <w:tabs>
                <w:tab w:val="left" w:pos="420"/>
              </w:tabs>
              <w:overflowPunct w:val="0"/>
              <w:snapToGrid w:val="0"/>
              <w:spacing w:line="309" w:lineRule="exact"/>
              <w:ind w:firstLine="0" w:firstLineChars="0"/>
              <w:jc w:val="center"/>
              <w:rPr>
                <w:rFonts w:ascii="Times New Roman" w:hAnsi="Times New Roman" w:cs="Times New Roman"/>
                <w:sz w:val="18"/>
                <w:szCs w:val="18"/>
              </w:rPr>
            </w:pPr>
            <w:r>
              <w:rPr>
                <w:rFonts w:ascii="Times New Roman" w:hAnsi="Times New Roman" w:cs="Times New Roman"/>
                <w:sz w:val="18"/>
                <w:szCs w:val="18"/>
              </w:rPr>
              <w:t>8.14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886" w:type="pct"/>
            <w:tcBorders>
              <w:top w:val="single" w:color="auto" w:sz="4" w:space="0"/>
              <w:bottom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cs="宋体"/>
                <w:sz w:val="18"/>
                <w:szCs w:val="18"/>
              </w:rPr>
            </w:pPr>
            <w:r>
              <w:rPr>
                <w:rFonts w:hint="eastAsia" w:ascii="宋体" w:hAnsi="宋体" w:cs="宋体"/>
                <w:sz w:val="18"/>
                <w:szCs w:val="18"/>
              </w:rPr>
              <w:t>天然气</w:t>
            </w:r>
          </w:p>
        </w:tc>
        <w:tc>
          <w:tcPr>
            <w:tcW w:w="1057" w:type="pct"/>
            <w:tcBorders>
              <w:top w:val="single" w:color="auto" w:sz="4" w:space="0"/>
              <w:left w:val="single" w:color="auto" w:sz="4" w:space="0"/>
              <w:bottom w:val="single" w:color="auto" w:sz="4" w:space="0"/>
              <w:right w:val="single" w:color="auto" w:sz="4" w:space="0"/>
            </w:tcBorders>
            <w:vAlign w:val="center"/>
          </w:tcPr>
          <w:p>
            <w:pPr>
              <w:pStyle w:val="22"/>
              <w:tabs>
                <w:tab w:val="left" w:pos="420"/>
              </w:tabs>
              <w:overflowPunct w:val="0"/>
              <w:snapToGrid w:val="0"/>
              <w:spacing w:line="309" w:lineRule="exact"/>
              <w:ind w:firstLine="0" w:firstLineChars="0"/>
              <w:jc w:val="center"/>
              <w:rPr>
                <w:rFonts w:ascii="Times New Roman" w:hAnsi="Times New Roman" w:cs="Times New Roman"/>
                <w:sz w:val="18"/>
                <w:szCs w:val="18"/>
              </w:rPr>
            </w:pPr>
            <w:r>
              <w:rPr>
                <w:rFonts w:ascii="Times New Roman" w:hAnsi="Times New Roman" w:cs="Times New Roman"/>
                <w:sz w:val="18"/>
                <w:szCs w:val="18"/>
              </w:rPr>
              <w:t>kWh/m³</w:t>
            </w:r>
            <w:r>
              <w:rPr>
                <w:rFonts w:ascii="Times New Roman" w:hAnsi="Times New Roman" w:cs="Times New Roman"/>
                <w:sz w:val="18"/>
                <w:szCs w:val="18"/>
                <w:vertAlign w:val="subscript"/>
              </w:rPr>
              <w:t>终端</w:t>
            </w:r>
          </w:p>
        </w:tc>
        <w:tc>
          <w:tcPr>
            <w:tcW w:w="1057" w:type="pct"/>
            <w:tcBorders>
              <w:top w:val="single" w:color="auto" w:sz="4" w:space="0"/>
              <w:left w:val="single" w:color="auto" w:sz="4" w:space="0"/>
              <w:bottom w:val="single" w:color="auto" w:sz="4" w:space="0"/>
            </w:tcBorders>
            <w:vAlign w:val="center"/>
          </w:tcPr>
          <w:p>
            <w:pPr>
              <w:pStyle w:val="22"/>
              <w:tabs>
                <w:tab w:val="left" w:pos="420"/>
              </w:tabs>
              <w:overflowPunct w:val="0"/>
              <w:snapToGrid w:val="0"/>
              <w:spacing w:line="309" w:lineRule="exact"/>
              <w:ind w:firstLine="0" w:firstLineChars="0"/>
              <w:jc w:val="center"/>
              <w:rPr>
                <w:rFonts w:ascii="Times New Roman" w:hAnsi="Times New Roman" w:cs="Times New Roman"/>
                <w:sz w:val="18"/>
                <w:szCs w:val="18"/>
              </w:rPr>
            </w:pPr>
            <w:r>
              <w:rPr>
                <w:rFonts w:ascii="Times New Roman" w:hAnsi="Times New Roman" w:cs="Times New Roman"/>
                <w:sz w:val="18"/>
                <w:szCs w:val="18"/>
              </w:rPr>
              <w:t>9.85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c>
          <w:tcPr>
            <w:tcW w:w="2886" w:type="pct"/>
            <w:tcBorders>
              <w:top w:val="single" w:color="auto" w:sz="4" w:space="0"/>
              <w:bottom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cs="宋体"/>
                <w:sz w:val="18"/>
                <w:szCs w:val="18"/>
              </w:rPr>
            </w:pPr>
            <w:r>
              <w:rPr>
                <w:rFonts w:hint="eastAsia" w:ascii="宋体" w:hAnsi="宋体" w:cs="宋体"/>
                <w:sz w:val="18"/>
                <w:szCs w:val="18"/>
              </w:rPr>
              <w:t>热力</w:t>
            </w:r>
          </w:p>
        </w:tc>
        <w:tc>
          <w:tcPr>
            <w:tcW w:w="1057" w:type="pct"/>
            <w:tcBorders>
              <w:top w:val="single" w:color="auto" w:sz="4" w:space="0"/>
              <w:left w:val="single" w:color="auto" w:sz="4" w:space="0"/>
              <w:bottom w:val="single" w:color="auto" w:sz="4" w:space="0"/>
              <w:right w:val="single" w:color="auto" w:sz="4" w:space="0"/>
            </w:tcBorders>
            <w:vAlign w:val="center"/>
          </w:tcPr>
          <w:p>
            <w:pPr>
              <w:pStyle w:val="22"/>
              <w:tabs>
                <w:tab w:val="left" w:pos="420"/>
              </w:tabs>
              <w:overflowPunct w:val="0"/>
              <w:snapToGrid w:val="0"/>
              <w:spacing w:line="309" w:lineRule="exact"/>
              <w:ind w:firstLine="0" w:firstLineChars="0"/>
              <w:jc w:val="center"/>
              <w:rPr>
                <w:rFonts w:ascii="Times New Roman" w:hAnsi="Times New Roman" w:cs="Times New Roman"/>
                <w:sz w:val="18"/>
                <w:szCs w:val="18"/>
              </w:rPr>
            </w:pPr>
            <w:r>
              <w:rPr>
                <w:rFonts w:ascii="Times New Roman" w:hAnsi="Times New Roman" w:cs="Times New Roman"/>
                <w:sz w:val="18"/>
                <w:szCs w:val="18"/>
              </w:rPr>
              <w:t>kWh/kWh</w:t>
            </w:r>
            <w:r>
              <w:rPr>
                <w:rFonts w:ascii="Times New Roman" w:hAnsi="Times New Roman" w:cs="Times New Roman"/>
                <w:sz w:val="18"/>
                <w:szCs w:val="18"/>
                <w:vertAlign w:val="subscript"/>
              </w:rPr>
              <w:t>终端</w:t>
            </w:r>
          </w:p>
        </w:tc>
        <w:tc>
          <w:tcPr>
            <w:tcW w:w="1057" w:type="pct"/>
            <w:tcBorders>
              <w:top w:val="single" w:color="auto" w:sz="4" w:space="0"/>
              <w:left w:val="single" w:color="auto" w:sz="4" w:space="0"/>
              <w:bottom w:val="single" w:color="auto" w:sz="4" w:space="0"/>
            </w:tcBorders>
            <w:vAlign w:val="center"/>
          </w:tcPr>
          <w:p>
            <w:pPr>
              <w:pStyle w:val="22"/>
              <w:tabs>
                <w:tab w:val="left" w:pos="420"/>
              </w:tabs>
              <w:overflowPunct w:val="0"/>
              <w:snapToGrid w:val="0"/>
              <w:spacing w:line="309" w:lineRule="exact"/>
              <w:ind w:firstLine="0" w:firstLineChars="0"/>
              <w:jc w:val="center"/>
              <w:rPr>
                <w:rFonts w:ascii="Times New Roman" w:hAnsi="Times New Roman" w:cs="Times New Roman"/>
                <w:sz w:val="18"/>
                <w:szCs w:val="18"/>
              </w:rPr>
            </w:pPr>
            <w:r>
              <w:rPr>
                <w:rFonts w:ascii="Times New Roman" w:hAnsi="Times New Roman" w:cs="Times New Roman"/>
                <w:sz w:val="18"/>
                <w:szCs w:val="18"/>
              </w:rPr>
              <w:t>1.22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886" w:type="pct"/>
            <w:tcBorders>
              <w:top w:val="single" w:color="auto" w:sz="4" w:space="0"/>
              <w:bottom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cs="宋体"/>
                <w:sz w:val="18"/>
                <w:szCs w:val="18"/>
              </w:rPr>
            </w:pPr>
            <w:r>
              <w:rPr>
                <w:rFonts w:hint="eastAsia" w:ascii="宋体" w:hAnsi="宋体" w:cs="宋体"/>
                <w:sz w:val="18"/>
                <w:szCs w:val="18"/>
              </w:rPr>
              <w:t>电力</w:t>
            </w:r>
          </w:p>
        </w:tc>
        <w:tc>
          <w:tcPr>
            <w:tcW w:w="1057" w:type="pct"/>
            <w:tcBorders>
              <w:top w:val="single" w:color="auto" w:sz="4" w:space="0"/>
              <w:left w:val="single" w:color="auto" w:sz="4" w:space="0"/>
              <w:bottom w:val="single" w:color="auto" w:sz="4" w:space="0"/>
              <w:right w:val="single" w:color="auto" w:sz="4" w:space="0"/>
            </w:tcBorders>
            <w:vAlign w:val="center"/>
          </w:tcPr>
          <w:p>
            <w:pPr>
              <w:overflowPunct w:val="0"/>
              <w:snapToGrid w:val="0"/>
              <w:spacing w:line="309" w:lineRule="exact"/>
              <w:jc w:val="center"/>
              <w:rPr>
                <w:rFonts w:ascii="Times New Roman" w:hAnsi="Times New Roman" w:cs="Times New Roman"/>
                <w:sz w:val="18"/>
                <w:szCs w:val="18"/>
              </w:rPr>
            </w:pPr>
            <w:r>
              <w:rPr>
                <w:rFonts w:ascii="Times New Roman" w:hAnsi="Times New Roman" w:cs="Times New Roman"/>
                <w:sz w:val="18"/>
                <w:szCs w:val="18"/>
              </w:rPr>
              <w:t>kWh/kWh</w:t>
            </w:r>
            <w:r>
              <w:rPr>
                <w:rFonts w:ascii="Times New Roman" w:hAnsi="Times New Roman" w:cs="Times New Roman"/>
                <w:sz w:val="18"/>
                <w:szCs w:val="18"/>
                <w:vertAlign w:val="subscript"/>
              </w:rPr>
              <w:t>终端</w:t>
            </w:r>
          </w:p>
        </w:tc>
        <w:tc>
          <w:tcPr>
            <w:tcW w:w="1057" w:type="pct"/>
            <w:tcBorders>
              <w:top w:val="single" w:color="auto" w:sz="4" w:space="0"/>
              <w:left w:val="single" w:color="auto" w:sz="4" w:space="0"/>
              <w:bottom w:val="single" w:color="auto" w:sz="4" w:space="0"/>
            </w:tcBorders>
            <w:vAlign w:val="center"/>
          </w:tcPr>
          <w:p>
            <w:pPr>
              <w:pStyle w:val="22"/>
              <w:tabs>
                <w:tab w:val="left" w:pos="420"/>
              </w:tabs>
              <w:overflowPunct w:val="0"/>
              <w:snapToGrid w:val="0"/>
              <w:spacing w:line="309" w:lineRule="exact"/>
              <w:ind w:firstLine="0" w:firstLineChars="0"/>
              <w:jc w:val="center"/>
              <w:rPr>
                <w:rFonts w:ascii="Times New Roman" w:hAnsi="Times New Roman" w:cs="Times New Roman"/>
                <w:sz w:val="18"/>
                <w:szCs w:val="18"/>
              </w:rPr>
            </w:pPr>
            <w:r>
              <w:rPr>
                <w:rFonts w:ascii="Times New Roman" w:hAnsi="Times New Roman" w:cs="Times New Roman"/>
                <w:sz w:val="18"/>
                <w:szCs w:val="18"/>
              </w:rPr>
              <w:t>2.6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886" w:type="pct"/>
            <w:tcBorders>
              <w:top w:val="single" w:color="auto" w:sz="4" w:space="0"/>
              <w:bottom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cs="宋体"/>
                <w:sz w:val="18"/>
                <w:szCs w:val="18"/>
              </w:rPr>
            </w:pPr>
            <w:r>
              <w:rPr>
                <w:rFonts w:hint="eastAsia" w:ascii="宋体" w:hAnsi="宋体" w:cs="宋体"/>
                <w:sz w:val="18"/>
                <w:szCs w:val="18"/>
              </w:rPr>
              <w:t>生物质能</w:t>
            </w:r>
          </w:p>
        </w:tc>
        <w:tc>
          <w:tcPr>
            <w:tcW w:w="1057" w:type="pct"/>
            <w:tcBorders>
              <w:top w:val="single" w:color="auto" w:sz="4" w:space="0"/>
              <w:left w:val="single" w:color="auto" w:sz="4" w:space="0"/>
              <w:bottom w:val="single" w:color="auto" w:sz="4" w:space="0"/>
              <w:right w:val="single" w:color="auto" w:sz="4" w:space="0"/>
            </w:tcBorders>
            <w:vAlign w:val="center"/>
          </w:tcPr>
          <w:p>
            <w:pPr>
              <w:overflowPunct w:val="0"/>
              <w:snapToGrid w:val="0"/>
              <w:spacing w:line="309" w:lineRule="exact"/>
              <w:jc w:val="center"/>
              <w:rPr>
                <w:rFonts w:ascii="Times New Roman" w:hAnsi="Times New Roman" w:cs="Times New Roman"/>
                <w:sz w:val="18"/>
                <w:szCs w:val="18"/>
              </w:rPr>
            </w:pPr>
            <w:r>
              <w:rPr>
                <w:rFonts w:ascii="Times New Roman" w:hAnsi="Times New Roman" w:cs="Times New Roman"/>
                <w:sz w:val="18"/>
                <w:szCs w:val="18"/>
              </w:rPr>
              <w:t>kWh/kWh</w:t>
            </w:r>
            <w:r>
              <w:rPr>
                <w:rFonts w:ascii="Times New Roman" w:hAnsi="Times New Roman" w:cs="Times New Roman"/>
                <w:sz w:val="18"/>
                <w:szCs w:val="18"/>
                <w:vertAlign w:val="subscript"/>
              </w:rPr>
              <w:t>终端</w:t>
            </w:r>
          </w:p>
        </w:tc>
        <w:tc>
          <w:tcPr>
            <w:tcW w:w="1057" w:type="pct"/>
            <w:tcBorders>
              <w:top w:val="single" w:color="auto" w:sz="4" w:space="0"/>
              <w:left w:val="single" w:color="auto" w:sz="4" w:space="0"/>
              <w:bottom w:val="single" w:color="auto" w:sz="4" w:space="0"/>
            </w:tcBorders>
            <w:vAlign w:val="center"/>
          </w:tcPr>
          <w:p>
            <w:pPr>
              <w:pStyle w:val="22"/>
              <w:tabs>
                <w:tab w:val="left" w:pos="420"/>
              </w:tabs>
              <w:overflowPunct w:val="0"/>
              <w:snapToGrid w:val="0"/>
              <w:spacing w:line="309" w:lineRule="exact"/>
              <w:ind w:firstLine="0" w:firstLineChars="0"/>
              <w:jc w:val="center"/>
              <w:rPr>
                <w:rFonts w:ascii="Times New Roman" w:hAnsi="Times New Roman" w:cs="Times New Roman"/>
                <w:sz w:val="18"/>
                <w:szCs w:val="18"/>
              </w:rPr>
            </w:pPr>
            <w:r>
              <w:rPr>
                <w:rFonts w:ascii="Times New Roman" w:hAnsi="Times New Roman" w:cs="Times New Roman"/>
                <w:sz w:val="18"/>
                <w:szCs w:val="18"/>
              </w:rPr>
              <w:t>0.20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886" w:type="pct"/>
            <w:tcBorders>
              <w:top w:val="single" w:color="auto" w:sz="4" w:space="0"/>
              <w:bottom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ascii="宋体" w:hAnsi="宋体" w:cs="宋体"/>
                <w:sz w:val="18"/>
                <w:szCs w:val="18"/>
              </w:rPr>
            </w:pPr>
            <w:r>
              <w:rPr>
                <w:rFonts w:hint="eastAsia" w:ascii="宋体" w:hAnsi="宋体" w:cs="宋体"/>
                <w:sz w:val="18"/>
                <w:szCs w:val="18"/>
              </w:rPr>
              <w:t>电力（光伏、风力等可再生能源发电）</w:t>
            </w:r>
          </w:p>
        </w:tc>
        <w:tc>
          <w:tcPr>
            <w:tcW w:w="1057" w:type="pct"/>
            <w:tcBorders>
              <w:top w:val="single" w:color="auto" w:sz="4" w:space="0"/>
              <w:left w:val="single" w:color="auto" w:sz="4" w:space="0"/>
              <w:bottom w:val="single" w:color="auto" w:sz="4" w:space="0"/>
              <w:right w:val="single" w:color="auto" w:sz="4" w:space="0"/>
            </w:tcBorders>
            <w:vAlign w:val="center"/>
          </w:tcPr>
          <w:p>
            <w:pPr>
              <w:overflowPunct w:val="0"/>
              <w:snapToGrid w:val="0"/>
              <w:spacing w:line="309" w:lineRule="exact"/>
              <w:jc w:val="center"/>
              <w:rPr>
                <w:rFonts w:ascii="Times New Roman" w:hAnsi="Times New Roman" w:cs="Times New Roman"/>
                <w:sz w:val="18"/>
                <w:szCs w:val="18"/>
              </w:rPr>
            </w:pPr>
            <w:r>
              <w:rPr>
                <w:rFonts w:ascii="Times New Roman" w:hAnsi="Times New Roman" w:cs="Times New Roman"/>
                <w:sz w:val="18"/>
                <w:szCs w:val="18"/>
              </w:rPr>
              <w:t>kWh/kWh</w:t>
            </w:r>
            <w:r>
              <w:rPr>
                <w:rFonts w:ascii="Times New Roman" w:hAnsi="Times New Roman" w:cs="Times New Roman"/>
                <w:sz w:val="18"/>
                <w:szCs w:val="18"/>
                <w:vertAlign w:val="subscript"/>
              </w:rPr>
              <w:t>终端</w:t>
            </w:r>
          </w:p>
        </w:tc>
        <w:tc>
          <w:tcPr>
            <w:tcW w:w="1057" w:type="pct"/>
            <w:tcBorders>
              <w:top w:val="single" w:color="auto" w:sz="4" w:space="0"/>
              <w:left w:val="single" w:color="auto" w:sz="4" w:space="0"/>
              <w:bottom w:val="single" w:color="auto" w:sz="4" w:space="0"/>
            </w:tcBorders>
            <w:vAlign w:val="center"/>
          </w:tcPr>
          <w:p>
            <w:pPr>
              <w:pStyle w:val="22"/>
              <w:tabs>
                <w:tab w:val="left" w:pos="420"/>
              </w:tabs>
              <w:overflowPunct w:val="0"/>
              <w:snapToGrid w:val="0"/>
              <w:spacing w:line="309" w:lineRule="exact"/>
              <w:ind w:firstLine="0" w:firstLineChars="0"/>
              <w:jc w:val="center"/>
              <w:rPr>
                <w:rFonts w:ascii="Times New Roman" w:hAnsi="Times New Roman" w:cs="Times New Roman"/>
                <w:sz w:val="18"/>
                <w:szCs w:val="18"/>
              </w:rPr>
            </w:pPr>
            <w:r>
              <w:rPr>
                <w:rFonts w:ascii="Times New Roman" w:hAnsi="Times New Roman" w:cs="Times New Roman"/>
                <w:sz w:val="18"/>
                <w:szCs w:val="18"/>
              </w:rPr>
              <w:t>2.6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c>
          <w:tcPr>
            <w:tcW w:w="2886" w:type="pct"/>
            <w:tcBorders>
              <w:top w:val="single" w:color="auto" w:sz="4" w:space="0"/>
              <w:right w:val="single" w:color="auto" w:sz="4" w:space="0"/>
              <w:tl2br w:val="nil"/>
              <w:tr2bl w:val="nil"/>
            </w:tcBorders>
            <w:vAlign w:val="center"/>
          </w:tcPr>
          <w:p>
            <w:pPr>
              <w:pStyle w:val="22"/>
              <w:tabs>
                <w:tab w:val="left" w:pos="420"/>
              </w:tabs>
              <w:overflowPunct w:val="0"/>
              <w:snapToGrid w:val="0"/>
              <w:spacing w:line="309" w:lineRule="exact"/>
              <w:ind w:firstLine="0" w:firstLineChars="0"/>
              <w:jc w:val="center"/>
              <w:rPr>
                <w:rFonts w:hint="eastAsia" w:ascii="宋体" w:hAnsi="宋体" w:cs="宋体"/>
                <w:sz w:val="18"/>
                <w:szCs w:val="18"/>
              </w:rPr>
            </w:pPr>
          </w:p>
        </w:tc>
        <w:tc>
          <w:tcPr>
            <w:tcW w:w="1057" w:type="pct"/>
            <w:tcBorders>
              <w:top w:val="single" w:color="auto" w:sz="4" w:space="0"/>
              <w:left w:val="single" w:color="auto" w:sz="4" w:space="0"/>
              <w:bottom w:val="single" w:color="auto" w:sz="8" w:space="0"/>
              <w:right w:val="single" w:color="auto" w:sz="4" w:space="0"/>
            </w:tcBorders>
            <w:vAlign w:val="center"/>
          </w:tcPr>
          <w:p>
            <w:pPr>
              <w:overflowPunct w:val="0"/>
              <w:snapToGrid w:val="0"/>
              <w:spacing w:line="309" w:lineRule="exact"/>
              <w:jc w:val="center"/>
              <w:rPr>
                <w:rFonts w:ascii="Times New Roman" w:hAnsi="Times New Roman" w:cs="Times New Roman"/>
                <w:sz w:val="18"/>
                <w:szCs w:val="18"/>
              </w:rPr>
            </w:pPr>
          </w:p>
        </w:tc>
        <w:tc>
          <w:tcPr>
            <w:tcW w:w="1057" w:type="pct"/>
            <w:tcBorders>
              <w:top w:val="single" w:color="auto" w:sz="4" w:space="0"/>
              <w:left w:val="single" w:color="auto" w:sz="4" w:space="0"/>
              <w:bottom w:val="single" w:color="auto" w:sz="8" w:space="0"/>
            </w:tcBorders>
            <w:vAlign w:val="center"/>
          </w:tcPr>
          <w:p>
            <w:pPr>
              <w:pStyle w:val="22"/>
              <w:tabs>
                <w:tab w:val="left" w:pos="420"/>
              </w:tabs>
              <w:overflowPunct w:val="0"/>
              <w:snapToGrid w:val="0"/>
              <w:spacing w:line="309" w:lineRule="exact"/>
              <w:ind w:firstLine="0" w:firstLineChars="0"/>
              <w:jc w:val="center"/>
              <w:rPr>
                <w:rFonts w:ascii="Times New Roman" w:hAnsi="Times New Roman" w:cs="Times New Roman"/>
                <w:sz w:val="18"/>
                <w:szCs w:val="18"/>
              </w:rPr>
            </w:pPr>
          </w:p>
        </w:tc>
      </w:tr>
    </w:tbl>
    <w:p>
      <w:pPr>
        <w:overflowPunct w:val="0"/>
        <w:snapToGrid w:val="0"/>
        <w:spacing w:line="309" w:lineRule="exact"/>
        <w:rPr>
          <w:rFonts w:ascii="宋体" w:hAnsi="宋体" w:cs="宋体"/>
          <w:bCs/>
          <w:szCs w:val="21"/>
        </w:rPr>
      </w:pPr>
    </w:p>
    <w:p>
      <w:pPr>
        <w:overflowPunct w:val="0"/>
        <w:snapToGrid w:val="0"/>
        <w:spacing w:line="309" w:lineRule="exact"/>
        <w:outlineLvl w:val="2"/>
        <w:rPr>
          <w:rStyle w:val="44"/>
          <w:rFonts w:ascii="宋体" w:hAnsi="宋体" w:eastAsia="宋体"/>
          <w:color w:val="auto"/>
        </w:rPr>
      </w:pPr>
      <w:r>
        <w:rPr>
          <w:rStyle w:val="44"/>
          <w:rFonts w:eastAsia="宋体"/>
          <w:color w:val="auto"/>
        </w:rPr>
        <w:t>A.2.2</w:t>
      </w:r>
      <w:r>
        <w:rPr>
          <w:rStyle w:val="44"/>
          <w:rFonts w:hint="eastAsia" w:ascii="宋体" w:hAnsi="宋体" w:eastAsia="宋体"/>
          <w:color w:val="auto"/>
        </w:rPr>
        <w:t>　不含可再生能源发电的建筑能耗综合值应</w:t>
      </w:r>
      <w:r>
        <w:rPr>
          <w:rStyle w:val="44"/>
          <w:rFonts w:hint="eastAsia" w:ascii="宋体" w:hAnsi="宋体" w:eastAsia="宋体"/>
          <w:color w:val="auto"/>
          <w:lang w:eastAsia="zh-CN"/>
        </w:rPr>
        <w:t>公</w:t>
      </w:r>
      <w:r>
        <w:rPr>
          <w:rStyle w:val="44"/>
          <w:rFonts w:hint="eastAsia" w:ascii="宋体" w:hAnsi="宋体" w:eastAsia="宋体"/>
          <w:color w:val="auto"/>
        </w:rPr>
        <w:t>式</w:t>
      </w:r>
      <w:r>
        <w:rPr>
          <w:rStyle w:val="44"/>
          <w:rFonts w:hint="eastAsia" w:ascii="宋体" w:hAnsi="宋体" w:eastAsia="宋体"/>
          <w:color w:val="auto"/>
          <w:lang w:eastAsia="zh-CN"/>
        </w:rPr>
        <w:t>（</w:t>
      </w:r>
      <w:r>
        <w:rPr>
          <w:rFonts w:ascii="Times New Roman" w:hAnsi="Times New Roman" w:cs="Times New Roman"/>
          <w:szCs w:val="21"/>
        </w:rPr>
        <w:t>A.2</w:t>
      </w:r>
      <w:r>
        <w:rPr>
          <w:rStyle w:val="44"/>
          <w:rFonts w:hint="eastAsia" w:ascii="宋体" w:hAnsi="宋体" w:eastAsia="宋体"/>
          <w:color w:val="auto"/>
          <w:lang w:eastAsia="zh-CN"/>
        </w:rPr>
        <w:t>）</w:t>
      </w:r>
      <w:r>
        <w:rPr>
          <w:rStyle w:val="44"/>
          <w:rFonts w:hint="eastAsia" w:ascii="宋体" w:hAnsi="宋体" w:eastAsia="宋体"/>
          <w:color w:val="auto"/>
        </w:rPr>
        <w:t>计算：</w:t>
      </w:r>
    </w:p>
    <w:p>
      <w:pPr>
        <w:overflowPunct w:val="0"/>
        <w:snapToGrid w:val="0"/>
        <w:jc w:val="center"/>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QUOTE </w:instrText>
      </w:r>
      <m:oMath>
        <m:sSub>
          <m:sSubPr>
            <m:ctrlPr>
              <w:rPr>
                <w:rFonts w:ascii="Cambria Math" w:hAnsi="Cambria Math"/>
                <w:i/>
                <w:szCs w:val="21"/>
              </w:rPr>
            </m:ctrlPr>
          </m:sSubPr>
          <m:e>
            <m:r>
              <m:rPr>
                <m:sty m:val="p"/>
              </m:rPr>
              <w:rPr>
                <w:rFonts w:ascii="Cambria Math" w:hAnsi="Cambria Math"/>
                <w:szCs w:val="21"/>
              </w:rPr>
              <m:t xml:space="preserve">η</m:t>
            </m:r>
            <m:ctrlPr>
              <w:rPr>
                <w:rFonts w:ascii="Cambria Math" w:hAnsi="Cambria Math"/>
                <w:i/>
                <w:szCs w:val="21"/>
              </w:rPr>
            </m:ctrlPr>
          </m:e>
          <m:sub>
            <m:r>
              <m:rPr>
                <m:sty m:val="p"/>
              </m:rPr>
              <w:rPr>
                <w:rFonts w:ascii="Cambria Math" w:hAnsi="Cambria Math"/>
                <w:szCs w:val="21"/>
              </w:rPr>
              <m:t xml:space="preserve">l</m:t>
            </m:r>
            <m:ctrlPr>
              <w:rPr>
                <w:rFonts w:ascii="Cambria Math" w:hAnsi="Cambria Math"/>
                <w:i/>
                <w:szCs w:val="21"/>
              </w:rPr>
            </m:ctrlPr>
          </m:sub>
        </m:sSub>
        <m:r>
          <m:rPr>
            <m:sty m:val="p"/>
          </m:rPr>
          <w:rPr>
            <w:rFonts w:ascii="Cambria Math" w:hAnsi="Cambria Math"/>
            <w:szCs w:val="21"/>
          </w:rPr>
          <m:t xml:space="preserve">=</m:t>
        </m:r>
        <m:f>
          <m:fPr>
            <m:ctrlPr>
              <w:rPr>
                <w:rFonts w:ascii="Cambria Math" w:hAnsi="Cambria Math"/>
                <w:i/>
                <w:szCs w:val="21"/>
              </w:rPr>
            </m:ctrlPr>
          </m:fPr>
          <m:num>
            <m:r>
              <m:rPr>
                <m:sty m:val="p"/>
              </m:rPr>
              <w:rPr>
                <w:rFonts w:ascii="Cambria Math" w:hAnsi="Cambria Math"/>
                <w:szCs w:val="21"/>
              </w:rPr>
              <m:t xml:space="preserve">Q−</m:t>
            </m:r>
            <m:sSub>
              <m:sSubPr>
                <m:ctrlPr>
                  <w:rPr>
                    <w:rFonts w:ascii="Cambria Math" w:hAnsi="Cambria Math"/>
                    <w:i/>
                    <w:szCs w:val="21"/>
                  </w:rPr>
                </m:ctrlPr>
              </m:sSubPr>
              <m:e>
                <m:r>
                  <m:rPr>
                    <m:sty m:val="p"/>
                  </m:rPr>
                  <w:rPr>
                    <w:rFonts w:ascii="Cambria Math" w:hAnsi="Cambria Math"/>
                    <w:szCs w:val="21"/>
                  </w:rPr>
                  <m:t xml:space="preserve">Q</m:t>
                </m:r>
                <m:ctrlPr>
                  <w:rPr>
                    <w:rFonts w:ascii="Cambria Math" w:hAnsi="Cambria Math"/>
                    <w:i/>
                    <w:szCs w:val="21"/>
                  </w:rPr>
                </m:ctrlPr>
              </m:e>
              <m:sub>
                <m:r>
                  <m:rPr>
                    <m:sty m:val="p"/>
                  </m:rPr>
                  <w:rPr>
                    <w:rFonts w:ascii="Cambria Math" w:hAnsi="Cambria Math"/>
                    <w:szCs w:val="21"/>
                  </w:rPr>
                  <m:t xml:space="preserve">r</m:t>
                </m:r>
                <m:ctrlPr>
                  <w:rPr>
                    <w:rFonts w:ascii="Cambria Math" w:hAnsi="Cambria Math"/>
                    <w:i/>
                    <w:szCs w:val="21"/>
                  </w:rPr>
                </m:ctrlPr>
              </m:sub>
            </m:sSub>
            <m:ctrlPr>
              <w:rPr>
                <w:rFonts w:ascii="Cambria Math" w:hAnsi="Cambria Math"/>
                <w:i/>
                <w:szCs w:val="21"/>
              </w:rPr>
            </m:ctrlPr>
          </m:num>
          <m:den>
            <m:sSub>
              <m:sSubPr>
                <m:ctrlPr>
                  <w:rPr>
                    <w:rFonts w:ascii="Cambria Math" w:hAnsi="Cambria Math"/>
                    <w:i/>
                    <w:szCs w:val="21"/>
                  </w:rPr>
                </m:ctrlPr>
              </m:sSubPr>
              <m:e>
                <m:r>
                  <m:rPr>
                    <m:sty m:val="p"/>
                  </m:rPr>
                  <w:rPr>
                    <w:rFonts w:ascii="Cambria Math" w:hAnsi="Cambria Math"/>
                    <w:szCs w:val="21"/>
                  </w:rPr>
                  <m:t xml:space="preserve">Q</m:t>
                </m:r>
                <m:ctrlPr>
                  <w:rPr>
                    <w:rFonts w:ascii="Cambria Math" w:hAnsi="Cambria Math"/>
                    <w:i/>
                    <w:szCs w:val="21"/>
                  </w:rPr>
                </m:ctrlPr>
              </m:e>
              <m:sub>
                <m:r>
                  <m:rPr>
                    <m:sty m:val="p"/>
                  </m:rPr>
                  <w:rPr>
                    <w:rFonts w:ascii="Cambria Math" w:hAnsi="Cambria Math"/>
                    <w:szCs w:val="21"/>
                  </w:rPr>
                  <m:t xml:space="preserve">r</m:t>
                </m:r>
                <m:ctrlPr>
                  <w:rPr>
                    <w:rFonts w:ascii="Cambria Math" w:hAnsi="Cambria Math"/>
                    <w:i/>
                    <w:szCs w:val="21"/>
                  </w:rPr>
                </m:ctrlPr>
              </m:sub>
            </m:sSub>
            <m:ctrlPr>
              <w:rPr>
                <w:rFonts w:ascii="Cambria Math" w:hAnsi="Cambria Math"/>
                <w:i/>
                <w:szCs w:val="21"/>
              </w:rPr>
            </m:ctrlPr>
          </m:den>
        </m:f>
        <m:r>
          <m:rPr>
            <m:sty m:val="p"/>
          </m:rPr>
          <w:rPr>
            <w:rFonts w:ascii="Cambria Math" w:hAnsi="Cambria Math"/>
            <w:szCs w:val="21"/>
          </w:rPr>
          <m:t xml:space="preserve">×100%</m:t>
        </m:r>
      </m:oMath>
      <w:r>
        <w:rPr>
          <w:rFonts w:ascii="Times New Roman" w:hAnsi="Times New Roman"/>
          <w:szCs w:val="21"/>
        </w:rPr>
        <w:instrText xml:space="preserve"> </w:instrText>
      </w:r>
      <w:r>
        <w:rPr>
          <w:rFonts w:ascii="Times New Roman" w:hAnsi="Times New Roman"/>
          <w:szCs w:val="21"/>
        </w:rPr>
        <w:fldChar w:fldCharType="end"/>
      </w:r>
    </w:p>
    <w:p>
      <w:pPr>
        <w:overflowPunct w:val="0"/>
        <w:snapToGrid w:val="0"/>
        <w:jc w:val="right"/>
        <w:rPr>
          <w:rFonts w:hAnsi="Cambria Math"/>
          <w:szCs w:val="21"/>
        </w:rPr>
      </w:pPr>
      <w:r>
        <w:rPr>
          <w:rFonts w:hint="eastAsia" w:hAnsi="Cambria Math"/>
          <w:szCs w:val="21"/>
        </w:rPr>
        <w:t>　　　</w:t>
      </w:r>
      <m:oMath>
        <m:sSub>
          <m:sSubPr>
            <m:ctrlPr>
              <w:rPr>
                <w:rFonts w:ascii="Cambria Math" w:hAnsi="Cambria Math"/>
                <w:i/>
                <w:szCs w:val="21"/>
              </w:rPr>
            </m:ctrlPr>
          </m:sSubPr>
          <m:e>
            <m:r>
              <m:rPr/>
              <w:rPr>
                <w:rFonts w:ascii="Cambria Math" w:hAnsi="Cambria Math"/>
                <w:szCs w:val="21"/>
              </w:rPr>
              <m:t>E</m:t>
            </m:r>
            <m:ctrlPr>
              <w:rPr>
                <w:rFonts w:ascii="Cambria Math" w:hAnsi="Cambria Math"/>
                <w:i/>
                <w:szCs w:val="21"/>
              </w:rPr>
            </m:ctrlPr>
          </m:e>
          <m:sub>
            <m:r>
              <m:rPr/>
              <w:rPr>
                <w:rFonts w:ascii="Cambria Math" w:hAnsi="Cambria Math"/>
                <w:szCs w:val="21"/>
              </w:rPr>
              <m:t>E</m:t>
            </m:r>
            <m:ctrlPr>
              <w:rPr>
                <w:rFonts w:ascii="Cambria Math" w:hAnsi="Cambria Math"/>
                <w:i/>
                <w:szCs w:val="21"/>
              </w:rPr>
            </m:ctrlPr>
          </m:sub>
        </m:sSub>
        <m:r>
          <m:rPr/>
          <w:rPr>
            <w:rFonts w:ascii="Cambria Math" w:hAnsi="Cambria Math"/>
            <w:szCs w:val="21"/>
          </w:rPr>
          <m:t>=</m:t>
        </m:r>
        <m:f>
          <m:fPr>
            <m:ctrlPr>
              <w:rPr>
                <w:rFonts w:ascii="Cambria Math" w:hAnsi="Cambria Math"/>
                <w:i/>
                <w:szCs w:val="21"/>
              </w:rPr>
            </m:ctrlPr>
          </m:fPr>
          <m:num>
            <m:sSub>
              <m:sSubPr>
                <m:ctrlPr>
                  <w:rPr>
                    <w:rFonts w:ascii="Cambria Math" w:hAnsi="Cambria Math"/>
                    <w:i/>
                    <w:szCs w:val="21"/>
                  </w:rPr>
                </m:ctrlPr>
              </m:sSubPr>
              <m:e>
                <m:r>
                  <m:rPr/>
                  <w:rPr>
                    <w:rFonts w:ascii="Cambria Math" w:hAnsi="Cambria Math"/>
                    <w:szCs w:val="21"/>
                  </w:rPr>
                  <m:t>E</m:t>
                </m:r>
                <m:ctrlPr>
                  <w:rPr>
                    <w:rFonts w:ascii="Cambria Math" w:hAnsi="Cambria Math"/>
                    <w:i/>
                    <w:szCs w:val="21"/>
                  </w:rPr>
                </m:ctrlPr>
              </m:e>
              <m:sub>
                <m:r>
                  <m:rPr/>
                  <w:rPr>
                    <w:rFonts w:ascii="Cambria Math" w:hAnsi="Cambria Math"/>
                    <w:szCs w:val="21"/>
                  </w:rPr>
                  <m:t>ℎ</m:t>
                </m:r>
                <m:ctrlPr>
                  <w:rPr>
                    <w:rFonts w:ascii="Cambria Math" w:hAnsi="Cambria Math"/>
                    <w:i/>
                    <w:szCs w:val="21"/>
                  </w:rPr>
                </m:ctrlPr>
              </m:sub>
            </m:sSub>
            <m:r>
              <m:rPr/>
              <w:rPr>
                <w:rFonts w:ascii="Cambria Math" w:hAnsi="Cambria Math"/>
                <w:szCs w:val="21"/>
              </w:rPr>
              <m:t>×</m:t>
            </m:r>
            <m:sSub>
              <m:sSubPr>
                <m:ctrlPr>
                  <w:rPr>
                    <w:rFonts w:ascii="Cambria Math" w:hAnsi="Cambria Math"/>
                    <w:i/>
                    <w:szCs w:val="21"/>
                  </w:rPr>
                </m:ctrlPr>
              </m:sSubPr>
              <m:e>
                <m:r>
                  <m:rPr/>
                  <w:rPr>
                    <w:rFonts w:ascii="Cambria Math" w:hAnsi="Cambria Math"/>
                    <w:szCs w:val="21"/>
                  </w:rPr>
                  <m:t>f</m:t>
                </m:r>
                <m:ctrlPr>
                  <w:rPr>
                    <w:rFonts w:ascii="Cambria Math" w:hAnsi="Cambria Math"/>
                    <w:i/>
                    <w:szCs w:val="21"/>
                  </w:rPr>
                </m:ctrlPr>
              </m:e>
              <m:sub>
                <m:r>
                  <m:rPr/>
                  <w:rPr>
                    <w:rFonts w:ascii="Cambria Math" w:hAnsi="Cambria Math"/>
                    <w:szCs w:val="21"/>
                  </w:rPr>
                  <m:t>i</m:t>
                </m:r>
                <m:ctrlPr>
                  <w:rPr>
                    <w:rFonts w:ascii="Cambria Math" w:hAnsi="Cambria Math"/>
                    <w:i/>
                    <w:szCs w:val="21"/>
                  </w:rPr>
                </m:ctrlPr>
              </m:sub>
            </m:sSub>
            <m:r>
              <m:rPr/>
              <w:rPr>
                <w:rFonts w:ascii="Cambria Math" w:hAnsi="Cambria Math"/>
                <w:szCs w:val="21"/>
              </w:rPr>
              <m:t>+</m:t>
            </m:r>
            <m:sSub>
              <m:sSubPr>
                <m:ctrlPr>
                  <w:rPr>
                    <w:rFonts w:ascii="Cambria Math" w:hAnsi="Cambria Math"/>
                    <w:i/>
                    <w:szCs w:val="21"/>
                  </w:rPr>
                </m:ctrlPr>
              </m:sSubPr>
              <m:e>
                <m:r>
                  <m:rPr/>
                  <w:rPr>
                    <w:rFonts w:ascii="Cambria Math" w:hAnsi="Cambria Math"/>
                    <w:szCs w:val="21"/>
                  </w:rPr>
                  <m:t>E</m:t>
                </m:r>
                <m:ctrlPr>
                  <w:rPr>
                    <w:rFonts w:ascii="Cambria Math" w:hAnsi="Cambria Math"/>
                    <w:i/>
                    <w:szCs w:val="21"/>
                  </w:rPr>
                </m:ctrlPr>
              </m:e>
              <m:sub>
                <m:r>
                  <m:rPr/>
                  <w:rPr>
                    <w:rFonts w:ascii="Cambria Math" w:hAnsi="Cambria Math"/>
                    <w:szCs w:val="21"/>
                  </w:rPr>
                  <m:t>c</m:t>
                </m:r>
                <m:ctrlPr>
                  <w:rPr>
                    <w:rFonts w:ascii="Cambria Math" w:hAnsi="Cambria Math"/>
                    <w:i/>
                    <w:szCs w:val="21"/>
                  </w:rPr>
                </m:ctrlPr>
              </m:sub>
            </m:sSub>
            <m:r>
              <m:rPr/>
              <w:rPr>
                <w:rFonts w:ascii="Cambria Math" w:hAnsi="Cambria Math"/>
                <w:szCs w:val="21"/>
              </w:rPr>
              <m:t>×</m:t>
            </m:r>
            <m:sSub>
              <m:sSubPr>
                <m:ctrlPr>
                  <w:rPr>
                    <w:rFonts w:ascii="Cambria Math" w:hAnsi="Cambria Math"/>
                    <w:i/>
                    <w:szCs w:val="21"/>
                  </w:rPr>
                </m:ctrlPr>
              </m:sSubPr>
              <m:e>
                <m:r>
                  <m:rPr/>
                  <w:rPr>
                    <w:rFonts w:ascii="Cambria Math" w:hAnsi="Cambria Math"/>
                    <w:szCs w:val="21"/>
                  </w:rPr>
                  <m:t>f</m:t>
                </m:r>
                <m:ctrlPr>
                  <w:rPr>
                    <w:rFonts w:ascii="Cambria Math" w:hAnsi="Cambria Math"/>
                    <w:i/>
                    <w:szCs w:val="21"/>
                  </w:rPr>
                </m:ctrlPr>
              </m:e>
              <m:sub>
                <m:r>
                  <m:rPr/>
                  <w:rPr>
                    <w:rFonts w:ascii="Cambria Math" w:hAnsi="Cambria Math"/>
                    <w:szCs w:val="21"/>
                  </w:rPr>
                  <m:t>i</m:t>
                </m:r>
                <m:ctrlPr>
                  <w:rPr>
                    <w:rFonts w:ascii="Cambria Math" w:hAnsi="Cambria Math"/>
                    <w:i/>
                    <w:szCs w:val="21"/>
                  </w:rPr>
                </m:ctrlPr>
              </m:sub>
            </m:sSub>
            <m:r>
              <m:rPr/>
              <w:rPr>
                <w:rFonts w:ascii="Cambria Math" w:hAnsi="Cambria Math"/>
                <w:szCs w:val="21"/>
              </w:rPr>
              <m:t>+</m:t>
            </m:r>
            <m:sSub>
              <m:sSubPr>
                <m:ctrlPr>
                  <w:rPr>
                    <w:rFonts w:ascii="Cambria Math" w:hAnsi="Cambria Math"/>
                    <w:i/>
                    <w:szCs w:val="21"/>
                  </w:rPr>
                </m:ctrlPr>
              </m:sSubPr>
              <m:e>
                <m:r>
                  <m:rPr/>
                  <w:rPr>
                    <w:rFonts w:ascii="Cambria Math" w:hAnsi="Cambria Math"/>
                    <w:szCs w:val="21"/>
                  </w:rPr>
                  <m:t>E</m:t>
                </m:r>
                <m:ctrlPr>
                  <w:rPr>
                    <w:rFonts w:ascii="Cambria Math" w:hAnsi="Cambria Math"/>
                    <w:i/>
                    <w:szCs w:val="21"/>
                  </w:rPr>
                </m:ctrlPr>
              </m:e>
              <m:sub>
                <m:r>
                  <m:rPr/>
                  <w:rPr>
                    <w:rFonts w:ascii="Cambria Math" w:hAnsi="Cambria Math"/>
                    <w:szCs w:val="21"/>
                  </w:rPr>
                  <m:t>l</m:t>
                </m:r>
                <m:ctrlPr>
                  <w:rPr>
                    <w:rFonts w:ascii="Cambria Math" w:hAnsi="Cambria Math"/>
                    <w:i/>
                    <w:szCs w:val="21"/>
                  </w:rPr>
                </m:ctrlPr>
              </m:sub>
            </m:sSub>
            <m:r>
              <m:rPr/>
              <w:rPr>
                <w:rFonts w:ascii="Cambria Math" w:hAnsi="Cambria Math"/>
                <w:szCs w:val="21"/>
              </w:rPr>
              <m:t>×</m:t>
            </m:r>
            <m:sSub>
              <m:sSubPr>
                <m:ctrlPr>
                  <w:rPr>
                    <w:rFonts w:ascii="Cambria Math" w:hAnsi="Cambria Math"/>
                    <w:i/>
                    <w:szCs w:val="21"/>
                  </w:rPr>
                </m:ctrlPr>
              </m:sSubPr>
              <m:e>
                <m:r>
                  <m:rPr/>
                  <w:rPr>
                    <w:rFonts w:ascii="Cambria Math" w:hAnsi="Cambria Math"/>
                    <w:szCs w:val="21"/>
                  </w:rPr>
                  <m:t>f</m:t>
                </m:r>
                <m:ctrlPr>
                  <w:rPr>
                    <w:rFonts w:ascii="Cambria Math" w:hAnsi="Cambria Math"/>
                    <w:i/>
                    <w:szCs w:val="21"/>
                  </w:rPr>
                </m:ctrlPr>
              </m:e>
              <m:sub>
                <m:r>
                  <m:rPr/>
                  <w:rPr>
                    <w:rFonts w:ascii="Cambria Math" w:hAnsi="Cambria Math"/>
                    <w:szCs w:val="21"/>
                  </w:rPr>
                  <m:t>i</m:t>
                </m:r>
                <m:ctrlPr>
                  <w:rPr>
                    <w:rFonts w:ascii="Cambria Math" w:hAnsi="Cambria Math"/>
                    <w:i/>
                    <w:szCs w:val="21"/>
                  </w:rPr>
                </m:ctrlPr>
              </m:sub>
            </m:sSub>
            <m:r>
              <m:rPr/>
              <w:rPr>
                <w:rFonts w:ascii="Cambria Math" w:hAnsi="Cambria Math"/>
                <w:szCs w:val="21"/>
              </w:rPr>
              <m:t>+</m:t>
            </m:r>
            <m:sSub>
              <m:sSubPr>
                <m:ctrlPr>
                  <w:rPr>
                    <w:rFonts w:ascii="Cambria Math" w:hAnsi="Cambria Math"/>
                    <w:i/>
                    <w:szCs w:val="21"/>
                  </w:rPr>
                </m:ctrlPr>
              </m:sSubPr>
              <m:e>
                <m:r>
                  <m:rPr/>
                  <w:rPr>
                    <w:rFonts w:ascii="Cambria Math" w:hAnsi="Cambria Math"/>
                    <w:szCs w:val="21"/>
                  </w:rPr>
                  <m:t>E</m:t>
                </m:r>
                <m:ctrlPr>
                  <w:rPr>
                    <w:rFonts w:ascii="Cambria Math" w:hAnsi="Cambria Math"/>
                    <w:i/>
                    <w:szCs w:val="21"/>
                  </w:rPr>
                </m:ctrlPr>
              </m:e>
              <m:sub>
                <m:r>
                  <m:rPr/>
                  <w:rPr>
                    <w:rFonts w:ascii="Cambria Math" w:hAnsi="Cambria Math"/>
                    <w:szCs w:val="21"/>
                  </w:rPr>
                  <m:t>w</m:t>
                </m:r>
                <m:ctrlPr>
                  <w:rPr>
                    <w:rFonts w:ascii="Cambria Math" w:hAnsi="Cambria Math"/>
                    <w:i/>
                    <w:szCs w:val="21"/>
                  </w:rPr>
                </m:ctrlPr>
              </m:sub>
            </m:sSub>
            <m:r>
              <m:rPr/>
              <w:rPr>
                <w:rFonts w:ascii="Cambria Math" w:hAnsi="Cambria Math"/>
                <w:szCs w:val="21"/>
              </w:rPr>
              <m:t>×</m:t>
            </m:r>
            <m:sSub>
              <m:sSubPr>
                <m:ctrlPr>
                  <w:rPr>
                    <w:rFonts w:ascii="Cambria Math" w:hAnsi="Cambria Math"/>
                    <w:i/>
                    <w:szCs w:val="21"/>
                  </w:rPr>
                </m:ctrlPr>
              </m:sSubPr>
              <m:e>
                <m:r>
                  <m:rPr/>
                  <w:rPr>
                    <w:rFonts w:ascii="Cambria Math" w:hAnsi="Cambria Math"/>
                    <w:szCs w:val="21"/>
                  </w:rPr>
                  <m:t>f</m:t>
                </m:r>
                <m:ctrlPr>
                  <w:rPr>
                    <w:rFonts w:ascii="Cambria Math" w:hAnsi="Cambria Math"/>
                    <w:i/>
                    <w:szCs w:val="21"/>
                  </w:rPr>
                </m:ctrlPr>
              </m:e>
              <m:sub>
                <m:r>
                  <m:rPr/>
                  <w:rPr>
                    <w:rFonts w:ascii="Cambria Math" w:hAnsi="Cambria Math"/>
                    <w:szCs w:val="21"/>
                  </w:rPr>
                  <m:t>i</m:t>
                </m:r>
                <m:ctrlPr>
                  <w:rPr>
                    <w:rFonts w:ascii="Cambria Math" w:hAnsi="Cambria Math"/>
                    <w:i/>
                    <w:szCs w:val="21"/>
                  </w:rPr>
                </m:ctrlPr>
              </m:sub>
            </m:sSub>
            <m:r>
              <m:rPr/>
              <w:rPr>
                <w:rFonts w:ascii="Cambria Math" w:hAnsi="Cambria Math"/>
                <w:szCs w:val="21"/>
              </w:rPr>
              <m:t>+</m:t>
            </m:r>
            <m:sSub>
              <m:sSubPr>
                <m:ctrlPr>
                  <w:rPr>
                    <w:rFonts w:ascii="Cambria Math" w:hAnsi="Cambria Math"/>
                    <w:i/>
                    <w:szCs w:val="21"/>
                  </w:rPr>
                </m:ctrlPr>
              </m:sSubPr>
              <m:e>
                <m:r>
                  <m:rPr/>
                  <w:rPr>
                    <w:rFonts w:ascii="Cambria Math" w:hAnsi="Cambria Math"/>
                    <w:szCs w:val="21"/>
                  </w:rPr>
                  <m:t>E</m:t>
                </m:r>
                <m:ctrlPr>
                  <w:rPr>
                    <w:rFonts w:ascii="Cambria Math" w:hAnsi="Cambria Math"/>
                    <w:i/>
                    <w:szCs w:val="21"/>
                  </w:rPr>
                </m:ctrlPr>
              </m:e>
              <m:sub>
                <m:r>
                  <m:rPr/>
                  <w:rPr>
                    <w:rFonts w:ascii="Cambria Math" w:hAnsi="Cambria Math"/>
                    <w:szCs w:val="21"/>
                  </w:rPr>
                  <m:t>e</m:t>
                </m:r>
                <m:ctrlPr>
                  <w:rPr>
                    <w:rFonts w:ascii="Cambria Math" w:hAnsi="Cambria Math"/>
                    <w:i/>
                    <w:szCs w:val="21"/>
                  </w:rPr>
                </m:ctrlPr>
              </m:sub>
            </m:sSub>
            <m:r>
              <m:rPr/>
              <w:rPr>
                <w:rFonts w:ascii="Cambria Math" w:hAnsi="Cambria Math"/>
                <w:szCs w:val="21"/>
              </w:rPr>
              <m:t>×</m:t>
            </m:r>
            <m:sSub>
              <m:sSubPr>
                <m:ctrlPr>
                  <w:rPr>
                    <w:rFonts w:ascii="Cambria Math" w:hAnsi="Cambria Math"/>
                    <w:i/>
                    <w:szCs w:val="21"/>
                  </w:rPr>
                </m:ctrlPr>
              </m:sSubPr>
              <m:e>
                <m:r>
                  <m:rPr/>
                  <w:rPr>
                    <w:rFonts w:ascii="Cambria Math" w:hAnsi="Cambria Math"/>
                    <w:szCs w:val="21"/>
                  </w:rPr>
                  <m:t>f</m:t>
                </m:r>
                <m:ctrlPr>
                  <w:rPr>
                    <w:rFonts w:ascii="Cambria Math" w:hAnsi="Cambria Math"/>
                    <w:i/>
                    <w:szCs w:val="21"/>
                  </w:rPr>
                </m:ctrlPr>
              </m:e>
              <m:sub>
                <m:r>
                  <m:rPr/>
                  <w:rPr>
                    <w:rFonts w:ascii="Cambria Math" w:hAnsi="Cambria Math"/>
                    <w:szCs w:val="21"/>
                  </w:rPr>
                  <m:t>i</m:t>
                </m:r>
                <m:ctrlPr>
                  <w:rPr>
                    <w:rFonts w:ascii="Cambria Math" w:hAnsi="Cambria Math"/>
                    <w:i/>
                    <w:szCs w:val="21"/>
                  </w:rPr>
                </m:ctrlPr>
              </m:sub>
            </m:sSub>
            <m:ctrlPr>
              <w:rPr>
                <w:rFonts w:ascii="Cambria Math" w:hAnsi="Cambria Math"/>
                <w:i/>
                <w:szCs w:val="21"/>
              </w:rPr>
            </m:ctrlPr>
          </m:num>
          <m:den>
            <m:r>
              <m:rPr/>
              <w:rPr>
                <w:rFonts w:ascii="Cambria Math" w:hAnsi="Cambria Math"/>
                <w:szCs w:val="21"/>
              </w:rPr>
              <m:t>A</m:t>
            </m:r>
            <m:ctrlPr>
              <w:rPr>
                <w:rFonts w:ascii="Cambria Math" w:hAnsi="Cambria Math"/>
                <w:i/>
                <w:szCs w:val="21"/>
              </w:rPr>
            </m:ctrlPr>
          </m:den>
        </m:f>
      </m:oMath>
      <w:r>
        <w:rPr>
          <w:rFonts w:hint="eastAsia" w:hAnsi="Cambria Math"/>
          <w:szCs w:val="21"/>
        </w:rPr>
        <w:t>　</w:t>
      </w:r>
      <w:r>
        <w:rPr>
          <w:rFonts w:hint="eastAsia" w:ascii="Times New Roman" w:hAnsi="Times New Roman"/>
          <w:szCs w:val="21"/>
        </w:rPr>
        <w:t>　　　　　　　　　</w:t>
      </w:r>
      <w:r>
        <w:rPr>
          <w:rFonts w:hint="eastAsia" w:ascii="Times New Roman" w:hAnsi="Times New Roman"/>
          <w:szCs w:val="21"/>
          <w:lang w:eastAsia="zh-CN"/>
        </w:rPr>
        <w:t>公式</w:t>
      </w:r>
      <w:r>
        <w:rPr>
          <w:rFonts w:ascii="Times New Roman" w:hAnsi="Times New Roman"/>
          <w:szCs w:val="21"/>
        </w:rPr>
        <w:t>（</w:t>
      </w:r>
      <w:r>
        <w:rPr>
          <w:rFonts w:ascii="Times New Roman" w:hAnsi="Times New Roman" w:cs="Times New Roman"/>
          <w:szCs w:val="21"/>
        </w:rPr>
        <w:t>A.2</w:t>
      </w:r>
      <w:r>
        <w:rPr>
          <w:rFonts w:ascii="Times New Roman" w:hAnsi="Times New Roman"/>
          <w:szCs w:val="21"/>
        </w:rPr>
        <w:t xml:space="preserve">） </w:t>
      </w:r>
    </w:p>
    <w:p>
      <w:pPr>
        <w:overflowPunct w:val="0"/>
        <w:snapToGrid w:val="0"/>
        <w:jc w:val="center"/>
        <w:rPr>
          <w:rFonts w:hAnsi="Cambria Math"/>
          <w:szCs w:val="21"/>
        </w:rPr>
      </w:pPr>
    </w:p>
    <w:p>
      <w:pPr>
        <w:overflowPunct w:val="0"/>
        <w:snapToGrid w:val="0"/>
        <w:rPr>
          <w:rFonts w:hAnsi="Cambria Math"/>
          <w:szCs w:val="21"/>
        </w:rPr>
      </w:pPr>
      <w:r>
        <w:rPr>
          <w:rFonts w:hint="eastAsia" w:hAnsi="Cambria Math"/>
          <w:szCs w:val="21"/>
        </w:rPr>
        <w:t>式中：</w:t>
      </w:r>
      <m:oMath>
        <m:sSub>
          <m:sSubPr>
            <m:ctrlPr>
              <w:rPr>
                <w:rFonts w:ascii="Cambria Math" w:hAnsi="Cambria Math" w:cs="宋体"/>
                <w:bCs/>
                <w:szCs w:val="21"/>
              </w:rPr>
            </m:ctrlPr>
          </m:sSubPr>
          <m:e>
            <m:r>
              <m:rPr>
                <m:sty m:val="p"/>
              </m:rPr>
              <w:rPr>
                <w:rFonts w:ascii="Cambria Math" w:hAnsi="Cambria Math" w:cs="宋体"/>
                <w:szCs w:val="21"/>
              </w:rPr>
              <m:t>E</m:t>
            </m:r>
            <m:ctrlPr>
              <w:rPr>
                <w:rFonts w:ascii="Cambria Math" w:hAnsi="Cambria Math" w:cs="宋体"/>
                <w:bCs/>
                <w:szCs w:val="21"/>
              </w:rPr>
            </m:ctrlPr>
          </m:e>
          <m:sub>
            <m:r>
              <m:rPr>
                <m:sty m:val="p"/>
              </m:rPr>
              <w:rPr>
                <w:rFonts w:ascii="Cambria Math" w:hAnsi="Cambria Math" w:cs="宋体"/>
                <w:szCs w:val="21"/>
              </w:rPr>
              <m:t>h</m:t>
            </m:r>
            <m:ctrlPr>
              <w:rPr>
                <w:rFonts w:ascii="Cambria Math" w:hAnsi="Cambria Math" w:cs="宋体"/>
                <w:bCs/>
                <w:szCs w:val="21"/>
              </w:rPr>
            </m:ctrlPr>
          </m:sub>
        </m:sSub>
      </m:oMath>
      <w:r>
        <w:rPr>
          <w:rFonts w:ascii="Times New Roman" w:hAnsi="Times New Roman" w:cs="Times New Roman"/>
          <w:szCs w:val="21"/>
        </w:rPr>
        <w:t>——</w:t>
      </w:r>
      <w:r>
        <w:rPr>
          <w:rFonts w:hint="eastAsia" w:ascii="宋体" w:hAnsi="宋体" w:eastAsia="宋体" w:cs="宋体"/>
          <w:szCs w:val="21"/>
        </w:rPr>
        <w:t>年供暖系统能源消耗，</w:t>
      </w:r>
      <w:r>
        <w:rPr>
          <w:rFonts w:ascii="Times New Roman" w:hAnsi="Times New Roman" w:eastAsia="宋体" w:cs="Times New Roman"/>
          <w:szCs w:val="21"/>
        </w:rPr>
        <w:t>kWh</w:t>
      </w:r>
      <w:r>
        <w:rPr>
          <w:rFonts w:hint="eastAsia" w:ascii="宋体" w:hAnsi="宋体" w:eastAsia="宋体" w:cs="宋体"/>
          <w:szCs w:val="21"/>
        </w:rPr>
        <w:t>；</w:t>
      </w:r>
      <w:r>
        <w:rPr>
          <w:rFonts w:hint="eastAsia" w:hAnsi="Cambria Math"/>
          <w:szCs w:val="21"/>
        </w:rPr>
        <w:t xml:space="preserve"> </w:t>
      </w:r>
    </w:p>
    <w:p>
      <w:pPr>
        <w:overflowPunct w:val="0"/>
        <w:snapToGrid w:val="0"/>
        <w:rPr>
          <w:rFonts w:ascii="宋体" w:hAnsi="宋体" w:eastAsia="宋体" w:cs="宋体"/>
          <w:szCs w:val="21"/>
        </w:rPr>
      </w:pPr>
      <w:r>
        <w:rPr>
          <w:rFonts w:hint="eastAsia" w:hAnsi="Cambria Math"/>
          <w:szCs w:val="21"/>
        </w:rPr>
        <w:t>　　　</w:t>
      </w:r>
      <m:oMath>
        <m:sSub>
          <m:sSubPr>
            <m:ctrlPr>
              <w:rPr>
                <w:rFonts w:ascii="Cambria Math" w:hAnsi="Cambria Math" w:cs="宋体"/>
                <w:bCs/>
                <w:szCs w:val="21"/>
              </w:rPr>
            </m:ctrlPr>
          </m:sSubPr>
          <m:e>
            <m:r>
              <m:rPr>
                <m:sty m:val="p"/>
              </m:rPr>
              <w:rPr>
                <w:rFonts w:ascii="Cambria Math" w:hAnsi="Cambria Math" w:cs="宋体"/>
                <w:szCs w:val="21"/>
              </w:rPr>
              <m:t>E</m:t>
            </m:r>
            <m:ctrlPr>
              <w:rPr>
                <w:rFonts w:ascii="Cambria Math" w:hAnsi="Cambria Math" w:cs="宋体"/>
                <w:bCs/>
                <w:szCs w:val="21"/>
              </w:rPr>
            </m:ctrlPr>
          </m:e>
          <m:sub>
            <m:r>
              <m:rPr>
                <m:sty m:val="p"/>
              </m:rPr>
              <w:rPr>
                <w:rFonts w:ascii="Cambria Math" w:hAnsi="Cambria Math" w:cs="宋体"/>
                <w:szCs w:val="21"/>
              </w:rPr>
              <m:t>c</m:t>
            </m:r>
            <m:ctrlPr>
              <w:rPr>
                <w:rFonts w:ascii="Cambria Math" w:hAnsi="Cambria Math" w:cs="宋体"/>
                <w:bCs/>
                <w:szCs w:val="21"/>
              </w:rPr>
            </m:ctrlPr>
          </m:sub>
        </m:sSub>
      </m:oMath>
      <w:r>
        <w:rPr>
          <w:rFonts w:ascii="Times New Roman" w:hAnsi="Times New Roman" w:cs="Times New Roman"/>
          <w:szCs w:val="21"/>
        </w:rPr>
        <w:t>——</w:t>
      </w:r>
      <w:r>
        <w:rPr>
          <w:rFonts w:hint="eastAsia" w:ascii="宋体" w:hAnsi="宋体" w:eastAsia="宋体" w:cs="宋体"/>
          <w:szCs w:val="21"/>
        </w:rPr>
        <w:t>年供冷系统能源消耗，</w:t>
      </w:r>
      <w:r>
        <w:rPr>
          <w:rFonts w:ascii="Times New Roman" w:hAnsi="Times New Roman" w:eastAsia="宋体" w:cs="Times New Roman"/>
          <w:szCs w:val="21"/>
        </w:rPr>
        <w:t>kWh</w:t>
      </w:r>
      <w:r>
        <w:rPr>
          <w:rFonts w:hint="eastAsia" w:ascii="宋体" w:hAnsi="宋体" w:eastAsia="宋体" w:cs="宋体"/>
          <w:szCs w:val="21"/>
        </w:rPr>
        <w:t>；</w:t>
      </w:r>
    </w:p>
    <w:p>
      <w:pPr>
        <w:overflowPunct w:val="0"/>
        <w:snapToGrid w:val="0"/>
        <w:ind w:firstLine="630" w:firstLineChars="300"/>
        <w:rPr>
          <w:rFonts w:ascii="宋体" w:hAnsi="宋体" w:eastAsia="宋体" w:cs="宋体"/>
          <w:szCs w:val="21"/>
        </w:rPr>
      </w:pPr>
      <m:oMath>
        <m:sSub>
          <m:sSubPr>
            <m:ctrlPr>
              <w:rPr>
                <w:rFonts w:ascii="Cambria Math" w:hAnsi="Cambria Math" w:cs="宋体"/>
                <w:bCs/>
                <w:szCs w:val="21"/>
              </w:rPr>
            </m:ctrlPr>
          </m:sSubPr>
          <m:e>
            <m:r>
              <m:rPr>
                <m:sty m:val="p"/>
              </m:rPr>
              <w:rPr>
                <w:rFonts w:ascii="Cambria Math" w:hAnsi="Cambria Math" w:cs="宋体"/>
                <w:szCs w:val="21"/>
              </w:rPr>
              <m:t>E</m:t>
            </m:r>
            <m:ctrlPr>
              <w:rPr>
                <w:rFonts w:ascii="Cambria Math" w:hAnsi="Cambria Math" w:cs="宋体"/>
                <w:bCs/>
                <w:szCs w:val="21"/>
              </w:rPr>
            </m:ctrlPr>
          </m:e>
          <m:sub>
            <m:r>
              <m:rPr>
                <m:sty m:val="p"/>
              </m:rPr>
              <w:rPr>
                <w:rFonts w:ascii="Cambria Math" w:hAnsi="Cambria Math" w:cs="宋体"/>
                <w:szCs w:val="21"/>
              </w:rPr>
              <m:t>l</m:t>
            </m:r>
            <m:ctrlPr>
              <w:rPr>
                <w:rFonts w:ascii="Cambria Math" w:hAnsi="Cambria Math" w:cs="宋体"/>
                <w:bCs/>
                <w:szCs w:val="21"/>
              </w:rPr>
            </m:ctrlPr>
          </m:sub>
        </m:sSub>
      </m:oMath>
      <w:r>
        <w:rPr>
          <w:rFonts w:ascii="Times New Roman" w:hAnsi="Times New Roman" w:cs="Times New Roman"/>
          <w:szCs w:val="21"/>
        </w:rPr>
        <w:t>——</w:t>
      </w:r>
      <w:r>
        <w:rPr>
          <w:rFonts w:hint="eastAsia" w:ascii="宋体" w:hAnsi="宋体" w:eastAsia="宋体" w:cs="宋体"/>
          <w:szCs w:val="21"/>
        </w:rPr>
        <w:t>年照明系统能源消耗，</w:t>
      </w:r>
      <w:r>
        <w:rPr>
          <w:rFonts w:ascii="Times New Roman" w:hAnsi="Times New Roman" w:eastAsia="宋体" w:cs="Times New Roman"/>
          <w:szCs w:val="21"/>
        </w:rPr>
        <w:t>kWh</w:t>
      </w:r>
      <w:r>
        <w:rPr>
          <w:rFonts w:hint="eastAsia" w:ascii="宋体" w:hAnsi="宋体" w:eastAsia="宋体" w:cs="宋体"/>
          <w:szCs w:val="21"/>
        </w:rPr>
        <w:t>；</w:t>
      </w:r>
    </w:p>
    <w:p>
      <w:pPr>
        <w:overflowPunct w:val="0"/>
        <w:snapToGrid w:val="0"/>
        <w:ind w:firstLine="630" w:firstLineChars="300"/>
        <w:rPr>
          <w:rFonts w:ascii="宋体" w:hAnsi="宋体" w:eastAsia="宋体" w:cs="宋体"/>
          <w:szCs w:val="21"/>
        </w:rPr>
      </w:pPr>
      <m:oMath>
        <m:sSub>
          <m:sSubPr>
            <m:ctrlPr>
              <w:rPr>
                <w:rFonts w:ascii="Cambria Math" w:hAnsi="Cambria Math" w:cs="宋体"/>
                <w:bCs/>
                <w:szCs w:val="21"/>
              </w:rPr>
            </m:ctrlPr>
          </m:sSubPr>
          <m:e>
            <m:r>
              <m:rPr>
                <m:sty m:val="p"/>
              </m:rPr>
              <w:rPr>
                <w:rFonts w:ascii="Cambria Math" w:hAnsi="Cambria Math" w:cs="宋体"/>
                <w:szCs w:val="21"/>
              </w:rPr>
              <m:t>E</m:t>
            </m:r>
            <m:ctrlPr>
              <w:rPr>
                <w:rFonts w:ascii="Cambria Math" w:hAnsi="Cambria Math" w:cs="宋体"/>
                <w:bCs/>
                <w:szCs w:val="21"/>
              </w:rPr>
            </m:ctrlPr>
          </m:e>
          <m:sub>
            <m:r>
              <m:rPr>
                <m:sty m:val="p"/>
              </m:rPr>
              <w:rPr>
                <w:rFonts w:ascii="Cambria Math" w:hAnsi="Cambria Math" w:cs="宋体"/>
                <w:szCs w:val="21"/>
              </w:rPr>
              <m:t>w</m:t>
            </m:r>
            <m:ctrlPr>
              <w:rPr>
                <w:rFonts w:ascii="Cambria Math" w:hAnsi="Cambria Math" w:cs="宋体"/>
                <w:bCs/>
                <w:szCs w:val="21"/>
              </w:rPr>
            </m:ctrlPr>
          </m:sub>
        </m:sSub>
      </m:oMath>
      <w:r>
        <w:rPr>
          <w:rFonts w:ascii="Times New Roman" w:hAnsi="Times New Roman" w:cs="Times New Roman"/>
          <w:szCs w:val="21"/>
        </w:rPr>
        <w:t>——</w:t>
      </w:r>
      <w:r>
        <w:rPr>
          <w:rFonts w:hint="eastAsia" w:ascii="宋体" w:hAnsi="宋体" w:eastAsia="宋体" w:cs="宋体"/>
          <w:szCs w:val="21"/>
        </w:rPr>
        <w:t>年生活热水系统能源消耗，</w:t>
      </w:r>
      <w:r>
        <w:rPr>
          <w:rFonts w:ascii="Times New Roman" w:hAnsi="Times New Roman" w:eastAsia="宋体" w:cs="Times New Roman"/>
          <w:szCs w:val="21"/>
        </w:rPr>
        <w:t>kWh</w:t>
      </w:r>
      <w:r>
        <w:rPr>
          <w:rFonts w:hint="eastAsia" w:ascii="宋体" w:hAnsi="宋体" w:eastAsia="宋体" w:cs="宋体"/>
          <w:szCs w:val="21"/>
        </w:rPr>
        <w:t>；</w:t>
      </w:r>
    </w:p>
    <w:p>
      <w:pPr>
        <w:overflowPunct w:val="0"/>
        <w:snapToGrid w:val="0"/>
        <w:ind w:firstLine="630" w:firstLineChars="300"/>
        <w:rPr>
          <w:rFonts w:ascii="宋体" w:hAnsi="宋体" w:eastAsia="宋体" w:cs="宋体"/>
          <w:szCs w:val="21"/>
        </w:rPr>
      </w:pPr>
      <m:oMath>
        <m:sSub>
          <m:sSubPr>
            <m:ctrlPr>
              <w:rPr>
                <w:rFonts w:ascii="Cambria Math" w:hAnsi="Cambria Math" w:cs="宋体"/>
                <w:bCs/>
                <w:szCs w:val="21"/>
              </w:rPr>
            </m:ctrlPr>
          </m:sSubPr>
          <m:e>
            <m:r>
              <m:rPr>
                <m:sty m:val="p"/>
              </m:rPr>
              <w:rPr>
                <w:rFonts w:ascii="Cambria Math" w:hAnsi="Cambria Math" w:cs="宋体"/>
                <w:szCs w:val="21"/>
              </w:rPr>
              <m:t>E</m:t>
            </m:r>
            <m:ctrlPr>
              <w:rPr>
                <w:rFonts w:ascii="Cambria Math" w:hAnsi="Cambria Math" w:cs="宋体"/>
                <w:bCs/>
                <w:szCs w:val="21"/>
              </w:rPr>
            </m:ctrlPr>
          </m:e>
          <m:sub>
            <m:r>
              <m:rPr>
                <m:sty m:val="p"/>
              </m:rPr>
              <w:rPr>
                <w:rFonts w:ascii="Cambria Math" w:hAnsi="Cambria Math" w:cs="宋体"/>
                <w:szCs w:val="21"/>
              </w:rPr>
              <m:t>e</m:t>
            </m:r>
            <m:ctrlPr>
              <w:rPr>
                <w:rFonts w:ascii="Cambria Math" w:hAnsi="Cambria Math" w:cs="宋体"/>
                <w:bCs/>
                <w:szCs w:val="21"/>
              </w:rPr>
            </m:ctrlPr>
          </m:sub>
        </m:sSub>
      </m:oMath>
      <w:r>
        <w:rPr>
          <w:rFonts w:ascii="Times New Roman" w:hAnsi="Times New Roman" w:cs="Times New Roman"/>
          <w:szCs w:val="21"/>
        </w:rPr>
        <w:t>——</w:t>
      </w:r>
      <w:r>
        <w:rPr>
          <w:rFonts w:hint="eastAsia" w:ascii="宋体" w:hAnsi="宋体" w:eastAsia="宋体" w:cs="宋体"/>
          <w:szCs w:val="21"/>
        </w:rPr>
        <w:t>年电梯系统能源消耗，</w:t>
      </w:r>
      <w:r>
        <w:rPr>
          <w:rFonts w:ascii="Times New Roman" w:hAnsi="Times New Roman" w:eastAsia="宋体" w:cs="Times New Roman"/>
          <w:szCs w:val="21"/>
        </w:rPr>
        <w:t>kWh</w:t>
      </w:r>
      <w:r>
        <w:rPr>
          <w:rFonts w:hint="eastAsia" w:ascii="宋体" w:hAnsi="宋体" w:eastAsia="宋体" w:cs="宋体"/>
          <w:szCs w:val="21"/>
        </w:rPr>
        <w:t>。</w:t>
      </w:r>
    </w:p>
    <w:p>
      <w:pPr>
        <w:overflowPunct w:val="0"/>
        <w:snapToGrid w:val="0"/>
        <w:spacing w:line="309" w:lineRule="exact"/>
        <w:outlineLvl w:val="2"/>
        <w:rPr>
          <w:rStyle w:val="44"/>
          <w:rFonts w:ascii="宋体" w:hAnsi="宋体" w:eastAsia="宋体"/>
          <w:bCs/>
          <w:color w:val="auto"/>
        </w:rPr>
      </w:pPr>
      <w:r>
        <w:rPr>
          <w:rStyle w:val="44"/>
          <w:rFonts w:eastAsia="宋体"/>
          <w:bCs/>
          <w:color w:val="auto"/>
        </w:rPr>
        <w:t>A.2.3</w:t>
      </w:r>
      <w:r>
        <w:rPr>
          <w:rStyle w:val="44"/>
          <w:rFonts w:hint="eastAsia"/>
          <w:bCs/>
          <w:color w:val="auto"/>
        </w:rPr>
        <w:t>　</w:t>
      </w:r>
      <w:r>
        <w:rPr>
          <w:rStyle w:val="44"/>
          <w:rFonts w:hint="eastAsia" w:ascii="宋体" w:hAnsi="宋体" w:eastAsia="宋体"/>
          <w:bCs/>
          <w:color w:val="auto"/>
        </w:rPr>
        <w:t>建筑本体节能率计算时，设计建筑的建筑能耗综合值不应包括可再生能源发电量，并应按</w:t>
      </w:r>
      <w:r>
        <w:rPr>
          <w:rStyle w:val="44"/>
          <w:rFonts w:hint="eastAsia" w:ascii="宋体" w:hAnsi="宋体" w:eastAsia="宋体"/>
          <w:bCs/>
          <w:color w:val="auto"/>
          <w:lang w:eastAsia="zh-CN"/>
        </w:rPr>
        <w:t>公</w:t>
      </w:r>
      <w:r>
        <w:rPr>
          <w:rStyle w:val="44"/>
          <w:rFonts w:hint="eastAsia" w:ascii="宋体" w:hAnsi="宋体" w:eastAsia="宋体"/>
          <w:bCs/>
          <w:color w:val="auto"/>
        </w:rPr>
        <w:t>式</w:t>
      </w:r>
      <w:r>
        <w:rPr>
          <w:rStyle w:val="44"/>
          <w:rFonts w:hint="eastAsia" w:ascii="宋体" w:hAnsi="宋体" w:eastAsia="宋体"/>
          <w:bCs/>
          <w:color w:val="auto"/>
          <w:lang w:eastAsia="zh-CN"/>
        </w:rPr>
        <w:t>（</w:t>
      </w:r>
      <w:r>
        <w:rPr>
          <w:rFonts w:ascii="Times New Roman" w:hAnsi="Times New Roman" w:cs="Times New Roman"/>
          <w:szCs w:val="21"/>
        </w:rPr>
        <w:t>A.3</w:t>
      </w:r>
      <w:r>
        <w:rPr>
          <w:rStyle w:val="44"/>
          <w:rFonts w:hint="eastAsia" w:ascii="宋体" w:hAnsi="宋体" w:eastAsia="宋体"/>
          <w:bCs/>
          <w:color w:val="auto"/>
          <w:lang w:eastAsia="zh-CN"/>
        </w:rPr>
        <w:t>）</w:t>
      </w:r>
      <w:r>
        <w:rPr>
          <w:rStyle w:val="44"/>
          <w:rFonts w:hint="eastAsia" w:ascii="宋体" w:hAnsi="宋体" w:eastAsia="宋体"/>
          <w:bCs/>
          <w:color w:val="auto"/>
        </w:rPr>
        <w:t>计算：</w:t>
      </w:r>
    </w:p>
    <w:p>
      <w:pPr>
        <w:overflowPunct w:val="0"/>
        <w:snapToGrid w:val="0"/>
        <w:spacing w:line="360" w:lineRule="auto"/>
        <w:jc w:val="right"/>
        <w:rPr>
          <w:rFonts w:ascii="Times New Roman" w:hAnsi="Times New Roman"/>
          <w:szCs w:val="21"/>
        </w:rPr>
      </w:pPr>
      <w:r>
        <w:rPr>
          <w:rFonts w:hint="eastAsia" w:hAnsi="Cambria Math"/>
          <w:szCs w:val="21"/>
        </w:rPr>
        <w:t>　</w:t>
      </w:r>
      <m:oMath>
        <m:sSub>
          <m:sSubPr>
            <m:ctrlPr>
              <w:rPr>
                <w:rFonts w:ascii="Cambria Math" w:hAnsi="Cambria Math"/>
                <w:i/>
                <w:szCs w:val="21"/>
              </w:rPr>
            </m:ctrlPr>
          </m:sSubPr>
          <m:e>
            <m:r>
              <m:rPr/>
              <w:rPr>
                <w:rFonts w:ascii="Cambria Math" w:hAnsi="Cambria Math"/>
                <w:szCs w:val="21"/>
              </w:rPr>
              <m:t>η</m:t>
            </m:r>
            <m:ctrlPr>
              <w:rPr>
                <w:rFonts w:ascii="Cambria Math" w:hAnsi="Cambria Math"/>
                <w:i/>
                <w:szCs w:val="21"/>
              </w:rPr>
            </m:ctrlPr>
          </m:e>
          <m:sub>
            <m:r>
              <m:rPr/>
              <w:rPr>
                <w:rFonts w:ascii="Cambria Math" w:hAnsi="Cambria Math"/>
                <w:szCs w:val="21"/>
              </w:rPr>
              <m:t>e</m:t>
            </m:r>
            <m:ctrlPr>
              <w:rPr>
                <w:rFonts w:ascii="Cambria Math" w:hAnsi="Cambria Math"/>
                <w:i/>
                <w:szCs w:val="21"/>
              </w:rPr>
            </m:ctrlPr>
          </m:sub>
        </m:sSub>
        <m:r>
          <m:rPr/>
          <w:rPr>
            <w:rFonts w:ascii="Cambria Math" w:hAnsi="Cambria Math"/>
            <w:szCs w:val="21"/>
          </w:rPr>
          <m:t>=</m:t>
        </m:r>
        <m:f>
          <m:fPr>
            <m:ctrlPr>
              <w:rPr>
                <w:rFonts w:ascii="Cambria Math" w:hAnsi="Cambria Math"/>
                <w:i/>
                <w:szCs w:val="21"/>
              </w:rPr>
            </m:ctrlPr>
          </m:fPr>
          <m:num>
            <m:r>
              <m:rPr/>
              <w:rPr>
                <w:rFonts w:ascii="Cambria Math" w:hAnsi="Cambria Math"/>
                <w:szCs w:val="21"/>
              </w:rPr>
              <m:t>|</m:t>
            </m:r>
            <m:sSub>
              <m:sSubPr>
                <m:ctrlPr>
                  <w:rPr>
                    <w:rFonts w:ascii="Cambria Math" w:hAnsi="Cambria Math"/>
                    <w:i/>
                    <w:szCs w:val="21"/>
                  </w:rPr>
                </m:ctrlPr>
              </m:sSubPr>
              <m:e>
                <m:r>
                  <m:rPr/>
                  <w:rPr>
                    <w:rFonts w:ascii="Cambria Math" w:hAnsi="Cambria Math"/>
                    <w:szCs w:val="21"/>
                  </w:rPr>
                  <m:t>E</m:t>
                </m:r>
                <m:ctrlPr>
                  <w:rPr>
                    <w:rFonts w:ascii="Cambria Math" w:hAnsi="Cambria Math"/>
                    <w:i/>
                    <w:szCs w:val="21"/>
                  </w:rPr>
                </m:ctrlPr>
              </m:e>
              <m:sub>
                <m:r>
                  <m:rPr/>
                  <w:rPr>
                    <w:rFonts w:ascii="Cambria Math" w:hAnsi="Cambria Math"/>
                    <w:szCs w:val="21"/>
                  </w:rPr>
                  <m:t>E</m:t>
                </m:r>
                <m:ctrlPr>
                  <w:rPr>
                    <w:rFonts w:ascii="Cambria Math" w:hAnsi="Cambria Math"/>
                    <w:i/>
                    <w:szCs w:val="21"/>
                  </w:rPr>
                </m:ctrlPr>
              </m:sub>
            </m:sSub>
            <m:r>
              <m:rPr/>
              <w:rPr>
                <w:rFonts w:ascii="Cambria Math" w:hAnsi="Cambria Math"/>
                <w:szCs w:val="21"/>
              </w:rPr>
              <m:t>−</m:t>
            </m:r>
            <m:sSub>
              <m:sSubPr>
                <m:ctrlPr>
                  <w:rPr>
                    <w:rFonts w:ascii="Cambria Math" w:hAnsi="Cambria Math"/>
                    <w:i/>
                    <w:szCs w:val="21"/>
                  </w:rPr>
                </m:ctrlPr>
              </m:sSubPr>
              <m:e>
                <m:r>
                  <m:rPr/>
                  <w:rPr>
                    <w:rFonts w:ascii="Cambria Math" w:hAnsi="Cambria Math"/>
                    <w:szCs w:val="21"/>
                  </w:rPr>
                  <m:t>E</m:t>
                </m:r>
                <m:ctrlPr>
                  <w:rPr>
                    <w:rFonts w:ascii="Cambria Math" w:hAnsi="Cambria Math"/>
                    <w:i/>
                    <w:szCs w:val="21"/>
                  </w:rPr>
                </m:ctrlPr>
              </m:e>
              <m:sub>
                <m:r>
                  <m:rPr/>
                  <w:rPr>
                    <w:rFonts w:ascii="Cambria Math" w:hAnsi="Cambria Math"/>
                    <w:szCs w:val="21"/>
                  </w:rPr>
                  <m:t>R</m:t>
                </m:r>
                <m:ctrlPr>
                  <w:rPr>
                    <w:rFonts w:ascii="Cambria Math" w:hAnsi="Cambria Math"/>
                    <w:i/>
                    <w:szCs w:val="21"/>
                  </w:rPr>
                </m:ctrlPr>
              </m:sub>
            </m:sSub>
            <m:r>
              <m:rPr/>
              <w:rPr>
                <w:rFonts w:ascii="Cambria Math" w:hAnsi="Cambria Math"/>
                <w:szCs w:val="21"/>
              </w:rPr>
              <m:t>|</m:t>
            </m:r>
            <m:ctrlPr>
              <w:rPr>
                <w:rFonts w:ascii="Cambria Math" w:hAnsi="Cambria Math"/>
                <w:i/>
                <w:szCs w:val="21"/>
              </w:rPr>
            </m:ctrlPr>
          </m:num>
          <m:den>
            <m:sSub>
              <m:sSubPr>
                <m:ctrlPr>
                  <w:rPr>
                    <w:rFonts w:ascii="Cambria Math" w:hAnsi="Cambria Math"/>
                    <w:i/>
                    <w:szCs w:val="21"/>
                  </w:rPr>
                </m:ctrlPr>
              </m:sSubPr>
              <m:e>
                <m:r>
                  <m:rPr/>
                  <w:rPr>
                    <w:rFonts w:ascii="Cambria Math" w:hAnsi="Cambria Math"/>
                    <w:szCs w:val="21"/>
                  </w:rPr>
                  <m:t>E</m:t>
                </m:r>
                <m:ctrlPr>
                  <w:rPr>
                    <w:rFonts w:ascii="Cambria Math" w:hAnsi="Cambria Math"/>
                    <w:i/>
                    <w:szCs w:val="21"/>
                  </w:rPr>
                </m:ctrlPr>
              </m:e>
              <m:sub>
                <m:r>
                  <m:rPr/>
                  <w:rPr>
                    <w:rFonts w:ascii="Cambria Math" w:hAnsi="Cambria Math"/>
                    <w:szCs w:val="21"/>
                  </w:rPr>
                  <m:t>R</m:t>
                </m:r>
                <m:ctrlPr>
                  <w:rPr>
                    <w:rFonts w:ascii="Cambria Math" w:hAnsi="Cambria Math"/>
                    <w:i/>
                    <w:szCs w:val="21"/>
                  </w:rPr>
                </m:ctrlPr>
              </m:sub>
            </m:sSub>
            <m:ctrlPr>
              <w:rPr>
                <w:rFonts w:ascii="Cambria Math" w:hAnsi="Cambria Math"/>
                <w:i/>
                <w:szCs w:val="21"/>
              </w:rPr>
            </m:ctrlPr>
          </m:den>
        </m:f>
        <m:r>
          <m:rPr>
            <m:sty m:val="p"/>
          </m:rPr>
          <w:rPr>
            <w:rFonts w:hint="eastAsia" w:hAnsi="Cambria Math"/>
            <w:szCs w:val="21"/>
          </w:rPr>
          <m:t>×</m:t>
        </m:r>
        <m:r>
          <m:rPr>
            <m:sty m:val="p"/>
          </m:rPr>
          <w:rPr>
            <w:rFonts w:ascii="Cambria Math" w:hAnsi="Cambria Math" w:cs="Times New Roman"/>
            <w:szCs w:val="21"/>
          </w:rPr>
          <m:t>100%</m:t>
        </m:r>
      </m:oMath>
      <w:r>
        <w:rPr>
          <w:rFonts w:hint="eastAsia" w:hAnsi="Cambria Math"/>
          <w:szCs w:val="21"/>
        </w:rPr>
        <w:t>　</w:t>
      </w:r>
      <w:r>
        <w:rPr>
          <w:rFonts w:hint="eastAsia" w:ascii="Times New Roman" w:hAnsi="Times New Roman"/>
          <w:szCs w:val="21"/>
        </w:rPr>
        <w:t xml:space="preserve">　　　　　　　　　　　　 </w:t>
      </w:r>
      <w:r>
        <w:rPr>
          <w:rFonts w:hint="eastAsia" w:ascii="Times New Roman" w:hAnsi="Times New Roman"/>
          <w:szCs w:val="21"/>
          <w:lang w:eastAsia="zh-CN"/>
        </w:rPr>
        <w:t>公式</w:t>
      </w:r>
      <w:r>
        <w:rPr>
          <w:rFonts w:ascii="Times New Roman" w:hAnsi="Times New Roman"/>
          <w:szCs w:val="21"/>
        </w:rPr>
        <w:t>（</w:t>
      </w:r>
      <w:r>
        <w:rPr>
          <w:rFonts w:ascii="Times New Roman" w:hAnsi="Times New Roman" w:cs="Times New Roman"/>
          <w:szCs w:val="21"/>
        </w:rPr>
        <w:t>A.3</w:t>
      </w:r>
      <w:r>
        <w:rPr>
          <w:rFonts w:ascii="Times New Roman" w:hAnsi="Times New Roman"/>
          <w:szCs w:val="21"/>
        </w:rPr>
        <w:t xml:space="preserve">） </w:t>
      </w:r>
    </w:p>
    <w:p>
      <w:pPr>
        <w:overflowPunct w:val="0"/>
        <w:snapToGrid w:val="0"/>
        <w:rPr>
          <w:rFonts w:hAnsi="Cambria Math"/>
          <w:szCs w:val="21"/>
        </w:rPr>
      </w:pPr>
      <w:r>
        <w:rPr>
          <w:rFonts w:hint="eastAsia" w:hAnsi="Cambria Math"/>
          <w:szCs w:val="21"/>
        </w:rPr>
        <w:t>式中：</w:t>
      </w:r>
      <m:oMath>
        <m:sSub>
          <m:sSubPr>
            <m:ctrlPr>
              <w:rPr>
                <w:rFonts w:ascii="Cambria Math" w:hAnsi="Cambria Math"/>
                <w:i/>
                <w:szCs w:val="21"/>
              </w:rPr>
            </m:ctrlPr>
          </m:sSubPr>
          <m:e>
            <m:r>
              <m:rPr/>
              <w:rPr>
                <w:rFonts w:ascii="Cambria Math" w:hAnsi="Cambria Math"/>
                <w:szCs w:val="21"/>
              </w:rPr>
              <m:t>η</m:t>
            </m:r>
            <m:ctrlPr>
              <w:rPr>
                <w:rFonts w:ascii="Cambria Math" w:hAnsi="Cambria Math"/>
                <w:i/>
                <w:szCs w:val="21"/>
              </w:rPr>
            </m:ctrlPr>
          </m:e>
          <m:sub>
            <m:r>
              <m:rPr/>
              <w:rPr>
                <w:rFonts w:ascii="Cambria Math" w:hAnsi="Cambria Math"/>
                <w:szCs w:val="21"/>
              </w:rPr>
              <m:t>e</m:t>
            </m:r>
            <m:ctrlPr>
              <w:rPr>
                <w:rFonts w:ascii="Cambria Math" w:hAnsi="Cambria Math"/>
                <w:i/>
                <w:szCs w:val="21"/>
              </w:rPr>
            </m:ctrlPr>
          </m:sub>
        </m:sSub>
      </m:oMath>
      <w:r>
        <w:rPr>
          <w:rFonts w:ascii="Times New Roman" w:hAnsi="Times New Roman" w:cs="Times New Roman"/>
          <w:szCs w:val="21"/>
        </w:rPr>
        <w:t>——</w:t>
      </w:r>
      <w:r>
        <w:rPr>
          <w:rFonts w:hint="eastAsia" w:ascii="宋体" w:hAnsi="宋体" w:eastAsia="宋体" w:cs="宋体"/>
          <w:szCs w:val="21"/>
        </w:rPr>
        <w:t>建筑本体节能率，</w:t>
      </w:r>
      <w:r>
        <w:rPr>
          <w:rFonts w:ascii="Times New Roman" w:hAnsi="Times New Roman" w:eastAsia="宋体" w:cs="Times New Roman"/>
          <w:szCs w:val="21"/>
        </w:rPr>
        <w:t>%</w:t>
      </w:r>
      <w:r>
        <w:rPr>
          <w:rFonts w:hint="eastAsia" w:ascii="宋体" w:hAnsi="宋体" w:eastAsia="宋体" w:cs="宋体"/>
          <w:szCs w:val="21"/>
        </w:rPr>
        <w:t>；</w:t>
      </w:r>
      <w:r>
        <w:rPr>
          <w:rFonts w:hint="eastAsia" w:hAnsi="Cambria Math"/>
          <w:szCs w:val="21"/>
        </w:rPr>
        <w:t xml:space="preserve"> </w:t>
      </w:r>
    </w:p>
    <w:p>
      <w:pPr>
        <w:overflowPunct w:val="0"/>
        <w:snapToGrid w:val="0"/>
        <w:ind w:firstLine="630" w:firstLineChars="300"/>
        <w:rPr>
          <w:rFonts w:ascii="宋体" w:hAnsi="宋体" w:eastAsia="宋体" w:cs="宋体"/>
          <w:szCs w:val="21"/>
        </w:rPr>
      </w:pPr>
      <m:oMath>
        <m:sSub>
          <m:sSubPr>
            <m:ctrlPr>
              <w:rPr>
                <w:rFonts w:ascii="Cambria Math" w:hAnsi="Cambria Math" w:cs="宋体"/>
                <w:bCs/>
                <w:szCs w:val="21"/>
              </w:rPr>
            </m:ctrlPr>
          </m:sSubPr>
          <m:e>
            <m:r>
              <m:rPr>
                <m:sty m:val="p"/>
              </m:rPr>
              <w:rPr>
                <w:rFonts w:ascii="Cambria Math" w:hAnsi="Cambria Math" w:cs="宋体"/>
                <w:szCs w:val="21"/>
              </w:rPr>
              <m:t>E</m:t>
            </m:r>
            <m:ctrlPr>
              <w:rPr>
                <w:rFonts w:ascii="Cambria Math" w:hAnsi="Cambria Math" w:cs="宋体"/>
                <w:bCs/>
                <w:szCs w:val="21"/>
              </w:rPr>
            </m:ctrlPr>
          </m:e>
          <m:sub>
            <m:r>
              <m:rPr>
                <m:sty m:val="p"/>
              </m:rPr>
              <w:rPr>
                <w:rFonts w:ascii="Cambria Math" w:hAnsi="Cambria Math" w:cs="宋体"/>
                <w:szCs w:val="21"/>
              </w:rPr>
              <m:t>R</m:t>
            </m:r>
            <m:ctrlPr>
              <w:rPr>
                <w:rFonts w:ascii="Cambria Math" w:hAnsi="Cambria Math" w:cs="宋体"/>
                <w:bCs/>
                <w:szCs w:val="21"/>
              </w:rPr>
            </m:ctrlPr>
          </m:sub>
        </m:sSub>
      </m:oMath>
      <w:r>
        <w:rPr>
          <w:rFonts w:ascii="Times New Roman" w:hAnsi="Times New Roman" w:cs="Times New Roman"/>
          <w:szCs w:val="21"/>
        </w:rPr>
        <w:t>——</w:t>
      </w:r>
      <w:r>
        <w:rPr>
          <w:rFonts w:hint="eastAsia" w:ascii="宋体" w:hAnsi="宋体" w:eastAsia="宋体" w:cs="宋体"/>
          <w:szCs w:val="21"/>
        </w:rPr>
        <w:t>基准建筑的建筑能耗综合值，</w:t>
      </w:r>
      <w:r>
        <w:rPr>
          <w:rFonts w:ascii="Times New Roman" w:hAnsi="Times New Roman" w:eastAsia="宋体" w:cs="Times New Roman"/>
          <w:szCs w:val="21"/>
        </w:rPr>
        <w:t>kWh/</w:t>
      </w:r>
      <w:r>
        <w:rPr>
          <w:rFonts w:ascii="Times New Roman" w:hAnsi="Times New Roman" w:cs="Times New Roman"/>
          <w:bCs/>
          <w:szCs w:val="21"/>
        </w:rPr>
        <w:t>m</w:t>
      </w:r>
      <w:r>
        <w:rPr>
          <w:rFonts w:ascii="Times New Roman" w:hAnsi="Times New Roman" w:cs="Times New Roman"/>
          <w:bCs/>
          <w:szCs w:val="21"/>
          <w:vertAlign w:val="superscript"/>
        </w:rPr>
        <w:t>2</w:t>
      </w:r>
      <w:r>
        <w:rPr>
          <w:rFonts w:hint="eastAsia" w:ascii="宋体" w:hAnsi="宋体" w:eastAsia="宋体" w:cs="宋体"/>
          <w:szCs w:val="21"/>
        </w:rPr>
        <w:t>。</w:t>
      </w:r>
    </w:p>
    <w:p>
      <w:pPr>
        <w:overflowPunct w:val="0"/>
        <w:snapToGrid w:val="0"/>
        <w:spacing w:line="309" w:lineRule="exact"/>
        <w:outlineLvl w:val="2"/>
        <w:rPr>
          <w:rStyle w:val="44"/>
          <w:rFonts w:ascii="宋体" w:hAnsi="宋体" w:eastAsia="宋体"/>
          <w:bCs/>
          <w:color w:val="auto"/>
        </w:rPr>
      </w:pPr>
      <w:r>
        <w:rPr>
          <w:rStyle w:val="44"/>
          <w:rFonts w:eastAsia="宋体"/>
          <w:bCs/>
          <w:color w:val="auto"/>
        </w:rPr>
        <w:t>A.2.4</w:t>
      </w:r>
      <w:r>
        <w:rPr>
          <w:rStyle w:val="44"/>
          <w:rFonts w:hint="eastAsia" w:ascii="宋体" w:hAnsi="宋体" w:eastAsia="宋体"/>
          <w:bCs/>
          <w:color w:val="auto"/>
        </w:rPr>
        <w:t>　建筑综合节能率应按</w:t>
      </w:r>
      <w:r>
        <w:rPr>
          <w:rStyle w:val="44"/>
          <w:rFonts w:hint="eastAsia" w:ascii="宋体" w:hAnsi="宋体" w:eastAsia="宋体"/>
          <w:bCs/>
          <w:color w:val="auto"/>
          <w:lang w:eastAsia="zh-CN"/>
        </w:rPr>
        <w:t>公</w:t>
      </w:r>
      <w:r>
        <w:rPr>
          <w:rStyle w:val="44"/>
          <w:rFonts w:hint="eastAsia" w:ascii="宋体" w:hAnsi="宋体" w:eastAsia="宋体"/>
          <w:bCs/>
          <w:color w:val="auto"/>
        </w:rPr>
        <w:t>式</w:t>
      </w:r>
      <w:r>
        <w:rPr>
          <w:rStyle w:val="44"/>
          <w:rFonts w:hint="eastAsia" w:ascii="宋体" w:hAnsi="宋体" w:eastAsia="宋体"/>
          <w:bCs/>
          <w:color w:val="auto"/>
          <w:lang w:eastAsia="zh-CN"/>
        </w:rPr>
        <w:t>（</w:t>
      </w:r>
      <w:r>
        <w:rPr>
          <w:rFonts w:ascii="Times New Roman" w:hAnsi="Times New Roman" w:cs="Times New Roman"/>
          <w:szCs w:val="21"/>
        </w:rPr>
        <w:t>A.4</w:t>
      </w:r>
      <w:r>
        <w:rPr>
          <w:rStyle w:val="44"/>
          <w:rFonts w:hint="eastAsia" w:ascii="宋体" w:hAnsi="宋体" w:eastAsia="宋体"/>
          <w:bCs/>
          <w:color w:val="auto"/>
          <w:lang w:eastAsia="zh-CN"/>
        </w:rPr>
        <w:t>）</w:t>
      </w:r>
      <w:r>
        <w:rPr>
          <w:rStyle w:val="44"/>
          <w:rFonts w:hint="eastAsia" w:ascii="宋体" w:hAnsi="宋体" w:eastAsia="宋体"/>
          <w:bCs/>
          <w:color w:val="auto"/>
        </w:rPr>
        <w:t>计算：</w:t>
      </w:r>
    </w:p>
    <w:p>
      <w:pPr>
        <w:overflowPunct w:val="0"/>
        <w:snapToGrid w:val="0"/>
        <w:spacing w:line="360" w:lineRule="auto"/>
        <w:jc w:val="right"/>
        <w:rPr>
          <w:rFonts w:ascii="Times New Roman" w:hAnsi="Times New Roman"/>
          <w:szCs w:val="21"/>
        </w:rPr>
      </w:pPr>
      <w:r>
        <w:rPr>
          <w:rFonts w:hint="eastAsia" w:hAnsi="Cambria Math"/>
          <w:szCs w:val="21"/>
        </w:rPr>
        <w:t>　</w:t>
      </w:r>
      <m:oMath>
        <m:sSub>
          <m:sSubPr>
            <m:ctrlPr>
              <w:rPr>
                <w:rFonts w:ascii="Cambria Math" w:hAnsi="Cambria Math"/>
                <w:i/>
                <w:szCs w:val="21"/>
              </w:rPr>
            </m:ctrlPr>
          </m:sSubPr>
          <m:e>
            <m:r>
              <m:rPr/>
              <w:rPr>
                <w:rFonts w:ascii="Cambria Math" w:hAnsi="Cambria Math"/>
                <w:szCs w:val="21"/>
              </w:rPr>
              <m:t>η</m:t>
            </m:r>
            <m:ctrlPr>
              <w:rPr>
                <w:rFonts w:ascii="Cambria Math" w:hAnsi="Cambria Math"/>
                <w:i/>
                <w:szCs w:val="21"/>
              </w:rPr>
            </m:ctrlPr>
          </m:e>
          <m:sub>
            <m:r>
              <m:rPr/>
              <w:rPr>
                <w:rFonts w:ascii="Cambria Math" w:hAnsi="Cambria Math"/>
                <w:szCs w:val="21"/>
              </w:rPr>
              <m:t>p</m:t>
            </m:r>
            <m:ctrlPr>
              <w:rPr>
                <w:rFonts w:ascii="Cambria Math" w:hAnsi="Cambria Math"/>
                <w:i/>
                <w:szCs w:val="21"/>
              </w:rPr>
            </m:ctrlPr>
          </m:sub>
        </m:sSub>
        <m:r>
          <m:rPr/>
          <w:rPr>
            <w:rFonts w:ascii="Cambria Math" w:hAnsi="Cambria Math"/>
            <w:szCs w:val="21"/>
          </w:rPr>
          <m:t>=</m:t>
        </m:r>
        <m:f>
          <m:fPr>
            <m:ctrlPr>
              <w:rPr>
                <w:rFonts w:ascii="Cambria Math" w:hAnsi="Cambria Math"/>
                <w:i/>
                <w:szCs w:val="21"/>
              </w:rPr>
            </m:ctrlPr>
          </m:fPr>
          <m:num>
            <m:r>
              <m:rPr/>
              <w:rPr>
                <w:rFonts w:ascii="Cambria Math" w:hAnsi="Cambria Math"/>
                <w:szCs w:val="21"/>
              </w:rPr>
              <m:t>|</m:t>
            </m:r>
            <m:sSub>
              <m:sSubPr>
                <m:ctrlPr>
                  <w:rPr>
                    <w:rFonts w:ascii="Cambria Math" w:hAnsi="Cambria Math"/>
                    <w:i/>
                    <w:szCs w:val="21"/>
                  </w:rPr>
                </m:ctrlPr>
              </m:sSubPr>
              <m:e>
                <m:r>
                  <m:rPr/>
                  <w:rPr>
                    <w:rFonts w:ascii="Cambria Math" w:hAnsi="Cambria Math"/>
                    <w:szCs w:val="21"/>
                  </w:rPr>
                  <m:t>E</m:t>
                </m:r>
                <m:ctrlPr>
                  <w:rPr>
                    <w:rFonts w:ascii="Cambria Math" w:hAnsi="Cambria Math"/>
                    <w:i/>
                    <w:szCs w:val="21"/>
                  </w:rPr>
                </m:ctrlPr>
              </m:e>
              <m:sub>
                <m:r>
                  <m:rPr/>
                  <w:rPr>
                    <w:rFonts w:ascii="Cambria Math" w:hAnsi="Cambria Math"/>
                    <w:szCs w:val="21"/>
                  </w:rPr>
                  <m:t>D</m:t>
                </m:r>
                <m:ctrlPr>
                  <w:rPr>
                    <w:rFonts w:ascii="Cambria Math" w:hAnsi="Cambria Math"/>
                    <w:i/>
                    <w:szCs w:val="21"/>
                  </w:rPr>
                </m:ctrlPr>
              </m:sub>
            </m:sSub>
            <m:r>
              <m:rPr/>
              <w:rPr>
                <w:rFonts w:ascii="Cambria Math" w:hAnsi="Cambria Math"/>
                <w:szCs w:val="21"/>
              </w:rPr>
              <m:t>−</m:t>
            </m:r>
            <m:sSub>
              <m:sSubPr>
                <m:ctrlPr>
                  <w:rPr>
                    <w:rFonts w:ascii="Cambria Math" w:hAnsi="Cambria Math"/>
                    <w:i/>
                    <w:szCs w:val="21"/>
                  </w:rPr>
                </m:ctrlPr>
              </m:sSubPr>
              <m:e>
                <m:r>
                  <m:rPr/>
                  <w:rPr>
                    <w:rFonts w:ascii="Cambria Math" w:hAnsi="Cambria Math"/>
                    <w:szCs w:val="21"/>
                  </w:rPr>
                  <m:t>E</m:t>
                </m:r>
                <m:ctrlPr>
                  <w:rPr>
                    <w:rFonts w:ascii="Cambria Math" w:hAnsi="Cambria Math"/>
                    <w:i/>
                    <w:szCs w:val="21"/>
                  </w:rPr>
                </m:ctrlPr>
              </m:e>
              <m:sub>
                <m:r>
                  <m:rPr/>
                  <w:rPr>
                    <w:rFonts w:ascii="Cambria Math" w:hAnsi="Cambria Math"/>
                    <w:szCs w:val="21"/>
                  </w:rPr>
                  <m:t>R</m:t>
                </m:r>
                <m:ctrlPr>
                  <w:rPr>
                    <w:rFonts w:ascii="Cambria Math" w:hAnsi="Cambria Math"/>
                    <w:i/>
                    <w:szCs w:val="21"/>
                  </w:rPr>
                </m:ctrlPr>
              </m:sub>
            </m:sSub>
            <m:r>
              <m:rPr/>
              <w:rPr>
                <w:rFonts w:ascii="Cambria Math" w:hAnsi="Cambria Math"/>
                <w:szCs w:val="21"/>
              </w:rPr>
              <m:t>|</m:t>
            </m:r>
            <m:ctrlPr>
              <w:rPr>
                <w:rFonts w:ascii="Cambria Math" w:hAnsi="Cambria Math"/>
                <w:i/>
                <w:szCs w:val="21"/>
              </w:rPr>
            </m:ctrlPr>
          </m:num>
          <m:den>
            <m:sSub>
              <m:sSubPr>
                <m:ctrlPr>
                  <w:rPr>
                    <w:rFonts w:ascii="Cambria Math" w:hAnsi="Cambria Math"/>
                    <w:i/>
                    <w:szCs w:val="21"/>
                  </w:rPr>
                </m:ctrlPr>
              </m:sSubPr>
              <m:e>
                <m:r>
                  <m:rPr/>
                  <w:rPr>
                    <w:rFonts w:ascii="Cambria Math" w:hAnsi="Cambria Math"/>
                    <w:szCs w:val="21"/>
                  </w:rPr>
                  <m:t>E</m:t>
                </m:r>
                <m:ctrlPr>
                  <w:rPr>
                    <w:rFonts w:ascii="Cambria Math" w:hAnsi="Cambria Math"/>
                    <w:i/>
                    <w:szCs w:val="21"/>
                  </w:rPr>
                </m:ctrlPr>
              </m:e>
              <m:sub>
                <m:r>
                  <m:rPr/>
                  <w:rPr>
                    <w:rFonts w:ascii="Cambria Math" w:hAnsi="Cambria Math"/>
                    <w:szCs w:val="21"/>
                  </w:rPr>
                  <m:t>R</m:t>
                </m:r>
                <m:ctrlPr>
                  <w:rPr>
                    <w:rFonts w:ascii="Cambria Math" w:hAnsi="Cambria Math"/>
                    <w:i/>
                    <w:szCs w:val="21"/>
                  </w:rPr>
                </m:ctrlPr>
              </m:sub>
            </m:sSub>
            <m:ctrlPr>
              <w:rPr>
                <w:rFonts w:ascii="Cambria Math" w:hAnsi="Cambria Math"/>
                <w:i/>
                <w:szCs w:val="21"/>
              </w:rPr>
            </m:ctrlPr>
          </m:den>
        </m:f>
        <m:r>
          <m:rPr>
            <m:sty m:val="p"/>
          </m:rPr>
          <w:rPr>
            <w:rFonts w:hint="eastAsia" w:hAnsi="Cambria Math"/>
            <w:szCs w:val="21"/>
          </w:rPr>
          <m:t>×</m:t>
        </m:r>
        <m:r>
          <m:rPr>
            <m:sty m:val="p"/>
          </m:rPr>
          <w:rPr>
            <w:rFonts w:ascii="Cambria Math" w:hAnsi="Cambria Math" w:cs="Times New Roman"/>
            <w:szCs w:val="21"/>
          </w:rPr>
          <m:t>100%</m:t>
        </m:r>
      </m:oMath>
      <w:r>
        <w:rPr>
          <w:rFonts w:hint="eastAsia" w:hAnsi="Cambria Math"/>
          <w:szCs w:val="21"/>
        </w:rPr>
        <w:t>　</w:t>
      </w:r>
      <w:r>
        <w:rPr>
          <w:rFonts w:hint="eastAsia" w:ascii="Times New Roman" w:hAnsi="Times New Roman"/>
          <w:szCs w:val="21"/>
        </w:rPr>
        <w:t xml:space="preserve">　　　　　　　　　　　　 </w:t>
      </w:r>
      <w:r>
        <w:rPr>
          <w:rFonts w:hint="eastAsia" w:ascii="Times New Roman" w:hAnsi="Times New Roman"/>
          <w:szCs w:val="21"/>
          <w:lang w:eastAsia="zh-CN"/>
        </w:rPr>
        <w:t>公式</w:t>
      </w:r>
      <w:r>
        <w:rPr>
          <w:rFonts w:ascii="Times New Roman" w:hAnsi="Times New Roman"/>
          <w:szCs w:val="21"/>
        </w:rPr>
        <w:t>（</w:t>
      </w:r>
      <w:r>
        <w:rPr>
          <w:rFonts w:ascii="Times New Roman" w:hAnsi="Times New Roman" w:cs="Times New Roman"/>
          <w:szCs w:val="21"/>
        </w:rPr>
        <w:t>A.4</w:t>
      </w:r>
      <w:r>
        <w:rPr>
          <w:rFonts w:ascii="Times New Roman" w:hAnsi="Times New Roman"/>
          <w:szCs w:val="21"/>
        </w:rPr>
        <w:t xml:space="preserve">） </w:t>
      </w:r>
    </w:p>
    <w:p>
      <w:pPr>
        <w:overflowPunct w:val="0"/>
        <w:snapToGrid w:val="0"/>
        <w:rPr>
          <w:rFonts w:hAnsi="Cambria Math"/>
          <w:szCs w:val="21"/>
        </w:rPr>
      </w:pPr>
      <w:r>
        <w:rPr>
          <w:rFonts w:hint="eastAsia" w:hAnsi="Cambria Math"/>
          <w:szCs w:val="21"/>
        </w:rPr>
        <w:t>式中：</w:t>
      </w:r>
      <m:oMath>
        <m:sSub>
          <m:sSubPr>
            <m:ctrlPr>
              <w:rPr>
                <w:rFonts w:ascii="Cambria Math" w:hAnsi="Cambria Math"/>
                <w:i/>
                <w:szCs w:val="21"/>
              </w:rPr>
            </m:ctrlPr>
          </m:sSubPr>
          <m:e>
            <m:r>
              <m:rPr/>
              <w:rPr>
                <w:rFonts w:ascii="Cambria Math" w:hAnsi="Cambria Math"/>
                <w:szCs w:val="21"/>
              </w:rPr>
              <m:t>η</m:t>
            </m:r>
            <m:ctrlPr>
              <w:rPr>
                <w:rFonts w:ascii="Cambria Math" w:hAnsi="Cambria Math"/>
                <w:i/>
                <w:szCs w:val="21"/>
              </w:rPr>
            </m:ctrlPr>
          </m:e>
          <m:sub>
            <m:r>
              <m:rPr/>
              <w:rPr>
                <w:rFonts w:ascii="Cambria Math" w:hAnsi="Cambria Math"/>
                <w:szCs w:val="21"/>
              </w:rPr>
              <m:t>p</m:t>
            </m:r>
            <m:ctrlPr>
              <w:rPr>
                <w:rFonts w:ascii="Cambria Math" w:hAnsi="Cambria Math"/>
                <w:i/>
                <w:szCs w:val="21"/>
              </w:rPr>
            </m:ctrlPr>
          </m:sub>
        </m:sSub>
      </m:oMath>
      <w:r>
        <w:rPr>
          <w:rFonts w:ascii="Times New Roman" w:hAnsi="Times New Roman" w:cs="Times New Roman"/>
          <w:szCs w:val="21"/>
        </w:rPr>
        <w:t>——</w:t>
      </w:r>
      <w:r>
        <w:rPr>
          <w:rFonts w:hint="eastAsia" w:ascii="宋体" w:hAnsi="宋体" w:eastAsia="宋体" w:cs="宋体"/>
          <w:szCs w:val="21"/>
        </w:rPr>
        <w:t>建筑综合节能率，</w:t>
      </w:r>
      <w:r>
        <w:rPr>
          <w:rFonts w:ascii="Times New Roman" w:hAnsi="Times New Roman" w:eastAsia="宋体" w:cs="Times New Roman"/>
          <w:szCs w:val="21"/>
        </w:rPr>
        <w:t>%</w:t>
      </w:r>
      <w:r>
        <w:rPr>
          <w:rFonts w:hint="eastAsia" w:ascii="宋体" w:hAnsi="宋体" w:eastAsia="宋体" w:cs="宋体"/>
          <w:szCs w:val="21"/>
        </w:rPr>
        <w:t>；</w:t>
      </w:r>
      <w:r>
        <w:rPr>
          <w:rFonts w:hint="eastAsia" w:hAnsi="Cambria Math"/>
          <w:szCs w:val="21"/>
        </w:rPr>
        <w:t xml:space="preserve"> </w:t>
      </w:r>
    </w:p>
    <w:p>
      <w:pPr>
        <w:overflowPunct w:val="0"/>
        <w:snapToGrid w:val="0"/>
        <w:ind w:firstLine="630" w:firstLineChars="300"/>
        <w:rPr>
          <w:rStyle w:val="44"/>
          <w:rFonts w:ascii="宋体" w:hAnsi="宋体" w:eastAsia="宋体"/>
          <w:bCs/>
          <w:color w:val="auto"/>
        </w:rPr>
      </w:pPr>
      <m:oMath>
        <m:sSub>
          <m:sSubPr>
            <m:ctrlPr>
              <w:rPr>
                <w:rFonts w:ascii="Cambria Math" w:hAnsi="Cambria Math" w:cs="宋体"/>
                <w:bCs/>
                <w:szCs w:val="21"/>
              </w:rPr>
            </m:ctrlPr>
          </m:sSubPr>
          <m:e>
            <m:r>
              <m:rPr>
                <m:sty m:val="p"/>
              </m:rPr>
              <w:rPr>
                <w:rFonts w:ascii="Cambria Math" w:hAnsi="Cambria Math" w:cs="宋体"/>
                <w:szCs w:val="21"/>
              </w:rPr>
              <m:t>E</m:t>
            </m:r>
            <m:ctrlPr>
              <w:rPr>
                <w:rFonts w:ascii="Cambria Math" w:hAnsi="Cambria Math" w:cs="宋体"/>
                <w:bCs/>
                <w:szCs w:val="21"/>
              </w:rPr>
            </m:ctrlPr>
          </m:e>
          <m:sub>
            <m:r>
              <m:rPr>
                <m:sty m:val="p"/>
              </m:rPr>
              <w:rPr>
                <w:rFonts w:ascii="Cambria Math" w:hAnsi="Cambria Math" w:cs="宋体"/>
                <w:szCs w:val="21"/>
              </w:rPr>
              <m:t>D</m:t>
            </m:r>
            <m:ctrlPr>
              <w:rPr>
                <w:rFonts w:ascii="Cambria Math" w:hAnsi="Cambria Math" w:cs="宋体"/>
                <w:bCs/>
                <w:szCs w:val="21"/>
              </w:rPr>
            </m:ctrlPr>
          </m:sub>
        </m:sSub>
      </m:oMath>
      <w:r>
        <w:rPr>
          <w:rFonts w:ascii="Times New Roman" w:hAnsi="Times New Roman" w:cs="Times New Roman"/>
          <w:szCs w:val="21"/>
        </w:rPr>
        <w:t>——</w:t>
      </w:r>
      <w:r>
        <w:rPr>
          <w:rFonts w:hint="eastAsia" w:ascii="宋体" w:hAnsi="宋体" w:eastAsia="宋体" w:cs="宋体"/>
          <w:szCs w:val="21"/>
        </w:rPr>
        <w:t>设计建筑的建筑能耗综合值，</w:t>
      </w:r>
      <w:r>
        <w:rPr>
          <w:rFonts w:ascii="Times New Roman" w:hAnsi="Times New Roman" w:eastAsia="宋体" w:cs="Times New Roman"/>
          <w:szCs w:val="21"/>
        </w:rPr>
        <w:t>kWh/</w:t>
      </w:r>
      <w:r>
        <w:rPr>
          <w:rFonts w:ascii="Times New Roman" w:hAnsi="Times New Roman" w:cs="Times New Roman"/>
          <w:bCs/>
          <w:szCs w:val="21"/>
        </w:rPr>
        <w:t>m</w:t>
      </w:r>
      <w:r>
        <w:rPr>
          <w:rFonts w:ascii="Times New Roman" w:hAnsi="Times New Roman" w:cs="Times New Roman"/>
          <w:bCs/>
          <w:szCs w:val="21"/>
          <w:vertAlign w:val="superscript"/>
        </w:rPr>
        <w:t>2</w:t>
      </w:r>
      <w:r>
        <w:rPr>
          <w:rFonts w:hint="eastAsia" w:ascii="宋体" w:hAnsi="宋体" w:eastAsia="宋体" w:cs="宋体"/>
          <w:szCs w:val="21"/>
        </w:rPr>
        <w:t>。</w:t>
      </w:r>
    </w:p>
    <w:p>
      <w:pPr>
        <w:overflowPunct w:val="0"/>
        <w:snapToGrid w:val="0"/>
        <w:spacing w:line="309" w:lineRule="exact"/>
        <w:outlineLvl w:val="2"/>
        <w:rPr>
          <w:rStyle w:val="44"/>
          <w:rFonts w:ascii="宋体" w:hAnsi="宋体" w:eastAsia="宋体"/>
          <w:bCs/>
          <w:color w:val="auto"/>
        </w:rPr>
      </w:pPr>
      <w:r>
        <w:rPr>
          <w:rStyle w:val="44"/>
          <w:rFonts w:eastAsia="宋体"/>
          <w:bCs/>
          <w:color w:val="auto"/>
        </w:rPr>
        <w:t>A.2.5</w:t>
      </w:r>
      <w:r>
        <w:rPr>
          <w:rStyle w:val="44"/>
          <w:rFonts w:hint="eastAsia" w:ascii="宋体" w:hAnsi="宋体" w:eastAsia="宋体"/>
          <w:bCs/>
          <w:color w:val="auto"/>
        </w:rPr>
        <w:t>　可再生能源利用率应</w:t>
      </w:r>
      <w:r>
        <w:rPr>
          <w:rStyle w:val="44"/>
          <w:rFonts w:hint="eastAsia" w:ascii="宋体" w:hAnsi="宋体" w:eastAsia="宋体"/>
          <w:bCs/>
          <w:color w:val="auto"/>
          <w:lang w:eastAsia="zh-CN"/>
        </w:rPr>
        <w:t>公式（</w:t>
      </w:r>
      <w:r>
        <w:rPr>
          <w:rFonts w:ascii="Times New Roman" w:hAnsi="Times New Roman" w:cs="Times New Roman"/>
          <w:szCs w:val="21"/>
        </w:rPr>
        <w:t>A.5</w:t>
      </w:r>
      <w:r>
        <w:rPr>
          <w:rStyle w:val="44"/>
          <w:rFonts w:hint="eastAsia" w:ascii="宋体" w:hAnsi="宋体" w:eastAsia="宋体"/>
          <w:bCs/>
          <w:color w:val="auto"/>
          <w:lang w:eastAsia="zh-CN"/>
        </w:rPr>
        <w:t>）</w:t>
      </w:r>
      <w:r>
        <w:rPr>
          <w:rStyle w:val="44"/>
          <w:rFonts w:hint="eastAsia" w:ascii="宋体" w:hAnsi="宋体" w:eastAsia="宋体"/>
          <w:bCs/>
          <w:color w:val="auto"/>
        </w:rPr>
        <w:t>计算：</w:t>
      </w:r>
    </w:p>
    <w:p>
      <w:pPr>
        <w:overflowPunct w:val="0"/>
        <w:snapToGrid w:val="0"/>
        <w:spacing w:line="360" w:lineRule="auto"/>
        <w:jc w:val="right"/>
        <w:rPr>
          <w:rFonts w:ascii="Times New Roman" w:hAnsi="Times New Roman"/>
          <w:szCs w:val="21"/>
        </w:rPr>
      </w:pPr>
      <m:oMath>
        <m:r>
          <m:rPr>
            <m:sty m:val="p"/>
          </m:rPr>
          <w:rPr>
            <w:rStyle w:val="44"/>
            <w:rFonts w:hint="eastAsia" w:ascii="宋体" w:hAnsi="宋体" w:eastAsia="宋体"/>
            <w:color w:val="auto"/>
          </w:rPr>
          <m:t>λ</m:t>
        </m:r>
        <m:r>
          <m:rPr/>
          <w:rPr>
            <w:rFonts w:ascii="Cambria Math" w:hAnsi="Cambria Math"/>
            <w:szCs w:val="21"/>
          </w:rPr>
          <m:t>=</m:t>
        </m:r>
        <m:f>
          <m:fPr>
            <m:ctrlPr>
              <w:rPr>
                <w:rFonts w:ascii="Cambria Math" w:hAnsi="Cambria Math"/>
                <w:i/>
                <w:szCs w:val="21"/>
              </w:rPr>
            </m:ctrlPr>
          </m:fPr>
          <m:num>
            <m:nary>
              <m:naryPr>
                <m:chr m:val="∑"/>
                <m:limLoc m:val="undOvr"/>
                <m:subHide m:val="true"/>
                <m:supHide m:val="true"/>
                <m:ctrlPr>
                  <w:rPr>
                    <w:rFonts w:ascii="Cambria Math" w:hAnsi="Cambria Math"/>
                    <w:i/>
                    <w:szCs w:val="21"/>
                  </w:rPr>
                </m:ctrlPr>
              </m:naryPr>
              <m:sub>
                <m:ctrlPr>
                  <w:rPr>
                    <w:rFonts w:ascii="Cambria Math" w:hAnsi="Cambria Math"/>
                    <w:i/>
                    <w:szCs w:val="21"/>
                  </w:rPr>
                </m:ctrlPr>
              </m:sub>
              <m:sup>
                <m:ctrlPr>
                  <w:rPr>
                    <w:rFonts w:ascii="Cambria Math" w:hAnsi="Cambria Math"/>
                    <w:i/>
                    <w:szCs w:val="21"/>
                  </w:rPr>
                </m:ctrlPr>
              </m:sup>
              <m:e>
                <m:sSub>
                  <m:sSubPr>
                    <m:ctrlPr>
                      <w:rPr>
                        <w:rFonts w:ascii="Cambria Math" w:hAnsi="Cambria Math"/>
                        <w:i/>
                        <w:szCs w:val="21"/>
                      </w:rPr>
                    </m:ctrlPr>
                  </m:sSubPr>
                  <m:e>
                    <m:r>
                      <m:rPr/>
                      <w:rPr>
                        <w:rFonts w:ascii="Cambria Math" w:hAnsi="Cambria Math"/>
                        <w:szCs w:val="21"/>
                      </w:rPr>
                      <m:t>E</m:t>
                    </m:r>
                    <m:ctrlPr>
                      <w:rPr>
                        <w:rFonts w:ascii="Cambria Math" w:hAnsi="Cambria Math"/>
                        <w:i/>
                        <w:szCs w:val="21"/>
                      </w:rPr>
                    </m:ctrlPr>
                  </m:e>
                  <m:sub>
                    <m:r>
                      <m:rPr/>
                      <w:rPr>
                        <w:rFonts w:ascii="Cambria Math" w:hAnsi="Cambria Math"/>
                        <w:szCs w:val="21"/>
                      </w:rPr>
                      <m:t>i</m:t>
                    </m:r>
                    <m:ctrlPr>
                      <w:rPr>
                        <w:rFonts w:ascii="Cambria Math" w:hAnsi="Cambria Math"/>
                        <w:i/>
                        <w:szCs w:val="21"/>
                      </w:rPr>
                    </m:ctrlPr>
                  </m:sub>
                </m:sSub>
                <m:ctrlPr>
                  <w:rPr>
                    <w:rFonts w:ascii="Cambria Math" w:hAnsi="Cambria Math"/>
                    <w:i/>
                    <w:szCs w:val="21"/>
                  </w:rPr>
                </m:ctrlPr>
              </m:e>
            </m:nary>
            <m:ctrlPr>
              <w:rPr>
                <w:rFonts w:ascii="Cambria Math" w:hAnsi="Cambria Math"/>
                <w:i/>
                <w:szCs w:val="21"/>
              </w:rPr>
            </m:ctrlPr>
          </m:num>
          <m:den>
            <m:sSub>
              <m:sSubPr>
                <m:ctrlPr>
                  <w:rPr>
                    <w:rFonts w:ascii="Cambria Math" w:hAnsi="Cambria Math"/>
                    <w:i/>
                    <w:szCs w:val="21"/>
                  </w:rPr>
                </m:ctrlPr>
              </m:sSubPr>
              <m:e>
                <m:r>
                  <m:rPr/>
                  <w:rPr>
                    <w:rFonts w:ascii="Cambria Math" w:hAnsi="Cambria Math"/>
                    <w:szCs w:val="21"/>
                  </w:rPr>
                  <m:t>E</m:t>
                </m:r>
                <m:ctrlPr>
                  <w:rPr>
                    <w:rFonts w:ascii="Cambria Math" w:hAnsi="Cambria Math"/>
                    <w:i/>
                    <w:szCs w:val="21"/>
                  </w:rPr>
                </m:ctrlPr>
              </m:e>
              <m:sub>
                <m:r>
                  <m:rPr/>
                  <w:rPr>
                    <w:rFonts w:ascii="Cambria Math" w:hAnsi="Cambria Math"/>
                    <w:szCs w:val="21"/>
                  </w:rPr>
                  <m:t>b</m:t>
                </m:r>
                <m:ctrlPr>
                  <w:rPr>
                    <w:rFonts w:ascii="Cambria Math" w:hAnsi="Cambria Math"/>
                    <w:i/>
                    <w:szCs w:val="21"/>
                  </w:rPr>
                </m:ctrlPr>
              </m:sub>
            </m:sSub>
            <m:ctrlPr>
              <w:rPr>
                <w:rFonts w:ascii="Cambria Math" w:hAnsi="Cambria Math"/>
                <w:i/>
                <w:szCs w:val="21"/>
              </w:rPr>
            </m:ctrlPr>
          </m:den>
        </m:f>
        <m:r>
          <m:rPr>
            <m:sty m:val="p"/>
          </m:rPr>
          <w:rPr>
            <w:rFonts w:hint="eastAsia" w:hAnsi="Cambria Math"/>
            <w:szCs w:val="21"/>
          </w:rPr>
          <m:t>×</m:t>
        </m:r>
        <m:r>
          <m:rPr>
            <m:sty m:val="p"/>
          </m:rPr>
          <w:rPr>
            <w:rFonts w:ascii="Cambria Math" w:hAnsi="Cambria Math" w:cs="Times New Roman"/>
            <w:szCs w:val="21"/>
          </w:rPr>
          <m:t>100%</m:t>
        </m:r>
      </m:oMath>
      <w:r>
        <w:rPr>
          <w:rFonts w:hint="eastAsia" w:hAnsi="Cambria Math"/>
          <w:szCs w:val="21"/>
        </w:rPr>
        <w:t>　</w:t>
      </w:r>
      <w:r>
        <w:rPr>
          <w:rFonts w:hint="eastAsia" w:ascii="Times New Roman" w:hAnsi="Times New Roman"/>
          <w:szCs w:val="21"/>
        </w:rPr>
        <w:t xml:space="preserve">　　　　　　　　　　　　　 </w:t>
      </w:r>
      <w:r>
        <w:rPr>
          <w:rFonts w:hint="eastAsia" w:ascii="Times New Roman" w:hAnsi="Times New Roman"/>
          <w:szCs w:val="21"/>
          <w:lang w:eastAsia="zh-CN"/>
        </w:rPr>
        <w:t>公式</w:t>
      </w:r>
      <w:r>
        <w:rPr>
          <w:rFonts w:ascii="Times New Roman" w:hAnsi="Times New Roman"/>
          <w:szCs w:val="21"/>
        </w:rPr>
        <w:t>（</w:t>
      </w:r>
      <w:r>
        <w:rPr>
          <w:rFonts w:ascii="Times New Roman" w:hAnsi="Times New Roman" w:cs="Times New Roman"/>
          <w:szCs w:val="21"/>
        </w:rPr>
        <w:t>A.5</w:t>
      </w:r>
      <w:r>
        <w:rPr>
          <w:rFonts w:ascii="Times New Roman" w:hAnsi="Times New Roman"/>
          <w:szCs w:val="21"/>
        </w:rPr>
        <w:t xml:space="preserve">） </w:t>
      </w:r>
    </w:p>
    <w:p>
      <w:pPr>
        <w:overflowPunct w:val="0"/>
        <w:snapToGrid w:val="0"/>
        <w:rPr>
          <w:rFonts w:hAnsi="Cambria Math"/>
          <w:szCs w:val="21"/>
        </w:rPr>
      </w:pPr>
      <w:r>
        <w:rPr>
          <w:rFonts w:hint="eastAsia" w:hAnsi="Cambria Math"/>
          <w:szCs w:val="21"/>
        </w:rPr>
        <w:t>式中：λ——可再生能源利用率，</w:t>
      </w:r>
      <w:r>
        <w:rPr>
          <w:rFonts w:ascii="Times New Roman" w:hAnsi="Times New Roman" w:cs="Times New Roman"/>
          <w:szCs w:val="21"/>
        </w:rPr>
        <w:t>%</w:t>
      </w:r>
      <w:r>
        <w:rPr>
          <w:rFonts w:hint="eastAsia" w:hAnsi="Cambria Math"/>
          <w:szCs w:val="21"/>
        </w:rPr>
        <w:t>；</w:t>
      </w:r>
    </w:p>
    <w:p>
      <w:pPr>
        <w:overflowPunct w:val="0"/>
        <w:snapToGrid w:val="0"/>
        <w:ind w:firstLine="630" w:firstLineChars="300"/>
        <w:rPr>
          <w:rFonts w:ascii="宋体" w:hAnsi="宋体" w:eastAsia="宋体" w:cs="宋体"/>
          <w:szCs w:val="21"/>
        </w:rPr>
      </w:pPr>
      <m:oMath>
        <m:sSub>
          <m:sSubPr>
            <m:ctrlPr>
              <w:rPr>
                <w:rFonts w:ascii="Cambria Math" w:hAnsi="Cambria Math" w:cs="宋体"/>
                <w:bCs/>
                <w:szCs w:val="21"/>
              </w:rPr>
            </m:ctrlPr>
          </m:sSubPr>
          <m:e>
            <m:r>
              <m:rPr>
                <m:sty m:val="p"/>
              </m:rPr>
              <w:rPr>
                <w:rFonts w:ascii="Cambria Math" w:hAnsi="Cambria Math" w:cs="宋体"/>
                <w:szCs w:val="21"/>
              </w:rPr>
              <m:t>E</m:t>
            </m:r>
            <m:ctrlPr>
              <w:rPr>
                <w:rFonts w:ascii="Cambria Math" w:hAnsi="Cambria Math" w:cs="宋体"/>
                <w:bCs/>
                <w:szCs w:val="21"/>
              </w:rPr>
            </m:ctrlPr>
          </m:e>
          <m:sub>
            <m:r>
              <m:rPr>
                <m:sty m:val="p"/>
              </m:rPr>
              <w:rPr>
                <w:rFonts w:hint="eastAsia" w:ascii="Cambria Math" w:hAnsi="Cambria Math" w:cs="宋体"/>
                <w:szCs w:val="21"/>
              </w:rPr>
              <m:t>i</m:t>
            </m:r>
            <m:ctrlPr>
              <w:rPr>
                <w:rFonts w:ascii="Cambria Math" w:hAnsi="Cambria Math" w:cs="宋体"/>
                <w:bCs/>
                <w:szCs w:val="21"/>
              </w:rPr>
            </m:ctrlPr>
          </m:sub>
        </m:sSub>
      </m:oMath>
      <w:r>
        <w:rPr>
          <w:rFonts w:ascii="Times New Roman" w:hAnsi="Times New Roman" w:cs="Times New Roman"/>
          <w:szCs w:val="21"/>
        </w:rPr>
        <w:t>——</w:t>
      </w:r>
      <w:r>
        <w:rPr>
          <w:rFonts w:hint="eastAsia" w:ascii="宋体" w:hAnsi="宋体" w:eastAsia="宋体" w:cs="宋体"/>
          <w:szCs w:val="21"/>
        </w:rPr>
        <w:t>各种可再生能源建筑应用系统的年应用量</w:t>
      </w:r>
      <w:r>
        <w:rPr>
          <w:rFonts w:ascii="Times New Roman" w:hAnsi="Times New Roman" w:eastAsia="宋体" w:cs="Times New Roman"/>
          <w:szCs w:val="21"/>
        </w:rPr>
        <w:t>，kgce/a或kWh/a，可参考表A</w:t>
      </w:r>
      <w:r>
        <w:rPr>
          <w:rFonts w:hint="eastAsia" w:ascii="Times New Roman" w:hAnsi="Times New Roman" w:eastAsia="宋体" w:cs="Times New Roman"/>
          <w:szCs w:val="21"/>
          <w:lang w:val="en-US" w:eastAsia="zh-CN"/>
        </w:rPr>
        <w:t>.3</w:t>
      </w:r>
      <w:r>
        <w:rPr>
          <w:rFonts w:hint="eastAsia" w:ascii="宋体" w:hAnsi="宋体" w:eastAsia="宋体" w:cs="宋体"/>
          <w:szCs w:val="21"/>
        </w:rPr>
        <w:t>计算；</w:t>
      </w:r>
    </w:p>
    <w:p>
      <w:pPr>
        <w:overflowPunct w:val="0"/>
        <w:snapToGrid w:val="0"/>
        <w:ind w:firstLine="630" w:firstLineChars="300"/>
        <w:rPr>
          <w:rFonts w:ascii="宋体" w:hAnsi="宋体" w:eastAsia="宋体" w:cs="宋体"/>
          <w:szCs w:val="21"/>
        </w:rPr>
      </w:pPr>
      <m:oMath>
        <m:sSub>
          <m:sSubPr>
            <m:ctrlPr>
              <w:rPr>
                <w:rFonts w:ascii="Cambria Math" w:hAnsi="Cambria Math" w:cs="宋体"/>
                <w:bCs/>
                <w:szCs w:val="21"/>
              </w:rPr>
            </m:ctrlPr>
          </m:sSubPr>
          <m:e>
            <m:r>
              <m:rPr>
                <m:sty m:val="p"/>
              </m:rPr>
              <w:rPr>
                <w:rFonts w:ascii="Cambria Math" w:hAnsi="Cambria Math" w:cs="宋体"/>
                <w:szCs w:val="21"/>
              </w:rPr>
              <m:t>E</m:t>
            </m:r>
            <m:ctrlPr>
              <w:rPr>
                <w:rFonts w:ascii="Cambria Math" w:hAnsi="Cambria Math" w:cs="宋体"/>
                <w:bCs/>
                <w:szCs w:val="21"/>
              </w:rPr>
            </m:ctrlPr>
          </m:e>
          <m:sub>
            <m:r>
              <m:rPr>
                <m:sty m:val="p"/>
              </m:rPr>
              <w:rPr>
                <w:rFonts w:hint="eastAsia" w:ascii="Cambria Math" w:hAnsi="Cambria Math" w:cs="宋体"/>
                <w:szCs w:val="21"/>
              </w:rPr>
              <m:t>b</m:t>
            </m:r>
            <m:ctrlPr>
              <w:rPr>
                <w:rFonts w:ascii="Cambria Math" w:hAnsi="Cambria Math" w:cs="宋体"/>
                <w:bCs/>
                <w:szCs w:val="21"/>
              </w:rPr>
            </m:ctrlPr>
          </m:sub>
        </m:sSub>
      </m:oMath>
      <w:r>
        <w:rPr>
          <w:rFonts w:ascii="Times New Roman" w:hAnsi="Times New Roman" w:cs="Times New Roman"/>
          <w:szCs w:val="21"/>
        </w:rPr>
        <w:t>——</w:t>
      </w:r>
      <w:r>
        <w:rPr>
          <w:rFonts w:hint="eastAsia" w:ascii="宋体" w:hAnsi="宋体" w:eastAsia="宋体" w:cs="宋体"/>
          <w:szCs w:val="21"/>
        </w:rPr>
        <w:t>可再生能源系统服务的建筑项目年总运行能耗量，</w:t>
      </w:r>
      <w:r>
        <w:rPr>
          <w:rFonts w:ascii="Times New Roman" w:hAnsi="Times New Roman" w:eastAsia="宋体" w:cs="Times New Roman"/>
          <w:szCs w:val="21"/>
        </w:rPr>
        <w:t>kgce/a或kWh/a，可参考表A.</w:t>
      </w:r>
      <w:r>
        <w:rPr>
          <w:rFonts w:hint="eastAsia" w:ascii="Times New Roman" w:hAnsi="Times New Roman" w:eastAsia="宋体" w:cs="Times New Roman"/>
          <w:szCs w:val="21"/>
          <w:lang w:val="en-US" w:eastAsia="zh-CN"/>
        </w:rPr>
        <w:t>4</w:t>
      </w:r>
      <w:r>
        <w:rPr>
          <w:rFonts w:hint="eastAsia" w:ascii="宋体" w:hAnsi="宋体" w:eastAsia="宋体" w:cs="宋体"/>
          <w:szCs w:val="21"/>
        </w:rPr>
        <w:t>计算。</w:t>
      </w:r>
    </w:p>
    <w:p>
      <w:pPr>
        <w:overflowPunct w:val="0"/>
        <w:snapToGrid w:val="0"/>
        <w:ind w:firstLine="630" w:firstLineChars="300"/>
        <w:rPr>
          <w:rFonts w:ascii="宋体" w:hAnsi="宋体" w:eastAsia="宋体" w:cs="宋体"/>
          <w:szCs w:val="21"/>
        </w:rPr>
      </w:pPr>
    </w:p>
    <w:p>
      <w:pPr>
        <w:overflowPunct w:val="0"/>
        <w:snapToGrid w:val="0"/>
        <w:ind w:firstLine="630" w:firstLineChars="300"/>
        <w:rPr>
          <w:rFonts w:ascii="宋体" w:hAnsi="宋体" w:eastAsia="宋体" w:cs="宋体"/>
          <w:szCs w:val="21"/>
        </w:rPr>
      </w:pPr>
    </w:p>
    <w:p>
      <w:pPr>
        <w:overflowPunct w:val="0"/>
        <w:snapToGrid w:val="0"/>
        <w:ind w:firstLine="630" w:firstLineChars="300"/>
        <w:rPr>
          <w:rFonts w:ascii="宋体" w:hAnsi="宋体" w:eastAsia="宋体" w:cs="宋体"/>
          <w:szCs w:val="21"/>
        </w:rPr>
      </w:pPr>
    </w:p>
    <w:p>
      <w:pPr>
        <w:overflowPunct w:val="0"/>
        <w:snapToGrid w:val="0"/>
        <w:ind w:firstLine="630" w:firstLineChars="300"/>
        <w:rPr>
          <w:rFonts w:ascii="宋体" w:hAnsi="宋体" w:eastAsia="宋体" w:cs="宋体"/>
          <w:szCs w:val="21"/>
        </w:rPr>
      </w:pPr>
    </w:p>
    <w:p>
      <w:pPr>
        <w:overflowPunct w:val="0"/>
        <w:snapToGrid w:val="0"/>
        <w:ind w:firstLine="630" w:firstLineChars="300"/>
        <w:rPr>
          <w:rFonts w:ascii="宋体" w:hAnsi="宋体" w:eastAsia="宋体" w:cs="宋体"/>
          <w:szCs w:val="21"/>
        </w:rPr>
      </w:pPr>
    </w:p>
    <w:p>
      <w:pPr>
        <w:overflowPunct w:val="0"/>
        <w:snapToGrid w:val="0"/>
        <w:ind w:firstLine="630" w:firstLineChars="300"/>
        <w:rPr>
          <w:rFonts w:ascii="宋体" w:hAnsi="宋体" w:eastAsia="宋体" w:cs="宋体"/>
          <w:szCs w:val="21"/>
        </w:rPr>
      </w:pPr>
    </w:p>
    <w:p>
      <w:pPr>
        <w:overflowPunct w:val="0"/>
        <w:snapToGrid w:val="0"/>
        <w:ind w:firstLine="630" w:firstLineChars="300"/>
        <w:rPr>
          <w:rFonts w:hint="eastAsia" w:ascii="宋体" w:hAnsi="宋体" w:eastAsia="宋体" w:cs="宋体"/>
          <w:szCs w:val="21"/>
        </w:rPr>
      </w:pPr>
    </w:p>
    <w:p>
      <w:pPr>
        <w:pStyle w:val="42"/>
        <w:widowControl w:val="0"/>
        <w:overflowPunct w:val="0"/>
        <w:autoSpaceDE/>
        <w:autoSpaceDN/>
        <w:spacing w:before="62" w:beforeLines="20" w:after="78" w:afterLines="25" w:line="309" w:lineRule="exact"/>
        <w:ind w:firstLine="0" w:firstLineChars="0"/>
        <w:jc w:val="center"/>
        <w:rPr>
          <w:rFonts w:hAnsi="宋体" w:eastAsia="黑体"/>
        </w:rPr>
      </w:pPr>
      <w:r>
        <w:rPr>
          <w:rFonts w:ascii="黑体" w:hAnsi="黑体" w:eastAsia="黑体" w:cs="黑体"/>
          <w:sz w:val="18"/>
          <w:szCs w:val="18"/>
        </w:rPr>
        <w:t>表</w:t>
      </w:r>
      <w:r>
        <w:rPr>
          <w:rFonts w:hint="eastAsia" w:ascii="黑体" w:hAnsi="黑体" w:eastAsia="黑体" w:cs="黑体"/>
          <w:sz w:val="18"/>
          <w:szCs w:val="18"/>
        </w:rPr>
        <w:t>A</w:t>
      </w:r>
      <w:r>
        <w:rPr>
          <w:rFonts w:hint="eastAsia" w:ascii="黑体" w:hAnsi="黑体" w:eastAsia="黑体" w:cs="黑体"/>
          <w:sz w:val="18"/>
          <w:szCs w:val="18"/>
          <w:lang w:val="en-US" w:eastAsia="zh-CN"/>
        </w:rPr>
        <w:t>.3</w:t>
      </w:r>
      <w:r>
        <w:rPr>
          <w:rFonts w:hint="eastAsia" w:ascii="黑体" w:hAnsi="黑体" w:eastAsia="黑体" w:cs="黑体"/>
          <w:sz w:val="18"/>
          <w:szCs w:val="18"/>
        </w:rPr>
        <w:t>可再生能源建筑年应用量计算</w:t>
      </w:r>
    </w:p>
    <w:tbl>
      <w:tblPr>
        <w:tblStyle w:val="14"/>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841"/>
        <w:gridCol w:w="1382"/>
        <w:gridCol w:w="2303"/>
        <w:gridCol w:w="2023"/>
        <w:gridCol w:w="202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62" w:type="pct"/>
            <w:vMerge w:val="restart"/>
            <w:tcBorders>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r>
              <w:rPr>
                <w:rFonts w:ascii="Times New Roman" w:hAnsi="Times New Roman" w:cs="Times New Roman"/>
                <w:sz w:val="18"/>
                <w:szCs w:val="18"/>
              </w:rPr>
              <w:t>可再生能源</w:t>
            </w:r>
          </w:p>
          <w:p>
            <w:pPr>
              <w:pStyle w:val="22"/>
              <w:tabs>
                <w:tab w:val="left" w:pos="420"/>
              </w:tabs>
              <w:overflowPunct w:val="0"/>
              <w:adjustRightInd w:val="0"/>
              <w:snapToGrid w:val="0"/>
              <w:ind w:firstLine="0" w:firstLineChars="0"/>
              <w:jc w:val="center"/>
              <w:rPr>
                <w:rFonts w:ascii="Times New Roman" w:hAnsi="Times New Roman" w:cs="Times New Roman"/>
                <w:sz w:val="18"/>
                <w:szCs w:val="18"/>
              </w:rPr>
            </w:pPr>
            <w:r>
              <w:rPr>
                <w:rFonts w:ascii="Times New Roman" w:hAnsi="Times New Roman" w:cs="Times New Roman"/>
                <w:sz w:val="18"/>
                <w:szCs w:val="18"/>
              </w:rPr>
              <w:t>应用系统</w:t>
            </w:r>
          </w:p>
        </w:tc>
        <w:tc>
          <w:tcPr>
            <w:tcW w:w="1924" w:type="pct"/>
            <w:gridSpan w:val="2"/>
            <w:vMerge w:val="restart"/>
            <w:tcBorders>
              <w:left w:val="single" w:color="auto" w:sz="4" w:space="0"/>
              <w:right w:val="single" w:color="000000"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r>
              <w:rPr>
                <w:rFonts w:ascii="Times New Roman" w:hAnsi="Times New Roman" w:cs="Times New Roman"/>
                <w:sz w:val="18"/>
                <w:szCs w:val="18"/>
              </w:rPr>
              <w:t>材料/建筑类型/设置位置/供能类型</w:t>
            </w:r>
          </w:p>
        </w:tc>
        <w:tc>
          <w:tcPr>
            <w:tcW w:w="2114" w:type="pct"/>
            <w:gridSpan w:val="2"/>
            <w:tcBorders>
              <w:left w:val="single" w:color="000000" w:sz="4" w:space="0"/>
              <w:bottom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r>
              <w:rPr>
                <w:rFonts w:ascii="Times New Roman" w:hAnsi="Times New Roman" w:cs="Times New Roman"/>
                <w:sz w:val="18"/>
                <w:szCs w:val="18"/>
              </w:rPr>
              <w:t>可再生能源建筑年应用量Ei</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62" w:type="pct"/>
            <w:vMerge w:val="continue"/>
            <w:tcBorders>
              <w:bottom w:val="single" w:color="auto" w:sz="4" w:space="0"/>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p>
        </w:tc>
        <w:tc>
          <w:tcPr>
            <w:tcW w:w="1924" w:type="pct"/>
            <w:gridSpan w:val="2"/>
            <w:vMerge w:val="continue"/>
            <w:tcBorders>
              <w:left w:val="single" w:color="auto" w:sz="4" w:space="0"/>
              <w:bottom w:val="single" w:color="auto" w:sz="4" w:space="0"/>
              <w:right w:val="single" w:color="000000"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p>
        </w:tc>
        <w:tc>
          <w:tcPr>
            <w:tcW w:w="1057" w:type="pct"/>
            <w:tcBorders>
              <w:top w:val="single" w:color="auto" w:sz="4" w:space="0"/>
              <w:left w:val="single" w:color="auto" w:sz="4" w:space="0"/>
              <w:bottom w:val="single" w:color="auto" w:sz="4" w:space="0"/>
              <w:right w:val="single" w:color="auto" w:sz="4" w:space="0"/>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r>
              <w:rPr>
                <w:rFonts w:ascii="Times New Roman" w:hAnsi="Times New Roman" w:cs="Times New Roman"/>
                <w:sz w:val="18"/>
                <w:szCs w:val="18"/>
              </w:rPr>
              <w:t>等效电（k</w:t>
            </w:r>
            <w:r>
              <w:rPr>
                <w:rFonts w:hint="eastAsia" w:ascii="Times New Roman" w:hAnsi="Times New Roman" w:cs="Times New Roman"/>
                <w:sz w:val="18"/>
                <w:szCs w:val="18"/>
              </w:rPr>
              <w:t>W</w:t>
            </w:r>
            <w:r>
              <w:rPr>
                <w:rFonts w:ascii="Times New Roman" w:hAnsi="Times New Roman" w:cs="Times New Roman"/>
                <w:sz w:val="18"/>
                <w:szCs w:val="18"/>
              </w:rPr>
              <w:t>h</w:t>
            </w:r>
            <w:r>
              <w:rPr>
                <w:rFonts w:hint="eastAsia" w:ascii="Times New Roman" w:hAnsi="Times New Roman" w:cs="Times New Roman"/>
                <w:sz w:val="18"/>
                <w:szCs w:val="18"/>
              </w:rPr>
              <w:t>/</w:t>
            </w:r>
            <w:r>
              <w:rPr>
                <w:rFonts w:ascii="Times New Roman" w:hAnsi="Times New Roman" w:cs="Times New Roman"/>
                <w:sz w:val="18"/>
                <w:szCs w:val="18"/>
              </w:rPr>
              <w:t>a）</w:t>
            </w:r>
          </w:p>
        </w:tc>
        <w:tc>
          <w:tcPr>
            <w:tcW w:w="1057" w:type="pct"/>
            <w:tcBorders>
              <w:top w:val="single" w:color="auto" w:sz="4" w:space="0"/>
              <w:left w:val="single" w:color="auto" w:sz="4" w:space="0"/>
              <w:bottom w:val="single" w:color="auto" w:sz="4" w:space="0"/>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r>
              <w:rPr>
                <w:rFonts w:ascii="Times New Roman" w:hAnsi="Times New Roman" w:cs="Times New Roman"/>
                <w:sz w:val="18"/>
                <w:szCs w:val="18"/>
              </w:rPr>
              <w:t>等效煤（kgce/a）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62" w:type="pct"/>
            <w:vMerge w:val="restart"/>
            <w:tcBorders>
              <w:top w:val="single" w:color="auto" w:sz="4" w:space="0"/>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r>
              <w:rPr>
                <w:rFonts w:ascii="Times New Roman" w:hAnsi="Times New Roman" w:cs="Times New Roman"/>
                <w:sz w:val="18"/>
                <w:szCs w:val="18"/>
              </w:rPr>
              <w:t>太阳能热水系统</w:t>
            </w:r>
          </w:p>
        </w:tc>
        <w:tc>
          <w:tcPr>
            <w:tcW w:w="1924" w:type="pct"/>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r>
              <w:rPr>
                <w:rFonts w:ascii="Times New Roman" w:hAnsi="Times New Roman" w:cs="Times New Roman"/>
                <w:sz w:val="18"/>
                <w:szCs w:val="18"/>
              </w:rPr>
              <w:t>集热器设置于屋面</w:t>
            </w:r>
          </w:p>
        </w:tc>
        <w:tc>
          <w:tcPr>
            <w:tcW w:w="1057" w:type="pct"/>
            <w:tcBorders>
              <w:top w:val="single" w:color="auto" w:sz="4" w:space="0"/>
              <w:left w:val="single" w:color="auto" w:sz="4" w:space="0"/>
              <w:bottom w:val="single" w:color="auto" w:sz="4" w:space="0"/>
              <w:right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Style w:val="48"/>
                <w:rFonts w:hint="default" w:ascii="Times New Roman" w:hAnsi="Times New Roman" w:cs="Times New Roman"/>
                <w:color w:val="auto"/>
                <w:sz w:val="18"/>
                <w:szCs w:val="18"/>
                <w:lang w:bidi="ar"/>
              </w:rPr>
              <w:t>226×A</w:t>
            </w:r>
            <w:r>
              <w:rPr>
                <w:rStyle w:val="49"/>
                <w:rFonts w:hint="default" w:ascii="Times New Roman" w:hAnsi="Times New Roman" w:cs="Times New Roman"/>
                <w:color w:val="auto"/>
                <w:sz w:val="18"/>
                <w:szCs w:val="18"/>
                <w:lang w:bidi="ar"/>
              </w:rPr>
              <w:t>c</w:t>
            </w:r>
          </w:p>
        </w:tc>
        <w:tc>
          <w:tcPr>
            <w:tcW w:w="1057" w:type="pct"/>
            <w:tcBorders>
              <w:top w:val="single" w:color="auto" w:sz="4" w:space="0"/>
              <w:left w:val="single" w:color="auto" w:sz="4" w:space="0"/>
              <w:bottom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Style w:val="48"/>
                <w:rFonts w:hint="default" w:ascii="Times New Roman" w:hAnsi="Times New Roman" w:cs="Times New Roman"/>
                <w:color w:val="auto"/>
                <w:sz w:val="18"/>
                <w:szCs w:val="18"/>
                <w:lang w:bidi="ar"/>
              </w:rPr>
              <w:t>68×A</w:t>
            </w:r>
            <w:r>
              <w:rPr>
                <w:rStyle w:val="49"/>
                <w:rFonts w:hint="default" w:ascii="Times New Roman" w:hAnsi="Times New Roman" w:cs="Times New Roman"/>
                <w:color w:val="auto"/>
                <w:sz w:val="18"/>
                <w:szCs w:val="18"/>
                <w:lang w:bidi="ar"/>
              </w:rPr>
              <w:t>c</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c>
          <w:tcPr>
            <w:tcW w:w="962" w:type="pct"/>
            <w:vMerge w:val="continue"/>
            <w:tcBorders>
              <w:bottom w:val="single" w:color="auto" w:sz="4" w:space="0"/>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p>
        </w:tc>
        <w:tc>
          <w:tcPr>
            <w:tcW w:w="1924" w:type="pct"/>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r>
              <w:rPr>
                <w:rFonts w:ascii="Times New Roman" w:hAnsi="Times New Roman" w:cs="Times New Roman"/>
                <w:sz w:val="18"/>
                <w:szCs w:val="18"/>
              </w:rPr>
              <w:t>集热器设置于立面</w:t>
            </w:r>
          </w:p>
        </w:tc>
        <w:tc>
          <w:tcPr>
            <w:tcW w:w="1057" w:type="pct"/>
            <w:tcBorders>
              <w:top w:val="single" w:color="auto" w:sz="4" w:space="0"/>
              <w:left w:val="single" w:color="auto" w:sz="4" w:space="0"/>
              <w:bottom w:val="single" w:color="auto" w:sz="4" w:space="0"/>
              <w:right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Style w:val="48"/>
                <w:rFonts w:hint="default" w:ascii="Times New Roman" w:hAnsi="Times New Roman" w:cs="Times New Roman"/>
                <w:color w:val="auto"/>
                <w:sz w:val="18"/>
                <w:szCs w:val="18"/>
                <w:lang w:bidi="ar"/>
              </w:rPr>
              <w:t>124×A</w:t>
            </w:r>
            <w:r>
              <w:rPr>
                <w:rStyle w:val="49"/>
                <w:rFonts w:hint="default" w:ascii="Times New Roman" w:hAnsi="Times New Roman" w:cs="Times New Roman"/>
                <w:color w:val="auto"/>
                <w:sz w:val="18"/>
                <w:szCs w:val="18"/>
                <w:lang w:bidi="ar"/>
              </w:rPr>
              <w:t>c</w:t>
            </w:r>
          </w:p>
        </w:tc>
        <w:tc>
          <w:tcPr>
            <w:tcW w:w="1057" w:type="pct"/>
            <w:tcBorders>
              <w:top w:val="single" w:color="auto" w:sz="4" w:space="0"/>
              <w:left w:val="single" w:color="auto" w:sz="4" w:space="0"/>
              <w:bottom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Style w:val="48"/>
                <w:rFonts w:hint="default" w:ascii="Times New Roman" w:hAnsi="Times New Roman" w:cs="Times New Roman"/>
                <w:color w:val="auto"/>
                <w:sz w:val="18"/>
                <w:szCs w:val="18"/>
                <w:lang w:bidi="ar"/>
              </w:rPr>
              <w:t>37×A</w:t>
            </w:r>
            <w:r>
              <w:rPr>
                <w:rStyle w:val="49"/>
                <w:rFonts w:hint="default" w:ascii="Times New Roman" w:hAnsi="Times New Roman" w:cs="Times New Roman"/>
                <w:color w:val="auto"/>
                <w:sz w:val="18"/>
                <w:szCs w:val="18"/>
                <w:lang w:bidi="ar"/>
              </w:rPr>
              <w:t>c</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62" w:type="pct"/>
            <w:vMerge w:val="restart"/>
            <w:tcBorders>
              <w:top w:val="single" w:color="auto" w:sz="4" w:space="0"/>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r>
              <w:rPr>
                <w:rFonts w:ascii="Times New Roman" w:hAnsi="Times New Roman" w:cs="Times New Roman"/>
                <w:sz w:val="18"/>
                <w:szCs w:val="18"/>
              </w:rPr>
              <w:t>太阳能光伏系统</w:t>
            </w:r>
          </w:p>
        </w:tc>
        <w:tc>
          <w:tcPr>
            <w:tcW w:w="722" w:type="pct"/>
            <w:vMerge w:val="restart"/>
            <w:tcBorders>
              <w:top w:val="single" w:color="auto" w:sz="4" w:space="0"/>
              <w:left w:val="single" w:color="auto" w:sz="4" w:space="0"/>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r>
              <w:rPr>
                <w:rFonts w:ascii="Times New Roman" w:hAnsi="Times New Roman" w:cs="Times New Roman"/>
                <w:sz w:val="18"/>
                <w:szCs w:val="18"/>
              </w:rPr>
              <w:t>晶硅</w:t>
            </w:r>
          </w:p>
        </w:tc>
        <w:tc>
          <w:tcPr>
            <w:tcW w:w="1203" w:type="pct"/>
            <w:tcBorders>
              <w:top w:val="single" w:color="auto" w:sz="4" w:space="0"/>
              <w:left w:val="single" w:color="auto" w:sz="4" w:space="0"/>
              <w:bottom w:val="single" w:color="auto" w:sz="4" w:space="0"/>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r>
              <w:rPr>
                <w:rFonts w:ascii="Times New Roman" w:hAnsi="Times New Roman" w:cs="Times New Roman"/>
                <w:sz w:val="18"/>
                <w:szCs w:val="18"/>
              </w:rPr>
              <w:t>光伏板设置于屋面</w:t>
            </w:r>
          </w:p>
        </w:tc>
        <w:tc>
          <w:tcPr>
            <w:tcW w:w="1057" w:type="pct"/>
            <w:tcBorders>
              <w:top w:val="single" w:color="auto" w:sz="4" w:space="0"/>
              <w:left w:val="single" w:color="auto" w:sz="4" w:space="0"/>
              <w:bottom w:val="single" w:color="auto" w:sz="4" w:space="0"/>
              <w:right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Style w:val="48"/>
                <w:rFonts w:hint="default" w:ascii="Times New Roman" w:hAnsi="Times New Roman" w:cs="Times New Roman"/>
                <w:color w:val="auto"/>
                <w:sz w:val="18"/>
                <w:szCs w:val="18"/>
                <w:lang w:bidi="ar"/>
              </w:rPr>
              <w:t>181×A</w:t>
            </w:r>
            <w:r>
              <w:rPr>
                <w:rStyle w:val="49"/>
                <w:rFonts w:hint="default" w:ascii="Times New Roman" w:hAnsi="Times New Roman" w:cs="Times New Roman"/>
                <w:color w:val="auto"/>
                <w:sz w:val="18"/>
                <w:szCs w:val="18"/>
                <w:lang w:bidi="ar"/>
              </w:rPr>
              <w:t>d</w:t>
            </w:r>
          </w:p>
        </w:tc>
        <w:tc>
          <w:tcPr>
            <w:tcW w:w="1057" w:type="pct"/>
            <w:tcBorders>
              <w:top w:val="single" w:color="auto" w:sz="4" w:space="0"/>
              <w:left w:val="single" w:color="auto" w:sz="4" w:space="0"/>
              <w:bottom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Style w:val="48"/>
                <w:rFonts w:hint="default" w:ascii="Times New Roman" w:hAnsi="Times New Roman" w:cs="Times New Roman"/>
                <w:color w:val="auto"/>
                <w:sz w:val="18"/>
                <w:szCs w:val="18"/>
                <w:lang w:bidi="ar"/>
              </w:rPr>
              <w:t>55×A</w:t>
            </w:r>
            <w:r>
              <w:rPr>
                <w:rStyle w:val="49"/>
                <w:rFonts w:hint="default" w:ascii="Times New Roman" w:hAnsi="Times New Roman" w:cs="Times New Roman"/>
                <w:color w:val="auto"/>
                <w:sz w:val="18"/>
                <w:szCs w:val="18"/>
                <w:lang w:bidi="ar"/>
              </w:rPr>
              <w:t>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62" w:type="pct"/>
            <w:vMerge w:val="continue"/>
            <w:tcBorders>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p>
        </w:tc>
        <w:tc>
          <w:tcPr>
            <w:tcW w:w="722" w:type="pct"/>
            <w:vMerge w:val="continue"/>
            <w:tcBorders>
              <w:left w:val="single" w:color="auto" w:sz="4" w:space="0"/>
              <w:bottom w:val="single" w:color="auto" w:sz="4" w:space="0"/>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p>
        </w:tc>
        <w:tc>
          <w:tcPr>
            <w:tcW w:w="1203" w:type="pct"/>
            <w:tcBorders>
              <w:top w:val="single" w:color="auto" w:sz="4" w:space="0"/>
              <w:left w:val="single" w:color="auto" w:sz="4" w:space="0"/>
              <w:bottom w:val="single" w:color="auto" w:sz="4" w:space="0"/>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r>
              <w:rPr>
                <w:rFonts w:ascii="Times New Roman" w:hAnsi="Times New Roman" w:cs="Times New Roman"/>
                <w:sz w:val="18"/>
                <w:szCs w:val="18"/>
              </w:rPr>
              <w:t>光伏板设置于立面</w:t>
            </w:r>
          </w:p>
        </w:tc>
        <w:tc>
          <w:tcPr>
            <w:tcW w:w="1057" w:type="pct"/>
            <w:tcBorders>
              <w:top w:val="single" w:color="auto" w:sz="4" w:space="0"/>
              <w:left w:val="single" w:color="auto" w:sz="4" w:space="0"/>
              <w:bottom w:val="single" w:color="auto" w:sz="4" w:space="0"/>
              <w:right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Style w:val="48"/>
                <w:rFonts w:hint="default" w:ascii="Times New Roman" w:hAnsi="Times New Roman" w:cs="Times New Roman"/>
                <w:color w:val="auto"/>
                <w:sz w:val="18"/>
                <w:szCs w:val="18"/>
                <w:lang w:bidi="ar"/>
              </w:rPr>
              <w:t>100×A</w:t>
            </w:r>
            <w:r>
              <w:rPr>
                <w:rStyle w:val="49"/>
                <w:rFonts w:hint="default" w:ascii="Times New Roman" w:hAnsi="Times New Roman" w:cs="Times New Roman"/>
                <w:color w:val="auto"/>
                <w:sz w:val="18"/>
                <w:szCs w:val="18"/>
                <w:lang w:bidi="ar"/>
              </w:rPr>
              <w:t>d</w:t>
            </w:r>
          </w:p>
        </w:tc>
        <w:tc>
          <w:tcPr>
            <w:tcW w:w="1057" w:type="pct"/>
            <w:tcBorders>
              <w:top w:val="single" w:color="auto" w:sz="4" w:space="0"/>
              <w:left w:val="single" w:color="auto" w:sz="4" w:space="0"/>
              <w:bottom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Style w:val="48"/>
                <w:rFonts w:hint="default" w:ascii="Times New Roman" w:hAnsi="Times New Roman" w:cs="Times New Roman"/>
                <w:color w:val="auto"/>
                <w:sz w:val="18"/>
                <w:szCs w:val="18"/>
                <w:lang w:bidi="ar"/>
              </w:rPr>
              <w:t>30×A</w:t>
            </w:r>
            <w:r>
              <w:rPr>
                <w:rStyle w:val="49"/>
                <w:rFonts w:hint="default" w:ascii="Times New Roman" w:hAnsi="Times New Roman" w:cs="Times New Roman"/>
                <w:color w:val="auto"/>
                <w:sz w:val="18"/>
                <w:szCs w:val="18"/>
                <w:lang w:bidi="ar"/>
              </w:rPr>
              <w:t>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62" w:type="pct"/>
            <w:vMerge w:val="continue"/>
            <w:tcBorders>
              <w:bottom w:val="single" w:color="auto" w:sz="4" w:space="0"/>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p>
        </w:tc>
        <w:tc>
          <w:tcPr>
            <w:tcW w:w="1924" w:type="pct"/>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r>
              <w:rPr>
                <w:rFonts w:ascii="Times New Roman" w:hAnsi="Times New Roman" w:cs="Times New Roman"/>
                <w:sz w:val="18"/>
                <w:szCs w:val="18"/>
              </w:rPr>
              <w:t>薄膜</w:t>
            </w:r>
          </w:p>
        </w:tc>
        <w:tc>
          <w:tcPr>
            <w:tcW w:w="1057" w:type="pct"/>
            <w:tcBorders>
              <w:top w:val="single" w:color="auto" w:sz="4" w:space="0"/>
              <w:left w:val="single" w:color="auto" w:sz="4" w:space="0"/>
              <w:bottom w:val="single" w:color="auto" w:sz="4" w:space="0"/>
              <w:right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Style w:val="48"/>
                <w:rFonts w:hint="default" w:ascii="Times New Roman" w:hAnsi="Times New Roman" w:cs="Times New Roman"/>
                <w:color w:val="auto"/>
                <w:sz w:val="18"/>
                <w:szCs w:val="18"/>
                <w:lang w:bidi="ar"/>
              </w:rPr>
              <w:t>94×A</w:t>
            </w:r>
            <w:r>
              <w:rPr>
                <w:rStyle w:val="49"/>
                <w:rFonts w:hint="default" w:ascii="Times New Roman" w:hAnsi="Times New Roman" w:cs="Times New Roman"/>
                <w:color w:val="auto"/>
                <w:sz w:val="18"/>
                <w:szCs w:val="18"/>
                <w:lang w:bidi="ar"/>
              </w:rPr>
              <w:t>d</w:t>
            </w:r>
          </w:p>
        </w:tc>
        <w:tc>
          <w:tcPr>
            <w:tcW w:w="1057" w:type="pct"/>
            <w:tcBorders>
              <w:top w:val="single" w:color="auto" w:sz="4" w:space="0"/>
              <w:left w:val="single" w:color="auto" w:sz="4" w:space="0"/>
              <w:bottom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Style w:val="48"/>
                <w:rFonts w:hint="default" w:ascii="Times New Roman" w:hAnsi="Times New Roman" w:cs="Times New Roman"/>
                <w:color w:val="auto"/>
                <w:sz w:val="18"/>
                <w:szCs w:val="18"/>
                <w:lang w:bidi="ar"/>
              </w:rPr>
              <w:t>28×A</w:t>
            </w:r>
            <w:r>
              <w:rPr>
                <w:rStyle w:val="49"/>
                <w:rFonts w:hint="default" w:ascii="Times New Roman" w:hAnsi="Times New Roman" w:cs="Times New Roman"/>
                <w:color w:val="auto"/>
                <w:sz w:val="18"/>
                <w:szCs w:val="18"/>
                <w:lang w:bidi="ar"/>
              </w:rPr>
              <w:t>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c>
          <w:tcPr>
            <w:tcW w:w="962" w:type="pct"/>
            <w:vMerge w:val="restart"/>
            <w:tcBorders>
              <w:top w:val="single" w:color="auto" w:sz="4" w:space="0"/>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r>
              <w:rPr>
                <w:rFonts w:ascii="Times New Roman" w:hAnsi="Times New Roman" w:cs="Times New Roman"/>
                <w:sz w:val="18"/>
                <w:szCs w:val="18"/>
              </w:rPr>
              <w:t>地源热泵系统</w:t>
            </w:r>
          </w:p>
        </w:tc>
        <w:tc>
          <w:tcPr>
            <w:tcW w:w="722" w:type="pct"/>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r>
              <w:rPr>
                <w:rFonts w:ascii="Times New Roman" w:hAnsi="Times New Roman" w:cs="Times New Roman"/>
                <w:sz w:val="18"/>
                <w:szCs w:val="18"/>
              </w:rPr>
              <w:t>供冷供热系统</w:t>
            </w:r>
          </w:p>
        </w:tc>
        <w:tc>
          <w:tcPr>
            <w:tcW w:w="1203" w:type="pct"/>
            <w:tcBorders>
              <w:top w:val="single" w:color="auto" w:sz="4" w:space="0"/>
              <w:left w:val="single" w:color="auto" w:sz="4" w:space="0"/>
              <w:bottom w:val="single" w:color="auto" w:sz="4" w:space="0"/>
              <w:right w:val="single" w:color="auto" w:sz="4" w:space="0"/>
              <w:tl2br w:val="nil"/>
              <w:tr2bl w:val="nil"/>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Fonts w:ascii="Times New Roman" w:hAnsi="Times New Roman" w:eastAsia="宋体" w:cs="Times New Roman"/>
                <w:kern w:val="0"/>
                <w:sz w:val="18"/>
                <w:szCs w:val="18"/>
                <w:lang w:bidi="ar"/>
              </w:rPr>
              <w:t>办公建筑</w:t>
            </w:r>
          </w:p>
        </w:tc>
        <w:tc>
          <w:tcPr>
            <w:tcW w:w="1057" w:type="pct"/>
            <w:tcBorders>
              <w:top w:val="single" w:color="auto" w:sz="4" w:space="0"/>
              <w:left w:val="single" w:color="auto" w:sz="4" w:space="0"/>
              <w:bottom w:val="single" w:color="auto" w:sz="4" w:space="0"/>
              <w:right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Style w:val="48"/>
                <w:rFonts w:hint="default" w:ascii="Times New Roman" w:hAnsi="Times New Roman" w:cs="Times New Roman"/>
                <w:color w:val="auto"/>
                <w:sz w:val="18"/>
                <w:szCs w:val="18"/>
                <w:lang w:bidi="ar"/>
              </w:rPr>
              <w:t>30.6×A</w:t>
            </w:r>
            <w:r>
              <w:rPr>
                <w:rStyle w:val="49"/>
                <w:rFonts w:hint="default" w:ascii="Times New Roman" w:hAnsi="Times New Roman" w:cs="Times New Roman"/>
                <w:color w:val="auto"/>
                <w:sz w:val="18"/>
                <w:szCs w:val="18"/>
                <w:lang w:bidi="ar"/>
              </w:rPr>
              <w:t>b</w:t>
            </w:r>
          </w:p>
        </w:tc>
        <w:tc>
          <w:tcPr>
            <w:tcW w:w="1057" w:type="pct"/>
            <w:tcBorders>
              <w:top w:val="single" w:color="auto" w:sz="4" w:space="0"/>
              <w:left w:val="single" w:color="auto" w:sz="4" w:space="0"/>
              <w:bottom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Style w:val="48"/>
                <w:rFonts w:hint="default" w:ascii="Times New Roman" w:hAnsi="Times New Roman" w:cs="Times New Roman"/>
                <w:color w:val="auto"/>
                <w:sz w:val="18"/>
                <w:szCs w:val="18"/>
                <w:lang w:bidi="ar"/>
              </w:rPr>
              <w:t>9.3×A</w:t>
            </w:r>
            <w:r>
              <w:rPr>
                <w:rStyle w:val="49"/>
                <w:rFonts w:hint="default" w:ascii="Times New Roman" w:hAnsi="Times New Roman" w:cs="Times New Roman"/>
                <w:color w:val="auto"/>
                <w:sz w:val="18"/>
                <w:szCs w:val="18"/>
                <w:lang w:bidi="ar"/>
              </w:rPr>
              <w:t>b</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62" w:type="pct"/>
            <w:vMerge w:val="continue"/>
            <w:tcBorders>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p>
        </w:tc>
        <w:tc>
          <w:tcPr>
            <w:tcW w:w="722"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p>
        </w:tc>
        <w:tc>
          <w:tcPr>
            <w:tcW w:w="1203" w:type="pct"/>
            <w:tcBorders>
              <w:top w:val="single" w:color="auto" w:sz="4" w:space="0"/>
              <w:left w:val="single" w:color="auto" w:sz="4" w:space="0"/>
              <w:bottom w:val="single" w:color="auto" w:sz="4" w:space="0"/>
              <w:right w:val="single" w:color="auto" w:sz="4" w:space="0"/>
              <w:tl2br w:val="nil"/>
              <w:tr2bl w:val="nil"/>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Fonts w:ascii="Times New Roman" w:hAnsi="Times New Roman" w:eastAsia="宋体" w:cs="Times New Roman"/>
                <w:kern w:val="0"/>
                <w:sz w:val="18"/>
                <w:szCs w:val="18"/>
                <w:lang w:bidi="ar"/>
              </w:rPr>
              <w:t>宾馆建筑</w:t>
            </w:r>
          </w:p>
        </w:tc>
        <w:tc>
          <w:tcPr>
            <w:tcW w:w="1057" w:type="pct"/>
            <w:tcBorders>
              <w:top w:val="single" w:color="auto" w:sz="4" w:space="0"/>
              <w:left w:val="single" w:color="auto" w:sz="4" w:space="0"/>
              <w:bottom w:val="single" w:color="auto" w:sz="4" w:space="0"/>
              <w:right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Style w:val="48"/>
                <w:rFonts w:hint="default" w:ascii="Times New Roman" w:hAnsi="Times New Roman" w:cs="Times New Roman"/>
                <w:color w:val="auto"/>
                <w:sz w:val="18"/>
                <w:szCs w:val="18"/>
                <w:lang w:bidi="ar"/>
              </w:rPr>
              <w:t>47.5×A</w:t>
            </w:r>
            <w:r>
              <w:rPr>
                <w:rStyle w:val="49"/>
                <w:rFonts w:hint="default" w:ascii="Times New Roman" w:hAnsi="Times New Roman" w:cs="Times New Roman"/>
                <w:color w:val="auto"/>
                <w:sz w:val="18"/>
                <w:szCs w:val="18"/>
                <w:lang w:bidi="ar"/>
              </w:rPr>
              <w:t>b</w:t>
            </w:r>
          </w:p>
        </w:tc>
        <w:tc>
          <w:tcPr>
            <w:tcW w:w="1057" w:type="pct"/>
            <w:tcBorders>
              <w:top w:val="single" w:color="auto" w:sz="4" w:space="0"/>
              <w:left w:val="single" w:color="auto" w:sz="4" w:space="0"/>
              <w:bottom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Style w:val="48"/>
                <w:rFonts w:hint="default" w:ascii="Times New Roman" w:hAnsi="Times New Roman" w:cs="Times New Roman"/>
                <w:color w:val="auto"/>
                <w:sz w:val="18"/>
                <w:szCs w:val="18"/>
                <w:lang w:bidi="ar"/>
              </w:rPr>
              <w:t>14.4×A</w:t>
            </w:r>
            <w:r>
              <w:rPr>
                <w:rStyle w:val="49"/>
                <w:rFonts w:hint="default" w:ascii="Times New Roman" w:hAnsi="Times New Roman" w:cs="Times New Roman"/>
                <w:color w:val="auto"/>
                <w:sz w:val="18"/>
                <w:szCs w:val="18"/>
                <w:lang w:bidi="ar"/>
              </w:rPr>
              <w:t>b</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62" w:type="pct"/>
            <w:vMerge w:val="continue"/>
            <w:tcBorders>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p>
        </w:tc>
        <w:tc>
          <w:tcPr>
            <w:tcW w:w="722"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p>
        </w:tc>
        <w:tc>
          <w:tcPr>
            <w:tcW w:w="1203" w:type="pct"/>
            <w:tcBorders>
              <w:top w:val="single" w:color="auto" w:sz="4" w:space="0"/>
              <w:left w:val="single" w:color="auto" w:sz="4" w:space="0"/>
              <w:bottom w:val="single" w:color="auto" w:sz="4" w:space="0"/>
              <w:right w:val="single" w:color="auto" w:sz="4" w:space="0"/>
              <w:tl2br w:val="nil"/>
              <w:tr2bl w:val="nil"/>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Fonts w:ascii="Times New Roman" w:hAnsi="Times New Roman" w:eastAsia="宋体" w:cs="Times New Roman"/>
                <w:kern w:val="0"/>
                <w:sz w:val="18"/>
                <w:szCs w:val="18"/>
                <w:lang w:bidi="ar"/>
              </w:rPr>
              <w:t>医疗建筑</w:t>
            </w:r>
          </w:p>
        </w:tc>
        <w:tc>
          <w:tcPr>
            <w:tcW w:w="1057" w:type="pct"/>
            <w:tcBorders>
              <w:top w:val="single" w:color="auto" w:sz="4" w:space="0"/>
              <w:left w:val="single" w:color="auto" w:sz="4" w:space="0"/>
              <w:bottom w:val="single" w:color="auto" w:sz="4" w:space="0"/>
              <w:right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Style w:val="48"/>
                <w:rFonts w:hint="default" w:ascii="Times New Roman" w:hAnsi="Times New Roman" w:cs="Times New Roman"/>
                <w:color w:val="auto"/>
                <w:sz w:val="18"/>
                <w:szCs w:val="18"/>
                <w:lang w:bidi="ar"/>
              </w:rPr>
              <w:t>45.0×A</w:t>
            </w:r>
            <w:r>
              <w:rPr>
                <w:rStyle w:val="49"/>
                <w:rFonts w:hint="default" w:ascii="Times New Roman" w:hAnsi="Times New Roman" w:cs="Times New Roman"/>
                <w:color w:val="auto"/>
                <w:sz w:val="18"/>
                <w:szCs w:val="18"/>
                <w:lang w:bidi="ar"/>
              </w:rPr>
              <w:t>b</w:t>
            </w:r>
          </w:p>
        </w:tc>
        <w:tc>
          <w:tcPr>
            <w:tcW w:w="1057" w:type="pct"/>
            <w:tcBorders>
              <w:top w:val="single" w:color="auto" w:sz="4" w:space="0"/>
              <w:left w:val="single" w:color="auto" w:sz="4" w:space="0"/>
              <w:bottom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Style w:val="48"/>
                <w:rFonts w:hint="default" w:ascii="Times New Roman" w:hAnsi="Times New Roman" w:cs="Times New Roman"/>
                <w:color w:val="auto"/>
                <w:sz w:val="18"/>
                <w:szCs w:val="18"/>
                <w:lang w:bidi="ar"/>
              </w:rPr>
              <w:t>13.6×A</w:t>
            </w:r>
            <w:r>
              <w:rPr>
                <w:rStyle w:val="49"/>
                <w:rFonts w:hint="default" w:ascii="Times New Roman" w:hAnsi="Times New Roman" w:cs="Times New Roman"/>
                <w:color w:val="auto"/>
                <w:sz w:val="18"/>
                <w:szCs w:val="18"/>
                <w:lang w:bidi="ar"/>
              </w:rPr>
              <w:t>b</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62" w:type="pct"/>
            <w:vMerge w:val="continue"/>
            <w:tcBorders>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p>
        </w:tc>
        <w:tc>
          <w:tcPr>
            <w:tcW w:w="722"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p>
        </w:tc>
        <w:tc>
          <w:tcPr>
            <w:tcW w:w="1203" w:type="pct"/>
            <w:tcBorders>
              <w:top w:val="single" w:color="auto" w:sz="4" w:space="0"/>
              <w:left w:val="single" w:color="auto" w:sz="4" w:space="0"/>
              <w:bottom w:val="single" w:color="auto" w:sz="4" w:space="0"/>
              <w:right w:val="single" w:color="auto" w:sz="4" w:space="0"/>
              <w:tl2br w:val="nil"/>
              <w:tr2bl w:val="nil"/>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Fonts w:ascii="Times New Roman" w:hAnsi="Times New Roman" w:eastAsia="宋体" w:cs="Times New Roman"/>
                <w:kern w:val="0"/>
                <w:sz w:val="18"/>
                <w:szCs w:val="18"/>
                <w:lang w:bidi="ar"/>
              </w:rPr>
              <w:t>文化建筑</w:t>
            </w:r>
          </w:p>
        </w:tc>
        <w:tc>
          <w:tcPr>
            <w:tcW w:w="1057" w:type="pct"/>
            <w:tcBorders>
              <w:top w:val="single" w:color="auto" w:sz="4" w:space="0"/>
              <w:left w:val="single" w:color="auto" w:sz="4" w:space="0"/>
              <w:bottom w:val="single" w:color="auto" w:sz="4" w:space="0"/>
              <w:right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Style w:val="48"/>
                <w:rFonts w:hint="default" w:ascii="Times New Roman" w:hAnsi="Times New Roman" w:cs="Times New Roman"/>
                <w:color w:val="auto"/>
                <w:sz w:val="18"/>
                <w:szCs w:val="18"/>
                <w:lang w:bidi="ar"/>
              </w:rPr>
              <w:t>42.0×A</w:t>
            </w:r>
            <w:r>
              <w:rPr>
                <w:rStyle w:val="49"/>
                <w:rFonts w:hint="default" w:ascii="Times New Roman" w:hAnsi="Times New Roman" w:cs="Times New Roman"/>
                <w:color w:val="auto"/>
                <w:sz w:val="18"/>
                <w:szCs w:val="18"/>
                <w:lang w:bidi="ar"/>
              </w:rPr>
              <w:t>b</w:t>
            </w:r>
          </w:p>
        </w:tc>
        <w:tc>
          <w:tcPr>
            <w:tcW w:w="1057" w:type="pct"/>
            <w:tcBorders>
              <w:top w:val="single" w:color="auto" w:sz="4" w:space="0"/>
              <w:left w:val="single" w:color="auto" w:sz="4" w:space="0"/>
              <w:bottom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Style w:val="48"/>
                <w:rFonts w:hint="default" w:ascii="Times New Roman" w:hAnsi="Times New Roman" w:cs="Times New Roman"/>
                <w:color w:val="auto"/>
                <w:sz w:val="18"/>
                <w:szCs w:val="18"/>
                <w:lang w:bidi="ar"/>
              </w:rPr>
              <w:t>12.7×A</w:t>
            </w:r>
            <w:r>
              <w:rPr>
                <w:rStyle w:val="49"/>
                <w:rFonts w:hint="default" w:ascii="Times New Roman" w:hAnsi="Times New Roman" w:cs="Times New Roman"/>
                <w:color w:val="auto"/>
                <w:sz w:val="18"/>
                <w:szCs w:val="18"/>
                <w:lang w:bidi="ar"/>
              </w:rPr>
              <w:t>b</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c>
          <w:tcPr>
            <w:tcW w:w="962" w:type="pct"/>
            <w:vMerge w:val="continue"/>
            <w:tcBorders>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p>
        </w:tc>
        <w:tc>
          <w:tcPr>
            <w:tcW w:w="722"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p>
        </w:tc>
        <w:tc>
          <w:tcPr>
            <w:tcW w:w="1203" w:type="pct"/>
            <w:tcBorders>
              <w:top w:val="single" w:color="auto" w:sz="4" w:space="0"/>
              <w:left w:val="single" w:color="auto" w:sz="4" w:space="0"/>
              <w:bottom w:val="single" w:color="auto" w:sz="4" w:space="0"/>
              <w:right w:val="single" w:color="auto" w:sz="4" w:space="0"/>
              <w:tl2br w:val="nil"/>
              <w:tr2bl w:val="nil"/>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Fonts w:ascii="Times New Roman" w:hAnsi="Times New Roman" w:eastAsia="宋体" w:cs="Times New Roman"/>
                <w:kern w:val="0"/>
                <w:sz w:val="18"/>
                <w:szCs w:val="18"/>
                <w:lang w:bidi="ar"/>
              </w:rPr>
              <w:t>教育建筑</w:t>
            </w:r>
          </w:p>
        </w:tc>
        <w:tc>
          <w:tcPr>
            <w:tcW w:w="1057" w:type="pct"/>
            <w:tcBorders>
              <w:top w:val="single" w:color="auto" w:sz="4" w:space="0"/>
              <w:left w:val="single" w:color="auto" w:sz="4" w:space="0"/>
              <w:bottom w:val="single" w:color="auto" w:sz="4" w:space="0"/>
              <w:right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Style w:val="48"/>
                <w:rFonts w:hint="default" w:ascii="Times New Roman" w:hAnsi="Times New Roman" w:cs="Times New Roman"/>
                <w:color w:val="auto"/>
                <w:sz w:val="18"/>
                <w:szCs w:val="18"/>
                <w:lang w:bidi="ar"/>
              </w:rPr>
              <w:t>24.1×A</w:t>
            </w:r>
            <w:r>
              <w:rPr>
                <w:rStyle w:val="49"/>
                <w:rFonts w:hint="default" w:ascii="Times New Roman" w:hAnsi="Times New Roman" w:cs="Times New Roman"/>
                <w:color w:val="auto"/>
                <w:sz w:val="18"/>
                <w:szCs w:val="18"/>
                <w:lang w:bidi="ar"/>
              </w:rPr>
              <w:t>b</w:t>
            </w:r>
          </w:p>
        </w:tc>
        <w:tc>
          <w:tcPr>
            <w:tcW w:w="1057" w:type="pct"/>
            <w:tcBorders>
              <w:top w:val="single" w:color="auto" w:sz="4" w:space="0"/>
              <w:left w:val="single" w:color="auto" w:sz="4" w:space="0"/>
              <w:bottom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Style w:val="48"/>
                <w:rFonts w:hint="default" w:ascii="Times New Roman" w:hAnsi="Times New Roman" w:cs="Times New Roman"/>
                <w:color w:val="auto"/>
                <w:sz w:val="18"/>
                <w:szCs w:val="18"/>
                <w:lang w:bidi="ar"/>
              </w:rPr>
              <w:t>7.3×A</w:t>
            </w:r>
            <w:r>
              <w:rPr>
                <w:rStyle w:val="49"/>
                <w:rFonts w:hint="default" w:ascii="Times New Roman" w:hAnsi="Times New Roman" w:cs="Times New Roman"/>
                <w:color w:val="auto"/>
                <w:sz w:val="18"/>
                <w:szCs w:val="18"/>
                <w:lang w:bidi="ar"/>
              </w:rPr>
              <w:t>b</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62" w:type="pct"/>
            <w:vMerge w:val="continue"/>
            <w:tcBorders>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p>
        </w:tc>
        <w:tc>
          <w:tcPr>
            <w:tcW w:w="722"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p>
        </w:tc>
        <w:tc>
          <w:tcPr>
            <w:tcW w:w="1203" w:type="pct"/>
            <w:tcBorders>
              <w:top w:val="single" w:color="auto" w:sz="4" w:space="0"/>
              <w:left w:val="single" w:color="auto" w:sz="4" w:space="0"/>
              <w:bottom w:val="single" w:color="auto" w:sz="4" w:space="0"/>
              <w:right w:val="single" w:color="auto" w:sz="4" w:space="0"/>
              <w:tl2br w:val="nil"/>
              <w:tr2bl w:val="nil"/>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Fonts w:ascii="Times New Roman" w:hAnsi="Times New Roman" w:eastAsia="宋体" w:cs="Times New Roman"/>
                <w:kern w:val="0"/>
                <w:sz w:val="18"/>
                <w:szCs w:val="18"/>
                <w:lang w:bidi="ar"/>
              </w:rPr>
              <w:t>商业建筑</w:t>
            </w:r>
          </w:p>
        </w:tc>
        <w:tc>
          <w:tcPr>
            <w:tcW w:w="1057" w:type="pct"/>
            <w:tcBorders>
              <w:top w:val="single" w:color="auto" w:sz="4" w:space="0"/>
              <w:left w:val="single" w:color="auto" w:sz="4" w:space="0"/>
              <w:bottom w:val="single" w:color="auto" w:sz="4" w:space="0"/>
              <w:right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Style w:val="48"/>
                <w:rFonts w:hint="default" w:ascii="Times New Roman" w:hAnsi="Times New Roman" w:cs="Times New Roman"/>
                <w:color w:val="auto"/>
                <w:sz w:val="18"/>
                <w:szCs w:val="18"/>
                <w:lang w:bidi="ar"/>
              </w:rPr>
              <w:t>47.1×A</w:t>
            </w:r>
            <w:r>
              <w:rPr>
                <w:rStyle w:val="49"/>
                <w:rFonts w:hint="default" w:ascii="Times New Roman" w:hAnsi="Times New Roman" w:cs="Times New Roman"/>
                <w:color w:val="auto"/>
                <w:sz w:val="18"/>
                <w:szCs w:val="18"/>
                <w:lang w:bidi="ar"/>
              </w:rPr>
              <w:t>b</w:t>
            </w:r>
          </w:p>
        </w:tc>
        <w:tc>
          <w:tcPr>
            <w:tcW w:w="1057" w:type="pct"/>
            <w:tcBorders>
              <w:top w:val="single" w:color="auto" w:sz="4" w:space="0"/>
              <w:left w:val="single" w:color="auto" w:sz="4" w:space="0"/>
              <w:bottom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Style w:val="48"/>
                <w:rFonts w:hint="default" w:ascii="Times New Roman" w:hAnsi="Times New Roman" w:cs="Times New Roman"/>
                <w:color w:val="auto"/>
                <w:sz w:val="18"/>
                <w:szCs w:val="18"/>
                <w:lang w:bidi="ar"/>
              </w:rPr>
              <w:t>14.3×A</w:t>
            </w:r>
            <w:r>
              <w:rPr>
                <w:rStyle w:val="49"/>
                <w:rFonts w:hint="default" w:ascii="Times New Roman" w:hAnsi="Times New Roman" w:cs="Times New Roman"/>
                <w:color w:val="auto"/>
                <w:sz w:val="18"/>
                <w:szCs w:val="18"/>
                <w:lang w:bidi="ar"/>
              </w:rPr>
              <w:t>b</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62" w:type="pct"/>
            <w:vMerge w:val="continue"/>
            <w:tcBorders>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p>
        </w:tc>
        <w:tc>
          <w:tcPr>
            <w:tcW w:w="722"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p>
        </w:tc>
        <w:tc>
          <w:tcPr>
            <w:tcW w:w="1203" w:type="pct"/>
            <w:tcBorders>
              <w:top w:val="single" w:color="auto" w:sz="4" w:space="0"/>
              <w:left w:val="single" w:color="auto" w:sz="4" w:space="0"/>
              <w:bottom w:val="single" w:color="auto" w:sz="4" w:space="0"/>
              <w:right w:val="single" w:color="auto" w:sz="4" w:space="0"/>
              <w:tl2br w:val="nil"/>
              <w:tr2bl w:val="nil"/>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Fonts w:ascii="Times New Roman" w:hAnsi="Times New Roman" w:eastAsia="宋体" w:cs="Times New Roman"/>
                <w:kern w:val="0"/>
                <w:sz w:val="18"/>
                <w:szCs w:val="18"/>
                <w:lang w:bidi="ar"/>
              </w:rPr>
              <w:t>交通建筑</w:t>
            </w:r>
          </w:p>
        </w:tc>
        <w:tc>
          <w:tcPr>
            <w:tcW w:w="1057" w:type="pct"/>
            <w:tcBorders>
              <w:top w:val="single" w:color="auto" w:sz="4" w:space="0"/>
              <w:left w:val="single" w:color="auto" w:sz="4" w:space="0"/>
              <w:bottom w:val="single" w:color="auto" w:sz="4" w:space="0"/>
              <w:right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Style w:val="48"/>
                <w:rFonts w:hint="default" w:ascii="Times New Roman" w:hAnsi="Times New Roman" w:cs="Times New Roman"/>
                <w:color w:val="auto"/>
                <w:sz w:val="18"/>
                <w:szCs w:val="18"/>
                <w:lang w:bidi="ar"/>
              </w:rPr>
              <w:t>31.8×A</w:t>
            </w:r>
            <w:r>
              <w:rPr>
                <w:rStyle w:val="49"/>
                <w:rFonts w:hint="default" w:ascii="Times New Roman" w:hAnsi="Times New Roman" w:cs="Times New Roman"/>
                <w:color w:val="auto"/>
                <w:sz w:val="18"/>
                <w:szCs w:val="18"/>
                <w:lang w:bidi="ar"/>
              </w:rPr>
              <w:t>b</w:t>
            </w:r>
          </w:p>
        </w:tc>
        <w:tc>
          <w:tcPr>
            <w:tcW w:w="1057" w:type="pct"/>
            <w:tcBorders>
              <w:top w:val="single" w:color="auto" w:sz="4" w:space="0"/>
              <w:left w:val="single" w:color="auto" w:sz="4" w:space="0"/>
              <w:bottom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Style w:val="48"/>
                <w:rFonts w:hint="default" w:ascii="Times New Roman" w:hAnsi="Times New Roman" w:cs="Times New Roman"/>
                <w:color w:val="auto"/>
                <w:sz w:val="18"/>
                <w:szCs w:val="18"/>
                <w:lang w:bidi="ar"/>
              </w:rPr>
              <w:t>9.6×A</w:t>
            </w:r>
            <w:r>
              <w:rPr>
                <w:rStyle w:val="49"/>
                <w:rFonts w:hint="default" w:ascii="Times New Roman" w:hAnsi="Times New Roman" w:cs="Times New Roman"/>
                <w:color w:val="auto"/>
                <w:sz w:val="18"/>
                <w:szCs w:val="18"/>
                <w:lang w:bidi="ar"/>
              </w:rPr>
              <w:t>b</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62" w:type="pct"/>
            <w:vMerge w:val="continue"/>
            <w:tcBorders>
              <w:bottom w:val="single" w:color="auto" w:sz="4" w:space="0"/>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p>
        </w:tc>
        <w:tc>
          <w:tcPr>
            <w:tcW w:w="1924" w:type="pct"/>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r>
              <w:rPr>
                <w:rFonts w:ascii="Times New Roman" w:hAnsi="Times New Roman" w:cs="Times New Roman"/>
                <w:sz w:val="18"/>
                <w:szCs w:val="18"/>
              </w:rPr>
              <w:t>供生活热水系统</w:t>
            </w:r>
          </w:p>
        </w:tc>
        <w:tc>
          <w:tcPr>
            <w:tcW w:w="1057" w:type="pct"/>
            <w:tcBorders>
              <w:top w:val="single" w:color="auto" w:sz="4" w:space="0"/>
              <w:left w:val="single" w:color="auto" w:sz="4" w:space="0"/>
              <w:bottom w:val="single" w:color="auto" w:sz="4" w:space="0"/>
              <w:right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Style w:val="48"/>
                <w:rFonts w:hint="default" w:ascii="Times New Roman" w:hAnsi="Times New Roman" w:cs="Times New Roman"/>
                <w:color w:val="auto"/>
                <w:sz w:val="18"/>
                <w:szCs w:val="18"/>
                <w:lang w:bidi="ar"/>
              </w:rPr>
              <w:t>4944×Q</w:t>
            </w:r>
            <w:r>
              <w:rPr>
                <w:rStyle w:val="49"/>
                <w:rFonts w:hint="default" w:ascii="Times New Roman" w:hAnsi="Times New Roman" w:cs="Times New Roman"/>
                <w:color w:val="auto"/>
                <w:sz w:val="18"/>
                <w:szCs w:val="18"/>
                <w:lang w:bidi="ar"/>
              </w:rPr>
              <w:t>d</w:t>
            </w:r>
          </w:p>
        </w:tc>
        <w:tc>
          <w:tcPr>
            <w:tcW w:w="1057" w:type="pct"/>
            <w:tcBorders>
              <w:top w:val="single" w:color="auto" w:sz="4" w:space="0"/>
              <w:left w:val="single" w:color="auto" w:sz="4" w:space="0"/>
              <w:bottom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Fonts w:ascii="Times New Roman" w:hAnsi="Times New Roman" w:eastAsia="宋体" w:cs="Times New Roman"/>
                <w:kern w:val="0"/>
                <w:sz w:val="18"/>
                <w:szCs w:val="18"/>
                <w:lang w:bidi="ar"/>
              </w:rPr>
              <w:t>1496×Qd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c>
          <w:tcPr>
            <w:tcW w:w="962" w:type="pct"/>
            <w:vMerge w:val="restart"/>
            <w:tcBorders>
              <w:top w:val="single" w:color="auto" w:sz="4" w:space="0"/>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r>
              <w:rPr>
                <w:rFonts w:ascii="Times New Roman" w:hAnsi="Times New Roman" w:cs="Times New Roman"/>
                <w:sz w:val="18"/>
                <w:szCs w:val="18"/>
              </w:rPr>
              <w:t>空气源热泵系统</w:t>
            </w:r>
          </w:p>
        </w:tc>
        <w:tc>
          <w:tcPr>
            <w:tcW w:w="722" w:type="pct"/>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r>
              <w:rPr>
                <w:rFonts w:ascii="Times New Roman" w:hAnsi="Times New Roman" w:cs="Times New Roman"/>
                <w:sz w:val="18"/>
                <w:szCs w:val="18"/>
              </w:rPr>
              <w:t>供暖系统</w:t>
            </w:r>
          </w:p>
        </w:tc>
        <w:tc>
          <w:tcPr>
            <w:tcW w:w="1203" w:type="pct"/>
            <w:tcBorders>
              <w:top w:val="single" w:color="auto" w:sz="4" w:space="0"/>
              <w:left w:val="single" w:color="auto" w:sz="4" w:space="0"/>
              <w:bottom w:val="single" w:color="auto" w:sz="4" w:space="0"/>
              <w:right w:val="single" w:color="auto" w:sz="4" w:space="0"/>
              <w:tl2br w:val="nil"/>
              <w:tr2bl w:val="nil"/>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Fonts w:ascii="Times New Roman" w:hAnsi="Times New Roman" w:eastAsia="宋体" w:cs="Times New Roman"/>
                <w:kern w:val="0"/>
                <w:sz w:val="18"/>
                <w:szCs w:val="18"/>
                <w:lang w:bidi="ar"/>
              </w:rPr>
              <w:t>办公建筑</w:t>
            </w:r>
          </w:p>
        </w:tc>
        <w:tc>
          <w:tcPr>
            <w:tcW w:w="1057" w:type="pct"/>
            <w:tcBorders>
              <w:top w:val="single" w:color="auto" w:sz="4" w:space="0"/>
              <w:left w:val="single" w:color="auto" w:sz="4" w:space="0"/>
              <w:bottom w:val="single" w:color="auto" w:sz="4" w:space="0"/>
              <w:right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Style w:val="48"/>
                <w:rFonts w:hint="default" w:ascii="Times New Roman" w:hAnsi="Times New Roman" w:cs="Times New Roman"/>
                <w:color w:val="auto"/>
                <w:sz w:val="18"/>
                <w:szCs w:val="18"/>
                <w:lang w:bidi="ar"/>
              </w:rPr>
              <w:t>12.2×A</w:t>
            </w:r>
            <w:r>
              <w:rPr>
                <w:rStyle w:val="49"/>
                <w:rFonts w:hint="default" w:ascii="Times New Roman" w:hAnsi="Times New Roman" w:cs="Times New Roman"/>
                <w:color w:val="auto"/>
                <w:sz w:val="18"/>
                <w:szCs w:val="18"/>
                <w:lang w:bidi="ar"/>
              </w:rPr>
              <w:t>b</w:t>
            </w:r>
          </w:p>
        </w:tc>
        <w:tc>
          <w:tcPr>
            <w:tcW w:w="1057" w:type="pct"/>
            <w:tcBorders>
              <w:top w:val="single" w:color="auto" w:sz="4" w:space="0"/>
              <w:left w:val="single" w:color="auto" w:sz="4" w:space="0"/>
              <w:bottom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Style w:val="48"/>
                <w:rFonts w:hint="default" w:ascii="Times New Roman" w:hAnsi="Times New Roman" w:cs="Times New Roman"/>
                <w:color w:val="auto"/>
                <w:sz w:val="18"/>
                <w:szCs w:val="18"/>
                <w:lang w:bidi="ar"/>
              </w:rPr>
              <w:t>3.7×A</w:t>
            </w:r>
            <w:r>
              <w:rPr>
                <w:rStyle w:val="49"/>
                <w:rFonts w:hint="default" w:ascii="Times New Roman" w:hAnsi="Times New Roman" w:cs="Times New Roman"/>
                <w:color w:val="auto"/>
                <w:sz w:val="18"/>
                <w:szCs w:val="18"/>
                <w:lang w:bidi="ar"/>
              </w:rPr>
              <w:t>b</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62" w:type="pct"/>
            <w:vMerge w:val="continue"/>
            <w:tcBorders>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p>
        </w:tc>
        <w:tc>
          <w:tcPr>
            <w:tcW w:w="722"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p>
        </w:tc>
        <w:tc>
          <w:tcPr>
            <w:tcW w:w="1203" w:type="pct"/>
            <w:tcBorders>
              <w:top w:val="single" w:color="auto" w:sz="4" w:space="0"/>
              <w:left w:val="single" w:color="auto" w:sz="4" w:space="0"/>
              <w:bottom w:val="single" w:color="auto" w:sz="4" w:space="0"/>
              <w:right w:val="single" w:color="auto" w:sz="4" w:space="0"/>
              <w:tl2br w:val="nil"/>
              <w:tr2bl w:val="nil"/>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Fonts w:ascii="Times New Roman" w:hAnsi="Times New Roman" w:eastAsia="宋体" w:cs="Times New Roman"/>
                <w:kern w:val="0"/>
                <w:sz w:val="18"/>
                <w:szCs w:val="18"/>
                <w:lang w:bidi="ar"/>
              </w:rPr>
              <w:t>宾馆建筑</w:t>
            </w:r>
          </w:p>
        </w:tc>
        <w:tc>
          <w:tcPr>
            <w:tcW w:w="1057" w:type="pct"/>
            <w:tcBorders>
              <w:top w:val="single" w:color="auto" w:sz="4" w:space="0"/>
              <w:left w:val="single" w:color="auto" w:sz="4" w:space="0"/>
              <w:bottom w:val="single" w:color="auto" w:sz="4" w:space="0"/>
              <w:right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Style w:val="48"/>
                <w:rFonts w:hint="default" w:ascii="Times New Roman" w:hAnsi="Times New Roman" w:cs="Times New Roman"/>
                <w:color w:val="auto"/>
                <w:sz w:val="18"/>
                <w:szCs w:val="18"/>
                <w:lang w:bidi="ar"/>
              </w:rPr>
              <w:t>19.0×A</w:t>
            </w:r>
            <w:r>
              <w:rPr>
                <w:rStyle w:val="49"/>
                <w:rFonts w:hint="default" w:ascii="Times New Roman" w:hAnsi="Times New Roman" w:cs="Times New Roman"/>
                <w:color w:val="auto"/>
                <w:sz w:val="18"/>
                <w:szCs w:val="18"/>
                <w:lang w:bidi="ar"/>
              </w:rPr>
              <w:t>b</w:t>
            </w:r>
          </w:p>
        </w:tc>
        <w:tc>
          <w:tcPr>
            <w:tcW w:w="1057" w:type="pct"/>
            <w:tcBorders>
              <w:top w:val="single" w:color="auto" w:sz="4" w:space="0"/>
              <w:left w:val="single" w:color="auto" w:sz="4" w:space="0"/>
              <w:bottom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Style w:val="48"/>
                <w:rFonts w:hint="default" w:ascii="Times New Roman" w:hAnsi="Times New Roman" w:cs="Times New Roman"/>
                <w:color w:val="auto"/>
                <w:sz w:val="18"/>
                <w:szCs w:val="18"/>
                <w:lang w:bidi="ar"/>
              </w:rPr>
              <w:t>5.7×A</w:t>
            </w:r>
            <w:r>
              <w:rPr>
                <w:rStyle w:val="49"/>
                <w:rFonts w:hint="default" w:ascii="Times New Roman" w:hAnsi="Times New Roman" w:cs="Times New Roman"/>
                <w:color w:val="auto"/>
                <w:sz w:val="18"/>
                <w:szCs w:val="18"/>
                <w:lang w:bidi="ar"/>
              </w:rPr>
              <w:t>b</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62" w:type="pct"/>
            <w:vMerge w:val="continue"/>
            <w:tcBorders>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p>
        </w:tc>
        <w:tc>
          <w:tcPr>
            <w:tcW w:w="722"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p>
        </w:tc>
        <w:tc>
          <w:tcPr>
            <w:tcW w:w="1203" w:type="pct"/>
            <w:tcBorders>
              <w:top w:val="single" w:color="auto" w:sz="4" w:space="0"/>
              <w:left w:val="single" w:color="auto" w:sz="4" w:space="0"/>
              <w:bottom w:val="single" w:color="auto" w:sz="4" w:space="0"/>
              <w:right w:val="single" w:color="auto" w:sz="4" w:space="0"/>
              <w:tl2br w:val="nil"/>
              <w:tr2bl w:val="nil"/>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Fonts w:ascii="Times New Roman" w:hAnsi="Times New Roman" w:eastAsia="宋体" w:cs="Times New Roman"/>
                <w:kern w:val="0"/>
                <w:sz w:val="18"/>
                <w:szCs w:val="18"/>
                <w:lang w:bidi="ar"/>
              </w:rPr>
              <w:t>医疗建筑</w:t>
            </w:r>
          </w:p>
        </w:tc>
        <w:tc>
          <w:tcPr>
            <w:tcW w:w="1057" w:type="pct"/>
            <w:tcBorders>
              <w:top w:val="single" w:color="auto" w:sz="4" w:space="0"/>
              <w:left w:val="single" w:color="auto" w:sz="4" w:space="0"/>
              <w:bottom w:val="single" w:color="auto" w:sz="4" w:space="0"/>
              <w:right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Style w:val="48"/>
                <w:rFonts w:hint="default" w:ascii="Times New Roman" w:hAnsi="Times New Roman" w:cs="Times New Roman"/>
                <w:color w:val="auto"/>
                <w:sz w:val="18"/>
                <w:szCs w:val="18"/>
                <w:lang w:bidi="ar"/>
              </w:rPr>
              <w:t>19.4×A</w:t>
            </w:r>
            <w:r>
              <w:rPr>
                <w:rStyle w:val="49"/>
                <w:rFonts w:hint="default" w:ascii="Times New Roman" w:hAnsi="Times New Roman" w:cs="Times New Roman"/>
                <w:color w:val="auto"/>
                <w:sz w:val="18"/>
                <w:szCs w:val="18"/>
                <w:lang w:bidi="ar"/>
              </w:rPr>
              <w:t>b</w:t>
            </w:r>
          </w:p>
        </w:tc>
        <w:tc>
          <w:tcPr>
            <w:tcW w:w="1057" w:type="pct"/>
            <w:tcBorders>
              <w:top w:val="single" w:color="auto" w:sz="4" w:space="0"/>
              <w:left w:val="single" w:color="auto" w:sz="4" w:space="0"/>
              <w:bottom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Style w:val="48"/>
                <w:rFonts w:hint="default" w:ascii="Times New Roman" w:hAnsi="Times New Roman" w:cs="Times New Roman"/>
                <w:color w:val="auto"/>
                <w:sz w:val="18"/>
                <w:szCs w:val="18"/>
                <w:lang w:bidi="ar"/>
              </w:rPr>
              <w:t>5.9×A</w:t>
            </w:r>
            <w:r>
              <w:rPr>
                <w:rStyle w:val="49"/>
                <w:rFonts w:hint="default" w:ascii="Times New Roman" w:hAnsi="Times New Roman" w:cs="Times New Roman"/>
                <w:color w:val="auto"/>
                <w:sz w:val="18"/>
                <w:szCs w:val="18"/>
                <w:lang w:bidi="ar"/>
              </w:rPr>
              <w:t>b</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62" w:type="pct"/>
            <w:vMerge w:val="continue"/>
            <w:tcBorders>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p>
        </w:tc>
        <w:tc>
          <w:tcPr>
            <w:tcW w:w="722"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p>
        </w:tc>
        <w:tc>
          <w:tcPr>
            <w:tcW w:w="1203" w:type="pct"/>
            <w:tcBorders>
              <w:top w:val="single" w:color="auto" w:sz="4" w:space="0"/>
              <w:left w:val="single" w:color="auto" w:sz="4" w:space="0"/>
              <w:bottom w:val="single" w:color="auto" w:sz="4" w:space="0"/>
              <w:right w:val="single" w:color="auto" w:sz="4" w:space="0"/>
              <w:tl2br w:val="nil"/>
              <w:tr2bl w:val="nil"/>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Fonts w:ascii="Times New Roman" w:hAnsi="Times New Roman" w:eastAsia="宋体" w:cs="Times New Roman"/>
                <w:kern w:val="0"/>
                <w:sz w:val="18"/>
                <w:szCs w:val="18"/>
                <w:lang w:bidi="ar"/>
              </w:rPr>
              <w:t>文化建筑</w:t>
            </w:r>
          </w:p>
        </w:tc>
        <w:tc>
          <w:tcPr>
            <w:tcW w:w="1057" w:type="pct"/>
            <w:tcBorders>
              <w:top w:val="single" w:color="auto" w:sz="4" w:space="0"/>
              <w:left w:val="single" w:color="auto" w:sz="4" w:space="0"/>
              <w:bottom w:val="single" w:color="auto" w:sz="4" w:space="0"/>
              <w:right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Style w:val="48"/>
                <w:rFonts w:hint="default" w:ascii="Times New Roman" w:hAnsi="Times New Roman" w:cs="Times New Roman"/>
                <w:color w:val="auto"/>
                <w:sz w:val="18"/>
                <w:szCs w:val="18"/>
                <w:lang w:bidi="ar"/>
              </w:rPr>
              <w:t>15.8×A</w:t>
            </w:r>
            <w:r>
              <w:rPr>
                <w:rStyle w:val="49"/>
                <w:rFonts w:hint="default" w:ascii="Times New Roman" w:hAnsi="Times New Roman" w:cs="Times New Roman"/>
                <w:color w:val="auto"/>
                <w:sz w:val="18"/>
                <w:szCs w:val="18"/>
                <w:lang w:bidi="ar"/>
              </w:rPr>
              <w:t>b</w:t>
            </w:r>
          </w:p>
        </w:tc>
        <w:tc>
          <w:tcPr>
            <w:tcW w:w="1057" w:type="pct"/>
            <w:tcBorders>
              <w:top w:val="single" w:color="auto" w:sz="4" w:space="0"/>
              <w:left w:val="single" w:color="auto" w:sz="4" w:space="0"/>
              <w:bottom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Style w:val="48"/>
                <w:rFonts w:hint="default" w:ascii="Times New Roman" w:hAnsi="Times New Roman" w:cs="Times New Roman"/>
                <w:color w:val="auto"/>
                <w:sz w:val="18"/>
                <w:szCs w:val="18"/>
                <w:lang w:bidi="ar"/>
              </w:rPr>
              <w:t>4.8×A</w:t>
            </w:r>
            <w:r>
              <w:rPr>
                <w:rStyle w:val="49"/>
                <w:rFonts w:hint="default" w:ascii="Times New Roman" w:hAnsi="Times New Roman" w:cs="Times New Roman"/>
                <w:color w:val="auto"/>
                <w:sz w:val="18"/>
                <w:szCs w:val="18"/>
                <w:lang w:bidi="ar"/>
              </w:rPr>
              <w:t>b</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c>
          <w:tcPr>
            <w:tcW w:w="962" w:type="pct"/>
            <w:vMerge w:val="continue"/>
            <w:tcBorders>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p>
        </w:tc>
        <w:tc>
          <w:tcPr>
            <w:tcW w:w="722"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p>
        </w:tc>
        <w:tc>
          <w:tcPr>
            <w:tcW w:w="1203" w:type="pct"/>
            <w:tcBorders>
              <w:top w:val="single" w:color="auto" w:sz="4" w:space="0"/>
              <w:left w:val="single" w:color="auto" w:sz="4" w:space="0"/>
              <w:bottom w:val="single" w:color="auto" w:sz="4" w:space="0"/>
              <w:right w:val="single" w:color="auto" w:sz="4" w:space="0"/>
              <w:tl2br w:val="nil"/>
              <w:tr2bl w:val="nil"/>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Fonts w:ascii="Times New Roman" w:hAnsi="Times New Roman" w:eastAsia="宋体" w:cs="Times New Roman"/>
                <w:kern w:val="0"/>
                <w:sz w:val="18"/>
                <w:szCs w:val="18"/>
                <w:lang w:bidi="ar"/>
              </w:rPr>
              <w:t>教育建筑</w:t>
            </w:r>
          </w:p>
        </w:tc>
        <w:tc>
          <w:tcPr>
            <w:tcW w:w="1057" w:type="pct"/>
            <w:tcBorders>
              <w:top w:val="single" w:color="auto" w:sz="4" w:space="0"/>
              <w:left w:val="single" w:color="auto" w:sz="4" w:space="0"/>
              <w:bottom w:val="single" w:color="auto" w:sz="4" w:space="0"/>
              <w:right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Style w:val="48"/>
                <w:rFonts w:hint="default" w:ascii="Times New Roman" w:hAnsi="Times New Roman" w:cs="Times New Roman"/>
                <w:color w:val="auto"/>
                <w:sz w:val="18"/>
                <w:szCs w:val="18"/>
                <w:lang w:bidi="ar"/>
              </w:rPr>
              <w:t>8.2×A</w:t>
            </w:r>
            <w:r>
              <w:rPr>
                <w:rStyle w:val="49"/>
                <w:rFonts w:hint="default" w:ascii="Times New Roman" w:hAnsi="Times New Roman" w:cs="Times New Roman"/>
                <w:color w:val="auto"/>
                <w:sz w:val="18"/>
                <w:szCs w:val="18"/>
                <w:lang w:bidi="ar"/>
              </w:rPr>
              <w:t>b</w:t>
            </w:r>
          </w:p>
        </w:tc>
        <w:tc>
          <w:tcPr>
            <w:tcW w:w="1057" w:type="pct"/>
            <w:tcBorders>
              <w:top w:val="single" w:color="auto" w:sz="4" w:space="0"/>
              <w:left w:val="single" w:color="auto" w:sz="4" w:space="0"/>
              <w:bottom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Style w:val="48"/>
                <w:rFonts w:hint="default" w:ascii="Times New Roman" w:hAnsi="Times New Roman" w:cs="Times New Roman"/>
                <w:color w:val="auto"/>
                <w:sz w:val="18"/>
                <w:szCs w:val="18"/>
                <w:lang w:bidi="ar"/>
              </w:rPr>
              <w:t>2.5×A</w:t>
            </w:r>
            <w:r>
              <w:rPr>
                <w:rStyle w:val="49"/>
                <w:rFonts w:hint="default" w:ascii="Times New Roman" w:hAnsi="Times New Roman" w:cs="Times New Roman"/>
                <w:color w:val="auto"/>
                <w:sz w:val="18"/>
                <w:szCs w:val="18"/>
                <w:lang w:bidi="ar"/>
              </w:rPr>
              <w:t>b</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62" w:type="pct"/>
            <w:vMerge w:val="continue"/>
            <w:tcBorders>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p>
        </w:tc>
        <w:tc>
          <w:tcPr>
            <w:tcW w:w="722"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p>
        </w:tc>
        <w:tc>
          <w:tcPr>
            <w:tcW w:w="1203" w:type="pct"/>
            <w:tcBorders>
              <w:top w:val="single" w:color="auto" w:sz="4" w:space="0"/>
              <w:left w:val="single" w:color="auto" w:sz="4" w:space="0"/>
              <w:bottom w:val="single" w:color="auto" w:sz="4" w:space="0"/>
              <w:right w:val="single" w:color="auto" w:sz="4" w:space="0"/>
              <w:tl2br w:val="nil"/>
              <w:tr2bl w:val="nil"/>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Fonts w:ascii="Times New Roman" w:hAnsi="Times New Roman" w:eastAsia="宋体" w:cs="Times New Roman"/>
                <w:kern w:val="0"/>
                <w:sz w:val="18"/>
                <w:szCs w:val="18"/>
                <w:lang w:bidi="ar"/>
              </w:rPr>
              <w:t>商业建筑</w:t>
            </w:r>
          </w:p>
        </w:tc>
        <w:tc>
          <w:tcPr>
            <w:tcW w:w="1057" w:type="pct"/>
            <w:tcBorders>
              <w:top w:val="single" w:color="auto" w:sz="4" w:space="0"/>
              <w:left w:val="single" w:color="auto" w:sz="4" w:space="0"/>
              <w:bottom w:val="single" w:color="auto" w:sz="4" w:space="0"/>
              <w:right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Style w:val="48"/>
                <w:rFonts w:hint="default" w:ascii="Times New Roman" w:hAnsi="Times New Roman" w:cs="Times New Roman"/>
                <w:color w:val="auto"/>
                <w:sz w:val="18"/>
                <w:szCs w:val="18"/>
                <w:lang w:bidi="ar"/>
              </w:rPr>
              <w:t>6.3×A</w:t>
            </w:r>
            <w:r>
              <w:rPr>
                <w:rStyle w:val="49"/>
                <w:rFonts w:hint="default" w:ascii="Times New Roman" w:hAnsi="Times New Roman" w:cs="Times New Roman"/>
                <w:color w:val="auto"/>
                <w:sz w:val="18"/>
                <w:szCs w:val="18"/>
                <w:lang w:bidi="ar"/>
              </w:rPr>
              <w:t>b</w:t>
            </w:r>
          </w:p>
        </w:tc>
        <w:tc>
          <w:tcPr>
            <w:tcW w:w="1057" w:type="pct"/>
            <w:tcBorders>
              <w:top w:val="single" w:color="auto" w:sz="4" w:space="0"/>
              <w:left w:val="single" w:color="auto" w:sz="4" w:space="0"/>
              <w:bottom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Style w:val="48"/>
                <w:rFonts w:hint="default" w:ascii="Times New Roman" w:hAnsi="Times New Roman" w:cs="Times New Roman"/>
                <w:color w:val="auto"/>
                <w:sz w:val="18"/>
                <w:szCs w:val="18"/>
                <w:lang w:bidi="ar"/>
              </w:rPr>
              <w:t>1.9×A</w:t>
            </w:r>
            <w:r>
              <w:rPr>
                <w:rStyle w:val="49"/>
                <w:rFonts w:hint="default" w:ascii="Times New Roman" w:hAnsi="Times New Roman" w:cs="Times New Roman"/>
                <w:color w:val="auto"/>
                <w:sz w:val="18"/>
                <w:szCs w:val="18"/>
                <w:lang w:bidi="ar"/>
              </w:rPr>
              <w:t>b</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62" w:type="pct"/>
            <w:vMerge w:val="continue"/>
            <w:tcBorders>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p>
        </w:tc>
        <w:tc>
          <w:tcPr>
            <w:tcW w:w="722"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p>
        </w:tc>
        <w:tc>
          <w:tcPr>
            <w:tcW w:w="1203" w:type="pct"/>
            <w:tcBorders>
              <w:top w:val="single" w:color="auto" w:sz="4" w:space="0"/>
              <w:left w:val="single" w:color="auto" w:sz="4" w:space="0"/>
              <w:bottom w:val="single" w:color="auto" w:sz="4" w:space="0"/>
              <w:right w:val="single" w:color="auto" w:sz="4" w:space="0"/>
              <w:tl2br w:val="nil"/>
              <w:tr2bl w:val="nil"/>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Fonts w:ascii="Times New Roman" w:hAnsi="Times New Roman" w:eastAsia="宋体" w:cs="Times New Roman"/>
                <w:kern w:val="0"/>
                <w:sz w:val="18"/>
                <w:szCs w:val="18"/>
                <w:lang w:bidi="ar"/>
              </w:rPr>
              <w:t>交通建筑</w:t>
            </w:r>
          </w:p>
        </w:tc>
        <w:tc>
          <w:tcPr>
            <w:tcW w:w="1057" w:type="pct"/>
            <w:tcBorders>
              <w:top w:val="single" w:color="auto" w:sz="4" w:space="0"/>
              <w:left w:val="single" w:color="auto" w:sz="4" w:space="0"/>
              <w:bottom w:val="single" w:color="auto" w:sz="4" w:space="0"/>
              <w:right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Style w:val="48"/>
                <w:rFonts w:hint="default" w:ascii="Times New Roman" w:hAnsi="Times New Roman" w:cs="Times New Roman"/>
                <w:color w:val="auto"/>
                <w:sz w:val="18"/>
                <w:szCs w:val="18"/>
                <w:lang w:bidi="ar"/>
              </w:rPr>
              <w:t>6.9×A</w:t>
            </w:r>
            <w:r>
              <w:rPr>
                <w:rStyle w:val="49"/>
                <w:rFonts w:hint="default" w:ascii="Times New Roman" w:hAnsi="Times New Roman" w:cs="Times New Roman"/>
                <w:color w:val="auto"/>
                <w:sz w:val="18"/>
                <w:szCs w:val="18"/>
                <w:lang w:bidi="ar"/>
              </w:rPr>
              <w:t>b</w:t>
            </w:r>
          </w:p>
        </w:tc>
        <w:tc>
          <w:tcPr>
            <w:tcW w:w="1057" w:type="pct"/>
            <w:tcBorders>
              <w:top w:val="single" w:color="auto" w:sz="4" w:space="0"/>
              <w:left w:val="single" w:color="auto" w:sz="4" w:space="0"/>
              <w:bottom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Style w:val="48"/>
                <w:rFonts w:hint="default" w:ascii="Times New Roman" w:hAnsi="Times New Roman" w:cs="Times New Roman"/>
                <w:color w:val="auto"/>
                <w:sz w:val="18"/>
                <w:szCs w:val="18"/>
                <w:lang w:bidi="ar"/>
              </w:rPr>
              <w:t>2.1×A</w:t>
            </w:r>
            <w:r>
              <w:rPr>
                <w:rStyle w:val="49"/>
                <w:rFonts w:hint="default" w:ascii="Times New Roman" w:hAnsi="Times New Roman" w:cs="Times New Roman"/>
                <w:color w:val="auto"/>
                <w:sz w:val="18"/>
                <w:szCs w:val="18"/>
                <w:lang w:bidi="ar"/>
              </w:rPr>
              <w:t>b</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62" w:type="pct"/>
            <w:vMerge w:val="continue"/>
            <w:tcBorders>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p>
        </w:tc>
        <w:tc>
          <w:tcPr>
            <w:tcW w:w="722" w:type="pct"/>
            <w:vMerge w:val="restart"/>
            <w:tcBorders>
              <w:top w:val="single" w:color="auto" w:sz="4" w:space="0"/>
              <w:left w:val="single" w:color="auto" w:sz="4" w:space="0"/>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r>
              <w:rPr>
                <w:rFonts w:ascii="Times New Roman" w:hAnsi="Times New Roman" w:cs="Times New Roman"/>
                <w:sz w:val="18"/>
                <w:szCs w:val="18"/>
              </w:rPr>
              <w:t>供生活</w:t>
            </w:r>
          </w:p>
          <w:p>
            <w:pPr>
              <w:pStyle w:val="22"/>
              <w:tabs>
                <w:tab w:val="left" w:pos="420"/>
              </w:tabs>
              <w:overflowPunct w:val="0"/>
              <w:adjustRightInd w:val="0"/>
              <w:snapToGrid w:val="0"/>
              <w:ind w:firstLine="0" w:firstLineChars="0"/>
              <w:jc w:val="center"/>
              <w:rPr>
                <w:rFonts w:ascii="Times New Roman" w:hAnsi="Times New Roman" w:cs="Times New Roman"/>
                <w:sz w:val="18"/>
                <w:szCs w:val="18"/>
              </w:rPr>
            </w:pPr>
            <w:r>
              <w:rPr>
                <w:rFonts w:ascii="Times New Roman" w:hAnsi="Times New Roman" w:cs="Times New Roman"/>
                <w:sz w:val="18"/>
                <w:szCs w:val="18"/>
              </w:rPr>
              <w:t>热水系统</w:t>
            </w:r>
          </w:p>
        </w:tc>
        <w:tc>
          <w:tcPr>
            <w:tcW w:w="1203" w:type="pct"/>
            <w:tcBorders>
              <w:top w:val="single" w:color="auto" w:sz="4" w:space="0"/>
              <w:left w:val="single" w:color="auto" w:sz="4" w:space="0"/>
              <w:bottom w:val="single" w:color="auto" w:sz="4" w:space="0"/>
              <w:right w:val="single" w:color="auto" w:sz="4" w:space="0"/>
              <w:tl2br w:val="nil"/>
              <w:tr2bl w:val="nil"/>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Fonts w:ascii="Times New Roman" w:hAnsi="Times New Roman" w:eastAsia="宋体" w:cs="Times New Roman"/>
                <w:kern w:val="0"/>
                <w:sz w:val="18"/>
                <w:szCs w:val="18"/>
                <w:lang w:bidi="ar"/>
              </w:rPr>
              <w:t>一区</w:t>
            </w:r>
          </w:p>
        </w:tc>
        <w:tc>
          <w:tcPr>
            <w:tcW w:w="1057" w:type="pct"/>
            <w:tcBorders>
              <w:top w:val="single" w:color="auto" w:sz="4" w:space="0"/>
              <w:left w:val="single" w:color="auto" w:sz="4" w:space="0"/>
              <w:bottom w:val="single" w:color="auto" w:sz="4" w:space="0"/>
              <w:right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Style w:val="48"/>
                <w:rFonts w:hint="default" w:ascii="Times New Roman" w:hAnsi="Times New Roman" w:cs="Times New Roman"/>
                <w:color w:val="auto"/>
                <w:sz w:val="18"/>
                <w:szCs w:val="18"/>
                <w:lang w:bidi="ar"/>
              </w:rPr>
              <w:t>3450×Q</w:t>
            </w:r>
            <w:r>
              <w:rPr>
                <w:rStyle w:val="49"/>
                <w:rFonts w:hint="default" w:ascii="Times New Roman" w:hAnsi="Times New Roman" w:cs="Times New Roman"/>
                <w:color w:val="auto"/>
                <w:sz w:val="18"/>
                <w:szCs w:val="18"/>
                <w:lang w:bidi="ar"/>
              </w:rPr>
              <w:t>d</w:t>
            </w:r>
          </w:p>
        </w:tc>
        <w:tc>
          <w:tcPr>
            <w:tcW w:w="1057" w:type="pct"/>
            <w:tcBorders>
              <w:top w:val="single" w:color="auto" w:sz="4" w:space="0"/>
              <w:left w:val="single" w:color="auto" w:sz="4" w:space="0"/>
              <w:bottom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Style w:val="48"/>
                <w:rFonts w:hint="default" w:ascii="Times New Roman" w:hAnsi="Times New Roman" w:cs="Times New Roman"/>
                <w:color w:val="auto"/>
                <w:sz w:val="18"/>
                <w:szCs w:val="18"/>
                <w:lang w:bidi="ar"/>
              </w:rPr>
              <w:t>1043×Q</w:t>
            </w:r>
            <w:r>
              <w:rPr>
                <w:rStyle w:val="49"/>
                <w:rFonts w:hint="default" w:ascii="Times New Roman" w:hAnsi="Times New Roman" w:cs="Times New Roman"/>
                <w:color w:val="auto"/>
                <w:sz w:val="18"/>
                <w:szCs w:val="18"/>
                <w:lang w:bidi="ar"/>
              </w:rPr>
              <w:t>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c>
          <w:tcPr>
            <w:tcW w:w="962" w:type="pct"/>
            <w:vMerge w:val="continue"/>
            <w:tcBorders>
              <w:bottom w:val="single" w:color="auto" w:sz="4" w:space="0"/>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p>
        </w:tc>
        <w:tc>
          <w:tcPr>
            <w:tcW w:w="722" w:type="pct"/>
            <w:vMerge w:val="continue"/>
            <w:tcBorders>
              <w:left w:val="single" w:color="auto" w:sz="4" w:space="0"/>
              <w:bottom w:val="single" w:color="auto" w:sz="4" w:space="0"/>
              <w:right w:val="single" w:color="auto" w:sz="4" w:space="0"/>
              <w:tl2br w:val="nil"/>
              <w:tr2bl w:val="nil"/>
            </w:tcBorders>
            <w:vAlign w:val="center"/>
          </w:tcPr>
          <w:p>
            <w:pPr>
              <w:pStyle w:val="22"/>
              <w:tabs>
                <w:tab w:val="left" w:pos="420"/>
              </w:tabs>
              <w:overflowPunct w:val="0"/>
              <w:adjustRightInd w:val="0"/>
              <w:snapToGrid w:val="0"/>
              <w:ind w:firstLine="0" w:firstLineChars="0"/>
              <w:jc w:val="center"/>
              <w:rPr>
                <w:rFonts w:ascii="Times New Roman" w:hAnsi="Times New Roman" w:cs="Times New Roman"/>
                <w:sz w:val="18"/>
                <w:szCs w:val="18"/>
              </w:rPr>
            </w:pPr>
          </w:p>
        </w:tc>
        <w:tc>
          <w:tcPr>
            <w:tcW w:w="1203" w:type="pct"/>
            <w:tcBorders>
              <w:top w:val="single" w:color="auto" w:sz="4" w:space="0"/>
              <w:left w:val="single" w:color="auto" w:sz="4" w:space="0"/>
              <w:bottom w:val="single" w:color="auto" w:sz="4" w:space="0"/>
              <w:right w:val="single" w:color="auto" w:sz="4" w:space="0"/>
              <w:tl2br w:val="nil"/>
              <w:tr2bl w:val="nil"/>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Fonts w:ascii="Times New Roman" w:hAnsi="Times New Roman" w:eastAsia="宋体" w:cs="Times New Roman"/>
                <w:kern w:val="0"/>
                <w:sz w:val="18"/>
                <w:szCs w:val="18"/>
                <w:lang w:bidi="ar"/>
              </w:rPr>
              <w:t>二区</w:t>
            </w:r>
          </w:p>
        </w:tc>
        <w:tc>
          <w:tcPr>
            <w:tcW w:w="1057" w:type="pct"/>
            <w:tcBorders>
              <w:top w:val="single" w:color="auto" w:sz="4" w:space="0"/>
              <w:left w:val="single" w:color="auto" w:sz="4" w:space="0"/>
              <w:bottom w:val="single" w:color="auto" w:sz="4" w:space="0"/>
              <w:right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Style w:val="48"/>
                <w:rFonts w:hint="default" w:ascii="Times New Roman" w:hAnsi="Times New Roman" w:cs="Times New Roman"/>
                <w:color w:val="auto"/>
                <w:sz w:val="18"/>
                <w:szCs w:val="18"/>
                <w:lang w:bidi="ar"/>
              </w:rPr>
              <w:t>4120×Q</w:t>
            </w:r>
            <w:r>
              <w:rPr>
                <w:rStyle w:val="49"/>
                <w:rFonts w:hint="default" w:ascii="Times New Roman" w:hAnsi="Times New Roman" w:cs="Times New Roman"/>
                <w:color w:val="auto"/>
                <w:sz w:val="18"/>
                <w:szCs w:val="18"/>
                <w:lang w:bidi="ar"/>
              </w:rPr>
              <w:t>d</w:t>
            </w:r>
          </w:p>
        </w:tc>
        <w:tc>
          <w:tcPr>
            <w:tcW w:w="1057" w:type="pct"/>
            <w:tcBorders>
              <w:top w:val="single" w:color="auto" w:sz="4" w:space="0"/>
              <w:left w:val="single" w:color="auto" w:sz="4" w:space="0"/>
              <w:bottom w:val="single" w:color="auto" w:sz="4" w:space="0"/>
            </w:tcBorders>
            <w:vAlign w:val="center"/>
          </w:tcPr>
          <w:p>
            <w:pPr>
              <w:widowControl/>
              <w:overflowPunct w:val="0"/>
              <w:adjustRightInd w:val="0"/>
              <w:snapToGrid w:val="0"/>
              <w:jc w:val="center"/>
              <w:textAlignment w:val="center"/>
              <w:rPr>
                <w:rFonts w:ascii="Times New Roman" w:hAnsi="Times New Roman" w:cs="Times New Roman"/>
                <w:sz w:val="18"/>
                <w:szCs w:val="18"/>
              </w:rPr>
            </w:pPr>
            <w:r>
              <w:rPr>
                <w:rStyle w:val="48"/>
                <w:rFonts w:hint="default" w:ascii="Times New Roman" w:hAnsi="Times New Roman" w:cs="Times New Roman"/>
                <w:color w:val="auto"/>
                <w:sz w:val="18"/>
                <w:szCs w:val="18"/>
                <w:lang w:bidi="ar"/>
              </w:rPr>
              <w:t>1246×Q</w:t>
            </w:r>
            <w:r>
              <w:rPr>
                <w:rStyle w:val="49"/>
                <w:rFonts w:hint="default" w:ascii="Times New Roman" w:hAnsi="Times New Roman" w:cs="Times New Roman"/>
                <w:color w:val="auto"/>
                <w:sz w:val="18"/>
                <w:szCs w:val="18"/>
                <w:lang w:bidi="ar"/>
              </w:rPr>
              <w:t>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000" w:type="pct"/>
            <w:gridSpan w:val="5"/>
            <w:tcBorders>
              <w:top w:val="single" w:color="auto" w:sz="4" w:space="0"/>
              <w:tl2br w:val="nil"/>
              <w:tr2bl w:val="nil"/>
            </w:tcBorders>
            <w:vAlign w:val="center"/>
          </w:tcPr>
          <w:p>
            <w:pPr>
              <w:pStyle w:val="22"/>
              <w:tabs>
                <w:tab w:val="left" w:pos="420"/>
              </w:tabs>
              <w:overflowPunct w:val="0"/>
              <w:adjustRightInd w:val="0"/>
              <w:snapToGrid w:val="0"/>
              <w:ind w:firstLine="0" w:firstLineChars="0"/>
              <w:jc w:val="left"/>
              <w:rPr>
                <w:rFonts w:ascii="Times New Roman" w:hAnsi="Times New Roman" w:cs="Times New Roman"/>
                <w:sz w:val="18"/>
                <w:szCs w:val="18"/>
              </w:rPr>
            </w:pPr>
            <w:r>
              <w:rPr>
                <w:rFonts w:ascii="Times New Roman" w:hAnsi="Times New Roman" w:cs="Times New Roman"/>
                <w:sz w:val="18"/>
                <w:szCs w:val="18"/>
              </w:rPr>
              <w:t>注：A</w:t>
            </w:r>
            <w:r>
              <w:rPr>
                <w:rFonts w:ascii="Times New Roman" w:hAnsi="Times New Roman" w:cs="Times New Roman"/>
                <w:sz w:val="18"/>
                <w:szCs w:val="18"/>
                <w:vertAlign w:val="subscript"/>
              </w:rPr>
              <w:t>c</w:t>
            </w:r>
            <w:r>
              <w:rPr>
                <w:rFonts w:ascii="Times New Roman" w:hAnsi="Times New Roman" w:cs="Times New Roman"/>
                <w:sz w:val="18"/>
                <w:szCs w:val="18"/>
              </w:rPr>
              <w:t>为太阳能集热器外框尺寸总面积（</w:t>
            </w:r>
            <w:r>
              <w:rPr>
                <w:rFonts w:hint="eastAsia" w:ascii="Times New Roman" w:hAnsi="Times New Roman" w:cs="Times New Roman"/>
                <w:sz w:val="18"/>
                <w:szCs w:val="18"/>
              </w:rPr>
              <w:t>m</w:t>
            </w:r>
            <w:r>
              <w:rPr>
                <w:rFonts w:hint="eastAsia" w:ascii="Times New Roman" w:hAnsi="Times New Roman" w:cs="Times New Roman"/>
                <w:sz w:val="18"/>
                <w:szCs w:val="18"/>
                <w:vertAlign w:val="superscript"/>
              </w:rPr>
              <w:t>2</w:t>
            </w:r>
            <w:r>
              <w:rPr>
                <w:rFonts w:ascii="Times New Roman" w:hAnsi="Times New Roman" w:cs="Times New Roman"/>
                <w:sz w:val="18"/>
                <w:szCs w:val="18"/>
              </w:rPr>
              <w:t>）；</w:t>
            </w:r>
          </w:p>
          <w:p>
            <w:pPr>
              <w:pStyle w:val="22"/>
              <w:tabs>
                <w:tab w:val="left" w:pos="420"/>
              </w:tabs>
              <w:overflowPunct w:val="0"/>
              <w:adjustRightInd w:val="0"/>
              <w:snapToGrid w:val="0"/>
              <w:ind w:firstLine="360"/>
              <w:jc w:val="left"/>
              <w:rPr>
                <w:rFonts w:ascii="Times New Roman" w:hAnsi="Times New Roman" w:cs="Times New Roman"/>
                <w:sz w:val="18"/>
                <w:szCs w:val="18"/>
              </w:rPr>
            </w:pPr>
            <w:r>
              <w:rPr>
                <w:rFonts w:ascii="Times New Roman" w:hAnsi="Times New Roman" w:cs="Times New Roman"/>
                <w:sz w:val="18"/>
                <w:szCs w:val="18"/>
              </w:rPr>
              <w:t>A</w:t>
            </w:r>
            <w:r>
              <w:rPr>
                <w:rFonts w:ascii="Times New Roman" w:hAnsi="Times New Roman" w:cs="Times New Roman"/>
                <w:sz w:val="18"/>
                <w:szCs w:val="18"/>
                <w:vertAlign w:val="subscript"/>
              </w:rPr>
              <w:t>d</w:t>
            </w:r>
            <w:r>
              <w:rPr>
                <w:rFonts w:ascii="Times New Roman" w:hAnsi="Times New Roman" w:cs="Times New Roman"/>
                <w:sz w:val="18"/>
                <w:szCs w:val="18"/>
              </w:rPr>
              <w:t>为太阳能光伏板外框尺寸总面积（</w:t>
            </w:r>
            <w:r>
              <w:rPr>
                <w:rFonts w:hint="eastAsia" w:ascii="Times New Roman" w:hAnsi="Times New Roman" w:cs="Times New Roman"/>
                <w:sz w:val="18"/>
                <w:szCs w:val="18"/>
              </w:rPr>
              <w:t>m</w:t>
            </w:r>
            <w:r>
              <w:rPr>
                <w:rFonts w:hint="eastAsia" w:ascii="Times New Roman" w:hAnsi="Times New Roman" w:cs="Times New Roman"/>
                <w:sz w:val="18"/>
                <w:szCs w:val="18"/>
                <w:vertAlign w:val="superscript"/>
              </w:rPr>
              <w:t>2</w:t>
            </w:r>
            <w:r>
              <w:rPr>
                <w:rFonts w:ascii="Times New Roman" w:hAnsi="Times New Roman" w:cs="Times New Roman"/>
                <w:sz w:val="18"/>
                <w:szCs w:val="18"/>
              </w:rPr>
              <w:t>）；</w:t>
            </w:r>
          </w:p>
          <w:p>
            <w:pPr>
              <w:pStyle w:val="22"/>
              <w:tabs>
                <w:tab w:val="left" w:pos="420"/>
              </w:tabs>
              <w:overflowPunct w:val="0"/>
              <w:adjustRightInd w:val="0"/>
              <w:snapToGrid w:val="0"/>
              <w:ind w:firstLine="360"/>
              <w:jc w:val="left"/>
              <w:rPr>
                <w:rFonts w:ascii="Times New Roman" w:hAnsi="Times New Roman" w:cs="Times New Roman"/>
                <w:sz w:val="18"/>
                <w:szCs w:val="18"/>
              </w:rPr>
            </w:pPr>
            <w:r>
              <w:rPr>
                <w:rFonts w:ascii="Times New Roman" w:hAnsi="Times New Roman" w:cs="Times New Roman"/>
                <w:sz w:val="18"/>
                <w:szCs w:val="18"/>
              </w:rPr>
              <w:t>A</w:t>
            </w:r>
            <w:r>
              <w:rPr>
                <w:rFonts w:ascii="Times New Roman" w:hAnsi="Times New Roman" w:cs="Times New Roman"/>
                <w:sz w:val="18"/>
                <w:szCs w:val="18"/>
                <w:vertAlign w:val="subscript"/>
              </w:rPr>
              <w:t>b</w:t>
            </w:r>
            <w:r>
              <w:rPr>
                <w:rFonts w:ascii="Times New Roman" w:hAnsi="Times New Roman" w:cs="Times New Roman"/>
                <w:sz w:val="18"/>
                <w:szCs w:val="18"/>
              </w:rPr>
              <w:t>为由地源热泵服务的建筑面积（</w:t>
            </w:r>
            <w:r>
              <w:rPr>
                <w:rFonts w:hint="eastAsia" w:ascii="Times New Roman" w:hAnsi="Times New Roman" w:cs="Times New Roman"/>
                <w:sz w:val="18"/>
                <w:szCs w:val="18"/>
              </w:rPr>
              <w:t>m</w:t>
            </w:r>
            <w:r>
              <w:rPr>
                <w:rFonts w:hint="eastAsia" w:ascii="Times New Roman" w:hAnsi="Times New Roman" w:cs="Times New Roman"/>
                <w:sz w:val="18"/>
                <w:szCs w:val="18"/>
                <w:vertAlign w:val="superscript"/>
              </w:rPr>
              <w:t>2</w:t>
            </w:r>
            <w:r>
              <w:rPr>
                <w:rFonts w:ascii="Times New Roman" w:hAnsi="Times New Roman" w:cs="Times New Roman"/>
                <w:sz w:val="18"/>
                <w:szCs w:val="18"/>
              </w:rPr>
              <w:t>）；</w:t>
            </w:r>
          </w:p>
          <w:p>
            <w:pPr>
              <w:pStyle w:val="22"/>
              <w:tabs>
                <w:tab w:val="left" w:pos="420"/>
              </w:tabs>
              <w:overflowPunct w:val="0"/>
              <w:adjustRightInd w:val="0"/>
              <w:snapToGrid w:val="0"/>
              <w:ind w:firstLine="360"/>
              <w:jc w:val="left"/>
              <w:rPr>
                <w:rFonts w:ascii="Times New Roman" w:hAnsi="Times New Roman" w:cs="Times New Roman"/>
                <w:sz w:val="18"/>
                <w:szCs w:val="18"/>
              </w:rPr>
            </w:pPr>
            <w:r>
              <w:rPr>
                <w:rFonts w:ascii="Times New Roman" w:hAnsi="Times New Roman" w:cs="Times New Roman"/>
                <w:sz w:val="18"/>
                <w:szCs w:val="18"/>
              </w:rPr>
              <w:t>Q</w:t>
            </w:r>
            <w:r>
              <w:rPr>
                <w:rFonts w:ascii="Times New Roman" w:hAnsi="Times New Roman" w:cs="Times New Roman"/>
                <w:sz w:val="18"/>
                <w:szCs w:val="18"/>
                <w:vertAlign w:val="subscript"/>
              </w:rPr>
              <w:t>d</w:t>
            </w:r>
            <w:r>
              <w:rPr>
                <w:rFonts w:ascii="Times New Roman" w:hAnsi="Times New Roman" w:cs="Times New Roman"/>
                <w:sz w:val="18"/>
                <w:szCs w:val="18"/>
              </w:rPr>
              <w:t>为由地源热泵或空气源热泵热水系统服务需供给的日平均供热水量（</w:t>
            </w:r>
            <w:r>
              <w:rPr>
                <w:rFonts w:hint="eastAsia" w:ascii="Times New Roman" w:hAnsi="Times New Roman" w:cs="Times New Roman"/>
                <w:sz w:val="18"/>
                <w:szCs w:val="18"/>
              </w:rPr>
              <w:t>m</w:t>
            </w:r>
            <w:r>
              <w:rPr>
                <w:rFonts w:hint="eastAsia" w:ascii="Times New Roman" w:hAnsi="Times New Roman" w:cs="Times New Roman"/>
                <w:sz w:val="18"/>
                <w:szCs w:val="18"/>
                <w:vertAlign w:val="superscript"/>
              </w:rPr>
              <w:t>3</w:t>
            </w:r>
            <w:r>
              <w:rPr>
                <w:rFonts w:ascii="Times New Roman" w:hAnsi="Times New Roman" w:cs="Times New Roman"/>
                <w:sz w:val="18"/>
                <w:szCs w:val="18"/>
              </w:rPr>
              <w:t>/d）</w:t>
            </w:r>
            <w:r>
              <w:rPr>
                <w:rFonts w:hint="eastAsia" w:ascii="宋体" w:hAnsi="宋体" w:eastAsia="宋体" w:cs="宋体"/>
                <w:sz w:val="18"/>
                <w:szCs w:val="18"/>
              </w:rPr>
              <w:t>，</w:t>
            </w:r>
            <w:r>
              <w:rPr>
                <w:rFonts w:ascii="Times New Roman" w:hAnsi="Times New Roman" w:cs="Times New Roman"/>
                <w:sz w:val="18"/>
                <w:szCs w:val="18"/>
              </w:rPr>
              <w:t>1年按365日计算。</w:t>
            </w:r>
          </w:p>
        </w:tc>
      </w:tr>
    </w:tbl>
    <w:p>
      <w:pPr>
        <w:pStyle w:val="42"/>
        <w:widowControl w:val="0"/>
        <w:overflowPunct w:val="0"/>
        <w:autoSpaceDE/>
        <w:autoSpaceDN/>
        <w:spacing w:before="62" w:beforeLines="20" w:after="78" w:afterLines="25" w:line="309" w:lineRule="exact"/>
        <w:ind w:firstLine="0" w:firstLineChars="0"/>
        <w:jc w:val="center"/>
        <w:rPr>
          <w:rFonts w:hAnsi="宋体" w:eastAsia="黑体"/>
        </w:rPr>
      </w:pPr>
      <w:r>
        <w:rPr>
          <w:rFonts w:ascii="黑体" w:hAnsi="黑体" w:eastAsia="黑体" w:cs="黑体"/>
          <w:sz w:val="18"/>
          <w:szCs w:val="18"/>
        </w:rPr>
        <w:t>表</w:t>
      </w:r>
      <w:r>
        <w:rPr>
          <w:rFonts w:hint="eastAsia" w:ascii="黑体" w:hAnsi="黑体" w:eastAsia="黑体" w:cs="黑体"/>
          <w:sz w:val="18"/>
          <w:szCs w:val="18"/>
        </w:rPr>
        <w:t>A.</w:t>
      </w:r>
      <w:r>
        <w:rPr>
          <w:rFonts w:hint="eastAsia" w:ascii="黑体" w:hAnsi="黑体" w:eastAsia="黑体" w:cs="黑体"/>
          <w:sz w:val="18"/>
          <w:szCs w:val="18"/>
          <w:lang w:val="en-US" w:eastAsia="zh-CN"/>
        </w:rPr>
        <w:t>4</w:t>
      </w:r>
      <w:r>
        <w:rPr>
          <w:rFonts w:hint="eastAsia" w:ascii="黑体" w:hAnsi="黑体" w:eastAsia="黑体" w:cs="黑体"/>
          <w:sz w:val="18"/>
          <w:szCs w:val="18"/>
        </w:rPr>
        <w:t>湖北省民用建筑项目年总运行能耗量</w:t>
      </w:r>
    </w:p>
    <w:tbl>
      <w:tblPr>
        <w:tblStyle w:val="14"/>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5524"/>
        <w:gridCol w:w="2023"/>
        <w:gridCol w:w="202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886" w:type="pct"/>
            <w:vMerge w:val="restart"/>
            <w:tcBorders>
              <w:right w:val="single" w:color="000000" w:sz="4" w:space="0"/>
              <w:tl2br w:val="nil"/>
              <w:tr2bl w:val="nil"/>
            </w:tcBorders>
            <w:vAlign w:val="center"/>
          </w:tcPr>
          <w:p>
            <w:pPr>
              <w:pStyle w:val="22"/>
              <w:tabs>
                <w:tab w:val="left" w:pos="420"/>
              </w:tabs>
              <w:overflowPunct w:val="0"/>
              <w:snapToGrid w:val="0"/>
              <w:ind w:firstLine="0" w:firstLineChars="0"/>
              <w:jc w:val="center"/>
              <w:rPr>
                <w:rFonts w:ascii="Times New Roman" w:hAnsi="Times New Roman" w:cs="Times New Roman"/>
                <w:sz w:val="18"/>
                <w:szCs w:val="18"/>
              </w:rPr>
            </w:pPr>
            <w:r>
              <w:rPr>
                <w:rFonts w:ascii="Times New Roman" w:hAnsi="Times New Roman" w:cs="Times New Roman"/>
                <w:sz w:val="18"/>
                <w:szCs w:val="18"/>
              </w:rPr>
              <w:t>建筑类型</w:t>
            </w:r>
          </w:p>
        </w:tc>
        <w:tc>
          <w:tcPr>
            <w:tcW w:w="2114" w:type="pct"/>
            <w:gridSpan w:val="2"/>
            <w:tcBorders>
              <w:left w:val="single" w:color="000000" w:sz="4" w:space="0"/>
              <w:tl2br w:val="nil"/>
              <w:tr2bl w:val="nil"/>
            </w:tcBorders>
            <w:vAlign w:val="center"/>
          </w:tcPr>
          <w:p>
            <w:pPr>
              <w:pStyle w:val="22"/>
              <w:tabs>
                <w:tab w:val="left" w:pos="420"/>
              </w:tabs>
              <w:overflowPunct w:val="0"/>
              <w:snapToGrid w:val="0"/>
              <w:ind w:firstLine="0" w:firstLineChars="0"/>
              <w:jc w:val="center"/>
              <w:rPr>
                <w:rFonts w:ascii="Times New Roman" w:hAnsi="Times New Roman" w:cs="Times New Roman"/>
                <w:sz w:val="18"/>
                <w:szCs w:val="18"/>
              </w:rPr>
            </w:pPr>
            <w:r>
              <w:rPr>
                <w:rFonts w:ascii="Times New Roman" w:hAnsi="Times New Roman" w:cs="Times New Roman"/>
                <w:sz w:val="18"/>
                <w:szCs w:val="18"/>
              </w:rPr>
              <w:t>建筑项目年总运行能耗量Eb</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886" w:type="pct"/>
            <w:vMerge w:val="continue"/>
            <w:tcBorders>
              <w:bottom w:val="single" w:color="auto" w:sz="4" w:space="0"/>
              <w:right w:val="single" w:color="000000" w:sz="4" w:space="0"/>
              <w:tl2br w:val="nil"/>
              <w:tr2bl w:val="nil"/>
            </w:tcBorders>
            <w:vAlign w:val="center"/>
          </w:tcPr>
          <w:p>
            <w:pPr>
              <w:pStyle w:val="22"/>
              <w:tabs>
                <w:tab w:val="left" w:pos="420"/>
              </w:tabs>
              <w:overflowPunct w:val="0"/>
              <w:snapToGrid w:val="0"/>
              <w:ind w:firstLine="0" w:firstLineChars="0"/>
              <w:jc w:val="center"/>
              <w:rPr>
                <w:rFonts w:ascii="Times New Roman" w:hAnsi="Times New Roman" w:cs="Times New Roman"/>
                <w:sz w:val="18"/>
                <w:szCs w:val="18"/>
              </w:rPr>
            </w:pPr>
          </w:p>
        </w:tc>
        <w:tc>
          <w:tcPr>
            <w:tcW w:w="1057" w:type="pct"/>
            <w:tcBorders>
              <w:left w:val="single" w:color="auto" w:sz="4" w:space="0"/>
              <w:bottom w:val="single" w:color="auto" w:sz="4" w:space="0"/>
              <w:right w:val="single" w:color="auto" w:sz="4" w:space="0"/>
            </w:tcBorders>
            <w:vAlign w:val="center"/>
          </w:tcPr>
          <w:p>
            <w:pPr>
              <w:pStyle w:val="22"/>
              <w:tabs>
                <w:tab w:val="left" w:pos="420"/>
              </w:tabs>
              <w:overflowPunct w:val="0"/>
              <w:snapToGrid w:val="0"/>
              <w:ind w:firstLine="0" w:firstLineChars="0"/>
              <w:jc w:val="center"/>
              <w:rPr>
                <w:rFonts w:ascii="Times New Roman" w:hAnsi="Times New Roman" w:cs="Times New Roman"/>
                <w:sz w:val="18"/>
                <w:szCs w:val="18"/>
              </w:rPr>
            </w:pPr>
            <w:r>
              <w:rPr>
                <w:rFonts w:ascii="Times New Roman" w:hAnsi="Times New Roman" w:cs="Times New Roman"/>
                <w:sz w:val="18"/>
                <w:szCs w:val="18"/>
              </w:rPr>
              <w:t>等效电</w:t>
            </w:r>
          </w:p>
          <w:p>
            <w:pPr>
              <w:pStyle w:val="22"/>
              <w:tabs>
                <w:tab w:val="left" w:pos="420"/>
              </w:tabs>
              <w:overflowPunct w:val="0"/>
              <w:snapToGrid w:val="0"/>
              <w:ind w:firstLine="0" w:firstLineChars="0"/>
              <w:jc w:val="center"/>
              <w:rPr>
                <w:rFonts w:ascii="Times New Roman" w:hAnsi="Times New Roman" w:cs="Times New Roman"/>
                <w:sz w:val="18"/>
                <w:szCs w:val="18"/>
              </w:rPr>
            </w:pPr>
            <w:r>
              <w:rPr>
                <w:rFonts w:ascii="Times New Roman" w:hAnsi="Times New Roman" w:cs="Times New Roman"/>
                <w:sz w:val="18"/>
                <w:szCs w:val="18"/>
              </w:rPr>
              <w:t>（k</w:t>
            </w:r>
            <w:r>
              <w:rPr>
                <w:rFonts w:hint="eastAsia" w:ascii="Times New Roman" w:hAnsi="Times New Roman" w:cs="Times New Roman"/>
                <w:sz w:val="18"/>
                <w:szCs w:val="18"/>
              </w:rPr>
              <w:t>W</w:t>
            </w:r>
            <w:r>
              <w:rPr>
                <w:rFonts w:ascii="Times New Roman" w:hAnsi="Times New Roman" w:cs="Times New Roman"/>
                <w:sz w:val="18"/>
                <w:szCs w:val="18"/>
              </w:rPr>
              <w:t>h/a）</w:t>
            </w:r>
          </w:p>
        </w:tc>
        <w:tc>
          <w:tcPr>
            <w:tcW w:w="1057" w:type="pct"/>
            <w:tcBorders>
              <w:left w:val="single" w:color="auto" w:sz="4" w:space="0"/>
              <w:bottom w:val="single" w:color="auto" w:sz="4" w:space="0"/>
            </w:tcBorders>
            <w:vAlign w:val="center"/>
          </w:tcPr>
          <w:p>
            <w:pPr>
              <w:pStyle w:val="22"/>
              <w:tabs>
                <w:tab w:val="left" w:pos="420"/>
              </w:tabs>
              <w:overflowPunct w:val="0"/>
              <w:snapToGrid w:val="0"/>
              <w:ind w:firstLine="0" w:firstLineChars="0"/>
              <w:jc w:val="center"/>
              <w:rPr>
                <w:rFonts w:ascii="Times New Roman" w:hAnsi="Times New Roman" w:cs="Times New Roman"/>
                <w:sz w:val="18"/>
                <w:szCs w:val="18"/>
              </w:rPr>
            </w:pPr>
            <w:r>
              <w:rPr>
                <w:rFonts w:ascii="Times New Roman" w:hAnsi="Times New Roman" w:cs="Times New Roman"/>
                <w:sz w:val="18"/>
                <w:szCs w:val="18"/>
              </w:rPr>
              <w:t>等效煤</w:t>
            </w:r>
          </w:p>
          <w:p>
            <w:pPr>
              <w:pStyle w:val="22"/>
              <w:tabs>
                <w:tab w:val="left" w:pos="420"/>
              </w:tabs>
              <w:overflowPunct w:val="0"/>
              <w:snapToGrid w:val="0"/>
              <w:ind w:firstLine="0" w:firstLineChars="0"/>
              <w:jc w:val="center"/>
              <w:rPr>
                <w:rFonts w:ascii="Times New Roman" w:hAnsi="Times New Roman" w:cs="Times New Roman"/>
                <w:sz w:val="18"/>
                <w:szCs w:val="18"/>
              </w:rPr>
            </w:pPr>
            <w:r>
              <w:rPr>
                <w:rFonts w:ascii="Times New Roman" w:hAnsi="Times New Roman" w:cs="Times New Roman"/>
                <w:sz w:val="18"/>
                <w:szCs w:val="18"/>
              </w:rPr>
              <w:t>（kgce/a）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886" w:type="pct"/>
            <w:tcBorders>
              <w:top w:val="single" w:color="auto" w:sz="4" w:space="0"/>
              <w:bottom w:val="single" w:color="auto" w:sz="4" w:space="0"/>
              <w:right w:val="single" w:color="auto" w:sz="4" w:space="0"/>
              <w:tl2br w:val="nil"/>
              <w:tr2bl w:val="nil"/>
            </w:tcBorders>
            <w:vAlign w:val="center"/>
          </w:tcPr>
          <w:p>
            <w:pPr>
              <w:widowControl/>
              <w:overflowPunct w:val="0"/>
              <w:jc w:val="center"/>
              <w:textAlignment w:val="center"/>
              <w:rPr>
                <w:rFonts w:ascii="Times New Roman" w:hAnsi="Times New Roman" w:cs="Times New Roman"/>
                <w:sz w:val="18"/>
                <w:szCs w:val="18"/>
              </w:rPr>
            </w:pPr>
            <w:r>
              <w:rPr>
                <w:rFonts w:ascii="Times New Roman" w:hAnsi="Times New Roman" w:eastAsia="宋体" w:cs="Times New Roman"/>
                <w:kern w:val="0"/>
                <w:sz w:val="18"/>
                <w:szCs w:val="18"/>
                <w:lang w:bidi="ar"/>
              </w:rPr>
              <w:t>办公建筑</w:t>
            </w:r>
          </w:p>
        </w:tc>
        <w:tc>
          <w:tcPr>
            <w:tcW w:w="1057" w:type="pct"/>
            <w:tcBorders>
              <w:top w:val="single" w:color="auto" w:sz="4" w:space="0"/>
              <w:left w:val="single" w:color="auto" w:sz="4" w:space="0"/>
              <w:bottom w:val="single" w:color="auto" w:sz="4" w:space="0"/>
              <w:right w:val="single" w:color="auto" w:sz="4" w:space="0"/>
            </w:tcBorders>
            <w:vAlign w:val="center"/>
          </w:tcPr>
          <w:p>
            <w:pPr>
              <w:widowControl/>
              <w:overflowPunct w:val="0"/>
              <w:jc w:val="center"/>
              <w:textAlignment w:val="center"/>
              <w:rPr>
                <w:rFonts w:ascii="Times New Roman" w:hAnsi="Times New Roman" w:cs="Times New Roman"/>
                <w:sz w:val="18"/>
                <w:szCs w:val="18"/>
              </w:rPr>
            </w:pPr>
            <w:r>
              <w:rPr>
                <w:rFonts w:ascii="Times New Roman" w:hAnsi="Times New Roman" w:eastAsia="宋体" w:cs="Times New Roman"/>
                <w:kern w:val="0"/>
                <w:sz w:val="18"/>
                <w:szCs w:val="18"/>
                <w:lang w:bidi="ar"/>
              </w:rPr>
              <w:t>67.17×A</w:t>
            </w:r>
          </w:p>
        </w:tc>
        <w:tc>
          <w:tcPr>
            <w:tcW w:w="1057" w:type="pct"/>
            <w:tcBorders>
              <w:top w:val="single" w:color="auto" w:sz="4" w:space="0"/>
              <w:left w:val="single" w:color="auto" w:sz="4" w:space="0"/>
              <w:bottom w:val="single" w:color="auto" w:sz="4" w:space="0"/>
            </w:tcBorders>
            <w:vAlign w:val="center"/>
          </w:tcPr>
          <w:p>
            <w:pPr>
              <w:widowControl/>
              <w:overflowPunct w:val="0"/>
              <w:jc w:val="center"/>
              <w:textAlignment w:val="center"/>
              <w:rPr>
                <w:rFonts w:ascii="Times New Roman" w:hAnsi="Times New Roman" w:cs="Times New Roman"/>
                <w:sz w:val="18"/>
                <w:szCs w:val="18"/>
              </w:rPr>
            </w:pPr>
            <w:r>
              <w:rPr>
                <w:rFonts w:ascii="Times New Roman" w:hAnsi="Times New Roman" w:eastAsia="宋体" w:cs="Times New Roman"/>
                <w:kern w:val="0"/>
                <w:sz w:val="18"/>
                <w:szCs w:val="18"/>
                <w:lang w:bidi="ar"/>
              </w:rPr>
              <w:t>20.32×A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c>
          <w:tcPr>
            <w:tcW w:w="2886" w:type="pct"/>
            <w:tcBorders>
              <w:top w:val="single" w:color="auto" w:sz="4" w:space="0"/>
              <w:bottom w:val="single" w:color="auto" w:sz="4" w:space="0"/>
              <w:right w:val="single" w:color="auto" w:sz="4" w:space="0"/>
              <w:tl2br w:val="nil"/>
              <w:tr2bl w:val="nil"/>
            </w:tcBorders>
            <w:vAlign w:val="center"/>
          </w:tcPr>
          <w:p>
            <w:pPr>
              <w:widowControl/>
              <w:overflowPunct w:val="0"/>
              <w:jc w:val="center"/>
              <w:textAlignment w:val="center"/>
              <w:rPr>
                <w:rFonts w:ascii="Times New Roman" w:hAnsi="Times New Roman" w:cs="Times New Roman"/>
                <w:sz w:val="18"/>
                <w:szCs w:val="18"/>
              </w:rPr>
            </w:pPr>
            <w:r>
              <w:rPr>
                <w:rFonts w:ascii="Times New Roman" w:hAnsi="Times New Roman" w:eastAsia="宋体" w:cs="Times New Roman"/>
                <w:kern w:val="0"/>
                <w:sz w:val="18"/>
                <w:szCs w:val="18"/>
                <w:lang w:bidi="ar"/>
              </w:rPr>
              <w:t>宾馆建筑</w:t>
            </w:r>
          </w:p>
        </w:tc>
        <w:tc>
          <w:tcPr>
            <w:tcW w:w="1057" w:type="pct"/>
            <w:tcBorders>
              <w:top w:val="single" w:color="auto" w:sz="4" w:space="0"/>
              <w:left w:val="single" w:color="auto" w:sz="4" w:space="0"/>
              <w:bottom w:val="single" w:color="auto" w:sz="4" w:space="0"/>
              <w:right w:val="single" w:color="auto" w:sz="4" w:space="0"/>
            </w:tcBorders>
            <w:vAlign w:val="center"/>
          </w:tcPr>
          <w:p>
            <w:pPr>
              <w:widowControl/>
              <w:overflowPunct w:val="0"/>
              <w:jc w:val="center"/>
              <w:textAlignment w:val="center"/>
              <w:rPr>
                <w:rFonts w:ascii="Times New Roman" w:hAnsi="Times New Roman" w:cs="Times New Roman"/>
                <w:sz w:val="18"/>
                <w:szCs w:val="18"/>
              </w:rPr>
            </w:pPr>
            <w:r>
              <w:rPr>
                <w:rFonts w:ascii="Times New Roman" w:hAnsi="Times New Roman" w:eastAsia="宋体" w:cs="Times New Roman"/>
                <w:kern w:val="0"/>
                <w:sz w:val="18"/>
                <w:szCs w:val="18"/>
                <w:lang w:bidi="ar"/>
              </w:rPr>
              <w:t>97.51×A</w:t>
            </w:r>
          </w:p>
        </w:tc>
        <w:tc>
          <w:tcPr>
            <w:tcW w:w="1057" w:type="pct"/>
            <w:tcBorders>
              <w:top w:val="single" w:color="auto" w:sz="4" w:space="0"/>
              <w:left w:val="single" w:color="auto" w:sz="4" w:space="0"/>
              <w:bottom w:val="single" w:color="auto" w:sz="4" w:space="0"/>
            </w:tcBorders>
            <w:vAlign w:val="center"/>
          </w:tcPr>
          <w:p>
            <w:pPr>
              <w:widowControl/>
              <w:overflowPunct w:val="0"/>
              <w:jc w:val="center"/>
              <w:textAlignment w:val="center"/>
              <w:rPr>
                <w:rFonts w:ascii="Times New Roman" w:hAnsi="Times New Roman" w:cs="Times New Roman"/>
                <w:sz w:val="18"/>
                <w:szCs w:val="18"/>
              </w:rPr>
            </w:pPr>
            <w:r>
              <w:rPr>
                <w:rFonts w:ascii="Times New Roman" w:hAnsi="Times New Roman" w:eastAsia="宋体" w:cs="Times New Roman"/>
                <w:kern w:val="0"/>
                <w:sz w:val="18"/>
                <w:szCs w:val="18"/>
                <w:lang w:bidi="ar"/>
              </w:rPr>
              <w:t>29.5×A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886" w:type="pct"/>
            <w:tcBorders>
              <w:top w:val="single" w:color="auto" w:sz="4" w:space="0"/>
              <w:bottom w:val="single" w:color="auto" w:sz="4" w:space="0"/>
              <w:right w:val="single" w:color="auto" w:sz="4" w:space="0"/>
              <w:tl2br w:val="nil"/>
              <w:tr2bl w:val="nil"/>
            </w:tcBorders>
            <w:vAlign w:val="center"/>
          </w:tcPr>
          <w:p>
            <w:pPr>
              <w:widowControl/>
              <w:overflowPunct w:val="0"/>
              <w:jc w:val="center"/>
              <w:textAlignment w:val="center"/>
              <w:rPr>
                <w:rFonts w:ascii="Times New Roman" w:hAnsi="Times New Roman" w:cs="Times New Roman"/>
                <w:sz w:val="18"/>
                <w:szCs w:val="18"/>
              </w:rPr>
            </w:pPr>
            <w:r>
              <w:rPr>
                <w:rFonts w:ascii="Times New Roman" w:hAnsi="Times New Roman" w:eastAsia="宋体" w:cs="Times New Roman"/>
                <w:kern w:val="0"/>
                <w:sz w:val="18"/>
                <w:szCs w:val="18"/>
                <w:lang w:bidi="ar"/>
              </w:rPr>
              <w:t>医疗建筑</w:t>
            </w:r>
          </w:p>
        </w:tc>
        <w:tc>
          <w:tcPr>
            <w:tcW w:w="1057" w:type="pct"/>
            <w:tcBorders>
              <w:top w:val="single" w:color="auto" w:sz="4" w:space="0"/>
              <w:left w:val="single" w:color="auto" w:sz="4" w:space="0"/>
              <w:bottom w:val="single" w:color="auto" w:sz="4" w:space="0"/>
              <w:right w:val="single" w:color="auto" w:sz="4" w:space="0"/>
            </w:tcBorders>
            <w:vAlign w:val="center"/>
          </w:tcPr>
          <w:p>
            <w:pPr>
              <w:widowControl/>
              <w:overflowPunct w:val="0"/>
              <w:jc w:val="center"/>
              <w:textAlignment w:val="center"/>
              <w:rPr>
                <w:rFonts w:ascii="Times New Roman" w:hAnsi="Times New Roman" w:cs="Times New Roman"/>
                <w:sz w:val="18"/>
                <w:szCs w:val="18"/>
              </w:rPr>
            </w:pPr>
            <w:r>
              <w:rPr>
                <w:rFonts w:ascii="Times New Roman" w:hAnsi="Times New Roman" w:eastAsia="宋体" w:cs="Times New Roman"/>
                <w:kern w:val="0"/>
                <w:sz w:val="18"/>
                <w:szCs w:val="18"/>
                <w:lang w:bidi="ar"/>
              </w:rPr>
              <w:t>114.22×A</w:t>
            </w:r>
          </w:p>
        </w:tc>
        <w:tc>
          <w:tcPr>
            <w:tcW w:w="1057" w:type="pct"/>
            <w:tcBorders>
              <w:top w:val="single" w:color="auto" w:sz="4" w:space="0"/>
              <w:left w:val="single" w:color="auto" w:sz="4" w:space="0"/>
              <w:bottom w:val="single" w:color="auto" w:sz="4" w:space="0"/>
            </w:tcBorders>
            <w:vAlign w:val="center"/>
          </w:tcPr>
          <w:p>
            <w:pPr>
              <w:widowControl/>
              <w:overflowPunct w:val="0"/>
              <w:jc w:val="center"/>
              <w:textAlignment w:val="center"/>
              <w:rPr>
                <w:rFonts w:ascii="Times New Roman" w:hAnsi="Times New Roman" w:cs="Times New Roman"/>
                <w:sz w:val="18"/>
                <w:szCs w:val="18"/>
              </w:rPr>
            </w:pPr>
            <w:r>
              <w:rPr>
                <w:rFonts w:ascii="Times New Roman" w:hAnsi="Times New Roman" w:eastAsia="宋体" w:cs="Times New Roman"/>
                <w:kern w:val="0"/>
                <w:sz w:val="18"/>
                <w:szCs w:val="18"/>
                <w:lang w:bidi="ar"/>
              </w:rPr>
              <w:t>34.55×A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886" w:type="pct"/>
            <w:tcBorders>
              <w:top w:val="single" w:color="auto" w:sz="4" w:space="0"/>
              <w:bottom w:val="single" w:color="auto" w:sz="4" w:space="0"/>
              <w:right w:val="single" w:color="auto" w:sz="4" w:space="0"/>
              <w:tl2br w:val="nil"/>
              <w:tr2bl w:val="nil"/>
            </w:tcBorders>
            <w:vAlign w:val="center"/>
          </w:tcPr>
          <w:p>
            <w:pPr>
              <w:widowControl/>
              <w:overflowPunct w:val="0"/>
              <w:jc w:val="center"/>
              <w:textAlignment w:val="center"/>
              <w:rPr>
                <w:rFonts w:ascii="Times New Roman" w:hAnsi="Times New Roman" w:cs="Times New Roman"/>
                <w:sz w:val="18"/>
                <w:szCs w:val="18"/>
              </w:rPr>
            </w:pPr>
            <w:r>
              <w:rPr>
                <w:rFonts w:ascii="Times New Roman" w:hAnsi="Times New Roman" w:eastAsia="宋体" w:cs="Times New Roman"/>
                <w:kern w:val="0"/>
                <w:sz w:val="18"/>
                <w:szCs w:val="18"/>
                <w:lang w:bidi="ar"/>
              </w:rPr>
              <w:t>文化建筑</w:t>
            </w:r>
          </w:p>
        </w:tc>
        <w:tc>
          <w:tcPr>
            <w:tcW w:w="1057" w:type="pct"/>
            <w:tcBorders>
              <w:top w:val="single" w:color="auto" w:sz="4" w:space="0"/>
              <w:left w:val="single" w:color="auto" w:sz="4" w:space="0"/>
              <w:bottom w:val="single" w:color="auto" w:sz="4" w:space="0"/>
              <w:right w:val="single" w:color="auto" w:sz="4" w:space="0"/>
            </w:tcBorders>
            <w:vAlign w:val="center"/>
          </w:tcPr>
          <w:p>
            <w:pPr>
              <w:widowControl/>
              <w:overflowPunct w:val="0"/>
              <w:jc w:val="center"/>
              <w:textAlignment w:val="center"/>
              <w:rPr>
                <w:rFonts w:ascii="Times New Roman" w:hAnsi="Times New Roman" w:cs="Times New Roman"/>
                <w:sz w:val="18"/>
                <w:szCs w:val="18"/>
              </w:rPr>
            </w:pPr>
            <w:r>
              <w:rPr>
                <w:rFonts w:ascii="Times New Roman" w:hAnsi="Times New Roman" w:eastAsia="宋体" w:cs="Times New Roman"/>
                <w:kern w:val="0"/>
                <w:sz w:val="18"/>
                <w:szCs w:val="18"/>
                <w:lang w:bidi="ar"/>
              </w:rPr>
              <w:t>66.11×A</w:t>
            </w:r>
          </w:p>
        </w:tc>
        <w:tc>
          <w:tcPr>
            <w:tcW w:w="1057" w:type="pct"/>
            <w:tcBorders>
              <w:top w:val="single" w:color="auto" w:sz="4" w:space="0"/>
              <w:left w:val="single" w:color="auto" w:sz="4" w:space="0"/>
              <w:bottom w:val="single" w:color="auto" w:sz="4" w:space="0"/>
            </w:tcBorders>
            <w:vAlign w:val="center"/>
          </w:tcPr>
          <w:p>
            <w:pPr>
              <w:widowControl/>
              <w:overflowPunct w:val="0"/>
              <w:jc w:val="center"/>
              <w:textAlignment w:val="center"/>
              <w:rPr>
                <w:rFonts w:ascii="Times New Roman" w:hAnsi="Times New Roman" w:cs="Times New Roman"/>
                <w:sz w:val="18"/>
                <w:szCs w:val="18"/>
              </w:rPr>
            </w:pPr>
            <w:r>
              <w:rPr>
                <w:rFonts w:ascii="Times New Roman" w:hAnsi="Times New Roman" w:eastAsia="宋体" w:cs="Times New Roman"/>
                <w:kern w:val="0"/>
                <w:sz w:val="18"/>
                <w:szCs w:val="18"/>
                <w:lang w:bidi="ar"/>
              </w:rPr>
              <w:t>20×A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886" w:type="pct"/>
            <w:tcBorders>
              <w:top w:val="single" w:color="auto" w:sz="4" w:space="0"/>
              <w:bottom w:val="single" w:color="auto" w:sz="4" w:space="0"/>
              <w:right w:val="single" w:color="auto" w:sz="4" w:space="0"/>
              <w:tl2br w:val="nil"/>
              <w:tr2bl w:val="nil"/>
            </w:tcBorders>
            <w:vAlign w:val="center"/>
          </w:tcPr>
          <w:p>
            <w:pPr>
              <w:widowControl/>
              <w:overflowPunct w:val="0"/>
              <w:jc w:val="center"/>
              <w:textAlignment w:val="center"/>
              <w:rPr>
                <w:rFonts w:ascii="Times New Roman" w:hAnsi="Times New Roman" w:cs="Times New Roman"/>
                <w:sz w:val="18"/>
                <w:szCs w:val="18"/>
              </w:rPr>
            </w:pPr>
            <w:r>
              <w:rPr>
                <w:rFonts w:ascii="Times New Roman" w:hAnsi="Times New Roman" w:eastAsia="宋体" w:cs="Times New Roman"/>
                <w:kern w:val="0"/>
                <w:sz w:val="18"/>
                <w:szCs w:val="18"/>
                <w:lang w:bidi="ar"/>
              </w:rPr>
              <w:t>教育建筑</w:t>
            </w:r>
          </w:p>
        </w:tc>
        <w:tc>
          <w:tcPr>
            <w:tcW w:w="1057" w:type="pct"/>
            <w:tcBorders>
              <w:top w:val="single" w:color="auto" w:sz="4" w:space="0"/>
              <w:left w:val="single" w:color="auto" w:sz="4" w:space="0"/>
              <w:bottom w:val="single" w:color="auto" w:sz="4" w:space="0"/>
              <w:right w:val="single" w:color="auto" w:sz="4" w:space="0"/>
            </w:tcBorders>
            <w:vAlign w:val="center"/>
          </w:tcPr>
          <w:p>
            <w:pPr>
              <w:widowControl/>
              <w:overflowPunct w:val="0"/>
              <w:jc w:val="center"/>
              <w:textAlignment w:val="center"/>
              <w:rPr>
                <w:rFonts w:ascii="Times New Roman" w:hAnsi="Times New Roman" w:cs="Times New Roman"/>
                <w:sz w:val="18"/>
                <w:szCs w:val="18"/>
              </w:rPr>
            </w:pPr>
            <w:r>
              <w:rPr>
                <w:rFonts w:ascii="Times New Roman" w:hAnsi="Times New Roman" w:eastAsia="宋体" w:cs="Times New Roman"/>
                <w:kern w:val="0"/>
                <w:sz w:val="18"/>
                <w:szCs w:val="18"/>
                <w:lang w:bidi="ar"/>
              </w:rPr>
              <w:t>42.13×A</w:t>
            </w:r>
          </w:p>
        </w:tc>
        <w:tc>
          <w:tcPr>
            <w:tcW w:w="1057" w:type="pct"/>
            <w:tcBorders>
              <w:top w:val="single" w:color="auto" w:sz="4" w:space="0"/>
              <w:left w:val="single" w:color="auto" w:sz="4" w:space="0"/>
              <w:bottom w:val="single" w:color="auto" w:sz="4" w:space="0"/>
            </w:tcBorders>
            <w:vAlign w:val="center"/>
          </w:tcPr>
          <w:p>
            <w:pPr>
              <w:widowControl/>
              <w:overflowPunct w:val="0"/>
              <w:jc w:val="center"/>
              <w:textAlignment w:val="center"/>
              <w:rPr>
                <w:rFonts w:ascii="Times New Roman" w:hAnsi="Times New Roman" w:cs="Times New Roman"/>
                <w:sz w:val="18"/>
                <w:szCs w:val="18"/>
              </w:rPr>
            </w:pPr>
            <w:r>
              <w:rPr>
                <w:rFonts w:ascii="Times New Roman" w:hAnsi="Times New Roman" w:eastAsia="宋体" w:cs="Times New Roman"/>
                <w:kern w:val="0"/>
                <w:sz w:val="18"/>
                <w:szCs w:val="18"/>
                <w:lang w:bidi="ar"/>
              </w:rPr>
              <w:t>12.75×A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c>
          <w:tcPr>
            <w:tcW w:w="2886" w:type="pct"/>
            <w:tcBorders>
              <w:top w:val="single" w:color="auto" w:sz="4" w:space="0"/>
              <w:bottom w:val="single" w:color="auto" w:sz="4" w:space="0"/>
              <w:right w:val="single" w:color="auto" w:sz="4" w:space="0"/>
              <w:tl2br w:val="nil"/>
              <w:tr2bl w:val="nil"/>
            </w:tcBorders>
            <w:vAlign w:val="center"/>
          </w:tcPr>
          <w:p>
            <w:pPr>
              <w:widowControl/>
              <w:overflowPunct w:val="0"/>
              <w:jc w:val="center"/>
              <w:textAlignment w:val="center"/>
              <w:rPr>
                <w:rFonts w:ascii="Times New Roman" w:hAnsi="Times New Roman" w:cs="Times New Roman"/>
                <w:sz w:val="18"/>
                <w:szCs w:val="18"/>
              </w:rPr>
            </w:pPr>
            <w:r>
              <w:rPr>
                <w:rFonts w:ascii="Times New Roman" w:hAnsi="Times New Roman" w:eastAsia="宋体" w:cs="Times New Roman"/>
                <w:kern w:val="0"/>
                <w:sz w:val="18"/>
                <w:szCs w:val="18"/>
                <w:lang w:bidi="ar"/>
              </w:rPr>
              <w:t>商业建筑</w:t>
            </w:r>
          </w:p>
        </w:tc>
        <w:tc>
          <w:tcPr>
            <w:tcW w:w="1057" w:type="pct"/>
            <w:tcBorders>
              <w:top w:val="single" w:color="auto" w:sz="4" w:space="0"/>
              <w:left w:val="single" w:color="auto" w:sz="4" w:space="0"/>
              <w:bottom w:val="single" w:color="auto" w:sz="4" w:space="0"/>
              <w:right w:val="single" w:color="auto" w:sz="4" w:space="0"/>
            </w:tcBorders>
            <w:vAlign w:val="center"/>
          </w:tcPr>
          <w:p>
            <w:pPr>
              <w:widowControl/>
              <w:overflowPunct w:val="0"/>
              <w:jc w:val="center"/>
              <w:textAlignment w:val="center"/>
              <w:rPr>
                <w:rFonts w:ascii="Times New Roman" w:hAnsi="Times New Roman" w:cs="Times New Roman"/>
                <w:sz w:val="18"/>
                <w:szCs w:val="18"/>
              </w:rPr>
            </w:pPr>
            <w:r>
              <w:rPr>
                <w:rFonts w:ascii="Times New Roman" w:hAnsi="Times New Roman" w:eastAsia="宋体" w:cs="Times New Roman"/>
                <w:kern w:val="0"/>
                <w:sz w:val="18"/>
                <w:szCs w:val="18"/>
                <w:lang w:bidi="ar"/>
              </w:rPr>
              <w:t>147.46×A</w:t>
            </w:r>
          </w:p>
        </w:tc>
        <w:tc>
          <w:tcPr>
            <w:tcW w:w="1057" w:type="pct"/>
            <w:tcBorders>
              <w:top w:val="single" w:color="auto" w:sz="4" w:space="0"/>
              <w:left w:val="single" w:color="auto" w:sz="4" w:space="0"/>
              <w:bottom w:val="single" w:color="auto" w:sz="4" w:space="0"/>
            </w:tcBorders>
            <w:vAlign w:val="center"/>
          </w:tcPr>
          <w:p>
            <w:pPr>
              <w:widowControl/>
              <w:overflowPunct w:val="0"/>
              <w:jc w:val="center"/>
              <w:textAlignment w:val="center"/>
              <w:rPr>
                <w:rFonts w:ascii="Times New Roman" w:hAnsi="Times New Roman" w:cs="Times New Roman"/>
                <w:sz w:val="18"/>
                <w:szCs w:val="18"/>
              </w:rPr>
            </w:pPr>
            <w:r>
              <w:rPr>
                <w:rFonts w:ascii="Times New Roman" w:hAnsi="Times New Roman" w:eastAsia="宋体" w:cs="Times New Roman"/>
                <w:kern w:val="0"/>
                <w:sz w:val="18"/>
                <w:szCs w:val="18"/>
                <w:lang w:bidi="ar"/>
              </w:rPr>
              <w:t>44.61×A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886" w:type="pct"/>
            <w:tcBorders>
              <w:top w:val="single" w:color="auto" w:sz="4" w:space="0"/>
              <w:bottom w:val="single" w:color="auto" w:sz="4" w:space="0"/>
              <w:right w:val="single" w:color="auto" w:sz="4" w:space="0"/>
              <w:tl2br w:val="nil"/>
              <w:tr2bl w:val="nil"/>
            </w:tcBorders>
            <w:vAlign w:val="center"/>
          </w:tcPr>
          <w:p>
            <w:pPr>
              <w:widowControl/>
              <w:overflowPunct w:val="0"/>
              <w:jc w:val="center"/>
              <w:textAlignment w:val="center"/>
              <w:rPr>
                <w:rFonts w:ascii="Times New Roman" w:hAnsi="Times New Roman" w:cs="Times New Roman"/>
                <w:sz w:val="18"/>
                <w:szCs w:val="18"/>
              </w:rPr>
            </w:pPr>
            <w:r>
              <w:rPr>
                <w:rFonts w:ascii="Times New Roman" w:hAnsi="Times New Roman" w:eastAsia="宋体" w:cs="Times New Roman"/>
                <w:kern w:val="0"/>
                <w:sz w:val="18"/>
                <w:szCs w:val="18"/>
                <w:lang w:bidi="ar"/>
              </w:rPr>
              <w:t>交通建筑</w:t>
            </w:r>
          </w:p>
        </w:tc>
        <w:tc>
          <w:tcPr>
            <w:tcW w:w="1057" w:type="pct"/>
            <w:tcBorders>
              <w:top w:val="single" w:color="auto" w:sz="4" w:space="0"/>
              <w:left w:val="single" w:color="auto" w:sz="4" w:space="0"/>
              <w:bottom w:val="single" w:color="auto" w:sz="4" w:space="0"/>
              <w:right w:val="single" w:color="auto" w:sz="4" w:space="0"/>
            </w:tcBorders>
            <w:vAlign w:val="center"/>
          </w:tcPr>
          <w:p>
            <w:pPr>
              <w:widowControl/>
              <w:overflowPunct w:val="0"/>
              <w:jc w:val="center"/>
              <w:textAlignment w:val="center"/>
              <w:rPr>
                <w:rFonts w:ascii="Times New Roman" w:hAnsi="Times New Roman" w:cs="Times New Roman"/>
                <w:sz w:val="18"/>
                <w:szCs w:val="18"/>
              </w:rPr>
            </w:pPr>
            <w:r>
              <w:rPr>
                <w:rFonts w:ascii="Times New Roman" w:hAnsi="Times New Roman" w:eastAsia="宋体" w:cs="Times New Roman"/>
                <w:kern w:val="0"/>
                <w:sz w:val="18"/>
                <w:szCs w:val="18"/>
                <w:lang w:bidi="ar"/>
              </w:rPr>
              <w:t>66.83×A</w:t>
            </w:r>
          </w:p>
        </w:tc>
        <w:tc>
          <w:tcPr>
            <w:tcW w:w="1057" w:type="pct"/>
            <w:tcBorders>
              <w:top w:val="single" w:color="auto" w:sz="4" w:space="0"/>
              <w:left w:val="single" w:color="auto" w:sz="4" w:space="0"/>
              <w:bottom w:val="single" w:color="auto" w:sz="4" w:space="0"/>
            </w:tcBorders>
            <w:vAlign w:val="center"/>
          </w:tcPr>
          <w:p>
            <w:pPr>
              <w:widowControl/>
              <w:overflowPunct w:val="0"/>
              <w:jc w:val="center"/>
              <w:textAlignment w:val="center"/>
              <w:rPr>
                <w:rFonts w:ascii="Times New Roman" w:hAnsi="Times New Roman" w:cs="Times New Roman"/>
                <w:sz w:val="18"/>
                <w:szCs w:val="18"/>
              </w:rPr>
            </w:pPr>
            <w:r>
              <w:rPr>
                <w:rFonts w:ascii="Times New Roman" w:hAnsi="Times New Roman" w:eastAsia="宋体" w:cs="Times New Roman"/>
                <w:kern w:val="0"/>
                <w:sz w:val="18"/>
                <w:szCs w:val="18"/>
                <w:lang w:bidi="ar"/>
              </w:rPr>
              <w:t>20.22×A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000" w:type="pct"/>
            <w:gridSpan w:val="3"/>
            <w:tcBorders>
              <w:top w:val="single" w:color="auto" w:sz="4" w:space="0"/>
              <w:tl2br w:val="nil"/>
              <w:tr2bl w:val="nil"/>
            </w:tcBorders>
            <w:vAlign w:val="center"/>
          </w:tcPr>
          <w:p>
            <w:pPr>
              <w:pStyle w:val="22"/>
              <w:tabs>
                <w:tab w:val="left" w:pos="420"/>
              </w:tabs>
              <w:overflowPunct w:val="0"/>
              <w:snapToGrid w:val="0"/>
              <w:ind w:firstLine="0" w:firstLineChars="0"/>
              <w:jc w:val="left"/>
              <w:rPr>
                <w:rFonts w:ascii="Times New Roman" w:hAnsi="Times New Roman" w:cs="Times New Roman"/>
                <w:sz w:val="18"/>
                <w:szCs w:val="18"/>
              </w:rPr>
            </w:pPr>
            <w:r>
              <w:rPr>
                <w:rFonts w:ascii="Times New Roman" w:hAnsi="Times New Roman" w:cs="Times New Roman"/>
                <w:sz w:val="18"/>
                <w:szCs w:val="18"/>
              </w:rPr>
              <w:t>注：该表以《武汉市民用建筑能耗限额指南》（2014版）中的先进值为基础，确定了湖北省民用建筑能源消耗指标，建筑项目年总运行能耗量为各类型建筑年总运行能耗量之和。</w:t>
            </w:r>
          </w:p>
          <w:p>
            <w:pPr>
              <w:pStyle w:val="22"/>
              <w:tabs>
                <w:tab w:val="left" w:pos="420"/>
              </w:tabs>
              <w:overflowPunct w:val="0"/>
              <w:snapToGrid w:val="0"/>
              <w:ind w:firstLine="360"/>
              <w:jc w:val="left"/>
              <w:rPr>
                <w:rFonts w:ascii="Times New Roman" w:hAnsi="Times New Roman" w:cs="Times New Roman"/>
                <w:sz w:val="18"/>
                <w:szCs w:val="18"/>
              </w:rPr>
            </w:pPr>
            <w:r>
              <w:rPr>
                <w:rFonts w:ascii="Times New Roman" w:hAnsi="Times New Roman" w:cs="Times New Roman"/>
                <w:sz w:val="18"/>
                <w:szCs w:val="18"/>
              </w:rPr>
              <w:t>A为可再生能源应用系统服务的建筑面积（</w:t>
            </w:r>
            <w:r>
              <w:rPr>
                <w:rFonts w:hint="eastAsia" w:ascii="Times New Roman" w:hAnsi="Times New Roman" w:cs="Times New Roman"/>
                <w:sz w:val="18"/>
                <w:szCs w:val="18"/>
              </w:rPr>
              <w:t>m</w:t>
            </w:r>
            <w:r>
              <w:rPr>
                <w:rFonts w:hint="eastAsia" w:ascii="Times New Roman" w:hAnsi="Times New Roman" w:cs="Times New Roman"/>
                <w:sz w:val="18"/>
                <w:szCs w:val="18"/>
                <w:vertAlign w:val="superscript"/>
              </w:rPr>
              <w:t>2</w:t>
            </w:r>
            <w:r>
              <w:rPr>
                <w:rFonts w:ascii="Times New Roman" w:hAnsi="Times New Roman" w:cs="Times New Roman"/>
                <w:sz w:val="18"/>
                <w:szCs w:val="18"/>
              </w:rPr>
              <w:t>）。</w:t>
            </w:r>
          </w:p>
        </w:tc>
      </w:tr>
    </w:tbl>
    <w:p>
      <w:pPr>
        <w:overflowPunct w:val="0"/>
      </w:pPr>
      <w:r>
        <w:rPr>
          <w:rFonts w:hint="eastAsia"/>
          <w:sz w:val="23"/>
          <w:szCs w:val="23"/>
        </w:rPr>
        <w:br w:type="page"/>
      </w:r>
    </w:p>
    <w:p>
      <w:pPr>
        <w:pStyle w:val="56"/>
        <w:keepNext w:val="0"/>
        <w:keepLines w:val="0"/>
        <w:pageBreakBefore w:val="0"/>
        <w:widowControl w:val="0"/>
        <w:kinsoku/>
        <w:wordWrap/>
        <w:overflowPunct w:val="0"/>
        <w:topLinePunct w:val="0"/>
        <w:autoSpaceDE/>
        <w:autoSpaceDN/>
        <w:bidi w:val="0"/>
        <w:adjustRightInd/>
        <w:snapToGrid/>
        <w:spacing w:before="156" w:beforeLines="50" w:after="157" w:afterLines="50" w:line="240" w:lineRule="auto"/>
        <w:ind w:firstLine="0" w:firstLineChars="0"/>
        <w:jc w:val="center"/>
        <w:textAlignment w:val="auto"/>
        <w:outlineLvl w:val="0"/>
        <w:rPr>
          <w:rFonts w:ascii="黑体" w:hAnsi="黑体" w:eastAsia="黑体"/>
          <w:szCs w:val="21"/>
        </w:rPr>
      </w:pPr>
      <w:r>
        <w:rPr>
          <w:rFonts w:ascii="黑体" w:hAnsi="黑体" w:eastAsia="黑体"/>
          <w:szCs w:val="21"/>
        </w:rPr>
        <w:t>附录B</w:t>
      </w:r>
    </w:p>
    <w:p>
      <w:pPr>
        <w:pStyle w:val="56"/>
        <w:keepNext w:val="0"/>
        <w:keepLines w:val="0"/>
        <w:pageBreakBefore w:val="0"/>
        <w:widowControl w:val="0"/>
        <w:kinsoku/>
        <w:wordWrap/>
        <w:overflowPunct w:val="0"/>
        <w:topLinePunct w:val="0"/>
        <w:autoSpaceDE/>
        <w:autoSpaceDN/>
        <w:bidi w:val="0"/>
        <w:adjustRightInd/>
        <w:snapToGrid/>
        <w:spacing w:before="156" w:beforeLines="50" w:after="157" w:afterLines="50" w:line="240" w:lineRule="auto"/>
        <w:ind w:firstLine="0" w:firstLineChars="0"/>
        <w:jc w:val="center"/>
        <w:textAlignment w:val="auto"/>
        <w:outlineLvl w:val="0"/>
        <w:rPr>
          <w:rFonts w:hint="eastAsia" w:ascii="黑体" w:hAnsi="黑体" w:eastAsia="黑体"/>
          <w:szCs w:val="21"/>
        </w:rPr>
      </w:pPr>
      <w:r>
        <w:rPr>
          <w:rFonts w:hint="eastAsia" w:ascii="黑体" w:hAnsi="黑体" w:eastAsia="黑体"/>
          <w:szCs w:val="21"/>
        </w:rPr>
        <w:t>　</w:t>
      </w:r>
      <w:bookmarkStart w:id="54" w:name="_Toc7174"/>
      <w:r>
        <w:rPr>
          <w:rFonts w:hint="eastAsia" w:ascii="黑体" w:hAnsi="黑体" w:eastAsia="黑体"/>
          <w:color w:val="auto"/>
          <w:szCs w:val="21"/>
          <w:lang w:eastAsia="zh-CN"/>
        </w:rPr>
        <w:t>（资料性）</w:t>
      </w:r>
    </w:p>
    <w:p>
      <w:pPr>
        <w:pStyle w:val="56"/>
        <w:keepNext w:val="0"/>
        <w:keepLines w:val="0"/>
        <w:pageBreakBefore w:val="0"/>
        <w:widowControl w:val="0"/>
        <w:kinsoku/>
        <w:wordWrap/>
        <w:overflowPunct w:val="0"/>
        <w:topLinePunct w:val="0"/>
        <w:autoSpaceDE/>
        <w:autoSpaceDN/>
        <w:bidi w:val="0"/>
        <w:adjustRightInd/>
        <w:snapToGrid/>
        <w:spacing w:before="156" w:beforeLines="50" w:after="157" w:afterLines="50"/>
        <w:ind w:firstLine="0" w:firstLineChars="0"/>
        <w:jc w:val="center"/>
        <w:textAlignment w:val="auto"/>
        <w:outlineLvl w:val="0"/>
        <w:rPr>
          <w:rFonts w:hint="eastAsia" w:ascii="黑体" w:hAnsi="黑体" w:eastAsia="黑体"/>
          <w:szCs w:val="21"/>
        </w:rPr>
      </w:pPr>
      <w:r>
        <w:rPr>
          <w:rFonts w:hint="eastAsia" w:ascii="黑体" w:hAnsi="黑体" w:eastAsia="黑体"/>
          <w:szCs w:val="21"/>
        </w:rPr>
        <w:t>外窗设计选型及热工性能</w:t>
      </w:r>
      <w:bookmarkEnd w:id="54"/>
    </w:p>
    <w:p>
      <w:pPr>
        <w:overflowPunct w:val="0"/>
        <w:snapToGrid w:val="0"/>
        <w:spacing w:line="309" w:lineRule="exact"/>
        <w:outlineLvl w:val="2"/>
        <w:rPr>
          <w:rStyle w:val="44"/>
          <w:rFonts w:ascii="宋体" w:hAnsi="宋体" w:eastAsia="宋体"/>
          <w:bCs/>
          <w:color w:val="auto"/>
        </w:rPr>
      </w:pPr>
      <w:r>
        <w:rPr>
          <w:rStyle w:val="44"/>
          <w:rFonts w:eastAsia="宋体"/>
          <w:bCs/>
          <w:color w:val="auto"/>
        </w:rPr>
        <w:t>B.1</w:t>
      </w:r>
      <w:r>
        <w:rPr>
          <w:rStyle w:val="44"/>
          <w:rFonts w:hint="eastAsia" w:eastAsia="宋体"/>
          <w:bCs/>
          <w:color w:val="auto"/>
        </w:rPr>
        <w:t>　</w:t>
      </w:r>
      <w:r>
        <w:rPr>
          <w:rStyle w:val="44"/>
          <w:rFonts w:hint="eastAsia" w:ascii="宋体" w:hAnsi="宋体" w:eastAsia="宋体"/>
          <w:bCs/>
          <w:color w:val="auto"/>
        </w:rPr>
        <w:t>建筑外窗热工性能可参考表</w:t>
      </w:r>
      <w:r>
        <w:rPr>
          <w:rStyle w:val="44"/>
          <w:rFonts w:ascii="Times New Roman" w:hAnsi="Times New Roman" w:eastAsia="宋体" w:cs="Times New Roman"/>
          <w:bCs/>
          <w:color w:val="auto"/>
        </w:rPr>
        <w:t>B.1</w:t>
      </w:r>
      <w:r>
        <w:rPr>
          <w:rStyle w:val="44"/>
          <w:rFonts w:hint="eastAsia" w:ascii="宋体" w:hAnsi="宋体" w:eastAsia="宋体"/>
          <w:bCs/>
          <w:color w:val="auto"/>
        </w:rPr>
        <w:t>选用。</w:t>
      </w:r>
    </w:p>
    <w:p>
      <w:pPr>
        <w:pStyle w:val="42"/>
        <w:widowControl w:val="0"/>
        <w:overflowPunct w:val="0"/>
        <w:autoSpaceDE/>
        <w:autoSpaceDN/>
        <w:spacing w:before="62" w:beforeLines="20" w:after="78" w:afterLines="25" w:line="309" w:lineRule="exact"/>
        <w:ind w:firstLine="0" w:firstLineChars="0"/>
        <w:jc w:val="center"/>
        <w:rPr>
          <w:rFonts w:ascii="黑体" w:hAnsi="黑体" w:eastAsia="黑体" w:cs="黑体"/>
          <w:sz w:val="18"/>
          <w:szCs w:val="18"/>
        </w:rPr>
      </w:pPr>
      <w:r>
        <w:rPr>
          <w:rFonts w:ascii="黑体" w:hAnsi="黑体" w:eastAsia="黑体" w:cs="黑体"/>
          <w:sz w:val="18"/>
          <w:szCs w:val="18"/>
        </w:rPr>
        <w:t>表</w:t>
      </w:r>
      <w:r>
        <w:rPr>
          <w:rFonts w:hint="eastAsia" w:ascii="黑体" w:hAnsi="黑体" w:eastAsia="黑体" w:cs="黑体"/>
          <w:sz w:val="18"/>
          <w:szCs w:val="18"/>
        </w:rPr>
        <w:t>B</w:t>
      </w:r>
      <w:r>
        <w:rPr>
          <w:rFonts w:ascii="黑体" w:hAnsi="黑体" w:eastAsia="黑体" w:cs="黑体"/>
          <w:sz w:val="18"/>
          <w:szCs w:val="18"/>
        </w:rPr>
        <w:t>.</w:t>
      </w:r>
      <w:r>
        <w:rPr>
          <w:rFonts w:hint="eastAsia" w:ascii="黑体" w:hAnsi="黑体" w:eastAsia="黑体" w:cs="黑体"/>
          <w:sz w:val="18"/>
          <w:szCs w:val="18"/>
        </w:rPr>
        <w:t>1</w:t>
      </w:r>
      <w:r>
        <w:rPr>
          <w:rFonts w:ascii="黑体" w:hAnsi="黑体" w:eastAsia="黑体" w:cs="黑体"/>
          <w:sz w:val="18"/>
          <w:szCs w:val="18"/>
        </w:rPr>
        <w:t>　</w:t>
      </w:r>
      <w:r>
        <w:rPr>
          <w:rFonts w:hint="eastAsia" w:ascii="黑体" w:hAnsi="黑体" w:eastAsia="黑体" w:cs="黑体"/>
          <w:sz w:val="18"/>
          <w:szCs w:val="18"/>
        </w:rPr>
        <w:t>建筑外窗热工性能</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15"/>
        <w:gridCol w:w="695"/>
        <w:gridCol w:w="2513"/>
        <w:gridCol w:w="3208"/>
        <w:gridCol w:w="130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blHeader/>
          <w:jc w:val="center"/>
        </w:trPr>
        <w:tc>
          <w:tcPr>
            <w:tcW w:w="325"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窗户</w:t>
            </w:r>
          </w:p>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类型</w:t>
            </w: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序号</w:t>
            </w:r>
          </w:p>
        </w:tc>
        <w:tc>
          <w:tcPr>
            <w:tcW w:w="1327" w:type="pct"/>
            <w:shd w:val="clear" w:color="auto" w:fill="auto"/>
            <w:noWrap/>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名称</w:t>
            </w:r>
          </w:p>
        </w:tc>
        <w:tc>
          <w:tcPr>
            <w:tcW w:w="1694" w:type="pct"/>
            <w:shd w:val="clear" w:color="auto" w:fill="auto"/>
            <w:noWrap/>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玻璃配置</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传热系数K</w:t>
            </w:r>
          </w:p>
          <w:p>
            <w:pPr>
              <w:widowControl/>
              <w:overflowPunct w:val="0"/>
              <w:jc w:val="center"/>
              <w:rPr>
                <w:rFonts w:ascii="Times New Roman" w:hAnsi="Times New Roman" w:cs="Times New Roman"/>
                <w:kern w:val="0"/>
                <w:sz w:val="18"/>
                <w:szCs w:val="18"/>
              </w:rPr>
            </w:pPr>
            <w:r>
              <w:rPr>
                <w:rFonts w:hint="eastAsia" w:ascii="宋体" w:hAnsi="宋体" w:eastAsia="宋体" w:cs="宋体"/>
                <w:kern w:val="0"/>
                <w:sz w:val="18"/>
                <w:szCs w:val="18"/>
              </w:rPr>
              <w:t>[</w:t>
            </w:r>
            <w:r>
              <w:rPr>
                <w:rFonts w:ascii="Times New Roman" w:hAnsi="Times New Roman" w:cs="Times New Roman"/>
                <w:kern w:val="0"/>
                <w:sz w:val="18"/>
                <w:szCs w:val="18"/>
              </w:rPr>
              <w:t>W/（㎡·K）</w:t>
            </w:r>
            <w:r>
              <w:rPr>
                <w:rFonts w:hint="eastAsia" w:ascii="宋体" w:hAnsi="宋体" w:eastAsia="宋体" w:cs="宋体"/>
                <w:kern w:val="0"/>
                <w:sz w:val="18"/>
                <w:szCs w:val="18"/>
              </w:rPr>
              <w:t>]</w:t>
            </w:r>
          </w:p>
        </w:tc>
        <w:tc>
          <w:tcPr>
            <w:tcW w:w="597" w:type="pct"/>
            <w:shd w:val="clear" w:color="auto" w:fill="auto"/>
            <w:noWrap/>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得热</w:t>
            </w:r>
            <w:r>
              <w:rPr>
                <w:rFonts w:ascii="Times New Roman" w:hAnsi="Times New Roman" w:cs="Times New Roman"/>
                <w:kern w:val="0"/>
                <w:sz w:val="18"/>
                <w:szCs w:val="18"/>
              </w:rPr>
              <w:t>系数</w:t>
            </w:r>
          </w:p>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S</w:t>
            </w:r>
            <w:r>
              <w:rPr>
                <w:rFonts w:ascii="Times New Roman" w:hAnsi="Times New Roman" w:cs="Times New Roman"/>
                <w:kern w:val="0"/>
                <w:sz w:val="18"/>
                <w:szCs w:val="18"/>
              </w:rPr>
              <w:t>HGC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restar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隔</w:t>
            </w:r>
          </w:p>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热</w:t>
            </w:r>
          </w:p>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铝</w:t>
            </w:r>
          </w:p>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合</w:t>
            </w:r>
          </w:p>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金</w:t>
            </w:r>
          </w:p>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窗</w:t>
            </w: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w:t>
            </w:r>
          </w:p>
        </w:tc>
        <w:tc>
          <w:tcPr>
            <w:tcW w:w="1327" w:type="pct"/>
            <w:vMerge w:val="restar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70系列内平开隔热铝合金窗</w:t>
            </w: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6Low-E</w:t>
            </w:r>
            <w:r>
              <w:rPr>
                <w:rFonts w:hint="eastAsia" w:ascii="Times New Roman" w:hAnsi="Times New Roman" w:cs="Times New Roman"/>
                <w:kern w:val="0"/>
                <w:sz w:val="18"/>
                <w:szCs w:val="18"/>
              </w:rPr>
              <w:t>双银</w:t>
            </w:r>
            <w:r>
              <w:rPr>
                <w:rFonts w:ascii="Times New Roman" w:hAnsi="Times New Roman" w:cs="Times New Roman"/>
                <w:kern w:val="0"/>
                <w:sz w:val="18"/>
                <w:szCs w:val="18"/>
              </w:rPr>
              <w:t>+12A+6</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2.0</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0.25</w:t>
            </w:r>
            <w:r>
              <w:rPr>
                <w:rFonts w:ascii="Times New Roman" w:hAnsi="Times New Roman" w:cs="Times New Roman"/>
                <w:kern w:val="0"/>
                <w:sz w:val="18"/>
                <w:szCs w:val="18"/>
              </w:rPr>
              <w:t>~0.</w:t>
            </w:r>
            <w:r>
              <w:rPr>
                <w:rFonts w:hint="eastAsia" w:ascii="Times New Roman" w:hAnsi="Times New Roman" w:cs="Times New Roman"/>
                <w:kern w:val="0"/>
                <w:sz w:val="18"/>
                <w:szCs w:val="18"/>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2</w:t>
            </w:r>
          </w:p>
        </w:tc>
        <w:tc>
          <w:tcPr>
            <w:tcW w:w="1327" w:type="pct"/>
            <w:vMerge w:val="continue"/>
            <w:shd w:val="clear" w:color="auto" w:fill="auto"/>
            <w:vAlign w:val="center"/>
          </w:tcPr>
          <w:p>
            <w:pPr>
              <w:widowControl/>
              <w:overflowPunct w:val="0"/>
              <w:jc w:val="center"/>
              <w:rPr>
                <w:rFonts w:ascii="Times New Roman" w:hAnsi="Times New Roman" w:cs="Times New Roman"/>
                <w:kern w:val="0"/>
                <w:sz w:val="18"/>
                <w:szCs w:val="18"/>
              </w:rPr>
            </w:pP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6Low-E</w:t>
            </w:r>
            <w:r>
              <w:rPr>
                <w:rFonts w:hint="eastAsia" w:ascii="Times New Roman" w:hAnsi="Times New Roman" w:cs="Times New Roman"/>
                <w:kern w:val="0"/>
                <w:sz w:val="18"/>
                <w:szCs w:val="18"/>
              </w:rPr>
              <w:t>双银</w:t>
            </w:r>
            <w:r>
              <w:rPr>
                <w:rFonts w:ascii="Times New Roman" w:hAnsi="Times New Roman" w:cs="Times New Roman"/>
                <w:kern w:val="0"/>
                <w:sz w:val="18"/>
                <w:szCs w:val="18"/>
              </w:rPr>
              <w:t>+12Ar+6</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1.8</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0.25</w:t>
            </w:r>
            <w:r>
              <w:rPr>
                <w:rFonts w:ascii="Times New Roman" w:hAnsi="Times New Roman" w:cs="Times New Roman"/>
                <w:kern w:val="0"/>
                <w:sz w:val="18"/>
                <w:szCs w:val="18"/>
              </w:rPr>
              <w:t>~0.</w:t>
            </w:r>
            <w:r>
              <w:rPr>
                <w:rFonts w:hint="eastAsia" w:ascii="Times New Roman" w:hAnsi="Times New Roman" w:cs="Times New Roman"/>
                <w:kern w:val="0"/>
                <w:sz w:val="18"/>
                <w:szCs w:val="18"/>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3</w:t>
            </w:r>
          </w:p>
        </w:tc>
        <w:tc>
          <w:tcPr>
            <w:tcW w:w="1327" w:type="pct"/>
            <w:vMerge w:val="continue"/>
            <w:shd w:val="clear" w:color="auto" w:fill="auto"/>
            <w:vAlign w:val="center"/>
          </w:tcPr>
          <w:p>
            <w:pPr>
              <w:widowControl/>
              <w:overflowPunct w:val="0"/>
              <w:jc w:val="center"/>
              <w:rPr>
                <w:rFonts w:ascii="Times New Roman" w:hAnsi="Times New Roman" w:cs="Times New Roman"/>
                <w:kern w:val="0"/>
                <w:sz w:val="18"/>
                <w:szCs w:val="18"/>
              </w:rPr>
            </w:pP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6+12A+6+12A+6Low-E</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1.8~2.0</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0.30~0.37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4</w:t>
            </w:r>
          </w:p>
        </w:tc>
        <w:tc>
          <w:tcPr>
            <w:tcW w:w="1327" w:type="pct"/>
            <w:vMerge w:val="continue"/>
            <w:shd w:val="clear" w:color="auto" w:fill="auto"/>
            <w:vAlign w:val="center"/>
          </w:tcPr>
          <w:p>
            <w:pPr>
              <w:widowControl/>
              <w:overflowPunct w:val="0"/>
              <w:jc w:val="center"/>
              <w:rPr>
                <w:rFonts w:ascii="Times New Roman" w:hAnsi="Times New Roman" w:cs="Times New Roman"/>
                <w:kern w:val="0"/>
                <w:sz w:val="18"/>
                <w:szCs w:val="18"/>
              </w:rPr>
            </w:pP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6+12Ar+6+12Ar+6Low-E</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1.7~1.9</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0.3~0.37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5</w:t>
            </w:r>
          </w:p>
        </w:tc>
        <w:tc>
          <w:tcPr>
            <w:tcW w:w="1327" w:type="pct"/>
            <w:vMerge w:val="continue"/>
            <w:shd w:val="clear" w:color="auto" w:fill="auto"/>
            <w:vAlign w:val="center"/>
          </w:tcPr>
          <w:p>
            <w:pPr>
              <w:widowControl/>
              <w:overflowPunct w:val="0"/>
              <w:jc w:val="center"/>
              <w:rPr>
                <w:rFonts w:ascii="Times New Roman" w:hAnsi="Times New Roman" w:cs="Times New Roman"/>
                <w:kern w:val="0"/>
                <w:sz w:val="18"/>
                <w:szCs w:val="18"/>
              </w:rPr>
            </w:pP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6+12A+6Low-E+12A+6Low-E</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1.6~1.8</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0.24~0.31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6</w:t>
            </w:r>
          </w:p>
        </w:tc>
        <w:tc>
          <w:tcPr>
            <w:tcW w:w="1327" w:type="pct"/>
            <w:vMerge w:val="continue"/>
            <w:shd w:val="clear" w:color="auto" w:fill="auto"/>
            <w:vAlign w:val="center"/>
          </w:tcPr>
          <w:p>
            <w:pPr>
              <w:widowControl/>
              <w:overflowPunct w:val="0"/>
              <w:jc w:val="center"/>
              <w:rPr>
                <w:rFonts w:ascii="Times New Roman" w:hAnsi="Times New Roman" w:cs="Times New Roman"/>
                <w:kern w:val="0"/>
                <w:sz w:val="18"/>
                <w:szCs w:val="18"/>
              </w:rPr>
            </w:pP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6+12Ar+6Low-E+12Ar+6Low-E</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1.5~1.7</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0.24~0.31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7</w:t>
            </w:r>
          </w:p>
        </w:tc>
        <w:tc>
          <w:tcPr>
            <w:tcW w:w="132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7</w:t>
            </w:r>
            <w:r>
              <w:rPr>
                <w:rFonts w:hint="eastAsia" w:ascii="Times New Roman" w:hAnsi="Times New Roman" w:cs="Times New Roman"/>
                <w:kern w:val="0"/>
                <w:sz w:val="18"/>
                <w:szCs w:val="18"/>
              </w:rPr>
              <w:t>5</w:t>
            </w:r>
            <w:r>
              <w:rPr>
                <w:rFonts w:ascii="Times New Roman" w:hAnsi="Times New Roman" w:cs="Times New Roman"/>
                <w:kern w:val="0"/>
                <w:sz w:val="18"/>
                <w:szCs w:val="18"/>
              </w:rPr>
              <w:t>系列内平开隔热铝合金窗</w:t>
            </w: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6Low-E</w:t>
            </w:r>
            <w:r>
              <w:rPr>
                <w:rFonts w:hint="eastAsia" w:ascii="Times New Roman" w:hAnsi="Times New Roman" w:cs="Times New Roman"/>
                <w:kern w:val="0"/>
                <w:sz w:val="18"/>
                <w:szCs w:val="18"/>
              </w:rPr>
              <w:t>双银</w:t>
            </w:r>
            <w:r>
              <w:rPr>
                <w:rFonts w:ascii="Times New Roman" w:hAnsi="Times New Roman" w:cs="Times New Roman"/>
                <w:kern w:val="0"/>
                <w:sz w:val="18"/>
                <w:szCs w:val="18"/>
              </w:rPr>
              <w:t>+12Ar+6+12Ar+6</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1.5</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0.30~0.3</w:t>
            </w:r>
            <w:r>
              <w:rPr>
                <w:rFonts w:hint="eastAsia" w:ascii="Times New Roman" w:hAnsi="Times New Roman" w:cs="Times New Roman"/>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8</w:t>
            </w:r>
          </w:p>
        </w:tc>
        <w:tc>
          <w:tcPr>
            <w:tcW w:w="132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80系列内平开隔热铝合金窗</w:t>
            </w: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6+12Ar+6+12Ar+6Low-E</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1.3~1.5</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0.30~0.37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9</w:t>
            </w:r>
          </w:p>
        </w:tc>
        <w:tc>
          <w:tcPr>
            <w:tcW w:w="132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80系列内平开隔热铝合金窗</w:t>
            </w: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6+12Ar+6Low-E+12Ar+6Low-E</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1.1~1.3</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0.24~0.31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restar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塑</w:t>
            </w:r>
          </w:p>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料</w:t>
            </w:r>
          </w:p>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窗</w:t>
            </w: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1</w:t>
            </w:r>
          </w:p>
        </w:tc>
        <w:tc>
          <w:tcPr>
            <w:tcW w:w="1327" w:type="pct"/>
            <w:vMerge w:val="restar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65系列内平开塑料窗</w:t>
            </w: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6+12A+6+12A+6</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1.8~2.0</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0.44~0.48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2</w:t>
            </w:r>
          </w:p>
        </w:tc>
        <w:tc>
          <w:tcPr>
            <w:tcW w:w="1327" w:type="pct"/>
            <w:vMerge w:val="continue"/>
            <w:shd w:val="clear" w:color="auto" w:fill="auto"/>
            <w:vAlign w:val="center"/>
          </w:tcPr>
          <w:p>
            <w:pPr>
              <w:widowControl/>
              <w:overflowPunct w:val="0"/>
              <w:jc w:val="center"/>
              <w:rPr>
                <w:rFonts w:ascii="Times New Roman" w:hAnsi="Times New Roman" w:cs="Times New Roman"/>
                <w:kern w:val="0"/>
                <w:sz w:val="18"/>
                <w:szCs w:val="18"/>
              </w:rPr>
            </w:pP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6Low-E</w:t>
            </w:r>
            <w:r>
              <w:rPr>
                <w:rFonts w:hint="eastAsia" w:ascii="Times New Roman" w:hAnsi="Times New Roman" w:cs="Times New Roman"/>
                <w:kern w:val="0"/>
                <w:sz w:val="18"/>
                <w:szCs w:val="18"/>
              </w:rPr>
              <w:t>单银</w:t>
            </w:r>
            <w:r>
              <w:rPr>
                <w:rFonts w:ascii="Times New Roman" w:hAnsi="Times New Roman" w:cs="Times New Roman"/>
                <w:kern w:val="0"/>
                <w:sz w:val="18"/>
                <w:szCs w:val="18"/>
              </w:rPr>
              <w:t>+12A+6</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2.0</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0.35~0.39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3</w:t>
            </w:r>
          </w:p>
        </w:tc>
        <w:tc>
          <w:tcPr>
            <w:tcW w:w="1327" w:type="pct"/>
            <w:vMerge w:val="continue"/>
            <w:shd w:val="clear" w:color="auto" w:fill="auto"/>
            <w:vAlign w:val="center"/>
          </w:tcPr>
          <w:p>
            <w:pPr>
              <w:widowControl/>
              <w:overflowPunct w:val="0"/>
              <w:jc w:val="center"/>
              <w:rPr>
                <w:rFonts w:ascii="Times New Roman" w:hAnsi="Times New Roman" w:cs="Times New Roman"/>
                <w:kern w:val="0"/>
                <w:sz w:val="18"/>
                <w:szCs w:val="18"/>
              </w:rPr>
            </w:pP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6Low-E</w:t>
            </w:r>
            <w:r>
              <w:rPr>
                <w:rFonts w:hint="eastAsia" w:ascii="Times New Roman" w:hAnsi="Times New Roman" w:cs="Times New Roman"/>
                <w:kern w:val="0"/>
                <w:sz w:val="18"/>
                <w:szCs w:val="18"/>
              </w:rPr>
              <w:t>单银</w:t>
            </w:r>
            <w:r>
              <w:rPr>
                <w:rFonts w:ascii="Times New Roman" w:hAnsi="Times New Roman" w:cs="Times New Roman"/>
                <w:kern w:val="0"/>
                <w:sz w:val="18"/>
                <w:szCs w:val="18"/>
              </w:rPr>
              <w:t>+12Ar+6</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1.8</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0.35~0.39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4</w:t>
            </w:r>
          </w:p>
        </w:tc>
        <w:tc>
          <w:tcPr>
            <w:tcW w:w="1327" w:type="pct"/>
            <w:vMerge w:val="continue"/>
            <w:shd w:val="clear" w:color="auto" w:fill="auto"/>
            <w:vAlign w:val="center"/>
          </w:tcPr>
          <w:p>
            <w:pPr>
              <w:widowControl/>
              <w:overflowPunct w:val="0"/>
              <w:jc w:val="center"/>
              <w:rPr>
                <w:rFonts w:ascii="Times New Roman" w:hAnsi="Times New Roman" w:cs="Times New Roman"/>
                <w:kern w:val="0"/>
                <w:sz w:val="18"/>
                <w:szCs w:val="18"/>
              </w:rPr>
            </w:pP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6+12A+6+12A+6Low-E</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1.4~1.6</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0.30~0.37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5</w:t>
            </w:r>
          </w:p>
        </w:tc>
        <w:tc>
          <w:tcPr>
            <w:tcW w:w="1327" w:type="pct"/>
            <w:vMerge w:val="continue"/>
            <w:shd w:val="clear" w:color="auto" w:fill="auto"/>
            <w:vAlign w:val="center"/>
          </w:tcPr>
          <w:p>
            <w:pPr>
              <w:widowControl/>
              <w:overflowPunct w:val="0"/>
              <w:jc w:val="center"/>
              <w:rPr>
                <w:rFonts w:ascii="Times New Roman" w:hAnsi="Times New Roman" w:cs="Times New Roman"/>
                <w:kern w:val="0"/>
                <w:sz w:val="18"/>
                <w:szCs w:val="18"/>
              </w:rPr>
            </w:pP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6+12Ar+6+12Ar+6Low-E</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1.3~1.5</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0.30~0.37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6</w:t>
            </w:r>
          </w:p>
        </w:tc>
        <w:tc>
          <w:tcPr>
            <w:tcW w:w="1327" w:type="pct"/>
            <w:vMerge w:val="continue"/>
            <w:shd w:val="clear" w:color="auto" w:fill="auto"/>
            <w:vAlign w:val="center"/>
          </w:tcPr>
          <w:p>
            <w:pPr>
              <w:widowControl/>
              <w:overflowPunct w:val="0"/>
              <w:jc w:val="center"/>
              <w:rPr>
                <w:rFonts w:ascii="Times New Roman" w:hAnsi="Times New Roman" w:cs="Times New Roman"/>
                <w:kern w:val="0"/>
                <w:sz w:val="18"/>
                <w:szCs w:val="18"/>
              </w:rPr>
            </w:pP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6+12A+6Low-E+12A+6Low-E</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1.2~1.4</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0.24~0.31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7</w:t>
            </w:r>
          </w:p>
        </w:tc>
        <w:tc>
          <w:tcPr>
            <w:tcW w:w="1327" w:type="pct"/>
            <w:vMerge w:val="continue"/>
            <w:shd w:val="clear" w:color="auto" w:fill="auto"/>
            <w:vAlign w:val="center"/>
          </w:tcPr>
          <w:p>
            <w:pPr>
              <w:widowControl/>
              <w:overflowPunct w:val="0"/>
              <w:jc w:val="center"/>
              <w:rPr>
                <w:rFonts w:ascii="Times New Roman" w:hAnsi="Times New Roman" w:cs="Times New Roman"/>
                <w:kern w:val="0"/>
                <w:sz w:val="18"/>
                <w:szCs w:val="18"/>
              </w:rPr>
            </w:pP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6+12Ar+6Low-E+12Ar+6Low-E</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1.1~1.3</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0.24~0.31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8</w:t>
            </w:r>
          </w:p>
        </w:tc>
        <w:tc>
          <w:tcPr>
            <w:tcW w:w="1327" w:type="pct"/>
            <w:vMerge w:val="restar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70</w:t>
            </w:r>
            <w:r>
              <w:rPr>
                <w:rFonts w:ascii="Times New Roman" w:hAnsi="Times New Roman" w:cs="Times New Roman"/>
                <w:kern w:val="0"/>
                <w:sz w:val="18"/>
                <w:szCs w:val="18"/>
              </w:rPr>
              <w:t>系列内平开塑料窗</w:t>
            </w: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6Low-E</w:t>
            </w:r>
            <w:r>
              <w:rPr>
                <w:rFonts w:hint="eastAsia" w:ascii="Times New Roman" w:hAnsi="Times New Roman" w:cs="Times New Roman"/>
                <w:kern w:val="0"/>
                <w:sz w:val="18"/>
                <w:szCs w:val="18"/>
              </w:rPr>
              <w:t>单银</w:t>
            </w:r>
            <w:r>
              <w:rPr>
                <w:rFonts w:ascii="Times New Roman" w:hAnsi="Times New Roman" w:cs="Times New Roman"/>
                <w:kern w:val="0"/>
                <w:sz w:val="18"/>
                <w:szCs w:val="18"/>
              </w:rPr>
              <w:t>+12Ar+6</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1.8</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0.35~0.39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9</w:t>
            </w:r>
          </w:p>
        </w:tc>
        <w:tc>
          <w:tcPr>
            <w:tcW w:w="1327" w:type="pct"/>
            <w:vMerge w:val="continue"/>
            <w:shd w:val="clear" w:color="auto" w:fill="auto"/>
            <w:vAlign w:val="center"/>
          </w:tcPr>
          <w:p>
            <w:pPr>
              <w:widowControl/>
              <w:overflowPunct w:val="0"/>
              <w:jc w:val="center"/>
              <w:rPr>
                <w:rFonts w:ascii="Times New Roman" w:hAnsi="Times New Roman" w:cs="Times New Roman"/>
                <w:kern w:val="0"/>
                <w:sz w:val="18"/>
                <w:szCs w:val="18"/>
              </w:rPr>
            </w:pP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6Low-E</w:t>
            </w:r>
            <w:r>
              <w:rPr>
                <w:rFonts w:hint="eastAsia" w:ascii="Times New Roman" w:hAnsi="Times New Roman" w:cs="Times New Roman"/>
                <w:kern w:val="0"/>
                <w:sz w:val="18"/>
                <w:szCs w:val="18"/>
              </w:rPr>
              <w:t>单银</w:t>
            </w:r>
            <w:r>
              <w:rPr>
                <w:rFonts w:ascii="Times New Roman" w:hAnsi="Times New Roman" w:cs="Times New Roman"/>
                <w:kern w:val="0"/>
                <w:sz w:val="18"/>
                <w:szCs w:val="18"/>
              </w:rPr>
              <w:t>+12A+6+12A+6</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1.6</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0.30~0.37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10</w:t>
            </w:r>
          </w:p>
        </w:tc>
        <w:tc>
          <w:tcPr>
            <w:tcW w:w="1327" w:type="pct"/>
            <w:vMerge w:val="continue"/>
            <w:shd w:val="clear" w:color="auto" w:fill="auto"/>
            <w:vAlign w:val="center"/>
          </w:tcPr>
          <w:p>
            <w:pPr>
              <w:widowControl/>
              <w:overflowPunct w:val="0"/>
              <w:jc w:val="center"/>
              <w:rPr>
                <w:rFonts w:ascii="Times New Roman" w:hAnsi="Times New Roman" w:cs="Times New Roman"/>
                <w:kern w:val="0"/>
                <w:sz w:val="18"/>
                <w:szCs w:val="18"/>
              </w:rPr>
            </w:pP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6Low-E</w:t>
            </w:r>
            <w:r>
              <w:rPr>
                <w:rFonts w:hint="eastAsia" w:ascii="Times New Roman" w:hAnsi="Times New Roman" w:cs="Times New Roman"/>
                <w:kern w:val="0"/>
                <w:sz w:val="18"/>
                <w:szCs w:val="18"/>
              </w:rPr>
              <w:t>单银</w:t>
            </w:r>
            <w:r>
              <w:rPr>
                <w:rFonts w:ascii="Times New Roman" w:hAnsi="Times New Roman" w:cs="Times New Roman"/>
                <w:kern w:val="0"/>
                <w:sz w:val="18"/>
                <w:szCs w:val="18"/>
              </w:rPr>
              <w:t>+</w:t>
            </w:r>
            <w:r>
              <w:rPr>
                <w:rFonts w:hint="eastAsia" w:ascii="Times New Roman" w:hAnsi="Times New Roman" w:cs="Times New Roman"/>
                <w:kern w:val="0"/>
                <w:sz w:val="18"/>
                <w:szCs w:val="18"/>
              </w:rPr>
              <w:t>9</w:t>
            </w:r>
            <w:r>
              <w:rPr>
                <w:rFonts w:ascii="Times New Roman" w:hAnsi="Times New Roman" w:cs="Times New Roman"/>
                <w:kern w:val="0"/>
                <w:sz w:val="18"/>
                <w:szCs w:val="18"/>
              </w:rPr>
              <w:t>A</w:t>
            </w:r>
            <w:r>
              <w:rPr>
                <w:rFonts w:hint="eastAsia" w:ascii="Times New Roman" w:hAnsi="Times New Roman" w:cs="Times New Roman"/>
                <w:kern w:val="0"/>
                <w:sz w:val="18"/>
                <w:szCs w:val="18"/>
              </w:rPr>
              <w:t>r</w:t>
            </w:r>
            <w:r>
              <w:rPr>
                <w:rFonts w:ascii="Times New Roman" w:hAnsi="Times New Roman" w:cs="Times New Roman"/>
                <w:kern w:val="0"/>
                <w:sz w:val="18"/>
                <w:szCs w:val="18"/>
              </w:rPr>
              <w:t>+6+</w:t>
            </w:r>
            <w:r>
              <w:rPr>
                <w:rFonts w:hint="eastAsia" w:ascii="Times New Roman" w:hAnsi="Times New Roman" w:cs="Times New Roman"/>
                <w:kern w:val="0"/>
                <w:sz w:val="18"/>
                <w:szCs w:val="18"/>
              </w:rPr>
              <w:t>9</w:t>
            </w:r>
            <w:r>
              <w:rPr>
                <w:rFonts w:ascii="Times New Roman" w:hAnsi="Times New Roman" w:cs="Times New Roman"/>
                <w:kern w:val="0"/>
                <w:sz w:val="18"/>
                <w:szCs w:val="18"/>
              </w:rPr>
              <w:t>A</w:t>
            </w:r>
            <w:r>
              <w:rPr>
                <w:rFonts w:hint="eastAsia" w:ascii="Times New Roman" w:hAnsi="Times New Roman" w:cs="Times New Roman"/>
                <w:kern w:val="0"/>
                <w:sz w:val="18"/>
                <w:szCs w:val="18"/>
              </w:rPr>
              <w:t>r</w:t>
            </w:r>
            <w:r>
              <w:rPr>
                <w:rFonts w:ascii="Times New Roman" w:hAnsi="Times New Roman" w:cs="Times New Roman"/>
                <w:kern w:val="0"/>
                <w:sz w:val="18"/>
                <w:szCs w:val="18"/>
              </w:rPr>
              <w:t>+6</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1.6</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0.30~0.37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11</w:t>
            </w:r>
          </w:p>
        </w:tc>
        <w:tc>
          <w:tcPr>
            <w:tcW w:w="132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82系列内平开塑料窗</w:t>
            </w: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6+12Ar+6+12Ar+6Low-E</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1.0~1.2</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0.30~0.37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restar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木</w:t>
            </w:r>
          </w:p>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窗</w:t>
            </w: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1</w:t>
            </w:r>
          </w:p>
        </w:tc>
        <w:tc>
          <w:tcPr>
            <w:tcW w:w="132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68系列内平开木窗</w:t>
            </w: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6+12A+6+12A+6</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1.8~2.0</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0.44~0.48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2</w:t>
            </w:r>
          </w:p>
        </w:tc>
        <w:tc>
          <w:tcPr>
            <w:tcW w:w="132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68系列内平开木窗</w:t>
            </w: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6+12A+6Low-E</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1.8~2.0</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0.35~0.39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3</w:t>
            </w:r>
          </w:p>
        </w:tc>
        <w:tc>
          <w:tcPr>
            <w:tcW w:w="132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68系列内平开木窗</w:t>
            </w: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6+12Ar+6Low-E</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1.7~1.9</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0.35~0.39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4</w:t>
            </w:r>
          </w:p>
        </w:tc>
        <w:tc>
          <w:tcPr>
            <w:tcW w:w="132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78系列平开木窗</w:t>
            </w: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6+12A+6+12A+6Low-E</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1.4~1.6</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0.30~0.37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5</w:t>
            </w:r>
          </w:p>
        </w:tc>
        <w:tc>
          <w:tcPr>
            <w:tcW w:w="132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78系列平开木窗</w:t>
            </w: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6+12Ar+6+12Ar+6Low-E</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1.3~1.5</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0.30~0.37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6</w:t>
            </w:r>
          </w:p>
        </w:tc>
        <w:tc>
          <w:tcPr>
            <w:tcW w:w="132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78系列平开木窗</w:t>
            </w: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6+12A+6Low-E+12A+6Low-E</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1.2~1.4</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0.24~0.31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7</w:t>
            </w:r>
          </w:p>
        </w:tc>
        <w:tc>
          <w:tcPr>
            <w:tcW w:w="132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78系列平开木窗</w:t>
            </w: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6+12Ar+6Low-E+12Ar+6Low-E</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1.1~1.3</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0.24~0.31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restar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铝</w:t>
            </w:r>
          </w:p>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木</w:t>
            </w:r>
          </w:p>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复</w:t>
            </w:r>
          </w:p>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合</w:t>
            </w:r>
          </w:p>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窗</w:t>
            </w: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1</w:t>
            </w:r>
          </w:p>
        </w:tc>
        <w:tc>
          <w:tcPr>
            <w:tcW w:w="1327" w:type="pct"/>
            <w:vMerge w:val="restar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86系列内平开铝木</w:t>
            </w:r>
          </w:p>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复合窗</w:t>
            </w: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6+12A+6+12A+6</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1.9~2.1</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0.44~0.48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2</w:t>
            </w:r>
          </w:p>
        </w:tc>
        <w:tc>
          <w:tcPr>
            <w:tcW w:w="1327" w:type="pct"/>
            <w:vMerge w:val="continue"/>
            <w:shd w:val="clear" w:color="auto" w:fill="auto"/>
            <w:vAlign w:val="center"/>
          </w:tcPr>
          <w:p>
            <w:pPr>
              <w:widowControl/>
              <w:overflowPunct w:val="0"/>
              <w:jc w:val="center"/>
              <w:rPr>
                <w:rFonts w:ascii="Times New Roman" w:hAnsi="Times New Roman" w:cs="Times New Roman"/>
                <w:kern w:val="0"/>
                <w:sz w:val="18"/>
                <w:szCs w:val="18"/>
              </w:rPr>
            </w:pP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6+12A+6Low-E</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1.9~2.1</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0.35~0.39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3</w:t>
            </w:r>
          </w:p>
        </w:tc>
        <w:tc>
          <w:tcPr>
            <w:tcW w:w="1327" w:type="pct"/>
            <w:vMerge w:val="continue"/>
            <w:shd w:val="clear" w:color="auto" w:fill="auto"/>
            <w:vAlign w:val="center"/>
          </w:tcPr>
          <w:p>
            <w:pPr>
              <w:widowControl/>
              <w:overflowPunct w:val="0"/>
              <w:jc w:val="center"/>
              <w:rPr>
                <w:rFonts w:ascii="Times New Roman" w:hAnsi="Times New Roman" w:cs="Times New Roman"/>
                <w:kern w:val="0"/>
                <w:sz w:val="18"/>
                <w:szCs w:val="18"/>
              </w:rPr>
            </w:pP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6+12Ar+6Low-E</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1.8~2.0</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0.35~0.39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4</w:t>
            </w:r>
          </w:p>
        </w:tc>
        <w:tc>
          <w:tcPr>
            <w:tcW w:w="1327" w:type="pct"/>
            <w:vMerge w:val="continue"/>
            <w:shd w:val="clear" w:color="auto" w:fill="auto"/>
            <w:vAlign w:val="center"/>
          </w:tcPr>
          <w:p>
            <w:pPr>
              <w:widowControl/>
              <w:overflowPunct w:val="0"/>
              <w:jc w:val="center"/>
              <w:rPr>
                <w:rFonts w:ascii="Times New Roman" w:hAnsi="Times New Roman" w:cs="Times New Roman"/>
                <w:kern w:val="0"/>
                <w:sz w:val="18"/>
                <w:szCs w:val="18"/>
              </w:rPr>
            </w:pP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6+12A+6+12A+6Low-E</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1.5~1.7</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0.30~0.37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5</w:t>
            </w:r>
          </w:p>
        </w:tc>
        <w:tc>
          <w:tcPr>
            <w:tcW w:w="1327" w:type="pct"/>
            <w:vMerge w:val="continue"/>
            <w:shd w:val="clear" w:color="auto" w:fill="auto"/>
            <w:vAlign w:val="center"/>
          </w:tcPr>
          <w:p>
            <w:pPr>
              <w:widowControl/>
              <w:overflowPunct w:val="0"/>
              <w:jc w:val="center"/>
              <w:rPr>
                <w:rFonts w:ascii="Times New Roman" w:hAnsi="Times New Roman" w:cs="Times New Roman"/>
                <w:kern w:val="0"/>
                <w:sz w:val="18"/>
                <w:szCs w:val="18"/>
              </w:rPr>
            </w:pP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6+12Ar+6+12Ar+6Low-E</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1.4~1.6</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0.30~0.37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6</w:t>
            </w:r>
          </w:p>
        </w:tc>
        <w:tc>
          <w:tcPr>
            <w:tcW w:w="1327" w:type="pct"/>
            <w:vMerge w:val="continue"/>
            <w:shd w:val="clear" w:color="auto" w:fill="auto"/>
            <w:vAlign w:val="center"/>
          </w:tcPr>
          <w:p>
            <w:pPr>
              <w:widowControl/>
              <w:overflowPunct w:val="0"/>
              <w:jc w:val="center"/>
              <w:rPr>
                <w:rFonts w:ascii="Times New Roman" w:hAnsi="Times New Roman" w:cs="Times New Roman"/>
                <w:kern w:val="0"/>
                <w:sz w:val="18"/>
                <w:szCs w:val="18"/>
              </w:rPr>
            </w:pP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6+12A+6Low-E+12A+6Low-E</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1.3~1.5</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0.24~0.31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7</w:t>
            </w:r>
          </w:p>
        </w:tc>
        <w:tc>
          <w:tcPr>
            <w:tcW w:w="1327" w:type="pct"/>
            <w:vMerge w:val="continue"/>
            <w:shd w:val="clear" w:color="auto" w:fill="auto"/>
            <w:vAlign w:val="center"/>
          </w:tcPr>
          <w:p>
            <w:pPr>
              <w:widowControl/>
              <w:overflowPunct w:val="0"/>
              <w:jc w:val="center"/>
              <w:rPr>
                <w:rFonts w:ascii="Times New Roman" w:hAnsi="Times New Roman" w:cs="Times New Roman"/>
                <w:kern w:val="0"/>
                <w:sz w:val="18"/>
                <w:szCs w:val="18"/>
              </w:rPr>
            </w:pP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6+12Ar+6Low-E+12Ar+6Low-E</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1.2~1.4</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0.24~0.31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5" w:type="pct"/>
            <w:vMerge w:val="restart"/>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玻</w:t>
            </w:r>
          </w:p>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纤</w:t>
            </w:r>
          </w:p>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增</w:t>
            </w:r>
          </w:p>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强</w:t>
            </w:r>
          </w:p>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聚</w:t>
            </w:r>
          </w:p>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氨</w:t>
            </w:r>
          </w:p>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酯</w:t>
            </w:r>
          </w:p>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窗</w:t>
            </w: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w:t>
            </w:r>
          </w:p>
        </w:tc>
        <w:tc>
          <w:tcPr>
            <w:tcW w:w="1327" w:type="pct"/>
            <w:vMerge w:val="restar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6</w:t>
            </w:r>
            <w:r>
              <w:rPr>
                <w:rFonts w:ascii="Times New Roman" w:hAnsi="Times New Roman" w:cs="Times New Roman"/>
                <w:kern w:val="0"/>
                <w:sz w:val="18"/>
                <w:szCs w:val="18"/>
              </w:rPr>
              <w:t>0</w:t>
            </w:r>
            <w:r>
              <w:rPr>
                <w:rFonts w:hint="eastAsia" w:ascii="Times New Roman" w:hAnsi="Times New Roman" w:cs="Times New Roman"/>
                <w:kern w:val="0"/>
                <w:sz w:val="18"/>
                <w:szCs w:val="18"/>
              </w:rPr>
              <w:t>系列平开窗</w:t>
            </w: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5Low-E+12A/Ar+5</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w:t>
            </w:r>
            <w:r>
              <w:rPr>
                <w:rFonts w:ascii="Times New Roman" w:hAnsi="Times New Roman" w:cs="Times New Roman"/>
                <w:kern w:val="0"/>
                <w:sz w:val="18"/>
                <w:szCs w:val="18"/>
              </w:rPr>
              <w:t>.9/1.8</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0.35~0.39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2</w:t>
            </w:r>
          </w:p>
        </w:tc>
        <w:tc>
          <w:tcPr>
            <w:tcW w:w="1327" w:type="pct"/>
            <w:vMerge w:val="continue"/>
            <w:shd w:val="clear" w:color="auto" w:fill="auto"/>
            <w:vAlign w:val="center"/>
          </w:tcPr>
          <w:p>
            <w:pPr>
              <w:widowControl/>
              <w:overflowPunct w:val="0"/>
              <w:jc w:val="center"/>
              <w:rPr>
                <w:rFonts w:ascii="Times New Roman" w:hAnsi="Times New Roman" w:cs="Times New Roman"/>
                <w:kern w:val="0"/>
                <w:sz w:val="18"/>
                <w:szCs w:val="18"/>
              </w:rPr>
            </w:pP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5+9A/Ar+5+9A/Ar+5</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w:t>
            </w:r>
            <w:r>
              <w:rPr>
                <w:rFonts w:ascii="Times New Roman" w:hAnsi="Times New Roman" w:cs="Times New Roman"/>
                <w:kern w:val="0"/>
                <w:sz w:val="18"/>
                <w:szCs w:val="18"/>
              </w:rPr>
              <w:t>.9/1.8</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0.44~0.48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3</w:t>
            </w:r>
          </w:p>
        </w:tc>
        <w:tc>
          <w:tcPr>
            <w:tcW w:w="1327" w:type="pct"/>
            <w:vMerge w:val="continue"/>
            <w:shd w:val="clear" w:color="auto" w:fill="auto"/>
            <w:vAlign w:val="center"/>
          </w:tcPr>
          <w:p>
            <w:pPr>
              <w:widowControl/>
              <w:overflowPunct w:val="0"/>
              <w:jc w:val="center"/>
              <w:rPr>
                <w:rFonts w:ascii="Times New Roman" w:hAnsi="Times New Roman" w:cs="Times New Roman"/>
                <w:kern w:val="0"/>
                <w:sz w:val="18"/>
                <w:szCs w:val="18"/>
              </w:rPr>
            </w:pP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5Low-E+9A/Ar+5+9A/Ar+5</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w:t>
            </w:r>
            <w:r>
              <w:rPr>
                <w:rFonts w:ascii="Times New Roman" w:hAnsi="Times New Roman" w:cs="Times New Roman"/>
                <w:kern w:val="0"/>
                <w:sz w:val="18"/>
                <w:szCs w:val="18"/>
              </w:rPr>
              <w:t>.7</w:t>
            </w:r>
            <w:r>
              <w:rPr>
                <w:rFonts w:hint="eastAsia" w:ascii="Times New Roman" w:hAnsi="Times New Roman" w:cs="Times New Roman"/>
                <w:kern w:val="0"/>
                <w:sz w:val="18"/>
                <w:szCs w:val="18"/>
              </w:rPr>
              <w:t>/</w:t>
            </w:r>
            <w:r>
              <w:rPr>
                <w:rFonts w:ascii="Times New Roman" w:hAnsi="Times New Roman" w:cs="Times New Roman"/>
                <w:kern w:val="0"/>
                <w:sz w:val="18"/>
                <w:szCs w:val="18"/>
              </w:rPr>
              <w:t>1.5</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0.30~0.37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4</w:t>
            </w:r>
          </w:p>
        </w:tc>
        <w:tc>
          <w:tcPr>
            <w:tcW w:w="1327" w:type="pct"/>
            <w:vMerge w:val="continue"/>
            <w:shd w:val="clear" w:color="auto" w:fill="auto"/>
            <w:vAlign w:val="center"/>
          </w:tcPr>
          <w:p>
            <w:pPr>
              <w:widowControl/>
              <w:overflowPunct w:val="0"/>
              <w:jc w:val="center"/>
              <w:rPr>
                <w:rFonts w:ascii="Times New Roman" w:hAnsi="Times New Roman" w:cs="Times New Roman"/>
                <w:kern w:val="0"/>
                <w:sz w:val="18"/>
                <w:szCs w:val="18"/>
              </w:rPr>
            </w:pP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5Low-E+9A/Ar+5Low-E+9A/Ar+5</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w:t>
            </w:r>
            <w:r>
              <w:rPr>
                <w:rFonts w:ascii="Times New Roman" w:hAnsi="Times New Roman" w:cs="Times New Roman"/>
                <w:kern w:val="0"/>
                <w:sz w:val="18"/>
                <w:szCs w:val="18"/>
              </w:rPr>
              <w:t>.4/1.3</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0.24~0.31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5</w:t>
            </w:r>
          </w:p>
        </w:tc>
        <w:tc>
          <w:tcPr>
            <w:tcW w:w="1327" w:type="pct"/>
            <w:vMerge w:val="restar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6</w:t>
            </w:r>
            <w:r>
              <w:rPr>
                <w:rFonts w:ascii="Times New Roman" w:hAnsi="Times New Roman" w:cs="Times New Roman"/>
                <w:kern w:val="0"/>
                <w:sz w:val="18"/>
                <w:szCs w:val="18"/>
              </w:rPr>
              <w:t>5</w:t>
            </w:r>
            <w:r>
              <w:rPr>
                <w:rFonts w:hint="eastAsia" w:ascii="Times New Roman" w:hAnsi="Times New Roman" w:cs="Times New Roman"/>
                <w:kern w:val="0"/>
                <w:sz w:val="18"/>
                <w:szCs w:val="18"/>
              </w:rPr>
              <w:t>系列平开窗</w:t>
            </w: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5Low-E+12A/Ar+5</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w:t>
            </w:r>
            <w:r>
              <w:rPr>
                <w:rFonts w:ascii="Times New Roman" w:hAnsi="Times New Roman" w:cs="Times New Roman"/>
                <w:kern w:val="0"/>
                <w:sz w:val="18"/>
                <w:szCs w:val="18"/>
              </w:rPr>
              <w:t>.9</w:t>
            </w:r>
            <w:r>
              <w:rPr>
                <w:rFonts w:hint="eastAsia" w:ascii="Times New Roman" w:hAnsi="Times New Roman" w:cs="Times New Roman"/>
                <w:kern w:val="0"/>
                <w:sz w:val="18"/>
                <w:szCs w:val="18"/>
              </w:rPr>
              <w:t>/</w:t>
            </w:r>
            <w:r>
              <w:rPr>
                <w:rFonts w:ascii="Times New Roman" w:hAnsi="Times New Roman" w:cs="Times New Roman"/>
                <w:kern w:val="0"/>
                <w:sz w:val="18"/>
                <w:szCs w:val="18"/>
              </w:rPr>
              <w:t>1.8</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0.35~0.39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6</w:t>
            </w:r>
          </w:p>
        </w:tc>
        <w:tc>
          <w:tcPr>
            <w:tcW w:w="1327" w:type="pct"/>
            <w:vMerge w:val="continue"/>
            <w:shd w:val="clear" w:color="auto" w:fill="auto"/>
            <w:vAlign w:val="center"/>
          </w:tcPr>
          <w:p>
            <w:pPr>
              <w:widowControl/>
              <w:overflowPunct w:val="0"/>
              <w:jc w:val="center"/>
              <w:rPr>
                <w:rFonts w:ascii="Times New Roman" w:hAnsi="Times New Roman" w:cs="Times New Roman"/>
                <w:kern w:val="0"/>
                <w:sz w:val="18"/>
                <w:szCs w:val="18"/>
              </w:rPr>
            </w:pP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5+9A/Ar+5+9A/Ar+5</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w:t>
            </w:r>
            <w:r>
              <w:rPr>
                <w:rFonts w:ascii="Times New Roman" w:hAnsi="Times New Roman" w:cs="Times New Roman"/>
                <w:kern w:val="0"/>
                <w:sz w:val="18"/>
                <w:szCs w:val="18"/>
              </w:rPr>
              <w:t>.9</w:t>
            </w:r>
            <w:r>
              <w:rPr>
                <w:rFonts w:hint="eastAsia" w:ascii="Times New Roman" w:hAnsi="Times New Roman" w:cs="Times New Roman"/>
                <w:kern w:val="0"/>
                <w:sz w:val="18"/>
                <w:szCs w:val="18"/>
              </w:rPr>
              <w:t>/</w:t>
            </w:r>
            <w:r>
              <w:rPr>
                <w:rFonts w:ascii="Times New Roman" w:hAnsi="Times New Roman" w:cs="Times New Roman"/>
                <w:kern w:val="0"/>
                <w:sz w:val="18"/>
                <w:szCs w:val="18"/>
              </w:rPr>
              <w:t>1.8</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0.44~0.48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7</w:t>
            </w:r>
          </w:p>
        </w:tc>
        <w:tc>
          <w:tcPr>
            <w:tcW w:w="1327" w:type="pct"/>
            <w:vMerge w:val="continue"/>
            <w:shd w:val="clear" w:color="auto" w:fill="auto"/>
            <w:vAlign w:val="center"/>
          </w:tcPr>
          <w:p>
            <w:pPr>
              <w:widowControl/>
              <w:overflowPunct w:val="0"/>
              <w:jc w:val="center"/>
              <w:rPr>
                <w:rFonts w:ascii="Times New Roman" w:hAnsi="Times New Roman" w:cs="Times New Roman"/>
                <w:kern w:val="0"/>
                <w:sz w:val="18"/>
                <w:szCs w:val="18"/>
              </w:rPr>
            </w:pP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5Low-E+9A/Ar+5+9A/Ar+5</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w:t>
            </w:r>
            <w:r>
              <w:rPr>
                <w:rFonts w:ascii="Times New Roman" w:hAnsi="Times New Roman" w:cs="Times New Roman"/>
                <w:kern w:val="0"/>
                <w:sz w:val="18"/>
                <w:szCs w:val="18"/>
              </w:rPr>
              <w:t>.6</w:t>
            </w:r>
            <w:r>
              <w:rPr>
                <w:rFonts w:hint="eastAsia" w:ascii="Times New Roman" w:hAnsi="Times New Roman" w:cs="Times New Roman"/>
                <w:kern w:val="0"/>
                <w:sz w:val="18"/>
                <w:szCs w:val="18"/>
              </w:rPr>
              <w:t>/</w:t>
            </w:r>
            <w:r>
              <w:rPr>
                <w:rFonts w:ascii="Times New Roman" w:hAnsi="Times New Roman" w:cs="Times New Roman"/>
                <w:kern w:val="0"/>
                <w:sz w:val="18"/>
                <w:szCs w:val="18"/>
              </w:rPr>
              <w:t>1.5</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0.30~0.37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8</w:t>
            </w:r>
          </w:p>
        </w:tc>
        <w:tc>
          <w:tcPr>
            <w:tcW w:w="1327" w:type="pct"/>
            <w:vMerge w:val="continue"/>
            <w:shd w:val="clear" w:color="auto" w:fill="auto"/>
            <w:vAlign w:val="center"/>
          </w:tcPr>
          <w:p>
            <w:pPr>
              <w:widowControl/>
              <w:overflowPunct w:val="0"/>
              <w:jc w:val="center"/>
              <w:rPr>
                <w:rFonts w:ascii="Times New Roman" w:hAnsi="Times New Roman" w:cs="Times New Roman"/>
                <w:kern w:val="0"/>
                <w:sz w:val="18"/>
                <w:szCs w:val="18"/>
              </w:rPr>
            </w:pP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5Low-E+9A/Ar+5Low-E+9A/Ar+5</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w:t>
            </w:r>
            <w:r>
              <w:rPr>
                <w:rFonts w:ascii="Times New Roman" w:hAnsi="Times New Roman" w:cs="Times New Roman"/>
                <w:kern w:val="0"/>
                <w:sz w:val="18"/>
                <w:szCs w:val="18"/>
              </w:rPr>
              <w:t>.35</w:t>
            </w:r>
            <w:r>
              <w:rPr>
                <w:rFonts w:hint="eastAsia" w:ascii="Times New Roman" w:hAnsi="Times New Roman" w:cs="Times New Roman"/>
                <w:kern w:val="0"/>
                <w:sz w:val="18"/>
                <w:szCs w:val="18"/>
              </w:rPr>
              <w:t>/</w:t>
            </w:r>
            <w:r>
              <w:rPr>
                <w:rFonts w:ascii="Times New Roman" w:hAnsi="Times New Roman" w:cs="Times New Roman"/>
                <w:kern w:val="0"/>
                <w:sz w:val="18"/>
                <w:szCs w:val="18"/>
              </w:rPr>
              <w:t>1.3</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0.24~0.31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9</w:t>
            </w:r>
          </w:p>
        </w:tc>
        <w:tc>
          <w:tcPr>
            <w:tcW w:w="1327" w:type="pct"/>
            <w:vMerge w:val="continue"/>
            <w:shd w:val="clear" w:color="auto" w:fill="auto"/>
            <w:vAlign w:val="center"/>
          </w:tcPr>
          <w:p>
            <w:pPr>
              <w:widowControl/>
              <w:overflowPunct w:val="0"/>
              <w:jc w:val="center"/>
              <w:rPr>
                <w:rFonts w:ascii="Times New Roman" w:hAnsi="Times New Roman" w:cs="Times New Roman"/>
                <w:kern w:val="0"/>
                <w:sz w:val="18"/>
                <w:szCs w:val="18"/>
              </w:rPr>
            </w:pP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5+12A/Ar+5+12A/Ar+5</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w:t>
            </w:r>
            <w:r>
              <w:rPr>
                <w:rFonts w:ascii="Times New Roman" w:hAnsi="Times New Roman" w:cs="Times New Roman"/>
                <w:kern w:val="0"/>
                <w:sz w:val="18"/>
                <w:szCs w:val="18"/>
              </w:rPr>
              <w:t>.9</w:t>
            </w:r>
            <w:r>
              <w:rPr>
                <w:rFonts w:hint="eastAsia" w:ascii="Times New Roman" w:hAnsi="Times New Roman" w:cs="Times New Roman"/>
                <w:kern w:val="0"/>
                <w:sz w:val="18"/>
                <w:szCs w:val="18"/>
              </w:rPr>
              <w:t>/</w:t>
            </w:r>
            <w:r>
              <w:rPr>
                <w:rFonts w:ascii="Times New Roman" w:hAnsi="Times New Roman" w:cs="Times New Roman"/>
                <w:kern w:val="0"/>
                <w:sz w:val="18"/>
                <w:szCs w:val="18"/>
              </w:rPr>
              <w:t>1.8</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0.44~0.48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w:t>
            </w:r>
            <w:r>
              <w:rPr>
                <w:rFonts w:ascii="Times New Roman" w:hAnsi="Times New Roman" w:cs="Times New Roman"/>
                <w:kern w:val="0"/>
                <w:sz w:val="18"/>
                <w:szCs w:val="18"/>
              </w:rPr>
              <w:t>0</w:t>
            </w:r>
          </w:p>
        </w:tc>
        <w:tc>
          <w:tcPr>
            <w:tcW w:w="1327" w:type="pct"/>
            <w:vMerge w:val="continue"/>
            <w:shd w:val="clear" w:color="auto" w:fill="auto"/>
            <w:vAlign w:val="center"/>
          </w:tcPr>
          <w:p>
            <w:pPr>
              <w:widowControl/>
              <w:overflowPunct w:val="0"/>
              <w:jc w:val="center"/>
              <w:rPr>
                <w:rFonts w:ascii="Times New Roman" w:hAnsi="Times New Roman" w:cs="Times New Roman"/>
                <w:kern w:val="0"/>
                <w:sz w:val="18"/>
                <w:szCs w:val="18"/>
              </w:rPr>
            </w:pP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5Low-E+12A/Ar+5+12A/Ar+5</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w:t>
            </w:r>
            <w:r>
              <w:rPr>
                <w:rFonts w:ascii="Times New Roman" w:hAnsi="Times New Roman" w:cs="Times New Roman"/>
                <w:kern w:val="0"/>
                <w:sz w:val="18"/>
                <w:szCs w:val="18"/>
              </w:rPr>
              <w:t>.5/1.4</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0.30~0.37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w:t>
            </w:r>
            <w:r>
              <w:rPr>
                <w:rFonts w:ascii="Times New Roman" w:hAnsi="Times New Roman" w:cs="Times New Roman"/>
                <w:kern w:val="0"/>
                <w:sz w:val="18"/>
                <w:szCs w:val="18"/>
              </w:rPr>
              <w:t>1</w:t>
            </w:r>
          </w:p>
        </w:tc>
        <w:tc>
          <w:tcPr>
            <w:tcW w:w="1327" w:type="pct"/>
            <w:vMerge w:val="continue"/>
            <w:shd w:val="clear" w:color="auto" w:fill="auto"/>
            <w:vAlign w:val="center"/>
          </w:tcPr>
          <w:p>
            <w:pPr>
              <w:widowControl/>
              <w:overflowPunct w:val="0"/>
              <w:jc w:val="center"/>
              <w:rPr>
                <w:rFonts w:ascii="Times New Roman" w:hAnsi="Times New Roman" w:cs="Times New Roman"/>
                <w:kern w:val="0"/>
                <w:sz w:val="18"/>
                <w:szCs w:val="18"/>
              </w:rPr>
            </w:pP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5Low-E+12A/Ar+5Low-E+12A/Ar+5</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w:t>
            </w:r>
            <w:r>
              <w:rPr>
                <w:rFonts w:ascii="Times New Roman" w:hAnsi="Times New Roman" w:cs="Times New Roman"/>
                <w:kern w:val="0"/>
                <w:sz w:val="18"/>
                <w:szCs w:val="18"/>
              </w:rPr>
              <w:t>.3/1.2</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0.24~0.31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w:t>
            </w:r>
            <w:r>
              <w:rPr>
                <w:rFonts w:ascii="Times New Roman" w:hAnsi="Times New Roman" w:cs="Times New Roman"/>
                <w:kern w:val="0"/>
                <w:sz w:val="18"/>
                <w:szCs w:val="18"/>
              </w:rPr>
              <w:t>2</w:t>
            </w:r>
          </w:p>
        </w:tc>
        <w:tc>
          <w:tcPr>
            <w:tcW w:w="1327" w:type="pct"/>
            <w:vMerge w:val="restar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7</w:t>
            </w:r>
            <w:r>
              <w:rPr>
                <w:rFonts w:ascii="Times New Roman" w:hAnsi="Times New Roman" w:cs="Times New Roman"/>
                <w:kern w:val="0"/>
                <w:sz w:val="18"/>
                <w:szCs w:val="18"/>
              </w:rPr>
              <w:t>0</w:t>
            </w:r>
            <w:r>
              <w:rPr>
                <w:rFonts w:hint="eastAsia" w:ascii="Times New Roman" w:hAnsi="Times New Roman" w:cs="Times New Roman"/>
                <w:kern w:val="0"/>
                <w:sz w:val="18"/>
                <w:szCs w:val="18"/>
              </w:rPr>
              <w:t>系列平开窗</w:t>
            </w: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5+12A/Ar+5+12A/Ar+5</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w:t>
            </w:r>
            <w:r>
              <w:rPr>
                <w:rFonts w:ascii="Times New Roman" w:hAnsi="Times New Roman" w:cs="Times New Roman"/>
                <w:kern w:val="0"/>
                <w:sz w:val="18"/>
                <w:szCs w:val="18"/>
              </w:rPr>
              <w:t>.8</w:t>
            </w:r>
            <w:r>
              <w:rPr>
                <w:rFonts w:hint="eastAsia" w:ascii="Times New Roman" w:hAnsi="Times New Roman" w:cs="Times New Roman"/>
                <w:kern w:val="0"/>
                <w:sz w:val="18"/>
                <w:szCs w:val="18"/>
              </w:rPr>
              <w:t>/</w:t>
            </w:r>
            <w:r>
              <w:rPr>
                <w:rFonts w:ascii="Times New Roman" w:hAnsi="Times New Roman" w:cs="Times New Roman"/>
                <w:kern w:val="0"/>
                <w:sz w:val="18"/>
                <w:szCs w:val="18"/>
              </w:rPr>
              <w:t>1.7</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0.44~0.48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w:t>
            </w:r>
            <w:r>
              <w:rPr>
                <w:rFonts w:ascii="Times New Roman" w:hAnsi="Times New Roman" w:cs="Times New Roman"/>
                <w:kern w:val="0"/>
                <w:sz w:val="18"/>
                <w:szCs w:val="18"/>
              </w:rPr>
              <w:t>3</w:t>
            </w:r>
          </w:p>
        </w:tc>
        <w:tc>
          <w:tcPr>
            <w:tcW w:w="1327" w:type="pct"/>
            <w:vMerge w:val="continue"/>
            <w:shd w:val="clear" w:color="auto" w:fill="auto"/>
            <w:vAlign w:val="center"/>
          </w:tcPr>
          <w:p>
            <w:pPr>
              <w:widowControl/>
              <w:overflowPunct w:val="0"/>
              <w:jc w:val="center"/>
              <w:rPr>
                <w:rFonts w:ascii="Times New Roman" w:hAnsi="Times New Roman" w:cs="Times New Roman"/>
                <w:kern w:val="0"/>
                <w:sz w:val="18"/>
                <w:szCs w:val="18"/>
              </w:rPr>
            </w:pP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5Low-E+12A/Ar+5+12A/Ar+5</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w:t>
            </w:r>
            <w:r>
              <w:rPr>
                <w:rFonts w:ascii="Times New Roman" w:hAnsi="Times New Roman" w:cs="Times New Roman"/>
                <w:kern w:val="0"/>
                <w:sz w:val="18"/>
                <w:szCs w:val="18"/>
              </w:rPr>
              <w:t>.5/1.4</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0.30~0.37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w:t>
            </w:r>
            <w:r>
              <w:rPr>
                <w:rFonts w:ascii="Times New Roman" w:hAnsi="Times New Roman" w:cs="Times New Roman"/>
                <w:kern w:val="0"/>
                <w:sz w:val="18"/>
                <w:szCs w:val="18"/>
              </w:rPr>
              <w:t>4</w:t>
            </w:r>
          </w:p>
        </w:tc>
        <w:tc>
          <w:tcPr>
            <w:tcW w:w="1327" w:type="pct"/>
            <w:vMerge w:val="continue"/>
            <w:shd w:val="clear" w:color="auto" w:fill="auto"/>
            <w:vAlign w:val="center"/>
          </w:tcPr>
          <w:p>
            <w:pPr>
              <w:widowControl/>
              <w:overflowPunct w:val="0"/>
              <w:jc w:val="center"/>
              <w:rPr>
                <w:rFonts w:ascii="Times New Roman" w:hAnsi="Times New Roman" w:cs="Times New Roman"/>
                <w:kern w:val="0"/>
                <w:sz w:val="18"/>
                <w:szCs w:val="18"/>
              </w:rPr>
            </w:pP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5Low-E+12A/Ar+5Low-E+12A/Ar+5</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w:t>
            </w:r>
            <w:r>
              <w:rPr>
                <w:rFonts w:ascii="Times New Roman" w:hAnsi="Times New Roman" w:cs="Times New Roman"/>
                <w:kern w:val="0"/>
                <w:sz w:val="18"/>
                <w:szCs w:val="18"/>
              </w:rPr>
              <w:t>.3</w:t>
            </w:r>
            <w:r>
              <w:rPr>
                <w:rFonts w:hint="eastAsia" w:ascii="Times New Roman" w:hAnsi="Times New Roman" w:cs="Times New Roman"/>
                <w:kern w:val="0"/>
                <w:sz w:val="18"/>
                <w:szCs w:val="18"/>
              </w:rPr>
              <w:t>/</w:t>
            </w:r>
            <w:r>
              <w:rPr>
                <w:rFonts w:ascii="Times New Roman" w:hAnsi="Times New Roman" w:cs="Times New Roman"/>
                <w:kern w:val="0"/>
                <w:sz w:val="18"/>
                <w:szCs w:val="18"/>
              </w:rPr>
              <w:t>1.2</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0.24~0.31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w:t>
            </w:r>
            <w:r>
              <w:rPr>
                <w:rFonts w:ascii="Times New Roman" w:hAnsi="Times New Roman" w:cs="Times New Roman"/>
                <w:kern w:val="0"/>
                <w:sz w:val="18"/>
                <w:szCs w:val="18"/>
              </w:rPr>
              <w:t>5</w:t>
            </w:r>
          </w:p>
        </w:tc>
        <w:tc>
          <w:tcPr>
            <w:tcW w:w="1327" w:type="pct"/>
            <w:vMerge w:val="restar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7</w:t>
            </w:r>
            <w:r>
              <w:rPr>
                <w:rFonts w:ascii="Times New Roman" w:hAnsi="Times New Roman" w:cs="Times New Roman"/>
                <w:kern w:val="0"/>
                <w:sz w:val="18"/>
                <w:szCs w:val="18"/>
              </w:rPr>
              <w:t>5</w:t>
            </w:r>
            <w:r>
              <w:rPr>
                <w:rFonts w:hint="eastAsia" w:ascii="Times New Roman" w:hAnsi="Times New Roman" w:cs="Times New Roman"/>
                <w:kern w:val="0"/>
                <w:sz w:val="18"/>
                <w:szCs w:val="18"/>
              </w:rPr>
              <w:t>系列平开窗</w:t>
            </w: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5+12A/Ar+5+12A/Ar+5</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w:t>
            </w:r>
            <w:r>
              <w:rPr>
                <w:rFonts w:ascii="Times New Roman" w:hAnsi="Times New Roman" w:cs="Times New Roman"/>
                <w:kern w:val="0"/>
                <w:sz w:val="18"/>
                <w:szCs w:val="18"/>
              </w:rPr>
              <w:t>.8</w:t>
            </w:r>
            <w:r>
              <w:rPr>
                <w:rFonts w:hint="eastAsia" w:ascii="Times New Roman" w:hAnsi="Times New Roman" w:cs="Times New Roman"/>
                <w:kern w:val="0"/>
                <w:sz w:val="18"/>
                <w:szCs w:val="18"/>
              </w:rPr>
              <w:t>/</w:t>
            </w:r>
            <w:r>
              <w:rPr>
                <w:rFonts w:ascii="Times New Roman" w:hAnsi="Times New Roman" w:cs="Times New Roman"/>
                <w:kern w:val="0"/>
                <w:sz w:val="18"/>
                <w:szCs w:val="18"/>
              </w:rPr>
              <w:t>1.6</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0.44~0.48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w:t>
            </w:r>
            <w:r>
              <w:rPr>
                <w:rFonts w:ascii="Times New Roman" w:hAnsi="Times New Roman" w:cs="Times New Roman"/>
                <w:kern w:val="0"/>
                <w:sz w:val="18"/>
                <w:szCs w:val="18"/>
              </w:rPr>
              <w:t>6</w:t>
            </w:r>
          </w:p>
        </w:tc>
        <w:tc>
          <w:tcPr>
            <w:tcW w:w="1327" w:type="pct"/>
            <w:vMerge w:val="continue"/>
            <w:shd w:val="clear" w:color="auto" w:fill="auto"/>
            <w:vAlign w:val="center"/>
          </w:tcPr>
          <w:p>
            <w:pPr>
              <w:widowControl/>
              <w:overflowPunct w:val="0"/>
              <w:jc w:val="center"/>
              <w:rPr>
                <w:rFonts w:ascii="Times New Roman" w:hAnsi="Times New Roman" w:cs="Times New Roman"/>
                <w:kern w:val="0"/>
                <w:sz w:val="18"/>
                <w:szCs w:val="18"/>
              </w:rPr>
            </w:pP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5Low-E+12A/Ar+5+12A/Ar+5</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w:t>
            </w:r>
            <w:r>
              <w:rPr>
                <w:rFonts w:ascii="Times New Roman" w:hAnsi="Times New Roman" w:cs="Times New Roman"/>
                <w:kern w:val="0"/>
                <w:sz w:val="18"/>
                <w:szCs w:val="18"/>
              </w:rPr>
              <w:t>.4</w:t>
            </w:r>
            <w:r>
              <w:rPr>
                <w:rFonts w:hint="eastAsia" w:ascii="Times New Roman" w:hAnsi="Times New Roman" w:cs="Times New Roman"/>
                <w:kern w:val="0"/>
                <w:sz w:val="18"/>
                <w:szCs w:val="18"/>
              </w:rPr>
              <w:t>/</w:t>
            </w:r>
            <w:r>
              <w:rPr>
                <w:rFonts w:ascii="Times New Roman" w:hAnsi="Times New Roman" w:cs="Times New Roman"/>
                <w:kern w:val="0"/>
                <w:sz w:val="18"/>
                <w:szCs w:val="18"/>
              </w:rPr>
              <w:t>1.3</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0.30~0.37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w:t>
            </w:r>
            <w:r>
              <w:rPr>
                <w:rFonts w:ascii="Times New Roman" w:hAnsi="Times New Roman" w:cs="Times New Roman"/>
                <w:kern w:val="0"/>
                <w:sz w:val="18"/>
                <w:szCs w:val="18"/>
              </w:rPr>
              <w:t>7</w:t>
            </w:r>
          </w:p>
        </w:tc>
        <w:tc>
          <w:tcPr>
            <w:tcW w:w="1327" w:type="pct"/>
            <w:vMerge w:val="continue"/>
            <w:shd w:val="clear" w:color="auto" w:fill="auto"/>
            <w:vAlign w:val="center"/>
          </w:tcPr>
          <w:p>
            <w:pPr>
              <w:widowControl/>
              <w:overflowPunct w:val="0"/>
              <w:jc w:val="center"/>
              <w:rPr>
                <w:rFonts w:ascii="Times New Roman" w:hAnsi="Times New Roman" w:cs="Times New Roman"/>
                <w:kern w:val="0"/>
                <w:sz w:val="18"/>
                <w:szCs w:val="18"/>
              </w:rPr>
            </w:pP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5Low-E+15A/Ar+5+15A/Ar+5</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w:t>
            </w:r>
            <w:r>
              <w:rPr>
                <w:rFonts w:ascii="Times New Roman" w:hAnsi="Times New Roman" w:cs="Times New Roman"/>
                <w:kern w:val="0"/>
                <w:sz w:val="18"/>
                <w:szCs w:val="18"/>
              </w:rPr>
              <w:t>.4</w:t>
            </w:r>
            <w:r>
              <w:rPr>
                <w:rFonts w:hint="eastAsia" w:ascii="Times New Roman" w:hAnsi="Times New Roman" w:cs="Times New Roman"/>
                <w:kern w:val="0"/>
                <w:sz w:val="18"/>
                <w:szCs w:val="18"/>
              </w:rPr>
              <w:t>/</w:t>
            </w:r>
            <w:r>
              <w:rPr>
                <w:rFonts w:ascii="Times New Roman" w:hAnsi="Times New Roman" w:cs="Times New Roman"/>
                <w:kern w:val="0"/>
                <w:sz w:val="18"/>
                <w:szCs w:val="18"/>
              </w:rPr>
              <w:t>1.3</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0.30~0.37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w:t>
            </w:r>
            <w:r>
              <w:rPr>
                <w:rFonts w:ascii="Times New Roman" w:hAnsi="Times New Roman" w:cs="Times New Roman"/>
                <w:kern w:val="0"/>
                <w:sz w:val="18"/>
                <w:szCs w:val="18"/>
              </w:rPr>
              <w:t>8</w:t>
            </w:r>
          </w:p>
        </w:tc>
        <w:tc>
          <w:tcPr>
            <w:tcW w:w="1327" w:type="pct"/>
            <w:vMerge w:val="restar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8</w:t>
            </w:r>
            <w:r>
              <w:rPr>
                <w:rFonts w:ascii="Times New Roman" w:hAnsi="Times New Roman" w:cs="Times New Roman"/>
                <w:kern w:val="0"/>
                <w:sz w:val="18"/>
                <w:szCs w:val="18"/>
              </w:rPr>
              <w:t>0</w:t>
            </w:r>
            <w:r>
              <w:rPr>
                <w:rFonts w:hint="eastAsia" w:ascii="Times New Roman" w:hAnsi="Times New Roman" w:cs="Times New Roman"/>
                <w:kern w:val="0"/>
                <w:sz w:val="18"/>
                <w:szCs w:val="18"/>
              </w:rPr>
              <w:t>系列平开窗</w:t>
            </w: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5Low-E+12A/Ar+5+12A/Ar+5</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w:t>
            </w:r>
            <w:r>
              <w:rPr>
                <w:rFonts w:ascii="Times New Roman" w:hAnsi="Times New Roman" w:cs="Times New Roman"/>
                <w:kern w:val="0"/>
                <w:sz w:val="18"/>
                <w:szCs w:val="18"/>
              </w:rPr>
              <w:t>.5</w:t>
            </w:r>
            <w:r>
              <w:rPr>
                <w:rFonts w:hint="eastAsia" w:ascii="Times New Roman" w:hAnsi="Times New Roman" w:cs="Times New Roman"/>
                <w:kern w:val="0"/>
                <w:sz w:val="18"/>
                <w:szCs w:val="18"/>
              </w:rPr>
              <w:t>/</w:t>
            </w:r>
            <w:r>
              <w:rPr>
                <w:rFonts w:ascii="Times New Roman" w:hAnsi="Times New Roman" w:cs="Times New Roman"/>
                <w:kern w:val="0"/>
                <w:sz w:val="18"/>
                <w:szCs w:val="18"/>
              </w:rPr>
              <w:t>1.4</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0.30~0.37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w:t>
            </w:r>
            <w:r>
              <w:rPr>
                <w:rFonts w:ascii="Times New Roman" w:hAnsi="Times New Roman" w:cs="Times New Roman"/>
                <w:kern w:val="0"/>
                <w:sz w:val="18"/>
                <w:szCs w:val="18"/>
              </w:rPr>
              <w:t>9</w:t>
            </w:r>
          </w:p>
        </w:tc>
        <w:tc>
          <w:tcPr>
            <w:tcW w:w="1327" w:type="pct"/>
            <w:vMerge w:val="continue"/>
            <w:shd w:val="clear" w:color="auto" w:fill="auto"/>
            <w:vAlign w:val="center"/>
          </w:tcPr>
          <w:p>
            <w:pPr>
              <w:widowControl/>
              <w:overflowPunct w:val="0"/>
              <w:jc w:val="center"/>
              <w:rPr>
                <w:rFonts w:ascii="Times New Roman" w:hAnsi="Times New Roman" w:cs="Times New Roman"/>
                <w:kern w:val="0"/>
                <w:sz w:val="18"/>
                <w:szCs w:val="18"/>
              </w:rPr>
            </w:pP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5Low-E+15A/Ar+5+15A/Ar+5</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w:t>
            </w:r>
            <w:r>
              <w:rPr>
                <w:rFonts w:ascii="Times New Roman" w:hAnsi="Times New Roman" w:cs="Times New Roman"/>
                <w:kern w:val="0"/>
                <w:sz w:val="18"/>
                <w:szCs w:val="18"/>
              </w:rPr>
              <w:t>.4/1.3</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0.30~0.37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2</w:t>
            </w:r>
            <w:r>
              <w:rPr>
                <w:rFonts w:ascii="Times New Roman" w:hAnsi="Times New Roman" w:cs="Times New Roman"/>
                <w:kern w:val="0"/>
                <w:sz w:val="18"/>
                <w:szCs w:val="18"/>
              </w:rPr>
              <w:t>0</w:t>
            </w:r>
          </w:p>
        </w:tc>
        <w:tc>
          <w:tcPr>
            <w:tcW w:w="1327" w:type="pc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8</w:t>
            </w:r>
            <w:r>
              <w:rPr>
                <w:rFonts w:ascii="Times New Roman" w:hAnsi="Times New Roman" w:cs="Times New Roman"/>
                <w:kern w:val="0"/>
                <w:sz w:val="18"/>
                <w:szCs w:val="18"/>
              </w:rPr>
              <w:t>5</w:t>
            </w:r>
            <w:r>
              <w:rPr>
                <w:rFonts w:hint="eastAsia" w:ascii="Times New Roman" w:hAnsi="Times New Roman" w:cs="Times New Roman"/>
                <w:kern w:val="0"/>
                <w:sz w:val="18"/>
                <w:szCs w:val="18"/>
              </w:rPr>
              <w:t>系列平开窗</w:t>
            </w: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5Low-E+12A/Ar+5+12A/Ar+5</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w:t>
            </w:r>
            <w:r>
              <w:rPr>
                <w:rFonts w:ascii="Times New Roman" w:hAnsi="Times New Roman" w:cs="Times New Roman"/>
                <w:kern w:val="0"/>
                <w:sz w:val="18"/>
                <w:szCs w:val="18"/>
              </w:rPr>
              <w:t>.4</w:t>
            </w:r>
            <w:r>
              <w:rPr>
                <w:rFonts w:hint="eastAsia" w:ascii="Times New Roman" w:hAnsi="Times New Roman" w:cs="Times New Roman"/>
                <w:kern w:val="0"/>
                <w:sz w:val="18"/>
                <w:szCs w:val="18"/>
              </w:rPr>
              <w:t>/</w:t>
            </w:r>
            <w:r>
              <w:rPr>
                <w:rFonts w:ascii="Times New Roman" w:hAnsi="Times New Roman" w:cs="Times New Roman"/>
                <w:kern w:val="0"/>
                <w:sz w:val="18"/>
                <w:szCs w:val="18"/>
              </w:rPr>
              <w:t>1.3</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0.30~0.37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2</w:t>
            </w:r>
            <w:r>
              <w:rPr>
                <w:rFonts w:ascii="Times New Roman" w:hAnsi="Times New Roman" w:cs="Times New Roman"/>
                <w:kern w:val="0"/>
                <w:sz w:val="18"/>
                <w:szCs w:val="18"/>
              </w:rPr>
              <w:t>1</w:t>
            </w:r>
          </w:p>
        </w:tc>
        <w:tc>
          <w:tcPr>
            <w:tcW w:w="1327" w:type="pc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9</w:t>
            </w:r>
            <w:r>
              <w:rPr>
                <w:rFonts w:ascii="Times New Roman" w:hAnsi="Times New Roman" w:cs="Times New Roman"/>
                <w:kern w:val="0"/>
                <w:sz w:val="18"/>
                <w:szCs w:val="18"/>
              </w:rPr>
              <w:t>0</w:t>
            </w:r>
            <w:r>
              <w:rPr>
                <w:rFonts w:hint="eastAsia" w:ascii="Times New Roman" w:hAnsi="Times New Roman" w:cs="Times New Roman"/>
                <w:kern w:val="0"/>
                <w:sz w:val="18"/>
                <w:szCs w:val="18"/>
              </w:rPr>
              <w:t>系列平开窗</w:t>
            </w: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5Low-E+16A/Ar+5+16A/Ar+5</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w:t>
            </w:r>
            <w:r>
              <w:rPr>
                <w:rFonts w:ascii="Times New Roman" w:hAnsi="Times New Roman" w:cs="Times New Roman"/>
                <w:kern w:val="0"/>
                <w:sz w:val="18"/>
                <w:szCs w:val="18"/>
              </w:rPr>
              <w:t>.35/1.30</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0.30~0.37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restart"/>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铝塑</w:t>
            </w:r>
          </w:p>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共挤窗</w:t>
            </w: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w:t>
            </w:r>
          </w:p>
        </w:tc>
        <w:tc>
          <w:tcPr>
            <w:tcW w:w="1327" w:type="pct"/>
            <w:vMerge w:val="restar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70系列断桥铝衬</w:t>
            </w:r>
          </w:p>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平开窗</w:t>
            </w: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6</w:t>
            </w:r>
            <w:r>
              <w:rPr>
                <w:rFonts w:ascii="Times New Roman" w:hAnsi="Times New Roman" w:cs="Times New Roman"/>
                <w:kern w:val="0"/>
                <w:sz w:val="18"/>
                <w:szCs w:val="18"/>
              </w:rPr>
              <w:t>Low-E</w:t>
            </w:r>
            <w:r>
              <w:rPr>
                <w:rFonts w:hint="eastAsia" w:ascii="Times New Roman" w:hAnsi="Times New Roman" w:cs="Times New Roman"/>
                <w:kern w:val="0"/>
                <w:sz w:val="18"/>
                <w:szCs w:val="18"/>
              </w:rPr>
              <w:t>单银</w:t>
            </w:r>
            <w:r>
              <w:rPr>
                <w:rFonts w:ascii="Times New Roman" w:hAnsi="Times New Roman" w:cs="Times New Roman"/>
                <w:kern w:val="0"/>
                <w:sz w:val="18"/>
                <w:szCs w:val="18"/>
              </w:rPr>
              <w:t>+12A+</w:t>
            </w:r>
            <w:r>
              <w:rPr>
                <w:rFonts w:hint="eastAsia" w:ascii="Times New Roman" w:hAnsi="Times New Roman" w:cs="Times New Roman"/>
                <w:kern w:val="0"/>
                <w:sz w:val="18"/>
                <w:szCs w:val="18"/>
              </w:rPr>
              <w:t>6</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2.0</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0.35~0.39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2</w:t>
            </w:r>
          </w:p>
        </w:tc>
        <w:tc>
          <w:tcPr>
            <w:tcW w:w="1327" w:type="pct"/>
            <w:vMerge w:val="continue"/>
            <w:shd w:val="clear" w:color="auto" w:fill="auto"/>
            <w:vAlign w:val="center"/>
          </w:tcPr>
          <w:p>
            <w:pPr>
              <w:widowControl/>
              <w:overflowPunct w:val="0"/>
              <w:jc w:val="center"/>
              <w:rPr>
                <w:rFonts w:ascii="Times New Roman" w:hAnsi="Times New Roman" w:cs="Times New Roman"/>
                <w:kern w:val="0"/>
                <w:sz w:val="18"/>
                <w:szCs w:val="18"/>
              </w:rPr>
            </w:pP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6</w:t>
            </w:r>
            <w:r>
              <w:rPr>
                <w:rFonts w:ascii="Times New Roman" w:hAnsi="Times New Roman" w:cs="Times New Roman"/>
                <w:kern w:val="0"/>
                <w:sz w:val="18"/>
                <w:szCs w:val="18"/>
              </w:rPr>
              <w:t>Low-E</w:t>
            </w:r>
            <w:r>
              <w:rPr>
                <w:rFonts w:hint="eastAsia" w:ascii="Times New Roman" w:hAnsi="Times New Roman" w:cs="Times New Roman"/>
                <w:kern w:val="0"/>
                <w:sz w:val="18"/>
                <w:szCs w:val="18"/>
              </w:rPr>
              <w:t>单银</w:t>
            </w:r>
            <w:r>
              <w:rPr>
                <w:rFonts w:ascii="Times New Roman" w:hAnsi="Times New Roman" w:cs="Times New Roman"/>
                <w:kern w:val="0"/>
                <w:sz w:val="18"/>
                <w:szCs w:val="18"/>
              </w:rPr>
              <w:t>+12A</w:t>
            </w:r>
            <w:r>
              <w:rPr>
                <w:rFonts w:hint="eastAsia" w:ascii="Times New Roman" w:hAnsi="Times New Roman" w:cs="Times New Roman"/>
                <w:kern w:val="0"/>
                <w:sz w:val="18"/>
                <w:szCs w:val="18"/>
              </w:rPr>
              <w:t>r</w:t>
            </w:r>
            <w:r>
              <w:rPr>
                <w:rFonts w:ascii="Times New Roman" w:hAnsi="Times New Roman" w:cs="Times New Roman"/>
                <w:kern w:val="0"/>
                <w:sz w:val="18"/>
                <w:szCs w:val="18"/>
              </w:rPr>
              <w:t>+</w:t>
            </w:r>
            <w:r>
              <w:rPr>
                <w:rFonts w:hint="eastAsia" w:ascii="Times New Roman" w:hAnsi="Times New Roman" w:cs="Times New Roman"/>
                <w:kern w:val="0"/>
                <w:sz w:val="18"/>
                <w:szCs w:val="18"/>
              </w:rPr>
              <w:t>6</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1.8</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0.35~0.39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25" w:type="pct"/>
            <w:vMerge w:val="continue"/>
            <w:vAlign w:val="center"/>
          </w:tcPr>
          <w:p>
            <w:pPr>
              <w:widowControl/>
              <w:overflowPunct w:val="0"/>
              <w:jc w:val="left"/>
              <w:rPr>
                <w:rFonts w:ascii="Times New Roman" w:hAnsi="Times New Roman" w:cs="Times New Roman"/>
                <w:kern w:val="0"/>
                <w:sz w:val="18"/>
                <w:szCs w:val="18"/>
              </w:rPr>
            </w:pPr>
          </w:p>
        </w:tc>
        <w:tc>
          <w:tcPr>
            <w:tcW w:w="367" w:type="pct"/>
            <w:shd w:val="clear" w:color="auto" w:fill="auto"/>
            <w:noWrap/>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3</w:t>
            </w:r>
          </w:p>
        </w:tc>
        <w:tc>
          <w:tcPr>
            <w:tcW w:w="1327" w:type="pct"/>
            <w:vMerge w:val="continue"/>
            <w:shd w:val="clear" w:color="auto" w:fill="auto"/>
            <w:vAlign w:val="center"/>
          </w:tcPr>
          <w:p>
            <w:pPr>
              <w:widowControl/>
              <w:overflowPunct w:val="0"/>
              <w:jc w:val="center"/>
              <w:rPr>
                <w:rFonts w:ascii="Times New Roman" w:hAnsi="Times New Roman" w:cs="Times New Roman"/>
                <w:kern w:val="0"/>
                <w:sz w:val="18"/>
                <w:szCs w:val="18"/>
              </w:rPr>
            </w:pPr>
          </w:p>
        </w:tc>
        <w:tc>
          <w:tcPr>
            <w:tcW w:w="1694" w:type="pc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6</w:t>
            </w:r>
            <w:r>
              <w:rPr>
                <w:rFonts w:ascii="Times New Roman" w:hAnsi="Times New Roman" w:cs="Times New Roman"/>
                <w:kern w:val="0"/>
                <w:sz w:val="18"/>
                <w:szCs w:val="18"/>
              </w:rPr>
              <w:t>Low-E</w:t>
            </w:r>
            <w:r>
              <w:rPr>
                <w:rFonts w:hint="eastAsia" w:ascii="Times New Roman" w:hAnsi="Times New Roman" w:cs="Times New Roman"/>
                <w:kern w:val="0"/>
                <w:sz w:val="18"/>
                <w:szCs w:val="18"/>
              </w:rPr>
              <w:t>单银</w:t>
            </w:r>
            <w:r>
              <w:rPr>
                <w:rFonts w:ascii="Times New Roman" w:hAnsi="Times New Roman" w:cs="Times New Roman"/>
                <w:kern w:val="0"/>
                <w:sz w:val="18"/>
                <w:szCs w:val="18"/>
              </w:rPr>
              <w:t>+</w:t>
            </w:r>
            <w:r>
              <w:rPr>
                <w:rFonts w:hint="eastAsia" w:ascii="Times New Roman" w:hAnsi="Times New Roman" w:cs="Times New Roman"/>
                <w:kern w:val="0"/>
                <w:sz w:val="18"/>
                <w:szCs w:val="18"/>
              </w:rPr>
              <w:t>9</w:t>
            </w:r>
            <w:r>
              <w:rPr>
                <w:rFonts w:ascii="Times New Roman" w:hAnsi="Times New Roman" w:cs="Times New Roman"/>
                <w:kern w:val="0"/>
                <w:sz w:val="18"/>
                <w:szCs w:val="18"/>
              </w:rPr>
              <w:t>A</w:t>
            </w:r>
            <w:r>
              <w:rPr>
                <w:rFonts w:hint="eastAsia" w:ascii="Times New Roman" w:hAnsi="Times New Roman" w:cs="Times New Roman"/>
                <w:kern w:val="0"/>
                <w:sz w:val="18"/>
                <w:szCs w:val="18"/>
              </w:rPr>
              <w:t>r</w:t>
            </w:r>
            <w:r>
              <w:rPr>
                <w:rFonts w:ascii="Times New Roman" w:hAnsi="Times New Roman" w:cs="Times New Roman"/>
                <w:kern w:val="0"/>
                <w:sz w:val="18"/>
                <w:szCs w:val="18"/>
              </w:rPr>
              <w:t>+</w:t>
            </w:r>
            <w:r>
              <w:rPr>
                <w:rFonts w:hint="eastAsia" w:ascii="Times New Roman" w:hAnsi="Times New Roman" w:cs="Times New Roman"/>
                <w:kern w:val="0"/>
                <w:sz w:val="18"/>
                <w:szCs w:val="18"/>
              </w:rPr>
              <w:t>6</w:t>
            </w:r>
            <w:r>
              <w:rPr>
                <w:rFonts w:ascii="Times New Roman" w:hAnsi="Times New Roman" w:cs="Times New Roman"/>
                <w:kern w:val="0"/>
                <w:sz w:val="18"/>
                <w:szCs w:val="18"/>
              </w:rPr>
              <w:t>+</w:t>
            </w:r>
            <w:r>
              <w:rPr>
                <w:rFonts w:hint="eastAsia" w:ascii="Times New Roman" w:hAnsi="Times New Roman" w:cs="Times New Roman"/>
                <w:kern w:val="0"/>
                <w:sz w:val="18"/>
                <w:szCs w:val="18"/>
              </w:rPr>
              <w:t>9</w:t>
            </w:r>
            <w:r>
              <w:rPr>
                <w:rFonts w:ascii="Times New Roman" w:hAnsi="Times New Roman" w:cs="Times New Roman"/>
                <w:kern w:val="0"/>
                <w:sz w:val="18"/>
                <w:szCs w:val="18"/>
              </w:rPr>
              <w:t>A</w:t>
            </w:r>
            <w:r>
              <w:rPr>
                <w:rFonts w:hint="eastAsia" w:ascii="Times New Roman" w:hAnsi="Times New Roman" w:cs="Times New Roman"/>
                <w:kern w:val="0"/>
                <w:sz w:val="18"/>
                <w:szCs w:val="18"/>
              </w:rPr>
              <w:t>r</w:t>
            </w:r>
            <w:r>
              <w:rPr>
                <w:rFonts w:ascii="Times New Roman" w:hAnsi="Times New Roman" w:cs="Times New Roman"/>
                <w:kern w:val="0"/>
                <w:sz w:val="18"/>
                <w:szCs w:val="18"/>
              </w:rPr>
              <w:t>+</w:t>
            </w:r>
            <w:r>
              <w:rPr>
                <w:rFonts w:hint="eastAsia" w:ascii="Times New Roman" w:hAnsi="Times New Roman" w:cs="Times New Roman"/>
                <w:kern w:val="0"/>
                <w:sz w:val="18"/>
                <w:szCs w:val="18"/>
              </w:rPr>
              <w:t>6</w:t>
            </w:r>
          </w:p>
        </w:tc>
        <w:tc>
          <w:tcPr>
            <w:tcW w:w="688" w:type="pct"/>
            <w:shd w:val="clear" w:color="auto" w:fill="auto"/>
            <w:vAlign w:val="center"/>
          </w:tcPr>
          <w:p>
            <w:pPr>
              <w:widowControl/>
              <w:overflowPunct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1.6</w:t>
            </w:r>
          </w:p>
        </w:tc>
        <w:tc>
          <w:tcPr>
            <w:tcW w:w="597" w:type="pct"/>
            <w:shd w:val="clear" w:color="auto" w:fill="auto"/>
            <w:vAlign w:val="center"/>
          </w:tcPr>
          <w:p>
            <w:pPr>
              <w:widowControl/>
              <w:overflowPunct w:val="0"/>
              <w:jc w:val="center"/>
              <w:rPr>
                <w:rFonts w:ascii="Times New Roman" w:hAnsi="Times New Roman" w:cs="Times New Roman"/>
                <w:kern w:val="0"/>
                <w:sz w:val="18"/>
                <w:szCs w:val="18"/>
              </w:rPr>
            </w:pPr>
            <w:r>
              <w:rPr>
                <w:rFonts w:ascii="Times New Roman" w:hAnsi="Times New Roman" w:cs="Times New Roman"/>
                <w:kern w:val="0"/>
                <w:sz w:val="18"/>
                <w:szCs w:val="18"/>
              </w:rPr>
              <w:t>0.30~0.37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51" w:hRule="atLeast"/>
          <w:jc w:val="center"/>
        </w:trPr>
        <w:tc>
          <w:tcPr>
            <w:tcW w:w="5000" w:type="pct"/>
            <w:gridSpan w:val="6"/>
            <w:vAlign w:val="center"/>
          </w:tcPr>
          <w:p>
            <w:pPr>
              <w:pStyle w:val="22"/>
              <w:overflowPunct w:val="0"/>
              <w:ind w:firstLine="0" w:firstLineChars="0"/>
              <w:rPr>
                <w:rFonts w:ascii="Times New Roman" w:hAnsi="Times New Roman"/>
                <w:sz w:val="18"/>
                <w:szCs w:val="18"/>
              </w:rPr>
            </w:pPr>
            <w:r>
              <w:rPr>
                <w:rFonts w:ascii="Times New Roman" w:hAnsi="Times New Roman"/>
                <w:sz w:val="18"/>
                <w:szCs w:val="18"/>
              </w:rPr>
              <w:t>注</w:t>
            </w:r>
            <w:r>
              <w:rPr>
                <w:rFonts w:hint="eastAsia" w:ascii="Times New Roman" w:hAnsi="Times New Roman"/>
                <w:sz w:val="18"/>
                <w:szCs w:val="18"/>
              </w:rPr>
              <w:t>：</w:t>
            </w:r>
          </w:p>
          <w:p>
            <w:pPr>
              <w:overflowPunct w:val="0"/>
              <w:snapToGrid w:val="0"/>
              <w:spacing w:line="309" w:lineRule="exact"/>
              <w:ind w:firstLine="420"/>
              <w:rPr>
                <w:rFonts w:hint="eastAsia" w:asciiTheme="minorEastAsia" w:hAnsiTheme="minorEastAsia" w:eastAsiaTheme="minorEastAsia" w:cstheme="minorEastAsia"/>
                <w:sz w:val="18"/>
                <w:szCs w:val="18"/>
              </w:rPr>
            </w:pPr>
            <w:r>
              <w:rPr>
                <w:rFonts w:ascii="黑体" w:hAnsi="黑体" w:cs="宋体"/>
                <w:sz w:val="18"/>
                <w:szCs w:val="18"/>
              </w:rPr>
              <w:t>1</w:t>
            </w:r>
            <w:r>
              <w:rPr>
                <w:rFonts w:hint="eastAsia" w:ascii="宋体" w:hAnsi="宋体" w:cs="宋体"/>
                <w:sz w:val="18"/>
                <w:szCs w:val="18"/>
              </w:rPr>
              <w:t>　</w:t>
            </w:r>
            <w:r>
              <w:rPr>
                <w:rFonts w:hint="eastAsia" w:asciiTheme="minorEastAsia" w:hAnsiTheme="minorEastAsia" w:eastAsiaTheme="minorEastAsia" w:cstheme="minorEastAsia"/>
                <w:sz w:val="18"/>
                <w:szCs w:val="18"/>
              </w:rPr>
              <w:t>由于型材构造等存在差异，表格中给出的性能考虑大多数厂家产品的平均性能水平，未特殊设计的产品。</w:t>
            </w:r>
          </w:p>
          <w:p>
            <w:pPr>
              <w:overflowPunct w:val="0"/>
              <w:snapToGrid w:val="0"/>
              <w:spacing w:line="309" w:lineRule="exact"/>
              <w:ind w:firstLine="42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　中空玻璃间隔条应采用高性能暖边条。</w:t>
            </w:r>
          </w:p>
          <w:p>
            <w:pPr>
              <w:overflowPunct w:val="0"/>
              <w:snapToGrid w:val="0"/>
              <w:spacing w:line="309" w:lineRule="exact"/>
              <w:ind w:firstLine="42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　表中玻璃厚度同样适用于5mm/6mm。</w:t>
            </w:r>
          </w:p>
          <w:p>
            <w:pPr>
              <w:overflowPunct w:val="0"/>
              <w:snapToGrid w:val="0"/>
              <w:spacing w:line="309" w:lineRule="exact"/>
              <w:ind w:firstLine="42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　外窗（包含透光幕墙）本身的太阳得热系数和外遮阳构件的遮阳系数应按现行国家标准《民用建筑热工设计规范》GB50176的有关规定计算。</w:t>
            </w:r>
          </w:p>
          <w:p>
            <w:pPr>
              <w:overflowPunct w:val="0"/>
              <w:snapToGrid w:val="0"/>
              <w:spacing w:line="309" w:lineRule="exact"/>
              <w:ind w:firstLine="42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　玻璃配置从室外侧到室内侧表述；双片Low-E膜的中空玻璃膜层一般位于2、4面或3、5面；真空复合中空玻璃中真空玻璃应位于室内侧，且Low-E膜一般位于第4面。</w:t>
            </w:r>
          </w:p>
          <w:p>
            <w:pPr>
              <w:widowControl/>
              <w:overflowPunct w:val="0"/>
              <w:jc w:val="left"/>
              <w:rPr>
                <w:rFonts w:hint="eastAsia" w:asciiTheme="minorEastAsia" w:hAnsiTheme="minorEastAsia" w:eastAsiaTheme="minorEastAsia" w:cstheme="minorEastAsia"/>
                <w:sz w:val="18"/>
                <w:szCs w:val="18"/>
              </w:rPr>
            </w:pPr>
            <w:r>
              <w:rPr>
                <w:rFonts w:hint="eastAsia" w:asciiTheme="minorEastAsia" w:hAnsiTheme="minorEastAsia" w:cstheme="minorEastAsia"/>
                <w:sz w:val="18"/>
                <w:szCs w:val="18"/>
                <w:lang w:val="en-US" w:eastAsia="zh-CN"/>
              </w:rPr>
              <w:t xml:space="preserve">     </w:t>
            </w:r>
            <w:r>
              <w:rPr>
                <w:rFonts w:hint="eastAsia" w:asciiTheme="minorEastAsia" w:hAnsiTheme="minorEastAsia" w:eastAsiaTheme="minorEastAsia" w:cstheme="minorEastAsia"/>
                <w:sz w:val="18"/>
                <w:szCs w:val="18"/>
              </w:rPr>
              <w:t>6　塑料型材宽度≥82mm时，应为6腔室及以上型材。80系列隔热铝合金型材隔热条截面高度≥44mm，90系列隔热铝合金型材隔热条截面高度≥54mm，100系列隔热铝合金型材隔热条截面高度≥64mm，且隔热条中间空腔需填充泡沫材料。表中铝木复合窗指以木型材为主受力构件的铝木复合窗。</w:t>
            </w:r>
          </w:p>
          <w:p>
            <w:pPr>
              <w:widowControl/>
              <w:overflowPunct w:val="0"/>
              <w:ind w:firstLine="540" w:firstLineChars="300"/>
              <w:jc w:val="left"/>
              <w:rPr>
                <w:rFonts w:ascii="Times New Roman" w:hAnsi="Times New Roman" w:cs="Times New Roman"/>
                <w:kern w:val="0"/>
                <w:sz w:val="18"/>
                <w:szCs w:val="18"/>
              </w:rPr>
            </w:pPr>
            <w:r>
              <w:rPr>
                <w:rFonts w:hint="eastAsia" w:asciiTheme="minorEastAsia" w:hAnsiTheme="minorEastAsia" w:eastAsiaTheme="minorEastAsia" w:cstheme="minorEastAsia"/>
                <w:sz w:val="18"/>
                <w:szCs w:val="18"/>
              </w:rPr>
              <w:t>7　表中按1500mm×1500mm的左开启右固定内平开窗，玻璃面积占整窗面积的70%的窗型进行配置。当窗型和尺寸变化时，应重新进行热工计算或检测确定。</w:t>
            </w:r>
          </w:p>
        </w:tc>
      </w:tr>
    </w:tbl>
    <w:p>
      <w:pPr>
        <w:pStyle w:val="56"/>
        <w:keepNext w:val="0"/>
        <w:keepLines w:val="0"/>
        <w:pageBreakBefore w:val="0"/>
        <w:widowControl w:val="0"/>
        <w:kinsoku/>
        <w:wordWrap/>
        <w:overflowPunct w:val="0"/>
        <w:topLinePunct w:val="0"/>
        <w:autoSpaceDE/>
        <w:autoSpaceDN/>
        <w:bidi w:val="0"/>
        <w:adjustRightInd/>
        <w:snapToGrid/>
        <w:spacing w:before="156" w:beforeLines="50" w:after="157" w:afterLines="50"/>
        <w:ind w:firstLine="0" w:firstLineChars="0"/>
        <w:jc w:val="center"/>
        <w:textAlignment w:val="auto"/>
        <w:outlineLvl w:val="0"/>
        <w:rPr>
          <w:rFonts w:hint="eastAsia" w:ascii="黑体" w:hAnsi="黑体" w:eastAsia="黑体"/>
          <w:szCs w:val="21"/>
        </w:rPr>
      </w:pPr>
      <w:r>
        <w:rPr>
          <w:rFonts w:ascii="黑体" w:hAnsi="黑体" w:eastAsia="黑体"/>
          <w:szCs w:val="21"/>
        </w:rPr>
        <w:t>附录C</w:t>
      </w:r>
      <w:r>
        <w:rPr>
          <w:rFonts w:hint="eastAsia" w:ascii="黑体" w:hAnsi="黑体" w:eastAsia="黑体"/>
          <w:szCs w:val="21"/>
        </w:rPr>
        <w:t>　</w:t>
      </w:r>
      <w:bookmarkStart w:id="55" w:name="_Toc3876"/>
      <w:bookmarkStart w:id="56" w:name="_Toc97537114"/>
    </w:p>
    <w:p>
      <w:pPr>
        <w:pStyle w:val="56"/>
        <w:keepNext w:val="0"/>
        <w:keepLines w:val="0"/>
        <w:pageBreakBefore w:val="0"/>
        <w:widowControl w:val="0"/>
        <w:kinsoku/>
        <w:wordWrap/>
        <w:overflowPunct w:val="0"/>
        <w:topLinePunct w:val="0"/>
        <w:autoSpaceDE/>
        <w:autoSpaceDN/>
        <w:bidi w:val="0"/>
        <w:adjustRightInd/>
        <w:snapToGrid/>
        <w:spacing w:before="156" w:beforeLines="50" w:after="157" w:afterLines="50"/>
        <w:ind w:firstLine="0" w:firstLineChars="0"/>
        <w:jc w:val="center"/>
        <w:textAlignment w:val="auto"/>
        <w:outlineLvl w:val="0"/>
        <w:rPr>
          <w:rFonts w:hint="default" w:ascii="黑体" w:hAnsi="黑体" w:eastAsia="黑体"/>
          <w:szCs w:val="21"/>
          <w:lang w:val="en-US" w:eastAsia="zh-CN"/>
        </w:rPr>
      </w:pPr>
      <w:r>
        <w:rPr>
          <w:rFonts w:hint="eastAsia" w:ascii="黑体" w:hAnsi="黑体" w:eastAsia="黑体"/>
          <w:szCs w:val="21"/>
          <w:lang w:val="en-US" w:eastAsia="zh-CN"/>
        </w:rPr>
        <w:t>(资料性）</w:t>
      </w:r>
    </w:p>
    <w:p>
      <w:pPr>
        <w:pStyle w:val="56"/>
        <w:keepNext w:val="0"/>
        <w:keepLines w:val="0"/>
        <w:pageBreakBefore w:val="0"/>
        <w:widowControl w:val="0"/>
        <w:kinsoku/>
        <w:wordWrap/>
        <w:overflowPunct w:val="0"/>
        <w:topLinePunct w:val="0"/>
        <w:autoSpaceDE/>
        <w:autoSpaceDN/>
        <w:bidi w:val="0"/>
        <w:adjustRightInd/>
        <w:snapToGrid/>
        <w:spacing w:before="156" w:beforeLines="50" w:after="157" w:afterLines="50"/>
        <w:ind w:firstLine="0" w:firstLineChars="0"/>
        <w:jc w:val="center"/>
        <w:textAlignment w:val="auto"/>
        <w:outlineLvl w:val="0"/>
        <w:rPr>
          <w:rFonts w:ascii="黑体" w:hAnsi="黑体" w:eastAsia="黑体"/>
          <w:szCs w:val="21"/>
        </w:rPr>
      </w:pPr>
      <w:r>
        <w:rPr>
          <w:rFonts w:hint="eastAsia" w:ascii="黑体" w:hAnsi="黑体" w:eastAsia="黑体"/>
          <w:szCs w:val="21"/>
        </w:rPr>
        <w:t>部品材料技术要求</w:t>
      </w:r>
      <w:bookmarkEnd w:id="55"/>
      <w:bookmarkEnd w:id="56"/>
    </w:p>
    <w:p>
      <w:pPr>
        <w:overflowPunct w:val="0"/>
        <w:spacing w:line="309" w:lineRule="exact"/>
        <w:rPr>
          <w:rFonts w:ascii="Times New Roman" w:hAnsi="Times New Roman"/>
          <w:szCs w:val="21"/>
        </w:rPr>
      </w:pPr>
      <w:r>
        <w:rPr>
          <w:rFonts w:ascii="黑体" w:hAnsi="黑体" w:eastAsia="黑体" w:cs="黑体"/>
          <w:szCs w:val="21"/>
        </w:rPr>
        <w:t>C.1　</w:t>
      </w:r>
      <w:r>
        <w:rPr>
          <w:rFonts w:hint="eastAsia" w:ascii="Times New Roman" w:hAnsi="Times New Roman"/>
          <w:szCs w:val="21"/>
        </w:rPr>
        <w:t>外窗洞口采用防水透汽膜与防水隔汽膜时，其性能指标应符合表</w:t>
      </w:r>
      <w:r>
        <w:rPr>
          <w:rFonts w:hint="eastAsia" w:ascii="Times New Roman" w:hAnsi="Times New Roman"/>
          <w:szCs w:val="21"/>
          <w:lang w:val="en-US" w:eastAsia="zh-CN"/>
        </w:rPr>
        <w:t>C.1、</w:t>
      </w:r>
      <w:r>
        <w:rPr>
          <w:rFonts w:hint="eastAsia" w:ascii="Times New Roman" w:hAnsi="Times New Roman"/>
          <w:szCs w:val="21"/>
        </w:rPr>
        <w:t>C.2的规定。</w:t>
      </w:r>
    </w:p>
    <w:p>
      <w:pPr>
        <w:pStyle w:val="42"/>
        <w:widowControl w:val="0"/>
        <w:overflowPunct w:val="0"/>
        <w:autoSpaceDE/>
        <w:autoSpaceDN/>
        <w:spacing w:before="62" w:beforeLines="20" w:after="78" w:afterLines="25" w:line="309" w:lineRule="exact"/>
        <w:ind w:firstLine="0" w:firstLineChars="0"/>
        <w:jc w:val="center"/>
        <w:rPr>
          <w:rFonts w:ascii="黑体" w:hAnsi="黑体" w:eastAsia="黑体" w:cs="黑体"/>
          <w:sz w:val="18"/>
          <w:szCs w:val="18"/>
        </w:rPr>
      </w:pPr>
      <w:r>
        <w:rPr>
          <w:rFonts w:ascii="黑体" w:hAnsi="黑体" w:eastAsia="黑体" w:cs="黑体"/>
          <w:sz w:val="18"/>
          <w:szCs w:val="18"/>
        </w:rPr>
        <w:t>表C</w:t>
      </w:r>
      <w:r>
        <w:rPr>
          <w:rFonts w:hint="eastAsia" w:ascii="黑体" w:hAnsi="黑体" w:eastAsia="黑体" w:cs="黑体"/>
          <w:sz w:val="18"/>
          <w:szCs w:val="18"/>
          <w:lang w:val="en-US" w:eastAsia="zh-CN"/>
        </w:rPr>
        <w:t>.</w:t>
      </w:r>
      <w:r>
        <w:rPr>
          <w:rFonts w:hint="eastAsia" w:ascii="黑体" w:hAnsi="黑体" w:eastAsia="黑体" w:cs="黑体"/>
          <w:sz w:val="18"/>
          <w:szCs w:val="18"/>
        </w:rPr>
        <w:t>1</w:t>
      </w:r>
      <w:r>
        <w:rPr>
          <w:rFonts w:ascii="黑体" w:hAnsi="黑体" w:eastAsia="黑体" w:cs="黑体"/>
          <w:sz w:val="18"/>
          <w:szCs w:val="18"/>
        </w:rPr>
        <w:t>　门窗洞口用防水</w:t>
      </w:r>
      <w:r>
        <w:rPr>
          <w:rFonts w:hint="eastAsia" w:ascii="Times New Roman" w:hAnsi="Times New Roman" w:eastAsia="黑体" w:cs="黑体"/>
          <w:sz w:val="18"/>
          <w:szCs w:val="18"/>
        </w:rPr>
        <w:t>透汽</w:t>
      </w:r>
      <w:r>
        <w:rPr>
          <w:rFonts w:ascii="黑体" w:hAnsi="黑体" w:eastAsia="黑体" w:cs="黑体"/>
          <w:sz w:val="18"/>
          <w:szCs w:val="18"/>
        </w:rPr>
        <w:t>膜</w:t>
      </w:r>
      <w:r>
        <w:rPr>
          <w:rFonts w:hint="eastAsia" w:ascii="黑体" w:hAnsi="黑体" w:eastAsia="黑体" w:cs="黑体"/>
          <w:sz w:val="18"/>
          <w:szCs w:val="18"/>
        </w:rPr>
        <w:t>（抹胶型）</w:t>
      </w:r>
      <w:r>
        <w:rPr>
          <w:rFonts w:ascii="黑体" w:hAnsi="黑体" w:eastAsia="黑体" w:cs="黑体"/>
          <w:sz w:val="18"/>
          <w:szCs w:val="18"/>
        </w:rPr>
        <w:t>与防水隔气膜</w:t>
      </w:r>
      <w:r>
        <w:rPr>
          <w:rFonts w:hint="eastAsia" w:ascii="黑体" w:hAnsi="黑体" w:eastAsia="黑体" w:cs="黑体"/>
          <w:sz w:val="18"/>
          <w:szCs w:val="18"/>
        </w:rPr>
        <w:t>（抹胶型）</w:t>
      </w:r>
      <w:r>
        <w:rPr>
          <w:rFonts w:ascii="黑体" w:hAnsi="黑体" w:eastAsia="黑体" w:cs="黑体"/>
          <w:sz w:val="18"/>
          <w:szCs w:val="18"/>
        </w:rPr>
        <w:t>的性能指标</w:t>
      </w:r>
    </w:p>
    <w:tbl>
      <w:tblPr>
        <w:tblStyle w:val="14"/>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914"/>
        <w:gridCol w:w="1914"/>
        <w:gridCol w:w="1914"/>
        <w:gridCol w:w="1914"/>
        <w:gridCol w:w="19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000" w:type="pct"/>
            <w:gridSpan w:val="2"/>
            <w:vMerge w:val="restar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项目</w:t>
            </w:r>
          </w:p>
        </w:tc>
        <w:tc>
          <w:tcPr>
            <w:tcW w:w="2000" w:type="pct"/>
            <w:gridSpan w:val="2"/>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性能指标</w:t>
            </w:r>
          </w:p>
        </w:tc>
        <w:tc>
          <w:tcPr>
            <w:tcW w:w="1000" w:type="pct"/>
            <w:vMerge w:val="restar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试验方法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000" w:type="pct"/>
            <w:gridSpan w:val="2"/>
            <w:vMerge w:val="continue"/>
            <w:tcBorders>
              <w:tl2br w:val="nil"/>
              <w:tr2bl w:val="nil"/>
            </w:tcBorders>
            <w:vAlign w:val="center"/>
          </w:tcPr>
          <w:p>
            <w:pPr>
              <w:overflowPunct w:val="0"/>
              <w:jc w:val="center"/>
              <w:rPr>
                <w:rFonts w:ascii="Times New Roman" w:hAnsi="Times New Roman" w:cs="Times New Roman"/>
                <w:sz w:val="18"/>
                <w:szCs w:val="18"/>
              </w:rPr>
            </w:pPr>
          </w:p>
        </w:tc>
        <w:tc>
          <w:tcPr>
            <w:tcW w:w="1000" w:type="pc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防水隔汽膜</w:t>
            </w:r>
          </w:p>
        </w:tc>
        <w:tc>
          <w:tcPr>
            <w:tcW w:w="1000" w:type="pc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防水</w:t>
            </w:r>
            <w:r>
              <w:rPr>
                <w:rFonts w:hint="eastAsia" w:ascii="Times New Roman" w:hAnsi="Times New Roman" w:cs="Times New Roman"/>
                <w:sz w:val="18"/>
                <w:szCs w:val="18"/>
              </w:rPr>
              <w:t>透汽</w:t>
            </w:r>
            <w:r>
              <w:rPr>
                <w:rFonts w:ascii="Times New Roman" w:hAnsi="Times New Roman" w:cs="Times New Roman"/>
                <w:sz w:val="18"/>
                <w:szCs w:val="18"/>
              </w:rPr>
              <w:t>膜</w:t>
            </w:r>
          </w:p>
        </w:tc>
        <w:tc>
          <w:tcPr>
            <w:tcW w:w="1000" w:type="pct"/>
            <w:vMerge w:val="continue"/>
            <w:tcBorders>
              <w:tl2br w:val="nil"/>
              <w:tr2bl w:val="nil"/>
            </w:tcBorders>
            <w:vAlign w:val="center"/>
          </w:tcPr>
          <w:p>
            <w:pPr>
              <w:overflowPunct w:val="0"/>
              <w:jc w:val="center"/>
              <w:rPr>
                <w:rFonts w:ascii="Times New Roman" w:hAnsi="Times New Roman"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000" w:type="pct"/>
            <w:vMerge w:val="restar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最大抗拉强度，N/50mm</w:t>
            </w:r>
          </w:p>
        </w:tc>
        <w:tc>
          <w:tcPr>
            <w:tcW w:w="1000" w:type="pc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纵向</w:t>
            </w:r>
          </w:p>
        </w:tc>
        <w:tc>
          <w:tcPr>
            <w:tcW w:w="1000" w:type="pc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≥420</w:t>
            </w:r>
          </w:p>
        </w:tc>
        <w:tc>
          <w:tcPr>
            <w:tcW w:w="1000" w:type="pc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≥420</w:t>
            </w:r>
          </w:p>
        </w:tc>
        <w:tc>
          <w:tcPr>
            <w:tcW w:w="1000" w:type="pct"/>
            <w:vMerge w:val="restar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GB/T 7689.5-2013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1000" w:type="pct"/>
            <w:vMerge w:val="continue"/>
            <w:tcBorders>
              <w:tl2br w:val="nil"/>
              <w:tr2bl w:val="nil"/>
            </w:tcBorders>
            <w:vAlign w:val="center"/>
          </w:tcPr>
          <w:p>
            <w:pPr>
              <w:overflowPunct w:val="0"/>
              <w:jc w:val="center"/>
              <w:rPr>
                <w:rFonts w:ascii="Times New Roman" w:hAnsi="Times New Roman" w:cs="Times New Roman"/>
                <w:sz w:val="18"/>
                <w:szCs w:val="18"/>
              </w:rPr>
            </w:pPr>
          </w:p>
        </w:tc>
        <w:tc>
          <w:tcPr>
            <w:tcW w:w="1000" w:type="pc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横向</w:t>
            </w:r>
          </w:p>
        </w:tc>
        <w:tc>
          <w:tcPr>
            <w:tcW w:w="1000" w:type="pc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≥80</w:t>
            </w:r>
          </w:p>
        </w:tc>
        <w:tc>
          <w:tcPr>
            <w:tcW w:w="1000" w:type="pc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≥130</w:t>
            </w:r>
          </w:p>
        </w:tc>
        <w:tc>
          <w:tcPr>
            <w:tcW w:w="1000" w:type="pct"/>
            <w:vMerge w:val="continue"/>
            <w:tcBorders>
              <w:tl2br w:val="nil"/>
              <w:tr2bl w:val="nil"/>
            </w:tcBorders>
            <w:vAlign w:val="center"/>
          </w:tcPr>
          <w:p>
            <w:pPr>
              <w:overflowPunct w:val="0"/>
              <w:jc w:val="center"/>
              <w:rPr>
                <w:rFonts w:ascii="Times New Roman" w:hAnsi="Times New Roman"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000" w:type="pct"/>
            <w:vMerge w:val="restar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断裂伸长率，%</w:t>
            </w:r>
          </w:p>
        </w:tc>
        <w:tc>
          <w:tcPr>
            <w:tcW w:w="1000" w:type="pc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纵向</w:t>
            </w:r>
          </w:p>
        </w:tc>
        <w:tc>
          <w:tcPr>
            <w:tcW w:w="1000" w:type="pc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≥18</w:t>
            </w:r>
          </w:p>
        </w:tc>
        <w:tc>
          <w:tcPr>
            <w:tcW w:w="1000" w:type="pc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≥20</w:t>
            </w:r>
          </w:p>
        </w:tc>
        <w:tc>
          <w:tcPr>
            <w:tcW w:w="1000" w:type="pct"/>
            <w:vMerge w:val="restar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GB/T 7689.5-2013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000" w:type="pct"/>
            <w:vMerge w:val="continue"/>
            <w:tcBorders>
              <w:tl2br w:val="nil"/>
              <w:tr2bl w:val="nil"/>
            </w:tcBorders>
            <w:vAlign w:val="center"/>
          </w:tcPr>
          <w:p>
            <w:pPr>
              <w:overflowPunct w:val="0"/>
              <w:jc w:val="center"/>
              <w:rPr>
                <w:rFonts w:ascii="Times New Roman" w:hAnsi="Times New Roman" w:cs="Times New Roman"/>
                <w:sz w:val="18"/>
                <w:szCs w:val="18"/>
              </w:rPr>
            </w:pPr>
          </w:p>
        </w:tc>
        <w:tc>
          <w:tcPr>
            <w:tcW w:w="1000" w:type="pc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横向</w:t>
            </w:r>
          </w:p>
        </w:tc>
        <w:tc>
          <w:tcPr>
            <w:tcW w:w="1000" w:type="pc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≥50</w:t>
            </w:r>
          </w:p>
        </w:tc>
        <w:tc>
          <w:tcPr>
            <w:tcW w:w="1000" w:type="pc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≥60</w:t>
            </w:r>
          </w:p>
        </w:tc>
        <w:tc>
          <w:tcPr>
            <w:tcW w:w="1000" w:type="pct"/>
            <w:vMerge w:val="continue"/>
            <w:tcBorders>
              <w:tl2br w:val="nil"/>
              <w:tr2bl w:val="nil"/>
            </w:tcBorders>
            <w:vAlign w:val="center"/>
          </w:tcPr>
          <w:p>
            <w:pPr>
              <w:overflowPunct w:val="0"/>
              <w:jc w:val="center"/>
              <w:rPr>
                <w:rFonts w:ascii="Times New Roman" w:hAnsi="Times New Roman"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000" w:type="pct"/>
            <w:gridSpan w:val="2"/>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不透水性</w:t>
            </w:r>
          </w:p>
        </w:tc>
        <w:tc>
          <w:tcPr>
            <w:tcW w:w="2000" w:type="pct"/>
            <w:gridSpan w:val="2"/>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1000mm，20h不透水</w:t>
            </w:r>
          </w:p>
        </w:tc>
        <w:tc>
          <w:tcPr>
            <w:tcW w:w="1000" w:type="pc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GB/T 328.10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2000" w:type="pct"/>
            <w:gridSpan w:val="2"/>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水蒸气当量空气层厚度Sd，m</w:t>
            </w:r>
          </w:p>
        </w:tc>
        <w:tc>
          <w:tcPr>
            <w:tcW w:w="1000" w:type="pc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≥20</w:t>
            </w:r>
          </w:p>
        </w:tc>
        <w:tc>
          <w:tcPr>
            <w:tcW w:w="1000" w:type="pc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≤1</w:t>
            </w:r>
          </w:p>
        </w:tc>
        <w:tc>
          <w:tcPr>
            <w:tcW w:w="1000" w:type="pc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GB/T 17146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000" w:type="pct"/>
            <w:gridSpan w:val="2"/>
            <w:tcBorders>
              <w:tl2br w:val="nil"/>
              <w:tr2bl w:val="nil"/>
            </w:tcBorders>
            <w:vAlign w:val="center"/>
          </w:tcPr>
          <w:p>
            <w:pPr>
              <w:overflowPunct w:val="0"/>
              <w:jc w:val="center"/>
              <w:rPr>
                <w:rFonts w:ascii="Times New Roman" w:hAnsi="Times New Roman" w:cs="Times New Roman"/>
                <w:sz w:val="18"/>
                <w:szCs w:val="18"/>
              </w:rPr>
            </w:pPr>
            <w:r>
              <w:rPr>
                <w:rFonts w:hint="eastAsia" w:ascii="Times New Roman" w:hAnsi="Times New Roman" w:cs="Times New Roman"/>
                <w:sz w:val="18"/>
                <w:szCs w:val="18"/>
              </w:rPr>
              <w:t>透汽</w:t>
            </w:r>
            <w:r>
              <w:rPr>
                <w:rFonts w:ascii="Times New Roman" w:hAnsi="Times New Roman" w:cs="Times New Roman"/>
                <w:sz w:val="18"/>
                <w:szCs w:val="18"/>
              </w:rPr>
              <w:t>率，mm/s</w:t>
            </w:r>
          </w:p>
        </w:tc>
        <w:tc>
          <w:tcPr>
            <w:tcW w:w="2000" w:type="pct"/>
            <w:gridSpan w:val="2"/>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≤1.0</w:t>
            </w:r>
          </w:p>
        </w:tc>
        <w:tc>
          <w:tcPr>
            <w:tcW w:w="1000" w:type="pc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GB/T 5453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000" w:type="pct"/>
            <w:gridSpan w:val="2"/>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180°剥离强度，kN/m</w:t>
            </w:r>
          </w:p>
        </w:tc>
        <w:tc>
          <w:tcPr>
            <w:tcW w:w="2000" w:type="pct"/>
            <w:gridSpan w:val="2"/>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≥0.4</w:t>
            </w:r>
          </w:p>
        </w:tc>
        <w:tc>
          <w:tcPr>
            <w:tcW w:w="1000" w:type="pc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GB/T 2790</w:t>
            </w:r>
          </w:p>
        </w:tc>
      </w:tr>
    </w:tbl>
    <w:p>
      <w:pPr>
        <w:pStyle w:val="42"/>
        <w:widowControl w:val="0"/>
        <w:overflowPunct w:val="0"/>
        <w:autoSpaceDE/>
        <w:autoSpaceDN/>
        <w:spacing w:before="62" w:beforeLines="20" w:after="78" w:afterLines="25" w:line="309" w:lineRule="exact"/>
        <w:ind w:firstLine="0" w:firstLineChars="0"/>
        <w:jc w:val="center"/>
        <w:rPr>
          <w:rFonts w:ascii="黑体" w:hAnsi="黑体" w:eastAsia="黑体" w:cs="黑体"/>
          <w:sz w:val="18"/>
          <w:szCs w:val="18"/>
        </w:rPr>
      </w:pPr>
    </w:p>
    <w:p>
      <w:pPr>
        <w:pStyle w:val="42"/>
        <w:widowControl w:val="0"/>
        <w:overflowPunct w:val="0"/>
        <w:autoSpaceDE/>
        <w:autoSpaceDN/>
        <w:spacing w:before="62" w:beforeLines="20" w:after="78" w:afterLines="25" w:line="309" w:lineRule="exact"/>
        <w:ind w:firstLine="0" w:firstLineChars="0"/>
        <w:jc w:val="center"/>
        <w:rPr>
          <w:rFonts w:ascii="黑体" w:hAnsi="黑体" w:eastAsia="黑体" w:cs="黑体"/>
          <w:sz w:val="18"/>
          <w:szCs w:val="18"/>
        </w:rPr>
      </w:pPr>
      <w:r>
        <w:rPr>
          <w:rFonts w:ascii="黑体" w:hAnsi="黑体" w:eastAsia="黑体" w:cs="黑体"/>
          <w:sz w:val="18"/>
          <w:szCs w:val="18"/>
        </w:rPr>
        <w:t>表C.</w:t>
      </w:r>
      <w:r>
        <w:rPr>
          <w:rFonts w:hint="eastAsia" w:ascii="黑体" w:hAnsi="黑体" w:eastAsia="黑体" w:cs="黑体"/>
          <w:sz w:val="18"/>
          <w:szCs w:val="18"/>
        </w:rPr>
        <w:t>2</w:t>
      </w:r>
      <w:r>
        <w:rPr>
          <w:rFonts w:ascii="黑体" w:hAnsi="黑体" w:eastAsia="黑体" w:cs="黑体"/>
          <w:sz w:val="18"/>
          <w:szCs w:val="18"/>
        </w:rPr>
        <w:t>门窗洞口用防水</w:t>
      </w:r>
      <w:r>
        <w:rPr>
          <w:rFonts w:hint="eastAsia" w:ascii="Times New Roman" w:hAnsi="Times New Roman" w:eastAsia="黑体" w:cs="黑体"/>
          <w:sz w:val="18"/>
          <w:szCs w:val="18"/>
        </w:rPr>
        <w:t>透汽</w:t>
      </w:r>
      <w:r>
        <w:rPr>
          <w:rFonts w:ascii="黑体" w:hAnsi="黑体" w:eastAsia="黑体" w:cs="黑体"/>
          <w:sz w:val="18"/>
          <w:szCs w:val="18"/>
        </w:rPr>
        <w:t>膜</w:t>
      </w:r>
      <w:r>
        <w:rPr>
          <w:rFonts w:hint="eastAsia" w:ascii="黑体" w:hAnsi="黑体" w:eastAsia="黑体" w:cs="黑体"/>
          <w:sz w:val="18"/>
          <w:szCs w:val="18"/>
        </w:rPr>
        <w:t>（自粘型）</w:t>
      </w:r>
      <w:r>
        <w:rPr>
          <w:rFonts w:ascii="黑体" w:hAnsi="黑体" w:eastAsia="黑体" w:cs="黑体"/>
          <w:sz w:val="18"/>
          <w:szCs w:val="18"/>
        </w:rPr>
        <w:t>与防水隔气膜</w:t>
      </w:r>
      <w:r>
        <w:rPr>
          <w:rFonts w:hint="eastAsia" w:ascii="黑体" w:hAnsi="黑体" w:eastAsia="黑体" w:cs="黑体"/>
          <w:sz w:val="18"/>
          <w:szCs w:val="18"/>
        </w:rPr>
        <w:t>（自粘型）</w:t>
      </w:r>
      <w:r>
        <w:rPr>
          <w:rFonts w:ascii="黑体" w:hAnsi="黑体" w:eastAsia="黑体" w:cs="黑体"/>
          <w:sz w:val="18"/>
          <w:szCs w:val="18"/>
        </w:rPr>
        <w:t>的性能指标</w:t>
      </w:r>
    </w:p>
    <w:tbl>
      <w:tblPr>
        <w:tblStyle w:val="14"/>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914"/>
        <w:gridCol w:w="1914"/>
        <w:gridCol w:w="1914"/>
        <w:gridCol w:w="1914"/>
        <w:gridCol w:w="19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000" w:type="pct"/>
            <w:gridSpan w:val="2"/>
            <w:vMerge w:val="restar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项目</w:t>
            </w:r>
          </w:p>
        </w:tc>
        <w:tc>
          <w:tcPr>
            <w:tcW w:w="2000" w:type="pct"/>
            <w:gridSpan w:val="2"/>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性能指标</w:t>
            </w:r>
          </w:p>
        </w:tc>
        <w:tc>
          <w:tcPr>
            <w:tcW w:w="1000" w:type="pct"/>
            <w:vMerge w:val="restar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试验方法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000" w:type="pct"/>
            <w:gridSpan w:val="2"/>
            <w:vMerge w:val="continue"/>
            <w:tcBorders>
              <w:tl2br w:val="nil"/>
              <w:tr2bl w:val="nil"/>
            </w:tcBorders>
            <w:vAlign w:val="center"/>
          </w:tcPr>
          <w:p>
            <w:pPr>
              <w:overflowPunct w:val="0"/>
              <w:jc w:val="center"/>
              <w:rPr>
                <w:rFonts w:ascii="Times New Roman" w:hAnsi="Times New Roman" w:cs="Times New Roman"/>
                <w:sz w:val="18"/>
                <w:szCs w:val="18"/>
              </w:rPr>
            </w:pPr>
          </w:p>
        </w:tc>
        <w:tc>
          <w:tcPr>
            <w:tcW w:w="1000" w:type="pc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防水隔汽膜</w:t>
            </w:r>
          </w:p>
        </w:tc>
        <w:tc>
          <w:tcPr>
            <w:tcW w:w="1000" w:type="pc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防水</w:t>
            </w:r>
            <w:r>
              <w:rPr>
                <w:rFonts w:hint="eastAsia" w:ascii="Times New Roman" w:hAnsi="Times New Roman" w:cs="Times New Roman"/>
                <w:sz w:val="18"/>
                <w:szCs w:val="18"/>
              </w:rPr>
              <w:t>透汽</w:t>
            </w:r>
            <w:r>
              <w:rPr>
                <w:rFonts w:ascii="Times New Roman" w:hAnsi="Times New Roman" w:cs="Times New Roman"/>
                <w:sz w:val="18"/>
                <w:szCs w:val="18"/>
              </w:rPr>
              <w:t>膜</w:t>
            </w:r>
          </w:p>
        </w:tc>
        <w:tc>
          <w:tcPr>
            <w:tcW w:w="1000" w:type="pct"/>
            <w:vMerge w:val="continue"/>
            <w:tcBorders>
              <w:tl2br w:val="nil"/>
              <w:tr2bl w:val="nil"/>
            </w:tcBorders>
            <w:vAlign w:val="center"/>
          </w:tcPr>
          <w:p>
            <w:pPr>
              <w:overflowPunct w:val="0"/>
              <w:jc w:val="center"/>
              <w:rPr>
                <w:rFonts w:ascii="Times New Roman" w:hAnsi="Times New Roman"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000" w:type="pct"/>
            <w:vMerge w:val="restar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最大抗拉强度，N/50mm</w:t>
            </w:r>
          </w:p>
        </w:tc>
        <w:tc>
          <w:tcPr>
            <w:tcW w:w="1000" w:type="pc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纵向</w:t>
            </w:r>
          </w:p>
        </w:tc>
        <w:tc>
          <w:tcPr>
            <w:tcW w:w="1000" w:type="pc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≥200</w:t>
            </w:r>
          </w:p>
        </w:tc>
        <w:tc>
          <w:tcPr>
            <w:tcW w:w="1000" w:type="pc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≥250</w:t>
            </w:r>
          </w:p>
        </w:tc>
        <w:tc>
          <w:tcPr>
            <w:tcW w:w="1000" w:type="pct"/>
            <w:vMerge w:val="restar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GB/T 7689.5-2013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1000" w:type="pct"/>
            <w:vMerge w:val="continue"/>
            <w:tcBorders>
              <w:tl2br w:val="nil"/>
              <w:tr2bl w:val="nil"/>
            </w:tcBorders>
            <w:vAlign w:val="center"/>
          </w:tcPr>
          <w:p>
            <w:pPr>
              <w:overflowPunct w:val="0"/>
              <w:jc w:val="center"/>
              <w:rPr>
                <w:rFonts w:ascii="Times New Roman" w:hAnsi="Times New Roman" w:cs="Times New Roman"/>
                <w:sz w:val="18"/>
                <w:szCs w:val="18"/>
              </w:rPr>
            </w:pPr>
          </w:p>
        </w:tc>
        <w:tc>
          <w:tcPr>
            <w:tcW w:w="1000" w:type="pc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横向</w:t>
            </w:r>
          </w:p>
        </w:tc>
        <w:tc>
          <w:tcPr>
            <w:tcW w:w="1000" w:type="pc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≥80</w:t>
            </w:r>
          </w:p>
        </w:tc>
        <w:tc>
          <w:tcPr>
            <w:tcW w:w="1000" w:type="pc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≥130</w:t>
            </w:r>
          </w:p>
        </w:tc>
        <w:tc>
          <w:tcPr>
            <w:tcW w:w="1000" w:type="pct"/>
            <w:vMerge w:val="continue"/>
            <w:tcBorders>
              <w:tl2br w:val="nil"/>
              <w:tr2bl w:val="nil"/>
            </w:tcBorders>
            <w:vAlign w:val="center"/>
          </w:tcPr>
          <w:p>
            <w:pPr>
              <w:overflowPunct w:val="0"/>
              <w:jc w:val="center"/>
              <w:rPr>
                <w:rFonts w:ascii="Times New Roman" w:hAnsi="Times New Roman"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000" w:type="pct"/>
            <w:vMerge w:val="restar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断裂伸长率，%</w:t>
            </w:r>
          </w:p>
        </w:tc>
        <w:tc>
          <w:tcPr>
            <w:tcW w:w="1000" w:type="pc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纵向</w:t>
            </w:r>
          </w:p>
        </w:tc>
        <w:tc>
          <w:tcPr>
            <w:tcW w:w="1000" w:type="pc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≥20</w:t>
            </w:r>
          </w:p>
        </w:tc>
        <w:tc>
          <w:tcPr>
            <w:tcW w:w="1000" w:type="pc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≥20</w:t>
            </w:r>
          </w:p>
        </w:tc>
        <w:tc>
          <w:tcPr>
            <w:tcW w:w="1000" w:type="pct"/>
            <w:vMerge w:val="restar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GB/T 7689.5-2013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000" w:type="pct"/>
            <w:vMerge w:val="continue"/>
            <w:tcBorders>
              <w:tl2br w:val="nil"/>
              <w:tr2bl w:val="nil"/>
            </w:tcBorders>
            <w:vAlign w:val="center"/>
          </w:tcPr>
          <w:p>
            <w:pPr>
              <w:overflowPunct w:val="0"/>
              <w:jc w:val="center"/>
              <w:rPr>
                <w:rFonts w:ascii="Times New Roman" w:hAnsi="Times New Roman" w:cs="Times New Roman"/>
                <w:sz w:val="18"/>
                <w:szCs w:val="18"/>
              </w:rPr>
            </w:pPr>
          </w:p>
        </w:tc>
        <w:tc>
          <w:tcPr>
            <w:tcW w:w="1000" w:type="pc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横向</w:t>
            </w:r>
          </w:p>
        </w:tc>
        <w:tc>
          <w:tcPr>
            <w:tcW w:w="1000" w:type="pc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≥60</w:t>
            </w:r>
          </w:p>
        </w:tc>
        <w:tc>
          <w:tcPr>
            <w:tcW w:w="1000" w:type="pc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≥80</w:t>
            </w:r>
          </w:p>
        </w:tc>
        <w:tc>
          <w:tcPr>
            <w:tcW w:w="1000" w:type="pct"/>
            <w:vMerge w:val="continue"/>
            <w:tcBorders>
              <w:tl2br w:val="nil"/>
              <w:tr2bl w:val="nil"/>
            </w:tcBorders>
            <w:vAlign w:val="center"/>
          </w:tcPr>
          <w:p>
            <w:pPr>
              <w:overflowPunct w:val="0"/>
              <w:jc w:val="center"/>
              <w:rPr>
                <w:rFonts w:ascii="Times New Roman" w:hAnsi="Times New Roman"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000" w:type="pct"/>
            <w:gridSpan w:val="2"/>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不透水性</w:t>
            </w:r>
          </w:p>
        </w:tc>
        <w:tc>
          <w:tcPr>
            <w:tcW w:w="2000" w:type="pct"/>
            <w:gridSpan w:val="2"/>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1000mm，20h不透水</w:t>
            </w:r>
          </w:p>
        </w:tc>
        <w:tc>
          <w:tcPr>
            <w:tcW w:w="1000" w:type="pc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GB/T 328.10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2000" w:type="pct"/>
            <w:gridSpan w:val="2"/>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水蒸气当量空气层厚度Sd，m</w:t>
            </w:r>
          </w:p>
        </w:tc>
        <w:tc>
          <w:tcPr>
            <w:tcW w:w="1000" w:type="pc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≥20.0</w:t>
            </w:r>
          </w:p>
        </w:tc>
        <w:tc>
          <w:tcPr>
            <w:tcW w:w="1000" w:type="pc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≤5.0</w:t>
            </w:r>
          </w:p>
        </w:tc>
        <w:tc>
          <w:tcPr>
            <w:tcW w:w="1000" w:type="pc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GB/T 17146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000" w:type="pct"/>
            <w:gridSpan w:val="2"/>
            <w:tcBorders>
              <w:tl2br w:val="nil"/>
              <w:tr2bl w:val="nil"/>
            </w:tcBorders>
            <w:vAlign w:val="center"/>
          </w:tcPr>
          <w:p>
            <w:pPr>
              <w:overflowPunct w:val="0"/>
              <w:jc w:val="center"/>
              <w:rPr>
                <w:rFonts w:ascii="Times New Roman" w:hAnsi="Times New Roman" w:cs="Times New Roman"/>
                <w:sz w:val="18"/>
                <w:szCs w:val="18"/>
              </w:rPr>
            </w:pPr>
            <w:r>
              <w:rPr>
                <w:rFonts w:hint="eastAsia" w:ascii="Times New Roman" w:hAnsi="Times New Roman" w:cs="Times New Roman"/>
                <w:sz w:val="18"/>
                <w:szCs w:val="18"/>
              </w:rPr>
              <w:t>透汽</w:t>
            </w:r>
            <w:r>
              <w:rPr>
                <w:rFonts w:ascii="Times New Roman" w:hAnsi="Times New Roman" w:cs="Times New Roman"/>
                <w:sz w:val="18"/>
                <w:szCs w:val="18"/>
              </w:rPr>
              <w:t>率，mm/s</w:t>
            </w:r>
          </w:p>
        </w:tc>
        <w:tc>
          <w:tcPr>
            <w:tcW w:w="2000" w:type="pct"/>
            <w:gridSpan w:val="2"/>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≤1.0</w:t>
            </w:r>
          </w:p>
        </w:tc>
        <w:tc>
          <w:tcPr>
            <w:tcW w:w="1000" w:type="pc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GB/T 5453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000" w:type="pct"/>
            <w:gridSpan w:val="2"/>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180°剥离强度，kN/m</w:t>
            </w:r>
          </w:p>
        </w:tc>
        <w:tc>
          <w:tcPr>
            <w:tcW w:w="2000" w:type="pct"/>
            <w:gridSpan w:val="2"/>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≥0.4</w:t>
            </w:r>
          </w:p>
        </w:tc>
        <w:tc>
          <w:tcPr>
            <w:tcW w:w="1000" w:type="pct"/>
            <w:tcBorders>
              <w:tl2br w:val="nil"/>
              <w:tr2bl w:val="nil"/>
            </w:tcBorders>
            <w:vAlign w:val="center"/>
          </w:tcPr>
          <w:p>
            <w:pPr>
              <w:overflowPunct w:val="0"/>
              <w:jc w:val="center"/>
              <w:rPr>
                <w:rFonts w:ascii="Times New Roman" w:hAnsi="Times New Roman" w:cs="Times New Roman"/>
                <w:sz w:val="18"/>
                <w:szCs w:val="18"/>
              </w:rPr>
            </w:pPr>
            <w:r>
              <w:rPr>
                <w:rFonts w:ascii="Times New Roman" w:hAnsi="Times New Roman" w:cs="Times New Roman"/>
                <w:sz w:val="18"/>
                <w:szCs w:val="18"/>
              </w:rPr>
              <w:t>GB/T 2790</w:t>
            </w:r>
          </w:p>
        </w:tc>
      </w:tr>
    </w:tbl>
    <w:p>
      <w:pPr>
        <w:overflowPunct w:val="0"/>
        <w:rPr>
          <w:rStyle w:val="44"/>
          <w:color w:val="auto"/>
        </w:rPr>
      </w:pPr>
      <w:r>
        <w:rPr>
          <w:rFonts w:hint="eastAsia"/>
          <w:sz w:val="23"/>
          <w:szCs w:val="23"/>
        </w:rPr>
        <w:br w:type="page"/>
      </w:r>
    </w:p>
    <w:p>
      <w:pPr>
        <w:pStyle w:val="56"/>
        <w:keepNext w:val="0"/>
        <w:keepLines w:val="0"/>
        <w:pageBreakBefore w:val="0"/>
        <w:widowControl w:val="0"/>
        <w:kinsoku/>
        <w:wordWrap/>
        <w:overflowPunct w:val="0"/>
        <w:topLinePunct w:val="0"/>
        <w:autoSpaceDE/>
        <w:autoSpaceDN/>
        <w:bidi w:val="0"/>
        <w:adjustRightInd/>
        <w:snapToGrid/>
        <w:spacing w:before="156" w:beforeLines="50" w:after="157" w:afterLines="50"/>
        <w:ind w:firstLine="0" w:firstLineChars="0"/>
        <w:jc w:val="center"/>
        <w:textAlignment w:val="auto"/>
        <w:outlineLvl w:val="0"/>
        <w:rPr>
          <w:rFonts w:hint="eastAsia" w:ascii="黑体" w:hAnsi="黑体" w:eastAsia="黑体"/>
          <w:szCs w:val="21"/>
        </w:rPr>
      </w:pPr>
      <w:r>
        <w:rPr>
          <w:rFonts w:ascii="黑体" w:hAnsi="黑体" w:eastAsia="黑体"/>
        </w:rPr>
        <w:t>附录D</w:t>
      </w:r>
      <w:r>
        <w:rPr>
          <w:rFonts w:hint="eastAsia" w:ascii="黑体" w:hAnsi="黑体" w:eastAsia="黑体"/>
          <w:szCs w:val="21"/>
        </w:rPr>
        <w:t>　</w:t>
      </w:r>
      <w:bookmarkStart w:id="57" w:name="_Toc20606"/>
    </w:p>
    <w:p>
      <w:pPr>
        <w:pStyle w:val="56"/>
        <w:keepNext w:val="0"/>
        <w:keepLines w:val="0"/>
        <w:pageBreakBefore w:val="0"/>
        <w:widowControl w:val="0"/>
        <w:kinsoku/>
        <w:wordWrap/>
        <w:overflowPunct w:val="0"/>
        <w:topLinePunct w:val="0"/>
        <w:autoSpaceDE/>
        <w:autoSpaceDN/>
        <w:bidi w:val="0"/>
        <w:adjustRightInd/>
        <w:snapToGrid/>
        <w:spacing w:before="156" w:beforeLines="50" w:after="157" w:afterLines="50"/>
        <w:ind w:firstLine="0" w:firstLineChars="0"/>
        <w:jc w:val="center"/>
        <w:textAlignment w:val="auto"/>
        <w:outlineLvl w:val="0"/>
        <w:rPr>
          <w:rFonts w:hint="eastAsia" w:ascii="黑体" w:hAnsi="黑体" w:eastAsia="黑体"/>
          <w:szCs w:val="21"/>
        </w:rPr>
      </w:pPr>
      <w:r>
        <w:rPr>
          <w:rFonts w:hint="eastAsia" w:ascii="黑体" w:hAnsi="黑体" w:eastAsia="黑体"/>
          <w:szCs w:val="21"/>
          <w:lang w:val="en-US" w:eastAsia="zh-CN"/>
        </w:rPr>
        <w:t>(资料性）</w:t>
      </w:r>
    </w:p>
    <w:p>
      <w:pPr>
        <w:pStyle w:val="56"/>
        <w:widowControl w:val="0"/>
        <w:overflowPunct w:val="0"/>
        <w:autoSpaceDE/>
        <w:autoSpaceDN/>
        <w:spacing w:before="156" w:beforeLines="50" w:after="468" w:afterLines="150"/>
        <w:ind w:firstLine="0" w:firstLineChars="0"/>
        <w:jc w:val="center"/>
        <w:outlineLvl w:val="0"/>
        <w:rPr>
          <w:rFonts w:ascii="黑体" w:hAnsi="黑体" w:eastAsia="黑体"/>
        </w:rPr>
      </w:pPr>
      <w:r>
        <w:rPr>
          <w:rFonts w:hint="eastAsia" w:ascii="黑体" w:hAnsi="黑体" w:eastAsia="黑体"/>
        </w:rPr>
        <w:t>公共建筑围护结构建筑节能基本构造主要类型</w:t>
      </w:r>
      <w:bookmarkEnd w:id="57"/>
    </w:p>
    <w:p>
      <w:pPr>
        <w:overflowPunct w:val="0"/>
        <w:spacing w:line="360" w:lineRule="auto"/>
        <w:outlineLvl w:val="1"/>
        <w:rPr>
          <w:rStyle w:val="44"/>
          <w:color w:val="auto"/>
        </w:rPr>
      </w:pPr>
      <w:bookmarkStart w:id="58" w:name="_Toc8152"/>
      <w:bookmarkStart w:id="59" w:name="_Toc7269"/>
      <w:r>
        <w:rPr>
          <w:rStyle w:val="44"/>
          <w:rFonts w:hint="eastAsia" w:eastAsia="黑体"/>
          <w:color w:val="auto"/>
          <w:lang w:val="en-US" w:eastAsia="zh-CN"/>
        </w:rPr>
        <w:t xml:space="preserve">D.1  </w:t>
      </w:r>
      <w:r>
        <w:rPr>
          <w:rStyle w:val="44"/>
          <w:rFonts w:hint="eastAsia"/>
          <w:color w:val="auto"/>
        </w:rPr>
        <w:t>屋面</w:t>
      </w:r>
      <w:bookmarkEnd w:id="58"/>
      <w:bookmarkEnd w:id="59"/>
    </w:p>
    <w:p>
      <w:pPr>
        <w:overflowPunct w:val="0"/>
        <w:outlineLvl w:val="2"/>
        <w:rPr>
          <w:rStyle w:val="44"/>
          <w:rFonts w:hint="eastAsia" w:eastAsia="黑体"/>
          <w:color w:val="auto"/>
          <w:lang w:eastAsia="zh-CN"/>
        </w:rPr>
      </w:pPr>
      <w:r>
        <w:rPr>
          <w:rStyle w:val="44"/>
          <w:rFonts w:hint="eastAsia" w:eastAsia="黑体"/>
          <w:color w:val="auto"/>
          <w:lang w:val="en-US" w:eastAsia="zh-CN"/>
        </w:rPr>
        <w:t>D.1.</w:t>
      </w:r>
      <w:r>
        <w:rPr>
          <w:rStyle w:val="44"/>
          <w:color w:val="auto"/>
        </w:rPr>
        <w:t>1</w:t>
      </w:r>
      <w:r>
        <w:rPr>
          <w:rStyle w:val="44"/>
          <w:rFonts w:hint="eastAsia" w:eastAsia="黑体"/>
          <w:color w:val="auto"/>
          <w:lang w:val="en-US" w:eastAsia="zh-CN"/>
        </w:rPr>
        <w:t xml:space="preserve"> </w:t>
      </w:r>
      <w:r>
        <w:rPr>
          <w:rStyle w:val="44"/>
          <w:rFonts w:hint="eastAsia"/>
          <w:color w:val="auto"/>
        </w:rPr>
        <w:t>平屋面</w:t>
      </w:r>
      <w:r>
        <w:rPr>
          <w:rStyle w:val="44"/>
          <w:rFonts w:hint="eastAsia" w:eastAsia="黑体"/>
          <w:color w:val="auto"/>
          <w:lang w:eastAsia="zh-CN"/>
        </w:rPr>
        <w:t>（见图</w:t>
      </w:r>
      <w:r>
        <w:rPr>
          <w:rStyle w:val="44"/>
          <w:rFonts w:hint="eastAsia" w:eastAsia="黑体"/>
          <w:color w:val="auto"/>
          <w:lang w:val="en-US" w:eastAsia="zh-CN"/>
        </w:rPr>
        <w:t>D.1</w:t>
      </w:r>
      <w:r>
        <w:rPr>
          <w:rStyle w:val="44"/>
          <w:rFonts w:hint="eastAsia" w:eastAsia="黑体"/>
          <w:color w:val="auto"/>
          <w:lang w:eastAsia="zh-CN"/>
        </w:rPr>
        <w:t>）</w:t>
      </w:r>
    </w:p>
    <w:p>
      <w:pPr>
        <w:overflowPunct w:val="0"/>
        <w:jc w:val="center"/>
        <w:rPr>
          <w:rFonts w:ascii="黑体" w:hAnsi="黑体" w:eastAsia="黑体" w:cs="黑体"/>
          <w:sz w:val="18"/>
          <w:szCs w:val="18"/>
        </w:rPr>
      </w:pPr>
      <w:r>
        <w:drawing>
          <wp:inline distT="0" distB="0" distL="114300" distR="114300">
            <wp:extent cx="5930900" cy="3376295"/>
            <wp:effectExtent l="0" t="0" r="12700" b="14605"/>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4"/>
                    <a:stretch>
                      <a:fillRect/>
                    </a:stretch>
                  </pic:blipFill>
                  <pic:spPr>
                    <a:xfrm>
                      <a:off x="0" y="0"/>
                      <a:ext cx="5930900" cy="3376295"/>
                    </a:xfrm>
                    <a:prstGeom prst="rect">
                      <a:avLst/>
                    </a:prstGeom>
                    <a:noFill/>
                    <a:ln>
                      <a:noFill/>
                    </a:ln>
                  </pic:spPr>
                </pic:pic>
              </a:graphicData>
            </a:graphic>
          </wp:inline>
        </w:drawing>
      </w:r>
      <w:r>
        <w:rPr>
          <w:rFonts w:hint="eastAsia" w:ascii="黑体" w:hAnsi="黑体" w:eastAsia="黑体" w:cs="黑体"/>
          <w:sz w:val="18"/>
          <w:szCs w:val="18"/>
        </w:rPr>
        <w:t xml:space="preserve">图D.1 </w:t>
      </w:r>
      <w:r>
        <w:rPr>
          <w:rFonts w:ascii="黑体" w:hAnsi="黑体" w:eastAsia="黑体" w:cs="黑体"/>
          <w:sz w:val="18"/>
          <w:szCs w:val="18"/>
        </w:rPr>
        <w:t>平屋面构造示意图</w:t>
      </w:r>
    </w:p>
    <w:p>
      <w:pPr>
        <w:overflowPunct w:val="0"/>
        <w:rPr>
          <w:rStyle w:val="44"/>
          <w:color w:val="auto"/>
        </w:rPr>
      </w:pPr>
      <w:r>
        <w:rPr>
          <w:rStyle w:val="44"/>
          <w:rFonts w:hint="eastAsia"/>
          <w:color w:val="auto"/>
        </w:rPr>
        <w:br w:type="page"/>
      </w:r>
    </w:p>
    <w:p>
      <w:pPr>
        <w:overflowPunct w:val="0"/>
        <w:ind w:firstLine="420"/>
        <w:outlineLvl w:val="2"/>
        <w:rPr>
          <w:rStyle w:val="44"/>
          <w:rFonts w:hint="eastAsia" w:eastAsia="黑体"/>
          <w:color w:val="auto"/>
          <w:lang w:eastAsia="zh-CN"/>
        </w:rPr>
      </w:pPr>
      <w:r>
        <w:rPr>
          <w:rStyle w:val="44"/>
          <w:rFonts w:hint="eastAsia" w:eastAsia="黑体"/>
          <w:color w:val="auto"/>
          <w:lang w:val="en-US" w:eastAsia="zh-CN"/>
        </w:rPr>
        <w:t xml:space="preserve">D.1.2 </w:t>
      </w:r>
      <w:r>
        <w:rPr>
          <w:rStyle w:val="44"/>
          <w:rFonts w:hint="eastAsia"/>
          <w:color w:val="auto"/>
        </w:rPr>
        <w:t>种植屋面</w:t>
      </w:r>
      <w:r>
        <w:rPr>
          <w:rStyle w:val="44"/>
          <w:rFonts w:hint="eastAsia" w:eastAsia="黑体"/>
          <w:color w:val="auto"/>
          <w:lang w:eastAsia="zh-CN"/>
        </w:rPr>
        <w:t>（见图</w:t>
      </w:r>
      <w:r>
        <w:rPr>
          <w:rStyle w:val="44"/>
          <w:rFonts w:hint="eastAsia" w:eastAsia="黑体"/>
          <w:color w:val="auto"/>
          <w:lang w:val="en-US" w:eastAsia="zh-CN"/>
        </w:rPr>
        <w:t>D.2</w:t>
      </w:r>
      <w:r>
        <w:rPr>
          <w:rStyle w:val="44"/>
          <w:rFonts w:hint="eastAsia" w:eastAsia="黑体"/>
          <w:color w:val="auto"/>
          <w:lang w:eastAsia="zh-CN"/>
        </w:rPr>
        <w:t>）</w:t>
      </w:r>
    </w:p>
    <w:p>
      <w:pPr>
        <w:overflowPunct w:val="0"/>
        <w:jc w:val="center"/>
      </w:pPr>
      <w:r>
        <w:drawing>
          <wp:inline distT="0" distB="0" distL="114300" distR="114300">
            <wp:extent cx="5936615" cy="6557645"/>
            <wp:effectExtent l="0" t="0" r="6985" b="14605"/>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15"/>
                    <a:stretch>
                      <a:fillRect/>
                    </a:stretch>
                  </pic:blipFill>
                  <pic:spPr>
                    <a:xfrm>
                      <a:off x="0" y="0"/>
                      <a:ext cx="5936615" cy="6557645"/>
                    </a:xfrm>
                    <a:prstGeom prst="rect">
                      <a:avLst/>
                    </a:prstGeom>
                    <a:noFill/>
                    <a:ln>
                      <a:noFill/>
                    </a:ln>
                  </pic:spPr>
                </pic:pic>
              </a:graphicData>
            </a:graphic>
          </wp:inline>
        </w:drawing>
      </w:r>
    </w:p>
    <w:p>
      <w:pPr>
        <w:pStyle w:val="42"/>
        <w:widowControl w:val="0"/>
        <w:overflowPunct w:val="0"/>
        <w:autoSpaceDE/>
        <w:autoSpaceDN/>
        <w:spacing w:before="62" w:beforeLines="20" w:after="78" w:afterLines="25" w:line="309" w:lineRule="exact"/>
        <w:ind w:firstLine="0" w:firstLineChars="0"/>
        <w:jc w:val="center"/>
        <w:rPr>
          <w:rFonts w:ascii="黑体" w:hAnsi="黑体" w:eastAsia="黑体" w:cs="黑体"/>
          <w:sz w:val="18"/>
          <w:szCs w:val="18"/>
        </w:rPr>
      </w:pPr>
      <w:r>
        <w:rPr>
          <w:rFonts w:hint="eastAsia" w:ascii="黑体" w:hAnsi="黑体" w:eastAsia="黑体" w:cs="黑体"/>
          <w:sz w:val="18"/>
          <w:szCs w:val="18"/>
        </w:rPr>
        <w:t>图D.2 种植</w:t>
      </w:r>
      <w:r>
        <w:rPr>
          <w:rFonts w:ascii="黑体" w:hAnsi="黑体" w:eastAsia="黑体" w:cs="黑体"/>
          <w:sz w:val="18"/>
          <w:szCs w:val="18"/>
        </w:rPr>
        <w:t>屋面构造示意图</w:t>
      </w:r>
    </w:p>
    <w:p>
      <w:pPr>
        <w:overflowPunct w:val="0"/>
        <w:rPr>
          <w:rStyle w:val="44"/>
          <w:color w:val="auto"/>
        </w:rPr>
      </w:pPr>
      <w:r>
        <w:rPr>
          <w:rStyle w:val="44"/>
          <w:rFonts w:hint="eastAsia"/>
          <w:color w:val="auto"/>
        </w:rPr>
        <w:br w:type="page"/>
      </w:r>
    </w:p>
    <w:p>
      <w:pPr>
        <w:overflowPunct w:val="0"/>
        <w:ind w:firstLine="420"/>
        <w:outlineLvl w:val="2"/>
        <w:rPr>
          <w:rStyle w:val="44"/>
          <w:rFonts w:hint="eastAsia" w:eastAsia="黑体"/>
          <w:color w:val="auto"/>
          <w:lang w:eastAsia="zh-CN"/>
        </w:rPr>
      </w:pPr>
      <w:r>
        <w:rPr>
          <w:rStyle w:val="44"/>
          <w:rFonts w:hint="eastAsia" w:eastAsia="黑体"/>
          <w:color w:val="auto"/>
          <w:lang w:val="en-US" w:eastAsia="zh-CN"/>
        </w:rPr>
        <w:t>D.1.</w:t>
      </w:r>
      <w:r>
        <w:rPr>
          <w:rStyle w:val="44"/>
          <w:color w:val="auto"/>
        </w:rPr>
        <w:t>3</w:t>
      </w:r>
      <w:r>
        <w:rPr>
          <w:rStyle w:val="44"/>
          <w:rFonts w:hint="eastAsia" w:eastAsia="黑体"/>
          <w:color w:val="auto"/>
          <w:lang w:val="en-US" w:eastAsia="zh-CN"/>
        </w:rPr>
        <w:t xml:space="preserve">  </w:t>
      </w:r>
      <w:r>
        <w:rPr>
          <w:rStyle w:val="44"/>
          <w:rFonts w:hint="eastAsia"/>
          <w:color w:val="auto"/>
        </w:rPr>
        <w:t>坡屋面</w:t>
      </w:r>
      <w:r>
        <w:rPr>
          <w:rStyle w:val="44"/>
          <w:rFonts w:hint="eastAsia" w:eastAsia="黑体"/>
          <w:color w:val="auto"/>
          <w:lang w:eastAsia="zh-CN"/>
        </w:rPr>
        <w:t>（见图</w:t>
      </w:r>
      <w:r>
        <w:rPr>
          <w:rStyle w:val="44"/>
          <w:rFonts w:hint="eastAsia" w:eastAsia="黑体"/>
          <w:color w:val="auto"/>
          <w:lang w:val="en-US" w:eastAsia="zh-CN"/>
        </w:rPr>
        <w:t>D.3</w:t>
      </w:r>
      <w:r>
        <w:rPr>
          <w:rStyle w:val="44"/>
          <w:rFonts w:hint="eastAsia" w:eastAsia="黑体"/>
          <w:color w:val="auto"/>
          <w:lang w:eastAsia="zh-CN"/>
        </w:rPr>
        <w:t>）</w:t>
      </w:r>
    </w:p>
    <w:p>
      <w:pPr>
        <w:overflowPunct w:val="0"/>
        <w:jc w:val="center"/>
      </w:pPr>
      <w:r>
        <w:drawing>
          <wp:inline distT="0" distB="0" distL="114300" distR="114300">
            <wp:extent cx="5939155" cy="4930775"/>
            <wp:effectExtent l="0" t="0" r="4445" b="3175"/>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16"/>
                    <a:stretch>
                      <a:fillRect/>
                    </a:stretch>
                  </pic:blipFill>
                  <pic:spPr>
                    <a:xfrm>
                      <a:off x="0" y="0"/>
                      <a:ext cx="5939155" cy="4930775"/>
                    </a:xfrm>
                    <a:prstGeom prst="rect">
                      <a:avLst/>
                    </a:prstGeom>
                    <a:noFill/>
                    <a:ln>
                      <a:noFill/>
                    </a:ln>
                  </pic:spPr>
                </pic:pic>
              </a:graphicData>
            </a:graphic>
          </wp:inline>
        </w:drawing>
      </w:r>
    </w:p>
    <w:p>
      <w:pPr>
        <w:pStyle w:val="42"/>
        <w:widowControl w:val="0"/>
        <w:overflowPunct w:val="0"/>
        <w:autoSpaceDE/>
        <w:autoSpaceDN/>
        <w:spacing w:before="62" w:beforeLines="20" w:after="78" w:afterLines="25" w:line="309" w:lineRule="exact"/>
        <w:ind w:firstLine="0" w:firstLineChars="0"/>
        <w:jc w:val="center"/>
        <w:rPr>
          <w:rFonts w:ascii="黑体" w:hAnsi="黑体" w:eastAsia="黑体" w:cs="黑体"/>
          <w:sz w:val="18"/>
          <w:szCs w:val="18"/>
        </w:rPr>
      </w:pPr>
    </w:p>
    <w:p>
      <w:pPr>
        <w:pStyle w:val="42"/>
        <w:widowControl w:val="0"/>
        <w:overflowPunct w:val="0"/>
        <w:autoSpaceDE/>
        <w:autoSpaceDN/>
        <w:spacing w:before="62" w:beforeLines="20" w:after="78" w:afterLines="25" w:line="309" w:lineRule="exact"/>
        <w:ind w:firstLine="0" w:firstLineChars="0"/>
        <w:jc w:val="center"/>
        <w:rPr>
          <w:rFonts w:ascii="黑体" w:hAnsi="黑体" w:eastAsia="黑体" w:cs="黑体"/>
          <w:sz w:val="18"/>
          <w:szCs w:val="18"/>
        </w:rPr>
      </w:pPr>
      <w:r>
        <w:rPr>
          <w:rFonts w:hint="eastAsia" w:ascii="黑体" w:hAnsi="黑体" w:eastAsia="黑体" w:cs="黑体"/>
          <w:sz w:val="18"/>
          <w:szCs w:val="18"/>
        </w:rPr>
        <w:t>图D.3 坡</w:t>
      </w:r>
      <w:r>
        <w:rPr>
          <w:rFonts w:ascii="黑体" w:hAnsi="黑体" w:eastAsia="黑体" w:cs="黑体"/>
          <w:sz w:val="18"/>
          <w:szCs w:val="18"/>
        </w:rPr>
        <w:t>屋面构造示意图</w:t>
      </w:r>
    </w:p>
    <w:p>
      <w:pPr>
        <w:overflowPunct w:val="0"/>
        <w:rPr>
          <w:rStyle w:val="44"/>
          <w:color w:val="auto"/>
        </w:rPr>
      </w:pPr>
      <w:r>
        <w:rPr>
          <w:rStyle w:val="44"/>
          <w:rFonts w:hint="eastAsia"/>
          <w:color w:val="auto"/>
        </w:rPr>
        <w:br w:type="page"/>
      </w:r>
    </w:p>
    <w:p>
      <w:pPr>
        <w:overflowPunct w:val="0"/>
        <w:spacing w:line="360" w:lineRule="auto"/>
        <w:outlineLvl w:val="1"/>
        <w:rPr>
          <w:rStyle w:val="44"/>
          <w:color w:val="auto"/>
        </w:rPr>
      </w:pPr>
      <w:bookmarkStart w:id="60" w:name="_Toc9828"/>
      <w:bookmarkStart w:id="61" w:name="_Toc12587"/>
      <w:r>
        <w:rPr>
          <w:rStyle w:val="44"/>
          <w:rFonts w:hint="eastAsia" w:eastAsia="黑体"/>
          <w:color w:val="auto"/>
          <w:lang w:val="en-US" w:eastAsia="zh-CN"/>
        </w:rPr>
        <w:t xml:space="preserve">D.2 </w:t>
      </w:r>
      <w:r>
        <w:rPr>
          <w:rStyle w:val="44"/>
          <w:rFonts w:hint="eastAsia"/>
          <w:color w:val="auto"/>
        </w:rPr>
        <w:t>墙体</w:t>
      </w:r>
      <w:bookmarkEnd w:id="60"/>
      <w:bookmarkEnd w:id="61"/>
    </w:p>
    <w:p>
      <w:pPr>
        <w:overflowPunct w:val="0"/>
        <w:jc w:val="left"/>
        <w:outlineLvl w:val="2"/>
        <w:rPr>
          <w:rStyle w:val="44"/>
          <w:rFonts w:hint="eastAsia" w:eastAsia="黑体"/>
          <w:color w:val="auto"/>
          <w:lang w:val="en-US" w:eastAsia="zh-CN"/>
        </w:rPr>
      </w:pPr>
      <w:r>
        <w:rPr>
          <w:rStyle w:val="44"/>
          <w:rFonts w:hint="eastAsia" w:eastAsia="黑体"/>
          <w:color w:val="auto"/>
          <w:lang w:val="en-US" w:eastAsia="zh-CN"/>
        </w:rPr>
        <w:t>D.2.1</w:t>
      </w:r>
      <w:r>
        <w:rPr>
          <w:rStyle w:val="44"/>
          <w:rFonts w:hint="eastAsia"/>
          <w:color w:val="auto"/>
        </w:rPr>
        <w:t>外墙</w:t>
      </w:r>
      <w:r>
        <w:rPr>
          <w:rStyle w:val="44"/>
          <w:rFonts w:hint="eastAsia" w:eastAsia="黑体"/>
          <w:color w:val="auto"/>
          <w:lang w:eastAsia="zh-CN"/>
        </w:rPr>
        <w:t>（见图</w:t>
      </w:r>
      <w:r>
        <w:rPr>
          <w:rStyle w:val="44"/>
          <w:rFonts w:hint="eastAsia" w:eastAsia="黑体"/>
          <w:color w:val="auto"/>
          <w:lang w:val="en-US" w:eastAsia="zh-CN"/>
        </w:rPr>
        <w:t>D.4、D.5</w:t>
      </w:r>
      <w:r>
        <w:rPr>
          <w:rStyle w:val="44"/>
          <w:rFonts w:hint="eastAsia" w:eastAsia="黑体"/>
          <w:color w:val="auto"/>
          <w:lang w:eastAsia="zh-CN"/>
        </w:rPr>
        <w:t>）</w:t>
      </w:r>
    </w:p>
    <w:p>
      <w:pPr>
        <w:pStyle w:val="42"/>
        <w:widowControl w:val="0"/>
        <w:overflowPunct w:val="0"/>
        <w:autoSpaceDE/>
        <w:autoSpaceDN/>
        <w:spacing w:before="62" w:beforeLines="20" w:after="78" w:afterLines="25"/>
        <w:ind w:firstLine="0" w:firstLineChars="0"/>
        <w:jc w:val="center"/>
      </w:pPr>
      <w:r>
        <w:drawing>
          <wp:inline distT="0" distB="0" distL="114300" distR="114300">
            <wp:extent cx="5939155" cy="6205220"/>
            <wp:effectExtent l="0" t="0" r="4445" b="508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17"/>
                    <a:stretch>
                      <a:fillRect/>
                    </a:stretch>
                  </pic:blipFill>
                  <pic:spPr>
                    <a:xfrm>
                      <a:off x="0" y="0"/>
                      <a:ext cx="5939155" cy="6205220"/>
                    </a:xfrm>
                    <a:prstGeom prst="rect">
                      <a:avLst/>
                    </a:prstGeom>
                    <a:noFill/>
                    <a:ln>
                      <a:noFill/>
                    </a:ln>
                  </pic:spPr>
                </pic:pic>
              </a:graphicData>
            </a:graphic>
          </wp:inline>
        </w:drawing>
      </w:r>
    </w:p>
    <w:p>
      <w:pPr>
        <w:pStyle w:val="42"/>
        <w:widowControl w:val="0"/>
        <w:overflowPunct w:val="0"/>
        <w:autoSpaceDE/>
        <w:autoSpaceDN/>
        <w:spacing w:before="62" w:beforeLines="20" w:after="78" w:afterLines="25"/>
        <w:ind w:firstLine="0" w:firstLineChars="0"/>
        <w:jc w:val="center"/>
        <w:rPr>
          <w:rFonts w:ascii="黑体" w:hAnsi="黑体" w:eastAsia="黑体" w:cs="黑体"/>
          <w:sz w:val="18"/>
          <w:szCs w:val="18"/>
        </w:rPr>
      </w:pPr>
      <w:r>
        <w:rPr>
          <w:rFonts w:hint="eastAsia" w:ascii="黑体" w:hAnsi="黑体" w:eastAsia="黑体" w:cs="黑体"/>
          <w:sz w:val="18"/>
          <w:szCs w:val="18"/>
        </w:rPr>
        <w:t>图D.4　薄抹灰外墙外保温构造</w:t>
      </w:r>
    </w:p>
    <w:p>
      <w:pPr>
        <w:pStyle w:val="42"/>
        <w:widowControl w:val="0"/>
        <w:overflowPunct w:val="0"/>
        <w:autoSpaceDE/>
        <w:autoSpaceDN/>
        <w:spacing w:before="62" w:beforeLines="20" w:after="78" w:afterLines="25"/>
        <w:ind w:firstLine="0" w:firstLineChars="0"/>
        <w:jc w:val="center"/>
        <w:rPr>
          <w:rFonts w:ascii="黑体" w:hAnsi="黑体" w:eastAsia="黑体" w:cs="黑体"/>
          <w:sz w:val="18"/>
          <w:szCs w:val="18"/>
        </w:rPr>
      </w:pPr>
      <w:r>
        <w:drawing>
          <wp:inline distT="0" distB="0" distL="114300" distR="114300">
            <wp:extent cx="5932170" cy="3544570"/>
            <wp:effectExtent l="0" t="0" r="11430" b="1778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18"/>
                    <a:stretch>
                      <a:fillRect/>
                    </a:stretch>
                  </pic:blipFill>
                  <pic:spPr>
                    <a:xfrm>
                      <a:off x="0" y="0"/>
                      <a:ext cx="5932170" cy="3544570"/>
                    </a:xfrm>
                    <a:prstGeom prst="rect">
                      <a:avLst/>
                    </a:prstGeom>
                    <a:noFill/>
                    <a:ln>
                      <a:noFill/>
                    </a:ln>
                  </pic:spPr>
                </pic:pic>
              </a:graphicData>
            </a:graphic>
          </wp:inline>
        </w:drawing>
      </w:r>
    </w:p>
    <w:p>
      <w:pPr>
        <w:pStyle w:val="42"/>
        <w:widowControl w:val="0"/>
        <w:overflowPunct w:val="0"/>
        <w:autoSpaceDE/>
        <w:autoSpaceDN/>
        <w:spacing w:before="62" w:beforeLines="20" w:after="78" w:afterLines="25"/>
        <w:ind w:firstLine="0" w:firstLineChars="0"/>
        <w:jc w:val="center"/>
        <w:rPr>
          <w:rFonts w:ascii="黑体" w:hAnsi="黑体" w:eastAsia="黑体" w:cs="黑体"/>
          <w:sz w:val="18"/>
          <w:szCs w:val="18"/>
        </w:rPr>
      </w:pPr>
    </w:p>
    <w:p>
      <w:pPr>
        <w:pStyle w:val="42"/>
        <w:widowControl w:val="0"/>
        <w:overflowPunct w:val="0"/>
        <w:autoSpaceDE/>
        <w:autoSpaceDN/>
        <w:spacing w:before="62" w:beforeLines="20" w:after="78" w:afterLines="25"/>
        <w:ind w:firstLine="0" w:firstLineChars="0"/>
        <w:jc w:val="center"/>
        <w:rPr>
          <w:rFonts w:ascii="黑体" w:hAnsi="黑体" w:eastAsia="黑体" w:cs="黑体"/>
          <w:sz w:val="18"/>
          <w:szCs w:val="18"/>
        </w:rPr>
      </w:pPr>
      <w:r>
        <w:rPr>
          <w:rFonts w:hint="eastAsia" w:ascii="黑体" w:hAnsi="黑体" w:eastAsia="黑体" w:cs="黑体"/>
          <w:sz w:val="18"/>
          <w:szCs w:val="18"/>
        </w:rPr>
        <w:t>图D.</w:t>
      </w:r>
      <w:r>
        <w:rPr>
          <w:rFonts w:hint="eastAsia" w:ascii="黑体" w:hAnsi="黑体" w:eastAsia="黑体" w:cs="黑体"/>
          <w:sz w:val="18"/>
          <w:szCs w:val="18"/>
          <w:lang w:val="en-US" w:eastAsia="zh-CN"/>
        </w:rPr>
        <w:t>5</w:t>
      </w:r>
      <w:r>
        <w:rPr>
          <w:rFonts w:hint="eastAsia" w:ascii="黑体" w:hAnsi="黑体" w:eastAsia="黑体" w:cs="黑体"/>
          <w:sz w:val="18"/>
          <w:szCs w:val="18"/>
        </w:rPr>
        <w:t>　内保温构造</w:t>
      </w:r>
    </w:p>
    <w:p>
      <w:pPr>
        <w:overflowPunct w:val="0"/>
        <w:rPr>
          <w:rStyle w:val="44"/>
          <w:color w:val="auto"/>
        </w:rPr>
      </w:pPr>
      <w:r>
        <w:rPr>
          <w:rStyle w:val="44"/>
          <w:rFonts w:hint="eastAsia"/>
          <w:color w:val="auto"/>
        </w:rPr>
        <w:br w:type="page"/>
      </w:r>
    </w:p>
    <w:p>
      <w:pPr>
        <w:overflowPunct w:val="0"/>
        <w:ind w:firstLine="420"/>
        <w:outlineLvl w:val="2"/>
        <w:rPr>
          <w:rStyle w:val="44"/>
          <w:rFonts w:hint="eastAsia" w:eastAsia="黑体"/>
          <w:color w:val="auto"/>
          <w:lang w:eastAsia="zh-CN"/>
        </w:rPr>
      </w:pPr>
      <w:r>
        <w:rPr>
          <w:rStyle w:val="44"/>
          <w:rFonts w:hint="eastAsia" w:eastAsia="黑体"/>
          <w:color w:val="auto"/>
          <w:lang w:val="en-US" w:eastAsia="zh-CN"/>
        </w:rPr>
        <w:t xml:space="preserve">D.2.2  </w:t>
      </w:r>
      <w:r>
        <w:rPr>
          <w:rStyle w:val="44"/>
          <w:rFonts w:hint="eastAsia"/>
          <w:color w:val="auto"/>
        </w:rPr>
        <w:t>阴阳角</w:t>
      </w:r>
      <w:r>
        <w:rPr>
          <w:rStyle w:val="44"/>
          <w:rFonts w:hint="eastAsia" w:eastAsia="黑体"/>
          <w:color w:val="auto"/>
          <w:lang w:eastAsia="zh-CN"/>
        </w:rPr>
        <w:t>（见图</w:t>
      </w:r>
      <w:r>
        <w:rPr>
          <w:rStyle w:val="44"/>
          <w:rFonts w:hint="eastAsia" w:eastAsia="黑体"/>
          <w:color w:val="auto"/>
          <w:lang w:val="en-US" w:eastAsia="zh-CN"/>
        </w:rPr>
        <w:t>D.6、D.7</w:t>
      </w:r>
      <w:r>
        <w:rPr>
          <w:rStyle w:val="44"/>
          <w:rFonts w:hint="eastAsia" w:eastAsia="黑体"/>
          <w:color w:val="auto"/>
          <w:lang w:eastAsia="zh-CN"/>
        </w:rPr>
        <w:t>）</w:t>
      </w:r>
    </w:p>
    <w:p>
      <w:pPr>
        <w:overflowPunct w:val="0"/>
        <w:jc w:val="left"/>
        <w:rPr>
          <w:rFonts w:ascii="黑体" w:hAnsi="黑体" w:cs="黑体"/>
          <w:sz w:val="18"/>
          <w:szCs w:val="18"/>
        </w:rPr>
      </w:pPr>
      <w:r>
        <w:rPr>
          <w:rFonts w:hint="eastAsia"/>
        </w:rPr>
        <w:t>　　</w:t>
      </w:r>
      <w:r>
        <w:drawing>
          <wp:inline distT="0" distB="0" distL="114300" distR="114300">
            <wp:extent cx="5932805" cy="6230620"/>
            <wp:effectExtent l="0" t="0" r="10795" b="17780"/>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19"/>
                    <a:stretch>
                      <a:fillRect/>
                    </a:stretch>
                  </pic:blipFill>
                  <pic:spPr>
                    <a:xfrm>
                      <a:off x="0" y="0"/>
                      <a:ext cx="5932805" cy="6230620"/>
                    </a:xfrm>
                    <a:prstGeom prst="rect">
                      <a:avLst/>
                    </a:prstGeom>
                    <a:noFill/>
                    <a:ln>
                      <a:noFill/>
                    </a:ln>
                  </pic:spPr>
                </pic:pic>
              </a:graphicData>
            </a:graphic>
          </wp:inline>
        </w:drawing>
      </w:r>
    </w:p>
    <w:p>
      <w:pPr>
        <w:overflowPunct w:val="0"/>
        <w:ind w:firstLine="180" w:firstLineChars="100"/>
        <w:jc w:val="center"/>
        <w:rPr>
          <w:rFonts w:ascii="黑体" w:hAnsi="黑体" w:eastAsia="黑体" w:cs="黑体"/>
          <w:sz w:val="18"/>
          <w:szCs w:val="18"/>
        </w:rPr>
      </w:pPr>
    </w:p>
    <w:p>
      <w:pPr>
        <w:overflowPunct w:val="0"/>
        <w:ind w:firstLine="180" w:firstLineChars="100"/>
        <w:jc w:val="center"/>
        <w:rPr>
          <w:rFonts w:ascii="黑体" w:hAnsi="黑体" w:eastAsia="黑体" w:cs="黑体"/>
          <w:sz w:val="18"/>
          <w:szCs w:val="18"/>
        </w:rPr>
      </w:pPr>
      <w:r>
        <w:rPr>
          <w:rFonts w:hint="eastAsia" w:ascii="黑体" w:hAnsi="黑体" w:eastAsia="黑体" w:cs="黑体"/>
          <w:sz w:val="18"/>
          <w:szCs w:val="18"/>
        </w:rPr>
        <w:t>图D.</w:t>
      </w:r>
      <w:r>
        <w:rPr>
          <w:rFonts w:hint="eastAsia" w:ascii="黑体" w:hAnsi="黑体" w:eastAsia="黑体" w:cs="黑体"/>
          <w:sz w:val="18"/>
          <w:szCs w:val="18"/>
          <w:lang w:val="en-US" w:eastAsia="zh-CN"/>
        </w:rPr>
        <w:t>6</w:t>
      </w:r>
      <w:r>
        <w:rPr>
          <w:rFonts w:hint="eastAsia" w:ascii="黑体" w:hAnsi="黑体" w:eastAsia="黑体" w:cs="黑体"/>
          <w:sz w:val="18"/>
          <w:szCs w:val="18"/>
        </w:rPr>
        <w:t xml:space="preserve"> 岩棉板幕墙系统外墙阴角</w:t>
      </w:r>
    </w:p>
    <w:p>
      <w:pPr>
        <w:overflowPunct w:val="0"/>
        <w:jc w:val="center"/>
      </w:pPr>
      <w:r>
        <w:drawing>
          <wp:inline distT="0" distB="0" distL="114300" distR="114300">
            <wp:extent cx="5933440" cy="6050280"/>
            <wp:effectExtent l="0" t="0" r="10160" b="7620"/>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20"/>
                    <a:stretch>
                      <a:fillRect/>
                    </a:stretch>
                  </pic:blipFill>
                  <pic:spPr>
                    <a:xfrm>
                      <a:off x="0" y="0"/>
                      <a:ext cx="5933440" cy="6050280"/>
                    </a:xfrm>
                    <a:prstGeom prst="rect">
                      <a:avLst/>
                    </a:prstGeom>
                    <a:noFill/>
                    <a:ln>
                      <a:noFill/>
                    </a:ln>
                  </pic:spPr>
                </pic:pic>
              </a:graphicData>
            </a:graphic>
          </wp:inline>
        </w:drawing>
      </w:r>
    </w:p>
    <w:p>
      <w:pPr>
        <w:overflowPunct w:val="0"/>
        <w:ind w:firstLine="180" w:firstLineChars="100"/>
        <w:jc w:val="center"/>
        <w:rPr>
          <w:rFonts w:ascii="黑体" w:hAnsi="黑体" w:eastAsia="黑体" w:cs="黑体"/>
          <w:sz w:val="18"/>
          <w:szCs w:val="18"/>
        </w:rPr>
      </w:pPr>
    </w:p>
    <w:p>
      <w:pPr>
        <w:overflowPunct w:val="0"/>
        <w:ind w:firstLine="180" w:firstLineChars="100"/>
        <w:jc w:val="center"/>
      </w:pPr>
      <w:r>
        <w:rPr>
          <w:rFonts w:hint="eastAsia" w:ascii="黑体" w:hAnsi="黑体" w:eastAsia="黑体" w:cs="黑体"/>
          <w:sz w:val="18"/>
          <w:szCs w:val="18"/>
        </w:rPr>
        <w:t>图D.</w:t>
      </w:r>
      <w:r>
        <w:rPr>
          <w:rFonts w:hint="eastAsia" w:ascii="黑体" w:hAnsi="黑体" w:eastAsia="黑体" w:cs="黑体"/>
          <w:sz w:val="18"/>
          <w:szCs w:val="18"/>
          <w:lang w:val="en-US" w:eastAsia="zh-CN"/>
        </w:rPr>
        <w:t>7</w:t>
      </w:r>
      <w:r>
        <w:rPr>
          <w:rFonts w:hint="eastAsia" w:ascii="黑体" w:hAnsi="黑体" w:eastAsia="黑体" w:cs="黑体"/>
          <w:sz w:val="18"/>
          <w:szCs w:val="18"/>
        </w:rPr>
        <w:t xml:space="preserve"> 岩棉板幕墙系统外墙阳角</w:t>
      </w:r>
    </w:p>
    <w:p>
      <w:pPr>
        <w:overflowPunct w:val="0"/>
        <w:rPr>
          <w:rStyle w:val="44"/>
          <w:color w:val="auto"/>
        </w:rPr>
      </w:pPr>
      <w:r>
        <w:rPr>
          <w:rStyle w:val="44"/>
          <w:rFonts w:hint="eastAsia"/>
          <w:color w:val="auto"/>
        </w:rPr>
        <w:br w:type="page"/>
      </w:r>
    </w:p>
    <w:p>
      <w:pPr>
        <w:overflowPunct w:val="0"/>
        <w:ind w:firstLine="420"/>
        <w:outlineLvl w:val="2"/>
        <w:rPr>
          <w:rStyle w:val="44"/>
          <w:rFonts w:hint="eastAsia" w:eastAsia="黑体"/>
          <w:color w:val="auto"/>
          <w:lang w:eastAsia="zh-CN"/>
        </w:rPr>
      </w:pPr>
      <w:r>
        <w:rPr>
          <w:rStyle w:val="44"/>
          <w:rFonts w:hint="eastAsia" w:eastAsia="黑体"/>
          <w:color w:val="auto"/>
          <w:lang w:val="en-US" w:eastAsia="zh-CN"/>
        </w:rPr>
        <w:t>D.2.3</w:t>
      </w:r>
      <w:r>
        <w:rPr>
          <w:rStyle w:val="44"/>
          <w:color w:val="auto"/>
        </w:rPr>
        <w:t>．</w:t>
      </w:r>
      <w:r>
        <w:rPr>
          <w:rStyle w:val="44"/>
          <w:rFonts w:hint="eastAsia"/>
          <w:color w:val="auto"/>
        </w:rPr>
        <w:t>电线盒节点</w:t>
      </w:r>
      <w:r>
        <w:rPr>
          <w:rStyle w:val="44"/>
          <w:rFonts w:hint="eastAsia" w:eastAsia="黑体"/>
          <w:color w:val="auto"/>
          <w:lang w:eastAsia="zh-CN"/>
        </w:rPr>
        <w:t>（见图</w:t>
      </w:r>
      <w:r>
        <w:rPr>
          <w:rStyle w:val="44"/>
          <w:rFonts w:hint="eastAsia" w:eastAsia="黑体"/>
          <w:color w:val="auto"/>
          <w:lang w:val="en-US" w:eastAsia="zh-CN"/>
        </w:rPr>
        <w:t>D.8</w:t>
      </w:r>
      <w:r>
        <w:rPr>
          <w:rStyle w:val="44"/>
          <w:rFonts w:hint="eastAsia" w:eastAsia="黑体"/>
          <w:color w:val="auto"/>
          <w:lang w:eastAsia="zh-CN"/>
        </w:rPr>
        <w:t>）</w:t>
      </w:r>
    </w:p>
    <w:p>
      <w:pPr>
        <w:overflowPunct w:val="0"/>
      </w:pPr>
      <w:r>
        <w:drawing>
          <wp:inline distT="0" distB="0" distL="114300" distR="114300">
            <wp:extent cx="5934075" cy="4392295"/>
            <wp:effectExtent l="0" t="0" r="9525" b="8255"/>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pic:cNvPicPr>
                  </pic:nvPicPr>
                  <pic:blipFill>
                    <a:blip r:embed="rId21"/>
                    <a:stretch>
                      <a:fillRect/>
                    </a:stretch>
                  </pic:blipFill>
                  <pic:spPr>
                    <a:xfrm>
                      <a:off x="0" y="0"/>
                      <a:ext cx="5934075" cy="4392295"/>
                    </a:xfrm>
                    <a:prstGeom prst="rect">
                      <a:avLst/>
                    </a:prstGeom>
                    <a:noFill/>
                    <a:ln>
                      <a:noFill/>
                    </a:ln>
                  </pic:spPr>
                </pic:pic>
              </a:graphicData>
            </a:graphic>
          </wp:inline>
        </w:drawing>
      </w:r>
    </w:p>
    <w:p>
      <w:pPr>
        <w:overflowPunct w:val="0"/>
        <w:jc w:val="center"/>
        <w:rPr>
          <w:rFonts w:ascii="黑体" w:hAnsi="黑体" w:eastAsia="黑体" w:cs="黑体"/>
          <w:sz w:val="18"/>
          <w:szCs w:val="18"/>
        </w:rPr>
      </w:pPr>
    </w:p>
    <w:p>
      <w:pPr>
        <w:overflowPunct w:val="0"/>
        <w:jc w:val="center"/>
      </w:pPr>
      <w:r>
        <w:rPr>
          <w:rFonts w:hint="eastAsia" w:ascii="黑体" w:hAnsi="黑体" w:eastAsia="黑体" w:cs="黑体"/>
          <w:sz w:val="18"/>
          <w:szCs w:val="18"/>
        </w:rPr>
        <w:t>图D.</w:t>
      </w:r>
      <w:r>
        <w:rPr>
          <w:rFonts w:hint="eastAsia" w:ascii="黑体" w:hAnsi="黑体" w:eastAsia="黑体" w:cs="黑体"/>
          <w:sz w:val="18"/>
          <w:szCs w:val="18"/>
          <w:lang w:val="en-US" w:eastAsia="zh-CN"/>
        </w:rPr>
        <w:t>8</w:t>
      </w:r>
      <w:r>
        <w:rPr>
          <w:rFonts w:hint="eastAsia" w:ascii="黑体" w:hAnsi="黑体" w:eastAsia="黑体" w:cs="黑体"/>
          <w:sz w:val="18"/>
          <w:szCs w:val="18"/>
        </w:rPr>
        <w:t xml:space="preserve"> 电线盒节点构造示意图</w:t>
      </w:r>
    </w:p>
    <w:p>
      <w:pPr>
        <w:overflowPunct w:val="0"/>
        <w:rPr>
          <w:rStyle w:val="44"/>
          <w:color w:val="auto"/>
        </w:rPr>
      </w:pPr>
    </w:p>
    <w:p>
      <w:pPr>
        <w:overflowPunct w:val="0"/>
        <w:rPr>
          <w:rStyle w:val="44"/>
          <w:color w:val="auto"/>
        </w:rPr>
      </w:pPr>
      <w:r>
        <w:rPr>
          <w:rStyle w:val="44"/>
          <w:rFonts w:hint="eastAsia"/>
          <w:color w:val="auto"/>
        </w:rPr>
        <w:br w:type="page"/>
      </w:r>
    </w:p>
    <w:p>
      <w:pPr>
        <w:overflowPunct w:val="0"/>
        <w:ind w:firstLine="420"/>
        <w:outlineLvl w:val="2"/>
        <w:rPr>
          <w:rStyle w:val="44"/>
          <w:rFonts w:hint="eastAsia" w:eastAsia="黑体"/>
          <w:color w:val="auto"/>
          <w:lang w:eastAsia="zh-CN"/>
        </w:rPr>
      </w:pPr>
      <w:r>
        <w:rPr>
          <w:rStyle w:val="44"/>
          <w:rFonts w:hint="eastAsia" w:eastAsia="黑体"/>
          <w:color w:val="auto"/>
          <w:lang w:val="en-US" w:eastAsia="zh-CN"/>
        </w:rPr>
        <w:t xml:space="preserve">D.2.4 </w:t>
      </w:r>
      <w:r>
        <w:rPr>
          <w:rStyle w:val="44"/>
          <w:rFonts w:hint="eastAsia"/>
          <w:color w:val="auto"/>
        </w:rPr>
        <w:t>雨水管节点</w:t>
      </w:r>
      <w:r>
        <w:rPr>
          <w:rStyle w:val="44"/>
          <w:rFonts w:hint="eastAsia" w:eastAsia="黑体"/>
          <w:color w:val="auto"/>
          <w:lang w:eastAsia="zh-CN"/>
        </w:rPr>
        <w:t>（见图</w:t>
      </w:r>
      <w:r>
        <w:rPr>
          <w:rStyle w:val="44"/>
          <w:rFonts w:hint="eastAsia" w:eastAsia="黑体"/>
          <w:color w:val="auto"/>
          <w:lang w:val="en-US" w:eastAsia="zh-CN"/>
        </w:rPr>
        <w:t>D.9</w:t>
      </w:r>
      <w:r>
        <w:rPr>
          <w:rStyle w:val="44"/>
          <w:rFonts w:hint="eastAsia" w:eastAsia="黑体"/>
          <w:color w:val="auto"/>
          <w:lang w:eastAsia="zh-CN"/>
        </w:rPr>
        <w:t>）</w:t>
      </w:r>
    </w:p>
    <w:p>
      <w:pPr>
        <w:overflowPunct w:val="0"/>
        <w:jc w:val="center"/>
        <w:rPr>
          <w:rFonts w:ascii="黑体" w:hAnsi="黑体" w:eastAsia="黑体" w:cs="黑体"/>
          <w:sz w:val="18"/>
          <w:szCs w:val="18"/>
        </w:rPr>
      </w:pPr>
      <w:r>
        <w:drawing>
          <wp:inline distT="0" distB="0" distL="114300" distR="114300">
            <wp:extent cx="5937885" cy="5248275"/>
            <wp:effectExtent l="0" t="0" r="5715" b="9525"/>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22"/>
                    <a:stretch>
                      <a:fillRect/>
                    </a:stretch>
                  </pic:blipFill>
                  <pic:spPr>
                    <a:xfrm>
                      <a:off x="0" y="0"/>
                      <a:ext cx="5937885" cy="5248275"/>
                    </a:xfrm>
                    <a:prstGeom prst="rect">
                      <a:avLst/>
                    </a:prstGeom>
                    <a:noFill/>
                    <a:ln>
                      <a:noFill/>
                    </a:ln>
                  </pic:spPr>
                </pic:pic>
              </a:graphicData>
            </a:graphic>
          </wp:inline>
        </w:drawing>
      </w:r>
    </w:p>
    <w:p>
      <w:pPr>
        <w:overflowPunct w:val="0"/>
        <w:jc w:val="center"/>
        <w:rPr>
          <w:rFonts w:ascii="黑体" w:hAnsi="黑体" w:eastAsia="黑体" w:cs="黑体"/>
          <w:sz w:val="18"/>
          <w:szCs w:val="18"/>
        </w:rPr>
      </w:pPr>
      <w:r>
        <w:rPr>
          <w:rFonts w:hint="eastAsia" w:ascii="黑体" w:hAnsi="黑体" w:eastAsia="黑体" w:cs="黑体"/>
          <w:sz w:val="18"/>
          <w:szCs w:val="18"/>
        </w:rPr>
        <w:t>图D.</w:t>
      </w:r>
      <w:r>
        <w:rPr>
          <w:rFonts w:hint="eastAsia" w:ascii="黑体" w:hAnsi="黑体" w:eastAsia="黑体" w:cs="黑体"/>
          <w:sz w:val="18"/>
          <w:szCs w:val="18"/>
          <w:lang w:val="en-US" w:eastAsia="zh-CN"/>
        </w:rPr>
        <w:t>9</w:t>
      </w:r>
      <w:r>
        <w:rPr>
          <w:rFonts w:hint="eastAsia" w:ascii="黑体" w:hAnsi="黑体" w:eastAsia="黑体" w:cs="黑体"/>
          <w:sz w:val="18"/>
          <w:szCs w:val="18"/>
        </w:rPr>
        <w:t>外墙雨水管固定构造</w:t>
      </w:r>
    </w:p>
    <w:p>
      <w:pPr>
        <w:overflowPunct w:val="0"/>
        <w:rPr>
          <w:rStyle w:val="44"/>
          <w:color w:val="auto"/>
        </w:rPr>
      </w:pPr>
      <w:r>
        <w:rPr>
          <w:rStyle w:val="44"/>
          <w:rFonts w:hint="eastAsia"/>
          <w:color w:val="auto"/>
        </w:rPr>
        <w:br w:type="page"/>
      </w:r>
    </w:p>
    <w:p>
      <w:pPr>
        <w:overflowPunct w:val="0"/>
        <w:ind w:firstLine="420"/>
        <w:outlineLvl w:val="2"/>
        <w:rPr>
          <w:rStyle w:val="44"/>
          <w:rFonts w:hint="eastAsia" w:eastAsia="黑体"/>
          <w:color w:val="auto"/>
          <w:lang w:eastAsia="zh-CN"/>
        </w:rPr>
      </w:pPr>
      <w:r>
        <w:rPr>
          <w:rStyle w:val="44"/>
          <w:rFonts w:hint="eastAsia" w:eastAsia="黑体"/>
          <w:color w:val="auto"/>
          <w:lang w:val="en-US" w:eastAsia="zh-CN"/>
        </w:rPr>
        <w:t xml:space="preserve">D.2.5 </w:t>
      </w:r>
      <w:r>
        <w:rPr>
          <w:rStyle w:val="44"/>
          <w:rFonts w:hint="eastAsia"/>
          <w:color w:val="auto"/>
        </w:rPr>
        <w:t>管道穿外墙</w:t>
      </w:r>
      <w:r>
        <w:rPr>
          <w:rStyle w:val="44"/>
          <w:rFonts w:hint="eastAsia" w:eastAsia="黑体"/>
          <w:color w:val="auto"/>
          <w:lang w:eastAsia="zh-CN"/>
        </w:rPr>
        <w:t>（见图</w:t>
      </w:r>
      <w:r>
        <w:rPr>
          <w:rStyle w:val="44"/>
          <w:rFonts w:hint="eastAsia" w:eastAsia="黑体"/>
          <w:color w:val="auto"/>
          <w:lang w:val="en-US" w:eastAsia="zh-CN"/>
        </w:rPr>
        <w:t>D.10、D.11</w:t>
      </w:r>
      <w:r>
        <w:rPr>
          <w:rStyle w:val="44"/>
          <w:rFonts w:hint="eastAsia" w:eastAsia="黑体"/>
          <w:color w:val="auto"/>
          <w:lang w:eastAsia="zh-CN"/>
        </w:rPr>
        <w:t>）</w:t>
      </w:r>
    </w:p>
    <w:p>
      <w:pPr>
        <w:overflowPunct w:val="0"/>
        <w:jc w:val="center"/>
      </w:pPr>
      <w:r>
        <w:drawing>
          <wp:inline distT="0" distB="0" distL="114300" distR="114300">
            <wp:extent cx="5931535" cy="3215640"/>
            <wp:effectExtent l="0" t="0" r="12065" b="3810"/>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pic:cNvPicPr>
                  </pic:nvPicPr>
                  <pic:blipFill>
                    <a:blip r:embed="rId23"/>
                    <a:stretch>
                      <a:fillRect/>
                    </a:stretch>
                  </pic:blipFill>
                  <pic:spPr>
                    <a:xfrm>
                      <a:off x="0" y="0"/>
                      <a:ext cx="5931535" cy="3215640"/>
                    </a:xfrm>
                    <a:prstGeom prst="rect">
                      <a:avLst/>
                    </a:prstGeom>
                    <a:noFill/>
                    <a:ln>
                      <a:noFill/>
                    </a:ln>
                  </pic:spPr>
                </pic:pic>
              </a:graphicData>
            </a:graphic>
          </wp:inline>
        </w:drawing>
      </w:r>
    </w:p>
    <w:p>
      <w:pPr>
        <w:overflowPunct w:val="0"/>
        <w:jc w:val="center"/>
        <w:rPr>
          <w:rFonts w:ascii="黑体" w:hAnsi="黑体" w:eastAsia="黑体" w:cs="黑体"/>
          <w:sz w:val="18"/>
          <w:szCs w:val="18"/>
        </w:rPr>
      </w:pPr>
    </w:p>
    <w:p>
      <w:pPr>
        <w:overflowPunct w:val="0"/>
        <w:jc w:val="center"/>
        <w:rPr>
          <w:rFonts w:ascii="黑体" w:hAnsi="黑体" w:eastAsia="黑体" w:cs="黑体"/>
          <w:sz w:val="18"/>
          <w:szCs w:val="18"/>
        </w:rPr>
      </w:pPr>
      <w:r>
        <w:rPr>
          <w:rFonts w:hint="eastAsia" w:ascii="黑体" w:hAnsi="黑体" w:eastAsia="黑体" w:cs="黑体"/>
          <w:sz w:val="18"/>
          <w:szCs w:val="18"/>
        </w:rPr>
        <w:t>图D</w:t>
      </w:r>
      <w:r>
        <w:rPr>
          <w:rFonts w:hint="eastAsia" w:ascii="黑体" w:hAnsi="黑体" w:eastAsia="黑体" w:cs="黑体"/>
          <w:sz w:val="18"/>
          <w:szCs w:val="18"/>
          <w:lang w:val="en-US" w:eastAsia="zh-CN"/>
        </w:rPr>
        <w:t>.10</w:t>
      </w:r>
      <w:r>
        <w:rPr>
          <w:rFonts w:hint="eastAsia" w:ascii="黑体" w:hAnsi="黑体" w:eastAsia="黑体" w:cs="黑体"/>
          <w:sz w:val="18"/>
          <w:szCs w:val="18"/>
        </w:rPr>
        <w:t xml:space="preserve"> 电线管穿外墙构造</w:t>
      </w:r>
    </w:p>
    <w:p>
      <w:pPr>
        <w:overflowPunct w:val="0"/>
        <w:jc w:val="center"/>
      </w:pPr>
      <w:r>
        <w:drawing>
          <wp:inline distT="0" distB="0" distL="114300" distR="114300">
            <wp:extent cx="5939790" cy="4902835"/>
            <wp:effectExtent l="0" t="0" r="3810" b="12065"/>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24"/>
                    <a:stretch>
                      <a:fillRect/>
                    </a:stretch>
                  </pic:blipFill>
                  <pic:spPr>
                    <a:xfrm>
                      <a:off x="0" y="0"/>
                      <a:ext cx="5939790" cy="4902835"/>
                    </a:xfrm>
                    <a:prstGeom prst="rect">
                      <a:avLst/>
                    </a:prstGeom>
                    <a:noFill/>
                    <a:ln>
                      <a:noFill/>
                    </a:ln>
                  </pic:spPr>
                </pic:pic>
              </a:graphicData>
            </a:graphic>
          </wp:inline>
        </w:drawing>
      </w:r>
    </w:p>
    <w:p>
      <w:pPr>
        <w:overflowPunct w:val="0"/>
        <w:jc w:val="center"/>
        <w:rPr>
          <w:rFonts w:ascii="黑体" w:hAnsi="黑体" w:eastAsia="黑体" w:cs="黑体"/>
          <w:sz w:val="18"/>
          <w:szCs w:val="18"/>
        </w:rPr>
      </w:pPr>
      <w:r>
        <w:rPr>
          <w:rFonts w:hint="eastAsia" w:ascii="黑体" w:hAnsi="黑体" w:eastAsia="黑体" w:cs="黑体"/>
          <w:sz w:val="18"/>
          <w:szCs w:val="18"/>
        </w:rPr>
        <w:t>图D</w:t>
      </w:r>
      <w:r>
        <w:rPr>
          <w:rFonts w:hint="eastAsia" w:ascii="黑体" w:hAnsi="黑体" w:eastAsia="黑体" w:cs="黑体"/>
          <w:sz w:val="18"/>
          <w:szCs w:val="18"/>
          <w:lang w:val="en-US" w:eastAsia="zh-CN"/>
        </w:rPr>
        <w:t>.11</w:t>
      </w:r>
      <w:r>
        <w:rPr>
          <w:rFonts w:hint="eastAsia" w:ascii="黑体" w:hAnsi="黑体" w:eastAsia="黑体" w:cs="黑体"/>
          <w:sz w:val="18"/>
          <w:szCs w:val="18"/>
        </w:rPr>
        <w:t>风管穿外墙构造</w:t>
      </w:r>
    </w:p>
    <w:p>
      <w:pPr>
        <w:overflowPunct w:val="0"/>
        <w:jc w:val="center"/>
      </w:pPr>
    </w:p>
    <w:p>
      <w:pPr>
        <w:overflowPunct w:val="0"/>
      </w:pPr>
    </w:p>
    <w:p>
      <w:pPr>
        <w:overflowPunct w:val="0"/>
        <w:rPr>
          <w:rStyle w:val="44"/>
          <w:color w:val="auto"/>
        </w:rPr>
      </w:pPr>
      <w:r>
        <w:rPr>
          <w:rStyle w:val="44"/>
          <w:rFonts w:hint="eastAsia"/>
          <w:color w:val="auto"/>
        </w:rPr>
        <w:br w:type="page"/>
      </w:r>
    </w:p>
    <w:p>
      <w:pPr>
        <w:overflowPunct w:val="0"/>
        <w:ind w:firstLine="420"/>
        <w:outlineLvl w:val="2"/>
        <w:rPr>
          <w:rStyle w:val="44"/>
          <w:rFonts w:hint="eastAsia" w:eastAsia="黑体"/>
          <w:color w:val="auto"/>
          <w:lang w:eastAsia="zh-CN"/>
        </w:rPr>
      </w:pPr>
      <w:r>
        <w:rPr>
          <w:rStyle w:val="44"/>
          <w:rFonts w:hint="eastAsia" w:eastAsia="黑体"/>
          <w:color w:val="auto"/>
          <w:lang w:val="en-US" w:eastAsia="zh-CN"/>
        </w:rPr>
        <w:t xml:space="preserve">D.3  </w:t>
      </w:r>
      <w:r>
        <w:rPr>
          <w:rStyle w:val="44"/>
          <w:rFonts w:hint="eastAsia"/>
          <w:color w:val="auto"/>
        </w:rPr>
        <w:t>平开窗构造</w:t>
      </w:r>
      <w:r>
        <w:rPr>
          <w:rStyle w:val="44"/>
          <w:rFonts w:hint="eastAsia" w:eastAsia="黑体"/>
          <w:color w:val="auto"/>
          <w:lang w:eastAsia="zh-CN"/>
        </w:rPr>
        <w:t>（见图</w:t>
      </w:r>
      <w:r>
        <w:rPr>
          <w:rStyle w:val="44"/>
          <w:rFonts w:hint="eastAsia" w:eastAsia="黑体"/>
          <w:color w:val="auto"/>
          <w:lang w:val="en-US" w:eastAsia="zh-CN"/>
        </w:rPr>
        <w:t>D.12</w:t>
      </w:r>
      <w:r>
        <w:rPr>
          <w:rStyle w:val="44"/>
          <w:rFonts w:hint="eastAsia" w:eastAsia="黑体"/>
          <w:color w:val="auto"/>
          <w:lang w:eastAsia="zh-CN"/>
        </w:rPr>
        <w:t>）</w:t>
      </w:r>
    </w:p>
    <w:p>
      <w:pPr>
        <w:overflowPunct w:val="0"/>
        <w:ind w:firstLine="420"/>
        <w:outlineLvl w:val="2"/>
        <w:rPr>
          <w:rStyle w:val="44"/>
          <w:rFonts w:hint="eastAsia"/>
          <w:color w:val="auto"/>
        </w:rPr>
      </w:pPr>
    </w:p>
    <w:p>
      <w:pPr>
        <w:widowControl/>
        <w:overflowPunct w:val="0"/>
        <w:adjustRightInd w:val="0"/>
        <w:snapToGrid w:val="0"/>
        <w:jc w:val="center"/>
        <w:textAlignment w:val="baseline"/>
        <w:rPr>
          <w:rFonts w:ascii="Times New Roman" w:hAnsi="Times New Roman" w:eastAsia="宋体" w:cs="Times New Roman"/>
          <w:position w:val="-169"/>
          <w:szCs w:val="21"/>
        </w:rPr>
      </w:pPr>
      <w:r>
        <w:drawing>
          <wp:inline distT="0" distB="0" distL="114300" distR="114300">
            <wp:extent cx="5928995" cy="3753485"/>
            <wp:effectExtent l="0" t="0" r="14605" b="18415"/>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pic:cNvPicPr>
                  </pic:nvPicPr>
                  <pic:blipFill>
                    <a:blip r:embed="rId25"/>
                    <a:stretch>
                      <a:fillRect/>
                    </a:stretch>
                  </pic:blipFill>
                  <pic:spPr>
                    <a:xfrm>
                      <a:off x="0" y="0"/>
                      <a:ext cx="5928995" cy="3753485"/>
                    </a:xfrm>
                    <a:prstGeom prst="rect">
                      <a:avLst/>
                    </a:prstGeom>
                    <a:noFill/>
                    <a:ln>
                      <a:noFill/>
                    </a:ln>
                  </pic:spPr>
                </pic:pic>
              </a:graphicData>
            </a:graphic>
          </wp:inline>
        </w:drawing>
      </w:r>
    </w:p>
    <w:p>
      <w:pPr>
        <w:overflowPunct w:val="0"/>
        <w:jc w:val="center"/>
        <w:rPr>
          <w:rFonts w:ascii="黑体" w:hAnsi="黑体" w:eastAsia="黑体" w:cs="黑体"/>
          <w:sz w:val="18"/>
          <w:szCs w:val="18"/>
        </w:rPr>
      </w:pPr>
    </w:p>
    <w:p>
      <w:pPr>
        <w:overflowPunct w:val="0"/>
        <w:jc w:val="center"/>
        <w:rPr>
          <w:rFonts w:ascii="黑体" w:hAnsi="黑体" w:eastAsia="黑体" w:cs="黑体"/>
          <w:sz w:val="18"/>
          <w:szCs w:val="18"/>
        </w:rPr>
      </w:pPr>
      <w:r>
        <w:rPr>
          <w:rFonts w:hint="eastAsia" w:ascii="黑体" w:hAnsi="黑体" w:eastAsia="黑体" w:cs="黑体"/>
          <w:sz w:val="18"/>
          <w:szCs w:val="18"/>
        </w:rPr>
        <w:t>图D.</w:t>
      </w:r>
      <w:r>
        <w:rPr>
          <w:rFonts w:hint="eastAsia" w:ascii="黑体" w:hAnsi="黑体" w:eastAsia="黑体" w:cs="黑体"/>
          <w:sz w:val="18"/>
          <w:szCs w:val="18"/>
          <w:lang w:val="en-US" w:eastAsia="zh-CN"/>
        </w:rPr>
        <w:t>12</w:t>
      </w:r>
      <w:r>
        <w:rPr>
          <w:rFonts w:hint="eastAsia" w:ascii="黑体" w:hAnsi="黑体" w:eastAsia="黑体" w:cs="黑体"/>
          <w:sz w:val="18"/>
          <w:szCs w:val="18"/>
        </w:rPr>
        <w:t xml:space="preserve"> 平开窗节点构造</w:t>
      </w:r>
    </w:p>
    <w:p>
      <w:pPr>
        <w:overflowPunct w:val="0"/>
        <w:jc w:val="center"/>
        <w:rPr>
          <w:rFonts w:ascii="黑体" w:hAnsi="黑体" w:eastAsia="黑体" w:cs="黑体"/>
          <w:sz w:val="18"/>
          <w:szCs w:val="18"/>
        </w:rPr>
      </w:pPr>
    </w:p>
    <w:p>
      <w:pPr>
        <w:overflowPunct w:val="0"/>
        <w:jc w:val="center"/>
        <w:rPr>
          <w:rFonts w:ascii="黑体" w:hAnsi="黑体" w:eastAsia="黑体" w:cs="黑体"/>
          <w:sz w:val="18"/>
          <w:szCs w:val="18"/>
        </w:rPr>
      </w:pPr>
    </w:p>
    <w:p>
      <w:pPr>
        <w:overflowPunct w:val="0"/>
        <w:jc w:val="center"/>
        <w:rPr>
          <w:rFonts w:ascii="黑体" w:hAnsi="黑体" w:eastAsia="黑体" w:cs="黑体"/>
          <w:sz w:val="18"/>
          <w:szCs w:val="18"/>
        </w:rPr>
      </w:pPr>
    </w:p>
    <w:p>
      <w:pPr>
        <w:overflowPunct w:val="0"/>
        <w:jc w:val="center"/>
        <w:rPr>
          <w:rFonts w:ascii="黑体" w:hAnsi="黑体" w:eastAsia="黑体" w:cs="黑体"/>
          <w:sz w:val="18"/>
          <w:szCs w:val="18"/>
        </w:rPr>
      </w:pPr>
    </w:p>
    <w:p>
      <w:pPr>
        <w:overflowPunct w:val="0"/>
        <w:jc w:val="center"/>
        <w:rPr>
          <w:rFonts w:ascii="黑体" w:hAnsi="黑体" w:eastAsia="黑体" w:cs="黑体"/>
          <w:sz w:val="18"/>
          <w:szCs w:val="18"/>
        </w:rPr>
      </w:pPr>
    </w:p>
    <w:p>
      <w:pPr>
        <w:overflowPunct w:val="0"/>
        <w:jc w:val="center"/>
        <w:rPr>
          <w:rFonts w:ascii="黑体" w:hAnsi="黑体" w:eastAsia="黑体" w:cs="黑体"/>
          <w:sz w:val="18"/>
          <w:szCs w:val="18"/>
        </w:rPr>
      </w:pPr>
    </w:p>
    <w:p>
      <w:pPr>
        <w:overflowPunct w:val="0"/>
        <w:jc w:val="center"/>
        <w:rPr>
          <w:rFonts w:ascii="黑体" w:hAnsi="黑体" w:eastAsia="黑体" w:cs="黑体"/>
          <w:sz w:val="18"/>
          <w:szCs w:val="18"/>
        </w:rPr>
      </w:pPr>
    </w:p>
    <w:p>
      <w:pPr>
        <w:overflowPunct w:val="0"/>
        <w:jc w:val="center"/>
        <w:rPr>
          <w:rFonts w:ascii="黑体" w:hAnsi="黑体" w:eastAsia="黑体" w:cs="黑体"/>
          <w:sz w:val="18"/>
          <w:szCs w:val="18"/>
        </w:rPr>
      </w:pPr>
    </w:p>
    <w:p>
      <w:pPr>
        <w:overflowPunct w:val="0"/>
        <w:jc w:val="center"/>
        <w:rPr>
          <w:rFonts w:ascii="黑体" w:hAnsi="黑体" w:eastAsia="黑体" w:cs="黑体"/>
          <w:sz w:val="18"/>
          <w:szCs w:val="18"/>
        </w:rPr>
      </w:pPr>
    </w:p>
    <w:p>
      <w:pPr>
        <w:overflowPunct w:val="0"/>
        <w:jc w:val="center"/>
        <w:rPr>
          <w:rFonts w:ascii="黑体" w:hAnsi="黑体" w:eastAsia="黑体" w:cs="黑体"/>
          <w:sz w:val="18"/>
          <w:szCs w:val="18"/>
        </w:rPr>
      </w:pPr>
    </w:p>
    <w:p>
      <w:pPr>
        <w:overflowPunct w:val="0"/>
        <w:jc w:val="center"/>
        <w:rPr>
          <w:rFonts w:ascii="黑体" w:hAnsi="黑体" w:eastAsia="黑体" w:cs="黑体"/>
          <w:sz w:val="18"/>
          <w:szCs w:val="18"/>
        </w:rPr>
      </w:pPr>
    </w:p>
    <w:p>
      <w:pPr>
        <w:overflowPunct w:val="0"/>
        <w:jc w:val="center"/>
        <w:rPr>
          <w:rFonts w:ascii="黑体" w:hAnsi="黑体" w:eastAsia="黑体" w:cs="黑体"/>
          <w:sz w:val="18"/>
          <w:szCs w:val="18"/>
        </w:rPr>
      </w:pPr>
    </w:p>
    <w:p>
      <w:pPr>
        <w:overflowPunct w:val="0"/>
        <w:jc w:val="center"/>
        <w:rPr>
          <w:rFonts w:ascii="黑体" w:hAnsi="黑体" w:eastAsia="黑体" w:cs="黑体"/>
          <w:sz w:val="18"/>
          <w:szCs w:val="18"/>
        </w:rPr>
      </w:pPr>
    </w:p>
    <w:p>
      <w:pPr>
        <w:overflowPunct w:val="0"/>
        <w:jc w:val="center"/>
        <w:rPr>
          <w:rFonts w:ascii="黑体" w:hAnsi="黑体" w:eastAsia="黑体" w:cs="黑体"/>
          <w:sz w:val="18"/>
          <w:szCs w:val="18"/>
        </w:rPr>
      </w:pPr>
    </w:p>
    <w:p>
      <w:pPr>
        <w:overflowPunct w:val="0"/>
        <w:jc w:val="center"/>
        <w:rPr>
          <w:rFonts w:ascii="黑体" w:hAnsi="黑体" w:eastAsia="黑体" w:cs="黑体"/>
          <w:sz w:val="18"/>
          <w:szCs w:val="18"/>
        </w:rPr>
      </w:pPr>
    </w:p>
    <w:p>
      <w:pPr>
        <w:overflowPunct w:val="0"/>
        <w:jc w:val="center"/>
        <w:rPr>
          <w:rFonts w:ascii="黑体" w:hAnsi="黑体" w:eastAsia="黑体" w:cs="黑体"/>
          <w:sz w:val="18"/>
          <w:szCs w:val="18"/>
        </w:rPr>
      </w:pPr>
    </w:p>
    <w:p>
      <w:pPr>
        <w:overflowPunct w:val="0"/>
        <w:jc w:val="center"/>
        <w:rPr>
          <w:rFonts w:ascii="黑体" w:hAnsi="黑体" w:eastAsia="黑体" w:cs="黑体"/>
          <w:sz w:val="18"/>
          <w:szCs w:val="18"/>
        </w:rPr>
      </w:pPr>
    </w:p>
    <w:p>
      <w:pPr>
        <w:overflowPunct w:val="0"/>
        <w:jc w:val="center"/>
        <w:rPr>
          <w:rFonts w:ascii="黑体" w:hAnsi="黑体" w:eastAsia="黑体" w:cs="黑体"/>
          <w:sz w:val="18"/>
          <w:szCs w:val="18"/>
        </w:rPr>
      </w:pPr>
    </w:p>
    <w:p>
      <w:pPr>
        <w:overflowPunct w:val="0"/>
        <w:jc w:val="center"/>
        <w:rPr>
          <w:rFonts w:ascii="黑体" w:hAnsi="黑体" w:eastAsia="黑体" w:cs="黑体"/>
          <w:sz w:val="18"/>
          <w:szCs w:val="18"/>
        </w:rPr>
      </w:pPr>
    </w:p>
    <w:p>
      <w:pPr>
        <w:overflowPunct w:val="0"/>
        <w:jc w:val="center"/>
        <w:rPr>
          <w:rFonts w:ascii="黑体" w:hAnsi="黑体" w:eastAsia="黑体" w:cs="黑体"/>
          <w:sz w:val="18"/>
          <w:szCs w:val="18"/>
        </w:rPr>
      </w:pPr>
    </w:p>
    <w:p>
      <w:pPr>
        <w:overflowPunct w:val="0"/>
        <w:jc w:val="center"/>
        <w:rPr>
          <w:rFonts w:ascii="黑体" w:hAnsi="黑体" w:eastAsia="黑体" w:cs="黑体"/>
          <w:sz w:val="18"/>
          <w:szCs w:val="18"/>
        </w:rPr>
      </w:pPr>
    </w:p>
    <w:p>
      <w:pPr>
        <w:overflowPunct w:val="0"/>
        <w:jc w:val="center"/>
        <w:rPr>
          <w:rFonts w:ascii="黑体" w:hAnsi="黑体" w:eastAsia="黑体" w:cs="黑体"/>
          <w:sz w:val="18"/>
          <w:szCs w:val="18"/>
        </w:rPr>
      </w:pPr>
    </w:p>
    <w:p>
      <w:pPr>
        <w:overflowPunct w:val="0"/>
        <w:jc w:val="center"/>
        <w:rPr>
          <w:rFonts w:ascii="黑体" w:hAnsi="黑体" w:eastAsia="黑体" w:cs="黑体"/>
          <w:sz w:val="18"/>
          <w:szCs w:val="18"/>
        </w:rPr>
      </w:pPr>
    </w:p>
    <w:p>
      <w:pPr>
        <w:overflowPunct w:val="0"/>
        <w:jc w:val="center"/>
        <w:rPr>
          <w:rFonts w:ascii="黑体" w:hAnsi="黑体" w:eastAsia="黑体" w:cs="黑体"/>
          <w:sz w:val="18"/>
          <w:szCs w:val="18"/>
        </w:rPr>
      </w:pPr>
    </w:p>
    <w:p>
      <w:pPr>
        <w:overflowPunct w:val="0"/>
        <w:jc w:val="center"/>
        <w:rPr>
          <w:rFonts w:hint="eastAsia" w:ascii="黑体" w:hAnsi="黑体" w:eastAsia="黑体" w:cs="黑体"/>
          <w:sz w:val="18"/>
          <w:szCs w:val="18"/>
        </w:rPr>
      </w:pPr>
    </w:p>
    <w:p>
      <w:pPr>
        <w:widowControl/>
        <w:overflowPunct w:val="0"/>
        <w:jc w:val="left"/>
        <w:rPr>
          <w:rFonts w:ascii="黑体" w:hAnsi="黑体" w:eastAsia="黑体" w:cs="黑体"/>
          <w:sz w:val="18"/>
          <w:szCs w:val="18"/>
        </w:rPr>
      </w:pPr>
      <w:r>
        <w:rPr>
          <w:rFonts w:ascii="黑体" w:hAnsi="黑体" w:eastAsia="黑体" w:cs="黑体"/>
          <w:sz w:val="18"/>
          <w:szCs w:val="18"/>
        </w:rPr>
        <w:br w:type="page"/>
      </w:r>
    </w:p>
    <w:p>
      <w:pPr>
        <w:overflowPunct w:val="0"/>
      </w:pPr>
    </w:p>
    <w:p>
      <w:pPr>
        <w:overflowPunct w:val="0"/>
      </w:pPr>
    </w:p>
    <w:p>
      <w:pPr>
        <w:overflowPunct w:val="0"/>
        <w:rPr>
          <w:sz w:val="112"/>
          <w:szCs w:val="144"/>
        </w:rPr>
      </w:pPr>
    </w:p>
    <w:p>
      <w:pPr>
        <w:keepNext w:val="0"/>
        <w:keepLines w:val="0"/>
        <w:pageBreakBefore w:val="0"/>
        <w:widowControl w:val="0"/>
        <w:kinsoku/>
        <w:wordWrap/>
        <w:overflowPunct w:val="0"/>
        <w:topLinePunct w:val="0"/>
        <w:autoSpaceDE/>
        <w:autoSpaceDN/>
        <w:bidi w:val="0"/>
        <w:adjustRightInd/>
        <w:snapToGrid/>
        <w:jc w:val="distribute"/>
        <w:textAlignment w:val="auto"/>
        <w:rPr>
          <w:rFonts w:hint="eastAsia" w:ascii="黑体" w:hAnsi="黑体" w:eastAsia="黑体" w:cs="黑体"/>
          <w:b w:val="0"/>
          <w:bCs w:val="0"/>
          <w:sz w:val="52"/>
          <w:szCs w:val="52"/>
          <w:lang w:val="en-US" w:eastAsia="zh-CN"/>
        </w:rPr>
      </w:pPr>
      <w:r>
        <w:rPr>
          <w:rFonts w:hint="eastAsia" w:ascii="黑体" w:hAnsi="黑体" w:eastAsia="黑体" w:cs="黑体"/>
          <w:b w:val="0"/>
          <w:bCs w:val="0"/>
          <w:sz w:val="52"/>
          <w:szCs w:val="52"/>
          <w:lang w:val="en-US" w:eastAsia="zh-CN"/>
        </w:rPr>
        <w:t>湖北省地方标准</w:t>
      </w:r>
    </w:p>
    <w:p>
      <w:pPr>
        <w:overflowPunct w:val="0"/>
      </w:pPr>
    </w:p>
    <w:p>
      <w:pPr>
        <w:overflowPunct w:val="0"/>
      </w:pPr>
    </w:p>
    <w:p>
      <w:pPr>
        <w:overflowPunct w:val="0"/>
      </w:pPr>
    </w:p>
    <w:p>
      <w:pPr>
        <w:overflowPunct w:val="0"/>
        <w:jc w:val="center"/>
        <w:rPr>
          <w:rFonts w:ascii="黑体" w:hAnsi="黑体" w:eastAsia="黑体"/>
          <w:spacing w:val="6"/>
          <w:sz w:val="52"/>
          <w:szCs w:val="52"/>
        </w:rPr>
      </w:pPr>
      <w:r>
        <w:rPr>
          <w:rFonts w:hint="eastAsia" w:ascii="黑体" w:hAnsi="黑体" w:eastAsia="黑体"/>
          <w:spacing w:val="6"/>
          <w:sz w:val="52"/>
          <w:szCs w:val="52"/>
        </w:rPr>
        <w:t>超低能耗建筑技术规范</w:t>
      </w:r>
    </w:p>
    <w:p>
      <w:pPr>
        <w:overflowPunct w:val="0"/>
        <w:jc w:val="center"/>
        <w:rPr>
          <w:rFonts w:hint="eastAsia" w:ascii="黑体" w:hAnsi="黑体" w:eastAsia="黑体"/>
          <w:spacing w:val="6"/>
          <w:sz w:val="52"/>
          <w:szCs w:val="52"/>
        </w:rPr>
      </w:pPr>
      <w:r>
        <w:rPr>
          <w:rFonts w:hint="eastAsia" w:ascii="黑体" w:hAnsi="黑体" w:eastAsia="黑体"/>
          <w:spacing w:val="6"/>
          <w:sz w:val="52"/>
          <w:szCs w:val="52"/>
        </w:rPr>
        <w:t>第</w:t>
      </w:r>
      <w:r>
        <w:rPr>
          <w:rFonts w:hint="eastAsia" w:ascii="黑体" w:hAnsi="黑体" w:eastAsia="黑体"/>
          <w:spacing w:val="6"/>
          <w:sz w:val="52"/>
          <w:szCs w:val="52"/>
          <w:lang w:val="en-US" w:eastAsia="zh-CN"/>
        </w:rPr>
        <w:t>2</w:t>
      </w:r>
      <w:r>
        <w:rPr>
          <w:rFonts w:hint="eastAsia" w:ascii="黑体" w:hAnsi="黑体" w:eastAsia="黑体"/>
          <w:spacing w:val="6"/>
          <w:sz w:val="52"/>
          <w:szCs w:val="52"/>
        </w:rPr>
        <w:t>部分</w:t>
      </w:r>
      <w:r>
        <w:rPr>
          <w:rFonts w:hint="eastAsia" w:ascii="黑体" w:hAnsi="黑体" w:eastAsia="黑体"/>
          <w:spacing w:val="6"/>
          <w:sz w:val="52"/>
          <w:szCs w:val="52"/>
          <w:lang w:eastAsia="zh-CN"/>
        </w:rPr>
        <w:t>：</w:t>
      </w:r>
      <w:r>
        <w:rPr>
          <w:rFonts w:hint="eastAsia" w:ascii="黑体" w:hAnsi="黑体" w:eastAsia="黑体"/>
          <w:spacing w:val="6"/>
          <w:sz w:val="52"/>
          <w:szCs w:val="52"/>
        </w:rPr>
        <w:t>公共建筑设计</w:t>
      </w:r>
    </w:p>
    <w:p>
      <w:pPr>
        <w:overflowPunct w:val="0"/>
        <w:ind w:firstLine="420" w:firstLineChars="200"/>
        <w:rPr>
          <w:rFonts w:ascii="宋体" w:hAnsi="宋体"/>
          <w:szCs w:val="36"/>
        </w:rPr>
      </w:pPr>
      <w:bookmarkStart w:id="62" w:name="_Toc14274"/>
      <w:bookmarkStart w:id="63" w:name="_Toc5140"/>
    </w:p>
    <w:p>
      <w:pPr>
        <w:overflowPunct w:val="0"/>
        <w:ind w:firstLine="420" w:firstLineChars="200"/>
        <w:rPr>
          <w:rFonts w:ascii="宋体" w:hAnsi="宋体"/>
          <w:szCs w:val="36"/>
        </w:rPr>
      </w:pPr>
    </w:p>
    <w:bookmarkEnd w:id="62"/>
    <w:bookmarkEnd w:id="63"/>
    <w:p>
      <w:pPr>
        <w:overflowPunct w:val="0"/>
        <w:jc w:val="center"/>
        <w:rPr>
          <w:sz w:val="32"/>
          <w:szCs w:val="32"/>
        </w:rPr>
      </w:pPr>
      <w:r>
        <w:rPr>
          <w:sz w:val="32"/>
          <w:szCs w:val="32"/>
        </w:rPr>
        <w:t>DB</w:t>
      </w:r>
      <w:r>
        <w:rPr>
          <w:rFonts w:hint="eastAsia"/>
          <w:sz w:val="32"/>
          <w:szCs w:val="32"/>
        </w:rPr>
        <w:t xml:space="preserve"> </w:t>
      </w:r>
      <w:r>
        <w:rPr>
          <w:sz w:val="32"/>
          <w:szCs w:val="32"/>
        </w:rPr>
        <w:t xml:space="preserve">42/T </w:t>
      </w:r>
      <w:r>
        <w:rPr>
          <w:rFonts w:hint="eastAsia"/>
          <w:sz w:val="32"/>
          <w:szCs w:val="32"/>
        </w:rPr>
        <w:t>××</w:t>
      </w:r>
      <w:r>
        <w:rPr>
          <w:sz w:val="32"/>
          <w:szCs w:val="32"/>
        </w:rPr>
        <w:t>—</w:t>
      </w:r>
      <w:r>
        <w:rPr>
          <w:rFonts w:hint="eastAsia"/>
          <w:sz w:val="32"/>
          <w:szCs w:val="32"/>
        </w:rPr>
        <w:t>202×</w:t>
      </w:r>
    </w:p>
    <w:p>
      <w:pPr>
        <w:overflowPunct w:val="0"/>
        <w:ind w:firstLine="420" w:firstLineChars="200"/>
        <w:rPr>
          <w:rFonts w:ascii="宋体" w:hAnsi="宋体"/>
          <w:szCs w:val="36"/>
        </w:rPr>
      </w:pPr>
    </w:p>
    <w:p>
      <w:pPr>
        <w:overflowPunct w:val="0"/>
        <w:ind w:firstLine="420" w:firstLineChars="200"/>
        <w:rPr>
          <w:rFonts w:ascii="宋体" w:hAnsi="宋体"/>
          <w:szCs w:val="36"/>
        </w:rPr>
      </w:pPr>
    </w:p>
    <w:p>
      <w:pPr>
        <w:overflowPunct w:val="0"/>
        <w:ind w:firstLine="420" w:firstLineChars="200"/>
        <w:rPr>
          <w:rFonts w:ascii="宋体" w:hAnsi="宋体"/>
          <w:szCs w:val="36"/>
        </w:rPr>
      </w:pPr>
    </w:p>
    <w:p>
      <w:pPr>
        <w:overflowPunct w:val="0"/>
        <w:jc w:val="center"/>
        <w:outlineLvl w:val="0"/>
        <w:rPr>
          <w:rFonts w:ascii="黑体" w:hAnsi="黑体" w:eastAsia="黑体"/>
          <w:sz w:val="44"/>
          <w:szCs w:val="44"/>
        </w:rPr>
      </w:pPr>
      <w:bookmarkStart w:id="64" w:name="_Toc177135729"/>
      <w:bookmarkStart w:id="65" w:name="_Toc80262097"/>
      <w:bookmarkStart w:id="66" w:name="_Toc174010858"/>
      <w:bookmarkStart w:id="67" w:name="_Toc29912"/>
      <w:bookmarkStart w:id="68" w:name="_Toc78444633"/>
      <w:bookmarkStart w:id="69" w:name="_Toc63000829"/>
      <w:bookmarkStart w:id="70" w:name="_Toc52713859"/>
      <w:r>
        <w:rPr>
          <w:rFonts w:hint="eastAsia" w:ascii="黑体" w:hAnsi="黑体" w:eastAsia="黑体"/>
          <w:sz w:val="44"/>
          <w:szCs w:val="44"/>
        </w:rPr>
        <w:t>条文说明</w:t>
      </w:r>
      <w:bookmarkEnd w:id="64"/>
      <w:bookmarkEnd w:id="65"/>
      <w:bookmarkEnd w:id="66"/>
      <w:bookmarkEnd w:id="67"/>
      <w:bookmarkEnd w:id="68"/>
      <w:bookmarkEnd w:id="69"/>
      <w:bookmarkEnd w:id="70"/>
    </w:p>
    <w:p>
      <w:pPr>
        <w:overflowPunct w:val="0"/>
        <w:ind w:firstLine="420" w:firstLineChars="200"/>
        <w:rPr>
          <w:rFonts w:ascii="宋体" w:hAnsi="宋体"/>
          <w:szCs w:val="36"/>
        </w:rPr>
      </w:pPr>
    </w:p>
    <w:p>
      <w:pPr>
        <w:overflowPunct w:val="0"/>
        <w:ind w:firstLine="420"/>
        <w:rPr>
          <w:rFonts w:ascii="宋体" w:hAnsi="Times New Roman"/>
          <w:szCs w:val="20"/>
        </w:rPr>
      </w:pPr>
    </w:p>
    <w:p>
      <w:pPr>
        <w:overflowPunct w:val="0"/>
        <w:rPr>
          <w:rFonts w:ascii="宋体" w:hAnsi="Times New Roman"/>
          <w:szCs w:val="20"/>
        </w:rPr>
      </w:pPr>
      <w:r>
        <w:rPr>
          <w:rFonts w:ascii="宋体" w:hAnsi="Times New Roman"/>
          <w:szCs w:val="20"/>
        </w:rPr>
        <w:br w:type="page"/>
      </w:r>
    </w:p>
    <w:p>
      <w:pPr>
        <w:overflowPunct w:val="0"/>
        <w:ind w:firstLine="444" w:firstLineChars="200"/>
        <w:textAlignment w:val="center"/>
        <w:rPr>
          <w:rFonts w:cs="楷体" w:asciiTheme="minorEastAsia" w:hAnsiTheme="minorEastAsia"/>
          <w:spacing w:val="6"/>
        </w:rPr>
      </w:pPr>
      <w:r>
        <w:rPr>
          <w:rFonts w:cs="楷体" w:asciiTheme="minorEastAsia" w:hAnsiTheme="minorEastAsia"/>
          <w:spacing w:val="6"/>
        </w:rPr>
        <mc:AlternateContent>
          <mc:Choice Requires="wps">
            <w:drawing>
              <wp:anchor distT="0" distB="0" distL="114300" distR="114300" simplePos="0" relativeHeight="251664384" behindDoc="0" locked="0" layoutInCell="1" allowOverlap="1">
                <wp:simplePos x="0" y="0"/>
                <wp:positionH relativeFrom="column">
                  <wp:posOffset>-80010</wp:posOffset>
                </wp:positionH>
                <wp:positionV relativeFrom="paragraph">
                  <wp:posOffset>-814070</wp:posOffset>
                </wp:positionV>
                <wp:extent cx="1661160" cy="518160"/>
                <wp:effectExtent l="0" t="0" r="15240" b="15240"/>
                <wp:wrapNone/>
                <wp:docPr id="15" name="矩形 6"/>
                <wp:cNvGraphicFramePr/>
                <a:graphic xmlns:a="http://schemas.openxmlformats.org/drawingml/2006/main">
                  <a:graphicData uri="http://schemas.microsoft.com/office/word/2010/wordprocessingShape">
                    <wps:wsp>
                      <wps:cNvSpPr/>
                      <wps:spPr>
                        <a:xfrm>
                          <a:off x="0" y="0"/>
                          <a:ext cx="1661160" cy="518160"/>
                        </a:xfrm>
                        <a:prstGeom prst="rect">
                          <a:avLst/>
                        </a:prstGeom>
                        <a:solidFill>
                          <a:srgbClr val="FFFFFF"/>
                        </a:solidFill>
                        <a:ln>
                          <a:noFill/>
                        </a:ln>
                      </wps:spPr>
                      <wps:bodyPr upright="true"/>
                    </wps:wsp>
                  </a:graphicData>
                </a:graphic>
              </wp:anchor>
            </w:drawing>
          </mc:Choice>
          <mc:Fallback>
            <w:pict>
              <v:rect id="矩形 6" o:spid="_x0000_s1026" o:spt="1" style="position:absolute;left:0pt;margin-left:-6.3pt;margin-top:-64.1pt;height:40.8pt;width:130.8pt;z-index:251664384;mso-width-relative:page;mso-height-relative:page;" fillcolor="#FFFFFF" filled="t" stroked="f" coordsize="21600,21600" o:gfxdata="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BYAAABkcnMvUEsBAhQAFAAAAAgAh07iQLOzD0LYAAAA&#10;DAEAAA8AAAAAAAAAAQAgAAAAOAAAAGRycy9kb3ducmV2LnhtbFBLAQIUABQAAAAIAIdO4kANq++e&#10;lQEAABUDAAAOAAAAAAAAAAEAIAAAAD0BAABkcnMvZTJvRG9jLnhtbFBLBQYAAAAABgAGAFkBAABE&#10;BQAAAAA=&#10;">
                <v:fill on="t" focussize="0,0"/>
                <v:stroke on="f"/>
                <v:imagedata o:title=""/>
                <o:lock v:ext="edit" aspectratio="f"/>
              </v:rect>
            </w:pict>
          </mc:Fallback>
        </mc:AlternateContent>
      </w:r>
    </w:p>
    <w:p>
      <w:pPr>
        <w:overflowPunct w:val="0"/>
        <w:ind w:firstLine="444" w:firstLineChars="200"/>
        <w:textAlignment w:val="center"/>
        <w:rPr>
          <w:rFonts w:cs="楷体" w:asciiTheme="minorEastAsia" w:hAnsiTheme="minorEastAsia"/>
          <w:spacing w:val="6"/>
        </w:rPr>
      </w:pPr>
    </w:p>
    <w:p>
      <w:pPr>
        <w:overflowPunct w:val="0"/>
        <w:ind w:firstLine="444" w:firstLineChars="200"/>
        <w:textAlignment w:val="center"/>
        <w:rPr>
          <w:rFonts w:cs="楷体" w:asciiTheme="minorEastAsia" w:hAnsiTheme="minorEastAsia"/>
          <w:spacing w:val="6"/>
        </w:rPr>
      </w:pPr>
    </w:p>
    <w:p>
      <w:pPr>
        <w:overflowPunct w:val="0"/>
        <w:ind w:firstLine="444" w:firstLineChars="200"/>
        <w:textAlignment w:val="center"/>
        <w:rPr>
          <w:rFonts w:cs="楷体" w:asciiTheme="minorEastAsia" w:hAnsiTheme="minorEastAsia"/>
          <w:spacing w:val="6"/>
        </w:rPr>
      </w:pPr>
    </w:p>
    <w:p>
      <w:pPr>
        <w:pStyle w:val="56"/>
        <w:overflowPunct w:val="0"/>
        <w:autoSpaceDE/>
        <w:autoSpaceDN/>
        <w:ind w:firstLine="420"/>
        <w:rPr>
          <w:rFonts w:asciiTheme="minorEastAsia" w:hAnsiTheme="minorEastAsia" w:eastAsiaTheme="minorEastAsia"/>
        </w:rPr>
      </w:pPr>
      <w:r>
        <w:rPr>
          <w:rFonts w:cs="楷体" w:asciiTheme="minorEastAsia" w:hAnsiTheme="minorEastAsia" w:eastAsiaTheme="minorEastAsia"/>
          <w:spacing w:val="6"/>
        </w:rPr>
        <mc:AlternateContent>
          <mc:Choice Requires="wps">
            <w:drawing>
              <wp:anchor distT="0" distB="0" distL="114300" distR="114300" simplePos="0" relativeHeight="251665408" behindDoc="0" locked="0" layoutInCell="1" allowOverlap="1">
                <wp:simplePos x="0" y="0"/>
                <wp:positionH relativeFrom="column">
                  <wp:posOffset>-342900</wp:posOffset>
                </wp:positionH>
                <wp:positionV relativeFrom="paragraph">
                  <wp:posOffset>7330440</wp:posOffset>
                </wp:positionV>
                <wp:extent cx="1661160" cy="518160"/>
                <wp:effectExtent l="0" t="0" r="15240" b="15240"/>
                <wp:wrapNone/>
                <wp:docPr id="17" name="矩形 7"/>
                <wp:cNvGraphicFramePr/>
                <a:graphic xmlns:a="http://schemas.openxmlformats.org/drawingml/2006/main">
                  <a:graphicData uri="http://schemas.microsoft.com/office/word/2010/wordprocessingShape">
                    <wps:wsp>
                      <wps:cNvSpPr/>
                      <wps:spPr>
                        <a:xfrm>
                          <a:off x="0" y="0"/>
                          <a:ext cx="1661160" cy="518160"/>
                        </a:xfrm>
                        <a:prstGeom prst="rect">
                          <a:avLst/>
                        </a:prstGeom>
                        <a:solidFill>
                          <a:srgbClr val="FFFFFF"/>
                        </a:solidFill>
                        <a:ln>
                          <a:noFill/>
                        </a:ln>
                      </wps:spPr>
                      <wps:bodyPr upright="true"/>
                    </wps:wsp>
                  </a:graphicData>
                </a:graphic>
              </wp:anchor>
            </w:drawing>
          </mc:Choice>
          <mc:Fallback>
            <w:pict>
              <v:rect id="矩形 7" o:spid="_x0000_s1026" o:spt="1" style="position:absolute;left:0pt;margin-left:-27pt;margin-top:577.2pt;height:40.8pt;width:130.8pt;z-index:251665408;mso-width-relative:page;mso-height-relative:page;" fillcolor="#FFFFFF" filled="t" stroked="f" coordsize="21600,21600" o:gfxdata="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BYAAABkcnMvUEsBAhQAFAAAAAgAh07iQMWggKDa&#10;AAAADQEAAA8AAAAAAAAAAQAgAAAAOAAAAGRycy9kb3ducmV2LnhtbFBLAQIUABQAAAAIAIdO4kDb&#10;dhRJlgEAABUDAAAOAAAAAAAAAAEAIAAAAD8BAABkcnMvZTJvRG9jLnhtbFBLBQYAAAAABgAGAFkB&#10;AABHBQAAAAA=&#10;">
                <v:fill on="t" focussize="0,0"/>
                <v:stroke on="f"/>
                <v:imagedata o:title=""/>
                <o:lock v:ext="edit" aspectratio="f"/>
              </v:rect>
            </w:pict>
          </mc:Fallback>
        </mc:AlternateContent>
      </w:r>
      <w:r>
        <w:rPr>
          <w:rFonts w:asciiTheme="minorEastAsia" w:hAnsiTheme="minorEastAsia" w:eastAsiaTheme="minorEastAsia"/>
        </w:rPr>
        <w:br w:type="page"/>
      </w:r>
    </w:p>
    <w:p>
      <w:pPr>
        <w:pStyle w:val="2"/>
        <w:numPr>
          <w:ilvl w:val="0"/>
          <w:numId w:val="0"/>
        </w:numPr>
        <w:overflowPunct w:val="0"/>
        <w:spacing w:before="312" w:after="312"/>
        <w:ind w:left="357" w:hanging="357" w:hangingChars="170"/>
        <w:rPr>
          <w:rFonts w:hint="eastAsia"/>
        </w:rPr>
      </w:pPr>
      <w:bookmarkStart w:id="71" w:name="_Toc177135730"/>
      <w:r>
        <w:t>1</w:t>
      </w:r>
      <w:r>
        <w:rPr>
          <w:rFonts w:hint="eastAsia"/>
        </w:rPr>
        <w:t>　</w:t>
      </w:r>
      <w:bookmarkEnd w:id="71"/>
      <w:r>
        <w:rPr>
          <w:rFonts w:hint="eastAsia"/>
        </w:rPr>
        <w:t>范围</w:t>
      </w:r>
    </w:p>
    <w:p>
      <w:pPr>
        <w:pStyle w:val="22"/>
        <w:overflowPunct w:val="0"/>
        <w:ind w:left="0" w:leftChars="0" w:firstLine="210" w:firstLineChars="100"/>
        <w:rPr>
          <w:rFonts w:ascii="黑体" w:hAnsi="黑体" w:eastAsia="黑体" w:cs="黑体"/>
          <w:sz w:val="18"/>
          <w:szCs w:val="18"/>
        </w:rPr>
      </w:pPr>
      <w:r>
        <w:rPr>
          <w:rFonts w:hint="eastAsia" w:ascii="黑体" w:hAnsi="黑体" w:eastAsia="黑体" w:cs="Times New Roman"/>
          <w:szCs w:val="21"/>
        </w:rPr>
        <w:t>　</w:t>
      </w:r>
      <w:r>
        <w:rPr>
          <w:rFonts w:hint="eastAsia" w:ascii="Times New Roman" w:hAnsi="Times New Roman" w:cs="Times New Roman"/>
          <w:szCs w:val="21"/>
        </w:rPr>
        <w:t>公共建筑类型多样，包括办公、酒店、商业、教育、医疗、体育、文化、交通等多种功能。不同功能类型的公共建筑在节能设计上存在共性的特征，也存在个性的差异。本标准针对公共建筑提出实施超低能耗建筑的共性要求，相关指标和措施的确定考虑了不同类型公共建筑的适用性和可行性。特殊类型公共建筑因自身条件限制在执行本标准存在困难时，可组织专项论证。</w:t>
      </w:r>
    </w:p>
    <w:p>
      <w:pPr>
        <w:pStyle w:val="2"/>
        <w:numPr>
          <w:ilvl w:val="0"/>
          <w:numId w:val="0"/>
        </w:numPr>
        <w:overflowPunct w:val="0"/>
        <w:spacing w:before="312" w:after="312"/>
        <w:ind w:left="357" w:hanging="357" w:hangingChars="170"/>
      </w:pPr>
      <w:r>
        <w:rPr>
          <w:rFonts w:hint="eastAsia"/>
        </w:rPr>
        <w:t>3　术语和定义</w:t>
      </w:r>
    </w:p>
    <w:p>
      <w:pPr>
        <w:tabs>
          <w:tab w:val="left" w:pos="397"/>
          <w:tab w:val="left" w:pos="765"/>
        </w:tabs>
        <w:overflowPunct w:val="0"/>
        <w:outlineLvl w:val="2"/>
        <w:rPr>
          <w:rFonts w:ascii="Times New Roman" w:hAnsi="Times New Roman" w:cs="Times New Roman"/>
          <w:szCs w:val="21"/>
        </w:rPr>
      </w:pPr>
      <w:r>
        <w:rPr>
          <w:rFonts w:hint="eastAsia" w:ascii="黑体" w:hAnsi="黑体" w:eastAsia="黑体" w:cs="Times New Roman"/>
          <w:szCs w:val="21"/>
        </w:rPr>
        <w:t>3</w:t>
      </w:r>
      <w:r>
        <w:rPr>
          <w:rFonts w:ascii="黑体" w:hAnsi="黑体" w:eastAsia="黑体" w:cs="Times New Roman"/>
          <w:szCs w:val="21"/>
        </w:rPr>
        <w:t>.1</w:t>
      </w:r>
      <w:r>
        <w:rPr>
          <w:rFonts w:hint="eastAsia" w:ascii="黑体" w:hAnsi="黑体" w:eastAsia="黑体" w:cs="Times New Roman"/>
          <w:szCs w:val="21"/>
        </w:rPr>
        <w:t>　</w:t>
      </w:r>
      <w:r>
        <w:rPr>
          <w:rFonts w:hint="eastAsia" w:ascii="Times New Roman" w:hAnsi="Times New Roman" w:cs="Times New Roman"/>
          <w:szCs w:val="21"/>
        </w:rPr>
        <w:t>超低能耗建筑的定义包括节能水平和技术路线。关于超低能耗建筑的节能水平，需要和我国1986~2016年建筑节能30%、50%、65%三步走进行合理衔接。根据国家标准《近零能耗建筑技术标准》GB/T51350-2019确定的原则，超低能耗建筑的能耗水平应较2016年所执行的标准（国家标准《公共建筑节能设计标准》GB50189-2015）再降低50%以上。考虑到国家标准《建筑节能与可再生能源利用通用规范》GB55015-2021的实施，以及国家标准《公共建筑节能设计标准》GB50189-2015相关条文的废止，本标准在保持超低能耗建筑节能水平不变的前提下，以国家标准《建筑节能与可再生能源利用通用规范》GB55015-2021作为基准进行超低能耗建筑相应能效指标的界定。而实现超低能耗的核心技术体系则由被动式建筑节能设计、主动式用能设备能效提升以及可再生能源建筑应用组成。</w:t>
      </w:r>
    </w:p>
    <w:p>
      <w:pPr>
        <w:tabs>
          <w:tab w:val="left" w:pos="397"/>
          <w:tab w:val="left" w:pos="765"/>
        </w:tabs>
        <w:overflowPunct w:val="0"/>
        <w:outlineLvl w:val="2"/>
        <w:rPr>
          <w:rFonts w:ascii="Times New Roman" w:hAnsi="Times New Roman" w:cs="Times New Roman"/>
          <w:szCs w:val="21"/>
        </w:rPr>
      </w:pPr>
      <w:r>
        <w:rPr>
          <w:rFonts w:hint="eastAsia" w:ascii="黑体" w:hAnsi="黑体" w:eastAsia="黑体" w:cs="Times New Roman"/>
          <w:szCs w:val="21"/>
        </w:rPr>
        <w:t>3</w:t>
      </w:r>
      <w:r>
        <w:rPr>
          <w:rFonts w:ascii="黑体" w:hAnsi="黑体" w:eastAsia="黑体" w:cs="Times New Roman"/>
          <w:szCs w:val="21"/>
        </w:rPr>
        <w:t>.3</w:t>
      </w:r>
      <w:r>
        <w:rPr>
          <w:rFonts w:hint="eastAsia" w:ascii="黑体" w:hAnsi="黑体" w:eastAsia="黑体" w:cs="Times New Roman"/>
          <w:szCs w:val="21"/>
        </w:rPr>
        <w:t>　</w:t>
      </w:r>
      <w:r>
        <w:rPr>
          <w:rFonts w:hint="eastAsia" w:ascii="Times New Roman" w:hAnsi="Times New Roman" w:cs="Times New Roman"/>
          <w:szCs w:val="21"/>
        </w:rPr>
        <w:t>建筑能耗综合值为换算到标准煤当量的建筑能源消耗量，体现了建筑对化石能源的消耗和对环境的影响程度。本标准中的建筑能耗范围并非建筑全部能耗，而是限定在供暖空调、照明、生活热水和电梯，其中新风系统的能耗纳入供暖空调能耗中。上述范围内的能耗是公共建筑能耗的主要组成部分，可量化计算且设计可控性强。其他如插座等能耗与建筑的实际使用方式等相关度较大，均为建筑设计不可控因素且在设计阶段准确计算存在一定难度，在本标准中不考虑。</w:t>
      </w:r>
    </w:p>
    <w:p>
      <w:pPr>
        <w:tabs>
          <w:tab w:val="left" w:pos="397"/>
          <w:tab w:val="left" w:pos="765"/>
        </w:tabs>
        <w:overflowPunct w:val="0"/>
        <w:outlineLvl w:val="2"/>
        <w:rPr>
          <w:rFonts w:ascii="黑体" w:hAnsi="黑体" w:eastAsia="黑体" w:cs="黑体"/>
          <w:sz w:val="18"/>
          <w:szCs w:val="18"/>
        </w:rPr>
      </w:pPr>
      <w:r>
        <w:rPr>
          <w:rFonts w:hint="eastAsia" w:ascii="黑体" w:hAnsi="黑体" w:eastAsia="黑体" w:cs="Times New Roman"/>
          <w:szCs w:val="21"/>
        </w:rPr>
        <w:t>3</w:t>
      </w:r>
      <w:r>
        <w:rPr>
          <w:rFonts w:ascii="黑体" w:hAnsi="黑体" w:eastAsia="黑体" w:cs="Times New Roman"/>
          <w:szCs w:val="21"/>
        </w:rPr>
        <w:t>.7</w:t>
      </w:r>
      <w:r>
        <w:rPr>
          <w:rFonts w:hint="eastAsia" w:ascii="黑体" w:hAnsi="黑体" w:eastAsia="黑体" w:cs="Times New Roman"/>
          <w:szCs w:val="21"/>
        </w:rPr>
        <w:t>　</w:t>
      </w:r>
      <w:r>
        <w:rPr>
          <w:rFonts w:hint="eastAsia" w:ascii="Times New Roman" w:hAnsi="Times New Roman" w:cs="Times New Roman"/>
          <w:szCs w:val="21"/>
        </w:rPr>
        <w:t>可再生能源利用率表征建筑用能中可再生能源利用量的比例，是评估超低能耗建筑中可再生能源利用程度的指标。本标准中可再生能源利用率涉及的能源类型范围，包括可再生能源发电、地源热泵、空气源热泵、太阳能热利用和生物质能，相应的计算方法见本标准附录A能效指标计算方法。</w:t>
      </w:r>
    </w:p>
    <w:p>
      <w:pPr>
        <w:pStyle w:val="2"/>
        <w:numPr>
          <w:ilvl w:val="0"/>
          <w:numId w:val="0"/>
        </w:numPr>
        <w:overflowPunct w:val="0"/>
        <w:spacing w:before="312" w:after="312"/>
        <w:ind w:left="357" w:hanging="357" w:hangingChars="170"/>
      </w:pPr>
      <w:r>
        <w:t>4</w:t>
      </w:r>
      <w:r>
        <w:rPr>
          <w:rFonts w:hint="eastAsia"/>
        </w:rPr>
        <w:t>　基本规定</w:t>
      </w:r>
    </w:p>
    <w:p>
      <w:pPr>
        <w:pStyle w:val="3"/>
        <w:numPr>
          <w:ilvl w:val="0"/>
          <w:numId w:val="0"/>
        </w:numPr>
        <w:tabs>
          <w:tab w:val="left" w:pos="0"/>
        </w:tabs>
        <w:overflowPunct w:val="0"/>
        <w:spacing w:before="156" w:beforeLines="50" w:after="156" w:afterLines="50"/>
        <w:rPr>
          <w:rStyle w:val="44"/>
          <w:color w:val="auto"/>
        </w:rPr>
      </w:pPr>
      <w:r>
        <w:rPr>
          <w:rStyle w:val="44"/>
          <w:rFonts w:hint="eastAsia"/>
          <w:color w:val="auto"/>
        </w:rPr>
        <w:t>4.1　一般规定</w:t>
      </w:r>
    </w:p>
    <w:p>
      <w:pPr>
        <w:pStyle w:val="42"/>
        <w:widowControl w:val="0"/>
        <w:tabs>
          <w:tab w:val="left" w:pos="0"/>
          <w:tab w:val="left" w:pos="765"/>
        </w:tabs>
        <w:overflowPunct w:val="0"/>
        <w:autoSpaceDE/>
        <w:autoSpaceDN/>
        <w:ind w:firstLine="0" w:firstLineChars="0"/>
        <w:outlineLvl w:val="2"/>
        <w:rPr>
          <w:rFonts w:hAnsi="宋体"/>
        </w:rPr>
      </w:pPr>
      <w:r>
        <w:rPr>
          <w:rFonts w:ascii="黑体" w:hAnsi="黑体" w:eastAsia="黑体" w:cs="Times New Roman"/>
        </w:rPr>
        <w:t>4.1.1</w:t>
      </w:r>
      <w:r>
        <w:rPr>
          <w:rFonts w:hint="eastAsia" w:ascii="黑体" w:hAnsi="黑体" w:eastAsia="黑体" w:cs="Times New Roman"/>
        </w:rPr>
        <w:t>　</w:t>
      </w:r>
      <w:r>
        <w:rPr>
          <w:rFonts w:hint="eastAsia" w:ascii="Times New Roman" w:hAnsi="Times New Roman" w:cs="Times New Roman"/>
        </w:rPr>
        <w:t>《加快推动建筑领域节能降碳工作方案》（国办函〔2024〕20号）文件要求：应强化年运行能耗1000吨标准煤（或电耗500万千瓦时）及以上建筑项目节能审查，严格执行建筑节能降碳强制性标准。</w:t>
      </w:r>
    </w:p>
    <w:p>
      <w:pPr>
        <w:pStyle w:val="42"/>
        <w:widowControl w:val="0"/>
        <w:tabs>
          <w:tab w:val="left" w:pos="0"/>
          <w:tab w:val="left" w:pos="765"/>
        </w:tabs>
        <w:overflowPunct w:val="0"/>
        <w:autoSpaceDE/>
        <w:autoSpaceDN/>
        <w:ind w:firstLine="0" w:firstLineChars="0"/>
        <w:outlineLvl w:val="2"/>
        <w:rPr>
          <w:rFonts w:hAnsi="宋体"/>
        </w:rPr>
      </w:pPr>
      <w:r>
        <w:rPr>
          <w:rFonts w:ascii="黑体" w:hAnsi="黑体" w:eastAsia="黑体" w:cs="Times New Roman"/>
        </w:rPr>
        <w:t>4.1.2</w:t>
      </w:r>
      <w:r>
        <w:rPr>
          <w:rFonts w:hint="eastAsia" w:ascii="黑体" w:hAnsi="黑体" w:eastAsia="黑体" w:cs="Times New Roman"/>
        </w:rPr>
        <w:t>　</w:t>
      </w:r>
      <w:r>
        <w:rPr>
          <w:rFonts w:hint="eastAsia" w:ascii="Times New Roman" w:hAnsi="Times New Roman" w:cs="Times New Roman"/>
        </w:rPr>
        <w:t>国内外的发展经验表明，在建筑迈向更低能耗的方向上，基本技术路径是一致的，即通过被动式建筑设计、主动式高性能能源系统及可再生能源系统应用，最大幅度减少化石能源消耗。基于本省的气候特征和生活习惯，超低能耗建筑的技术路径，应强调建筑遮阳、自然通风、天然采光、围护结构保温隔热等被动式设计措施，优先使用能效等级更高的系统和设备，同时充分挖掘建筑本体的可再生能源应用潜力，对能耗进行平衡和替代。</w:t>
      </w:r>
    </w:p>
    <w:p>
      <w:pPr>
        <w:pStyle w:val="42"/>
        <w:widowControl w:val="0"/>
        <w:tabs>
          <w:tab w:val="left" w:pos="0"/>
          <w:tab w:val="left" w:pos="765"/>
        </w:tabs>
        <w:overflowPunct w:val="0"/>
        <w:autoSpaceDE/>
        <w:autoSpaceDN/>
        <w:ind w:firstLine="0" w:firstLineChars="0"/>
        <w:outlineLvl w:val="2"/>
        <w:rPr>
          <w:rFonts w:hAnsi="宋体"/>
        </w:rPr>
      </w:pPr>
      <w:r>
        <w:rPr>
          <w:rFonts w:ascii="黑体" w:hAnsi="黑体" w:eastAsia="黑体" w:cs="Times New Roman"/>
        </w:rPr>
        <w:t>4.1.3</w:t>
      </w:r>
      <w:r>
        <w:rPr>
          <w:rFonts w:hint="eastAsia" w:ascii="黑体" w:hAnsi="黑体" w:eastAsia="黑体" w:cs="Times New Roman"/>
        </w:rPr>
        <w:t>　</w:t>
      </w:r>
      <w:r>
        <w:rPr>
          <w:rFonts w:hint="eastAsia" w:ascii="Times New Roman" w:hAnsi="Times New Roman" w:cs="Times New Roman"/>
        </w:rPr>
        <w:t>超低能耗建筑强调建筑能耗目标控制，设计达标判定并不是单纯以具体措施的落实为依据，而是要求能耗结果达标。因此，有别于传统建筑节能设计采用的指令性（规定性）设计方法，超低能耗建筑应采用性能化设计方法，面向建筑性能总体指标要求，综合比选不同的建筑方案和关键部品的性能参数，通过不同组合方案的优化比选，制定适合具体项目的超低能耗技术方案。</w:t>
      </w:r>
    </w:p>
    <w:p>
      <w:pPr>
        <w:pStyle w:val="42"/>
        <w:widowControl w:val="0"/>
        <w:tabs>
          <w:tab w:val="left" w:pos="0"/>
          <w:tab w:val="left" w:pos="765"/>
        </w:tabs>
        <w:overflowPunct w:val="0"/>
        <w:autoSpaceDE/>
        <w:autoSpaceDN/>
        <w:ind w:firstLine="0" w:firstLineChars="0"/>
        <w:outlineLvl w:val="2"/>
        <w:rPr>
          <w:rFonts w:hAnsi="宋体"/>
        </w:rPr>
      </w:pPr>
      <w:r>
        <w:rPr>
          <w:rFonts w:ascii="黑体" w:hAnsi="黑体" w:eastAsia="黑体" w:cs="Times New Roman"/>
        </w:rPr>
        <w:t>4.1.4</w:t>
      </w:r>
      <w:r>
        <w:rPr>
          <w:rFonts w:hint="eastAsia" w:ascii="黑体" w:hAnsi="黑体" w:eastAsia="黑体" w:cs="Times New Roman"/>
        </w:rPr>
        <w:t>　</w:t>
      </w:r>
      <w:r>
        <w:rPr>
          <w:rFonts w:hint="eastAsia" w:ascii="Times New Roman" w:hAnsi="Times New Roman" w:cs="Times New Roman"/>
        </w:rPr>
        <w:t>湖北省属于夏热冬冷地区，建筑设计需要兼顾夏季隔热与冬季保温并为过渡季通风营造条件。被动式建筑设计是值得大力推广的设计理念，可以在建筑设计的源头降低建筑用能需求，为建筑节能目标的实现提供良好的建筑本体条件。</w:t>
      </w:r>
    </w:p>
    <w:p>
      <w:pPr>
        <w:pStyle w:val="42"/>
        <w:widowControl w:val="0"/>
        <w:tabs>
          <w:tab w:val="left" w:pos="0"/>
          <w:tab w:val="left" w:pos="765"/>
        </w:tabs>
        <w:overflowPunct w:val="0"/>
        <w:autoSpaceDE/>
        <w:autoSpaceDN/>
        <w:ind w:firstLine="0" w:firstLineChars="0"/>
        <w:outlineLvl w:val="2"/>
        <w:rPr>
          <w:rFonts w:ascii="Times New Roman" w:hAnsi="Times New Roman" w:cs="Times New Roman"/>
        </w:rPr>
      </w:pPr>
      <w:r>
        <w:rPr>
          <w:rFonts w:ascii="黑体" w:hAnsi="黑体" w:eastAsia="黑体" w:cs="Times New Roman"/>
        </w:rPr>
        <w:t>4.1.5</w:t>
      </w:r>
      <w:r>
        <w:rPr>
          <w:rFonts w:hint="eastAsia" w:ascii="黑体" w:hAnsi="黑体" w:eastAsia="黑体" w:cs="Times New Roman"/>
        </w:rPr>
        <w:t>　</w:t>
      </w:r>
      <w:r>
        <w:rPr>
          <w:rFonts w:hint="eastAsia" w:ascii="Times New Roman" w:hAnsi="Times New Roman" w:cs="Times New Roman"/>
        </w:rPr>
        <w:t>全装修指建筑功能空间的固定面装修和设备设施安装全部完成，达到建筑使用功能和性能的基本要求。建筑全装修交付一方面能够确保建筑结构安全性、降低整体成本、节约项目时间，另一方面也能大大减少污染浪费，更加符合现阶段人民对于健康、环保和经济性的要求，对于积极推进建筑节能具有重要作用。被动式超低能耗建筑的围护结构构造复杂，如在室内装修过程中对其进行破坏，将导致气密性损坏，进而影响室内环境并导致建筑能效性能下降。因此，被动式超低能耗建筑应进行全装修。</w:t>
      </w:r>
    </w:p>
    <w:p>
      <w:pPr>
        <w:pStyle w:val="3"/>
        <w:numPr>
          <w:ilvl w:val="0"/>
          <w:numId w:val="0"/>
        </w:numPr>
        <w:tabs>
          <w:tab w:val="left" w:pos="0"/>
        </w:tabs>
        <w:overflowPunct w:val="0"/>
        <w:spacing w:before="156" w:beforeLines="50" w:after="156" w:afterLines="50"/>
        <w:rPr>
          <w:rStyle w:val="44"/>
          <w:color w:val="auto"/>
        </w:rPr>
      </w:pPr>
      <w:r>
        <w:rPr>
          <w:rStyle w:val="44"/>
          <w:rFonts w:hint="eastAsia"/>
          <w:color w:val="auto"/>
        </w:rPr>
        <w:t>4.2　能效指标</w:t>
      </w:r>
    </w:p>
    <w:p>
      <w:pPr>
        <w:pStyle w:val="42"/>
        <w:widowControl w:val="0"/>
        <w:tabs>
          <w:tab w:val="left" w:pos="765"/>
        </w:tabs>
        <w:overflowPunct w:val="0"/>
        <w:autoSpaceDE/>
        <w:autoSpaceDN/>
        <w:ind w:firstLine="0" w:firstLineChars="0"/>
        <w:rPr>
          <w:rFonts w:ascii="Times New Roman" w:hAnsi="Times New Roman" w:cs="Times New Roman"/>
        </w:rPr>
      </w:pPr>
      <w:r>
        <w:rPr>
          <w:rFonts w:ascii="黑体" w:hAnsi="黑体" w:eastAsia="黑体" w:cs="Times New Roman"/>
        </w:rPr>
        <w:t>4.2.1</w:t>
      </w:r>
      <w:r>
        <w:rPr>
          <w:rFonts w:hint="eastAsia" w:ascii="黑体" w:hAnsi="黑体" w:eastAsia="黑体" w:cs="Times New Roman"/>
        </w:rPr>
        <w:t>　</w:t>
      </w:r>
      <w:r>
        <w:rPr>
          <w:rFonts w:hint="eastAsia" w:ascii="Times New Roman" w:hAnsi="Times New Roman" w:cs="Times New Roman"/>
        </w:rPr>
        <w:t>能效指标是判别建筑是否达到超低能耗建筑标准的约束性指标。本标准提出的超低能耗公共建筑能效指标包括建筑本体节能率、建筑综合节能率、可再生能源利用率三部分，需要同时满足要求。</w:t>
      </w:r>
    </w:p>
    <w:p>
      <w:pPr>
        <w:pStyle w:val="42"/>
        <w:widowControl w:val="0"/>
        <w:tabs>
          <w:tab w:val="left" w:pos="765"/>
        </w:tabs>
        <w:overflowPunct w:val="0"/>
        <w:autoSpaceDE/>
        <w:autoSpaceDN/>
        <w:ind w:firstLine="420"/>
        <w:rPr>
          <w:rFonts w:ascii="Times New Roman" w:hAnsi="Times New Roman" w:cs="Times New Roman"/>
        </w:rPr>
      </w:pPr>
      <w:r>
        <w:rPr>
          <w:rFonts w:hint="eastAsia" w:ascii="Times New Roman" w:hAnsi="Times New Roman" w:cs="Times New Roman"/>
        </w:rPr>
        <w:t>建筑能效指标确定的原则和方法如下：</w:t>
      </w:r>
    </w:p>
    <w:p>
      <w:pPr>
        <w:pStyle w:val="42"/>
        <w:widowControl w:val="0"/>
        <w:tabs>
          <w:tab w:val="left" w:pos="765"/>
        </w:tabs>
        <w:overflowPunct w:val="0"/>
        <w:autoSpaceDE/>
        <w:autoSpaceDN/>
        <w:ind w:firstLine="420"/>
        <w:rPr>
          <w:rFonts w:ascii="Times New Roman" w:hAnsi="Times New Roman" w:cs="Times New Roman"/>
        </w:rPr>
      </w:pPr>
      <w:r>
        <w:rPr>
          <w:rFonts w:hint="eastAsia" w:ascii="Times New Roman" w:hAnsi="Times New Roman" w:cs="Times New Roman"/>
        </w:rPr>
        <w:t>1.功能类型的用能特点和强度差异较大，现阶段针对不同功能类型公共建筑提出绝对值形式能耗指标的条件尚不充分，因此本标准采用相对值的方式对公共建筑的节能水平进行约束，在规模化推广超低能耗公共建筑时保证标准实施的可行性。</w:t>
      </w:r>
    </w:p>
    <w:p>
      <w:pPr>
        <w:pStyle w:val="42"/>
        <w:widowControl w:val="0"/>
        <w:tabs>
          <w:tab w:val="left" w:pos="765"/>
        </w:tabs>
        <w:overflowPunct w:val="0"/>
        <w:autoSpaceDE/>
        <w:autoSpaceDN/>
        <w:ind w:firstLine="420"/>
        <w:rPr>
          <w:rFonts w:ascii="Times New Roman" w:hAnsi="Times New Roman" w:cs="Times New Roman"/>
        </w:rPr>
      </w:pPr>
      <w:r>
        <w:rPr>
          <w:rFonts w:hint="eastAsia" w:ascii="Times New Roman" w:hAnsi="Times New Roman" w:cs="Times New Roman"/>
        </w:rPr>
        <w:t>2.引导建筑本体节能。建筑本体节能率是不包括可再生能源时的建筑节能水平，反映了被动式设计措施和主动式设备能效提升的作用效果。从实现超低能耗建筑的技术路线来看，建筑本体有条件也有责任实现一定的节能目标，不应该将降低能耗的责任全部由可再生能源承担。</w:t>
      </w:r>
    </w:p>
    <w:p>
      <w:pPr>
        <w:pStyle w:val="42"/>
        <w:widowControl w:val="0"/>
        <w:tabs>
          <w:tab w:val="left" w:pos="765"/>
        </w:tabs>
        <w:overflowPunct w:val="0"/>
        <w:autoSpaceDE/>
        <w:autoSpaceDN/>
        <w:ind w:firstLine="420"/>
        <w:rPr>
          <w:rFonts w:ascii="Times New Roman" w:hAnsi="Times New Roman" w:cs="Times New Roman"/>
        </w:rPr>
      </w:pPr>
      <w:r>
        <w:rPr>
          <w:rFonts w:hint="eastAsia" w:ascii="Times New Roman" w:hAnsi="Times New Roman" w:cs="Times New Roman"/>
        </w:rPr>
        <w:t>3.响应地域政策。可再生能源是建筑领域实现双碳目标的重要措施，湖北省近年来已将可再生能源建筑应用纳入强制政策范围，因此湖北省超低能耗建筑已有良好的可再生能源应用基础条件。为呼应本省政策特点并进一步引导可再生能源利用，设立可再生能源利用率指标，相关指标是以政策要求为基础根据典型模型测算确定。</w:t>
      </w:r>
    </w:p>
    <w:p>
      <w:pPr>
        <w:pStyle w:val="3"/>
        <w:numPr>
          <w:ilvl w:val="0"/>
          <w:numId w:val="0"/>
        </w:numPr>
        <w:tabs>
          <w:tab w:val="left" w:pos="0"/>
        </w:tabs>
        <w:overflowPunct w:val="0"/>
        <w:spacing w:before="156" w:beforeLines="50" w:after="156" w:afterLines="50"/>
        <w:rPr>
          <w:rStyle w:val="44"/>
          <w:color w:val="auto"/>
        </w:rPr>
      </w:pPr>
      <w:r>
        <w:rPr>
          <w:rStyle w:val="44"/>
          <w:rFonts w:hint="eastAsia"/>
          <w:color w:val="auto"/>
        </w:rPr>
        <w:t>4.3　室内环境指标</w:t>
      </w:r>
    </w:p>
    <w:p>
      <w:pPr>
        <w:pStyle w:val="42"/>
        <w:widowControl w:val="0"/>
        <w:tabs>
          <w:tab w:val="left" w:pos="765"/>
        </w:tabs>
        <w:overflowPunct w:val="0"/>
        <w:autoSpaceDE/>
        <w:autoSpaceDN/>
        <w:ind w:firstLine="0" w:firstLineChars="0"/>
        <w:rPr>
          <w:rFonts w:ascii="Times New Roman" w:hAnsi="Times New Roman" w:cs="Times New Roman"/>
        </w:rPr>
      </w:pPr>
      <w:r>
        <w:rPr>
          <w:rFonts w:ascii="黑体" w:hAnsi="黑体" w:eastAsia="黑体" w:cs="Times New Roman"/>
        </w:rPr>
        <w:t>4.3.1</w:t>
      </w:r>
      <w:r>
        <w:rPr>
          <w:rFonts w:hint="eastAsia" w:ascii="黑体" w:hAnsi="黑体" w:eastAsia="黑体" w:cs="Times New Roman"/>
        </w:rPr>
        <w:t>　</w:t>
      </w:r>
      <w:r>
        <w:rPr>
          <w:rFonts w:hint="eastAsia" w:ascii="Times New Roman" w:hAnsi="Times New Roman" w:cs="Times New Roman"/>
        </w:rPr>
        <w:t>健康舒适的室内环境是超低能耗建筑的基本前提，超低能耗建筑室内环境参数应满足较高的热舒适水平。本条提出的温度和相对湿度参数主要用于供暖空调工况设计计算和设备选型，并不代表室内全年均需满足该指标，从节能角度不宜盲目追求过高的舒适度和温湿度保证率。本条中的“主要功能房间”是指对应功能建筑中人员长期停留的房间，如办公建筑的办公室、会议室，商业建筑的商铺，酒店建筑的客房等。有特殊环境控制要求的其他区域，如泳池、数据机房等区域的热湿环境设计参数按实际需要设定。</w:t>
      </w:r>
    </w:p>
    <w:p>
      <w:pPr>
        <w:pStyle w:val="42"/>
        <w:widowControl w:val="0"/>
        <w:tabs>
          <w:tab w:val="left" w:pos="765"/>
        </w:tabs>
        <w:overflowPunct w:val="0"/>
        <w:autoSpaceDE/>
        <w:autoSpaceDN/>
        <w:ind w:firstLine="420"/>
        <w:rPr>
          <w:rFonts w:ascii="Times New Roman" w:hAnsi="Times New Roman" w:cs="Times New Roman"/>
        </w:rPr>
      </w:pPr>
      <w:r>
        <w:rPr>
          <w:rFonts w:hint="eastAsia" w:ascii="Times New Roman" w:hAnsi="Times New Roman" w:cs="Times New Roman"/>
        </w:rPr>
        <w:t>《民用建筑供暖通风与空气调节设计规范》GB 50736-2012规定，夏热冬冷地区主要房间供暖室内设计温度宜采用16℃</w:t>
      </w:r>
      <w:r>
        <w:rPr>
          <w:rFonts w:ascii="Times New Roman" w:hAnsi="Times New Roman" w:cs="Times New Roman"/>
        </w:rPr>
        <w:t>⁓</w:t>
      </w:r>
      <w:r>
        <w:rPr>
          <w:rFonts w:hint="eastAsia" w:ascii="Times New Roman" w:hAnsi="Times New Roman" w:cs="Times New Roman"/>
        </w:rPr>
        <w:t>22℃；同时《城镇供热服务》GB/T 33833-2017规定，在正常天气条件下且供热系统正常运行时，主要房间的供暖温度不应低于18℃。综合考虑，将供热温度定为18℃是较为合适的，既不会太冷导致不适，也不会过热造成能源浪费。</w:t>
      </w:r>
    </w:p>
    <w:p>
      <w:pPr>
        <w:overflowPunct w:val="0"/>
        <w:rPr>
          <w:rFonts w:hint="eastAsia" w:ascii="黑体" w:hAnsi="黑体" w:eastAsia="黑体" w:cs="黑体"/>
          <w:sz w:val="18"/>
          <w:szCs w:val="18"/>
        </w:rPr>
      </w:pPr>
      <w:r>
        <w:rPr>
          <w:rFonts w:ascii="黑体" w:hAnsi="黑体" w:eastAsia="黑体" w:cs="Times New Roman"/>
        </w:rPr>
        <w:t>4</w:t>
      </w:r>
      <w:r>
        <w:rPr>
          <w:rFonts w:ascii="黑体" w:hAnsi="黑体" w:eastAsia="黑体" w:cs="Times New Roman"/>
          <w:szCs w:val="21"/>
        </w:rPr>
        <w:t>.</w:t>
      </w:r>
      <w:r>
        <w:rPr>
          <w:rFonts w:ascii="黑体" w:hAnsi="黑体" w:eastAsia="黑体" w:cs="Times New Roman"/>
        </w:rPr>
        <w:t>3</w:t>
      </w:r>
      <w:r>
        <w:rPr>
          <w:rFonts w:ascii="黑体" w:hAnsi="黑体" w:eastAsia="黑体" w:cs="Times New Roman"/>
          <w:szCs w:val="21"/>
        </w:rPr>
        <w:t>.</w:t>
      </w:r>
      <w:r>
        <w:rPr>
          <w:rFonts w:ascii="黑体" w:hAnsi="黑体" w:eastAsia="黑体" w:cs="Times New Roman"/>
        </w:rPr>
        <w:t>2</w:t>
      </w:r>
      <w:r>
        <w:rPr>
          <w:rFonts w:hint="eastAsia" w:ascii="黑体" w:hAnsi="黑体" w:eastAsia="黑体" w:cs="Times New Roman"/>
          <w:szCs w:val="21"/>
        </w:rPr>
        <w:t>　</w:t>
      </w:r>
      <w:r>
        <w:rPr>
          <w:rFonts w:hint="eastAsia" w:ascii="Times New Roman" w:hAnsi="Times New Roman" w:cs="Times New Roman"/>
        </w:rPr>
        <w:t>天然采光和自然通风符合本省居民生活习惯，契合地域气候特征，有助于提升室内环境品质和降低建筑供暖空调、照明能耗，因此本标准将天然采光与自然通风性能将纳入超低能耗公共建筑的约束性指标。由于公共建筑类型多样，并非全部功能建筑均适合进行天然采光和自然通风，因此本条对需要进行天然采光和自然通风设计的功能范围进行明确，其中天然采光的设计要求针对的是现行国家标准《建筑采光设计标准》GB50333中有采光系数要求的建筑；自然通风设计要求针对办公、酒店和学校类建筑。</w:t>
      </w:r>
    </w:p>
    <w:p>
      <w:pPr>
        <w:pStyle w:val="2"/>
        <w:numPr>
          <w:ilvl w:val="0"/>
          <w:numId w:val="0"/>
        </w:numPr>
        <w:overflowPunct w:val="0"/>
        <w:spacing w:before="312" w:after="312"/>
        <w:ind w:left="357" w:hanging="357" w:hangingChars="170"/>
      </w:pPr>
      <w:r>
        <w:rPr>
          <w:rFonts w:hint="eastAsia"/>
        </w:rPr>
        <w:t>5　气候响应设计</w:t>
      </w:r>
    </w:p>
    <w:p>
      <w:pPr>
        <w:pStyle w:val="3"/>
        <w:numPr>
          <w:ilvl w:val="0"/>
          <w:numId w:val="0"/>
        </w:numPr>
        <w:tabs>
          <w:tab w:val="left" w:pos="0"/>
        </w:tabs>
        <w:overflowPunct w:val="0"/>
        <w:spacing w:before="156" w:beforeLines="50" w:after="156" w:afterLines="50"/>
        <w:rPr>
          <w:rStyle w:val="44"/>
          <w:color w:val="auto"/>
        </w:rPr>
      </w:pPr>
      <w:r>
        <w:rPr>
          <w:rStyle w:val="44"/>
          <w:rFonts w:hint="eastAsia"/>
          <w:color w:val="auto"/>
        </w:rPr>
        <w:t>5</w:t>
      </w:r>
      <w:r>
        <w:rPr>
          <w:rStyle w:val="44"/>
          <w:color w:val="auto"/>
        </w:rPr>
        <w:t>.1</w:t>
      </w:r>
      <w:r>
        <w:rPr>
          <w:rStyle w:val="44"/>
          <w:rFonts w:hint="eastAsia"/>
          <w:color w:val="auto"/>
        </w:rPr>
        <w:t>　场地规划</w:t>
      </w:r>
    </w:p>
    <w:p>
      <w:pPr>
        <w:pStyle w:val="22"/>
        <w:tabs>
          <w:tab w:val="left" w:pos="420"/>
        </w:tabs>
        <w:overflowPunct w:val="0"/>
        <w:ind w:firstLine="0" w:firstLineChars="0"/>
        <w:rPr>
          <w:rFonts w:ascii="Times New Roman" w:hAnsi="Times New Roman" w:cs="Times New Roman"/>
          <w:szCs w:val="21"/>
        </w:rPr>
      </w:pPr>
      <w:r>
        <w:rPr>
          <w:rFonts w:ascii="黑体" w:hAnsi="黑体" w:eastAsia="黑体" w:cs="Times New Roman"/>
        </w:rPr>
        <w:t>5</w:t>
      </w:r>
      <w:r>
        <w:rPr>
          <w:rFonts w:ascii="黑体" w:hAnsi="黑体" w:eastAsia="黑体" w:cs="Times New Roman"/>
          <w:szCs w:val="21"/>
        </w:rPr>
        <w:t>.</w:t>
      </w:r>
      <w:r>
        <w:rPr>
          <w:rFonts w:ascii="黑体" w:hAnsi="黑体" w:eastAsia="黑体" w:cs="Times New Roman"/>
        </w:rPr>
        <w:t>1</w:t>
      </w:r>
      <w:r>
        <w:rPr>
          <w:rFonts w:ascii="黑体" w:hAnsi="黑体" w:eastAsia="黑体" w:cs="Times New Roman"/>
          <w:szCs w:val="21"/>
        </w:rPr>
        <w:t>.</w:t>
      </w:r>
      <w:r>
        <w:rPr>
          <w:rFonts w:ascii="黑体" w:hAnsi="黑体" w:eastAsia="黑体" w:cs="Times New Roman"/>
        </w:rPr>
        <w:t>1</w:t>
      </w:r>
      <w:r>
        <w:rPr>
          <w:rFonts w:hint="eastAsia" w:ascii="黑体" w:hAnsi="黑体" w:eastAsia="黑体" w:cs="Times New Roman"/>
          <w:szCs w:val="21"/>
        </w:rPr>
        <w:t>　</w:t>
      </w:r>
      <w:r>
        <w:rPr>
          <w:rFonts w:hint="eastAsia" w:ascii="Times New Roman" w:hAnsi="Times New Roman" w:cs="Times New Roman"/>
          <w:szCs w:val="21"/>
        </w:rPr>
        <w:t>建筑群的规划设计与建筑节能关系密切。超低能耗公共建筑设计应在规划阶段考虑如何利用自然能源，冬季增加得热和减少热损失，夏季减少得热并加强通风。在具体策略上，冬季需要控制建筑遮挡以加强日照得热，并通过建筑群空间布局分析，营造适宜的风环境，降低冬季冷风渗透；夏季增强自然通风，减少热岛效应。</w:t>
      </w:r>
    </w:p>
    <w:p>
      <w:pPr>
        <w:pStyle w:val="22"/>
        <w:tabs>
          <w:tab w:val="left" w:pos="420"/>
        </w:tabs>
        <w:overflowPunct w:val="0"/>
        <w:rPr>
          <w:rFonts w:ascii="Times New Roman" w:hAnsi="Times New Roman" w:cs="Times New Roman"/>
          <w:szCs w:val="21"/>
        </w:rPr>
      </w:pPr>
      <w:r>
        <w:rPr>
          <w:rFonts w:hint="eastAsia" w:ascii="Times New Roman" w:hAnsi="Times New Roman" w:cs="Times New Roman"/>
          <w:szCs w:val="21"/>
        </w:rPr>
        <w:t>根据我省所处地理位置和自然条件，建筑朝向在南偏东30°至南偏西30°之间时，夏季太阳辐射较少，通风条件较好，可降低空调能耗，冬季得热较多，日照良好，可降低冬季供暖能耗，最佳朝向范围为南偏东15°至南偏西15°之间。</w:t>
      </w:r>
    </w:p>
    <w:p>
      <w:pPr>
        <w:pStyle w:val="42"/>
        <w:widowControl w:val="0"/>
        <w:tabs>
          <w:tab w:val="left" w:pos="765"/>
        </w:tabs>
        <w:overflowPunct w:val="0"/>
        <w:autoSpaceDE/>
        <w:autoSpaceDN/>
        <w:ind w:firstLine="0" w:firstLineChars="0"/>
        <w:rPr>
          <w:rFonts w:hAnsi="宋体"/>
        </w:rPr>
      </w:pPr>
      <w:r>
        <w:rPr>
          <w:rFonts w:ascii="黑体" w:hAnsi="黑体" w:eastAsia="黑体" w:cs="Times New Roman"/>
        </w:rPr>
        <w:t>5.1.2</w:t>
      </w:r>
      <w:r>
        <w:rPr>
          <w:rFonts w:hint="eastAsia" w:ascii="黑体" w:hAnsi="黑体" w:eastAsia="黑体" w:cs="Times New Roman"/>
        </w:rPr>
        <w:t>　</w:t>
      </w:r>
      <w:r>
        <w:rPr>
          <w:rFonts w:hint="eastAsia" w:ascii="Times New Roman" w:hAnsi="Times New Roman" w:cs="Times New Roman"/>
        </w:rPr>
        <w:t>一般材料往往仅标注太阳辐射吸收系数，太阳辐射反射系数+太阳辐射吸收系数=1，因此材料的太阳辐射吸收系数应≤0.6，根据《民用建筑热工设计规范》GB 50176-2016附录B表B.5可选择对应的铺装面层颜色。</w:t>
      </w:r>
    </w:p>
    <w:p>
      <w:pPr>
        <w:pStyle w:val="3"/>
        <w:numPr>
          <w:ilvl w:val="0"/>
          <w:numId w:val="0"/>
        </w:numPr>
        <w:tabs>
          <w:tab w:val="left" w:pos="0"/>
        </w:tabs>
        <w:overflowPunct w:val="0"/>
        <w:spacing w:before="156" w:beforeLines="50" w:after="156" w:afterLines="50"/>
        <w:rPr>
          <w:rStyle w:val="44"/>
          <w:color w:val="auto"/>
        </w:rPr>
      </w:pPr>
      <w:r>
        <w:rPr>
          <w:rStyle w:val="44"/>
          <w:rFonts w:hint="eastAsia"/>
          <w:color w:val="auto"/>
        </w:rPr>
        <w:t>5</w:t>
      </w:r>
      <w:r>
        <w:rPr>
          <w:rStyle w:val="44"/>
          <w:color w:val="auto"/>
        </w:rPr>
        <w:t>.2</w:t>
      </w:r>
      <w:r>
        <w:rPr>
          <w:rStyle w:val="44"/>
          <w:rFonts w:hint="eastAsia"/>
          <w:color w:val="auto"/>
        </w:rPr>
        <w:t>　自然采光</w:t>
      </w:r>
    </w:p>
    <w:p>
      <w:pPr>
        <w:tabs>
          <w:tab w:val="left" w:pos="420"/>
        </w:tabs>
        <w:overflowPunct w:val="0"/>
        <w:snapToGrid w:val="0"/>
        <w:rPr>
          <w:rFonts w:ascii="宋体" w:hAnsi="宋体" w:cs="宋体"/>
          <w:szCs w:val="21"/>
        </w:rPr>
      </w:pPr>
      <w:r>
        <w:rPr>
          <w:rFonts w:ascii="黑体" w:hAnsi="黑体" w:eastAsia="黑体" w:cs="Times New Roman"/>
        </w:rPr>
        <w:t>5</w:t>
      </w:r>
      <w:r>
        <w:rPr>
          <w:rFonts w:ascii="黑体" w:hAnsi="黑体" w:eastAsia="黑体" w:cs="Times New Roman"/>
          <w:szCs w:val="21"/>
        </w:rPr>
        <w:t>.</w:t>
      </w:r>
      <w:r>
        <w:rPr>
          <w:rFonts w:ascii="黑体" w:hAnsi="黑体" w:eastAsia="黑体" w:cs="Times New Roman"/>
        </w:rPr>
        <w:t>2</w:t>
      </w:r>
      <w:r>
        <w:rPr>
          <w:rFonts w:ascii="黑体" w:hAnsi="黑体" w:eastAsia="黑体" w:cs="Times New Roman"/>
          <w:szCs w:val="21"/>
        </w:rPr>
        <w:t>.</w:t>
      </w:r>
      <w:r>
        <w:rPr>
          <w:rFonts w:ascii="黑体" w:hAnsi="黑体" w:eastAsia="黑体" w:cs="Times New Roman"/>
        </w:rPr>
        <w:t>5</w:t>
      </w:r>
      <w:r>
        <w:rPr>
          <w:rFonts w:hint="eastAsia" w:ascii="黑体" w:hAnsi="黑体" w:eastAsia="黑体" w:cs="Times New Roman"/>
          <w:szCs w:val="21"/>
        </w:rPr>
        <w:t>　</w:t>
      </w:r>
      <w:r>
        <w:rPr>
          <w:rFonts w:hint="eastAsia" w:ascii="Times New Roman" w:hAnsi="Times New Roman" w:cs="Times New Roman"/>
          <w:szCs w:val="21"/>
        </w:rPr>
        <w:t>充足的自然采光有利于使用者的生理和心理健康，同时也有利于降低人工照明能耗。各种光源的视觉试验结果表明，在同样照度的条件下，天然光的辨认能力优于人工光，从而有利于人们工作、生活、保护视力和提高劳动生产率。因此，在满足房间功能要求的情况下，优先利用天然采光是照明设计的首要原则。利用天然光的途径有多种，建筑一方面可以通过建筑平面的组织、窗户的设置、庭院的设置等方式合理直接引入天然光，另一方面可以通过采光设施（采光设施一般指导光管、反光板、反光镜、集光装置、棱镜窗等装置）间接引入天然光。当采用反光板、反光镜时应采取措施避免光污染。</w:t>
      </w:r>
    </w:p>
    <w:p>
      <w:pPr>
        <w:pStyle w:val="3"/>
        <w:numPr>
          <w:ilvl w:val="0"/>
          <w:numId w:val="0"/>
        </w:numPr>
        <w:tabs>
          <w:tab w:val="left" w:pos="0"/>
        </w:tabs>
        <w:overflowPunct w:val="0"/>
        <w:spacing w:before="156" w:beforeLines="50" w:after="156" w:afterLines="50"/>
        <w:rPr>
          <w:rStyle w:val="44"/>
          <w:color w:val="auto"/>
        </w:rPr>
      </w:pPr>
      <w:r>
        <w:rPr>
          <w:rStyle w:val="44"/>
          <w:rFonts w:hint="eastAsia"/>
          <w:color w:val="auto"/>
        </w:rPr>
        <w:t>5</w:t>
      </w:r>
      <w:r>
        <w:rPr>
          <w:rStyle w:val="44"/>
          <w:color w:val="auto"/>
        </w:rPr>
        <w:t>.3</w:t>
      </w:r>
      <w:r>
        <w:rPr>
          <w:rStyle w:val="44"/>
          <w:rFonts w:hint="eastAsia"/>
          <w:color w:val="auto"/>
        </w:rPr>
        <w:t>　自然</w:t>
      </w:r>
      <w:r>
        <w:rPr>
          <w:rStyle w:val="44"/>
          <w:color w:val="auto"/>
        </w:rPr>
        <w:t>通风</w:t>
      </w:r>
    </w:p>
    <w:p>
      <w:pPr>
        <w:pStyle w:val="22"/>
        <w:tabs>
          <w:tab w:val="left" w:pos="420"/>
        </w:tabs>
        <w:overflowPunct w:val="0"/>
        <w:ind w:firstLine="0" w:firstLineChars="0"/>
        <w:rPr>
          <w:rFonts w:ascii="宋体" w:hAnsi="宋体" w:cs="宋体"/>
          <w:szCs w:val="21"/>
        </w:rPr>
      </w:pPr>
      <w:r>
        <w:rPr>
          <w:rFonts w:ascii="黑体" w:hAnsi="黑体" w:eastAsia="黑体" w:cs="Times New Roman"/>
        </w:rPr>
        <w:t>5</w:t>
      </w:r>
      <w:r>
        <w:rPr>
          <w:rFonts w:ascii="黑体" w:hAnsi="黑体" w:eastAsia="黑体" w:cs="Times New Roman"/>
          <w:szCs w:val="21"/>
        </w:rPr>
        <w:t>.</w:t>
      </w:r>
      <w:r>
        <w:rPr>
          <w:rFonts w:ascii="黑体" w:hAnsi="黑体" w:eastAsia="黑体" w:cs="Times New Roman"/>
        </w:rPr>
        <w:t>3</w:t>
      </w:r>
      <w:r>
        <w:rPr>
          <w:rFonts w:ascii="黑体" w:hAnsi="黑体" w:eastAsia="黑体" w:cs="Times New Roman"/>
          <w:szCs w:val="21"/>
        </w:rPr>
        <w:t>.</w:t>
      </w:r>
      <w:r>
        <w:rPr>
          <w:rFonts w:ascii="黑体" w:hAnsi="黑体" w:eastAsia="黑体" w:cs="Times New Roman"/>
        </w:rPr>
        <w:t>1</w:t>
      </w:r>
      <w:r>
        <w:rPr>
          <w:rFonts w:hint="eastAsia" w:ascii="黑体" w:hAnsi="黑体" w:eastAsia="黑体" w:cs="Times New Roman"/>
          <w:szCs w:val="21"/>
        </w:rPr>
        <w:t>　</w:t>
      </w:r>
      <w:r>
        <w:rPr>
          <w:rFonts w:hint="eastAsia" w:ascii="Times New Roman" w:hAnsi="Times New Roman" w:cs="Times New Roman"/>
          <w:szCs w:val="21"/>
        </w:rPr>
        <w:t>自然通风可以提高使用者的舒适感，并有利于健康。当室外气象条件良好时，加强自然通风还有助于缩短空调设备的运行时间，降低空调能耗。能否获得足够的自然通风，与通风开口面积的大小和房间体积密切相关。公共建筑宜采用模拟计算的方式进行自然通风效果评价，对过渡季典型工况下主要功能房间平均自然通风换气次数，可采用区域网终模拟法或计算流体力学（CFD）的计算方法，具体计算过程应符合行业标准《民用建筑绿色性能计算标准》JGJ/T 449。</w:t>
      </w:r>
    </w:p>
    <w:p>
      <w:pPr>
        <w:pStyle w:val="3"/>
        <w:numPr>
          <w:ilvl w:val="0"/>
          <w:numId w:val="0"/>
        </w:numPr>
        <w:tabs>
          <w:tab w:val="left" w:pos="0"/>
        </w:tabs>
        <w:overflowPunct w:val="0"/>
        <w:spacing w:before="156" w:beforeLines="50" w:after="156" w:afterLines="50"/>
        <w:rPr>
          <w:rStyle w:val="44"/>
          <w:rFonts w:hint="eastAsia"/>
          <w:color w:val="auto"/>
        </w:rPr>
      </w:pPr>
      <w:r>
        <w:rPr>
          <w:rStyle w:val="44"/>
          <w:rFonts w:hint="eastAsia"/>
          <w:color w:val="auto"/>
        </w:rPr>
        <w:t>5</w:t>
      </w:r>
      <w:r>
        <w:rPr>
          <w:rStyle w:val="44"/>
          <w:color w:val="auto"/>
        </w:rPr>
        <w:t>.4</w:t>
      </w:r>
      <w:r>
        <w:rPr>
          <w:rStyle w:val="44"/>
          <w:rFonts w:hint="eastAsia"/>
          <w:color w:val="auto"/>
        </w:rPr>
        <w:t>　遮阳设计</w:t>
      </w:r>
    </w:p>
    <w:p>
      <w:pPr>
        <w:pStyle w:val="22"/>
        <w:tabs>
          <w:tab w:val="left" w:pos="420"/>
        </w:tabs>
        <w:overflowPunct w:val="0"/>
        <w:ind w:firstLine="0" w:firstLineChars="0"/>
        <w:rPr>
          <w:rFonts w:ascii="Times New Roman" w:hAnsi="Times New Roman" w:cs="Times New Roman"/>
          <w:szCs w:val="21"/>
        </w:rPr>
      </w:pPr>
      <w:r>
        <w:rPr>
          <w:rFonts w:ascii="黑体" w:hAnsi="黑体" w:eastAsia="黑体" w:cs="Times New Roman"/>
        </w:rPr>
        <w:t>5</w:t>
      </w:r>
      <w:r>
        <w:rPr>
          <w:rFonts w:ascii="黑体" w:hAnsi="黑体" w:eastAsia="黑体" w:cs="Times New Roman"/>
          <w:szCs w:val="21"/>
        </w:rPr>
        <w:t>.</w:t>
      </w:r>
      <w:r>
        <w:rPr>
          <w:rFonts w:ascii="黑体" w:hAnsi="黑体" w:eastAsia="黑体" w:cs="Times New Roman"/>
        </w:rPr>
        <w:t>4</w:t>
      </w:r>
      <w:r>
        <w:rPr>
          <w:rFonts w:ascii="黑体" w:hAnsi="黑体" w:eastAsia="黑体" w:cs="Times New Roman"/>
          <w:szCs w:val="21"/>
        </w:rPr>
        <w:t>.</w:t>
      </w:r>
      <w:r>
        <w:rPr>
          <w:rFonts w:ascii="黑体" w:hAnsi="黑体" w:eastAsia="黑体" w:cs="Times New Roman"/>
        </w:rPr>
        <w:t>1</w:t>
      </w:r>
      <w:r>
        <w:rPr>
          <w:rFonts w:hint="eastAsia" w:ascii="黑体" w:hAnsi="黑体" w:eastAsia="黑体" w:cs="Times New Roman"/>
          <w:szCs w:val="21"/>
        </w:rPr>
        <w:t>　</w:t>
      </w:r>
      <w:r>
        <w:rPr>
          <w:rFonts w:hint="eastAsia" w:ascii="Times New Roman" w:hAnsi="Times New Roman" w:cs="Times New Roman"/>
          <w:szCs w:val="21"/>
        </w:rPr>
        <w:t>在湖北省的气候下，遮阳是重要的节能措施。本条是对遮阳措施应用进行规范和引导。</w:t>
      </w:r>
    </w:p>
    <w:p>
      <w:pPr>
        <w:pStyle w:val="22"/>
        <w:tabs>
          <w:tab w:val="left" w:pos="420"/>
        </w:tabs>
        <w:overflowPunct w:val="0"/>
        <w:rPr>
          <w:rFonts w:ascii="Times New Roman" w:hAnsi="Times New Roman" w:cs="Times New Roman"/>
          <w:szCs w:val="21"/>
        </w:rPr>
      </w:pPr>
      <w:r>
        <w:rPr>
          <w:rFonts w:hint="eastAsia" w:ascii="Times New Roman" w:hAnsi="Times New Roman" w:eastAsia="宋体" w:cs="Times New Roman"/>
          <w:szCs w:val="21"/>
          <w:lang w:val="en-US" w:eastAsia="zh-CN"/>
        </w:rPr>
        <w:t>a）</w:t>
      </w:r>
      <w:r>
        <w:rPr>
          <w:rFonts w:ascii="Times New Roman" w:hAnsi="Times New Roman" w:eastAsia="宋体" w:cs="Times New Roman"/>
          <w:szCs w:val="21"/>
        </w:rPr>
        <w:t>.</w:t>
      </w:r>
      <w:r>
        <w:rPr>
          <w:rFonts w:hint="eastAsia" w:ascii="Times New Roman" w:hAnsi="Times New Roman" w:cs="Times New Roman"/>
          <w:szCs w:val="21"/>
        </w:rPr>
        <w:t>可实现外窗遮阳的方式有多种，包括活动遮阳、固定遮阳、调光玻璃等，从标准角度均可进行应用，从湖北省夏热冬冷的气候特点考虑，建议优先采用活动遮阳装置。</w:t>
      </w:r>
    </w:p>
    <w:p>
      <w:pPr>
        <w:pStyle w:val="22"/>
        <w:tabs>
          <w:tab w:val="left" w:pos="420"/>
        </w:tabs>
        <w:overflowPunct w:val="0"/>
        <w:rPr>
          <w:rFonts w:ascii="Times New Roman" w:hAnsi="Times New Roman" w:cs="Times New Roman"/>
          <w:szCs w:val="21"/>
        </w:rPr>
      </w:pPr>
      <w:r>
        <w:rPr>
          <w:rFonts w:hint="eastAsia" w:ascii="Times New Roman" w:hAnsi="Times New Roman" w:eastAsia="宋体" w:cs="Times New Roman"/>
          <w:szCs w:val="21"/>
          <w:lang w:val="en-US" w:eastAsia="zh-CN"/>
        </w:rPr>
        <w:t>b）</w:t>
      </w:r>
      <w:r>
        <w:rPr>
          <w:rFonts w:ascii="Times New Roman" w:hAnsi="Times New Roman" w:eastAsia="宋体" w:cs="Times New Roman"/>
          <w:szCs w:val="21"/>
        </w:rPr>
        <w:t>.</w:t>
      </w:r>
      <w:r>
        <w:rPr>
          <w:rFonts w:hint="eastAsia" w:ascii="Times New Roman" w:hAnsi="Times New Roman" w:cs="Times New Roman"/>
          <w:szCs w:val="21"/>
        </w:rPr>
        <w:t>采用外置活动遮阳时需要关注抗风压性能，应以保证安全性为前提；同时外置活动遮阳装置固定需要采用构造措施防止形成结构性热桥。</w:t>
      </w:r>
    </w:p>
    <w:p>
      <w:pPr>
        <w:pStyle w:val="22"/>
        <w:tabs>
          <w:tab w:val="left" w:pos="420"/>
        </w:tabs>
        <w:overflowPunct w:val="0"/>
        <w:rPr>
          <w:rFonts w:ascii="Times New Roman" w:hAnsi="Times New Roman" w:cs="Times New Roman"/>
          <w:szCs w:val="21"/>
        </w:rPr>
      </w:pPr>
      <w:r>
        <w:rPr>
          <w:rFonts w:hint="eastAsia" w:ascii="Times New Roman" w:hAnsi="Times New Roman" w:eastAsia="宋体" w:cs="Times New Roman"/>
          <w:szCs w:val="21"/>
          <w:lang w:val="en-US" w:eastAsia="zh-CN"/>
        </w:rPr>
        <w:t>c）</w:t>
      </w:r>
      <w:r>
        <w:rPr>
          <w:rFonts w:ascii="Times New Roman" w:hAnsi="Times New Roman" w:eastAsia="宋体" w:cs="Times New Roman"/>
          <w:szCs w:val="21"/>
        </w:rPr>
        <w:t>.</w:t>
      </w:r>
      <w:r>
        <w:rPr>
          <w:rFonts w:hint="eastAsia" w:ascii="Times New Roman" w:hAnsi="Times New Roman" w:cs="Times New Roman"/>
          <w:szCs w:val="21"/>
        </w:rPr>
        <w:t>中置活动遮阳将遮阳片设置于中空玻璃内部，如出现损坏或故障不易维修，因此有必要提高其机械耐久性要求。现行行业标准《内置遮阳中空玻璃制品》JG/T255-2020 将其机械耐久性分为5级，本条要求达到4级以上。</w:t>
      </w:r>
    </w:p>
    <w:p>
      <w:pPr>
        <w:pStyle w:val="22"/>
        <w:tabs>
          <w:tab w:val="left" w:pos="420"/>
        </w:tabs>
        <w:overflowPunct w:val="0"/>
        <w:ind w:firstLine="0" w:firstLineChars="0"/>
        <w:rPr>
          <w:rFonts w:ascii="Times New Roman" w:hAnsi="Times New Roman" w:cs="Times New Roman"/>
          <w:szCs w:val="21"/>
        </w:rPr>
      </w:pPr>
      <w:r>
        <w:rPr>
          <w:rFonts w:ascii="黑体" w:hAnsi="黑体" w:eastAsia="黑体" w:cs="Times New Roman"/>
        </w:rPr>
        <w:t>5</w:t>
      </w:r>
      <w:r>
        <w:rPr>
          <w:rFonts w:ascii="黑体" w:hAnsi="黑体" w:eastAsia="黑体" w:cs="Times New Roman"/>
          <w:szCs w:val="21"/>
        </w:rPr>
        <w:t>.</w:t>
      </w:r>
      <w:r>
        <w:rPr>
          <w:rFonts w:ascii="黑体" w:hAnsi="黑体" w:eastAsia="黑体" w:cs="Times New Roman"/>
        </w:rPr>
        <w:t>4</w:t>
      </w:r>
      <w:r>
        <w:rPr>
          <w:rFonts w:ascii="黑体" w:hAnsi="黑体" w:eastAsia="黑体" w:cs="Times New Roman"/>
          <w:szCs w:val="21"/>
        </w:rPr>
        <w:t>.</w:t>
      </w:r>
      <w:r>
        <w:rPr>
          <w:rFonts w:ascii="黑体" w:hAnsi="黑体" w:eastAsia="黑体" w:cs="Times New Roman"/>
        </w:rPr>
        <w:t>3</w:t>
      </w:r>
      <w:r>
        <w:rPr>
          <w:rFonts w:hint="eastAsia" w:ascii="黑体" w:hAnsi="黑体" w:eastAsia="黑体" w:cs="Times New Roman"/>
          <w:szCs w:val="21"/>
        </w:rPr>
        <w:t>　</w:t>
      </w:r>
    </w:p>
    <w:p>
      <w:pPr>
        <w:pStyle w:val="22"/>
        <w:tabs>
          <w:tab w:val="left" w:pos="420"/>
        </w:tabs>
        <w:overflowPunct w:val="0"/>
        <w:rPr>
          <w:rFonts w:ascii="Times New Roman" w:hAnsi="Times New Roman" w:cs="Times New Roman"/>
          <w:szCs w:val="21"/>
        </w:rPr>
      </w:pPr>
      <w:r>
        <w:rPr>
          <w:rFonts w:hint="eastAsia" w:ascii="Times New Roman" w:hAnsi="Times New Roman" w:eastAsia="宋体" w:cs="Times New Roman"/>
          <w:szCs w:val="21"/>
          <w:lang w:val="en-US" w:eastAsia="zh-CN"/>
        </w:rPr>
        <w:t>a）</w:t>
      </w:r>
      <w:r>
        <w:rPr>
          <w:rFonts w:ascii="Times New Roman" w:hAnsi="Times New Roman" w:eastAsia="宋体" w:cs="Times New Roman"/>
          <w:szCs w:val="21"/>
        </w:rPr>
        <w:t>.</w:t>
      </w:r>
      <w:r>
        <w:rPr>
          <w:rFonts w:hint="eastAsia" w:ascii="Times New Roman" w:hAnsi="Times New Roman" w:cs="Times New Roman"/>
          <w:szCs w:val="21"/>
        </w:rPr>
        <w:t>冠层稀疏类乔木叶面积指数一般为2.0，冠层密集类乔木叶面积指数一般为4.0，本条中的高大落叶乔木叶面积指数应不低于3.0。</w:t>
      </w:r>
    </w:p>
    <w:p>
      <w:pPr>
        <w:pStyle w:val="22"/>
        <w:tabs>
          <w:tab w:val="left" w:pos="420"/>
        </w:tabs>
        <w:overflowPunct w:val="0"/>
        <w:rPr>
          <w:rFonts w:ascii="黑体" w:hAnsi="黑体" w:eastAsia="黑体" w:cs="黑体"/>
          <w:sz w:val="18"/>
          <w:szCs w:val="18"/>
        </w:rPr>
      </w:pPr>
      <w:r>
        <w:rPr>
          <w:rFonts w:hint="eastAsia" w:ascii="Times New Roman" w:hAnsi="Times New Roman" w:eastAsia="宋体" w:cs="Times New Roman"/>
          <w:szCs w:val="21"/>
          <w:lang w:val="en-US" w:eastAsia="zh-CN"/>
        </w:rPr>
        <w:t>b）</w:t>
      </w:r>
      <w:r>
        <w:rPr>
          <w:rFonts w:ascii="Times New Roman" w:hAnsi="Times New Roman" w:eastAsia="宋体" w:cs="Times New Roman"/>
          <w:szCs w:val="21"/>
        </w:rPr>
        <w:t>.</w:t>
      </w:r>
      <w:r>
        <w:rPr>
          <w:rFonts w:hint="eastAsia" w:ascii="Times New Roman" w:hAnsi="Times New Roman" w:cs="Times New Roman"/>
          <w:szCs w:val="21"/>
        </w:rPr>
        <w:t>可考虑在外墙下种植攀缘植物进行遮阳，攀缘植物种类繁多，湖北地区主要有金银花、爬山虎、紫藤、牵牛花、凌霄等。</w:t>
      </w:r>
    </w:p>
    <w:p>
      <w:pPr>
        <w:pStyle w:val="2"/>
        <w:numPr>
          <w:ilvl w:val="0"/>
          <w:numId w:val="0"/>
        </w:numPr>
        <w:overflowPunct w:val="0"/>
        <w:spacing w:before="312" w:after="312"/>
        <w:ind w:left="357" w:hanging="357" w:hangingChars="170"/>
      </w:pPr>
      <w:r>
        <w:t>6</w:t>
      </w:r>
      <w:r>
        <w:rPr>
          <w:rFonts w:hint="eastAsia"/>
        </w:rPr>
        <w:t>　建筑围护结构热工及构造设计</w:t>
      </w:r>
    </w:p>
    <w:p>
      <w:pPr>
        <w:pStyle w:val="3"/>
        <w:numPr>
          <w:ilvl w:val="0"/>
          <w:numId w:val="0"/>
        </w:numPr>
        <w:tabs>
          <w:tab w:val="left" w:pos="0"/>
        </w:tabs>
        <w:overflowPunct w:val="0"/>
        <w:spacing w:before="156" w:beforeLines="50" w:after="156" w:afterLines="50"/>
        <w:rPr>
          <w:rStyle w:val="44"/>
          <w:rFonts w:hint="eastAsia"/>
          <w:color w:val="auto"/>
        </w:rPr>
      </w:pPr>
      <w:r>
        <w:rPr>
          <w:rStyle w:val="44"/>
          <w:color w:val="auto"/>
        </w:rPr>
        <w:t>6.1</w:t>
      </w:r>
      <w:r>
        <w:rPr>
          <w:rStyle w:val="44"/>
          <w:rFonts w:hint="eastAsia"/>
          <w:color w:val="auto"/>
        </w:rPr>
        <w:t>　围护结构热工设计</w:t>
      </w:r>
    </w:p>
    <w:p>
      <w:pPr>
        <w:overflowPunct w:val="0"/>
        <w:rPr>
          <w:rFonts w:ascii="Times New Roman" w:hAnsi="Times New Roman" w:cs="Times New Roman"/>
          <w:szCs w:val="21"/>
        </w:rPr>
      </w:pPr>
      <w:r>
        <w:rPr>
          <w:rFonts w:ascii="黑体" w:hAnsi="黑体" w:eastAsia="黑体" w:cs="Times New Roman"/>
        </w:rPr>
        <w:t>6</w:t>
      </w:r>
      <w:r>
        <w:rPr>
          <w:rFonts w:ascii="黑体" w:hAnsi="黑体" w:eastAsia="黑体" w:cs="Times New Roman"/>
          <w:szCs w:val="21"/>
        </w:rPr>
        <w:t>.</w:t>
      </w:r>
      <w:r>
        <w:rPr>
          <w:rFonts w:ascii="黑体" w:hAnsi="黑体" w:eastAsia="黑体" w:cs="Times New Roman"/>
        </w:rPr>
        <w:t>1</w:t>
      </w:r>
      <w:r>
        <w:rPr>
          <w:rFonts w:ascii="黑体" w:hAnsi="黑体" w:eastAsia="黑体" w:cs="Times New Roman"/>
          <w:szCs w:val="21"/>
        </w:rPr>
        <w:t>.</w:t>
      </w:r>
      <w:r>
        <w:rPr>
          <w:rFonts w:ascii="黑体" w:hAnsi="黑体" w:eastAsia="黑体" w:cs="Times New Roman"/>
        </w:rPr>
        <w:t>1</w:t>
      </w:r>
      <w:r>
        <w:rPr>
          <w:rFonts w:hint="eastAsia" w:ascii="黑体" w:hAnsi="黑体" w:eastAsia="黑体" w:cs="Times New Roman"/>
          <w:szCs w:val="21"/>
        </w:rPr>
        <w:t>　</w:t>
      </w:r>
      <w:r>
        <w:rPr>
          <w:rFonts w:hint="eastAsia" w:ascii="Times New Roman" w:hAnsi="Times New Roman" w:cs="Times New Roman"/>
          <w:szCs w:val="21"/>
        </w:rPr>
        <w:t>围护结构热工性能提升是建筑本体节能的重要措施，也是超低能耗建筑的主要特征之一。</w:t>
      </w:r>
    </w:p>
    <w:p>
      <w:pPr>
        <w:tabs>
          <w:tab w:val="left" w:pos="397"/>
        </w:tabs>
        <w:overflowPunct w:val="0"/>
        <w:rPr>
          <w:rFonts w:ascii="Times New Roman" w:hAnsi="Times New Roman" w:cs="Times New Roman"/>
          <w:szCs w:val="21"/>
        </w:rPr>
      </w:pPr>
      <w:r>
        <w:rPr>
          <w:rFonts w:hint="eastAsia" w:ascii="Times New Roman" w:hAnsi="Times New Roman" w:cs="Times New Roman"/>
          <w:szCs w:val="21"/>
        </w:rPr>
        <w:t>本条提出围护结构热工性能参数限值，是基于如下考虑：</w:t>
      </w:r>
    </w:p>
    <w:p>
      <w:pPr>
        <w:tabs>
          <w:tab w:val="left" w:pos="397"/>
        </w:tabs>
        <w:overflowPunct w:val="0"/>
        <w:ind w:firstLine="420" w:firstLineChars="200"/>
        <w:rPr>
          <w:rFonts w:ascii="Times New Roman" w:hAnsi="Times New Roman" w:cs="Times New Roman"/>
          <w:szCs w:val="21"/>
        </w:rPr>
      </w:pPr>
      <w:r>
        <w:rPr>
          <w:rFonts w:hint="eastAsia" w:ascii="Times New Roman" w:hAnsi="Times New Roman" w:cs="Times New Roman"/>
          <w:szCs w:val="21"/>
        </w:rPr>
        <w:t>1性能提升。超低能耗建筑作为更高标准的节能建筑，其围护结构热工性能指标应较现行公共建筑节能设计标准要求有提升，以改善节能和环境水平。本条所提出的围护结构热工性能水平，均较《建筑节能与可再生能源利用通用规范》GB55015-2021有不同程度的提升。综合太阳得热系数为外窗（含透光幕墙）本身的太阳得热系数和外遮阳构件的遮阳系数乘积，当采用外置或中置活动遮阳时视为满足本条关于太阳得热系数要求。</w:t>
      </w:r>
    </w:p>
    <w:p>
      <w:pPr>
        <w:tabs>
          <w:tab w:val="left" w:pos="397"/>
        </w:tabs>
        <w:overflowPunct w:val="0"/>
        <w:ind w:firstLine="420" w:firstLineChars="200"/>
        <w:rPr>
          <w:rFonts w:ascii="Times New Roman" w:hAnsi="Times New Roman" w:cs="Times New Roman"/>
          <w:szCs w:val="21"/>
        </w:rPr>
      </w:pPr>
      <w:r>
        <w:rPr>
          <w:rFonts w:ascii="Times New Roman" w:hAnsi="Times New Roman" w:cs="Times New Roman"/>
          <w:szCs w:val="21"/>
        </w:rPr>
        <w:t>2适度保温。相关研究显示，在</w:t>
      </w:r>
      <w:r>
        <w:rPr>
          <w:rFonts w:hint="eastAsia" w:ascii="Times New Roman" w:hAnsi="Times New Roman" w:cs="Times New Roman"/>
          <w:szCs w:val="21"/>
        </w:rPr>
        <w:t>湖北</w:t>
      </w:r>
      <w:r>
        <w:rPr>
          <w:rFonts w:ascii="Times New Roman" w:hAnsi="Times New Roman" w:cs="Times New Roman"/>
          <w:szCs w:val="21"/>
        </w:rPr>
        <w:t>地区的气候特征下，提升外墙的保温性能，对降低冬季供暖负荷和能耗作用明显，对降低夏季空调负荷和能耗并不突出，尤其是对于内热较大的公共建筑，外墙保温对降低夏季空调负荷的效果有限甚至会有负面影响。因此本标准提出适度保温的原则，外墙传热系数指标与严寒及寒冷地区超低能耗建筑要求仍有明显区别，并与居住建筑有所区分。</w:t>
      </w:r>
    </w:p>
    <w:p>
      <w:pPr>
        <w:tabs>
          <w:tab w:val="left" w:pos="397"/>
        </w:tabs>
        <w:overflowPunct w:val="0"/>
        <w:rPr>
          <w:rFonts w:ascii="Times New Roman" w:hAnsi="Times New Roman" w:cs="Times New Roman"/>
          <w:szCs w:val="21"/>
        </w:rPr>
      </w:pPr>
      <w:r>
        <w:rPr>
          <w:rFonts w:ascii="黑体" w:hAnsi="黑体" w:eastAsia="黑体" w:cs="Times New Roman"/>
        </w:rPr>
        <w:t>6</w:t>
      </w:r>
      <w:r>
        <w:rPr>
          <w:rFonts w:ascii="黑体" w:hAnsi="黑体" w:eastAsia="黑体" w:cs="Times New Roman"/>
          <w:szCs w:val="21"/>
        </w:rPr>
        <w:t>.</w:t>
      </w:r>
      <w:r>
        <w:rPr>
          <w:rFonts w:ascii="黑体" w:hAnsi="黑体" w:eastAsia="黑体" w:cs="Times New Roman"/>
        </w:rPr>
        <w:t>1</w:t>
      </w:r>
      <w:r>
        <w:rPr>
          <w:rFonts w:ascii="黑体" w:hAnsi="黑体" w:eastAsia="黑体" w:cs="Times New Roman"/>
          <w:szCs w:val="21"/>
        </w:rPr>
        <w:t>.</w:t>
      </w:r>
      <w:r>
        <w:rPr>
          <w:rFonts w:ascii="黑体" w:hAnsi="黑体" w:eastAsia="黑体" w:cs="Times New Roman"/>
        </w:rPr>
        <w:t>2</w:t>
      </w:r>
      <w:r>
        <w:rPr>
          <w:rFonts w:hint="eastAsia" w:ascii="黑体" w:hAnsi="黑体" w:eastAsia="黑体" w:cs="Times New Roman"/>
          <w:szCs w:val="21"/>
        </w:rPr>
        <w:t>　</w:t>
      </w:r>
      <w:r>
        <w:rPr>
          <w:rFonts w:hint="eastAsia" w:ascii="Times New Roman" w:hAnsi="Times New Roman" w:cs="Times New Roman"/>
          <w:szCs w:val="21"/>
        </w:rPr>
        <w:t>公共建筑围护结构主体有多种结构体系，按结构材料可分为钢筋混凝土结构、砖混结构、钢结构、木结构等，按结构形式可分为框架结构、剪力墙结构、框剪结构及其他特殊结构，不同结构体系所对应的外墙、屋面保温构造形式和外窗做法可能有所差异，因此应当结合建筑结构特点来选择相应的保温构造形式，并对该种结构体系下的各种热桥部位进行细化处理。例如，主体钢结构工程中外墙保温应连续不间断，且室内侧无结露风险；钢构件之间、钢构件与墙板、楼面板之间应有可靠连接并采取热桥处理措施。</w:t>
      </w:r>
    </w:p>
    <w:p>
      <w:pPr>
        <w:tabs>
          <w:tab w:val="left" w:pos="397"/>
        </w:tabs>
        <w:overflowPunct w:val="0"/>
        <w:ind w:firstLine="420" w:firstLineChars="200"/>
        <w:rPr>
          <w:rFonts w:ascii="Times New Roman" w:hAnsi="Times New Roman" w:cs="Times New Roman"/>
          <w:szCs w:val="21"/>
        </w:rPr>
      </w:pPr>
      <w:r>
        <w:rPr>
          <w:rFonts w:hint="eastAsia" w:ascii="Times New Roman" w:hAnsi="Times New Roman" w:cs="Times New Roman"/>
          <w:szCs w:val="21"/>
        </w:rPr>
        <w:t>超低能耗建筑的热桥处理应遵循以下原则：</w:t>
      </w:r>
    </w:p>
    <w:p>
      <w:pPr>
        <w:tabs>
          <w:tab w:val="left" w:pos="397"/>
        </w:tabs>
        <w:overflowPunct w:val="0"/>
        <w:ind w:firstLine="420" w:firstLineChars="200"/>
        <w:rPr>
          <w:rFonts w:ascii="Times New Roman" w:hAnsi="Times New Roman" w:cs="Times New Roman"/>
          <w:spacing w:val="-2"/>
          <w:szCs w:val="21"/>
        </w:rPr>
      </w:pPr>
      <w:r>
        <w:rPr>
          <w:rFonts w:hint="eastAsia" w:ascii="Times New Roman" w:hAnsi="Times New Roman" w:cs="Times New Roman"/>
          <w:szCs w:val="21"/>
        </w:rPr>
        <w:t>（1）</w:t>
      </w:r>
      <w:r>
        <w:rPr>
          <w:rFonts w:hint="eastAsia" w:ascii="Times New Roman" w:hAnsi="Times New Roman" w:cs="Times New Roman"/>
          <w:spacing w:val="-2"/>
          <w:szCs w:val="21"/>
        </w:rPr>
        <w:t>预留原则：外墙、屋面结构性热桥部位应为热桥处理预留尺寸空间，以便进行合理的构造设计以阻断或削弱热桥；贯穿围护结构的孔洞、开口，应适当扩大尺寸为热桥保温填充预留足够的空间；</w:t>
      </w:r>
    </w:p>
    <w:p>
      <w:pPr>
        <w:tabs>
          <w:tab w:val="left" w:pos="397"/>
        </w:tabs>
        <w:overflowPunct w:val="0"/>
        <w:ind w:firstLine="420" w:firstLineChars="200"/>
        <w:rPr>
          <w:rFonts w:ascii="Times New Roman" w:hAnsi="Times New Roman" w:cs="Times New Roman"/>
          <w:szCs w:val="21"/>
        </w:rPr>
      </w:pPr>
      <w:r>
        <w:rPr>
          <w:rFonts w:hint="eastAsia" w:ascii="Times New Roman" w:hAnsi="Times New Roman" w:cs="Times New Roman"/>
          <w:szCs w:val="21"/>
        </w:rPr>
        <w:t>（2）避让原则：不同类型的热桥部位应尽量相互避让、远离，避免形成集中的保温隔热缺口，放大热桥的不利影响；</w:t>
      </w:r>
    </w:p>
    <w:p>
      <w:pPr>
        <w:tabs>
          <w:tab w:val="left" w:pos="397"/>
        </w:tabs>
        <w:overflowPunct w:val="0"/>
        <w:ind w:firstLine="420" w:firstLineChars="200"/>
        <w:rPr>
          <w:rFonts w:ascii="Times New Roman" w:hAnsi="Times New Roman" w:cs="Times New Roman"/>
          <w:szCs w:val="21"/>
        </w:rPr>
      </w:pPr>
      <w:r>
        <w:rPr>
          <w:rFonts w:hint="eastAsia" w:ascii="Times New Roman" w:hAnsi="Times New Roman" w:cs="Times New Roman"/>
          <w:szCs w:val="21"/>
        </w:rPr>
        <w:t>（3）表面积最小原则：热桥部位应尽量平整规则，处理时应尽量减小接触室内外的散热面积，避免额外增加的体形凹凸变化。</w:t>
      </w:r>
    </w:p>
    <w:p>
      <w:pPr>
        <w:overflowPunct w:val="0"/>
        <w:rPr>
          <w:rFonts w:ascii="黑体" w:hAnsi="黑体" w:eastAsia="黑体" w:cs="Times New Roman"/>
          <w:szCs w:val="21"/>
        </w:rPr>
      </w:pPr>
      <w:r>
        <w:rPr>
          <w:rFonts w:ascii="黑体" w:hAnsi="黑体" w:eastAsia="黑体" w:cs="Times New Roman"/>
        </w:rPr>
        <w:t>6</w:t>
      </w:r>
      <w:r>
        <w:rPr>
          <w:rFonts w:ascii="黑体" w:hAnsi="黑体" w:eastAsia="黑体" w:cs="Times New Roman"/>
          <w:szCs w:val="21"/>
        </w:rPr>
        <w:t>.</w:t>
      </w:r>
      <w:r>
        <w:rPr>
          <w:rFonts w:ascii="黑体" w:hAnsi="黑体" w:eastAsia="黑体" w:cs="Times New Roman"/>
        </w:rPr>
        <w:t>1</w:t>
      </w:r>
      <w:r>
        <w:rPr>
          <w:rFonts w:ascii="黑体" w:hAnsi="黑体" w:eastAsia="黑体" w:cs="Times New Roman"/>
          <w:szCs w:val="21"/>
        </w:rPr>
        <w:t>.</w:t>
      </w:r>
      <w:r>
        <w:rPr>
          <w:rFonts w:ascii="黑体" w:hAnsi="黑体" w:eastAsia="黑体" w:cs="Times New Roman"/>
        </w:rPr>
        <w:t>4</w:t>
      </w:r>
      <w:r>
        <w:rPr>
          <w:rFonts w:hint="eastAsia" w:ascii="黑体" w:hAnsi="黑体" w:eastAsia="黑体" w:cs="Times New Roman"/>
          <w:szCs w:val="21"/>
        </w:rPr>
        <w:t>　</w:t>
      </w:r>
      <w:r>
        <w:rPr>
          <w:rFonts w:hint="eastAsia" w:ascii="Times New Roman" w:hAnsi="Times New Roman" w:cs="Times New Roman"/>
          <w:szCs w:val="21"/>
        </w:rPr>
        <w:t>表6.1.1条提出的外墙传热系数指标为全楼平均值，实际建筑因装配式设计、围护结构设计等差异，在不同部位可能会采取不同的基层墙体和保温措施，从而导致全楼不同部位的传热系数差异。为保证保温设计的合理性，规避依靠非供暖空调房间外墙拉低外墙平均传热系数的做法，本条提出主体部位保温设计应遵循的均衡性原则。</w:t>
      </w:r>
    </w:p>
    <w:p>
      <w:pPr>
        <w:overflowPunct w:val="0"/>
        <w:rPr>
          <w:rFonts w:ascii="Times New Roman" w:hAnsi="Times New Roman" w:cs="Times New Roman"/>
          <w:szCs w:val="21"/>
        </w:rPr>
      </w:pPr>
      <w:r>
        <w:rPr>
          <w:rFonts w:ascii="黑体" w:hAnsi="黑体" w:eastAsia="黑体" w:cs="Times New Roman"/>
        </w:rPr>
        <w:t>6</w:t>
      </w:r>
      <w:r>
        <w:rPr>
          <w:rFonts w:ascii="黑体" w:hAnsi="黑体" w:eastAsia="黑体" w:cs="Times New Roman"/>
          <w:szCs w:val="21"/>
        </w:rPr>
        <w:t>.</w:t>
      </w:r>
      <w:r>
        <w:rPr>
          <w:rFonts w:ascii="黑体" w:hAnsi="黑体" w:eastAsia="黑体" w:cs="Times New Roman"/>
        </w:rPr>
        <w:t>1</w:t>
      </w:r>
      <w:r>
        <w:rPr>
          <w:rFonts w:ascii="黑体" w:hAnsi="黑体" w:eastAsia="黑体" w:cs="Times New Roman"/>
          <w:szCs w:val="21"/>
        </w:rPr>
        <w:t>.</w:t>
      </w:r>
      <w:r>
        <w:rPr>
          <w:rFonts w:ascii="黑体" w:hAnsi="黑体" w:eastAsia="黑体" w:cs="Times New Roman"/>
        </w:rPr>
        <w:t>7</w:t>
      </w:r>
      <w:r>
        <w:rPr>
          <w:rFonts w:hint="eastAsia" w:ascii="黑体" w:hAnsi="黑体" w:eastAsia="黑体" w:cs="Times New Roman"/>
          <w:szCs w:val="21"/>
        </w:rPr>
        <w:t>　</w:t>
      </w:r>
      <w:r>
        <w:rPr>
          <w:rFonts w:hint="eastAsia" w:ascii="Times New Roman" w:hAnsi="Times New Roman" w:cs="Times New Roman"/>
          <w:szCs w:val="21"/>
        </w:rPr>
        <w:t>窗墙面积比既是影响建筑能耗的重要因素，也受到建筑日照、采光、自然通风等室内环境要求的制约。外窗和屋顶透光部分的传热系数远大于外墙，窗墙面积比越大，外窗在外墙面上的面积比例越高越不利于建筑节能，因此应当加以限制。</w:t>
      </w:r>
    </w:p>
    <w:p>
      <w:pPr>
        <w:pStyle w:val="3"/>
        <w:numPr>
          <w:ilvl w:val="0"/>
          <w:numId w:val="0"/>
        </w:numPr>
        <w:tabs>
          <w:tab w:val="left" w:pos="0"/>
        </w:tabs>
        <w:overflowPunct w:val="0"/>
        <w:spacing w:before="156" w:beforeLines="50" w:after="156" w:afterLines="50"/>
        <w:rPr>
          <w:rStyle w:val="44"/>
          <w:rFonts w:hint="eastAsia"/>
          <w:color w:val="auto"/>
        </w:rPr>
      </w:pPr>
      <w:r>
        <w:rPr>
          <w:rStyle w:val="44"/>
          <w:color w:val="auto"/>
        </w:rPr>
        <w:t>6.2</w:t>
      </w:r>
      <w:r>
        <w:rPr>
          <w:rStyle w:val="44"/>
          <w:rFonts w:hint="eastAsia"/>
          <w:color w:val="auto"/>
        </w:rPr>
        <w:t>　</w:t>
      </w:r>
      <w:r>
        <w:rPr>
          <w:rStyle w:val="44"/>
          <w:color w:val="auto"/>
        </w:rPr>
        <w:t>气密性设计</w:t>
      </w:r>
    </w:p>
    <w:p>
      <w:pPr>
        <w:pStyle w:val="22"/>
        <w:tabs>
          <w:tab w:val="left" w:pos="420"/>
        </w:tabs>
        <w:overflowPunct w:val="0"/>
        <w:ind w:firstLine="0" w:firstLineChars="0"/>
        <w:rPr>
          <w:rFonts w:ascii="Times New Roman" w:hAnsi="Times New Roman" w:cs="Times New Roman"/>
          <w:szCs w:val="21"/>
        </w:rPr>
      </w:pPr>
      <w:r>
        <w:rPr>
          <w:rFonts w:ascii="黑体" w:hAnsi="黑体" w:eastAsia="黑体" w:cs="Times New Roman"/>
        </w:rPr>
        <w:t>6</w:t>
      </w:r>
      <w:r>
        <w:rPr>
          <w:rFonts w:ascii="黑体" w:hAnsi="黑体" w:eastAsia="黑体" w:cs="Times New Roman"/>
          <w:szCs w:val="21"/>
        </w:rPr>
        <w:t>.</w:t>
      </w:r>
      <w:r>
        <w:rPr>
          <w:rFonts w:ascii="黑体" w:hAnsi="黑体" w:eastAsia="黑体" w:cs="Times New Roman"/>
        </w:rPr>
        <w:t>2</w:t>
      </w:r>
      <w:r>
        <w:rPr>
          <w:rFonts w:ascii="黑体" w:hAnsi="黑体" w:eastAsia="黑体" w:cs="Times New Roman"/>
          <w:szCs w:val="21"/>
        </w:rPr>
        <w:t>.</w:t>
      </w:r>
      <w:r>
        <w:rPr>
          <w:rFonts w:ascii="黑体" w:hAnsi="黑体" w:eastAsia="黑体" w:cs="Times New Roman"/>
        </w:rPr>
        <w:t>1</w:t>
      </w:r>
      <w:r>
        <w:rPr>
          <w:rFonts w:hint="eastAsia" w:ascii="黑体" w:hAnsi="黑体" w:eastAsia="黑体" w:cs="Times New Roman"/>
          <w:szCs w:val="21"/>
        </w:rPr>
        <w:t>　</w:t>
      </w:r>
      <w:r>
        <w:rPr>
          <w:rFonts w:hint="eastAsia" w:ascii="Times New Roman" w:hAnsi="Times New Roman" w:cs="Times New Roman"/>
          <w:szCs w:val="21"/>
        </w:rPr>
        <w:t>建筑物气密性是影响建筑供暖能耗和空调能耗的重要因素，对实现超低能耗建筑目标来说，由于其极低的能耗指标，由单纯围护结构传热导致的能耗已较小，这种条件下造成气密性对能耗的比例大幅提升，因此建筑气密性能更为重要。良好的气密性可以减少冬季冷风渗透，降低夏季非受控通风导致的供冷需求增加，避免湿气侵入造成的建筑发霉、结露和损坏，减少室外噪声和室外空气污染等不良因素对室内环境的影响，提高使用者的生活品质。建筑围护结构气密层应连续并包围整个气密区域。</w:t>
      </w:r>
    </w:p>
    <w:p>
      <w:pPr>
        <w:overflowPunct w:val="0"/>
        <w:rPr>
          <w:rFonts w:hint="eastAsia" w:ascii="黑体" w:hAnsi="黑体" w:eastAsia="黑体" w:cs="黑体"/>
          <w:sz w:val="18"/>
          <w:szCs w:val="18"/>
        </w:rPr>
      </w:pPr>
      <w:r>
        <w:rPr>
          <w:rFonts w:hint="eastAsia" w:ascii="Times New Roman" w:hAnsi="Times New Roman" w:cs="Times New Roman"/>
          <w:szCs w:val="21"/>
        </w:rPr>
        <w:t>气密层是由防水隔（透）汽材料、抹灰层、气密性部件等形成的防止空气渗漏的连续构造层。常规的钢筋混凝构造、砌体构造结合不低于15mm的连续抹灰层、具有气密性能的门窗、气密膜等均可作为气密层，且不同材料连接缝隙及墙体拐角等部位应采取防开裂措施。</w:t>
      </w:r>
    </w:p>
    <w:p>
      <w:pPr>
        <w:overflowPunct w:val="0"/>
        <w:rPr>
          <w:rFonts w:ascii="黑体" w:hAnsi="黑体" w:eastAsia="黑体" w:cs="Times New Roman"/>
          <w:szCs w:val="21"/>
        </w:rPr>
      </w:pPr>
      <w:r>
        <w:rPr>
          <w:rFonts w:ascii="黑体" w:hAnsi="黑体" w:eastAsia="黑体" w:cs="Times New Roman"/>
        </w:rPr>
        <w:t>6</w:t>
      </w:r>
      <w:r>
        <w:rPr>
          <w:rFonts w:ascii="黑体" w:hAnsi="黑体" w:eastAsia="黑体" w:cs="Times New Roman"/>
          <w:szCs w:val="21"/>
        </w:rPr>
        <w:t>.</w:t>
      </w:r>
      <w:r>
        <w:rPr>
          <w:rFonts w:ascii="黑体" w:hAnsi="黑体" w:eastAsia="黑体" w:cs="Times New Roman"/>
        </w:rPr>
        <w:t>2</w:t>
      </w:r>
      <w:r>
        <w:rPr>
          <w:rFonts w:ascii="黑体" w:hAnsi="黑体" w:eastAsia="黑体" w:cs="Times New Roman"/>
          <w:szCs w:val="21"/>
        </w:rPr>
        <w:t>.</w:t>
      </w:r>
      <w:r>
        <w:rPr>
          <w:rFonts w:ascii="黑体" w:hAnsi="黑体" w:eastAsia="黑体" w:cs="Times New Roman"/>
        </w:rPr>
        <w:t>3</w:t>
      </w:r>
      <w:r>
        <w:rPr>
          <w:rFonts w:hint="eastAsia" w:ascii="黑体" w:hAnsi="黑体" w:eastAsia="黑体" w:cs="Times New Roman"/>
          <w:szCs w:val="21"/>
        </w:rPr>
        <w:t>　</w:t>
      </w:r>
      <w:r>
        <w:rPr>
          <w:rFonts w:hint="eastAsia" w:ascii="Times New Roman" w:hAnsi="Times New Roman" w:cs="Times New Roman"/>
          <w:szCs w:val="21"/>
        </w:rPr>
        <w:t>围护结构洞口、管线、管道贯穿处等部位不仅仅是容易产生热桥的部位，同时也是容易产生空气渗透的部位，其气密性的节点设计应配合产品和安装方式进行设计和施工。</w:t>
      </w:r>
    </w:p>
    <w:p>
      <w:pPr>
        <w:overflowPunct w:val="0"/>
        <w:rPr>
          <w:rFonts w:hint="eastAsia" w:ascii="黑体" w:hAnsi="黑体" w:eastAsia="黑体" w:cs="黑体"/>
          <w:sz w:val="18"/>
          <w:szCs w:val="18"/>
        </w:rPr>
      </w:pPr>
      <w:r>
        <w:rPr>
          <w:rFonts w:ascii="黑体" w:hAnsi="黑体" w:eastAsia="黑体" w:cs="Times New Roman"/>
        </w:rPr>
        <w:t>6</w:t>
      </w:r>
      <w:r>
        <w:rPr>
          <w:rFonts w:ascii="黑体" w:hAnsi="黑体" w:eastAsia="黑体" w:cs="Times New Roman"/>
          <w:szCs w:val="21"/>
        </w:rPr>
        <w:t>.</w:t>
      </w:r>
      <w:r>
        <w:rPr>
          <w:rFonts w:ascii="黑体" w:hAnsi="黑体" w:eastAsia="黑体" w:cs="Times New Roman"/>
        </w:rPr>
        <w:t>2</w:t>
      </w:r>
      <w:r>
        <w:rPr>
          <w:rFonts w:ascii="黑体" w:hAnsi="黑体" w:eastAsia="黑体" w:cs="Times New Roman"/>
          <w:szCs w:val="21"/>
        </w:rPr>
        <w:t>.</w:t>
      </w:r>
      <w:r>
        <w:rPr>
          <w:rFonts w:ascii="黑体" w:hAnsi="黑体" w:eastAsia="黑体" w:cs="Times New Roman"/>
        </w:rPr>
        <w:t>4</w:t>
      </w:r>
      <w:r>
        <w:rPr>
          <w:rFonts w:hint="eastAsia" w:ascii="黑体" w:hAnsi="黑体" w:eastAsia="黑体" w:cs="Times New Roman"/>
          <w:szCs w:val="21"/>
        </w:rPr>
        <w:t>　</w:t>
      </w:r>
      <w:r>
        <w:rPr>
          <w:rFonts w:hint="eastAsia" w:ascii="Times New Roman" w:hAnsi="Times New Roman" w:cs="Times New Roman"/>
          <w:szCs w:val="21"/>
        </w:rPr>
        <w:t>开关、插座、接线盒、消火栓等在有气密要求的填充墙体安装时，应先在孔洞内涂抹石膏，再将其推入孔洞，保障与墙体嵌接处的气密性。</w:t>
      </w:r>
    </w:p>
    <w:p>
      <w:pPr>
        <w:overflowPunct w:val="0"/>
        <w:rPr>
          <w:rFonts w:hint="eastAsia" w:ascii="黑体" w:hAnsi="黑体" w:eastAsia="黑体" w:cs="黑体"/>
          <w:sz w:val="18"/>
          <w:szCs w:val="18"/>
        </w:rPr>
      </w:pPr>
      <w:r>
        <w:rPr>
          <w:rFonts w:ascii="黑体" w:hAnsi="黑体" w:eastAsia="黑体" w:cs="Times New Roman"/>
        </w:rPr>
        <w:t>6</w:t>
      </w:r>
      <w:r>
        <w:rPr>
          <w:rFonts w:ascii="黑体" w:hAnsi="黑体" w:eastAsia="黑体" w:cs="Times New Roman"/>
          <w:szCs w:val="21"/>
        </w:rPr>
        <w:t>.</w:t>
      </w:r>
      <w:r>
        <w:rPr>
          <w:rFonts w:ascii="黑体" w:hAnsi="黑体" w:eastAsia="黑体" w:cs="Times New Roman"/>
        </w:rPr>
        <w:t>2</w:t>
      </w:r>
      <w:r>
        <w:rPr>
          <w:rFonts w:ascii="黑体" w:hAnsi="黑体" w:eastAsia="黑体" w:cs="Times New Roman"/>
          <w:szCs w:val="21"/>
        </w:rPr>
        <w:t>.</w:t>
      </w:r>
      <w:r>
        <w:rPr>
          <w:rFonts w:ascii="黑体" w:hAnsi="黑体" w:eastAsia="黑体" w:cs="Times New Roman"/>
        </w:rPr>
        <w:t>6</w:t>
      </w:r>
      <w:r>
        <w:rPr>
          <w:rFonts w:hint="eastAsia" w:ascii="黑体" w:hAnsi="黑体" w:eastAsia="黑体" w:cs="Times New Roman"/>
          <w:szCs w:val="21"/>
        </w:rPr>
        <w:t>　</w:t>
      </w:r>
      <w:r>
        <w:rPr>
          <w:rFonts w:hint="eastAsia" w:ascii="Times New Roman" w:hAnsi="Times New Roman" w:cs="Times New Roman"/>
          <w:szCs w:val="21"/>
        </w:rPr>
        <w:t>对超低能耗建筑来说，在正常的设计和施工条件下，外门窗的气密性对建筑整体的气密性影响较大，做好外门窗的气密性是实现建筑整体气密性目标的基础之一。</w:t>
      </w:r>
    </w:p>
    <w:p>
      <w:pPr>
        <w:overflowPunct w:val="0"/>
        <w:rPr>
          <w:rFonts w:hint="eastAsia" w:ascii="黑体" w:hAnsi="黑体" w:eastAsia="黑体" w:cs="黑体"/>
          <w:sz w:val="18"/>
          <w:szCs w:val="18"/>
        </w:rPr>
      </w:pPr>
      <w:r>
        <w:rPr>
          <w:rFonts w:ascii="黑体" w:hAnsi="黑体" w:eastAsia="黑体" w:cs="Times New Roman"/>
        </w:rPr>
        <w:t>6</w:t>
      </w:r>
      <w:r>
        <w:rPr>
          <w:rFonts w:ascii="黑体" w:hAnsi="黑体" w:eastAsia="黑体" w:cs="Times New Roman"/>
          <w:szCs w:val="21"/>
        </w:rPr>
        <w:t>.</w:t>
      </w:r>
      <w:r>
        <w:rPr>
          <w:rFonts w:ascii="黑体" w:hAnsi="黑体" w:eastAsia="黑体" w:cs="Times New Roman"/>
        </w:rPr>
        <w:t>2</w:t>
      </w:r>
      <w:r>
        <w:rPr>
          <w:rFonts w:ascii="黑体" w:hAnsi="黑体" w:eastAsia="黑体" w:cs="Times New Roman"/>
          <w:szCs w:val="21"/>
        </w:rPr>
        <w:t>.</w:t>
      </w:r>
      <w:r>
        <w:rPr>
          <w:rFonts w:ascii="黑体" w:hAnsi="黑体" w:eastAsia="黑体" w:cs="Times New Roman"/>
        </w:rPr>
        <w:t>8</w:t>
      </w:r>
      <w:r>
        <w:rPr>
          <w:rFonts w:hint="eastAsia" w:ascii="黑体" w:hAnsi="黑体" w:eastAsia="黑体" w:cs="Times New Roman"/>
          <w:szCs w:val="21"/>
        </w:rPr>
        <w:t>　</w:t>
      </w:r>
      <w:r>
        <w:rPr>
          <w:rFonts w:hint="eastAsia" w:ascii="Times New Roman" w:hAnsi="Times New Roman" w:cs="Times New Roman"/>
          <w:szCs w:val="21"/>
        </w:rPr>
        <w:t>本条针对防水隔（透）汽材料的应用提出设计要求。粘贴防水隔汽（透汽）材料时，应将防水隔汽（透汽）材料粘贴于门窗框上，此部位较为平整，且容易实现，要求粘贴最小宽度为15mm；防水隔汽（透汽）材料与基层墙体粘贴时宜出现褶皱、粘贴不牢等问题，因此要求50mm的粘贴宽度，材料自身搭接长度为50mm；防水隔汽材料粘贴时，应在门窗型材角部留出余量，避免出现由于防水隔汽材料余量不足导致的与门窗洞口侧墙无法粘贴密实等问题。防水隔（透）汽膜施工环境温度宜在0℃以上。</w:t>
      </w:r>
    </w:p>
    <w:p>
      <w:pPr>
        <w:pStyle w:val="3"/>
        <w:numPr>
          <w:ilvl w:val="0"/>
          <w:numId w:val="0"/>
        </w:numPr>
        <w:tabs>
          <w:tab w:val="left" w:pos="0"/>
        </w:tabs>
        <w:overflowPunct w:val="0"/>
        <w:spacing w:before="156" w:beforeLines="50" w:after="156" w:afterLines="50"/>
        <w:rPr>
          <w:rStyle w:val="44"/>
          <w:color w:val="auto"/>
        </w:rPr>
      </w:pPr>
      <w:r>
        <w:rPr>
          <w:rStyle w:val="44"/>
          <w:color w:val="auto"/>
        </w:rPr>
        <w:t>6.3</w:t>
      </w:r>
      <w:r>
        <w:rPr>
          <w:rStyle w:val="44"/>
          <w:rFonts w:hint="eastAsia"/>
          <w:color w:val="auto"/>
        </w:rPr>
        <w:t>　建筑节能构造设计</w:t>
      </w:r>
    </w:p>
    <w:p>
      <w:pPr>
        <w:pStyle w:val="22"/>
        <w:tabs>
          <w:tab w:val="left" w:pos="420"/>
        </w:tabs>
        <w:overflowPunct w:val="0"/>
        <w:ind w:firstLine="0" w:firstLineChars="0"/>
        <w:rPr>
          <w:rFonts w:ascii="Times New Roman" w:hAnsi="Times New Roman" w:cs="Times New Roman"/>
          <w:szCs w:val="21"/>
        </w:rPr>
      </w:pPr>
      <w:r>
        <w:rPr>
          <w:rFonts w:ascii="黑体" w:hAnsi="黑体" w:eastAsia="黑体" w:cs="Times New Roman"/>
        </w:rPr>
        <w:t>6</w:t>
      </w:r>
      <w:r>
        <w:rPr>
          <w:rFonts w:ascii="黑体" w:hAnsi="黑体" w:eastAsia="黑体" w:cs="Times New Roman"/>
          <w:szCs w:val="21"/>
        </w:rPr>
        <w:t>.</w:t>
      </w:r>
      <w:r>
        <w:rPr>
          <w:rFonts w:ascii="黑体" w:hAnsi="黑体" w:eastAsia="黑体" w:cs="Times New Roman"/>
        </w:rPr>
        <w:t>3</w:t>
      </w:r>
      <w:r>
        <w:rPr>
          <w:rFonts w:ascii="黑体" w:hAnsi="黑体" w:eastAsia="黑体" w:cs="Times New Roman"/>
          <w:szCs w:val="21"/>
        </w:rPr>
        <w:t>.</w:t>
      </w:r>
      <w:r>
        <w:rPr>
          <w:rFonts w:ascii="黑体" w:hAnsi="黑体" w:eastAsia="黑体" w:cs="Times New Roman"/>
        </w:rPr>
        <w:t>2</w:t>
      </w:r>
      <w:r>
        <w:rPr>
          <w:rFonts w:hint="eastAsia" w:ascii="黑体" w:hAnsi="黑体" w:eastAsia="黑体" w:cs="Times New Roman"/>
          <w:szCs w:val="21"/>
        </w:rPr>
        <w:t>　</w:t>
      </w:r>
      <w:r>
        <w:rPr>
          <w:rFonts w:hint="eastAsia" w:ascii="Times New Roman" w:hAnsi="Times New Roman" w:cs="Times New Roman"/>
          <w:szCs w:val="21"/>
        </w:rPr>
        <w:t>本条对外墙易出现的主要热桥部位做出了明确要求和处理措施指导。</w:t>
      </w:r>
    </w:p>
    <w:p>
      <w:pPr>
        <w:pStyle w:val="22"/>
        <w:tabs>
          <w:tab w:val="left" w:pos="420"/>
        </w:tabs>
        <w:overflowPunct w:val="0"/>
        <w:rPr>
          <w:rFonts w:ascii="Times New Roman" w:hAnsi="Times New Roman" w:cs="Times New Roman"/>
          <w:szCs w:val="21"/>
        </w:rPr>
      </w:pPr>
      <w:r>
        <w:rPr>
          <w:rFonts w:hint="eastAsia" w:ascii="Times New Roman" w:hAnsi="Times New Roman" w:cs="Times New Roman"/>
          <w:szCs w:val="21"/>
        </w:rPr>
        <w:t>1.外墙突出构件宜采用完全包裹的方式，其保温层宜与相邻墙面、屋面保温层连续设置。由于二区呈现为我国北方供暖地区的建筑能耗特征，宜保证外围护结构保温层连续完整，降低采暖能耗。</w:t>
      </w:r>
    </w:p>
    <w:p>
      <w:pPr>
        <w:overflowPunct w:val="0"/>
        <w:rPr>
          <w:rFonts w:ascii="黑体" w:hAnsi="黑体" w:eastAsia="黑体" w:cs="黑体"/>
          <w:sz w:val="18"/>
          <w:szCs w:val="18"/>
        </w:rPr>
      </w:pPr>
      <w:r>
        <w:rPr>
          <w:rFonts w:hint="eastAsia" w:ascii="Times New Roman" w:hAnsi="Times New Roman" w:cs="Times New Roman"/>
          <w:szCs w:val="21"/>
        </w:rPr>
        <w:t>3.传统的非透明幕墙系统中保温填充在每樘幕墙两个龙骨之间，故保温层被龙骨打断；超低能耗建筑要求对龙骨部位的热桥进行处理，如对龙骨用保温材料填充或包覆；宜将龙骨部位的热桥影响计入外墙加权平均传热系数中。</w:t>
      </w:r>
    </w:p>
    <w:p>
      <w:pPr>
        <w:pStyle w:val="22"/>
        <w:tabs>
          <w:tab w:val="left" w:pos="420"/>
        </w:tabs>
        <w:overflowPunct w:val="0"/>
        <w:ind w:firstLine="0" w:firstLineChars="0"/>
        <w:rPr>
          <w:rFonts w:ascii="Times New Roman" w:hAnsi="Times New Roman" w:cs="Times New Roman"/>
          <w:szCs w:val="21"/>
        </w:rPr>
      </w:pPr>
      <w:r>
        <w:rPr>
          <w:rFonts w:ascii="黑体" w:hAnsi="黑体" w:eastAsia="黑体" w:cs="Times New Roman"/>
        </w:rPr>
        <w:t>6</w:t>
      </w:r>
      <w:r>
        <w:rPr>
          <w:rFonts w:ascii="黑体" w:hAnsi="黑体" w:eastAsia="黑体" w:cs="Times New Roman"/>
          <w:szCs w:val="21"/>
        </w:rPr>
        <w:t>.</w:t>
      </w:r>
      <w:r>
        <w:rPr>
          <w:rFonts w:ascii="黑体" w:hAnsi="黑体" w:eastAsia="黑体" w:cs="Times New Roman"/>
        </w:rPr>
        <w:t>3</w:t>
      </w:r>
      <w:r>
        <w:rPr>
          <w:rFonts w:ascii="黑体" w:hAnsi="黑体" w:eastAsia="黑体" w:cs="Times New Roman"/>
          <w:szCs w:val="21"/>
        </w:rPr>
        <w:t>.</w:t>
      </w:r>
      <w:r>
        <w:rPr>
          <w:rFonts w:ascii="黑体" w:hAnsi="黑体" w:eastAsia="黑体" w:cs="Times New Roman"/>
        </w:rPr>
        <w:t>3</w:t>
      </w:r>
      <w:r>
        <w:rPr>
          <w:rFonts w:hint="eastAsia" w:ascii="黑体" w:hAnsi="黑体" w:eastAsia="黑体" w:cs="Times New Roman"/>
          <w:szCs w:val="21"/>
        </w:rPr>
        <w:t>　</w:t>
      </w:r>
      <w:r>
        <w:rPr>
          <w:rFonts w:hint="eastAsia" w:ascii="Times New Roman" w:hAnsi="Times New Roman" w:cs="Times New Roman"/>
          <w:szCs w:val="21"/>
        </w:rPr>
        <w:t>本条对屋面易出现的主要热桥部位做出了明确要求和处理措施指导。</w:t>
      </w:r>
    </w:p>
    <w:p>
      <w:pPr>
        <w:pStyle w:val="22"/>
        <w:tabs>
          <w:tab w:val="left" w:pos="420"/>
        </w:tabs>
        <w:overflowPunct w:val="0"/>
        <w:rPr>
          <w:rFonts w:ascii="Times New Roman" w:hAnsi="Times New Roman" w:cs="Times New Roman"/>
          <w:szCs w:val="21"/>
        </w:rPr>
      </w:pPr>
      <w:r>
        <w:rPr>
          <w:rFonts w:hint="eastAsia" w:ascii="Times New Roman" w:hAnsi="Times New Roman" w:eastAsia="宋体" w:cs="Times New Roman"/>
          <w:szCs w:val="21"/>
          <w:lang w:val="en-US" w:eastAsia="zh-CN"/>
        </w:rPr>
        <w:t>a）</w:t>
      </w:r>
      <w:r>
        <w:rPr>
          <w:rFonts w:ascii="Times New Roman" w:hAnsi="Times New Roman" w:eastAsia="宋体" w:cs="Times New Roman"/>
          <w:szCs w:val="21"/>
        </w:rPr>
        <w:t>.</w:t>
      </w:r>
      <w:r>
        <w:rPr>
          <w:rFonts w:hint="eastAsia" w:ascii="Times New Roman" w:hAnsi="Times New Roman" w:cs="Times New Roman"/>
          <w:szCs w:val="21"/>
        </w:rPr>
        <w:t>屋面与外墙连接处一般为保温薄弱部位，并且热桥长度大、对围护结构影响大。对于屋面和外墙保温层无法连续的情况，应进行附加保温处理，必要时进行内表面结露验算；其热桥传热系数宜计入外墙加权平均传热系数中。考虑到气候二区呈现为我国北方供暖地区的建筑能耗特征，本条主要针对气候二区，加强外围护结构的整体保温性能。</w:t>
      </w:r>
    </w:p>
    <w:p>
      <w:pPr>
        <w:pStyle w:val="22"/>
        <w:tabs>
          <w:tab w:val="left" w:pos="420"/>
        </w:tabs>
        <w:overflowPunct w:val="0"/>
        <w:rPr>
          <w:rFonts w:ascii="Times New Roman" w:hAnsi="Times New Roman" w:cs="Times New Roman"/>
          <w:szCs w:val="21"/>
        </w:rPr>
      </w:pPr>
      <w:r>
        <w:rPr>
          <w:rFonts w:hint="eastAsia" w:ascii="Times New Roman" w:hAnsi="Times New Roman" w:eastAsia="宋体" w:cs="Times New Roman"/>
          <w:szCs w:val="21"/>
          <w:lang w:val="en-US" w:eastAsia="zh-CN"/>
        </w:rPr>
        <w:t>c）</w:t>
      </w:r>
      <w:r>
        <w:rPr>
          <w:rFonts w:ascii="Times New Roman" w:hAnsi="Times New Roman" w:eastAsia="宋体" w:cs="Times New Roman"/>
          <w:szCs w:val="21"/>
        </w:rPr>
        <w:t>.</w:t>
      </w:r>
      <w:r>
        <w:rPr>
          <w:rFonts w:hint="eastAsia" w:ascii="Times New Roman" w:hAnsi="Times New Roman" w:cs="Times New Roman"/>
          <w:szCs w:val="21"/>
        </w:rPr>
        <w:t>对于降水丰沛的湖北地区，屋面渗漏水是建筑工程中最常见的质量问题之一。超低能耗建筑对保温性能要求高，屋面保温浸水后其保温隔热性能将显著降低，因此对于保温较厚的屋面，宜在保温上方增设一道防水层，以加强屋面整体的保温防水性能。同时，考虑施工过程导致的屋面保温积水浸水问题，建议保温层下方设置至少一道防水层，或具有防水作用的隔汽层，并在保温层积水排尽后再施工保温层上方的防水层。</w:t>
      </w:r>
    </w:p>
    <w:p>
      <w:pPr>
        <w:pStyle w:val="22"/>
        <w:tabs>
          <w:tab w:val="left" w:pos="420"/>
        </w:tabs>
        <w:overflowPunct w:val="0"/>
        <w:rPr>
          <w:rFonts w:ascii="Times New Roman" w:hAnsi="Times New Roman" w:cs="Times New Roman"/>
          <w:szCs w:val="21"/>
        </w:rPr>
      </w:pPr>
      <w:r>
        <w:rPr>
          <w:rFonts w:hint="eastAsia" w:ascii="Times New Roman" w:hAnsi="Times New Roman" w:eastAsia="宋体" w:cs="Times New Roman"/>
          <w:szCs w:val="21"/>
          <w:lang w:val="en-US" w:eastAsia="zh-CN"/>
        </w:rPr>
        <w:t>d）</w:t>
      </w:r>
      <w:r>
        <w:rPr>
          <w:rFonts w:ascii="Times New Roman" w:hAnsi="Times New Roman" w:eastAsia="宋体" w:cs="Times New Roman"/>
          <w:szCs w:val="21"/>
        </w:rPr>
        <w:t>.</w:t>
      </w:r>
      <w:r>
        <w:rPr>
          <w:rFonts w:hint="eastAsia" w:ascii="Times New Roman" w:hAnsi="Times New Roman" w:cs="Times New Roman"/>
          <w:szCs w:val="21"/>
        </w:rPr>
        <w:t>金属屋面、木结构屋面等轻质屋面，由于结构自身无法阻挡水汽穿透，故应在保温层下方设置隔汽层；</w:t>
      </w:r>
    </w:p>
    <w:p>
      <w:pPr>
        <w:pStyle w:val="22"/>
        <w:tabs>
          <w:tab w:val="left" w:pos="420"/>
        </w:tabs>
        <w:overflowPunct w:val="0"/>
        <w:rPr>
          <w:rFonts w:ascii="Times New Roman" w:hAnsi="Times New Roman" w:cs="Times New Roman"/>
          <w:szCs w:val="21"/>
        </w:rPr>
      </w:pPr>
      <w:r>
        <w:rPr>
          <w:rFonts w:hint="eastAsia" w:ascii="Times New Roman" w:hAnsi="Times New Roman" w:eastAsia="宋体" w:cs="Times New Roman"/>
          <w:szCs w:val="21"/>
          <w:lang w:val="en-US" w:eastAsia="zh-CN"/>
        </w:rPr>
        <w:t>e）</w:t>
      </w:r>
      <w:r>
        <w:rPr>
          <w:rFonts w:ascii="Times New Roman" w:hAnsi="Times New Roman" w:eastAsia="宋体" w:cs="Times New Roman"/>
          <w:szCs w:val="21"/>
        </w:rPr>
        <w:t>.</w:t>
      </w:r>
      <w:r>
        <w:rPr>
          <w:rFonts w:hint="eastAsia" w:ascii="Times New Roman" w:hAnsi="Times New Roman" w:cs="Times New Roman"/>
          <w:szCs w:val="21"/>
        </w:rPr>
        <w:t>女儿墙和风道出风口的顶部常年受雨水冲刷，为避免面层老化开裂导致雨水下渗至保温层，建议采用金属盖板等更为可靠的防护面层；如设置混凝土压顶，则压顶部分也需采取热桥处理措施。</w:t>
      </w:r>
    </w:p>
    <w:p>
      <w:pPr>
        <w:pStyle w:val="22"/>
        <w:tabs>
          <w:tab w:val="left" w:pos="420"/>
        </w:tabs>
        <w:overflowPunct w:val="0"/>
        <w:rPr>
          <w:rFonts w:ascii="黑体" w:hAnsi="黑体" w:eastAsia="黑体" w:cs="黑体"/>
          <w:sz w:val="18"/>
          <w:szCs w:val="18"/>
        </w:rPr>
      </w:pPr>
      <w:r>
        <w:rPr>
          <w:rFonts w:hint="eastAsia" w:ascii="Times New Roman" w:hAnsi="Times New Roman" w:eastAsia="宋体" w:cs="Times New Roman"/>
          <w:szCs w:val="21"/>
          <w:lang w:val="en-US" w:eastAsia="zh-CN"/>
        </w:rPr>
        <w:t>f）</w:t>
      </w:r>
      <w:r>
        <w:rPr>
          <w:rFonts w:ascii="Times New Roman" w:hAnsi="Times New Roman" w:eastAsia="宋体" w:cs="Times New Roman"/>
          <w:szCs w:val="21"/>
        </w:rPr>
        <w:t>.</w:t>
      </w:r>
      <w:r>
        <w:rPr>
          <w:rFonts w:hint="eastAsia" w:ascii="Times New Roman" w:hAnsi="Times New Roman" w:cs="Times New Roman"/>
          <w:szCs w:val="21"/>
        </w:rPr>
        <w:t>管洞口设置套管有利于控制施工质量，确保管洞口尺寸稳定，便于安装管道。对于预埋套管，一般与混凝土主体结构同步施工完成，故保温填充在套管与管道之间；对于后置套管，保温可设置在套管与主体结构之间，但必须做好套管与主体结构、套管与管道之间的密封和防水措施。</w:t>
      </w:r>
    </w:p>
    <w:p>
      <w:pPr>
        <w:pStyle w:val="22"/>
        <w:tabs>
          <w:tab w:val="left" w:pos="420"/>
        </w:tabs>
        <w:overflowPunct w:val="0"/>
        <w:ind w:firstLine="0" w:firstLineChars="0"/>
        <w:rPr>
          <w:rFonts w:ascii="Times New Roman" w:hAnsi="Times New Roman" w:cs="Times New Roman"/>
          <w:szCs w:val="21"/>
        </w:rPr>
      </w:pPr>
      <w:r>
        <w:rPr>
          <w:rFonts w:ascii="黑体" w:hAnsi="黑体" w:eastAsia="黑体" w:cs="Times New Roman"/>
        </w:rPr>
        <w:t>6</w:t>
      </w:r>
      <w:r>
        <w:rPr>
          <w:rFonts w:ascii="黑体" w:hAnsi="黑体" w:eastAsia="黑体" w:cs="Times New Roman"/>
          <w:szCs w:val="21"/>
        </w:rPr>
        <w:t>.</w:t>
      </w:r>
      <w:r>
        <w:rPr>
          <w:rFonts w:ascii="黑体" w:hAnsi="黑体" w:eastAsia="黑体" w:cs="Times New Roman"/>
        </w:rPr>
        <w:t>3</w:t>
      </w:r>
      <w:r>
        <w:rPr>
          <w:rFonts w:ascii="黑体" w:hAnsi="黑体" w:eastAsia="黑体" w:cs="Times New Roman"/>
          <w:szCs w:val="21"/>
        </w:rPr>
        <w:t>.</w:t>
      </w:r>
      <w:r>
        <w:rPr>
          <w:rFonts w:ascii="黑体" w:hAnsi="黑体" w:eastAsia="黑体" w:cs="Times New Roman"/>
        </w:rPr>
        <w:t>4</w:t>
      </w:r>
      <w:r>
        <w:rPr>
          <w:rFonts w:hint="eastAsia" w:ascii="黑体" w:hAnsi="黑体" w:eastAsia="黑体" w:cs="Times New Roman"/>
          <w:szCs w:val="21"/>
        </w:rPr>
        <w:t>　</w:t>
      </w:r>
      <w:r>
        <w:rPr>
          <w:rFonts w:hint="eastAsia" w:ascii="Times New Roman" w:hAnsi="Times New Roman" w:cs="Times New Roman"/>
          <w:szCs w:val="21"/>
        </w:rPr>
        <w:t>本条对外门窗幕墙部位易出现的主要热桥做出了处理措施指导。</w:t>
      </w:r>
    </w:p>
    <w:p>
      <w:pPr>
        <w:pStyle w:val="22"/>
        <w:tabs>
          <w:tab w:val="left" w:pos="420"/>
        </w:tabs>
        <w:overflowPunct w:val="0"/>
        <w:rPr>
          <w:rFonts w:ascii="Times New Roman" w:hAnsi="Times New Roman" w:cs="Times New Roman"/>
          <w:szCs w:val="21"/>
        </w:rPr>
      </w:pPr>
      <w:r>
        <w:rPr>
          <w:rFonts w:hint="eastAsia" w:ascii="Times New Roman" w:hAnsi="Times New Roman" w:cs="Times New Roman"/>
          <w:szCs w:val="21"/>
        </w:rPr>
        <w:t>1.对于窗墙系统，研究表明外门窗安装方式与热桥效应显著相关，外窗的安装位置尽量靠近外墙保温层，可减小门窗安装热桥。从安全性和防水角度考虑，湖北地区外窗较少采用完全外挂式安装，外门窗多为居中安装，由此带来门窗洞口侧边保温薄弱、产生热桥，因此应针对外墙不同保温系统，选择更靠近保温层的安装位置。</w:t>
      </w:r>
    </w:p>
    <w:p>
      <w:pPr>
        <w:pStyle w:val="22"/>
        <w:tabs>
          <w:tab w:val="left" w:pos="420"/>
        </w:tabs>
        <w:overflowPunct w:val="0"/>
        <w:rPr>
          <w:rFonts w:ascii="Times New Roman" w:hAnsi="Times New Roman" w:cs="Times New Roman"/>
          <w:szCs w:val="21"/>
        </w:rPr>
      </w:pPr>
      <w:r>
        <w:rPr>
          <w:rFonts w:hint="eastAsia" w:ascii="Times New Roman" w:hAnsi="Times New Roman" w:cs="Times New Roman"/>
          <w:szCs w:val="21"/>
        </w:rPr>
        <w:t>2.研究表明，增设节能附框并将附框嵌入主体结构中，可减小外门窗安装部位的热桥效应。节能附框具有定位、固定、隔热的作用，节能附框产品性能要求应满足《建筑门窗附框技术要求》GB/T 39866-2021。节能附框宜嵌入或半嵌入主体结构中，并应与主体结构牢固固定，门窗与附框和主体结构应有可靠连接，确保安全性。</w:t>
      </w:r>
    </w:p>
    <w:p>
      <w:pPr>
        <w:pStyle w:val="22"/>
        <w:tabs>
          <w:tab w:val="left" w:pos="420"/>
        </w:tabs>
        <w:overflowPunct w:val="0"/>
        <w:rPr>
          <w:rFonts w:ascii="Times New Roman" w:hAnsi="Times New Roman" w:cs="Times New Roman"/>
          <w:szCs w:val="21"/>
        </w:rPr>
      </w:pPr>
      <w:r>
        <w:rPr>
          <w:rFonts w:hint="eastAsia" w:ascii="Times New Roman" w:hAnsi="Times New Roman" w:cs="Times New Roman"/>
          <w:szCs w:val="21"/>
        </w:rPr>
        <w:t>3.外门窗洞口侧边包括室外侧的侧边和室内侧的侧边，外墙外保温、内保温系统均需将保温翻折到门窗洞口内，以避免洞口部位产生明显热桥。</w:t>
      </w:r>
    </w:p>
    <w:p>
      <w:pPr>
        <w:pStyle w:val="22"/>
        <w:tabs>
          <w:tab w:val="left" w:pos="420"/>
        </w:tabs>
        <w:overflowPunct w:val="0"/>
        <w:rPr>
          <w:rFonts w:ascii="Times New Roman" w:hAnsi="Times New Roman" w:cs="Times New Roman"/>
          <w:szCs w:val="21"/>
        </w:rPr>
      </w:pPr>
      <w:r>
        <w:rPr>
          <w:rFonts w:hint="eastAsia" w:ascii="Times New Roman" w:hAnsi="Times New Roman" w:cs="Times New Roman"/>
          <w:szCs w:val="21"/>
        </w:rPr>
        <w:t>4.窗台板与窗框和外墙保温层之间宜采用硅酮密封胶和预压膨胀密封带密封。金属窗台板宜采用工业化生产构件，并做好防锈处理。</w:t>
      </w:r>
    </w:p>
    <w:p>
      <w:pPr>
        <w:pStyle w:val="22"/>
        <w:tabs>
          <w:tab w:val="left" w:pos="420"/>
        </w:tabs>
        <w:overflowPunct w:val="0"/>
        <w:rPr>
          <w:rFonts w:ascii="黑体" w:hAnsi="黑体" w:eastAsia="黑体" w:cs="黑体"/>
          <w:sz w:val="18"/>
          <w:szCs w:val="18"/>
        </w:rPr>
      </w:pPr>
      <w:r>
        <w:rPr>
          <w:rFonts w:hint="eastAsia" w:ascii="Times New Roman" w:hAnsi="Times New Roman" w:cs="Times New Roman"/>
          <w:szCs w:val="21"/>
        </w:rPr>
        <w:t>5.对于玻璃幕墙系统，遇到结构梁、楼板或其他需采用非透明幕墙的部位，该部位一般按照外墙热工性能指标进行要求；对于局部较小的非透明幕墙板块，可并入幕墙整体传热系数中计算。</w:t>
      </w:r>
    </w:p>
    <w:p>
      <w:pPr>
        <w:pStyle w:val="22"/>
        <w:tabs>
          <w:tab w:val="left" w:pos="420"/>
        </w:tabs>
        <w:overflowPunct w:val="0"/>
        <w:ind w:firstLine="0" w:firstLineChars="0"/>
        <w:rPr>
          <w:rFonts w:ascii="Times New Roman" w:hAnsi="Times New Roman" w:cs="Times New Roman"/>
          <w:szCs w:val="21"/>
        </w:rPr>
      </w:pPr>
      <w:r>
        <w:rPr>
          <w:rFonts w:ascii="黑体" w:hAnsi="黑体" w:eastAsia="黑体" w:cs="Times New Roman"/>
        </w:rPr>
        <w:t>6</w:t>
      </w:r>
      <w:r>
        <w:rPr>
          <w:rFonts w:ascii="黑体" w:hAnsi="黑体" w:eastAsia="黑体" w:cs="Times New Roman"/>
          <w:szCs w:val="21"/>
        </w:rPr>
        <w:t>.</w:t>
      </w:r>
      <w:r>
        <w:rPr>
          <w:rFonts w:ascii="黑体" w:hAnsi="黑体" w:eastAsia="黑体" w:cs="Times New Roman"/>
        </w:rPr>
        <w:t>3</w:t>
      </w:r>
      <w:r>
        <w:rPr>
          <w:rFonts w:ascii="黑体" w:hAnsi="黑体" w:eastAsia="黑体" w:cs="Times New Roman"/>
          <w:szCs w:val="21"/>
        </w:rPr>
        <w:t>.</w:t>
      </w:r>
      <w:r>
        <w:rPr>
          <w:rFonts w:ascii="黑体" w:hAnsi="黑体" w:eastAsia="黑体" w:cs="Times New Roman"/>
        </w:rPr>
        <w:t>5</w:t>
      </w:r>
      <w:r>
        <w:rPr>
          <w:rFonts w:hint="eastAsia" w:ascii="黑体" w:hAnsi="黑体" w:eastAsia="黑体" w:cs="Times New Roman"/>
          <w:szCs w:val="21"/>
        </w:rPr>
        <w:t>　</w:t>
      </w:r>
      <w:r>
        <w:rPr>
          <w:rFonts w:hint="eastAsia" w:ascii="Times New Roman" w:hAnsi="Times New Roman" w:cs="Times New Roman"/>
          <w:szCs w:val="21"/>
        </w:rPr>
        <w:t>本条对主要类型的热桥部位做出了明确和处理措施指导。超低能耗建筑热桥的处理方式主要有以下三种：</w:t>
      </w:r>
    </w:p>
    <w:p>
      <w:pPr>
        <w:pStyle w:val="22"/>
        <w:tabs>
          <w:tab w:val="left" w:pos="420"/>
        </w:tabs>
        <w:overflowPunct w:val="0"/>
        <w:rPr>
          <w:rFonts w:ascii="Times New Roman" w:hAnsi="Times New Roman" w:cs="Times New Roman"/>
          <w:szCs w:val="21"/>
        </w:rPr>
      </w:pPr>
      <w:r>
        <w:rPr>
          <w:rFonts w:hint="eastAsia" w:ascii="Times New Roman" w:hAnsi="Times New Roman" w:cs="Times New Roman"/>
          <w:szCs w:val="21"/>
        </w:rPr>
        <w:t>（1）减少热桥：通过用保温材料包裹热桥部位，形成连续完整的保温层，减少热桥面积或数量，热桥部位保温性能一般与主体结构部位相近；</w:t>
      </w:r>
    </w:p>
    <w:p>
      <w:pPr>
        <w:pStyle w:val="22"/>
        <w:tabs>
          <w:tab w:val="left" w:pos="420"/>
        </w:tabs>
        <w:overflowPunct w:val="0"/>
        <w:rPr>
          <w:rFonts w:ascii="Times New Roman" w:hAnsi="Times New Roman" w:cs="Times New Roman"/>
          <w:szCs w:val="21"/>
        </w:rPr>
      </w:pPr>
      <w:r>
        <w:rPr>
          <w:rFonts w:hint="eastAsia" w:ascii="Times New Roman" w:hAnsi="Times New Roman" w:cs="Times New Roman"/>
          <w:szCs w:val="21"/>
        </w:rPr>
        <w:t>（2）削弱热桥：包裹热桥的保温材料性能低于主体结构，或者当热桥无法用保温材料完全包裹时，热桥部位附加保温材料，可加强热桥部位保温隔热性能，使室内表面温度分布差异减小，达到削弱热桥的效果；</w:t>
      </w:r>
    </w:p>
    <w:p>
      <w:pPr>
        <w:pStyle w:val="22"/>
        <w:tabs>
          <w:tab w:val="left" w:pos="420"/>
        </w:tabs>
        <w:overflowPunct w:val="0"/>
        <w:rPr>
          <w:rFonts w:ascii="黑体" w:hAnsi="黑体" w:eastAsia="黑体" w:cs="黑体"/>
          <w:sz w:val="18"/>
          <w:szCs w:val="18"/>
        </w:rPr>
      </w:pPr>
      <w:r>
        <w:rPr>
          <w:rFonts w:hint="eastAsia" w:ascii="Times New Roman" w:hAnsi="Times New Roman" w:cs="Times New Roman"/>
          <w:szCs w:val="21"/>
        </w:rPr>
        <w:t>（3）阻断热桥：通过用断热桥专用部件或构造，将可能产生热桥的构件与主体结构断开，阻断热量经由非保温材料直接传导的路径，达到缓解热桥效应的作用。热桥部位的保温厚度可通过二维或三维热桥模拟计算确定，对于无法满足热桥保温热阻要求的部位以及其他保温显著薄弱部位，应进行内表面结露验算，当热桥部位仍有结露风险时，应进一步加强保温并重新验算。</w:t>
      </w:r>
    </w:p>
    <w:p>
      <w:pPr>
        <w:tabs>
          <w:tab w:val="left" w:pos="397"/>
        </w:tabs>
        <w:overflowPunct w:val="0"/>
        <w:rPr>
          <w:rFonts w:ascii="Times New Roman" w:hAnsi="Times New Roman" w:cs="Times New Roman"/>
          <w:szCs w:val="21"/>
        </w:rPr>
      </w:pPr>
      <w:r>
        <w:rPr>
          <w:rFonts w:ascii="黑体" w:hAnsi="黑体" w:eastAsia="黑体" w:cs="Times New Roman"/>
        </w:rPr>
        <w:t>6</w:t>
      </w:r>
      <w:r>
        <w:rPr>
          <w:rFonts w:ascii="黑体" w:hAnsi="黑体" w:eastAsia="黑体" w:cs="Times New Roman"/>
          <w:szCs w:val="21"/>
        </w:rPr>
        <w:t>.</w:t>
      </w:r>
      <w:r>
        <w:rPr>
          <w:rFonts w:ascii="黑体" w:hAnsi="黑体" w:eastAsia="黑体" w:cs="Times New Roman"/>
        </w:rPr>
        <w:t>3</w:t>
      </w:r>
      <w:r>
        <w:rPr>
          <w:rFonts w:ascii="黑体" w:hAnsi="黑体" w:eastAsia="黑体" w:cs="Times New Roman"/>
          <w:szCs w:val="21"/>
        </w:rPr>
        <w:t>.</w:t>
      </w:r>
      <w:r>
        <w:rPr>
          <w:rFonts w:ascii="黑体" w:hAnsi="黑体" w:eastAsia="黑体" w:cs="Times New Roman"/>
        </w:rPr>
        <w:t>6</w:t>
      </w:r>
      <w:r>
        <w:rPr>
          <w:rFonts w:hint="eastAsia" w:ascii="黑体" w:hAnsi="黑体" w:eastAsia="黑体" w:cs="Times New Roman"/>
          <w:szCs w:val="21"/>
        </w:rPr>
        <w:t>　</w:t>
      </w:r>
      <w:r>
        <w:rPr>
          <w:rFonts w:hint="eastAsia" w:ascii="Times New Roman" w:hAnsi="Times New Roman" w:cs="Times New Roman"/>
          <w:szCs w:val="21"/>
        </w:rPr>
        <w:t>本条主要基于以下考虑：</w:t>
      </w:r>
    </w:p>
    <w:p>
      <w:pPr>
        <w:tabs>
          <w:tab w:val="left" w:pos="397"/>
        </w:tabs>
        <w:overflowPunct w:val="0"/>
        <w:ind w:firstLine="420" w:firstLineChars="200"/>
        <w:rPr>
          <w:rFonts w:ascii="Times New Roman" w:hAnsi="Times New Roman" w:cs="Times New Roman"/>
          <w:szCs w:val="21"/>
        </w:rPr>
      </w:pPr>
      <w:r>
        <w:rPr>
          <w:rFonts w:hint="eastAsia" w:ascii="Times New Roman" w:hAnsi="Times New Roman" w:eastAsia="宋体" w:cs="Times New Roman"/>
          <w:szCs w:val="21"/>
          <w:lang w:val="en-US" w:eastAsia="zh-CN"/>
        </w:rPr>
        <w:t>a）</w:t>
      </w:r>
      <w:r>
        <w:rPr>
          <w:rFonts w:ascii="Times New Roman" w:hAnsi="Times New Roman" w:eastAsia="宋体" w:cs="Times New Roman"/>
          <w:szCs w:val="21"/>
        </w:rPr>
        <w:t>.</w:t>
      </w:r>
      <w:r>
        <w:rPr>
          <w:rFonts w:hint="eastAsia" w:ascii="Times New Roman" w:hAnsi="Times New Roman" w:cs="Times New Roman"/>
          <w:szCs w:val="21"/>
        </w:rPr>
        <w:t>《建筑节能与可再生能源利用通用规范》GB55015-2021明确要求，太阳能建筑一体化应用系统的设计应与建筑设计同步完成。</w:t>
      </w:r>
    </w:p>
    <w:p>
      <w:pPr>
        <w:tabs>
          <w:tab w:val="left" w:pos="397"/>
        </w:tabs>
        <w:overflowPunct w:val="0"/>
        <w:ind w:firstLine="420" w:firstLineChars="200"/>
        <w:rPr>
          <w:rFonts w:ascii="Times New Roman" w:hAnsi="Times New Roman" w:cs="Times New Roman"/>
          <w:szCs w:val="21"/>
        </w:rPr>
      </w:pPr>
      <w:r>
        <w:rPr>
          <w:rFonts w:hint="eastAsia" w:ascii="Times New Roman" w:hAnsi="Times New Roman" w:eastAsia="宋体" w:cs="Times New Roman"/>
          <w:szCs w:val="21"/>
          <w:lang w:val="en-US" w:eastAsia="zh-CN"/>
        </w:rPr>
        <w:t>b）</w:t>
      </w:r>
      <w:r>
        <w:rPr>
          <w:rFonts w:ascii="Times New Roman" w:hAnsi="Times New Roman" w:eastAsia="宋体" w:cs="Times New Roman"/>
          <w:szCs w:val="21"/>
        </w:rPr>
        <w:t>.</w:t>
      </w:r>
      <w:r>
        <w:rPr>
          <w:rFonts w:hint="eastAsia" w:ascii="Times New Roman" w:hAnsi="Times New Roman" w:cs="Times New Roman"/>
          <w:szCs w:val="21"/>
        </w:rPr>
        <w:t>目前我国太阳能热水、光伏的安装使用总量居世界第一，但大多作为建筑的后置部件在建筑建成后才购买安装，由此造成了对建筑安全和城市景观的不利影响，也造成资金和资源的浪费。因此应按工程建设的要求，统一规划、同步设计、同步施工、统一验收。</w:t>
      </w:r>
    </w:p>
    <w:p>
      <w:pPr>
        <w:tabs>
          <w:tab w:val="left" w:pos="397"/>
        </w:tabs>
        <w:overflowPunct w:val="0"/>
        <w:ind w:firstLine="420" w:firstLineChars="200"/>
        <w:rPr>
          <w:rFonts w:hint="eastAsia" w:ascii="黑体" w:hAnsi="黑体" w:eastAsia="黑体" w:cs="黑体"/>
          <w:sz w:val="18"/>
          <w:szCs w:val="18"/>
        </w:rPr>
      </w:pPr>
      <w:r>
        <w:rPr>
          <w:rFonts w:hint="eastAsia" w:ascii="Times New Roman" w:hAnsi="Times New Roman" w:eastAsia="宋体" w:cs="Times New Roman"/>
          <w:szCs w:val="21"/>
          <w:lang w:val="en-US" w:eastAsia="zh-CN"/>
        </w:rPr>
        <w:t>c）</w:t>
      </w:r>
      <w:r>
        <w:rPr>
          <w:rFonts w:ascii="Times New Roman" w:hAnsi="Times New Roman" w:eastAsia="宋体" w:cs="Times New Roman"/>
          <w:szCs w:val="21"/>
        </w:rPr>
        <w:t>.</w:t>
      </w:r>
      <w:r>
        <w:rPr>
          <w:rFonts w:hint="eastAsia" w:ascii="Times New Roman" w:hAnsi="Times New Roman" w:cs="Times New Roman"/>
          <w:szCs w:val="21"/>
        </w:rPr>
        <w:t>常规设计中往往忽视了连接件产生的热桥，超低能耗建筑设计中应予以重视，采取阻断处理措施，例如在预埋件周边设置隔热垫块等。</w:t>
      </w:r>
    </w:p>
    <w:p>
      <w:pPr>
        <w:pStyle w:val="2"/>
        <w:numPr>
          <w:ilvl w:val="0"/>
          <w:numId w:val="0"/>
        </w:numPr>
        <w:overflowPunct w:val="0"/>
        <w:spacing w:before="312" w:after="312"/>
        <w:ind w:left="357" w:hanging="357" w:hangingChars="170"/>
      </w:pPr>
      <w:r>
        <w:t>7</w:t>
      </w:r>
      <w:r>
        <w:rPr>
          <w:rFonts w:hint="eastAsia"/>
        </w:rPr>
        <w:t>　供暖通风与空调设计</w:t>
      </w:r>
    </w:p>
    <w:p>
      <w:pPr>
        <w:pStyle w:val="3"/>
        <w:numPr>
          <w:ilvl w:val="0"/>
          <w:numId w:val="0"/>
        </w:numPr>
        <w:tabs>
          <w:tab w:val="left" w:pos="0"/>
        </w:tabs>
        <w:overflowPunct w:val="0"/>
        <w:spacing w:before="156" w:beforeLines="50" w:after="156" w:afterLines="50"/>
        <w:rPr>
          <w:rStyle w:val="44"/>
          <w:color w:val="auto"/>
        </w:rPr>
      </w:pPr>
      <w:r>
        <w:rPr>
          <w:rStyle w:val="44"/>
          <w:color w:val="auto"/>
        </w:rPr>
        <w:t>7.1</w:t>
      </w:r>
      <w:r>
        <w:rPr>
          <w:rStyle w:val="44"/>
          <w:rFonts w:hint="eastAsia"/>
          <w:color w:val="auto"/>
        </w:rPr>
        <w:t>　一般规定</w:t>
      </w:r>
    </w:p>
    <w:p>
      <w:pPr>
        <w:overflowPunct w:val="0"/>
        <w:rPr>
          <w:rFonts w:ascii="黑体" w:hAnsi="黑体" w:eastAsia="黑体" w:cs="黑体"/>
          <w:sz w:val="18"/>
          <w:szCs w:val="18"/>
        </w:rPr>
      </w:pPr>
      <w:r>
        <w:rPr>
          <w:rFonts w:ascii="黑体" w:hAnsi="黑体" w:eastAsia="黑体" w:cs="Times New Roman"/>
        </w:rPr>
        <w:t>7</w:t>
      </w:r>
      <w:r>
        <w:rPr>
          <w:rFonts w:ascii="黑体" w:hAnsi="黑体" w:eastAsia="黑体" w:cs="Times New Roman"/>
          <w:szCs w:val="21"/>
        </w:rPr>
        <w:t>.</w:t>
      </w:r>
      <w:r>
        <w:rPr>
          <w:rFonts w:ascii="黑体" w:hAnsi="黑体" w:eastAsia="黑体" w:cs="Times New Roman"/>
        </w:rPr>
        <w:t>1</w:t>
      </w:r>
      <w:r>
        <w:rPr>
          <w:rFonts w:ascii="黑体" w:hAnsi="黑体" w:eastAsia="黑体" w:cs="Times New Roman"/>
          <w:szCs w:val="21"/>
        </w:rPr>
        <w:t>.</w:t>
      </w:r>
      <w:r>
        <w:rPr>
          <w:rFonts w:ascii="黑体" w:hAnsi="黑体" w:eastAsia="黑体" w:cs="Times New Roman"/>
        </w:rPr>
        <w:t>7</w:t>
      </w:r>
      <w:r>
        <w:rPr>
          <w:rFonts w:hint="eastAsia" w:ascii="黑体" w:hAnsi="黑体" w:eastAsia="黑体" w:cs="Times New Roman"/>
          <w:szCs w:val="21"/>
        </w:rPr>
        <w:t>　</w:t>
      </w:r>
      <w:r>
        <w:rPr>
          <w:rFonts w:hint="eastAsia" w:ascii="Times New Roman" w:hAnsi="Times New Roman" w:cs="Times New Roman"/>
          <w:szCs w:val="21"/>
        </w:rPr>
        <w:t>对于以电驱动压缩式冷水机组为冷源的空调制冷机房，在满足末端冷负荷需求的前提下，宜综合考虑负荷匹配度、系统用能合理性等各方面因素，运用恰当的控制方式与人员管理制度，合理地控制系统中各设备及参数，以实现系统高能效运行。</w:t>
      </w:r>
    </w:p>
    <w:p>
      <w:pPr>
        <w:tabs>
          <w:tab w:val="left" w:pos="397"/>
        </w:tabs>
        <w:overflowPunct w:val="0"/>
        <w:rPr>
          <w:rFonts w:ascii="黑体" w:hAnsi="黑体" w:eastAsia="黑体" w:cs="黑体"/>
          <w:sz w:val="18"/>
          <w:szCs w:val="18"/>
        </w:rPr>
      </w:pPr>
      <w:r>
        <w:rPr>
          <w:rFonts w:ascii="黑体" w:hAnsi="黑体" w:eastAsia="黑体" w:cs="Times New Roman"/>
        </w:rPr>
        <w:t>7</w:t>
      </w:r>
      <w:r>
        <w:rPr>
          <w:rFonts w:ascii="黑体" w:hAnsi="黑体" w:eastAsia="黑体" w:cs="Times New Roman"/>
          <w:szCs w:val="21"/>
        </w:rPr>
        <w:t>.</w:t>
      </w:r>
      <w:r>
        <w:rPr>
          <w:rFonts w:ascii="黑体" w:hAnsi="黑体" w:eastAsia="黑体" w:cs="Times New Roman"/>
        </w:rPr>
        <w:t>1</w:t>
      </w:r>
      <w:r>
        <w:rPr>
          <w:rFonts w:ascii="黑体" w:hAnsi="黑体" w:eastAsia="黑体" w:cs="Times New Roman"/>
          <w:szCs w:val="21"/>
        </w:rPr>
        <w:t>.</w:t>
      </w:r>
      <w:r>
        <w:rPr>
          <w:rFonts w:ascii="黑体" w:hAnsi="黑体" w:eastAsia="黑体" w:cs="Times New Roman"/>
        </w:rPr>
        <w:t>8</w:t>
      </w:r>
      <w:r>
        <w:rPr>
          <w:rFonts w:hint="eastAsia" w:ascii="黑体" w:hAnsi="黑体" w:eastAsia="黑体" w:cs="Times New Roman"/>
          <w:szCs w:val="21"/>
        </w:rPr>
        <w:t>　</w:t>
      </w:r>
      <w:r>
        <w:rPr>
          <w:rFonts w:hint="eastAsia" w:ascii="Times New Roman" w:hAnsi="Times New Roman" w:cs="Times New Roman"/>
          <w:szCs w:val="21"/>
        </w:rPr>
        <w:t>变频控制可以提升不同负荷情况下系统的运行效率。</w:t>
      </w:r>
    </w:p>
    <w:p>
      <w:pPr>
        <w:tabs>
          <w:tab w:val="left" w:pos="397"/>
        </w:tabs>
        <w:overflowPunct w:val="0"/>
        <w:rPr>
          <w:rFonts w:ascii="Times New Roman" w:hAnsi="Times New Roman" w:cs="Times New Roman"/>
          <w:szCs w:val="21"/>
        </w:rPr>
      </w:pPr>
      <w:r>
        <w:rPr>
          <w:rFonts w:ascii="黑体" w:hAnsi="黑体" w:eastAsia="黑体" w:cs="Times New Roman"/>
        </w:rPr>
        <w:t>7</w:t>
      </w:r>
      <w:r>
        <w:rPr>
          <w:rFonts w:ascii="黑体" w:hAnsi="黑体" w:eastAsia="黑体" w:cs="Times New Roman"/>
          <w:szCs w:val="21"/>
        </w:rPr>
        <w:t>.</w:t>
      </w:r>
      <w:r>
        <w:rPr>
          <w:rFonts w:ascii="黑体" w:hAnsi="黑体" w:eastAsia="黑体" w:cs="Times New Roman"/>
        </w:rPr>
        <w:t>1</w:t>
      </w:r>
      <w:r>
        <w:rPr>
          <w:rFonts w:ascii="黑体" w:hAnsi="黑体" w:eastAsia="黑体" w:cs="Times New Roman"/>
          <w:szCs w:val="21"/>
        </w:rPr>
        <w:t>.</w:t>
      </w:r>
      <w:r>
        <w:rPr>
          <w:rFonts w:ascii="黑体" w:hAnsi="黑体" w:eastAsia="黑体" w:cs="Times New Roman"/>
        </w:rPr>
        <w:t>9</w:t>
      </w:r>
      <w:r>
        <w:rPr>
          <w:rFonts w:hint="eastAsia" w:ascii="黑体" w:hAnsi="黑体" w:eastAsia="黑体" w:cs="Times New Roman"/>
          <w:szCs w:val="21"/>
        </w:rPr>
        <w:t>　</w:t>
      </w:r>
      <w:r>
        <w:rPr>
          <w:rFonts w:hint="eastAsia" w:ascii="Times New Roman" w:hAnsi="Times New Roman" w:cs="Times New Roman"/>
          <w:szCs w:val="21"/>
        </w:rPr>
        <w:t>除湿能耗是空调能耗的重要组成部分，为了满足除湿需求，往往需要更低的冷冻水温度，甚至还需要再热，因此温湿度联合处理过程的能耗很高。采用温度和湿度两套独立的空调系统，分别控制、调节室内的温度和湿度，可以避免常规空调系统中温湿度联合处理所带来的损失。根据《独立新风空调设备评价要求》（GB/T 40390-2021）标准要求，Ⅰ级适用区（焓时数≥60000 kj·h/kg）应优先采用温湿分控空调系统，Ⅱ级、Ⅲ级适用区（60000 kj·h/kg＞焓时数≥20000 kj·h/kg）在经济合理的前提下，宜采用温湿分控空调系统。温湿分控空调系统的除湿方案主要包括新风溶液除湿、新风转轮再热除湿和冷冻除湿。</w:t>
      </w:r>
    </w:p>
    <w:p>
      <w:pPr>
        <w:tabs>
          <w:tab w:val="left" w:pos="397"/>
        </w:tabs>
        <w:overflowPunct w:val="0"/>
        <w:ind w:firstLine="420" w:firstLineChars="200"/>
        <w:rPr>
          <w:rFonts w:ascii="Times New Roman" w:hAnsi="Times New Roman" w:cs="Times New Roman"/>
          <w:szCs w:val="21"/>
        </w:rPr>
      </w:pPr>
      <w:r>
        <w:rPr>
          <w:rFonts w:hint="eastAsia" w:ascii="Times New Roman" w:hAnsi="Times New Roman" w:cs="Times New Roman"/>
          <w:szCs w:val="21"/>
        </w:rPr>
        <w:t>当采用冷冻除湿方案时，再热过程应优先采用回风再热方案，回风再热过程无须热源，无须布置水管，系统简单。再热过程也可以采用热回收型冷源方案，可以认为再热量未消耗电能，因此规定当采用冷冻除湿方案时，其再热过程不应增加除风机能耗外的其他能耗，不应采用锅炉等消耗能源的热源作为再热热源。</w:t>
      </w:r>
    </w:p>
    <w:p>
      <w:pPr>
        <w:tabs>
          <w:tab w:val="left" w:pos="397"/>
        </w:tabs>
        <w:overflowPunct w:val="0"/>
        <w:ind w:firstLine="420" w:firstLineChars="200"/>
        <w:rPr>
          <w:rFonts w:ascii="Times New Roman" w:hAnsi="Times New Roman" w:cs="Times New Roman"/>
          <w:szCs w:val="21"/>
        </w:rPr>
      </w:pPr>
      <w:r>
        <w:rPr>
          <w:rFonts w:hint="eastAsia" w:ascii="Times New Roman" w:hAnsi="Times New Roman" w:cs="Times New Roman"/>
          <w:szCs w:val="21"/>
        </w:rPr>
        <w:t>计算空调制冷机房系统能效比，不应仅计算集中冷源的系统能效比，还应把冷冻除湿系统纳入一并计算。值得注意的时，热回收型冷源方案的热回收量被定义为免费提供，冷源的总供冷量中不应计入回收的再热热量。</w:t>
      </w:r>
    </w:p>
    <w:p>
      <w:pPr>
        <w:pStyle w:val="3"/>
        <w:numPr>
          <w:ilvl w:val="0"/>
          <w:numId w:val="0"/>
        </w:numPr>
        <w:tabs>
          <w:tab w:val="left" w:pos="0"/>
        </w:tabs>
        <w:overflowPunct w:val="0"/>
        <w:spacing w:before="156" w:beforeLines="50" w:after="156" w:afterLines="50"/>
        <w:rPr>
          <w:rStyle w:val="44"/>
          <w:color w:val="auto"/>
        </w:rPr>
      </w:pPr>
      <w:r>
        <w:rPr>
          <w:rStyle w:val="44"/>
          <w:color w:val="auto"/>
        </w:rPr>
        <w:t>7.2</w:t>
      </w:r>
      <w:r>
        <w:rPr>
          <w:rStyle w:val="44"/>
          <w:rFonts w:hint="eastAsia"/>
          <w:color w:val="auto"/>
        </w:rPr>
        <w:t>　通风系统设计</w:t>
      </w:r>
    </w:p>
    <w:p>
      <w:pPr>
        <w:tabs>
          <w:tab w:val="left" w:pos="397"/>
        </w:tabs>
        <w:overflowPunct w:val="0"/>
        <w:rPr>
          <w:rFonts w:ascii="Times New Roman" w:hAnsi="Times New Roman" w:cs="Times New Roman"/>
          <w:szCs w:val="21"/>
        </w:rPr>
      </w:pPr>
      <w:r>
        <w:rPr>
          <w:rFonts w:ascii="黑体" w:hAnsi="黑体" w:eastAsia="黑体" w:cs="Times New Roman"/>
        </w:rPr>
        <w:t>7</w:t>
      </w:r>
      <w:r>
        <w:rPr>
          <w:rFonts w:ascii="黑体" w:hAnsi="黑体" w:eastAsia="黑体" w:cs="Times New Roman"/>
          <w:szCs w:val="21"/>
        </w:rPr>
        <w:t>.</w:t>
      </w:r>
      <w:r>
        <w:rPr>
          <w:rFonts w:ascii="黑体" w:hAnsi="黑体" w:eastAsia="黑体" w:cs="Times New Roman"/>
        </w:rPr>
        <w:t>2</w:t>
      </w:r>
      <w:r>
        <w:rPr>
          <w:rFonts w:ascii="黑体" w:hAnsi="黑体" w:eastAsia="黑体" w:cs="Times New Roman"/>
          <w:szCs w:val="21"/>
        </w:rPr>
        <w:t>.</w:t>
      </w:r>
      <w:r>
        <w:rPr>
          <w:rFonts w:ascii="黑体" w:hAnsi="黑体" w:eastAsia="黑体" w:cs="Times New Roman"/>
        </w:rPr>
        <w:t>4</w:t>
      </w:r>
      <w:r>
        <w:rPr>
          <w:rFonts w:hint="eastAsia" w:ascii="黑体" w:hAnsi="黑体" w:eastAsia="黑体" w:cs="Times New Roman"/>
          <w:szCs w:val="21"/>
        </w:rPr>
        <w:t>　</w:t>
      </w:r>
      <w:r>
        <w:rPr>
          <w:rFonts w:hint="eastAsia" w:ascii="Times New Roman" w:hAnsi="Times New Roman" w:cs="Times New Roman"/>
          <w:szCs w:val="21"/>
        </w:rPr>
        <w:t>热回收技术是重要的节能措施，热回收技术主要包括排风热回收技术和冷源热回收技术。采用排风热回收技术时，应进行风量平衡计算，避免多余渗透风量增加新风能耗，从而实现节能的目标。排风量的计算，需要综合考虑房间压力控制、幕墙和门窗渗透风量、发热设备及卫生间排风的影响。</w:t>
      </w:r>
    </w:p>
    <w:p>
      <w:pPr>
        <w:tabs>
          <w:tab w:val="left" w:pos="397"/>
        </w:tabs>
        <w:overflowPunct w:val="0"/>
        <w:ind w:firstLine="420" w:firstLineChars="200"/>
        <w:rPr>
          <w:rFonts w:ascii="Times New Roman" w:hAnsi="Times New Roman" w:cs="Times New Roman"/>
          <w:szCs w:val="21"/>
        </w:rPr>
      </w:pPr>
      <w:r>
        <w:rPr>
          <w:rFonts w:hint="eastAsia" w:ascii="Times New Roman" w:hAnsi="Times New Roman" w:cs="Times New Roman"/>
          <w:szCs w:val="21"/>
        </w:rPr>
        <w:t>以某办公楼为例，计算实际新风量和排风量。办公楼标准层面积1500㎡，32扇外窗，外窗尺寸约为2.2×3.3m，窗墙比约为33%，外窗气密性等级为6级，卫生间80㎡，强弱电间各2个，单个井面积约5㎡，办公人员150人，房间保持微正压5Pa。经过计算，人员新风量为150×30=4500m³/h，卫生间排风量为80×3×10=2400m³/h，强弱电井排风量为200×4=800m³/h，外窗渗透风量为740m³/h，设计排风量=4500-2400-800-740=560m³/h。如果强行按新风量的80%设计排风量，房间不能保持微正压，且有部分未经过处理的新风通过外窗渗透进室内，渗透风量约为2300m³/h。渗透风量增加了新风能耗，按全热回收效率50%、室外气象参数35℃/28℃、新风焓值89.67kJ/kg计算，新风约增加36%的能耗。计算结果表明，排风量应根据需求计算确定，为了排风热回收而加大排风量，结果反而增加了能耗。</w:t>
      </w:r>
    </w:p>
    <w:p>
      <w:pPr>
        <w:tabs>
          <w:tab w:val="left" w:pos="397"/>
        </w:tabs>
        <w:overflowPunct w:val="0"/>
        <w:ind w:firstLine="420" w:firstLineChars="200"/>
        <w:rPr>
          <w:rFonts w:ascii="Times New Roman" w:hAnsi="Times New Roman" w:cs="Times New Roman"/>
          <w:szCs w:val="21"/>
        </w:rPr>
      </w:pPr>
      <w:r>
        <w:rPr>
          <w:rFonts w:hint="eastAsia" w:ascii="Times New Roman" w:hAnsi="Times New Roman" w:cs="Times New Roman"/>
          <w:szCs w:val="21"/>
        </w:rPr>
        <w:t>冷源热回收技术通过回收多余的热量进行供热，是常见的节能措施。但是冷源热回收技术仍然存在一定的问题，其节能特性并非最佳。</w:t>
      </w:r>
    </w:p>
    <w:p>
      <w:pPr>
        <w:tabs>
          <w:tab w:val="left" w:pos="397"/>
        </w:tabs>
        <w:overflowPunct w:val="0"/>
        <w:ind w:firstLine="420" w:firstLineChars="200"/>
        <w:rPr>
          <w:rFonts w:ascii="Times New Roman" w:hAnsi="Times New Roman" w:cs="Times New Roman"/>
          <w:szCs w:val="21"/>
        </w:rPr>
      </w:pPr>
      <w:r>
        <w:rPr>
          <w:rFonts w:hint="eastAsia" w:ascii="Times New Roman" w:hAnsi="Times New Roman" w:cs="Times New Roman"/>
          <w:szCs w:val="21"/>
        </w:rPr>
        <w:t>例如将回收的热量用于供生活热水时，全热回收型热泵的生活热水温度通常在50℃左右，部分热回收型热泵的生活热水温度在45℃左右甚至更低，均不能完全满足生活热水对水温的使用需求。采用热回收型热泵供生活热水时，需要另外满额增加太阳能、锅炉等备用热源，系统控制复杂，管理工作量大，总体建设成本高。而采用冷回收型热泵机组，优先保证生活热水水温满足使用需求，冷冻水温度可不作精确控制。由于项目的冷负荷远大于热负荷，热泵机组供热运行时回收的冷量只占到总冷量的一小部分，即使回收的冷水温度不受控，也不会影响供冷效果，回收的冷量可以全部被供冷系统吸收，能量回收利用率高，因此冷回收型热泵是节能性能更佳的热回收技术。</w:t>
      </w:r>
    </w:p>
    <w:p>
      <w:pPr>
        <w:tabs>
          <w:tab w:val="left" w:pos="397"/>
        </w:tabs>
        <w:overflowPunct w:val="0"/>
        <w:ind w:firstLine="420" w:firstLineChars="200"/>
        <w:rPr>
          <w:rFonts w:ascii="黑体" w:hAnsi="黑体" w:eastAsia="黑体" w:cs="黑体"/>
          <w:sz w:val="18"/>
          <w:szCs w:val="18"/>
        </w:rPr>
      </w:pPr>
      <w:r>
        <w:rPr>
          <w:rFonts w:hint="eastAsia" w:ascii="Times New Roman" w:hAnsi="Times New Roman" w:cs="Times New Roman"/>
          <w:szCs w:val="21"/>
        </w:rPr>
        <w:t>将回收的热量用于空调再热，不增加再热能耗，似乎也是一种节能措施。但是利用回风再热的空气处理过程是一种更加节能、更加简单的技术措施。回风再热空气处理过程，就是利用部分室内的回风再热新风，保证新风不结露，回风降温后具备了供冷能力，将该部分回风送入室内，而不是排至室外，可以代替部分风机盘管的作用，没有任何的冷量浪费。排风热回收可以就近设置，无须布置水管，系统更简单。因此，建议采用回风再热代替冷源热回收方案。回风再热的空气处理过程也是一种简便的防结露措施，可以代替低温送风口的功能，降低建设成本。</w:t>
      </w:r>
    </w:p>
    <w:p>
      <w:pPr>
        <w:pStyle w:val="3"/>
        <w:numPr>
          <w:ilvl w:val="0"/>
          <w:numId w:val="0"/>
        </w:numPr>
        <w:tabs>
          <w:tab w:val="left" w:pos="0"/>
        </w:tabs>
        <w:overflowPunct w:val="0"/>
        <w:spacing w:before="156" w:beforeLines="50" w:after="156" w:afterLines="50"/>
        <w:rPr>
          <w:rStyle w:val="44"/>
          <w:color w:val="auto"/>
        </w:rPr>
      </w:pPr>
      <w:r>
        <w:rPr>
          <w:rStyle w:val="44"/>
          <w:color w:val="auto"/>
        </w:rPr>
        <w:t>7.4</w:t>
      </w:r>
      <w:r>
        <w:rPr>
          <w:rStyle w:val="44"/>
          <w:rFonts w:hint="eastAsia"/>
          <w:color w:val="auto"/>
        </w:rPr>
        <w:t>　通风系统设计</w:t>
      </w:r>
    </w:p>
    <w:p>
      <w:pPr>
        <w:tabs>
          <w:tab w:val="left" w:pos="420"/>
        </w:tabs>
        <w:overflowPunct w:val="0"/>
        <w:rPr>
          <w:rFonts w:ascii="Times New Roman" w:hAnsi="Times New Roman" w:cs="Times New Roman"/>
          <w:szCs w:val="21"/>
        </w:rPr>
      </w:pPr>
      <w:r>
        <w:rPr>
          <w:rFonts w:ascii="黑体" w:hAnsi="黑体" w:eastAsia="黑体" w:cs="Times New Roman"/>
        </w:rPr>
        <w:t>7</w:t>
      </w:r>
      <w:r>
        <w:rPr>
          <w:rFonts w:ascii="黑体" w:hAnsi="黑体" w:eastAsia="黑体" w:cs="Times New Roman"/>
          <w:szCs w:val="21"/>
        </w:rPr>
        <w:t>.</w:t>
      </w:r>
      <w:r>
        <w:rPr>
          <w:rFonts w:ascii="黑体" w:hAnsi="黑体" w:eastAsia="黑体" w:cs="Times New Roman"/>
        </w:rPr>
        <w:t>4</w:t>
      </w:r>
      <w:r>
        <w:rPr>
          <w:rFonts w:ascii="黑体" w:hAnsi="黑体" w:eastAsia="黑体" w:cs="Times New Roman"/>
          <w:szCs w:val="21"/>
        </w:rPr>
        <w:t>.</w:t>
      </w:r>
      <w:r>
        <w:rPr>
          <w:rFonts w:ascii="黑体" w:hAnsi="黑体" w:eastAsia="黑体" w:cs="Times New Roman"/>
        </w:rPr>
        <w:t>2</w:t>
      </w:r>
      <w:r>
        <w:rPr>
          <w:rFonts w:hint="eastAsia" w:ascii="黑体" w:hAnsi="黑体" w:eastAsia="黑体" w:cs="Times New Roman"/>
          <w:szCs w:val="21"/>
        </w:rPr>
        <w:t>　</w:t>
      </w:r>
      <w:r>
        <w:rPr>
          <w:rFonts w:hint="eastAsia" w:ascii="Times New Roman" w:hAnsi="Times New Roman" w:cs="Times New Roman"/>
          <w:szCs w:val="21"/>
        </w:rPr>
        <w:t>1.</w:t>
      </w:r>
      <w:r>
        <w:rPr>
          <w:rFonts w:ascii="Times New Roman" w:hAnsi="Times New Roman" w:cs="Times New Roman"/>
          <w:szCs w:val="21"/>
        </w:rPr>
        <w:t>空调水系统形式主要包括一级泵系统</w:t>
      </w:r>
      <w:r>
        <w:rPr>
          <w:rFonts w:hint="eastAsia" w:ascii="Times New Roman" w:hAnsi="Times New Roman" w:cs="Times New Roman"/>
          <w:szCs w:val="21"/>
        </w:rPr>
        <w:t>和</w:t>
      </w:r>
      <w:r>
        <w:rPr>
          <w:rFonts w:ascii="Times New Roman" w:hAnsi="Times New Roman" w:cs="Times New Roman"/>
          <w:szCs w:val="21"/>
        </w:rPr>
        <w:t>二级泵系统，当然还可以从二级泵系统中划分出多级泵系统，条文所说的二级泵系统包括多级泵</w:t>
      </w:r>
      <w:r>
        <w:rPr>
          <w:rFonts w:hint="eastAsia" w:ascii="Times New Roman" w:hAnsi="Times New Roman" w:cs="Times New Roman"/>
          <w:szCs w:val="21"/>
        </w:rPr>
        <w:t>系统</w:t>
      </w:r>
      <w:r>
        <w:rPr>
          <w:rFonts w:ascii="Times New Roman" w:hAnsi="Times New Roman" w:cs="Times New Roman"/>
          <w:szCs w:val="21"/>
        </w:rPr>
        <w:t>。</w:t>
      </w:r>
    </w:p>
    <w:p>
      <w:pPr>
        <w:tabs>
          <w:tab w:val="left" w:pos="420"/>
        </w:tabs>
        <w:overflowPunct w:val="0"/>
        <w:ind w:firstLine="420" w:firstLineChars="200"/>
        <w:rPr>
          <w:rFonts w:ascii="Times New Roman" w:hAnsi="Times New Roman" w:cs="Times New Roman"/>
          <w:szCs w:val="21"/>
        </w:rPr>
      </w:pPr>
      <w:r>
        <w:rPr>
          <w:rFonts w:hint="eastAsia" w:ascii="Times New Roman" w:hAnsi="Times New Roman" w:cs="Times New Roman"/>
          <w:szCs w:val="21"/>
        </w:rPr>
        <w:t>在比较一级泵与二级泵系统的优劣时，仅仅比较水泵的能耗及其经济性，并不能准确反映二级泵的优势。</w:t>
      </w:r>
      <w:r>
        <w:rPr>
          <w:rFonts w:ascii="Times New Roman" w:hAnsi="Times New Roman" w:cs="Times New Roman"/>
          <w:szCs w:val="21"/>
        </w:rPr>
        <w:t>二级泵系统的意义</w:t>
      </w:r>
      <w:r>
        <w:rPr>
          <w:rFonts w:hint="eastAsia" w:ascii="Times New Roman" w:hAnsi="Times New Roman" w:cs="Times New Roman"/>
          <w:szCs w:val="21"/>
        </w:rPr>
        <w:t>是将冷热源侧的产能与用户侧的用能进行解耦，实现用户侧按需供能，冷热源侧高效产能，分别采用相应的水泵和水泵控制策略，避免节流等无效损耗，实现水系统输送过程的节能和冷热源高效产能，二级泵系统使水泵的控制策略更加简单，因此，在</w:t>
      </w:r>
      <w:r>
        <w:rPr>
          <w:rFonts w:ascii="Times New Roman" w:hAnsi="Times New Roman" w:cs="Times New Roman"/>
          <w:szCs w:val="21"/>
        </w:rPr>
        <w:t>条件允许时，宜优先采用二级泵系统。二级泵系统需要设置加大管径的</w:t>
      </w:r>
      <w:r>
        <w:rPr>
          <w:rFonts w:hint="eastAsia" w:ascii="Times New Roman" w:hAnsi="Times New Roman" w:cs="Times New Roman"/>
          <w:szCs w:val="21"/>
        </w:rPr>
        <w:t>平衡管</w:t>
      </w:r>
      <w:r>
        <w:rPr>
          <w:rFonts w:ascii="Times New Roman" w:hAnsi="Times New Roman" w:cs="Times New Roman"/>
          <w:szCs w:val="21"/>
        </w:rPr>
        <w:t>或</w:t>
      </w:r>
      <w:r>
        <w:rPr>
          <w:rFonts w:hint="eastAsia" w:ascii="Times New Roman" w:hAnsi="Times New Roman" w:cs="Times New Roman"/>
          <w:szCs w:val="21"/>
        </w:rPr>
        <w:t>平衡</w:t>
      </w:r>
      <w:r>
        <w:rPr>
          <w:rFonts w:ascii="Times New Roman" w:hAnsi="Times New Roman" w:cs="Times New Roman"/>
          <w:szCs w:val="21"/>
        </w:rPr>
        <w:t>水箱来解耦，平衡冷热源侧和用户侧的</w:t>
      </w:r>
      <w:r>
        <w:rPr>
          <w:rFonts w:hint="eastAsia" w:ascii="Times New Roman" w:hAnsi="Times New Roman" w:cs="Times New Roman"/>
          <w:szCs w:val="21"/>
        </w:rPr>
        <w:t>能量</w:t>
      </w:r>
      <w:r>
        <w:rPr>
          <w:rFonts w:ascii="Times New Roman" w:hAnsi="Times New Roman" w:cs="Times New Roman"/>
          <w:szCs w:val="21"/>
        </w:rPr>
        <w:t>或流量差异。</w:t>
      </w:r>
    </w:p>
    <w:p>
      <w:pPr>
        <w:tabs>
          <w:tab w:val="left" w:pos="420"/>
        </w:tabs>
        <w:overflowPunct w:val="0"/>
        <w:ind w:firstLine="420" w:firstLineChars="200"/>
        <w:rPr>
          <w:rFonts w:ascii="黑体" w:hAnsi="黑体" w:eastAsia="黑体" w:cs="黑体"/>
          <w:sz w:val="18"/>
          <w:szCs w:val="18"/>
        </w:rPr>
      </w:pPr>
      <w:r>
        <w:rPr>
          <w:rFonts w:hint="eastAsia" w:ascii="Times New Roman" w:hAnsi="Times New Roman" w:cs="Times New Roman"/>
          <w:szCs w:val="21"/>
        </w:rPr>
        <w:t>2.</w:t>
      </w:r>
      <w:r>
        <w:rPr>
          <w:rFonts w:hint="eastAsia" w:ascii="宋体" w:hAnsi="宋体" w:eastAsia="宋体" w:cs="宋体"/>
          <w:szCs w:val="21"/>
        </w:rPr>
        <w:t>“先并后串”</w:t>
      </w:r>
      <w:r>
        <w:rPr>
          <w:rFonts w:ascii="Times New Roman" w:hAnsi="Times New Roman" w:cs="Times New Roman"/>
          <w:szCs w:val="21"/>
        </w:rPr>
        <w:t>的连接方式可能更有利于降低水泵能耗，例如在部分负荷时，可以通过减少水泵运行台数和变频双措施来降低水泵能耗，“先</w:t>
      </w:r>
      <w:r>
        <w:rPr>
          <w:rFonts w:hint="eastAsia" w:ascii="Times New Roman" w:hAnsi="Times New Roman" w:cs="Times New Roman"/>
          <w:szCs w:val="21"/>
        </w:rPr>
        <w:t>串</w:t>
      </w:r>
      <w:r>
        <w:rPr>
          <w:rFonts w:ascii="Times New Roman" w:hAnsi="Times New Roman" w:cs="Times New Roman"/>
          <w:szCs w:val="21"/>
        </w:rPr>
        <w:t>后并”的连接方式，</w:t>
      </w:r>
      <w:r>
        <w:rPr>
          <w:rFonts w:hint="eastAsia" w:ascii="Times New Roman" w:hAnsi="Times New Roman" w:cs="Times New Roman"/>
          <w:szCs w:val="21"/>
        </w:rPr>
        <w:t>则水泵必须跟主机同步加减机，</w:t>
      </w:r>
      <w:r>
        <w:rPr>
          <w:rFonts w:ascii="Times New Roman" w:hAnsi="Times New Roman" w:cs="Times New Roman"/>
          <w:szCs w:val="21"/>
        </w:rPr>
        <w:t>不能随意</w:t>
      </w:r>
      <w:r>
        <w:rPr>
          <w:rFonts w:hint="eastAsia" w:ascii="Times New Roman" w:hAnsi="Times New Roman" w:cs="Times New Roman"/>
          <w:szCs w:val="21"/>
        </w:rPr>
        <w:t>减少</w:t>
      </w:r>
      <w:r>
        <w:rPr>
          <w:rFonts w:ascii="Times New Roman" w:hAnsi="Times New Roman" w:cs="Times New Roman"/>
          <w:szCs w:val="21"/>
        </w:rPr>
        <w:t>水泵，水泵能耗可能偏高。但是“先</w:t>
      </w:r>
      <w:r>
        <w:rPr>
          <w:rFonts w:hint="eastAsia" w:ascii="Times New Roman" w:hAnsi="Times New Roman" w:cs="Times New Roman"/>
          <w:szCs w:val="21"/>
        </w:rPr>
        <w:t>串</w:t>
      </w:r>
      <w:r>
        <w:rPr>
          <w:rFonts w:ascii="Times New Roman" w:hAnsi="Times New Roman" w:cs="Times New Roman"/>
          <w:szCs w:val="21"/>
        </w:rPr>
        <w:t>后并”的连接方式，也有其优点：a</w:t>
      </w:r>
      <w:r>
        <w:rPr>
          <w:rFonts w:hint="eastAsia" w:ascii="Times New Roman" w:hAnsi="Times New Roman" w:cs="Times New Roman"/>
          <w:szCs w:val="21"/>
        </w:rPr>
        <w:t>）</w:t>
      </w:r>
      <w:r>
        <w:rPr>
          <w:rFonts w:ascii="Times New Roman" w:hAnsi="Times New Roman" w:cs="Times New Roman"/>
          <w:szCs w:val="21"/>
        </w:rPr>
        <w:t>水泵与主机一一对应，水泵的控制策略相对简单，可以根据主机的出力进行控制；b</w:t>
      </w:r>
      <w:r>
        <w:rPr>
          <w:rFonts w:hint="eastAsia" w:ascii="Times New Roman" w:hAnsi="Times New Roman" w:cs="Times New Roman"/>
          <w:szCs w:val="21"/>
        </w:rPr>
        <w:t>）</w:t>
      </w:r>
      <w:r>
        <w:rPr>
          <w:rFonts w:ascii="Times New Roman" w:hAnsi="Times New Roman" w:cs="Times New Roman"/>
          <w:szCs w:val="21"/>
        </w:rPr>
        <w:t>水泵与主机一一对应，</w:t>
      </w:r>
      <w:r>
        <w:rPr>
          <w:rFonts w:hint="eastAsia" w:ascii="Times New Roman" w:hAnsi="Times New Roman" w:cs="Times New Roman"/>
          <w:szCs w:val="21"/>
        </w:rPr>
        <w:t>利用</w:t>
      </w:r>
      <w:r>
        <w:rPr>
          <w:rFonts w:ascii="Times New Roman" w:hAnsi="Times New Roman" w:cs="Times New Roman"/>
          <w:szCs w:val="21"/>
        </w:rPr>
        <w:t>水泵代替阀门进行主机间的水力平衡，可以降低水力失调造成的能量损耗；c</w:t>
      </w:r>
      <w:r>
        <w:rPr>
          <w:rFonts w:hint="eastAsia" w:ascii="Times New Roman" w:hAnsi="Times New Roman" w:cs="Times New Roman"/>
          <w:szCs w:val="21"/>
        </w:rPr>
        <w:t>）</w:t>
      </w:r>
      <w:r>
        <w:rPr>
          <w:rFonts w:ascii="Times New Roman" w:hAnsi="Times New Roman" w:cs="Times New Roman"/>
          <w:szCs w:val="21"/>
        </w:rPr>
        <w:t>一级泵与主机一一对应，一级泵的流量按主机流量选型，扬程按冷热源阻力选型，</w:t>
      </w:r>
      <w:r>
        <w:rPr>
          <w:rFonts w:hint="eastAsia" w:ascii="Times New Roman" w:hAnsi="Times New Roman" w:cs="Times New Roman"/>
          <w:szCs w:val="21"/>
        </w:rPr>
        <w:t>有利于</w:t>
      </w:r>
      <w:r>
        <w:rPr>
          <w:rFonts w:ascii="Times New Roman" w:hAnsi="Times New Roman" w:cs="Times New Roman"/>
          <w:szCs w:val="21"/>
        </w:rPr>
        <w:t>实现冷热源的一体化、装配式、标准化生产。综上所述，推荐采用</w:t>
      </w:r>
      <w:r>
        <w:rPr>
          <w:rFonts w:hint="eastAsia" w:ascii="宋体" w:hAnsi="宋体" w:eastAsia="宋体" w:cs="宋体"/>
          <w:szCs w:val="21"/>
        </w:rPr>
        <w:t>“先串后并”</w:t>
      </w:r>
      <w:r>
        <w:rPr>
          <w:rFonts w:ascii="Times New Roman" w:hAnsi="Times New Roman" w:cs="Times New Roman"/>
          <w:szCs w:val="21"/>
        </w:rPr>
        <w:t>的连接方式。</w:t>
      </w:r>
    </w:p>
    <w:p>
      <w:pPr>
        <w:pStyle w:val="2"/>
        <w:numPr>
          <w:ilvl w:val="0"/>
          <w:numId w:val="0"/>
        </w:numPr>
        <w:overflowPunct w:val="0"/>
        <w:spacing w:before="312" w:after="312"/>
        <w:ind w:left="357" w:hanging="357" w:hangingChars="170"/>
      </w:pPr>
      <w:r>
        <w:t>8</w:t>
      </w:r>
      <w:r>
        <w:rPr>
          <w:rFonts w:hint="eastAsia"/>
        </w:rPr>
        <w:t>　给排水设计</w:t>
      </w:r>
    </w:p>
    <w:p>
      <w:pPr>
        <w:pStyle w:val="3"/>
        <w:numPr>
          <w:ilvl w:val="0"/>
          <w:numId w:val="0"/>
        </w:numPr>
        <w:tabs>
          <w:tab w:val="left" w:pos="0"/>
        </w:tabs>
        <w:overflowPunct w:val="0"/>
        <w:spacing w:before="156" w:beforeLines="50" w:after="156" w:afterLines="50"/>
        <w:rPr>
          <w:rStyle w:val="44"/>
          <w:color w:val="auto"/>
        </w:rPr>
      </w:pPr>
      <w:r>
        <w:rPr>
          <w:rStyle w:val="44"/>
          <w:color w:val="auto"/>
        </w:rPr>
        <w:t>8.1</w:t>
      </w:r>
      <w:r>
        <w:rPr>
          <w:rStyle w:val="44"/>
          <w:rFonts w:hint="eastAsia"/>
          <w:color w:val="auto"/>
        </w:rPr>
        <w:t>　一般规定</w:t>
      </w:r>
    </w:p>
    <w:p>
      <w:pPr>
        <w:tabs>
          <w:tab w:val="left" w:pos="397"/>
        </w:tabs>
        <w:overflowPunct w:val="0"/>
        <w:rPr>
          <w:rFonts w:ascii="黑体" w:hAnsi="黑体" w:eastAsia="黑体" w:cs="黑体"/>
          <w:sz w:val="18"/>
          <w:szCs w:val="18"/>
        </w:rPr>
      </w:pPr>
      <w:r>
        <w:rPr>
          <w:rFonts w:ascii="黑体" w:hAnsi="黑体" w:eastAsia="黑体" w:cs="Times New Roman"/>
        </w:rPr>
        <w:t>8</w:t>
      </w:r>
      <w:r>
        <w:rPr>
          <w:rFonts w:ascii="黑体" w:hAnsi="黑体" w:eastAsia="黑体" w:cs="Times New Roman"/>
          <w:szCs w:val="21"/>
        </w:rPr>
        <w:t>.</w:t>
      </w:r>
      <w:r>
        <w:rPr>
          <w:rFonts w:ascii="黑体" w:hAnsi="黑体" w:eastAsia="黑体" w:cs="Times New Roman"/>
        </w:rPr>
        <w:t>1</w:t>
      </w:r>
      <w:r>
        <w:rPr>
          <w:rFonts w:ascii="黑体" w:hAnsi="黑体" w:eastAsia="黑体" w:cs="Times New Roman"/>
          <w:szCs w:val="21"/>
        </w:rPr>
        <w:t>.</w:t>
      </w:r>
      <w:r>
        <w:rPr>
          <w:rFonts w:ascii="黑体" w:hAnsi="黑体" w:eastAsia="黑体" w:cs="Times New Roman"/>
        </w:rPr>
        <w:t>2</w:t>
      </w:r>
      <w:r>
        <w:rPr>
          <w:rFonts w:hint="eastAsia" w:ascii="黑体" w:hAnsi="黑体" w:eastAsia="黑体" w:cs="Times New Roman"/>
          <w:szCs w:val="21"/>
        </w:rPr>
        <w:t>　</w:t>
      </w:r>
      <w:r>
        <w:rPr>
          <w:rFonts w:hint="eastAsia" w:ascii="Times New Roman" w:hAnsi="Times New Roman" w:cs="Times New Roman"/>
          <w:szCs w:val="21"/>
        </w:rPr>
        <w:t>生活给水系统加压水泵、热水系统和直饮水供应系统的循环水泵均为清水离心泵，是主要的用能设备，应按现行国家标准《清水离心泵能效限定值及节能评价值》GB 19762的有关规定，计算泵规定点效率值、泵能效限定值和节能评价值，这是清水离心泵能效的最大能效要求。</w:t>
      </w:r>
    </w:p>
    <w:p>
      <w:pPr>
        <w:tabs>
          <w:tab w:val="left" w:pos="397"/>
        </w:tabs>
        <w:overflowPunct w:val="0"/>
        <w:rPr>
          <w:rFonts w:ascii="黑体" w:hAnsi="黑体" w:eastAsia="黑体" w:cs="黑体"/>
          <w:sz w:val="18"/>
          <w:szCs w:val="18"/>
        </w:rPr>
      </w:pPr>
      <w:r>
        <w:rPr>
          <w:rFonts w:ascii="黑体" w:hAnsi="黑体" w:eastAsia="黑体" w:cs="Times New Roman"/>
        </w:rPr>
        <w:t>8</w:t>
      </w:r>
      <w:r>
        <w:rPr>
          <w:rFonts w:ascii="黑体" w:hAnsi="黑体" w:eastAsia="黑体" w:cs="Times New Roman"/>
          <w:szCs w:val="21"/>
        </w:rPr>
        <w:t>.</w:t>
      </w:r>
      <w:r>
        <w:rPr>
          <w:rFonts w:ascii="黑体" w:hAnsi="黑体" w:eastAsia="黑体" w:cs="Times New Roman"/>
        </w:rPr>
        <w:t>3</w:t>
      </w:r>
      <w:r>
        <w:rPr>
          <w:rFonts w:ascii="黑体" w:hAnsi="黑体" w:eastAsia="黑体" w:cs="Times New Roman"/>
          <w:szCs w:val="21"/>
        </w:rPr>
        <w:t>.</w:t>
      </w:r>
      <w:r>
        <w:rPr>
          <w:rFonts w:ascii="黑体" w:hAnsi="黑体" w:eastAsia="黑体" w:cs="Times New Roman"/>
        </w:rPr>
        <w:t>5</w:t>
      </w:r>
      <w:r>
        <w:rPr>
          <w:rFonts w:hint="eastAsia" w:ascii="黑体" w:hAnsi="黑体" w:eastAsia="黑体" w:cs="Times New Roman"/>
          <w:szCs w:val="21"/>
        </w:rPr>
        <w:t>　</w:t>
      </w:r>
      <w:r>
        <w:rPr>
          <w:rFonts w:ascii="Times New Roman" w:hAnsi="Times New Roman" w:cs="Times New Roman"/>
          <w:szCs w:val="21"/>
        </w:rPr>
        <w:t>本规范秉承不鼓励电直接供热的原则，除较小规模的系统或其他能源条件受限、可以用峰谷电、电力政策有明确鼓励的条件外，都不得采用市政供电直接加热做集中生活热水系统主体热源。</w:t>
      </w:r>
    </w:p>
    <w:p>
      <w:pPr>
        <w:tabs>
          <w:tab w:val="left" w:pos="397"/>
        </w:tabs>
        <w:overflowPunct w:val="0"/>
        <w:rPr>
          <w:rFonts w:ascii="黑体" w:hAnsi="黑体" w:eastAsia="黑体" w:cs="黑体"/>
          <w:sz w:val="18"/>
          <w:szCs w:val="18"/>
        </w:rPr>
      </w:pPr>
      <w:r>
        <w:rPr>
          <w:rFonts w:ascii="黑体" w:hAnsi="黑体" w:eastAsia="黑体" w:cs="Times New Roman"/>
        </w:rPr>
        <w:t>8</w:t>
      </w:r>
      <w:r>
        <w:rPr>
          <w:rFonts w:ascii="黑体" w:hAnsi="黑体" w:eastAsia="黑体" w:cs="Times New Roman"/>
          <w:szCs w:val="21"/>
        </w:rPr>
        <w:t>.</w:t>
      </w:r>
      <w:r>
        <w:rPr>
          <w:rFonts w:ascii="黑体" w:hAnsi="黑体" w:eastAsia="黑体" w:cs="Times New Roman"/>
        </w:rPr>
        <w:t>3</w:t>
      </w:r>
      <w:r>
        <w:rPr>
          <w:rFonts w:ascii="黑体" w:hAnsi="黑体" w:eastAsia="黑体" w:cs="Times New Roman"/>
          <w:szCs w:val="21"/>
        </w:rPr>
        <w:t>.</w:t>
      </w:r>
      <w:r>
        <w:rPr>
          <w:rFonts w:ascii="黑体" w:hAnsi="黑体" w:eastAsia="黑体" w:cs="Times New Roman"/>
        </w:rPr>
        <w:t>6</w:t>
      </w:r>
      <w:r>
        <w:rPr>
          <w:rFonts w:hint="eastAsia" w:ascii="黑体" w:hAnsi="黑体" w:eastAsia="黑体" w:cs="Times New Roman"/>
          <w:szCs w:val="21"/>
        </w:rPr>
        <w:t>　</w:t>
      </w:r>
      <w:r>
        <w:rPr>
          <w:rFonts w:hint="eastAsia" w:ascii="Times New Roman" w:hAnsi="Times New Roman" w:cs="Times New Roman"/>
          <w:szCs w:val="21"/>
        </w:rPr>
        <w:t>本条的主要目的是对太阳能热水系统能效提出更高要求，以充分利用可再生能源，降低常规能源消耗，促进超低能耗目标实现。集热系统效率是衡量太阳能集热系统将太阳能转化为热能的重要指标，受集热器产品热性能、蓄热容积和系统控制措施等诸多因素影响。如果没有做到优化设计，就会导致不能充分发挥集热器的性能，造成系统效率过低，从而既浪费宝贵的安装空间，又制约系统的预期效益。</w:t>
      </w:r>
    </w:p>
    <w:p>
      <w:pPr>
        <w:pStyle w:val="2"/>
        <w:numPr>
          <w:ilvl w:val="0"/>
          <w:numId w:val="0"/>
        </w:numPr>
        <w:overflowPunct w:val="0"/>
        <w:spacing w:before="312" w:after="312"/>
        <w:ind w:left="357" w:hanging="357" w:hangingChars="170"/>
      </w:pPr>
      <w:r>
        <w:rPr>
          <w:rFonts w:hint="eastAsia"/>
        </w:rPr>
        <w:t>9　电气设计</w:t>
      </w:r>
    </w:p>
    <w:p>
      <w:pPr>
        <w:pStyle w:val="3"/>
        <w:numPr>
          <w:ilvl w:val="0"/>
          <w:numId w:val="0"/>
        </w:numPr>
        <w:tabs>
          <w:tab w:val="left" w:pos="0"/>
        </w:tabs>
        <w:overflowPunct w:val="0"/>
        <w:spacing w:before="156" w:beforeLines="50" w:after="156" w:afterLines="50"/>
        <w:rPr>
          <w:rStyle w:val="44"/>
          <w:color w:val="auto"/>
        </w:rPr>
      </w:pPr>
      <w:r>
        <w:rPr>
          <w:rStyle w:val="44"/>
          <w:color w:val="auto"/>
        </w:rPr>
        <w:t>9.2</w:t>
      </w:r>
      <w:r>
        <w:rPr>
          <w:rStyle w:val="44"/>
          <w:rFonts w:hint="eastAsia"/>
          <w:color w:val="auto"/>
        </w:rPr>
        <w:t>　电气节能设计</w:t>
      </w:r>
    </w:p>
    <w:p>
      <w:pPr>
        <w:tabs>
          <w:tab w:val="left" w:pos="397"/>
        </w:tabs>
        <w:overflowPunct w:val="0"/>
        <w:rPr>
          <w:rFonts w:ascii="Times New Roman" w:hAnsi="Times New Roman" w:cs="Times New Roman"/>
          <w:szCs w:val="21"/>
        </w:rPr>
      </w:pPr>
      <w:r>
        <w:rPr>
          <w:rFonts w:ascii="黑体" w:hAnsi="黑体" w:eastAsia="黑体" w:cs="Times New Roman"/>
        </w:rPr>
        <w:t>9</w:t>
      </w:r>
      <w:r>
        <w:rPr>
          <w:rFonts w:ascii="黑体" w:hAnsi="黑体" w:eastAsia="黑体" w:cs="Times New Roman"/>
          <w:szCs w:val="21"/>
        </w:rPr>
        <w:t>.</w:t>
      </w:r>
      <w:r>
        <w:rPr>
          <w:rFonts w:ascii="黑体" w:hAnsi="黑体" w:eastAsia="黑体" w:cs="Times New Roman"/>
        </w:rPr>
        <w:t>2</w:t>
      </w:r>
      <w:r>
        <w:rPr>
          <w:rFonts w:ascii="黑体" w:hAnsi="黑体" w:eastAsia="黑体" w:cs="Times New Roman"/>
          <w:szCs w:val="21"/>
        </w:rPr>
        <w:t>.</w:t>
      </w:r>
      <w:r>
        <w:rPr>
          <w:rFonts w:ascii="黑体" w:hAnsi="黑体" w:eastAsia="黑体" w:cs="Times New Roman"/>
        </w:rPr>
        <w:t>1</w:t>
      </w:r>
      <w:r>
        <w:rPr>
          <w:rFonts w:hint="eastAsia" w:ascii="黑体" w:hAnsi="黑体" w:eastAsia="黑体" w:cs="Times New Roman"/>
          <w:szCs w:val="21"/>
        </w:rPr>
        <w:t>　</w:t>
      </w:r>
      <w:r>
        <w:rPr>
          <w:rFonts w:hint="eastAsia" w:ascii="Times New Roman" w:hAnsi="Times New Roman" w:cs="Times New Roman"/>
          <w:szCs w:val="21"/>
        </w:rPr>
        <w:t>不但配变电所要靠近负荷中心，各级配电都要尽量减少供电线路的距离。提倡配变电所位于负荷中心是电气设计专业的要求，但建筑设计需要整体考虑，配变电所设置位置也是电气设计与建筑设计协商的结果，本条主要是考虑线缆的电压降不满足规范要求时，需加大线缆截面，浪费材料资源，同时，供电距离越长，线损越大，越不节能。变电所到末端用电点的距离不超过250m为宜。在公共建筑中大功率用电设备，主要指电制冷的冷水机组。</w:t>
      </w:r>
    </w:p>
    <w:p>
      <w:pPr>
        <w:tabs>
          <w:tab w:val="left" w:pos="397"/>
        </w:tabs>
        <w:overflowPunct w:val="0"/>
        <w:rPr>
          <w:rStyle w:val="44"/>
          <w:rFonts w:ascii="宋体" w:hAnsi="宋体" w:eastAsia="宋体"/>
          <w:color w:val="auto"/>
        </w:rPr>
      </w:pPr>
      <w:r>
        <w:rPr>
          <w:rFonts w:ascii="黑体" w:hAnsi="黑体" w:eastAsia="黑体" w:cs="Times New Roman"/>
        </w:rPr>
        <w:t>9</w:t>
      </w:r>
      <w:r>
        <w:rPr>
          <w:rFonts w:ascii="黑体" w:hAnsi="黑体" w:eastAsia="黑体" w:cs="Times New Roman"/>
          <w:szCs w:val="21"/>
        </w:rPr>
        <w:t>.</w:t>
      </w:r>
      <w:r>
        <w:rPr>
          <w:rFonts w:ascii="黑体" w:hAnsi="黑体" w:eastAsia="黑体" w:cs="Times New Roman"/>
        </w:rPr>
        <w:t>2</w:t>
      </w:r>
      <w:r>
        <w:rPr>
          <w:rFonts w:ascii="黑体" w:hAnsi="黑体" w:eastAsia="黑体" w:cs="Times New Roman"/>
          <w:szCs w:val="21"/>
        </w:rPr>
        <w:t>.</w:t>
      </w:r>
      <w:r>
        <w:rPr>
          <w:rFonts w:ascii="黑体" w:hAnsi="黑体" w:eastAsia="黑体" w:cs="Times New Roman"/>
        </w:rPr>
        <w:t>3</w:t>
      </w:r>
      <w:r>
        <w:rPr>
          <w:rFonts w:hint="eastAsia" w:ascii="黑体" w:hAnsi="黑体" w:eastAsia="黑体" w:cs="Times New Roman"/>
          <w:szCs w:val="21"/>
        </w:rPr>
        <w:t>　</w:t>
      </w:r>
      <w:r>
        <w:rPr>
          <w:rFonts w:hint="eastAsia" w:ascii="Times New Roman" w:hAnsi="Times New Roman" w:cs="Times New Roman"/>
          <w:szCs w:val="21"/>
        </w:rPr>
        <w:t>照明功率密度是指单位面积上一般照明的额定功率（包括光源、镇流器或变压器等附属用电器件），是照明节能的重要评价指标，随着近年来高效节能照明光源的发展，本标准对超低能耗建筑的室内照明功率密度提出了更高的要求。此外，在降低照明能耗的同时，应保障视觉健康，照度、照度均匀度等设计应满足现行国家标准的要求。</w:t>
      </w:r>
    </w:p>
    <w:p>
      <w:pPr>
        <w:tabs>
          <w:tab w:val="left" w:pos="397"/>
        </w:tabs>
        <w:overflowPunct w:val="0"/>
        <w:rPr>
          <w:rFonts w:ascii="Times New Roman" w:hAnsi="Times New Roman" w:cs="Times New Roman"/>
          <w:szCs w:val="21"/>
        </w:rPr>
      </w:pPr>
      <w:r>
        <w:rPr>
          <w:rFonts w:ascii="黑体" w:hAnsi="黑体" w:eastAsia="黑体" w:cs="Times New Roman"/>
        </w:rPr>
        <w:t>9</w:t>
      </w:r>
      <w:r>
        <w:rPr>
          <w:rFonts w:ascii="黑体" w:hAnsi="黑体" w:eastAsia="黑体" w:cs="Times New Roman"/>
          <w:szCs w:val="21"/>
        </w:rPr>
        <w:t>.</w:t>
      </w:r>
      <w:r>
        <w:rPr>
          <w:rFonts w:ascii="黑体" w:hAnsi="黑体" w:eastAsia="黑体" w:cs="Times New Roman"/>
        </w:rPr>
        <w:t>2</w:t>
      </w:r>
      <w:r>
        <w:rPr>
          <w:rFonts w:ascii="黑体" w:hAnsi="黑体" w:eastAsia="黑体" w:cs="Times New Roman"/>
          <w:szCs w:val="21"/>
        </w:rPr>
        <w:t>.</w:t>
      </w:r>
      <w:r>
        <w:rPr>
          <w:rFonts w:ascii="黑体" w:hAnsi="黑体" w:eastAsia="黑体" w:cs="Times New Roman"/>
        </w:rPr>
        <w:t>4</w:t>
      </w:r>
      <w:r>
        <w:rPr>
          <w:rFonts w:hint="eastAsia" w:ascii="黑体" w:hAnsi="黑体" w:eastAsia="黑体" w:cs="Times New Roman"/>
          <w:szCs w:val="21"/>
        </w:rPr>
        <w:t>　</w:t>
      </w:r>
      <w:r>
        <w:rPr>
          <w:rFonts w:hint="eastAsia" w:ascii="Times New Roman" w:hAnsi="Times New Roman" w:cs="Times New Roman"/>
          <w:szCs w:val="21"/>
        </w:rPr>
        <w:t>LED照明光源近年来发展迅速，是发光效率最高的照明光源之一，已在绿色建筑、超低能耗建筑中得到广泛应用。在已有照明节能成效的基础上，应进一步推广使用光效更高、寿命更长的LED照明产品，在保障视觉健康和照明质量的前提下实现照明节能。</w:t>
      </w:r>
    </w:p>
    <w:p>
      <w:pPr>
        <w:tabs>
          <w:tab w:val="left" w:pos="397"/>
        </w:tabs>
        <w:overflowPunct w:val="0"/>
        <w:rPr>
          <w:rFonts w:ascii="黑体" w:hAnsi="黑体" w:eastAsia="黑体" w:cs="黑体"/>
          <w:sz w:val="18"/>
          <w:szCs w:val="18"/>
        </w:rPr>
      </w:pPr>
      <w:r>
        <w:rPr>
          <w:rFonts w:ascii="黑体" w:hAnsi="黑体" w:eastAsia="黑体" w:cs="Times New Roman"/>
        </w:rPr>
        <w:t>9</w:t>
      </w:r>
      <w:r>
        <w:rPr>
          <w:rFonts w:ascii="黑体" w:hAnsi="黑体" w:eastAsia="黑体" w:cs="Times New Roman"/>
          <w:szCs w:val="21"/>
        </w:rPr>
        <w:t>.</w:t>
      </w:r>
      <w:r>
        <w:rPr>
          <w:rFonts w:ascii="黑体" w:hAnsi="黑体" w:eastAsia="黑体" w:cs="Times New Roman"/>
        </w:rPr>
        <w:t>2</w:t>
      </w:r>
      <w:r>
        <w:rPr>
          <w:rFonts w:ascii="黑体" w:hAnsi="黑体" w:eastAsia="黑体" w:cs="Times New Roman"/>
          <w:szCs w:val="21"/>
        </w:rPr>
        <w:t>.</w:t>
      </w:r>
      <w:r>
        <w:rPr>
          <w:rFonts w:ascii="黑体" w:hAnsi="黑体" w:eastAsia="黑体" w:cs="Times New Roman"/>
        </w:rPr>
        <w:t>6</w:t>
      </w:r>
      <w:r>
        <w:rPr>
          <w:rFonts w:hint="eastAsia" w:ascii="黑体" w:hAnsi="黑体" w:eastAsia="黑体" w:cs="Times New Roman"/>
          <w:szCs w:val="21"/>
        </w:rPr>
        <w:t>　</w:t>
      </w:r>
      <w:r>
        <w:rPr>
          <w:rFonts w:hint="eastAsia" w:ascii="Times New Roman" w:hAnsi="Times New Roman" w:cs="Times New Roman"/>
          <w:szCs w:val="21"/>
        </w:rPr>
        <w:t>智能照明控制系统的应用，不仅便于集中管理、减少人为浪费，而且可以通过自动调光充分利用自然采光，进一步降低照明能耗。在具有自然采光的区域，照明设计及照明控制应与之结合，根据采光状况和建筑使用条件，对人工照明进行分区、分组控制</w:t>
      </w:r>
      <w:r>
        <w:rPr>
          <w:rFonts w:hint="eastAsia" w:ascii="宋体" w:hAnsi="宋体" w:eastAsia="宋体" w:cs="宋体"/>
          <w:szCs w:val="21"/>
        </w:rPr>
        <w:t>（</w:t>
      </w:r>
      <w:r>
        <w:rPr>
          <w:rFonts w:hint="eastAsia" w:ascii="Times New Roman" w:hAnsi="Times New Roman" w:cs="Times New Roman"/>
          <w:szCs w:val="21"/>
        </w:rPr>
        <w:t>如办公室、教室、会议室等</w:t>
      </w:r>
      <w:r>
        <w:rPr>
          <w:rFonts w:hint="eastAsia" w:ascii="宋体" w:hAnsi="宋体" w:eastAsia="宋体" w:cs="宋体"/>
          <w:szCs w:val="21"/>
        </w:rPr>
        <w:t>）</w:t>
      </w:r>
      <w:r>
        <w:rPr>
          <w:rFonts w:hint="eastAsia" w:ascii="Times New Roman" w:hAnsi="Times New Roman" w:cs="Times New Roman"/>
          <w:szCs w:val="21"/>
        </w:rPr>
        <w:t>，其目的就是在充分利用天然光的同时，也不影响此区域正常使用。走廊、楼梯间、门厅、电梯厅、停车库等场所，无人主动关注照明的开、关，可采用就地感应控制，包括红外、雷达、声波等探测器的自动控制装置，通过自动开关或调光实现节能控制。大型公共建筑的公用照明区域，根据建筑空间形式和空间功能进行分区分组，当空间无人时，通过降低照度，以实现节能。但值得注意的是，对于医院病房楼、中小学校及其宿舍、幼儿园（未成年人使用场所）、老年公寓、旅馆等场所，因病人、儿童、老年人等人员在灯光明暗转换期间易发生踏空等安全事故，因此不宜采用就地感应控制。此外，也可采用集中控制或智能控制系统，促进场所安全及节能。</w:t>
      </w:r>
    </w:p>
    <w:p>
      <w:pPr>
        <w:tabs>
          <w:tab w:val="left" w:pos="397"/>
        </w:tabs>
        <w:overflowPunct w:val="0"/>
        <w:rPr>
          <w:rFonts w:ascii="Times New Roman" w:hAnsi="Times New Roman" w:cs="Times New Roman"/>
          <w:szCs w:val="21"/>
        </w:rPr>
      </w:pPr>
      <w:r>
        <w:rPr>
          <w:rFonts w:ascii="黑体" w:hAnsi="黑体" w:eastAsia="黑体" w:cs="Times New Roman"/>
        </w:rPr>
        <w:t>9</w:t>
      </w:r>
      <w:r>
        <w:rPr>
          <w:rFonts w:ascii="黑体" w:hAnsi="黑体" w:eastAsia="黑体" w:cs="Times New Roman"/>
          <w:szCs w:val="21"/>
        </w:rPr>
        <w:t>.</w:t>
      </w:r>
      <w:r>
        <w:rPr>
          <w:rFonts w:ascii="黑体" w:hAnsi="黑体" w:eastAsia="黑体" w:cs="Times New Roman"/>
        </w:rPr>
        <w:t>2</w:t>
      </w:r>
      <w:r>
        <w:rPr>
          <w:rFonts w:ascii="黑体" w:hAnsi="黑体" w:eastAsia="黑体" w:cs="Times New Roman"/>
          <w:szCs w:val="21"/>
        </w:rPr>
        <w:t>.</w:t>
      </w:r>
      <w:r>
        <w:rPr>
          <w:rFonts w:ascii="黑体" w:hAnsi="黑体" w:eastAsia="黑体" w:cs="Times New Roman"/>
        </w:rPr>
        <w:t>7</w:t>
      </w:r>
      <w:r>
        <w:rPr>
          <w:rFonts w:hint="eastAsia" w:ascii="黑体" w:hAnsi="黑体" w:eastAsia="黑体" w:cs="Times New Roman"/>
          <w:szCs w:val="21"/>
        </w:rPr>
        <w:t>　</w:t>
      </w:r>
      <w:r>
        <w:rPr>
          <w:rFonts w:hint="eastAsia" w:ascii="Times New Roman" w:hAnsi="Times New Roman" w:cs="Times New Roman"/>
          <w:szCs w:val="21"/>
        </w:rPr>
        <w:t>建筑中电梯是重要的用能设备，选择电梯时宜合理确定电梯的载重、运行速度、台数等配置方案和信号控制等管理方案，提高运行效率。当两台及以上电梯集中设置时，应具备群控功能，优化减少轿厢行程。当电梯无外部召唤时，且电梯轿厢内一段时间无预设指令时，应自动关闭轿厢照明及风扇，降低轿厢待机能耗。采用变频调速拖动以及能量回馈装置，可进一步降低电梯能耗。当没有带能量回馈装置的电梯运行在发电状态时，产生的能量一般通过电阻以发热的形式消耗。能量回馈装置将电梯在发电运行阶段产生的电量储存起来，供电梯照明、通风等配套负载使用，从而降低电梯拖动系统能耗。从经济效益上考虑，推荐在楼层较高、梯速较高、电梯使用频次高的建筑中使用具有能量回馈功能的电梯。</w:t>
      </w:r>
    </w:p>
    <w:p>
      <w:pPr>
        <w:pStyle w:val="3"/>
        <w:numPr>
          <w:ilvl w:val="0"/>
          <w:numId w:val="0"/>
        </w:numPr>
        <w:tabs>
          <w:tab w:val="left" w:pos="0"/>
        </w:tabs>
        <w:overflowPunct w:val="0"/>
        <w:spacing w:before="156" w:beforeLines="50" w:after="156" w:afterLines="50"/>
        <w:rPr>
          <w:rStyle w:val="44"/>
          <w:color w:val="auto"/>
        </w:rPr>
      </w:pPr>
      <w:r>
        <w:rPr>
          <w:rStyle w:val="44"/>
          <w:color w:val="auto"/>
        </w:rPr>
        <w:t>9.3</w:t>
      </w:r>
      <w:r>
        <w:rPr>
          <w:rStyle w:val="44"/>
          <w:rFonts w:hint="eastAsia"/>
          <w:color w:val="auto"/>
        </w:rPr>
        <w:t>　太阳能光伏发电系统设计</w:t>
      </w:r>
    </w:p>
    <w:p>
      <w:pPr>
        <w:tabs>
          <w:tab w:val="left" w:pos="397"/>
        </w:tabs>
        <w:overflowPunct w:val="0"/>
        <w:rPr>
          <w:rFonts w:ascii="Times New Roman" w:hAnsi="Times New Roman" w:cs="Times New Roman"/>
          <w:szCs w:val="21"/>
        </w:rPr>
      </w:pPr>
      <w:r>
        <w:rPr>
          <w:rFonts w:ascii="黑体" w:hAnsi="黑体" w:eastAsia="黑体" w:cs="Times New Roman"/>
        </w:rPr>
        <w:t>9</w:t>
      </w:r>
      <w:r>
        <w:rPr>
          <w:rFonts w:ascii="黑体" w:hAnsi="黑体" w:eastAsia="黑体" w:cs="Times New Roman"/>
          <w:szCs w:val="21"/>
        </w:rPr>
        <w:t>.</w:t>
      </w:r>
      <w:r>
        <w:rPr>
          <w:rFonts w:ascii="黑体" w:hAnsi="黑体" w:eastAsia="黑体" w:cs="Times New Roman"/>
        </w:rPr>
        <w:t>3</w:t>
      </w:r>
      <w:r>
        <w:rPr>
          <w:rFonts w:ascii="黑体" w:hAnsi="黑体" w:eastAsia="黑体" w:cs="Times New Roman"/>
          <w:szCs w:val="21"/>
        </w:rPr>
        <w:t>.</w:t>
      </w:r>
      <w:r>
        <w:rPr>
          <w:rFonts w:ascii="黑体" w:hAnsi="黑体" w:eastAsia="黑体" w:cs="Times New Roman"/>
        </w:rPr>
        <w:t>1</w:t>
      </w:r>
      <w:r>
        <w:rPr>
          <w:rFonts w:hint="eastAsia" w:ascii="黑体" w:hAnsi="黑体" w:eastAsia="黑体" w:cs="Times New Roman"/>
          <w:szCs w:val="21"/>
        </w:rPr>
        <w:t>　</w:t>
      </w:r>
      <w:r>
        <w:rPr>
          <w:rFonts w:hint="eastAsia" w:ascii="Times New Roman" w:hAnsi="Times New Roman" w:cs="Times New Roman"/>
          <w:szCs w:val="21"/>
        </w:rPr>
        <w:t>本条提出光伏发电系统的设计要求：</w:t>
      </w:r>
    </w:p>
    <w:p>
      <w:pPr>
        <w:tabs>
          <w:tab w:val="left" w:pos="397"/>
        </w:tabs>
        <w:overflowPunct w:val="0"/>
        <w:ind w:firstLine="420" w:firstLineChars="200"/>
        <w:rPr>
          <w:rFonts w:ascii="宋体" w:hAnsi="宋体" w:eastAsia="宋体" w:cs="宋体"/>
          <w:szCs w:val="21"/>
        </w:rPr>
      </w:pPr>
      <w:r>
        <w:rPr>
          <w:rFonts w:hint="eastAsia" w:ascii="Times New Roman" w:hAnsi="Times New Roman" w:eastAsia="宋体" w:cs="Times New Roman"/>
          <w:szCs w:val="21"/>
          <w:lang w:val="en-US" w:eastAsia="zh-CN"/>
        </w:rPr>
        <w:t>a）</w:t>
      </w:r>
      <w:r>
        <w:rPr>
          <w:rFonts w:ascii="Times New Roman" w:hAnsi="Times New Roman" w:eastAsia="宋体" w:cs="Times New Roman"/>
          <w:szCs w:val="21"/>
        </w:rPr>
        <w:t>.</w:t>
      </w:r>
      <w:r>
        <w:rPr>
          <w:rFonts w:hint="eastAsia" w:ascii="宋体" w:hAnsi="宋体" w:eastAsia="宋体" w:cs="宋体"/>
          <w:szCs w:val="21"/>
        </w:rPr>
        <w:t>太阳能利用与建筑一体化是太阳能应用的发展方向，应合理选择太阳能应用一体化系统类型、色泽、矩阵形式等，在保证光伏效率的前提下，尽可能做到与建筑物的外围护结构从建筑功能、外观形式、建筑风格、立面色调等协调一致，使之成为建筑的有机组成部分。太阳能应用一体化构件作为建筑围护结构时，其传热系数、气密性、太阳得热系数等热工性能应满足相关标准的规定；建筑光伏系统组件安装在建筑透光部位时，应满足建筑物室内采光的最低要求；建筑物之间的距离应符合系统有效吸收太阳辐射的要求，并降低二次辐射对周边环境的影响；系统组件的安装不应影响建筑通风换气的要求。</w:t>
      </w:r>
    </w:p>
    <w:p>
      <w:pPr>
        <w:tabs>
          <w:tab w:val="left" w:pos="397"/>
        </w:tabs>
        <w:overflowPunct w:val="0"/>
        <w:ind w:firstLine="420" w:firstLineChars="200"/>
        <w:rPr>
          <w:rFonts w:ascii="宋体" w:hAnsi="宋体" w:eastAsia="宋体" w:cs="宋体"/>
          <w:szCs w:val="21"/>
        </w:rPr>
      </w:pPr>
      <w:r>
        <w:rPr>
          <w:rFonts w:hint="eastAsia" w:ascii="Times New Roman" w:hAnsi="Times New Roman" w:eastAsia="宋体" w:cs="Times New Roman"/>
          <w:szCs w:val="21"/>
          <w:lang w:val="en-US" w:eastAsia="zh-CN"/>
        </w:rPr>
        <w:t>b）</w:t>
      </w:r>
      <w:r>
        <w:rPr>
          <w:rFonts w:ascii="Times New Roman" w:hAnsi="Times New Roman" w:eastAsia="宋体" w:cs="Times New Roman"/>
          <w:szCs w:val="21"/>
        </w:rPr>
        <w:t>.</w:t>
      </w:r>
      <w:r>
        <w:rPr>
          <w:rFonts w:hint="eastAsia" w:ascii="宋体" w:hAnsi="宋体" w:eastAsia="宋体" w:cs="宋体"/>
          <w:szCs w:val="21"/>
        </w:rPr>
        <w:t>从切实利用可再生能源电力，同时减少对外部电网冲击的角度，超低能耗建筑更鼓励自发自用，灵活利用柔性控制，充分消纳建筑光伏发电系统的电力。而从供电稳定性的角度，并网光伏系统可以确保建筑供电的稳定性。</w:t>
      </w:r>
    </w:p>
    <w:p>
      <w:pPr>
        <w:tabs>
          <w:tab w:val="left" w:pos="397"/>
        </w:tabs>
        <w:overflowPunct w:val="0"/>
        <w:ind w:firstLine="420" w:firstLineChars="200"/>
        <w:rPr>
          <w:rFonts w:ascii="宋体" w:hAnsi="宋体" w:eastAsia="宋体" w:cs="宋体"/>
          <w:szCs w:val="21"/>
        </w:rPr>
      </w:pPr>
      <w:r>
        <w:rPr>
          <w:rFonts w:hint="eastAsia" w:ascii="Times New Roman" w:hAnsi="Times New Roman" w:eastAsia="宋体" w:cs="Times New Roman"/>
          <w:szCs w:val="21"/>
          <w:lang w:val="en-US" w:eastAsia="zh-CN"/>
        </w:rPr>
        <w:t>c）</w:t>
      </w:r>
      <w:r>
        <w:rPr>
          <w:rFonts w:ascii="Times New Roman" w:hAnsi="Times New Roman" w:eastAsia="宋体" w:cs="Times New Roman"/>
          <w:szCs w:val="21"/>
        </w:rPr>
        <w:t>.</w:t>
      </w:r>
      <w:r>
        <w:rPr>
          <w:rFonts w:hint="eastAsia" w:ascii="宋体" w:hAnsi="宋体" w:eastAsia="宋体" w:cs="宋体"/>
          <w:szCs w:val="21"/>
        </w:rPr>
        <w:t>光伏安装面积在湖北省现有政策的基础上略有提升。</w:t>
      </w:r>
    </w:p>
    <w:p>
      <w:pPr>
        <w:tabs>
          <w:tab w:val="left" w:pos="397"/>
        </w:tabs>
        <w:overflowPunct w:val="0"/>
        <w:ind w:firstLine="420" w:firstLineChars="200"/>
        <w:rPr>
          <w:rFonts w:ascii="黑体" w:hAnsi="黑体" w:eastAsia="黑体" w:cs="Times New Roman"/>
          <w:szCs w:val="21"/>
        </w:rPr>
      </w:pPr>
      <w:r>
        <w:rPr>
          <w:rFonts w:hint="eastAsia" w:ascii="Times New Roman" w:hAnsi="Times New Roman" w:eastAsia="宋体" w:cs="Times New Roman"/>
          <w:szCs w:val="21"/>
          <w:lang w:val="en-US" w:eastAsia="zh-CN"/>
        </w:rPr>
        <w:t>d）</w:t>
      </w:r>
      <w:r>
        <w:rPr>
          <w:rFonts w:ascii="Times New Roman" w:hAnsi="Times New Roman" w:eastAsia="宋体" w:cs="Times New Roman"/>
          <w:szCs w:val="21"/>
        </w:rPr>
        <w:t>.</w:t>
      </w:r>
      <w:r>
        <w:rPr>
          <w:rFonts w:hint="eastAsia" w:ascii="宋体" w:hAnsi="宋体" w:eastAsia="宋体" w:cs="宋体"/>
          <w:szCs w:val="21"/>
        </w:rPr>
        <w:t>光伏组件初始发电效率来源于《光伏制造行业规范条件》（2021年本）。</w:t>
      </w:r>
    </w:p>
    <w:p>
      <w:pPr>
        <w:tabs>
          <w:tab w:val="left" w:pos="397"/>
        </w:tabs>
        <w:overflowPunct w:val="0"/>
        <w:rPr>
          <w:rFonts w:ascii="Times New Roman" w:hAnsi="Times New Roman" w:cs="Times New Roman"/>
          <w:szCs w:val="21"/>
        </w:rPr>
      </w:pPr>
      <w:r>
        <w:rPr>
          <w:rFonts w:ascii="黑体" w:hAnsi="黑体" w:eastAsia="黑体" w:cs="Times New Roman"/>
        </w:rPr>
        <w:t>9</w:t>
      </w:r>
      <w:r>
        <w:rPr>
          <w:rFonts w:ascii="黑体" w:hAnsi="黑体" w:eastAsia="黑体" w:cs="Times New Roman"/>
          <w:szCs w:val="21"/>
        </w:rPr>
        <w:t>.</w:t>
      </w:r>
      <w:r>
        <w:rPr>
          <w:rFonts w:ascii="黑体" w:hAnsi="黑体" w:eastAsia="黑体" w:cs="Times New Roman"/>
        </w:rPr>
        <w:t>3</w:t>
      </w:r>
      <w:r>
        <w:rPr>
          <w:rFonts w:ascii="黑体" w:hAnsi="黑体" w:eastAsia="黑体" w:cs="Times New Roman"/>
          <w:szCs w:val="21"/>
        </w:rPr>
        <w:t>.</w:t>
      </w:r>
      <w:r>
        <w:rPr>
          <w:rFonts w:ascii="黑体" w:hAnsi="黑体" w:eastAsia="黑体" w:cs="Times New Roman"/>
        </w:rPr>
        <w:t>3</w:t>
      </w:r>
      <w:r>
        <w:rPr>
          <w:rFonts w:hint="eastAsia" w:ascii="黑体" w:hAnsi="黑体" w:eastAsia="黑体" w:cs="Times New Roman"/>
          <w:szCs w:val="21"/>
        </w:rPr>
        <w:t>　</w:t>
      </w:r>
      <w:r>
        <w:rPr>
          <w:rFonts w:hint="eastAsia" w:ascii="Times New Roman" w:hAnsi="Times New Roman" w:cs="Times New Roman"/>
          <w:szCs w:val="21"/>
        </w:rPr>
        <w:t>按照《建筑节能与可再生能源利用通用规范》GB 55015-2021的要求，采用太阳能系统时，应对室外温度和太阳总辐照量等参数进行监测。</w:t>
      </w:r>
    </w:p>
    <w:p>
      <w:pPr>
        <w:pStyle w:val="3"/>
        <w:numPr>
          <w:ilvl w:val="0"/>
          <w:numId w:val="0"/>
        </w:numPr>
        <w:tabs>
          <w:tab w:val="left" w:pos="0"/>
        </w:tabs>
        <w:overflowPunct w:val="0"/>
        <w:spacing w:before="156" w:beforeLines="50" w:after="156" w:afterLines="50"/>
        <w:rPr>
          <w:rStyle w:val="44"/>
          <w:color w:val="auto"/>
        </w:rPr>
      </w:pPr>
      <w:r>
        <w:rPr>
          <w:rStyle w:val="44"/>
          <w:color w:val="auto"/>
        </w:rPr>
        <w:t>9.4</w:t>
      </w:r>
      <w:r>
        <w:rPr>
          <w:rStyle w:val="44"/>
          <w:rFonts w:hint="eastAsia"/>
          <w:color w:val="auto"/>
        </w:rPr>
        <w:t>　建筑能源与环境管理系统设计</w:t>
      </w:r>
    </w:p>
    <w:p>
      <w:pPr>
        <w:overflowPunct w:val="0"/>
        <w:rPr>
          <w:rFonts w:ascii="黑体" w:hAnsi="黑体" w:eastAsia="黑体" w:cs="黑体"/>
          <w:sz w:val="18"/>
          <w:szCs w:val="18"/>
        </w:rPr>
      </w:pPr>
      <w:r>
        <w:rPr>
          <w:rFonts w:ascii="黑体" w:hAnsi="黑体" w:eastAsia="黑体" w:cs="Times New Roman"/>
        </w:rPr>
        <w:t>9</w:t>
      </w:r>
      <w:r>
        <w:rPr>
          <w:rFonts w:ascii="黑体" w:hAnsi="黑体" w:eastAsia="黑体" w:cs="Times New Roman"/>
          <w:szCs w:val="21"/>
        </w:rPr>
        <w:t>.</w:t>
      </w:r>
      <w:r>
        <w:rPr>
          <w:rFonts w:ascii="黑体" w:hAnsi="黑体" w:eastAsia="黑体" w:cs="Times New Roman"/>
        </w:rPr>
        <w:t>4</w:t>
      </w:r>
      <w:r>
        <w:rPr>
          <w:rFonts w:ascii="黑体" w:hAnsi="黑体" w:eastAsia="黑体" w:cs="Times New Roman"/>
          <w:szCs w:val="21"/>
        </w:rPr>
        <w:t>.</w:t>
      </w:r>
      <w:r>
        <w:rPr>
          <w:rFonts w:ascii="黑体" w:hAnsi="黑体" w:eastAsia="黑体" w:cs="Times New Roman"/>
        </w:rPr>
        <w:t>1</w:t>
      </w:r>
      <w:r>
        <w:rPr>
          <w:rFonts w:hint="eastAsia" w:ascii="黑体" w:hAnsi="黑体" w:eastAsia="黑体" w:cs="Times New Roman"/>
          <w:szCs w:val="21"/>
        </w:rPr>
        <w:t>　</w:t>
      </w:r>
      <w:r>
        <w:rPr>
          <w:rFonts w:hint="eastAsia" w:ascii="Times New Roman" w:hAnsi="Times New Roman" w:cs="Times New Roman"/>
          <w:szCs w:val="21"/>
        </w:rPr>
        <w:t>本条的主要目的是支撑建筑智能化系统对发电、储电、用电系统柔性调节与不同区域或用户的用冷、用热、用电量计量功能的实现。对于不同类型的建筑，核算单元不尽相同，对于公共建筑可以是整栋建筑，也可以是不同功能划分的区域，也可以根据使用主体进行划分。多能互补系统在保证用户需求的基础上，优先采用可再生能源，并以常规能源作为补充，突破采用单一能源类型的局限性，可提高系统可再生能源利用效率。</w:t>
      </w:r>
    </w:p>
    <w:p>
      <w:pPr>
        <w:overflowPunct w:val="0"/>
        <w:rPr>
          <w:rFonts w:ascii="黑体" w:hAnsi="黑体" w:eastAsia="黑体" w:cs="黑体"/>
          <w:sz w:val="18"/>
          <w:szCs w:val="18"/>
        </w:rPr>
      </w:pPr>
      <w:r>
        <w:rPr>
          <w:rFonts w:ascii="黑体" w:hAnsi="黑体" w:eastAsia="黑体" w:cs="Times New Roman"/>
        </w:rPr>
        <w:t>9</w:t>
      </w:r>
      <w:r>
        <w:rPr>
          <w:rFonts w:ascii="黑体" w:hAnsi="黑体" w:eastAsia="黑体" w:cs="Times New Roman"/>
          <w:szCs w:val="21"/>
        </w:rPr>
        <w:t>.</w:t>
      </w:r>
      <w:r>
        <w:rPr>
          <w:rFonts w:ascii="黑体" w:hAnsi="黑体" w:eastAsia="黑体" w:cs="Times New Roman"/>
        </w:rPr>
        <w:t>4</w:t>
      </w:r>
      <w:r>
        <w:rPr>
          <w:rFonts w:ascii="黑体" w:hAnsi="黑体" w:eastAsia="黑体" w:cs="Times New Roman"/>
          <w:szCs w:val="21"/>
        </w:rPr>
        <w:t>.</w:t>
      </w:r>
      <w:r>
        <w:rPr>
          <w:rFonts w:ascii="黑体" w:hAnsi="黑体" w:eastAsia="黑体" w:cs="Times New Roman"/>
        </w:rPr>
        <w:t>3</w:t>
      </w:r>
      <w:r>
        <w:rPr>
          <w:rFonts w:hint="eastAsia" w:ascii="黑体" w:hAnsi="黑体" w:eastAsia="黑体" w:cs="Times New Roman"/>
          <w:szCs w:val="21"/>
        </w:rPr>
        <w:t>　</w:t>
      </w:r>
      <w:r>
        <w:rPr>
          <w:rFonts w:ascii="Times New Roman" w:hAnsi="Times New Roman" w:cs="Times New Roman"/>
          <w:szCs w:val="21"/>
        </w:rPr>
        <w:t>2021年9月8日，住房和城乡建设部发布国家标准《建筑节能与可再生能源利用通用规范》的公告，批准该规范为国家标准，对新建建筑做出碳排放要求并强制执行。为分析建筑运行阶段的碳排放水平，分类分项碳排放量，各系统和设备运行碳排放是否合理，及时发现运行问题并提出改进措施，以实现建筑节能降碳目标，设计阶段做好碳排放管理系统的规划，对碳排放管理系统的各项功能提出要求，为建筑运行碳排放的跟踪、信息的披露提供基础。</w:t>
      </w:r>
    </w:p>
    <w:p>
      <w:pPr>
        <w:pStyle w:val="56"/>
        <w:overflowPunct w:val="0"/>
        <w:autoSpaceDE/>
        <w:autoSpaceDN/>
        <w:ind w:firstLine="0" w:firstLineChars="0"/>
        <w:rPr>
          <w:rFonts w:hAnsi="宋体"/>
        </w:rPr>
      </w:pPr>
    </w:p>
    <w:p>
      <w:pPr>
        <w:pStyle w:val="56"/>
        <w:overflowPunct w:val="0"/>
        <w:autoSpaceDE/>
        <w:autoSpaceDN/>
        <w:ind w:firstLine="0" w:firstLineChars="0"/>
        <w:rPr>
          <w:rFonts w:hAnsi="宋体"/>
        </w:rPr>
      </w:pPr>
    </w:p>
    <w:p>
      <w:pPr>
        <w:pStyle w:val="56"/>
        <w:overflowPunct w:val="0"/>
        <w:autoSpaceDE/>
        <w:autoSpaceDN/>
        <w:ind w:firstLine="0" w:firstLineChars="0"/>
        <w:rPr>
          <w:rFonts w:hAnsi="宋体"/>
        </w:rPr>
      </w:pPr>
    </w:p>
    <w:p>
      <w:pPr>
        <w:pStyle w:val="56"/>
        <w:ind w:firstLine="0" w:firstLineChars="0"/>
        <w:jc w:val="center"/>
      </w:pPr>
      <w:bookmarkStart w:id="72" w:name="BookMark8"/>
      <w:r>
        <w:drawing>
          <wp:inline distT="0" distB="0" distL="0" distR="0">
            <wp:extent cx="1485900" cy="317500"/>
            <wp:effectExtent l="0" t="0" r="0" b="6350"/>
            <wp:docPr id="223" name="图片 223"/>
            <wp:cNvGraphicFramePr/>
            <a:graphic xmlns:a="http://schemas.openxmlformats.org/drawingml/2006/main">
              <a:graphicData uri="http://schemas.openxmlformats.org/drawingml/2006/picture">
                <pic:pic xmlns:pic="http://schemas.openxmlformats.org/drawingml/2006/picture">
                  <pic:nvPicPr>
                    <pic:cNvPr id="223" name="图片 223"/>
                    <pic:cNvPicPr/>
                  </pic:nvPicPr>
                  <pic:blipFill>
                    <a:blip r:embed="rId26" cstate="print">
                      <a:extLst>
                        <a:ext uri="{28A0092B-C50C-407E-A947-70E740481C1C}">
                          <a14:useLocalDpi xmlns:a14="http://schemas.microsoft.com/office/drawing/2010/main" val="false"/>
                        </a:ext>
                      </a:extLst>
                    </a:blip>
                    <a:stretch>
                      <a:fillRect/>
                    </a:stretch>
                  </pic:blipFill>
                  <pic:spPr>
                    <a:xfrm>
                      <a:off x="0" y="0"/>
                      <a:ext cx="1485900" cy="317500"/>
                    </a:xfrm>
                    <a:prstGeom prst="rect">
                      <a:avLst/>
                    </a:prstGeom>
                  </pic:spPr>
                </pic:pic>
              </a:graphicData>
            </a:graphic>
          </wp:inline>
        </w:drawing>
      </w:r>
      <w:bookmarkEnd w:id="72"/>
    </w:p>
    <w:p>
      <w:pPr>
        <w:pStyle w:val="56"/>
        <w:overflowPunct w:val="0"/>
        <w:autoSpaceDE/>
        <w:autoSpaceDN/>
        <w:ind w:firstLine="0" w:firstLineChars="0"/>
        <w:rPr>
          <w:rFonts w:hAnsi="宋体"/>
          <w:szCs w:val="21"/>
        </w:rPr>
      </w:pPr>
    </w:p>
    <w:p>
      <w:pPr>
        <w:jc w:val="center"/>
        <w:rPr>
          <w:rFonts w:hint="eastAsia" w:ascii="黑体" w:hAnsi="黑体" w:eastAsia="黑体" w:cs="黑体"/>
          <w:sz w:val="18"/>
          <w:szCs w:val="18"/>
        </w:rPr>
      </w:pPr>
    </w:p>
    <w:sectPr>
      <w:footerReference r:id="rId12" w:type="default"/>
      <w:pgSz w:w="11906" w:h="16838"/>
      <w:pgMar w:top="2410" w:right="1134" w:bottom="1134" w:left="1134" w:header="1418" w:footer="964" w:gutter="284"/>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
    <w:panose1 w:val="02010609060101010101"/>
    <w:charset w:val="86"/>
    <w:family w:val="modern"/>
    <w:pitch w:val="default"/>
    <w:sig w:usb0="800002BF" w:usb1="38CF7CFA" w:usb2="00000016" w:usb3="00000000" w:csb0="00040001" w:csb1="00000000"/>
  </w:font>
  <w:font w:name="Cambria">
    <w:altName w:val="Noto Sans Syriac Eastern"/>
    <w:panose1 w:val="02040503050406030204"/>
    <w:charset w:val="00"/>
    <w:family w:val="roman"/>
    <w:pitch w:val="default"/>
    <w:sig w:usb0="00000000" w:usb1="00000000" w:usb2="00000000" w:usb3="00000000" w:csb0="2000019F" w:csb1="00000000"/>
  </w:font>
  <w:font w:name="Cambria Math">
    <w:altName w:val="DejaVu Math TeX Gyre"/>
    <w:panose1 w:val="02040503050406030204"/>
    <w:charset w:val="00"/>
    <w:family w:val="roman"/>
    <w:pitch w:val="default"/>
    <w:sig w:usb0="00000000" w:usb1="00000000" w:usb2="00000000" w:usb3="00000000" w:csb0="2000019F" w:csb1="00000000"/>
  </w:font>
  <w:font w:name="楷体">
    <w:altName w:val="方正楷体_GBK"/>
    <w:panose1 w:val="02010609060101010101"/>
    <w:charset w:val="86"/>
    <w:family w:val="modern"/>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oto Sans CJK JP Bold">
    <w:panose1 w:val="020B0800000000000000"/>
    <w:charset w:val="86"/>
    <w:family w:val="auto"/>
    <w:pitch w:val="default"/>
    <w:sig w:usb0="30000003" w:usb1="2BDF3C10" w:usb2="00000016" w:usb3="00000000" w:csb0="602E0107" w:csb1="00000000"/>
  </w:font>
  <w:font w:name="DejaVu Math TeX Gyre">
    <w:panose1 w:val="02000503000000000000"/>
    <w:charset w:val="00"/>
    <w:family w:val="auto"/>
    <w:pitch w:val="default"/>
    <w:sig w:usb0="A10000EF" w:usb1="4201F9EE" w:usb2="02000000" w:usb3="00000000" w:csb0="60000193" w:csb1="0DD4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210"/>
      <w:jc w:val="center"/>
      <w:rPr>
        <w:rStyle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2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43671911"/>
    </w:sdtPr>
    <w:sdtContent>
      <w:p>
        <w:pPr>
          <w:pStyle w:val="9"/>
          <w:jc w:val="right"/>
        </w:pPr>
        <w:r>
          <w:fldChar w:fldCharType="begin"/>
        </w:r>
        <w:r>
          <w:instrText xml:space="preserve">PAGE   \* MERGEFORMAT</w:instrText>
        </w:r>
        <w:r>
          <w:fldChar w:fldCharType="separate"/>
        </w:r>
        <w:r>
          <w:rPr>
            <w:lang w:val="zh-CN"/>
          </w:rPr>
          <w:t>III</w:t>
        </w:r>
        <w:r>
          <w:fldChar w:fldCharType="end"/>
        </w:r>
      </w:p>
    </w:sdtContent>
  </w:sdt>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87425654"/>
    </w:sdtPr>
    <w:sdtContent>
      <w:p>
        <w:pPr>
          <w:pStyle w:val="9"/>
        </w:pPr>
        <w:r>
          <w:rPr>
            <w:rFonts w:asciiTheme="minorEastAsia" w:hAnsiTheme="minorEastAsia"/>
          </w:rPr>
          <w:fldChar w:fldCharType="begin"/>
        </w:r>
        <w:r>
          <w:rPr>
            <w:rFonts w:asciiTheme="minorEastAsia" w:hAnsiTheme="minorEastAsia"/>
          </w:rPr>
          <w:instrText xml:space="preserve">PAGE   \* MERGEFORMAT</w:instrText>
        </w:r>
        <w:r>
          <w:rPr>
            <w:rFonts w:asciiTheme="minorEastAsia" w:hAnsiTheme="minorEastAsia"/>
          </w:rPr>
          <w:fldChar w:fldCharType="separate"/>
        </w:r>
        <w:r>
          <w:rPr>
            <w:rFonts w:asciiTheme="minorEastAsia" w:hAnsiTheme="minorEastAsia"/>
            <w:lang w:val="zh-CN"/>
          </w:rPr>
          <w:t>14</w:t>
        </w:r>
        <w:r>
          <w:rPr>
            <w:rFonts w:asciiTheme="minorEastAsia" w:hAnsiTheme="minorEastAsia"/>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3666369"/>
    </w:sdtPr>
    <w:sdtEndPr>
      <w:rPr>
        <w:rFonts w:cs="Times New Roman" w:asciiTheme="minorEastAsia" w:hAnsiTheme="minorEastAsia"/>
      </w:rPr>
    </w:sdtEndPr>
    <w:sdtContent>
      <w:p>
        <w:pPr>
          <w:pStyle w:val="9"/>
          <w:jc w:val="right"/>
          <w:rPr>
            <w:rFonts w:cs="Times New Roman" w:asciiTheme="minorEastAsia" w:hAnsiTheme="minorEastAsia"/>
          </w:rPr>
        </w:pPr>
        <w:r>
          <w:rPr>
            <w:rFonts w:cs="Times New Roman" w:asciiTheme="minorEastAsia" w:hAnsiTheme="minorEastAsia"/>
          </w:rPr>
          <w:fldChar w:fldCharType="begin"/>
        </w:r>
        <w:r>
          <w:rPr>
            <w:rFonts w:cs="Times New Roman" w:asciiTheme="minorEastAsia" w:hAnsiTheme="minorEastAsia"/>
          </w:rPr>
          <w:instrText xml:space="preserve">PAGE   \* MERGEFORMAT</w:instrText>
        </w:r>
        <w:r>
          <w:rPr>
            <w:rFonts w:cs="Times New Roman" w:asciiTheme="minorEastAsia" w:hAnsiTheme="minorEastAsia"/>
          </w:rPr>
          <w:fldChar w:fldCharType="separate"/>
        </w:r>
        <w:r>
          <w:rPr>
            <w:rFonts w:cs="Times New Roman" w:asciiTheme="minorEastAsia" w:hAnsiTheme="minorEastAsia"/>
            <w:lang w:val="zh-CN"/>
          </w:rPr>
          <w:t>15</w:t>
        </w:r>
        <w:r>
          <w:rPr>
            <w:rFonts w:cs="Times New Roman" w:asciiTheme="minorEastAsia" w:hAnsiTheme="minorEastAsia"/>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tabs>
        <w:tab w:val="left" w:pos="7697"/>
        <w:tab w:val="right" w:pos="9159"/>
      </w:tabs>
      <w:jc w:val="right"/>
    </w:pP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宋体" w:hAnsi="宋体"/>
        <w:sz w:val="20"/>
        <w:szCs w:val="20"/>
      </w:rPr>
    </w:pPr>
    <w:r>
      <w:rPr>
        <w:rFonts w:hint="eastAsia"/>
        <w:sz w:val="20"/>
        <w:szCs w:val="20"/>
      </w:rPr>
      <w:t>IC</w:t>
    </w:r>
    <w:r>
      <w:rPr>
        <w:rFonts w:hint="eastAsia" w:ascii="宋体" w:hAnsi="宋体"/>
        <w:sz w:val="20"/>
        <w:szCs w:val="20"/>
      </w:rPr>
      <w:t>S91.040.30</w:t>
    </w:r>
  </w:p>
  <w:p>
    <w:pPr>
      <w:pStyle w:val="39"/>
      <w:rPr>
        <w:rFonts w:ascii="宋体" w:hAnsi="宋体"/>
        <w:sz w:val="20"/>
        <w:szCs w:val="20"/>
      </w:rPr>
    </w:pPr>
    <w:r>
      <w:rPr>
        <w:rFonts w:hint="eastAsia" w:ascii="宋体" w:hAnsi="宋体"/>
        <w:sz w:val="20"/>
        <w:szCs w:val="20"/>
      </w:rPr>
      <w:t>P33</w:t>
    </w:r>
  </w:p>
  <w:p>
    <w:pPr>
      <w:pStyle w:val="10"/>
      <w:pBdr>
        <w:bottom w:val="none" w:color="auto" w:sz="0" w:space="1"/>
      </w:pBdr>
      <w:tabs>
        <w:tab w:val="left" w:pos="1386"/>
        <w:tab w:val="center" w:pos="10227"/>
      </w:tabs>
      <w:jc w:val="left"/>
    </w:pPr>
    <w:r>
      <w:rPr>
        <w:rFonts w:hint="eastAsia" w:ascii="宋体" w:hAnsi="宋体" w:cs="宋体"/>
      </w:rPr>
      <w:t xml:space="preserve">备案号：　　　　　　　　　　　　　　　　　　　　　　　　　　　　　　　　　　　　　　　　　 </w:t>
    </w:r>
    <w:r>
      <w:rPr>
        <w:rFonts w:hint="eastAsia"/>
      </w:rPr>
      <w:tab/>
    </w:r>
    <w:r>
      <w:rPr>
        <w:rFonts w:hint="eastAsia"/>
      </w:rPr>
      <w:tab/>
    </w:r>
    <w:r>
      <w:rPr>
        <w:rFonts w:hint="eastAsia"/>
      </w:rPr>
      <w:tab/>
    </w:r>
    <w:r>
      <w:rPr>
        <w:rFonts w:hint="eastAsia"/>
      </w:rPr>
      <w:t>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spacing w:after="0"/>
    </w:pPr>
    <w:r>
      <w:t>DB 42/T ××××—202×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jc w:val="left"/>
    </w:pPr>
    <w:r>
      <w:rPr>
        <w:rFonts w:ascii="黑体" w:hAnsi="宋体" w:eastAsia="黑体"/>
        <w:sz w:val="21"/>
        <w:szCs w:val="20"/>
      </w:rPr>
      <w:t>DB 42/T ××××—202×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40B430"/>
    <w:multiLevelType w:val="singleLevel"/>
    <w:tmpl w:val="9340B430"/>
    <w:lvl w:ilvl="0" w:tentative="0">
      <w:start w:val="2"/>
      <w:numFmt w:val="decimal"/>
      <w:suff w:val="nothing"/>
      <w:lvlText w:val="%1　"/>
      <w:lvlJc w:val="left"/>
    </w:lvl>
  </w:abstractNum>
  <w:abstractNum w:abstractNumId="1">
    <w:nsid w:val="319A2B66"/>
    <w:multiLevelType w:val="multilevel"/>
    <w:tmpl w:val="319A2B66"/>
    <w:lvl w:ilvl="0" w:tentative="0">
      <w:start w:val="1"/>
      <w:numFmt w:val="decimal"/>
      <w:pStyle w:val="3"/>
      <w:lvlText w:val="4.%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F711A09"/>
    <w:multiLevelType w:val="singleLevel"/>
    <w:tmpl w:val="3F711A09"/>
    <w:lvl w:ilvl="0" w:tentative="0">
      <w:start w:val="3"/>
      <w:numFmt w:val="decimal"/>
      <w:suff w:val="nothing"/>
      <w:lvlText w:val="%1　"/>
      <w:lvlJc w:val="left"/>
    </w:lvl>
  </w:abstractNum>
  <w:abstractNum w:abstractNumId="3">
    <w:nsid w:val="44C50F90"/>
    <w:multiLevelType w:val="multilevel"/>
    <w:tmpl w:val="44C50F90"/>
    <w:lvl w:ilvl="0" w:tentative="0">
      <w:start w:val="1"/>
      <w:numFmt w:val="lowerLetter"/>
      <w:pStyle w:val="57"/>
      <w:lvlText w:val="%1)"/>
      <w:lvlJc w:val="left"/>
      <w:pPr>
        <w:tabs>
          <w:tab w:val="left" w:pos="852"/>
        </w:tabs>
        <w:ind w:left="852" w:hanging="426"/>
      </w:pPr>
      <w:rPr>
        <w:rFonts w:hint="eastAsia" w:ascii="宋体" w:hAnsi="Times New Roman" w:eastAsia="宋体"/>
        <w:b w:val="0"/>
        <w:sz w:val="21"/>
        <w:szCs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4">
    <w:nsid w:val="6CEA2025"/>
    <w:multiLevelType w:val="multilevel"/>
    <w:tmpl w:val="6CEA2025"/>
    <w:lvl w:ilvl="0" w:tentative="0">
      <w:start w:val="1"/>
      <w:numFmt w:val="none"/>
      <w:suff w:val="nothing"/>
      <w:lvlText w:val="%1"/>
      <w:lvlJc w:val="left"/>
      <w:pPr>
        <w:ind w:left="0" w:firstLine="0"/>
      </w:pPr>
      <w:rPr>
        <w:rFonts w:hint="eastAsia"/>
      </w:rPr>
    </w:lvl>
    <w:lvl w:ilvl="1" w:tentative="0">
      <w:start w:val="1"/>
      <w:numFmt w:val="decimal"/>
      <w:suff w:val="nothing"/>
      <w:lvlText w:val="%1%2　"/>
      <w:lvlJc w:val="left"/>
      <w:pPr>
        <w:ind w:left="0" w:firstLine="0"/>
      </w:pPr>
      <w:rPr>
        <w:rFonts w:hint="eastAsia" w:ascii="黑体" w:eastAsia="黑体"/>
        <w:b w:val="0"/>
        <w:i w:val="0"/>
        <w:sz w:val="21"/>
      </w:rPr>
    </w:lvl>
    <w:lvl w:ilvl="2" w:tentative="0">
      <w:start w:val="1"/>
      <w:numFmt w:val="decimal"/>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pStyle w:val="55"/>
      <w:suff w:val="nothing"/>
      <w:lvlText w:val="%1%2.%3.%4　"/>
      <w:lvlJc w:val="left"/>
      <w:pPr>
        <w:ind w:left="567"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5">
    <w:nsid w:val="7E542398"/>
    <w:multiLevelType w:val="multilevel"/>
    <w:tmpl w:val="7E542398"/>
    <w:lvl w:ilvl="0" w:tentative="0">
      <w:start w:val="1"/>
      <w:numFmt w:val="decimal"/>
      <w:pStyle w:val="2"/>
      <w:suff w:val="nothing"/>
      <w:lvlText w:val="%1"/>
      <w:lvlJc w:val="left"/>
      <w:pPr>
        <w:ind w:left="360" w:hanging="360"/>
      </w:pPr>
      <w:rPr>
        <w:rFonts w:hint="default"/>
      </w:rPr>
    </w:lvl>
    <w:lvl w:ilvl="1" w:tentative="0">
      <w:start w:val="2"/>
      <w:numFmt w:val="decimal"/>
      <w:isLgl/>
      <w:lvlText w:val="%1.%2"/>
      <w:lvlJc w:val="left"/>
      <w:pPr>
        <w:ind w:left="360" w:hanging="36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080" w:hanging="108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440" w:hanging="1440"/>
      </w:pPr>
      <w:rPr>
        <w:rFonts w:hint="default"/>
      </w:rPr>
    </w:lvl>
  </w:abstractNum>
  <w:num w:numId="1">
    <w:abstractNumId w:val="5"/>
  </w:num>
  <w:num w:numId="2">
    <w:abstractNumId w:val="1"/>
  </w:num>
  <w:num w:numId="3">
    <w:abstractNumId w:val="4"/>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documentProtection w:enforcement="0"/>
  <w:defaultTabStop w:val="420"/>
  <w:evenAndOddHeaders w:val="true"/>
  <w:drawingGridHorizontalSpacing w:val="105"/>
  <w:drawingGridVerticalSpacing w:val="156"/>
  <w:displayHorizontalDrawingGridEvery w:val="1"/>
  <w:displayVerticalDrawingGridEvery w:val="1"/>
  <w:noPunctuationKerning w:val="true"/>
  <w:characterSpacingControl w:val="doNotCompres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ZiYmYwMDA3NjM0MmUxOWZmY2ZlNTY3NWQ0OTlkY2EifQ=="/>
  </w:docVars>
  <w:rsids>
    <w:rsidRoot w:val="00F8297F"/>
    <w:rsid w:val="00000109"/>
    <w:rsid w:val="0000090F"/>
    <w:rsid w:val="000058F0"/>
    <w:rsid w:val="00007C03"/>
    <w:rsid w:val="00011A62"/>
    <w:rsid w:val="0004200D"/>
    <w:rsid w:val="00042C7B"/>
    <w:rsid w:val="00045DBE"/>
    <w:rsid w:val="00050054"/>
    <w:rsid w:val="000557F1"/>
    <w:rsid w:val="0006088F"/>
    <w:rsid w:val="000613AF"/>
    <w:rsid w:val="000715ED"/>
    <w:rsid w:val="00076FCA"/>
    <w:rsid w:val="000902C1"/>
    <w:rsid w:val="000910D1"/>
    <w:rsid w:val="000911BF"/>
    <w:rsid w:val="00093876"/>
    <w:rsid w:val="000A1008"/>
    <w:rsid w:val="000B6B7A"/>
    <w:rsid w:val="000C6720"/>
    <w:rsid w:val="000D1779"/>
    <w:rsid w:val="000D24F0"/>
    <w:rsid w:val="000E0FFF"/>
    <w:rsid w:val="000F4F6D"/>
    <w:rsid w:val="0010090B"/>
    <w:rsid w:val="0010134D"/>
    <w:rsid w:val="00102975"/>
    <w:rsid w:val="00103BC9"/>
    <w:rsid w:val="00112E8C"/>
    <w:rsid w:val="00112F97"/>
    <w:rsid w:val="001132E1"/>
    <w:rsid w:val="00122E02"/>
    <w:rsid w:val="0012738F"/>
    <w:rsid w:val="001375A3"/>
    <w:rsid w:val="00137731"/>
    <w:rsid w:val="001439A5"/>
    <w:rsid w:val="001566CD"/>
    <w:rsid w:val="00163D69"/>
    <w:rsid w:val="00177820"/>
    <w:rsid w:val="001A1ED4"/>
    <w:rsid w:val="001C0E74"/>
    <w:rsid w:val="001C4168"/>
    <w:rsid w:val="001D0346"/>
    <w:rsid w:val="001D73C5"/>
    <w:rsid w:val="001F0290"/>
    <w:rsid w:val="00203B46"/>
    <w:rsid w:val="00206938"/>
    <w:rsid w:val="00206B35"/>
    <w:rsid w:val="002105E2"/>
    <w:rsid w:val="002253B4"/>
    <w:rsid w:val="00225BB3"/>
    <w:rsid w:val="00252884"/>
    <w:rsid w:val="002541AA"/>
    <w:rsid w:val="00256BDA"/>
    <w:rsid w:val="00275680"/>
    <w:rsid w:val="002872F5"/>
    <w:rsid w:val="00292BD6"/>
    <w:rsid w:val="002A0171"/>
    <w:rsid w:val="002B60BF"/>
    <w:rsid w:val="002B6F13"/>
    <w:rsid w:val="002D238A"/>
    <w:rsid w:val="002E3583"/>
    <w:rsid w:val="002E7255"/>
    <w:rsid w:val="002F2141"/>
    <w:rsid w:val="002F6655"/>
    <w:rsid w:val="002F7A25"/>
    <w:rsid w:val="00300595"/>
    <w:rsid w:val="003019A4"/>
    <w:rsid w:val="00323555"/>
    <w:rsid w:val="00324EC3"/>
    <w:rsid w:val="00325B9B"/>
    <w:rsid w:val="0032684B"/>
    <w:rsid w:val="0034095E"/>
    <w:rsid w:val="003427D5"/>
    <w:rsid w:val="00343D79"/>
    <w:rsid w:val="00346938"/>
    <w:rsid w:val="00346A08"/>
    <w:rsid w:val="00350622"/>
    <w:rsid w:val="00352D98"/>
    <w:rsid w:val="003657A7"/>
    <w:rsid w:val="00374002"/>
    <w:rsid w:val="003754F9"/>
    <w:rsid w:val="003A0196"/>
    <w:rsid w:val="003B2D7C"/>
    <w:rsid w:val="003C34F7"/>
    <w:rsid w:val="003D117B"/>
    <w:rsid w:val="003E64C4"/>
    <w:rsid w:val="003F2712"/>
    <w:rsid w:val="003F55E2"/>
    <w:rsid w:val="003F7DFC"/>
    <w:rsid w:val="00405DF9"/>
    <w:rsid w:val="004118C5"/>
    <w:rsid w:val="00416127"/>
    <w:rsid w:val="00425DAD"/>
    <w:rsid w:val="00427BAF"/>
    <w:rsid w:val="004371C9"/>
    <w:rsid w:val="00455D60"/>
    <w:rsid w:val="00457ED5"/>
    <w:rsid w:val="00467E7E"/>
    <w:rsid w:val="00471D61"/>
    <w:rsid w:val="004812EA"/>
    <w:rsid w:val="00485134"/>
    <w:rsid w:val="004936C3"/>
    <w:rsid w:val="004B04E6"/>
    <w:rsid w:val="004B228B"/>
    <w:rsid w:val="004B5805"/>
    <w:rsid w:val="004B5FA0"/>
    <w:rsid w:val="004B688C"/>
    <w:rsid w:val="004B72D1"/>
    <w:rsid w:val="004C29C0"/>
    <w:rsid w:val="004C59BB"/>
    <w:rsid w:val="004C7DC6"/>
    <w:rsid w:val="004E5EEE"/>
    <w:rsid w:val="004F1D74"/>
    <w:rsid w:val="00506B33"/>
    <w:rsid w:val="00535CAB"/>
    <w:rsid w:val="0055190F"/>
    <w:rsid w:val="005551F1"/>
    <w:rsid w:val="00561292"/>
    <w:rsid w:val="00564C53"/>
    <w:rsid w:val="005749B1"/>
    <w:rsid w:val="00585E11"/>
    <w:rsid w:val="00590C99"/>
    <w:rsid w:val="00592FCB"/>
    <w:rsid w:val="00596C21"/>
    <w:rsid w:val="005A0A18"/>
    <w:rsid w:val="005B7B9C"/>
    <w:rsid w:val="005D1738"/>
    <w:rsid w:val="005D17ED"/>
    <w:rsid w:val="005D2093"/>
    <w:rsid w:val="005D70E1"/>
    <w:rsid w:val="005E1152"/>
    <w:rsid w:val="005E3AE7"/>
    <w:rsid w:val="005E402B"/>
    <w:rsid w:val="005E6EED"/>
    <w:rsid w:val="005F1ED8"/>
    <w:rsid w:val="005F2121"/>
    <w:rsid w:val="005F763F"/>
    <w:rsid w:val="006001C8"/>
    <w:rsid w:val="00601772"/>
    <w:rsid w:val="00615CA4"/>
    <w:rsid w:val="00632A61"/>
    <w:rsid w:val="00634CAC"/>
    <w:rsid w:val="00640751"/>
    <w:rsid w:val="0064191D"/>
    <w:rsid w:val="00647366"/>
    <w:rsid w:val="006900A4"/>
    <w:rsid w:val="00691356"/>
    <w:rsid w:val="00693FF6"/>
    <w:rsid w:val="006A14A7"/>
    <w:rsid w:val="006A27CC"/>
    <w:rsid w:val="006B5149"/>
    <w:rsid w:val="006C15AB"/>
    <w:rsid w:val="006C3A03"/>
    <w:rsid w:val="006C6519"/>
    <w:rsid w:val="006D31E0"/>
    <w:rsid w:val="006E015C"/>
    <w:rsid w:val="006E122C"/>
    <w:rsid w:val="006E571B"/>
    <w:rsid w:val="006F6907"/>
    <w:rsid w:val="007125F9"/>
    <w:rsid w:val="00716334"/>
    <w:rsid w:val="007251D4"/>
    <w:rsid w:val="007262BA"/>
    <w:rsid w:val="00727FC8"/>
    <w:rsid w:val="00735591"/>
    <w:rsid w:val="0076038E"/>
    <w:rsid w:val="007678D8"/>
    <w:rsid w:val="00772E1E"/>
    <w:rsid w:val="00783299"/>
    <w:rsid w:val="0079060A"/>
    <w:rsid w:val="00790DDC"/>
    <w:rsid w:val="007A2C0A"/>
    <w:rsid w:val="007A521C"/>
    <w:rsid w:val="007C0669"/>
    <w:rsid w:val="007C46A6"/>
    <w:rsid w:val="007E6379"/>
    <w:rsid w:val="007F00A6"/>
    <w:rsid w:val="007F0E6C"/>
    <w:rsid w:val="007F561F"/>
    <w:rsid w:val="00814C47"/>
    <w:rsid w:val="008401EB"/>
    <w:rsid w:val="00842BC5"/>
    <w:rsid w:val="00846A92"/>
    <w:rsid w:val="0086076F"/>
    <w:rsid w:val="008664C3"/>
    <w:rsid w:val="00893435"/>
    <w:rsid w:val="0089524E"/>
    <w:rsid w:val="00895D74"/>
    <w:rsid w:val="008B2D11"/>
    <w:rsid w:val="008D0D3A"/>
    <w:rsid w:val="008D3C68"/>
    <w:rsid w:val="008D7769"/>
    <w:rsid w:val="008E7E61"/>
    <w:rsid w:val="008F35A3"/>
    <w:rsid w:val="00902345"/>
    <w:rsid w:val="009215DD"/>
    <w:rsid w:val="00923C68"/>
    <w:rsid w:val="00951A7D"/>
    <w:rsid w:val="0095345F"/>
    <w:rsid w:val="00961EFA"/>
    <w:rsid w:val="00973D9C"/>
    <w:rsid w:val="00976E2F"/>
    <w:rsid w:val="00985D50"/>
    <w:rsid w:val="00991B68"/>
    <w:rsid w:val="00996805"/>
    <w:rsid w:val="009973AF"/>
    <w:rsid w:val="009A4FE6"/>
    <w:rsid w:val="009B0AC1"/>
    <w:rsid w:val="009C35B5"/>
    <w:rsid w:val="009C464A"/>
    <w:rsid w:val="009D7FDC"/>
    <w:rsid w:val="009E1292"/>
    <w:rsid w:val="009E6181"/>
    <w:rsid w:val="009E65DE"/>
    <w:rsid w:val="009F2AF4"/>
    <w:rsid w:val="009F2DC9"/>
    <w:rsid w:val="009F3193"/>
    <w:rsid w:val="009F3871"/>
    <w:rsid w:val="00A0266F"/>
    <w:rsid w:val="00A1042A"/>
    <w:rsid w:val="00A10DEC"/>
    <w:rsid w:val="00A11CE0"/>
    <w:rsid w:val="00A16CA4"/>
    <w:rsid w:val="00A16D79"/>
    <w:rsid w:val="00A211A5"/>
    <w:rsid w:val="00A27C04"/>
    <w:rsid w:val="00A536B6"/>
    <w:rsid w:val="00A57791"/>
    <w:rsid w:val="00A62F06"/>
    <w:rsid w:val="00A83985"/>
    <w:rsid w:val="00A91E46"/>
    <w:rsid w:val="00A92A59"/>
    <w:rsid w:val="00AA182B"/>
    <w:rsid w:val="00AB394A"/>
    <w:rsid w:val="00AC40CA"/>
    <w:rsid w:val="00AC57B6"/>
    <w:rsid w:val="00AC753A"/>
    <w:rsid w:val="00AD2652"/>
    <w:rsid w:val="00AD27B2"/>
    <w:rsid w:val="00AD6A3E"/>
    <w:rsid w:val="00AE0349"/>
    <w:rsid w:val="00AE2BE8"/>
    <w:rsid w:val="00AE6156"/>
    <w:rsid w:val="00AF4EF7"/>
    <w:rsid w:val="00AF70C2"/>
    <w:rsid w:val="00B15C26"/>
    <w:rsid w:val="00B230A7"/>
    <w:rsid w:val="00B2771A"/>
    <w:rsid w:val="00B3700D"/>
    <w:rsid w:val="00B43E0A"/>
    <w:rsid w:val="00B4773A"/>
    <w:rsid w:val="00B54472"/>
    <w:rsid w:val="00B63B6C"/>
    <w:rsid w:val="00B6459A"/>
    <w:rsid w:val="00B7450B"/>
    <w:rsid w:val="00B81A12"/>
    <w:rsid w:val="00B83B67"/>
    <w:rsid w:val="00B85BE7"/>
    <w:rsid w:val="00B87CE0"/>
    <w:rsid w:val="00B87E51"/>
    <w:rsid w:val="00B917D7"/>
    <w:rsid w:val="00B93DE4"/>
    <w:rsid w:val="00B96D62"/>
    <w:rsid w:val="00BB2805"/>
    <w:rsid w:val="00BB6BF5"/>
    <w:rsid w:val="00BC0521"/>
    <w:rsid w:val="00BE69D9"/>
    <w:rsid w:val="00C04554"/>
    <w:rsid w:val="00C06802"/>
    <w:rsid w:val="00C221A4"/>
    <w:rsid w:val="00C22F90"/>
    <w:rsid w:val="00C33C2A"/>
    <w:rsid w:val="00C33C63"/>
    <w:rsid w:val="00C44FF7"/>
    <w:rsid w:val="00C71D02"/>
    <w:rsid w:val="00C745D2"/>
    <w:rsid w:val="00C76EC7"/>
    <w:rsid w:val="00C83C99"/>
    <w:rsid w:val="00C874E5"/>
    <w:rsid w:val="00C9445A"/>
    <w:rsid w:val="00CA1BBA"/>
    <w:rsid w:val="00CA3AB7"/>
    <w:rsid w:val="00CA3B24"/>
    <w:rsid w:val="00CC742E"/>
    <w:rsid w:val="00CC7DF8"/>
    <w:rsid w:val="00CC7FD0"/>
    <w:rsid w:val="00CD3DE6"/>
    <w:rsid w:val="00D00D07"/>
    <w:rsid w:val="00D2437B"/>
    <w:rsid w:val="00D44B32"/>
    <w:rsid w:val="00D468DB"/>
    <w:rsid w:val="00D504D8"/>
    <w:rsid w:val="00D53E32"/>
    <w:rsid w:val="00D626EA"/>
    <w:rsid w:val="00D675F6"/>
    <w:rsid w:val="00D67915"/>
    <w:rsid w:val="00D75A9A"/>
    <w:rsid w:val="00D779E9"/>
    <w:rsid w:val="00D92B31"/>
    <w:rsid w:val="00D97700"/>
    <w:rsid w:val="00D97A34"/>
    <w:rsid w:val="00D97C5E"/>
    <w:rsid w:val="00DB76DA"/>
    <w:rsid w:val="00DC3CD9"/>
    <w:rsid w:val="00DC64F4"/>
    <w:rsid w:val="00DC78D9"/>
    <w:rsid w:val="00DD3A5E"/>
    <w:rsid w:val="00DD755E"/>
    <w:rsid w:val="00DE22C2"/>
    <w:rsid w:val="00DF6134"/>
    <w:rsid w:val="00DF62B2"/>
    <w:rsid w:val="00E121F3"/>
    <w:rsid w:val="00E215FD"/>
    <w:rsid w:val="00E22EE6"/>
    <w:rsid w:val="00E26ACC"/>
    <w:rsid w:val="00E36F60"/>
    <w:rsid w:val="00E413E0"/>
    <w:rsid w:val="00E44AFB"/>
    <w:rsid w:val="00E567E5"/>
    <w:rsid w:val="00E8302C"/>
    <w:rsid w:val="00E86F43"/>
    <w:rsid w:val="00EA4180"/>
    <w:rsid w:val="00EA5A6F"/>
    <w:rsid w:val="00EC04B9"/>
    <w:rsid w:val="00EE6A88"/>
    <w:rsid w:val="00EF42B1"/>
    <w:rsid w:val="00EF45B1"/>
    <w:rsid w:val="00F01227"/>
    <w:rsid w:val="00F02843"/>
    <w:rsid w:val="00F155F8"/>
    <w:rsid w:val="00F15991"/>
    <w:rsid w:val="00F22121"/>
    <w:rsid w:val="00F25B6A"/>
    <w:rsid w:val="00F32C43"/>
    <w:rsid w:val="00F32F87"/>
    <w:rsid w:val="00F37D8E"/>
    <w:rsid w:val="00F628BC"/>
    <w:rsid w:val="00F66414"/>
    <w:rsid w:val="00F66B44"/>
    <w:rsid w:val="00F736CA"/>
    <w:rsid w:val="00F77A2C"/>
    <w:rsid w:val="00F8297F"/>
    <w:rsid w:val="00F84F9A"/>
    <w:rsid w:val="00F853C1"/>
    <w:rsid w:val="00F90B43"/>
    <w:rsid w:val="00F94A48"/>
    <w:rsid w:val="00F95114"/>
    <w:rsid w:val="00FA642C"/>
    <w:rsid w:val="00FB2BFD"/>
    <w:rsid w:val="00FB7C4C"/>
    <w:rsid w:val="00FC1B85"/>
    <w:rsid w:val="00FC46BC"/>
    <w:rsid w:val="00FC5AA7"/>
    <w:rsid w:val="00FE174F"/>
    <w:rsid w:val="00FE3F77"/>
    <w:rsid w:val="00FF0F39"/>
    <w:rsid w:val="00FF7CE0"/>
    <w:rsid w:val="01304A2F"/>
    <w:rsid w:val="019716D1"/>
    <w:rsid w:val="01C217FB"/>
    <w:rsid w:val="01D540F0"/>
    <w:rsid w:val="022B5CEF"/>
    <w:rsid w:val="025508FF"/>
    <w:rsid w:val="0283019E"/>
    <w:rsid w:val="029F6F01"/>
    <w:rsid w:val="02A13CDE"/>
    <w:rsid w:val="030048F6"/>
    <w:rsid w:val="03186EED"/>
    <w:rsid w:val="03514002"/>
    <w:rsid w:val="037476AF"/>
    <w:rsid w:val="03840925"/>
    <w:rsid w:val="03CD394B"/>
    <w:rsid w:val="03EA03BE"/>
    <w:rsid w:val="04127436"/>
    <w:rsid w:val="042F4CB0"/>
    <w:rsid w:val="05614B95"/>
    <w:rsid w:val="05C05314"/>
    <w:rsid w:val="06CE3F4F"/>
    <w:rsid w:val="078E044D"/>
    <w:rsid w:val="07B162A0"/>
    <w:rsid w:val="07C65C34"/>
    <w:rsid w:val="07D57F7C"/>
    <w:rsid w:val="07E151C1"/>
    <w:rsid w:val="09082592"/>
    <w:rsid w:val="090B34E3"/>
    <w:rsid w:val="097E5CE8"/>
    <w:rsid w:val="0A2C5771"/>
    <w:rsid w:val="0A4B5FCB"/>
    <w:rsid w:val="0A6D3E02"/>
    <w:rsid w:val="0A9D305F"/>
    <w:rsid w:val="0B9F66F3"/>
    <w:rsid w:val="0BC263D8"/>
    <w:rsid w:val="0BC626D1"/>
    <w:rsid w:val="0C053C37"/>
    <w:rsid w:val="0C0D6224"/>
    <w:rsid w:val="0C581420"/>
    <w:rsid w:val="0CAB18E4"/>
    <w:rsid w:val="0D0429D6"/>
    <w:rsid w:val="0D0B189D"/>
    <w:rsid w:val="0D9B5DED"/>
    <w:rsid w:val="0E9D66E9"/>
    <w:rsid w:val="0F7E70C7"/>
    <w:rsid w:val="0F9103FC"/>
    <w:rsid w:val="0FD74C28"/>
    <w:rsid w:val="0FDD4A97"/>
    <w:rsid w:val="106D4050"/>
    <w:rsid w:val="10BE7682"/>
    <w:rsid w:val="10EB1450"/>
    <w:rsid w:val="11CD4D7F"/>
    <w:rsid w:val="11E7208E"/>
    <w:rsid w:val="12013860"/>
    <w:rsid w:val="124D2CA7"/>
    <w:rsid w:val="124F46F3"/>
    <w:rsid w:val="12591626"/>
    <w:rsid w:val="12DE7321"/>
    <w:rsid w:val="133A1EDF"/>
    <w:rsid w:val="135C334F"/>
    <w:rsid w:val="13D0614E"/>
    <w:rsid w:val="14227173"/>
    <w:rsid w:val="142A2CCB"/>
    <w:rsid w:val="143E4A1F"/>
    <w:rsid w:val="148F5B6D"/>
    <w:rsid w:val="14B60A59"/>
    <w:rsid w:val="14DA6814"/>
    <w:rsid w:val="14DB6F7D"/>
    <w:rsid w:val="14E06599"/>
    <w:rsid w:val="15AE2D7F"/>
    <w:rsid w:val="16D80EFE"/>
    <w:rsid w:val="16DD48E0"/>
    <w:rsid w:val="17543174"/>
    <w:rsid w:val="17902473"/>
    <w:rsid w:val="17B23D30"/>
    <w:rsid w:val="17D013B0"/>
    <w:rsid w:val="18C53128"/>
    <w:rsid w:val="1951213A"/>
    <w:rsid w:val="196F2D72"/>
    <w:rsid w:val="19DE010A"/>
    <w:rsid w:val="1A0A29D1"/>
    <w:rsid w:val="1A291030"/>
    <w:rsid w:val="1AE50E8B"/>
    <w:rsid w:val="1BAF751D"/>
    <w:rsid w:val="1BD139B4"/>
    <w:rsid w:val="1BEB27DD"/>
    <w:rsid w:val="1C000BF9"/>
    <w:rsid w:val="1C2578D4"/>
    <w:rsid w:val="1C8054A9"/>
    <w:rsid w:val="1D484279"/>
    <w:rsid w:val="1DFB195F"/>
    <w:rsid w:val="1ED03385"/>
    <w:rsid w:val="1EDB7F77"/>
    <w:rsid w:val="1F9011C6"/>
    <w:rsid w:val="1FA90E78"/>
    <w:rsid w:val="20203368"/>
    <w:rsid w:val="20810627"/>
    <w:rsid w:val="210F3D49"/>
    <w:rsid w:val="21516E28"/>
    <w:rsid w:val="21A615D2"/>
    <w:rsid w:val="21C351EA"/>
    <w:rsid w:val="220077C7"/>
    <w:rsid w:val="22590B18"/>
    <w:rsid w:val="22827E4E"/>
    <w:rsid w:val="229B15E4"/>
    <w:rsid w:val="229D5007"/>
    <w:rsid w:val="232F604A"/>
    <w:rsid w:val="23717122"/>
    <w:rsid w:val="24001B90"/>
    <w:rsid w:val="25956B4B"/>
    <w:rsid w:val="25AD1C8D"/>
    <w:rsid w:val="269D77DC"/>
    <w:rsid w:val="26CE4F8D"/>
    <w:rsid w:val="26E21A13"/>
    <w:rsid w:val="270E4F27"/>
    <w:rsid w:val="27441678"/>
    <w:rsid w:val="27B9369C"/>
    <w:rsid w:val="27DF1618"/>
    <w:rsid w:val="27F43CCE"/>
    <w:rsid w:val="28066D41"/>
    <w:rsid w:val="2932082A"/>
    <w:rsid w:val="297D6277"/>
    <w:rsid w:val="298F31CF"/>
    <w:rsid w:val="29A75B5D"/>
    <w:rsid w:val="2B703C64"/>
    <w:rsid w:val="2BDB066E"/>
    <w:rsid w:val="2CC759F8"/>
    <w:rsid w:val="2CCC3FF6"/>
    <w:rsid w:val="2CDE42EE"/>
    <w:rsid w:val="2D100D41"/>
    <w:rsid w:val="2D48575C"/>
    <w:rsid w:val="2D534332"/>
    <w:rsid w:val="2D9F0A08"/>
    <w:rsid w:val="2DD94373"/>
    <w:rsid w:val="2E7125B8"/>
    <w:rsid w:val="2EA04A8D"/>
    <w:rsid w:val="2F956FA1"/>
    <w:rsid w:val="2FAC5AC3"/>
    <w:rsid w:val="303D06B3"/>
    <w:rsid w:val="304B17EE"/>
    <w:rsid w:val="305E392F"/>
    <w:rsid w:val="30C611E0"/>
    <w:rsid w:val="318C7CE0"/>
    <w:rsid w:val="31B7469D"/>
    <w:rsid w:val="32001980"/>
    <w:rsid w:val="32325448"/>
    <w:rsid w:val="331D03ED"/>
    <w:rsid w:val="34532D34"/>
    <w:rsid w:val="34555ED6"/>
    <w:rsid w:val="3488726C"/>
    <w:rsid w:val="34927B3A"/>
    <w:rsid w:val="35440738"/>
    <w:rsid w:val="35465443"/>
    <w:rsid w:val="35582F75"/>
    <w:rsid w:val="3594672F"/>
    <w:rsid w:val="35A5593D"/>
    <w:rsid w:val="35A872B6"/>
    <w:rsid w:val="36242FE2"/>
    <w:rsid w:val="36AA5E3C"/>
    <w:rsid w:val="36C344FC"/>
    <w:rsid w:val="36C73FA8"/>
    <w:rsid w:val="36C91980"/>
    <w:rsid w:val="373D3C15"/>
    <w:rsid w:val="37F25314"/>
    <w:rsid w:val="381356E3"/>
    <w:rsid w:val="3899373E"/>
    <w:rsid w:val="39CA5681"/>
    <w:rsid w:val="3A110B18"/>
    <w:rsid w:val="3B084B8F"/>
    <w:rsid w:val="3B1F0857"/>
    <w:rsid w:val="3B465214"/>
    <w:rsid w:val="3B5449A6"/>
    <w:rsid w:val="3B581165"/>
    <w:rsid w:val="3C036AFD"/>
    <w:rsid w:val="3C1014B7"/>
    <w:rsid w:val="3D2117E2"/>
    <w:rsid w:val="3D4C41D1"/>
    <w:rsid w:val="3D7340A5"/>
    <w:rsid w:val="3E14585D"/>
    <w:rsid w:val="3E77225C"/>
    <w:rsid w:val="3E935946"/>
    <w:rsid w:val="3EDF4371"/>
    <w:rsid w:val="3F573360"/>
    <w:rsid w:val="3F7A4D99"/>
    <w:rsid w:val="41292DA8"/>
    <w:rsid w:val="41333305"/>
    <w:rsid w:val="419317F5"/>
    <w:rsid w:val="419525DA"/>
    <w:rsid w:val="41E450EF"/>
    <w:rsid w:val="425A3806"/>
    <w:rsid w:val="42AB1958"/>
    <w:rsid w:val="42E32C55"/>
    <w:rsid w:val="430A5E79"/>
    <w:rsid w:val="43963680"/>
    <w:rsid w:val="43DB6FAC"/>
    <w:rsid w:val="43DF60D3"/>
    <w:rsid w:val="445A36D7"/>
    <w:rsid w:val="445C05E8"/>
    <w:rsid w:val="450433E1"/>
    <w:rsid w:val="45C00657"/>
    <w:rsid w:val="477041E8"/>
    <w:rsid w:val="47811847"/>
    <w:rsid w:val="47C86914"/>
    <w:rsid w:val="484064FC"/>
    <w:rsid w:val="49882BD0"/>
    <w:rsid w:val="49B81983"/>
    <w:rsid w:val="4A146A6B"/>
    <w:rsid w:val="4A2E7440"/>
    <w:rsid w:val="4A913C61"/>
    <w:rsid w:val="4AD86C53"/>
    <w:rsid w:val="4B290FAE"/>
    <w:rsid w:val="4B8B517E"/>
    <w:rsid w:val="4B9776B9"/>
    <w:rsid w:val="4BD26B5B"/>
    <w:rsid w:val="4C7D6662"/>
    <w:rsid w:val="4CE331B1"/>
    <w:rsid w:val="4D0D16E5"/>
    <w:rsid w:val="4D9B700C"/>
    <w:rsid w:val="4DF51470"/>
    <w:rsid w:val="4E0F7E77"/>
    <w:rsid w:val="4E387D8C"/>
    <w:rsid w:val="4E395915"/>
    <w:rsid w:val="4F4C5A5F"/>
    <w:rsid w:val="4FB82DB7"/>
    <w:rsid w:val="4FFF26A6"/>
    <w:rsid w:val="50786946"/>
    <w:rsid w:val="507944AD"/>
    <w:rsid w:val="50AA55AA"/>
    <w:rsid w:val="50C823DC"/>
    <w:rsid w:val="50DB0D4B"/>
    <w:rsid w:val="517909DF"/>
    <w:rsid w:val="52201665"/>
    <w:rsid w:val="5244074B"/>
    <w:rsid w:val="5249340B"/>
    <w:rsid w:val="52543186"/>
    <w:rsid w:val="52A03E62"/>
    <w:rsid w:val="52DA2D3A"/>
    <w:rsid w:val="52EA0DF1"/>
    <w:rsid w:val="531C0FF8"/>
    <w:rsid w:val="53552D17"/>
    <w:rsid w:val="543E2C97"/>
    <w:rsid w:val="5480207E"/>
    <w:rsid w:val="55F873F7"/>
    <w:rsid w:val="567321CF"/>
    <w:rsid w:val="57203BA2"/>
    <w:rsid w:val="57FB365A"/>
    <w:rsid w:val="588E692E"/>
    <w:rsid w:val="589B28C1"/>
    <w:rsid w:val="59290F43"/>
    <w:rsid w:val="59311E5E"/>
    <w:rsid w:val="5A8D61BE"/>
    <w:rsid w:val="5AEC6F66"/>
    <w:rsid w:val="5B1E0B38"/>
    <w:rsid w:val="5BB671B6"/>
    <w:rsid w:val="5BDA4139"/>
    <w:rsid w:val="5CA21012"/>
    <w:rsid w:val="5D0A1D0F"/>
    <w:rsid w:val="5D6A364F"/>
    <w:rsid w:val="5D7837B8"/>
    <w:rsid w:val="5DD74092"/>
    <w:rsid w:val="5E4A6629"/>
    <w:rsid w:val="5EBE4AE8"/>
    <w:rsid w:val="5EEC63F2"/>
    <w:rsid w:val="5EF07C91"/>
    <w:rsid w:val="5F9E0E88"/>
    <w:rsid w:val="60404581"/>
    <w:rsid w:val="60A31BC3"/>
    <w:rsid w:val="60B81205"/>
    <w:rsid w:val="60D26757"/>
    <w:rsid w:val="60E86647"/>
    <w:rsid w:val="61760E0E"/>
    <w:rsid w:val="62C43585"/>
    <w:rsid w:val="632772B9"/>
    <w:rsid w:val="63863BAD"/>
    <w:rsid w:val="646A7CF3"/>
    <w:rsid w:val="6588554A"/>
    <w:rsid w:val="658E785C"/>
    <w:rsid w:val="65A00C47"/>
    <w:rsid w:val="65C03ADA"/>
    <w:rsid w:val="66755D0A"/>
    <w:rsid w:val="66C17AF7"/>
    <w:rsid w:val="66CD4D5B"/>
    <w:rsid w:val="66D74067"/>
    <w:rsid w:val="67075C19"/>
    <w:rsid w:val="68191C84"/>
    <w:rsid w:val="68703D49"/>
    <w:rsid w:val="693F731C"/>
    <w:rsid w:val="695C6FB5"/>
    <w:rsid w:val="6A053D5B"/>
    <w:rsid w:val="6A063F96"/>
    <w:rsid w:val="6A3C2C70"/>
    <w:rsid w:val="6B0E210F"/>
    <w:rsid w:val="6BB35909"/>
    <w:rsid w:val="6BD424F5"/>
    <w:rsid w:val="6CBB6080"/>
    <w:rsid w:val="6D71727F"/>
    <w:rsid w:val="6DAF15BA"/>
    <w:rsid w:val="6DED591D"/>
    <w:rsid w:val="6E186472"/>
    <w:rsid w:val="6EDE56D0"/>
    <w:rsid w:val="6EE04B5D"/>
    <w:rsid w:val="6F33770C"/>
    <w:rsid w:val="6F696021"/>
    <w:rsid w:val="705E3461"/>
    <w:rsid w:val="706D5025"/>
    <w:rsid w:val="71125CE9"/>
    <w:rsid w:val="711D4228"/>
    <w:rsid w:val="720667FB"/>
    <w:rsid w:val="73773BB4"/>
    <w:rsid w:val="74127736"/>
    <w:rsid w:val="741E3C6A"/>
    <w:rsid w:val="746576B6"/>
    <w:rsid w:val="74764852"/>
    <w:rsid w:val="74FA19BC"/>
    <w:rsid w:val="75972E4B"/>
    <w:rsid w:val="75A705D3"/>
    <w:rsid w:val="764825F9"/>
    <w:rsid w:val="77144C4E"/>
    <w:rsid w:val="77575C91"/>
    <w:rsid w:val="77621A81"/>
    <w:rsid w:val="78143744"/>
    <w:rsid w:val="78195F61"/>
    <w:rsid w:val="7824212D"/>
    <w:rsid w:val="78A34F55"/>
    <w:rsid w:val="7909040B"/>
    <w:rsid w:val="7A5E4700"/>
    <w:rsid w:val="7A7139D1"/>
    <w:rsid w:val="7EE759CF"/>
    <w:rsid w:val="7F161559"/>
    <w:rsid w:val="BDD7EA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1"/>
    <w:qFormat/>
    <w:uiPriority w:val="9"/>
    <w:pPr>
      <w:keepNext/>
      <w:keepLines/>
      <w:numPr>
        <w:ilvl w:val="0"/>
        <w:numId w:val="1"/>
      </w:numPr>
      <w:spacing w:beforeLines="100" w:afterLines="100"/>
      <w:outlineLvl w:val="0"/>
    </w:pPr>
    <w:rPr>
      <w:rFonts w:ascii="黑体" w:hAnsi="黑体" w:eastAsia="黑体"/>
      <w:bCs/>
      <w:kern w:val="44"/>
      <w:szCs w:val="21"/>
    </w:rPr>
  </w:style>
  <w:style w:type="paragraph" w:styleId="3">
    <w:name w:val="heading 2"/>
    <w:basedOn w:val="1"/>
    <w:next w:val="1"/>
    <w:link w:val="23"/>
    <w:unhideWhenUsed/>
    <w:qFormat/>
    <w:uiPriority w:val="9"/>
    <w:pPr>
      <w:numPr>
        <w:ilvl w:val="0"/>
        <w:numId w:val="2"/>
      </w:numPr>
      <w:spacing w:beforeLines="100" w:afterLines="100"/>
      <w:outlineLvl w:val="1"/>
    </w:pPr>
    <w:rPr>
      <w:rFonts w:ascii="黑体" w:hAnsi="黑体" w:eastAsia="黑体" w:cs="Times New Roman"/>
      <w:bCs/>
      <w:szCs w:val="21"/>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semiHidden/>
    <w:unhideWhenUsed/>
    <w:qFormat/>
    <w:uiPriority w:val="99"/>
    <w:pPr>
      <w:jc w:val="left"/>
    </w:pPr>
  </w:style>
  <w:style w:type="paragraph" w:styleId="5">
    <w:name w:val="Body Text"/>
    <w:basedOn w:val="1"/>
    <w:semiHidden/>
    <w:unhideWhenUsed/>
    <w:qFormat/>
    <w:uiPriority w:val="99"/>
    <w:rPr>
      <w:rFonts w:ascii="Arial" w:hAnsi="Arial" w:eastAsia="Arial" w:cs="Arial"/>
      <w:szCs w:val="21"/>
      <w:lang w:eastAsia="en-US"/>
    </w:rPr>
  </w:style>
  <w:style w:type="paragraph" w:styleId="6">
    <w:name w:val="toc 3"/>
    <w:basedOn w:val="1"/>
    <w:next w:val="1"/>
    <w:unhideWhenUsed/>
    <w:qFormat/>
    <w:uiPriority w:val="39"/>
    <w:pPr>
      <w:widowControl/>
      <w:spacing w:after="100" w:line="259" w:lineRule="auto"/>
      <w:ind w:left="440"/>
      <w:jc w:val="left"/>
    </w:pPr>
    <w:rPr>
      <w:rFonts w:cs="Times New Roman"/>
      <w:kern w:val="0"/>
      <w:sz w:val="22"/>
    </w:rPr>
  </w:style>
  <w:style w:type="paragraph" w:styleId="7">
    <w:name w:val="Date"/>
    <w:basedOn w:val="1"/>
    <w:next w:val="1"/>
    <w:link w:val="47"/>
    <w:semiHidden/>
    <w:unhideWhenUsed/>
    <w:qFormat/>
    <w:uiPriority w:val="99"/>
    <w:pPr>
      <w:ind w:left="100" w:leftChars="2500"/>
    </w:pPr>
  </w:style>
  <w:style w:type="paragraph" w:styleId="8">
    <w:name w:val="Balloon Text"/>
    <w:basedOn w:val="1"/>
    <w:link w:val="29"/>
    <w:semiHidden/>
    <w:unhideWhenUsed/>
    <w:qFormat/>
    <w:uiPriority w:val="99"/>
    <w:rPr>
      <w:sz w:val="18"/>
      <w:szCs w:val="18"/>
    </w:rPr>
  </w:style>
  <w:style w:type="paragraph" w:styleId="9">
    <w:name w:val="footer"/>
    <w:basedOn w:val="1"/>
    <w:link w:val="20"/>
    <w:unhideWhenUsed/>
    <w:qFormat/>
    <w:uiPriority w:val="99"/>
    <w:pPr>
      <w:tabs>
        <w:tab w:val="center" w:pos="4153"/>
        <w:tab w:val="right" w:pos="8306"/>
      </w:tabs>
      <w:snapToGrid w:val="0"/>
      <w:jc w:val="left"/>
    </w:pPr>
    <w:rPr>
      <w:sz w:val="18"/>
      <w:szCs w:val="18"/>
    </w:rPr>
  </w:style>
  <w:style w:type="paragraph" w:styleId="10">
    <w:name w:val="header"/>
    <w:basedOn w:val="1"/>
    <w:link w:val="19"/>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toc 2"/>
    <w:basedOn w:val="1"/>
    <w:next w:val="1"/>
    <w:unhideWhenUsed/>
    <w:qFormat/>
    <w:uiPriority w:val="39"/>
    <w:pPr>
      <w:ind w:left="420" w:leftChars="200"/>
    </w:pPr>
  </w:style>
  <w:style w:type="table" w:styleId="14">
    <w:name w:val="Table Grid"/>
    <w:basedOn w:val="1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page number"/>
    <w:qFormat/>
    <w:uiPriority w:val="99"/>
    <w:rPr>
      <w:sz w:val="18"/>
      <w:szCs w:val="18"/>
    </w:rPr>
  </w:style>
  <w:style w:type="character" w:styleId="17">
    <w:name w:val="Hyperlink"/>
    <w:basedOn w:val="15"/>
    <w:unhideWhenUsed/>
    <w:qFormat/>
    <w:uiPriority w:val="99"/>
    <w:rPr>
      <w:color w:val="0000FF" w:themeColor="hyperlink"/>
      <w:u w:val="single"/>
      <w14:textFill>
        <w14:solidFill>
          <w14:schemeClr w14:val="hlink"/>
        </w14:solidFill>
      </w14:textFill>
    </w:rPr>
  </w:style>
  <w:style w:type="character" w:styleId="18">
    <w:name w:val="annotation reference"/>
    <w:basedOn w:val="15"/>
    <w:semiHidden/>
    <w:unhideWhenUsed/>
    <w:qFormat/>
    <w:uiPriority w:val="99"/>
    <w:rPr>
      <w:sz w:val="21"/>
      <w:szCs w:val="21"/>
    </w:rPr>
  </w:style>
  <w:style w:type="character" w:customStyle="1" w:styleId="19">
    <w:name w:val="页眉 Char"/>
    <w:basedOn w:val="15"/>
    <w:link w:val="10"/>
    <w:qFormat/>
    <w:uiPriority w:val="0"/>
    <w:rPr>
      <w:sz w:val="18"/>
      <w:szCs w:val="18"/>
    </w:rPr>
  </w:style>
  <w:style w:type="character" w:customStyle="1" w:styleId="20">
    <w:name w:val="页脚 Char"/>
    <w:basedOn w:val="15"/>
    <w:link w:val="9"/>
    <w:qFormat/>
    <w:uiPriority w:val="99"/>
    <w:rPr>
      <w:sz w:val="18"/>
      <w:szCs w:val="18"/>
    </w:rPr>
  </w:style>
  <w:style w:type="character" w:customStyle="1" w:styleId="21">
    <w:name w:val="标题 1 Char"/>
    <w:basedOn w:val="15"/>
    <w:link w:val="2"/>
    <w:qFormat/>
    <w:uiPriority w:val="9"/>
    <w:rPr>
      <w:rFonts w:ascii="黑体" w:hAnsi="黑体" w:eastAsia="黑体" w:cstheme="minorBidi"/>
      <w:bCs/>
      <w:kern w:val="44"/>
      <w:sz w:val="21"/>
      <w:szCs w:val="21"/>
    </w:rPr>
  </w:style>
  <w:style w:type="paragraph" w:styleId="22">
    <w:name w:val="List Paragraph"/>
    <w:basedOn w:val="1"/>
    <w:qFormat/>
    <w:uiPriority w:val="34"/>
    <w:pPr>
      <w:ind w:firstLine="420" w:firstLineChars="200"/>
    </w:pPr>
  </w:style>
  <w:style w:type="character" w:customStyle="1" w:styleId="23">
    <w:name w:val="标题 2 Char"/>
    <w:basedOn w:val="15"/>
    <w:link w:val="3"/>
    <w:qFormat/>
    <w:uiPriority w:val="9"/>
    <w:rPr>
      <w:rFonts w:ascii="黑体" w:hAnsi="黑体" w:eastAsia="黑体"/>
      <w:bCs/>
      <w:kern w:val="2"/>
      <w:sz w:val="21"/>
      <w:szCs w:val="21"/>
    </w:rPr>
  </w:style>
  <w:style w:type="character" w:customStyle="1" w:styleId="24">
    <w:name w:val="fontstyle01"/>
    <w:qFormat/>
    <w:uiPriority w:val="0"/>
    <w:rPr>
      <w:rFonts w:hint="default" w:ascii="Times New Roman" w:hAnsi="Times New Roman" w:cs="Times New Roman"/>
      <w:b/>
      <w:bCs/>
      <w:color w:val="000000"/>
      <w:sz w:val="20"/>
      <w:szCs w:val="20"/>
    </w:rPr>
  </w:style>
  <w:style w:type="character" w:customStyle="1" w:styleId="25">
    <w:name w:val="fontstyle21"/>
    <w:qFormat/>
    <w:uiPriority w:val="0"/>
    <w:rPr>
      <w:rFonts w:hint="eastAsia" w:ascii="宋体" w:hAnsi="宋体" w:eastAsia="宋体"/>
      <w:color w:val="000000"/>
      <w:sz w:val="20"/>
      <w:szCs w:val="20"/>
    </w:rPr>
  </w:style>
  <w:style w:type="character" w:customStyle="1" w:styleId="26">
    <w:name w:val="fontstyle31"/>
    <w:qFormat/>
    <w:uiPriority w:val="0"/>
    <w:rPr>
      <w:rFonts w:hint="default" w:ascii="Times New Roman" w:hAnsi="Times New Roman" w:cs="Times New Roman"/>
      <w:color w:val="000000"/>
      <w:sz w:val="20"/>
      <w:szCs w:val="20"/>
    </w:rPr>
  </w:style>
  <w:style w:type="character" w:customStyle="1" w:styleId="27">
    <w:name w:val="fontstyle51"/>
    <w:qFormat/>
    <w:uiPriority w:val="0"/>
    <w:rPr>
      <w:rFonts w:hint="default" w:ascii="Times New Roman" w:hAnsi="Times New Roman" w:cs="Times New Roman"/>
      <w:color w:val="000000"/>
      <w:sz w:val="56"/>
      <w:szCs w:val="56"/>
    </w:rPr>
  </w:style>
  <w:style w:type="character" w:customStyle="1" w:styleId="28">
    <w:name w:val="fontstyle61"/>
    <w:qFormat/>
    <w:uiPriority w:val="0"/>
    <w:rPr>
      <w:rFonts w:hint="eastAsia" w:ascii="仿宋" w:hAnsi="仿宋" w:eastAsia="仿宋"/>
      <w:color w:val="000000"/>
      <w:sz w:val="20"/>
      <w:szCs w:val="20"/>
    </w:rPr>
  </w:style>
  <w:style w:type="character" w:customStyle="1" w:styleId="29">
    <w:name w:val="批注框文本 Char"/>
    <w:basedOn w:val="15"/>
    <w:link w:val="8"/>
    <w:semiHidden/>
    <w:qFormat/>
    <w:uiPriority w:val="99"/>
    <w:rPr>
      <w:sz w:val="18"/>
      <w:szCs w:val="18"/>
    </w:rPr>
  </w:style>
  <w:style w:type="paragraph" w:customStyle="1" w:styleId="30">
    <w:name w:val="Default"/>
    <w:qFormat/>
    <w:uiPriority w:val="0"/>
    <w:pPr>
      <w:widowControl w:val="0"/>
      <w:autoSpaceDE w:val="0"/>
      <w:autoSpaceDN w:val="0"/>
      <w:adjustRightInd w:val="0"/>
    </w:pPr>
    <w:rPr>
      <w:rFonts w:ascii="仿宋" w:hAnsi="仿宋" w:eastAsia="宋体" w:cs="仿宋"/>
      <w:color w:val="000000"/>
      <w:sz w:val="24"/>
      <w:szCs w:val="24"/>
      <w:lang w:val="en-US" w:eastAsia="zh-CN" w:bidi="ar-SA"/>
    </w:rPr>
  </w:style>
  <w:style w:type="character" w:customStyle="1" w:styleId="31">
    <w:name w:val="fontstyle71"/>
    <w:qFormat/>
    <w:uiPriority w:val="0"/>
    <w:rPr>
      <w:rFonts w:hint="eastAsia" w:ascii="黑体" w:hAnsi="黑体" w:eastAsia="黑体"/>
      <w:color w:val="000000"/>
      <w:sz w:val="20"/>
      <w:szCs w:val="20"/>
    </w:rPr>
  </w:style>
  <w:style w:type="paragraph" w:customStyle="1" w:styleId="32">
    <w:name w:val="TOC 标题1"/>
    <w:basedOn w:val="2"/>
    <w:next w:val="1"/>
    <w:unhideWhenUsed/>
    <w:qFormat/>
    <w:uiPriority w:val="39"/>
    <w:pPr>
      <w:widowControl/>
      <w:numPr>
        <w:numId w:val="0"/>
      </w:numPr>
      <w:spacing w:beforeLines="0" w:afterLines="0" w:line="259" w:lineRule="auto"/>
      <w:jc w:val="left"/>
      <w:outlineLvl w:val="9"/>
    </w:pPr>
    <w:rPr>
      <w:rFonts w:asciiTheme="majorHAnsi" w:hAnsiTheme="majorHAnsi" w:eastAsiaTheme="majorEastAsia" w:cstheme="majorBidi"/>
      <w:bCs w:val="0"/>
      <w:color w:val="376092" w:themeColor="accent1" w:themeShade="BF"/>
      <w:kern w:val="0"/>
      <w:sz w:val="32"/>
      <w:szCs w:val="32"/>
    </w:rPr>
  </w:style>
  <w:style w:type="character" w:customStyle="1" w:styleId="33">
    <w:name w:val="页脚 Char1"/>
    <w:qFormat/>
    <w:uiPriority w:val="0"/>
    <w:rPr>
      <w:kern w:val="2"/>
      <w:sz w:val="18"/>
      <w:szCs w:val="18"/>
    </w:rPr>
  </w:style>
  <w:style w:type="paragraph" w:customStyle="1" w:styleId="34">
    <w:name w:val="1-标题"/>
    <w:basedOn w:val="1"/>
    <w:qFormat/>
    <w:uiPriority w:val="0"/>
    <w:pPr>
      <w:spacing w:beforeLines="70" w:line="400" w:lineRule="exact"/>
      <w:jc w:val="center"/>
      <w:outlineLvl w:val="0"/>
    </w:pPr>
    <w:rPr>
      <w:rFonts w:ascii="黑体" w:hAnsi="黑体" w:eastAsia="黑体" w:cs="Times New Roman"/>
      <w:color w:val="000000"/>
      <w:sz w:val="32"/>
      <w:szCs w:val="32"/>
    </w:rPr>
  </w:style>
  <w:style w:type="paragraph" w:customStyle="1" w:styleId="35">
    <w:name w:val="2-正文新"/>
    <w:basedOn w:val="1"/>
    <w:qFormat/>
    <w:uiPriority w:val="0"/>
    <w:pPr>
      <w:spacing w:line="309" w:lineRule="exact"/>
      <w:ind w:firstLine="420" w:firstLineChars="200"/>
    </w:pPr>
    <w:rPr>
      <w:rFonts w:ascii="宋体" w:hAnsi="宋体" w:eastAsia="宋体" w:cs="Times New Roman"/>
      <w:color w:val="000000"/>
      <w:szCs w:val="21"/>
    </w:rPr>
  </w:style>
  <w:style w:type="paragraph" w:customStyle="1" w:styleId="36">
    <w:name w:val="标准标志"/>
    <w:next w:val="1"/>
    <w:qFormat/>
    <w:uiPriority w:val="0"/>
    <w:pPr>
      <w:shd w:val="solid" w:color="FFFFFF" w:fill="FFFFFF"/>
      <w:spacing w:line="240" w:lineRule="atLeast"/>
      <w:jc w:val="right"/>
    </w:pPr>
    <w:rPr>
      <w:rFonts w:ascii="Calibri" w:hAnsi="Calibri" w:eastAsia="宋体" w:cs="Times New Roman"/>
      <w:b/>
      <w:bCs/>
      <w:w w:val="130"/>
      <w:sz w:val="96"/>
      <w:szCs w:val="96"/>
      <w:lang w:val="en-US" w:eastAsia="zh-CN" w:bidi="ar-SA"/>
    </w:rPr>
  </w:style>
  <w:style w:type="paragraph" w:customStyle="1" w:styleId="37">
    <w:name w:val="发布日期"/>
    <w:qFormat/>
    <w:uiPriority w:val="0"/>
    <w:rPr>
      <w:rFonts w:ascii="Calibri" w:hAnsi="Calibri" w:eastAsia="黑体" w:cs="Times New Roman"/>
      <w:sz w:val="28"/>
      <w:szCs w:val="28"/>
      <w:lang w:val="en-US" w:eastAsia="zh-CN" w:bidi="ar-SA"/>
    </w:rPr>
  </w:style>
  <w:style w:type="paragraph" w:customStyle="1" w:styleId="38">
    <w:name w:val="其他标准称谓"/>
    <w:qFormat/>
    <w:uiPriority w:val="0"/>
    <w:pPr>
      <w:spacing w:line="240" w:lineRule="atLeast"/>
      <w:jc w:val="distribute"/>
    </w:pPr>
    <w:rPr>
      <w:rFonts w:ascii="黑体" w:hAnsi="Calibri" w:eastAsia="黑体" w:cs="黑体"/>
      <w:sz w:val="52"/>
      <w:szCs w:val="52"/>
      <w:lang w:val="en-US" w:eastAsia="zh-CN" w:bidi="ar-SA"/>
    </w:rPr>
  </w:style>
  <w:style w:type="paragraph" w:customStyle="1" w:styleId="39">
    <w:name w:val="封面正文"/>
    <w:qFormat/>
    <w:uiPriority w:val="0"/>
    <w:pPr>
      <w:jc w:val="both"/>
    </w:pPr>
    <w:rPr>
      <w:rFonts w:ascii="Calibri" w:hAnsi="Calibri" w:eastAsia="宋体" w:cs="Times New Roman"/>
      <w:sz w:val="24"/>
      <w:szCs w:val="24"/>
      <w:lang w:val="en-US" w:eastAsia="zh-CN" w:bidi="ar-SA"/>
    </w:rPr>
  </w:style>
  <w:style w:type="paragraph" w:customStyle="1" w:styleId="40">
    <w:name w:val="发布部门"/>
    <w:next w:val="1"/>
    <w:qFormat/>
    <w:uiPriority w:val="0"/>
    <w:pPr>
      <w:jc w:val="center"/>
    </w:pPr>
    <w:rPr>
      <w:rFonts w:ascii="宋体" w:hAnsi="Calibri" w:eastAsia="宋体" w:cs="宋体"/>
      <w:spacing w:val="20"/>
      <w:w w:val="135"/>
      <w:sz w:val="44"/>
      <w:szCs w:val="44"/>
      <w:lang w:val="en-US" w:eastAsia="zh-CN" w:bidi="ar-SA"/>
    </w:rPr>
  </w:style>
  <w:style w:type="paragraph" w:customStyle="1" w:styleId="41">
    <w:name w:val="TOC 标题2"/>
    <w:basedOn w:val="2"/>
    <w:next w:val="1"/>
    <w:unhideWhenUsed/>
    <w:qFormat/>
    <w:uiPriority w:val="39"/>
    <w:pPr>
      <w:widowControl/>
      <w:numPr>
        <w:numId w:val="0"/>
      </w:numPr>
      <w:spacing w:beforeLines="0" w:afterLines="0" w:line="259" w:lineRule="auto"/>
      <w:jc w:val="left"/>
      <w:outlineLvl w:val="9"/>
    </w:pPr>
    <w:rPr>
      <w:rFonts w:asciiTheme="majorHAnsi" w:hAnsiTheme="majorHAnsi" w:eastAsiaTheme="majorEastAsia" w:cstheme="majorBidi"/>
      <w:bCs w:val="0"/>
      <w:color w:val="376092" w:themeColor="accent1" w:themeShade="BF"/>
      <w:kern w:val="0"/>
      <w:sz w:val="32"/>
      <w:szCs w:val="32"/>
    </w:rPr>
  </w:style>
  <w:style w:type="paragraph" w:customStyle="1" w:styleId="42">
    <w:name w:val="段"/>
    <w:link w:val="43"/>
    <w:qFormat/>
    <w:uiPriority w:val="0"/>
    <w:pPr>
      <w:autoSpaceDE w:val="0"/>
      <w:autoSpaceDN w:val="0"/>
      <w:ind w:firstLine="200" w:firstLineChars="200"/>
      <w:jc w:val="both"/>
    </w:pPr>
    <w:rPr>
      <w:rFonts w:ascii="宋体" w:hAnsi="Calibri" w:eastAsia="宋体" w:cs="宋体"/>
      <w:sz w:val="21"/>
      <w:szCs w:val="21"/>
      <w:lang w:val="en-US" w:eastAsia="zh-CN" w:bidi="ar-SA"/>
    </w:rPr>
  </w:style>
  <w:style w:type="character" w:customStyle="1" w:styleId="43">
    <w:name w:val="段 Char"/>
    <w:link w:val="42"/>
    <w:qFormat/>
    <w:uiPriority w:val="0"/>
    <w:rPr>
      <w:rFonts w:ascii="宋体" w:hAnsi="Calibri" w:eastAsia="宋体" w:cs="宋体"/>
      <w:sz w:val="21"/>
      <w:szCs w:val="21"/>
    </w:rPr>
  </w:style>
  <w:style w:type="character" w:customStyle="1" w:styleId="44">
    <w:name w:val="4-1   黑体 Char"/>
    <w:link w:val="45"/>
    <w:qFormat/>
    <w:uiPriority w:val="0"/>
    <w:rPr>
      <w:rFonts w:ascii="黑体" w:hAnsi="黑体" w:eastAsia="黑体" w:cs="宋体"/>
      <w:color w:val="000000"/>
      <w:sz w:val="21"/>
      <w:szCs w:val="21"/>
    </w:rPr>
  </w:style>
  <w:style w:type="paragraph" w:customStyle="1" w:styleId="45">
    <w:name w:val="4-1   黑体"/>
    <w:basedOn w:val="42"/>
    <w:link w:val="44"/>
    <w:qFormat/>
    <w:uiPriority w:val="0"/>
    <w:pPr>
      <w:widowControl w:val="0"/>
      <w:overflowPunct w:val="0"/>
      <w:spacing w:line="309" w:lineRule="exact"/>
      <w:ind w:firstLine="0" w:firstLineChars="0"/>
    </w:pPr>
    <w:rPr>
      <w:rFonts w:ascii="黑体" w:hAnsi="黑体" w:eastAsia="黑体"/>
      <w:color w:val="000000"/>
    </w:rPr>
  </w:style>
  <w:style w:type="paragraph" w:customStyle="1" w:styleId="46">
    <w:name w:val="3-2  节"/>
    <w:basedOn w:val="1"/>
    <w:qFormat/>
    <w:uiPriority w:val="0"/>
    <w:pPr>
      <w:overflowPunct w:val="0"/>
      <w:spacing w:beforeLines="90" w:afterLines="90" w:line="309" w:lineRule="exact"/>
      <w:outlineLvl w:val="2"/>
    </w:pPr>
    <w:rPr>
      <w:rFonts w:ascii="黑体" w:hAnsi="黑体" w:eastAsia="黑体" w:cs="Times New Roman"/>
      <w:color w:val="000000"/>
      <w:kern w:val="0"/>
      <w:szCs w:val="21"/>
    </w:rPr>
  </w:style>
  <w:style w:type="character" w:customStyle="1" w:styleId="47">
    <w:name w:val="日期 Char"/>
    <w:basedOn w:val="15"/>
    <w:link w:val="7"/>
    <w:semiHidden/>
    <w:qFormat/>
    <w:uiPriority w:val="99"/>
    <w:rPr>
      <w:kern w:val="2"/>
      <w:sz w:val="21"/>
      <w:szCs w:val="22"/>
    </w:rPr>
  </w:style>
  <w:style w:type="character" w:customStyle="1" w:styleId="48">
    <w:name w:val="font01"/>
    <w:basedOn w:val="15"/>
    <w:qFormat/>
    <w:uiPriority w:val="0"/>
    <w:rPr>
      <w:rFonts w:hint="eastAsia" w:ascii="宋体" w:hAnsi="宋体" w:eastAsia="宋体" w:cs="宋体"/>
      <w:color w:val="000000"/>
      <w:sz w:val="22"/>
      <w:szCs w:val="22"/>
      <w:u w:val="none"/>
    </w:rPr>
  </w:style>
  <w:style w:type="character" w:customStyle="1" w:styleId="49">
    <w:name w:val="font11"/>
    <w:basedOn w:val="15"/>
    <w:qFormat/>
    <w:uiPriority w:val="0"/>
    <w:rPr>
      <w:rFonts w:hint="eastAsia" w:ascii="宋体" w:hAnsi="宋体" w:eastAsia="宋体" w:cs="宋体"/>
      <w:color w:val="000000"/>
      <w:sz w:val="22"/>
      <w:szCs w:val="22"/>
      <w:u w:val="none"/>
      <w:vertAlign w:val="subscript"/>
    </w:rPr>
  </w:style>
  <w:style w:type="paragraph" w:customStyle="1" w:styleId="50">
    <w:name w:val="WPSOffice手动目录 1"/>
    <w:qFormat/>
    <w:uiPriority w:val="0"/>
    <w:rPr>
      <w:rFonts w:ascii="Times New Roman" w:hAnsi="Times New Roman" w:eastAsia="宋体" w:cs="Times New Roman"/>
      <w:lang w:val="en-US" w:eastAsia="zh-CN" w:bidi="ar-SA"/>
    </w:rPr>
  </w:style>
  <w:style w:type="paragraph" w:customStyle="1" w:styleId="51">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52">
    <w:name w:val="font21"/>
    <w:basedOn w:val="15"/>
    <w:qFormat/>
    <w:uiPriority w:val="0"/>
    <w:rPr>
      <w:rFonts w:hint="eastAsia" w:ascii="宋体" w:hAnsi="宋体" w:eastAsia="宋体" w:cs="宋体"/>
      <w:color w:val="000000"/>
      <w:sz w:val="21"/>
      <w:szCs w:val="21"/>
      <w:u w:val="none"/>
    </w:rPr>
  </w:style>
  <w:style w:type="paragraph" w:customStyle="1" w:styleId="53">
    <w:name w:val="Table Text"/>
    <w:basedOn w:val="1"/>
    <w:semiHidden/>
    <w:qFormat/>
    <w:uiPriority w:val="0"/>
    <w:rPr>
      <w:rFonts w:ascii="宋体" w:hAnsi="宋体" w:eastAsia="宋体" w:cs="宋体"/>
      <w:sz w:val="28"/>
      <w:szCs w:val="28"/>
      <w:lang w:eastAsia="en-US"/>
    </w:rPr>
  </w:style>
  <w:style w:type="paragraph" w:customStyle="1" w:styleId="54">
    <w:name w:val="标准文件_二级无标题"/>
    <w:basedOn w:val="55"/>
    <w:qFormat/>
    <w:uiPriority w:val="0"/>
    <w:pPr>
      <w:spacing w:beforeLines="0" w:afterLines="0"/>
      <w:outlineLvl w:val="9"/>
    </w:pPr>
    <w:rPr>
      <w:rFonts w:ascii="宋体" w:eastAsia="宋体"/>
    </w:rPr>
  </w:style>
  <w:style w:type="paragraph" w:customStyle="1" w:styleId="55">
    <w:name w:val="标准文件_二级条标题"/>
    <w:next w:val="56"/>
    <w:qFormat/>
    <w:uiPriority w:val="0"/>
    <w:pPr>
      <w:widowControl w:val="0"/>
      <w:numPr>
        <w:ilvl w:val="3"/>
        <w:numId w:val="3"/>
      </w:numPr>
      <w:spacing w:beforeLines="50" w:afterLines="50"/>
      <w:ind w:left="0"/>
      <w:jc w:val="both"/>
      <w:outlineLvl w:val="2"/>
    </w:pPr>
    <w:rPr>
      <w:rFonts w:ascii="黑体" w:hAnsi="Times New Roman" w:eastAsia="黑体" w:cs="Times New Roman"/>
      <w:sz w:val="21"/>
      <w:lang w:val="en-US" w:eastAsia="zh-CN" w:bidi="ar-SA"/>
    </w:rPr>
  </w:style>
  <w:style w:type="paragraph" w:customStyle="1" w:styleId="56">
    <w:name w:val="标准文件_段"/>
    <w:link w:val="59"/>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7">
    <w:name w:val="标准文件_字母编号列项（一级）"/>
    <w:qFormat/>
    <w:uiPriority w:val="0"/>
    <w:pPr>
      <w:numPr>
        <w:ilvl w:val="0"/>
        <w:numId w:val="4"/>
      </w:numPr>
      <w:jc w:val="both"/>
    </w:pPr>
    <w:rPr>
      <w:rFonts w:ascii="宋体" w:hAnsi="Times New Roman" w:eastAsia="宋体" w:cs="Times New Roman"/>
      <w:sz w:val="21"/>
      <w:lang w:val="en-US" w:eastAsia="zh-CN" w:bidi="ar-SA"/>
    </w:rPr>
  </w:style>
  <w:style w:type="paragraph" w:customStyle="1" w:styleId="58">
    <w:name w:val="标准文件_目录标题"/>
    <w:basedOn w:val="1"/>
    <w:qFormat/>
    <w:uiPriority w:val="0"/>
    <w:pPr>
      <w:widowControl/>
      <w:spacing w:afterLines="150"/>
      <w:jc w:val="center"/>
    </w:pPr>
    <w:rPr>
      <w:rFonts w:ascii="黑体" w:hAnsi="Calibri" w:eastAsia="黑体" w:cs="Times New Roman"/>
      <w:sz w:val="32"/>
      <w:szCs w:val="21"/>
    </w:rPr>
  </w:style>
  <w:style w:type="character" w:customStyle="1" w:styleId="59">
    <w:name w:val="标准文件_段 Char"/>
    <w:link w:val="56"/>
    <w:qFormat/>
    <w:uiPriority w:val="0"/>
    <w:rPr>
      <w:rFonts w:ascii="宋体"/>
      <w:sz w:val="21"/>
    </w:rPr>
  </w:style>
  <w:style w:type="paragraph" w:customStyle="1" w:styleId="60">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3.jpe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50</Pages>
  <Words>14820</Words>
  <Characters>16705</Characters>
  <Lines>285</Lines>
  <Paragraphs>80</Paragraphs>
  <TotalTime>19</TotalTime>
  <ScaleCrop>false</ScaleCrop>
  <LinksUpToDate>false</LinksUpToDate>
  <CharactersWithSpaces>17217</CharactersWithSpaces>
  <Application>WPS Office_11.8.2.10489_F1E327BC-269C-435d-A152-05C5408002CA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2024-10-24T10:39:00Z</dcterms:created>
  <dc:creator>熊峰</dc:creator>
  <cp:lastModifiedBy>user</cp:lastModifiedBy>
  <cp:lastPrinted>2024-10-24T11:44:00Z</cp:lastPrinted>
  <dcterms:modified xsi:type="dcterms:W3CDTF">2024-11-13T08:02:14Z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2052-11.8.2.10489</vt:lpwstr>
  </property>
  <property fmtid="{D5CDD505-2E9C-101B-9397-08002B2CF9AE}" pid="3" name="ICV">
    <vt:lpwstr>339B351145514CB4BCDCB8C4CB7805E3_13</vt:lpwstr>
  </property>
</Properties>
</file>