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D6F22">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lef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附件</w:t>
      </w:r>
      <w:r>
        <w:rPr>
          <w:rFonts w:hint="default" w:ascii="Times New Roman" w:hAnsi="Times New Roman" w:eastAsia="黑体" w:cs="Times New Roman"/>
          <w:color w:val="auto"/>
          <w:lang w:val="en-US" w:eastAsia="zh-CN"/>
        </w:rPr>
        <w:t>2</w:t>
      </w:r>
    </w:p>
    <w:p w14:paraId="13147C82">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《公共建筑节能（绿色建筑）设计标准》调整条文</w:t>
      </w:r>
    </w:p>
    <w:tbl>
      <w:tblPr>
        <w:tblStyle w:val="2"/>
        <w:tblW w:w="14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9"/>
        <w:gridCol w:w="6177"/>
        <w:gridCol w:w="6805"/>
      </w:tblGrid>
      <w:tr w14:paraId="4FFF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45A9">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方正黑体_GBK" w:hAnsi="方正黑体_GBK" w:eastAsia="方正黑体_GBK" w:cs="方正黑体_GBK"/>
                <w:b w:val="0"/>
                <w:bCs w:val="0"/>
                <w:i w:val="0"/>
                <w:iCs w:val="0"/>
                <w:color w:val="auto"/>
                <w:sz w:val="30"/>
                <w:szCs w:val="30"/>
                <w:u w:val="none"/>
              </w:rPr>
            </w:pPr>
            <w:r>
              <w:rPr>
                <w:rFonts w:hint="eastAsia" w:ascii="方正黑体_GBK" w:hAnsi="方正黑体_GBK" w:eastAsia="方正黑体_GBK" w:cs="方正黑体_GBK"/>
                <w:b w:val="0"/>
                <w:bCs w:val="0"/>
                <w:i w:val="0"/>
                <w:iCs w:val="0"/>
                <w:color w:val="auto"/>
                <w:kern w:val="0"/>
                <w:sz w:val="30"/>
                <w:szCs w:val="30"/>
                <w:u w:val="none"/>
                <w:lang w:val="en-US" w:eastAsia="zh-CN" w:bidi="ar"/>
              </w:rPr>
              <w:t>序号</w:t>
            </w:r>
          </w:p>
        </w:tc>
        <w:tc>
          <w:tcPr>
            <w:tcW w:w="6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F4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b w:val="0"/>
                <w:bCs w:val="0"/>
                <w:i w:val="0"/>
                <w:iCs w:val="0"/>
                <w:color w:val="auto"/>
                <w:sz w:val="30"/>
                <w:szCs w:val="30"/>
                <w:u w:val="none"/>
              </w:rPr>
            </w:pPr>
            <w:r>
              <w:rPr>
                <w:rFonts w:hint="eastAsia" w:ascii="方正黑体_GBK" w:hAnsi="方正黑体_GBK" w:eastAsia="方正黑体_GBK" w:cs="方正黑体_GBK"/>
                <w:b w:val="0"/>
                <w:bCs w:val="0"/>
                <w:i w:val="0"/>
                <w:iCs w:val="0"/>
                <w:color w:val="auto"/>
                <w:kern w:val="0"/>
                <w:sz w:val="30"/>
                <w:szCs w:val="30"/>
                <w:u w:val="none"/>
                <w:lang w:val="en-US" w:eastAsia="zh-CN" w:bidi="ar"/>
              </w:rPr>
              <w:t>原条文</w:t>
            </w:r>
          </w:p>
        </w:tc>
        <w:tc>
          <w:tcPr>
            <w:tcW w:w="6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0D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b w:val="0"/>
                <w:bCs w:val="0"/>
                <w:i w:val="0"/>
                <w:iCs w:val="0"/>
                <w:color w:val="auto"/>
                <w:sz w:val="30"/>
                <w:szCs w:val="30"/>
                <w:u w:val="none"/>
              </w:rPr>
            </w:pPr>
            <w:r>
              <w:rPr>
                <w:rFonts w:hint="eastAsia" w:ascii="方正黑体_GBK" w:hAnsi="方正黑体_GBK" w:eastAsia="方正黑体_GBK" w:cs="方正黑体_GBK"/>
                <w:b w:val="0"/>
                <w:bCs w:val="0"/>
                <w:i w:val="0"/>
                <w:iCs w:val="0"/>
                <w:color w:val="auto"/>
                <w:kern w:val="0"/>
                <w:sz w:val="30"/>
                <w:szCs w:val="30"/>
                <w:u w:val="none"/>
                <w:lang w:val="en-US" w:eastAsia="zh-CN" w:bidi="ar"/>
              </w:rPr>
              <w:t>调整后条文</w:t>
            </w:r>
          </w:p>
        </w:tc>
      </w:tr>
      <w:tr w14:paraId="1F06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3C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1</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37786290">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Style w:val="5"/>
                <w:rFonts w:hint="default" w:ascii="Times New Roman" w:hAnsi="Times New Roman" w:eastAsia="方正仿宋_GBK" w:cs="Times New Roman"/>
                <w:color w:val="auto"/>
                <w:sz w:val="28"/>
                <w:szCs w:val="28"/>
                <w:lang w:val="en-US" w:eastAsia="zh-CN" w:bidi="ar"/>
              </w:rPr>
              <w:t xml:space="preserve">4.3.13  </w:t>
            </w:r>
            <w:r>
              <w:rPr>
                <w:rFonts w:hint="default" w:ascii="Times New Roman" w:hAnsi="Times New Roman" w:eastAsia="方正仿宋_GBK" w:cs="Times New Roman"/>
                <w:i w:val="0"/>
                <w:iCs w:val="0"/>
                <w:color w:val="auto"/>
                <w:kern w:val="0"/>
                <w:sz w:val="28"/>
                <w:szCs w:val="28"/>
                <w:u w:val="none"/>
                <w:lang w:val="en-US" w:eastAsia="zh-CN" w:bidi="ar"/>
              </w:rPr>
              <w:t>建筑设计应布局合理，主要功能房间与噪声源合理分隔，且建筑声环境质量应符合下列规定：</w:t>
            </w:r>
            <w:r>
              <w:rPr>
                <w:rStyle w:val="5"/>
                <w:rFonts w:hint="default" w:ascii="Times New Roman" w:hAnsi="Times New Roman" w:eastAsia="方正仿宋_GBK" w:cs="Times New Roman"/>
                <w:color w:val="auto"/>
                <w:sz w:val="28"/>
                <w:szCs w:val="28"/>
                <w:lang w:val="en-US" w:eastAsia="zh-CN" w:bidi="ar"/>
              </w:rPr>
              <w:br w:type="textWrapping"/>
            </w:r>
            <w:r>
              <w:rPr>
                <w:rStyle w:val="5"/>
                <w:rFonts w:hint="default" w:ascii="Times New Roman" w:hAnsi="Times New Roman" w:eastAsia="方正仿宋_GBK" w:cs="Times New Roman"/>
                <w:color w:val="auto"/>
                <w:sz w:val="28"/>
                <w:szCs w:val="28"/>
                <w:lang w:val="en-US" w:eastAsia="zh-CN" w:bidi="ar"/>
              </w:rPr>
              <w:t xml:space="preserve">1  </w:t>
            </w:r>
            <w:r>
              <w:rPr>
                <w:rFonts w:hint="default" w:ascii="Times New Roman" w:hAnsi="Times New Roman" w:eastAsia="方正仿宋_GBK" w:cs="Times New Roman"/>
                <w:i w:val="0"/>
                <w:iCs w:val="0"/>
                <w:color w:val="auto"/>
                <w:kern w:val="0"/>
                <w:sz w:val="28"/>
                <w:szCs w:val="28"/>
                <w:u w:val="none"/>
                <w:lang w:val="en-US" w:eastAsia="zh-CN" w:bidi="ar"/>
              </w:rPr>
              <w:t>主要功能房间的室内噪声级应满足现行国家标准《民用建筑隔声设计规范》</w:t>
            </w:r>
            <w:r>
              <w:rPr>
                <w:rStyle w:val="5"/>
                <w:rFonts w:hint="default" w:ascii="Times New Roman" w:hAnsi="Times New Roman" w:eastAsia="方正仿宋_GBK" w:cs="Times New Roman"/>
                <w:color w:val="auto"/>
                <w:sz w:val="28"/>
                <w:szCs w:val="28"/>
                <w:lang w:val="en-US" w:eastAsia="zh-CN" w:bidi="ar"/>
              </w:rPr>
              <w:t>GB 50118</w:t>
            </w:r>
            <w:r>
              <w:rPr>
                <w:rFonts w:hint="default" w:ascii="Times New Roman" w:hAnsi="Times New Roman" w:eastAsia="方正仿宋_GBK" w:cs="Times New Roman"/>
                <w:i w:val="0"/>
                <w:iCs w:val="0"/>
                <w:color w:val="auto"/>
                <w:kern w:val="0"/>
                <w:sz w:val="28"/>
                <w:szCs w:val="28"/>
                <w:u w:val="none"/>
                <w:lang w:val="en-US" w:eastAsia="zh-CN" w:bidi="ar"/>
              </w:rPr>
              <w:t>中的低限要求；</w:t>
            </w:r>
            <w:r>
              <w:rPr>
                <w:rStyle w:val="5"/>
                <w:rFonts w:hint="default" w:ascii="Times New Roman" w:hAnsi="Times New Roman" w:eastAsia="方正仿宋_GBK" w:cs="Times New Roman"/>
                <w:color w:val="auto"/>
                <w:sz w:val="28"/>
                <w:szCs w:val="28"/>
                <w:lang w:val="en-US" w:eastAsia="zh-CN" w:bidi="ar"/>
              </w:rPr>
              <w:br w:type="textWrapping"/>
            </w:r>
            <w:r>
              <w:rPr>
                <w:rStyle w:val="5"/>
                <w:rFonts w:hint="default" w:ascii="Times New Roman" w:hAnsi="Times New Roman" w:eastAsia="方正仿宋_GBK" w:cs="Times New Roman"/>
                <w:color w:val="auto"/>
                <w:sz w:val="28"/>
                <w:szCs w:val="28"/>
                <w:lang w:val="en-US" w:eastAsia="zh-CN" w:bidi="ar"/>
              </w:rPr>
              <w:t xml:space="preserve">2  </w:t>
            </w:r>
            <w:r>
              <w:rPr>
                <w:rFonts w:hint="default" w:ascii="Times New Roman" w:hAnsi="Times New Roman" w:eastAsia="方正仿宋_GBK" w:cs="Times New Roman"/>
                <w:i w:val="0"/>
                <w:iCs w:val="0"/>
                <w:color w:val="auto"/>
                <w:kern w:val="0"/>
                <w:sz w:val="28"/>
                <w:szCs w:val="28"/>
                <w:u w:val="none"/>
                <w:lang w:val="en-US" w:eastAsia="zh-CN" w:bidi="ar"/>
              </w:rPr>
              <w:t>主要功能房间的外墙、隔墙、楼板和门窗的隔声性能应满足现行国家标准《民用建筑隔声设计规范》</w:t>
            </w:r>
            <w:r>
              <w:rPr>
                <w:rStyle w:val="5"/>
                <w:rFonts w:hint="default" w:ascii="Times New Roman" w:hAnsi="Times New Roman" w:eastAsia="方正仿宋_GBK" w:cs="Times New Roman"/>
                <w:color w:val="auto"/>
                <w:sz w:val="28"/>
                <w:szCs w:val="28"/>
                <w:lang w:val="en-US" w:eastAsia="zh-CN" w:bidi="ar"/>
              </w:rPr>
              <w:t>GB 50118</w:t>
            </w:r>
            <w:r>
              <w:rPr>
                <w:rFonts w:hint="default" w:ascii="Times New Roman" w:hAnsi="Times New Roman" w:eastAsia="方正仿宋_GBK" w:cs="Times New Roman"/>
                <w:i w:val="0"/>
                <w:iCs w:val="0"/>
                <w:color w:val="auto"/>
                <w:kern w:val="0"/>
                <w:sz w:val="28"/>
                <w:szCs w:val="28"/>
                <w:u w:val="none"/>
                <w:lang w:val="en-US" w:eastAsia="zh-CN" w:bidi="ar"/>
              </w:rPr>
              <w:t>中的低限要求；</w:t>
            </w:r>
            <w:r>
              <w:rPr>
                <w:rStyle w:val="5"/>
                <w:rFonts w:hint="default" w:ascii="Times New Roman" w:hAnsi="Times New Roman" w:eastAsia="方正仿宋_GBK" w:cs="Times New Roman"/>
                <w:color w:val="auto"/>
                <w:sz w:val="28"/>
                <w:szCs w:val="28"/>
                <w:lang w:val="en-US" w:eastAsia="zh-CN" w:bidi="ar"/>
              </w:rPr>
              <w:br w:type="textWrapping"/>
            </w:r>
            <w:r>
              <w:rPr>
                <w:rStyle w:val="5"/>
                <w:rFonts w:hint="default" w:ascii="Times New Roman" w:hAnsi="Times New Roman" w:eastAsia="方正仿宋_GBK" w:cs="Times New Roman"/>
                <w:color w:val="auto"/>
                <w:sz w:val="28"/>
                <w:szCs w:val="28"/>
                <w:lang w:val="en-US" w:eastAsia="zh-CN" w:bidi="ar"/>
              </w:rPr>
              <w:t xml:space="preserve">3 </w:t>
            </w:r>
            <w:r>
              <w:rPr>
                <w:rStyle w:val="5"/>
                <w:rFonts w:hint="eastAsia" w:ascii="Times New Roman" w:hAnsi="Times New Roman" w:cs="Times New Roman"/>
                <w:color w:val="auto"/>
                <w:sz w:val="28"/>
                <w:szCs w:val="28"/>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建筑服务设备、设施的结构噪声应满足现行国家标准《民用建筑隔声设计规范》</w:t>
            </w:r>
            <w:r>
              <w:rPr>
                <w:rStyle w:val="5"/>
                <w:rFonts w:hint="default" w:ascii="Times New Roman" w:hAnsi="Times New Roman" w:eastAsia="方正仿宋_GBK" w:cs="Times New Roman"/>
                <w:color w:val="auto"/>
                <w:sz w:val="28"/>
                <w:szCs w:val="28"/>
                <w:lang w:val="en-US" w:eastAsia="zh-CN" w:bidi="ar"/>
              </w:rPr>
              <w:t>GB 50118</w:t>
            </w:r>
            <w:r>
              <w:rPr>
                <w:rFonts w:hint="default" w:ascii="Times New Roman" w:hAnsi="Times New Roman" w:eastAsia="方正仿宋_GBK" w:cs="Times New Roman"/>
                <w:i w:val="0"/>
                <w:iCs w:val="0"/>
                <w:color w:val="auto"/>
                <w:kern w:val="0"/>
                <w:sz w:val="28"/>
                <w:szCs w:val="28"/>
                <w:u w:val="none"/>
                <w:lang w:val="en-US" w:eastAsia="zh-CN" w:bidi="ar"/>
              </w:rPr>
              <w:t>中的低限要求或满足现行国家标准《社会生活环境噪声排放标准》</w:t>
            </w:r>
            <w:r>
              <w:rPr>
                <w:rStyle w:val="5"/>
                <w:rFonts w:hint="default" w:ascii="Times New Roman" w:hAnsi="Times New Roman" w:eastAsia="方正仿宋_GBK" w:cs="Times New Roman"/>
                <w:color w:val="auto"/>
                <w:sz w:val="28"/>
                <w:szCs w:val="28"/>
                <w:lang w:val="en-US" w:eastAsia="zh-CN" w:bidi="ar"/>
              </w:rPr>
              <w:t>GB 22337</w:t>
            </w:r>
            <w:r>
              <w:rPr>
                <w:rFonts w:hint="default" w:ascii="Times New Roman" w:hAnsi="Times New Roman" w:eastAsia="方正仿宋_GBK" w:cs="Times New Roman"/>
                <w:i w:val="0"/>
                <w:iCs w:val="0"/>
                <w:color w:val="auto"/>
                <w:kern w:val="0"/>
                <w:sz w:val="28"/>
                <w:szCs w:val="28"/>
                <w:u w:val="none"/>
                <w:lang w:val="en-US" w:eastAsia="zh-CN" w:bidi="ar"/>
              </w:rPr>
              <w:t>的限值要求；</w:t>
            </w:r>
            <w:r>
              <w:rPr>
                <w:rStyle w:val="5"/>
                <w:rFonts w:hint="default" w:ascii="Times New Roman" w:hAnsi="Times New Roman" w:eastAsia="方正仿宋_GBK" w:cs="Times New Roman"/>
                <w:color w:val="auto"/>
                <w:sz w:val="28"/>
                <w:szCs w:val="28"/>
                <w:lang w:val="en-US" w:eastAsia="zh-CN" w:bidi="ar"/>
              </w:rPr>
              <w:br w:type="textWrapping"/>
            </w:r>
            <w:r>
              <w:rPr>
                <w:rStyle w:val="5"/>
                <w:rFonts w:hint="default" w:ascii="Times New Roman" w:hAnsi="Times New Roman" w:eastAsia="方正仿宋_GBK" w:cs="Times New Roman"/>
                <w:color w:val="auto"/>
                <w:sz w:val="28"/>
                <w:szCs w:val="28"/>
                <w:lang w:val="en-US" w:eastAsia="zh-CN" w:bidi="ar"/>
              </w:rPr>
              <w:t xml:space="preserve">4 </w:t>
            </w:r>
            <w:r>
              <w:rPr>
                <w:rStyle w:val="5"/>
                <w:rFonts w:hint="eastAsia" w:ascii="Times New Roman" w:hAnsi="Times New Roman" w:cs="Times New Roman"/>
                <w:color w:val="auto"/>
                <w:sz w:val="28"/>
                <w:szCs w:val="28"/>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有混响时间和吸声要求的主要功能房间，该性能应满足现行国家标准《民用建筑隔声设计规范》</w:t>
            </w:r>
            <w:r>
              <w:rPr>
                <w:rStyle w:val="5"/>
                <w:rFonts w:hint="default" w:ascii="Times New Roman" w:hAnsi="Times New Roman" w:eastAsia="方正仿宋_GBK" w:cs="Times New Roman"/>
                <w:color w:val="auto"/>
                <w:sz w:val="28"/>
                <w:szCs w:val="28"/>
                <w:lang w:val="en-US" w:eastAsia="zh-CN" w:bidi="ar"/>
              </w:rPr>
              <w:t>GB 50118</w:t>
            </w:r>
            <w:r>
              <w:rPr>
                <w:rFonts w:hint="default" w:ascii="Times New Roman" w:hAnsi="Times New Roman" w:eastAsia="方正仿宋_GBK" w:cs="Times New Roman"/>
                <w:i w:val="0"/>
                <w:iCs w:val="0"/>
                <w:color w:val="auto"/>
                <w:kern w:val="0"/>
                <w:sz w:val="28"/>
                <w:szCs w:val="28"/>
                <w:u w:val="none"/>
                <w:lang w:val="en-US" w:eastAsia="zh-CN" w:bidi="ar"/>
              </w:rPr>
              <w:t>的要求或该功能房间所属建筑设计规范的要求。</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F2F">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 xml:space="preserve">4.3.13  </w:t>
            </w:r>
            <w:r>
              <w:rPr>
                <w:rFonts w:hint="eastAsia" w:ascii="Times New Roman" w:hAnsi="Times New Roman" w:eastAsia="方正仿宋_GBK" w:cs="Times New Roman"/>
                <w:i w:val="0"/>
                <w:iCs w:val="0"/>
                <w:color w:val="auto"/>
                <w:kern w:val="0"/>
                <w:sz w:val="28"/>
                <w:szCs w:val="28"/>
                <w:u w:val="none"/>
                <w:lang w:val="en-US" w:eastAsia="zh-CN" w:bidi="ar"/>
              </w:rPr>
              <w:t>建筑声环境设计应符合下列规定：</w:t>
            </w:r>
          </w:p>
          <w:p w14:paraId="5937B58E">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 xml:space="preserve">1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场地规划布局和建筑平面设计时应合理规划噪声源区域和噪声敏感区域，并进行识别和标注；</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2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外墙、隔墙、楼板和门窗等主要建筑构件的隔声性能指标不应低于现行国家标准《民用建筑隔声设计规范》GB 50118的规定，并应根据隔声性能指标明确主要建筑构件的构造做法；</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3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建筑服务设备、设施的结构噪声应满足现行国家标准《民用建筑隔声设计规范》GB 50118中的低限要求或满足现行国家标准《社会生活环境噪声排放标准》GB 22337的限值要求；</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4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有混响时间和吸声要求的主要功能房间，该性能应满足现行国家标准《民用建筑隔声设计规范》GB 50118的要求或该功能房间所属建筑设计规范的要求。</w:t>
            </w:r>
          </w:p>
        </w:tc>
      </w:tr>
      <w:tr w14:paraId="41D2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9"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01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2</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63D09140">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7.2.2  变配电所应靠近负荷中心，且应合理选择变压器的容量和台数；变压器应选用低损耗型，且能效值应满足现行国家标准《三相配电变压器能效限定值及能效等级》</w:t>
            </w:r>
            <w:r>
              <w:rPr>
                <w:rStyle w:val="5"/>
                <w:rFonts w:hint="default" w:ascii="Times New Roman" w:hAnsi="Times New Roman" w:eastAsia="方正仿宋_GBK" w:cs="Times New Roman"/>
                <w:color w:val="auto"/>
                <w:sz w:val="28"/>
                <w:szCs w:val="28"/>
                <w:lang w:val="en-US" w:eastAsia="zh-CN" w:bidi="ar"/>
              </w:rPr>
              <w:t>GB 20052</w:t>
            </w:r>
            <w:r>
              <w:rPr>
                <w:rFonts w:hint="default" w:ascii="Times New Roman" w:hAnsi="Times New Roman" w:eastAsia="方正仿宋_GBK" w:cs="Times New Roman"/>
                <w:i w:val="0"/>
                <w:iCs w:val="0"/>
                <w:color w:val="auto"/>
                <w:kern w:val="0"/>
                <w:sz w:val="28"/>
                <w:szCs w:val="28"/>
                <w:u w:val="none"/>
                <w:lang w:val="en-US" w:eastAsia="zh-CN" w:bidi="ar"/>
              </w:rPr>
              <w:t>中节能评价值的要求。</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88AD">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7.2.2</w:t>
            </w:r>
            <w:r>
              <w:rPr>
                <w:rFonts w:hint="eastAsia" w:ascii="Times New Roman" w:hAnsi="Times New Roman" w:eastAsia="方正仿宋_GBK"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变配电所应靠近负荷中心，且应合理选择变压器的容量和台数；变压器应选用低损耗型，且能效值应满足现行国家标准《电力变压器能效限定值及能效等级》GB 20052中能效等级2级要求。</w:t>
            </w:r>
          </w:p>
        </w:tc>
      </w:tr>
      <w:tr w14:paraId="1A42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70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3</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718484A8">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Style w:val="5"/>
                <w:rFonts w:hint="default" w:ascii="Times New Roman" w:hAnsi="Times New Roman" w:eastAsia="方正仿宋_GBK" w:cs="Times New Roman"/>
                <w:color w:val="auto"/>
                <w:sz w:val="28"/>
                <w:szCs w:val="28"/>
                <w:lang w:val="en-US" w:eastAsia="zh-CN" w:bidi="ar"/>
              </w:rPr>
              <w:t xml:space="preserve">7.2.6  </w:t>
            </w:r>
            <w:r>
              <w:rPr>
                <w:rFonts w:hint="default" w:ascii="Times New Roman" w:hAnsi="Times New Roman" w:eastAsia="方正仿宋_GBK" w:cs="Times New Roman"/>
                <w:i w:val="0"/>
                <w:iCs w:val="0"/>
                <w:color w:val="auto"/>
                <w:kern w:val="0"/>
                <w:sz w:val="28"/>
                <w:szCs w:val="28"/>
                <w:u w:val="none"/>
                <w:lang w:val="en-US" w:eastAsia="zh-CN" w:bidi="ar"/>
              </w:rPr>
              <w:t>建筑照明数量和质量应符合现行国家标准《建筑照明设计标准》</w:t>
            </w:r>
            <w:r>
              <w:rPr>
                <w:rStyle w:val="5"/>
                <w:rFonts w:hint="default" w:ascii="Times New Roman" w:hAnsi="Times New Roman" w:eastAsia="方正仿宋_GBK" w:cs="Times New Roman"/>
                <w:color w:val="auto"/>
                <w:sz w:val="28"/>
                <w:szCs w:val="28"/>
                <w:lang w:val="en-US" w:eastAsia="zh-CN" w:bidi="ar"/>
              </w:rPr>
              <w:t>GB 50034</w:t>
            </w:r>
            <w:r>
              <w:rPr>
                <w:rFonts w:hint="default" w:ascii="Times New Roman" w:hAnsi="Times New Roman" w:eastAsia="方正仿宋_GBK" w:cs="Times New Roman"/>
                <w:i w:val="0"/>
                <w:iCs w:val="0"/>
                <w:color w:val="auto"/>
                <w:kern w:val="0"/>
                <w:sz w:val="28"/>
                <w:szCs w:val="28"/>
                <w:u w:val="none"/>
                <w:lang w:val="en-US" w:eastAsia="zh-CN" w:bidi="ar"/>
              </w:rPr>
              <w:t>的规定。</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688A">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7.2.6</w:t>
            </w:r>
            <w:r>
              <w:rPr>
                <w:rFonts w:hint="eastAsia" w:ascii="Times New Roman" w:hAnsi="Times New Roman" w:eastAsia="方正仿宋_GBK" w:cs="Times New Roman"/>
                <w:i w:val="0"/>
                <w:iCs w:val="0"/>
                <w:color w:val="auto"/>
                <w:kern w:val="0"/>
                <w:sz w:val="28"/>
                <w:szCs w:val="28"/>
                <w:u w:val="none"/>
                <w:lang w:val="en-US" w:eastAsia="zh-CN" w:bidi="ar"/>
              </w:rPr>
              <w:t xml:space="preserve">  建筑</w:t>
            </w:r>
            <w:r>
              <w:rPr>
                <w:rFonts w:hint="default" w:ascii="Times New Roman" w:hAnsi="Times New Roman" w:eastAsia="方正仿宋_GBK" w:cs="Times New Roman"/>
                <w:i w:val="0"/>
                <w:iCs w:val="0"/>
                <w:color w:val="auto"/>
                <w:kern w:val="0"/>
                <w:sz w:val="28"/>
                <w:szCs w:val="28"/>
                <w:u w:val="none"/>
                <w:lang w:val="en-US" w:eastAsia="zh-CN" w:bidi="ar"/>
              </w:rPr>
              <w:t>各场所的照度、照度均匀度、显色指数、统一眩光值应符合现行国家标准《建筑照明设计标准》GB/T 50034的规定。</w:t>
            </w:r>
          </w:p>
        </w:tc>
      </w:tr>
      <w:tr w14:paraId="79A2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BB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4</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031C4767">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7.2.7  各类建筑的照明功率密度值不应高于现行国家标准《建筑照明设计标准》</w:t>
            </w:r>
            <w:r>
              <w:rPr>
                <w:rStyle w:val="5"/>
                <w:rFonts w:hint="default" w:ascii="Times New Roman" w:hAnsi="Times New Roman" w:eastAsia="方正仿宋_GBK" w:cs="Times New Roman"/>
                <w:color w:val="auto"/>
                <w:sz w:val="28"/>
                <w:szCs w:val="28"/>
                <w:lang w:val="en-US" w:eastAsia="zh-CN" w:bidi="ar"/>
              </w:rPr>
              <w:t>GB 50034</w:t>
            </w:r>
            <w:r>
              <w:rPr>
                <w:rFonts w:hint="default" w:ascii="Times New Roman" w:hAnsi="Times New Roman" w:eastAsia="方正仿宋_GBK" w:cs="Times New Roman"/>
                <w:i w:val="0"/>
                <w:iCs w:val="0"/>
                <w:color w:val="auto"/>
                <w:kern w:val="0"/>
                <w:sz w:val="28"/>
                <w:szCs w:val="28"/>
                <w:u w:val="none"/>
                <w:lang w:val="en-US" w:eastAsia="zh-CN" w:bidi="ar"/>
              </w:rPr>
              <w:t>规定的现行值，房间或场所的照度值高于或低于《建筑照明设计标准》</w:t>
            </w:r>
            <w:r>
              <w:rPr>
                <w:rStyle w:val="5"/>
                <w:rFonts w:hint="default" w:ascii="Times New Roman" w:hAnsi="Times New Roman" w:eastAsia="方正仿宋_GBK" w:cs="Times New Roman"/>
                <w:color w:val="auto"/>
                <w:sz w:val="28"/>
                <w:szCs w:val="28"/>
                <w:lang w:val="en-US" w:eastAsia="zh-CN" w:bidi="ar"/>
              </w:rPr>
              <w:t>GB 50034</w:t>
            </w:r>
            <w:r>
              <w:rPr>
                <w:rFonts w:hint="eastAsia" w:ascii="Times New Roman" w:hAnsi="Times New Roman" w:cs="Times New Roman"/>
                <w:i w:val="0"/>
                <w:iCs w:val="0"/>
                <w:color w:val="auto"/>
                <w:kern w:val="0"/>
                <w:sz w:val="28"/>
                <w:szCs w:val="28"/>
                <w:u w:val="none"/>
                <w:lang w:val="en-US" w:eastAsia="zh-CN" w:bidi="ar"/>
              </w:rPr>
              <w:t>中</w:t>
            </w:r>
            <w:r>
              <w:rPr>
                <w:rFonts w:hint="default" w:ascii="Times New Roman" w:hAnsi="Times New Roman" w:eastAsia="方正仿宋_GBK" w:cs="Times New Roman"/>
                <w:i w:val="0"/>
                <w:iCs w:val="0"/>
                <w:color w:val="auto"/>
                <w:kern w:val="0"/>
                <w:sz w:val="28"/>
                <w:szCs w:val="28"/>
                <w:u w:val="none"/>
                <w:lang w:val="en-US" w:eastAsia="zh-CN" w:bidi="ar"/>
              </w:rPr>
              <w:t>规定的对应照度值时，其照明功率密度值应按比例提高或折减。</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B4B6">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7</w:t>
            </w:r>
            <w:r>
              <w:rPr>
                <w:rFonts w:hint="eastAsia" w:ascii="Times New Roman" w:hAnsi="Times New Roman" w:eastAsia="方正仿宋_GBK" w:cs="Times New Roman"/>
                <w:i w:val="0"/>
                <w:iCs w:val="0"/>
                <w:color w:val="auto"/>
                <w:kern w:val="0"/>
                <w:sz w:val="28"/>
                <w:szCs w:val="28"/>
                <w:u w:val="none"/>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t>2</w:t>
            </w:r>
            <w:r>
              <w:rPr>
                <w:rFonts w:hint="eastAsia" w:ascii="Times New Roman" w:hAnsi="Times New Roman" w:eastAsia="方正仿宋_GBK" w:cs="Times New Roman"/>
                <w:i w:val="0"/>
                <w:iCs w:val="0"/>
                <w:color w:val="auto"/>
                <w:kern w:val="0"/>
                <w:sz w:val="28"/>
                <w:szCs w:val="28"/>
                <w:u w:val="none"/>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t>7</w:t>
            </w:r>
            <w:r>
              <w:rPr>
                <w:rFonts w:hint="eastAsia" w:ascii="Times New Roman" w:hAnsi="Times New Roman" w:eastAsia="方正仿宋_GBK"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各类建筑的照明功率密度值应符合现行强制性工程建设规范《建筑节能与可再生能用利用通用规范》GB</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55015的相关要求。</w:t>
            </w:r>
          </w:p>
        </w:tc>
      </w:tr>
      <w:tr w14:paraId="5D8D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76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5</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68A22D01">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Style w:val="5"/>
                <w:rFonts w:hint="default" w:ascii="Times New Roman" w:hAnsi="Times New Roman" w:eastAsia="方正仿宋_GBK" w:cs="Times New Roman"/>
                <w:color w:val="auto"/>
                <w:sz w:val="28"/>
                <w:szCs w:val="28"/>
                <w:lang w:val="en-US" w:eastAsia="zh-CN" w:bidi="ar"/>
              </w:rPr>
              <w:t xml:space="preserve">7.2.9  </w:t>
            </w:r>
            <w:r>
              <w:rPr>
                <w:rFonts w:hint="default" w:ascii="Times New Roman" w:hAnsi="Times New Roman" w:eastAsia="方正仿宋_GBK" w:cs="Times New Roman"/>
                <w:i w:val="0"/>
                <w:iCs w:val="0"/>
                <w:color w:val="auto"/>
                <w:kern w:val="0"/>
                <w:sz w:val="28"/>
                <w:szCs w:val="28"/>
                <w:u w:val="none"/>
                <w:lang w:val="en-US" w:eastAsia="zh-CN" w:bidi="ar"/>
              </w:rPr>
              <w:t>照明产品应满足国家现行有关标准的节能评价值的要求。</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12D0">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7.2.9</w:t>
            </w:r>
            <w:r>
              <w:rPr>
                <w:rFonts w:hint="eastAsia" w:ascii="Times New Roman" w:hAnsi="Times New Roman" w:eastAsia="方正仿宋_GBK"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照明产品应满足国家现行有关标准的能效等级2级要求。</w:t>
            </w:r>
          </w:p>
        </w:tc>
      </w:tr>
      <w:tr w14:paraId="517D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7"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59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6</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137E8812">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Style w:val="5"/>
                <w:rFonts w:hint="default" w:ascii="Times New Roman" w:hAnsi="Times New Roman" w:eastAsia="方正仿宋_GBK" w:cs="Times New Roman"/>
                <w:color w:val="auto"/>
                <w:sz w:val="28"/>
                <w:szCs w:val="28"/>
                <w:lang w:val="en-US" w:eastAsia="zh-CN" w:bidi="ar"/>
              </w:rPr>
              <w:t xml:space="preserve">7.3.1  </w:t>
            </w:r>
            <w:r>
              <w:rPr>
                <w:rFonts w:hint="default" w:ascii="Times New Roman" w:hAnsi="Times New Roman" w:eastAsia="方正仿宋_GBK" w:cs="Times New Roman"/>
                <w:i w:val="0"/>
                <w:iCs w:val="0"/>
                <w:color w:val="auto"/>
                <w:kern w:val="0"/>
                <w:sz w:val="28"/>
                <w:szCs w:val="28"/>
                <w:u w:val="none"/>
                <w:lang w:val="en-US" w:eastAsia="zh-CN" w:bidi="ar"/>
              </w:rPr>
              <w:t>建筑照明应符合下列规定：</w:t>
            </w:r>
            <w:r>
              <w:rPr>
                <w:rStyle w:val="5"/>
                <w:rFonts w:hint="default" w:ascii="Times New Roman" w:hAnsi="Times New Roman" w:eastAsia="方正仿宋_GBK" w:cs="Times New Roman"/>
                <w:color w:val="auto"/>
                <w:sz w:val="28"/>
                <w:szCs w:val="28"/>
                <w:lang w:val="en-US" w:eastAsia="zh-CN" w:bidi="ar"/>
              </w:rPr>
              <w:br w:type="textWrapping"/>
            </w:r>
            <w:r>
              <w:rPr>
                <w:rStyle w:val="5"/>
                <w:rFonts w:hint="default" w:ascii="Times New Roman" w:hAnsi="Times New Roman" w:eastAsia="方正仿宋_GBK" w:cs="Times New Roman"/>
                <w:color w:val="auto"/>
                <w:sz w:val="28"/>
                <w:szCs w:val="28"/>
                <w:lang w:val="en-US" w:eastAsia="zh-CN" w:bidi="ar"/>
              </w:rPr>
              <w:t>1</w:t>
            </w:r>
            <w:r>
              <w:rPr>
                <w:rStyle w:val="5"/>
                <w:rFonts w:hint="eastAsia" w:ascii="Times New Roman" w:hAnsi="Times New Roman" w:cs="Times New Roman"/>
                <w:color w:val="auto"/>
                <w:sz w:val="28"/>
                <w:szCs w:val="28"/>
                <w:lang w:val="en-US" w:eastAsia="zh-CN" w:bidi="ar"/>
              </w:rPr>
              <w:t xml:space="preserve"> </w:t>
            </w:r>
            <w:r>
              <w:rPr>
                <w:rStyle w:val="5"/>
                <w:rFonts w:hint="default" w:ascii="Times New Roman" w:hAnsi="Times New Roman" w:eastAsia="方正仿宋_GBK" w:cs="Times New Roman"/>
                <w:color w:val="auto"/>
                <w:sz w:val="28"/>
                <w:szCs w:val="28"/>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人员长期停留的场所应采用符合现行国家标准《灯和灯系统的光生物安全性》</w:t>
            </w:r>
            <w:r>
              <w:rPr>
                <w:rStyle w:val="5"/>
                <w:rFonts w:hint="default" w:ascii="Times New Roman" w:hAnsi="Times New Roman" w:eastAsia="方正仿宋_GBK" w:cs="Times New Roman"/>
                <w:color w:val="auto"/>
                <w:sz w:val="28"/>
                <w:szCs w:val="28"/>
                <w:lang w:val="en-US" w:eastAsia="zh-CN" w:bidi="ar"/>
              </w:rPr>
              <w:t>GB/T 20145</w:t>
            </w:r>
            <w:r>
              <w:rPr>
                <w:rFonts w:hint="default" w:ascii="Times New Roman" w:hAnsi="Times New Roman" w:eastAsia="方正仿宋_GBK" w:cs="Times New Roman"/>
                <w:i w:val="0"/>
                <w:iCs w:val="0"/>
                <w:color w:val="auto"/>
                <w:kern w:val="0"/>
                <w:sz w:val="28"/>
                <w:szCs w:val="28"/>
                <w:u w:val="none"/>
                <w:lang w:val="en-US" w:eastAsia="zh-CN" w:bidi="ar"/>
              </w:rPr>
              <w:t>规定的无危险类照明产品；</w:t>
            </w:r>
            <w:r>
              <w:rPr>
                <w:rStyle w:val="5"/>
                <w:rFonts w:hint="default" w:ascii="Times New Roman" w:hAnsi="Times New Roman" w:eastAsia="方正仿宋_GBK" w:cs="Times New Roman"/>
                <w:color w:val="auto"/>
                <w:sz w:val="28"/>
                <w:szCs w:val="28"/>
                <w:lang w:val="en-US" w:eastAsia="zh-CN" w:bidi="ar"/>
              </w:rPr>
              <w:br w:type="textWrapping"/>
            </w:r>
            <w:r>
              <w:rPr>
                <w:rStyle w:val="5"/>
                <w:rFonts w:hint="default" w:ascii="Times New Roman" w:hAnsi="Times New Roman" w:eastAsia="方正仿宋_GBK" w:cs="Times New Roman"/>
                <w:color w:val="auto"/>
                <w:sz w:val="28"/>
                <w:szCs w:val="28"/>
                <w:lang w:val="en-US" w:eastAsia="zh-CN" w:bidi="ar"/>
              </w:rPr>
              <w:t>2</w:t>
            </w:r>
            <w:r>
              <w:rPr>
                <w:rStyle w:val="5"/>
                <w:rFonts w:hint="eastAsia" w:ascii="Times New Roman" w:hAnsi="Times New Roman" w:cs="Times New Roman"/>
                <w:color w:val="auto"/>
                <w:sz w:val="28"/>
                <w:szCs w:val="28"/>
                <w:lang w:val="en-US" w:eastAsia="zh-CN" w:bidi="ar"/>
              </w:rPr>
              <w:t xml:space="preserve"> </w:t>
            </w:r>
            <w:r>
              <w:rPr>
                <w:rStyle w:val="5"/>
                <w:rFonts w:hint="default" w:ascii="Times New Roman" w:hAnsi="Times New Roman" w:eastAsia="方正仿宋_GBK" w:cs="Times New Roman"/>
                <w:color w:val="auto"/>
                <w:sz w:val="28"/>
                <w:szCs w:val="28"/>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选用</w:t>
            </w:r>
            <w:r>
              <w:rPr>
                <w:rStyle w:val="5"/>
                <w:rFonts w:hint="default" w:ascii="Times New Roman" w:hAnsi="Times New Roman" w:eastAsia="方正仿宋_GBK" w:cs="Times New Roman"/>
                <w:color w:val="auto"/>
                <w:sz w:val="28"/>
                <w:szCs w:val="28"/>
                <w:lang w:val="en-US" w:eastAsia="zh-CN" w:bidi="ar"/>
              </w:rPr>
              <w:t>LED</w:t>
            </w:r>
            <w:r>
              <w:rPr>
                <w:rFonts w:hint="default" w:ascii="Times New Roman" w:hAnsi="Times New Roman" w:eastAsia="方正仿宋_GBK" w:cs="Times New Roman"/>
                <w:i w:val="0"/>
                <w:iCs w:val="0"/>
                <w:color w:val="auto"/>
                <w:kern w:val="0"/>
                <w:sz w:val="28"/>
                <w:szCs w:val="28"/>
                <w:u w:val="none"/>
                <w:lang w:val="en-US" w:eastAsia="zh-CN" w:bidi="ar"/>
              </w:rPr>
              <w:t>照明产品的光输出波形的波动深度应满足现行国家标准《</w:t>
            </w:r>
            <w:r>
              <w:rPr>
                <w:rStyle w:val="5"/>
                <w:rFonts w:hint="default" w:ascii="Times New Roman" w:hAnsi="Times New Roman" w:eastAsia="方正仿宋_GBK" w:cs="Times New Roman"/>
                <w:color w:val="auto"/>
                <w:sz w:val="28"/>
                <w:szCs w:val="28"/>
                <w:lang w:val="en-US" w:eastAsia="zh-CN" w:bidi="ar"/>
              </w:rPr>
              <w:t>LED</w:t>
            </w:r>
            <w:r>
              <w:rPr>
                <w:rFonts w:hint="default" w:ascii="Times New Roman" w:hAnsi="Times New Roman" w:eastAsia="方正仿宋_GBK" w:cs="Times New Roman"/>
                <w:i w:val="0"/>
                <w:iCs w:val="0"/>
                <w:color w:val="auto"/>
                <w:kern w:val="0"/>
                <w:sz w:val="28"/>
                <w:szCs w:val="28"/>
                <w:u w:val="none"/>
                <w:lang w:val="en-US" w:eastAsia="zh-CN" w:bidi="ar"/>
              </w:rPr>
              <w:t>室内照明应用技术要求》</w:t>
            </w:r>
            <w:r>
              <w:rPr>
                <w:rStyle w:val="5"/>
                <w:rFonts w:hint="default" w:ascii="Times New Roman" w:hAnsi="Times New Roman" w:eastAsia="方正仿宋_GBK" w:cs="Times New Roman"/>
                <w:color w:val="auto"/>
                <w:sz w:val="28"/>
                <w:szCs w:val="28"/>
                <w:lang w:val="en-US" w:eastAsia="zh-CN" w:bidi="ar"/>
              </w:rPr>
              <w:t>GB/T 31831</w:t>
            </w:r>
            <w:r>
              <w:rPr>
                <w:rFonts w:hint="default" w:ascii="Times New Roman" w:hAnsi="Times New Roman" w:eastAsia="方正仿宋_GBK" w:cs="Times New Roman"/>
                <w:i w:val="0"/>
                <w:iCs w:val="0"/>
                <w:color w:val="auto"/>
                <w:kern w:val="0"/>
                <w:sz w:val="28"/>
                <w:szCs w:val="28"/>
                <w:u w:val="none"/>
                <w:lang w:val="en-US" w:eastAsia="zh-CN" w:bidi="ar"/>
              </w:rPr>
              <w:t>的规定。</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9B6A">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7.3.1</w:t>
            </w:r>
            <w:r>
              <w:rPr>
                <w:rFonts w:hint="eastAsia" w:ascii="Times New Roman" w:hAnsi="Times New Roman" w:eastAsia="方正仿宋_GBK"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人员长期停留的房间或场所采用的照明光源和灯具，其频闪效应可视度</w:t>
            </w:r>
            <w:r>
              <w:rPr>
                <w:rFonts w:hint="eastAsia" w:ascii="Times New Roman" w:hAnsi="Times New Roman" w:cs="Times New Roman"/>
                <w:i w:val="0"/>
                <w:iCs w:val="0"/>
                <w:color w:val="auto"/>
                <w:kern w:val="0"/>
                <w:sz w:val="28"/>
                <w:szCs w:val="28"/>
                <w:u w:val="none"/>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t>SVM</w:t>
            </w:r>
            <w:r>
              <w:rPr>
                <w:rFonts w:hint="eastAsia" w:ascii="Times New Roman" w:hAnsi="Times New Roman" w:cs="Times New Roman"/>
                <w:i w:val="0"/>
                <w:iCs w:val="0"/>
                <w:color w:val="auto"/>
                <w:kern w:val="0"/>
                <w:sz w:val="28"/>
                <w:szCs w:val="28"/>
                <w:u w:val="none"/>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t>不应大于</w:t>
            </w:r>
            <w:r>
              <w:rPr>
                <w:rFonts w:hint="default" w:ascii="Times New Roman" w:hAnsi="Times New Roman" w:cs="Times New Roman"/>
                <w:i w:val="0"/>
                <w:iCs w:val="0"/>
                <w:color w:val="auto"/>
                <w:kern w:val="0"/>
                <w:sz w:val="28"/>
                <w:szCs w:val="28"/>
                <w:u w:val="none"/>
                <w:lang w:val="en-US" w:eastAsia="zh-CN" w:bidi="ar"/>
              </w:rPr>
              <w:t>1</w:t>
            </w:r>
            <w:r>
              <w:rPr>
                <w:rFonts w:hint="eastAsia" w:ascii="Times New Roman" w:hAnsi="Times New Roman" w:cs="Times New Roman"/>
                <w:i w:val="0"/>
                <w:iCs w:val="0"/>
                <w:color w:val="auto"/>
                <w:kern w:val="0"/>
                <w:sz w:val="28"/>
                <w:szCs w:val="28"/>
                <w:u w:val="none"/>
                <w:lang w:val="en-US" w:eastAsia="zh-CN" w:bidi="ar"/>
              </w:rPr>
              <w:t>.</w:t>
            </w:r>
            <w:r>
              <w:rPr>
                <w:rFonts w:hint="default" w:ascii="Times New Roman" w:hAnsi="Times New Roman" w:cs="Times New Roman"/>
                <w:i w:val="0"/>
                <w:iCs w:val="0"/>
                <w:color w:val="auto"/>
                <w:kern w:val="0"/>
                <w:sz w:val="28"/>
                <w:szCs w:val="28"/>
                <w:u w:val="none"/>
                <w:lang w:val="en-US" w:eastAsia="zh-CN" w:bidi="ar"/>
              </w:rPr>
              <w:t>3</w:t>
            </w:r>
            <w:r>
              <w:rPr>
                <w:rFonts w:hint="default" w:ascii="Times New Roman" w:hAnsi="Times New Roman" w:eastAsia="方正仿宋_GBK" w:cs="Times New Roman"/>
                <w:i w:val="0"/>
                <w:iCs w:val="0"/>
                <w:color w:val="auto"/>
                <w:kern w:val="0"/>
                <w:sz w:val="28"/>
                <w:szCs w:val="28"/>
                <w:u w:val="none"/>
                <w:lang w:val="en-US" w:eastAsia="zh-CN" w:bidi="ar"/>
              </w:rPr>
              <w:t>。</w:t>
            </w:r>
          </w:p>
        </w:tc>
      </w:tr>
      <w:tr w14:paraId="20E0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7"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B8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7</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1F6AB579">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Style w:val="5"/>
                <w:rFonts w:hint="default" w:ascii="Times New Roman" w:hAnsi="Times New Roman" w:eastAsia="方正仿宋_GBK" w:cs="Times New Roman"/>
                <w:color w:val="auto"/>
                <w:sz w:val="28"/>
                <w:szCs w:val="28"/>
                <w:lang w:val="en-US" w:eastAsia="zh-CN" w:bidi="ar"/>
              </w:rPr>
              <w:t xml:space="preserve">7.3.2  </w:t>
            </w:r>
            <w:r>
              <w:rPr>
                <w:rFonts w:hint="default" w:ascii="Times New Roman" w:hAnsi="Times New Roman" w:eastAsia="方正仿宋_GBK" w:cs="Times New Roman"/>
                <w:i w:val="0"/>
                <w:iCs w:val="0"/>
                <w:color w:val="auto"/>
                <w:kern w:val="0"/>
                <w:sz w:val="28"/>
                <w:szCs w:val="28"/>
                <w:u w:val="none"/>
                <w:lang w:val="en-US" w:eastAsia="zh-CN" w:bidi="ar"/>
              </w:rPr>
              <w:t>各类建筑的照明功率密度值不应高于现行国家标准《建筑照明设计标准》</w:t>
            </w:r>
            <w:r>
              <w:rPr>
                <w:rStyle w:val="5"/>
                <w:rFonts w:hint="default" w:ascii="Times New Roman" w:hAnsi="Times New Roman" w:eastAsia="方正仿宋_GBK" w:cs="Times New Roman"/>
                <w:color w:val="auto"/>
                <w:sz w:val="28"/>
                <w:szCs w:val="28"/>
                <w:lang w:val="en-US" w:eastAsia="zh-CN" w:bidi="ar"/>
              </w:rPr>
              <w:t>GB 50034</w:t>
            </w:r>
            <w:r>
              <w:rPr>
                <w:rFonts w:hint="default" w:ascii="Times New Roman" w:hAnsi="Times New Roman" w:eastAsia="方正仿宋_GBK" w:cs="Times New Roman"/>
                <w:i w:val="0"/>
                <w:iCs w:val="0"/>
                <w:color w:val="auto"/>
                <w:kern w:val="0"/>
                <w:sz w:val="28"/>
                <w:szCs w:val="28"/>
                <w:u w:val="none"/>
                <w:lang w:val="en-US" w:eastAsia="zh-CN" w:bidi="ar"/>
              </w:rPr>
              <w:t>规定的目标值，房间或场所的照度值高于或低于《建筑照明设计标准》</w:t>
            </w:r>
            <w:r>
              <w:rPr>
                <w:rStyle w:val="5"/>
                <w:rFonts w:hint="default" w:ascii="Times New Roman" w:hAnsi="Times New Roman" w:eastAsia="方正仿宋_GBK" w:cs="Times New Roman"/>
                <w:color w:val="auto"/>
                <w:sz w:val="28"/>
                <w:szCs w:val="28"/>
                <w:lang w:val="en-US" w:eastAsia="zh-CN" w:bidi="ar"/>
              </w:rPr>
              <w:t>GB 50034</w:t>
            </w:r>
            <w:r>
              <w:rPr>
                <w:rFonts w:hint="eastAsia" w:ascii="Times New Roman" w:hAnsi="Times New Roman" w:eastAsia="方正仿宋_GBK" w:cs="Times New Roman"/>
                <w:i w:val="0"/>
                <w:iCs w:val="0"/>
                <w:color w:val="auto"/>
                <w:kern w:val="0"/>
                <w:sz w:val="28"/>
                <w:szCs w:val="28"/>
                <w:u w:val="none"/>
                <w:lang w:val="en-US" w:eastAsia="zh-CN" w:bidi="ar"/>
              </w:rPr>
              <w:t>中</w:t>
            </w:r>
            <w:r>
              <w:rPr>
                <w:rFonts w:hint="default" w:ascii="Times New Roman" w:hAnsi="Times New Roman" w:eastAsia="方正仿宋_GBK" w:cs="Times New Roman"/>
                <w:i w:val="0"/>
                <w:iCs w:val="0"/>
                <w:color w:val="auto"/>
                <w:kern w:val="0"/>
                <w:sz w:val="28"/>
                <w:szCs w:val="28"/>
                <w:u w:val="none"/>
                <w:lang w:val="en-US" w:eastAsia="zh-CN" w:bidi="ar"/>
              </w:rPr>
              <w:t>规定的对应照度值时，其照明功率密度值应按比例提高或折减。</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649C">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7.3.2</w:t>
            </w:r>
            <w:r>
              <w:rPr>
                <w:rFonts w:hint="eastAsia" w:ascii="Times New Roman" w:hAnsi="Times New Roman" w:eastAsia="方正仿宋_GBK"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各类建筑的照明功率密度值不应高于现行国家标准《建筑照明设计标准》GB/T 50034规定的目标值</w:t>
            </w:r>
            <w:r>
              <w:rPr>
                <w:rFonts w:hint="eastAsia" w:ascii="Times New Roman" w:hAnsi="Times New Roman" w:eastAsia="方正仿宋_GBK" w:cs="Times New Roman"/>
                <w:i w:val="0"/>
                <w:iCs w:val="0"/>
                <w:color w:val="auto"/>
                <w:kern w:val="0"/>
                <w:sz w:val="28"/>
                <w:szCs w:val="28"/>
                <w:u w:val="none"/>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t>房间或场所的照度值高于或低于《建筑照明设计标准》GB/T 50034</w:t>
            </w:r>
            <w:r>
              <w:rPr>
                <w:rFonts w:hint="eastAsia" w:ascii="Times New Roman" w:hAnsi="Times New Roman" w:eastAsia="方正仿宋_GBK" w:cs="Times New Roman"/>
                <w:i w:val="0"/>
                <w:iCs w:val="0"/>
                <w:color w:val="auto"/>
                <w:kern w:val="0"/>
                <w:sz w:val="28"/>
                <w:szCs w:val="28"/>
                <w:u w:val="none"/>
                <w:lang w:val="en-US" w:eastAsia="zh-CN" w:bidi="ar"/>
              </w:rPr>
              <w:t>中</w:t>
            </w:r>
            <w:r>
              <w:rPr>
                <w:rFonts w:hint="default" w:ascii="Times New Roman" w:hAnsi="Times New Roman" w:eastAsia="方正仿宋_GBK" w:cs="Times New Roman"/>
                <w:i w:val="0"/>
                <w:iCs w:val="0"/>
                <w:color w:val="auto"/>
                <w:kern w:val="0"/>
                <w:sz w:val="28"/>
                <w:szCs w:val="28"/>
                <w:u w:val="none"/>
                <w:lang w:val="en-US" w:eastAsia="zh-CN" w:bidi="ar"/>
              </w:rPr>
              <w:t>规定的对应照度值时，其照明功率密度值应按比例提高或折减。</w:t>
            </w:r>
          </w:p>
        </w:tc>
      </w:tr>
      <w:tr w14:paraId="71EC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6"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0D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8</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684D2997">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Style w:val="5"/>
                <w:rFonts w:hint="default" w:ascii="Times New Roman" w:hAnsi="Times New Roman" w:eastAsia="方正仿宋_GBK" w:cs="Times New Roman"/>
                <w:color w:val="auto"/>
                <w:sz w:val="28"/>
                <w:szCs w:val="28"/>
                <w:lang w:val="en-US" w:eastAsia="zh-CN" w:bidi="ar"/>
              </w:rPr>
              <w:t xml:space="preserve">9.2.4  </w:t>
            </w:r>
            <w:r>
              <w:rPr>
                <w:rFonts w:hint="default" w:ascii="Times New Roman" w:hAnsi="Times New Roman" w:eastAsia="方正仿宋_GBK" w:cs="Times New Roman"/>
                <w:i w:val="0"/>
                <w:iCs w:val="0"/>
                <w:color w:val="auto"/>
                <w:kern w:val="0"/>
                <w:sz w:val="28"/>
                <w:szCs w:val="28"/>
                <w:u w:val="none"/>
                <w:lang w:val="en-US" w:eastAsia="zh-CN" w:bidi="ar"/>
              </w:rPr>
              <w:t>采取措施降低热岛强度，并应至少满足下列</w:t>
            </w:r>
            <w:r>
              <w:rPr>
                <w:rStyle w:val="5"/>
                <w:rFonts w:hint="default" w:ascii="Times New Roman" w:hAnsi="Times New Roman" w:eastAsia="方正仿宋_GBK" w:cs="Times New Roman"/>
                <w:color w:val="auto"/>
                <w:sz w:val="28"/>
                <w:szCs w:val="28"/>
                <w:lang w:val="en-US" w:eastAsia="zh-CN" w:bidi="ar"/>
              </w:rPr>
              <w:t>1</w:t>
            </w:r>
            <w:r>
              <w:rPr>
                <w:rFonts w:hint="default" w:ascii="Times New Roman" w:hAnsi="Times New Roman" w:eastAsia="方正仿宋_GBK" w:cs="Times New Roman"/>
                <w:i w:val="0"/>
                <w:iCs w:val="0"/>
                <w:color w:val="auto"/>
                <w:kern w:val="0"/>
                <w:sz w:val="28"/>
                <w:szCs w:val="28"/>
                <w:u w:val="none"/>
                <w:lang w:val="en-US" w:eastAsia="zh-CN" w:bidi="ar"/>
              </w:rPr>
              <w:t>项规定：</w:t>
            </w:r>
            <w:r>
              <w:rPr>
                <w:rStyle w:val="5"/>
                <w:rFonts w:hint="default" w:ascii="Times New Roman" w:hAnsi="Times New Roman" w:eastAsia="方正仿宋_GBK" w:cs="Times New Roman"/>
                <w:color w:val="auto"/>
                <w:sz w:val="28"/>
                <w:szCs w:val="28"/>
                <w:lang w:val="en-US" w:eastAsia="zh-CN" w:bidi="ar"/>
              </w:rPr>
              <w:br w:type="textWrapping"/>
            </w:r>
            <w:r>
              <w:rPr>
                <w:rStyle w:val="5"/>
                <w:rFonts w:hint="default" w:ascii="Times New Roman" w:hAnsi="Times New Roman" w:eastAsia="方正仿宋_GBK" w:cs="Times New Roman"/>
                <w:color w:val="auto"/>
                <w:sz w:val="28"/>
                <w:szCs w:val="28"/>
                <w:lang w:val="en-US" w:eastAsia="zh-CN" w:bidi="ar"/>
              </w:rPr>
              <w:t xml:space="preserve">1 </w:t>
            </w:r>
            <w:r>
              <w:rPr>
                <w:rStyle w:val="5"/>
                <w:rFonts w:hint="eastAsia" w:ascii="Times New Roman" w:hAnsi="Times New Roman" w:cs="Times New Roman"/>
                <w:color w:val="auto"/>
                <w:sz w:val="28"/>
                <w:szCs w:val="28"/>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场地中处于建筑阴影区外的步道、游憩场、庭院、广场等室外活动场地设有乔木、花架等遮阴措施的面积比例不小于</w:t>
            </w:r>
            <w:r>
              <w:rPr>
                <w:rStyle w:val="5"/>
                <w:rFonts w:hint="default" w:ascii="Times New Roman" w:hAnsi="Times New Roman" w:eastAsia="方正仿宋_GBK" w:cs="Times New Roman"/>
                <w:color w:val="auto"/>
                <w:sz w:val="28"/>
                <w:szCs w:val="28"/>
                <w:lang w:val="en-US" w:eastAsia="zh-CN" w:bidi="ar"/>
              </w:rPr>
              <w:t>10%</w:t>
            </w:r>
            <w:r>
              <w:rPr>
                <w:rFonts w:hint="default" w:ascii="Times New Roman" w:hAnsi="Times New Roman" w:eastAsia="方正仿宋_GBK" w:cs="Times New Roman"/>
                <w:i w:val="0"/>
                <w:iCs w:val="0"/>
                <w:color w:val="auto"/>
                <w:kern w:val="0"/>
                <w:sz w:val="28"/>
                <w:szCs w:val="28"/>
                <w:u w:val="none"/>
                <w:lang w:val="en-US" w:eastAsia="zh-CN" w:bidi="ar"/>
              </w:rPr>
              <w:t>；</w:t>
            </w:r>
            <w:r>
              <w:rPr>
                <w:rStyle w:val="5"/>
                <w:rFonts w:hint="default" w:ascii="Times New Roman" w:hAnsi="Times New Roman" w:eastAsia="方正仿宋_GBK" w:cs="Times New Roman"/>
                <w:color w:val="auto"/>
                <w:sz w:val="28"/>
                <w:szCs w:val="28"/>
                <w:lang w:val="en-US" w:eastAsia="zh-CN" w:bidi="ar"/>
              </w:rPr>
              <w:br w:type="textWrapping"/>
            </w:r>
            <w:r>
              <w:rPr>
                <w:rStyle w:val="5"/>
                <w:rFonts w:hint="default" w:ascii="Times New Roman" w:hAnsi="Times New Roman" w:eastAsia="方正仿宋_GBK" w:cs="Times New Roman"/>
                <w:color w:val="auto"/>
                <w:sz w:val="28"/>
                <w:szCs w:val="28"/>
                <w:lang w:val="en-US" w:eastAsia="zh-CN" w:bidi="ar"/>
              </w:rPr>
              <w:t xml:space="preserve">2 </w:t>
            </w:r>
            <w:r>
              <w:rPr>
                <w:rStyle w:val="5"/>
                <w:rFonts w:hint="eastAsia" w:ascii="Times New Roman" w:hAnsi="Times New Roman" w:cs="Times New Roman"/>
                <w:color w:val="auto"/>
                <w:sz w:val="28"/>
                <w:szCs w:val="28"/>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场地中处于建筑阴影区外的机动车道，路面太阳辐射反射系数不小于</w:t>
            </w:r>
            <w:r>
              <w:rPr>
                <w:rStyle w:val="5"/>
                <w:rFonts w:hint="default" w:ascii="Times New Roman" w:hAnsi="Times New Roman" w:eastAsia="方正仿宋_GBK" w:cs="Times New Roman"/>
                <w:color w:val="auto"/>
                <w:sz w:val="28"/>
                <w:szCs w:val="28"/>
                <w:lang w:val="en-US" w:eastAsia="zh-CN" w:bidi="ar"/>
              </w:rPr>
              <w:t>0.4</w:t>
            </w:r>
            <w:r>
              <w:rPr>
                <w:rFonts w:hint="default" w:ascii="Times New Roman" w:hAnsi="Times New Roman" w:eastAsia="方正仿宋_GBK" w:cs="Times New Roman"/>
                <w:i w:val="0"/>
                <w:iCs w:val="0"/>
                <w:color w:val="auto"/>
                <w:kern w:val="0"/>
                <w:sz w:val="28"/>
                <w:szCs w:val="28"/>
                <w:u w:val="none"/>
                <w:lang w:val="en-US" w:eastAsia="zh-CN" w:bidi="ar"/>
              </w:rPr>
              <w:t>或设有遮阴面积较大的行道树的路段长度不小于</w:t>
            </w:r>
            <w:r>
              <w:rPr>
                <w:rStyle w:val="5"/>
                <w:rFonts w:hint="default" w:ascii="Times New Roman" w:hAnsi="Times New Roman" w:eastAsia="方正仿宋_GBK" w:cs="Times New Roman"/>
                <w:color w:val="auto"/>
                <w:sz w:val="28"/>
                <w:szCs w:val="28"/>
                <w:lang w:val="en-US" w:eastAsia="zh-CN" w:bidi="ar"/>
              </w:rPr>
              <w:t>70%</w:t>
            </w:r>
            <w:r>
              <w:rPr>
                <w:rFonts w:hint="default" w:ascii="Times New Roman" w:hAnsi="Times New Roman" w:eastAsia="方正仿宋_GBK" w:cs="Times New Roman"/>
                <w:i w:val="0"/>
                <w:iCs w:val="0"/>
                <w:color w:val="auto"/>
                <w:kern w:val="0"/>
                <w:sz w:val="28"/>
                <w:szCs w:val="28"/>
                <w:u w:val="none"/>
                <w:lang w:val="en-US" w:eastAsia="zh-CN" w:bidi="ar"/>
              </w:rPr>
              <w:t>；</w:t>
            </w:r>
            <w:r>
              <w:rPr>
                <w:rStyle w:val="5"/>
                <w:rFonts w:hint="default" w:ascii="Times New Roman" w:hAnsi="Times New Roman" w:eastAsia="方正仿宋_GBK" w:cs="Times New Roman"/>
                <w:color w:val="auto"/>
                <w:sz w:val="28"/>
                <w:szCs w:val="28"/>
                <w:lang w:val="en-US" w:eastAsia="zh-CN" w:bidi="ar"/>
              </w:rPr>
              <w:br w:type="textWrapping"/>
            </w:r>
            <w:r>
              <w:rPr>
                <w:rStyle w:val="5"/>
                <w:rFonts w:hint="default" w:ascii="Times New Roman" w:hAnsi="Times New Roman" w:eastAsia="方正仿宋_GBK" w:cs="Times New Roman"/>
                <w:color w:val="auto"/>
                <w:sz w:val="28"/>
                <w:szCs w:val="28"/>
                <w:lang w:val="en-US" w:eastAsia="zh-CN" w:bidi="ar"/>
              </w:rPr>
              <w:t xml:space="preserve">3 </w:t>
            </w:r>
            <w:r>
              <w:rPr>
                <w:rStyle w:val="5"/>
                <w:rFonts w:hint="eastAsia" w:ascii="Times New Roman" w:hAnsi="Times New Roman" w:cs="Times New Roman"/>
                <w:color w:val="auto"/>
                <w:sz w:val="28"/>
                <w:szCs w:val="28"/>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屋顶的绿化面积、太阳能板水平投影面积以及太阳辐射反射系数不小于</w:t>
            </w:r>
            <w:r>
              <w:rPr>
                <w:rStyle w:val="5"/>
                <w:rFonts w:hint="default" w:ascii="Times New Roman" w:hAnsi="Times New Roman" w:eastAsia="方正仿宋_GBK" w:cs="Times New Roman"/>
                <w:color w:val="auto"/>
                <w:sz w:val="28"/>
                <w:szCs w:val="28"/>
                <w:lang w:val="en-US" w:eastAsia="zh-CN" w:bidi="ar"/>
              </w:rPr>
              <w:t>0.4</w:t>
            </w:r>
            <w:r>
              <w:rPr>
                <w:rFonts w:hint="default" w:ascii="Times New Roman" w:hAnsi="Times New Roman" w:eastAsia="方正仿宋_GBK" w:cs="Times New Roman"/>
                <w:i w:val="0"/>
                <w:iCs w:val="0"/>
                <w:color w:val="auto"/>
                <w:kern w:val="0"/>
                <w:sz w:val="28"/>
                <w:szCs w:val="28"/>
                <w:u w:val="none"/>
                <w:lang w:val="en-US" w:eastAsia="zh-CN" w:bidi="ar"/>
              </w:rPr>
              <w:t>的屋面面积合计不小于</w:t>
            </w:r>
            <w:r>
              <w:rPr>
                <w:rStyle w:val="5"/>
                <w:rFonts w:hint="default" w:ascii="Times New Roman" w:hAnsi="Times New Roman" w:eastAsia="方正仿宋_GBK" w:cs="Times New Roman"/>
                <w:color w:val="auto"/>
                <w:sz w:val="28"/>
                <w:szCs w:val="28"/>
                <w:lang w:val="en-US" w:eastAsia="zh-CN" w:bidi="ar"/>
              </w:rPr>
              <w:t>75%</w:t>
            </w:r>
            <w:r>
              <w:rPr>
                <w:rFonts w:hint="default" w:ascii="Times New Roman" w:hAnsi="Times New Roman" w:eastAsia="方正仿宋_GBK" w:cs="Times New Roman"/>
                <w:i w:val="0"/>
                <w:iCs w:val="0"/>
                <w:color w:val="auto"/>
                <w:kern w:val="0"/>
                <w:sz w:val="28"/>
                <w:szCs w:val="28"/>
                <w:u w:val="none"/>
                <w:lang w:val="en-US" w:eastAsia="zh-CN" w:bidi="ar"/>
              </w:rPr>
              <w:t>。</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ADBB">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9.2.4</w:t>
            </w:r>
            <w:r>
              <w:rPr>
                <w:rFonts w:hint="eastAsia" w:ascii="Times New Roman" w:hAnsi="Times New Roman" w:eastAsia="方正仿宋_GBK"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采取措施降低热岛强度，并应至少满足下列1项规定：</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1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场地中处于建筑阴影区外的步道、游憩场、庭院、广场等室外活动场地设有遮阴措施的面积比例</w:t>
            </w:r>
            <w:r>
              <w:rPr>
                <w:rFonts w:hint="eastAsia" w:ascii="Times New Roman" w:hAnsi="Times New Roman" w:eastAsia="方正仿宋_GBK" w:cs="Times New Roman"/>
                <w:i w:val="0"/>
                <w:iCs w:val="0"/>
                <w:color w:val="auto"/>
                <w:kern w:val="0"/>
                <w:sz w:val="28"/>
                <w:szCs w:val="28"/>
                <w:u w:val="none"/>
                <w:lang w:val="en-US" w:eastAsia="zh-CN" w:bidi="ar"/>
              </w:rPr>
              <w:t>不小于</w:t>
            </w:r>
            <w:r>
              <w:rPr>
                <w:rFonts w:hint="default" w:ascii="Times New Roman" w:hAnsi="Times New Roman" w:eastAsia="方正仿宋_GBK" w:cs="Times New Roman"/>
                <w:i w:val="0"/>
                <w:iCs w:val="0"/>
                <w:color w:val="auto"/>
                <w:kern w:val="0"/>
                <w:sz w:val="28"/>
                <w:szCs w:val="28"/>
                <w:u w:val="none"/>
                <w:lang w:val="en-US" w:eastAsia="zh-CN" w:bidi="ar"/>
              </w:rPr>
              <w:t>10</w:t>
            </w:r>
            <w:r>
              <w:rPr>
                <w:rFonts w:hint="eastAsia" w:ascii="Times New Roman" w:hAnsi="Times New Roman" w:eastAsia="方正仿宋_GBK" w:cs="Times New Roman"/>
                <w:i w:val="0"/>
                <w:iCs w:val="0"/>
                <w:color w:val="auto"/>
                <w:kern w:val="0"/>
                <w:sz w:val="28"/>
                <w:szCs w:val="28"/>
                <w:u w:val="none"/>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2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场地中处于建筑阴影区外的机动车道设有遮阴面积较大的行道树的路段长度</w:t>
            </w:r>
            <w:r>
              <w:rPr>
                <w:rFonts w:hint="eastAsia" w:ascii="Times New Roman" w:hAnsi="Times New Roman" w:eastAsia="方正仿宋_GBK" w:cs="Times New Roman"/>
                <w:i w:val="0"/>
                <w:iCs w:val="0"/>
                <w:color w:val="auto"/>
                <w:kern w:val="0"/>
                <w:sz w:val="28"/>
                <w:szCs w:val="28"/>
                <w:u w:val="none"/>
                <w:lang w:val="en-US" w:eastAsia="zh-CN" w:bidi="ar"/>
              </w:rPr>
              <w:t>超过</w:t>
            </w:r>
            <w:r>
              <w:rPr>
                <w:rFonts w:hint="default" w:ascii="Times New Roman" w:hAnsi="Times New Roman" w:eastAsia="方正仿宋_GBK" w:cs="Times New Roman"/>
                <w:i w:val="0"/>
                <w:iCs w:val="0"/>
                <w:color w:val="auto"/>
                <w:kern w:val="0"/>
                <w:sz w:val="28"/>
                <w:szCs w:val="28"/>
                <w:u w:val="none"/>
                <w:lang w:val="en-US" w:eastAsia="zh-CN" w:bidi="ar"/>
              </w:rPr>
              <w:t>70%；</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3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屋顶的绿化面积、太阳能板水平投影面积以及太阳辐射反射系数不小于0.4的屋面面积合计不小于75%。</w:t>
            </w:r>
          </w:p>
        </w:tc>
      </w:tr>
      <w:tr w14:paraId="78C1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3"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0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9</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147C3B33">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Style w:val="5"/>
                <w:rFonts w:hint="default" w:ascii="Times New Roman" w:hAnsi="Times New Roman" w:eastAsia="方正仿宋_GBK" w:cs="Times New Roman"/>
                <w:color w:val="auto"/>
                <w:sz w:val="28"/>
                <w:szCs w:val="28"/>
                <w:lang w:val="en-US" w:eastAsia="zh-CN" w:bidi="ar"/>
              </w:rPr>
              <w:t xml:space="preserve">9.2.7  </w:t>
            </w:r>
            <w:r>
              <w:rPr>
                <w:rFonts w:hint="default" w:ascii="Times New Roman" w:hAnsi="Times New Roman" w:eastAsia="方正仿宋_GBK" w:cs="Times New Roman"/>
                <w:i w:val="0"/>
                <w:iCs w:val="0"/>
                <w:color w:val="auto"/>
                <w:kern w:val="0"/>
                <w:sz w:val="28"/>
                <w:szCs w:val="28"/>
                <w:u w:val="none"/>
                <w:lang w:val="en-US" w:eastAsia="zh-CN" w:bidi="ar"/>
              </w:rPr>
              <w:t>景观照明设计应采用节能控制措施，照明灯具选择应与环境协调，并避免眩光对人的影响。</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51E5">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Style w:val="5"/>
                <w:rFonts w:hint="default" w:ascii="Times New Roman" w:hAnsi="Times New Roman" w:eastAsia="方正仿宋_GBK" w:cs="Times New Roman"/>
                <w:color w:val="auto"/>
                <w:sz w:val="28"/>
                <w:szCs w:val="28"/>
                <w:lang w:val="en-US" w:eastAsia="zh-CN" w:bidi="ar"/>
              </w:rPr>
              <w:t>9.2.7</w:t>
            </w:r>
            <w:r>
              <w:rPr>
                <w:rStyle w:val="5"/>
                <w:rFonts w:hint="eastAsia" w:ascii="Times New Roman" w:hAnsi="Times New Roman" w:cs="Times New Roman"/>
                <w:color w:val="auto"/>
                <w:sz w:val="28"/>
                <w:szCs w:val="28"/>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景观照明设计应采用节能控制措施，照明灯具选择应与环境协调，建筑室外照明及室外显示屏避免产生光污染，室外设置的显示屏表面平均亮度不大于表9.2.7规定的限值，且车道和人行道两侧</w:t>
            </w:r>
            <w:r>
              <w:rPr>
                <w:rFonts w:hint="eastAsia" w:ascii="Times New Roman" w:hAnsi="Times New Roman" w:eastAsia="方正仿宋_GBK" w:cs="Times New Roman"/>
                <w:i w:val="0"/>
                <w:iCs w:val="0"/>
                <w:color w:val="auto"/>
                <w:kern w:val="0"/>
                <w:sz w:val="28"/>
                <w:szCs w:val="28"/>
                <w:u w:val="none"/>
                <w:lang w:val="en-US" w:eastAsia="zh-CN" w:bidi="ar"/>
              </w:rPr>
              <w:t>不应</w:t>
            </w:r>
            <w:r>
              <w:rPr>
                <w:rFonts w:hint="default" w:ascii="Times New Roman" w:hAnsi="Times New Roman" w:eastAsia="方正仿宋_GBK" w:cs="Times New Roman"/>
                <w:i w:val="0"/>
                <w:iCs w:val="0"/>
                <w:color w:val="auto"/>
                <w:kern w:val="0"/>
                <w:sz w:val="28"/>
                <w:szCs w:val="28"/>
                <w:u w:val="none"/>
                <w:lang w:val="en-US" w:eastAsia="zh-CN" w:bidi="ar"/>
              </w:rPr>
              <w:t>设置动态模式显示屏。</w:t>
            </w:r>
          </w:p>
          <w:p w14:paraId="533463F0">
            <w:pPr>
              <w:ind w:left="0" w:leftChars="0" w:firstLine="0" w:firstLineChars="0"/>
              <w:jc w:val="center"/>
              <w:rPr>
                <w:rFonts w:hint="default"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表</w:t>
            </w:r>
            <w:r>
              <w:rPr>
                <w:rFonts w:hint="default" w:ascii="Times New Roman" w:hAnsi="Times New Roman" w:eastAsia="方正黑体_GBK" w:cs="Times New Roman"/>
                <w:i w:val="0"/>
                <w:iCs w:val="0"/>
                <w:color w:val="000000"/>
                <w:kern w:val="0"/>
                <w:sz w:val="24"/>
                <w:szCs w:val="24"/>
                <w:u w:val="none"/>
                <w:lang w:val="en-US" w:eastAsia="zh-CN" w:bidi="ar"/>
              </w:rPr>
              <w:t>9</w:t>
            </w:r>
            <w:r>
              <w:rPr>
                <w:rFonts w:hint="eastAsia" w:ascii="方正黑体_GBK" w:hAnsi="方正黑体_GBK" w:eastAsia="方正黑体_GBK" w:cs="方正黑体_GBK"/>
                <w:i w:val="0"/>
                <w:iCs w:val="0"/>
                <w:color w:val="000000"/>
                <w:kern w:val="0"/>
                <w:sz w:val="24"/>
                <w:szCs w:val="24"/>
                <w:u w:val="none"/>
                <w:lang w:val="en-US" w:eastAsia="zh-CN" w:bidi="ar"/>
              </w:rPr>
              <w:t>.</w:t>
            </w:r>
            <w:r>
              <w:rPr>
                <w:rFonts w:hint="default" w:ascii="Times New Roman" w:hAnsi="Times New Roman" w:eastAsia="方正黑体_GBK" w:cs="Times New Roman"/>
                <w:i w:val="0"/>
                <w:iCs w:val="0"/>
                <w:color w:val="000000"/>
                <w:kern w:val="0"/>
                <w:sz w:val="24"/>
                <w:szCs w:val="24"/>
                <w:u w:val="none"/>
                <w:lang w:val="en-US" w:eastAsia="zh-CN" w:bidi="ar"/>
              </w:rPr>
              <w:t>2</w:t>
            </w:r>
            <w:r>
              <w:rPr>
                <w:rFonts w:hint="eastAsia" w:ascii="方正黑体_GBK" w:hAnsi="方正黑体_GBK" w:eastAsia="方正黑体_GBK" w:cs="方正黑体_GBK"/>
                <w:i w:val="0"/>
                <w:iCs w:val="0"/>
                <w:color w:val="000000"/>
                <w:kern w:val="0"/>
                <w:sz w:val="24"/>
                <w:szCs w:val="24"/>
                <w:u w:val="none"/>
                <w:lang w:val="en-US" w:eastAsia="zh-CN" w:bidi="ar"/>
              </w:rPr>
              <w:t>.</w:t>
            </w:r>
            <w:r>
              <w:rPr>
                <w:rFonts w:hint="default" w:ascii="Times New Roman" w:hAnsi="Times New Roman" w:eastAsia="方正黑体_GBK" w:cs="Times New Roman"/>
                <w:i w:val="0"/>
                <w:iCs w:val="0"/>
                <w:color w:val="000000"/>
                <w:kern w:val="0"/>
                <w:sz w:val="24"/>
                <w:szCs w:val="24"/>
                <w:u w:val="none"/>
                <w:lang w:val="en-US" w:eastAsia="zh-CN" w:bidi="ar"/>
              </w:rPr>
              <w:t>7</w:t>
            </w:r>
            <w:r>
              <w:rPr>
                <w:rFonts w:hint="eastAsia" w:ascii="方正黑体_GBK" w:hAnsi="方正黑体_GBK" w:eastAsia="方正黑体_GBK" w:cs="方正黑体_GBK"/>
                <w:i w:val="0"/>
                <w:iCs w:val="0"/>
                <w:color w:val="000000"/>
                <w:kern w:val="0"/>
                <w:sz w:val="24"/>
                <w:szCs w:val="24"/>
                <w:u w:val="none"/>
                <w:lang w:val="en-US" w:eastAsia="zh-CN" w:bidi="ar"/>
              </w:rPr>
              <w:t xml:space="preserve">  建筑室外设置显示屏表面平均亮度限制</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575"/>
              <w:gridCol w:w="1574"/>
              <w:gridCol w:w="1504"/>
            </w:tblGrid>
            <w:tr w14:paraId="3BF1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3" w:type="pct"/>
                  <w:vMerge w:val="restart"/>
                  <w:vAlign w:val="center"/>
                </w:tcPr>
                <w:p w14:paraId="1FF659D0">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u w:val="none"/>
                    </w:rPr>
                    <w:t>照明技术参数</w:t>
                  </w:r>
                </w:p>
              </w:tc>
              <w:tc>
                <w:tcPr>
                  <w:tcW w:w="3536" w:type="pct"/>
                  <w:gridSpan w:val="3"/>
                </w:tcPr>
                <w:p w14:paraId="12C9414F">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u w:val="none"/>
                      <w:lang w:val="en-US" w:eastAsia="zh-CN"/>
                    </w:rPr>
                    <w:t>环境区域</w:t>
                  </w:r>
                </w:p>
              </w:tc>
            </w:tr>
            <w:tr w14:paraId="3183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3" w:type="pct"/>
                  <w:vMerge w:val="continue"/>
                </w:tcPr>
                <w:p w14:paraId="0FCB0C22">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eastAsia" w:ascii="方正仿宋_GBK" w:hAnsi="方正仿宋_GBK" w:eastAsia="方正仿宋_GBK" w:cs="方正仿宋_GBK"/>
                      <w:sz w:val="21"/>
                      <w:szCs w:val="21"/>
                      <w:vertAlign w:val="baseline"/>
                      <w:lang w:val="en-US" w:eastAsia="zh-CN"/>
                    </w:rPr>
                  </w:pPr>
                </w:p>
              </w:tc>
              <w:tc>
                <w:tcPr>
                  <w:tcW w:w="1197" w:type="pct"/>
                  <w:vAlign w:val="center"/>
                </w:tcPr>
                <w:p w14:paraId="455AE2C9">
                  <w:pPr>
                    <w:pageBreakBefore w:val="0"/>
                    <w:widowControl/>
                    <w:numPr>
                      <w:ilvl w:val="-1"/>
                      <w:numId w:val="0"/>
                    </w:numPr>
                    <w:kinsoku/>
                    <w:wordWrap/>
                    <w:overflowPunct/>
                    <w:topLinePunct w:val="0"/>
                    <w:autoSpaceDE/>
                    <w:autoSpaceDN/>
                    <w:bidi w:val="0"/>
                    <w:adjustRightInd/>
                    <w:spacing w:line="360" w:lineRule="exact"/>
                    <w:jc w:val="center"/>
                    <w:textAlignment w:val="auto"/>
                    <w:outlineLvl w:val="9"/>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u w:val="none"/>
                    </w:rPr>
                    <w:t>E2</w:t>
                  </w:r>
                </w:p>
              </w:tc>
              <w:tc>
                <w:tcPr>
                  <w:tcW w:w="1196" w:type="pct"/>
                  <w:vAlign w:val="center"/>
                </w:tcPr>
                <w:p w14:paraId="3F08A141">
                  <w:pPr>
                    <w:pageBreakBefore w:val="0"/>
                    <w:widowControl/>
                    <w:numPr>
                      <w:ilvl w:val="-1"/>
                      <w:numId w:val="0"/>
                    </w:numPr>
                    <w:kinsoku/>
                    <w:wordWrap/>
                    <w:overflowPunct/>
                    <w:topLinePunct w:val="0"/>
                    <w:autoSpaceDE/>
                    <w:autoSpaceDN/>
                    <w:bidi w:val="0"/>
                    <w:adjustRightInd/>
                    <w:spacing w:line="360" w:lineRule="exact"/>
                    <w:jc w:val="center"/>
                    <w:textAlignment w:val="auto"/>
                    <w:outlineLvl w:val="9"/>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u w:val="none"/>
                    </w:rPr>
                    <w:t>E3</w:t>
                  </w:r>
                </w:p>
              </w:tc>
              <w:tc>
                <w:tcPr>
                  <w:tcW w:w="1142" w:type="pct"/>
                  <w:vAlign w:val="center"/>
                </w:tcPr>
                <w:p w14:paraId="1A748333">
                  <w:pPr>
                    <w:pageBreakBefore w:val="0"/>
                    <w:widowControl/>
                    <w:numPr>
                      <w:ilvl w:val="-1"/>
                      <w:numId w:val="0"/>
                    </w:numPr>
                    <w:kinsoku/>
                    <w:wordWrap/>
                    <w:overflowPunct/>
                    <w:topLinePunct w:val="0"/>
                    <w:autoSpaceDE/>
                    <w:autoSpaceDN/>
                    <w:bidi w:val="0"/>
                    <w:adjustRightInd/>
                    <w:spacing w:line="360" w:lineRule="exact"/>
                    <w:jc w:val="center"/>
                    <w:textAlignment w:val="auto"/>
                    <w:outlineLvl w:val="9"/>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u w:val="none"/>
                    </w:rPr>
                    <w:t>E4</w:t>
                  </w:r>
                </w:p>
              </w:tc>
            </w:tr>
            <w:tr w14:paraId="79DF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3" w:type="pct"/>
                </w:tcPr>
                <w:p w14:paraId="4BD334E9">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u w:val="none"/>
                      <w:lang w:val="en-US" w:eastAsia="zh-CN"/>
                    </w:rPr>
                    <w:t>平均亮度</w:t>
                  </w:r>
                  <w:r>
                    <w:rPr>
                      <w:rFonts w:hint="eastAsia" w:ascii="方正仿宋_GBK" w:hAnsi="方正仿宋_GBK" w:eastAsia="方正仿宋_GBK" w:cs="方正仿宋_GBK"/>
                      <w:sz w:val="21"/>
                      <w:szCs w:val="21"/>
                      <w:vertAlign w:val="baseline"/>
                      <w:lang w:val="en-US" w:eastAsia="zh-CN"/>
                    </w:rPr>
                    <w:t>（</w:t>
                  </w:r>
                  <w:r>
                    <w:rPr>
                      <w:rFonts w:hint="default" w:ascii="Times New Roman" w:hAnsi="Times New Roman" w:eastAsia="方正仿宋_GBK" w:cs="Times New Roman"/>
                      <w:sz w:val="21"/>
                      <w:szCs w:val="21"/>
                      <w:vertAlign w:val="baseline"/>
                      <w:lang w:val="en-US" w:eastAsia="zh-CN"/>
                    </w:rPr>
                    <w:t>cd/㎡</w:t>
                  </w:r>
                  <w:r>
                    <w:rPr>
                      <w:rFonts w:hint="eastAsia" w:ascii="方正仿宋_GBK" w:hAnsi="方正仿宋_GBK" w:eastAsia="方正仿宋_GBK" w:cs="方正仿宋_GBK"/>
                      <w:sz w:val="21"/>
                      <w:szCs w:val="21"/>
                      <w:vertAlign w:val="baseline"/>
                      <w:lang w:val="en-US" w:eastAsia="zh-CN"/>
                    </w:rPr>
                    <w:t>）</w:t>
                  </w:r>
                </w:p>
              </w:tc>
              <w:tc>
                <w:tcPr>
                  <w:tcW w:w="1197" w:type="pct"/>
                </w:tcPr>
                <w:p w14:paraId="140FC21C">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200</w:t>
                  </w:r>
                </w:p>
              </w:tc>
              <w:tc>
                <w:tcPr>
                  <w:tcW w:w="1196" w:type="pct"/>
                </w:tcPr>
                <w:p w14:paraId="28A3F972">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400</w:t>
                  </w:r>
                </w:p>
              </w:tc>
              <w:tc>
                <w:tcPr>
                  <w:tcW w:w="1142" w:type="pct"/>
                </w:tcPr>
                <w:p w14:paraId="706EE17A">
                  <w:pPr>
                    <w:pageBreakBefore w:val="0"/>
                    <w:widowControl w:val="0"/>
                    <w:numPr>
                      <w:ilvl w:val="-1"/>
                      <w:numId w:val="0"/>
                    </w:numPr>
                    <w:tabs>
                      <w:tab w:val="left" w:pos="3110"/>
                    </w:tabs>
                    <w:kinsoku/>
                    <w:wordWrap/>
                    <w:overflowPunct/>
                    <w:topLinePunct w:val="0"/>
                    <w:autoSpaceDE w:val="0"/>
                    <w:autoSpaceDN w:val="0"/>
                    <w:bidi w:val="0"/>
                    <w:adjustRightInd w:val="0"/>
                    <w:spacing w:line="360" w:lineRule="auto"/>
                    <w:jc w:val="center"/>
                    <w:textAlignment w:val="auto"/>
                    <w:outlineLvl w:val="9"/>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600</w:t>
                  </w:r>
                </w:p>
              </w:tc>
            </w:tr>
          </w:tbl>
          <w:p w14:paraId="578306F0">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p>
          <w:p w14:paraId="5944D33B">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438D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2"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00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w:t>
            </w:r>
            <w:r>
              <w:rPr>
                <w:rFonts w:hint="default" w:ascii="Times New Roman" w:hAnsi="Times New Roman" w:cs="Times New Roman"/>
                <w:i w:val="0"/>
                <w:iCs w:val="0"/>
                <w:color w:val="auto"/>
                <w:kern w:val="0"/>
                <w:sz w:val="28"/>
                <w:szCs w:val="28"/>
                <w:u w:val="none"/>
                <w:lang w:val="en-US" w:eastAsia="zh-CN" w:bidi="ar"/>
              </w:rPr>
              <w:t>0</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78A266C1">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附录D.1.4</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建筑围护结构热工性能提高10%，或建筑供暖空调负荷降低10%。</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FF0D">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附录D.1.4</w:t>
            </w:r>
            <w:r>
              <w:rPr>
                <w:rFonts w:hint="eastAsia" w:ascii="Times New Roman" w:hAnsi="Times New Roman" w:eastAsia="方正仿宋_GBK"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建筑围护结构热工性能比现行强制性工程建设规范《建筑节能与可再生能源利用通用规范》GB 55015的规定提高5%，或建筑供暖空调负荷降低3%。</w:t>
            </w:r>
          </w:p>
        </w:tc>
      </w:tr>
      <w:tr w14:paraId="78F0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1"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B4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w:t>
            </w:r>
            <w:r>
              <w:rPr>
                <w:rFonts w:hint="default" w:ascii="Times New Roman" w:hAnsi="Times New Roman" w:cs="Times New Roman"/>
                <w:i w:val="0"/>
                <w:iCs w:val="0"/>
                <w:color w:val="auto"/>
                <w:kern w:val="0"/>
                <w:sz w:val="28"/>
                <w:szCs w:val="28"/>
                <w:u w:val="none"/>
                <w:lang w:val="en-US" w:eastAsia="zh-CN" w:bidi="ar"/>
              </w:rPr>
              <w:t>1</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720A024F">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附录D.2.6</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楼板的撞击声隔声性能达到现行国家标准《民用建筑隔声设计规范》GB 50118中的低限标准限值和高要求标准限值的平均值。</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536E">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附录D.2.6</w:t>
            </w:r>
            <w:r>
              <w:rPr>
                <w:rFonts w:hint="eastAsia" w:ascii="Times New Roman" w:hAnsi="Times New Roman" w:eastAsia="方正仿宋_GBK"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楼板的撞击声隔声性能比国家民用建筑隔声设计标准规定限值低5dB及以上。</w:t>
            </w:r>
          </w:p>
        </w:tc>
      </w:tr>
      <w:tr w14:paraId="73A5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3"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DF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w:t>
            </w:r>
            <w:r>
              <w:rPr>
                <w:rFonts w:hint="default" w:ascii="Times New Roman" w:hAnsi="Times New Roman" w:cs="Times New Roman"/>
                <w:i w:val="0"/>
                <w:iCs w:val="0"/>
                <w:color w:val="auto"/>
                <w:kern w:val="0"/>
                <w:sz w:val="28"/>
                <w:szCs w:val="28"/>
                <w:u w:val="none"/>
                <w:lang w:val="en-US" w:eastAsia="zh-CN" w:bidi="ar"/>
              </w:rPr>
              <w:t>2</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2729147C">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附录D.2.30</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设计应采取措施降低热岛强度，并符合下列规定：</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1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场地中处于建筑阴影区外的步道、游憩场、庭院、广场等室外活动场地设有乔木、花架等遮阴措施的面积比例不小于10%；</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2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场地中处于建筑阴影区外的机动车道，路面太阳辐射反射系数不小于0.4或设有遮阴面积较大的行道树的路段长度不小于70%。</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4522">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附录D.2.30</w:t>
            </w:r>
            <w:r>
              <w:rPr>
                <w:rFonts w:hint="eastAsia" w:ascii="Times New Roman" w:hAnsi="Times New Roman" w:eastAsia="方正仿宋_GBK" w:cs="Times New Roman"/>
                <w:i w:val="0"/>
                <w:iCs w:val="0"/>
                <w:color w:val="auto"/>
                <w:kern w:val="0"/>
                <w:sz w:val="28"/>
                <w:szCs w:val="28"/>
                <w:u w:val="none"/>
                <w:lang w:val="en-US" w:eastAsia="zh-CN" w:bidi="ar"/>
              </w:rPr>
              <w:t xml:space="preserve">  设计应</w:t>
            </w:r>
            <w:r>
              <w:rPr>
                <w:rFonts w:hint="default" w:ascii="Times New Roman" w:hAnsi="Times New Roman" w:eastAsia="方正仿宋_GBK" w:cs="Times New Roman"/>
                <w:i w:val="0"/>
                <w:iCs w:val="0"/>
                <w:color w:val="auto"/>
                <w:kern w:val="0"/>
                <w:sz w:val="28"/>
                <w:szCs w:val="28"/>
                <w:u w:val="none"/>
                <w:lang w:val="en-US" w:eastAsia="zh-CN" w:bidi="ar"/>
              </w:rPr>
              <w:t>采取措施降低热岛强度，并符合下列规定：</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1 场地中处于建筑阴影区外的步道、游憩场、庭院、广场等室外活动场地设有遮阴措施的面积比例不小于10</w:t>
            </w:r>
            <w:r>
              <w:rPr>
                <w:rFonts w:hint="eastAsia" w:ascii="Times New Roman" w:hAnsi="Times New Roman" w:eastAsia="方正仿宋_GBK" w:cs="Times New Roman"/>
                <w:i w:val="0"/>
                <w:iCs w:val="0"/>
                <w:color w:val="auto"/>
                <w:kern w:val="0"/>
                <w:sz w:val="28"/>
                <w:szCs w:val="28"/>
                <w:u w:val="none"/>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2 场地中处于建筑阴影区外的机动车道设有遮阴面积较大的行道树的路段长度</w:t>
            </w:r>
            <w:r>
              <w:rPr>
                <w:rFonts w:hint="eastAsia" w:ascii="Times New Roman" w:hAnsi="Times New Roman" w:eastAsia="方正仿宋_GBK" w:cs="Times New Roman"/>
                <w:i w:val="0"/>
                <w:iCs w:val="0"/>
                <w:color w:val="auto"/>
                <w:kern w:val="0"/>
                <w:sz w:val="28"/>
                <w:szCs w:val="28"/>
                <w:u w:val="none"/>
                <w:lang w:val="en-US" w:eastAsia="zh-CN" w:bidi="ar"/>
              </w:rPr>
              <w:t>超过</w:t>
            </w:r>
            <w:r>
              <w:rPr>
                <w:rFonts w:hint="default" w:ascii="Times New Roman" w:hAnsi="Times New Roman" w:eastAsia="方正仿宋_GBK" w:cs="Times New Roman"/>
                <w:i w:val="0"/>
                <w:iCs w:val="0"/>
                <w:color w:val="auto"/>
                <w:kern w:val="0"/>
                <w:sz w:val="28"/>
                <w:szCs w:val="28"/>
                <w:u w:val="none"/>
                <w:lang w:val="en-US" w:eastAsia="zh-CN" w:bidi="ar"/>
              </w:rPr>
              <w:t>70%。</w:t>
            </w:r>
          </w:p>
        </w:tc>
      </w:tr>
      <w:tr w14:paraId="67DC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E8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w:t>
            </w:r>
            <w:r>
              <w:rPr>
                <w:rFonts w:hint="default" w:ascii="Times New Roman" w:hAnsi="Times New Roman" w:cs="Times New Roman"/>
                <w:i w:val="0"/>
                <w:iCs w:val="0"/>
                <w:color w:val="auto"/>
                <w:kern w:val="0"/>
                <w:sz w:val="28"/>
                <w:szCs w:val="28"/>
                <w:u w:val="none"/>
                <w:lang w:val="en-US" w:eastAsia="zh-CN" w:bidi="ar"/>
              </w:rPr>
              <w:t>3</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2490051C">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附录D.3.3</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采用铝膜等免墙面找平粉刷的模板体系。</w:t>
            </w:r>
          </w:p>
        </w:tc>
        <w:tc>
          <w:tcPr>
            <w:tcW w:w="6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0C19">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附录D.3.3</w:t>
            </w:r>
            <w:r>
              <w:rPr>
                <w:rFonts w:hint="eastAsia" w:ascii="Times New Roman" w:hAnsi="Times New Roman" w:eastAsia="方正仿宋_GBK"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采用高周转率、免抹灰的新型模架体系。</w:t>
            </w:r>
          </w:p>
        </w:tc>
      </w:tr>
      <w:tr w14:paraId="186B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2"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E1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w:t>
            </w:r>
            <w:r>
              <w:rPr>
                <w:rFonts w:hint="default" w:ascii="Times New Roman" w:hAnsi="Times New Roman" w:cs="Times New Roman"/>
                <w:i w:val="0"/>
                <w:iCs w:val="0"/>
                <w:color w:val="auto"/>
                <w:kern w:val="0"/>
                <w:sz w:val="28"/>
                <w:szCs w:val="28"/>
                <w:u w:val="none"/>
                <w:lang w:val="en-US" w:eastAsia="zh-CN" w:bidi="ar"/>
              </w:rPr>
              <w:t>4</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07C643E5">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附录D.6.1</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供暖空调系统的冷、热源机组能效均优于现行国家标准《公共建筑节能设计标准》GB50189的规定以及现行有关国家标准能效限定值的要求，其值应不小于表D.6.1中规定的限值。</w:t>
            </w:r>
          </w:p>
          <w:p w14:paraId="3EFFB49B">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Style w:val="5"/>
                <w:rFonts w:hint="eastAsia" w:ascii="方正黑体_GBK" w:hAnsi="方正黑体_GBK" w:eastAsia="方正黑体_GBK" w:cs="方正黑体_GBK"/>
                <w:sz w:val="24"/>
                <w:szCs w:val="24"/>
                <w:lang w:val="en-US" w:eastAsia="zh-CN" w:bidi="ar"/>
              </w:rPr>
              <w:t>表D.</w:t>
            </w:r>
            <w:r>
              <w:rPr>
                <w:rStyle w:val="5"/>
                <w:rFonts w:hint="default" w:ascii="Times New Roman" w:hAnsi="Times New Roman" w:eastAsia="方正黑体_GBK" w:cs="Times New Roman"/>
                <w:sz w:val="24"/>
                <w:szCs w:val="24"/>
                <w:lang w:val="en-US" w:eastAsia="zh-CN" w:bidi="ar"/>
              </w:rPr>
              <w:t>6</w:t>
            </w:r>
            <w:r>
              <w:rPr>
                <w:rStyle w:val="5"/>
                <w:rFonts w:hint="eastAsia" w:ascii="方正黑体_GBK" w:hAnsi="方正黑体_GBK" w:eastAsia="方正黑体_GBK" w:cs="方正黑体_GBK"/>
                <w:sz w:val="24"/>
                <w:szCs w:val="24"/>
                <w:lang w:val="en-US" w:eastAsia="zh-CN" w:bidi="ar"/>
              </w:rPr>
              <w:t>.</w:t>
            </w:r>
            <w:r>
              <w:rPr>
                <w:rStyle w:val="5"/>
                <w:rFonts w:hint="default" w:ascii="Times New Roman" w:hAnsi="Times New Roman" w:eastAsia="方正黑体_GBK" w:cs="Times New Roman"/>
                <w:sz w:val="24"/>
                <w:szCs w:val="24"/>
                <w:lang w:val="en-US" w:eastAsia="zh-CN" w:bidi="ar"/>
              </w:rPr>
              <w:t>1</w:t>
            </w:r>
            <w:r>
              <w:rPr>
                <w:rStyle w:val="5"/>
                <w:rFonts w:hint="eastAsia" w:ascii="方正黑体_GBK" w:hAnsi="方正黑体_GBK" w:eastAsia="方正黑体_GBK" w:cs="方正黑体_GBK"/>
                <w:sz w:val="24"/>
                <w:szCs w:val="24"/>
                <w:lang w:val="en-US" w:eastAsia="zh-CN" w:bidi="ar"/>
              </w:rPr>
              <w:t xml:space="preserve">   冷、热源机组能效提升幅度要求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194"/>
              <w:gridCol w:w="1171"/>
              <w:gridCol w:w="1759"/>
              <w:gridCol w:w="1313"/>
            </w:tblGrid>
            <w:tr w14:paraId="4EC5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08" w:type="dxa"/>
                  <w:gridSpan w:val="2"/>
                  <w:noWrap w:val="0"/>
                  <w:vAlign w:val="center"/>
                </w:tcPr>
                <w:p w14:paraId="0535102E">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机组类型</w:t>
                  </w:r>
                </w:p>
              </w:tc>
              <w:tc>
                <w:tcPr>
                  <w:tcW w:w="1171" w:type="dxa"/>
                  <w:noWrap w:val="0"/>
                  <w:vAlign w:val="center"/>
                </w:tcPr>
                <w:p w14:paraId="1A706462">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能效指标</w:t>
                  </w:r>
                </w:p>
              </w:tc>
              <w:tc>
                <w:tcPr>
                  <w:tcW w:w="1759" w:type="dxa"/>
                  <w:noWrap w:val="0"/>
                  <w:vAlign w:val="center"/>
                </w:tcPr>
                <w:p w14:paraId="7F14BA5D">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参照标准</w:t>
                  </w:r>
                </w:p>
              </w:tc>
              <w:tc>
                <w:tcPr>
                  <w:tcW w:w="1313" w:type="dxa"/>
                  <w:noWrap w:val="0"/>
                  <w:vAlign w:val="center"/>
                </w:tcPr>
                <w:p w14:paraId="11944E9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技术要求</w:t>
                  </w:r>
                </w:p>
              </w:tc>
            </w:tr>
            <w:tr w14:paraId="1C91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08" w:type="dxa"/>
                  <w:gridSpan w:val="2"/>
                  <w:noWrap w:val="0"/>
                  <w:vAlign w:val="center"/>
                </w:tcPr>
                <w:p w14:paraId="79F4309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电机驱动的蒸气压缩循环冷水（热泵）机组</w:t>
                  </w:r>
                </w:p>
              </w:tc>
              <w:tc>
                <w:tcPr>
                  <w:tcW w:w="1171" w:type="dxa"/>
                  <w:noWrap w:val="0"/>
                  <w:vAlign w:val="center"/>
                </w:tcPr>
                <w:p w14:paraId="01543F61">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制冷性能系数</w:t>
                  </w:r>
                </w:p>
                <w:p w14:paraId="2FDE019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（COP）</w:t>
                  </w:r>
                </w:p>
              </w:tc>
              <w:tc>
                <w:tcPr>
                  <w:tcW w:w="1759" w:type="dxa"/>
                  <w:vMerge w:val="restart"/>
                  <w:noWrap w:val="0"/>
                  <w:vAlign w:val="center"/>
                </w:tcPr>
                <w:p w14:paraId="35B97448">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现行国家标准《公共建筑节能设计标准》GB50189</w:t>
                  </w:r>
                </w:p>
              </w:tc>
              <w:tc>
                <w:tcPr>
                  <w:tcW w:w="1313" w:type="dxa"/>
                  <w:noWrap w:val="0"/>
                  <w:vAlign w:val="center"/>
                </w:tcPr>
                <w:p w14:paraId="29BA12BF">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提高6%</w:t>
                  </w:r>
                </w:p>
              </w:tc>
            </w:tr>
            <w:tr w14:paraId="21C0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08" w:type="dxa"/>
                  <w:gridSpan w:val="2"/>
                  <w:noWrap w:val="0"/>
                  <w:vAlign w:val="center"/>
                </w:tcPr>
                <w:p w14:paraId="36DA5C1E">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直燃性溴化锂吸收式冷（温）水机组</w:t>
                  </w:r>
                </w:p>
              </w:tc>
              <w:tc>
                <w:tcPr>
                  <w:tcW w:w="1171" w:type="dxa"/>
                  <w:noWrap w:val="0"/>
                  <w:vAlign w:val="center"/>
                </w:tcPr>
                <w:p w14:paraId="4606E74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制冷、供热性能系数（COP）</w:t>
                  </w:r>
                </w:p>
              </w:tc>
              <w:tc>
                <w:tcPr>
                  <w:tcW w:w="1759" w:type="dxa"/>
                  <w:vMerge w:val="continue"/>
                  <w:noWrap w:val="0"/>
                  <w:vAlign w:val="center"/>
                </w:tcPr>
                <w:p w14:paraId="4C1DE37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p>
              </w:tc>
              <w:tc>
                <w:tcPr>
                  <w:tcW w:w="1313" w:type="dxa"/>
                  <w:noWrap w:val="0"/>
                  <w:vAlign w:val="center"/>
                </w:tcPr>
                <w:p w14:paraId="51DFFD57">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提高6%</w:t>
                  </w:r>
                </w:p>
              </w:tc>
            </w:tr>
            <w:tr w14:paraId="3611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08" w:type="dxa"/>
                  <w:gridSpan w:val="2"/>
                  <w:noWrap w:val="0"/>
                  <w:vAlign w:val="center"/>
                </w:tcPr>
                <w:p w14:paraId="0818FEA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单元式空气调节机、风管送风和屋顶式空调机组</w:t>
                  </w:r>
                </w:p>
              </w:tc>
              <w:tc>
                <w:tcPr>
                  <w:tcW w:w="1171" w:type="dxa"/>
                  <w:noWrap w:val="0"/>
                  <w:vAlign w:val="center"/>
                </w:tcPr>
                <w:p w14:paraId="37EE807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能效比</w:t>
                  </w:r>
                </w:p>
                <w:p w14:paraId="7543F04F">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（EER）</w:t>
                  </w:r>
                </w:p>
              </w:tc>
              <w:tc>
                <w:tcPr>
                  <w:tcW w:w="1759" w:type="dxa"/>
                  <w:vMerge w:val="continue"/>
                  <w:noWrap w:val="0"/>
                  <w:vAlign w:val="center"/>
                </w:tcPr>
                <w:p w14:paraId="131BB457">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p>
              </w:tc>
              <w:tc>
                <w:tcPr>
                  <w:tcW w:w="1313" w:type="dxa"/>
                  <w:noWrap w:val="0"/>
                  <w:vAlign w:val="center"/>
                </w:tcPr>
                <w:p w14:paraId="493508FB">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提高6%</w:t>
                  </w:r>
                </w:p>
              </w:tc>
            </w:tr>
            <w:tr w14:paraId="48D6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08" w:type="dxa"/>
                  <w:gridSpan w:val="2"/>
                  <w:noWrap w:val="0"/>
                  <w:vAlign w:val="center"/>
                </w:tcPr>
                <w:p w14:paraId="5890241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多联式空调（热泵）机组</w:t>
                  </w:r>
                </w:p>
              </w:tc>
              <w:tc>
                <w:tcPr>
                  <w:tcW w:w="1171" w:type="dxa"/>
                  <w:noWrap w:val="0"/>
                  <w:vAlign w:val="center"/>
                </w:tcPr>
                <w:p w14:paraId="0CE6131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制冷综合性能系数（IPLV（C））</w:t>
                  </w:r>
                </w:p>
              </w:tc>
              <w:tc>
                <w:tcPr>
                  <w:tcW w:w="1759" w:type="dxa"/>
                  <w:vMerge w:val="continue"/>
                  <w:noWrap w:val="0"/>
                  <w:vAlign w:val="center"/>
                </w:tcPr>
                <w:p w14:paraId="22A43F2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p>
              </w:tc>
              <w:tc>
                <w:tcPr>
                  <w:tcW w:w="1313" w:type="dxa"/>
                  <w:noWrap w:val="0"/>
                  <w:vAlign w:val="center"/>
                </w:tcPr>
                <w:p w14:paraId="7BC935B7">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提高8%</w:t>
                  </w:r>
                </w:p>
              </w:tc>
            </w:tr>
            <w:tr w14:paraId="1C50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0" w:type="auto"/>
                  <w:vMerge w:val="restart"/>
                  <w:noWrap w:val="0"/>
                  <w:vAlign w:val="center"/>
                </w:tcPr>
                <w:p w14:paraId="2EEDDE9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锅炉</w:t>
                  </w:r>
                </w:p>
              </w:tc>
              <w:tc>
                <w:tcPr>
                  <w:tcW w:w="1194" w:type="dxa"/>
                  <w:noWrap w:val="0"/>
                  <w:vAlign w:val="center"/>
                </w:tcPr>
                <w:p w14:paraId="0850B0B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燃煤</w:t>
                  </w:r>
                </w:p>
              </w:tc>
              <w:tc>
                <w:tcPr>
                  <w:tcW w:w="1171" w:type="dxa"/>
                  <w:noWrap w:val="0"/>
                  <w:vAlign w:val="center"/>
                </w:tcPr>
                <w:p w14:paraId="23CCCFF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热效率</w:t>
                  </w:r>
                </w:p>
              </w:tc>
              <w:tc>
                <w:tcPr>
                  <w:tcW w:w="1759" w:type="dxa"/>
                  <w:vMerge w:val="continue"/>
                  <w:noWrap w:val="0"/>
                  <w:vAlign w:val="center"/>
                </w:tcPr>
                <w:p w14:paraId="52E3C9BA">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p>
              </w:tc>
              <w:tc>
                <w:tcPr>
                  <w:tcW w:w="1313" w:type="dxa"/>
                  <w:noWrap w:val="0"/>
                  <w:vAlign w:val="center"/>
                </w:tcPr>
                <w:p w14:paraId="1ED9C8A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提高3个百分点</w:t>
                  </w:r>
                </w:p>
              </w:tc>
            </w:tr>
            <w:tr w14:paraId="38F3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0" w:type="auto"/>
                  <w:vMerge w:val="continue"/>
                  <w:noWrap w:val="0"/>
                  <w:vAlign w:val="center"/>
                </w:tcPr>
                <w:p w14:paraId="68950718">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p>
              </w:tc>
              <w:tc>
                <w:tcPr>
                  <w:tcW w:w="1194" w:type="dxa"/>
                  <w:noWrap w:val="0"/>
                  <w:vAlign w:val="center"/>
                </w:tcPr>
                <w:p w14:paraId="1F051304">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燃油燃气</w:t>
                  </w:r>
                </w:p>
              </w:tc>
              <w:tc>
                <w:tcPr>
                  <w:tcW w:w="1171" w:type="dxa"/>
                  <w:noWrap w:val="0"/>
                  <w:vAlign w:val="center"/>
                </w:tcPr>
                <w:p w14:paraId="1286956B">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热效率</w:t>
                  </w:r>
                </w:p>
              </w:tc>
              <w:tc>
                <w:tcPr>
                  <w:tcW w:w="1759" w:type="dxa"/>
                  <w:vMerge w:val="continue"/>
                  <w:noWrap w:val="0"/>
                  <w:vAlign w:val="center"/>
                </w:tcPr>
                <w:p w14:paraId="52C2094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p>
              </w:tc>
              <w:tc>
                <w:tcPr>
                  <w:tcW w:w="1313" w:type="dxa"/>
                  <w:noWrap w:val="0"/>
                  <w:vAlign w:val="center"/>
                </w:tcPr>
                <w:p w14:paraId="2992292A">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提高2个百分点</w:t>
                  </w:r>
                </w:p>
              </w:tc>
            </w:tr>
            <w:tr w14:paraId="2AEE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08" w:type="dxa"/>
                  <w:gridSpan w:val="2"/>
                  <w:noWrap w:val="0"/>
                  <w:vAlign w:val="center"/>
                </w:tcPr>
                <w:p w14:paraId="37EE2438">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房间空气调节器</w:t>
                  </w:r>
                </w:p>
              </w:tc>
              <w:tc>
                <w:tcPr>
                  <w:tcW w:w="1171" w:type="dxa"/>
                  <w:noWrap w:val="0"/>
                  <w:vAlign w:val="center"/>
                </w:tcPr>
                <w:p w14:paraId="28A7A4E1">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额定制冷量（CC）</w:t>
                  </w:r>
                </w:p>
              </w:tc>
              <w:tc>
                <w:tcPr>
                  <w:tcW w:w="1759" w:type="dxa"/>
                  <w:vMerge w:val="restart"/>
                  <w:noWrap w:val="0"/>
                  <w:vAlign w:val="center"/>
                </w:tcPr>
                <w:p w14:paraId="0549C1A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现行有关国家标准</w:t>
                  </w:r>
                </w:p>
              </w:tc>
              <w:tc>
                <w:tcPr>
                  <w:tcW w:w="1313" w:type="dxa"/>
                  <w:vMerge w:val="restart"/>
                  <w:noWrap w:val="0"/>
                  <w:vAlign w:val="center"/>
                </w:tcPr>
                <w:p w14:paraId="7A5F25DB">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节能评价值</w:t>
                  </w:r>
                </w:p>
              </w:tc>
            </w:tr>
            <w:tr w14:paraId="0FCC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708" w:type="dxa"/>
                  <w:gridSpan w:val="2"/>
                  <w:noWrap w:val="0"/>
                  <w:vAlign w:val="center"/>
                </w:tcPr>
                <w:p w14:paraId="61E7C2A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家用燃气热水炉</w:t>
                  </w:r>
                </w:p>
              </w:tc>
              <w:tc>
                <w:tcPr>
                  <w:tcW w:w="1171" w:type="dxa"/>
                  <w:noWrap w:val="0"/>
                  <w:vAlign w:val="center"/>
                </w:tcPr>
                <w:p w14:paraId="3948272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热效率值（η）</w:t>
                  </w:r>
                </w:p>
              </w:tc>
              <w:tc>
                <w:tcPr>
                  <w:tcW w:w="1759" w:type="dxa"/>
                  <w:vMerge w:val="continue"/>
                  <w:noWrap w:val="0"/>
                  <w:vAlign w:val="center"/>
                </w:tcPr>
                <w:p w14:paraId="6093EF84">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textAlignment w:val="auto"/>
                    <w:rPr>
                      <w:rFonts w:hint="default" w:ascii="Times New Roman" w:hAnsi="Times New Roman" w:cs="Times New Roman"/>
                      <w:b w:val="0"/>
                      <w:bCs w:val="0"/>
                      <w:sz w:val="21"/>
                      <w:szCs w:val="21"/>
                    </w:rPr>
                  </w:pPr>
                </w:p>
              </w:tc>
              <w:tc>
                <w:tcPr>
                  <w:tcW w:w="1313" w:type="dxa"/>
                  <w:vMerge w:val="continue"/>
                  <w:noWrap w:val="0"/>
                  <w:vAlign w:val="center"/>
                </w:tcPr>
                <w:p w14:paraId="3DE7B06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textAlignment w:val="auto"/>
                    <w:rPr>
                      <w:rFonts w:hint="default" w:ascii="Times New Roman" w:hAnsi="Times New Roman" w:cs="Times New Roman"/>
                      <w:b w:val="0"/>
                      <w:bCs w:val="0"/>
                      <w:sz w:val="21"/>
                      <w:szCs w:val="21"/>
                    </w:rPr>
                  </w:pPr>
                </w:p>
              </w:tc>
            </w:tr>
            <w:tr w14:paraId="4B0A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08" w:type="dxa"/>
                  <w:gridSpan w:val="2"/>
                  <w:noWrap w:val="0"/>
                  <w:vAlign w:val="center"/>
                </w:tcPr>
                <w:p w14:paraId="4BC7358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蒸汽型溴化锂吸收式</w:t>
                  </w:r>
                </w:p>
                <w:p w14:paraId="620CF5A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冷水机组</w:t>
                  </w:r>
                </w:p>
              </w:tc>
              <w:tc>
                <w:tcPr>
                  <w:tcW w:w="1171" w:type="dxa"/>
                  <w:noWrap w:val="0"/>
                  <w:vAlign w:val="center"/>
                </w:tcPr>
                <w:p w14:paraId="6403886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制冷、供热性能系数（COP）</w:t>
                  </w:r>
                </w:p>
              </w:tc>
              <w:tc>
                <w:tcPr>
                  <w:tcW w:w="1759" w:type="dxa"/>
                  <w:vMerge w:val="continue"/>
                  <w:noWrap w:val="0"/>
                  <w:vAlign w:val="center"/>
                </w:tcPr>
                <w:p w14:paraId="5FD58F0F">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textAlignment w:val="auto"/>
                    <w:rPr>
                      <w:rFonts w:hint="default" w:ascii="Times New Roman" w:hAnsi="Times New Roman" w:cs="Times New Roman"/>
                      <w:b w:val="0"/>
                      <w:bCs w:val="0"/>
                      <w:sz w:val="21"/>
                      <w:szCs w:val="21"/>
                    </w:rPr>
                  </w:pPr>
                </w:p>
              </w:tc>
              <w:tc>
                <w:tcPr>
                  <w:tcW w:w="1313" w:type="dxa"/>
                  <w:vMerge w:val="continue"/>
                  <w:noWrap w:val="0"/>
                  <w:vAlign w:val="center"/>
                </w:tcPr>
                <w:p w14:paraId="1DB342D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textAlignment w:val="auto"/>
                    <w:rPr>
                      <w:rFonts w:hint="default" w:ascii="Times New Roman" w:hAnsi="Times New Roman" w:cs="Times New Roman"/>
                      <w:b w:val="0"/>
                      <w:bCs w:val="0"/>
                      <w:sz w:val="21"/>
                      <w:szCs w:val="21"/>
                    </w:rPr>
                  </w:pPr>
                </w:p>
              </w:tc>
            </w:tr>
          </w:tbl>
          <w:p w14:paraId="41E3FB19">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82C4">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附录D.6.1</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供暖空调系统的冷、热源机组能效均优于现行强制性工程建设规范《建筑节能与可再生能源利用通用规范》GB 55015 的规定以及国家现行有关标准能效限定值的要求，其值不应小于表D.6.1规定的限值。</w:t>
            </w:r>
          </w:p>
          <w:p w14:paraId="23141C15">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表</w:t>
            </w:r>
            <w:r>
              <w:rPr>
                <w:rStyle w:val="5"/>
                <w:rFonts w:hint="eastAsia" w:ascii="方正黑体_GBK" w:hAnsi="方正黑体_GBK" w:eastAsia="方正黑体_GBK" w:cs="方正黑体_GBK"/>
                <w:sz w:val="24"/>
                <w:szCs w:val="24"/>
                <w:lang w:val="en-US" w:eastAsia="zh-CN" w:bidi="ar"/>
              </w:rPr>
              <w:t>D.</w:t>
            </w:r>
            <w:r>
              <w:rPr>
                <w:rStyle w:val="5"/>
                <w:rFonts w:hint="default" w:ascii="Times New Roman" w:hAnsi="Times New Roman" w:eastAsia="方正黑体_GBK" w:cs="Times New Roman"/>
                <w:sz w:val="24"/>
                <w:szCs w:val="24"/>
                <w:lang w:val="en-US" w:eastAsia="zh-CN" w:bidi="ar"/>
              </w:rPr>
              <w:t>6</w:t>
            </w:r>
            <w:r>
              <w:rPr>
                <w:rStyle w:val="5"/>
                <w:rFonts w:hint="eastAsia" w:ascii="方正黑体_GBK" w:hAnsi="方正黑体_GBK" w:eastAsia="方正黑体_GBK" w:cs="方正黑体_GBK"/>
                <w:sz w:val="24"/>
                <w:szCs w:val="24"/>
                <w:lang w:val="en-US" w:eastAsia="zh-CN" w:bidi="ar"/>
              </w:rPr>
              <w:t>.</w:t>
            </w:r>
            <w:r>
              <w:rPr>
                <w:rStyle w:val="5"/>
                <w:rFonts w:hint="default" w:ascii="Times New Roman" w:hAnsi="Times New Roman" w:eastAsia="方正黑体_GBK" w:cs="Times New Roman"/>
                <w:sz w:val="24"/>
                <w:szCs w:val="24"/>
                <w:lang w:val="en-US" w:eastAsia="zh-CN" w:bidi="ar"/>
              </w:rPr>
              <w:t>1</w:t>
            </w:r>
            <w:r>
              <w:rPr>
                <w:rStyle w:val="5"/>
                <w:rFonts w:hint="eastAsia" w:ascii="方正黑体_GBK" w:hAnsi="方正黑体_GBK" w:eastAsia="方正黑体_GBK" w:cs="方正黑体_GBK"/>
                <w:sz w:val="24"/>
                <w:szCs w:val="24"/>
                <w:lang w:val="en-US" w:eastAsia="zh-CN" w:bidi="ar"/>
              </w:rPr>
              <w:t xml:space="preserve">  冷、热源机组能效提升幅度要求</w:t>
            </w:r>
          </w:p>
          <w:tbl>
            <w:tblPr>
              <w:tblStyle w:val="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24"/>
              <w:gridCol w:w="1152"/>
              <w:gridCol w:w="2058"/>
              <w:gridCol w:w="1122"/>
            </w:tblGrid>
            <w:tr w14:paraId="7D15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05" w:type="pct"/>
                  <w:gridSpan w:val="2"/>
                  <w:noWrap w:val="0"/>
                  <w:vAlign w:val="center"/>
                </w:tcPr>
                <w:p w14:paraId="74044DF7">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1"/>
                      <w:szCs w:val="21"/>
                      <w:u w:val="none"/>
                    </w:rPr>
                  </w:pPr>
                  <w:r>
                    <w:rPr>
                      <w:rFonts w:hint="eastAsia" w:ascii="方正黑体_GBK" w:hAnsi="方正黑体_GBK" w:eastAsia="方正黑体_GBK" w:cs="方正黑体_GBK"/>
                      <w:b w:val="0"/>
                      <w:bCs w:val="0"/>
                      <w:sz w:val="21"/>
                      <w:szCs w:val="21"/>
                      <w:u w:val="none"/>
                    </w:rPr>
                    <w:t>机组类型</w:t>
                  </w:r>
                </w:p>
              </w:tc>
              <w:tc>
                <w:tcPr>
                  <w:tcW w:w="876" w:type="pct"/>
                  <w:noWrap w:val="0"/>
                  <w:vAlign w:val="center"/>
                </w:tcPr>
                <w:p w14:paraId="5475162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1"/>
                      <w:szCs w:val="21"/>
                      <w:u w:val="none"/>
                    </w:rPr>
                  </w:pPr>
                  <w:r>
                    <w:rPr>
                      <w:rFonts w:hint="eastAsia" w:ascii="方正黑体_GBK" w:hAnsi="方正黑体_GBK" w:eastAsia="方正黑体_GBK" w:cs="方正黑体_GBK"/>
                      <w:b w:val="0"/>
                      <w:bCs w:val="0"/>
                      <w:sz w:val="21"/>
                      <w:szCs w:val="21"/>
                      <w:u w:val="none"/>
                    </w:rPr>
                    <w:t>能效指标</w:t>
                  </w:r>
                </w:p>
              </w:tc>
              <w:tc>
                <w:tcPr>
                  <w:tcW w:w="1565" w:type="pct"/>
                  <w:noWrap w:val="0"/>
                  <w:vAlign w:val="center"/>
                </w:tcPr>
                <w:p w14:paraId="6F5DB72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1"/>
                      <w:szCs w:val="21"/>
                      <w:u w:val="none"/>
                    </w:rPr>
                  </w:pPr>
                  <w:r>
                    <w:rPr>
                      <w:rFonts w:hint="eastAsia" w:ascii="方正黑体_GBK" w:hAnsi="方正黑体_GBK" w:eastAsia="方正黑体_GBK" w:cs="方正黑体_GBK"/>
                      <w:b w:val="0"/>
                      <w:bCs w:val="0"/>
                      <w:sz w:val="21"/>
                      <w:szCs w:val="21"/>
                      <w:u w:val="none"/>
                    </w:rPr>
                    <w:t>参照标准</w:t>
                  </w:r>
                </w:p>
              </w:tc>
              <w:tc>
                <w:tcPr>
                  <w:tcW w:w="853" w:type="pct"/>
                  <w:noWrap w:val="0"/>
                  <w:vAlign w:val="center"/>
                </w:tcPr>
                <w:p w14:paraId="7E198CE1">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1"/>
                      <w:szCs w:val="21"/>
                      <w:u w:val="none"/>
                    </w:rPr>
                  </w:pPr>
                  <w:r>
                    <w:rPr>
                      <w:rFonts w:hint="eastAsia" w:ascii="方正黑体_GBK" w:hAnsi="方正黑体_GBK" w:eastAsia="方正黑体_GBK" w:cs="方正黑体_GBK"/>
                      <w:b w:val="0"/>
                      <w:bCs w:val="0"/>
                      <w:sz w:val="21"/>
                      <w:szCs w:val="21"/>
                      <w:u w:val="none"/>
                      <w:lang w:val="en-US" w:eastAsia="zh-CN"/>
                    </w:rPr>
                    <w:t>技术</w:t>
                  </w:r>
                  <w:r>
                    <w:rPr>
                      <w:rFonts w:hint="eastAsia" w:ascii="方正黑体_GBK" w:hAnsi="方正黑体_GBK" w:eastAsia="方正黑体_GBK" w:cs="方正黑体_GBK"/>
                      <w:b w:val="0"/>
                      <w:bCs w:val="0"/>
                      <w:sz w:val="21"/>
                      <w:szCs w:val="21"/>
                      <w:u w:val="none"/>
                    </w:rPr>
                    <w:t>要求</w:t>
                  </w:r>
                </w:p>
              </w:tc>
            </w:tr>
            <w:tr w14:paraId="0DCA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50" w:type="pct"/>
                  <w:vMerge w:val="restart"/>
                  <w:noWrap w:val="0"/>
                  <w:vAlign w:val="center"/>
                </w:tcPr>
                <w:p w14:paraId="6D6FA0E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电机驱动的蒸气压缩循环冷水（热泵）机组</w:t>
                  </w:r>
                </w:p>
              </w:tc>
              <w:tc>
                <w:tcPr>
                  <w:tcW w:w="854" w:type="pct"/>
                  <w:noWrap w:val="0"/>
                  <w:vAlign w:val="center"/>
                </w:tcPr>
                <w:p w14:paraId="4217DD5A">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定频水冷</w:t>
                  </w:r>
                </w:p>
              </w:tc>
              <w:tc>
                <w:tcPr>
                  <w:tcW w:w="876" w:type="pct"/>
                  <w:noWrap w:val="0"/>
                  <w:vAlign w:val="center"/>
                </w:tcPr>
                <w:p w14:paraId="505F9B9E">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制冷性能系数</w:t>
                  </w:r>
                </w:p>
                <w:p w14:paraId="4A2B9CA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（COP）</w:t>
                  </w:r>
                </w:p>
              </w:tc>
              <w:tc>
                <w:tcPr>
                  <w:tcW w:w="1565" w:type="pct"/>
                  <w:vMerge w:val="restart"/>
                  <w:noWrap w:val="0"/>
                  <w:vAlign w:val="center"/>
                </w:tcPr>
                <w:p w14:paraId="3AEB0F5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现行强制性工程建设规范《建筑节能与可再生能源利用通用规范》GB 55015</w:t>
                  </w:r>
                </w:p>
              </w:tc>
              <w:tc>
                <w:tcPr>
                  <w:tcW w:w="853" w:type="pct"/>
                  <w:noWrap w:val="0"/>
                  <w:vAlign w:val="center"/>
                </w:tcPr>
                <w:p w14:paraId="2BA849F2">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提高4%</w:t>
                  </w:r>
                </w:p>
              </w:tc>
            </w:tr>
            <w:tr w14:paraId="45B1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50" w:type="pct"/>
                  <w:vMerge w:val="continue"/>
                  <w:noWrap w:val="0"/>
                  <w:vAlign w:val="center"/>
                </w:tcPr>
                <w:p w14:paraId="6D50259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4" w:type="pct"/>
                  <w:noWrap w:val="0"/>
                  <w:vAlign w:val="center"/>
                </w:tcPr>
                <w:p w14:paraId="4B35E63F">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变频水冷</w:t>
                  </w:r>
                </w:p>
              </w:tc>
              <w:tc>
                <w:tcPr>
                  <w:tcW w:w="876" w:type="pct"/>
                  <w:noWrap w:val="0"/>
                  <w:vAlign w:val="center"/>
                </w:tcPr>
                <w:p w14:paraId="55AA6BD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制冷性能系数</w:t>
                  </w:r>
                </w:p>
                <w:p w14:paraId="5E9EAFF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（COP）</w:t>
                  </w:r>
                </w:p>
              </w:tc>
              <w:tc>
                <w:tcPr>
                  <w:tcW w:w="1565" w:type="pct"/>
                  <w:vMerge w:val="continue"/>
                  <w:noWrap w:val="0"/>
                  <w:vAlign w:val="center"/>
                </w:tcPr>
                <w:p w14:paraId="2596C57A">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noWrap w:val="0"/>
                  <w:vAlign w:val="center"/>
                </w:tcPr>
                <w:p w14:paraId="426B08AA">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提高6%</w:t>
                  </w:r>
                </w:p>
              </w:tc>
            </w:tr>
            <w:tr w14:paraId="66FF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0" w:type="pct"/>
                  <w:vMerge w:val="continue"/>
                  <w:noWrap w:val="0"/>
                  <w:vAlign w:val="center"/>
                </w:tcPr>
                <w:p w14:paraId="6CF68121">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4" w:type="pct"/>
                  <w:noWrap w:val="0"/>
                  <w:vAlign w:val="center"/>
                </w:tcPr>
                <w:p w14:paraId="5237BCC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活塞式/涡旋式风冷或蒸发冷却</w:t>
                  </w:r>
                </w:p>
              </w:tc>
              <w:tc>
                <w:tcPr>
                  <w:tcW w:w="876" w:type="pct"/>
                  <w:noWrap w:val="0"/>
                  <w:vAlign w:val="center"/>
                </w:tcPr>
                <w:p w14:paraId="735104D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制冷性能系数</w:t>
                  </w:r>
                </w:p>
                <w:p w14:paraId="7BAB153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（COP）</w:t>
                  </w:r>
                </w:p>
              </w:tc>
              <w:tc>
                <w:tcPr>
                  <w:tcW w:w="1565" w:type="pct"/>
                  <w:vMerge w:val="continue"/>
                  <w:noWrap w:val="0"/>
                  <w:vAlign w:val="center"/>
                </w:tcPr>
                <w:p w14:paraId="0C46FA2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noWrap w:val="0"/>
                  <w:vAlign w:val="center"/>
                </w:tcPr>
                <w:p w14:paraId="59D881F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提高4%</w:t>
                  </w:r>
                </w:p>
              </w:tc>
            </w:tr>
            <w:tr w14:paraId="20AE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0" w:type="pct"/>
                  <w:vMerge w:val="continue"/>
                  <w:noWrap w:val="0"/>
                  <w:vAlign w:val="center"/>
                </w:tcPr>
                <w:p w14:paraId="51CFE7CD">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4" w:type="pct"/>
                  <w:noWrap w:val="0"/>
                  <w:vAlign w:val="center"/>
                </w:tcPr>
                <w:p w14:paraId="326A35B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螺杆式风冷或蒸发冷却</w:t>
                  </w:r>
                </w:p>
              </w:tc>
              <w:tc>
                <w:tcPr>
                  <w:tcW w:w="876" w:type="pct"/>
                  <w:noWrap w:val="0"/>
                  <w:vAlign w:val="center"/>
                </w:tcPr>
                <w:p w14:paraId="580271CD">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制冷性能系数</w:t>
                  </w:r>
                </w:p>
                <w:p w14:paraId="3C497EC1">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（COP）</w:t>
                  </w:r>
                </w:p>
              </w:tc>
              <w:tc>
                <w:tcPr>
                  <w:tcW w:w="1565" w:type="pct"/>
                  <w:vMerge w:val="continue"/>
                  <w:noWrap w:val="0"/>
                  <w:vAlign w:val="center"/>
                </w:tcPr>
                <w:p w14:paraId="73E47B3B">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noWrap w:val="0"/>
                  <w:vAlign w:val="center"/>
                </w:tcPr>
                <w:p w14:paraId="40118112">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提高6%</w:t>
                  </w:r>
                </w:p>
              </w:tc>
            </w:tr>
            <w:tr w14:paraId="6763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pct"/>
                  <w:gridSpan w:val="2"/>
                  <w:noWrap w:val="0"/>
                  <w:vAlign w:val="center"/>
                </w:tcPr>
                <w:p w14:paraId="0FB0680A">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直燃型溴化锂吸收式冷（温）水机组</w:t>
                  </w:r>
                </w:p>
              </w:tc>
              <w:tc>
                <w:tcPr>
                  <w:tcW w:w="876" w:type="pct"/>
                  <w:noWrap w:val="0"/>
                  <w:vAlign w:val="center"/>
                </w:tcPr>
                <w:p w14:paraId="5C175C9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制冷、供热性能系数（COP）</w:t>
                  </w:r>
                </w:p>
              </w:tc>
              <w:tc>
                <w:tcPr>
                  <w:tcW w:w="1565" w:type="pct"/>
                  <w:vMerge w:val="continue"/>
                  <w:noWrap w:val="0"/>
                  <w:vAlign w:val="center"/>
                </w:tcPr>
                <w:p w14:paraId="4CF6974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noWrap w:val="0"/>
                  <w:vAlign w:val="center"/>
                </w:tcPr>
                <w:p w14:paraId="17EF68F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提高6%</w:t>
                  </w:r>
                </w:p>
              </w:tc>
            </w:tr>
            <w:tr w14:paraId="22FF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50" w:type="pct"/>
                  <w:vMerge w:val="restart"/>
                  <w:noWrap w:val="0"/>
                  <w:vAlign w:val="center"/>
                </w:tcPr>
                <w:p w14:paraId="01932B0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单元式空气调节机、风管送风式空调（热泵）机组</w:t>
                  </w:r>
                </w:p>
              </w:tc>
              <w:tc>
                <w:tcPr>
                  <w:tcW w:w="854" w:type="pct"/>
                  <w:noWrap w:val="0"/>
                  <w:vAlign w:val="center"/>
                </w:tcPr>
                <w:p w14:paraId="7E65346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风冷单冷型</w:t>
                  </w:r>
                </w:p>
              </w:tc>
              <w:tc>
                <w:tcPr>
                  <w:tcW w:w="876" w:type="pct"/>
                  <w:noWrap w:val="0"/>
                  <w:vAlign w:val="center"/>
                </w:tcPr>
                <w:p w14:paraId="1757FF81">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制冷季节能效比</w:t>
                  </w:r>
                </w:p>
                <w:p w14:paraId="41DCC59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（SEER）</w:t>
                  </w:r>
                </w:p>
              </w:tc>
              <w:tc>
                <w:tcPr>
                  <w:tcW w:w="1565" w:type="pct"/>
                  <w:vMerge w:val="continue"/>
                  <w:noWrap w:val="0"/>
                  <w:vAlign w:val="center"/>
                </w:tcPr>
                <w:p w14:paraId="30ADF85F">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vMerge w:val="restart"/>
                  <w:noWrap w:val="0"/>
                  <w:vAlign w:val="center"/>
                </w:tcPr>
                <w:p w14:paraId="17009C8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提高8%</w:t>
                  </w:r>
                </w:p>
              </w:tc>
            </w:tr>
            <w:tr w14:paraId="793C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50" w:type="pct"/>
                  <w:vMerge w:val="continue"/>
                  <w:noWrap w:val="0"/>
                  <w:vAlign w:val="center"/>
                </w:tcPr>
                <w:p w14:paraId="17D79B5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4" w:type="pct"/>
                  <w:noWrap w:val="0"/>
                  <w:vAlign w:val="center"/>
                </w:tcPr>
                <w:p w14:paraId="2F1E9A0B">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风冷热泵型</w:t>
                  </w:r>
                </w:p>
              </w:tc>
              <w:tc>
                <w:tcPr>
                  <w:tcW w:w="876" w:type="pct"/>
                  <w:noWrap w:val="0"/>
                  <w:vAlign w:val="center"/>
                </w:tcPr>
                <w:p w14:paraId="1C37F1BF">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全年性能系数</w:t>
                  </w:r>
                </w:p>
                <w:p w14:paraId="67844A9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（APF）</w:t>
                  </w:r>
                </w:p>
              </w:tc>
              <w:tc>
                <w:tcPr>
                  <w:tcW w:w="1565" w:type="pct"/>
                  <w:vMerge w:val="continue"/>
                  <w:noWrap w:val="0"/>
                  <w:vAlign w:val="center"/>
                </w:tcPr>
                <w:p w14:paraId="37F718BA">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vMerge w:val="continue"/>
                  <w:noWrap w:val="0"/>
                  <w:vAlign w:val="center"/>
                </w:tcPr>
                <w:p w14:paraId="2DFC129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r>
            <w:tr w14:paraId="3943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0" w:type="pct"/>
                  <w:vMerge w:val="continue"/>
                  <w:noWrap w:val="0"/>
                  <w:vAlign w:val="center"/>
                </w:tcPr>
                <w:p w14:paraId="2F71FF5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4" w:type="pct"/>
                  <w:noWrap w:val="0"/>
                  <w:vAlign w:val="center"/>
                </w:tcPr>
                <w:p w14:paraId="09BB87A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水冷</w:t>
                  </w:r>
                </w:p>
              </w:tc>
              <w:tc>
                <w:tcPr>
                  <w:tcW w:w="876" w:type="pct"/>
                  <w:noWrap w:val="0"/>
                  <w:vAlign w:val="center"/>
                </w:tcPr>
                <w:p w14:paraId="5759D21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制冷综合部分负荷性能系数（IPLV）</w:t>
                  </w:r>
                </w:p>
              </w:tc>
              <w:tc>
                <w:tcPr>
                  <w:tcW w:w="1565" w:type="pct"/>
                  <w:vMerge w:val="continue"/>
                  <w:noWrap w:val="0"/>
                  <w:vAlign w:val="center"/>
                </w:tcPr>
                <w:p w14:paraId="20DB84C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vMerge w:val="continue"/>
                  <w:noWrap w:val="0"/>
                  <w:vAlign w:val="center"/>
                </w:tcPr>
                <w:p w14:paraId="3D52B35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r>
            <w:tr w14:paraId="393B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50" w:type="pct"/>
                  <w:vMerge w:val="restart"/>
                  <w:noWrap w:val="0"/>
                  <w:vAlign w:val="center"/>
                </w:tcPr>
                <w:p w14:paraId="14EAA2F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多联式空调（热泵）机组</w:t>
                  </w:r>
                </w:p>
              </w:tc>
              <w:tc>
                <w:tcPr>
                  <w:tcW w:w="854" w:type="pct"/>
                  <w:noWrap w:val="0"/>
                  <w:vAlign w:val="center"/>
                </w:tcPr>
                <w:p w14:paraId="1342D4C1">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水冷</w:t>
                  </w:r>
                </w:p>
              </w:tc>
              <w:tc>
                <w:tcPr>
                  <w:tcW w:w="876" w:type="pct"/>
                  <w:noWrap w:val="0"/>
                  <w:vAlign w:val="center"/>
                </w:tcPr>
                <w:p w14:paraId="096F2A47">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制冷综合部分负荷性能系数（IPLV）</w:t>
                  </w:r>
                </w:p>
              </w:tc>
              <w:tc>
                <w:tcPr>
                  <w:tcW w:w="1565" w:type="pct"/>
                  <w:vMerge w:val="continue"/>
                  <w:noWrap w:val="0"/>
                  <w:vAlign w:val="center"/>
                </w:tcPr>
                <w:p w14:paraId="79061B5E">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vMerge w:val="restart"/>
                  <w:noWrap w:val="0"/>
                  <w:vAlign w:val="center"/>
                </w:tcPr>
                <w:p w14:paraId="57B142F3">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提高8%</w:t>
                  </w:r>
                </w:p>
              </w:tc>
            </w:tr>
            <w:tr w14:paraId="5FDB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0" w:type="pct"/>
                  <w:vMerge w:val="continue"/>
                  <w:noWrap w:val="0"/>
                  <w:vAlign w:val="center"/>
                </w:tcPr>
                <w:p w14:paraId="674B81F4">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4" w:type="pct"/>
                  <w:noWrap w:val="0"/>
                  <w:vAlign w:val="center"/>
                </w:tcPr>
                <w:p w14:paraId="5C93CD6E">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风冷</w:t>
                  </w:r>
                </w:p>
              </w:tc>
              <w:tc>
                <w:tcPr>
                  <w:tcW w:w="876" w:type="pct"/>
                  <w:noWrap w:val="0"/>
                  <w:vAlign w:val="center"/>
                </w:tcPr>
                <w:p w14:paraId="6502BFA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全年性能系数</w:t>
                  </w:r>
                </w:p>
                <w:p w14:paraId="03A0A6CE">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（APF）</w:t>
                  </w:r>
                </w:p>
              </w:tc>
              <w:tc>
                <w:tcPr>
                  <w:tcW w:w="1565" w:type="pct"/>
                  <w:vMerge w:val="continue"/>
                  <w:noWrap w:val="0"/>
                  <w:vAlign w:val="center"/>
                </w:tcPr>
                <w:p w14:paraId="7F9D7CB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vMerge w:val="continue"/>
                  <w:noWrap w:val="0"/>
                  <w:vAlign w:val="center"/>
                </w:tcPr>
                <w:p w14:paraId="5311E4DD">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p>
              </w:tc>
            </w:tr>
            <w:tr w14:paraId="5571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05" w:type="pct"/>
                  <w:gridSpan w:val="2"/>
                  <w:noWrap w:val="0"/>
                  <w:vAlign w:val="center"/>
                </w:tcPr>
                <w:p w14:paraId="6E9B6A20">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锅炉</w:t>
                  </w:r>
                </w:p>
              </w:tc>
              <w:tc>
                <w:tcPr>
                  <w:tcW w:w="876" w:type="pct"/>
                  <w:noWrap w:val="0"/>
                  <w:vAlign w:val="center"/>
                </w:tcPr>
                <w:p w14:paraId="6232B2B6">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热效率</w:t>
                  </w:r>
                </w:p>
              </w:tc>
              <w:tc>
                <w:tcPr>
                  <w:tcW w:w="1565" w:type="pct"/>
                  <w:vMerge w:val="continue"/>
                  <w:noWrap w:val="0"/>
                  <w:vAlign w:val="center"/>
                </w:tcPr>
                <w:p w14:paraId="1D253E6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c>
                <w:tcPr>
                  <w:tcW w:w="853" w:type="pct"/>
                  <w:noWrap w:val="0"/>
                  <w:vAlign w:val="center"/>
                </w:tcPr>
                <w:p w14:paraId="7CCB03B2">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提高1个</w:t>
                  </w:r>
                </w:p>
                <w:p w14:paraId="19DD6E5E">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百分点</w:t>
                  </w:r>
                </w:p>
              </w:tc>
            </w:tr>
            <w:tr w14:paraId="3497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pct"/>
                  <w:gridSpan w:val="2"/>
                  <w:noWrap w:val="0"/>
                  <w:vAlign w:val="center"/>
                </w:tcPr>
                <w:p w14:paraId="2C1BD49D">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房间空气调节器</w:t>
                  </w:r>
                </w:p>
              </w:tc>
              <w:tc>
                <w:tcPr>
                  <w:tcW w:w="876" w:type="pct"/>
                  <w:noWrap w:val="0"/>
                  <w:vAlign w:val="center"/>
                </w:tcPr>
                <w:p w14:paraId="0AB01892">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制冷季节能源消耗效率（SEER）</w:t>
                  </w:r>
                </w:p>
                <w:p w14:paraId="62D6AF3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或全年能源消耗效率（APF）</w:t>
                  </w:r>
                </w:p>
              </w:tc>
              <w:tc>
                <w:tcPr>
                  <w:tcW w:w="1565" w:type="pct"/>
                  <w:noWrap w:val="0"/>
                  <w:vAlign w:val="center"/>
                </w:tcPr>
                <w:p w14:paraId="72D5A72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现行国家标准《房间空气调节器能效限定值及能效等级》GB 21455</w:t>
                  </w:r>
                </w:p>
              </w:tc>
              <w:tc>
                <w:tcPr>
                  <w:tcW w:w="853" w:type="pct"/>
                  <w:vMerge w:val="restart"/>
                  <w:noWrap w:val="0"/>
                  <w:vAlign w:val="center"/>
                </w:tcPr>
                <w:p w14:paraId="21DD21D8">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2级能效</w:t>
                  </w:r>
                </w:p>
                <w:p w14:paraId="2B346232">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等级限值</w:t>
                  </w:r>
                </w:p>
              </w:tc>
            </w:tr>
            <w:tr w14:paraId="7E97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pct"/>
                  <w:gridSpan w:val="2"/>
                  <w:noWrap w:val="0"/>
                  <w:vAlign w:val="center"/>
                </w:tcPr>
                <w:p w14:paraId="7EE749A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燃气</w:t>
                  </w:r>
                  <w:r>
                    <w:rPr>
                      <w:rFonts w:hint="default" w:ascii="Times New Roman" w:hAnsi="Times New Roman" w:eastAsia="方正仿宋_GBK" w:cs="Times New Roman"/>
                      <w:sz w:val="21"/>
                      <w:szCs w:val="21"/>
                      <w:u w:val="none"/>
                      <w:lang w:val="en-US" w:eastAsia="zh-CN"/>
                    </w:rPr>
                    <w:t>供</w:t>
                  </w:r>
                  <w:r>
                    <w:rPr>
                      <w:rFonts w:hint="default" w:ascii="Times New Roman" w:hAnsi="Times New Roman" w:eastAsia="方正仿宋_GBK" w:cs="Times New Roman"/>
                      <w:sz w:val="21"/>
                      <w:szCs w:val="21"/>
                      <w:u w:val="none"/>
                    </w:rPr>
                    <w:t>暖热水炉</w:t>
                  </w:r>
                </w:p>
              </w:tc>
              <w:tc>
                <w:tcPr>
                  <w:tcW w:w="876" w:type="pct"/>
                  <w:noWrap w:val="0"/>
                  <w:vAlign w:val="center"/>
                </w:tcPr>
                <w:p w14:paraId="46FC42AD">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热效率</w:t>
                  </w:r>
                </w:p>
              </w:tc>
              <w:tc>
                <w:tcPr>
                  <w:tcW w:w="1565" w:type="pct"/>
                  <w:noWrap w:val="0"/>
                  <w:vAlign w:val="center"/>
                </w:tcPr>
                <w:p w14:paraId="57D52CD1">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现行国家标准《家用燃气快速热水器和燃气采暖热水炉能效限定值及能效等级》GB 20665</w:t>
                  </w:r>
                </w:p>
              </w:tc>
              <w:tc>
                <w:tcPr>
                  <w:tcW w:w="853" w:type="pct"/>
                  <w:vMerge w:val="continue"/>
                  <w:noWrap w:val="0"/>
                  <w:vAlign w:val="center"/>
                </w:tcPr>
                <w:p w14:paraId="7F6842F9">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r>
            <w:tr w14:paraId="468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pct"/>
                  <w:gridSpan w:val="2"/>
                  <w:noWrap w:val="0"/>
                  <w:vAlign w:val="center"/>
                </w:tcPr>
                <w:p w14:paraId="6510A96C">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蒸汽型溴化锂吸收式</w:t>
                  </w:r>
                </w:p>
                <w:p w14:paraId="312C819F">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冷水机组</w:t>
                  </w:r>
                </w:p>
              </w:tc>
              <w:tc>
                <w:tcPr>
                  <w:tcW w:w="876" w:type="pct"/>
                  <w:noWrap w:val="0"/>
                  <w:vAlign w:val="center"/>
                </w:tcPr>
                <w:p w14:paraId="570095C1">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制冷、供热性能系数（COP）</w:t>
                  </w:r>
                </w:p>
              </w:tc>
              <w:tc>
                <w:tcPr>
                  <w:tcW w:w="1565" w:type="pct"/>
                  <w:noWrap w:val="0"/>
                  <w:vAlign w:val="center"/>
                </w:tcPr>
                <w:p w14:paraId="4F5B1F35">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r>
                    <w:rPr>
                      <w:rFonts w:hint="default" w:ascii="Times New Roman" w:hAnsi="Times New Roman" w:eastAsia="方正仿宋_GBK" w:cs="Times New Roman"/>
                      <w:sz w:val="21"/>
                      <w:szCs w:val="21"/>
                      <w:u w:val="none"/>
                    </w:rPr>
                    <w:t>现行国家标准《溴化锂吸收式冷水机组能效限定值及能效等级》GB 29540</w:t>
                  </w:r>
                </w:p>
              </w:tc>
              <w:tc>
                <w:tcPr>
                  <w:tcW w:w="853" w:type="pct"/>
                  <w:vMerge w:val="continue"/>
                  <w:noWrap w:val="0"/>
                  <w:vAlign w:val="center"/>
                </w:tcPr>
                <w:p w14:paraId="04F12804">
                  <w:pPr>
                    <w:keepNext w:val="0"/>
                    <w:keepLines w:val="0"/>
                    <w:pageBreakBefore w:val="0"/>
                    <w:widowControl w:val="0"/>
                    <w:kinsoku/>
                    <w:wordWrap w:val="0"/>
                    <w:overflowPunct w:val="0"/>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1"/>
                      <w:szCs w:val="21"/>
                      <w:u w:val="none"/>
                    </w:rPr>
                  </w:pPr>
                </w:p>
              </w:tc>
            </w:tr>
          </w:tbl>
          <w:p w14:paraId="7A65F157">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p>
          <w:p w14:paraId="5848B423">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6FEC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65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w:t>
            </w:r>
            <w:r>
              <w:rPr>
                <w:rFonts w:hint="default" w:ascii="Times New Roman" w:hAnsi="Times New Roman" w:cs="Times New Roman"/>
                <w:i w:val="0"/>
                <w:iCs w:val="0"/>
                <w:color w:val="auto"/>
                <w:kern w:val="0"/>
                <w:sz w:val="28"/>
                <w:szCs w:val="28"/>
                <w:u w:val="none"/>
                <w:lang w:val="en-US" w:eastAsia="zh-CN" w:bidi="ar"/>
              </w:rPr>
              <w:t>5</w:t>
            </w:r>
          </w:p>
        </w:tc>
        <w:tc>
          <w:tcPr>
            <w:tcW w:w="6177" w:type="dxa"/>
            <w:tcBorders>
              <w:top w:val="single" w:color="000000" w:sz="4" w:space="0"/>
              <w:left w:val="single" w:color="000000" w:sz="4" w:space="0"/>
              <w:bottom w:val="single" w:color="000000" w:sz="4" w:space="0"/>
              <w:right w:val="nil"/>
            </w:tcBorders>
            <w:shd w:val="clear" w:color="auto" w:fill="auto"/>
            <w:vAlign w:val="center"/>
          </w:tcPr>
          <w:p w14:paraId="2AA967C7">
            <w:pPr>
              <w:keepNext w:val="0"/>
              <w:keepLines w:val="0"/>
              <w:pageBreakBefore w:val="0"/>
              <w:widowControl/>
              <w:suppressLineNumbers w:val="0"/>
              <w:kinsoku/>
              <w:wordWrap/>
              <w:overflowPunct/>
              <w:topLinePunct w:val="0"/>
              <w:autoSpaceDE/>
              <w:autoSpaceDN/>
              <w:bidi w:val="0"/>
              <w:adjustRightInd/>
              <w:snapToGrid/>
              <w:spacing w:before="157" w:beforeLines="5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附录D.6.5</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结合当地气候和自然资源条件合理利用可再生能源，并应至少满足下列1项规定:</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1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由可再生能源提供的生活热水比例不低于50%；</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2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由可再生能源提供的空调用冷量和热量比例不低于50%；</w:t>
            </w:r>
            <w:r>
              <w:rPr>
                <w:rFonts w:hint="default" w:ascii="Times New Roman" w:hAnsi="Times New Roman" w:eastAsia="方正仿宋_GBK" w:cs="Times New Roman"/>
                <w:i w:val="0"/>
                <w:iCs w:val="0"/>
                <w:color w:val="auto"/>
                <w:kern w:val="0"/>
                <w:sz w:val="28"/>
                <w:szCs w:val="28"/>
                <w:u w:val="none"/>
                <w:lang w:val="en-US" w:eastAsia="zh-CN" w:bidi="ar"/>
              </w:rPr>
              <w:br w:type="textWrapping"/>
            </w:r>
            <w:r>
              <w:rPr>
                <w:rFonts w:hint="default" w:ascii="Times New Roman" w:hAnsi="Times New Roman" w:eastAsia="方正仿宋_GBK" w:cs="Times New Roman"/>
                <w:i w:val="0"/>
                <w:iCs w:val="0"/>
                <w:color w:val="auto"/>
                <w:kern w:val="0"/>
                <w:sz w:val="28"/>
                <w:szCs w:val="28"/>
                <w:u w:val="none"/>
                <w:lang w:val="en-US" w:eastAsia="zh-CN" w:bidi="ar"/>
              </w:rPr>
              <w:t xml:space="preserve">3 </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由可再生能源提供的电量比例不低于2.0%。</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E502">
            <w:pPr>
              <w:keepNext w:val="0"/>
              <w:keepLines w:val="0"/>
              <w:pageBreakBefore w:val="0"/>
              <w:widowControl/>
              <w:suppressLineNumbers w:val="0"/>
              <w:kinsoku/>
              <w:wordWrap/>
              <w:overflowPunct/>
              <w:topLinePunct w:val="0"/>
              <w:autoSpaceDE/>
              <w:autoSpaceDN/>
              <w:bidi w:val="0"/>
              <w:adjustRightInd/>
              <w:snapToGrid/>
              <w:spacing w:after="63" w:afterLines="20" w:line="500" w:lineRule="exact"/>
              <w:ind w:firstLine="0" w:firstLineChars="0"/>
              <w:jc w:val="both"/>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附录D.6.5</w:t>
            </w:r>
            <w:r>
              <w:rPr>
                <w:rFonts w:hint="eastAsia" w:ascii="Times New Roman" w:hAnsi="Times New Roman" w:cs="Times New Roman"/>
                <w:i w:val="0"/>
                <w:iCs w:val="0"/>
                <w:color w:val="auto"/>
                <w:kern w:val="0"/>
                <w:sz w:val="28"/>
                <w:szCs w:val="28"/>
                <w:u w:val="none"/>
                <w:lang w:val="en-US" w:eastAsia="zh-CN" w:bidi="ar"/>
              </w:rPr>
              <w:t xml:space="preserve">  </w:t>
            </w:r>
            <w:r>
              <w:rPr>
                <w:rFonts w:hint="default" w:ascii="Times New Roman" w:hAnsi="Times New Roman" w:eastAsia="方正仿宋_GBK" w:cs="Times New Roman"/>
                <w:i w:val="0"/>
                <w:iCs w:val="0"/>
                <w:color w:val="auto"/>
                <w:kern w:val="0"/>
                <w:sz w:val="28"/>
                <w:szCs w:val="28"/>
                <w:u w:val="none"/>
                <w:lang w:val="en-US" w:eastAsia="zh-CN" w:bidi="ar"/>
              </w:rPr>
              <w:t>结合当地气候和自然资源条件合理利用可再生能源，可再生能源利用率不低于4</w:t>
            </w:r>
            <w:r>
              <w:rPr>
                <w:rStyle w:val="5"/>
                <w:rFonts w:hint="default" w:ascii="Times New Roman" w:hAnsi="Times New Roman" w:eastAsia="方正仿宋_GBK" w:cs="Times New Roman"/>
                <w:color w:val="auto"/>
                <w:sz w:val="28"/>
                <w:szCs w:val="28"/>
                <w:lang w:val="en-US" w:eastAsia="zh-CN" w:bidi="ar"/>
              </w:rPr>
              <w:t>%</w:t>
            </w:r>
            <w:r>
              <w:rPr>
                <w:rFonts w:hint="default" w:ascii="Times New Roman" w:hAnsi="Times New Roman" w:eastAsia="方正仿宋_GBK" w:cs="Times New Roman"/>
                <w:i w:val="0"/>
                <w:iCs w:val="0"/>
                <w:color w:val="auto"/>
                <w:kern w:val="0"/>
                <w:sz w:val="28"/>
                <w:szCs w:val="28"/>
                <w:u w:val="none"/>
                <w:lang w:val="en-US" w:eastAsia="zh-CN" w:bidi="ar"/>
              </w:rPr>
              <w:t>。</w:t>
            </w:r>
          </w:p>
        </w:tc>
      </w:tr>
    </w:tbl>
    <w:p w14:paraId="6F243DF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17F1A62-2BCC-42BA-B1E7-8BA603CAE68E}"/>
  </w:font>
  <w:font w:name="方正仿宋_GBK">
    <w:panose1 w:val="02000000000000000000"/>
    <w:charset w:val="86"/>
    <w:family w:val="script"/>
    <w:pitch w:val="default"/>
    <w:sig w:usb0="A00002BF" w:usb1="38CF7CFA" w:usb2="00082016" w:usb3="00000000" w:csb0="00040001" w:csb1="00000000"/>
    <w:embedRegular r:id="rId2" w:fontKey="{C7EA47DF-E7A7-458A-B053-FD904611EB9C}"/>
  </w:font>
  <w:font w:name="方正小标宋_GBK">
    <w:panose1 w:val="02000000000000000000"/>
    <w:charset w:val="86"/>
    <w:family w:val="auto"/>
    <w:pitch w:val="default"/>
    <w:sig w:usb0="A00002BF" w:usb1="38CF7CFA" w:usb2="00082016" w:usb3="00000000" w:csb0="00040001" w:csb1="00000000"/>
    <w:embedRegular r:id="rId3" w:fontKey="{33DF091E-AD3A-4117-AF7F-2FE187A1E80B}"/>
  </w:font>
  <w:font w:name="方正黑体_GBK">
    <w:panose1 w:val="02010600010101010101"/>
    <w:charset w:val="86"/>
    <w:family w:val="auto"/>
    <w:pitch w:val="default"/>
    <w:sig w:usb0="00000001" w:usb1="080E0000" w:usb2="00000000" w:usb3="00000000" w:csb0="00040000" w:csb1="00000000"/>
    <w:embedRegular r:id="rId4" w:fontKey="{C2E10E7A-2E2F-4975-A86A-B50236B3681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NjM3ZTI0NGY3MzM1NWE4OTM4ODQ4YWVkZTBjNmMifQ=="/>
  </w:docVars>
  <w:rsids>
    <w:rsidRoot w:val="00000000"/>
    <w:rsid w:val="57B6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88" w:firstLineChars="200"/>
      <w:jc w:val="both"/>
    </w:pPr>
    <w:rPr>
      <w:rFonts w:ascii="Calibri" w:hAnsi="Calibri" w:eastAsia="方正仿宋_GBK" w:cstheme="minorBidi"/>
      <w:kern w:val="2"/>
      <w:sz w:val="32"/>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2024-10-11T08:10:23Z</dcterms:created>
  <dc:creator>Administrator</dc:creator>
  <cp:lastModifiedBy>WX壹九九五</cp:lastModifiedBy>
  <dcterms:modified xsi:type="dcterms:W3CDTF">2024-10-11T08:11:35Z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E02BC7B3946342D1902A87671954C7D9_12</vt:lpwstr>
  </property>
</Properties>
</file>