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bCs/>
          <w:sz w:val="32"/>
          <w:szCs w:val="52"/>
          <w:lang w:eastAsia="zh-CN"/>
        </w:rPr>
      </w:pPr>
      <w:bookmarkStart w:id="0" w:name="_Toc247"/>
      <w:bookmarkStart w:id="1" w:name="_Toc6431"/>
      <w:bookmarkStart w:id="2" w:name="_Toc3406"/>
      <w:bookmarkStart w:id="3" w:name="_Toc25173"/>
      <w:r>
        <w:rPr>
          <w:rFonts w:hint="eastAsia" w:ascii="黑体" w:hAnsi="黑体" w:eastAsia="黑体"/>
          <w:bCs/>
          <w:sz w:val="32"/>
          <w:szCs w:val="52"/>
          <w:lang w:eastAsia="zh-CN"/>
        </w:rPr>
        <w:t>附件</w:t>
      </w:r>
    </w:p>
    <w:p>
      <w:pPr>
        <w:spacing w:line="600" w:lineRule="exact"/>
        <w:jc w:val="center"/>
        <w:rPr>
          <w:b/>
          <w:bCs/>
          <w:sz w:val="32"/>
          <w:szCs w:val="32"/>
        </w:rPr>
      </w:pPr>
    </w:p>
    <w:p>
      <w:pPr>
        <w:spacing w:line="240" w:lineRule="auto"/>
        <w:jc w:val="center"/>
        <w:outlineLvl w:val="9"/>
        <w:rPr>
          <w:rFonts w:hint="eastAsia" w:ascii="方正小标宋简体" w:eastAsia="方正小标宋简体"/>
          <w:bCs/>
          <w:sz w:val="52"/>
          <w:szCs w:val="52"/>
        </w:rPr>
      </w:pPr>
    </w:p>
    <w:p>
      <w:pPr>
        <w:spacing w:line="240" w:lineRule="auto"/>
        <w:jc w:val="center"/>
        <w:outlineLvl w:val="9"/>
        <w:rPr>
          <w:rFonts w:hint="eastAsia" w:ascii="方正小标宋简体" w:eastAsia="方正小标宋简体"/>
          <w:bCs/>
          <w:sz w:val="52"/>
          <w:szCs w:val="52"/>
        </w:rPr>
      </w:pPr>
      <w:r>
        <w:rPr>
          <w:rFonts w:hint="eastAsia" w:ascii="方正小标宋简体" w:eastAsia="方正小标宋简体"/>
          <w:bCs/>
          <w:sz w:val="52"/>
          <w:szCs w:val="52"/>
        </w:rPr>
        <w:t>内蒙古自治区</w:t>
      </w:r>
      <w:bookmarkEnd w:id="0"/>
      <w:bookmarkEnd w:id="1"/>
      <w:bookmarkEnd w:id="2"/>
      <w:bookmarkEnd w:id="3"/>
      <w:r>
        <w:rPr>
          <w:rFonts w:hint="eastAsia" w:ascii="方正小标宋简体" w:eastAsia="方正小标宋简体"/>
          <w:bCs/>
          <w:sz w:val="52"/>
          <w:szCs w:val="52"/>
        </w:rPr>
        <w:t>高品质住宅</w:t>
      </w:r>
    </w:p>
    <w:p>
      <w:pPr>
        <w:spacing w:line="240" w:lineRule="auto"/>
        <w:jc w:val="center"/>
        <w:outlineLvl w:val="9"/>
        <w:rPr>
          <w:b/>
          <w:bCs/>
          <w:sz w:val="52"/>
          <w:szCs w:val="52"/>
        </w:rPr>
      </w:pPr>
      <w:r>
        <w:rPr>
          <w:rFonts w:hint="eastAsia" w:ascii="方正小标宋简体" w:eastAsia="方正小标宋简体"/>
          <w:bCs/>
          <w:sz w:val="52"/>
          <w:szCs w:val="52"/>
        </w:rPr>
        <w:t>建设技术导则</w:t>
      </w:r>
    </w:p>
    <w:p>
      <w:pPr>
        <w:spacing w:line="600" w:lineRule="exact"/>
        <w:rPr>
          <w:b/>
          <w:bCs/>
          <w:sz w:val="32"/>
          <w:szCs w:val="32"/>
        </w:rPr>
      </w:pPr>
    </w:p>
    <w:p>
      <w:pPr>
        <w:spacing w:line="600" w:lineRule="exact"/>
        <w:rPr>
          <w:b/>
          <w:bCs/>
          <w:sz w:val="32"/>
          <w:szCs w:val="32"/>
        </w:rPr>
      </w:pPr>
    </w:p>
    <w:p>
      <w:pPr>
        <w:spacing w:line="600" w:lineRule="exact"/>
        <w:rPr>
          <w:b/>
          <w:bCs/>
          <w:sz w:val="32"/>
          <w:szCs w:val="32"/>
        </w:rPr>
      </w:pPr>
    </w:p>
    <w:p>
      <w:pPr>
        <w:spacing w:line="600" w:lineRule="exact"/>
        <w:rPr>
          <w:b/>
          <w:bCs/>
          <w:sz w:val="32"/>
          <w:szCs w:val="32"/>
        </w:rPr>
      </w:pPr>
    </w:p>
    <w:p>
      <w:pPr>
        <w:spacing w:line="600" w:lineRule="exact"/>
        <w:rPr>
          <w:b/>
          <w:bCs/>
          <w:sz w:val="32"/>
          <w:szCs w:val="32"/>
        </w:rPr>
      </w:pPr>
    </w:p>
    <w:p>
      <w:pPr>
        <w:spacing w:line="600" w:lineRule="exact"/>
        <w:jc w:val="center"/>
        <w:rPr>
          <w:b/>
          <w:bCs/>
          <w:sz w:val="32"/>
          <w:szCs w:val="32"/>
        </w:rPr>
      </w:pPr>
    </w:p>
    <w:p>
      <w:pPr>
        <w:spacing w:line="600" w:lineRule="exact"/>
        <w:jc w:val="center"/>
        <w:rPr>
          <w:b/>
          <w:bCs/>
          <w:sz w:val="32"/>
          <w:szCs w:val="32"/>
        </w:rPr>
      </w:pPr>
    </w:p>
    <w:p>
      <w:pPr>
        <w:spacing w:line="600" w:lineRule="exact"/>
        <w:jc w:val="center"/>
        <w:rPr>
          <w:b/>
          <w:bCs/>
          <w:sz w:val="32"/>
          <w:szCs w:val="32"/>
        </w:rPr>
      </w:pPr>
    </w:p>
    <w:p>
      <w:pPr>
        <w:spacing w:line="600" w:lineRule="exact"/>
        <w:jc w:val="center"/>
        <w:rPr>
          <w:b/>
          <w:bCs/>
          <w:sz w:val="32"/>
          <w:szCs w:val="32"/>
        </w:rPr>
      </w:pPr>
    </w:p>
    <w:p>
      <w:pPr>
        <w:spacing w:line="600" w:lineRule="exact"/>
        <w:jc w:val="center"/>
        <w:rPr>
          <w:b/>
          <w:bCs/>
          <w:sz w:val="32"/>
          <w:szCs w:val="32"/>
        </w:rPr>
      </w:pPr>
    </w:p>
    <w:p>
      <w:pPr>
        <w:spacing w:line="600" w:lineRule="exact"/>
        <w:jc w:val="center"/>
        <w:rPr>
          <w:b/>
          <w:bCs/>
          <w:sz w:val="32"/>
          <w:szCs w:val="32"/>
        </w:rPr>
      </w:pPr>
    </w:p>
    <w:p>
      <w:pPr>
        <w:spacing w:line="600" w:lineRule="exact"/>
        <w:jc w:val="center"/>
        <w:rPr>
          <w:b/>
          <w:bCs/>
          <w:sz w:val="32"/>
          <w:szCs w:val="32"/>
        </w:rPr>
      </w:pPr>
    </w:p>
    <w:p>
      <w:pPr>
        <w:spacing w:line="600" w:lineRule="exact"/>
        <w:jc w:val="center"/>
        <w:rPr>
          <w:b/>
          <w:bCs/>
          <w:sz w:val="32"/>
          <w:szCs w:val="32"/>
        </w:rPr>
      </w:pPr>
    </w:p>
    <w:p>
      <w:pPr>
        <w:spacing w:line="600" w:lineRule="exact"/>
        <w:jc w:val="center"/>
        <w:rPr>
          <w:b/>
          <w:bCs/>
          <w:sz w:val="32"/>
          <w:szCs w:val="32"/>
        </w:rPr>
      </w:pPr>
    </w:p>
    <w:p>
      <w:pPr>
        <w:spacing w:line="600" w:lineRule="exact"/>
        <w:jc w:val="center"/>
        <w:rPr>
          <w:b/>
          <w:bCs/>
          <w:sz w:val="32"/>
          <w:szCs w:val="32"/>
        </w:rPr>
      </w:pPr>
    </w:p>
    <w:p>
      <w:pPr>
        <w:spacing w:line="600" w:lineRule="exact"/>
        <w:jc w:val="both"/>
        <w:rPr>
          <w:b/>
          <w:bCs/>
          <w:sz w:val="32"/>
          <w:szCs w:val="32"/>
        </w:rPr>
      </w:pPr>
    </w:p>
    <w:p>
      <w:pPr>
        <w:spacing w:line="600" w:lineRule="exact"/>
        <w:ind w:firstLine="0" w:firstLineChars="0"/>
        <w:jc w:val="center"/>
        <w:outlineLvl w:val="0"/>
        <w:rPr>
          <w:b/>
          <w:bCs/>
          <w:sz w:val="44"/>
          <w:szCs w:val="44"/>
        </w:rPr>
      </w:pPr>
      <w:bookmarkStart w:id="4" w:name="_Toc24142"/>
      <w:bookmarkStart w:id="5" w:name="_Toc17559"/>
      <w:bookmarkStart w:id="6" w:name="_Toc22284"/>
      <w:bookmarkStart w:id="7" w:name="_Toc16342"/>
      <w:bookmarkStart w:id="8" w:name="_Toc14660"/>
      <w:bookmarkStart w:id="9" w:name="_Toc17603"/>
      <w:bookmarkStart w:id="10" w:name="_Toc2425"/>
      <w:r>
        <w:rPr>
          <w:rFonts w:hint="eastAsia"/>
          <w:b/>
          <w:bCs/>
          <w:sz w:val="44"/>
          <w:szCs w:val="44"/>
        </w:rPr>
        <w:t>前言</w:t>
      </w:r>
      <w:bookmarkEnd w:id="4"/>
      <w:bookmarkEnd w:id="5"/>
    </w:p>
    <w:p>
      <w:pPr>
        <w:spacing w:line="600" w:lineRule="exact"/>
        <w:ind w:firstLine="723" w:firstLineChars="200"/>
        <w:jc w:val="both"/>
        <w:rPr>
          <w:b/>
          <w:bCs/>
          <w:sz w:val="36"/>
          <w:szCs w:val="36"/>
        </w:rPr>
      </w:pPr>
    </w:p>
    <w:p>
      <w:pPr>
        <w:pStyle w:val="4"/>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房子是人民群众实现美好生活的重要载体和精神家园，房地产业是拉动我区经济增长的支柱产业之一，推动建设高品质住宅对于满足人民美好生活追求，助力全区房地产业转型升级，确保房地产市场平稳健康发展，重塑供需两端信心和预期发挥着重要支撑作用。长期以来，房地产业内对高品质住宅的建设评价指标缺乏参考依据，高品质住宅的定位不清晰，价值得不到充分体现。为加快构建全区房地产发展新模式，实现房地产业高质量发展，自治区住房和城乡建设厅会同自治区房地产业协会在深入研究全区房地产市场及房地产业的基础上，</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rPr>
        <w:t>了《内蒙古自治区高品质住宅建设技术导则》（以下简称为“导则”）。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导则内容分为总则、住宅小区规划设计、建筑设计及建筑品质和物业运维管理四部分，围绕健康、舒适、绿色、耐久四个核心理念，坚持从住宅全生命周期的视角审视住宅品质，引导房地产开发企业努力为居民打造更加宜居、和谐、可持续的生活空间。目前，高品质住宅的概念和标准随着科技创新和人民需求变化仍在持续完善，鼓励房地产企业参考导则内容不断提升对高品质住宅内涵的认识，提供更多符合房地产市场需求的高品质住宅产品。</w:t>
      </w:r>
    </w:p>
    <w:p>
      <w:pPr>
        <w:spacing w:line="600" w:lineRule="exact"/>
        <w:ind w:firstLine="880" w:firstLineChars="200"/>
        <w:jc w:val="both"/>
        <w:rPr>
          <w:rFonts w:hint="eastAsia" w:ascii="黑体" w:hAnsi="黑体" w:eastAsia="黑体"/>
          <w:bCs/>
          <w:sz w:val="44"/>
          <w:szCs w:val="44"/>
        </w:rPr>
      </w:pPr>
    </w:p>
    <w:p>
      <w:pPr>
        <w:spacing w:line="600" w:lineRule="exact"/>
        <w:jc w:val="center"/>
        <w:rPr>
          <w:rFonts w:hint="eastAsia" w:ascii="黑体" w:hAnsi="黑体" w:eastAsia="黑体"/>
          <w:bCs/>
          <w:sz w:val="44"/>
          <w:szCs w:val="44"/>
        </w:rPr>
      </w:pPr>
    </w:p>
    <w:p>
      <w:pPr>
        <w:spacing w:line="600" w:lineRule="exact"/>
        <w:jc w:val="center"/>
        <w:rPr>
          <w:rFonts w:ascii="黑体" w:hAnsi="黑体" w:eastAsia="黑体"/>
          <w:bCs/>
          <w:sz w:val="44"/>
          <w:szCs w:val="44"/>
        </w:rPr>
      </w:pPr>
      <w:r>
        <w:rPr>
          <w:rFonts w:hint="eastAsia" w:ascii="黑体" w:hAnsi="黑体" w:eastAsia="黑体"/>
          <w:bCs/>
          <w:sz w:val="44"/>
          <w:szCs w:val="44"/>
        </w:rPr>
        <w:t>目  录</w:t>
      </w:r>
    </w:p>
    <w:p>
      <w:pPr>
        <w:spacing w:line="600" w:lineRule="exact"/>
        <w:ind w:firstLine="720" w:firstLineChars="200"/>
        <w:jc w:val="center"/>
        <w:outlineLvl w:val="0"/>
        <w:rPr>
          <w:rFonts w:ascii="宋体" w:hAnsi="宋体"/>
          <w:bCs/>
          <w:sz w:val="36"/>
          <w:szCs w:val="36"/>
        </w:rPr>
      </w:pPr>
      <w:bookmarkStart w:id="11" w:name="_Toc2174"/>
    </w:p>
    <w:p>
      <w:pPr>
        <w:tabs>
          <w:tab w:val="right" w:leader="dot" w:pos="8400"/>
        </w:tabs>
        <w:spacing w:line="600" w:lineRule="exact"/>
        <w:ind w:firstLine="640" w:firstLineChars="200"/>
        <w:outlineLvl w:val="0"/>
        <w:rPr>
          <w:rFonts w:ascii="宋体" w:hAnsi="宋体" w:eastAsia="宋体"/>
          <w:b w:val="0"/>
          <w:bCs w:val="0"/>
          <w:sz w:val="32"/>
          <w:szCs w:val="32"/>
        </w:rPr>
      </w:pPr>
      <w:r>
        <w:rPr>
          <w:rFonts w:hint="eastAsia" w:ascii="宋体" w:hAnsi="宋体" w:eastAsia="宋体"/>
          <w:b w:val="0"/>
          <w:bCs w:val="0"/>
          <w:sz w:val="32"/>
          <w:szCs w:val="32"/>
          <w:lang w:val="en-US" w:eastAsia="zh-CN"/>
        </w:rPr>
        <w:t>1.</w:t>
      </w:r>
      <w:r>
        <w:rPr>
          <w:rFonts w:hint="eastAsia" w:ascii="宋体" w:hAnsi="宋体" w:eastAsia="宋体"/>
          <w:b w:val="0"/>
          <w:bCs w:val="0"/>
          <w:sz w:val="32"/>
          <w:szCs w:val="32"/>
        </w:rPr>
        <w:t>总则</w:t>
      </w:r>
      <w:r>
        <w:rPr>
          <w:rFonts w:hint="eastAsia" w:ascii="宋体" w:hAnsi="宋体" w:eastAsia="宋体"/>
          <w:b w:val="0"/>
          <w:bCs w:val="0"/>
          <w:sz w:val="32"/>
          <w:szCs w:val="32"/>
        </w:rPr>
        <w:tab/>
      </w:r>
      <w:r>
        <w:rPr>
          <w:rFonts w:hint="eastAsia" w:ascii="宋体" w:hAnsi="宋体" w:eastAsia="宋体"/>
          <w:b w:val="0"/>
          <w:bCs w:val="0"/>
          <w:sz w:val="32"/>
          <w:szCs w:val="32"/>
        </w:rPr>
        <w:t>（1</w:t>
      </w:r>
      <w:r>
        <w:rPr>
          <w:rFonts w:hint="eastAsia" w:ascii="宋体" w:hAnsi="宋体" w:eastAsia="宋体"/>
          <w:b w:val="0"/>
          <w:bCs w:val="0"/>
          <w:sz w:val="32"/>
          <w:szCs w:val="32"/>
          <w:lang w:val="en-US" w:eastAsia="zh-CN"/>
        </w:rPr>
        <w:t>4</w:t>
      </w:r>
      <w:r>
        <w:rPr>
          <w:rFonts w:hint="eastAsia" w:ascii="宋体" w:hAnsi="宋体" w:eastAsia="宋体"/>
          <w:b w:val="0"/>
          <w:bCs w:val="0"/>
          <w:sz w:val="32"/>
          <w:szCs w:val="32"/>
        </w:rPr>
        <w:t>）</w:t>
      </w:r>
    </w:p>
    <w:p>
      <w:pPr>
        <w:tabs>
          <w:tab w:val="right" w:leader="dot" w:pos="8400"/>
        </w:tabs>
        <w:spacing w:line="600" w:lineRule="exact"/>
        <w:ind w:firstLine="640" w:firstLineChars="200"/>
        <w:outlineLvl w:val="0"/>
        <w:rPr>
          <w:rFonts w:ascii="宋体" w:hAnsi="宋体" w:eastAsia="宋体"/>
          <w:b w:val="0"/>
          <w:bCs w:val="0"/>
          <w:sz w:val="32"/>
          <w:szCs w:val="32"/>
        </w:rPr>
      </w:pPr>
      <w:r>
        <w:rPr>
          <w:rFonts w:hint="eastAsia" w:ascii="宋体" w:hAnsi="宋体" w:eastAsia="宋体"/>
          <w:b w:val="0"/>
          <w:bCs w:val="0"/>
          <w:sz w:val="32"/>
          <w:szCs w:val="32"/>
        </w:rPr>
        <w:t>2</w:t>
      </w:r>
      <w:r>
        <w:rPr>
          <w:rFonts w:hint="eastAsia" w:ascii="宋体" w:hAnsi="宋体" w:eastAsia="宋体"/>
          <w:b w:val="0"/>
          <w:bCs w:val="0"/>
          <w:sz w:val="32"/>
          <w:szCs w:val="32"/>
          <w:lang w:val="en-US" w:eastAsia="zh-CN"/>
        </w:rPr>
        <w:t>.</w:t>
      </w:r>
      <w:r>
        <w:rPr>
          <w:rFonts w:hint="eastAsia" w:ascii="宋体" w:hAnsi="宋体" w:eastAsia="宋体"/>
          <w:b w:val="0"/>
          <w:bCs w:val="0"/>
          <w:sz w:val="32"/>
          <w:szCs w:val="32"/>
        </w:rPr>
        <w:t>住宅小区规划设计</w:t>
      </w:r>
      <w:r>
        <w:rPr>
          <w:rFonts w:hint="eastAsia" w:ascii="宋体" w:hAnsi="宋体" w:eastAsia="宋体"/>
          <w:b w:val="0"/>
          <w:bCs w:val="0"/>
          <w:sz w:val="32"/>
          <w:szCs w:val="32"/>
        </w:rPr>
        <w:tab/>
      </w:r>
      <w:r>
        <w:rPr>
          <w:rFonts w:hint="eastAsia" w:ascii="宋体" w:hAnsi="宋体" w:eastAsia="宋体"/>
          <w:b w:val="0"/>
          <w:bCs w:val="0"/>
          <w:sz w:val="32"/>
          <w:szCs w:val="32"/>
        </w:rPr>
        <w:t>（</w:t>
      </w:r>
      <w:r>
        <w:rPr>
          <w:rFonts w:hint="eastAsia" w:ascii="宋体" w:hAnsi="宋体" w:eastAsia="宋体"/>
          <w:b w:val="0"/>
          <w:bCs w:val="0"/>
          <w:sz w:val="32"/>
          <w:szCs w:val="32"/>
          <w:lang w:val="en-US" w:eastAsia="zh-CN"/>
        </w:rPr>
        <w:t>15</w:t>
      </w:r>
      <w:r>
        <w:rPr>
          <w:rFonts w:hint="eastAsia" w:ascii="宋体" w:hAnsi="宋体" w:eastAsia="宋体"/>
          <w:b w:val="0"/>
          <w:bCs w:val="0"/>
          <w:sz w:val="32"/>
          <w:szCs w:val="32"/>
        </w:rPr>
        <w:t>）</w:t>
      </w:r>
    </w:p>
    <w:p>
      <w:pPr>
        <w:tabs>
          <w:tab w:val="right" w:leader="dot" w:pos="8400"/>
        </w:tabs>
        <w:spacing w:line="600" w:lineRule="exact"/>
        <w:ind w:firstLine="640" w:firstLineChars="200"/>
        <w:outlineLvl w:val="0"/>
        <w:rPr>
          <w:rFonts w:ascii="宋体" w:hAnsi="宋体" w:eastAsia="宋体"/>
          <w:b w:val="0"/>
          <w:bCs w:val="0"/>
          <w:sz w:val="32"/>
          <w:szCs w:val="32"/>
        </w:rPr>
      </w:pPr>
      <w:r>
        <w:rPr>
          <w:rFonts w:hint="eastAsia" w:ascii="宋体" w:hAnsi="宋体" w:eastAsia="宋体"/>
          <w:b w:val="0"/>
          <w:bCs w:val="0"/>
          <w:sz w:val="32"/>
          <w:szCs w:val="32"/>
        </w:rPr>
        <w:t>3</w:t>
      </w:r>
      <w:r>
        <w:rPr>
          <w:rFonts w:hint="eastAsia" w:ascii="宋体" w:hAnsi="宋体" w:eastAsia="宋体"/>
          <w:b w:val="0"/>
          <w:bCs w:val="0"/>
          <w:sz w:val="32"/>
          <w:szCs w:val="32"/>
          <w:lang w:val="en-US" w:eastAsia="zh-CN"/>
        </w:rPr>
        <w:t>.</w:t>
      </w:r>
      <w:r>
        <w:rPr>
          <w:rFonts w:hint="eastAsia" w:ascii="宋体" w:hAnsi="宋体" w:eastAsia="宋体"/>
          <w:b w:val="0"/>
          <w:bCs w:val="0"/>
          <w:sz w:val="32"/>
          <w:szCs w:val="32"/>
        </w:rPr>
        <w:t>建筑设计及建筑品质</w:t>
      </w:r>
      <w:r>
        <w:rPr>
          <w:rFonts w:hint="eastAsia" w:ascii="宋体" w:hAnsi="宋体" w:eastAsia="宋体"/>
          <w:b w:val="0"/>
          <w:bCs w:val="0"/>
          <w:sz w:val="32"/>
          <w:szCs w:val="32"/>
        </w:rPr>
        <w:tab/>
      </w:r>
      <w:r>
        <w:rPr>
          <w:rFonts w:hint="eastAsia" w:ascii="宋体" w:hAnsi="宋体" w:eastAsia="宋体"/>
          <w:b w:val="0"/>
          <w:bCs w:val="0"/>
          <w:sz w:val="32"/>
          <w:szCs w:val="32"/>
        </w:rPr>
        <w:t>（</w:t>
      </w:r>
      <w:r>
        <w:rPr>
          <w:rFonts w:hint="eastAsia" w:ascii="宋体" w:hAnsi="宋体" w:eastAsia="宋体"/>
          <w:b w:val="0"/>
          <w:bCs w:val="0"/>
          <w:sz w:val="32"/>
          <w:szCs w:val="32"/>
          <w:lang w:val="en-US" w:eastAsia="zh-CN"/>
        </w:rPr>
        <w:t>18</w:t>
      </w:r>
      <w:r>
        <w:rPr>
          <w:rFonts w:hint="eastAsia" w:ascii="宋体" w:hAnsi="宋体" w:eastAsia="宋体"/>
          <w:b w:val="0"/>
          <w:bCs w:val="0"/>
          <w:sz w:val="32"/>
          <w:szCs w:val="32"/>
        </w:rPr>
        <w:t>）</w:t>
      </w:r>
    </w:p>
    <w:p>
      <w:pPr>
        <w:tabs>
          <w:tab w:val="right" w:leader="dot" w:pos="8400"/>
        </w:tabs>
        <w:spacing w:line="600" w:lineRule="exact"/>
        <w:ind w:firstLine="640" w:firstLineChars="200"/>
        <w:outlineLvl w:val="0"/>
        <w:rPr>
          <w:rFonts w:ascii="宋体" w:hAnsi="宋体" w:eastAsia="宋体"/>
          <w:b w:val="0"/>
          <w:bCs w:val="0"/>
          <w:sz w:val="32"/>
          <w:szCs w:val="32"/>
        </w:rPr>
      </w:pPr>
      <w:r>
        <w:rPr>
          <w:rFonts w:hint="eastAsia" w:ascii="宋体" w:hAnsi="宋体" w:eastAsia="宋体"/>
          <w:b w:val="0"/>
          <w:bCs w:val="0"/>
          <w:sz w:val="32"/>
          <w:szCs w:val="32"/>
        </w:rPr>
        <w:t>4</w:t>
      </w:r>
      <w:r>
        <w:rPr>
          <w:rFonts w:hint="eastAsia" w:ascii="宋体" w:hAnsi="宋体" w:eastAsia="宋体"/>
          <w:b w:val="0"/>
          <w:bCs w:val="0"/>
          <w:sz w:val="32"/>
          <w:szCs w:val="32"/>
          <w:lang w:val="en-US" w:eastAsia="zh-CN"/>
        </w:rPr>
        <w:t>.</w:t>
      </w:r>
      <w:r>
        <w:rPr>
          <w:rFonts w:hint="eastAsia" w:ascii="宋体" w:hAnsi="宋体" w:eastAsia="宋体"/>
          <w:b w:val="0"/>
          <w:bCs w:val="0"/>
          <w:sz w:val="32"/>
          <w:szCs w:val="32"/>
        </w:rPr>
        <w:t>物业运维管理</w:t>
      </w:r>
      <w:r>
        <w:rPr>
          <w:rFonts w:hint="eastAsia" w:ascii="宋体" w:hAnsi="宋体" w:eastAsia="宋体"/>
          <w:b w:val="0"/>
          <w:bCs w:val="0"/>
          <w:sz w:val="32"/>
          <w:szCs w:val="32"/>
        </w:rPr>
        <w:tab/>
      </w:r>
      <w:r>
        <w:rPr>
          <w:rFonts w:hint="eastAsia" w:ascii="宋体" w:hAnsi="宋体" w:eastAsia="宋体"/>
          <w:b w:val="0"/>
          <w:bCs w:val="0"/>
          <w:sz w:val="32"/>
          <w:szCs w:val="32"/>
        </w:rPr>
        <w:t>（</w:t>
      </w:r>
      <w:r>
        <w:rPr>
          <w:rFonts w:hint="eastAsia" w:ascii="宋体" w:hAnsi="宋体" w:eastAsia="宋体"/>
          <w:b w:val="0"/>
          <w:bCs w:val="0"/>
          <w:sz w:val="32"/>
          <w:szCs w:val="32"/>
          <w:lang w:val="en-US" w:eastAsia="zh-CN"/>
        </w:rPr>
        <w:t>24</w:t>
      </w:r>
      <w:r>
        <w:rPr>
          <w:rFonts w:hint="eastAsia" w:ascii="宋体" w:hAnsi="宋体" w:eastAsia="宋体"/>
          <w:b w:val="0"/>
          <w:bCs w:val="0"/>
          <w:sz w:val="32"/>
          <w:szCs w:val="32"/>
        </w:rPr>
        <w:t>）</w:t>
      </w:r>
    </w:p>
    <w:p>
      <w:pPr>
        <w:tabs>
          <w:tab w:val="right" w:leader="dot" w:pos="8400"/>
        </w:tabs>
        <w:spacing w:line="600" w:lineRule="exact"/>
        <w:ind w:firstLine="640" w:firstLineChars="200"/>
        <w:outlineLvl w:val="1"/>
        <w:rPr>
          <w:rFonts w:ascii="宋体" w:hAnsi="宋体" w:eastAsia="宋体" w:cs="仿宋_GB2312"/>
          <w:b w:val="0"/>
          <w:bCs w:val="0"/>
          <w:sz w:val="32"/>
          <w:szCs w:val="32"/>
        </w:rPr>
      </w:pPr>
      <w:r>
        <w:rPr>
          <w:rFonts w:hint="eastAsia" w:ascii="宋体" w:hAnsi="宋体" w:eastAsia="宋体" w:cs="仿宋_GB2312"/>
          <w:b w:val="0"/>
          <w:bCs w:val="0"/>
          <w:sz w:val="32"/>
          <w:szCs w:val="32"/>
          <w:lang w:val="en-US" w:eastAsia="zh-CN"/>
        </w:rPr>
        <w:t>5.</w:t>
      </w:r>
      <w:r>
        <w:rPr>
          <w:rFonts w:hint="eastAsia" w:ascii="宋体" w:hAnsi="宋体" w:eastAsia="宋体" w:cs="仿宋_GB2312"/>
          <w:b w:val="0"/>
          <w:bCs w:val="0"/>
          <w:sz w:val="32"/>
          <w:szCs w:val="32"/>
        </w:rPr>
        <w:t>引用标准名录</w:t>
      </w:r>
      <w:r>
        <w:rPr>
          <w:rFonts w:hint="eastAsia" w:ascii="宋体" w:hAnsi="宋体" w:eastAsia="宋体" w:cs="仿宋_GB2312"/>
          <w:b w:val="0"/>
          <w:bCs w:val="0"/>
          <w:sz w:val="32"/>
          <w:szCs w:val="32"/>
        </w:rPr>
        <w:tab/>
      </w:r>
      <w:r>
        <w:rPr>
          <w:rFonts w:hint="eastAsia" w:ascii="宋体" w:hAnsi="宋体" w:eastAsia="宋体" w:cs="仿宋_GB2312"/>
          <w:b w:val="0"/>
          <w:bCs w:val="0"/>
          <w:sz w:val="32"/>
          <w:szCs w:val="32"/>
        </w:rPr>
        <w:t>（</w:t>
      </w:r>
      <w:r>
        <w:rPr>
          <w:rFonts w:hint="eastAsia" w:ascii="宋体" w:hAnsi="宋体" w:eastAsia="宋体" w:cs="仿宋_GB2312"/>
          <w:b w:val="0"/>
          <w:bCs w:val="0"/>
          <w:sz w:val="32"/>
          <w:szCs w:val="32"/>
          <w:lang w:val="en-US" w:eastAsia="zh-CN"/>
        </w:rPr>
        <w:t>28</w:t>
      </w:r>
      <w:r>
        <w:rPr>
          <w:rFonts w:hint="eastAsia" w:ascii="宋体" w:hAnsi="宋体" w:eastAsia="宋体" w:cs="仿宋_GB2312"/>
          <w:b w:val="0"/>
          <w:bCs w:val="0"/>
          <w:sz w:val="32"/>
          <w:szCs w:val="32"/>
        </w:rPr>
        <w:t>）</w:t>
      </w:r>
    </w:p>
    <w:p>
      <w:pPr>
        <w:tabs>
          <w:tab w:val="right" w:leader="dot" w:pos="8400"/>
        </w:tabs>
        <w:spacing w:line="600" w:lineRule="exact"/>
        <w:ind w:firstLine="640" w:firstLineChars="200"/>
        <w:outlineLvl w:val="1"/>
        <w:rPr>
          <w:rFonts w:ascii="宋体" w:hAnsi="宋体" w:eastAsia="宋体" w:cs="仿宋_GB2312"/>
          <w:b w:val="0"/>
          <w:bCs w:val="0"/>
          <w:sz w:val="32"/>
          <w:szCs w:val="32"/>
        </w:rPr>
      </w:pPr>
      <w:r>
        <w:rPr>
          <w:rFonts w:hint="eastAsia" w:ascii="宋体" w:hAnsi="宋体" w:eastAsia="宋体" w:cs="仿宋_GB2312"/>
          <w:b w:val="0"/>
          <w:bCs w:val="0"/>
          <w:sz w:val="32"/>
          <w:szCs w:val="32"/>
          <w:lang w:val="en-US" w:eastAsia="zh-CN"/>
        </w:rPr>
        <w:t>6.</w:t>
      </w:r>
      <w:r>
        <w:rPr>
          <w:rFonts w:hint="eastAsia" w:ascii="宋体" w:hAnsi="宋体" w:eastAsia="宋体" w:cs="仿宋_GB2312"/>
          <w:b w:val="0"/>
          <w:bCs w:val="0"/>
          <w:sz w:val="32"/>
          <w:szCs w:val="32"/>
        </w:rPr>
        <w:t>附表</w:t>
      </w:r>
      <w:r>
        <w:rPr>
          <w:rFonts w:hint="eastAsia" w:ascii="宋体" w:hAnsi="宋体" w:eastAsia="宋体" w:cs="仿宋_GB2312"/>
          <w:b w:val="0"/>
          <w:bCs w:val="0"/>
          <w:sz w:val="32"/>
          <w:szCs w:val="32"/>
        </w:rPr>
        <w:tab/>
      </w:r>
      <w:r>
        <w:rPr>
          <w:rFonts w:hint="eastAsia" w:ascii="宋体" w:hAnsi="宋体" w:eastAsia="宋体" w:cs="仿宋_GB2312"/>
          <w:b w:val="0"/>
          <w:bCs w:val="0"/>
          <w:sz w:val="32"/>
          <w:szCs w:val="32"/>
        </w:rPr>
        <w:t>（</w:t>
      </w:r>
      <w:r>
        <w:rPr>
          <w:rFonts w:hint="eastAsia" w:ascii="宋体" w:hAnsi="宋体" w:eastAsia="宋体" w:cs="仿宋_GB2312"/>
          <w:b w:val="0"/>
          <w:bCs w:val="0"/>
          <w:sz w:val="32"/>
          <w:szCs w:val="32"/>
          <w:lang w:val="en-US" w:eastAsia="zh-CN"/>
        </w:rPr>
        <w:t>29</w:t>
      </w:r>
      <w:r>
        <w:rPr>
          <w:rFonts w:hint="eastAsia" w:ascii="宋体" w:hAnsi="宋体" w:eastAsia="宋体" w:cs="仿宋_GB2312"/>
          <w:b w:val="0"/>
          <w:bCs w:val="0"/>
          <w:sz w:val="32"/>
          <w:szCs w:val="32"/>
        </w:rPr>
        <w:t>）</w:t>
      </w:r>
    </w:p>
    <w:p>
      <w:pPr>
        <w:spacing w:line="600" w:lineRule="exact"/>
        <w:outlineLvl w:val="0"/>
        <w:rPr>
          <w:rFonts w:ascii="黑体" w:hAnsi="黑体" w:eastAsia="黑体"/>
          <w:bCs/>
          <w:sz w:val="36"/>
          <w:szCs w:val="36"/>
        </w:rPr>
      </w:pPr>
    </w:p>
    <w:p>
      <w:pPr>
        <w:spacing w:line="600" w:lineRule="exact"/>
        <w:outlineLvl w:val="0"/>
        <w:rPr>
          <w:rFonts w:ascii="黑体" w:hAnsi="黑体" w:eastAsia="黑体"/>
          <w:bCs/>
          <w:sz w:val="36"/>
          <w:szCs w:val="36"/>
        </w:rPr>
      </w:pPr>
    </w:p>
    <w:p>
      <w:pPr>
        <w:spacing w:line="600" w:lineRule="exact"/>
        <w:outlineLvl w:val="0"/>
        <w:rPr>
          <w:rFonts w:ascii="黑体" w:hAnsi="黑体" w:eastAsia="黑体"/>
          <w:bCs/>
          <w:sz w:val="36"/>
          <w:szCs w:val="36"/>
        </w:rPr>
        <w:sectPr>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pPr>
    </w:p>
    <w:p>
      <w:pPr>
        <w:spacing w:line="600" w:lineRule="exact"/>
        <w:jc w:val="center"/>
        <w:outlineLvl w:val="0"/>
        <w:rPr>
          <w:rFonts w:ascii="黑体" w:hAnsi="黑体" w:eastAsia="黑体"/>
          <w:bCs/>
          <w:sz w:val="32"/>
          <w:szCs w:val="32"/>
        </w:rPr>
      </w:pPr>
      <w:r>
        <w:rPr>
          <w:rFonts w:hint="eastAsia" w:ascii="黑体" w:hAnsi="黑体" w:eastAsia="黑体"/>
          <w:bCs/>
          <w:sz w:val="32"/>
          <w:szCs w:val="32"/>
        </w:rPr>
        <w:t>1  总  则</w:t>
      </w:r>
      <w:bookmarkEnd w:id="6"/>
      <w:bookmarkEnd w:id="7"/>
      <w:bookmarkEnd w:id="8"/>
      <w:bookmarkEnd w:id="9"/>
      <w:bookmarkEnd w:id="10"/>
      <w:bookmarkEnd w:id="11"/>
    </w:p>
    <w:p>
      <w:pPr>
        <w:spacing w:line="600" w:lineRule="exact"/>
        <w:jc w:val="center"/>
        <w:rPr>
          <w:rFonts w:ascii="黑体" w:hAnsi="黑体" w:eastAsia="黑体"/>
          <w:bCs/>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1.1</w:t>
      </w:r>
      <w:r>
        <w:rPr>
          <w:rFonts w:hint="eastAsia" w:ascii="仿宋_GB2312" w:hAnsi="仿宋_GB2312" w:eastAsia="仿宋_GB2312" w:cs="仿宋_GB2312"/>
          <w:sz w:val="32"/>
          <w:szCs w:val="32"/>
        </w:rPr>
        <w:t>为充分体现以人民为中心的发展思想，围绕建设“好房子”的目标，全面提升自治区高品质住宅规划、建设、运维水平，编制本导则。本导则内容分为总则、住宅小区规划设计、建筑设计及建筑品质和物业运维管理四部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1.2</w:t>
      </w:r>
      <w:r>
        <w:rPr>
          <w:rFonts w:hint="eastAsia" w:ascii="仿宋_GB2312" w:hAnsi="仿宋_GB2312" w:eastAsia="仿宋_GB2312" w:cs="仿宋_GB2312"/>
          <w:sz w:val="32"/>
          <w:szCs w:val="32"/>
        </w:rPr>
        <w:t>本导则坚持以设计引领和技术创新促进高品质住宅建设，从住宅全生命周期的视角，提升住宅小区规划与建筑品质，提高住宅小区运维管理水平。本导则供规划设计、开发建设、行业管理等单位参考使用。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1.3</w:t>
      </w:r>
      <w:r>
        <w:rPr>
          <w:rFonts w:hint="eastAsia" w:ascii="仿宋_GB2312" w:hAnsi="仿宋_GB2312" w:eastAsia="仿宋_GB2312" w:cs="仿宋_GB2312"/>
          <w:sz w:val="32"/>
          <w:szCs w:val="32"/>
        </w:rPr>
        <w:t>本导则倡导建设的高品质住宅须满足绿色建筑标识一星级及以上新建和预审住宅项目。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1.4</w:t>
      </w:r>
      <w:r>
        <w:rPr>
          <w:rFonts w:hint="eastAsia" w:ascii="仿宋_GB2312" w:hAnsi="仿宋_GB2312" w:eastAsia="仿宋_GB2312" w:cs="仿宋_GB2312"/>
          <w:sz w:val="32"/>
          <w:szCs w:val="32"/>
        </w:rPr>
        <w:t>建设自治区高品质住宅除应符合本导则外，还应执行国家、行业及地方现行其他有关标准的规定。</w:t>
      </w:r>
    </w:p>
    <w:p>
      <w:pPr>
        <w:spacing w:line="600" w:lineRule="exact"/>
        <w:rPr>
          <w:rFonts w:ascii="仿宋_GB2312" w:hAnsi="仿宋_GB2312" w:eastAsia="仿宋_GB2312" w:cs="仿宋_GB2312"/>
          <w:sz w:val="32"/>
          <w:szCs w:val="32"/>
        </w:rPr>
      </w:pPr>
    </w:p>
    <w:p>
      <w:pPr>
        <w:spacing w:line="600" w:lineRule="exact"/>
        <w:rPr>
          <w:sz w:val="32"/>
          <w:szCs w:val="32"/>
        </w:rPr>
      </w:pPr>
    </w:p>
    <w:p>
      <w:pPr>
        <w:spacing w:line="600" w:lineRule="exact"/>
        <w:jc w:val="center"/>
        <w:outlineLvl w:val="9"/>
        <w:rPr>
          <w:rFonts w:ascii="黑体" w:hAnsi="黑体" w:eastAsia="黑体"/>
          <w:bCs/>
          <w:sz w:val="32"/>
          <w:szCs w:val="32"/>
          <w:shd w:val="clear" w:color="FFFFFF" w:fill="D9D9D9"/>
        </w:rPr>
      </w:pPr>
      <w:bookmarkStart w:id="12" w:name="_Toc19209"/>
      <w:bookmarkStart w:id="13" w:name="_Toc24467"/>
      <w:bookmarkStart w:id="14" w:name="_Toc28381"/>
      <w:bookmarkStart w:id="15" w:name="_Toc14837"/>
      <w:r>
        <w:rPr>
          <w:b/>
          <w:bCs/>
          <w:sz w:val="32"/>
          <w:szCs w:val="32"/>
        </w:rPr>
        <w:br w:type="page"/>
      </w:r>
      <w:r>
        <w:rPr>
          <w:rFonts w:hint="eastAsia" w:ascii="黑体" w:hAnsi="黑体" w:eastAsia="黑体"/>
          <w:bCs/>
          <w:sz w:val="32"/>
          <w:szCs w:val="32"/>
        </w:rPr>
        <w:t>2  住宅小区规划设计</w:t>
      </w:r>
      <w:bookmarkEnd w:id="12"/>
      <w:bookmarkEnd w:id="13"/>
      <w:bookmarkEnd w:id="14"/>
      <w:bookmarkEnd w:id="15"/>
    </w:p>
    <w:p>
      <w:pPr>
        <w:spacing w:line="600" w:lineRule="exact"/>
        <w:jc w:val="center"/>
        <w:rPr>
          <w:b/>
          <w:bCs/>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高品质住宅小区规划分为规划设计、公共服务设施、交通流线设计、室外公共环境及绿化设计四部分。</w:t>
      </w:r>
    </w:p>
    <w:p>
      <w:pPr>
        <w:spacing w:line="600" w:lineRule="exact"/>
        <w:ind w:firstLine="640" w:firstLineChars="200"/>
        <w:rPr>
          <w:rFonts w:ascii="仿宋_GB2312" w:eastAsia="仿宋_GB2312"/>
          <w:sz w:val="32"/>
          <w:szCs w:val="32"/>
        </w:rPr>
      </w:pPr>
    </w:p>
    <w:p>
      <w:pPr>
        <w:spacing w:line="600" w:lineRule="exact"/>
        <w:outlineLvl w:val="1"/>
        <w:rPr>
          <w:rFonts w:ascii="仿宋_GB2312" w:hAnsi="黑体" w:eastAsia="仿宋_GB2312"/>
          <w:b/>
          <w:bCs/>
          <w:sz w:val="32"/>
          <w:szCs w:val="32"/>
        </w:rPr>
      </w:pPr>
      <w:bookmarkStart w:id="16" w:name="_Toc16462"/>
      <w:bookmarkStart w:id="17" w:name="_Toc1383"/>
      <w:bookmarkStart w:id="18" w:name="_Toc10247"/>
      <w:bookmarkStart w:id="19" w:name="_Toc7982"/>
      <w:bookmarkStart w:id="20" w:name="_Toc3700"/>
      <w:bookmarkStart w:id="21" w:name="_Toc29485"/>
      <w:r>
        <w:rPr>
          <w:rFonts w:hint="eastAsia" w:ascii="仿宋_GB2312" w:hAnsi="黑体" w:eastAsia="仿宋_GB2312"/>
          <w:b/>
          <w:bCs/>
          <w:sz w:val="32"/>
          <w:szCs w:val="32"/>
        </w:rPr>
        <w:t>2.1  规划设计</w:t>
      </w:r>
      <w:bookmarkEnd w:id="16"/>
      <w:bookmarkEnd w:id="17"/>
      <w:bookmarkEnd w:id="18"/>
      <w:bookmarkEnd w:id="19"/>
      <w:bookmarkEnd w:id="20"/>
      <w:bookmarkEnd w:id="21"/>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2.1.1</w:t>
      </w:r>
      <w:r>
        <w:rPr>
          <w:rFonts w:hint="eastAsia" w:ascii="仿宋_GB2312" w:eastAsia="仿宋_GB2312"/>
          <w:sz w:val="32"/>
          <w:szCs w:val="32"/>
        </w:rPr>
        <w:t xml:space="preserve"> </w:t>
      </w:r>
      <w:r>
        <w:rPr>
          <w:rFonts w:hint="eastAsia" w:ascii="仿宋_GB2312" w:hAnsi="仿宋_GB2312" w:eastAsia="仿宋_GB2312" w:cs="仿宋_GB2312"/>
          <w:sz w:val="32"/>
          <w:szCs w:val="32"/>
        </w:rPr>
        <w:t>住宅小区规划设计应充分考虑内蒙古地区的地域气候文化特征，</w:t>
      </w:r>
      <w:r>
        <w:rPr>
          <w:rFonts w:hint="eastAsia" w:ascii="仿宋_GB2312" w:hAnsi="仿宋_GB2312" w:eastAsia="仿宋_GB2312" w:cs="仿宋_GB2312"/>
          <w:sz w:val="32"/>
          <w:szCs w:val="32"/>
          <w:lang w:eastAsia="zh-CN"/>
        </w:rPr>
        <w:t>提高中华文化符号和形象、民族团结象征原素在整体设计及住宅区楼宇命名中的应用比例，</w:t>
      </w:r>
      <w:r>
        <w:rPr>
          <w:rFonts w:hint="eastAsia" w:ascii="仿宋_GB2312" w:hAnsi="仿宋_GB2312" w:eastAsia="仿宋_GB2312" w:cs="仿宋_GB2312"/>
          <w:sz w:val="32"/>
          <w:szCs w:val="32"/>
        </w:rPr>
        <w:t>突出地域特色，遵守上位规划，尊重历史文脉，与周边环境相协调。</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2.1.2 </w:t>
      </w:r>
      <w:r>
        <w:rPr>
          <w:rFonts w:hint="eastAsia" w:ascii="仿宋_GB2312" w:hAnsi="仿宋_GB2312" w:eastAsia="仿宋_GB2312" w:cs="仿宋_GB2312"/>
          <w:sz w:val="32"/>
          <w:szCs w:val="32"/>
        </w:rPr>
        <w:t>结合空间规划条件设计建筑物高度、体量、立面、出入口等内容，避免影响城市风貌。</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2.1.3 </w:t>
      </w:r>
      <w:r>
        <w:rPr>
          <w:rFonts w:hint="eastAsia" w:ascii="仿宋_GB2312" w:hAnsi="仿宋_GB2312" w:eastAsia="仿宋_GB2312" w:cs="仿宋_GB2312"/>
          <w:sz w:val="32"/>
          <w:szCs w:val="32"/>
        </w:rPr>
        <w:t>重视住宅小区规划形态对城市界面产生的影响。合理控制沿街建筑物的长度与高度，避免又长又高的高层板楼给城市道路整体感观造成压迫。</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2.1.4</w:t>
      </w:r>
      <w:r>
        <w:rPr>
          <w:rFonts w:hint="eastAsia" w:ascii="仿宋_GB2312" w:hAnsi="仿宋_GB2312" w:eastAsia="仿宋_GB2312" w:cs="仿宋_GB2312"/>
          <w:sz w:val="32"/>
          <w:szCs w:val="32"/>
        </w:rPr>
        <w:t xml:space="preserve"> 鼓励住宅小区设置方便业主休憩互动的室内外公共空间。</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2.1.5</w:t>
      </w:r>
      <w:r>
        <w:rPr>
          <w:rFonts w:hint="eastAsia" w:ascii="仿宋_GB2312" w:hAnsi="仿宋_GB2312" w:eastAsia="仿宋_GB2312" w:cs="仿宋_GB2312"/>
          <w:sz w:val="32"/>
          <w:szCs w:val="32"/>
        </w:rPr>
        <w:t xml:space="preserve"> 合理控制住宅小区内的建筑密度，鼓励适当降低容积率。住宅小区内应阳光充足、通风良好、在满足规划设计条件的同时鼓励适当增加楼间距，提升集中绿地的品质。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2.1.6</w:t>
      </w:r>
      <w:r>
        <w:rPr>
          <w:rFonts w:hint="eastAsia" w:ascii="仿宋_GB2312" w:hAnsi="仿宋_GB2312" w:eastAsia="仿宋_GB2312" w:cs="仿宋_GB2312"/>
          <w:sz w:val="32"/>
          <w:szCs w:val="32"/>
        </w:rPr>
        <w:t xml:space="preserve"> </w:t>
      </w:r>
      <w:bookmarkStart w:id="22" w:name="_Toc14905"/>
      <w:bookmarkStart w:id="23" w:name="_Toc30044"/>
      <w:r>
        <w:rPr>
          <w:rFonts w:hint="eastAsia" w:ascii="仿宋_GB2312" w:hAnsi="仿宋_GB2312" w:eastAsia="仿宋_GB2312" w:cs="仿宋_GB2312"/>
          <w:sz w:val="32"/>
          <w:szCs w:val="32"/>
        </w:rPr>
        <w:t>住宅小区应当体现海绵城市的设计理念，坚持因地制宜，根据住宅小区所在地区的降水量、排水量以及降水规律，充分利用小区内的绿地、道路等设施建设“海绵体”，促进小区内部雨水自然存积、自然渗透、自然净化。</w:t>
      </w:r>
    </w:p>
    <w:p>
      <w:pPr>
        <w:spacing w:line="600" w:lineRule="exact"/>
        <w:ind w:firstLine="640" w:firstLineChars="200"/>
        <w:rPr>
          <w:rFonts w:ascii="仿宋_GB2312" w:hAnsi="仿宋_GB2312" w:eastAsia="仿宋_GB2312" w:cs="仿宋_GB2312"/>
          <w:sz w:val="32"/>
          <w:szCs w:val="32"/>
        </w:rPr>
      </w:pPr>
    </w:p>
    <w:p>
      <w:pPr>
        <w:spacing w:line="600" w:lineRule="exact"/>
        <w:outlineLvl w:val="1"/>
        <w:rPr>
          <w:rFonts w:ascii="仿宋_GB2312" w:hAnsi="黑体" w:eastAsia="仿宋_GB2312"/>
          <w:b/>
          <w:bCs/>
          <w:sz w:val="32"/>
          <w:szCs w:val="32"/>
        </w:rPr>
      </w:pPr>
      <w:bookmarkStart w:id="24" w:name="_Toc11061"/>
      <w:bookmarkStart w:id="25" w:name="_Toc28629"/>
      <w:bookmarkStart w:id="26" w:name="_Toc21610"/>
      <w:bookmarkStart w:id="27" w:name="_Toc20474"/>
      <w:r>
        <w:rPr>
          <w:rFonts w:hint="eastAsia" w:ascii="仿宋_GB2312" w:hAnsi="黑体" w:eastAsia="仿宋_GB2312"/>
          <w:b/>
          <w:bCs/>
          <w:sz w:val="32"/>
          <w:szCs w:val="32"/>
        </w:rPr>
        <w:t>2.2  公共服务设施</w:t>
      </w:r>
      <w:bookmarkEnd w:id="22"/>
      <w:bookmarkEnd w:id="23"/>
      <w:bookmarkEnd w:id="24"/>
      <w:bookmarkEnd w:id="25"/>
      <w:bookmarkEnd w:id="26"/>
      <w:bookmarkEnd w:id="27"/>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2.2.1</w:t>
      </w:r>
      <w:r>
        <w:rPr>
          <w:rFonts w:hint="eastAsia" w:ascii="仿宋_GB2312" w:hAnsi="仿宋_GB2312" w:eastAsia="仿宋_GB2312" w:cs="仿宋_GB2312"/>
          <w:sz w:val="32"/>
          <w:szCs w:val="32"/>
        </w:rPr>
        <w:t xml:space="preserve"> 依据地块特点，针对性补充城市配套服务短板，鼓励增加居民切实需要的额外公共服务设施，完善社区15分钟生活圈服务设施。</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2.2.2</w:t>
      </w:r>
      <w:r>
        <w:rPr>
          <w:rFonts w:hint="eastAsia" w:ascii="仿宋_GB2312" w:hAnsi="仿宋_GB2312" w:eastAsia="仿宋_GB2312" w:cs="仿宋_GB2312"/>
          <w:sz w:val="32"/>
          <w:szCs w:val="32"/>
        </w:rPr>
        <w:t xml:space="preserve"> 小区设置居民交往、休闲娱乐等活动场所或场地，重点保障老人、儿童活动室内场所，按小区整体建筑面积百分比配建公共室内空间面积。住宅小区应按照每百户不少于20平方米建筑面积的标准配套建设养老服务设施用房，住宅小区倡导配建健身步道系统等设施及场地。小区内老人、儿童活动场地设置在阳光充足的区域，不少于1/2的活动面积满足不低于大寒日2h的日照标准。应符合现行国家规范《建筑与市政工程无障碍通用规范》（GB 55019）及《无障碍设计规范》（GB 50763）。</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2.2.3</w:t>
      </w:r>
      <w:r>
        <w:rPr>
          <w:rFonts w:hint="eastAsia" w:ascii="仿宋_GB2312" w:hAnsi="仿宋_GB2312" w:eastAsia="仿宋_GB2312" w:cs="仿宋_GB2312"/>
          <w:sz w:val="32"/>
          <w:szCs w:val="32"/>
        </w:rPr>
        <w:t xml:space="preserve"> 配套智能化系统，如智慧安防、智慧管家、智慧停车等，打造全龄化智慧社区，智能化系统包含信息发布、紧急呼救与视频监控、智能门禁、智能医疗服务与监测等相关功能。</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2.2.4 </w:t>
      </w:r>
      <w:r>
        <w:rPr>
          <w:rFonts w:hint="eastAsia" w:ascii="仿宋_GB2312" w:hAnsi="仿宋_GB2312" w:eastAsia="仿宋_GB2312" w:cs="仿宋_GB2312"/>
          <w:sz w:val="32"/>
          <w:szCs w:val="32"/>
        </w:rPr>
        <w:t>住宅小区内应设有社区卫生所或治疗保健卫生室等能够满足老年人日常需求的医疗服务场所。</w:t>
      </w:r>
    </w:p>
    <w:p>
      <w:pPr>
        <w:pStyle w:val="4"/>
        <w:spacing w:line="580" w:lineRule="exact"/>
        <w:ind w:firstLine="643" w:firstLineChars="200"/>
        <w:jc w:val="both"/>
        <w:rPr>
          <w:rFonts w:ascii="仿宋_GB2312" w:eastAsia="仿宋_GB2312"/>
          <w:sz w:val="32"/>
          <w:szCs w:val="32"/>
        </w:rPr>
      </w:pPr>
      <w:r>
        <w:rPr>
          <w:rFonts w:hint="eastAsia" w:ascii="仿宋_GB2312" w:hAnsi="仿宋_GB2312" w:eastAsia="仿宋_GB2312" w:cs="仿宋_GB2312"/>
          <w:b/>
          <w:bCs/>
          <w:sz w:val="32"/>
          <w:szCs w:val="32"/>
        </w:rPr>
        <w:t>2.2.5</w:t>
      </w:r>
      <w:r>
        <w:rPr>
          <w:rFonts w:hint="eastAsia" w:ascii="仿宋_GB2312" w:hAnsi="仿宋_GB2312" w:eastAsia="仿宋_GB2312" w:cs="仿宋_GB2312"/>
          <w:sz w:val="32"/>
          <w:szCs w:val="32"/>
        </w:rPr>
        <w:t xml:space="preserve"> </w:t>
      </w:r>
      <w:bookmarkStart w:id="28" w:name="_Toc4656"/>
      <w:r>
        <w:rPr>
          <w:rFonts w:hint="eastAsia" w:ascii="仿宋_GB2312" w:hAnsi="仿宋_GB2312" w:eastAsia="仿宋_GB2312" w:cs="仿宋_GB2312"/>
          <w:sz w:val="32"/>
          <w:szCs w:val="32"/>
        </w:rPr>
        <w:t>应合理设置快递服务场地或配置“无接触式配送”快递接收设施。</w:t>
      </w:r>
    </w:p>
    <w:p>
      <w:pPr>
        <w:spacing w:line="580" w:lineRule="exact"/>
        <w:ind w:firstLine="640" w:firstLineChars="200"/>
        <w:rPr>
          <w:rFonts w:ascii="仿宋_GB2312" w:eastAsia="仿宋_GB2312"/>
          <w:sz w:val="32"/>
          <w:szCs w:val="32"/>
        </w:rPr>
      </w:pPr>
    </w:p>
    <w:p>
      <w:pPr>
        <w:spacing w:line="580" w:lineRule="exact"/>
        <w:outlineLvl w:val="1"/>
        <w:rPr>
          <w:rFonts w:ascii="仿宋_GB2312" w:hAnsi="黑体" w:eastAsia="仿宋_GB2312"/>
          <w:b/>
          <w:bCs/>
          <w:sz w:val="32"/>
          <w:szCs w:val="32"/>
        </w:rPr>
      </w:pPr>
      <w:bookmarkStart w:id="29" w:name="_Toc3517"/>
      <w:bookmarkStart w:id="30" w:name="_Toc5921"/>
      <w:bookmarkStart w:id="31" w:name="_Toc8388"/>
      <w:bookmarkStart w:id="32" w:name="_Toc27373"/>
      <w:bookmarkStart w:id="33" w:name="_Toc15321"/>
      <w:r>
        <w:rPr>
          <w:rFonts w:hint="eastAsia" w:ascii="仿宋_GB2312" w:hAnsi="黑体" w:eastAsia="仿宋_GB2312"/>
          <w:b/>
          <w:bCs/>
          <w:sz w:val="32"/>
          <w:szCs w:val="32"/>
        </w:rPr>
        <w:t>2.3  交通流线设计</w:t>
      </w:r>
      <w:bookmarkEnd w:id="28"/>
      <w:bookmarkEnd w:id="29"/>
      <w:bookmarkEnd w:id="30"/>
      <w:bookmarkEnd w:id="31"/>
      <w:bookmarkEnd w:id="32"/>
      <w:bookmarkEnd w:id="33"/>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2.3.1</w:t>
      </w:r>
      <w:r>
        <w:rPr>
          <w:rFonts w:hint="eastAsia" w:ascii="仿宋_GB2312" w:hAnsi="仿宋_GB2312" w:eastAsia="仿宋_GB2312" w:cs="仿宋_GB2312"/>
          <w:sz w:val="32"/>
          <w:szCs w:val="32"/>
        </w:rPr>
        <w:t xml:space="preserve"> 小区出入口、车行系统与城市交通衔接顺畅；配套幼儿园等教育类建筑宜与住宅区出入口分开，应设有足够的缓冲空间。</w:t>
      </w:r>
    </w:p>
    <w:p>
      <w:pPr>
        <w:spacing w:line="580" w:lineRule="exact"/>
        <w:ind w:firstLine="643"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2.3.2</w:t>
      </w:r>
      <w:r>
        <w:rPr>
          <w:rFonts w:hint="eastAsia" w:ascii="仿宋_GB2312" w:hAnsi="仿宋_GB2312" w:eastAsia="仿宋_GB2312" w:cs="仿宋_GB2312"/>
          <w:sz w:val="32"/>
          <w:szCs w:val="32"/>
        </w:rPr>
        <w:t xml:space="preserve"> 实现绿色出行，小区人行道与非机动车道、城市人行道、公共交通站点等慢行系统衔接顺畅，符合全程无障碍环境建设要求。</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2.3.3 </w:t>
      </w:r>
      <w:r>
        <w:rPr>
          <w:rFonts w:hint="eastAsia" w:ascii="仿宋_GB2312" w:hAnsi="仿宋_GB2312" w:eastAsia="仿宋_GB2312" w:cs="仿宋_GB2312"/>
          <w:sz w:val="32"/>
          <w:szCs w:val="32"/>
        </w:rPr>
        <w:t>小区内部应实行人车分流，且步行和自行车交通系统有充足照明。机动车道路应避让老人、儿童活动场所，确保居民户外活动及出行安全。</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2.3.4</w:t>
      </w:r>
      <w:r>
        <w:rPr>
          <w:rFonts w:hint="eastAsia" w:ascii="仿宋_GB2312" w:hAnsi="仿宋_GB2312" w:eastAsia="仿宋_GB2312" w:cs="仿宋_GB2312"/>
          <w:sz w:val="32"/>
          <w:szCs w:val="32"/>
        </w:rPr>
        <w:t xml:space="preserve"> 小区机动车停车场、停车库应设置无障碍车位，停车、出入方便，归家路线满足无障碍设计要求。小区地下停车场、停车库等出入口安全缓冲距离满足相关要求。</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2.3.5</w:t>
      </w:r>
      <w:r>
        <w:rPr>
          <w:rFonts w:hint="eastAsia" w:ascii="仿宋_GB2312" w:hAnsi="仿宋_GB2312" w:eastAsia="仿宋_GB2312" w:cs="仿宋_GB2312"/>
          <w:sz w:val="32"/>
          <w:szCs w:val="32"/>
        </w:rPr>
        <w:t xml:space="preserve"> 合理设置具备遮风避雨功能的非机动车停车位及电动自行车充电设施。</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2.3.6</w:t>
      </w:r>
      <w:r>
        <w:rPr>
          <w:rFonts w:hint="eastAsia" w:ascii="仿宋_GB2312" w:hAnsi="仿宋_GB2312" w:eastAsia="仿宋_GB2312" w:cs="仿宋_GB2312"/>
          <w:sz w:val="32"/>
          <w:szCs w:val="32"/>
        </w:rPr>
        <w:t xml:space="preserve"> </w:t>
      </w:r>
      <w:bookmarkStart w:id="34" w:name="_Toc22543"/>
      <w:r>
        <w:rPr>
          <w:rFonts w:hint="eastAsia" w:ascii="仿宋_GB2312" w:hAnsi="仿宋_GB2312" w:eastAsia="仿宋_GB2312" w:cs="仿宋_GB2312"/>
          <w:sz w:val="32"/>
          <w:szCs w:val="32"/>
        </w:rPr>
        <w:t>小区机动车停车场、停车库宜设置一定比例的公共电动汽车充电车位。住宅小区配套的机动车停车位，100%建设电动汽车充电设施或预留建设安装条件。</w:t>
      </w:r>
    </w:p>
    <w:p>
      <w:pPr>
        <w:spacing w:line="580" w:lineRule="exact"/>
        <w:ind w:firstLine="640" w:firstLineChars="200"/>
        <w:rPr>
          <w:rFonts w:ascii="仿宋_GB2312" w:hAnsi="仿宋_GB2312" w:eastAsia="仿宋_GB2312" w:cs="仿宋_GB2312"/>
          <w:sz w:val="32"/>
          <w:szCs w:val="32"/>
        </w:rPr>
      </w:pPr>
    </w:p>
    <w:p>
      <w:pPr>
        <w:spacing w:line="580" w:lineRule="exact"/>
        <w:outlineLvl w:val="1"/>
        <w:rPr>
          <w:rFonts w:ascii="仿宋_GB2312" w:hAnsi="黑体" w:eastAsia="仿宋_GB2312"/>
          <w:b/>
          <w:bCs/>
          <w:sz w:val="32"/>
          <w:szCs w:val="32"/>
        </w:rPr>
      </w:pPr>
      <w:bookmarkStart w:id="35" w:name="_Toc29842"/>
      <w:bookmarkStart w:id="36" w:name="_Toc8262"/>
      <w:bookmarkStart w:id="37" w:name="_Toc22039"/>
      <w:bookmarkStart w:id="38" w:name="_Toc9856"/>
      <w:bookmarkStart w:id="39" w:name="_Toc19215"/>
      <w:r>
        <w:rPr>
          <w:rFonts w:hint="eastAsia" w:ascii="仿宋_GB2312" w:hAnsi="黑体" w:eastAsia="仿宋_GB2312"/>
          <w:b/>
          <w:bCs/>
          <w:sz w:val="32"/>
          <w:szCs w:val="32"/>
        </w:rPr>
        <w:t>2.4  室外公共环境及绿化设计</w:t>
      </w:r>
      <w:bookmarkEnd w:id="34"/>
      <w:bookmarkEnd w:id="35"/>
      <w:bookmarkEnd w:id="36"/>
      <w:bookmarkEnd w:id="37"/>
      <w:bookmarkEnd w:id="38"/>
      <w:bookmarkEnd w:id="39"/>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2.4.1</w:t>
      </w:r>
      <w:r>
        <w:rPr>
          <w:rFonts w:hint="eastAsia" w:ascii="仿宋_GB2312" w:hAnsi="仿宋_GB2312" w:eastAsia="仿宋_GB2312" w:cs="仿宋_GB2312"/>
          <w:sz w:val="32"/>
          <w:szCs w:val="32"/>
        </w:rPr>
        <w:t xml:space="preserve"> 提升住宅小区绿化品质，鼓励执行高于现有小区规划设计条件要求的绿地率指标。</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2.4.2</w:t>
      </w:r>
      <w:r>
        <w:rPr>
          <w:rFonts w:hint="eastAsia" w:ascii="仿宋_GB2312" w:hAnsi="仿宋_GB2312" w:eastAsia="仿宋_GB2312" w:cs="仿宋_GB2312"/>
          <w:sz w:val="32"/>
          <w:szCs w:val="32"/>
        </w:rPr>
        <w:t xml:space="preserve"> 住宅小区内绿地设计应与居住区规划设计同步进行，与建筑群体、道路交通保持合理的空间关 系，同时应兼顾老人、青少年、儿童等不同人群的需要，合理设置健身娱乐及文化游憩设施。住宅小区内绿地建设及其绿化应遵循适用、美观、经济、安全的原则。居住绿地的园路及铺装场地应根据居住小区规模和入住居民数量合理设计；各类健身娱乐及文化游憩设施的选址，应避免对居民的正常生活产生干扰；建筑小品造型应与周边环境及住宅建筑相互协调；植物应优先选择适宜内蒙古当地气候的乡土树种。</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2.4.3</w:t>
      </w:r>
      <w:r>
        <w:rPr>
          <w:rFonts w:hint="eastAsia" w:ascii="仿宋_GB2312" w:hAnsi="仿宋_GB2312" w:eastAsia="仿宋_GB2312" w:cs="仿宋_GB2312"/>
          <w:sz w:val="32"/>
          <w:szCs w:val="32"/>
        </w:rPr>
        <w:t xml:space="preserve"> 紧邻城市道路的住宅小区应通过绿植防护等综合措施来降低噪声对小区内部的干扰。住宅小区内部应采用稳静化防噪设施，保障住宅小区内安静、宜居的居住环境。</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2.4.4</w:t>
      </w:r>
      <w:r>
        <w:rPr>
          <w:rFonts w:hint="eastAsia" w:ascii="仿宋_GB2312" w:hAnsi="仿宋_GB2312" w:eastAsia="仿宋_GB2312" w:cs="仿宋_GB2312"/>
          <w:sz w:val="32"/>
          <w:szCs w:val="32"/>
        </w:rPr>
        <w:t xml:space="preserve"> 在老年人、儿童经常活动的场所，设置紧急求助呼叫按钮、采用防滑、防跌落、防冲撞、安全环保的铺装材料并设置醒目标识，为老幼人群活动提供安全保障。</w:t>
      </w:r>
    </w:p>
    <w:p>
      <w:pPr>
        <w:spacing w:line="600"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2.4.5</w:t>
      </w:r>
      <w:r>
        <w:rPr>
          <w:rFonts w:hint="eastAsia" w:ascii="仿宋_GB2312" w:hAnsi="仿宋_GB2312" w:eastAsia="仿宋_GB2312" w:cs="仿宋_GB2312"/>
          <w:sz w:val="32"/>
          <w:szCs w:val="32"/>
        </w:rPr>
        <w:t xml:space="preserve"> 住宅小区内应结合小区景观及绿化设计风格对室外变电柜、燃气调压站、垃圾收集点等设备设施采用隐蔽式遮挡设计。</w:t>
      </w:r>
    </w:p>
    <w:p>
      <w:pPr>
        <w:spacing w:line="600" w:lineRule="exact"/>
        <w:rPr>
          <w:b/>
          <w:bCs/>
          <w:sz w:val="32"/>
          <w:szCs w:val="32"/>
        </w:rPr>
      </w:pPr>
      <w:bookmarkStart w:id="40" w:name="_Toc24639"/>
      <w:bookmarkStart w:id="41" w:name="_Toc12144"/>
      <w:bookmarkStart w:id="42" w:name="_Toc526"/>
      <w:bookmarkStart w:id="43" w:name="_Toc19830"/>
    </w:p>
    <w:p>
      <w:pPr>
        <w:spacing w:line="600" w:lineRule="exact"/>
        <w:jc w:val="center"/>
        <w:outlineLvl w:val="0"/>
        <w:rPr>
          <w:rFonts w:ascii="黑体" w:hAnsi="黑体" w:eastAsia="黑体"/>
          <w:bCs/>
          <w:sz w:val="32"/>
          <w:szCs w:val="32"/>
        </w:rPr>
      </w:pPr>
      <w:r>
        <w:rPr>
          <w:rFonts w:hint="eastAsia" w:ascii="黑体" w:hAnsi="黑体" w:eastAsia="黑体"/>
          <w:bCs/>
          <w:sz w:val="32"/>
          <w:szCs w:val="32"/>
        </w:rPr>
        <w:t>3  建筑设计及建筑品质</w:t>
      </w:r>
      <w:bookmarkEnd w:id="40"/>
      <w:bookmarkEnd w:id="41"/>
      <w:bookmarkEnd w:id="42"/>
      <w:bookmarkEnd w:id="43"/>
    </w:p>
    <w:p>
      <w:pPr>
        <w:spacing w:line="600" w:lineRule="exact"/>
        <w:outlineLvl w:val="1"/>
        <w:rPr>
          <w:rFonts w:ascii="仿宋_GB2312" w:eastAsia="仿宋_GB2312"/>
          <w:b/>
          <w:bCs/>
          <w:sz w:val="32"/>
          <w:szCs w:val="32"/>
        </w:rPr>
      </w:pPr>
      <w:bookmarkStart w:id="44" w:name="_Toc9109"/>
      <w:bookmarkStart w:id="45" w:name="_Toc16249"/>
      <w:bookmarkStart w:id="46" w:name="_Toc27329"/>
      <w:bookmarkStart w:id="47" w:name="_Toc24325"/>
      <w:bookmarkStart w:id="48" w:name="_Toc24367"/>
      <w:bookmarkStart w:id="49" w:name="_Toc8143"/>
    </w:p>
    <w:p>
      <w:pPr>
        <w:spacing w:line="600" w:lineRule="exact"/>
        <w:outlineLvl w:val="1"/>
        <w:rPr>
          <w:rFonts w:ascii="仿宋_GB2312" w:eastAsia="仿宋_GB2312"/>
          <w:b/>
          <w:bCs/>
          <w:sz w:val="32"/>
          <w:szCs w:val="32"/>
        </w:rPr>
      </w:pPr>
      <w:r>
        <w:rPr>
          <w:rFonts w:hint="eastAsia" w:ascii="仿宋_GB2312" w:eastAsia="仿宋_GB2312"/>
          <w:b/>
          <w:bCs/>
          <w:sz w:val="32"/>
          <w:szCs w:val="32"/>
        </w:rPr>
        <w:t>3.1  健康安全</w:t>
      </w:r>
      <w:bookmarkEnd w:id="44"/>
      <w:bookmarkEnd w:id="45"/>
      <w:bookmarkEnd w:id="46"/>
      <w:bookmarkEnd w:id="47"/>
      <w:bookmarkEnd w:id="48"/>
      <w:bookmarkEnd w:id="49"/>
    </w:p>
    <w:p>
      <w:pPr>
        <w:spacing w:line="600" w:lineRule="exact"/>
        <w:ind w:firstLine="643" w:firstLineChars="200"/>
        <w:outlineLvl w:val="2"/>
        <w:rPr>
          <w:rFonts w:ascii="仿宋_GB2312" w:hAnsi="仿宋_GB2312" w:eastAsia="仿宋_GB2312" w:cs="仿宋_GB2312"/>
          <w:b/>
          <w:bCs/>
          <w:sz w:val="32"/>
          <w:szCs w:val="32"/>
        </w:rPr>
      </w:pPr>
      <w:bookmarkStart w:id="50" w:name="_Toc11072"/>
      <w:bookmarkStart w:id="51" w:name="_Toc3021"/>
      <w:bookmarkStart w:id="52" w:name="_Toc15851"/>
      <w:bookmarkStart w:id="53" w:name="_Toc31924"/>
      <w:bookmarkStart w:id="54" w:name="_Toc19700"/>
      <w:bookmarkStart w:id="55" w:name="_Toc27271"/>
      <w:r>
        <w:rPr>
          <w:rFonts w:hint="eastAsia" w:ascii="仿宋_GB2312" w:hAnsi="仿宋_GB2312" w:eastAsia="仿宋_GB2312" w:cs="仿宋_GB2312"/>
          <w:b/>
          <w:bCs/>
          <w:sz w:val="32"/>
          <w:szCs w:val="32"/>
        </w:rPr>
        <w:t>3.1.1 日照</w:t>
      </w:r>
      <w:bookmarkEnd w:id="50"/>
      <w:bookmarkEnd w:id="51"/>
      <w:bookmarkEnd w:id="52"/>
      <w:bookmarkEnd w:id="53"/>
      <w:bookmarkEnd w:id="54"/>
      <w:bookmarkEnd w:id="5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户型设计应满足国家和自治区规定日照要求。其中，居住空间数量达到三个及三个以上时，户内至少应有两个居住空间满足大寒日日照时数2h。</w:t>
      </w:r>
      <w:bookmarkStart w:id="56" w:name="_Toc14672"/>
    </w:p>
    <w:p>
      <w:pPr>
        <w:spacing w:line="600" w:lineRule="exact"/>
        <w:ind w:firstLine="643" w:firstLineChars="200"/>
        <w:outlineLvl w:val="2"/>
        <w:rPr>
          <w:rFonts w:ascii="仿宋_GB2312" w:hAnsi="仿宋_GB2312" w:eastAsia="仿宋_GB2312" w:cs="仿宋_GB2312"/>
          <w:b/>
          <w:bCs/>
          <w:sz w:val="32"/>
          <w:szCs w:val="32"/>
        </w:rPr>
      </w:pPr>
      <w:bookmarkStart w:id="57" w:name="_Toc29441"/>
      <w:bookmarkStart w:id="58" w:name="_Toc31155"/>
      <w:bookmarkStart w:id="59" w:name="_Toc24525"/>
      <w:bookmarkStart w:id="60" w:name="_Toc14215"/>
      <w:bookmarkStart w:id="61" w:name="_Toc12342"/>
      <w:r>
        <w:rPr>
          <w:rFonts w:hint="eastAsia" w:ascii="仿宋_GB2312" w:hAnsi="仿宋_GB2312" w:eastAsia="仿宋_GB2312" w:cs="仿宋_GB2312"/>
          <w:b/>
          <w:bCs/>
          <w:sz w:val="32"/>
          <w:szCs w:val="32"/>
        </w:rPr>
        <w:t>3.1.2 空气</w:t>
      </w:r>
      <w:bookmarkEnd w:id="56"/>
      <w:bookmarkEnd w:id="57"/>
      <w:bookmarkEnd w:id="58"/>
      <w:bookmarkEnd w:id="59"/>
      <w:bookmarkEnd w:id="60"/>
      <w:bookmarkEnd w:id="6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室内氨、总挥发性有机物、PM2.5等室内空气污染物浓度应比现行国家标准《室内空气质量标准》（GB/T 18883）限值的降低比例不小于10%。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户内主要功能房间宜采用具有空气净化功能的新风系统或在空调系统内部设置净化装置、模块，提升户内空气质量。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卫生间和厨房设置机械排风竖井或排油烟竖井。竖向风道应具有防水、防倒灌及均匀排风的功能，防止支管回流和竖井渗漏。排风竖井顶部采取防止室外风倒灌的措施。</w:t>
      </w:r>
    </w:p>
    <w:p>
      <w:pPr>
        <w:spacing w:line="600" w:lineRule="exact"/>
        <w:ind w:firstLine="643" w:firstLineChars="200"/>
        <w:outlineLvl w:val="2"/>
        <w:rPr>
          <w:rFonts w:ascii="仿宋_GB2312" w:hAnsi="仿宋_GB2312" w:eastAsia="仿宋_GB2312" w:cs="仿宋_GB2312"/>
          <w:b/>
          <w:bCs/>
          <w:sz w:val="32"/>
          <w:szCs w:val="32"/>
        </w:rPr>
      </w:pPr>
      <w:bookmarkStart w:id="62" w:name="_Toc11960"/>
      <w:bookmarkStart w:id="63" w:name="_Toc30499"/>
      <w:bookmarkStart w:id="64" w:name="_Toc31700"/>
      <w:bookmarkStart w:id="65" w:name="_Toc8297"/>
      <w:bookmarkStart w:id="66" w:name="_Toc10765"/>
      <w:bookmarkStart w:id="67" w:name="_Toc22476"/>
      <w:r>
        <w:rPr>
          <w:rFonts w:hint="eastAsia" w:ascii="仿宋_GB2312" w:hAnsi="仿宋_GB2312" w:eastAsia="仿宋_GB2312" w:cs="仿宋_GB2312"/>
          <w:b/>
          <w:bCs/>
          <w:sz w:val="32"/>
          <w:szCs w:val="32"/>
        </w:rPr>
        <w:t>3.1.3 给排水</w:t>
      </w:r>
      <w:bookmarkEnd w:id="62"/>
      <w:bookmarkEnd w:id="63"/>
      <w:bookmarkEnd w:id="64"/>
      <w:bookmarkEnd w:id="65"/>
      <w:bookmarkEnd w:id="66"/>
      <w:bookmarkEnd w:id="6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户内应设置软水系统，如净水前置过滤装置，提升饮水、热水和生活给水品质。宜设置直饮水系统。</w:t>
      </w:r>
    </w:p>
    <w:p>
      <w:pPr>
        <w:spacing w:line="600" w:lineRule="exact"/>
        <w:ind w:firstLine="643" w:firstLineChars="200"/>
        <w:outlineLvl w:val="2"/>
        <w:rPr>
          <w:rFonts w:ascii="仿宋_GB2312" w:hAnsi="仿宋_GB2312" w:eastAsia="仿宋_GB2312" w:cs="仿宋_GB2312"/>
          <w:b/>
          <w:bCs/>
          <w:sz w:val="32"/>
          <w:szCs w:val="32"/>
        </w:rPr>
      </w:pPr>
      <w:bookmarkStart w:id="68" w:name="_Toc18651"/>
      <w:bookmarkStart w:id="69" w:name="_Toc14764"/>
      <w:bookmarkStart w:id="70" w:name="_Toc28805"/>
      <w:bookmarkStart w:id="71" w:name="_Toc22652"/>
      <w:bookmarkStart w:id="72" w:name="_Toc6864"/>
      <w:bookmarkStart w:id="73" w:name="_Toc30465"/>
      <w:r>
        <w:rPr>
          <w:rFonts w:hint="eastAsia" w:ascii="仿宋_GB2312" w:hAnsi="仿宋_GB2312" w:eastAsia="仿宋_GB2312" w:cs="仿宋_GB2312"/>
          <w:b/>
          <w:bCs/>
          <w:sz w:val="32"/>
          <w:szCs w:val="32"/>
        </w:rPr>
        <w:t>3.1.4 监测</w:t>
      </w:r>
      <w:bookmarkEnd w:id="68"/>
      <w:bookmarkEnd w:id="69"/>
      <w:bookmarkEnd w:id="70"/>
      <w:bookmarkEnd w:id="71"/>
      <w:bookmarkEnd w:id="72"/>
      <w:bookmarkEnd w:id="7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设置PM10、PM2.5、CO</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浓度、温湿度等空气质量监测系统及相应的处置设施，具备参数越限报警及记录功能。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住宅套内厨房间可燃气体探测器应满足报警功能，同时还应与小区物业值班室或消防控制室实现联动。</w:t>
      </w:r>
    </w:p>
    <w:p>
      <w:pPr>
        <w:spacing w:line="600" w:lineRule="exact"/>
        <w:ind w:firstLine="643" w:firstLineChars="200"/>
        <w:outlineLvl w:val="2"/>
        <w:rPr>
          <w:rFonts w:ascii="仿宋_GB2312" w:hAnsi="仿宋_GB2312" w:eastAsia="仿宋_GB2312" w:cs="仿宋_GB2312"/>
          <w:b/>
          <w:bCs/>
          <w:sz w:val="32"/>
          <w:szCs w:val="32"/>
        </w:rPr>
      </w:pPr>
      <w:bookmarkStart w:id="74" w:name="_Toc12457"/>
      <w:bookmarkStart w:id="75" w:name="_Toc20666"/>
      <w:bookmarkStart w:id="76" w:name="_Toc6346"/>
      <w:bookmarkStart w:id="77" w:name="_Toc25835"/>
      <w:bookmarkStart w:id="78" w:name="_Toc6712"/>
      <w:bookmarkStart w:id="79" w:name="_Toc3071"/>
      <w:r>
        <w:rPr>
          <w:rFonts w:hint="eastAsia" w:ascii="仿宋_GB2312" w:hAnsi="仿宋_GB2312" w:eastAsia="仿宋_GB2312" w:cs="仿宋_GB2312"/>
          <w:b/>
          <w:bCs/>
          <w:sz w:val="32"/>
          <w:szCs w:val="32"/>
        </w:rPr>
        <w:t>3.1.5 防坠物</w:t>
      </w:r>
      <w:bookmarkEnd w:id="74"/>
      <w:bookmarkEnd w:id="75"/>
      <w:bookmarkEnd w:id="76"/>
      <w:bookmarkEnd w:id="77"/>
      <w:bookmarkEnd w:id="78"/>
      <w:bookmarkEnd w:id="7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在单元出入口应设外墙材料、门窗玻璃意外脱落的防护措施，在建筑物四周设置高空坠物监控设备。</w:t>
      </w:r>
    </w:p>
    <w:p>
      <w:pPr>
        <w:spacing w:line="600" w:lineRule="exact"/>
        <w:ind w:firstLine="643" w:firstLineChars="200"/>
        <w:outlineLvl w:val="2"/>
        <w:rPr>
          <w:rFonts w:ascii="仿宋_GB2312" w:hAnsi="仿宋_GB2312" w:eastAsia="仿宋_GB2312" w:cs="仿宋_GB2312"/>
          <w:b/>
          <w:bCs/>
          <w:sz w:val="32"/>
          <w:szCs w:val="32"/>
        </w:rPr>
      </w:pPr>
      <w:bookmarkStart w:id="80" w:name="_Toc10054"/>
      <w:bookmarkStart w:id="81" w:name="_Toc10942"/>
      <w:bookmarkStart w:id="82" w:name="_Toc19773"/>
      <w:bookmarkStart w:id="83" w:name="_Toc7131"/>
      <w:bookmarkStart w:id="84" w:name="_Toc8843"/>
      <w:bookmarkStart w:id="85" w:name="_Toc30108"/>
      <w:r>
        <w:rPr>
          <w:rFonts w:hint="eastAsia" w:ascii="仿宋_GB2312" w:hAnsi="仿宋_GB2312" w:eastAsia="仿宋_GB2312" w:cs="仿宋_GB2312"/>
          <w:b/>
          <w:bCs/>
          <w:sz w:val="32"/>
          <w:szCs w:val="32"/>
        </w:rPr>
        <w:t>3.1.6 卫生防疫</w:t>
      </w:r>
      <w:bookmarkEnd w:id="80"/>
      <w:bookmarkEnd w:id="81"/>
      <w:bookmarkEnd w:id="82"/>
      <w:bookmarkEnd w:id="83"/>
      <w:bookmarkEnd w:id="84"/>
      <w:bookmarkEnd w:id="85"/>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 在小区及单元出入口、电梯等部位采用非接触式门禁或提供免接触物品服务。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住宅对外的排气出口应设置防鼠、防虫装置。</w:t>
      </w:r>
    </w:p>
    <w:p>
      <w:pPr>
        <w:spacing w:line="600" w:lineRule="exact"/>
        <w:ind w:firstLine="643" w:firstLineChars="200"/>
        <w:outlineLvl w:val="2"/>
        <w:rPr>
          <w:rFonts w:ascii="仿宋_GB2312" w:hAnsi="仿宋_GB2312" w:eastAsia="仿宋_GB2312" w:cs="仿宋_GB2312"/>
          <w:b/>
          <w:bCs/>
          <w:sz w:val="32"/>
          <w:szCs w:val="32"/>
        </w:rPr>
      </w:pPr>
      <w:bookmarkStart w:id="86" w:name="_Toc32295"/>
      <w:bookmarkStart w:id="87" w:name="_Toc21663"/>
      <w:bookmarkStart w:id="88" w:name="_Toc30879"/>
      <w:bookmarkStart w:id="89" w:name="_Toc5726"/>
      <w:bookmarkStart w:id="90" w:name="_Toc1283"/>
      <w:bookmarkStart w:id="91" w:name="_Toc2554"/>
      <w:r>
        <w:rPr>
          <w:rFonts w:hint="eastAsia" w:ascii="仿宋_GB2312" w:hAnsi="仿宋_GB2312" w:eastAsia="仿宋_GB2312" w:cs="仿宋_GB2312"/>
          <w:b/>
          <w:bCs/>
          <w:sz w:val="32"/>
          <w:szCs w:val="32"/>
        </w:rPr>
        <w:t>3.1.7 户内适老化</w:t>
      </w:r>
      <w:bookmarkEnd w:id="86"/>
      <w:r>
        <w:rPr>
          <w:rFonts w:hint="eastAsia" w:ascii="仿宋_GB2312" w:hAnsi="仿宋_GB2312" w:eastAsia="仿宋_GB2312" w:cs="仿宋_GB2312"/>
          <w:b/>
          <w:bCs/>
          <w:sz w:val="32"/>
          <w:szCs w:val="32"/>
        </w:rPr>
        <w:t>设计</w:t>
      </w:r>
      <w:bookmarkEnd w:id="87"/>
      <w:bookmarkEnd w:id="88"/>
      <w:bookmarkEnd w:id="89"/>
      <w:bookmarkEnd w:id="90"/>
      <w:bookmarkEnd w:id="91"/>
    </w:p>
    <w:p>
      <w:pPr>
        <w:spacing w:line="6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1 卫生间宜设置在老年人卧室附近，要注重适老化设计，卫生间与卧室间的墙体宜为轻质墙便于日后适老化改造，应预留辅助行动设施的安装条件。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有水房间应采用防滑设计，防滑等级不低于现行标准《建筑地面工程防滑技术规程》（JGJ/T 331）规定的B</w:t>
      </w:r>
      <w:r>
        <w:rPr>
          <w:rFonts w:hint="eastAsia" w:ascii="仿宋_GB2312" w:hAnsi="仿宋_GB2312" w:eastAsia="仿宋_GB2312" w:cs="仿宋_GB2312"/>
          <w:sz w:val="32"/>
          <w:szCs w:val="32"/>
          <w:vertAlign w:val="subscript"/>
        </w:rPr>
        <w:t>d</w:t>
      </w: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vertAlign w:val="subscript"/>
        </w:rPr>
        <w:t>w</w:t>
      </w:r>
      <w:r>
        <w:rPr>
          <w:rFonts w:hint="eastAsia" w:ascii="仿宋_GB2312" w:hAnsi="仿宋_GB2312" w:eastAsia="仿宋_GB2312" w:cs="仿宋_GB2312"/>
          <w:sz w:val="32"/>
          <w:szCs w:val="32"/>
        </w:rPr>
        <w:t>级或A</w:t>
      </w:r>
      <w:r>
        <w:rPr>
          <w:rFonts w:hint="eastAsia" w:ascii="仿宋_GB2312" w:hAnsi="仿宋_GB2312" w:eastAsia="仿宋_GB2312" w:cs="仿宋_GB2312"/>
          <w:sz w:val="32"/>
          <w:szCs w:val="32"/>
          <w:vertAlign w:val="subscript"/>
        </w:rPr>
        <w:t>d</w:t>
      </w: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vertAlign w:val="subscript"/>
        </w:rPr>
        <w:t>w</w:t>
      </w:r>
      <w:r>
        <w:rPr>
          <w:rFonts w:hint="eastAsia" w:ascii="仿宋_GB2312" w:hAnsi="仿宋_GB2312" w:eastAsia="仿宋_GB2312" w:cs="仿宋_GB2312"/>
          <w:sz w:val="32"/>
          <w:szCs w:val="32"/>
        </w:rPr>
        <w:t>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户内应充分考虑无障碍通行要求，门槛高度及门内外地面高差不应大于 15 mm，并以斜坡过。</w:t>
      </w:r>
    </w:p>
    <w:p>
      <w:pPr>
        <w:spacing w:line="600" w:lineRule="exact"/>
        <w:ind w:firstLine="640" w:firstLineChars="200"/>
        <w:rPr>
          <w:rFonts w:ascii="仿宋_GB2312" w:hAnsi="仿宋_GB2312" w:eastAsia="仿宋_GB2312" w:cs="仿宋_GB2312"/>
          <w:sz w:val="32"/>
          <w:szCs w:val="32"/>
        </w:rPr>
      </w:pPr>
    </w:p>
    <w:p>
      <w:pPr>
        <w:spacing w:line="600" w:lineRule="exact"/>
        <w:outlineLvl w:val="1"/>
        <w:rPr>
          <w:rFonts w:ascii="仿宋_GB2312" w:eastAsia="仿宋_GB2312"/>
          <w:b/>
          <w:bCs/>
          <w:sz w:val="32"/>
          <w:szCs w:val="32"/>
        </w:rPr>
      </w:pPr>
      <w:bookmarkStart w:id="92" w:name="_Toc13501"/>
      <w:bookmarkStart w:id="93" w:name="_Toc13061"/>
      <w:bookmarkStart w:id="94" w:name="_Toc58"/>
      <w:bookmarkStart w:id="95" w:name="_Toc13295"/>
      <w:bookmarkStart w:id="96" w:name="_Toc9938"/>
      <w:bookmarkStart w:id="97" w:name="_Toc3230"/>
      <w:r>
        <w:rPr>
          <w:rFonts w:hint="eastAsia" w:ascii="仿宋_GB2312" w:eastAsia="仿宋_GB2312"/>
          <w:b/>
          <w:bCs/>
          <w:sz w:val="32"/>
          <w:szCs w:val="32"/>
        </w:rPr>
        <w:t>3.2  舒适便捷</w:t>
      </w:r>
      <w:bookmarkEnd w:id="92"/>
      <w:bookmarkEnd w:id="93"/>
      <w:bookmarkEnd w:id="94"/>
      <w:bookmarkEnd w:id="95"/>
      <w:bookmarkEnd w:id="96"/>
      <w:bookmarkEnd w:id="97"/>
    </w:p>
    <w:p>
      <w:pPr>
        <w:spacing w:line="600" w:lineRule="exact"/>
        <w:ind w:firstLine="643" w:firstLineChars="200"/>
        <w:outlineLvl w:val="2"/>
        <w:rPr>
          <w:rFonts w:ascii="仿宋_GB2312" w:hAnsi="仿宋_GB2312" w:eastAsia="仿宋_GB2312" w:cs="仿宋_GB2312"/>
          <w:sz w:val="32"/>
          <w:szCs w:val="32"/>
        </w:rPr>
      </w:pPr>
      <w:bookmarkStart w:id="98" w:name="_Toc12125"/>
      <w:bookmarkStart w:id="99" w:name="_Toc25300"/>
      <w:bookmarkStart w:id="100" w:name="_Toc22370"/>
      <w:bookmarkStart w:id="101" w:name="_Toc4489"/>
      <w:bookmarkStart w:id="102" w:name="_Toc23074"/>
      <w:bookmarkStart w:id="103" w:name="_Toc28546"/>
      <w:r>
        <w:rPr>
          <w:rFonts w:hint="eastAsia" w:ascii="仿宋_GB2312" w:hAnsi="仿宋_GB2312" w:eastAsia="仿宋_GB2312" w:cs="仿宋_GB2312"/>
          <w:b/>
          <w:bCs/>
          <w:sz w:val="32"/>
          <w:szCs w:val="32"/>
        </w:rPr>
        <w:t>3.2.1 户型设计</w:t>
      </w:r>
      <w:bookmarkEnd w:id="98"/>
      <w:bookmarkEnd w:id="99"/>
      <w:bookmarkEnd w:id="100"/>
      <w:bookmarkEnd w:id="101"/>
      <w:bookmarkEnd w:id="102"/>
      <w:bookmarkEnd w:id="103"/>
    </w:p>
    <w:p>
      <w:pPr>
        <w:pStyle w:val="4"/>
        <w:spacing w:line="600" w:lineRule="exact"/>
        <w:ind w:firstLine="640" w:firstLineChars="200"/>
        <w:jc w:val="both"/>
        <w:rPr>
          <w:rFonts w:ascii="仿宋_GB2312" w:hAnsi="仿宋_GB2312" w:eastAsia="仿宋_GB2312" w:cs="仿宋_GB2312"/>
          <w:sz w:val="32"/>
          <w:szCs w:val="32"/>
        </w:rPr>
      </w:pPr>
      <w:bookmarkStart w:id="104" w:name="_Toc10369"/>
      <w:bookmarkStart w:id="105" w:name="_Toc3912"/>
      <w:bookmarkStart w:id="106" w:name="_Toc25646"/>
      <w:bookmarkStart w:id="107" w:name="_Toc20974"/>
      <w:r>
        <w:rPr>
          <w:rFonts w:hint="eastAsia" w:ascii="仿宋_GB2312" w:hAnsi="仿宋_GB2312" w:eastAsia="仿宋_GB2312" w:cs="仿宋_GB2312"/>
          <w:sz w:val="32"/>
          <w:szCs w:val="32"/>
        </w:rPr>
        <w:t>1 户型设计应尽量提高使用面积系数。</w:t>
      </w:r>
      <w:bookmarkEnd w:id="104"/>
      <w:bookmarkEnd w:id="105"/>
      <w:bookmarkEnd w:id="106"/>
      <w:bookmarkEnd w:id="10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户内空间方正，功能完善，舒适性高，合理配置户内面积与功能空间的数量、面积、高度（附表1）。</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户型面宽、进深与朝向设计合理，确保户内采光充足，通风良好。每套住宅的自然通风开口面积与房间地板面积的比例不低于5%。</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注重动静分区、干湿分离，增加户内储藏空间、多功能弹性空间。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一居室、二居室户内至少应有一间大于10m2的双人卧室，三居室户内至少应有两间大于10m2的双人卧室。</w:t>
      </w:r>
    </w:p>
    <w:p>
      <w:pPr>
        <w:spacing w:line="600" w:lineRule="exact"/>
        <w:ind w:firstLine="643" w:firstLineChars="200"/>
        <w:outlineLvl w:val="1"/>
        <w:rPr>
          <w:rFonts w:ascii="仿宋_GB2312" w:hAnsi="仿宋_GB2312" w:eastAsia="仿宋_GB2312" w:cs="仿宋_GB2312"/>
          <w:sz w:val="32"/>
          <w:szCs w:val="32"/>
        </w:rPr>
      </w:pPr>
      <w:bookmarkStart w:id="108" w:name="_Toc13864"/>
      <w:bookmarkStart w:id="109" w:name="_Toc13536"/>
      <w:bookmarkStart w:id="110" w:name="_Toc25712"/>
      <w:bookmarkStart w:id="111" w:name="_Toc29041"/>
      <w:bookmarkStart w:id="112" w:name="_Toc12872"/>
      <w:bookmarkStart w:id="113" w:name="_Toc24752"/>
      <w:r>
        <w:rPr>
          <w:rFonts w:hint="eastAsia" w:ascii="仿宋_GB2312" w:hAnsi="仿宋_GB2312" w:eastAsia="仿宋_GB2312" w:cs="仿宋_GB2312"/>
          <w:b/>
          <w:bCs/>
          <w:sz w:val="32"/>
          <w:szCs w:val="32"/>
        </w:rPr>
        <w:t>3.2.2 隔声降噪</w:t>
      </w:r>
      <w:bookmarkEnd w:id="108"/>
      <w:bookmarkEnd w:id="109"/>
      <w:bookmarkEnd w:id="110"/>
      <w:bookmarkEnd w:id="111"/>
      <w:bookmarkEnd w:id="112"/>
      <w:bookmarkEnd w:id="11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建筑内外噪声源传播至主要功能房间的噪声，比现行强制性工程建设规范《建筑环境通用规范》（GB 55016）限值应降低3dB以上。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设备室外机的安装位置不应对人员和相邻窗口形成热污染及噪声干扰。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楼板采用隔震措施，卧室、起居室的分户楼板撞击隔声性能不低于现行《绿色建筑评价标准》（GB/T50378）规定的星级绿色建筑计权标准化撞击声压级指标。</w:t>
      </w:r>
    </w:p>
    <w:p>
      <w:pPr>
        <w:pStyle w:val="4"/>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 户内排水宜采用同层排水、专业静音排水管道和管件等主动或被动静音措施。</w:t>
      </w:r>
    </w:p>
    <w:p>
      <w:pPr>
        <w:spacing w:line="600" w:lineRule="exact"/>
        <w:ind w:firstLine="643" w:firstLineChars="200"/>
        <w:outlineLvl w:val="1"/>
        <w:rPr>
          <w:rFonts w:ascii="仿宋_GB2312" w:hAnsi="仿宋_GB2312" w:eastAsia="仿宋_GB2312" w:cs="仿宋_GB2312"/>
          <w:b/>
          <w:bCs/>
          <w:sz w:val="32"/>
          <w:szCs w:val="32"/>
        </w:rPr>
      </w:pPr>
      <w:bookmarkStart w:id="114" w:name="_Toc9513"/>
      <w:bookmarkStart w:id="115" w:name="_Toc8489"/>
      <w:bookmarkStart w:id="116" w:name="_Toc17936"/>
      <w:bookmarkStart w:id="117" w:name="_Toc19993"/>
      <w:bookmarkStart w:id="118" w:name="_Toc23981"/>
      <w:bookmarkStart w:id="119" w:name="_Toc22857"/>
      <w:r>
        <w:rPr>
          <w:rFonts w:hint="eastAsia" w:ascii="仿宋_GB2312" w:hAnsi="仿宋_GB2312" w:eastAsia="仿宋_GB2312" w:cs="仿宋_GB2312"/>
          <w:b/>
          <w:bCs/>
          <w:sz w:val="32"/>
          <w:szCs w:val="32"/>
        </w:rPr>
        <w:t>3.2.3 用电</w:t>
      </w:r>
      <w:bookmarkEnd w:id="114"/>
      <w:bookmarkEnd w:id="115"/>
      <w:bookmarkEnd w:id="116"/>
      <w:bookmarkEnd w:id="117"/>
      <w:bookmarkEnd w:id="118"/>
      <w:bookmarkEnd w:id="11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住宅套内应同时设置有线电视插座、网络信息插座和对应设备电源插座，坐便器侧和洗手池下方应预留电源插座，厨房洗涤盆下方应预留净水器等设备的电源插座，操作台上方应设置不少于3个电源插座。</w:t>
      </w:r>
    </w:p>
    <w:p>
      <w:pPr>
        <w:spacing w:line="600" w:lineRule="exact"/>
        <w:ind w:firstLine="643" w:firstLineChars="200"/>
        <w:outlineLvl w:val="1"/>
        <w:rPr>
          <w:rFonts w:ascii="仿宋_GB2312" w:hAnsi="仿宋_GB2312" w:eastAsia="仿宋_GB2312" w:cs="仿宋_GB2312"/>
          <w:sz w:val="32"/>
          <w:szCs w:val="32"/>
        </w:rPr>
      </w:pPr>
      <w:bookmarkStart w:id="120" w:name="_Toc16488"/>
      <w:bookmarkStart w:id="121" w:name="_Toc27660"/>
      <w:bookmarkStart w:id="122" w:name="_Toc24605"/>
      <w:bookmarkStart w:id="123" w:name="_Toc22152"/>
      <w:bookmarkStart w:id="124" w:name="_Toc27892"/>
      <w:bookmarkStart w:id="125" w:name="_Toc4910"/>
      <w:r>
        <w:rPr>
          <w:rFonts w:hint="eastAsia" w:ascii="仿宋_GB2312" w:hAnsi="仿宋_GB2312" w:eastAsia="仿宋_GB2312" w:cs="仿宋_GB2312"/>
          <w:b/>
          <w:bCs/>
          <w:sz w:val="32"/>
          <w:szCs w:val="32"/>
        </w:rPr>
        <w:t>3.2.4 智能家居</w:t>
      </w:r>
      <w:bookmarkEnd w:id="120"/>
      <w:bookmarkEnd w:id="121"/>
      <w:bookmarkEnd w:id="122"/>
      <w:bookmarkEnd w:id="123"/>
      <w:bookmarkEnd w:id="124"/>
      <w:bookmarkEnd w:id="12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可实现智能访客(人行、车行)、智能照明、电动窗帘、水漫报警、烟雾报警和老人安全健康监测功能，并且预留必要的管线实现（各）系统</w:t>
      </w:r>
      <w:r>
        <w:rPr>
          <w:rFonts w:hint="eastAsia" w:ascii="仿宋_GB2312" w:hAnsi="仿宋_GB2312" w:eastAsia="仿宋_GB2312" w:cs="仿宋_GB2312"/>
          <w:strike/>
          <w:sz w:val="32"/>
          <w:szCs w:val="32"/>
        </w:rPr>
        <w:t>的</w:t>
      </w:r>
      <w:r>
        <w:rPr>
          <w:rFonts w:hint="eastAsia" w:ascii="仿宋_GB2312" w:hAnsi="仿宋_GB2312" w:eastAsia="仿宋_GB2312" w:cs="仿宋_GB2312"/>
          <w:sz w:val="32"/>
          <w:szCs w:val="32"/>
        </w:rPr>
        <w:t>（间）互联互通。</w:t>
      </w:r>
    </w:p>
    <w:p>
      <w:pPr>
        <w:spacing w:line="600" w:lineRule="exact"/>
        <w:ind w:firstLine="643" w:firstLineChars="200"/>
        <w:outlineLvl w:val="1"/>
        <w:rPr>
          <w:rFonts w:ascii="仿宋_GB2312" w:hAnsi="仿宋_GB2312" w:eastAsia="仿宋_GB2312" w:cs="仿宋_GB2312"/>
          <w:sz w:val="32"/>
          <w:szCs w:val="32"/>
        </w:rPr>
      </w:pPr>
      <w:bookmarkStart w:id="126" w:name="_Toc25218"/>
      <w:bookmarkStart w:id="127" w:name="_Toc15501"/>
      <w:bookmarkStart w:id="128" w:name="_Toc6244"/>
      <w:bookmarkStart w:id="129" w:name="_Toc9161"/>
      <w:bookmarkStart w:id="130" w:name="_Toc31132"/>
      <w:bookmarkStart w:id="131" w:name="_Toc25654"/>
      <w:r>
        <w:rPr>
          <w:rFonts w:hint="eastAsia" w:ascii="仿宋_GB2312" w:hAnsi="仿宋_GB2312" w:eastAsia="仿宋_GB2312" w:cs="仿宋_GB2312"/>
          <w:b/>
          <w:bCs/>
          <w:sz w:val="32"/>
          <w:szCs w:val="32"/>
        </w:rPr>
        <w:t>3.2.5 公共空间</w:t>
      </w:r>
      <w:bookmarkEnd w:id="126"/>
      <w:bookmarkEnd w:id="127"/>
      <w:bookmarkEnd w:id="128"/>
      <w:bookmarkEnd w:id="129"/>
      <w:bookmarkEnd w:id="130"/>
      <w:bookmarkEnd w:id="13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单元首层应设置尺度适宜的入户门厅等公共空间，入户门厅应设置单独回路的紧急救护插座并设置显著标识。入户门厅或电梯厅应预留信息发布电子屏电源插座，电梯轿箱内预留应急电源。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入户门厅、走道、电梯厅等公共空间应满足担架进出及无障碍设计要求，公共走道设置扶手满足全龄化需求，公共区域宜采用耐久、美观的装修材料。</w:t>
      </w:r>
    </w:p>
    <w:p>
      <w:pPr>
        <w:spacing w:line="600" w:lineRule="exact"/>
        <w:ind w:firstLine="640" w:firstLineChars="200"/>
        <w:rPr>
          <w:rFonts w:ascii="仿宋_GB2312" w:eastAsia="仿宋_GB2312"/>
          <w:sz w:val="32"/>
          <w:szCs w:val="32"/>
        </w:rPr>
      </w:pPr>
    </w:p>
    <w:p>
      <w:pPr>
        <w:spacing w:line="600" w:lineRule="exact"/>
        <w:outlineLvl w:val="2"/>
        <w:rPr>
          <w:rFonts w:ascii="仿宋_GB2312" w:eastAsia="仿宋_GB2312"/>
          <w:b/>
          <w:bCs/>
          <w:sz w:val="32"/>
          <w:szCs w:val="32"/>
        </w:rPr>
      </w:pPr>
      <w:bookmarkStart w:id="132" w:name="_Toc27277"/>
      <w:bookmarkStart w:id="133" w:name="_Toc17189"/>
      <w:bookmarkStart w:id="134" w:name="_Toc29518"/>
      <w:bookmarkStart w:id="135" w:name="_Toc13570"/>
      <w:bookmarkStart w:id="136" w:name="_Toc30046"/>
      <w:bookmarkStart w:id="137" w:name="_Toc5601"/>
      <w:r>
        <w:rPr>
          <w:rFonts w:hint="eastAsia" w:ascii="仿宋_GB2312" w:eastAsia="仿宋_GB2312"/>
          <w:b/>
          <w:bCs/>
          <w:sz w:val="32"/>
          <w:szCs w:val="32"/>
        </w:rPr>
        <w:t>3.3  绿色低碳</w:t>
      </w:r>
      <w:bookmarkEnd w:id="132"/>
      <w:bookmarkEnd w:id="133"/>
      <w:bookmarkEnd w:id="134"/>
      <w:bookmarkEnd w:id="135"/>
      <w:bookmarkEnd w:id="136"/>
      <w:bookmarkEnd w:id="137"/>
    </w:p>
    <w:p>
      <w:pPr>
        <w:spacing w:line="600" w:lineRule="exact"/>
        <w:ind w:firstLine="643" w:firstLineChars="200"/>
        <w:outlineLvl w:val="1"/>
        <w:rPr>
          <w:rFonts w:ascii="仿宋_GB2312" w:hAnsi="仿宋_GB2312" w:eastAsia="仿宋_GB2312" w:cs="仿宋_GB2312"/>
          <w:b/>
          <w:bCs/>
          <w:sz w:val="32"/>
          <w:szCs w:val="32"/>
        </w:rPr>
      </w:pPr>
      <w:bookmarkStart w:id="138" w:name="_Toc32205"/>
      <w:bookmarkStart w:id="139" w:name="_Toc30775"/>
      <w:bookmarkStart w:id="140" w:name="_Toc14769"/>
      <w:bookmarkStart w:id="141" w:name="_Toc3458"/>
      <w:bookmarkStart w:id="142" w:name="_Toc11380"/>
      <w:bookmarkStart w:id="143" w:name="_Toc15838"/>
      <w:r>
        <w:rPr>
          <w:rFonts w:hint="eastAsia" w:ascii="仿宋_GB2312" w:hAnsi="仿宋_GB2312" w:eastAsia="仿宋_GB2312" w:cs="仿宋_GB2312"/>
          <w:b/>
          <w:bCs/>
          <w:sz w:val="32"/>
          <w:szCs w:val="32"/>
        </w:rPr>
        <w:t>3.3.1 节能</w:t>
      </w:r>
      <w:bookmarkEnd w:id="138"/>
      <w:bookmarkEnd w:id="139"/>
      <w:bookmarkEnd w:id="140"/>
      <w:bookmarkEnd w:id="141"/>
      <w:bookmarkEnd w:id="142"/>
      <w:bookmarkEnd w:id="143"/>
    </w:p>
    <w:p>
      <w:pPr>
        <w:pStyle w:val="4"/>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鼓励在现行建筑节能标准前提下进一步提高建筑节能率，提倡建设超低能耗建筑与近零能耗建筑。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室内空调、新风系统设备能效等级应不低于2级，鼓励达到1级。</w:t>
      </w:r>
    </w:p>
    <w:p>
      <w:pPr>
        <w:pStyle w:val="4"/>
        <w:spacing w:line="600" w:lineRule="exact"/>
        <w:ind w:firstLine="640" w:firstLineChars="200"/>
        <w:jc w:val="both"/>
        <w:rPr>
          <w:rFonts w:ascii="仿宋_GB2312" w:hAnsi="仿宋_GB2312" w:eastAsia="仿宋_GB2312" w:cs="仿宋_GB2312"/>
          <w:sz w:val="32"/>
          <w:szCs w:val="32"/>
        </w:rPr>
      </w:pPr>
      <w:bookmarkStart w:id="144" w:name="_Toc8089"/>
      <w:bookmarkStart w:id="145" w:name="_Toc22933"/>
      <w:r>
        <w:rPr>
          <w:rFonts w:hint="eastAsia" w:ascii="仿宋_GB2312" w:hAnsi="仿宋_GB2312" w:eastAsia="仿宋_GB2312" w:cs="仿宋_GB2312"/>
          <w:sz w:val="32"/>
          <w:szCs w:val="32"/>
        </w:rPr>
        <w:t>3 公共区域照明用电宜采用太阳能等绿色可再生能源供电</w:t>
      </w:r>
      <w:bookmarkEnd w:id="144"/>
      <w:bookmarkEnd w:id="145"/>
      <w:r>
        <w:rPr>
          <w:rFonts w:hint="eastAsia" w:ascii="仿宋_GB2312" w:hAnsi="仿宋_GB2312" w:eastAsia="仿宋_GB2312" w:cs="仿宋_GB2312"/>
          <w:sz w:val="32"/>
          <w:szCs w:val="32"/>
        </w:rPr>
        <w:t>。</w:t>
      </w:r>
    </w:p>
    <w:p>
      <w:pPr>
        <w:pStyle w:val="4"/>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 鼓励使用清洁能源，鼓励设施设备全面电气化。</w:t>
      </w:r>
    </w:p>
    <w:p>
      <w:pPr>
        <w:spacing w:line="600" w:lineRule="exact"/>
        <w:ind w:firstLine="643" w:firstLineChars="200"/>
        <w:outlineLvl w:val="1"/>
        <w:rPr>
          <w:rFonts w:ascii="仿宋_GB2312" w:hAnsi="仿宋_GB2312" w:eastAsia="仿宋_GB2312" w:cs="仿宋_GB2312"/>
          <w:b/>
          <w:bCs/>
          <w:sz w:val="32"/>
          <w:szCs w:val="32"/>
        </w:rPr>
      </w:pPr>
      <w:bookmarkStart w:id="146" w:name="_Toc30129"/>
      <w:bookmarkStart w:id="147" w:name="_Toc28352"/>
      <w:bookmarkStart w:id="148" w:name="_Toc32401"/>
      <w:bookmarkStart w:id="149" w:name="_Toc18941"/>
      <w:bookmarkStart w:id="150" w:name="_Toc6026"/>
      <w:r>
        <w:rPr>
          <w:rFonts w:hint="eastAsia" w:ascii="仿宋_GB2312" w:hAnsi="仿宋_GB2312" w:eastAsia="仿宋_GB2312" w:cs="仿宋_GB2312"/>
          <w:b/>
          <w:bCs/>
          <w:sz w:val="32"/>
          <w:szCs w:val="32"/>
        </w:rPr>
        <w:t>3.3.2 节水</w:t>
      </w:r>
      <w:bookmarkEnd w:id="146"/>
      <w:bookmarkEnd w:id="147"/>
      <w:bookmarkEnd w:id="148"/>
      <w:bookmarkEnd w:id="149"/>
      <w:bookmarkEnd w:id="150"/>
    </w:p>
    <w:p>
      <w:pPr>
        <w:pStyle w:val="4"/>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鼓励使用较高水效等级的卫生节水器具。水嘴、淋浴器、坐便器水效等级不应低于2级，鼓励使用水效等级1级的卫生节水器具。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2鼓励小区绿化浇灌、道路清洗、洗车、车库地面冲洗优先使用中水。严禁中水和生活饮用水管道连接且中水龙头选用供专人使用的带锁安全龙头，节约用水同时保证用水安全。</w:t>
      </w:r>
      <w:bookmarkStart w:id="151" w:name="_Toc15316"/>
      <w:bookmarkStart w:id="152" w:name="_Toc7091"/>
      <w:bookmarkStart w:id="153" w:name="_Toc24444"/>
    </w:p>
    <w:p>
      <w:pPr>
        <w:spacing w:line="600" w:lineRule="exact"/>
        <w:ind w:firstLine="643" w:firstLineChars="200"/>
        <w:rPr>
          <w:rFonts w:ascii="仿宋_GB2312" w:hAnsi="仿宋_GB2312" w:eastAsia="仿宋_GB2312" w:cs="仿宋_GB2312"/>
          <w:sz w:val="32"/>
          <w:szCs w:val="32"/>
        </w:rPr>
      </w:pPr>
      <w:bookmarkStart w:id="154" w:name="_Toc22017"/>
      <w:bookmarkStart w:id="155" w:name="_Toc15454"/>
      <w:r>
        <w:rPr>
          <w:rFonts w:hint="eastAsia" w:ascii="仿宋_GB2312" w:hAnsi="仿宋_GB2312" w:eastAsia="仿宋_GB2312" w:cs="仿宋_GB2312"/>
          <w:b/>
          <w:bCs/>
          <w:sz w:val="32"/>
          <w:szCs w:val="32"/>
        </w:rPr>
        <w:t>3.3.3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绿色建材</w:t>
      </w:r>
      <w:bookmarkEnd w:id="151"/>
      <w:bookmarkEnd w:id="152"/>
      <w:bookmarkEnd w:id="153"/>
      <w:bookmarkEnd w:id="154"/>
      <w:bookmarkEnd w:id="15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使用经过认证的绿色建材，应用比例宜不低于10%。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建筑装修选用工业化内装部品占同类部品种类宜不低于3类。</w:t>
      </w:r>
    </w:p>
    <w:p>
      <w:pPr>
        <w:spacing w:line="600" w:lineRule="exact"/>
        <w:ind w:firstLine="643" w:firstLineChars="200"/>
        <w:rPr>
          <w:rFonts w:ascii="仿宋_GB2312" w:hAnsi="仿宋_GB2312" w:eastAsia="仿宋_GB2312" w:cs="仿宋_GB2312"/>
          <w:sz w:val="32"/>
          <w:szCs w:val="32"/>
        </w:rPr>
      </w:pPr>
      <w:bookmarkStart w:id="156" w:name="_Toc10352"/>
      <w:bookmarkStart w:id="157" w:name="_Toc14073"/>
      <w:r>
        <w:rPr>
          <w:rFonts w:hint="eastAsia" w:ascii="仿宋_GB2312" w:hAnsi="仿宋_GB2312" w:eastAsia="仿宋_GB2312" w:cs="仿宋_GB2312"/>
          <w:b/>
          <w:bCs/>
          <w:sz w:val="32"/>
          <w:szCs w:val="32"/>
        </w:rPr>
        <w:t>3.3.4 装配式建筑</w:t>
      </w:r>
      <w:bookmarkEnd w:id="156"/>
      <w:bookmarkEnd w:id="157"/>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支持建筑工业化绿色发展，鼓励选用装配式建筑，积极推广智能建造。</w:t>
      </w:r>
      <w:r>
        <w:rPr>
          <w:rFonts w:hint="eastAsia" w:ascii="仿宋_GB2312" w:eastAsia="仿宋_GB2312"/>
          <w:sz w:val="32"/>
          <w:szCs w:val="32"/>
        </w:rPr>
        <w:t xml:space="preserve"> </w:t>
      </w:r>
    </w:p>
    <w:p>
      <w:pPr>
        <w:spacing w:line="600" w:lineRule="exact"/>
        <w:rPr>
          <w:rFonts w:ascii="仿宋_GB2312" w:eastAsia="仿宋_GB2312"/>
          <w:sz w:val="32"/>
          <w:szCs w:val="32"/>
          <w:highlight w:val="yellow"/>
        </w:rPr>
      </w:pPr>
    </w:p>
    <w:p>
      <w:pPr>
        <w:spacing w:line="600" w:lineRule="exact"/>
        <w:outlineLvl w:val="2"/>
        <w:rPr>
          <w:rFonts w:ascii="仿宋_GB2312" w:eastAsia="仿宋_GB2312"/>
          <w:b/>
          <w:bCs/>
          <w:sz w:val="32"/>
          <w:szCs w:val="32"/>
        </w:rPr>
      </w:pPr>
      <w:bookmarkStart w:id="158" w:name="_Toc10118"/>
      <w:bookmarkStart w:id="159" w:name="_Toc16347"/>
      <w:bookmarkStart w:id="160" w:name="_Toc31220"/>
      <w:bookmarkStart w:id="161" w:name="_Toc10726"/>
      <w:bookmarkStart w:id="162" w:name="_Toc31979"/>
      <w:bookmarkStart w:id="163" w:name="_Toc28203"/>
      <w:r>
        <w:rPr>
          <w:rFonts w:hint="eastAsia" w:ascii="仿宋_GB2312" w:eastAsia="仿宋_GB2312"/>
          <w:b/>
          <w:bCs/>
          <w:sz w:val="32"/>
          <w:szCs w:val="32"/>
        </w:rPr>
        <w:t>3.4  耐久可变</w:t>
      </w:r>
      <w:bookmarkEnd w:id="158"/>
      <w:bookmarkEnd w:id="159"/>
      <w:bookmarkEnd w:id="160"/>
      <w:bookmarkEnd w:id="161"/>
      <w:bookmarkEnd w:id="162"/>
      <w:bookmarkEnd w:id="163"/>
    </w:p>
    <w:p>
      <w:pPr>
        <w:spacing w:line="600" w:lineRule="exact"/>
        <w:ind w:firstLine="643" w:firstLineChars="200"/>
        <w:outlineLvl w:val="1"/>
        <w:rPr>
          <w:rFonts w:ascii="仿宋_GB2312" w:hAnsi="仿宋_GB2312" w:eastAsia="仿宋_GB2312" w:cs="仿宋_GB2312"/>
          <w:b/>
          <w:bCs/>
          <w:sz w:val="32"/>
          <w:szCs w:val="32"/>
        </w:rPr>
      </w:pPr>
      <w:bookmarkStart w:id="164" w:name="_Toc32518"/>
      <w:bookmarkStart w:id="165" w:name="_Toc27769"/>
      <w:bookmarkStart w:id="166" w:name="_Toc2906"/>
      <w:bookmarkStart w:id="167" w:name="_Toc25286"/>
      <w:bookmarkStart w:id="168" w:name="_Toc3790"/>
      <w:bookmarkStart w:id="169" w:name="_Toc9496"/>
      <w:r>
        <w:rPr>
          <w:rFonts w:hint="eastAsia" w:ascii="仿宋_GB2312" w:hAnsi="仿宋_GB2312" w:eastAsia="仿宋_GB2312" w:cs="仿宋_GB2312"/>
          <w:b/>
          <w:bCs/>
          <w:sz w:val="32"/>
          <w:szCs w:val="32"/>
        </w:rPr>
        <w:t>3.4.1 防水</w:t>
      </w:r>
      <w:bookmarkEnd w:id="164"/>
      <w:bookmarkEnd w:id="165"/>
      <w:bookmarkEnd w:id="166"/>
      <w:bookmarkEnd w:id="167"/>
      <w:bookmarkEnd w:id="168"/>
      <w:bookmarkEnd w:id="16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屋面工程防水设计工作年限不应低于20年，室内工程防水设计工作年限不应低于25年，防水质量保修期限不小于15年。防水与密封材料耐久性符合国家现行标准《绿色产品评价防水与密封材料》（GB/T 35609）。</w:t>
      </w:r>
    </w:p>
    <w:p>
      <w:pPr>
        <w:spacing w:line="600" w:lineRule="exact"/>
        <w:ind w:firstLine="643" w:firstLineChars="200"/>
        <w:outlineLvl w:val="1"/>
        <w:rPr>
          <w:rFonts w:ascii="仿宋_GB2312" w:hAnsi="仿宋_GB2312" w:eastAsia="仿宋_GB2312" w:cs="仿宋_GB2312"/>
          <w:b/>
          <w:bCs/>
          <w:sz w:val="32"/>
          <w:szCs w:val="32"/>
        </w:rPr>
      </w:pPr>
      <w:bookmarkStart w:id="170" w:name="_Toc3237"/>
      <w:bookmarkStart w:id="171" w:name="_Toc14052"/>
      <w:bookmarkStart w:id="172" w:name="_Toc27004"/>
      <w:bookmarkStart w:id="173" w:name="_Toc12318"/>
      <w:bookmarkStart w:id="174" w:name="_Toc9139"/>
      <w:bookmarkStart w:id="175" w:name="_Toc32096"/>
      <w:r>
        <w:rPr>
          <w:rFonts w:hint="eastAsia" w:ascii="仿宋_GB2312" w:hAnsi="仿宋_GB2312" w:eastAsia="仿宋_GB2312" w:cs="仿宋_GB2312"/>
          <w:b/>
          <w:bCs/>
          <w:sz w:val="32"/>
          <w:szCs w:val="32"/>
        </w:rPr>
        <w:t>3.4.2 管材</w:t>
      </w:r>
      <w:bookmarkEnd w:id="170"/>
      <w:bookmarkEnd w:id="171"/>
      <w:bookmarkEnd w:id="172"/>
      <w:bookmarkEnd w:id="173"/>
      <w:bookmarkEnd w:id="174"/>
      <w:bookmarkEnd w:id="17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室内给水系统选用耐腐蚀、抗老化、耐久性能好的管材、管线、管件、阀门。电气系统采用低烟无毒阻燃性线缆、矿物绝缘类不燃性电缆、耐火电缆等且导体材料采用铜芯。</w:t>
      </w:r>
    </w:p>
    <w:p>
      <w:pPr>
        <w:spacing w:line="600" w:lineRule="exact"/>
        <w:ind w:firstLine="643" w:firstLineChars="200"/>
        <w:outlineLvl w:val="1"/>
        <w:rPr>
          <w:rFonts w:ascii="仿宋_GB2312" w:hAnsi="仿宋_GB2312" w:eastAsia="仿宋_GB2312" w:cs="仿宋_GB2312"/>
          <w:b/>
          <w:bCs/>
          <w:sz w:val="32"/>
          <w:szCs w:val="32"/>
        </w:rPr>
      </w:pPr>
      <w:bookmarkStart w:id="176" w:name="_Toc845"/>
      <w:bookmarkStart w:id="177" w:name="_Toc8293"/>
      <w:bookmarkStart w:id="178" w:name="_Toc13809"/>
      <w:bookmarkStart w:id="179" w:name="_Toc24376"/>
      <w:bookmarkStart w:id="180" w:name="_Toc22682"/>
      <w:bookmarkStart w:id="181" w:name="_Toc31552"/>
      <w:r>
        <w:rPr>
          <w:rFonts w:hint="eastAsia" w:ascii="仿宋_GB2312" w:hAnsi="仿宋_GB2312" w:eastAsia="仿宋_GB2312" w:cs="仿宋_GB2312"/>
          <w:b/>
          <w:bCs/>
          <w:sz w:val="32"/>
          <w:szCs w:val="32"/>
        </w:rPr>
        <w:t>3.4.3 装修</w:t>
      </w:r>
      <w:bookmarkEnd w:id="176"/>
      <w:bookmarkEnd w:id="177"/>
      <w:bookmarkEnd w:id="178"/>
      <w:bookmarkEnd w:id="179"/>
      <w:bookmarkEnd w:id="180"/>
      <w:bookmarkEnd w:id="18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住宅交付满足全装修标准，提倡装修与建筑一体化设计，优先采用绿色建材认证的室内建筑材料。</w:t>
      </w:r>
    </w:p>
    <w:p>
      <w:pPr>
        <w:pStyle w:val="4"/>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建筑装饰装修应兼具美观性、环保性与耐久性，同时考虑个性化装修的需求，通过提供多种装修方案的方式为居住者提供更多选择。</w:t>
      </w:r>
    </w:p>
    <w:p>
      <w:pPr>
        <w:spacing w:line="600" w:lineRule="exact"/>
        <w:ind w:firstLine="643" w:firstLineChars="200"/>
        <w:outlineLvl w:val="1"/>
        <w:rPr>
          <w:rFonts w:ascii="仿宋_GB2312" w:hAnsi="仿宋_GB2312" w:eastAsia="仿宋_GB2312" w:cs="仿宋_GB2312"/>
          <w:sz w:val="32"/>
          <w:szCs w:val="32"/>
        </w:rPr>
      </w:pPr>
      <w:bookmarkStart w:id="182" w:name="_Toc24329"/>
      <w:bookmarkStart w:id="183" w:name="_Toc6361"/>
      <w:bookmarkStart w:id="184" w:name="_Toc2350"/>
      <w:bookmarkStart w:id="185" w:name="_Toc4363"/>
      <w:bookmarkStart w:id="186" w:name="_Toc2215"/>
      <w:bookmarkStart w:id="187" w:name="_Toc3895"/>
      <w:r>
        <w:rPr>
          <w:rFonts w:hint="eastAsia" w:ascii="仿宋_GB2312" w:hAnsi="仿宋_GB2312" w:eastAsia="仿宋_GB2312" w:cs="仿宋_GB2312"/>
          <w:b/>
          <w:bCs/>
          <w:sz w:val="32"/>
          <w:szCs w:val="32"/>
        </w:rPr>
        <w:t>3.4.4 立面</w:t>
      </w:r>
      <w:bookmarkEnd w:id="182"/>
      <w:bookmarkEnd w:id="183"/>
      <w:bookmarkEnd w:id="184"/>
      <w:bookmarkEnd w:id="185"/>
      <w:bookmarkEnd w:id="186"/>
      <w:bookmarkEnd w:id="187"/>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建筑立面选用耐久性强的材料，颜色与建筑色彩协调，优先选用带有自洁功能的产品。外墙保温与建筑同寿命。</w:t>
      </w:r>
    </w:p>
    <w:p>
      <w:pPr>
        <w:spacing w:line="600" w:lineRule="exact"/>
        <w:ind w:firstLine="643" w:firstLineChars="200"/>
        <w:outlineLvl w:val="1"/>
        <w:rPr>
          <w:rFonts w:ascii="仿宋_GB2312" w:hAnsi="仿宋_GB2312" w:eastAsia="仿宋_GB2312" w:cs="仿宋_GB2312"/>
          <w:b/>
          <w:bCs/>
          <w:sz w:val="32"/>
          <w:szCs w:val="32"/>
        </w:rPr>
      </w:pPr>
      <w:bookmarkStart w:id="188" w:name="_Toc8926"/>
      <w:bookmarkStart w:id="189" w:name="_Toc31872"/>
      <w:bookmarkStart w:id="190" w:name="_Toc30247"/>
      <w:bookmarkStart w:id="191" w:name="_Toc32579"/>
      <w:bookmarkStart w:id="192" w:name="_Toc32402"/>
      <w:bookmarkStart w:id="193" w:name="_Toc29160"/>
      <w:r>
        <w:rPr>
          <w:rFonts w:hint="eastAsia" w:ascii="仿宋_GB2312" w:hAnsi="仿宋_GB2312" w:eastAsia="仿宋_GB2312" w:cs="仿宋_GB2312"/>
          <w:b/>
          <w:bCs/>
          <w:sz w:val="32"/>
          <w:szCs w:val="32"/>
        </w:rPr>
        <w:t>3.4.5 户型适变性</w:t>
      </w:r>
      <w:bookmarkEnd w:id="188"/>
      <w:bookmarkEnd w:id="189"/>
      <w:bookmarkEnd w:id="190"/>
      <w:bookmarkEnd w:id="191"/>
      <w:bookmarkEnd w:id="192"/>
      <w:bookmarkEnd w:id="19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宜提供满足全生命周期可变性户型，提倡采用开放、灵活可变的大空间结构设计。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建筑结构与设备采用管线分离设计，设备设施布置方式或控制方式与建筑功能和空间变化相适应。</w:t>
      </w:r>
      <w:bookmarkStart w:id="194" w:name="_Toc24274"/>
      <w:bookmarkStart w:id="195" w:name="_Toc17923"/>
      <w:bookmarkStart w:id="196" w:name="_Toc8927"/>
      <w:bookmarkStart w:id="197" w:name="_Toc18231"/>
    </w:p>
    <w:p>
      <w:pPr>
        <w:spacing w:line="600" w:lineRule="exact"/>
        <w:jc w:val="center"/>
        <w:rPr>
          <w:rFonts w:hint="eastAsia" w:ascii="黑体" w:hAnsi="黑体" w:eastAsia="黑体"/>
          <w:bCs/>
          <w:sz w:val="32"/>
          <w:szCs w:val="32"/>
        </w:rPr>
      </w:pPr>
    </w:p>
    <w:p>
      <w:pPr>
        <w:spacing w:line="600" w:lineRule="exact"/>
        <w:jc w:val="center"/>
        <w:rPr>
          <w:rFonts w:ascii="黑体" w:hAnsi="黑体" w:eastAsia="黑体"/>
          <w:bCs/>
          <w:sz w:val="32"/>
          <w:szCs w:val="32"/>
        </w:rPr>
      </w:pPr>
      <w:r>
        <w:rPr>
          <w:rFonts w:hint="eastAsia" w:ascii="黑体" w:hAnsi="黑体" w:eastAsia="黑体"/>
          <w:bCs/>
          <w:sz w:val="32"/>
          <w:szCs w:val="32"/>
        </w:rPr>
        <w:t>4  物业运维管理</w:t>
      </w:r>
      <w:bookmarkEnd w:id="194"/>
      <w:bookmarkEnd w:id="195"/>
      <w:bookmarkEnd w:id="196"/>
      <w:bookmarkEnd w:id="197"/>
    </w:p>
    <w:p>
      <w:pPr>
        <w:spacing w:line="580" w:lineRule="exact"/>
        <w:jc w:val="center"/>
        <w:outlineLvl w:val="0"/>
        <w:rPr>
          <w:rFonts w:ascii="黑体" w:hAnsi="黑体" w:eastAsia="黑体"/>
          <w:bCs/>
          <w:sz w:val="32"/>
          <w:szCs w:val="32"/>
        </w:rPr>
      </w:pP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住宅作为全生命周期的产品，在后期运维管理阶段应建立住宅使用、维修、维护、监测评估机制。</w:t>
      </w:r>
    </w:p>
    <w:p>
      <w:pPr>
        <w:spacing w:line="600" w:lineRule="exact"/>
        <w:outlineLvl w:val="1"/>
        <w:rPr>
          <w:rFonts w:ascii="仿宋_GB2312" w:hAnsi="仿宋_GB2312" w:eastAsia="仿宋_GB2312" w:cs="仿宋_GB2312"/>
          <w:b/>
          <w:bCs/>
          <w:sz w:val="32"/>
          <w:szCs w:val="32"/>
        </w:rPr>
      </w:pPr>
      <w:bookmarkStart w:id="198" w:name="_Toc136187273"/>
      <w:bookmarkStart w:id="199" w:name="_Toc136241045"/>
      <w:bookmarkStart w:id="200" w:name="_Toc136239984"/>
      <w:bookmarkStart w:id="201" w:name="_Toc172725481"/>
      <w:bookmarkStart w:id="202" w:name="_Toc136426451"/>
      <w:bookmarkStart w:id="203" w:name="_Toc166320476"/>
      <w:bookmarkStart w:id="204" w:name="_Toc136189417"/>
      <w:bookmarkStart w:id="205" w:name="_Toc136438050"/>
      <w:bookmarkStart w:id="206" w:name="_Toc136301177"/>
      <w:bookmarkStart w:id="207" w:name="_Toc136294789"/>
      <w:bookmarkStart w:id="208" w:name="_Toc165024390"/>
      <w:bookmarkStart w:id="209" w:name="_Toc166313495"/>
      <w:bookmarkStart w:id="210" w:name="_Toc172720951"/>
      <w:bookmarkStart w:id="211" w:name="_Toc166314052"/>
      <w:bookmarkStart w:id="212" w:name="_Toc136295388"/>
      <w:bookmarkStart w:id="213" w:name="_Toc165024155"/>
      <w:bookmarkStart w:id="214" w:name="_Toc165024010"/>
      <w:bookmarkStart w:id="215" w:name="_Toc172721052"/>
      <w:bookmarkStart w:id="216" w:name="_Toc136438250"/>
      <w:bookmarkStart w:id="217" w:name="_Toc136240909"/>
      <w:bookmarkStart w:id="218" w:name="_Toc136299811"/>
      <w:bookmarkStart w:id="219" w:name="_Toc165023842"/>
      <w:bookmarkStart w:id="220" w:name="_Toc172721158"/>
      <w:bookmarkStart w:id="221" w:name="_Toc136300009"/>
      <w:bookmarkStart w:id="222" w:name="_Toc136295197"/>
      <w:bookmarkStart w:id="223" w:name="_Toc22587"/>
      <w:bookmarkStart w:id="224" w:name="_Toc24730"/>
      <w:bookmarkStart w:id="225" w:name="_Toc9498"/>
      <w:bookmarkStart w:id="226" w:name="_Toc22597"/>
      <w:bookmarkStart w:id="227" w:name="_Toc4"/>
    </w:p>
    <w:p>
      <w:pPr>
        <w:spacing w:line="600" w:lineRule="exact"/>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4.1　客户服务</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spacing w:line="600" w:lineRule="exac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4.1.1　</w:t>
      </w:r>
      <w:r>
        <w:rPr>
          <w:rFonts w:hint="eastAsia" w:ascii="仿宋_GB2312" w:hAnsi="仿宋_GB2312" w:eastAsia="仿宋_GB2312" w:cs="仿宋_GB2312"/>
          <w:sz w:val="32"/>
          <w:szCs w:val="32"/>
        </w:rPr>
        <w:t>每日提供不少于12小时的业务接待服务，其他时间应设置值班人员，公示24小时服务电话。</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4.1.2</w:t>
      </w:r>
      <w:r>
        <w:rPr>
          <w:rFonts w:hint="eastAsia" w:ascii="仿宋_GB2312" w:hAnsi="仿宋_GB2312" w:eastAsia="仿宋_GB2312" w:cs="仿宋_GB2312"/>
          <w:sz w:val="32"/>
          <w:szCs w:val="32"/>
        </w:rPr>
        <w:t>　业主（物业使用人）提出的意见、建议、投诉应及时响应，24小时内回复处理结果，投诉回访率100%，保留回访记录并入档。</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4.1.3</w:t>
      </w:r>
      <w:r>
        <w:rPr>
          <w:rFonts w:hint="eastAsia" w:ascii="仿宋_GB2312" w:hAnsi="仿宋_GB2312" w:eastAsia="仿宋_GB2312" w:cs="仿宋_GB2312"/>
          <w:sz w:val="32"/>
          <w:szCs w:val="32"/>
        </w:rPr>
        <w:t>　物业服务人结合传统节日，并兼顾老、中、青、幼多层次业主（物业使用人）需求，举办个性化或定制性社区文化活动。重要节假日之前应组织装饰美化活动。</w:t>
      </w:r>
    </w:p>
    <w:p>
      <w:pPr>
        <w:spacing w:line="600" w:lineRule="exact"/>
        <w:ind w:firstLine="640" w:firstLineChars="200"/>
        <w:rPr>
          <w:rFonts w:ascii="仿宋_GB2312" w:hAnsi="仿宋_GB2312" w:eastAsia="仿宋_GB2312" w:cs="仿宋_GB2312"/>
          <w:sz w:val="32"/>
          <w:szCs w:val="32"/>
        </w:rPr>
      </w:pPr>
      <w:bookmarkStart w:id="228" w:name="_Toc172721161"/>
      <w:bookmarkStart w:id="229" w:name="_Toc172720954"/>
      <w:bookmarkStart w:id="230" w:name="_Toc172725484"/>
      <w:bookmarkStart w:id="231" w:name="_Toc172721055"/>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4.2　维修养护</w:t>
      </w:r>
      <w:bookmarkEnd w:id="228"/>
      <w:bookmarkEnd w:id="229"/>
      <w:bookmarkEnd w:id="230"/>
      <w:bookmarkEnd w:id="231"/>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4.2.1</w:t>
      </w:r>
      <w:r>
        <w:rPr>
          <w:rFonts w:hint="eastAsia" w:ascii="仿宋_GB2312" w:hAnsi="仿宋_GB2312" w:eastAsia="仿宋_GB2312" w:cs="仿宋_GB2312"/>
          <w:sz w:val="32"/>
          <w:szCs w:val="32"/>
        </w:rPr>
        <w:t>　每半年应对梁、板、柱等结构构件巡查不少于1次，外观出现变形、开裂等现象时，应建议相关业主申请房屋安全鉴定，同时将有关情况向相关部门报告。</w:t>
      </w:r>
    </w:p>
    <w:p>
      <w:pPr>
        <w:spacing w:line="600" w:lineRule="exact"/>
        <w:ind w:firstLine="643" w:firstLineChars="200"/>
        <w:rPr>
          <w:rFonts w:ascii="仿宋_GB2312" w:hAnsi="仿宋_GB2312" w:eastAsia="仿宋_GB2312" w:cs="仿宋_GB2312"/>
          <w:sz w:val="32"/>
          <w:szCs w:val="32"/>
        </w:rPr>
      </w:pPr>
      <w:bookmarkStart w:id="232" w:name="_Toc166320480"/>
      <w:bookmarkStart w:id="233" w:name="_Toc136295201"/>
      <w:bookmarkStart w:id="234" w:name="_Toc136438254"/>
      <w:bookmarkStart w:id="235" w:name="_Toc166314056"/>
      <w:bookmarkStart w:id="236" w:name="_Toc136426455"/>
      <w:bookmarkStart w:id="237" w:name="_Toc136438054"/>
      <w:bookmarkStart w:id="238" w:name="_Toc136294793"/>
      <w:bookmarkStart w:id="239" w:name="_Toc136301181"/>
      <w:bookmarkStart w:id="240" w:name="_Toc165023846"/>
      <w:bookmarkStart w:id="241" w:name="_Toc136187278"/>
      <w:bookmarkStart w:id="242" w:name="_Toc136241049"/>
      <w:bookmarkStart w:id="243" w:name="_Toc136300013"/>
      <w:bookmarkStart w:id="244" w:name="_Toc136189422"/>
      <w:bookmarkStart w:id="245" w:name="_Toc166313499"/>
      <w:bookmarkStart w:id="246" w:name="_Toc136239989"/>
      <w:bookmarkStart w:id="247" w:name="_Toc136299815"/>
      <w:bookmarkStart w:id="248" w:name="_Toc136295392"/>
      <w:bookmarkStart w:id="249" w:name="_Toc136240913"/>
      <w:r>
        <w:rPr>
          <w:rFonts w:hint="eastAsia" w:ascii="仿宋_GB2312" w:hAnsi="仿宋_GB2312" w:eastAsia="仿宋_GB2312" w:cs="仿宋_GB2312"/>
          <w:b/>
          <w:bCs/>
          <w:sz w:val="32"/>
          <w:szCs w:val="32"/>
        </w:rPr>
        <w:t>4.2.2</w:t>
      </w:r>
      <w:r>
        <w:rPr>
          <w:rFonts w:hint="eastAsia" w:ascii="仿宋_GB2312" w:hAnsi="仿宋_GB2312" w:eastAsia="仿宋_GB2312" w:cs="仿宋_GB2312"/>
          <w:sz w:val="32"/>
          <w:szCs w:val="32"/>
        </w:rPr>
        <w:t>　对低压配电箱和线路运行状况应每月巡查不少于1次，每半年维修养护1次，养护内容包括紧固、检测、清扫等；每季度切换1次双路互投开关。巡检记录及养护记录规范齐全。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4.2.3</w:t>
      </w:r>
      <w:r>
        <w:rPr>
          <w:rFonts w:hint="eastAsia" w:ascii="仿宋_GB2312" w:hAnsi="仿宋_GB2312" w:eastAsia="仿宋_GB2312" w:cs="仿宋_GB2312"/>
          <w:sz w:val="32"/>
          <w:szCs w:val="32"/>
        </w:rPr>
        <w:t>　对应急照明系统应每日巡视1次，发现故障及时组织维修。</w:t>
      </w:r>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4.2.4</w:t>
      </w:r>
      <w:r>
        <w:rPr>
          <w:rFonts w:hint="eastAsia" w:ascii="仿宋_GB2312" w:hAnsi="仿宋_GB2312" w:eastAsia="仿宋_GB2312" w:cs="仿宋_GB2312"/>
          <w:sz w:val="32"/>
          <w:szCs w:val="32"/>
        </w:rPr>
        <w:t>　人行出入口、楼宇大堂、电梯轿厢、主要路口等重点部位实现监控覆盖，每日应对视频监控设备巡查1次，保证其画面效果、录像、图像保存等功能运行正常。每半月应对摄像头巡查不少于1次，并及时进行相应调校，每季度维修养护1次，监控数据保存时间应不低于30天。</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4.2.5</w:t>
      </w:r>
      <w:r>
        <w:rPr>
          <w:rFonts w:hint="eastAsia" w:ascii="仿宋_GB2312" w:hAnsi="仿宋_GB2312" w:eastAsia="仿宋_GB2312" w:cs="仿宋_GB2312"/>
          <w:sz w:val="32"/>
          <w:szCs w:val="32"/>
        </w:rPr>
        <w:t>　应保证消防设施设备完好，可随时启用，设施的维修维护管理应符合GB 25201的要求，同时应保持消防通道畅通。</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4.2.6</w:t>
      </w:r>
      <w:r>
        <w:rPr>
          <w:rFonts w:hint="eastAsia" w:ascii="仿宋_GB2312" w:hAnsi="仿宋_GB2312" w:eastAsia="仿宋_GB2312" w:cs="仿宋_GB2312"/>
          <w:sz w:val="32"/>
          <w:szCs w:val="32"/>
        </w:rPr>
        <w:t>　有灭火和应急疏散预案，设有义务消防队，配备必要的消防器材，相关人员掌握消防基本知识和技能并每季度进行培训；每年组织2次有员工、业主（物业使用人）参加的消防演练。</w:t>
      </w:r>
    </w:p>
    <w:p>
      <w:pPr>
        <w:spacing w:line="600" w:lineRule="exact"/>
        <w:ind w:firstLine="640" w:firstLineChars="200"/>
        <w:rPr>
          <w:rFonts w:ascii="仿宋_GB2312" w:hAnsi="仿宋_GB2312" w:eastAsia="仿宋_GB2312" w:cs="仿宋_GB2312"/>
          <w:sz w:val="32"/>
          <w:szCs w:val="32"/>
        </w:rPr>
      </w:pPr>
      <w:bookmarkStart w:id="250" w:name="_Toc166313510"/>
      <w:bookmarkStart w:id="251" w:name="_Toc136299826"/>
      <w:bookmarkStart w:id="252" w:name="_Toc136187288"/>
      <w:bookmarkStart w:id="253" w:name="_Toc136295212"/>
      <w:bookmarkStart w:id="254" w:name="_Toc136241060"/>
      <w:bookmarkStart w:id="255" w:name="_Toc136295403"/>
      <w:bookmarkStart w:id="256" w:name="_Toc166320491"/>
      <w:bookmarkStart w:id="257" w:name="_Toc172720955"/>
      <w:bookmarkStart w:id="258" w:name="_Toc136240924"/>
      <w:bookmarkStart w:id="259" w:name="_Toc136300024"/>
      <w:bookmarkStart w:id="260" w:name="_Toc172725485"/>
      <w:bookmarkStart w:id="261" w:name="_Toc136438265"/>
      <w:bookmarkStart w:id="262" w:name="_Toc172721162"/>
      <w:bookmarkStart w:id="263" w:name="_Toc166314067"/>
      <w:bookmarkStart w:id="264" w:name="_Toc136294804"/>
      <w:bookmarkStart w:id="265" w:name="_Toc165023857"/>
      <w:bookmarkStart w:id="266" w:name="_Toc136189432"/>
      <w:bookmarkStart w:id="267" w:name="_Toc165024014"/>
      <w:bookmarkStart w:id="268" w:name="_Toc136438065"/>
      <w:bookmarkStart w:id="269" w:name="_Toc165024159"/>
      <w:bookmarkStart w:id="270" w:name="_Toc136426466"/>
      <w:bookmarkStart w:id="271" w:name="_Toc165024394"/>
      <w:bookmarkStart w:id="272" w:name="_Toc136301192"/>
      <w:bookmarkStart w:id="273" w:name="_Toc136239999"/>
      <w:bookmarkStart w:id="274" w:name="_Toc172721056"/>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4.3　维护</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仿宋_GB2312" w:hAnsi="仿宋_GB2312" w:eastAsia="仿宋_GB2312" w:cs="仿宋_GB2312"/>
          <w:b/>
          <w:bCs/>
          <w:sz w:val="32"/>
          <w:szCs w:val="32"/>
        </w:rPr>
        <w:t>秩序</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4.3.1</w:t>
      </w:r>
      <w:r>
        <w:rPr>
          <w:rFonts w:hint="eastAsia" w:ascii="仿宋_GB2312" w:hAnsi="仿宋_GB2312" w:eastAsia="仿宋_GB2312" w:cs="仿宋_GB2312"/>
          <w:sz w:val="32"/>
          <w:szCs w:val="32"/>
        </w:rPr>
        <w:t>　住宅小区的出入口应有专人24小时值班。主要出入口上下班高峰期提供不少于2小时的立岗服务。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4.3.2</w:t>
      </w:r>
      <w:r>
        <w:rPr>
          <w:rFonts w:hint="eastAsia" w:ascii="仿宋_GB2312" w:hAnsi="仿宋_GB2312" w:eastAsia="仿宋_GB2312" w:cs="仿宋_GB2312"/>
          <w:sz w:val="32"/>
          <w:szCs w:val="32"/>
        </w:rPr>
        <w:t>　应建立完善的大宗物品进出管理制度，实行大宗物品搬运进出登记管理。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4.3.3</w:t>
      </w:r>
      <w:r>
        <w:rPr>
          <w:rFonts w:hint="eastAsia" w:ascii="仿宋_GB2312" w:hAnsi="仿宋_GB2312" w:eastAsia="仿宋_GB2312" w:cs="仿宋_GB2312"/>
          <w:sz w:val="32"/>
          <w:szCs w:val="32"/>
        </w:rPr>
        <w:t>　制定巡查路线，按路线巡视检查并做好记录。昼间巡查不少于4次，夜间巡查不少于6次且须2人以上同行。对重点区域、重点部位增加巡查频次。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4.3.4</w:t>
      </w:r>
      <w:r>
        <w:rPr>
          <w:rFonts w:hint="eastAsia" w:ascii="仿宋_GB2312" w:hAnsi="仿宋_GB2312" w:eastAsia="仿宋_GB2312" w:cs="仿宋_GB2312"/>
          <w:sz w:val="32"/>
          <w:szCs w:val="32"/>
        </w:rPr>
        <w:t>　安防控制室应设专人24小时值守，并配备必要的应急工具。收到报警信号后，秩序维护人员应在10分钟内赶到现场进行处理，对违法行为立即报警。</w:t>
      </w:r>
    </w:p>
    <w:p>
      <w:pPr>
        <w:spacing w:line="600" w:lineRule="exact"/>
        <w:ind w:firstLine="640" w:firstLineChars="200"/>
        <w:rPr>
          <w:rFonts w:ascii="仿宋_GB2312" w:hAnsi="仿宋_GB2312" w:eastAsia="仿宋_GB2312" w:cs="仿宋_GB2312"/>
          <w:sz w:val="32"/>
          <w:szCs w:val="32"/>
        </w:rPr>
      </w:pPr>
      <w:bookmarkStart w:id="275" w:name="_Toc136294806"/>
      <w:bookmarkStart w:id="276" w:name="_Toc172725487"/>
      <w:bookmarkStart w:id="277" w:name="_Toc165024161"/>
      <w:bookmarkStart w:id="278" w:name="_Toc172721164"/>
      <w:bookmarkStart w:id="279" w:name="_Toc172721058"/>
      <w:bookmarkStart w:id="280" w:name="_Toc136299828"/>
      <w:bookmarkStart w:id="281" w:name="_Toc136295405"/>
      <w:bookmarkStart w:id="282" w:name="_Toc166320493"/>
      <w:bookmarkStart w:id="283" w:name="_Toc136240001"/>
      <w:bookmarkStart w:id="284" w:name="_Toc165024016"/>
      <w:bookmarkStart w:id="285" w:name="_Toc136241062"/>
      <w:bookmarkStart w:id="286" w:name="_Toc136300026"/>
      <w:bookmarkStart w:id="287" w:name="_Toc136295214"/>
      <w:bookmarkStart w:id="288" w:name="_Toc136438267"/>
      <w:bookmarkStart w:id="289" w:name="_Toc166313512"/>
      <w:bookmarkStart w:id="290" w:name="_Toc136438067"/>
      <w:bookmarkStart w:id="291" w:name="_Toc165024396"/>
      <w:bookmarkStart w:id="292" w:name="_Toc136426468"/>
      <w:bookmarkStart w:id="293" w:name="_Toc166314069"/>
      <w:bookmarkStart w:id="294" w:name="_Toc136240926"/>
      <w:bookmarkStart w:id="295" w:name="_Toc136301194"/>
      <w:bookmarkStart w:id="296" w:name="_Toc172720957"/>
      <w:bookmarkStart w:id="297" w:name="_Toc136187290"/>
      <w:bookmarkStart w:id="298" w:name="_Toc136189434"/>
      <w:bookmarkStart w:id="299" w:name="_Toc165023859"/>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4.4　保洁服务</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4.4.1</w:t>
      </w:r>
      <w:r>
        <w:rPr>
          <w:rFonts w:hint="eastAsia" w:ascii="仿宋_GB2312" w:hAnsi="仿宋_GB2312" w:eastAsia="仿宋_GB2312" w:cs="仿宋_GB2312"/>
          <w:sz w:val="32"/>
          <w:szCs w:val="32"/>
        </w:rPr>
        <w:t>　每日对大堂地面、信报箱、门禁系统设备等擦拭1次、巡视保洁2次，保持无垃圾、无灰尘、无污渍。</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4.4.2　</w:t>
      </w:r>
      <w:r>
        <w:rPr>
          <w:rFonts w:hint="eastAsia" w:ascii="仿宋_GB2312" w:hAnsi="仿宋_GB2312" w:eastAsia="仿宋_GB2312" w:cs="仿宋_GB2312"/>
          <w:spacing w:val="-6"/>
          <w:sz w:val="32"/>
          <w:szCs w:val="32"/>
        </w:rPr>
        <w:t>每季度对楼内灯具除尘1次，无蜘蛛网、无污渍</w:t>
      </w:r>
      <w:r>
        <w:rPr>
          <w:rFonts w:hint="eastAsia" w:ascii="仿宋_GB2312" w:hAnsi="仿宋_GB2312" w:eastAsia="仿宋_GB2312" w:cs="仿宋_GB2312"/>
          <w:sz w:val="32"/>
          <w:szCs w:val="32"/>
        </w:rPr>
        <w:t>。</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4.4.3</w:t>
      </w:r>
      <w:r>
        <w:rPr>
          <w:rFonts w:hint="eastAsia" w:ascii="仿宋_GB2312" w:hAnsi="仿宋_GB2312" w:eastAsia="仿宋_GB2312" w:cs="仿宋_GB2312"/>
          <w:sz w:val="32"/>
          <w:szCs w:val="32"/>
        </w:rPr>
        <w:t>　每周对楼内公共区域及公共卫生间消毒1次，保持空气清新、无异味。</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4.4.4</w:t>
      </w:r>
      <w:r>
        <w:rPr>
          <w:rFonts w:hint="eastAsia" w:ascii="仿宋_GB2312" w:hAnsi="仿宋_GB2312" w:eastAsia="仿宋_GB2312" w:cs="仿宋_GB2312"/>
          <w:sz w:val="32"/>
          <w:szCs w:val="32"/>
        </w:rPr>
        <w:t>　降雨后应对小区内积水路段及时清扫。昼间降雨的，雨停后2小时道路无成片积水；夜间降雨的于次日12：00前道路无成片积水。</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4.4.5</w:t>
      </w:r>
      <w:r>
        <w:rPr>
          <w:rFonts w:hint="eastAsia" w:ascii="仿宋_GB2312" w:hAnsi="仿宋_GB2312" w:eastAsia="仿宋_GB2312" w:cs="仿宋_GB2312"/>
          <w:sz w:val="32"/>
          <w:szCs w:val="32"/>
        </w:rPr>
        <w:t>　降雪后应及时组织清扫积雪，铲除积冰。昼间降雪的，间隔2小时清扫1次主干道路；雪停后4小时内将主干道路、主要出入口地面积雪清扫完毕；夜间降雪应在次日11：00前清扫完主要道路的冰雪。</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4.4.6</w:t>
      </w:r>
      <w:r>
        <w:rPr>
          <w:rFonts w:hint="eastAsia" w:ascii="仿宋_GB2312" w:hAnsi="仿宋_GB2312" w:eastAsia="仿宋_GB2312" w:cs="仿宋_GB2312"/>
          <w:sz w:val="32"/>
          <w:szCs w:val="32"/>
        </w:rPr>
        <w:t>　根据生活垃圾分类相关要求，在规定地点设置生活垃圾收集容器，有明确的分类标识，摆放整齐，日产日清。</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4.4.7</w:t>
      </w:r>
      <w:r>
        <w:rPr>
          <w:rFonts w:hint="eastAsia" w:ascii="仿宋_GB2312" w:hAnsi="仿宋_GB2312" w:eastAsia="仿宋_GB2312" w:cs="仿宋_GB2312"/>
          <w:sz w:val="32"/>
          <w:szCs w:val="32"/>
        </w:rPr>
        <w:t>　每2日对生活垃圾收集容器消杀1次；每半月对生活垃圾暂存点、装修垃圾暂存点、雨污水井、化粪池等实施消杀1次。</w:t>
      </w:r>
    </w:p>
    <w:p>
      <w:pPr>
        <w:spacing w:line="600" w:lineRule="exact"/>
        <w:ind w:firstLine="640" w:firstLineChars="200"/>
        <w:rPr>
          <w:rFonts w:ascii="仿宋_GB2312" w:hAnsi="仿宋_GB2312" w:eastAsia="仿宋_GB2312" w:cs="仿宋_GB2312"/>
          <w:sz w:val="32"/>
          <w:szCs w:val="32"/>
        </w:rPr>
      </w:pPr>
      <w:bookmarkStart w:id="300" w:name="_Toc172721059"/>
      <w:bookmarkStart w:id="301" w:name="_Toc136295221"/>
      <w:bookmarkStart w:id="302" w:name="_Toc172721165"/>
      <w:bookmarkStart w:id="303" w:name="_Toc136187297"/>
      <w:bookmarkStart w:id="304" w:name="_Toc136299835"/>
      <w:bookmarkStart w:id="305" w:name="_Toc136295412"/>
      <w:bookmarkStart w:id="306" w:name="_Toc136438074"/>
      <w:bookmarkStart w:id="307" w:name="_Toc165024162"/>
      <w:bookmarkStart w:id="308" w:name="_Toc136438274"/>
      <w:bookmarkStart w:id="309" w:name="_Toc165024017"/>
      <w:bookmarkStart w:id="310" w:name="_Toc136301201"/>
      <w:bookmarkStart w:id="311" w:name="_Toc136241069"/>
      <w:bookmarkStart w:id="312" w:name="_Toc166314075"/>
      <w:bookmarkStart w:id="313" w:name="_Toc172720958"/>
      <w:bookmarkStart w:id="314" w:name="_Toc136240008"/>
      <w:bookmarkStart w:id="315" w:name="_Toc136300033"/>
      <w:bookmarkStart w:id="316" w:name="_Toc172725488"/>
      <w:bookmarkStart w:id="317" w:name="_Toc136294813"/>
      <w:bookmarkStart w:id="318" w:name="_Toc165023865"/>
      <w:bookmarkStart w:id="319" w:name="_Toc166313518"/>
      <w:bookmarkStart w:id="320" w:name="_Toc136189441"/>
      <w:bookmarkStart w:id="321" w:name="_Toc136426475"/>
      <w:bookmarkStart w:id="322" w:name="_Toc166320499"/>
      <w:bookmarkStart w:id="323" w:name="_Toc136240933"/>
      <w:bookmarkStart w:id="324" w:name="_Toc165024397"/>
    </w:p>
    <w:p>
      <w:pPr>
        <w:spacing w:line="60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4.5　绿化服务</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spacing w:line="600" w:lineRule="exact"/>
        <w:ind w:firstLine="643" w:firstLineChars="200"/>
        <w:rPr>
          <w:rFonts w:ascii="仿宋_GB2312" w:hAnsi="仿宋_GB2312" w:eastAsia="仿宋_GB2312" w:cs="仿宋_GB2312"/>
          <w:sz w:val="32"/>
          <w:szCs w:val="32"/>
        </w:rPr>
      </w:pPr>
      <w:bookmarkStart w:id="325" w:name="_Toc166320500"/>
      <w:bookmarkStart w:id="326" w:name="_Toc165023866"/>
      <w:bookmarkStart w:id="327" w:name="_Toc136189442"/>
      <w:bookmarkStart w:id="328" w:name="_Toc136426476"/>
      <w:bookmarkStart w:id="329" w:name="_Toc136438075"/>
      <w:bookmarkStart w:id="330" w:name="_Toc136241070"/>
      <w:bookmarkStart w:id="331" w:name="_Toc165024018"/>
      <w:bookmarkStart w:id="332" w:name="_Toc136295222"/>
      <w:bookmarkStart w:id="333" w:name="_Toc136294814"/>
      <w:bookmarkStart w:id="334" w:name="_Toc165024163"/>
      <w:bookmarkStart w:id="335" w:name="_Toc165024398"/>
      <w:bookmarkStart w:id="336" w:name="_Toc166314076"/>
      <w:bookmarkStart w:id="337" w:name="_Toc136301202"/>
      <w:bookmarkStart w:id="338" w:name="_Toc136187298"/>
      <w:bookmarkStart w:id="339" w:name="_Toc136299836"/>
      <w:bookmarkStart w:id="340" w:name="_Toc166313519"/>
      <w:bookmarkStart w:id="341" w:name="_Toc136240009"/>
      <w:bookmarkStart w:id="342" w:name="_Toc136438275"/>
      <w:bookmarkStart w:id="343" w:name="_Toc136300034"/>
      <w:bookmarkStart w:id="344" w:name="_Toc136295413"/>
      <w:bookmarkStart w:id="345" w:name="_Toc136240934"/>
      <w:r>
        <w:rPr>
          <w:rFonts w:hint="eastAsia" w:ascii="仿宋_GB2312" w:hAnsi="仿宋_GB2312" w:eastAsia="仿宋_GB2312" w:cs="仿宋_GB2312"/>
          <w:b/>
          <w:bCs/>
          <w:sz w:val="32"/>
          <w:szCs w:val="32"/>
        </w:rPr>
        <w:t>4.5.1</w:t>
      </w:r>
      <w:r>
        <w:rPr>
          <w:rFonts w:hint="eastAsia" w:ascii="仿宋_GB2312" w:hAnsi="仿宋_GB2312" w:eastAsia="仿宋_GB2312" w:cs="仿宋_GB2312"/>
          <w:sz w:val="32"/>
          <w:szCs w:val="32"/>
        </w:rPr>
        <w:t>　有专业人员对住宅小区实施绿化养护管理；编制每月化养护措施和工作计划；应有电子版绿化苗木台账，绿化档案全面、准确。</w:t>
      </w:r>
    </w:p>
    <w:p>
      <w:pPr>
        <w:spacing w:line="600" w:lineRule="exact"/>
        <w:ind w:firstLine="643" w:firstLineChars="200"/>
        <w:jc w:val="center"/>
        <w:outlineLvl w:val="9"/>
        <w:rPr>
          <w:rFonts w:ascii="黑体" w:hAnsi="黑体" w:eastAsia="黑体" w:cs="仿宋_GB2312"/>
          <w:bCs/>
          <w:sz w:val="32"/>
          <w:szCs w:val="32"/>
        </w:rPr>
      </w:pPr>
      <w:r>
        <w:rPr>
          <w:rFonts w:hint="eastAsia" w:ascii="仿宋_GB2312" w:hAnsi="仿宋_GB2312" w:eastAsia="仿宋_GB2312" w:cs="仿宋_GB2312"/>
          <w:b/>
          <w:bCs/>
          <w:sz w:val="32"/>
          <w:szCs w:val="32"/>
        </w:rPr>
        <w:t>4.5.2</w:t>
      </w:r>
      <w:r>
        <w:rPr>
          <w:rFonts w:hint="eastAsia" w:ascii="仿宋_GB2312" w:hAnsi="仿宋_GB2312" w:eastAsia="仿宋_GB2312" w:cs="仿宋_GB2312"/>
          <w:sz w:val="32"/>
          <w:szCs w:val="32"/>
        </w:rPr>
        <w:t>　有浇灌计划，合理组织浇灌；采用节水灌溉设备和措施，保证水分下渗充足且均匀；充分利用雨水资源进行浇灌；在萌芽前浇灌返青水，入冬前浇灌上冻水。其他时间根据植物种类、生长情况和土壤墒情合理安排灌溉。</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sz w:val="32"/>
          <w:szCs w:val="32"/>
        </w:rPr>
        <w:br w:type="page"/>
      </w:r>
      <w:r>
        <w:rPr>
          <w:rFonts w:hint="eastAsia" w:ascii="黑体" w:hAnsi="黑体" w:eastAsia="黑体" w:cs="仿宋_GB2312"/>
          <w:bCs/>
          <w:sz w:val="44"/>
          <w:szCs w:val="44"/>
        </w:rPr>
        <w:t>引用标准名录</w:t>
      </w:r>
      <w:bookmarkEnd w:id="223"/>
      <w:bookmarkEnd w:id="224"/>
      <w:bookmarkEnd w:id="225"/>
      <w:bookmarkEnd w:id="226"/>
      <w:bookmarkEnd w:id="227"/>
    </w:p>
    <w:p>
      <w:pPr>
        <w:spacing w:line="600" w:lineRule="exact"/>
        <w:jc w:val="center"/>
        <w:outlineLvl w:val="1"/>
        <w:rPr>
          <w:rFonts w:ascii="仿宋_GB2312" w:hAnsi="仿宋_GB2312" w:eastAsia="仿宋_GB2312" w:cs="仿宋_GB2312"/>
          <w:b/>
          <w:bCs/>
          <w:sz w:val="32"/>
          <w:szCs w:val="32"/>
        </w:rPr>
      </w:pPr>
    </w:p>
    <w:p>
      <w:pPr>
        <w:spacing w:line="600" w:lineRule="exact"/>
        <w:ind w:firstLine="640" w:firstLineChars="200"/>
        <w:outlineLvl w:val="2"/>
        <w:rPr>
          <w:rFonts w:ascii="仿宋_GB2312" w:hAnsi="仿宋_GB2312" w:eastAsia="仿宋_GB2312" w:cs="仿宋_GB2312"/>
          <w:sz w:val="32"/>
          <w:szCs w:val="32"/>
          <w:shd w:val="clear" w:color="FFFFFF" w:fill="D9D9D9"/>
        </w:rPr>
      </w:pPr>
      <w:bookmarkStart w:id="346" w:name="_Toc7553"/>
      <w:bookmarkStart w:id="347" w:name="_Toc9364"/>
      <w:bookmarkStart w:id="348" w:name="_Toc19242"/>
      <w:r>
        <w:rPr>
          <w:rFonts w:hint="eastAsia" w:ascii="仿宋_GB2312" w:hAnsi="仿宋_GB2312" w:eastAsia="仿宋_GB2312" w:cs="仿宋_GB2312"/>
          <w:sz w:val="32"/>
          <w:szCs w:val="32"/>
        </w:rPr>
        <w:t>1.《城市居住区规划设计标准》</w:t>
      </w:r>
      <w:bookmarkEnd w:id="346"/>
      <w:bookmarkEnd w:id="347"/>
      <w:bookmarkEnd w:id="348"/>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GB 50180）</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2.《住宅设计规范》（GB 50096）</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3.《建筑与市政工程无障碍通用规范》（GB 55019）</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4.《无障碍设计规范》（</w:t>
      </w:r>
      <w:r>
        <w:rPr>
          <w:sz w:val="32"/>
          <w:szCs w:val="32"/>
        </w:rPr>
        <w:fldChar w:fldCharType="begin"/>
      </w:r>
      <w:r>
        <w:rPr>
          <w:sz w:val="32"/>
          <w:szCs w:val="32"/>
        </w:rPr>
        <w:instrText xml:space="preserve"> HYPERLINK "https://baike.baidu.com/item/GB/53933110?fromModule=lemma_inlink" \t "https://baike.baidu.com/item/%E5%9F%8E%E5%B8%82%E9%81%93%E8%B7%AF%E5%92%8C%E5%BB%BA%E7%AD%91%E7%89%A9%E6%97%A0%E9%9A%9C%E7%A2%8D%E8%AE%BE%E8%AE%A1%E8%A7%84%E8%8C%83/_blank" </w:instrText>
      </w:r>
      <w:r>
        <w:rPr>
          <w:sz w:val="32"/>
          <w:szCs w:val="32"/>
        </w:rPr>
        <w:fldChar w:fldCharType="separate"/>
      </w:r>
      <w:r>
        <w:rPr>
          <w:rFonts w:hint="eastAsia" w:ascii="仿宋_GB2312" w:hAnsi="仿宋_GB2312" w:eastAsia="仿宋_GB2312" w:cs="仿宋_GB2312"/>
          <w:sz w:val="32"/>
          <w:szCs w:val="32"/>
        </w:rPr>
        <w:t>GB</w:t>
      </w:r>
      <w:r>
        <w:rPr>
          <w:rFonts w:hint="eastAsia" w:ascii="仿宋_GB2312" w:hAnsi="仿宋_GB2312" w:eastAsia="仿宋_GB2312" w:cs="仿宋_GB2312"/>
          <w:sz w:val="32"/>
          <w:szCs w:val="32"/>
        </w:rPr>
        <w:fldChar w:fldCharType="end"/>
      </w:r>
      <w:r>
        <w:rPr>
          <w:rFonts w:hint="eastAsia" w:ascii="宋体" w:hAnsi="宋体" w:eastAsia="宋体" w:cs="宋体"/>
          <w:sz w:val="32"/>
          <w:szCs w:val="32"/>
        </w:rPr>
        <w:t> </w:t>
      </w:r>
      <w:r>
        <w:rPr>
          <w:rFonts w:hint="eastAsia" w:ascii="仿宋_GB2312" w:hAnsi="仿宋_GB2312" w:eastAsia="仿宋_GB2312" w:cs="仿宋_GB2312"/>
          <w:sz w:val="32"/>
          <w:szCs w:val="32"/>
        </w:rPr>
        <w:t>50763）</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5.《绿色建筑评价标准》（GB/T 50378</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lang w:val="en-US" w:eastAsia="zh-CN"/>
        </w:rPr>
        <w:t xml:space="preserve"> 2024版</w:t>
      </w:r>
      <w:r>
        <w:rPr>
          <w:rFonts w:hint="eastAsia" w:ascii="仿宋_GB2312" w:hAnsi="仿宋_GB2312" w:eastAsia="仿宋_GB2312" w:cs="仿宋_GB2312"/>
          <w:sz w:val="32"/>
          <w:szCs w:val="32"/>
        </w:rPr>
        <w:t>）</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6.《民用建筑供暖通风与空气调节设计规范》</w:t>
      </w:r>
    </w:p>
    <w:p>
      <w:pPr>
        <w:spacing w:line="600" w:lineRule="exact"/>
        <w:ind w:firstLine="960" w:firstLineChars="300"/>
        <w:outlineLvl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rPr>
        <w:t>（GB 50736）</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7.《住宅性能评定标准》（GB/T50362）</w:t>
      </w:r>
    </w:p>
    <w:p>
      <w:pPr>
        <w:spacing w:line="600" w:lineRule="exact"/>
        <w:ind w:firstLine="640" w:firstLineChars="200"/>
        <w:outlineLvl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rPr>
        <w:t>8.《建筑环境通用规范》（GB 55016）</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9.《建筑与市政工程防水通用规范》（GB 55030）</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10.《建筑节能与可再生能源利用通用规范》</w:t>
      </w:r>
    </w:p>
    <w:p>
      <w:pPr>
        <w:spacing w:line="600" w:lineRule="exact"/>
        <w:ind w:firstLine="1120" w:firstLineChars="35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（GB 55015）</w:t>
      </w:r>
    </w:p>
    <w:p>
      <w:pPr>
        <w:spacing w:line="600" w:lineRule="exact"/>
        <w:ind w:firstLine="640" w:firstLineChars="200"/>
        <w:outlineLvl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rPr>
        <w:t>11.《民用建筑隔声设计规范》（</w:t>
      </w:r>
      <w:r>
        <w:rPr>
          <w:sz w:val="32"/>
          <w:szCs w:val="32"/>
        </w:rPr>
        <w:fldChar w:fldCharType="begin"/>
      </w:r>
      <w:r>
        <w:rPr>
          <w:sz w:val="32"/>
          <w:szCs w:val="32"/>
        </w:rPr>
        <w:instrText xml:space="preserve"> HYPERLINK "https://baike.baidu.com/item/GB/53933110?fromModule=lemma_inlink" \t "https://baike.baidu.com/item/%E6%B0%91%E7%94%A8%E5%BB%BA%E7%AD%91%E9%9A%94%E5%A3%B0%E8%AE%BE%E8%AE%A1%E8%A7%84%E8%8C%83/_blank" </w:instrText>
      </w:r>
      <w:r>
        <w:rPr>
          <w:sz w:val="32"/>
          <w:szCs w:val="32"/>
        </w:rPr>
        <w:fldChar w:fldCharType="separate"/>
      </w:r>
      <w:r>
        <w:rPr>
          <w:rFonts w:hint="eastAsia" w:ascii="仿宋_GB2312" w:hAnsi="仿宋_GB2312" w:eastAsia="仿宋_GB2312" w:cs="仿宋_GB2312"/>
          <w:sz w:val="32"/>
          <w:szCs w:val="32"/>
        </w:rPr>
        <w:t>GB</w:t>
      </w:r>
      <w:r>
        <w:rPr>
          <w:rFonts w:hint="eastAsia" w:ascii="仿宋_GB2312" w:hAnsi="仿宋_GB2312" w:eastAsia="仿宋_GB2312" w:cs="仿宋_GB2312"/>
          <w:sz w:val="32"/>
          <w:szCs w:val="32"/>
        </w:rPr>
        <w:fldChar w:fldCharType="end"/>
      </w:r>
      <w:r>
        <w:rPr>
          <w:rFonts w:hint="eastAsia" w:ascii="宋体" w:hAnsi="宋体" w:eastAsia="宋体" w:cs="宋体"/>
          <w:sz w:val="32"/>
          <w:szCs w:val="32"/>
        </w:rPr>
        <w:t> </w:t>
      </w:r>
      <w:r>
        <w:rPr>
          <w:rFonts w:hint="eastAsia" w:ascii="仿宋_GB2312" w:hAnsi="仿宋_GB2312" w:eastAsia="仿宋_GB2312" w:cs="仿宋_GB2312"/>
          <w:sz w:val="32"/>
          <w:szCs w:val="32"/>
        </w:rPr>
        <w:t>50118）</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12.《健康建筑评价标准》（T/ASC 02）</w:t>
      </w:r>
    </w:p>
    <w:p>
      <w:pPr>
        <w:pStyle w:val="4"/>
        <w:spacing w:line="600" w:lineRule="exact"/>
        <w:ind w:firstLine="640" w:firstLineChars="200"/>
        <w:jc w:val="both"/>
        <w:rPr>
          <w:rFonts w:ascii="仿宋_GB2312" w:hAnsi="仿宋_GB2312" w:eastAsia="仿宋_GB2312" w:cs="仿宋_GB2312"/>
          <w:sz w:val="32"/>
          <w:szCs w:val="32"/>
        </w:rPr>
      </w:pPr>
      <w:bookmarkStart w:id="349" w:name="_Toc19845"/>
      <w:bookmarkStart w:id="350" w:name="_Toc4368"/>
      <w:bookmarkStart w:id="351" w:name="_Toc12546"/>
      <w:r>
        <w:rPr>
          <w:rFonts w:hint="eastAsia" w:ascii="仿宋_GB2312" w:hAnsi="仿宋_GB2312" w:eastAsia="仿宋_GB2312" w:cs="仿宋_GB2312"/>
          <w:sz w:val="32"/>
          <w:szCs w:val="32"/>
        </w:rPr>
        <w:t>13.《海绵城市建设设计标准》（DB15/T3422）</w:t>
      </w:r>
    </w:p>
    <w:bookmarkEnd w:id="349"/>
    <w:bookmarkEnd w:id="350"/>
    <w:bookmarkEnd w:id="351"/>
    <w:p>
      <w:pPr>
        <w:pStyle w:val="3"/>
        <w:shd w:val="clear" w:color="auto" w:fill="FFFFFF"/>
        <w:spacing w:beforeAutospacing="0" w:afterAutospacing="0" w:line="600" w:lineRule="exact"/>
        <w:ind w:firstLine="640" w:firstLineChars="200"/>
        <w:jc w:val="both"/>
        <w:rPr>
          <w:rFonts w:hint="default" w:ascii="仿宋_GB2312" w:hAnsi="仿宋_GB2312" w:eastAsia="仿宋_GB2312" w:cs="仿宋_GB2312"/>
          <w:b w:val="0"/>
          <w:kern w:val="2"/>
          <w:sz w:val="32"/>
          <w:szCs w:val="32"/>
        </w:rPr>
      </w:pPr>
      <w:r>
        <w:rPr>
          <w:rFonts w:ascii="仿宋_GB2312" w:hAnsi="仿宋_GB2312" w:eastAsia="仿宋_GB2312" w:cs="仿宋_GB2312"/>
          <w:b w:val="0"/>
          <w:kern w:val="2"/>
          <w:sz w:val="32"/>
          <w:szCs w:val="32"/>
        </w:rPr>
        <w:t>14.《健康建筑设计标准》（DB11/2101）</w:t>
      </w:r>
    </w:p>
    <w:p>
      <w:pPr>
        <w:spacing w:line="600" w:lineRule="exact"/>
        <w:ind w:firstLine="640" w:firstLineChars="200"/>
        <w:outlineLvl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rPr>
        <w:t>15.《绿色建筑评价标准》（DB15/T2817）</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16.《居住物业管理服务规范》（DB15/T 970-2024）</w:t>
      </w:r>
    </w:p>
    <w:p>
      <w:pPr>
        <w:spacing w:line="600" w:lineRule="exact"/>
        <w:outlineLvl w:val="2"/>
        <w:rPr>
          <w:rStyle w:val="9"/>
          <w:rFonts w:ascii="仿宋_GB2312" w:hAnsi="仿宋_GB2312" w:eastAsia="仿宋_GB2312" w:cs="仿宋_GB2312"/>
          <w:color w:val="auto"/>
          <w:sz w:val="32"/>
          <w:szCs w:val="32"/>
          <w:lang w:bidi="ar"/>
        </w:rPr>
      </w:pPr>
    </w:p>
    <w:p>
      <w:pPr>
        <w:widowControl/>
        <w:spacing w:line="240" w:lineRule="auto"/>
        <w:jc w:val="left"/>
        <w:rPr>
          <w:rStyle w:val="9"/>
          <w:rFonts w:hAnsi="黑体" w:cs="仿宋_GB2312"/>
          <w:b w:val="0"/>
          <w:color w:val="auto"/>
          <w:sz w:val="32"/>
          <w:szCs w:val="32"/>
          <w:lang w:bidi="ar"/>
        </w:rPr>
      </w:pPr>
      <w:bookmarkStart w:id="352" w:name="_Toc11721"/>
      <w:r>
        <w:rPr>
          <w:rStyle w:val="9"/>
          <w:rFonts w:hAnsi="黑体" w:cs="仿宋_GB2312"/>
          <w:b w:val="0"/>
          <w:color w:val="auto"/>
          <w:sz w:val="32"/>
          <w:szCs w:val="32"/>
          <w:lang w:bidi="ar"/>
        </w:rPr>
        <w:br w:type="page"/>
      </w:r>
      <w:r>
        <w:rPr>
          <w:rStyle w:val="9"/>
          <w:rFonts w:hint="eastAsia" w:hAnsi="黑体" w:cs="仿宋_GB2312"/>
          <w:b w:val="0"/>
          <w:color w:val="auto"/>
          <w:sz w:val="32"/>
          <w:szCs w:val="32"/>
          <w:lang w:bidi="ar"/>
        </w:rPr>
        <w:t>附表</w:t>
      </w:r>
    </w:p>
    <w:p>
      <w:pPr>
        <w:spacing w:line="600" w:lineRule="exact"/>
        <w:jc w:val="center"/>
        <w:rPr>
          <w:rStyle w:val="9"/>
          <w:rFonts w:ascii="方正小标宋简体" w:hAnsi="仿宋_GB2312" w:eastAsia="方正小标宋简体" w:cs="仿宋_GB2312"/>
          <w:b w:val="0"/>
          <w:color w:val="auto"/>
          <w:sz w:val="44"/>
          <w:szCs w:val="36"/>
          <w:lang w:bidi="ar"/>
        </w:rPr>
      </w:pPr>
      <w:bookmarkStart w:id="353" w:name="_Toc8248"/>
      <w:r>
        <w:rPr>
          <w:rStyle w:val="9"/>
          <w:rFonts w:hint="eastAsia" w:ascii="方正小标宋简体" w:hAnsi="仿宋_GB2312" w:eastAsia="方正小标宋简体" w:cs="仿宋_GB2312"/>
          <w:b w:val="0"/>
          <w:color w:val="auto"/>
          <w:sz w:val="44"/>
          <w:szCs w:val="36"/>
          <w:lang w:bidi="ar"/>
        </w:rPr>
        <w:t>住宅面积与功能配置标准建议</w:t>
      </w:r>
      <w:bookmarkEnd w:id="352"/>
      <w:bookmarkEnd w:id="353"/>
    </w:p>
    <w:tbl>
      <w:tblPr>
        <w:tblStyle w:val="7"/>
        <w:tblW w:w="9529" w:type="dxa"/>
        <w:jc w:val="center"/>
        <w:tblLayout w:type="fixed"/>
        <w:tblCellMar>
          <w:top w:w="0" w:type="dxa"/>
          <w:left w:w="108" w:type="dxa"/>
          <w:bottom w:w="0" w:type="dxa"/>
          <w:right w:w="108" w:type="dxa"/>
        </w:tblCellMar>
      </w:tblPr>
      <w:tblGrid>
        <w:gridCol w:w="1418"/>
        <w:gridCol w:w="1418"/>
        <w:gridCol w:w="1418"/>
        <w:gridCol w:w="1418"/>
        <w:gridCol w:w="1418"/>
        <w:gridCol w:w="1418"/>
        <w:gridCol w:w="1021"/>
      </w:tblGrid>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黑体" w:hAnsi="黑体" w:eastAsia="黑体" w:cs="Arial"/>
                <w:sz w:val="24"/>
              </w:rPr>
            </w:pPr>
            <w:r>
              <w:rPr>
                <w:rStyle w:val="10"/>
                <w:rFonts w:ascii="黑体" w:hAnsi="黑体" w:eastAsia="黑体"/>
                <w:color w:val="auto"/>
                <w:sz w:val="24"/>
                <w:szCs w:val="24"/>
                <w:lang w:bidi="ar"/>
              </w:rPr>
              <w:t>类型</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黑体" w:hAnsi="黑体" w:eastAsia="黑体" w:cs="Arial"/>
                <w:sz w:val="24"/>
              </w:rPr>
            </w:pPr>
            <w:r>
              <w:rPr>
                <w:rStyle w:val="10"/>
                <w:rFonts w:ascii="黑体" w:hAnsi="黑体" w:eastAsia="黑体"/>
                <w:color w:val="auto"/>
                <w:sz w:val="24"/>
                <w:szCs w:val="24"/>
                <w:lang w:bidi="ar"/>
              </w:rPr>
              <w:t>经济型两居</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黑体" w:hAnsi="黑体" w:eastAsia="黑体" w:cs="Arial"/>
                <w:sz w:val="24"/>
              </w:rPr>
            </w:pPr>
            <w:r>
              <w:rPr>
                <w:rStyle w:val="10"/>
                <w:rFonts w:hint="eastAsia" w:ascii="黑体" w:hAnsi="黑体" w:eastAsia="黑体"/>
                <w:color w:val="auto"/>
                <w:sz w:val="24"/>
                <w:szCs w:val="24"/>
                <w:lang w:bidi="ar"/>
              </w:rPr>
              <w:t>舒</w:t>
            </w:r>
            <w:r>
              <w:rPr>
                <w:rStyle w:val="10"/>
                <w:rFonts w:ascii="黑体" w:hAnsi="黑体" w:eastAsia="黑体"/>
                <w:color w:val="auto"/>
                <w:sz w:val="24"/>
                <w:szCs w:val="24"/>
                <w:lang w:bidi="ar"/>
              </w:rPr>
              <w:t>适型两居</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Style w:val="10"/>
                <w:rFonts w:ascii="黑体" w:hAnsi="黑体" w:eastAsia="黑体"/>
                <w:color w:val="auto"/>
                <w:sz w:val="24"/>
                <w:szCs w:val="24"/>
                <w:lang w:bidi="ar"/>
              </w:rPr>
            </w:pPr>
            <w:r>
              <w:rPr>
                <w:rStyle w:val="10"/>
                <w:rFonts w:ascii="黑体" w:hAnsi="黑体" w:eastAsia="黑体"/>
                <w:color w:val="auto"/>
                <w:sz w:val="24"/>
                <w:szCs w:val="24"/>
                <w:lang w:bidi="ar"/>
              </w:rPr>
              <w:t>经济型</w:t>
            </w:r>
          </w:p>
          <w:p>
            <w:pPr>
              <w:spacing w:line="360" w:lineRule="exact"/>
              <w:jc w:val="center"/>
              <w:textAlignment w:val="center"/>
              <w:rPr>
                <w:rFonts w:ascii="黑体" w:hAnsi="黑体" w:eastAsia="黑体" w:cs="Arial"/>
                <w:sz w:val="24"/>
              </w:rPr>
            </w:pPr>
            <w:r>
              <w:rPr>
                <w:rStyle w:val="10"/>
                <w:rFonts w:ascii="黑体" w:hAnsi="黑体" w:eastAsia="黑体"/>
                <w:color w:val="auto"/>
                <w:sz w:val="24"/>
                <w:szCs w:val="24"/>
                <w:lang w:bidi="ar"/>
              </w:rPr>
              <w:t>三居</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Style w:val="10"/>
                <w:rFonts w:ascii="黑体" w:hAnsi="黑体" w:eastAsia="黑体"/>
                <w:color w:val="auto"/>
                <w:sz w:val="24"/>
                <w:szCs w:val="24"/>
                <w:lang w:bidi="ar"/>
              </w:rPr>
            </w:pPr>
            <w:r>
              <w:rPr>
                <w:rStyle w:val="10"/>
                <w:rFonts w:ascii="黑体" w:hAnsi="黑体" w:eastAsia="黑体"/>
                <w:color w:val="auto"/>
                <w:sz w:val="24"/>
                <w:szCs w:val="24"/>
                <w:lang w:bidi="ar"/>
              </w:rPr>
              <w:t>舒</w:t>
            </w:r>
            <w:r>
              <w:rPr>
                <w:rStyle w:val="10"/>
                <w:rFonts w:hint="eastAsia" w:ascii="黑体" w:hAnsi="黑体" w:eastAsia="黑体"/>
                <w:color w:val="auto"/>
                <w:sz w:val="24"/>
                <w:szCs w:val="24"/>
                <w:lang w:bidi="ar"/>
              </w:rPr>
              <w:t>适</w:t>
            </w:r>
            <w:r>
              <w:rPr>
                <w:rStyle w:val="10"/>
                <w:rFonts w:ascii="黑体" w:hAnsi="黑体" w:eastAsia="黑体"/>
                <w:color w:val="auto"/>
                <w:sz w:val="24"/>
                <w:szCs w:val="24"/>
                <w:lang w:bidi="ar"/>
              </w:rPr>
              <w:t>型</w:t>
            </w:r>
          </w:p>
          <w:p>
            <w:pPr>
              <w:spacing w:line="360" w:lineRule="exact"/>
              <w:jc w:val="center"/>
              <w:textAlignment w:val="center"/>
              <w:rPr>
                <w:rFonts w:ascii="黑体" w:hAnsi="黑体" w:eastAsia="黑体" w:cs="Arial"/>
                <w:sz w:val="24"/>
              </w:rPr>
            </w:pPr>
            <w:r>
              <w:rPr>
                <w:rStyle w:val="10"/>
                <w:rFonts w:hint="eastAsia" w:ascii="黑体" w:hAnsi="黑体" w:eastAsia="黑体"/>
                <w:color w:val="auto"/>
                <w:sz w:val="24"/>
                <w:szCs w:val="24"/>
                <w:lang w:bidi="ar"/>
              </w:rPr>
              <w:t>三</w:t>
            </w:r>
            <w:r>
              <w:rPr>
                <w:rStyle w:val="10"/>
                <w:rFonts w:ascii="黑体" w:hAnsi="黑体" w:eastAsia="黑体"/>
                <w:color w:val="auto"/>
                <w:sz w:val="24"/>
                <w:szCs w:val="24"/>
                <w:lang w:bidi="ar"/>
              </w:rPr>
              <w:t>居</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Style w:val="10"/>
                <w:rFonts w:ascii="黑体" w:hAnsi="黑体" w:eastAsia="黑体"/>
                <w:color w:val="auto"/>
                <w:sz w:val="24"/>
                <w:szCs w:val="24"/>
                <w:lang w:bidi="ar"/>
              </w:rPr>
            </w:pPr>
            <w:r>
              <w:rPr>
                <w:rStyle w:val="10"/>
                <w:rFonts w:ascii="黑体" w:hAnsi="黑体" w:eastAsia="黑体"/>
                <w:color w:val="auto"/>
                <w:sz w:val="24"/>
                <w:szCs w:val="24"/>
                <w:lang w:bidi="ar"/>
              </w:rPr>
              <w:t>经济型</w:t>
            </w:r>
          </w:p>
          <w:p>
            <w:pPr>
              <w:spacing w:line="360" w:lineRule="exact"/>
              <w:jc w:val="center"/>
              <w:textAlignment w:val="center"/>
              <w:rPr>
                <w:rFonts w:ascii="黑体" w:hAnsi="黑体" w:eastAsia="黑体" w:cs="Arial"/>
                <w:sz w:val="24"/>
              </w:rPr>
            </w:pPr>
            <w:r>
              <w:rPr>
                <w:rStyle w:val="10"/>
                <w:rFonts w:ascii="黑体" w:hAnsi="黑体" w:eastAsia="黑体"/>
                <w:color w:val="auto"/>
                <w:sz w:val="24"/>
                <w:szCs w:val="24"/>
                <w:lang w:bidi="ar"/>
              </w:rPr>
              <w:t>四居</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Style w:val="10"/>
                <w:rFonts w:ascii="黑体" w:hAnsi="黑体" w:eastAsia="黑体"/>
                <w:color w:val="auto"/>
                <w:sz w:val="24"/>
                <w:szCs w:val="24"/>
                <w:lang w:bidi="ar"/>
              </w:rPr>
            </w:pPr>
            <w:r>
              <w:rPr>
                <w:rStyle w:val="10"/>
                <w:rFonts w:ascii="黑体" w:hAnsi="黑体" w:eastAsia="黑体"/>
                <w:color w:val="auto"/>
                <w:sz w:val="24"/>
                <w:szCs w:val="24"/>
                <w:lang w:bidi="ar"/>
              </w:rPr>
              <w:t>舒适型</w:t>
            </w:r>
          </w:p>
          <w:p>
            <w:pPr>
              <w:spacing w:line="360" w:lineRule="exact"/>
              <w:jc w:val="center"/>
              <w:textAlignment w:val="center"/>
              <w:rPr>
                <w:rFonts w:ascii="黑体" w:hAnsi="黑体" w:eastAsia="黑体" w:cs="Arial"/>
                <w:sz w:val="24"/>
              </w:rPr>
            </w:pPr>
            <w:r>
              <w:rPr>
                <w:rStyle w:val="10"/>
                <w:rFonts w:ascii="黑体" w:hAnsi="黑体" w:eastAsia="黑体"/>
                <w:color w:val="auto"/>
                <w:sz w:val="24"/>
                <w:szCs w:val="24"/>
                <w:lang w:bidi="ar"/>
              </w:rPr>
              <w:t>四居</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Style w:val="10"/>
                <w:rFonts w:ascii="宋体" w:hAnsi="宋体" w:eastAsia="宋体"/>
                <w:color w:val="auto"/>
                <w:sz w:val="21"/>
                <w:szCs w:val="21"/>
                <w:lang w:bidi="ar"/>
              </w:rPr>
            </w:pPr>
            <w:r>
              <w:rPr>
                <w:rStyle w:val="10"/>
                <w:rFonts w:ascii="宋体" w:hAnsi="宋体" w:eastAsia="宋体"/>
                <w:color w:val="auto"/>
                <w:sz w:val="21"/>
                <w:szCs w:val="21"/>
                <w:lang w:bidi="ar"/>
              </w:rPr>
              <w:t>建议套型</w:t>
            </w:r>
          </w:p>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建筑面积</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61-79 m'</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80-109 m'</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80-109m'</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110-149 m'</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110-149 m'</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150m'及以上</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auto" w:sz="4" w:space="0"/>
            </w:tcBorders>
            <w:noWrap w:val="0"/>
            <w:vAlign w:val="center"/>
          </w:tcPr>
          <w:p>
            <w:pPr>
              <w:spacing w:line="360" w:lineRule="exact"/>
              <w:jc w:val="center"/>
              <w:textAlignment w:val="center"/>
              <w:rPr>
                <w:rStyle w:val="10"/>
                <w:rFonts w:ascii="宋体" w:hAnsi="宋体" w:eastAsia="宋体"/>
                <w:color w:val="auto"/>
                <w:sz w:val="21"/>
                <w:szCs w:val="21"/>
                <w:lang w:bidi="ar"/>
              </w:rPr>
            </w:pPr>
            <w:r>
              <w:rPr>
                <w:rStyle w:val="10"/>
                <w:rFonts w:ascii="宋体" w:hAnsi="宋体" w:eastAsia="宋体"/>
                <w:color w:val="auto"/>
                <w:sz w:val="21"/>
                <w:szCs w:val="21"/>
                <w:lang w:bidi="ar"/>
              </w:rPr>
              <w:t>建议层高</w:t>
            </w:r>
          </w:p>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下限</w:t>
            </w:r>
          </w:p>
        </w:tc>
        <w:tc>
          <w:tcPr>
            <w:tcW w:w="1418" w:type="dxa"/>
            <w:tcBorders>
              <w:top w:val="single" w:color="000000" w:sz="4" w:space="0"/>
              <w:left w:val="single" w:color="auto" w:sz="4" w:space="0"/>
              <w:bottom w:val="single" w:color="000000" w:sz="4" w:space="0"/>
              <w:right w:val="single" w:color="auto" w:sz="4" w:space="0"/>
            </w:tcBorders>
            <w:noWrap w:val="0"/>
            <w:vAlign w:val="center"/>
          </w:tcPr>
          <w:p>
            <w:pPr>
              <w:spacing w:line="360" w:lineRule="exact"/>
              <w:jc w:val="center"/>
              <w:textAlignment w:val="center"/>
              <w:rPr>
                <w:rStyle w:val="10"/>
                <w:rFonts w:ascii="宋体" w:hAnsi="宋体" w:eastAsia="宋体"/>
                <w:color w:val="auto"/>
                <w:sz w:val="21"/>
                <w:szCs w:val="21"/>
                <w:lang w:bidi="ar"/>
              </w:rPr>
            </w:pPr>
            <w:r>
              <w:rPr>
                <w:rFonts w:hint="eastAsia" w:ascii="宋体" w:hAnsi="宋体" w:cs="宋体"/>
                <w:kern w:val="0"/>
                <w:szCs w:val="21"/>
                <w:lang w:bidi="ar"/>
              </w:rPr>
              <w:t>2.9m</w:t>
            </w:r>
          </w:p>
        </w:tc>
        <w:tc>
          <w:tcPr>
            <w:tcW w:w="2836"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360" w:lineRule="exact"/>
              <w:jc w:val="center"/>
              <w:textAlignment w:val="center"/>
              <w:rPr>
                <w:rFonts w:ascii="宋体" w:hAnsi="宋体" w:cs="宋体"/>
                <w:kern w:val="0"/>
                <w:szCs w:val="21"/>
                <w:lang w:bidi="ar"/>
              </w:rPr>
            </w:pPr>
            <w:r>
              <w:rPr>
                <w:rFonts w:hint="eastAsia" w:ascii="宋体" w:hAnsi="宋体" w:cs="宋体"/>
                <w:kern w:val="0"/>
                <w:szCs w:val="21"/>
                <w:lang w:bidi="ar"/>
              </w:rPr>
              <w:t>3.0m</w:t>
            </w:r>
          </w:p>
        </w:tc>
        <w:tc>
          <w:tcPr>
            <w:tcW w:w="385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宋体"/>
                <w:szCs w:val="21"/>
              </w:rPr>
            </w:pPr>
            <w:r>
              <w:rPr>
                <w:rFonts w:ascii="宋体" w:hAnsi="宋体" w:cs="宋体"/>
                <w:kern w:val="0"/>
                <w:szCs w:val="21"/>
                <w:lang w:bidi="ar"/>
              </w:rPr>
              <w:t>3.1</w:t>
            </w:r>
            <w:r>
              <w:rPr>
                <w:rStyle w:val="10"/>
                <w:rFonts w:ascii="宋体" w:hAnsi="宋体" w:eastAsia="宋体"/>
                <w:color w:val="auto"/>
                <w:sz w:val="21"/>
                <w:szCs w:val="21"/>
                <w:lang w:bidi="ar"/>
              </w:rPr>
              <w:t>m</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客厅</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餐厅</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主卧(双</w:t>
            </w:r>
            <w:r>
              <w:rPr>
                <w:rStyle w:val="10"/>
                <w:rFonts w:hint="eastAsia" w:ascii="宋体" w:hAnsi="宋体" w:eastAsia="宋体"/>
                <w:color w:val="auto"/>
                <w:sz w:val="21"/>
                <w:szCs w:val="21"/>
                <w:lang w:bidi="ar"/>
              </w:rPr>
              <w:t>人</w:t>
            </w:r>
            <w:r>
              <w:rPr>
                <w:rStyle w:val="10"/>
                <w:rFonts w:ascii="宋体" w:hAnsi="宋体" w:eastAsia="宋体"/>
                <w:color w:val="auto"/>
                <w:sz w:val="21"/>
                <w:szCs w:val="21"/>
                <w:lang w:bidi="ar"/>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次卧(双人</w:t>
            </w:r>
            <w:r>
              <w:rPr>
                <w:rStyle w:val="10"/>
                <w:rFonts w:hint="eastAsia" w:ascii="宋体" w:hAnsi="宋体" w:eastAsia="宋体"/>
                <w:color w:val="auto"/>
                <w:sz w:val="21"/>
                <w:szCs w:val="21"/>
                <w:lang w:bidi="ar"/>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次卧(单人)</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Style w:val="10"/>
                <w:rFonts w:ascii="宋体" w:hAnsi="宋体" w:eastAsia="宋体"/>
                <w:color w:val="auto"/>
                <w:sz w:val="21"/>
                <w:szCs w:val="21"/>
                <w:lang w:bidi="ar"/>
              </w:rPr>
            </w:pPr>
            <w:r>
              <w:rPr>
                <w:rStyle w:val="10"/>
                <w:rFonts w:ascii="宋体" w:hAnsi="宋体" w:eastAsia="宋体"/>
                <w:color w:val="auto"/>
                <w:sz w:val="21"/>
                <w:szCs w:val="21"/>
                <w:lang w:bidi="ar"/>
              </w:rPr>
              <w:t>次卧(单人)</w:t>
            </w:r>
          </w:p>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或书房</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其他多功能    房间</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公卫(客卫</w:t>
            </w:r>
            <w:r>
              <w:rPr>
                <w:rStyle w:val="10"/>
                <w:rFonts w:hint="eastAsia" w:ascii="宋体" w:hAnsi="宋体" w:eastAsia="宋体"/>
                <w:color w:val="auto"/>
                <w:sz w:val="21"/>
                <w:szCs w:val="21"/>
                <w:lang w:bidi="ar"/>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Style w:val="10"/>
                <w:rFonts w:ascii="宋体" w:hAnsi="宋体" w:eastAsia="宋体"/>
                <w:color w:val="auto"/>
                <w:sz w:val="21"/>
                <w:szCs w:val="21"/>
                <w:lang w:bidi="ar"/>
              </w:rPr>
            </w:pPr>
            <w:r>
              <w:rPr>
                <w:rStyle w:val="10"/>
                <w:rFonts w:ascii="宋体" w:hAnsi="宋体" w:eastAsia="宋体"/>
                <w:color w:val="auto"/>
                <w:sz w:val="21"/>
                <w:szCs w:val="21"/>
                <w:lang w:bidi="ar"/>
              </w:rPr>
              <w:t>主卫</w:t>
            </w:r>
            <w:r>
              <w:rPr>
                <w:rStyle w:val="10"/>
                <w:rFonts w:hint="eastAsia" w:ascii="宋体" w:hAnsi="宋体" w:eastAsia="宋体"/>
                <w:color w:val="auto"/>
                <w:sz w:val="21"/>
                <w:szCs w:val="21"/>
                <w:lang w:bidi="ar"/>
              </w:rPr>
              <w:t>1</w:t>
            </w:r>
          </w:p>
          <w:p>
            <w:pPr>
              <w:spacing w:line="360" w:lineRule="exact"/>
              <w:jc w:val="center"/>
              <w:textAlignment w:val="center"/>
              <w:rPr>
                <w:rFonts w:ascii="宋体" w:hAnsi="宋体" w:cs="Arial"/>
                <w:szCs w:val="21"/>
              </w:rPr>
            </w:pPr>
            <w:r>
              <w:rPr>
                <w:rStyle w:val="10"/>
                <w:rFonts w:hint="eastAsia" w:ascii="宋体" w:hAnsi="宋体" w:eastAsia="宋体"/>
                <w:color w:val="auto"/>
                <w:sz w:val="21"/>
                <w:szCs w:val="21"/>
                <w:lang w:bidi="ar"/>
              </w:rPr>
              <w:t>（无障碍）</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Style w:val="10"/>
                <w:rFonts w:ascii="宋体" w:hAnsi="宋体" w:eastAsia="宋体"/>
                <w:color w:val="auto"/>
                <w:sz w:val="21"/>
                <w:szCs w:val="21"/>
                <w:lang w:bidi="ar"/>
              </w:rPr>
            </w:pPr>
            <w:r>
              <w:rPr>
                <w:rStyle w:val="10"/>
                <w:rFonts w:ascii="宋体" w:hAnsi="宋体" w:eastAsia="宋体"/>
                <w:color w:val="auto"/>
                <w:sz w:val="21"/>
                <w:szCs w:val="21"/>
                <w:lang w:bidi="ar"/>
              </w:rPr>
              <w:t>主卫2</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hint="eastAsia" w:ascii="宋体" w:hAnsi="宋体" w:eastAsia="宋体"/>
                <w:color w:val="auto"/>
                <w:sz w:val="21"/>
                <w:szCs w:val="21"/>
                <w:lang w:bidi="ar"/>
              </w:rPr>
              <w:t>同层排水</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厨房</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ottom"/>
              <w:rPr>
                <w:rFonts w:ascii="宋体" w:hAnsi="宋体" w:cs="Arial"/>
                <w:szCs w:val="21"/>
              </w:rPr>
            </w:pPr>
            <w:r>
              <w:rPr>
                <w:rStyle w:val="10"/>
                <w:rFonts w:hint="eastAsia" w:ascii="宋体" w:hAnsi="宋体" w:eastAsia="宋体"/>
                <w:color w:val="auto"/>
                <w:sz w:val="21"/>
                <w:szCs w:val="21"/>
                <w:lang w:bidi="ar"/>
              </w:rPr>
              <w:t>中</w:t>
            </w:r>
            <w:r>
              <w:rPr>
                <w:rStyle w:val="10"/>
                <w:rFonts w:ascii="宋体" w:hAnsi="宋体" w:eastAsia="宋体"/>
                <w:color w:val="auto"/>
                <w:sz w:val="21"/>
                <w:szCs w:val="21"/>
                <w:lang w:bidi="ar"/>
              </w:rPr>
              <w:t>西厨分离</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Style w:val="10"/>
                <w:rFonts w:ascii="宋体" w:hAnsi="宋体" w:eastAsia="宋体"/>
                <w:color w:val="auto"/>
                <w:sz w:val="21"/>
                <w:szCs w:val="21"/>
                <w:lang w:bidi="ar"/>
              </w:rPr>
              <w:t>阳台</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仿宋_GB2312"/>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ottom"/>
              <w:rPr>
                <w:rStyle w:val="10"/>
                <w:rFonts w:ascii="宋体" w:hAnsi="宋体" w:eastAsia="宋体"/>
                <w:color w:val="auto"/>
                <w:sz w:val="21"/>
                <w:szCs w:val="21"/>
                <w:lang w:bidi="ar"/>
              </w:rPr>
            </w:pPr>
            <w:r>
              <w:rPr>
                <w:rStyle w:val="10"/>
                <w:rFonts w:ascii="宋体" w:hAnsi="宋体" w:eastAsia="宋体"/>
                <w:color w:val="auto"/>
                <w:sz w:val="21"/>
                <w:szCs w:val="21"/>
                <w:lang w:bidi="ar"/>
              </w:rPr>
              <w:t>玄关</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ottom"/>
              <w:rPr>
                <w:rStyle w:val="10"/>
                <w:rFonts w:ascii="宋体" w:hAnsi="宋体" w:eastAsia="宋体"/>
                <w:color w:val="auto"/>
                <w:sz w:val="21"/>
                <w:szCs w:val="21"/>
                <w:lang w:bidi="ar"/>
              </w:rPr>
            </w:pPr>
            <w:r>
              <w:rPr>
                <w:rStyle w:val="10"/>
                <w:rFonts w:ascii="宋体" w:hAnsi="宋体" w:eastAsia="宋体"/>
                <w:color w:val="auto"/>
                <w:sz w:val="21"/>
                <w:szCs w:val="21"/>
                <w:lang w:bidi="ar"/>
              </w:rPr>
              <w:t>家政间</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宋体"/>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宋体"/>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ottom"/>
              <w:rPr>
                <w:rStyle w:val="10"/>
                <w:rFonts w:ascii="宋体" w:hAnsi="宋体" w:eastAsia="宋体"/>
                <w:color w:val="auto"/>
                <w:sz w:val="21"/>
                <w:szCs w:val="21"/>
                <w:lang w:bidi="ar"/>
              </w:rPr>
            </w:pPr>
            <w:r>
              <w:rPr>
                <w:rStyle w:val="10"/>
                <w:rFonts w:ascii="宋体" w:hAnsi="宋体" w:eastAsia="宋体"/>
                <w:color w:val="auto"/>
                <w:sz w:val="21"/>
                <w:szCs w:val="21"/>
                <w:lang w:bidi="ar"/>
              </w:rPr>
              <w:t>衣帽间</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宋体"/>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宋体"/>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ottom"/>
              <w:rPr>
                <w:rStyle w:val="10"/>
                <w:rFonts w:ascii="宋体" w:hAnsi="宋体" w:eastAsia="宋体"/>
                <w:color w:val="auto"/>
                <w:sz w:val="21"/>
                <w:szCs w:val="21"/>
                <w:lang w:bidi="ar"/>
              </w:rPr>
            </w:pPr>
            <w:r>
              <w:rPr>
                <w:rStyle w:val="10"/>
                <w:rFonts w:ascii="宋体" w:hAnsi="宋体" w:eastAsia="宋体"/>
                <w:color w:val="auto"/>
                <w:sz w:val="21"/>
                <w:szCs w:val="21"/>
                <w:lang w:bidi="ar"/>
              </w:rPr>
              <w:t>储藏间</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kern w:val="0"/>
                <w:szCs w:val="21"/>
                <w:lang w:bidi="ar"/>
              </w:rPr>
              <w:t>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宋体"/>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r>
      <w:tr>
        <w:tblPrEx>
          <w:tblCellMar>
            <w:top w:w="0" w:type="dxa"/>
            <w:left w:w="108" w:type="dxa"/>
            <w:bottom w:w="0" w:type="dxa"/>
            <w:right w:w="108"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bottom"/>
              <w:rPr>
                <w:rStyle w:val="10"/>
                <w:rFonts w:ascii="宋体" w:hAnsi="宋体" w:eastAsia="宋体"/>
                <w:color w:val="auto"/>
                <w:sz w:val="21"/>
                <w:szCs w:val="21"/>
                <w:lang w:bidi="ar"/>
              </w:rPr>
            </w:pPr>
            <w:r>
              <w:rPr>
                <w:rStyle w:val="10"/>
                <w:rFonts w:ascii="宋体" w:hAnsi="宋体" w:eastAsia="宋体"/>
                <w:color w:val="auto"/>
                <w:sz w:val="21"/>
                <w:szCs w:val="21"/>
                <w:lang w:bidi="ar"/>
              </w:rPr>
              <w:t>其他户内</w:t>
            </w:r>
          </w:p>
          <w:p>
            <w:pPr>
              <w:spacing w:line="360" w:lineRule="exact"/>
              <w:jc w:val="center"/>
              <w:textAlignment w:val="bottom"/>
              <w:rPr>
                <w:rStyle w:val="10"/>
                <w:rFonts w:ascii="宋体" w:hAnsi="宋体" w:eastAsia="宋体"/>
                <w:color w:val="auto"/>
                <w:sz w:val="21"/>
                <w:szCs w:val="21"/>
                <w:lang w:bidi="ar"/>
              </w:rPr>
            </w:pPr>
            <w:r>
              <w:rPr>
                <w:rStyle w:val="10"/>
                <w:rFonts w:ascii="宋体" w:hAnsi="宋体" w:eastAsia="宋体"/>
                <w:color w:val="auto"/>
                <w:sz w:val="21"/>
                <w:szCs w:val="21"/>
                <w:lang w:bidi="ar"/>
              </w:rPr>
              <w:t>弹性空间</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宋体"/>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textAlignment w:val="center"/>
              <w:rPr>
                <w:rFonts w:ascii="宋体" w:hAnsi="宋体" w:cs="宋体"/>
                <w:szCs w:val="21"/>
              </w:rPr>
            </w:pPr>
            <w:r>
              <w:rPr>
                <w:rFonts w:hint="eastAsia" w:ascii="宋体" w:hAnsi="宋体" w:cs="仿宋_GB2312"/>
                <w:szCs w:val="21"/>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Arial"/>
                <w:szCs w:val="21"/>
              </w:rPr>
            </w:pPr>
            <w:r>
              <w:rPr>
                <w:rFonts w:hint="eastAsia" w:ascii="宋体" w:hAnsi="宋体" w:cs="仿宋_GB2312"/>
                <w:szCs w:val="21"/>
              </w:rPr>
              <w:t>○</w:t>
            </w:r>
          </w:p>
        </w:tc>
      </w:tr>
    </w:tbl>
    <w:p>
      <w:bookmarkStart w:id="354" w:name="_GoBack"/>
      <w:bookmarkEnd w:id="354"/>
    </w:p>
    <w:sectPr>
      <w:headerReference r:id="rId5" w:type="default"/>
      <w:footerReference r:id="rId6" w:type="default"/>
      <w:footerReference r:id="rId7" w:type="even"/>
      <w:pgSz w:w="11907" w:h="16840"/>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MTdkYzFlNmRkZDIwZWJhOGE2ZWJkOTBmZDVjMjAifQ=="/>
    <w:docVar w:name="KSO_WPS_MARK_KEY" w:val="3c5345c0-c25d-4ea9-85a6-ae69499d176a"/>
  </w:docVars>
  <w:rsids>
    <w:rsidRoot w:val="1C405A08"/>
    <w:rsid w:val="1C405A08"/>
    <w:rsid w:val="40A9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9">
    <w:name w:val="font31"/>
    <w:basedOn w:val="8"/>
    <w:qFormat/>
    <w:uiPriority w:val="0"/>
    <w:rPr>
      <w:rFonts w:ascii="黑体" w:hAnsi="宋体" w:eastAsia="黑体" w:cs="黑体"/>
      <w:b/>
      <w:bCs/>
      <w:color w:val="000000"/>
      <w:sz w:val="12"/>
      <w:szCs w:val="12"/>
      <w:u w:val="none"/>
    </w:rPr>
  </w:style>
  <w:style w:type="character" w:customStyle="1" w:styleId="10">
    <w:name w:val="font41"/>
    <w:basedOn w:val="8"/>
    <w:qFormat/>
    <w:uiPriority w:val="0"/>
    <w:rPr>
      <w:rFonts w:ascii="宋体" w:hAnsi="宋体" w:eastAsia="宋体" w:cs="宋体"/>
      <w:color w:val="000000"/>
      <w:sz w:val="10"/>
      <w:szCs w:val="1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6668</Words>
  <Characters>7254</Characters>
  <Lines>0</Lines>
  <Paragraphs>0</Paragraphs>
  <TotalTime>0</TotalTime>
  <ScaleCrop>false</ScaleCrop>
  <LinksUpToDate>false</LinksUpToDate>
  <CharactersWithSpaces>7422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2024-09-30T08:45:00Z</dcterms:created>
  <dc:creator>嗯</dc:creator>
  <cp:lastModifiedBy>嗯</cp:lastModifiedBy>
  <dcterms:modified xsi:type="dcterms:W3CDTF">2024-09-30T08:49:26Z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04C5894DAFF447F689E0212E91ED177B_11</vt:lpwstr>
  </property>
</Properties>
</file>