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45"/>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framePr w:wrap="notBeside" w:vAnchor="page" w:hAnchor="page" w:x="1372" w:y="568"/>
              <w:snapToGrid w:val="0"/>
              <w:rPr>
                <w:rFonts w:ascii="黑体" w:hAnsi="黑体" w:eastAsia="黑体" w:cs="Times New Roman"/>
                <w:color w:val="auto"/>
                <w:kern w:val="2"/>
                <w:sz w:val="21"/>
                <w:szCs w:val="21"/>
                <w:lang w:val="en-US"/>
              </w:rPr>
            </w:pPr>
            <w:bookmarkStart w:id="0" w:name="_Hlk171956366"/>
            <w:bookmarkStart w:id="401" w:name="_GoBack"/>
            <w:bookmarkEnd w:id="401"/>
            <w:r>
              <w:rPr>
                <w:rFonts w:ascii="Times New Roman" w:hAnsi="Times New Roman" w:eastAsia="黑体" w:cs="Times New Roman"/>
                <w:color w:val="auto"/>
                <w:kern w:val="2"/>
                <w:sz w:val="21"/>
                <w:szCs w:val="21"/>
                <w:lang w:val="en-US"/>
              </w:rPr>
              <w:t>ICS</w:t>
            </w:r>
            <w:r>
              <w:rPr>
                <w:rFonts w:ascii="黑体" w:hAnsi="黑体" w:eastAsia="黑体" w:cs="Times New Roman"/>
                <w:color w:val="auto"/>
                <w:kern w:val="2"/>
                <w:sz w:val="21"/>
                <w:szCs w:val="21"/>
                <w:lang w:val="en-US"/>
              </w:rPr>
              <w:t xml:space="preserve">  </w:t>
            </w:r>
          </w:p>
        </w:tc>
        <w:tc>
          <w:tcPr>
            <w:tcW w:w="8855" w:type="dxa"/>
          </w:tcPr>
          <w:p>
            <w:pPr>
              <w:framePr w:wrap="notBeside" w:vAnchor="page" w:hAnchor="page" w:x="1372" w:y="568"/>
              <w:snapToGrid w:val="0"/>
              <w:jc w:val="both"/>
              <w:rPr>
                <w:rFonts w:ascii="黑体" w:hAnsi="黑体" w:eastAsia="黑体" w:cs="Times New Roman"/>
                <w:color w:val="auto"/>
                <w:kern w:val="2"/>
                <w:sz w:val="21"/>
                <w:szCs w:val="21"/>
                <w:lang w:val="en-US"/>
              </w:rPr>
            </w:pPr>
            <w:r>
              <w:rPr>
                <w:rFonts w:ascii="黑体" w:hAnsi="黑体" w:eastAsia="黑体" w:cs="Times New Roman"/>
                <w:color w:val="auto"/>
                <w:kern w:val="2"/>
                <w:sz w:val="21"/>
                <w:szCs w:val="21"/>
                <w:lang w:val="en-US"/>
              </w:rPr>
              <w:t>91.080.40</w:t>
            </w:r>
            <w:r>
              <w:rPr>
                <w:rFonts w:ascii="黑体" w:hAnsi="黑体" w:eastAsia="黑体" w:cs="Times New Roman"/>
                <w:color w:val="auto"/>
                <w:kern w:val="2"/>
                <w:sz w:val="21"/>
                <w:szCs w:val="21"/>
                <w:lang w:val="en-US"/>
              </w:rPr>
              <w:fldChar w:fldCharType="begin">
                <w:ffData>
                  <w:name w:val="ICS"/>
                  <w:enabled/>
                  <w:calcOnExit w:val="0"/>
                  <w:textInput>
                    <w:default w:val="点击此处添加ICS号"/>
                  </w:textInput>
                </w:ffData>
              </w:fldChar>
            </w:r>
            <w:bookmarkStart w:id="1" w:name="ICS"/>
            <w:r>
              <w:rPr>
                <w:rFonts w:ascii="黑体" w:hAnsi="黑体" w:eastAsia="黑体" w:cs="Times New Roman"/>
                <w:color w:val="auto"/>
                <w:kern w:val="2"/>
                <w:sz w:val="21"/>
                <w:szCs w:val="21"/>
                <w:lang w:val="en-US"/>
              </w:rPr>
              <w:instrText xml:space="preserve"> FORMTEXT </w:instrText>
            </w:r>
            <w:r>
              <w:rPr>
                <w:rFonts w:ascii="黑体" w:hAnsi="黑体" w:eastAsia="黑体" w:cs="Times New Roman"/>
                <w:color w:val="auto"/>
                <w:kern w:val="2"/>
                <w:sz w:val="21"/>
                <w:szCs w:val="21"/>
                <w:lang w:val="en-US"/>
              </w:rPr>
              <w:fldChar w:fldCharType="separate"/>
            </w:r>
            <w:r>
              <w:rPr>
                <w:rFonts w:ascii="黑体" w:hAnsi="黑体" w:eastAsia="黑体" w:cs="Times New Roman"/>
                <w:color w:val="auto"/>
                <w:kern w:val="2"/>
                <w:sz w:val="21"/>
                <w:szCs w:val="21"/>
                <w:lang w:val="en-US"/>
              </w:rPr>
              <w:t xml:space="preserve"> </w:t>
            </w:r>
            <w:r>
              <w:rPr>
                <w:rFonts w:ascii="黑体" w:hAnsi="黑体" w:eastAsia="黑体" w:cs="Times New Roman"/>
                <w:color w:val="auto"/>
                <w:kern w:val="2"/>
                <w:sz w:val="21"/>
                <w:szCs w:val="21"/>
                <w:lang w:val="en-US"/>
              </w:rPr>
              <w:fldChar w:fldCharType="end"/>
            </w:r>
            <w:bookmarkEnd w:id="1"/>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framePr w:wrap="notBeside" w:vAnchor="page" w:hAnchor="page" w:x="1372" w:y="568"/>
              <w:snapToGrid w:val="0"/>
              <w:spacing w:before="40"/>
              <w:rPr>
                <w:rFonts w:ascii="黑体" w:hAnsi="黑体" w:eastAsia="黑体" w:cs="Times New Roman"/>
                <w:color w:val="auto"/>
                <w:kern w:val="2"/>
                <w:sz w:val="21"/>
                <w:szCs w:val="21"/>
                <w:lang w:val="en-US"/>
              </w:rPr>
            </w:pPr>
            <w:r>
              <w:rPr>
                <w:rFonts w:ascii="Times New Roman" w:hAnsi="Times New Roman" w:eastAsia="黑体" w:cs="Times New Roman"/>
                <w:color w:val="auto"/>
                <w:kern w:val="2"/>
                <w:sz w:val="21"/>
                <w:szCs w:val="21"/>
                <w:lang w:val="en-US"/>
              </w:rPr>
              <w:t xml:space="preserve">CCS </w:t>
            </w:r>
            <w:r>
              <w:rPr>
                <w:rFonts w:ascii="黑体" w:hAnsi="黑体" w:eastAsia="黑体" w:cs="Times New Roman"/>
                <w:color w:val="auto"/>
                <w:kern w:val="2"/>
                <w:sz w:val="21"/>
                <w:szCs w:val="21"/>
                <w:lang w:val="en-US"/>
              </w:rPr>
              <w:t xml:space="preserve"> </w:t>
            </w:r>
          </w:p>
        </w:tc>
        <w:tc>
          <w:tcPr>
            <w:tcW w:w="8855" w:type="dxa"/>
          </w:tcPr>
          <w:p>
            <w:pPr>
              <w:framePr w:wrap="notBeside" w:vAnchor="page" w:hAnchor="page" w:x="1372" w:y="568"/>
              <w:snapToGrid w:val="0"/>
              <w:spacing w:before="40"/>
              <w:rPr>
                <w:rFonts w:ascii="黑体" w:hAnsi="黑体" w:eastAsia="黑体" w:cs="Times New Roman"/>
                <w:color w:val="auto"/>
                <w:kern w:val="2"/>
                <w:sz w:val="21"/>
                <w:szCs w:val="21"/>
                <w:lang w:val="en-US"/>
              </w:rPr>
            </w:pPr>
            <w:r>
              <w:rPr>
                <w:rFonts w:ascii="黑体" w:hAnsi="黑体" w:eastAsia="黑体" w:cs="Times New Roman"/>
                <w:color w:val="auto"/>
                <w:kern w:val="2"/>
                <w:sz w:val="21"/>
                <w:szCs w:val="21"/>
                <w:lang w:val="en-US"/>
              </w:rPr>
              <w:t>P25</w:t>
            </w:r>
          </w:p>
        </w:tc>
      </w:tr>
    </w:tbl>
    <w:tbl>
      <w:tblPr>
        <w:tblStyle w:val="245"/>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pPr>
              <w:widowControl/>
              <w:shd w:val="solid" w:color="FFFFFF" w:fill="FFFFFF"/>
              <w:spacing w:line="0" w:lineRule="atLeast"/>
              <w:jc w:val="right"/>
              <w:rPr>
                <w:rFonts w:ascii="宋体" w:hAnsi="宋体" w:eastAsia="宋体" w:cs="Times New Roman"/>
                <w:b/>
                <w:color w:val="auto"/>
                <w:w w:val="130"/>
                <w:sz w:val="28"/>
                <w:szCs w:val="28"/>
                <w:lang w:val="en-US"/>
              </w:rPr>
            </w:pPr>
            <w:bookmarkStart w:id="2" w:name="_Hlk26473981"/>
            <w:r>
              <w:rPr>
                <w:rFonts w:ascii="Times New Roman" w:hAnsi="Times New Roman" w:eastAsia="宋体" w:cs="Times New Roman"/>
                <w:b/>
                <w:color w:val="auto"/>
                <w:w w:val="130"/>
                <w:sz w:val="96"/>
                <w:szCs w:val="20"/>
                <w:lang w:val="en-US"/>
              </w:rPr>
              <w:t>DB</w:t>
            </w:r>
            <w:r>
              <w:rPr>
                <w:rFonts w:ascii="Times New Roman" w:hAnsi="Times New Roman" w:eastAsia="宋体" w:cs="Times New Roman"/>
                <w:b/>
                <w:color w:val="auto"/>
                <w:w w:val="130"/>
                <w:sz w:val="96"/>
                <w:szCs w:val="20"/>
                <w:lang w:val="en-US"/>
              </w:rPr>
              <w:fldChar w:fldCharType="begin">
                <w:ffData>
                  <w:name w:val="c1"/>
                  <w:enabled/>
                  <w:calcOnExit w:val="0"/>
                  <w:textInput>
                    <w:maxLength w:val="8"/>
                  </w:textInput>
                </w:ffData>
              </w:fldChar>
            </w:r>
            <w:bookmarkStart w:id="3" w:name="c1"/>
            <w:r>
              <w:rPr>
                <w:rFonts w:ascii="Times New Roman" w:hAnsi="Times New Roman" w:eastAsia="宋体" w:cs="Times New Roman"/>
                <w:b/>
                <w:color w:val="auto"/>
                <w:w w:val="130"/>
                <w:sz w:val="96"/>
                <w:szCs w:val="20"/>
                <w:lang w:val="en-US"/>
              </w:rPr>
              <w:instrText xml:space="preserve"> FORMTEXT </w:instrText>
            </w:r>
            <w:r>
              <w:rPr>
                <w:rFonts w:ascii="Times New Roman" w:hAnsi="Times New Roman" w:eastAsia="宋体" w:cs="Times New Roman"/>
                <w:b/>
                <w:color w:val="auto"/>
                <w:w w:val="130"/>
                <w:sz w:val="96"/>
                <w:szCs w:val="20"/>
                <w:lang w:val="en-US"/>
              </w:rPr>
              <w:fldChar w:fldCharType="separate"/>
            </w:r>
            <w:r>
              <w:rPr>
                <w:rFonts w:ascii="Times New Roman" w:hAnsi="Times New Roman" w:eastAsia="宋体" w:cs="Times New Roman"/>
                <w:b/>
                <w:color w:val="auto"/>
                <w:w w:val="130"/>
                <w:sz w:val="96"/>
                <w:szCs w:val="20"/>
                <w:lang w:val="en-US"/>
              </w:rPr>
              <w:t>42</w:t>
            </w:r>
            <w:r>
              <w:rPr>
                <w:rFonts w:ascii="Times New Roman" w:hAnsi="Times New Roman" w:eastAsia="宋体" w:cs="Times New Roman"/>
                <w:b/>
                <w:color w:val="auto"/>
                <w:w w:val="130"/>
                <w:sz w:val="96"/>
                <w:szCs w:val="20"/>
                <w:lang w:val="en-US"/>
              </w:rPr>
              <w:fldChar w:fldCharType="end"/>
            </w:r>
            <w:bookmarkEnd w:id="3"/>
          </w:p>
        </w:tc>
      </w:tr>
    </w:tbl>
    <w:p>
      <w:pPr>
        <w:framePr w:w="9639" w:h="624" w:hRule="exact" w:hSpace="181" w:vSpace="181" w:wrap="around" w:vAnchor="page" w:hAnchor="page" w:x="1305" w:y="2269" w:anchorLock="1"/>
        <w:kinsoku w:val="0"/>
        <w:overflowPunct w:val="0"/>
        <w:autoSpaceDE w:val="0"/>
        <w:autoSpaceDN w:val="0"/>
        <w:spacing w:line="0" w:lineRule="atLeast"/>
        <w:jc w:val="distribute"/>
        <w:rPr>
          <w:rFonts w:ascii="黑体" w:hAnsi="黑体" w:eastAsia="黑体" w:cs="Times New Roman"/>
          <w:color w:val="auto"/>
          <w:sz w:val="48"/>
          <w:szCs w:val="48"/>
          <w:lang w:val="en-US"/>
        </w:rPr>
      </w:pPr>
      <w:r>
        <w:rPr>
          <w:rFonts w:ascii="黑体" w:hAnsi="Times New Roman" w:eastAsia="黑体" w:cs="Times New Roman"/>
          <w:bCs/>
          <w:color w:val="auto"/>
          <w:sz w:val="48"/>
          <w:szCs w:val="20"/>
          <w:lang w:val="en-US"/>
        </w:rPr>
        <w:fldChar w:fldCharType="begin">
          <w:ffData>
            <w:name w:val="c2"/>
            <w:enabled/>
            <w:calcOnExit w:val="0"/>
            <w:textInput/>
          </w:ffData>
        </w:fldChar>
      </w:r>
      <w:bookmarkStart w:id="4" w:name="c2"/>
      <w:r>
        <w:rPr>
          <w:rFonts w:ascii="黑体" w:hAnsi="Times New Roman" w:eastAsia="黑体" w:cs="Times New Roman"/>
          <w:bCs/>
          <w:color w:val="auto"/>
          <w:sz w:val="48"/>
          <w:szCs w:val="20"/>
          <w:lang w:val="en-US"/>
        </w:rPr>
        <w:instrText xml:space="preserve"> FORMTEXT </w:instrText>
      </w:r>
      <w:r>
        <w:rPr>
          <w:rFonts w:ascii="黑体" w:hAnsi="Times New Roman" w:eastAsia="黑体" w:cs="Times New Roman"/>
          <w:bCs/>
          <w:color w:val="auto"/>
          <w:sz w:val="48"/>
          <w:szCs w:val="20"/>
          <w:lang w:val="en-US"/>
        </w:rPr>
        <w:fldChar w:fldCharType="separate"/>
      </w:r>
      <w:r>
        <w:rPr>
          <w:rFonts w:hint="eastAsia" w:ascii="黑体" w:hAnsi="Times New Roman" w:eastAsia="黑体" w:cs="Times New Roman"/>
          <w:bCs/>
          <w:color w:val="auto"/>
          <w:sz w:val="48"/>
          <w:szCs w:val="20"/>
          <w:lang w:val="en-US"/>
        </w:rPr>
        <w:t>湖北省</w:t>
      </w:r>
      <w:r>
        <w:rPr>
          <w:rFonts w:ascii="黑体" w:hAnsi="Times New Roman" w:eastAsia="黑体" w:cs="Times New Roman"/>
          <w:bCs/>
          <w:color w:val="auto"/>
          <w:sz w:val="48"/>
          <w:szCs w:val="20"/>
          <w:lang w:val="en-US"/>
        </w:rPr>
        <w:fldChar w:fldCharType="end"/>
      </w:r>
      <w:bookmarkEnd w:id="4"/>
      <w:r>
        <w:rPr>
          <w:rFonts w:hint="eastAsia" w:ascii="黑体" w:hAnsi="黑体" w:eastAsia="黑体" w:cs="Times New Roman"/>
          <w:color w:val="auto"/>
          <w:sz w:val="48"/>
          <w:szCs w:val="48"/>
          <w:lang w:val="en-US"/>
        </w:rPr>
        <w:t>地方标准</w:t>
      </w:r>
    </w:p>
    <w:bookmarkEnd w:id="2"/>
    <w:p>
      <w:pPr>
        <w:framePr w:w="9356" w:h="624" w:hRule="exact" w:hSpace="181" w:vSpace="181" w:wrap="auto" w:vAnchor="page" w:hAnchor="page" w:x="1419" w:y="3284"/>
        <w:widowControl/>
        <w:wordWrap w:val="0"/>
        <w:autoSpaceDE w:val="0"/>
        <w:autoSpaceDN w:val="0"/>
        <w:spacing w:line="280" w:lineRule="exact"/>
        <w:jc w:val="right"/>
        <w:rPr>
          <w:rFonts w:ascii="黑体" w:hAnsi="Times New Roman" w:eastAsia="黑体" w:cs="Times New Roman"/>
          <w:bCs/>
          <w:color w:val="auto"/>
          <w:sz w:val="28"/>
          <w:szCs w:val="28"/>
          <w:lang w:val="fr-FR"/>
        </w:rPr>
      </w:pPr>
      <w:r>
        <w:rPr>
          <w:rFonts w:ascii="黑体" w:hAnsi="Times New Roman" w:eastAsia="黑体" w:cs="Times New Roman"/>
          <w:bCs/>
          <w:color w:val="auto"/>
          <w:sz w:val="28"/>
          <w:szCs w:val="28"/>
          <w:lang w:val="fr-FR"/>
        </w:rPr>
        <w:t>DB</w:t>
      </w:r>
      <w:r>
        <w:rPr>
          <w:rFonts w:ascii="黑体" w:hAnsi="Times New Roman" w:eastAsia="黑体" w:cs="Times New Roman"/>
          <w:bCs/>
          <w:color w:val="auto"/>
          <w:sz w:val="28"/>
          <w:szCs w:val="28"/>
          <w:lang w:val="en-US"/>
        </w:rPr>
        <w:fldChar w:fldCharType="begin">
          <w:ffData>
            <w:name w:val="文字1"/>
            <w:enabled/>
            <w:calcOnExit w:val="0"/>
            <w:textInput>
              <w:default w:val="XX/T"/>
            </w:textInput>
          </w:ffData>
        </w:fldChar>
      </w:r>
      <w:bookmarkStart w:id="5" w:name="文字1"/>
      <w:r>
        <w:rPr>
          <w:rFonts w:ascii="黑体" w:hAnsi="Times New Roman" w:eastAsia="黑体" w:cs="Times New Roman"/>
          <w:bCs/>
          <w:color w:val="auto"/>
          <w:sz w:val="28"/>
          <w:szCs w:val="28"/>
          <w:lang w:val="fr-FR"/>
        </w:rPr>
        <w:instrText xml:space="preserve"> FORMTEXT </w:instrText>
      </w:r>
      <w:r>
        <w:rPr>
          <w:rFonts w:ascii="黑体" w:hAnsi="Times New Roman" w:eastAsia="黑体" w:cs="Times New Roman"/>
          <w:bCs/>
          <w:color w:val="auto"/>
          <w:sz w:val="28"/>
          <w:szCs w:val="28"/>
          <w:lang w:val="en-US"/>
        </w:rPr>
        <w:fldChar w:fldCharType="separate"/>
      </w:r>
      <w:r>
        <w:rPr>
          <w:rFonts w:ascii="黑体" w:hAnsi="Times New Roman" w:eastAsia="黑体" w:cs="Times New Roman"/>
          <w:bCs/>
          <w:color w:val="auto"/>
          <w:sz w:val="28"/>
          <w:szCs w:val="28"/>
          <w:lang w:val="fr-FR"/>
        </w:rPr>
        <w:t>42/T</w:t>
      </w:r>
      <w:r>
        <w:rPr>
          <w:rFonts w:ascii="黑体" w:hAnsi="Times New Roman" w:eastAsia="黑体" w:cs="Times New Roman"/>
          <w:bCs/>
          <w:color w:val="auto"/>
          <w:sz w:val="28"/>
          <w:szCs w:val="28"/>
          <w:lang w:val="en-US"/>
        </w:rPr>
        <w:fldChar w:fldCharType="end"/>
      </w:r>
      <w:bookmarkEnd w:id="5"/>
      <w:r>
        <w:rPr>
          <w:rFonts w:ascii="黑体" w:hAnsi="Times New Roman" w:eastAsia="黑体" w:cs="Times New Roman"/>
          <w:bCs/>
          <w:color w:val="auto"/>
          <w:sz w:val="28"/>
          <w:szCs w:val="28"/>
          <w:lang w:val="fr-FR"/>
        </w:rPr>
        <w:t xml:space="preserve"> </w:t>
      </w:r>
      <w:r>
        <w:rPr>
          <w:rFonts w:ascii="黑体" w:hAnsi="Times New Roman" w:eastAsia="黑体" w:cs="Times New Roman"/>
          <w:bCs/>
          <w:color w:val="auto"/>
          <w:sz w:val="28"/>
          <w:szCs w:val="28"/>
          <w:lang w:val="en-US"/>
        </w:rPr>
        <w:fldChar w:fldCharType="begin">
          <w:ffData>
            <w:name w:val="NSTD_CODE_F"/>
            <w:enabled/>
            <w:calcOnExit w:val="0"/>
            <w:textInput>
              <w:default w:val="XXXX"/>
            </w:textInput>
          </w:ffData>
        </w:fldChar>
      </w:r>
      <w:bookmarkStart w:id="6" w:name="NSTD_CODE_F"/>
      <w:r>
        <w:rPr>
          <w:rFonts w:ascii="黑体" w:hAnsi="Times New Roman" w:eastAsia="黑体" w:cs="Times New Roman"/>
          <w:bCs/>
          <w:color w:val="auto"/>
          <w:sz w:val="28"/>
          <w:szCs w:val="28"/>
          <w:lang w:val="fr-FR"/>
        </w:rPr>
        <w:instrText xml:space="preserve"> FORMTEXT </w:instrText>
      </w:r>
      <w:r>
        <w:rPr>
          <w:rFonts w:ascii="黑体" w:hAnsi="Times New Roman" w:eastAsia="黑体" w:cs="Times New Roman"/>
          <w:bCs/>
          <w:color w:val="auto"/>
          <w:sz w:val="28"/>
          <w:szCs w:val="28"/>
          <w:lang w:val="en-US"/>
        </w:rPr>
        <w:fldChar w:fldCharType="separate"/>
      </w:r>
      <w:r>
        <w:rPr>
          <w:rFonts w:ascii="黑体" w:hAnsi="Times New Roman" w:eastAsia="黑体" w:cs="Times New Roman"/>
          <w:bCs/>
          <w:color w:val="auto"/>
          <w:sz w:val="28"/>
          <w:szCs w:val="28"/>
          <w:lang w:val="fr-FR"/>
        </w:rPr>
        <w:t>XXXX</w:t>
      </w:r>
      <w:r>
        <w:rPr>
          <w:rFonts w:ascii="黑体" w:hAnsi="Times New Roman" w:eastAsia="黑体" w:cs="Times New Roman"/>
          <w:bCs/>
          <w:color w:val="auto"/>
          <w:sz w:val="28"/>
          <w:szCs w:val="28"/>
          <w:lang w:val="en-US"/>
        </w:rPr>
        <w:fldChar w:fldCharType="end"/>
      </w:r>
      <w:bookmarkEnd w:id="6"/>
      <w:r>
        <w:rPr>
          <w:rFonts w:ascii="黑体" w:hAnsi="黑体" w:eastAsia="黑体" w:cs="Times New Roman"/>
          <w:bCs/>
          <w:color w:val="auto"/>
          <w:sz w:val="28"/>
          <w:szCs w:val="28"/>
          <w:lang w:val="fr-FR"/>
        </w:rPr>
        <w:t>—</w:t>
      </w:r>
      <w:r>
        <w:rPr>
          <w:rFonts w:ascii="黑体" w:hAnsi="Times New Roman" w:eastAsia="黑体" w:cs="Times New Roman"/>
          <w:bCs/>
          <w:color w:val="auto"/>
          <w:sz w:val="28"/>
          <w:szCs w:val="28"/>
          <w:lang w:val="en-US"/>
        </w:rPr>
        <w:t>2021</w:t>
      </w:r>
    </w:p>
    <w:p>
      <w:pPr>
        <w:framePr w:w="9356" w:h="624" w:hRule="exact" w:hSpace="181" w:vSpace="181" w:wrap="auto" w:vAnchor="page" w:hAnchor="page" w:x="1419" w:y="3284"/>
        <w:widowControl/>
        <w:wordWrap w:val="0"/>
        <w:autoSpaceDE w:val="0"/>
        <w:autoSpaceDN w:val="0"/>
        <w:spacing w:before="57" w:line="280" w:lineRule="exact"/>
        <w:jc w:val="right"/>
        <w:rPr>
          <w:rFonts w:ascii="黑体" w:hAnsi="黑体" w:eastAsia="黑体" w:cs="Times New Roman"/>
          <w:bCs/>
          <w:color w:val="auto"/>
          <w:sz w:val="21"/>
          <w:szCs w:val="28"/>
          <w:lang w:val="en-US"/>
        </w:rPr>
      </w:pPr>
      <w:r>
        <w:rPr>
          <w:rFonts w:ascii="黑体" w:hAnsi="黑体" w:eastAsia="黑体" w:cs="Times New Roman"/>
          <w:bCs/>
          <w:color w:val="auto"/>
          <w:sz w:val="21"/>
          <w:szCs w:val="28"/>
          <w:lang w:val="en-US"/>
        </w:rPr>
        <w:fldChar w:fldCharType="begin">
          <w:ffData>
            <w:name w:val="OSTD_CODE"/>
            <w:enabled/>
            <w:calcOnExit w:val="0"/>
            <w:textInput/>
          </w:ffData>
        </w:fldChar>
      </w:r>
      <w:bookmarkStart w:id="7" w:name="OSTD_CODE"/>
      <w:r>
        <w:rPr>
          <w:rFonts w:ascii="黑体" w:hAnsi="黑体" w:eastAsia="黑体" w:cs="Times New Roman"/>
          <w:bCs/>
          <w:color w:val="auto"/>
          <w:sz w:val="21"/>
          <w:szCs w:val="28"/>
          <w:lang w:val="en-US"/>
        </w:rPr>
        <w:instrText xml:space="preserve"> FORMTEXT </w:instrText>
      </w:r>
      <w:r>
        <w:rPr>
          <w:rFonts w:ascii="黑体" w:hAnsi="黑体" w:eastAsia="黑体" w:cs="Times New Roman"/>
          <w:bCs/>
          <w:color w:val="auto"/>
          <w:sz w:val="21"/>
          <w:szCs w:val="28"/>
          <w:lang w:val="en-US"/>
        </w:rPr>
        <w:fldChar w:fldCharType="separate"/>
      </w:r>
      <w:r>
        <w:rPr>
          <w:rFonts w:ascii="黑体" w:hAnsi="黑体" w:eastAsia="黑体" w:cs="Times New Roman"/>
          <w:bCs/>
          <w:color w:val="auto"/>
          <w:sz w:val="21"/>
          <w:szCs w:val="28"/>
          <w:lang w:val="en-US"/>
        </w:rPr>
        <w:t>     </w:t>
      </w:r>
      <w:r>
        <w:rPr>
          <w:rFonts w:ascii="黑体" w:hAnsi="黑体" w:eastAsia="黑体" w:cs="Times New Roman"/>
          <w:bCs/>
          <w:color w:val="auto"/>
          <w:sz w:val="21"/>
          <w:szCs w:val="28"/>
          <w:lang w:val="en-US"/>
        </w:rPr>
        <w:fldChar w:fldCharType="end"/>
      </w:r>
      <w:bookmarkEnd w:id="7"/>
    </w:p>
    <w:p>
      <w:pPr>
        <w:adjustRightInd w:val="0"/>
        <w:jc w:val="both"/>
        <w:rPr>
          <w:rFonts w:ascii="黑体" w:hAnsi="黑体" w:eastAsia="黑体" w:cs="Times New Roman"/>
          <w:color w:val="auto"/>
          <w:sz w:val="10"/>
          <w:szCs w:val="10"/>
          <w:lang w:val="en-US"/>
        </w:rPr>
      </w:pPr>
      <w:bookmarkStart w:id="8" w:name="_Hlk171956290"/>
      <w:r>
        <w:rPr>
          <w:rFonts w:ascii="黑体" w:hAnsi="黑体" w:eastAsia="黑体" w:cs="Times New Roman"/>
          <w:color w:val="auto"/>
          <w:sz w:val="10"/>
          <w:szCs w:val="10"/>
          <w:lang w:val="en-US"/>
        </w:rPr>
        <mc:AlternateContent>
          <mc:Choice Requires="wps">
            <w:drawing>
              <wp:anchor distT="0" distB="0" distL="114300" distR="114300" simplePos="0" relativeHeight="25166438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true"/>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4384;mso-width-relative:page;mso-height-relative:page;" filled="f" stroked="t" coordsize="21600,21600" o:allowoverlap="f" o:gfxdata="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Ang0mW2AAAAAwB&#10;AAAPAAAAAAAAAAEAIAAAADgAAABkcnMvZG93bnJldi54bWxQSwECFAAUAAAACACHTuJASfTgWswB&#10;AABhAwAADgAAAAAAAAABACAAAAA9AQAAZHJzL2Uyb0RvYy54bWxQSwUGAAAAAAYABgBZAQAAewUA&#10;AAAA&#10;">
                <v:fill on="f" focussize="0,0"/>
                <v:stroke color="#000000" joinstyle="round"/>
                <v:imagedata o:title=""/>
                <o:lock v:ext="edit" aspectratio="f"/>
              </v:line>
            </w:pict>
          </mc:Fallback>
        </mc:AlternateContent>
      </w:r>
    </w:p>
    <w:p>
      <w:pPr>
        <w:framePr w:w="9639" w:h="6976" w:hRule="exact" w:wrap="around" w:vAnchor="page" w:hAnchor="page" w:xAlign="center" w:y="6408" w:anchorLock="1"/>
        <w:kinsoku w:val="0"/>
        <w:overflowPunct w:val="0"/>
        <w:autoSpaceDE w:val="0"/>
        <w:autoSpaceDN w:val="0"/>
        <w:spacing w:line="0" w:lineRule="atLeast"/>
        <w:jc w:val="center"/>
        <w:rPr>
          <w:rFonts w:ascii="黑体" w:hAnsi="黑体" w:eastAsia="黑体" w:cs="Times New Roman"/>
          <w:color w:val="auto"/>
          <w:sz w:val="52"/>
          <w:szCs w:val="20"/>
          <w:lang w:val="en-US"/>
        </w:rPr>
      </w:pPr>
    </w:p>
    <w:p>
      <w:pPr>
        <w:framePr w:w="9639" w:h="6974" w:hRule="exact" w:wrap="around" w:vAnchor="page" w:hAnchor="page" w:x="1419" w:y="6408" w:anchorLock="1"/>
        <w:adjustRightInd w:val="0"/>
        <w:jc w:val="center"/>
        <w:rPr>
          <w:rFonts w:ascii="黑体" w:hAnsi="黑体" w:eastAsia="黑体" w:cs="Times New Roman"/>
          <w:bCs/>
          <w:color w:val="auto"/>
          <w:sz w:val="52"/>
          <w:szCs w:val="20"/>
          <w:lang w:val="en-US"/>
        </w:rPr>
      </w:pPr>
    </w:p>
    <w:p>
      <w:pPr>
        <w:framePr w:w="9639" w:h="6974" w:hRule="exact" w:wrap="around" w:vAnchor="page" w:hAnchor="page" w:x="1419" w:y="6408" w:anchorLock="1"/>
        <w:adjustRightInd w:val="0"/>
        <w:jc w:val="center"/>
        <w:rPr>
          <w:rFonts w:ascii="黑体" w:hAnsi="黑体" w:eastAsia="黑体" w:cs="Times New Roman"/>
          <w:bCs/>
          <w:color w:val="auto"/>
          <w:sz w:val="52"/>
          <w:szCs w:val="20"/>
          <w:lang w:val="en-US"/>
        </w:rPr>
      </w:pPr>
      <w:r>
        <w:rPr>
          <w:rFonts w:hint="eastAsia" w:ascii="黑体" w:hAnsi="黑体" w:eastAsia="黑体" w:cs="Times New Roman"/>
          <w:bCs/>
          <w:color w:val="auto"/>
          <w:sz w:val="52"/>
          <w:szCs w:val="20"/>
          <w:lang w:val="en-US"/>
        </w:rPr>
        <w:t>装配整体式框架及框架-剪力墙结构</w:t>
      </w:r>
    </w:p>
    <w:p>
      <w:pPr>
        <w:framePr w:w="9639" w:h="6974" w:hRule="exact" w:wrap="around" w:vAnchor="page" w:hAnchor="page" w:x="1419" w:y="6408" w:anchorLock="1"/>
        <w:adjustRightInd w:val="0"/>
        <w:jc w:val="center"/>
        <w:rPr>
          <w:rFonts w:ascii="Calibri" w:hAnsi="Calibri" w:eastAsia="宋体" w:cs="Times New Roman"/>
          <w:color w:val="auto"/>
          <w:kern w:val="2"/>
          <w:sz w:val="21"/>
          <w:szCs w:val="21"/>
          <w:lang w:val="en-US"/>
        </w:rPr>
      </w:pPr>
      <w:r>
        <w:rPr>
          <w:rFonts w:hint="eastAsia" w:ascii="黑体" w:hAnsi="黑体" w:eastAsia="黑体" w:cs="Times New Roman"/>
          <w:bCs/>
          <w:color w:val="auto"/>
          <w:sz w:val="52"/>
          <w:szCs w:val="20"/>
          <w:lang w:val="en-US"/>
        </w:rPr>
        <w:t>技术规程</w:t>
      </w:r>
    </w:p>
    <w:p>
      <w:pPr>
        <w:framePr w:w="9639" w:h="6974" w:hRule="exact" w:wrap="around" w:vAnchor="page" w:hAnchor="page" w:x="1419" w:y="6408" w:anchorLock="1"/>
        <w:adjustRightInd w:val="0"/>
        <w:jc w:val="center"/>
        <w:rPr>
          <w:rFonts w:ascii="Times New Roman" w:hAnsi="Times New Roman" w:eastAsia="黑体" w:cs="Times New Roman"/>
          <w:color w:val="auto"/>
          <w:sz w:val="28"/>
          <w:szCs w:val="28"/>
          <w:lang w:val="en-US"/>
        </w:rPr>
      </w:pPr>
      <w:r>
        <w:rPr>
          <w:rFonts w:ascii="Times New Roman" w:hAnsi="Times New Roman" w:eastAsia="黑体" w:cs="Times New Roman"/>
          <w:color w:val="auto"/>
          <w:sz w:val="28"/>
          <w:szCs w:val="28"/>
          <w:lang w:val="en-US"/>
        </w:rPr>
        <w:t>Technical specification for monolithic precast concrete frame and</w:t>
      </w:r>
    </w:p>
    <w:p>
      <w:pPr>
        <w:framePr w:w="9639" w:h="6974" w:hRule="exact" w:wrap="around" w:vAnchor="page" w:hAnchor="page" w:x="1419" w:y="6408" w:anchorLock="1"/>
        <w:adjustRightInd w:val="0"/>
        <w:jc w:val="center"/>
        <w:rPr>
          <w:rFonts w:ascii="Calibri" w:hAnsi="Calibri" w:eastAsia="宋体" w:cs="Times New Roman"/>
          <w:color w:val="auto"/>
          <w:kern w:val="2"/>
          <w:sz w:val="21"/>
          <w:szCs w:val="21"/>
          <w:lang w:val="en-US"/>
        </w:rPr>
      </w:pPr>
      <w:r>
        <w:rPr>
          <w:rFonts w:ascii="Times New Roman" w:hAnsi="Times New Roman" w:eastAsia="黑体" w:cs="Times New Roman"/>
          <w:color w:val="auto"/>
          <w:sz w:val="28"/>
          <w:szCs w:val="28"/>
          <w:lang w:val="en-US"/>
        </w:rPr>
        <w:t>frame-shear wall structural buildings</w:t>
      </w:r>
    </w:p>
    <w:p>
      <w:pPr>
        <w:framePr w:w="9639" w:h="6974" w:hRule="exact" w:wrap="around" w:vAnchor="page" w:hAnchor="page" w:x="1419" w:y="6408" w:anchorLock="1"/>
        <w:spacing w:line="360" w:lineRule="exact"/>
        <w:jc w:val="center"/>
        <w:textAlignment w:val="bottom"/>
        <w:rPr>
          <w:rFonts w:ascii="Times New Roman" w:hAnsi="Times New Roman" w:eastAsia="黑体" w:cs="Times New Roman"/>
          <w:color w:val="auto"/>
          <w:sz w:val="28"/>
          <w:szCs w:val="28"/>
          <w:lang w:val="en-US"/>
        </w:rPr>
      </w:pPr>
    </w:p>
    <w:p>
      <w:pPr>
        <w:framePr w:w="9639" w:h="6974" w:hRule="exact" w:wrap="around" w:vAnchor="page" w:hAnchor="page" w:x="1419" w:y="6408" w:anchorLock="1"/>
        <w:spacing w:before="180"/>
        <w:jc w:val="center"/>
        <w:textAlignment w:val="bottom"/>
        <w:rPr>
          <w:rFonts w:ascii="Times New Roman" w:hAnsi="Times New Roman" w:eastAsia="宋体" w:cs="Times New Roman"/>
          <w:color w:val="auto"/>
          <w:szCs w:val="28"/>
          <w:lang w:val="en-US"/>
        </w:rPr>
      </w:pPr>
      <w:r>
        <w:rPr>
          <w:rFonts w:hint="eastAsia" w:ascii="Times New Roman" w:hAnsi="Times New Roman" w:eastAsia="宋体" w:cs="Times New Roman"/>
          <w:color w:val="auto"/>
          <w:szCs w:val="28"/>
          <w:lang w:val="en-US"/>
        </w:rPr>
        <w:t>（征求意见稿）</w:t>
      </w:r>
    </w:p>
    <w:p>
      <w:pPr>
        <w:framePr w:w="9639" w:h="6974" w:hRule="exact" w:wrap="around" w:vAnchor="page" w:hAnchor="page" w:x="1419" w:y="6408" w:anchorLock="1"/>
        <w:spacing w:before="180" w:line="240" w:lineRule="atLeast"/>
        <w:jc w:val="center"/>
        <w:textAlignment w:val="bottom"/>
        <w:rPr>
          <w:rFonts w:ascii="Times New Roman" w:hAnsi="Times New Roman" w:eastAsia="宋体" w:cs="Times New Roman"/>
          <w:color w:val="auto"/>
          <w:sz w:val="21"/>
          <w:szCs w:val="28"/>
          <w:lang w:val="en-US"/>
        </w:rPr>
      </w:pPr>
      <w:r>
        <w:rPr>
          <w:rFonts w:ascii="Times New Roman" w:hAnsi="Times New Roman" w:eastAsia="宋体" w:cs="Times New Roman"/>
          <w:color w:val="auto"/>
          <w:sz w:val="21"/>
          <w:szCs w:val="28"/>
          <w:lang w:val="en-US"/>
        </w:rPr>
        <w:fldChar w:fldCharType="begin">
          <w:ffData>
            <w:name w:val="CMPLSH_DATE"/>
            <w:enabled/>
            <w:calcOnExit w:val="0"/>
            <w:textInput/>
          </w:ffData>
        </w:fldChar>
      </w:r>
      <w:bookmarkStart w:id="9" w:name="CMPLSH_DATE"/>
      <w:r>
        <w:rPr>
          <w:rFonts w:ascii="Times New Roman" w:hAnsi="Times New Roman" w:eastAsia="宋体" w:cs="Times New Roman"/>
          <w:color w:val="auto"/>
          <w:sz w:val="21"/>
          <w:szCs w:val="28"/>
          <w:lang w:val="en-US"/>
        </w:rPr>
        <w:instrText xml:space="preserve"> FORMTEXT </w:instrText>
      </w:r>
      <w:r>
        <w:rPr>
          <w:rFonts w:ascii="Times New Roman" w:hAnsi="Times New Roman" w:eastAsia="宋体" w:cs="Times New Roman"/>
          <w:color w:val="auto"/>
          <w:sz w:val="21"/>
          <w:szCs w:val="28"/>
          <w:lang w:val="en-US"/>
        </w:rPr>
        <w:fldChar w:fldCharType="separate"/>
      </w:r>
      <w:r>
        <w:rPr>
          <w:rFonts w:ascii="Times New Roman" w:hAnsi="Times New Roman" w:eastAsia="宋体" w:cs="Times New Roman"/>
          <w:color w:val="auto"/>
          <w:sz w:val="21"/>
          <w:szCs w:val="28"/>
          <w:lang w:val="en-US"/>
        </w:rPr>
        <w:t>     </w:t>
      </w:r>
      <w:r>
        <w:rPr>
          <w:rFonts w:ascii="Times New Roman" w:hAnsi="Times New Roman" w:eastAsia="宋体" w:cs="Times New Roman"/>
          <w:color w:val="auto"/>
          <w:sz w:val="21"/>
          <w:szCs w:val="28"/>
          <w:lang w:val="en-US"/>
        </w:rPr>
        <w:fldChar w:fldCharType="end"/>
      </w:r>
      <w:bookmarkEnd w:id="9"/>
    </w:p>
    <w:p>
      <w:pPr>
        <w:framePr w:w="3997" w:h="471" w:hRule="exact" w:vSpace="181" w:wrap="around" w:vAnchor="page" w:hAnchor="page" w:x="1419" w:y="14176" w:anchorLock="1"/>
        <w:widowControl/>
        <w:rPr>
          <w:rFonts w:ascii="Times New Roman" w:hAnsi="Times New Roman" w:eastAsia="黑体" w:cs="Times New Roman"/>
          <w:color w:val="auto"/>
          <w:sz w:val="28"/>
          <w:szCs w:val="20"/>
          <w:lang w:val="en-US"/>
        </w:rPr>
      </w:pPr>
      <w:r>
        <w:rPr>
          <w:rFonts w:ascii="黑体" w:hAnsi="Times New Roman" w:eastAsia="黑体" w:cs="Times New Roman"/>
          <w:color w:val="auto"/>
          <w:sz w:val="28"/>
          <w:szCs w:val="20"/>
          <w:lang w:val="en-US"/>
        </w:rPr>
        <w:fldChar w:fldCharType="begin">
          <w:ffData>
            <w:name w:val="PLSH_DATE_Y"/>
            <w:enabled/>
            <w:calcOnExit w:val="0"/>
            <w:textInput>
              <w:default w:val="202X"/>
              <w:maxLength w:val="4"/>
            </w:textInput>
          </w:ffData>
        </w:fldChar>
      </w:r>
      <w:bookmarkStart w:id="10" w:name="PLSH_DATE_Y"/>
      <w:r>
        <w:rPr>
          <w:rFonts w:ascii="黑体" w:hAnsi="Times New Roman" w:eastAsia="黑体" w:cs="Times New Roman"/>
          <w:color w:val="auto"/>
          <w:sz w:val="28"/>
          <w:szCs w:val="20"/>
          <w:lang w:val="en-US"/>
        </w:rPr>
        <w:instrText xml:space="preserve"> FORMTEXT </w:instrText>
      </w:r>
      <w:r>
        <w:rPr>
          <w:rFonts w:ascii="黑体" w:hAnsi="Times New Roman" w:eastAsia="黑体" w:cs="Times New Roman"/>
          <w:color w:val="auto"/>
          <w:sz w:val="28"/>
          <w:szCs w:val="20"/>
          <w:lang w:val="en-US"/>
        </w:rPr>
        <w:fldChar w:fldCharType="separate"/>
      </w:r>
      <w:r>
        <w:rPr>
          <w:rFonts w:ascii="黑体" w:hAnsi="Times New Roman" w:eastAsia="黑体" w:cs="Times New Roman"/>
          <w:color w:val="auto"/>
          <w:sz w:val="28"/>
          <w:szCs w:val="20"/>
          <w:lang w:val="en-US"/>
        </w:rPr>
        <w:t>202X</w:t>
      </w:r>
      <w:r>
        <w:rPr>
          <w:rFonts w:ascii="黑体" w:hAnsi="Times New Roman" w:eastAsia="黑体" w:cs="Times New Roman"/>
          <w:color w:val="auto"/>
          <w:sz w:val="28"/>
          <w:szCs w:val="20"/>
          <w:lang w:val="en-US"/>
        </w:rPr>
        <w:fldChar w:fldCharType="end"/>
      </w:r>
      <w:bookmarkEnd w:id="10"/>
      <w:r>
        <w:rPr>
          <w:rFonts w:ascii="Times New Roman" w:hAnsi="Times New Roman" w:eastAsia="黑体" w:cs="Times New Roman"/>
          <w:color w:val="auto"/>
          <w:sz w:val="28"/>
          <w:szCs w:val="20"/>
          <w:lang w:val="en-US"/>
        </w:rPr>
        <w:t xml:space="preserve"> </w:t>
      </w:r>
      <w:r>
        <w:rPr>
          <w:rFonts w:ascii="黑体" w:hAnsi="Times New Roman" w:eastAsia="黑体" w:cs="Times New Roman"/>
          <w:color w:val="auto"/>
          <w:sz w:val="28"/>
          <w:szCs w:val="20"/>
          <w:lang w:val="en-US"/>
        </w:rPr>
        <w:t>-</w:t>
      </w:r>
      <w:r>
        <w:rPr>
          <w:rFonts w:ascii="Times New Roman" w:hAnsi="Times New Roman" w:eastAsia="黑体" w:cs="Times New Roman"/>
          <w:color w:val="auto"/>
          <w:sz w:val="28"/>
          <w:szCs w:val="20"/>
          <w:lang w:val="en-US"/>
        </w:rPr>
        <w:t xml:space="preserve"> </w:t>
      </w:r>
      <w:r>
        <w:rPr>
          <w:rFonts w:ascii="黑体" w:hAnsi="Times New Roman" w:eastAsia="黑体" w:cs="Times New Roman"/>
          <w:color w:val="auto"/>
          <w:sz w:val="28"/>
          <w:szCs w:val="20"/>
          <w:lang w:val="en-US"/>
        </w:rPr>
        <w:fldChar w:fldCharType="begin">
          <w:ffData>
            <w:name w:val="PLSH_DATE_M"/>
            <w:enabled/>
            <w:calcOnExit w:val="0"/>
            <w:textInput>
              <w:default w:val="XX"/>
              <w:maxLength w:val="2"/>
            </w:textInput>
          </w:ffData>
        </w:fldChar>
      </w:r>
      <w:bookmarkStart w:id="11" w:name="PLSH_DATE_M"/>
      <w:r>
        <w:rPr>
          <w:rFonts w:ascii="黑体" w:hAnsi="Times New Roman" w:eastAsia="黑体" w:cs="Times New Roman"/>
          <w:color w:val="auto"/>
          <w:sz w:val="28"/>
          <w:szCs w:val="20"/>
          <w:lang w:val="en-US"/>
        </w:rPr>
        <w:instrText xml:space="preserve"> FORMTEXT </w:instrText>
      </w:r>
      <w:r>
        <w:rPr>
          <w:rFonts w:ascii="黑体" w:hAnsi="Times New Roman" w:eastAsia="黑体" w:cs="Times New Roman"/>
          <w:color w:val="auto"/>
          <w:sz w:val="28"/>
          <w:szCs w:val="20"/>
          <w:lang w:val="en-US"/>
        </w:rPr>
        <w:fldChar w:fldCharType="separate"/>
      </w:r>
      <w:r>
        <w:rPr>
          <w:rFonts w:ascii="黑体" w:hAnsi="Times New Roman" w:eastAsia="黑体" w:cs="Times New Roman"/>
          <w:color w:val="auto"/>
          <w:sz w:val="28"/>
          <w:szCs w:val="20"/>
          <w:lang w:val="en-US"/>
        </w:rPr>
        <w:t>XX</w:t>
      </w:r>
      <w:r>
        <w:rPr>
          <w:rFonts w:ascii="黑体" w:hAnsi="Times New Roman" w:eastAsia="黑体" w:cs="Times New Roman"/>
          <w:color w:val="auto"/>
          <w:sz w:val="28"/>
          <w:szCs w:val="20"/>
          <w:lang w:val="en-US"/>
        </w:rPr>
        <w:fldChar w:fldCharType="end"/>
      </w:r>
      <w:bookmarkEnd w:id="11"/>
      <w:r>
        <w:rPr>
          <w:rFonts w:ascii="Times New Roman" w:hAnsi="Times New Roman" w:eastAsia="黑体" w:cs="Times New Roman"/>
          <w:color w:val="auto"/>
          <w:sz w:val="28"/>
          <w:szCs w:val="20"/>
          <w:lang w:val="en-US"/>
        </w:rPr>
        <w:t xml:space="preserve"> </w:t>
      </w:r>
      <w:r>
        <w:rPr>
          <w:rFonts w:ascii="黑体" w:hAnsi="Times New Roman" w:eastAsia="黑体" w:cs="Times New Roman"/>
          <w:color w:val="auto"/>
          <w:sz w:val="28"/>
          <w:szCs w:val="20"/>
          <w:lang w:val="en-US"/>
        </w:rPr>
        <w:t>-</w:t>
      </w:r>
      <w:r>
        <w:rPr>
          <w:rFonts w:ascii="Times New Roman" w:hAnsi="Times New Roman" w:eastAsia="黑体" w:cs="Times New Roman"/>
          <w:color w:val="auto"/>
          <w:sz w:val="28"/>
          <w:szCs w:val="20"/>
          <w:lang w:val="en-US"/>
        </w:rPr>
        <w:t xml:space="preserve"> </w:t>
      </w:r>
      <w:r>
        <w:rPr>
          <w:rFonts w:ascii="黑体" w:hAnsi="Times New Roman" w:eastAsia="黑体" w:cs="Times New Roman"/>
          <w:color w:val="auto"/>
          <w:sz w:val="28"/>
          <w:szCs w:val="20"/>
          <w:lang w:val="en-US"/>
        </w:rPr>
        <w:fldChar w:fldCharType="begin">
          <w:ffData>
            <w:name w:val="PLSH_DATE_D"/>
            <w:enabled/>
            <w:calcOnExit w:val="0"/>
            <w:textInput>
              <w:default w:val="XX"/>
              <w:maxLength w:val="2"/>
            </w:textInput>
          </w:ffData>
        </w:fldChar>
      </w:r>
      <w:bookmarkStart w:id="12" w:name="PLSH_DATE_D"/>
      <w:r>
        <w:rPr>
          <w:rFonts w:ascii="黑体" w:hAnsi="Times New Roman" w:eastAsia="黑体" w:cs="Times New Roman"/>
          <w:color w:val="auto"/>
          <w:sz w:val="28"/>
          <w:szCs w:val="20"/>
          <w:lang w:val="en-US"/>
        </w:rPr>
        <w:instrText xml:space="preserve"> FORMTEXT </w:instrText>
      </w:r>
      <w:r>
        <w:rPr>
          <w:rFonts w:ascii="黑体" w:hAnsi="Times New Roman" w:eastAsia="黑体" w:cs="Times New Roman"/>
          <w:color w:val="auto"/>
          <w:sz w:val="28"/>
          <w:szCs w:val="20"/>
          <w:lang w:val="en-US"/>
        </w:rPr>
        <w:fldChar w:fldCharType="separate"/>
      </w:r>
      <w:r>
        <w:rPr>
          <w:rFonts w:ascii="黑体" w:hAnsi="Times New Roman" w:eastAsia="黑体" w:cs="Times New Roman"/>
          <w:color w:val="auto"/>
          <w:sz w:val="28"/>
          <w:szCs w:val="20"/>
          <w:lang w:val="en-US"/>
        </w:rPr>
        <w:t>XX</w:t>
      </w:r>
      <w:r>
        <w:rPr>
          <w:rFonts w:ascii="黑体" w:hAnsi="Times New Roman" w:eastAsia="黑体" w:cs="Times New Roman"/>
          <w:color w:val="auto"/>
          <w:sz w:val="28"/>
          <w:szCs w:val="20"/>
          <w:lang w:val="en-US"/>
        </w:rPr>
        <w:fldChar w:fldCharType="end"/>
      </w:r>
      <w:bookmarkEnd w:id="12"/>
      <w:r>
        <w:rPr>
          <w:rFonts w:hint="eastAsia" w:ascii="Times New Roman" w:hAnsi="Times New Roman" w:eastAsia="黑体" w:cs="Times New Roman"/>
          <w:color w:val="auto"/>
          <w:sz w:val="28"/>
          <w:szCs w:val="20"/>
          <w:lang w:val="en-US"/>
        </w:rPr>
        <w:t>发布</w:t>
      </w:r>
    </w:p>
    <w:p>
      <w:pPr>
        <w:framePr w:w="3997" w:h="471" w:hRule="exact" w:vSpace="181" w:wrap="around" w:vAnchor="page" w:hAnchor="page" w:x="7089" w:y="14176" w:anchorLock="1"/>
        <w:widowControl/>
        <w:jc w:val="right"/>
        <w:rPr>
          <w:rFonts w:ascii="Times New Roman" w:hAnsi="Times New Roman" w:eastAsia="黑体" w:cs="Times New Roman"/>
          <w:color w:val="auto"/>
          <w:sz w:val="28"/>
          <w:szCs w:val="20"/>
          <w:lang w:val="en-US"/>
        </w:rPr>
      </w:pPr>
      <w:r>
        <w:rPr>
          <w:rFonts w:ascii="黑体" w:hAnsi="Times New Roman" w:eastAsia="黑体" w:cs="Times New Roman"/>
          <w:color w:val="auto"/>
          <w:sz w:val="28"/>
          <w:szCs w:val="20"/>
          <w:lang w:val="en-US"/>
        </w:rPr>
        <w:fldChar w:fldCharType="begin">
          <w:ffData>
            <w:name w:val="CROT_DATE_Y"/>
            <w:enabled/>
            <w:calcOnExit w:val="0"/>
            <w:textInput>
              <w:default w:val="202X"/>
              <w:maxLength w:val="4"/>
            </w:textInput>
          </w:ffData>
        </w:fldChar>
      </w:r>
      <w:bookmarkStart w:id="13" w:name="CROT_DATE_Y"/>
      <w:r>
        <w:rPr>
          <w:rFonts w:ascii="黑体" w:hAnsi="Times New Roman" w:eastAsia="黑体" w:cs="Times New Roman"/>
          <w:color w:val="auto"/>
          <w:sz w:val="28"/>
          <w:szCs w:val="20"/>
          <w:lang w:val="en-US"/>
        </w:rPr>
        <w:instrText xml:space="preserve"> FORMTEXT </w:instrText>
      </w:r>
      <w:r>
        <w:rPr>
          <w:rFonts w:ascii="黑体" w:hAnsi="Times New Roman" w:eastAsia="黑体" w:cs="Times New Roman"/>
          <w:color w:val="auto"/>
          <w:sz w:val="28"/>
          <w:szCs w:val="20"/>
          <w:lang w:val="en-US"/>
        </w:rPr>
        <w:fldChar w:fldCharType="separate"/>
      </w:r>
      <w:r>
        <w:rPr>
          <w:rFonts w:ascii="黑体" w:hAnsi="Times New Roman" w:eastAsia="黑体" w:cs="Times New Roman"/>
          <w:color w:val="auto"/>
          <w:sz w:val="28"/>
          <w:szCs w:val="20"/>
          <w:lang w:val="en-US"/>
        </w:rPr>
        <w:t>202X</w:t>
      </w:r>
      <w:r>
        <w:rPr>
          <w:rFonts w:ascii="黑体" w:hAnsi="Times New Roman" w:eastAsia="黑体" w:cs="Times New Roman"/>
          <w:color w:val="auto"/>
          <w:sz w:val="28"/>
          <w:szCs w:val="20"/>
          <w:lang w:val="en-US"/>
        </w:rPr>
        <w:fldChar w:fldCharType="end"/>
      </w:r>
      <w:bookmarkEnd w:id="13"/>
      <w:r>
        <w:rPr>
          <w:rFonts w:ascii="Times New Roman" w:hAnsi="Times New Roman" w:eastAsia="黑体" w:cs="Times New Roman"/>
          <w:color w:val="auto"/>
          <w:sz w:val="28"/>
          <w:szCs w:val="20"/>
          <w:lang w:val="en-US"/>
        </w:rPr>
        <w:t xml:space="preserve"> </w:t>
      </w:r>
      <w:r>
        <w:rPr>
          <w:rFonts w:ascii="黑体" w:hAnsi="Times New Roman" w:eastAsia="黑体" w:cs="Times New Roman"/>
          <w:color w:val="auto"/>
          <w:sz w:val="28"/>
          <w:szCs w:val="20"/>
          <w:lang w:val="en-US"/>
        </w:rPr>
        <w:t>-</w:t>
      </w:r>
      <w:r>
        <w:rPr>
          <w:rFonts w:ascii="Times New Roman" w:hAnsi="Times New Roman" w:eastAsia="黑体" w:cs="Times New Roman"/>
          <w:color w:val="auto"/>
          <w:sz w:val="28"/>
          <w:szCs w:val="20"/>
          <w:lang w:val="en-US"/>
        </w:rPr>
        <w:t xml:space="preserve"> </w:t>
      </w:r>
      <w:r>
        <w:rPr>
          <w:rFonts w:ascii="黑体" w:hAnsi="Times New Roman" w:eastAsia="黑体" w:cs="Times New Roman"/>
          <w:color w:val="auto"/>
          <w:sz w:val="28"/>
          <w:szCs w:val="20"/>
          <w:lang w:val="en-US"/>
        </w:rPr>
        <w:fldChar w:fldCharType="begin">
          <w:ffData>
            <w:name w:val="CROT_DATE_M"/>
            <w:enabled/>
            <w:calcOnExit w:val="0"/>
            <w:textInput>
              <w:default w:val="XX"/>
              <w:maxLength w:val="2"/>
            </w:textInput>
          </w:ffData>
        </w:fldChar>
      </w:r>
      <w:bookmarkStart w:id="14" w:name="CROT_DATE_M"/>
      <w:r>
        <w:rPr>
          <w:rFonts w:ascii="黑体" w:hAnsi="Times New Roman" w:eastAsia="黑体" w:cs="Times New Roman"/>
          <w:color w:val="auto"/>
          <w:sz w:val="28"/>
          <w:szCs w:val="20"/>
          <w:lang w:val="en-US"/>
        </w:rPr>
        <w:instrText xml:space="preserve"> FORMTEXT </w:instrText>
      </w:r>
      <w:r>
        <w:rPr>
          <w:rFonts w:ascii="黑体" w:hAnsi="Times New Roman" w:eastAsia="黑体" w:cs="Times New Roman"/>
          <w:color w:val="auto"/>
          <w:sz w:val="28"/>
          <w:szCs w:val="20"/>
          <w:lang w:val="en-US"/>
        </w:rPr>
        <w:fldChar w:fldCharType="separate"/>
      </w:r>
      <w:r>
        <w:rPr>
          <w:rFonts w:ascii="黑体" w:hAnsi="Times New Roman" w:eastAsia="黑体" w:cs="Times New Roman"/>
          <w:color w:val="auto"/>
          <w:sz w:val="28"/>
          <w:szCs w:val="20"/>
          <w:lang w:val="en-US"/>
        </w:rPr>
        <w:t>XX</w:t>
      </w:r>
      <w:r>
        <w:rPr>
          <w:rFonts w:ascii="黑体" w:hAnsi="Times New Roman" w:eastAsia="黑体" w:cs="Times New Roman"/>
          <w:color w:val="auto"/>
          <w:sz w:val="28"/>
          <w:szCs w:val="20"/>
          <w:lang w:val="en-US"/>
        </w:rPr>
        <w:fldChar w:fldCharType="end"/>
      </w:r>
      <w:bookmarkEnd w:id="14"/>
      <w:r>
        <w:rPr>
          <w:rFonts w:ascii="Times New Roman" w:hAnsi="Times New Roman" w:eastAsia="黑体" w:cs="Times New Roman"/>
          <w:color w:val="auto"/>
          <w:sz w:val="28"/>
          <w:szCs w:val="20"/>
          <w:lang w:val="en-US"/>
        </w:rPr>
        <w:t xml:space="preserve"> </w:t>
      </w:r>
      <w:r>
        <w:rPr>
          <w:rFonts w:ascii="黑体" w:hAnsi="Times New Roman" w:eastAsia="黑体" w:cs="Times New Roman"/>
          <w:color w:val="auto"/>
          <w:sz w:val="28"/>
          <w:szCs w:val="20"/>
          <w:lang w:val="en-US"/>
        </w:rPr>
        <w:t>-</w:t>
      </w:r>
      <w:r>
        <w:rPr>
          <w:rFonts w:ascii="Times New Roman" w:hAnsi="Times New Roman" w:eastAsia="黑体" w:cs="Times New Roman"/>
          <w:color w:val="auto"/>
          <w:sz w:val="28"/>
          <w:szCs w:val="20"/>
          <w:lang w:val="en-US"/>
        </w:rPr>
        <w:t xml:space="preserve"> </w:t>
      </w:r>
      <w:r>
        <w:rPr>
          <w:rFonts w:ascii="黑体" w:hAnsi="Times New Roman" w:eastAsia="黑体" w:cs="Times New Roman"/>
          <w:color w:val="auto"/>
          <w:sz w:val="28"/>
          <w:szCs w:val="20"/>
          <w:lang w:val="en-US"/>
        </w:rPr>
        <w:fldChar w:fldCharType="begin">
          <w:ffData>
            <w:name w:val="CROT_DATE_D"/>
            <w:enabled/>
            <w:calcOnExit w:val="0"/>
            <w:textInput>
              <w:default w:val="XX"/>
              <w:maxLength w:val="2"/>
            </w:textInput>
          </w:ffData>
        </w:fldChar>
      </w:r>
      <w:bookmarkStart w:id="15" w:name="CROT_DATE_D"/>
      <w:r>
        <w:rPr>
          <w:rFonts w:ascii="黑体" w:hAnsi="Times New Roman" w:eastAsia="黑体" w:cs="Times New Roman"/>
          <w:color w:val="auto"/>
          <w:sz w:val="28"/>
          <w:szCs w:val="20"/>
          <w:lang w:val="en-US"/>
        </w:rPr>
        <w:instrText xml:space="preserve"> FORMTEXT </w:instrText>
      </w:r>
      <w:r>
        <w:rPr>
          <w:rFonts w:ascii="黑体" w:hAnsi="Times New Roman" w:eastAsia="黑体" w:cs="Times New Roman"/>
          <w:color w:val="auto"/>
          <w:sz w:val="28"/>
          <w:szCs w:val="20"/>
          <w:lang w:val="en-US"/>
        </w:rPr>
        <w:fldChar w:fldCharType="separate"/>
      </w:r>
      <w:r>
        <w:rPr>
          <w:rFonts w:ascii="黑体" w:hAnsi="Times New Roman" w:eastAsia="黑体" w:cs="Times New Roman"/>
          <w:color w:val="auto"/>
          <w:sz w:val="28"/>
          <w:szCs w:val="20"/>
          <w:lang w:val="en-US"/>
        </w:rPr>
        <w:t>XX</w:t>
      </w:r>
      <w:r>
        <w:rPr>
          <w:rFonts w:ascii="黑体" w:hAnsi="Times New Roman" w:eastAsia="黑体" w:cs="Times New Roman"/>
          <w:color w:val="auto"/>
          <w:sz w:val="28"/>
          <w:szCs w:val="20"/>
          <w:lang w:val="en-US"/>
        </w:rPr>
        <w:fldChar w:fldCharType="end"/>
      </w:r>
      <w:bookmarkEnd w:id="15"/>
      <w:r>
        <w:rPr>
          <w:rFonts w:hint="eastAsia" w:ascii="Times New Roman" w:hAnsi="Times New Roman" w:eastAsia="黑体" w:cs="Times New Roman"/>
          <w:color w:val="auto"/>
          <w:sz w:val="28"/>
          <w:szCs w:val="20"/>
          <w:lang w:val="en-US"/>
        </w:rPr>
        <w:t>实施</w:t>
      </w:r>
    </w:p>
    <w:tbl>
      <w:tblPr>
        <w:tblStyle w:val="25"/>
        <w:tblpPr w:leftFromText="180" w:rightFromText="180" w:vertAnchor="text" w:horzAnchor="margin" w:tblpXSpec="right" w:tblpY="14609"/>
        <w:tblW w:w="8472" w:type="dxa"/>
        <w:tblInd w:w="0" w:type="dxa"/>
        <w:tblLayout w:type="fixed"/>
        <w:tblCellMar>
          <w:top w:w="0" w:type="dxa"/>
          <w:left w:w="108" w:type="dxa"/>
          <w:bottom w:w="0" w:type="dxa"/>
          <w:right w:w="108" w:type="dxa"/>
        </w:tblCellMar>
      </w:tblPr>
      <w:tblGrid>
        <w:gridCol w:w="5019"/>
        <w:gridCol w:w="3453"/>
      </w:tblGrid>
      <w:tr>
        <w:tblPrEx>
          <w:tblCellMar>
            <w:top w:w="0" w:type="dxa"/>
            <w:left w:w="108" w:type="dxa"/>
            <w:bottom w:w="0" w:type="dxa"/>
            <w:right w:w="108" w:type="dxa"/>
          </w:tblCellMar>
        </w:tblPrEx>
        <w:tc>
          <w:tcPr>
            <w:tcW w:w="5019" w:type="dxa"/>
          </w:tcPr>
          <w:p>
            <w:pPr>
              <w:widowControl/>
              <w:spacing w:line="0" w:lineRule="atLeast"/>
              <w:jc w:val="distribute"/>
              <w:rPr>
                <w:rFonts w:ascii="Times New Roman" w:hAnsi="Times New Roman" w:eastAsia="黑体" w:cs="Times New Roman"/>
                <w:color w:val="auto"/>
                <w:w w:val="135"/>
                <w:sz w:val="28"/>
                <w:szCs w:val="16"/>
                <w:lang w:val="en-US"/>
              </w:rPr>
            </w:pPr>
            <w:r>
              <w:rPr>
                <w:rFonts w:ascii="Times New Roman" w:hAnsi="Times New Roman" w:eastAsia="黑体" w:cs="Times New Roman"/>
                <w:color w:val="auto"/>
                <w:w w:val="135"/>
                <w:sz w:val="28"/>
                <w:szCs w:val="16"/>
                <w:lang w:val="en-US"/>
              </w:rPr>
              <w:t>湖北省住房和城乡建设厅</w:t>
            </w:r>
          </w:p>
        </w:tc>
        <w:tc>
          <w:tcPr>
            <w:tcW w:w="3453" w:type="dxa"/>
            <w:vMerge w:val="restart"/>
            <w:vAlign w:val="center"/>
          </w:tcPr>
          <w:p>
            <w:pPr>
              <w:widowControl/>
              <w:spacing w:line="0" w:lineRule="atLeast"/>
              <w:jc w:val="center"/>
              <w:rPr>
                <w:rFonts w:ascii="Times New Roman" w:hAnsi="Times New Roman" w:eastAsia="黑体" w:cs="Times New Roman"/>
                <w:color w:val="auto"/>
                <w:w w:val="135"/>
                <w:sz w:val="36"/>
                <w:szCs w:val="20"/>
                <w:lang w:val="en-US"/>
              </w:rPr>
            </w:pPr>
            <w:r>
              <w:rPr>
                <w:rFonts w:ascii="Times New Roman" w:hAnsi="Times New Roman" w:eastAsia="黑体" w:cs="Times New Roman"/>
                <w:color w:val="auto"/>
                <w:spacing w:val="85"/>
                <w:position w:val="3"/>
                <w:sz w:val="28"/>
                <w:szCs w:val="28"/>
                <w:lang w:val="en-US"/>
              </w:rPr>
              <w:t>联合发布</w:t>
            </w:r>
          </w:p>
        </w:tc>
      </w:tr>
      <w:tr>
        <w:tblPrEx>
          <w:tblCellMar>
            <w:top w:w="0" w:type="dxa"/>
            <w:left w:w="108" w:type="dxa"/>
            <w:bottom w:w="0" w:type="dxa"/>
            <w:right w:w="108" w:type="dxa"/>
          </w:tblCellMar>
        </w:tblPrEx>
        <w:tc>
          <w:tcPr>
            <w:tcW w:w="5019" w:type="dxa"/>
          </w:tcPr>
          <w:p>
            <w:pPr>
              <w:widowControl/>
              <w:spacing w:line="0" w:lineRule="atLeast"/>
              <w:jc w:val="distribute"/>
              <w:rPr>
                <w:rFonts w:ascii="Times New Roman" w:hAnsi="Times New Roman" w:eastAsia="黑体" w:cs="Times New Roman"/>
                <w:color w:val="auto"/>
                <w:w w:val="135"/>
                <w:sz w:val="28"/>
                <w:szCs w:val="16"/>
                <w:lang w:val="en-US"/>
              </w:rPr>
            </w:pPr>
            <w:r>
              <w:rPr>
                <w:rFonts w:ascii="Times New Roman" w:hAnsi="Times New Roman" w:eastAsia="黑体" w:cs="Times New Roman"/>
                <w:color w:val="auto"/>
                <w:w w:val="135"/>
                <w:sz w:val="28"/>
                <w:szCs w:val="16"/>
                <w:lang w:val="en-US"/>
              </w:rPr>
              <w:t xml:space="preserve">湖北省市场监督管理局    </w:t>
            </w:r>
          </w:p>
        </w:tc>
        <w:tc>
          <w:tcPr>
            <w:tcW w:w="3453" w:type="dxa"/>
            <w:vMerge w:val="continue"/>
          </w:tcPr>
          <w:p>
            <w:pPr>
              <w:widowControl/>
              <w:spacing w:line="0" w:lineRule="atLeast"/>
              <w:jc w:val="both"/>
              <w:rPr>
                <w:rFonts w:ascii="Times New Roman" w:hAnsi="Times New Roman" w:eastAsia="黑体" w:cs="Times New Roman"/>
                <w:color w:val="auto"/>
                <w:w w:val="135"/>
                <w:sz w:val="36"/>
                <w:szCs w:val="20"/>
                <w:lang w:val="en-US"/>
              </w:rPr>
            </w:pPr>
          </w:p>
        </w:tc>
      </w:tr>
    </w:tbl>
    <w:p>
      <w:pPr>
        <w:adjustRightInd w:val="0"/>
        <w:spacing w:line="400" w:lineRule="exact"/>
        <w:jc w:val="both"/>
        <w:rPr>
          <w:rFonts w:ascii="宋体" w:hAnsi="宋体" w:eastAsia="宋体" w:cs="Times New Roman"/>
          <w:color w:val="auto"/>
          <w:kern w:val="2"/>
          <w:sz w:val="28"/>
          <w:szCs w:val="28"/>
          <w:lang w:val="en-US"/>
        </w:rPr>
        <w:sectPr>
          <w:headerReference r:id="rId5" w:type="first"/>
          <w:footerReference r:id="rId7" w:type="first"/>
          <w:headerReference r:id="rId3" w:type="default"/>
          <w:headerReference r:id="rId4" w:type="even"/>
          <w:footerReference r:id="rId6" w:type="even"/>
          <w:pgSz w:w="11906" w:h="16838"/>
          <w:pgMar w:top="-338" w:right="1134" w:bottom="1021" w:left="1134" w:header="0" w:footer="0" w:gutter="284"/>
          <w:cols w:space="425" w:num="1"/>
          <w:titlePg/>
          <w:docGrid w:linePitch="312" w:charSpace="0"/>
        </w:sectPr>
      </w:pPr>
      <w:r>
        <w:rPr>
          <w:rFonts w:hint="eastAsia" w:ascii="宋体" w:hAnsi="宋体" w:eastAsia="宋体" w:cs="Times New Roman"/>
          <w:color w:val="auto"/>
          <w:kern w:val="2"/>
          <w:sz w:val="28"/>
          <w:szCs w:val="28"/>
          <w:lang w:val="en-US"/>
        </w:rPr>
        <mc:AlternateContent>
          <mc:Choice Requires="wps">
            <w:drawing>
              <wp:anchor distT="0" distB="0" distL="114300" distR="114300" simplePos="0" relativeHeight="251665408" behindDoc="0" locked="1" layoutInCell="1" allowOverlap="1">
                <wp:simplePos x="0" y="0"/>
                <wp:positionH relativeFrom="page">
                  <wp:posOffset>899795</wp:posOffset>
                </wp:positionH>
                <wp:positionV relativeFrom="page">
                  <wp:posOffset>9253220</wp:posOffset>
                </wp:positionV>
                <wp:extent cx="6120130" cy="0"/>
                <wp:effectExtent l="0" t="0" r="0" b="0"/>
                <wp:wrapNone/>
                <wp:docPr id="20" name="直接连接符 20"/>
                <wp:cNvGraphicFramePr/>
                <a:graphic xmlns:a="http://schemas.openxmlformats.org/drawingml/2006/main">
                  <a:graphicData uri="http://schemas.microsoft.com/office/word/2010/wordprocessingShape">
                    <wps:wsp>
                      <wps:cNvCnPr>
                        <a:cxnSpLocks noChangeShapeType="true"/>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5408;mso-width-relative:page;mso-height-relative:page;" filled="f" stroked="t" coordsize="21600,21600" o:gfxdata="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WAAAAZHJzL1BLAQIUABQAAAAIAIdO4kCrMxz71wAAAA4BAAAP&#10;AAAAAAAAAAEAIAAAADgAAABkcnMvZG93bnJldi54bWxQSwECFAAUAAAACACHTuJAR7abiMoBAABh&#10;AwAADgAAAAAAAAABACAAAAA8AQAAZHJzL2Uyb0RvYy54bWxQSwUGAAAAAAYABgBZAQAAeAUAAAAA&#10;">
                <v:fill on="f" focussize="0,0"/>
                <v:stroke color="#000000" joinstyle="round"/>
                <v:imagedata o:title=""/>
                <o:lock v:ext="edit" aspectratio="f"/>
                <w10:anchorlock/>
              </v:line>
            </w:pict>
          </mc:Fallback>
        </mc:AlternateContent>
      </w:r>
    </w:p>
    <w:bookmarkEnd w:id="0"/>
    <w:bookmarkEnd w:id="8"/>
    <w:p>
      <w:pPr>
        <w:widowControl/>
        <w:rPr>
          <w:rFonts w:ascii="Times New Roman" w:hAnsi="Times New Roman" w:eastAsia="宋体" w:cs="Times New Roman"/>
          <w:sz w:val="2"/>
          <w:szCs w:val="2"/>
          <w:lang w:val="en-US"/>
        </w:rPr>
      </w:pPr>
    </w:p>
    <w:p>
      <w:pPr>
        <w:jc w:val="center"/>
        <w:rPr>
          <w:rFonts w:ascii="黑体" w:hAnsi="黑体" w:eastAsia="黑体"/>
          <w:sz w:val="32"/>
          <w:szCs w:val="32"/>
          <w:lang w:val="en-US"/>
        </w:rPr>
      </w:pPr>
      <w:r>
        <w:rPr>
          <w:rFonts w:hint="eastAsia" w:ascii="黑体" w:hAnsi="黑体" w:eastAsia="黑体"/>
          <w:sz w:val="32"/>
          <w:szCs w:val="32"/>
          <w:lang w:val="en-US"/>
        </w:rPr>
        <w:t xml:space="preserve">目 </w:t>
      </w:r>
      <w:r>
        <w:rPr>
          <w:rFonts w:ascii="黑体" w:hAnsi="黑体" w:eastAsia="黑体"/>
          <w:sz w:val="32"/>
          <w:szCs w:val="32"/>
          <w:lang w:val="en-US"/>
        </w:rPr>
        <w:t xml:space="preserve"> </w:t>
      </w:r>
      <w:r>
        <w:rPr>
          <w:rFonts w:hint="eastAsia" w:ascii="黑体" w:hAnsi="黑体" w:eastAsia="黑体"/>
          <w:sz w:val="32"/>
          <w:szCs w:val="32"/>
          <w:lang w:val="en-US"/>
        </w:rPr>
        <w:t>次</w:t>
      </w:r>
    </w:p>
    <w:p>
      <w:pPr>
        <w:jc w:val="center"/>
        <w:rPr>
          <w:rFonts w:ascii="黑体" w:hAnsi="黑体" w:eastAsia="黑体"/>
          <w:sz w:val="32"/>
          <w:szCs w:val="32"/>
          <w:lang w:val="en-US"/>
        </w:rPr>
      </w:pPr>
    </w:p>
    <w:p>
      <w:pPr>
        <w:pStyle w:val="20"/>
        <w:rPr>
          <w:rFonts w:hAnsi="宋体"/>
          <w:kern w:val="2"/>
          <w:szCs w:val="21"/>
        </w:rPr>
      </w:pPr>
      <w:r>
        <w:rPr>
          <w:rFonts w:hAnsi="宋体" w:cs="Times New Roman"/>
          <w:szCs w:val="21"/>
        </w:rPr>
        <w:fldChar w:fldCharType="begin"/>
      </w:r>
      <w:r>
        <w:rPr>
          <w:rFonts w:hAnsi="宋体" w:cs="Times New Roman"/>
          <w:szCs w:val="21"/>
        </w:rPr>
        <w:instrText xml:space="preserve">TOC \o "1-3" \h \z \u</w:instrText>
      </w:r>
      <w:r>
        <w:rPr>
          <w:rFonts w:hAnsi="宋体" w:cs="Times New Roman"/>
          <w:szCs w:val="21"/>
        </w:rPr>
        <w:fldChar w:fldCharType="separate"/>
      </w:r>
      <w:r>
        <w:fldChar w:fldCharType="begin"/>
      </w:r>
      <w:r>
        <w:instrText xml:space="preserve"> HYPERLINK \l "_Toc172187809" </w:instrText>
      </w:r>
      <w:r>
        <w:fldChar w:fldCharType="separate"/>
      </w:r>
      <w:r>
        <w:rPr>
          <w:rStyle w:val="28"/>
          <w:rFonts w:hAnsi="宋体"/>
          <w:szCs w:val="21"/>
        </w:rPr>
        <w:t>前    言</w:t>
      </w:r>
      <w:r>
        <w:rPr>
          <w:rFonts w:hAnsi="宋体"/>
          <w:szCs w:val="21"/>
        </w:rPr>
        <w:tab/>
      </w:r>
      <w:r>
        <w:rPr>
          <w:rFonts w:hAnsi="宋体"/>
          <w:szCs w:val="21"/>
        </w:rPr>
        <w:fldChar w:fldCharType="begin"/>
      </w:r>
      <w:r>
        <w:rPr>
          <w:rFonts w:hAnsi="宋体"/>
          <w:szCs w:val="21"/>
        </w:rPr>
        <w:instrText xml:space="preserve"> PAGEREF _Toc172187809 \h </w:instrText>
      </w:r>
      <w:r>
        <w:rPr>
          <w:rFonts w:hAnsi="宋体"/>
          <w:szCs w:val="21"/>
        </w:rPr>
        <w:fldChar w:fldCharType="separate"/>
      </w:r>
      <w:r>
        <w:rPr>
          <w:rFonts w:hAnsi="宋体"/>
          <w:szCs w:val="21"/>
        </w:rPr>
        <w:t>1</w:t>
      </w:r>
      <w:r>
        <w:rPr>
          <w:rFonts w:hAnsi="宋体"/>
          <w:szCs w:val="21"/>
        </w:rPr>
        <w:fldChar w:fldCharType="end"/>
      </w:r>
      <w:r>
        <w:rPr>
          <w:rFonts w:hAnsi="宋体"/>
          <w:szCs w:val="21"/>
        </w:rPr>
        <w:fldChar w:fldCharType="end"/>
      </w:r>
    </w:p>
    <w:p>
      <w:pPr>
        <w:pStyle w:val="20"/>
        <w:rPr>
          <w:rFonts w:hAnsi="宋体"/>
          <w:kern w:val="2"/>
          <w:szCs w:val="21"/>
        </w:rPr>
      </w:pPr>
      <w:r>
        <w:fldChar w:fldCharType="begin"/>
      </w:r>
      <w:r>
        <w:instrText xml:space="preserve"> HYPERLINK \l "_Toc172187810" </w:instrText>
      </w:r>
      <w:r>
        <w:fldChar w:fldCharType="separate"/>
      </w:r>
      <w:r>
        <w:rPr>
          <w:rStyle w:val="28"/>
          <w:rFonts w:hAnsi="宋体"/>
          <w:szCs w:val="21"/>
        </w:rPr>
        <w:t>1  范围</w:t>
      </w:r>
      <w:r>
        <w:rPr>
          <w:rFonts w:hAnsi="宋体"/>
          <w:szCs w:val="21"/>
        </w:rPr>
        <w:tab/>
      </w:r>
      <w:r>
        <w:rPr>
          <w:rFonts w:hAnsi="宋体"/>
          <w:szCs w:val="21"/>
        </w:rPr>
        <w:fldChar w:fldCharType="begin"/>
      </w:r>
      <w:r>
        <w:rPr>
          <w:rFonts w:hAnsi="宋体"/>
          <w:szCs w:val="21"/>
        </w:rPr>
        <w:instrText xml:space="preserve"> PAGEREF _Toc172187810 \h </w:instrText>
      </w:r>
      <w:r>
        <w:rPr>
          <w:rFonts w:hAnsi="宋体"/>
          <w:szCs w:val="21"/>
        </w:rPr>
        <w:fldChar w:fldCharType="separate"/>
      </w:r>
      <w:r>
        <w:rPr>
          <w:rFonts w:hAnsi="宋体"/>
          <w:szCs w:val="21"/>
        </w:rPr>
        <w:t>2</w:t>
      </w:r>
      <w:r>
        <w:rPr>
          <w:rFonts w:hAnsi="宋体"/>
          <w:szCs w:val="21"/>
        </w:rPr>
        <w:fldChar w:fldCharType="end"/>
      </w:r>
      <w:r>
        <w:rPr>
          <w:rFonts w:hAnsi="宋体"/>
          <w:szCs w:val="21"/>
        </w:rPr>
        <w:fldChar w:fldCharType="end"/>
      </w:r>
    </w:p>
    <w:p>
      <w:pPr>
        <w:pStyle w:val="20"/>
        <w:rPr>
          <w:rFonts w:hAnsi="宋体"/>
          <w:kern w:val="2"/>
          <w:szCs w:val="21"/>
        </w:rPr>
      </w:pPr>
      <w:r>
        <w:fldChar w:fldCharType="begin"/>
      </w:r>
      <w:r>
        <w:instrText xml:space="preserve"> HYPERLINK \l "_Toc172187811" </w:instrText>
      </w:r>
      <w:r>
        <w:fldChar w:fldCharType="separate"/>
      </w:r>
      <w:r>
        <w:rPr>
          <w:rStyle w:val="28"/>
          <w:rFonts w:hAnsi="宋体"/>
          <w:szCs w:val="21"/>
        </w:rPr>
        <w:t>2  规范性引用文件</w:t>
      </w:r>
      <w:r>
        <w:rPr>
          <w:rFonts w:hAnsi="宋体"/>
          <w:szCs w:val="21"/>
        </w:rPr>
        <w:tab/>
      </w:r>
      <w:r>
        <w:rPr>
          <w:rFonts w:hAnsi="宋体"/>
          <w:szCs w:val="21"/>
        </w:rPr>
        <w:fldChar w:fldCharType="begin"/>
      </w:r>
      <w:r>
        <w:rPr>
          <w:rFonts w:hAnsi="宋体"/>
          <w:szCs w:val="21"/>
        </w:rPr>
        <w:instrText xml:space="preserve"> PAGEREF _Toc172187811 \h </w:instrText>
      </w:r>
      <w:r>
        <w:rPr>
          <w:rFonts w:hAnsi="宋体"/>
          <w:szCs w:val="21"/>
        </w:rPr>
        <w:fldChar w:fldCharType="separate"/>
      </w:r>
      <w:r>
        <w:rPr>
          <w:rFonts w:hAnsi="宋体"/>
          <w:szCs w:val="21"/>
        </w:rPr>
        <w:t>2</w:t>
      </w:r>
      <w:r>
        <w:rPr>
          <w:rFonts w:hAnsi="宋体"/>
          <w:szCs w:val="21"/>
        </w:rPr>
        <w:fldChar w:fldCharType="end"/>
      </w:r>
      <w:r>
        <w:rPr>
          <w:rFonts w:hAnsi="宋体"/>
          <w:szCs w:val="21"/>
        </w:rPr>
        <w:fldChar w:fldCharType="end"/>
      </w:r>
    </w:p>
    <w:p>
      <w:pPr>
        <w:pStyle w:val="20"/>
        <w:rPr>
          <w:rFonts w:hAnsi="宋体"/>
          <w:kern w:val="2"/>
          <w:szCs w:val="21"/>
        </w:rPr>
      </w:pPr>
      <w:r>
        <w:fldChar w:fldCharType="begin"/>
      </w:r>
      <w:r>
        <w:instrText xml:space="preserve"> HYPERLINK \l "_Toc172187812" </w:instrText>
      </w:r>
      <w:r>
        <w:fldChar w:fldCharType="separate"/>
      </w:r>
      <w:r>
        <w:rPr>
          <w:rStyle w:val="28"/>
          <w:rFonts w:hAnsi="宋体"/>
          <w:szCs w:val="21"/>
        </w:rPr>
        <w:t>3  术语和定义</w:t>
      </w:r>
      <w:r>
        <w:rPr>
          <w:rFonts w:hAnsi="宋体"/>
          <w:szCs w:val="21"/>
        </w:rPr>
        <w:tab/>
      </w:r>
      <w:r>
        <w:rPr>
          <w:rFonts w:hAnsi="宋体"/>
          <w:szCs w:val="21"/>
        </w:rPr>
        <w:fldChar w:fldCharType="begin"/>
      </w:r>
      <w:r>
        <w:rPr>
          <w:rFonts w:hAnsi="宋体"/>
          <w:szCs w:val="21"/>
        </w:rPr>
        <w:instrText xml:space="preserve"> PAGEREF _Toc172187812 \h </w:instrText>
      </w:r>
      <w:r>
        <w:rPr>
          <w:rFonts w:hAnsi="宋体"/>
          <w:szCs w:val="21"/>
        </w:rPr>
        <w:fldChar w:fldCharType="separate"/>
      </w:r>
      <w:r>
        <w:rPr>
          <w:rFonts w:hAnsi="宋体"/>
          <w:szCs w:val="21"/>
        </w:rPr>
        <w:t>2</w:t>
      </w:r>
      <w:r>
        <w:rPr>
          <w:rFonts w:hAnsi="宋体"/>
          <w:szCs w:val="21"/>
        </w:rPr>
        <w:fldChar w:fldCharType="end"/>
      </w:r>
      <w:r>
        <w:rPr>
          <w:rFonts w:hAnsi="宋体"/>
          <w:szCs w:val="21"/>
        </w:rPr>
        <w:fldChar w:fldCharType="end"/>
      </w:r>
    </w:p>
    <w:p>
      <w:pPr>
        <w:pStyle w:val="11"/>
        <w:rPr>
          <w:rFonts w:ascii="宋体" w:hAnsi="宋体"/>
          <w:kern w:val="2"/>
          <w:sz w:val="21"/>
          <w:szCs w:val="21"/>
        </w:rPr>
      </w:pPr>
      <w:r>
        <w:fldChar w:fldCharType="begin"/>
      </w:r>
      <w:r>
        <w:instrText xml:space="preserve"> HYPERLINK \l "_Toc172187813" </w:instrText>
      </w:r>
      <w:r>
        <w:fldChar w:fldCharType="separate"/>
      </w:r>
      <w:r>
        <w:rPr>
          <w:rStyle w:val="28"/>
          <w:rFonts w:ascii="宋体" w:hAnsi="宋体"/>
          <w:szCs w:val="21"/>
        </w:rPr>
        <w:t>3.1  术语</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_Toc172187813 \h </w:instrText>
      </w:r>
      <w:r>
        <w:rPr>
          <w:rFonts w:ascii="宋体" w:hAnsi="宋体"/>
          <w:sz w:val="21"/>
          <w:szCs w:val="21"/>
        </w:rPr>
        <w:fldChar w:fldCharType="separate"/>
      </w:r>
      <w:r>
        <w:rPr>
          <w:rFonts w:ascii="宋体" w:hAnsi="宋体"/>
          <w:sz w:val="21"/>
          <w:szCs w:val="21"/>
        </w:rPr>
        <w:t>2</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"_Toc172187814" </w:instrText>
      </w:r>
      <w:r>
        <w:fldChar w:fldCharType="separate"/>
      </w:r>
      <w:r>
        <w:rPr>
          <w:rStyle w:val="28"/>
          <w:rFonts w:ascii="宋体" w:hAnsi="宋体"/>
          <w:szCs w:val="21"/>
        </w:rPr>
        <w:t>3.2  符号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_Toc172187814 \h </w:instrText>
      </w:r>
      <w:r>
        <w:rPr>
          <w:rFonts w:ascii="宋体" w:hAnsi="宋体"/>
          <w:sz w:val="21"/>
          <w:szCs w:val="21"/>
        </w:rPr>
        <w:fldChar w:fldCharType="separate"/>
      </w:r>
      <w:r>
        <w:rPr>
          <w:rFonts w:ascii="宋体" w:hAnsi="宋体"/>
          <w:sz w:val="21"/>
          <w:szCs w:val="21"/>
        </w:rPr>
        <w:t>3</w:t>
      </w:r>
      <w:r>
        <w:rPr>
          <w:rFonts w:ascii="宋体" w:hAnsi="宋体"/>
          <w:sz w:val="21"/>
          <w:szCs w:val="21"/>
        </w:rPr>
        <w:fldChar w:fldCharType="end"/>
      </w:r>
      <w:r>
        <w:rPr>
          <w:rFonts w:ascii="宋体" w:hAnsi="宋体"/>
          <w:sz w:val="21"/>
          <w:szCs w:val="21"/>
        </w:rPr>
        <w:fldChar w:fldCharType="end"/>
      </w:r>
    </w:p>
    <w:p>
      <w:pPr>
        <w:pStyle w:val="20"/>
        <w:rPr>
          <w:rFonts w:hAnsi="宋体"/>
          <w:kern w:val="2"/>
          <w:szCs w:val="21"/>
        </w:rPr>
      </w:pPr>
      <w:r>
        <w:fldChar w:fldCharType="begin"/>
      </w:r>
      <w:r>
        <w:instrText xml:space="preserve"> HYPERLINK \l "_Toc172187815" </w:instrText>
      </w:r>
      <w:r>
        <w:fldChar w:fldCharType="separate"/>
      </w:r>
      <w:r>
        <w:rPr>
          <w:rStyle w:val="28"/>
          <w:rFonts w:hAnsi="宋体"/>
          <w:szCs w:val="21"/>
        </w:rPr>
        <w:t>4 基本规定</w:t>
      </w:r>
      <w:r>
        <w:rPr>
          <w:rFonts w:hAnsi="宋体"/>
          <w:szCs w:val="21"/>
        </w:rPr>
        <w:tab/>
      </w:r>
      <w:r>
        <w:rPr>
          <w:rFonts w:hAnsi="宋体"/>
          <w:szCs w:val="21"/>
        </w:rPr>
        <w:fldChar w:fldCharType="begin"/>
      </w:r>
      <w:r>
        <w:rPr>
          <w:rFonts w:hAnsi="宋体"/>
          <w:szCs w:val="21"/>
        </w:rPr>
        <w:instrText xml:space="preserve"> PAGEREF _Toc172187815 \h </w:instrText>
      </w:r>
      <w:r>
        <w:rPr>
          <w:rFonts w:hAnsi="宋体"/>
          <w:szCs w:val="21"/>
        </w:rPr>
        <w:fldChar w:fldCharType="separate"/>
      </w:r>
      <w:r>
        <w:rPr>
          <w:rFonts w:hAnsi="宋体"/>
          <w:szCs w:val="21"/>
        </w:rPr>
        <w:t>4</w:t>
      </w:r>
      <w:r>
        <w:rPr>
          <w:rFonts w:hAnsi="宋体"/>
          <w:szCs w:val="21"/>
        </w:rPr>
        <w:fldChar w:fldCharType="end"/>
      </w:r>
      <w:r>
        <w:rPr>
          <w:rFonts w:hAnsi="宋体"/>
          <w:szCs w:val="21"/>
        </w:rPr>
        <w:fldChar w:fldCharType="end"/>
      </w:r>
    </w:p>
    <w:p>
      <w:pPr>
        <w:pStyle w:val="20"/>
        <w:rPr>
          <w:rFonts w:hAnsi="宋体"/>
          <w:kern w:val="2"/>
          <w:szCs w:val="21"/>
        </w:rPr>
      </w:pPr>
      <w:r>
        <w:fldChar w:fldCharType="begin"/>
      </w:r>
      <w:r>
        <w:instrText xml:space="preserve"> HYPERLINK \l "_Toc172187816" </w:instrText>
      </w:r>
      <w:r>
        <w:fldChar w:fldCharType="separate"/>
      </w:r>
      <w:r>
        <w:rPr>
          <w:rStyle w:val="28"/>
          <w:rFonts w:hAnsi="宋体"/>
          <w:szCs w:val="21"/>
        </w:rPr>
        <w:t>5 材料</w:t>
      </w:r>
      <w:r>
        <w:rPr>
          <w:rFonts w:hAnsi="宋体"/>
          <w:szCs w:val="21"/>
        </w:rPr>
        <w:tab/>
      </w:r>
      <w:r>
        <w:rPr>
          <w:rFonts w:hAnsi="宋体"/>
          <w:szCs w:val="21"/>
        </w:rPr>
        <w:fldChar w:fldCharType="begin"/>
      </w:r>
      <w:r>
        <w:rPr>
          <w:rFonts w:hAnsi="宋体"/>
          <w:szCs w:val="21"/>
        </w:rPr>
        <w:instrText xml:space="preserve"> PAGEREF _Toc172187816 \h </w:instrText>
      </w:r>
      <w:r>
        <w:rPr>
          <w:rFonts w:hAnsi="宋体"/>
          <w:szCs w:val="21"/>
        </w:rPr>
        <w:fldChar w:fldCharType="separate"/>
      </w:r>
      <w:r>
        <w:rPr>
          <w:rFonts w:hAnsi="宋体"/>
          <w:szCs w:val="21"/>
        </w:rPr>
        <w:t>5</w:t>
      </w:r>
      <w:r>
        <w:rPr>
          <w:rFonts w:hAnsi="宋体"/>
          <w:szCs w:val="21"/>
        </w:rPr>
        <w:fldChar w:fldCharType="end"/>
      </w:r>
      <w:r>
        <w:rPr>
          <w:rFonts w:hAnsi="宋体"/>
          <w:szCs w:val="21"/>
        </w:rPr>
        <w:fldChar w:fldCharType="end"/>
      </w:r>
    </w:p>
    <w:p>
      <w:pPr>
        <w:pStyle w:val="11"/>
        <w:rPr>
          <w:rFonts w:ascii="宋体" w:hAnsi="宋体"/>
          <w:kern w:val="2"/>
          <w:sz w:val="21"/>
          <w:szCs w:val="21"/>
        </w:rPr>
      </w:pPr>
      <w:r>
        <w:fldChar w:fldCharType="begin"/>
      </w:r>
      <w:r>
        <w:instrText xml:space="preserve"> HYPERLINK \l "_Toc172187817" </w:instrText>
      </w:r>
      <w:r>
        <w:fldChar w:fldCharType="separate"/>
      </w:r>
      <w:r>
        <w:rPr>
          <w:rStyle w:val="28"/>
          <w:rFonts w:ascii="宋体" w:hAnsi="宋体"/>
          <w:szCs w:val="21"/>
        </w:rPr>
        <w:t>5.1 混凝土、钢筋和钢材</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_Toc172187817 \h </w:instrText>
      </w:r>
      <w:r>
        <w:rPr>
          <w:rFonts w:ascii="宋体" w:hAnsi="宋体"/>
          <w:sz w:val="21"/>
          <w:szCs w:val="21"/>
        </w:rPr>
        <w:fldChar w:fldCharType="separate"/>
      </w:r>
      <w:r>
        <w:rPr>
          <w:rFonts w:ascii="宋体" w:hAnsi="宋体"/>
          <w:sz w:val="21"/>
          <w:szCs w:val="21"/>
        </w:rPr>
        <w:t>5</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"_Toc172187818" </w:instrText>
      </w:r>
      <w:r>
        <w:fldChar w:fldCharType="separate"/>
      </w:r>
      <w:r>
        <w:rPr>
          <w:rStyle w:val="28"/>
          <w:rFonts w:ascii="宋体" w:hAnsi="宋体"/>
          <w:szCs w:val="21"/>
        </w:rPr>
        <w:t>5.2 连接材料</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_Toc172187818 \h </w:instrText>
      </w:r>
      <w:r>
        <w:rPr>
          <w:rFonts w:ascii="宋体" w:hAnsi="宋体"/>
          <w:sz w:val="21"/>
          <w:szCs w:val="21"/>
        </w:rPr>
        <w:fldChar w:fldCharType="separate"/>
      </w:r>
      <w:r>
        <w:rPr>
          <w:rFonts w:ascii="宋体" w:hAnsi="宋体"/>
          <w:sz w:val="21"/>
          <w:szCs w:val="21"/>
        </w:rPr>
        <w:t>5</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"_Toc172187819" </w:instrText>
      </w:r>
      <w:r>
        <w:fldChar w:fldCharType="separate"/>
      </w:r>
      <w:r>
        <w:rPr>
          <w:rStyle w:val="28"/>
          <w:rFonts w:ascii="宋体" w:hAnsi="宋体"/>
          <w:szCs w:val="21"/>
        </w:rPr>
        <w:t>5.3 吊环及预埋件</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_Toc172187819 \h </w:instrText>
      </w:r>
      <w:r>
        <w:rPr>
          <w:rFonts w:ascii="宋体" w:hAnsi="宋体"/>
          <w:sz w:val="21"/>
          <w:szCs w:val="21"/>
        </w:rPr>
        <w:fldChar w:fldCharType="separate"/>
      </w:r>
      <w:r>
        <w:rPr>
          <w:rFonts w:ascii="宋体" w:hAnsi="宋体"/>
          <w:sz w:val="21"/>
          <w:szCs w:val="21"/>
        </w:rPr>
        <w:t>6</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"_Toc172187820" </w:instrText>
      </w:r>
      <w:r>
        <w:fldChar w:fldCharType="separate"/>
      </w:r>
      <w:r>
        <w:rPr>
          <w:rStyle w:val="28"/>
          <w:rFonts w:ascii="宋体" w:hAnsi="宋体"/>
          <w:szCs w:val="21"/>
        </w:rPr>
        <w:t>5.4 其他材料</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_Toc172187820 \h </w:instrText>
      </w:r>
      <w:r>
        <w:rPr>
          <w:rFonts w:ascii="宋体" w:hAnsi="宋体"/>
          <w:sz w:val="21"/>
          <w:szCs w:val="21"/>
        </w:rPr>
        <w:fldChar w:fldCharType="separate"/>
      </w:r>
      <w:r>
        <w:rPr>
          <w:rFonts w:ascii="宋体" w:hAnsi="宋体"/>
          <w:sz w:val="21"/>
          <w:szCs w:val="21"/>
        </w:rPr>
        <w:t>6</w:t>
      </w:r>
      <w:r>
        <w:rPr>
          <w:rFonts w:ascii="宋体" w:hAnsi="宋体"/>
          <w:sz w:val="21"/>
          <w:szCs w:val="21"/>
        </w:rPr>
        <w:fldChar w:fldCharType="end"/>
      </w:r>
      <w:r>
        <w:rPr>
          <w:rFonts w:ascii="宋体" w:hAnsi="宋体"/>
          <w:sz w:val="21"/>
          <w:szCs w:val="21"/>
        </w:rPr>
        <w:fldChar w:fldCharType="end"/>
      </w:r>
    </w:p>
    <w:p>
      <w:pPr>
        <w:pStyle w:val="20"/>
        <w:rPr>
          <w:rFonts w:hAnsi="宋体"/>
          <w:kern w:val="2"/>
          <w:szCs w:val="21"/>
        </w:rPr>
      </w:pPr>
      <w:r>
        <w:fldChar w:fldCharType="begin"/>
      </w:r>
      <w:r>
        <w:instrText xml:space="preserve"> HYPERLINK \l "_Toc172187821" </w:instrText>
      </w:r>
      <w:r>
        <w:fldChar w:fldCharType="separate"/>
      </w:r>
      <w:r>
        <w:rPr>
          <w:rStyle w:val="28"/>
          <w:rFonts w:hAnsi="宋体"/>
          <w:szCs w:val="21"/>
        </w:rPr>
        <w:t>6 建筑设计</w:t>
      </w:r>
      <w:r>
        <w:rPr>
          <w:rFonts w:hAnsi="宋体"/>
          <w:szCs w:val="21"/>
        </w:rPr>
        <w:tab/>
      </w:r>
      <w:r>
        <w:rPr>
          <w:rFonts w:hAnsi="宋体"/>
          <w:szCs w:val="21"/>
        </w:rPr>
        <w:fldChar w:fldCharType="begin"/>
      </w:r>
      <w:r>
        <w:rPr>
          <w:rFonts w:hAnsi="宋体"/>
          <w:szCs w:val="21"/>
        </w:rPr>
        <w:instrText xml:space="preserve"> PAGEREF _Toc172187821 \h </w:instrText>
      </w:r>
      <w:r>
        <w:rPr>
          <w:rFonts w:hAnsi="宋体"/>
          <w:szCs w:val="21"/>
        </w:rPr>
        <w:fldChar w:fldCharType="separate"/>
      </w:r>
      <w:r>
        <w:rPr>
          <w:rFonts w:hAnsi="宋体"/>
          <w:szCs w:val="21"/>
        </w:rPr>
        <w:t>6</w:t>
      </w:r>
      <w:r>
        <w:rPr>
          <w:rFonts w:hAnsi="宋体"/>
          <w:szCs w:val="21"/>
        </w:rPr>
        <w:fldChar w:fldCharType="end"/>
      </w:r>
      <w:r>
        <w:rPr>
          <w:rFonts w:hAnsi="宋体"/>
          <w:szCs w:val="21"/>
        </w:rPr>
        <w:fldChar w:fldCharType="end"/>
      </w:r>
    </w:p>
    <w:p>
      <w:pPr>
        <w:pStyle w:val="11"/>
        <w:rPr>
          <w:rFonts w:ascii="宋体" w:hAnsi="宋体"/>
          <w:kern w:val="2"/>
          <w:sz w:val="21"/>
          <w:szCs w:val="21"/>
        </w:rPr>
      </w:pPr>
      <w:r>
        <w:fldChar w:fldCharType="begin"/>
      </w:r>
      <w:r>
        <w:instrText xml:space="preserve"> HYPERLINK \l "_Toc172187822" </w:instrText>
      </w:r>
      <w:r>
        <w:fldChar w:fldCharType="separate"/>
      </w:r>
      <w:r>
        <w:rPr>
          <w:rStyle w:val="28"/>
          <w:rFonts w:ascii="宋体" w:hAnsi="宋体"/>
          <w:szCs w:val="21"/>
        </w:rPr>
        <w:t>6.1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_Toc172187822 \h </w:instrText>
      </w:r>
      <w:r>
        <w:rPr>
          <w:rFonts w:ascii="宋体" w:hAnsi="宋体"/>
          <w:sz w:val="21"/>
          <w:szCs w:val="21"/>
        </w:rPr>
        <w:fldChar w:fldCharType="separate"/>
      </w:r>
      <w:r>
        <w:rPr>
          <w:rFonts w:ascii="宋体" w:hAnsi="宋体"/>
          <w:sz w:val="21"/>
          <w:szCs w:val="21"/>
        </w:rPr>
        <w:t>7</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"_Toc172187823" </w:instrText>
      </w:r>
      <w:r>
        <w:fldChar w:fldCharType="separate"/>
      </w:r>
      <w:r>
        <w:rPr>
          <w:rStyle w:val="28"/>
          <w:rFonts w:ascii="宋体" w:hAnsi="宋体"/>
          <w:szCs w:val="21"/>
        </w:rPr>
        <w:t>6.2 平面设计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_Toc172187823 \h </w:instrText>
      </w:r>
      <w:r>
        <w:rPr>
          <w:rFonts w:ascii="宋体" w:hAnsi="宋体"/>
          <w:sz w:val="21"/>
          <w:szCs w:val="21"/>
        </w:rPr>
        <w:fldChar w:fldCharType="separate"/>
      </w:r>
      <w:r>
        <w:rPr>
          <w:rFonts w:ascii="宋体" w:hAnsi="宋体"/>
          <w:sz w:val="21"/>
          <w:szCs w:val="21"/>
        </w:rPr>
        <w:t>7</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"_Toc172187824" </w:instrText>
      </w:r>
      <w:r>
        <w:fldChar w:fldCharType="separate"/>
      </w:r>
      <w:r>
        <w:rPr>
          <w:rStyle w:val="28"/>
          <w:rFonts w:ascii="宋体" w:hAnsi="宋体"/>
          <w:szCs w:val="21"/>
        </w:rPr>
        <w:t>6.3 立面和外墙设计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_Toc172187824 \h </w:instrText>
      </w:r>
      <w:r>
        <w:rPr>
          <w:rFonts w:ascii="宋体" w:hAnsi="宋体"/>
          <w:sz w:val="21"/>
          <w:szCs w:val="21"/>
        </w:rPr>
        <w:fldChar w:fldCharType="separate"/>
      </w:r>
      <w:r>
        <w:rPr>
          <w:rFonts w:ascii="宋体" w:hAnsi="宋体"/>
          <w:sz w:val="21"/>
          <w:szCs w:val="21"/>
        </w:rPr>
        <w:t>7</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"_Toc172187825" </w:instrText>
      </w:r>
      <w:r>
        <w:fldChar w:fldCharType="separate"/>
      </w:r>
      <w:r>
        <w:rPr>
          <w:rStyle w:val="28"/>
          <w:rFonts w:ascii="宋体" w:hAnsi="宋体"/>
          <w:szCs w:val="21"/>
        </w:rPr>
        <w:t>6.4 设备管线设计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_Toc172187825 \h </w:instrText>
      </w:r>
      <w:r>
        <w:rPr>
          <w:rFonts w:ascii="宋体" w:hAnsi="宋体"/>
          <w:sz w:val="21"/>
          <w:szCs w:val="21"/>
        </w:rPr>
        <w:fldChar w:fldCharType="separate"/>
      </w:r>
      <w:r>
        <w:rPr>
          <w:rFonts w:ascii="宋体" w:hAnsi="宋体"/>
          <w:sz w:val="21"/>
          <w:szCs w:val="21"/>
        </w:rPr>
        <w:t>7</w:t>
      </w:r>
      <w:r>
        <w:rPr>
          <w:rFonts w:ascii="宋体" w:hAnsi="宋体"/>
          <w:sz w:val="21"/>
          <w:szCs w:val="21"/>
        </w:rPr>
        <w:fldChar w:fldCharType="end"/>
      </w:r>
      <w:r>
        <w:rPr>
          <w:rFonts w:ascii="宋体" w:hAnsi="宋体"/>
          <w:sz w:val="21"/>
          <w:szCs w:val="21"/>
        </w:rPr>
        <w:fldChar w:fldCharType="end"/>
      </w:r>
    </w:p>
    <w:p>
      <w:pPr>
        <w:pStyle w:val="20"/>
        <w:rPr>
          <w:rFonts w:hAnsi="宋体"/>
          <w:kern w:val="2"/>
          <w:szCs w:val="21"/>
        </w:rPr>
      </w:pPr>
      <w:r>
        <w:fldChar w:fldCharType="begin"/>
      </w:r>
      <w:r>
        <w:instrText xml:space="preserve"> HYPERLINK \l "_Toc172187826" </w:instrText>
      </w:r>
      <w:r>
        <w:fldChar w:fldCharType="separate"/>
      </w:r>
      <w:r>
        <w:rPr>
          <w:rStyle w:val="28"/>
          <w:rFonts w:hAnsi="宋体"/>
          <w:szCs w:val="21"/>
        </w:rPr>
        <w:t>7  结构设计基本规定</w:t>
      </w:r>
      <w:r>
        <w:rPr>
          <w:rFonts w:hAnsi="宋体"/>
          <w:szCs w:val="21"/>
        </w:rPr>
        <w:tab/>
      </w:r>
      <w:r>
        <w:rPr>
          <w:rFonts w:hAnsi="宋体"/>
          <w:szCs w:val="21"/>
        </w:rPr>
        <w:fldChar w:fldCharType="begin"/>
      </w:r>
      <w:r>
        <w:rPr>
          <w:rFonts w:hAnsi="宋体"/>
          <w:szCs w:val="21"/>
        </w:rPr>
        <w:instrText xml:space="preserve"> PAGEREF _Toc172187826 \h </w:instrText>
      </w:r>
      <w:r>
        <w:rPr>
          <w:rFonts w:hAnsi="宋体"/>
          <w:szCs w:val="21"/>
        </w:rPr>
        <w:fldChar w:fldCharType="separate"/>
      </w:r>
      <w:r>
        <w:rPr>
          <w:rFonts w:hAnsi="宋体"/>
          <w:szCs w:val="21"/>
        </w:rPr>
        <w:t>8</w:t>
      </w:r>
      <w:r>
        <w:rPr>
          <w:rFonts w:hAnsi="宋体"/>
          <w:szCs w:val="21"/>
        </w:rPr>
        <w:fldChar w:fldCharType="end"/>
      </w:r>
      <w:r>
        <w:rPr>
          <w:rFonts w:hAnsi="宋体"/>
          <w:szCs w:val="21"/>
        </w:rPr>
        <w:fldChar w:fldCharType="end"/>
      </w:r>
    </w:p>
    <w:p>
      <w:pPr>
        <w:pStyle w:val="11"/>
        <w:rPr>
          <w:rFonts w:ascii="宋体" w:hAnsi="宋体"/>
          <w:kern w:val="2"/>
          <w:sz w:val="21"/>
          <w:szCs w:val="21"/>
        </w:rPr>
      </w:pPr>
      <w:r>
        <w:fldChar w:fldCharType="begin"/>
      </w:r>
      <w:r>
        <w:instrText xml:space="preserve"> HYPERLINK \l "_Toc172187827" </w:instrText>
      </w:r>
      <w:r>
        <w:fldChar w:fldCharType="separate"/>
      </w:r>
      <w:r>
        <w:rPr>
          <w:rStyle w:val="28"/>
          <w:rFonts w:ascii="宋体" w:hAnsi="宋体"/>
          <w:szCs w:val="21"/>
        </w:rPr>
        <w:t>7.1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_Toc172187827 \h </w:instrText>
      </w:r>
      <w:r>
        <w:rPr>
          <w:rFonts w:ascii="宋体" w:hAnsi="宋体"/>
          <w:sz w:val="21"/>
          <w:szCs w:val="21"/>
        </w:rPr>
        <w:fldChar w:fldCharType="separate"/>
      </w:r>
      <w:r>
        <w:rPr>
          <w:rFonts w:ascii="宋体" w:hAnsi="宋体"/>
          <w:sz w:val="21"/>
          <w:szCs w:val="21"/>
        </w:rPr>
        <w:t>8</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"_Toc172187828" </w:instrText>
      </w:r>
      <w:r>
        <w:fldChar w:fldCharType="separate"/>
      </w:r>
      <w:r>
        <w:rPr>
          <w:rStyle w:val="28"/>
          <w:rFonts w:ascii="宋体" w:hAnsi="宋体"/>
          <w:szCs w:val="21"/>
        </w:rPr>
        <w:t>7.2 房屋适用高度和高宽比</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_Toc172187828 \h </w:instrText>
      </w:r>
      <w:r>
        <w:rPr>
          <w:rFonts w:ascii="宋体" w:hAnsi="宋体"/>
          <w:sz w:val="21"/>
          <w:szCs w:val="21"/>
        </w:rPr>
        <w:fldChar w:fldCharType="separate"/>
      </w:r>
      <w:r>
        <w:rPr>
          <w:rFonts w:ascii="宋体" w:hAnsi="宋体"/>
          <w:sz w:val="21"/>
          <w:szCs w:val="21"/>
        </w:rPr>
        <w:t>9</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"_Toc172187829" </w:instrText>
      </w:r>
      <w:r>
        <w:fldChar w:fldCharType="separate"/>
      </w:r>
      <w:r>
        <w:rPr>
          <w:rStyle w:val="28"/>
          <w:rFonts w:ascii="宋体" w:hAnsi="宋体"/>
          <w:szCs w:val="21"/>
        </w:rPr>
        <w:t>7.3 结构平面及竖向布置</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_Toc172187829 \h </w:instrText>
      </w:r>
      <w:r>
        <w:rPr>
          <w:rFonts w:ascii="宋体" w:hAnsi="宋体"/>
          <w:sz w:val="21"/>
          <w:szCs w:val="21"/>
        </w:rPr>
        <w:fldChar w:fldCharType="separate"/>
      </w:r>
      <w:r>
        <w:rPr>
          <w:rFonts w:ascii="宋体" w:hAnsi="宋体"/>
          <w:sz w:val="21"/>
          <w:szCs w:val="21"/>
        </w:rPr>
        <w:t>9</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"_Toc172187830" </w:instrText>
      </w:r>
      <w:r>
        <w:fldChar w:fldCharType="separate"/>
      </w:r>
      <w:r>
        <w:rPr>
          <w:rStyle w:val="28"/>
          <w:rFonts w:ascii="宋体" w:hAnsi="宋体"/>
          <w:szCs w:val="21"/>
        </w:rPr>
        <w:t>7.4 作用及作用组合</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_Toc172187830 \h </w:instrText>
      </w:r>
      <w:r>
        <w:rPr>
          <w:rFonts w:ascii="宋体" w:hAnsi="宋体"/>
          <w:sz w:val="21"/>
          <w:szCs w:val="21"/>
        </w:rPr>
        <w:fldChar w:fldCharType="separate"/>
      </w:r>
      <w:r>
        <w:rPr>
          <w:rFonts w:ascii="宋体" w:hAnsi="宋体"/>
          <w:sz w:val="21"/>
          <w:szCs w:val="21"/>
        </w:rPr>
        <w:t>10</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"_Toc172187831" </w:instrText>
      </w:r>
      <w:r>
        <w:fldChar w:fldCharType="separate"/>
      </w:r>
      <w:r>
        <w:rPr>
          <w:rStyle w:val="28"/>
          <w:rFonts w:ascii="宋体" w:hAnsi="宋体"/>
          <w:szCs w:val="21"/>
        </w:rPr>
        <w:t>7.5 结构分析</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_Toc172187831 \h </w:instrText>
      </w:r>
      <w:r>
        <w:rPr>
          <w:rFonts w:ascii="宋体" w:hAnsi="宋体"/>
          <w:sz w:val="21"/>
          <w:szCs w:val="21"/>
        </w:rPr>
        <w:fldChar w:fldCharType="separate"/>
      </w:r>
      <w:r>
        <w:rPr>
          <w:rFonts w:ascii="宋体" w:hAnsi="宋体"/>
          <w:sz w:val="21"/>
          <w:szCs w:val="21"/>
        </w:rPr>
        <w:t>11</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"_Toc172187832" </w:instrText>
      </w:r>
      <w:r>
        <w:fldChar w:fldCharType="separate"/>
      </w:r>
      <w:r>
        <w:rPr>
          <w:rStyle w:val="28"/>
          <w:rFonts w:ascii="宋体" w:hAnsi="宋体"/>
          <w:szCs w:val="21"/>
        </w:rPr>
        <w:t>7.6 预制构件设计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_Toc172187832 \h </w:instrText>
      </w:r>
      <w:r>
        <w:rPr>
          <w:rFonts w:ascii="宋体" w:hAnsi="宋体"/>
          <w:sz w:val="21"/>
          <w:szCs w:val="21"/>
        </w:rPr>
        <w:fldChar w:fldCharType="separate"/>
      </w:r>
      <w:r>
        <w:rPr>
          <w:rFonts w:ascii="宋体" w:hAnsi="宋体"/>
          <w:sz w:val="21"/>
          <w:szCs w:val="21"/>
        </w:rPr>
        <w:t>11</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"_Toc172187833" </w:instrText>
      </w:r>
      <w:r>
        <w:fldChar w:fldCharType="separate"/>
      </w:r>
      <w:r>
        <w:rPr>
          <w:rStyle w:val="28"/>
          <w:rFonts w:ascii="宋体" w:hAnsi="宋体"/>
          <w:szCs w:val="21"/>
        </w:rPr>
        <w:t>7.7 楼盖设计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_Toc172187833 \h </w:instrText>
      </w:r>
      <w:r>
        <w:rPr>
          <w:rFonts w:ascii="宋体" w:hAnsi="宋体"/>
          <w:sz w:val="21"/>
          <w:szCs w:val="21"/>
        </w:rPr>
        <w:fldChar w:fldCharType="separate"/>
      </w:r>
      <w:r>
        <w:rPr>
          <w:rFonts w:ascii="宋体" w:hAnsi="宋体"/>
          <w:sz w:val="21"/>
          <w:szCs w:val="21"/>
        </w:rPr>
        <w:t>12</w:t>
      </w:r>
      <w:r>
        <w:rPr>
          <w:rFonts w:ascii="宋体" w:hAnsi="宋体"/>
          <w:sz w:val="21"/>
          <w:szCs w:val="21"/>
        </w:rPr>
        <w:fldChar w:fldCharType="end"/>
      </w:r>
      <w:r>
        <w:rPr>
          <w:rFonts w:ascii="宋体" w:hAnsi="宋体"/>
          <w:sz w:val="21"/>
          <w:szCs w:val="21"/>
        </w:rPr>
        <w:fldChar w:fldCharType="end"/>
      </w:r>
    </w:p>
    <w:p>
      <w:pPr>
        <w:pStyle w:val="20"/>
        <w:rPr>
          <w:rFonts w:hAnsi="宋体"/>
          <w:kern w:val="2"/>
          <w:szCs w:val="21"/>
        </w:rPr>
      </w:pPr>
      <w:r>
        <w:fldChar w:fldCharType="begin"/>
      </w:r>
      <w:r>
        <w:instrText xml:space="preserve"> HYPERLINK \l "_Toc172187834" </w:instrText>
      </w:r>
      <w:r>
        <w:fldChar w:fldCharType="separate"/>
      </w:r>
      <w:r>
        <w:rPr>
          <w:rStyle w:val="28"/>
          <w:rFonts w:hAnsi="宋体"/>
          <w:szCs w:val="21"/>
        </w:rPr>
        <w:t>8 装配整体式框架结构设计</w:t>
      </w:r>
      <w:r>
        <w:rPr>
          <w:rFonts w:hAnsi="宋体"/>
          <w:szCs w:val="21"/>
        </w:rPr>
        <w:tab/>
      </w:r>
      <w:r>
        <w:rPr>
          <w:rFonts w:hAnsi="宋体"/>
          <w:szCs w:val="21"/>
        </w:rPr>
        <w:fldChar w:fldCharType="begin"/>
      </w:r>
      <w:r>
        <w:rPr>
          <w:rFonts w:hAnsi="宋体"/>
          <w:szCs w:val="21"/>
        </w:rPr>
        <w:instrText xml:space="preserve"> PAGEREF _Toc172187834 \h </w:instrText>
      </w:r>
      <w:r>
        <w:rPr>
          <w:rFonts w:hAnsi="宋体"/>
          <w:szCs w:val="21"/>
        </w:rPr>
        <w:fldChar w:fldCharType="separate"/>
      </w:r>
      <w:r>
        <w:rPr>
          <w:rFonts w:hAnsi="宋体"/>
          <w:szCs w:val="21"/>
        </w:rPr>
        <w:t>14</w:t>
      </w:r>
      <w:r>
        <w:rPr>
          <w:rFonts w:hAnsi="宋体"/>
          <w:szCs w:val="21"/>
        </w:rPr>
        <w:fldChar w:fldCharType="end"/>
      </w:r>
      <w:r>
        <w:rPr>
          <w:rFonts w:hAnsi="宋体"/>
          <w:szCs w:val="21"/>
        </w:rPr>
        <w:fldChar w:fldCharType="end"/>
      </w:r>
    </w:p>
    <w:p>
      <w:pPr>
        <w:pStyle w:val="11"/>
        <w:rPr>
          <w:rFonts w:ascii="宋体" w:hAnsi="宋体"/>
          <w:kern w:val="2"/>
          <w:sz w:val="21"/>
          <w:szCs w:val="21"/>
        </w:rPr>
      </w:pPr>
      <w:r>
        <w:fldChar w:fldCharType="begin"/>
      </w:r>
      <w:r>
        <w:instrText xml:space="preserve"> HYPERLINK \l "_Toc172187835" </w:instrText>
      </w:r>
      <w:r>
        <w:fldChar w:fldCharType="separate"/>
      </w:r>
      <w:r>
        <w:rPr>
          <w:rStyle w:val="28"/>
          <w:rFonts w:ascii="宋体" w:hAnsi="宋体"/>
          <w:szCs w:val="21"/>
        </w:rPr>
        <w:t>8.1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_Toc172187835 \h </w:instrText>
      </w:r>
      <w:r>
        <w:rPr>
          <w:rFonts w:ascii="宋体" w:hAnsi="宋体"/>
          <w:sz w:val="21"/>
          <w:szCs w:val="21"/>
        </w:rPr>
        <w:fldChar w:fldCharType="separate"/>
      </w:r>
      <w:r>
        <w:rPr>
          <w:rFonts w:ascii="宋体" w:hAnsi="宋体"/>
          <w:sz w:val="21"/>
          <w:szCs w:val="21"/>
        </w:rPr>
        <w:t>14</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"_Toc172187836" </w:instrText>
      </w:r>
      <w:r>
        <w:fldChar w:fldCharType="separate"/>
      </w:r>
      <w:r>
        <w:rPr>
          <w:rStyle w:val="28"/>
          <w:rFonts w:ascii="宋体" w:hAnsi="宋体"/>
          <w:szCs w:val="21"/>
        </w:rPr>
        <w:t>8.2 连接设计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_Toc172187836 \h </w:instrText>
      </w:r>
      <w:r>
        <w:rPr>
          <w:rFonts w:ascii="宋体" w:hAnsi="宋体"/>
          <w:sz w:val="21"/>
          <w:szCs w:val="21"/>
        </w:rPr>
        <w:fldChar w:fldCharType="separate"/>
      </w:r>
      <w:r>
        <w:rPr>
          <w:rFonts w:ascii="宋体" w:hAnsi="宋体"/>
          <w:sz w:val="21"/>
          <w:szCs w:val="21"/>
        </w:rPr>
        <w:t>16</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"_Toc172187837" </w:instrText>
      </w:r>
      <w:r>
        <w:fldChar w:fldCharType="separate"/>
      </w:r>
      <w:r>
        <w:rPr>
          <w:rStyle w:val="28"/>
          <w:rFonts w:ascii="宋体" w:hAnsi="宋体"/>
          <w:szCs w:val="21"/>
        </w:rPr>
        <w:t>8.3 构造设计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_Toc172187837 \h </w:instrText>
      </w:r>
      <w:r>
        <w:rPr>
          <w:rFonts w:ascii="宋体" w:hAnsi="宋体"/>
          <w:sz w:val="21"/>
          <w:szCs w:val="21"/>
        </w:rPr>
        <w:fldChar w:fldCharType="separate"/>
      </w:r>
      <w:r>
        <w:rPr>
          <w:rFonts w:ascii="宋体" w:hAnsi="宋体"/>
          <w:sz w:val="21"/>
          <w:szCs w:val="21"/>
        </w:rPr>
        <w:t>17</w:t>
      </w:r>
      <w:r>
        <w:rPr>
          <w:rFonts w:ascii="宋体" w:hAnsi="宋体"/>
          <w:sz w:val="21"/>
          <w:szCs w:val="21"/>
        </w:rPr>
        <w:fldChar w:fldCharType="end"/>
      </w:r>
      <w:r>
        <w:rPr>
          <w:rFonts w:ascii="宋体" w:hAnsi="宋体"/>
          <w:sz w:val="21"/>
          <w:szCs w:val="21"/>
        </w:rPr>
        <w:fldChar w:fldCharType="end"/>
      </w:r>
    </w:p>
    <w:p>
      <w:pPr>
        <w:pStyle w:val="20"/>
        <w:rPr>
          <w:rFonts w:hAnsi="宋体"/>
          <w:kern w:val="2"/>
          <w:szCs w:val="21"/>
        </w:rPr>
      </w:pPr>
      <w:r>
        <w:fldChar w:fldCharType="begin"/>
      </w:r>
      <w:r>
        <w:instrText xml:space="preserve"> HYPERLINK \l "_Toc172187838" </w:instrText>
      </w:r>
      <w:r>
        <w:fldChar w:fldCharType="separate"/>
      </w:r>
      <w:r>
        <w:rPr>
          <w:rStyle w:val="28"/>
          <w:rFonts w:hAnsi="宋体"/>
          <w:szCs w:val="21"/>
        </w:rPr>
        <w:t>9 装配整体式框架-剪力墙结构设计</w:t>
      </w:r>
      <w:r>
        <w:rPr>
          <w:rFonts w:hAnsi="宋体"/>
          <w:szCs w:val="21"/>
        </w:rPr>
        <w:tab/>
      </w:r>
      <w:r>
        <w:rPr>
          <w:rFonts w:hAnsi="宋体"/>
          <w:szCs w:val="21"/>
        </w:rPr>
        <w:fldChar w:fldCharType="begin"/>
      </w:r>
      <w:r>
        <w:rPr>
          <w:rFonts w:hAnsi="宋体"/>
          <w:szCs w:val="21"/>
        </w:rPr>
        <w:instrText xml:space="preserve"> PAGEREF _Toc172187838 \h </w:instrText>
      </w:r>
      <w:r>
        <w:rPr>
          <w:rFonts w:hAnsi="宋体"/>
          <w:szCs w:val="21"/>
        </w:rPr>
        <w:fldChar w:fldCharType="separate"/>
      </w:r>
      <w:r>
        <w:rPr>
          <w:rFonts w:hAnsi="宋体"/>
          <w:szCs w:val="21"/>
        </w:rPr>
        <w:t>25</w:t>
      </w:r>
      <w:r>
        <w:rPr>
          <w:rFonts w:hAnsi="宋体"/>
          <w:szCs w:val="21"/>
        </w:rPr>
        <w:fldChar w:fldCharType="end"/>
      </w:r>
      <w:r>
        <w:rPr>
          <w:rFonts w:hAnsi="宋体"/>
          <w:szCs w:val="21"/>
        </w:rPr>
        <w:fldChar w:fldCharType="end"/>
      </w:r>
    </w:p>
    <w:p>
      <w:pPr>
        <w:pStyle w:val="11"/>
        <w:rPr>
          <w:rFonts w:ascii="宋体" w:hAnsi="宋体"/>
          <w:kern w:val="2"/>
          <w:sz w:val="21"/>
          <w:szCs w:val="21"/>
        </w:rPr>
      </w:pPr>
      <w:r>
        <w:fldChar w:fldCharType="begin"/>
      </w:r>
      <w:r>
        <w:instrText xml:space="preserve"> HYPERLINK \l "_Toc172187839" </w:instrText>
      </w:r>
      <w:r>
        <w:fldChar w:fldCharType="separate"/>
      </w:r>
      <w:r>
        <w:rPr>
          <w:rStyle w:val="28"/>
          <w:rFonts w:ascii="宋体" w:hAnsi="宋体"/>
          <w:szCs w:val="21"/>
        </w:rPr>
        <w:t>9.1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_Toc172187839 \h </w:instrText>
      </w:r>
      <w:r>
        <w:rPr>
          <w:rFonts w:ascii="宋体" w:hAnsi="宋体"/>
          <w:sz w:val="21"/>
          <w:szCs w:val="21"/>
        </w:rPr>
        <w:fldChar w:fldCharType="separate"/>
      </w:r>
      <w:r>
        <w:rPr>
          <w:rFonts w:ascii="宋体" w:hAnsi="宋体"/>
          <w:sz w:val="21"/>
          <w:szCs w:val="21"/>
        </w:rPr>
        <w:t>25</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"_Toc172187840" </w:instrText>
      </w:r>
      <w:r>
        <w:fldChar w:fldCharType="separate"/>
      </w:r>
      <w:r>
        <w:rPr>
          <w:rStyle w:val="28"/>
          <w:rFonts w:ascii="宋体" w:hAnsi="宋体"/>
          <w:szCs w:val="21"/>
        </w:rPr>
        <w:t>9.2 连接设计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_Toc172187840 \h </w:instrText>
      </w:r>
      <w:r>
        <w:rPr>
          <w:rFonts w:ascii="宋体" w:hAnsi="宋体"/>
          <w:sz w:val="21"/>
          <w:szCs w:val="21"/>
        </w:rPr>
        <w:fldChar w:fldCharType="separate"/>
      </w:r>
      <w:r>
        <w:rPr>
          <w:rFonts w:ascii="宋体" w:hAnsi="宋体"/>
          <w:sz w:val="21"/>
          <w:szCs w:val="21"/>
        </w:rPr>
        <w:t>26</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"_Toc172187841" </w:instrText>
      </w:r>
      <w:r>
        <w:fldChar w:fldCharType="separate"/>
      </w:r>
      <w:r>
        <w:rPr>
          <w:rStyle w:val="28"/>
          <w:rFonts w:ascii="宋体" w:hAnsi="宋体"/>
          <w:szCs w:val="21"/>
        </w:rPr>
        <w:t>9.3 构造要求</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_Toc172187841 \h </w:instrText>
      </w:r>
      <w:r>
        <w:rPr>
          <w:rFonts w:ascii="宋体" w:hAnsi="宋体"/>
          <w:sz w:val="21"/>
          <w:szCs w:val="21"/>
        </w:rPr>
        <w:fldChar w:fldCharType="separate"/>
      </w:r>
      <w:r>
        <w:rPr>
          <w:rFonts w:ascii="宋体" w:hAnsi="宋体"/>
          <w:sz w:val="21"/>
          <w:szCs w:val="21"/>
        </w:rPr>
        <w:t>26</w:t>
      </w:r>
      <w:r>
        <w:rPr>
          <w:rFonts w:ascii="宋体" w:hAnsi="宋体"/>
          <w:sz w:val="21"/>
          <w:szCs w:val="21"/>
        </w:rPr>
        <w:fldChar w:fldCharType="end"/>
      </w:r>
      <w:r>
        <w:rPr>
          <w:rFonts w:ascii="宋体" w:hAnsi="宋体"/>
          <w:sz w:val="21"/>
          <w:szCs w:val="21"/>
        </w:rPr>
        <w:fldChar w:fldCharType="end"/>
      </w:r>
    </w:p>
    <w:p>
      <w:pPr>
        <w:pStyle w:val="20"/>
        <w:rPr>
          <w:rFonts w:hAnsi="宋体"/>
          <w:kern w:val="2"/>
          <w:szCs w:val="21"/>
        </w:rPr>
      </w:pPr>
      <w:r>
        <w:fldChar w:fldCharType="begin"/>
      </w:r>
      <w:r>
        <w:instrText xml:space="preserve"> HYPERLINK \l "_Toc172187842" </w:instrText>
      </w:r>
      <w:r>
        <w:fldChar w:fldCharType="separate"/>
      </w:r>
      <w:r>
        <w:rPr>
          <w:rStyle w:val="28"/>
          <w:rFonts w:hAnsi="宋体"/>
          <w:szCs w:val="21"/>
        </w:rPr>
        <w:t>10 围护结构设计</w:t>
      </w:r>
      <w:r>
        <w:rPr>
          <w:rFonts w:hAnsi="宋体"/>
          <w:szCs w:val="21"/>
        </w:rPr>
        <w:tab/>
      </w:r>
      <w:r>
        <w:rPr>
          <w:rFonts w:hAnsi="宋体"/>
          <w:szCs w:val="21"/>
        </w:rPr>
        <w:fldChar w:fldCharType="begin"/>
      </w:r>
      <w:r>
        <w:rPr>
          <w:rFonts w:hAnsi="宋体"/>
          <w:szCs w:val="21"/>
        </w:rPr>
        <w:instrText xml:space="preserve"> PAGEREF _Toc172187842 \h </w:instrText>
      </w:r>
      <w:r>
        <w:rPr>
          <w:rFonts w:hAnsi="宋体"/>
          <w:szCs w:val="21"/>
        </w:rPr>
        <w:fldChar w:fldCharType="separate"/>
      </w:r>
      <w:r>
        <w:rPr>
          <w:rFonts w:hAnsi="宋体"/>
          <w:szCs w:val="21"/>
        </w:rPr>
        <w:t>27</w:t>
      </w:r>
      <w:r>
        <w:rPr>
          <w:rFonts w:hAnsi="宋体"/>
          <w:szCs w:val="21"/>
        </w:rPr>
        <w:fldChar w:fldCharType="end"/>
      </w:r>
      <w:r>
        <w:rPr>
          <w:rFonts w:hAnsi="宋体"/>
          <w:szCs w:val="21"/>
        </w:rPr>
        <w:fldChar w:fldCharType="end"/>
      </w:r>
    </w:p>
    <w:p>
      <w:pPr>
        <w:pStyle w:val="11"/>
        <w:rPr>
          <w:rFonts w:ascii="宋体" w:hAnsi="宋体"/>
          <w:kern w:val="2"/>
          <w:sz w:val="21"/>
          <w:szCs w:val="21"/>
        </w:rPr>
      </w:pPr>
      <w:r>
        <w:fldChar w:fldCharType="begin"/>
      </w:r>
      <w:r>
        <w:instrText xml:space="preserve"> HYPERLINK \l "_Toc172187843" </w:instrText>
      </w:r>
      <w:r>
        <w:fldChar w:fldCharType="separate"/>
      </w:r>
      <w:r>
        <w:rPr>
          <w:rStyle w:val="28"/>
          <w:rFonts w:ascii="宋体" w:hAnsi="宋体"/>
          <w:szCs w:val="21"/>
        </w:rPr>
        <w:t>10.1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_Toc172187843 \h </w:instrText>
      </w:r>
      <w:r>
        <w:rPr>
          <w:rFonts w:ascii="宋体" w:hAnsi="宋体"/>
          <w:sz w:val="21"/>
          <w:szCs w:val="21"/>
        </w:rPr>
        <w:fldChar w:fldCharType="separate"/>
      </w:r>
      <w:r>
        <w:rPr>
          <w:rFonts w:ascii="宋体" w:hAnsi="宋体"/>
          <w:sz w:val="21"/>
          <w:szCs w:val="21"/>
        </w:rPr>
        <w:t>27</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"_Toc172187844" </w:instrText>
      </w:r>
      <w:r>
        <w:fldChar w:fldCharType="separate"/>
      </w:r>
      <w:r>
        <w:rPr>
          <w:rStyle w:val="28"/>
          <w:rFonts w:ascii="宋体" w:hAnsi="宋体"/>
          <w:szCs w:val="21"/>
        </w:rPr>
        <w:t>10.2 外墙板及连接设计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_Toc172187844 \h </w:instrText>
      </w:r>
      <w:r>
        <w:rPr>
          <w:rFonts w:ascii="宋体" w:hAnsi="宋体"/>
          <w:sz w:val="21"/>
          <w:szCs w:val="21"/>
        </w:rPr>
        <w:fldChar w:fldCharType="separate"/>
      </w:r>
      <w:r>
        <w:rPr>
          <w:rFonts w:ascii="宋体" w:hAnsi="宋体"/>
          <w:sz w:val="21"/>
          <w:szCs w:val="21"/>
        </w:rPr>
        <w:t>28</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"_Toc172187845" </w:instrText>
      </w:r>
      <w:r>
        <w:fldChar w:fldCharType="separate"/>
      </w:r>
      <w:r>
        <w:rPr>
          <w:rStyle w:val="28"/>
          <w:rFonts w:ascii="宋体" w:hAnsi="宋体"/>
          <w:szCs w:val="21"/>
        </w:rPr>
        <w:t>10.3 内墙板及连接设计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_Toc172187845 \h </w:instrText>
      </w:r>
      <w:r>
        <w:rPr>
          <w:rFonts w:ascii="宋体" w:hAnsi="宋体"/>
          <w:sz w:val="21"/>
          <w:szCs w:val="21"/>
        </w:rPr>
        <w:fldChar w:fldCharType="separate"/>
      </w:r>
      <w:r>
        <w:rPr>
          <w:rFonts w:ascii="宋体" w:hAnsi="宋体"/>
          <w:sz w:val="21"/>
          <w:szCs w:val="21"/>
        </w:rPr>
        <w:t>29</w:t>
      </w:r>
      <w:r>
        <w:rPr>
          <w:rFonts w:ascii="宋体" w:hAnsi="宋体"/>
          <w:sz w:val="21"/>
          <w:szCs w:val="21"/>
        </w:rPr>
        <w:fldChar w:fldCharType="end"/>
      </w:r>
      <w:r>
        <w:rPr>
          <w:rFonts w:ascii="宋体" w:hAnsi="宋体"/>
          <w:sz w:val="21"/>
          <w:szCs w:val="21"/>
        </w:rPr>
        <w:fldChar w:fldCharType="end"/>
      </w:r>
    </w:p>
    <w:p>
      <w:pPr>
        <w:pStyle w:val="20"/>
        <w:rPr>
          <w:rFonts w:hAnsi="宋体"/>
          <w:kern w:val="2"/>
          <w:szCs w:val="21"/>
        </w:rPr>
      </w:pPr>
      <w:r>
        <w:fldChar w:fldCharType="begin"/>
      </w:r>
      <w:r>
        <w:instrText xml:space="preserve"> HYPERLINK \l "_Toc172187846" </w:instrText>
      </w:r>
      <w:r>
        <w:fldChar w:fldCharType="separate"/>
      </w:r>
      <w:r>
        <w:rPr>
          <w:rStyle w:val="28"/>
          <w:rFonts w:hAnsi="宋体"/>
          <w:szCs w:val="21"/>
        </w:rPr>
        <w:t>11 预制构件生产与运输</w:t>
      </w:r>
      <w:r>
        <w:rPr>
          <w:rFonts w:hAnsi="宋体"/>
          <w:szCs w:val="21"/>
        </w:rPr>
        <w:tab/>
      </w:r>
      <w:r>
        <w:rPr>
          <w:rFonts w:hAnsi="宋体"/>
          <w:szCs w:val="21"/>
        </w:rPr>
        <w:fldChar w:fldCharType="begin"/>
      </w:r>
      <w:r>
        <w:rPr>
          <w:rFonts w:hAnsi="宋体"/>
          <w:szCs w:val="21"/>
        </w:rPr>
        <w:instrText xml:space="preserve"> PAGEREF _Toc172187846 \h </w:instrText>
      </w:r>
      <w:r>
        <w:rPr>
          <w:rFonts w:hAnsi="宋体"/>
          <w:szCs w:val="21"/>
        </w:rPr>
        <w:fldChar w:fldCharType="separate"/>
      </w:r>
      <w:r>
        <w:rPr>
          <w:rFonts w:hAnsi="宋体"/>
          <w:szCs w:val="21"/>
        </w:rPr>
        <w:t>29</w:t>
      </w:r>
      <w:r>
        <w:rPr>
          <w:rFonts w:hAnsi="宋体"/>
          <w:szCs w:val="21"/>
        </w:rPr>
        <w:fldChar w:fldCharType="end"/>
      </w:r>
      <w:r>
        <w:rPr>
          <w:rFonts w:hAnsi="宋体"/>
          <w:szCs w:val="21"/>
        </w:rPr>
        <w:fldChar w:fldCharType="end"/>
      </w:r>
    </w:p>
    <w:p>
      <w:pPr>
        <w:pStyle w:val="11"/>
        <w:rPr>
          <w:rFonts w:ascii="宋体" w:hAnsi="宋体"/>
          <w:kern w:val="2"/>
          <w:sz w:val="21"/>
          <w:szCs w:val="21"/>
        </w:rPr>
      </w:pPr>
      <w:r>
        <w:fldChar w:fldCharType="begin"/>
      </w:r>
      <w:r>
        <w:instrText xml:space="preserve"> HYPERLINK \l "_Toc172187847" </w:instrText>
      </w:r>
      <w:r>
        <w:fldChar w:fldCharType="separate"/>
      </w:r>
      <w:r>
        <w:rPr>
          <w:rStyle w:val="28"/>
          <w:rFonts w:ascii="宋体" w:hAnsi="宋体"/>
          <w:szCs w:val="21"/>
        </w:rPr>
        <w:t>11.1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_Toc172187847 \h </w:instrText>
      </w:r>
      <w:r>
        <w:rPr>
          <w:rFonts w:ascii="宋体" w:hAnsi="宋体"/>
          <w:sz w:val="21"/>
          <w:szCs w:val="21"/>
        </w:rPr>
        <w:fldChar w:fldCharType="separate"/>
      </w:r>
      <w:r>
        <w:rPr>
          <w:rFonts w:ascii="宋体" w:hAnsi="宋体"/>
          <w:sz w:val="21"/>
          <w:szCs w:val="21"/>
        </w:rPr>
        <w:t>29</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"_Toc172187848" </w:instrText>
      </w:r>
      <w:r>
        <w:fldChar w:fldCharType="separate"/>
      </w:r>
      <w:r>
        <w:rPr>
          <w:rStyle w:val="28"/>
          <w:rFonts w:ascii="宋体" w:hAnsi="宋体"/>
          <w:szCs w:val="21"/>
        </w:rPr>
        <w:t>11.2 生产准备</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_Toc172187848 \h </w:instrText>
      </w:r>
      <w:r>
        <w:rPr>
          <w:rFonts w:ascii="宋体" w:hAnsi="宋体"/>
          <w:sz w:val="21"/>
          <w:szCs w:val="21"/>
        </w:rPr>
        <w:fldChar w:fldCharType="separate"/>
      </w:r>
      <w:r>
        <w:rPr>
          <w:rFonts w:ascii="宋体" w:hAnsi="宋体"/>
          <w:sz w:val="21"/>
          <w:szCs w:val="21"/>
        </w:rPr>
        <w:t>30</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"_Toc172187849" </w:instrText>
      </w:r>
      <w:r>
        <w:fldChar w:fldCharType="separate"/>
      </w:r>
      <w:r>
        <w:rPr>
          <w:rStyle w:val="28"/>
          <w:rFonts w:ascii="宋体" w:hAnsi="宋体"/>
          <w:szCs w:val="21"/>
        </w:rPr>
        <w:t>11.3 构件制作</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_Toc172187849 \h </w:instrText>
      </w:r>
      <w:r>
        <w:rPr>
          <w:rFonts w:ascii="宋体" w:hAnsi="宋体"/>
          <w:sz w:val="21"/>
          <w:szCs w:val="21"/>
        </w:rPr>
        <w:fldChar w:fldCharType="separate"/>
      </w:r>
      <w:r>
        <w:rPr>
          <w:rFonts w:ascii="宋体" w:hAnsi="宋体"/>
          <w:sz w:val="21"/>
          <w:szCs w:val="21"/>
        </w:rPr>
        <w:t>30</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"_Toc172187850" </w:instrText>
      </w:r>
      <w:r>
        <w:fldChar w:fldCharType="separate"/>
      </w:r>
      <w:r>
        <w:rPr>
          <w:rStyle w:val="28"/>
          <w:rFonts w:ascii="宋体" w:hAnsi="宋体"/>
          <w:szCs w:val="21"/>
        </w:rPr>
        <w:t>11.4 构件质量检验</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_Toc172187850 \h </w:instrText>
      </w:r>
      <w:r>
        <w:rPr>
          <w:rFonts w:ascii="宋体" w:hAnsi="宋体"/>
          <w:sz w:val="21"/>
          <w:szCs w:val="21"/>
        </w:rPr>
        <w:fldChar w:fldCharType="separate"/>
      </w:r>
      <w:r>
        <w:rPr>
          <w:rFonts w:ascii="宋体" w:hAnsi="宋体"/>
          <w:sz w:val="21"/>
          <w:szCs w:val="21"/>
        </w:rPr>
        <w:t>33</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"_Toc172187851" </w:instrText>
      </w:r>
      <w:r>
        <w:fldChar w:fldCharType="separate"/>
      </w:r>
      <w:r>
        <w:rPr>
          <w:rStyle w:val="28"/>
          <w:rFonts w:ascii="宋体" w:hAnsi="宋体"/>
          <w:szCs w:val="21"/>
        </w:rPr>
        <w:t>11.5 存放和运输</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_Toc172187851 \h </w:instrText>
      </w:r>
      <w:r>
        <w:rPr>
          <w:rFonts w:ascii="宋体" w:hAnsi="宋体"/>
          <w:sz w:val="21"/>
          <w:szCs w:val="21"/>
        </w:rPr>
        <w:fldChar w:fldCharType="separate"/>
      </w:r>
      <w:r>
        <w:rPr>
          <w:rFonts w:ascii="宋体" w:hAnsi="宋体"/>
          <w:sz w:val="21"/>
          <w:szCs w:val="21"/>
        </w:rPr>
        <w:t>38</w:t>
      </w:r>
      <w:r>
        <w:rPr>
          <w:rFonts w:ascii="宋体" w:hAnsi="宋体"/>
          <w:sz w:val="21"/>
          <w:szCs w:val="21"/>
        </w:rPr>
        <w:fldChar w:fldCharType="end"/>
      </w:r>
      <w:r>
        <w:rPr>
          <w:rFonts w:ascii="宋体" w:hAnsi="宋体"/>
          <w:sz w:val="21"/>
          <w:szCs w:val="21"/>
        </w:rPr>
        <w:fldChar w:fldCharType="end"/>
      </w:r>
    </w:p>
    <w:p>
      <w:pPr>
        <w:pStyle w:val="20"/>
        <w:rPr>
          <w:rFonts w:hAnsi="宋体"/>
          <w:kern w:val="2"/>
          <w:szCs w:val="21"/>
        </w:rPr>
      </w:pPr>
      <w:r>
        <w:fldChar w:fldCharType="begin"/>
      </w:r>
      <w:r>
        <w:instrText xml:space="preserve"> HYPERLINK \l "_Toc172187852" </w:instrText>
      </w:r>
      <w:r>
        <w:fldChar w:fldCharType="separate"/>
      </w:r>
      <w:r>
        <w:rPr>
          <w:rStyle w:val="28"/>
          <w:rFonts w:hAnsi="宋体"/>
          <w:szCs w:val="21"/>
        </w:rPr>
        <w:t>12 结构施工</w:t>
      </w:r>
      <w:r>
        <w:rPr>
          <w:rFonts w:hAnsi="宋体"/>
          <w:szCs w:val="21"/>
        </w:rPr>
        <w:tab/>
      </w:r>
      <w:r>
        <w:rPr>
          <w:rFonts w:hAnsi="宋体"/>
          <w:szCs w:val="21"/>
        </w:rPr>
        <w:fldChar w:fldCharType="begin"/>
      </w:r>
      <w:r>
        <w:rPr>
          <w:rFonts w:hAnsi="宋体"/>
          <w:szCs w:val="21"/>
        </w:rPr>
        <w:instrText xml:space="preserve"> PAGEREF _Toc172187852 \h </w:instrText>
      </w:r>
      <w:r>
        <w:rPr>
          <w:rFonts w:hAnsi="宋体"/>
          <w:szCs w:val="21"/>
        </w:rPr>
        <w:fldChar w:fldCharType="separate"/>
      </w:r>
      <w:r>
        <w:rPr>
          <w:rFonts w:hAnsi="宋体"/>
          <w:szCs w:val="21"/>
        </w:rPr>
        <w:t>39</w:t>
      </w:r>
      <w:r>
        <w:rPr>
          <w:rFonts w:hAnsi="宋体"/>
          <w:szCs w:val="21"/>
        </w:rPr>
        <w:fldChar w:fldCharType="end"/>
      </w:r>
      <w:r>
        <w:rPr>
          <w:rFonts w:hAnsi="宋体"/>
          <w:szCs w:val="21"/>
        </w:rPr>
        <w:fldChar w:fldCharType="end"/>
      </w:r>
    </w:p>
    <w:p>
      <w:pPr>
        <w:pStyle w:val="11"/>
        <w:rPr>
          <w:rFonts w:ascii="宋体" w:hAnsi="宋体"/>
          <w:kern w:val="2"/>
          <w:sz w:val="21"/>
          <w:szCs w:val="21"/>
        </w:rPr>
      </w:pPr>
      <w:r>
        <w:fldChar w:fldCharType="begin"/>
      </w:r>
      <w:r>
        <w:instrText xml:space="preserve"> HYPERLINK \l "_Toc172187853" </w:instrText>
      </w:r>
      <w:r>
        <w:fldChar w:fldCharType="separate"/>
      </w:r>
      <w:r>
        <w:rPr>
          <w:rStyle w:val="28"/>
          <w:rFonts w:ascii="宋体" w:hAnsi="宋体"/>
          <w:szCs w:val="21"/>
        </w:rPr>
        <w:t>12.1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_Toc172187853 \h </w:instrText>
      </w:r>
      <w:r>
        <w:rPr>
          <w:rFonts w:ascii="宋体" w:hAnsi="宋体"/>
          <w:sz w:val="21"/>
          <w:szCs w:val="21"/>
        </w:rPr>
        <w:fldChar w:fldCharType="separate"/>
      </w:r>
      <w:r>
        <w:rPr>
          <w:rFonts w:ascii="宋体" w:hAnsi="宋体"/>
          <w:sz w:val="21"/>
          <w:szCs w:val="21"/>
        </w:rPr>
        <w:t>39</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"_Toc172187854" </w:instrText>
      </w:r>
      <w:r>
        <w:fldChar w:fldCharType="separate"/>
      </w:r>
      <w:r>
        <w:rPr>
          <w:rStyle w:val="28"/>
          <w:rFonts w:ascii="宋体" w:hAnsi="宋体"/>
          <w:szCs w:val="21"/>
        </w:rPr>
        <w:t>12.2 安装准备</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_Toc172187854 \h </w:instrText>
      </w:r>
      <w:r>
        <w:rPr>
          <w:rFonts w:ascii="宋体" w:hAnsi="宋体"/>
          <w:sz w:val="21"/>
          <w:szCs w:val="21"/>
        </w:rPr>
        <w:fldChar w:fldCharType="separate"/>
      </w:r>
      <w:r>
        <w:rPr>
          <w:rFonts w:ascii="宋体" w:hAnsi="宋体"/>
          <w:sz w:val="21"/>
          <w:szCs w:val="21"/>
        </w:rPr>
        <w:t>39</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"_Toc172187855" </w:instrText>
      </w:r>
      <w:r>
        <w:fldChar w:fldCharType="separate"/>
      </w:r>
      <w:r>
        <w:rPr>
          <w:rStyle w:val="28"/>
          <w:rFonts w:ascii="宋体" w:hAnsi="宋体"/>
          <w:szCs w:val="21"/>
        </w:rPr>
        <w:t>12.3 安装施工</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_Toc172187855 \h </w:instrText>
      </w:r>
      <w:r>
        <w:rPr>
          <w:rFonts w:ascii="宋体" w:hAnsi="宋体"/>
          <w:sz w:val="21"/>
          <w:szCs w:val="21"/>
        </w:rPr>
        <w:fldChar w:fldCharType="separate"/>
      </w:r>
      <w:r>
        <w:rPr>
          <w:rFonts w:ascii="宋体" w:hAnsi="宋体"/>
          <w:sz w:val="21"/>
          <w:szCs w:val="21"/>
        </w:rPr>
        <w:t>39</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"_Toc172187856" </w:instrText>
      </w:r>
      <w:r>
        <w:fldChar w:fldCharType="separate"/>
      </w:r>
      <w:r>
        <w:rPr>
          <w:rStyle w:val="28"/>
          <w:rFonts w:ascii="宋体" w:hAnsi="宋体"/>
          <w:szCs w:val="21"/>
        </w:rPr>
        <w:t>12.4 安装质量验收</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_Toc172187856 \h </w:instrText>
      </w:r>
      <w:r>
        <w:rPr>
          <w:rFonts w:ascii="宋体" w:hAnsi="宋体"/>
          <w:sz w:val="21"/>
          <w:szCs w:val="21"/>
        </w:rPr>
        <w:fldChar w:fldCharType="separate"/>
      </w:r>
      <w:r>
        <w:rPr>
          <w:rFonts w:ascii="宋体" w:hAnsi="宋体"/>
          <w:sz w:val="21"/>
          <w:szCs w:val="21"/>
        </w:rPr>
        <w:t>41</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"_Toc172187857" </w:instrText>
      </w:r>
      <w:r>
        <w:fldChar w:fldCharType="separate"/>
      </w:r>
      <w:r>
        <w:rPr>
          <w:rStyle w:val="28"/>
          <w:rFonts w:ascii="宋体" w:hAnsi="宋体"/>
          <w:szCs w:val="21"/>
        </w:rPr>
        <w:t>12.5 安全管理</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_Toc172187857 \h </w:instrText>
      </w:r>
      <w:r>
        <w:rPr>
          <w:rFonts w:ascii="宋体" w:hAnsi="宋体"/>
          <w:sz w:val="21"/>
          <w:szCs w:val="21"/>
        </w:rPr>
        <w:fldChar w:fldCharType="separate"/>
      </w:r>
      <w:r>
        <w:rPr>
          <w:rFonts w:ascii="宋体" w:hAnsi="宋体"/>
          <w:sz w:val="21"/>
          <w:szCs w:val="21"/>
        </w:rPr>
        <w:t>42</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"_Toc172187858" </w:instrText>
      </w:r>
      <w:r>
        <w:fldChar w:fldCharType="separate"/>
      </w:r>
      <w:r>
        <w:rPr>
          <w:rStyle w:val="28"/>
          <w:rFonts w:ascii="宋体" w:hAnsi="宋体"/>
          <w:szCs w:val="21"/>
        </w:rPr>
        <w:t>12.6 成品保护</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_Toc172187858 \h </w:instrText>
      </w:r>
      <w:r>
        <w:rPr>
          <w:rFonts w:ascii="宋体" w:hAnsi="宋体"/>
          <w:sz w:val="21"/>
          <w:szCs w:val="21"/>
        </w:rPr>
        <w:fldChar w:fldCharType="separate"/>
      </w:r>
      <w:r>
        <w:rPr>
          <w:rFonts w:ascii="宋体" w:hAnsi="宋体"/>
          <w:sz w:val="21"/>
          <w:szCs w:val="21"/>
        </w:rPr>
        <w:t>42</w:t>
      </w:r>
      <w:r>
        <w:rPr>
          <w:rFonts w:ascii="宋体" w:hAnsi="宋体"/>
          <w:sz w:val="21"/>
          <w:szCs w:val="21"/>
        </w:rPr>
        <w:fldChar w:fldCharType="end"/>
      </w:r>
      <w:r>
        <w:rPr>
          <w:rFonts w:ascii="宋体" w:hAnsi="宋体"/>
          <w:sz w:val="21"/>
          <w:szCs w:val="21"/>
        </w:rPr>
        <w:fldChar w:fldCharType="end"/>
      </w:r>
    </w:p>
    <w:p>
      <w:pPr>
        <w:pStyle w:val="20"/>
        <w:rPr>
          <w:rFonts w:hAnsi="宋体"/>
          <w:kern w:val="2"/>
          <w:szCs w:val="21"/>
        </w:rPr>
      </w:pPr>
      <w:r>
        <w:fldChar w:fldCharType="begin"/>
      </w:r>
      <w:r>
        <w:instrText xml:space="preserve"> HYPERLINK \l "_Toc172187859" </w:instrText>
      </w:r>
      <w:r>
        <w:fldChar w:fldCharType="separate"/>
      </w:r>
      <w:r>
        <w:rPr>
          <w:rStyle w:val="28"/>
          <w:rFonts w:hAnsi="宋体"/>
          <w:szCs w:val="21"/>
        </w:rPr>
        <w:t>13 工程验收</w:t>
      </w:r>
      <w:r>
        <w:rPr>
          <w:rFonts w:hAnsi="宋体"/>
          <w:szCs w:val="21"/>
        </w:rPr>
        <w:tab/>
      </w:r>
      <w:r>
        <w:rPr>
          <w:rFonts w:hAnsi="宋体"/>
          <w:szCs w:val="21"/>
        </w:rPr>
        <w:fldChar w:fldCharType="begin"/>
      </w:r>
      <w:r>
        <w:rPr>
          <w:rFonts w:hAnsi="宋体"/>
          <w:szCs w:val="21"/>
        </w:rPr>
        <w:instrText xml:space="preserve"> PAGEREF _Toc172187859 \h </w:instrText>
      </w:r>
      <w:r>
        <w:rPr>
          <w:rFonts w:hAnsi="宋体"/>
          <w:szCs w:val="21"/>
        </w:rPr>
        <w:fldChar w:fldCharType="separate"/>
      </w:r>
      <w:r>
        <w:rPr>
          <w:rFonts w:hAnsi="宋体"/>
          <w:szCs w:val="21"/>
        </w:rPr>
        <w:t>42</w:t>
      </w:r>
      <w:r>
        <w:rPr>
          <w:rFonts w:hAnsi="宋体"/>
          <w:szCs w:val="21"/>
        </w:rPr>
        <w:fldChar w:fldCharType="end"/>
      </w:r>
      <w:r>
        <w:rPr>
          <w:rFonts w:hAnsi="宋体"/>
          <w:szCs w:val="21"/>
        </w:rPr>
        <w:fldChar w:fldCharType="end"/>
      </w:r>
    </w:p>
    <w:p>
      <w:pPr>
        <w:pStyle w:val="11"/>
        <w:rPr>
          <w:rFonts w:ascii="宋体" w:hAnsi="宋体"/>
          <w:kern w:val="2"/>
          <w:sz w:val="21"/>
          <w:szCs w:val="21"/>
        </w:rPr>
      </w:pPr>
      <w:r>
        <w:fldChar w:fldCharType="begin"/>
      </w:r>
      <w:r>
        <w:instrText xml:space="preserve"> HYPERLINK \l "_Toc172187860" </w:instrText>
      </w:r>
      <w:r>
        <w:fldChar w:fldCharType="separate"/>
      </w:r>
      <w:r>
        <w:rPr>
          <w:rStyle w:val="28"/>
          <w:rFonts w:ascii="宋体" w:hAnsi="宋体"/>
          <w:szCs w:val="21"/>
        </w:rPr>
        <w:t>13.1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_Toc172187860 \h </w:instrText>
      </w:r>
      <w:r>
        <w:rPr>
          <w:rFonts w:ascii="宋体" w:hAnsi="宋体"/>
          <w:sz w:val="21"/>
          <w:szCs w:val="21"/>
        </w:rPr>
        <w:fldChar w:fldCharType="separate"/>
      </w:r>
      <w:r>
        <w:rPr>
          <w:rFonts w:ascii="宋体" w:hAnsi="宋体"/>
          <w:sz w:val="21"/>
          <w:szCs w:val="21"/>
        </w:rPr>
        <w:t>42</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"_Toc172187861" </w:instrText>
      </w:r>
      <w:r>
        <w:fldChar w:fldCharType="separate"/>
      </w:r>
      <w:r>
        <w:rPr>
          <w:rStyle w:val="28"/>
          <w:rFonts w:ascii="宋体" w:hAnsi="宋体"/>
          <w:szCs w:val="21"/>
        </w:rPr>
        <w:t>13.2 主控项目</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_Toc172187861 \h </w:instrText>
      </w:r>
      <w:r>
        <w:rPr>
          <w:rFonts w:ascii="宋体" w:hAnsi="宋体"/>
          <w:sz w:val="21"/>
          <w:szCs w:val="21"/>
        </w:rPr>
        <w:fldChar w:fldCharType="separate"/>
      </w:r>
      <w:r>
        <w:rPr>
          <w:rFonts w:ascii="宋体" w:hAnsi="宋体"/>
          <w:sz w:val="21"/>
          <w:szCs w:val="21"/>
        </w:rPr>
        <w:t>43</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"_Toc172187862" </w:instrText>
      </w:r>
      <w:r>
        <w:fldChar w:fldCharType="separate"/>
      </w:r>
      <w:r>
        <w:rPr>
          <w:rStyle w:val="28"/>
          <w:rFonts w:ascii="宋体" w:hAnsi="宋体"/>
          <w:szCs w:val="21"/>
        </w:rPr>
        <w:t>13.3 一般项目</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_Toc172187862 \h </w:instrText>
      </w:r>
      <w:r>
        <w:rPr>
          <w:rFonts w:ascii="宋体" w:hAnsi="宋体"/>
          <w:sz w:val="21"/>
          <w:szCs w:val="21"/>
        </w:rPr>
        <w:fldChar w:fldCharType="separate"/>
      </w:r>
      <w:r>
        <w:rPr>
          <w:rFonts w:ascii="宋体" w:hAnsi="宋体"/>
          <w:sz w:val="21"/>
          <w:szCs w:val="21"/>
        </w:rPr>
        <w:t>45</w:t>
      </w:r>
      <w:r>
        <w:rPr>
          <w:rFonts w:ascii="宋体" w:hAnsi="宋体"/>
          <w:sz w:val="21"/>
          <w:szCs w:val="21"/>
        </w:rPr>
        <w:fldChar w:fldCharType="end"/>
      </w:r>
      <w:r>
        <w:rPr>
          <w:rFonts w:ascii="宋体" w:hAnsi="宋体"/>
          <w:sz w:val="21"/>
          <w:szCs w:val="21"/>
        </w:rPr>
        <w:fldChar w:fldCharType="end"/>
      </w:r>
    </w:p>
    <w:p>
      <w:pPr>
        <w:pStyle w:val="20"/>
        <w:rPr>
          <w:rFonts w:hAnsi="宋体"/>
          <w:kern w:val="2"/>
          <w:szCs w:val="21"/>
        </w:rPr>
      </w:pPr>
      <w:r>
        <w:fldChar w:fldCharType="begin"/>
      </w:r>
      <w:r>
        <w:instrText xml:space="preserve"> HYPERLINK \l "_Toc172187863" </w:instrText>
      </w:r>
      <w:r>
        <w:fldChar w:fldCharType="separate"/>
      </w:r>
      <w:r>
        <w:rPr>
          <w:rStyle w:val="28"/>
          <w:rFonts w:hAnsi="宋体"/>
          <w:szCs w:val="21"/>
        </w:rPr>
        <w:t>14 信息化技术应用</w:t>
      </w:r>
      <w:r>
        <w:rPr>
          <w:rFonts w:hAnsi="宋体"/>
          <w:szCs w:val="21"/>
        </w:rPr>
        <w:tab/>
      </w:r>
      <w:r>
        <w:rPr>
          <w:rFonts w:hAnsi="宋体"/>
          <w:szCs w:val="21"/>
        </w:rPr>
        <w:fldChar w:fldCharType="begin"/>
      </w:r>
      <w:r>
        <w:rPr>
          <w:rFonts w:hAnsi="宋体"/>
          <w:szCs w:val="21"/>
        </w:rPr>
        <w:instrText xml:space="preserve"> PAGEREF _Toc172187863 \h </w:instrText>
      </w:r>
      <w:r>
        <w:rPr>
          <w:rFonts w:hAnsi="宋体"/>
          <w:szCs w:val="21"/>
        </w:rPr>
        <w:fldChar w:fldCharType="separate"/>
      </w:r>
      <w:r>
        <w:rPr>
          <w:rFonts w:hAnsi="宋体"/>
          <w:szCs w:val="21"/>
        </w:rPr>
        <w:t>47</w:t>
      </w:r>
      <w:r>
        <w:rPr>
          <w:rFonts w:hAnsi="宋体"/>
          <w:szCs w:val="21"/>
        </w:rPr>
        <w:fldChar w:fldCharType="end"/>
      </w:r>
      <w:r>
        <w:rPr>
          <w:rFonts w:hAnsi="宋体"/>
          <w:szCs w:val="21"/>
        </w:rPr>
        <w:fldChar w:fldCharType="end"/>
      </w:r>
    </w:p>
    <w:p>
      <w:pPr>
        <w:pStyle w:val="11"/>
        <w:rPr>
          <w:rFonts w:ascii="宋体" w:hAnsi="宋体"/>
          <w:kern w:val="2"/>
          <w:sz w:val="21"/>
          <w:szCs w:val="21"/>
        </w:rPr>
      </w:pPr>
      <w:r>
        <w:fldChar w:fldCharType="begin"/>
      </w:r>
      <w:r>
        <w:instrText xml:space="preserve"> HYPERLINK \l "_Toc172187864" </w:instrText>
      </w:r>
      <w:r>
        <w:fldChar w:fldCharType="separate"/>
      </w:r>
      <w:r>
        <w:rPr>
          <w:rStyle w:val="28"/>
          <w:rFonts w:ascii="宋体" w:hAnsi="宋体"/>
          <w:szCs w:val="21"/>
        </w:rPr>
        <w:t>14.1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_Toc172187864 \h </w:instrText>
      </w:r>
      <w:r>
        <w:rPr>
          <w:rFonts w:ascii="宋体" w:hAnsi="宋体"/>
          <w:sz w:val="21"/>
          <w:szCs w:val="21"/>
        </w:rPr>
        <w:fldChar w:fldCharType="separate"/>
      </w:r>
      <w:r>
        <w:rPr>
          <w:rFonts w:ascii="宋体" w:hAnsi="宋体"/>
          <w:sz w:val="21"/>
          <w:szCs w:val="21"/>
        </w:rPr>
        <w:t>47</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"_Toc172187865" </w:instrText>
      </w:r>
      <w:r>
        <w:fldChar w:fldCharType="separate"/>
      </w:r>
      <w:r>
        <w:rPr>
          <w:rStyle w:val="28"/>
          <w:rFonts w:ascii="宋体" w:hAnsi="宋体"/>
          <w:szCs w:val="21"/>
        </w:rPr>
        <w:t>14.2 信息化资源配置</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_Toc172187865 \h </w:instrText>
      </w:r>
      <w:r>
        <w:rPr>
          <w:rFonts w:ascii="宋体" w:hAnsi="宋体"/>
          <w:sz w:val="21"/>
          <w:szCs w:val="21"/>
        </w:rPr>
        <w:fldChar w:fldCharType="separate"/>
      </w:r>
      <w:r>
        <w:rPr>
          <w:rFonts w:ascii="宋体" w:hAnsi="宋体"/>
          <w:sz w:val="21"/>
          <w:szCs w:val="21"/>
        </w:rPr>
        <w:t>47</w:t>
      </w:r>
      <w:r>
        <w:rPr>
          <w:rFonts w:ascii="宋体" w:hAnsi="宋体"/>
          <w:sz w:val="21"/>
          <w:szCs w:val="21"/>
        </w:rPr>
        <w:fldChar w:fldCharType="end"/>
      </w:r>
      <w:r>
        <w:rPr>
          <w:rFonts w:ascii="宋体" w:hAnsi="宋体"/>
          <w:sz w:val="21"/>
          <w:szCs w:val="21"/>
        </w:rPr>
        <w:fldChar w:fldCharType="end"/>
      </w:r>
    </w:p>
    <w:p>
      <w:pPr>
        <w:pStyle w:val="11"/>
        <w:rPr>
          <w:rFonts w:ascii="宋体" w:hAnsi="宋体"/>
          <w:sz w:val="21"/>
          <w:szCs w:val="21"/>
        </w:rPr>
      </w:pPr>
      <w:r>
        <w:fldChar w:fldCharType="begin"/>
      </w:r>
      <w:r>
        <w:instrText xml:space="preserve"> HYPERLINK \l "_Toc172187866" </w:instrText>
      </w:r>
      <w:r>
        <w:fldChar w:fldCharType="separate"/>
      </w:r>
      <w:r>
        <w:rPr>
          <w:rStyle w:val="28"/>
          <w:rFonts w:ascii="宋体" w:hAnsi="宋体"/>
          <w:szCs w:val="21"/>
        </w:rPr>
        <w:t>14.3 BIM实施规划及管理</w:t>
      </w:r>
      <w:bookmarkStart w:id="16" w:name="_Hlk172289265"/>
      <w:r>
        <w:rPr>
          <w:rFonts w:ascii="宋体" w:hAnsi="宋体"/>
          <w:sz w:val="21"/>
          <w:szCs w:val="21"/>
        </w:rPr>
        <w:tab/>
      </w:r>
      <w:bookmarkEnd w:id="16"/>
      <w:r>
        <w:rPr>
          <w:rFonts w:ascii="宋体" w:hAnsi="宋体"/>
          <w:sz w:val="21"/>
          <w:szCs w:val="21"/>
        </w:rPr>
        <w:fldChar w:fldCharType="begin"/>
      </w:r>
      <w:r>
        <w:rPr>
          <w:rFonts w:ascii="宋体" w:hAnsi="宋体"/>
          <w:sz w:val="21"/>
          <w:szCs w:val="21"/>
        </w:rPr>
        <w:instrText xml:space="preserve"> PAGEREF _Toc172187866 \h </w:instrText>
      </w:r>
      <w:r>
        <w:rPr>
          <w:rFonts w:ascii="宋体" w:hAnsi="宋体"/>
          <w:sz w:val="21"/>
          <w:szCs w:val="21"/>
        </w:rPr>
        <w:fldChar w:fldCharType="separate"/>
      </w:r>
      <w:r>
        <w:rPr>
          <w:rFonts w:ascii="宋体" w:hAnsi="宋体"/>
          <w:sz w:val="21"/>
          <w:szCs w:val="21"/>
        </w:rPr>
        <w:t>48</w:t>
      </w:r>
      <w:r>
        <w:rPr>
          <w:rFonts w:ascii="宋体" w:hAnsi="宋体"/>
          <w:sz w:val="21"/>
          <w:szCs w:val="21"/>
        </w:rPr>
        <w:fldChar w:fldCharType="end"/>
      </w:r>
      <w:r>
        <w:rPr>
          <w:rFonts w:ascii="宋体" w:hAnsi="宋体"/>
          <w:sz w:val="21"/>
          <w:szCs w:val="21"/>
        </w:rPr>
        <w:fldChar w:fldCharType="end"/>
      </w:r>
    </w:p>
    <w:p>
      <w:pPr>
        <w:pStyle w:val="20"/>
        <w:rPr>
          <w:rFonts w:hAnsi="宋体"/>
          <w:kern w:val="2"/>
          <w:szCs w:val="21"/>
        </w:rPr>
      </w:pPr>
      <w:bookmarkStart w:id="17" w:name="_Hlk172289607"/>
      <w:r>
        <w:fldChar w:fldCharType="begin"/>
      </w:r>
      <w:r>
        <w:instrText xml:space="preserve"> HYPERLINK \l "_Toc172187863" </w:instrText>
      </w:r>
      <w:r>
        <w:fldChar w:fldCharType="separate"/>
      </w:r>
      <w:r>
        <w:rPr>
          <w:rStyle w:val="28"/>
          <w:rFonts w:hAnsi="宋体"/>
          <w:szCs w:val="21"/>
        </w:rPr>
        <w:t xml:space="preserve">15 </w:t>
      </w:r>
      <w:r>
        <w:rPr>
          <w:rStyle w:val="28"/>
          <w:rFonts w:hint="eastAsia" w:hAnsi="宋体"/>
          <w:szCs w:val="21"/>
          <w:lang w:eastAsia="zh-CN"/>
        </w:rPr>
        <w:t>标准实施及评价</w:t>
      </w:r>
      <w:r>
        <w:rPr>
          <w:rFonts w:hAnsi="宋体"/>
          <w:szCs w:val="21"/>
        </w:rPr>
        <w:tab/>
      </w:r>
      <w:r>
        <w:rPr>
          <w:rFonts w:hAnsi="宋体"/>
          <w:szCs w:val="21"/>
        </w:rPr>
        <w:fldChar w:fldCharType="begin"/>
      </w:r>
      <w:r>
        <w:rPr>
          <w:rFonts w:hAnsi="宋体"/>
          <w:szCs w:val="21"/>
        </w:rPr>
        <w:instrText xml:space="preserve"> PAGEREF _Toc172187863 \h </w:instrText>
      </w:r>
      <w:r>
        <w:rPr>
          <w:rFonts w:hAnsi="宋体"/>
          <w:szCs w:val="21"/>
        </w:rPr>
        <w:fldChar w:fldCharType="separate"/>
      </w:r>
      <w:r>
        <w:rPr>
          <w:rFonts w:hAnsi="宋体"/>
          <w:szCs w:val="21"/>
        </w:rPr>
        <w:t>4</w:t>
      </w:r>
      <w:r>
        <w:rPr>
          <w:rFonts w:hAnsi="宋体"/>
          <w:szCs w:val="21"/>
        </w:rPr>
        <w:fldChar w:fldCharType="end"/>
      </w:r>
      <w:r>
        <w:rPr>
          <w:rFonts w:hAnsi="宋体"/>
          <w:szCs w:val="21"/>
        </w:rPr>
        <w:fldChar w:fldCharType="end"/>
      </w:r>
      <w:r>
        <w:rPr>
          <w:rFonts w:hAnsi="宋体"/>
          <w:szCs w:val="21"/>
        </w:rPr>
        <w:t>8</w:t>
      </w:r>
    </w:p>
    <w:bookmarkEnd w:id="17"/>
    <w:p>
      <w:pPr>
        <w:pStyle w:val="20"/>
        <w:rPr>
          <w:rFonts w:hAnsi="宋体"/>
          <w:kern w:val="2"/>
          <w:szCs w:val="21"/>
        </w:rPr>
      </w:pPr>
      <w:r>
        <w:fldChar w:fldCharType="begin"/>
      </w:r>
      <w:r>
        <w:instrText xml:space="preserve"> HYPERLINK \l "_Toc172187867" </w:instrText>
      </w:r>
      <w:r>
        <w:fldChar w:fldCharType="separate"/>
      </w:r>
      <w:r>
        <w:rPr>
          <w:rStyle w:val="28"/>
          <w:rFonts w:hAnsi="宋体" w:cs="Times New Roman"/>
          <w:szCs w:val="21"/>
        </w:rPr>
        <w:t>附 录 A （资料性） 湖北省地方标准实施信息及意见反馈表</w:t>
      </w:r>
      <w:r>
        <w:rPr>
          <w:rFonts w:hAnsi="宋体"/>
          <w:szCs w:val="21"/>
        </w:rPr>
        <w:tab/>
      </w:r>
      <w:r>
        <w:rPr>
          <w:rFonts w:hAnsi="宋体"/>
          <w:szCs w:val="21"/>
        </w:rPr>
        <w:fldChar w:fldCharType="begin"/>
      </w:r>
      <w:r>
        <w:rPr>
          <w:rFonts w:hAnsi="宋体"/>
          <w:szCs w:val="21"/>
        </w:rPr>
        <w:instrText xml:space="preserve"> PAGEREF _Toc172187867 \h </w:instrText>
      </w:r>
      <w:r>
        <w:rPr>
          <w:rFonts w:hAnsi="宋体"/>
          <w:szCs w:val="21"/>
        </w:rPr>
        <w:fldChar w:fldCharType="separate"/>
      </w:r>
      <w:r>
        <w:rPr>
          <w:rFonts w:hAnsi="宋体"/>
          <w:szCs w:val="21"/>
        </w:rPr>
        <w:t>49</w:t>
      </w:r>
      <w:r>
        <w:rPr>
          <w:rFonts w:hAnsi="宋体"/>
          <w:szCs w:val="21"/>
        </w:rPr>
        <w:fldChar w:fldCharType="end"/>
      </w:r>
      <w:r>
        <w:rPr>
          <w:rFonts w:hAnsi="宋体"/>
          <w:szCs w:val="21"/>
        </w:rPr>
        <w:fldChar w:fldCharType="end"/>
      </w:r>
    </w:p>
    <w:p>
      <w:pPr>
        <w:pStyle w:val="20"/>
        <w:rPr>
          <w:rFonts w:hAnsi="宋体"/>
          <w:kern w:val="2"/>
          <w:szCs w:val="21"/>
        </w:rPr>
      </w:pPr>
      <w:r>
        <w:fldChar w:fldCharType="begin"/>
      </w:r>
      <w:r>
        <w:instrText xml:space="preserve"> HYPERLINK \l "_Toc172187868" </w:instrText>
      </w:r>
      <w:r>
        <w:fldChar w:fldCharType="separate"/>
      </w:r>
      <w:r>
        <w:rPr>
          <w:rStyle w:val="28"/>
          <w:rFonts w:hAnsi="宋体" w:cs="Times New Roman"/>
          <w:szCs w:val="21"/>
        </w:rPr>
        <w:t>条 文 说 明</w:t>
      </w:r>
      <w:r>
        <w:rPr>
          <w:rFonts w:hAnsi="宋体"/>
          <w:szCs w:val="21"/>
        </w:rPr>
        <w:tab/>
      </w:r>
      <w:r>
        <w:rPr>
          <w:rFonts w:hAnsi="宋体"/>
          <w:szCs w:val="21"/>
        </w:rPr>
        <w:fldChar w:fldCharType="begin"/>
      </w:r>
      <w:r>
        <w:rPr>
          <w:rFonts w:hAnsi="宋体"/>
          <w:szCs w:val="21"/>
        </w:rPr>
        <w:instrText xml:space="preserve"> PAGEREF _Toc172187868 \h </w:instrText>
      </w:r>
      <w:r>
        <w:rPr>
          <w:rFonts w:hAnsi="宋体"/>
          <w:szCs w:val="21"/>
        </w:rPr>
        <w:fldChar w:fldCharType="separate"/>
      </w:r>
      <w:r>
        <w:rPr>
          <w:rFonts w:hAnsi="宋体"/>
          <w:szCs w:val="21"/>
        </w:rPr>
        <w:t>50</w:t>
      </w:r>
      <w:r>
        <w:rPr>
          <w:rFonts w:hAnsi="宋体"/>
          <w:szCs w:val="21"/>
        </w:rPr>
        <w:fldChar w:fldCharType="end"/>
      </w:r>
      <w:r>
        <w:rPr>
          <w:rFonts w:hAnsi="宋体"/>
          <w:szCs w:val="21"/>
        </w:rPr>
        <w:fldChar w:fldCharType="end"/>
      </w:r>
    </w:p>
    <w:p>
      <w:pPr>
        <w:pStyle w:val="60"/>
        <w:shd w:val="clear" w:color="auto" w:fill="auto"/>
        <w:spacing w:before="120" w:beforeLines="50" w:after="120" w:afterLines="50" w:line="420" w:lineRule="exact"/>
        <w:jc w:val="both"/>
        <w:rPr>
          <w:rFonts w:ascii="Times New Roman" w:hAnsi="Times New Roman" w:cs="Times New Roman" w:eastAsiaTheme="minorEastAsia"/>
        </w:rPr>
      </w:pPr>
      <w:r>
        <w:rPr>
          <w:rFonts w:ascii="宋体" w:hAnsi="宋体" w:eastAsia="宋体" w:cs="Times New Roman"/>
          <w:sz w:val="21"/>
          <w:szCs w:val="21"/>
        </w:rPr>
        <w:fldChar w:fldCharType="end"/>
      </w:r>
      <w:bookmarkStart w:id="18" w:name="_Toc68250306"/>
      <w:bookmarkStart w:id="19" w:name="bookmark10"/>
    </w:p>
    <w:p>
      <w:pPr>
        <w:rPr>
          <w:rFonts w:ascii="Times New Roman" w:hAnsi="Times New Roman" w:cs="Times New Roman" w:eastAsiaTheme="minorEastAsia"/>
          <w:lang w:val="en-US"/>
        </w:rPr>
        <w:sectPr>
          <w:footerReference r:id="rId8" w:type="default"/>
          <w:pgSz w:w="11909" w:h="16834"/>
          <w:pgMar w:top="1418" w:right="1134" w:bottom="1418" w:left="1418" w:header="851" w:footer="992" w:gutter="0"/>
          <w:pgNumType w:fmt="upperRoman" w:start="1"/>
          <w:cols w:space="720" w:num="1"/>
          <w:docGrid w:linePitch="360" w:charSpace="0"/>
        </w:sectPr>
      </w:pPr>
    </w:p>
    <w:bookmarkEnd w:id="18"/>
    <w:bookmarkEnd w:id="19"/>
    <w:p>
      <w:pPr>
        <w:pStyle w:val="239"/>
        <w:outlineLvl w:val="1"/>
        <w:rPr>
          <w:rFonts w:ascii="Times New Roman"/>
          <w:color w:val="000000" w:themeColor="text1"/>
          <w14:textFill>
            <w14:solidFill>
              <w14:schemeClr w14:val="tx1"/>
            </w14:solidFill>
          </w14:textFill>
        </w:rPr>
      </w:pPr>
      <w:bookmarkStart w:id="20" w:name="_Toc172188870"/>
      <w:bookmarkStart w:id="21" w:name="_Toc172188594"/>
      <w:bookmarkStart w:id="22" w:name="_Toc172187809"/>
      <w:r>
        <w:rPr>
          <w:rFonts w:ascii="Times New Roman"/>
          <w:color w:val="000000" w:themeColor="text1"/>
          <w14:textFill>
            <w14:solidFill>
              <w14:schemeClr w14:val="tx1"/>
            </w14:solidFill>
          </w14:textFill>
        </w:rPr>
        <w:t>前    言</w:t>
      </w:r>
      <w:bookmarkEnd w:id="20"/>
      <w:bookmarkEnd w:id="21"/>
      <w:bookmarkEnd w:id="22"/>
    </w:p>
    <w:p>
      <w:pPr>
        <w:pStyle w:val="9"/>
        <w:spacing w:before="120" w:after="120" w:line="360" w:lineRule="auto"/>
        <w:ind w:firstLine="420"/>
        <w:jc w:val="both"/>
        <w:rPr>
          <w:rFonts w:hint="default" w:ascii="Times New Roman" w:hAnsi="Times New Roman"/>
        </w:rPr>
      </w:pPr>
      <w:r>
        <w:rPr>
          <w:rFonts w:hint="default" w:ascii="Times New Roman" w:hAnsi="Times New Roman"/>
        </w:rPr>
        <w:t>本文件按照GB/T 1.1-2020《标准化工作导则第1部分：标准的结构和编写》给出的规则起草。</w:t>
      </w:r>
    </w:p>
    <w:p>
      <w:pPr>
        <w:pStyle w:val="9"/>
        <w:spacing w:before="120" w:after="120" w:line="360" w:lineRule="auto"/>
        <w:ind w:firstLine="420"/>
        <w:jc w:val="both"/>
        <w:rPr>
          <w:rFonts w:hint="default" w:ascii="Times New Roman" w:hAnsi="Times New Roman"/>
        </w:rPr>
      </w:pPr>
      <w:r>
        <w:rPr>
          <w:rFonts w:hint="default" w:ascii="Times New Roman" w:hAnsi="Times New Roman"/>
        </w:rPr>
        <w:t>请注意本文件的某些内容可能涉及专利。本文件的发布机构不承担识别专利的责任。</w:t>
      </w:r>
    </w:p>
    <w:p>
      <w:pPr>
        <w:pStyle w:val="9"/>
        <w:spacing w:before="120" w:after="120" w:line="360" w:lineRule="auto"/>
        <w:ind w:firstLine="420"/>
        <w:jc w:val="both"/>
        <w:rPr>
          <w:rFonts w:hint="default" w:ascii="Times New Roman" w:hAnsi="Times New Roman"/>
        </w:rPr>
      </w:pPr>
      <w:r>
        <w:rPr>
          <w:rFonts w:hint="default" w:ascii="Times New Roman" w:hAnsi="Times New Roman"/>
        </w:rPr>
        <w:t>本文件由湖北省住房和城乡建设厅提出并归口管理。</w:t>
      </w:r>
    </w:p>
    <w:p>
      <w:pPr>
        <w:pStyle w:val="9"/>
        <w:spacing w:before="120" w:after="120" w:line="360" w:lineRule="auto"/>
        <w:ind w:firstLine="420"/>
        <w:jc w:val="both"/>
        <w:rPr>
          <w:rFonts w:hint="default" w:ascii="Times New Roman" w:hAnsi="Times New Roman"/>
        </w:rPr>
      </w:pPr>
      <w:r>
        <w:rPr>
          <w:rFonts w:hint="default" w:ascii="Times New Roman" w:hAnsi="Times New Roman"/>
        </w:rPr>
        <w:t>本文件起草单位：武汉理工大学、</w:t>
      </w:r>
      <w:r>
        <w:rPr>
          <w:rFonts w:ascii="Times New Roman" w:hAnsi="Times New Roman"/>
        </w:rPr>
        <w:t>武汉市华江幸福装配式建筑有限公司</w:t>
      </w:r>
      <w:r>
        <w:rPr>
          <w:rFonts w:hint="default" w:ascii="Times New Roman" w:hAnsi="Times New Roman"/>
        </w:rPr>
        <w:t>、中信建筑设计研究总院有限公司、湖北省工业建筑集团有限公司、</w:t>
      </w:r>
      <w:r>
        <w:rPr>
          <w:rFonts w:ascii="Times New Roman" w:hAnsi="Times New Roman"/>
        </w:rPr>
        <w:t>武汉市绿色建筑发展促进中心、武汉建工集团股份有限公司、中南建筑设计院股份有限公司、湖北省建筑科学研究设计院股份有限公司、中建三局第一建设工程有限责任公司、中建三局集团有限公司、</w:t>
      </w:r>
      <w:r>
        <w:rPr>
          <w:rFonts w:hint="default" w:ascii="Times New Roman" w:hAnsi="Times New Roman"/>
        </w:rPr>
        <w:t>中工武大设计集团有限公司、</w:t>
      </w:r>
      <w:r>
        <w:rPr>
          <w:rFonts w:ascii="Times New Roman" w:hAnsi="Times New Roman"/>
        </w:rPr>
        <w:t>中铁十一局集团建筑安装工程有限公司、华汇工程设计集团股份有限公司、天恩建设集团有限公司、楚峰建科集团开元新材（江陵）有限公司、中铁建设集团中南建设有限公司、武汉天华华中建筑设计有限公司、美好建筑装配科技有限公司、湖北广盛建筑产业化科技有限公司、湖北幸福祥龙建工有限公司。</w:t>
      </w:r>
    </w:p>
    <w:p>
      <w:pPr>
        <w:pStyle w:val="9"/>
        <w:spacing w:before="120" w:after="120" w:line="360" w:lineRule="auto"/>
        <w:ind w:firstLine="420"/>
        <w:jc w:val="both"/>
        <w:rPr>
          <w:rFonts w:hint="default" w:ascii="Times New Roman" w:eastAsiaTheme="minorEastAsia"/>
          <w:color w:val="000000" w:themeColor="text1"/>
          <w14:textFill>
            <w14:solidFill>
              <w14:schemeClr w14:val="tx1"/>
            </w14:solidFill>
          </w14:textFill>
        </w:rPr>
      </w:pPr>
      <w:r>
        <w:rPr>
          <w:rFonts w:hint="default" w:ascii="Times New Roman" w:hAnsi="Times New Roman"/>
        </w:rPr>
        <w:t>本文件主要起草人：</w:t>
      </w:r>
      <w:r>
        <w:rPr>
          <w:rFonts w:ascii="Times New Roman" w:hAnsi="Times New Roman"/>
        </w:rPr>
        <w:t>谷倩、温四清、王爱勋、封剑森、张凯、彭波、童明德、彭林立、刘士清、田水、陈宪清、王红军、汤毅文、唐美蓉、谭园、王翔、彭兆锋、蒋科卫、曹彬、查旭、易璐、梁伟、张蔚然、胡士军、张镜心、胡水、余哲。</w:t>
      </w:r>
    </w:p>
    <w:p>
      <w:pPr>
        <w:pStyle w:val="9"/>
        <w:spacing w:before="120" w:after="120" w:line="360" w:lineRule="auto"/>
        <w:ind w:firstLine="420"/>
        <w:jc w:val="both"/>
        <w:rPr>
          <w:rFonts w:hint="default" w:ascii="Times New Roman" w:hAnsi="Times New Roman"/>
        </w:rPr>
      </w:pPr>
      <w:r>
        <w:rPr>
          <w:rFonts w:ascii="Times New Roman" w:hAnsi="Times New Roman"/>
        </w:rPr>
        <w:t>本文件实施应用中的疑问，可咨询湖北省住房和城乡建设厅，联系电话：027-68873063，邮箱：bkc@hbszjt.net.cn。在执行过程中如有意见和建议请邮寄武汉理工大学（地址：湖北省武汉市洪山区珞狮路122号，邮政编码：430070，邮箱：guqian@whut.edu.cn）。</w:t>
      </w:r>
    </w:p>
    <w:p>
      <w:pPr>
        <w:pStyle w:val="9"/>
        <w:spacing w:before="120" w:after="120"/>
        <w:rPr>
          <w:rFonts w:hint="default" w:ascii="Times New Roman" w:hAnsi="Times New Roman"/>
        </w:rPr>
      </w:pPr>
    </w:p>
    <w:p>
      <w:pPr>
        <w:pStyle w:val="9"/>
        <w:spacing w:before="120" w:after="120"/>
        <w:rPr>
          <w:rFonts w:hint="default" w:ascii="Times New Roman" w:hAnsi="Times New Roman"/>
        </w:rPr>
      </w:pPr>
    </w:p>
    <w:p>
      <w:pPr>
        <w:pStyle w:val="9"/>
        <w:spacing w:before="120" w:after="120"/>
        <w:rPr>
          <w:rFonts w:hint="default" w:ascii="Times New Roman" w:hAnsi="Times New Roman"/>
        </w:rPr>
        <w:sectPr>
          <w:pgSz w:w="11909" w:h="16834"/>
          <w:pgMar w:top="1418" w:right="1134" w:bottom="1418" w:left="1418" w:header="851" w:footer="992" w:gutter="0"/>
          <w:pgNumType w:start="1"/>
          <w:cols w:space="720" w:num="1"/>
          <w:docGrid w:linePitch="360" w:charSpace="0"/>
        </w:sectPr>
      </w:pPr>
    </w:p>
    <w:p>
      <w:pPr>
        <w:pStyle w:val="210"/>
        <w:spacing w:before="240" w:after="240"/>
        <w:jc w:val="center"/>
        <w:rPr>
          <w:rFonts w:ascii="黑体" w:hAnsi="黑体" w:eastAsia="黑体"/>
          <w:b w:val="0"/>
          <w:sz w:val="21"/>
          <w:szCs w:val="21"/>
        </w:rPr>
      </w:pPr>
      <w:bookmarkStart w:id="23" w:name="_Toc172188595"/>
      <w:bookmarkStart w:id="24" w:name="_Toc172187810"/>
      <w:bookmarkStart w:id="25" w:name="_Toc172188871"/>
      <w:bookmarkStart w:id="26" w:name="_Toc68250307"/>
      <w:bookmarkStart w:id="27" w:name="bookmark11"/>
      <w:bookmarkStart w:id="28" w:name="_Toc32361"/>
      <w:r>
        <w:rPr>
          <w:rFonts w:hint="eastAsia" w:ascii="黑体" w:hAnsi="黑体" w:eastAsia="黑体"/>
          <w:b w:val="0"/>
          <w:sz w:val="21"/>
          <w:szCs w:val="21"/>
        </w:rPr>
        <w:t>装配整体式框架及框架-剪力墙结构技术规程</w:t>
      </w:r>
    </w:p>
    <w:p>
      <w:pPr>
        <w:pStyle w:val="210"/>
        <w:spacing w:before="240" w:after="240"/>
        <w:rPr>
          <w:rFonts w:ascii="黑体" w:hAnsi="黑体" w:eastAsia="黑体"/>
          <w:b w:val="0"/>
          <w:sz w:val="21"/>
          <w:szCs w:val="21"/>
        </w:rPr>
      </w:pPr>
      <w:r>
        <w:rPr>
          <w:rFonts w:ascii="黑体" w:hAnsi="黑体" w:eastAsia="黑体"/>
          <w:b w:val="0"/>
          <w:sz w:val="21"/>
          <w:szCs w:val="21"/>
        </w:rPr>
        <w:t xml:space="preserve">1  </w:t>
      </w:r>
      <w:r>
        <w:rPr>
          <w:rFonts w:hint="eastAsia" w:ascii="黑体" w:hAnsi="黑体" w:eastAsia="黑体"/>
          <w:b w:val="0"/>
          <w:sz w:val="21"/>
          <w:szCs w:val="21"/>
        </w:rPr>
        <w:t>范围</w:t>
      </w:r>
      <w:bookmarkEnd w:id="23"/>
      <w:bookmarkEnd w:id="24"/>
      <w:bookmarkEnd w:id="25"/>
    </w:p>
    <w:p>
      <w:pPr>
        <w:spacing w:before="120" w:beforeLines="50" w:after="120" w:afterLines="50"/>
        <w:ind w:firstLine="420" w:firstLineChars="200"/>
        <w:jc w:val="both"/>
        <w:rPr>
          <w:rFonts w:ascii="宋体" w:hAnsi="宋体" w:eastAsia="宋体"/>
          <w:sz w:val="21"/>
          <w:szCs w:val="21"/>
          <w:lang w:val="en-US"/>
        </w:rPr>
      </w:pPr>
      <w:r>
        <w:rPr>
          <w:rFonts w:hint="eastAsia" w:ascii="宋体" w:hAnsi="宋体" w:eastAsia="宋体"/>
          <w:sz w:val="21"/>
          <w:szCs w:val="21"/>
          <w:lang w:val="en-US"/>
        </w:rPr>
        <w:t>本文件规定了装配整体式混凝土框架结构及框架</w:t>
      </w:r>
      <w:r>
        <w:rPr>
          <w:rFonts w:ascii="宋体" w:hAnsi="宋体" w:eastAsia="宋体"/>
          <w:sz w:val="21"/>
          <w:szCs w:val="21"/>
          <w:lang w:val="en-US"/>
        </w:rPr>
        <w:t>-</w:t>
      </w:r>
      <w:r>
        <w:rPr>
          <w:rFonts w:hint="eastAsia" w:ascii="宋体" w:hAnsi="宋体" w:eastAsia="宋体"/>
          <w:sz w:val="21"/>
          <w:szCs w:val="21"/>
          <w:lang w:val="en-US"/>
        </w:rPr>
        <w:t>剪力墙结构的术语和定义、基本规定、材料、建筑设计、结构设计基本规定、装配整体式框架结构设计、装配整体式框架</w:t>
      </w:r>
      <w:r>
        <w:rPr>
          <w:rFonts w:ascii="宋体" w:hAnsi="宋体" w:eastAsia="宋体"/>
          <w:sz w:val="21"/>
          <w:szCs w:val="21"/>
          <w:lang w:val="en-US"/>
        </w:rPr>
        <w:t>-</w:t>
      </w:r>
      <w:r>
        <w:rPr>
          <w:rFonts w:hint="eastAsia" w:ascii="宋体" w:hAnsi="宋体" w:eastAsia="宋体"/>
          <w:sz w:val="21"/>
          <w:szCs w:val="21"/>
          <w:lang w:val="en-US"/>
        </w:rPr>
        <w:t>剪力墙结构设计、围护结构设计、预制构件生产与运输、结构施工、工程验收、信息化技术应用。</w:t>
      </w:r>
    </w:p>
    <w:p>
      <w:pPr>
        <w:spacing w:before="120" w:beforeLines="50" w:after="120" w:afterLines="50"/>
        <w:ind w:firstLine="420" w:firstLineChars="200"/>
        <w:jc w:val="both"/>
        <w:rPr>
          <w:rFonts w:ascii="宋体" w:hAnsi="宋体" w:eastAsia="宋体"/>
          <w:sz w:val="21"/>
          <w:szCs w:val="21"/>
          <w:lang w:val="en-US"/>
        </w:rPr>
      </w:pPr>
      <w:r>
        <w:rPr>
          <w:rFonts w:hint="eastAsia" w:ascii="宋体" w:hAnsi="宋体" w:eastAsia="宋体"/>
          <w:sz w:val="21"/>
          <w:szCs w:val="21"/>
          <w:lang w:val="en-US"/>
        </w:rPr>
        <w:t>本文件适用于湖北省行政区域内的抗震设防类别为标准设防类及重点设防类、抗震设防烈度</w:t>
      </w:r>
      <w:r>
        <w:rPr>
          <w:rFonts w:ascii="宋体" w:hAnsi="宋体" w:eastAsia="宋体"/>
          <w:sz w:val="21"/>
          <w:szCs w:val="21"/>
          <w:lang w:val="en-US"/>
        </w:rPr>
        <w:t>7</w:t>
      </w:r>
      <w:r>
        <w:rPr>
          <w:rFonts w:hint="eastAsia" w:ascii="宋体" w:hAnsi="宋体" w:eastAsia="宋体"/>
          <w:sz w:val="21"/>
          <w:szCs w:val="21"/>
          <w:lang w:val="en-US"/>
        </w:rPr>
        <w:t>度及</w:t>
      </w:r>
      <w:r>
        <w:rPr>
          <w:rFonts w:ascii="宋体" w:hAnsi="宋体" w:eastAsia="宋体"/>
          <w:sz w:val="21"/>
          <w:szCs w:val="21"/>
          <w:lang w:val="en-US"/>
        </w:rPr>
        <w:t>7</w:t>
      </w:r>
      <w:r>
        <w:rPr>
          <w:rFonts w:hint="eastAsia" w:ascii="宋体" w:hAnsi="宋体" w:eastAsia="宋体"/>
          <w:sz w:val="21"/>
          <w:szCs w:val="21"/>
          <w:lang w:val="en-US"/>
        </w:rPr>
        <w:t>度以下地区的装配整体式混凝土框架结构及框架</w:t>
      </w:r>
      <w:r>
        <w:rPr>
          <w:rFonts w:ascii="宋体" w:hAnsi="宋体" w:eastAsia="宋体"/>
          <w:sz w:val="21"/>
          <w:szCs w:val="21"/>
          <w:lang w:val="en-US"/>
        </w:rPr>
        <w:t>-</w:t>
      </w:r>
      <w:r>
        <w:rPr>
          <w:rFonts w:hint="eastAsia" w:ascii="宋体" w:hAnsi="宋体" w:eastAsia="宋体"/>
          <w:sz w:val="21"/>
          <w:szCs w:val="21"/>
          <w:lang w:val="en-US"/>
        </w:rPr>
        <w:t>剪力墙结构设计。本文件不适用于特别不规则的建筑。</w:t>
      </w:r>
    </w:p>
    <w:p>
      <w:pPr>
        <w:pStyle w:val="210"/>
        <w:spacing w:before="240" w:after="240"/>
        <w:rPr>
          <w:rFonts w:ascii="黑体" w:hAnsi="黑体" w:eastAsia="黑体"/>
          <w:b w:val="0"/>
          <w:sz w:val="21"/>
          <w:szCs w:val="21"/>
        </w:rPr>
      </w:pPr>
      <w:bookmarkStart w:id="29" w:name="_Toc172188872"/>
      <w:bookmarkStart w:id="30" w:name="_Toc172188596"/>
      <w:bookmarkStart w:id="31" w:name="_Toc172187811"/>
      <w:r>
        <w:rPr>
          <w:rFonts w:ascii="黑体" w:hAnsi="黑体" w:eastAsia="黑体"/>
          <w:b w:val="0"/>
          <w:sz w:val="21"/>
          <w:szCs w:val="21"/>
        </w:rPr>
        <w:t xml:space="preserve">2  </w:t>
      </w:r>
      <w:r>
        <w:rPr>
          <w:rFonts w:hint="eastAsia" w:ascii="黑体" w:hAnsi="黑体" w:eastAsia="黑体"/>
          <w:b w:val="0"/>
          <w:sz w:val="21"/>
          <w:szCs w:val="21"/>
        </w:rPr>
        <w:t>规范性引用文件</w:t>
      </w:r>
      <w:bookmarkEnd w:id="29"/>
      <w:bookmarkEnd w:id="30"/>
      <w:bookmarkEnd w:id="31"/>
    </w:p>
    <w:p>
      <w:pPr>
        <w:ind w:firstLine="420" w:firstLineChars="200"/>
        <w:jc w:val="both"/>
        <w:rPr>
          <w:rFonts w:ascii="宋体" w:hAnsi="宋体" w:eastAsia="宋体"/>
          <w:sz w:val="21"/>
          <w:szCs w:val="21"/>
          <w:lang w:val="en-US"/>
        </w:rPr>
      </w:pPr>
      <w:r>
        <w:rPr>
          <w:rFonts w:hint="eastAsia" w:ascii="宋体" w:hAnsi="宋体" w:eastAsia="宋体"/>
          <w:sz w:val="21"/>
          <w:szCs w:val="21"/>
          <w:lang w:val="en-US"/>
        </w:rPr>
        <w:t>下列文件中的内容通过文中的规范性引用而构成本文件必不可少的条款。其中，注日期的引用文件，仅该日期对应的版本适用于本文件；不注日期的引用文件，其最新版本（包括所有的修改单）适用于本文件。</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GB/T 700  </w:t>
      </w:r>
      <w:r>
        <w:rPr>
          <w:rFonts w:hint="eastAsia" w:ascii="宋体" w:hAnsi="宋体" w:eastAsia="宋体"/>
          <w:sz w:val="21"/>
          <w:szCs w:val="21"/>
          <w:lang w:val="en-US"/>
        </w:rPr>
        <w:t>碳素结构钢</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GB/T 1591  </w:t>
      </w:r>
      <w:r>
        <w:rPr>
          <w:rFonts w:hint="eastAsia" w:ascii="宋体" w:hAnsi="宋体" w:eastAsia="宋体"/>
          <w:sz w:val="21"/>
          <w:szCs w:val="21"/>
          <w:lang w:val="en-US"/>
        </w:rPr>
        <w:t>低合金高强度结构钢</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GB 8426  </w:t>
      </w:r>
      <w:r>
        <w:rPr>
          <w:rFonts w:hint="eastAsia" w:ascii="宋体" w:hAnsi="宋体" w:eastAsia="宋体"/>
          <w:sz w:val="21"/>
          <w:szCs w:val="21"/>
          <w:lang w:val="en-US"/>
        </w:rPr>
        <w:t>建筑材料及制品燃烧性能分级</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GB/T 14683  </w:t>
      </w:r>
      <w:r>
        <w:rPr>
          <w:rFonts w:hint="eastAsia" w:ascii="宋体" w:hAnsi="宋体" w:eastAsia="宋体"/>
          <w:sz w:val="21"/>
          <w:szCs w:val="21"/>
          <w:lang w:val="en-US"/>
        </w:rPr>
        <w:t>硅酮和改性硅酮建筑密封胶</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GB 50009  </w:t>
      </w:r>
      <w:r>
        <w:rPr>
          <w:rFonts w:hint="eastAsia" w:ascii="宋体" w:hAnsi="宋体" w:eastAsia="宋体"/>
          <w:sz w:val="21"/>
          <w:szCs w:val="21"/>
          <w:lang w:val="en-US"/>
        </w:rPr>
        <w:t>建筑结构荷载规范</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GB/T 50010  </w:t>
      </w:r>
      <w:r>
        <w:rPr>
          <w:rFonts w:hint="eastAsia" w:ascii="宋体" w:hAnsi="宋体" w:eastAsia="宋体"/>
          <w:sz w:val="21"/>
          <w:szCs w:val="21"/>
          <w:lang w:val="en-US"/>
        </w:rPr>
        <w:t>混凝土结构设计标准</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GB/T 50011  </w:t>
      </w:r>
      <w:r>
        <w:rPr>
          <w:rFonts w:hint="eastAsia" w:ascii="宋体" w:hAnsi="宋体" w:eastAsia="宋体"/>
          <w:sz w:val="21"/>
          <w:szCs w:val="21"/>
          <w:lang w:val="en-US"/>
        </w:rPr>
        <w:t>建筑抗震设计标准</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GB 50017  </w:t>
      </w:r>
      <w:r>
        <w:rPr>
          <w:rFonts w:hint="eastAsia" w:ascii="宋体" w:hAnsi="宋体" w:eastAsia="宋体"/>
          <w:sz w:val="21"/>
          <w:szCs w:val="21"/>
          <w:lang w:val="en-US"/>
        </w:rPr>
        <w:t xml:space="preserve">钢结构设计标准 </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GB 50222  </w:t>
      </w:r>
      <w:r>
        <w:rPr>
          <w:rFonts w:hint="eastAsia" w:ascii="宋体" w:hAnsi="宋体" w:eastAsia="宋体"/>
          <w:sz w:val="21"/>
          <w:szCs w:val="21"/>
          <w:lang w:val="en-US"/>
        </w:rPr>
        <w:t>建筑内部装修设计防火规范</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GB 50223  </w:t>
      </w:r>
      <w:r>
        <w:rPr>
          <w:rFonts w:hint="eastAsia" w:ascii="宋体" w:hAnsi="宋体" w:eastAsia="宋体"/>
          <w:sz w:val="21"/>
          <w:szCs w:val="21"/>
          <w:lang w:val="en-US"/>
        </w:rPr>
        <w:t>建筑工程抗震设防分类标准</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GB 50325  </w:t>
      </w:r>
      <w:r>
        <w:rPr>
          <w:rFonts w:hint="eastAsia" w:ascii="宋体" w:hAnsi="宋体" w:eastAsia="宋体"/>
          <w:sz w:val="21"/>
          <w:szCs w:val="21"/>
          <w:lang w:val="en-US"/>
        </w:rPr>
        <w:t>民用建筑工程室内环境污染控制规范</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GB/T 50448  </w:t>
      </w:r>
      <w:r>
        <w:rPr>
          <w:rFonts w:hint="eastAsia" w:ascii="宋体" w:hAnsi="宋体" w:eastAsia="宋体"/>
          <w:sz w:val="21"/>
          <w:szCs w:val="21"/>
          <w:lang w:val="en-US"/>
        </w:rPr>
        <w:t>水泥基灌浆材料应用技术规范</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GB 50661  </w:t>
      </w:r>
      <w:r>
        <w:rPr>
          <w:rFonts w:hint="eastAsia" w:ascii="宋体" w:hAnsi="宋体" w:eastAsia="宋体"/>
          <w:sz w:val="21"/>
          <w:szCs w:val="21"/>
          <w:lang w:val="en-US"/>
        </w:rPr>
        <w:t>钢结构焊接规范</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GB 50666  </w:t>
      </w:r>
      <w:r>
        <w:rPr>
          <w:rFonts w:hint="eastAsia" w:ascii="宋体" w:hAnsi="宋体" w:eastAsia="宋体"/>
          <w:sz w:val="21"/>
          <w:szCs w:val="21"/>
          <w:lang w:val="en-US"/>
        </w:rPr>
        <w:t>混凝土结构工程施工规范</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GB/T 51231  </w:t>
      </w:r>
      <w:r>
        <w:rPr>
          <w:rFonts w:hint="eastAsia" w:ascii="宋体" w:hAnsi="宋体" w:eastAsia="宋体"/>
          <w:sz w:val="21"/>
          <w:szCs w:val="21"/>
          <w:lang w:val="en-US"/>
        </w:rPr>
        <w:t>装配式混凝土建筑技术标准</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JGJ 1  </w:t>
      </w:r>
      <w:r>
        <w:rPr>
          <w:rFonts w:hint="eastAsia" w:ascii="宋体" w:hAnsi="宋体" w:eastAsia="宋体"/>
          <w:sz w:val="21"/>
          <w:szCs w:val="21"/>
          <w:lang w:val="en-US"/>
        </w:rPr>
        <w:t>装配式混凝土结构技术规程</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JGJ 3  </w:t>
      </w:r>
      <w:r>
        <w:rPr>
          <w:rFonts w:hint="eastAsia" w:ascii="宋体" w:hAnsi="宋体" w:eastAsia="宋体"/>
          <w:sz w:val="21"/>
          <w:szCs w:val="21"/>
          <w:lang w:val="en-US"/>
        </w:rPr>
        <w:t>高层建筑混凝土结构技术规程</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JGJ 18  </w:t>
      </w:r>
      <w:r>
        <w:rPr>
          <w:rFonts w:hint="eastAsia" w:ascii="宋体" w:hAnsi="宋体" w:eastAsia="宋体"/>
          <w:sz w:val="21"/>
          <w:szCs w:val="21"/>
          <w:lang w:val="en-US"/>
        </w:rPr>
        <w:t>钢筋焊接及验收规程</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JGJ 92  </w:t>
      </w:r>
      <w:r>
        <w:rPr>
          <w:rFonts w:hint="eastAsia" w:ascii="宋体" w:hAnsi="宋体" w:eastAsia="宋体"/>
          <w:sz w:val="21"/>
          <w:szCs w:val="21"/>
          <w:lang w:val="en-US"/>
        </w:rPr>
        <w:t>无粘结预应力混凝土结构技术规程</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JGJ 114  </w:t>
      </w:r>
      <w:r>
        <w:rPr>
          <w:rFonts w:hint="eastAsia" w:ascii="宋体" w:hAnsi="宋体" w:eastAsia="宋体"/>
          <w:sz w:val="21"/>
          <w:szCs w:val="21"/>
          <w:lang w:val="en-US"/>
        </w:rPr>
        <w:t>钢筋焊接网混凝土结构技术规程</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JGJ/T 140  </w:t>
      </w:r>
      <w:r>
        <w:rPr>
          <w:rFonts w:hint="eastAsia" w:ascii="宋体" w:hAnsi="宋体" w:eastAsia="宋体"/>
          <w:sz w:val="21"/>
          <w:szCs w:val="21"/>
          <w:lang w:val="en-US"/>
        </w:rPr>
        <w:t>预应力混凝土结构抗震设计标准</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JGJ 256  </w:t>
      </w:r>
      <w:r>
        <w:rPr>
          <w:rFonts w:hint="eastAsia" w:ascii="宋体" w:hAnsi="宋体" w:eastAsia="宋体"/>
          <w:sz w:val="21"/>
          <w:szCs w:val="21"/>
          <w:lang w:val="en-US"/>
        </w:rPr>
        <w:t>钢筋锚固板应用技术规程</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JGJ 339  </w:t>
      </w:r>
      <w:r>
        <w:rPr>
          <w:rFonts w:hint="eastAsia" w:ascii="宋体" w:hAnsi="宋体" w:eastAsia="宋体"/>
          <w:sz w:val="21"/>
          <w:szCs w:val="21"/>
          <w:lang w:val="en-US"/>
        </w:rPr>
        <w:t>非结构构件抗震设计规范</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JGJ 355  </w:t>
      </w:r>
      <w:r>
        <w:rPr>
          <w:rFonts w:hint="eastAsia" w:ascii="宋体" w:hAnsi="宋体" w:eastAsia="宋体"/>
          <w:sz w:val="21"/>
          <w:szCs w:val="21"/>
          <w:lang w:val="en-US"/>
        </w:rPr>
        <w:t>钢筋套筒灌浆连接应用技术规程</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JGJ 369  </w:t>
      </w:r>
      <w:r>
        <w:rPr>
          <w:rFonts w:hint="eastAsia" w:ascii="宋体" w:hAnsi="宋体" w:eastAsia="宋体"/>
          <w:sz w:val="21"/>
          <w:szCs w:val="21"/>
          <w:lang w:val="en-US"/>
        </w:rPr>
        <w:t>预应力混凝土结构设计规范</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JG/T 163  </w:t>
      </w:r>
      <w:r>
        <w:rPr>
          <w:rFonts w:hint="eastAsia" w:ascii="宋体" w:hAnsi="宋体" w:eastAsia="宋体"/>
          <w:sz w:val="21"/>
          <w:szCs w:val="21"/>
          <w:lang w:val="en-US"/>
        </w:rPr>
        <w:t>钢筋机械连接用套筒</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JG 225  </w:t>
      </w:r>
      <w:r>
        <w:rPr>
          <w:rFonts w:hint="eastAsia" w:ascii="宋体" w:hAnsi="宋体" w:eastAsia="宋体"/>
          <w:sz w:val="21"/>
          <w:szCs w:val="21"/>
          <w:lang w:val="en-US"/>
        </w:rPr>
        <w:t>预应力混凝土用金属波纹管</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JG/T 398  </w:t>
      </w:r>
      <w:r>
        <w:rPr>
          <w:rFonts w:hint="eastAsia" w:ascii="宋体" w:hAnsi="宋体" w:eastAsia="宋体"/>
          <w:sz w:val="21"/>
          <w:szCs w:val="21"/>
          <w:lang w:val="en-US"/>
        </w:rPr>
        <w:t>钢筋连接用灌浆套筒</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JG/T 408  </w:t>
      </w:r>
      <w:r>
        <w:rPr>
          <w:rFonts w:hint="eastAsia" w:ascii="宋体" w:hAnsi="宋体" w:eastAsia="宋体"/>
          <w:sz w:val="21"/>
          <w:szCs w:val="21"/>
          <w:lang w:val="en-US"/>
        </w:rPr>
        <w:t>钢筋连接用套筒灌浆料</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JC/T 482  </w:t>
      </w:r>
      <w:r>
        <w:rPr>
          <w:rFonts w:hint="eastAsia" w:ascii="宋体" w:hAnsi="宋体" w:eastAsia="宋体"/>
          <w:sz w:val="21"/>
          <w:szCs w:val="21"/>
          <w:lang w:val="en-US"/>
        </w:rPr>
        <w:t>聚氨酯建筑密封胶</w:t>
      </w:r>
    </w:p>
    <w:p>
      <w:pPr>
        <w:ind w:firstLine="420" w:firstLineChars="200"/>
        <w:rPr>
          <w:rFonts w:ascii="宋体" w:hAnsi="宋体" w:eastAsia="宋体"/>
          <w:sz w:val="21"/>
          <w:szCs w:val="21"/>
          <w:lang w:val="en-US"/>
        </w:rPr>
      </w:pPr>
      <w:r>
        <w:rPr>
          <w:rFonts w:ascii="宋体" w:hAnsi="宋体" w:eastAsia="宋体"/>
          <w:sz w:val="21"/>
          <w:szCs w:val="21"/>
          <w:lang w:val="en-US"/>
        </w:rPr>
        <w:t xml:space="preserve">JC/T 483  </w:t>
      </w:r>
      <w:r>
        <w:rPr>
          <w:rFonts w:hint="eastAsia" w:ascii="宋体" w:hAnsi="宋体" w:eastAsia="宋体"/>
          <w:sz w:val="21"/>
          <w:szCs w:val="21"/>
          <w:lang w:val="en-US"/>
        </w:rPr>
        <w:t>聚硫建筑密封胶</w:t>
      </w:r>
    </w:p>
    <w:p>
      <w:pPr>
        <w:pStyle w:val="210"/>
        <w:spacing w:before="240" w:after="240"/>
        <w:rPr>
          <w:rFonts w:ascii="黑体" w:hAnsi="黑体" w:eastAsia="黑体"/>
          <w:b w:val="0"/>
          <w:sz w:val="21"/>
          <w:szCs w:val="21"/>
        </w:rPr>
      </w:pPr>
      <w:bookmarkStart w:id="32" w:name="_Toc172188873"/>
      <w:bookmarkStart w:id="33" w:name="_Toc172188597"/>
      <w:bookmarkStart w:id="34" w:name="_Toc172187812"/>
      <w:r>
        <w:rPr>
          <w:rFonts w:ascii="黑体" w:hAnsi="黑体" w:eastAsia="黑体"/>
          <w:b w:val="0"/>
          <w:sz w:val="21"/>
          <w:szCs w:val="21"/>
        </w:rPr>
        <w:t>3  术语和</w:t>
      </w:r>
      <w:bookmarkEnd w:id="26"/>
      <w:bookmarkEnd w:id="27"/>
      <w:bookmarkEnd w:id="28"/>
      <w:r>
        <w:rPr>
          <w:rFonts w:hint="eastAsia" w:ascii="黑体" w:hAnsi="黑体" w:eastAsia="黑体"/>
          <w:b w:val="0"/>
          <w:sz w:val="21"/>
          <w:szCs w:val="21"/>
        </w:rPr>
        <w:t>定义</w:t>
      </w:r>
      <w:bookmarkEnd w:id="32"/>
      <w:bookmarkEnd w:id="33"/>
      <w:bookmarkEnd w:id="34"/>
    </w:p>
    <w:p>
      <w:pPr>
        <w:pStyle w:val="210"/>
        <w:spacing w:before="240" w:after="240"/>
        <w:outlineLvl w:val="2"/>
        <w:rPr>
          <w:rFonts w:ascii="黑体" w:hAnsi="黑体" w:eastAsia="黑体"/>
          <w:b w:val="0"/>
          <w:sz w:val="21"/>
          <w:szCs w:val="21"/>
        </w:rPr>
      </w:pPr>
      <w:bookmarkStart w:id="35" w:name="_Toc172188598"/>
      <w:bookmarkStart w:id="36" w:name="_Toc30395"/>
      <w:bookmarkStart w:id="37" w:name="_Toc172187813"/>
      <w:bookmarkStart w:id="38" w:name="_Toc172188874"/>
      <w:r>
        <w:rPr>
          <w:rFonts w:ascii="黑体" w:hAnsi="黑体" w:eastAsia="黑体"/>
          <w:b w:val="0"/>
          <w:sz w:val="21"/>
          <w:szCs w:val="21"/>
        </w:rPr>
        <w:t>3.1  术语</w:t>
      </w:r>
      <w:bookmarkEnd w:id="35"/>
      <w:bookmarkEnd w:id="36"/>
      <w:bookmarkEnd w:id="37"/>
      <w:bookmarkEnd w:id="38"/>
    </w:p>
    <w:p>
      <w:pPr>
        <w:ind w:firstLine="420" w:firstLineChars="200"/>
        <w:rPr>
          <w:rFonts w:ascii="宋体" w:hAnsi="宋体" w:eastAsia="宋体"/>
          <w:sz w:val="21"/>
          <w:szCs w:val="21"/>
          <w:lang w:val="en-US"/>
        </w:rPr>
      </w:pPr>
      <w:r>
        <w:rPr>
          <w:rFonts w:hint="eastAsia" w:ascii="宋体" w:hAnsi="宋体" w:eastAsia="宋体"/>
          <w:sz w:val="21"/>
          <w:szCs w:val="21"/>
          <w:lang w:val="en-US"/>
        </w:rPr>
        <w:t>下列术语和定义适用于本文件。</w:t>
      </w:r>
    </w:p>
    <w:p>
      <w:pPr>
        <w:pStyle w:val="55"/>
        <w:numPr>
          <w:ilvl w:val="0"/>
          <w:numId w:val="3"/>
        </w:numPr>
        <w:shd w:val="clear" w:color="auto" w:fill="auto"/>
        <w:tabs>
          <w:tab w:val="left" w:pos="638"/>
        </w:tabs>
        <w:spacing w:before="120" w:beforeLines="50" w:after="120" w:afterLines="50" w:line="240" w:lineRule="auto"/>
        <w:jc w:val="both"/>
        <w:rPr>
          <w:rStyle w:val="56"/>
          <w:rFonts w:ascii="Times New Roman" w:hAnsi="Times New Roman" w:eastAsia="宋体" w:cs="Times New Roman"/>
          <w:color w:val="auto"/>
          <w:spacing w:val="0"/>
          <w:sz w:val="21"/>
          <w:szCs w:val="21"/>
          <w:shd w:val="clear" w:color="auto" w:fill="auto"/>
          <w:lang w:val="en-US"/>
        </w:rPr>
      </w:pPr>
    </w:p>
    <w:p>
      <w:pPr>
        <w:pStyle w:val="55"/>
        <w:shd w:val="clear" w:color="auto" w:fill="auto"/>
        <w:tabs>
          <w:tab w:val="left" w:pos="638"/>
        </w:tabs>
        <w:spacing w:before="120" w:beforeLines="50" w:after="120" w:afterLines="50" w:line="240" w:lineRule="auto"/>
        <w:ind w:firstLine="420" w:firstLineChars="200"/>
        <w:jc w:val="both"/>
        <w:rPr>
          <w:rFonts w:ascii="黑体" w:hAnsi="黑体" w:eastAsia="黑体" w:cs="Times New Roman"/>
          <w:spacing w:val="0"/>
          <w:sz w:val="21"/>
          <w:szCs w:val="21"/>
        </w:rPr>
      </w:pPr>
      <w:r>
        <w:rPr>
          <w:rStyle w:val="56"/>
          <w:rFonts w:ascii="黑体" w:hAnsi="黑体" w:eastAsia="黑体" w:cs="Times New Roman"/>
          <w:spacing w:val="0"/>
          <w:sz w:val="21"/>
          <w:szCs w:val="21"/>
        </w:rPr>
        <w:t xml:space="preserve">预制混凝土构件 </w:t>
      </w:r>
      <w:r>
        <w:rPr>
          <w:rStyle w:val="72"/>
          <w:rFonts w:ascii="黑体" w:hAnsi="黑体" w:eastAsia="黑体" w:cs="Times New Roman"/>
          <w:spacing w:val="0"/>
          <w:sz w:val="21"/>
          <w:szCs w:val="21"/>
        </w:rPr>
        <w:t>precast concrete component</w:t>
      </w:r>
    </w:p>
    <w:p>
      <w:pPr>
        <w:pStyle w:val="51"/>
        <w:shd w:val="clear" w:color="auto" w:fill="auto"/>
        <w:spacing w:before="120" w:beforeLines="50" w:after="120" w:afterLines="50" w:line="240" w:lineRule="auto"/>
        <w:ind w:firstLine="420" w:firstLineChars="200"/>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在工厂或现场预先制作的混凝土构件。</w:t>
      </w:r>
    </w:p>
    <w:p>
      <w:pPr>
        <w:pStyle w:val="55"/>
        <w:numPr>
          <w:ilvl w:val="0"/>
          <w:numId w:val="3"/>
        </w:numPr>
        <w:shd w:val="clear" w:color="auto" w:fill="auto"/>
        <w:tabs>
          <w:tab w:val="left" w:pos="634"/>
        </w:tabs>
        <w:spacing w:before="120" w:beforeLines="50" w:after="120" w:afterLines="50" w:line="240" w:lineRule="auto"/>
        <w:jc w:val="both"/>
        <w:rPr>
          <w:rStyle w:val="56"/>
          <w:rFonts w:ascii="Times New Roman" w:hAnsi="Times New Roman" w:eastAsia="宋体" w:cs="Times New Roman"/>
          <w:spacing w:val="0"/>
          <w:sz w:val="21"/>
          <w:szCs w:val="21"/>
          <w:lang w:val="en-US"/>
        </w:rPr>
      </w:pPr>
    </w:p>
    <w:p>
      <w:pPr>
        <w:pStyle w:val="55"/>
        <w:shd w:val="clear" w:color="auto" w:fill="auto"/>
        <w:tabs>
          <w:tab w:val="left" w:pos="634"/>
        </w:tabs>
        <w:spacing w:before="120" w:beforeLines="50" w:after="120" w:afterLines="50" w:line="240" w:lineRule="auto"/>
        <w:ind w:firstLine="420" w:firstLineChars="200"/>
        <w:jc w:val="both"/>
        <w:rPr>
          <w:rStyle w:val="56"/>
          <w:rFonts w:ascii="黑体" w:hAnsi="黑体" w:eastAsia="黑体" w:cs="Times New Roman"/>
          <w:spacing w:val="0"/>
          <w:sz w:val="21"/>
          <w:szCs w:val="21"/>
        </w:rPr>
      </w:pPr>
      <w:r>
        <w:rPr>
          <w:rStyle w:val="56"/>
          <w:rFonts w:ascii="黑体" w:hAnsi="黑体" w:eastAsia="黑体" w:cs="Times New Roman"/>
          <w:spacing w:val="0"/>
          <w:sz w:val="21"/>
          <w:szCs w:val="21"/>
        </w:rPr>
        <w:t>装配式混凝土结构 precast concrete structure</w:t>
      </w:r>
    </w:p>
    <w:p>
      <w:pPr>
        <w:pStyle w:val="51"/>
        <w:shd w:val="clear" w:color="auto" w:fill="auto"/>
        <w:spacing w:before="120" w:beforeLines="50" w:after="120" w:afterLines="50" w:line="240" w:lineRule="auto"/>
        <w:ind w:firstLine="440"/>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由预制混凝土构件通过可靠连接方式装配而成的混凝土结构，包括装配整体式混凝土结构、全装配混凝土结构等。</w:t>
      </w:r>
    </w:p>
    <w:p>
      <w:pPr>
        <w:pStyle w:val="55"/>
        <w:numPr>
          <w:ilvl w:val="0"/>
          <w:numId w:val="3"/>
        </w:numPr>
        <w:shd w:val="clear" w:color="auto" w:fill="auto"/>
        <w:tabs>
          <w:tab w:val="left" w:pos="677"/>
        </w:tabs>
        <w:spacing w:before="120" w:beforeLines="50" w:after="120" w:afterLines="50" w:line="240" w:lineRule="auto"/>
        <w:jc w:val="both"/>
        <w:rPr>
          <w:rStyle w:val="56"/>
          <w:rFonts w:ascii="Times New Roman" w:hAnsi="Times New Roman" w:eastAsia="宋体" w:cs="Times New Roman"/>
          <w:color w:val="auto"/>
          <w:spacing w:val="0"/>
          <w:sz w:val="21"/>
          <w:szCs w:val="21"/>
          <w:shd w:val="clear" w:color="auto" w:fill="auto"/>
          <w:lang w:val="en-US"/>
        </w:rPr>
      </w:pPr>
    </w:p>
    <w:p>
      <w:pPr>
        <w:pStyle w:val="55"/>
        <w:shd w:val="clear" w:color="auto" w:fill="auto"/>
        <w:tabs>
          <w:tab w:val="left" w:pos="638"/>
        </w:tabs>
        <w:spacing w:before="120" w:beforeLines="50" w:after="120" w:afterLines="50" w:line="240" w:lineRule="auto"/>
        <w:ind w:firstLine="420" w:firstLineChars="200"/>
        <w:jc w:val="both"/>
        <w:rPr>
          <w:rStyle w:val="56"/>
          <w:rFonts w:ascii="黑体" w:hAnsi="黑体" w:eastAsia="黑体" w:cs="Times New Roman"/>
          <w:spacing w:val="0"/>
          <w:sz w:val="21"/>
          <w:szCs w:val="21"/>
          <w:lang w:val="en-US"/>
        </w:rPr>
      </w:pPr>
      <w:r>
        <w:rPr>
          <w:rStyle w:val="56"/>
          <w:rFonts w:ascii="黑体" w:hAnsi="黑体" w:eastAsia="黑体" w:cs="Times New Roman"/>
          <w:spacing w:val="0"/>
          <w:sz w:val="21"/>
          <w:szCs w:val="21"/>
        </w:rPr>
        <w:t>装配整体式混凝土框架结构</w:t>
      </w:r>
      <w:r>
        <w:rPr>
          <w:rStyle w:val="56"/>
          <w:rFonts w:ascii="黑体" w:hAnsi="黑体" w:eastAsia="黑体" w:cs="Times New Roman"/>
          <w:spacing w:val="0"/>
          <w:sz w:val="21"/>
          <w:szCs w:val="21"/>
          <w:lang w:val="en-US"/>
        </w:rPr>
        <w:t xml:space="preserve"> monolithic precast concrete frame structure</w:t>
      </w:r>
    </w:p>
    <w:p>
      <w:pPr>
        <w:pStyle w:val="51"/>
        <w:shd w:val="clear" w:color="auto" w:fill="auto"/>
        <w:spacing w:before="120" w:beforeLines="50" w:after="120" w:afterLines="50" w:line="240" w:lineRule="auto"/>
        <w:ind w:firstLine="440"/>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由全部或部分预制框架梁、框架柱通过可靠连接方式连接，并在连接和节点部位与现场后浇混凝土形成整体受力的钢筋混凝土框架结构，简称装配整体式框架结构。</w:t>
      </w:r>
    </w:p>
    <w:p>
      <w:pPr>
        <w:pStyle w:val="55"/>
        <w:numPr>
          <w:ilvl w:val="0"/>
          <w:numId w:val="3"/>
        </w:numPr>
        <w:shd w:val="clear" w:color="auto" w:fill="auto"/>
        <w:tabs>
          <w:tab w:val="left" w:pos="677"/>
        </w:tabs>
        <w:spacing w:before="120" w:beforeLines="50" w:after="120" w:afterLines="50" w:line="240" w:lineRule="auto"/>
        <w:jc w:val="both"/>
        <w:rPr>
          <w:rStyle w:val="56"/>
          <w:rFonts w:ascii="Times New Roman" w:hAnsi="Times New Roman" w:eastAsia="宋体" w:cs="Times New Roman"/>
          <w:color w:val="auto"/>
          <w:spacing w:val="0"/>
          <w:sz w:val="21"/>
          <w:szCs w:val="21"/>
          <w:shd w:val="clear" w:color="auto" w:fill="auto"/>
          <w:lang w:val="en-US"/>
        </w:rPr>
      </w:pPr>
    </w:p>
    <w:p>
      <w:pPr>
        <w:pStyle w:val="55"/>
        <w:shd w:val="clear" w:color="auto" w:fill="auto"/>
        <w:tabs>
          <w:tab w:val="left" w:pos="638"/>
        </w:tabs>
        <w:spacing w:before="120" w:beforeLines="50" w:after="120" w:afterLines="50" w:line="240" w:lineRule="auto"/>
        <w:ind w:firstLine="420" w:firstLineChars="200"/>
        <w:jc w:val="both"/>
        <w:rPr>
          <w:rStyle w:val="56"/>
          <w:rFonts w:ascii="黑体" w:hAnsi="黑体" w:eastAsia="黑体" w:cs="Times New Roman"/>
          <w:spacing w:val="0"/>
          <w:sz w:val="21"/>
          <w:szCs w:val="21"/>
          <w:lang w:val="en-US"/>
        </w:rPr>
      </w:pPr>
      <w:r>
        <w:rPr>
          <w:rStyle w:val="56"/>
          <w:rFonts w:ascii="黑体" w:hAnsi="黑体" w:eastAsia="黑体" w:cs="Times New Roman"/>
          <w:spacing w:val="0"/>
          <w:sz w:val="21"/>
          <w:szCs w:val="21"/>
        </w:rPr>
        <w:t>装配整体式混凝土框架</w:t>
      </w:r>
      <w:r>
        <w:rPr>
          <w:rStyle w:val="56"/>
          <w:rFonts w:ascii="黑体" w:hAnsi="黑体" w:eastAsia="黑体" w:cs="Times New Roman"/>
          <w:spacing w:val="0"/>
          <w:sz w:val="21"/>
          <w:szCs w:val="21"/>
          <w:lang w:val="en-US"/>
        </w:rPr>
        <w:t>-</w:t>
      </w:r>
      <w:r>
        <w:rPr>
          <w:rStyle w:val="56"/>
          <w:rFonts w:ascii="黑体" w:hAnsi="黑体" w:eastAsia="黑体" w:cs="Times New Roman"/>
          <w:spacing w:val="0"/>
          <w:sz w:val="21"/>
          <w:szCs w:val="21"/>
        </w:rPr>
        <w:t>剪力墙结构</w:t>
      </w:r>
      <w:r>
        <w:rPr>
          <w:rStyle w:val="56"/>
          <w:rFonts w:ascii="黑体" w:hAnsi="黑体" w:eastAsia="黑体" w:cs="Times New Roman"/>
          <w:spacing w:val="0"/>
          <w:sz w:val="21"/>
          <w:szCs w:val="21"/>
          <w:lang w:val="en-US"/>
        </w:rPr>
        <w:t xml:space="preserve"> precast concrete frame-shear wall structure</w:t>
      </w:r>
    </w:p>
    <w:p>
      <w:pPr>
        <w:pStyle w:val="51"/>
        <w:shd w:val="clear" w:color="auto" w:fill="auto"/>
        <w:spacing w:before="120" w:beforeLines="50" w:after="120" w:afterLines="50" w:line="240" w:lineRule="auto"/>
        <w:ind w:firstLine="420" w:firstLineChars="200"/>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由全部或部分预制框架梁、框架柱、剪力墙板、连梁通过可靠连接方式连接，并在连接和节点部位与现场后浇混凝土形成整体受力的钢筋混凝土框架-剪力墙结构，简称装配整体式框架-剪力墙结构。</w:t>
      </w:r>
    </w:p>
    <w:p>
      <w:pPr>
        <w:pStyle w:val="55"/>
        <w:numPr>
          <w:ilvl w:val="0"/>
          <w:numId w:val="3"/>
        </w:numPr>
        <w:shd w:val="clear" w:color="auto" w:fill="auto"/>
        <w:tabs>
          <w:tab w:val="left" w:pos="773"/>
        </w:tabs>
        <w:spacing w:before="120" w:beforeLines="50" w:after="120" w:afterLines="50" w:line="240" w:lineRule="auto"/>
        <w:jc w:val="both"/>
        <w:rPr>
          <w:rStyle w:val="169"/>
          <w:rFonts w:ascii="Times New Roman" w:hAnsi="Times New Roman" w:eastAsia="宋体" w:cs="Times New Roman"/>
          <w:color w:val="auto"/>
          <w:spacing w:val="0"/>
          <w:sz w:val="21"/>
          <w:szCs w:val="21"/>
          <w:shd w:val="clear" w:color="auto" w:fill="auto"/>
          <w:lang w:val="en-US"/>
        </w:rPr>
      </w:pPr>
    </w:p>
    <w:p>
      <w:pPr>
        <w:pStyle w:val="55"/>
        <w:shd w:val="clear" w:color="auto" w:fill="auto"/>
        <w:tabs>
          <w:tab w:val="left" w:pos="638"/>
        </w:tabs>
        <w:spacing w:before="120" w:beforeLines="50" w:after="120" w:afterLines="50" w:line="240" w:lineRule="auto"/>
        <w:ind w:firstLine="420" w:firstLineChars="200"/>
        <w:jc w:val="both"/>
        <w:rPr>
          <w:rStyle w:val="56"/>
          <w:rFonts w:ascii="黑体" w:hAnsi="黑体" w:eastAsia="黑体" w:cs="Times New Roman"/>
          <w:spacing w:val="0"/>
          <w:sz w:val="21"/>
          <w:szCs w:val="21"/>
          <w:lang w:val="en-US"/>
        </w:rPr>
      </w:pPr>
      <w:r>
        <w:rPr>
          <w:rStyle w:val="56"/>
          <w:rFonts w:ascii="黑体" w:hAnsi="黑体" w:eastAsia="黑体" w:cs="Times New Roman"/>
          <w:spacing w:val="0"/>
          <w:sz w:val="21"/>
          <w:szCs w:val="21"/>
        </w:rPr>
        <w:t>混凝土叠合受弯构件</w:t>
      </w:r>
      <w:r>
        <w:rPr>
          <w:rStyle w:val="56"/>
          <w:rFonts w:ascii="黑体" w:hAnsi="黑体" w:eastAsia="黑体" w:cs="Times New Roman"/>
          <w:spacing w:val="0"/>
          <w:sz w:val="21"/>
          <w:szCs w:val="21"/>
          <w:lang w:val="en-US"/>
        </w:rPr>
        <w:t xml:space="preserve"> concrete composite flexural component</w:t>
      </w:r>
    </w:p>
    <w:p>
      <w:pPr>
        <w:pStyle w:val="51"/>
        <w:shd w:val="clear" w:color="auto" w:fill="auto"/>
        <w:spacing w:before="120" w:beforeLines="50" w:after="120" w:afterLines="50" w:line="240" w:lineRule="auto"/>
        <w:ind w:firstLine="440"/>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预制混凝土梁、板顶部在现场后浇混凝土而形成的整体受弯构件，简称叠合板、叠合梁。</w:t>
      </w:r>
    </w:p>
    <w:p>
      <w:pPr>
        <w:pStyle w:val="55"/>
        <w:numPr>
          <w:ilvl w:val="0"/>
          <w:numId w:val="3"/>
        </w:numPr>
        <w:shd w:val="clear" w:color="auto" w:fill="auto"/>
        <w:tabs>
          <w:tab w:val="left" w:pos="638"/>
        </w:tabs>
        <w:spacing w:before="120" w:beforeLines="50" w:after="120" w:afterLines="50" w:line="240" w:lineRule="auto"/>
        <w:jc w:val="both"/>
        <w:rPr>
          <w:rStyle w:val="169"/>
          <w:rFonts w:ascii="Times New Roman" w:hAnsi="Times New Roman" w:eastAsia="宋体" w:cs="Times New Roman"/>
          <w:color w:val="auto"/>
          <w:spacing w:val="0"/>
          <w:sz w:val="21"/>
          <w:szCs w:val="21"/>
          <w:shd w:val="clear" w:color="auto" w:fill="auto"/>
          <w:lang w:val="en-US"/>
        </w:rPr>
      </w:pPr>
      <w:r>
        <w:rPr>
          <w:rStyle w:val="169"/>
          <w:rFonts w:hint="eastAsia" w:ascii="Times New Roman" w:hAnsi="Times New Roman" w:eastAsia="宋体" w:cs="Times New Roman"/>
          <w:spacing w:val="0"/>
          <w:sz w:val="21"/>
          <w:szCs w:val="21"/>
          <w:lang w:val="en-US"/>
        </w:rPr>
        <w:t xml:space="preserve"> </w:t>
      </w:r>
    </w:p>
    <w:p>
      <w:pPr>
        <w:pStyle w:val="55"/>
        <w:shd w:val="clear" w:color="auto" w:fill="auto"/>
        <w:tabs>
          <w:tab w:val="left" w:pos="638"/>
        </w:tabs>
        <w:spacing w:before="120" w:beforeLines="50" w:after="120" w:afterLines="50" w:line="240" w:lineRule="auto"/>
        <w:ind w:firstLine="420" w:firstLineChars="200"/>
        <w:jc w:val="both"/>
        <w:rPr>
          <w:rStyle w:val="56"/>
          <w:rFonts w:ascii="黑体" w:hAnsi="黑体" w:eastAsia="黑体" w:cs="Times New Roman"/>
          <w:spacing w:val="0"/>
          <w:sz w:val="21"/>
          <w:szCs w:val="21"/>
          <w:lang w:val="en-US"/>
        </w:rPr>
      </w:pPr>
      <w:r>
        <w:rPr>
          <w:rStyle w:val="56"/>
          <w:rFonts w:ascii="黑体" w:hAnsi="黑体" w:eastAsia="黑体" w:cs="Times New Roman"/>
          <w:spacing w:val="0"/>
          <w:sz w:val="21"/>
          <w:szCs w:val="21"/>
        </w:rPr>
        <w:t>混凝土粗糙面</w:t>
      </w:r>
      <w:r>
        <w:rPr>
          <w:rStyle w:val="56"/>
          <w:rFonts w:ascii="黑体" w:hAnsi="黑体" w:eastAsia="黑体" w:cs="Times New Roman"/>
          <w:spacing w:val="0"/>
          <w:sz w:val="21"/>
          <w:szCs w:val="21"/>
          <w:lang w:val="en-US"/>
        </w:rPr>
        <w:t xml:space="preserve"> concrete rough surface</w:t>
      </w:r>
    </w:p>
    <w:p>
      <w:pPr>
        <w:pStyle w:val="51"/>
        <w:shd w:val="clear" w:color="auto" w:fill="auto"/>
        <w:spacing w:before="120" w:beforeLines="50" w:after="120" w:afterLines="50" w:line="240" w:lineRule="auto"/>
        <w:ind w:firstLine="400"/>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预制构件结合面上的凹凸不平或骨料显露的表面，简称粗糙面。</w:t>
      </w:r>
    </w:p>
    <w:p>
      <w:pPr>
        <w:pStyle w:val="55"/>
        <w:numPr>
          <w:ilvl w:val="0"/>
          <w:numId w:val="3"/>
        </w:numPr>
        <w:shd w:val="clear" w:color="auto" w:fill="auto"/>
        <w:tabs>
          <w:tab w:val="left" w:pos="691"/>
        </w:tabs>
        <w:spacing w:before="120" w:beforeLines="50" w:after="120" w:afterLines="50" w:line="240" w:lineRule="auto"/>
        <w:jc w:val="left"/>
        <w:rPr>
          <w:rStyle w:val="169"/>
          <w:rFonts w:ascii="Times New Roman" w:hAnsi="Times New Roman" w:eastAsia="宋体" w:cs="Times New Roman"/>
          <w:color w:val="auto"/>
          <w:spacing w:val="0"/>
          <w:sz w:val="21"/>
          <w:szCs w:val="21"/>
          <w:shd w:val="clear" w:color="auto" w:fill="auto"/>
          <w:lang w:val="en-US"/>
        </w:rPr>
      </w:pPr>
    </w:p>
    <w:p>
      <w:pPr>
        <w:pStyle w:val="55"/>
        <w:shd w:val="clear" w:color="auto" w:fill="auto"/>
        <w:tabs>
          <w:tab w:val="left" w:pos="638"/>
        </w:tabs>
        <w:spacing w:before="120" w:beforeLines="50" w:after="120" w:afterLines="50" w:line="240" w:lineRule="auto"/>
        <w:ind w:firstLine="420" w:firstLineChars="200"/>
        <w:jc w:val="both"/>
        <w:rPr>
          <w:rStyle w:val="56"/>
          <w:rFonts w:ascii="黑体" w:hAnsi="黑体" w:eastAsia="黑体" w:cs="Times New Roman"/>
          <w:spacing w:val="0"/>
          <w:sz w:val="21"/>
          <w:szCs w:val="21"/>
          <w:lang w:val="en-US"/>
        </w:rPr>
      </w:pPr>
      <w:r>
        <w:rPr>
          <w:rStyle w:val="56"/>
          <w:rFonts w:hint="eastAsia" w:ascii="黑体" w:hAnsi="黑体" w:eastAsia="黑体" w:cs="Times New Roman"/>
          <w:spacing w:val="0"/>
          <w:sz w:val="21"/>
          <w:szCs w:val="21"/>
        </w:rPr>
        <w:t>钢筋挤压套筒连接</w:t>
      </w:r>
      <w:r>
        <w:rPr>
          <w:rStyle w:val="56"/>
          <w:rFonts w:ascii="黑体" w:hAnsi="黑体" w:eastAsia="黑体" w:cs="Times New Roman"/>
          <w:spacing w:val="0"/>
          <w:sz w:val="21"/>
          <w:szCs w:val="21"/>
          <w:lang w:val="en-US"/>
        </w:rPr>
        <w:t xml:space="preserve"> rebar splicing by extrusion coupling sleeve </w:t>
      </w:r>
    </w:p>
    <w:p>
      <w:pPr>
        <w:pStyle w:val="51"/>
        <w:shd w:val="clear" w:color="auto" w:fill="auto"/>
        <w:spacing w:before="120" w:beforeLines="50" w:after="120" w:afterLines="50" w:line="240" w:lineRule="auto"/>
        <w:ind w:firstLine="400"/>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把带肋钢筋从套筒两端插入套筒内部后，通过挤压套筒使其变形，从而实现钢筋连接的一种钢筋连接方式，可用于框架梁柱钢筋连接。</w:t>
      </w:r>
    </w:p>
    <w:p>
      <w:pPr>
        <w:pStyle w:val="55"/>
        <w:numPr>
          <w:ilvl w:val="0"/>
          <w:numId w:val="3"/>
        </w:numPr>
        <w:shd w:val="clear" w:color="auto" w:fill="auto"/>
        <w:tabs>
          <w:tab w:val="left" w:pos="672"/>
        </w:tabs>
        <w:spacing w:before="120" w:beforeLines="50" w:after="120" w:afterLines="50" w:line="240" w:lineRule="auto"/>
        <w:jc w:val="both"/>
        <w:rPr>
          <w:rStyle w:val="56"/>
          <w:rFonts w:ascii="Times New Roman" w:hAnsi="Times New Roman" w:eastAsia="宋体" w:cs="Times New Roman"/>
          <w:color w:val="auto"/>
          <w:spacing w:val="0"/>
          <w:sz w:val="21"/>
          <w:szCs w:val="21"/>
          <w:shd w:val="clear" w:color="auto" w:fill="auto"/>
          <w:lang w:val="en-US"/>
        </w:rPr>
      </w:pPr>
    </w:p>
    <w:p>
      <w:pPr>
        <w:pStyle w:val="55"/>
        <w:shd w:val="clear" w:color="auto" w:fill="auto"/>
        <w:tabs>
          <w:tab w:val="left" w:pos="638"/>
        </w:tabs>
        <w:spacing w:before="120" w:beforeLines="50" w:after="120" w:afterLines="50" w:line="240" w:lineRule="auto"/>
        <w:ind w:firstLine="420" w:firstLineChars="200"/>
        <w:jc w:val="both"/>
        <w:rPr>
          <w:rStyle w:val="56"/>
          <w:rFonts w:ascii="黑体" w:hAnsi="黑体" w:eastAsia="黑体" w:cs="Times New Roman"/>
          <w:spacing w:val="0"/>
          <w:sz w:val="21"/>
          <w:szCs w:val="21"/>
          <w:lang w:val="en-US"/>
        </w:rPr>
      </w:pPr>
      <w:r>
        <w:rPr>
          <w:rStyle w:val="56"/>
          <w:rFonts w:ascii="黑体" w:hAnsi="黑体" w:eastAsia="黑体" w:cs="Times New Roman"/>
          <w:spacing w:val="0"/>
          <w:sz w:val="21"/>
          <w:szCs w:val="21"/>
        </w:rPr>
        <w:t>钢筋套筒灌浆连接</w:t>
      </w:r>
      <w:r>
        <w:rPr>
          <w:rStyle w:val="56"/>
          <w:rFonts w:ascii="黑体" w:hAnsi="黑体" w:eastAsia="黑体" w:cs="Times New Roman"/>
          <w:spacing w:val="0"/>
          <w:sz w:val="21"/>
          <w:szCs w:val="21"/>
          <w:lang w:val="en-US"/>
        </w:rPr>
        <w:t xml:space="preserve"> rebar splicing by grout-filled coupling sleeve</w:t>
      </w:r>
    </w:p>
    <w:p>
      <w:pPr>
        <w:pStyle w:val="51"/>
        <w:shd w:val="clear" w:color="auto" w:fill="auto"/>
        <w:spacing w:before="120" w:beforeLines="50" w:after="120" w:afterLines="50" w:line="240" w:lineRule="auto"/>
        <w:ind w:firstLine="400"/>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在预制混凝土构件内预埋的金属套筒中插入钢筋并灌注高强水泥基灌浆料而实现的钢筋连接方式。</w:t>
      </w:r>
    </w:p>
    <w:p>
      <w:pPr>
        <w:pStyle w:val="55"/>
        <w:numPr>
          <w:ilvl w:val="0"/>
          <w:numId w:val="3"/>
        </w:numPr>
        <w:shd w:val="clear" w:color="auto" w:fill="auto"/>
        <w:tabs>
          <w:tab w:val="left" w:pos="634"/>
        </w:tabs>
        <w:spacing w:before="120" w:beforeLines="50" w:after="120" w:afterLines="50" w:line="240" w:lineRule="auto"/>
        <w:jc w:val="both"/>
        <w:rPr>
          <w:rStyle w:val="56"/>
          <w:rFonts w:ascii="Times New Roman" w:hAnsi="Times New Roman" w:eastAsia="宋体" w:cs="Times New Roman"/>
          <w:color w:val="auto"/>
          <w:spacing w:val="0"/>
          <w:sz w:val="21"/>
          <w:szCs w:val="21"/>
          <w:shd w:val="clear" w:color="auto" w:fill="auto"/>
          <w:lang w:val="en-US"/>
        </w:rPr>
      </w:pPr>
    </w:p>
    <w:p>
      <w:pPr>
        <w:pStyle w:val="55"/>
        <w:shd w:val="clear" w:color="auto" w:fill="auto"/>
        <w:tabs>
          <w:tab w:val="left" w:pos="634"/>
        </w:tabs>
        <w:spacing w:before="120" w:beforeLines="50" w:after="120" w:afterLines="50" w:line="240" w:lineRule="auto"/>
        <w:ind w:firstLine="420" w:firstLineChars="200"/>
        <w:jc w:val="both"/>
        <w:rPr>
          <w:rStyle w:val="56"/>
          <w:rFonts w:ascii="黑体" w:hAnsi="黑体" w:eastAsia="黑体" w:cs="Times New Roman"/>
          <w:spacing w:val="0"/>
          <w:sz w:val="21"/>
          <w:szCs w:val="21"/>
          <w:lang w:val="en-US"/>
        </w:rPr>
      </w:pPr>
      <w:r>
        <w:rPr>
          <w:rStyle w:val="56"/>
          <w:rFonts w:ascii="黑体" w:hAnsi="黑体" w:eastAsia="黑体" w:cs="Times New Roman"/>
          <w:spacing w:val="0"/>
          <w:sz w:val="21"/>
          <w:szCs w:val="21"/>
        </w:rPr>
        <w:t>钢筋浆锚搭接连接</w:t>
      </w:r>
      <w:r>
        <w:rPr>
          <w:rStyle w:val="56"/>
          <w:rFonts w:ascii="黑体" w:hAnsi="黑体" w:eastAsia="黑体" w:cs="Times New Roman"/>
          <w:spacing w:val="0"/>
          <w:sz w:val="21"/>
          <w:szCs w:val="21"/>
          <w:lang w:val="en-US"/>
        </w:rPr>
        <w:t xml:space="preserve"> rebar lapping in grout-filled hole</w:t>
      </w:r>
    </w:p>
    <w:p>
      <w:pPr>
        <w:pStyle w:val="51"/>
        <w:shd w:val="clear" w:color="auto" w:fill="auto"/>
        <w:spacing w:before="120" w:beforeLines="50" w:after="120" w:afterLines="50" w:line="240" w:lineRule="auto"/>
        <w:ind w:firstLine="403"/>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在预制混凝土构件中预留孔道，在孔道中插入需连接的钢筋，并灌注高强水泥基灌浆料而实现的钢筋搭接连接方式。</w:t>
      </w:r>
    </w:p>
    <w:p>
      <w:pPr>
        <w:pStyle w:val="55"/>
        <w:numPr>
          <w:ilvl w:val="0"/>
          <w:numId w:val="3"/>
        </w:numPr>
        <w:shd w:val="clear" w:color="auto" w:fill="auto"/>
        <w:tabs>
          <w:tab w:val="left" w:pos="634"/>
        </w:tabs>
        <w:spacing w:before="120" w:beforeLines="50" w:after="120" w:afterLines="50" w:line="240" w:lineRule="auto"/>
        <w:jc w:val="both"/>
        <w:rPr>
          <w:rStyle w:val="56"/>
          <w:rFonts w:ascii="Times New Roman" w:hAnsi="Times New Roman" w:eastAsia="宋体" w:cs="Times New Roman"/>
          <w:color w:val="auto"/>
          <w:spacing w:val="0"/>
          <w:sz w:val="21"/>
          <w:szCs w:val="21"/>
          <w:shd w:val="clear" w:color="auto" w:fill="auto"/>
          <w:lang w:val="en-US"/>
        </w:rPr>
      </w:pPr>
    </w:p>
    <w:p>
      <w:pPr>
        <w:pStyle w:val="55"/>
        <w:shd w:val="clear" w:color="auto" w:fill="auto"/>
        <w:tabs>
          <w:tab w:val="left" w:pos="634"/>
        </w:tabs>
        <w:spacing w:before="120" w:beforeLines="50" w:after="120" w:afterLines="50" w:line="240" w:lineRule="auto"/>
        <w:ind w:firstLine="420" w:firstLineChars="200"/>
        <w:jc w:val="both"/>
        <w:rPr>
          <w:rStyle w:val="56"/>
          <w:rFonts w:ascii="黑体" w:hAnsi="黑体" w:eastAsia="黑体" w:cs="Times New Roman"/>
          <w:spacing w:val="0"/>
          <w:sz w:val="21"/>
          <w:szCs w:val="21"/>
          <w:lang w:val="en-US"/>
        </w:rPr>
      </w:pPr>
      <w:r>
        <w:rPr>
          <w:rStyle w:val="56"/>
          <w:rFonts w:ascii="黑体" w:hAnsi="黑体" w:eastAsia="黑体" w:cs="Times New Roman"/>
          <w:spacing w:val="0"/>
          <w:sz w:val="21"/>
          <w:szCs w:val="21"/>
        </w:rPr>
        <w:t>螺栓连接</w:t>
      </w:r>
      <w:r>
        <w:rPr>
          <w:rStyle w:val="56"/>
          <w:rFonts w:ascii="黑体" w:hAnsi="黑体" w:eastAsia="黑体" w:cs="Times New Roman"/>
          <w:spacing w:val="0"/>
          <w:sz w:val="21"/>
          <w:szCs w:val="21"/>
          <w:lang w:val="en-US"/>
        </w:rPr>
        <w:t xml:space="preserve"> bolted connection</w:t>
      </w:r>
    </w:p>
    <w:p>
      <w:pPr>
        <w:pStyle w:val="51"/>
        <w:shd w:val="clear" w:color="auto" w:fill="auto"/>
        <w:spacing w:before="120" w:beforeLines="50" w:after="120" w:afterLines="50" w:line="240" w:lineRule="auto"/>
        <w:ind w:firstLine="403"/>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在预制混凝土构件中预留螺栓孔，用螺栓将两个或多个预制构件或部件连成整体的连接方式。</w:t>
      </w:r>
    </w:p>
    <w:p>
      <w:pPr>
        <w:pStyle w:val="210"/>
        <w:spacing w:before="240" w:after="240"/>
        <w:outlineLvl w:val="2"/>
        <w:rPr>
          <w:rFonts w:ascii="黑体" w:hAnsi="黑体" w:eastAsia="黑体"/>
          <w:b w:val="0"/>
          <w:sz w:val="21"/>
          <w:szCs w:val="21"/>
        </w:rPr>
      </w:pPr>
      <w:bookmarkStart w:id="39" w:name="_Toc172188599"/>
      <w:bookmarkStart w:id="40" w:name="_Toc30226"/>
      <w:bookmarkStart w:id="41" w:name="_Toc172188875"/>
      <w:bookmarkStart w:id="42" w:name="_Toc172187814"/>
      <w:r>
        <w:rPr>
          <w:rFonts w:ascii="黑体" w:hAnsi="黑体" w:eastAsia="黑体"/>
          <w:b w:val="0"/>
          <w:sz w:val="21"/>
          <w:szCs w:val="21"/>
        </w:rPr>
        <w:t>3.2  符号</w:t>
      </w:r>
      <w:bookmarkEnd w:id="39"/>
      <w:bookmarkEnd w:id="40"/>
      <w:bookmarkEnd w:id="41"/>
      <w:bookmarkEnd w:id="42"/>
    </w:p>
    <w:p>
      <w:pPr>
        <w:ind w:firstLine="420" w:firstLineChars="200"/>
        <w:rPr>
          <w:rFonts w:ascii="宋体" w:hAnsi="宋体" w:eastAsia="宋体"/>
          <w:sz w:val="21"/>
          <w:szCs w:val="21"/>
          <w:lang w:val="en-US"/>
        </w:rPr>
      </w:pPr>
      <w:r>
        <w:rPr>
          <w:rFonts w:hint="eastAsia" w:ascii="宋体" w:hAnsi="宋体" w:eastAsia="宋体"/>
          <w:sz w:val="21"/>
          <w:szCs w:val="21"/>
          <w:lang w:val="en-US"/>
        </w:rPr>
        <w:t>下列符号适用于本文件。</w:t>
      </w:r>
    </w:p>
    <w:p>
      <w:pPr>
        <w:pStyle w:val="55"/>
        <w:numPr>
          <w:ilvl w:val="0"/>
          <w:numId w:val="4"/>
        </w:numPr>
        <w:shd w:val="clear" w:color="auto" w:fill="auto"/>
        <w:tabs>
          <w:tab w:val="left" w:pos="638"/>
        </w:tabs>
        <w:spacing w:before="120" w:beforeLines="50" w:after="120" w:afterLines="50" w:line="240" w:lineRule="auto"/>
        <w:jc w:val="left"/>
        <w:rPr>
          <w:rFonts w:ascii="Times New Roman" w:hAnsi="Times New Roman" w:eastAsia="宋体" w:cs="Times New Roman"/>
          <w:spacing w:val="0"/>
          <w:sz w:val="21"/>
          <w:szCs w:val="21"/>
        </w:rPr>
      </w:pPr>
      <w:r>
        <w:rPr>
          <w:rStyle w:val="56"/>
          <w:rFonts w:ascii="Times New Roman" w:hAnsi="Times New Roman" w:eastAsia="宋体" w:cs="Times New Roman"/>
          <w:spacing w:val="0"/>
          <w:sz w:val="21"/>
          <w:szCs w:val="21"/>
        </w:rPr>
        <w:t>材料性能</w:t>
      </w:r>
    </w:p>
    <w:p>
      <w:pPr>
        <w:pStyle w:val="51"/>
        <w:shd w:val="clear" w:color="auto" w:fill="auto"/>
        <w:spacing w:before="50" w:after="50" w:line="240" w:lineRule="auto"/>
        <w:ind w:firstLine="403"/>
        <w:jc w:val="both"/>
        <w:rPr>
          <w:rFonts w:ascii="Times New Roman" w:hAnsi="Times New Roman" w:eastAsia="宋体" w:cs="Times New Roman"/>
          <w:spacing w:val="0"/>
          <w:sz w:val="21"/>
          <w:szCs w:val="21"/>
        </w:rPr>
      </w:pPr>
      <w:r>
        <w:rPr>
          <w:rFonts w:ascii="Times New Roman" w:hAnsi="Times New Roman" w:eastAsia="宋体" w:cs="Times New Roman"/>
          <w:position w:val="-12"/>
          <w:sz w:val="21"/>
          <w:szCs w:val="21"/>
        </w:rPr>
        <w:object>
          <v:shape id="_x0000_i1025" o:spt="75" type="#_x0000_t75" style="height:21.5pt;width:14.5pt;" o:ole="t" filled="f" o:preferrelative="t" stroked="f" coordsize="21600,21600">
            <v:path/>
            <v:fill on="f" focussize="0,0"/>
            <v:stroke on="f" joinstyle="miter"/>
            <v:imagedata r:id="rId11" o:title=""/>
            <o:lock v:ext="edit" aspectratio="t"/>
            <w10:wrap type="none"/>
            <w10:anchorlock/>
          </v:shape>
          <o:OLEObject Type="Embed" ProgID="Equation.DSMT4" ShapeID="_x0000_i1025" DrawAspect="Content" ObjectID="_1468075725" r:id="rId10">
            <o:LockedField>false</o:LockedField>
          </o:OLEObject>
        </w:objec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混凝土轴心抗压强度设计值；</w:t>
      </w:r>
    </w:p>
    <w:p>
      <w:pPr>
        <w:pStyle w:val="51"/>
        <w:shd w:val="clear" w:color="auto" w:fill="auto"/>
        <w:spacing w:before="50" w:after="50" w:line="240" w:lineRule="auto"/>
        <w:ind w:firstLine="403"/>
        <w:jc w:val="both"/>
        <w:rPr>
          <w:rFonts w:ascii="Times New Roman" w:hAnsi="Times New Roman" w:eastAsia="宋体" w:cs="Times New Roman"/>
          <w:spacing w:val="0"/>
          <w:sz w:val="21"/>
          <w:szCs w:val="21"/>
        </w:rPr>
      </w:pPr>
      <w:r>
        <w:rPr>
          <w:rFonts w:ascii="Times New Roman" w:hAnsi="Times New Roman" w:eastAsia="宋体" w:cs="Times New Roman"/>
          <w:position w:val="-14"/>
          <w:sz w:val="21"/>
          <w:szCs w:val="21"/>
        </w:rPr>
        <w:object>
          <v:shape id="_x0000_i1026" o:spt="75" type="#_x0000_t75" style="height:21.5pt;width:14.5pt;" o:ole="t" filled="f" o:preferrelative="t" stroked="f" coordsize="21600,21600">
            <v:path/>
            <v:fill on="f" focussize="0,0"/>
            <v:stroke on="f" joinstyle="miter"/>
            <v:imagedata r:id="rId13" o:title=""/>
            <o:lock v:ext="edit" aspectratio="t"/>
            <w10:wrap type="none"/>
            <w10:anchorlock/>
          </v:shape>
          <o:OLEObject Type="Embed" ProgID="Equation.DSMT4" ShapeID="_x0000_i1026" DrawAspect="Content" ObjectID="_1468075726" r:id="rId12">
            <o:LockedField>false</o:LockedField>
          </o:OLEObject>
        </w:objec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钢筋抗拉强度设计值。</w:t>
      </w:r>
    </w:p>
    <w:p>
      <w:pPr>
        <w:pStyle w:val="55"/>
        <w:numPr>
          <w:ilvl w:val="0"/>
          <w:numId w:val="4"/>
        </w:numPr>
        <w:shd w:val="clear" w:color="auto" w:fill="auto"/>
        <w:tabs>
          <w:tab w:val="left" w:pos="638"/>
        </w:tabs>
        <w:spacing w:before="120" w:beforeLines="50" w:after="120" w:afterLines="50" w:line="240" w:lineRule="auto"/>
        <w:jc w:val="left"/>
        <w:rPr>
          <w:rStyle w:val="169"/>
          <w:rFonts w:ascii="Times New Roman" w:hAnsi="Times New Roman" w:eastAsia="宋体" w:cs="Times New Roman"/>
          <w:spacing w:val="0"/>
          <w:sz w:val="21"/>
          <w:szCs w:val="21"/>
        </w:rPr>
      </w:pPr>
      <w:r>
        <w:rPr>
          <w:rStyle w:val="169"/>
          <w:rFonts w:ascii="Times New Roman" w:hAnsi="Times New Roman" w:eastAsia="宋体" w:cs="Times New Roman"/>
          <w:spacing w:val="0"/>
          <w:sz w:val="21"/>
          <w:szCs w:val="21"/>
        </w:rPr>
        <w:t>作用与作用效应</w:t>
      </w:r>
    </w:p>
    <w:p>
      <w:pPr>
        <w:pStyle w:val="51"/>
        <w:shd w:val="clear" w:color="auto" w:fill="auto"/>
        <w:tabs>
          <w:tab w:val="left" w:leader="hyphen" w:pos="1082"/>
        </w:tabs>
        <w:spacing w:before="50" w:after="50" w:line="240" w:lineRule="auto"/>
        <w:ind w:firstLine="400"/>
        <w:jc w:val="both"/>
        <w:rPr>
          <w:rFonts w:ascii="Times New Roman" w:hAnsi="Times New Roman" w:eastAsia="宋体" w:cs="Times New Roman"/>
          <w:spacing w:val="0"/>
          <w:sz w:val="21"/>
          <w:szCs w:val="21"/>
        </w:rPr>
      </w:pPr>
      <w:r>
        <w:rPr>
          <w:rFonts w:ascii="Times New Roman" w:hAnsi="Times New Roman" w:eastAsia="宋体" w:cs="Times New Roman"/>
          <w:position w:val="-6"/>
          <w:sz w:val="21"/>
          <w:szCs w:val="21"/>
        </w:rPr>
        <w:object>
          <v:shape id="_x0000_i1027" o:spt="75" type="#_x0000_t75" style="height:14.5pt;width:14.5pt;" o:ole="t" filled="f" o:preferrelative="t" stroked="f" coordsize="21600,21600">
            <v:path/>
            <v:fill on="f" focussize="0,0"/>
            <v:stroke on="f" joinstyle="miter"/>
            <v:imagedata r:id="rId15" o:title=""/>
            <o:lock v:ext="edit" aspectratio="t"/>
            <w10:wrap type="none"/>
            <w10:anchorlock/>
          </v:shape>
          <o:OLEObject Type="Embed" ProgID="Equation.DSMT4" ShapeID="_x0000_i1027" DrawAspect="Content" ObjectID="_1468075727" r:id="rId14">
            <o:LockedField>false</o:LockedField>
          </o:OLEObject>
        </w:objec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轴向力设计值；</w:t>
      </w:r>
    </w:p>
    <w:p>
      <w:pPr>
        <w:pStyle w:val="51"/>
        <w:shd w:val="clear" w:color="auto" w:fill="auto"/>
        <w:spacing w:before="50" w:after="50" w:line="240" w:lineRule="auto"/>
        <w:ind w:firstLine="400"/>
        <w:jc w:val="both"/>
        <w:rPr>
          <w:rFonts w:ascii="Times New Roman" w:hAnsi="Times New Roman" w:eastAsia="宋体" w:cs="Times New Roman"/>
          <w:spacing w:val="0"/>
          <w:sz w:val="21"/>
          <w:szCs w:val="21"/>
        </w:rPr>
      </w:pPr>
      <w:r>
        <w:rPr>
          <w:rFonts w:ascii="Times New Roman" w:hAnsi="Times New Roman" w:eastAsia="宋体" w:cs="Times New Roman"/>
          <w:position w:val="-14"/>
          <w:sz w:val="21"/>
          <w:szCs w:val="21"/>
        </w:rPr>
        <w:object>
          <v:shape id="_x0000_i1028" o:spt="75" type="#_x0000_t75" style="height:21.5pt;width:21.5pt;" o:ole="t" filled="f" o:preferrelative="t" stroked="f" coordsize="21600,21600">
            <v:path/>
            <v:fill on="f" focussize="0,0"/>
            <v:stroke on="f" joinstyle="miter"/>
            <v:imagedata r:id="rId17" o:title=""/>
            <o:lock v:ext="edit" aspectratio="t"/>
            <w10:wrap type="none"/>
            <w10:anchorlock/>
          </v:shape>
          <o:OLEObject Type="Embed" ProgID="Equation.DSMT4" ShapeID="_x0000_i1028" DrawAspect="Content" ObjectID="_1468075728" r:id="rId16">
            <o:LockedField>false</o:LockedField>
          </o:OLEObject>
        </w:objec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持久设计状况下接缝剪力设计值；</w:t>
      </w:r>
    </w:p>
    <w:p>
      <w:pPr>
        <w:pStyle w:val="51"/>
        <w:shd w:val="clear" w:color="auto" w:fill="auto"/>
        <w:spacing w:before="50" w:after="50" w:line="240" w:lineRule="auto"/>
        <w:ind w:firstLine="400"/>
        <w:jc w:val="both"/>
        <w:rPr>
          <w:rFonts w:ascii="Times New Roman" w:hAnsi="Times New Roman" w:eastAsia="宋体" w:cs="Times New Roman"/>
          <w:spacing w:val="0"/>
          <w:sz w:val="21"/>
          <w:szCs w:val="21"/>
        </w:rPr>
      </w:pPr>
      <w:r>
        <w:rPr>
          <w:rFonts w:ascii="Times New Roman" w:hAnsi="Times New Roman" w:eastAsia="宋体" w:cs="Times New Roman"/>
          <w:position w:val="-14"/>
          <w:sz w:val="21"/>
          <w:szCs w:val="21"/>
        </w:rPr>
        <w:object>
          <v:shape id="_x0000_i1029" o:spt="75" type="#_x0000_t75" style="height:21.5pt;width:21.5pt;" o:ole="t" filled="f" o:preferrelative="t" stroked="f" coordsize="21600,21600">
            <v:path/>
            <v:fill on="f" focussize="0,0"/>
            <v:stroke on="f" joinstyle="miter"/>
            <v:imagedata r:id="rId19" o:title=""/>
            <o:lock v:ext="edit" aspectratio="t"/>
            <w10:wrap type="none"/>
            <w10:anchorlock/>
          </v:shape>
          <o:OLEObject Type="Embed" ProgID="Equation.DSMT4" ShapeID="_x0000_i1029" DrawAspect="Content" ObjectID="_1468075729" r:id="rId18">
            <o:LockedField>false</o:LockedField>
          </o:OLEObject>
        </w:objec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地震设计状况下接缝剪力设计值；</w:t>
      </w:r>
    </w:p>
    <w:p>
      <w:pPr>
        <w:pStyle w:val="51"/>
        <w:shd w:val="clear" w:color="auto" w:fill="auto"/>
        <w:spacing w:before="50" w:after="50" w:line="240" w:lineRule="auto"/>
        <w:ind w:firstLine="400"/>
        <w:jc w:val="both"/>
        <w:rPr>
          <w:rFonts w:ascii="Times New Roman" w:hAnsi="Times New Roman" w:eastAsia="宋体" w:cs="Times New Roman"/>
          <w:spacing w:val="0"/>
          <w:sz w:val="21"/>
          <w:szCs w:val="21"/>
        </w:rPr>
      </w:pPr>
      <w:r>
        <w:rPr>
          <w:rFonts w:ascii="Times New Roman" w:hAnsi="Times New Roman" w:eastAsia="宋体" w:cs="Times New Roman"/>
          <w:position w:val="-12"/>
          <w:sz w:val="21"/>
          <w:szCs w:val="21"/>
        </w:rPr>
        <w:object>
          <v:shape id="_x0000_i1030" o:spt="75" type="#_x0000_t75" style="height:21.5pt;width:21.5pt;" o:ole="t" filled="f" o:preferrelative="t" stroked="f" coordsize="21600,21600">
            <v:path/>
            <v:fill on="f" focussize="0,0"/>
            <v:stroke on="f" joinstyle="miter"/>
            <v:imagedata r:id="rId21" o:title=""/>
            <o:lock v:ext="edit" aspectratio="t"/>
            <w10:wrap type="none"/>
            <w10:anchorlock/>
          </v:shape>
          <o:OLEObject Type="Embed" ProgID="Equation.DSMT4" ShapeID="_x0000_i1030" DrawAspect="Content" ObjectID="_1468075730" r:id="rId20">
            <o:LockedField>false</o:LockedField>
          </o:OLEObject>
        </w:objec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被连接构件端部按实配钢筋面积计算的斜截面受剪承载力设计值；</w:t>
      </w:r>
    </w:p>
    <w:p>
      <w:pPr>
        <w:pStyle w:val="51"/>
        <w:shd w:val="clear" w:color="auto" w:fill="auto"/>
        <w:spacing w:before="50" w:after="50" w:line="240" w:lineRule="auto"/>
        <w:ind w:right="200" w:firstLine="420"/>
        <w:jc w:val="left"/>
        <w:rPr>
          <w:rStyle w:val="71"/>
          <w:rFonts w:ascii="Times New Roman" w:hAnsi="Times New Roman" w:eastAsia="宋体" w:cs="Times New Roman"/>
          <w:spacing w:val="0"/>
          <w:sz w:val="21"/>
          <w:szCs w:val="21"/>
          <w:lang w:val="zh-CN"/>
        </w:rPr>
      </w:pPr>
      <w:r>
        <w:rPr>
          <w:rFonts w:ascii="Times New Roman" w:hAnsi="Times New Roman" w:eastAsia="宋体" w:cs="Times New Roman"/>
          <w:position w:val="-12"/>
          <w:sz w:val="21"/>
          <w:szCs w:val="21"/>
        </w:rPr>
        <w:object>
          <v:shape id="_x0000_i1031" o:spt="75" type="#_x0000_t75" style="height:21.5pt;width:14.5pt;" o:ole="t" filled="f" o:preferrelative="t" stroked="f" coordsize="21600,21600">
            <v:path/>
            <v:fill on="f" focussize="0,0"/>
            <v:stroke on="f" joinstyle="miter"/>
            <v:imagedata r:id="rId23" o:title=""/>
            <o:lock v:ext="edit" aspectratio="t"/>
            <w10:wrap type="none"/>
            <w10:anchorlock/>
          </v:shape>
          <o:OLEObject Type="Embed" ProgID="Equation.DSMT4" ShapeID="_x0000_i1031" DrawAspect="Content" ObjectID="_1468075731" r:id="rId22">
            <o:LockedField>false</o:LockedField>
          </o:OLEObject>
        </w:objec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持久设计状况下梁端、柱端接缝受剪承载力设计值</w:t>
      </w:r>
      <w:r>
        <w:rPr>
          <w:rStyle w:val="71"/>
          <w:rFonts w:ascii="Times New Roman" w:hAnsi="Times New Roman" w:eastAsia="宋体" w:cs="Times New Roman"/>
          <w:spacing w:val="0"/>
          <w:sz w:val="21"/>
          <w:szCs w:val="21"/>
          <w:lang w:val="zh-CN"/>
        </w:rPr>
        <w:t>；</w:t>
      </w:r>
    </w:p>
    <w:p>
      <w:pPr>
        <w:pStyle w:val="51"/>
        <w:shd w:val="clear" w:color="auto" w:fill="auto"/>
        <w:spacing w:before="50" w:after="50" w:line="240" w:lineRule="auto"/>
        <w:ind w:right="200" w:firstLine="420"/>
        <w:jc w:val="left"/>
        <w:rPr>
          <w:rFonts w:ascii="Times New Roman" w:hAnsi="Times New Roman" w:eastAsia="宋体" w:cs="Times New Roman"/>
          <w:spacing w:val="0"/>
          <w:sz w:val="21"/>
          <w:szCs w:val="21"/>
        </w:rPr>
      </w:pPr>
      <w:r>
        <w:rPr>
          <w:rFonts w:ascii="Times New Roman" w:hAnsi="Times New Roman" w:eastAsia="宋体" w:cs="Times New Roman"/>
          <w:position w:val="-12"/>
          <w:sz w:val="21"/>
          <w:szCs w:val="21"/>
        </w:rPr>
        <w:object>
          <v:shape id="_x0000_i1032" o:spt="75" type="#_x0000_t75" style="height:21.5pt;width:21.5pt;" o:ole="t" filled="f" o:preferrelative="t" stroked="f" coordsize="21600,21600">
            <v:path/>
            <v:fill on="f" focussize="0,0"/>
            <v:stroke on="f" joinstyle="miter"/>
            <v:imagedata r:id="rId25" o:title=""/>
            <o:lock v:ext="edit" aspectratio="t"/>
            <w10:wrap type="none"/>
            <w10:anchorlock/>
          </v:shape>
          <o:OLEObject Type="Embed" ProgID="Equation.DSMT4" ShapeID="_x0000_i1032" DrawAspect="Content" ObjectID="_1468075732" r:id="rId24">
            <o:LockedField>false</o:LockedField>
          </o:OLEObject>
        </w:objec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地震设计状况下梁端、柱端接缝受剪承载力设计值。</w:t>
      </w:r>
    </w:p>
    <w:p>
      <w:pPr>
        <w:pStyle w:val="55"/>
        <w:numPr>
          <w:ilvl w:val="0"/>
          <w:numId w:val="4"/>
        </w:numPr>
        <w:shd w:val="clear" w:color="auto" w:fill="auto"/>
        <w:tabs>
          <w:tab w:val="left" w:pos="638"/>
        </w:tabs>
        <w:spacing w:before="120" w:beforeLines="50" w:after="120" w:afterLines="50" w:line="240" w:lineRule="auto"/>
        <w:jc w:val="left"/>
        <w:rPr>
          <w:rStyle w:val="169"/>
          <w:rFonts w:ascii="Times New Roman" w:hAnsi="Times New Roman" w:eastAsia="宋体" w:cs="Times New Roman"/>
          <w:spacing w:val="0"/>
          <w:sz w:val="21"/>
          <w:szCs w:val="21"/>
        </w:rPr>
      </w:pPr>
      <w:r>
        <w:rPr>
          <w:rStyle w:val="169"/>
          <w:rFonts w:ascii="Times New Roman" w:hAnsi="Times New Roman" w:eastAsia="宋体" w:cs="Times New Roman"/>
          <w:spacing w:val="0"/>
          <w:sz w:val="21"/>
          <w:szCs w:val="21"/>
        </w:rPr>
        <w:t>几何参数</w:t>
      </w:r>
    </w:p>
    <w:p>
      <w:pPr>
        <w:pStyle w:val="51"/>
        <w:shd w:val="clear" w:color="auto" w:fill="auto"/>
        <w:spacing w:before="50" w:after="50" w:line="240" w:lineRule="auto"/>
        <w:ind w:left="420" w:firstLine="0"/>
        <w:jc w:val="left"/>
        <w:rPr>
          <w:rFonts w:ascii="Times New Roman" w:hAnsi="Times New Roman" w:eastAsia="宋体" w:cs="Times New Roman"/>
          <w:spacing w:val="0"/>
          <w:sz w:val="21"/>
          <w:szCs w:val="21"/>
        </w:rPr>
      </w:pPr>
      <w:r>
        <w:rPr>
          <w:rFonts w:ascii="Times New Roman" w:hAnsi="Times New Roman" w:eastAsia="宋体" w:cs="Times New Roman"/>
          <w:position w:val="-4"/>
          <w:sz w:val="21"/>
          <w:szCs w:val="21"/>
        </w:rPr>
        <w:object>
          <v:shape id="_x0000_i1033" o:spt="75" type="#_x0000_t75" style="height:14.5pt;width:14.5pt;" o:ole="t" filled="f" o:preferrelative="t" stroked="f" coordsize="21600,21600">
            <v:path/>
            <v:fill on="f" focussize="0,0"/>
            <v:stroke on="f" joinstyle="miter"/>
            <v:imagedata r:id="rId27" o:title=""/>
            <o:lock v:ext="edit" aspectratio="t"/>
            <w10:wrap type="none"/>
            <w10:anchorlock/>
          </v:shape>
          <o:OLEObject Type="Embed" ProgID="Equation.DSMT4" ShapeID="_x0000_i1033" DrawAspect="Content" ObjectID="_1468075733" r:id="rId26">
            <o:LockedField>false</o:LockedField>
          </o:OLEObject>
        </w:objec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建筑平面宽度；</w:t>
      </w:r>
    </w:p>
    <w:p>
      <w:pPr>
        <w:pStyle w:val="51"/>
        <w:shd w:val="clear" w:color="auto" w:fill="auto"/>
        <w:spacing w:before="50" w:after="50" w:line="240" w:lineRule="auto"/>
        <w:ind w:left="420" w:right="200" w:firstLine="0"/>
        <w:jc w:val="left"/>
        <w:rPr>
          <w:rFonts w:ascii="Times New Roman" w:hAnsi="Times New Roman" w:eastAsia="宋体" w:cs="Times New Roman"/>
          <w:spacing w:val="0"/>
          <w:sz w:val="21"/>
          <w:szCs w:val="21"/>
        </w:rPr>
      </w:pPr>
      <w:r>
        <w:rPr>
          <w:rFonts w:ascii="Times New Roman" w:hAnsi="Times New Roman" w:eastAsia="宋体" w:cs="Times New Roman"/>
          <w:position w:val="-4"/>
          <w:sz w:val="21"/>
          <w:szCs w:val="21"/>
        </w:rPr>
        <w:object>
          <v:shape id="_x0000_i1034" o:spt="75" type="#_x0000_t75" style="height:14.5pt;width:14.5pt;" o:ole="t" filled="f" o:preferrelative="t" stroked="f" coordsize="21600,21600">
            <v:path/>
            <v:fill on="f" focussize="0,0"/>
            <v:stroke on="f" joinstyle="miter"/>
            <v:imagedata r:id="rId29" o:title=""/>
            <o:lock v:ext="edit" aspectratio="t"/>
            <w10:wrap type="none"/>
            <w10:anchorlock/>
          </v:shape>
          <o:OLEObject Type="Embed" ProgID="Equation.DSMT4" ShapeID="_x0000_i1034" DrawAspect="Content" ObjectID="_1468075734" r:id="rId28">
            <o:LockedField>false</o:LockedField>
          </o:OLEObject>
        </w:objec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建筑平面长度；</w:t>
      </w:r>
    </w:p>
    <w:p>
      <w:pPr>
        <w:pStyle w:val="51"/>
        <w:shd w:val="clear" w:color="auto" w:fill="auto"/>
        <w:spacing w:before="50" w:after="50" w:line="240" w:lineRule="auto"/>
        <w:ind w:left="420" w:right="200" w:firstLine="0"/>
        <w:jc w:val="left"/>
        <w:rPr>
          <w:rFonts w:ascii="Times New Roman" w:hAnsi="Times New Roman" w:eastAsia="宋体" w:cs="Times New Roman"/>
          <w:spacing w:val="0"/>
          <w:sz w:val="21"/>
          <w:szCs w:val="21"/>
        </w:rPr>
      </w:pPr>
      <w:r>
        <w:rPr>
          <w:rFonts w:ascii="Times New Roman" w:hAnsi="Times New Roman" w:eastAsia="宋体" w:cs="Times New Roman"/>
          <w:position w:val="-6"/>
          <w:sz w:val="21"/>
          <w:szCs w:val="21"/>
        </w:rPr>
        <w:object>
          <v:shape id="_x0000_i1035" o:spt="75" type="#_x0000_t75" style="height:14.5pt;width:14.5pt;" o:ole="t" filled="f" o:preferrelative="t" stroked="f" coordsize="21600,21600">
            <v:path/>
            <v:fill on="f" focussize="0,0"/>
            <v:stroke on="f" joinstyle="miter"/>
            <v:imagedata r:id="rId31" o:title=""/>
            <o:lock v:ext="edit" aspectratio="t"/>
            <w10:wrap type="none"/>
            <w10:anchorlock/>
          </v:shape>
          <o:OLEObject Type="Embed" ProgID="Equation.DSMT4" ShapeID="_x0000_i1035" DrawAspect="Content" ObjectID="_1468075735" r:id="rId30">
            <o:LockedField>false</o:LockedField>
          </o:OLEObject>
        </w:objec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纵向受力钢筋或附加钢筋直径；</w:t>
      </w:r>
    </w:p>
    <w:p>
      <w:pPr>
        <w:pStyle w:val="51"/>
        <w:shd w:val="clear" w:color="auto" w:fill="auto"/>
        <w:tabs>
          <w:tab w:val="left" w:leader="hyphen" w:pos="1130"/>
        </w:tabs>
        <w:spacing w:before="50" w:after="50" w:line="240" w:lineRule="auto"/>
        <w:ind w:left="420" w:firstLine="0"/>
        <w:jc w:val="left"/>
        <w:rPr>
          <w:rFonts w:ascii="Times New Roman" w:hAnsi="Times New Roman" w:eastAsia="宋体" w:cs="Times New Roman"/>
          <w:spacing w:val="0"/>
          <w:sz w:val="21"/>
          <w:szCs w:val="21"/>
        </w:rPr>
      </w:pPr>
      <w:r>
        <w:rPr>
          <w:rFonts w:ascii="Times New Roman" w:hAnsi="Times New Roman" w:eastAsia="宋体" w:cs="Times New Roman"/>
          <w:position w:val="-12"/>
          <w:sz w:val="21"/>
          <w:szCs w:val="21"/>
        </w:rPr>
        <w:object>
          <v:shape id="_x0000_i1036" o:spt="75" type="#_x0000_t75" style="height:21.5pt;width:14.5pt;" o:ole="t" filled="f" o:preferrelative="t" stroked="f" coordsize="21600,21600">
            <v:path/>
            <v:fill on="f" focussize="0,0"/>
            <v:stroke on="f" joinstyle="miter"/>
            <v:imagedata r:id="rId33" o:title=""/>
            <o:lock v:ext="edit" aspectratio="t"/>
            <w10:wrap type="none"/>
            <w10:anchorlock/>
          </v:shape>
          <o:OLEObject Type="Embed" ProgID="Equation.DSMT4" ShapeID="_x0000_i1036" DrawAspect="Content" ObjectID="_1468075736" r:id="rId32">
            <o:LockedField>false</o:LockedField>
          </o:OLEObject>
        </w:object>
      </w:r>
      <w:r>
        <w:rPr>
          <w:rFonts w:ascii="Times New Roman" w:hAnsi="Times New Roman" w:eastAsia="Dotum" w:cs="Times New Roman"/>
          <w:spacing w:val="0"/>
          <w:sz w:val="21"/>
          <w:szCs w:val="21"/>
        </w:rPr>
        <w:t>——</w:t>
      </w:r>
      <w:r>
        <w:rPr>
          <w:rFonts w:ascii="Times New Roman" w:hAnsi="Times New Roman" w:eastAsia="Dotum" w:cs="Times New Roman"/>
        </w:rPr>
        <w:tab/>
      </w:r>
      <w:r>
        <w:rPr>
          <w:rFonts w:ascii="Times New Roman" w:hAnsi="Times New Roman" w:eastAsia="宋体" w:cs="Times New Roman"/>
          <w:spacing w:val="0"/>
          <w:sz w:val="21"/>
          <w:szCs w:val="21"/>
        </w:rPr>
        <w:t>纵向受拉钢筋的基本锚固长度。</w:t>
      </w:r>
    </w:p>
    <w:p>
      <w:pPr>
        <w:pStyle w:val="55"/>
        <w:numPr>
          <w:ilvl w:val="0"/>
          <w:numId w:val="4"/>
        </w:numPr>
        <w:shd w:val="clear" w:color="auto" w:fill="auto"/>
        <w:tabs>
          <w:tab w:val="left" w:pos="638"/>
        </w:tabs>
        <w:spacing w:before="120" w:beforeLines="50" w:after="120" w:afterLines="50" w:line="240" w:lineRule="auto"/>
        <w:jc w:val="left"/>
        <w:rPr>
          <w:rStyle w:val="169"/>
          <w:rFonts w:ascii="Times New Roman" w:hAnsi="Times New Roman" w:eastAsia="宋体" w:cs="Times New Roman"/>
          <w:spacing w:val="0"/>
          <w:sz w:val="21"/>
          <w:szCs w:val="21"/>
        </w:rPr>
      </w:pPr>
      <w:r>
        <w:rPr>
          <w:rStyle w:val="169"/>
          <w:rFonts w:ascii="Times New Roman" w:hAnsi="Times New Roman" w:eastAsia="宋体" w:cs="Times New Roman"/>
          <w:spacing w:val="0"/>
          <w:sz w:val="21"/>
          <w:szCs w:val="21"/>
        </w:rPr>
        <w:t>计算系数及其他</w:t>
      </w:r>
    </w:p>
    <w:p>
      <w:pPr>
        <w:pStyle w:val="51"/>
        <w:shd w:val="clear" w:color="auto" w:fill="auto"/>
        <w:spacing w:before="50" w:after="50" w:line="240" w:lineRule="auto"/>
        <w:ind w:left="420" w:firstLine="0"/>
        <w:jc w:val="left"/>
        <w:rPr>
          <w:rFonts w:ascii="Times New Roman" w:hAnsi="Times New Roman" w:eastAsia="宋体" w:cs="Times New Roman"/>
          <w:spacing w:val="0"/>
          <w:sz w:val="21"/>
          <w:szCs w:val="21"/>
        </w:rPr>
      </w:pPr>
      <w:r>
        <w:rPr>
          <w:rFonts w:ascii="Times New Roman" w:hAnsi="Times New Roman" w:eastAsia="宋体" w:cs="Times New Roman"/>
          <w:position w:val="-12"/>
          <w:sz w:val="21"/>
          <w:szCs w:val="21"/>
        </w:rPr>
        <w:object>
          <v:shape id="_x0000_i1037" o:spt="75" type="#_x0000_t75" style="height:21.5pt;width:14.5pt;" o:ole="t" filled="f" o:preferrelative="t" stroked="f" coordsize="21600,21600">
            <v:path/>
            <v:fill on="f" focussize="0,0"/>
            <v:stroke on="f" joinstyle="miter"/>
            <v:imagedata r:id="rId35" o:title=""/>
            <o:lock v:ext="edit" aspectratio="t"/>
            <w10:wrap type="none"/>
            <w10:anchorlock/>
          </v:shape>
          <o:OLEObject Type="Embed" ProgID="Equation.DSMT4" ShapeID="_x0000_i1037" DrawAspect="Content" ObjectID="_1468075737" r:id="rId34">
            <o:LockedField>false</o:LockedField>
          </o:OLEObject>
        </w:objec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结构重要性系数；</w:t>
      </w:r>
    </w:p>
    <w:p>
      <w:pPr>
        <w:pStyle w:val="51"/>
        <w:shd w:val="clear" w:color="auto" w:fill="auto"/>
        <w:spacing w:before="50" w:after="50" w:line="240" w:lineRule="auto"/>
        <w:ind w:left="420" w:firstLine="0"/>
        <w:jc w:val="left"/>
        <w:rPr>
          <w:rFonts w:ascii="Times New Roman" w:hAnsi="Times New Roman" w:eastAsia="宋体" w:cs="Times New Roman"/>
          <w:spacing w:val="0"/>
          <w:sz w:val="21"/>
          <w:szCs w:val="21"/>
        </w:rPr>
      </w:pPr>
      <w:r>
        <w:rPr>
          <w:rFonts w:ascii="Times New Roman" w:hAnsi="Times New Roman" w:eastAsia="宋体" w:cs="Times New Roman"/>
          <w:position w:val="-12"/>
          <w:sz w:val="21"/>
          <w:szCs w:val="21"/>
        </w:rPr>
        <w:object>
          <v:shape id="_x0000_i1038" o:spt="75" type="#_x0000_t75" style="height:21.5pt;width:21.5pt;" o:ole="t" filled="f" o:preferrelative="t" stroked="f" coordsize="21600,21600">
            <v:path/>
            <v:fill on="f" focussize="0,0"/>
            <v:stroke on="f" joinstyle="miter"/>
            <v:imagedata r:id="rId37" o:title=""/>
            <o:lock v:ext="edit" aspectratio="t"/>
            <w10:wrap type="none"/>
            <w10:anchorlock/>
          </v:shape>
          <o:OLEObject Type="Embed" ProgID="Equation.DSMT4" ShapeID="_x0000_i1038" DrawAspect="Content" ObjectID="_1468075738" r:id="rId36">
            <o:LockedField>false</o:LockedField>
          </o:OLEObject>
        </w:objec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承载力抗震调整系数；</w:t>
      </w:r>
    </w:p>
    <w:p>
      <w:pPr>
        <w:pStyle w:val="51"/>
        <w:shd w:val="clear" w:color="auto" w:fill="auto"/>
        <w:spacing w:before="50" w:after="50" w:line="240" w:lineRule="auto"/>
        <w:ind w:left="420" w:firstLine="0"/>
        <w:jc w:val="left"/>
        <w:rPr>
          <w:rFonts w:ascii="Times New Roman" w:hAnsi="Times New Roman" w:eastAsia="宋体" w:cs="Times New Roman"/>
          <w:spacing w:val="0"/>
          <w:sz w:val="21"/>
          <w:szCs w:val="21"/>
        </w:rPr>
      </w:pPr>
      <w:r>
        <w:rPr>
          <w:rFonts w:ascii="Times New Roman" w:hAnsi="Times New Roman" w:eastAsia="宋体" w:cs="Times New Roman"/>
          <w:position w:val="-6"/>
          <w:sz w:val="21"/>
          <w:szCs w:val="21"/>
        </w:rPr>
        <w:object>
          <v:shape id="_x0000_i1039" o:spt="75" type="#_x0000_t75" style="height:14.5pt;width:21.5pt;" o:ole="t" filled="f" o:preferrelative="t" stroked="f" coordsize="21600,21600">
            <v:path/>
            <v:fill on="f" focussize="0,0"/>
            <v:stroke on="f" joinstyle="miter"/>
            <v:imagedata r:id="rId39" o:title=""/>
            <o:lock v:ext="edit" aspectratio="t"/>
            <w10:wrap type="none"/>
            <w10:anchorlock/>
          </v:shape>
          <o:OLEObject Type="Embed" ProgID="Equation.DSMT4" ShapeID="_x0000_i1039" DrawAspect="Content" ObjectID="_1468075739" r:id="rId38">
            <o:LockedField>false</o:LockedField>
          </o:OLEObject>
        </w:objec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楼层层间最大位移；</w:t>
      </w:r>
    </w:p>
    <w:p>
      <w:pPr>
        <w:pStyle w:val="51"/>
        <w:shd w:val="clear" w:color="auto" w:fill="auto"/>
        <w:spacing w:before="50" w:after="50" w:line="240" w:lineRule="auto"/>
        <w:ind w:left="420" w:firstLine="0"/>
        <w:jc w:val="left"/>
        <w:rPr>
          <w:rFonts w:ascii="Times New Roman" w:hAnsi="Times New Roman" w:eastAsia="宋体" w:cs="Times New Roman"/>
          <w:spacing w:val="0"/>
          <w:sz w:val="21"/>
          <w:szCs w:val="21"/>
        </w:rPr>
      </w:pPr>
      <w:r>
        <w:rPr>
          <w:rFonts w:ascii="Times New Roman" w:hAnsi="Times New Roman" w:eastAsia="宋体" w:cs="Times New Roman"/>
          <w:position w:val="-14"/>
          <w:sz w:val="21"/>
          <w:szCs w:val="21"/>
        </w:rPr>
        <w:object>
          <v:shape id="_x0000_i1040" o:spt="75" type="#_x0000_t75" style="height:21.5pt;width:14.5pt;" o:ole="t" filled="f" o:preferrelative="t" stroked="f" coordsize="21600,21600">
            <v:path/>
            <v:fill on="f" focussize="0,0"/>
            <v:stroke on="f" joinstyle="miter"/>
            <v:imagedata r:id="rId41" o:title=""/>
            <o:lock v:ext="edit" aspectratio="t"/>
            <w10:wrap type="none"/>
            <w10:anchorlock/>
          </v:shape>
          <o:OLEObject Type="Embed" ProgID="Equation.DSMT4" ShapeID="_x0000_i1040" DrawAspect="Content" ObjectID="_1468075740" r:id="rId40">
            <o:LockedField>false</o:LockedField>
          </o:OLEObject>
        </w:objec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接缝受剪承载力增大系数；</w:t>
      </w:r>
    </w:p>
    <w:p>
      <w:pPr>
        <w:pStyle w:val="51"/>
        <w:shd w:val="clear" w:color="auto" w:fill="auto"/>
        <w:spacing w:before="50" w:after="50" w:line="240" w:lineRule="auto"/>
        <w:ind w:left="420" w:firstLine="0"/>
        <w:jc w:val="left"/>
        <w:rPr>
          <w:rFonts w:ascii="Times New Roman" w:hAnsi="Times New Roman" w:eastAsia="宋体" w:cs="Times New Roman"/>
          <w:spacing w:val="0"/>
          <w:sz w:val="21"/>
          <w:szCs w:val="21"/>
        </w:rPr>
      </w:pPr>
      <w:r>
        <w:rPr>
          <w:rFonts w:ascii="Times New Roman" w:hAnsi="Times New Roman" w:eastAsia="宋体" w:cs="Times New Roman"/>
          <w:position w:val="-12"/>
          <w:sz w:val="21"/>
          <w:szCs w:val="21"/>
        </w:rPr>
        <w:object>
          <v:shape id="_x0000_i1041" o:spt="75" type="#_x0000_t75" style="height:21.5pt;width:14.5pt;" o:ole="t" filled="f" o:preferrelative="t" stroked="f" coordsize="21600,21600">
            <v:path/>
            <v:fill on="f" focussize="0,0"/>
            <v:stroke on="f" joinstyle="miter"/>
            <v:imagedata r:id="rId43" o:title=""/>
            <o:lock v:ext="edit" aspectratio="t"/>
            <w10:wrap type="none"/>
            <w10:anchorlock/>
          </v:shape>
          <o:OLEObject Type="Embed" ProgID="Equation.DSMT4" ShapeID="_x0000_i1041" DrawAspect="Content" ObjectID="_1468075741" r:id="rId42">
            <o:LockedField>false</o:LockedField>
          </o:OLEObject>
        </w:objec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各键槽的根部截面面积；</w:t>
      </w:r>
    </w:p>
    <w:p>
      <w:pPr>
        <w:pStyle w:val="51"/>
        <w:shd w:val="clear" w:color="auto" w:fill="auto"/>
        <w:spacing w:before="50" w:after="50" w:line="240" w:lineRule="auto"/>
        <w:ind w:left="420" w:firstLine="0"/>
        <w:jc w:val="left"/>
        <w:rPr>
          <w:rFonts w:ascii="Times New Roman" w:hAnsi="Times New Roman" w:eastAsia="宋体" w:cs="Times New Roman"/>
          <w:spacing w:val="0"/>
          <w:sz w:val="21"/>
          <w:szCs w:val="21"/>
        </w:rPr>
      </w:pPr>
      <w:r>
        <w:rPr>
          <w:rFonts w:ascii="Times New Roman" w:hAnsi="Times New Roman" w:eastAsia="宋体" w:cs="Times New Roman"/>
          <w:position w:val="-12"/>
          <w:sz w:val="21"/>
          <w:szCs w:val="21"/>
        </w:rPr>
        <w:object>
          <v:shape id="_x0000_i1042" o:spt="75" type="#_x0000_t75" style="height:21.5pt;width:21.5pt;" o:ole="t" filled="f" o:preferrelative="t" stroked="f" coordsize="21600,21600">
            <v:path/>
            <v:fill on="f" focussize="0,0"/>
            <v:stroke on="f" joinstyle="miter"/>
            <v:imagedata r:id="rId45" o:title=""/>
            <o:lock v:ext="edit" aspectratio="t"/>
            <w10:wrap type="none"/>
            <w10:anchorlock/>
          </v:shape>
          <o:OLEObject Type="Embed" ProgID="Equation.DSMT4" ShapeID="_x0000_i1042" DrawAspect="Content" ObjectID="_1468075742" r:id="rId44">
            <o:LockedField>false</o:LockedField>
          </o:OLEObject>
        </w:objec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垂直穿过结合面所有钢筋的面积。</w:t>
      </w:r>
      <w:bookmarkStart w:id="43" w:name="_Toc25814"/>
      <w:bookmarkStart w:id="44" w:name="bookmark12"/>
      <w:bookmarkStart w:id="45" w:name="_Toc68250308"/>
    </w:p>
    <w:p>
      <w:pPr>
        <w:pStyle w:val="210"/>
        <w:spacing w:before="240" w:after="240"/>
        <w:rPr>
          <w:rFonts w:ascii="黑体" w:hAnsi="黑体" w:eastAsia="黑体"/>
          <w:b w:val="0"/>
          <w:sz w:val="21"/>
          <w:szCs w:val="21"/>
        </w:rPr>
      </w:pPr>
      <w:bookmarkStart w:id="46" w:name="_Toc172188600"/>
      <w:bookmarkStart w:id="47" w:name="_Toc172187815"/>
      <w:bookmarkStart w:id="48" w:name="_Toc172188876"/>
      <w:r>
        <w:rPr>
          <w:rFonts w:ascii="黑体" w:hAnsi="黑体" w:eastAsia="黑体"/>
          <w:b w:val="0"/>
          <w:sz w:val="21"/>
          <w:szCs w:val="21"/>
        </w:rPr>
        <w:t>4 基本规定</w:t>
      </w:r>
      <w:bookmarkEnd w:id="43"/>
      <w:bookmarkEnd w:id="46"/>
      <w:bookmarkEnd w:id="47"/>
      <w:bookmarkEnd w:id="48"/>
    </w:p>
    <w:p>
      <w:pPr>
        <w:pStyle w:val="51"/>
        <w:numPr>
          <w:ilvl w:val="0"/>
          <w:numId w:val="5"/>
        </w:numPr>
        <w:shd w:val="clear" w:color="auto" w:fill="auto"/>
        <w:tabs>
          <w:tab w:val="left" w:pos="658"/>
        </w:tabs>
        <w:spacing w:before="120" w:beforeLines="50" w:after="120" w:afterLines="50" w:line="240" w:lineRule="auto"/>
        <w:jc w:val="both"/>
        <w:rPr>
          <w:rFonts w:ascii="Times New Roman" w:hAnsi="Times New Roman" w:eastAsia="宋体" w:cs="Times New Roman"/>
          <w:szCs w:val="21"/>
        </w:rPr>
      </w:pPr>
      <w:r>
        <w:rPr>
          <w:rFonts w:ascii="Times New Roman" w:hAnsi="Times New Roman" w:eastAsia="宋体" w:cs="Times New Roman"/>
          <w:spacing w:val="0"/>
          <w:sz w:val="21"/>
          <w:szCs w:val="21"/>
        </w:rPr>
        <w:t>在装配式</w:t>
      </w:r>
      <w:r>
        <w:rPr>
          <w:rFonts w:hint="eastAsia" w:ascii="Times New Roman" w:hAnsi="Times New Roman" w:eastAsia="宋体" w:cs="Times New Roman"/>
          <w:spacing w:val="0"/>
          <w:sz w:val="21"/>
          <w:szCs w:val="21"/>
        </w:rPr>
        <w:t>混凝土</w:t>
      </w:r>
      <w:r>
        <w:rPr>
          <w:rFonts w:ascii="Times New Roman" w:hAnsi="Times New Roman" w:eastAsia="宋体" w:cs="Times New Roman"/>
          <w:spacing w:val="0"/>
          <w:sz w:val="21"/>
          <w:szCs w:val="21"/>
        </w:rPr>
        <w:t>建筑方案设计阶段，应协调建设、设计、制作、施工各方之间的关系，并应加强建筑、结构、设备、装修等专业之间的配合。</w:t>
      </w:r>
    </w:p>
    <w:p>
      <w:pPr>
        <w:pStyle w:val="51"/>
        <w:numPr>
          <w:ilvl w:val="0"/>
          <w:numId w:val="5"/>
        </w:numPr>
        <w:shd w:val="clear" w:color="auto" w:fill="auto"/>
        <w:tabs>
          <w:tab w:val="left" w:pos="658"/>
        </w:tabs>
        <w:spacing w:before="120" w:beforeLines="50" w:after="120" w:afterLines="50" w:line="240" w:lineRule="auto"/>
        <w:jc w:val="both"/>
        <w:rPr>
          <w:rFonts w:ascii="Times New Roman" w:hAnsi="Times New Roman" w:eastAsia="宋体" w:cs="Times New Roman"/>
          <w:szCs w:val="21"/>
        </w:rPr>
      </w:pPr>
      <w:r>
        <w:rPr>
          <w:rFonts w:ascii="Times New Roman" w:hAnsi="Times New Roman" w:eastAsia="宋体" w:cs="Times New Roman"/>
          <w:spacing w:val="0"/>
          <w:sz w:val="21"/>
          <w:szCs w:val="21"/>
        </w:rPr>
        <w:t>装配式</w:t>
      </w:r>
      <w:r>
        <w:rPr>
          <w:rFonts w:hint="eastAsia" w:ascii="Times New Roman" w:hAnsi="Times New Roman" w:eastAsia="宋体" w:cs="Times New Roman"/>
          <w:spacing w:val="0"/>
          <w:sz w:val="21"/>
          <w:szCs w:val="21"/>
        </w:rPr>
        <w:t>混凝土建筑的</w:t>
      </w:r>
      <w:r>
        <w:rPr>
          <w:rFonts w:ascii="Times New Roman" w:hAnsi="Times New Roman" w:eastAsia="宋体" w:cs="Times New Roman"/>
          <w:spacing w:val="0"/>
          <w:sz w:val="21"/>
          <w:szCs w:val="21"/>
        </w:rPr>
        <w:t>设计应进行标准化、定型化设计，遵循少规格、多组合的原则。</w:t>
      </w:r>
    </w:p>
    <w:p>
      <w:pPr>
        <w:pStyle w:val="51"/>
        <w:numPr>
          <w:ilvl w:val="0"/>
          <w:numId w:val="5"/>
        </w:numPr>
        <w:shd w:val="clear" w:color="auto" w:fill="auto"/>
        <w:tabs>
          <w:tab w:val="left" w:pos="658"/>
        </w:tabs>
        <w:spacing w:before="120" w:beforeLines="50" w:after="120" w:afterLines="50" w:line="240" w:lineRule="auto"/>
        <w:jc w:val="both"/>
        <w:rPr>
          <w:rFonts w:ascii="Times New Roman" w:hAnsi="Times New Roman" w:eastAsia="宋体" w:cs="Times New Roman"/>
          <w:szCs w:val="21"/>
        </w:rPr>
      </w:pPr>
      <w:r>
        <w:rPr>
          <w:rFonts w:ascii="Times New Roman" w:hAnsi="Times New Roman" w:eastAsia="宋体" w:cs="Times New Roman"/>
          <w:spacing w:val="0"/>
          <w:sz w:val="21"/>
          <w:szCs w:val="21"/>
        </w:rPr>
        <w:t>装配整体式混凝土框架结构及</w:t>
      </w:r>
      <w:r>
        <w:rPr>
          <w:rStyle w:val="56"/>
          <w:rFonts w:ascii="Times New Roman" w:hAnsi="Times New Roman" w:eastAsia="宋体" w:cs="Times New Roman"/>
          <w:spacing w:val="0"/>
          <w:sz w:val="21"/>
          <w:szCs w:val="21"/>
        </w:rPr>
        <w:t>框架-剪力墙结构的</w:t>
      </w:r>
      <w:r>
        <w:rPr>
          <w:rFonts w:ascii="Times New Roman" w:hAnsi="Times New Roman" w:eastAsia="宋体" w:cs="Times New Roman"/>
          <w:spacing w:val="0"/>
          <w:sz w:val="21"/>
          <w:szCs w:val="21"/>
        </w:rPr>
        <w:t>设计除应符合现行国家标准GB 55001、GB 55008、GB 55002、GB/T 50010、GB/T 50011、GB/T 51231和行业标准JGJ 3的相关要求外，并应符合下列规定：</w:t>
      </w:r>
    </w:p>
    <w:p>
      <w:pPr>
        <w:pStyle w:val="51"/>
        <w:shd w:val="clear" w:color="auto" w:fill="auto"/>
        <w:tabs>
          <w:tab w:val="left" w:pos="658"/>
        </w:tabs>
        <w:spacing w:before="0" w:after="0" w:line="240" w:lineRule="auto"/>
        <w:ind w:firstLine="420" w:firstLineChars="200"/>
        <w:jc w:val="both"/>
        <w:rPr>
          <w:rFonts w:ascii="Times New Roman" w:hAnsi="Times New Roman" w:eastAsia="宋体" w:cs="Times New Roman"/>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应采取有效措施加强结构的整体性；</w:t>
      </w:r>
    </w:p>
    <w:p>
      <w:pPr>
        <w:pStyle w:val="51"/>
        <w:shd w:val="clear" w:color="auto" w:fill="auto"/>
        <w:tabs>
          <w:tab w:val="left" w:pos="658"/>
        </w:tabs>
        <w:spacing w:before="0" w:after="0" w:line="240" w:lineRule="auto"/>
        <w:ind w:firstLine="420" w:firstLineChars="200"/>
        <w:jc w:val="both"/>
        <w:rPr>
          <w:rFonts w:ascii="Times New Roman" w:hAnsi="Times New Roman" w:eastAsia="宋体" w:cs="Times New Roman"/>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节点和接缝应受力明确、构造可靠，并应满足承载力、延性和耐久性等要求；</w:t>
      </w:r>
    </w:p>
    <w:p>
      <w:pPr>
        <w:pStyle w:val="51"/>
        <w:shd w:val="clear" w:color="auto" w:fill="auto"/>
        <w:tabs>
          <w:tab w:val="left" w:pos="658"/>
        </w:tabs>
        <w:spacing w:before="0" w:after="0" w:line="240" w:lineRule="auto"/>
        <w:ind w:firstLine="420" w:firstLineChars="200"/>
        <w:jc w:val="both"/>
        <w:rPr>
          <w:rFonts w:ascii="Times New Roman" w:hAnsi="Times New Roman" w:eastAsia="宋体" w:cs="Times New Roman"/>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应根据连接节点和接缝的构造方式和性能，确定结构的整体计算模型；</w:t>
      </w:r>
    </w:p>
    <w:p>
      <w:pPr>
        <w:pStyle w:val="51"/>
        <w:shd w:val="clear" w:color="auto" w:fill="auto"/>
        <w:tabs>
          <w:tab w:val="left" w:pos="658"/>
        </w:tabs>
        <w:spacing w:before="0" w:after="0" w:line="240" w:lineRule="auto"/>
        <w:ind w:firstLine="420" w:firstLineChars="200"/>
        <w:jc w:val="both"/>
        <w:rPr>
          <w:rFonts w:ascii="Times New Roman" w:hAnsi="Times New Roman" w:eastAsia="宋体" w:cs="Times New Roman"/>
          <w:szCs w:val="21"/>
        </w:rPr>
      </w:pPr>
      <w:r>
        <w:rPr>
          <w:rFonts w:ascii="宋体" w:hAnsi="宋体" w:eastAsia="宋体" w:cs="Times New Roman"/>
          <w:spacing w:val="0"/>
          <w:sz w:val="21"/>
          <w:szCs w:val="21"/>
        </w:rPr>
        <w:t>d</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宜采用高强混凝土、高强钢筋。</w:t>
      </w:r>
    </w:p>
    <w:p>
      <w:pPr>
        <w:pStyle w:val="51"/>
        <w:numPr>
          <w:ilvl w:val="0"/>
          <w:numId w:val="5"/>
        </w:numPr>
        <w:shd w:val="clear" w:color="auto" w:fill="auto"/>
        <w:tabs>
          <w:tab w:val="left" w:pos="658"/>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装配整体式混凝土框架结构及</w:t>
      </w:r>
      <w:r>
        <w:rPr>
          <w:rStyle w:val="56"/>
          <w:rFonts w:ascii="Times New Roman" w:hAnsi="Times New Roman" w:eastAsia="宋体" w:cs="Times New Roman"/>
          <w:spacing w:val="0"/>
          <w:sz w:val="21"/>
          <w:szCs w:val="21"/>
        </w:rPr>
        <w:t>框架-剪力墙结构</w:t>
      </w:r>
      <w:r>
        <w:rPr>
          <w:rFonts w:ascii="Times New Roman" w:hAnsi="Times New Roman" w:eastAsia="宋体" w:cs="Times New Roman"/>
          <w:spacing w:val="0"/>
          <w:sz w:val="21"/>
          <w:szCs w:val="21"/>
        </w:rPr>
        <w:t>应按现行国家标准GB 50223确定抗震设防类别及抗震设防标准。</w:t>
      </w:r>
    </w:p>
    <w:p>
      <w:pPr>
        <w:pStyle w:val="51"/>
        <w:numPr>
          <w:ilvl w:val="0"/>
          <w:numId w:val="5"/>
        </w:numPr>
        <w:shd w:val="clear" w:color="auto" w:fill="auto"/>
        <w:tabs>
          <w:tab w:val="left" w:pos="658"/>
        </w:tabs>
        <w:spacing w:before="120" w:beforeLines="50" w:after="120" w:afterLines="50" w:line="240" w:lineRule="auto"/>
        <w:jc w:val="both"/>
        <w:rPr>
          <w:rFonts w:ascii="Times New Roman" w:hAnsi="Times New Roman" w:eastAsia="宋体" w:cs="Times New Roman"/>
          <w:b/>
          <w:color w:val="000000" w:themeColor="text1"/>
          <w:spacing w:val="0"/>
          <w:sz w:val="21"/>
          <w:szCs w:val="21"/>
          <w14:textFill>
            <w14:solidFill>
              <w14:schemeClr w14:val="tx1"/>
            </w14:solidFill>
          </w14:textFill>
        </w:rPr>
      </w:pPr>
      <w:r>
        <w:rPr>
          <w:rFonts w:ascii="Times New Roman" w:hAnsi="Times New Roman" w:eastAsia="宋体" w:cs="Times New Roman"/>
          <w:spacing w:val="0"/>
          <w:sz w:val="21"/>
          <w:szCs w:val="21"/>
        </w:rPr>
        <w:t>装配整体式混凝土框架结构及</w:t>
      </w:r>
      <w:r>
        <w:rPr>
          <w:rStyle w:val="56"/>
          <w:rFonts w:ascii="Times New Roman" w:hAnsi="Times New Roman" w:eastAsia="宋体" w:cs="Times New Roman"/>
          <w:spacing w:val="0"/>
          <w:sz w:val="21"/>
          <w:szCs w:val="21"/>
        </w:rPr>
        <w:t>框架-剪力墙结构</w:t>
      </w:r>
      <w:r>
        <w:rPr>
          <w:rFonts w:ascii="Times New Roman" w:hAnsi="Times New Roman" w:eastAsia="宋体" w:cs="Times New Roman"/>
          <w:color w:val="000000" w:themeColor="text1"/>
          <w:spacing w:val="0"/>
          <w:sz w:val="21"/>
          <w:szCs w:val="21"/>
          <w14:textFill>
            <w14:solidFill>
              <w14:schemeClr w14:val="tx1"/>
            </w14:solidFill>
          </w14:textFill>
        </w:rPr>
        <w:t>中的预制构件应符合下列规定：</w:t>
      </w:r>
    </w:p>
    <w:p>
      <w:pPr>
        <w:pStyle w:val="51"/>
        <w:shd w:val="clear" w:color="auto" w:fill="auto"/>
        <w:tabs>
          <w:tab w:val="left" w:pos="658"/>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满足建筑使用功能、模数、标准化要求；</w:t>
      </w:r>
    </w:p>
    <w:p>
      <w:pPr>
        <w:pStyle w:val="51"/>
        <w:shd w:val="clear" w:color="auto" w:fill="auto"/>
        <w:tabs>
          <w:tab w:val="left" w:pos="658"/>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根据预制构件的功能、安装部位、制作方法、施工精度及质量控制等要求，确定合理的尺寸公差和形状公差，采取有效措施减小混凝土收缩、徐变等非荷载作用效应的不利影响；</w:t>
      </w:r>
    </w:p>
    <w:p>
      <w:pPr>
        <w:pStyle w:val="51"/>
        <w:shd w:val="clear" w:color="auto" w:fill="auto"/>
        <w:tabs>
          <w:tab w:val="left" w:pos="658"/>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满足制作、运输、堆放和安装要求。</w:t>
      </w:r>
    </w:p>
    <w:p>
      <w:pPr>
        <w:pStyle w:val="51"/>
        <w:numPr>
          <w:ilvl w:val="0"/>
          <w:numId w:val="5"/>
        </w:numPr>
        <w:shd w:val="clear" w:color="auto" w:fill="auto"/>
        <w:tabs>
          <w:tab w:val="left" w:pos="658"/>
        </w:tabs>
        <w:spacing w:before="120" w:beforeLines="50" w:after="120" w:afterLines="50" w:line="240" w:lineRule="auto"/>
        <w:jc w:val="both"/>
        <w:rPr>
          <w:rFonts w:ascii="Times New Roman" w:hAnsi="Times New Roman" w:eastAsia="宋体" w:cs="Times New Roman"/>
          <w:b/>
          <w:color w:val="000000" w:themeColor="text1"/>
          <w:spacing w:val="0"/>
          <w:sz w:val="21"/>
          <w:szCs w:val="21"/>
          <w14:textFill>
            <w14:solidFill>
              <w14:schemeClr w14:val="tx1"/>
            </w14:solidFill>
          </w14:textFill>
        </w:rPr>
      </w:pPr>
      <w:r>
        <w:rPr>
          <w:rFonts w:ascii="Times New Roman" w:hAnsi="Times New Roman" w:eastAsia="宋体" w:cs="Times New Roman"/>
          <w:color w:val="000000" w:themeColor="text1"/>
          <w:spacing w:val="0"/>
          <w:sz w:val="21"/>
          <w:szCs w:val="21"/>
          <w14:textFill>
            <w14:solidFill>
              <w14:schemeClr w14:val="tx1"/>
            </w14:solidFill>
          </w14:textFill>
        </w:rPr>
        <w:t>预制构件的深化专项设计应满足建筑、结构、机电设备、装饰装修等各专业以及构件制作、运输、安装等各环节的综合要求。</w:t>
      </w:r>
    </w:p>
    <w:p>
      <w:pPr>
        <w:pStyle w:val="210"/>
        <w:spacing w:before="240" w:after="240"/>
        <w:rPr>
          <w:rFonts w:ascii="黑体" w:hAnsi="黑体" w:eastAsia="黑体"/>
          <w:b w:val="0"/>
          <w:sz w:val="21"/>
          <w:szCs w:val="21"/>
        </w:rPr>
      </w:pPr>
      <w:bookmarkStart w:id="49" w:name="_Toc172188601"/>
      <w:bookmarkStart w:id="50" w:name="_Toc172187816"/>
      <w:bookmarkStart w:id="51" w:name="_Toc172188877"/>
      <w:bookmarkStart w:id="52" w:name="_Toc8484"/>
      <w:r>
        <w:rPr>
          <w:rFonts w:ascii="黑体" w:hAnsi="黑体" w:eastAsia="黑体"/>
          <w:b w:val="0"/>
          <w:sz w:val="21"/>
          <w:szCs w:val="21"/>
        </w:rPr>
        <w:t>5 材料</w:t>
      </w:r>
      <w:bookmarkEnd w:id="44"/>
      <w:bookmarkEnd w:id="45"/>
      <w:bookmarkEnd w:id="49"/>
      <w:bookmarkEnd w:id="50"/>
      <w:bookmarkEnd w:id="51"/>
      <w:bookmarkEnd w:id="52"/>
    </w:p>
    <w:p>
      <w:pPr>
        <w:pStyle w:val="210"/>
        <w:spacing w:before="240" w:after="240"/>
        <w:outlineLvl w:val="2"/>
        <w:rPr>
          <w:rFonts w:ascii="黑体" w:hAnsi="黑体" w:eastAsia="黑体"/>
          <w:b w:val="0"/>
          <w:sz w:val="21"/>
          <w:szCs w:val="21"/>
        </w:rPr>
      </w:pPr>
      <w:bookmarkStart w:id="53" w:name="_Toc9626"/>
      <w:bookmarkStart w:id="54" w:name="bookmark13"/>
      <w:bookmarkStart w:id="55" w:name="_Toc172187817"/>
      <w:bookmarkStart w:id="56" w:name="_Toc172188602"/>
      <w:bookmarkStart w:id="57" w:name="_Toc172188878"/>
      <w:r>
        <w:rPr>
          <w:rFonts w:ascii="黑体" w:hAnsi="黑体" w:eastAsia="黑体"/>
          <w:b w:val="0"/>
          <w:sz w:val="21"/>
          <w:szCs w:val="21"/>
        </w:rPr>
        <w:t>5.1 混凝土、钢筋和钢材</w:t>
      </w:r>
      <w:bookmarkEnd w:id="53"/>
      <w:bookmarkEnd w:id="54"/>
      <w:bookmarkEnd w:id="55"/>
      <w:bookmarkEnd w:id="56"/>
      <w:bookmarkEnd w:id="57"/>
    </w:p>
    <w:p>
      <w:pPr>
        <w:pStyle w:val="51"/>
        <w:numPr>
          <w:ilvl w:val="0"/>
          <w:numId w:val="6"/>
        </w:numPr>
        <w:shd w:val="clear" w:color="auto" w:fill="auto"/>
        <w:tabs>
          <w:tab w:val="left" w:pos="658"/>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混凝土的力学性能指标和耐久性指标均应符合现行国家标准</w:t>
      </w:r>
      <w:r>
        <w:rPr>
          <w:rStyle w:val="71"/>
          <w:rFonts w:ascii="Times New Roman" w:hAnsi="Times New Roman" w:eastAsia="宋体" w:cs="Times New Roman"/>
          <w:spacing w:val="0"/>
          <w:sz w:val="21"/>
          <w:szCs w:val="21"/>
        </w:rPr>
        <w:t>GB/T 50010</w:t>
      </w:r>
      <w:r>
        <w:rPr>
          <w:rFonts w:ascii="Times New Roman" w:hAnsi="Times New Roman" w:eastAsia="宋体" w:cs="Times New Roman"/>
          <w:spacing w:val="0"/>
          <w:sz w:val="21"/>
          <w:szCs w:val="21"/>
        </w:rPr>
        <w:t>的规定。</w:t>
      </w:r>
    </w:p>
    <w:p>
      <w:pPr>
        <w:pStyle w:val="51"/>
        <w:numPr>
          <w:ilvl w:val="0"/>
          <w:numId w:val="6"/>
        </w:numPr>
        <w:shd w:val="clear" w:color="auto" w:fill="auto"/>
        <w:tabs>
          <w:tab w:val="left" w:pos="658"/>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预制构件的混凝土强度等级不宜低于</w:t>
      </w:r>
      <w:r>
        <w:rPr>
          <w:rStyle w:val="71"/>
          <w:rFonts w:ascii="Times New Roman" w:hAnsi="Times New Roman" w:eastAsia="宋体" w:cs="Times New Roman"/>
          <w:spacing w:val="0"/>
          <w:sz w:val="21"/>
          <w:szCs w:val="21"/>
        </w:rPr>
        <w:t>C30</w:t>
      </w:r>
      <w:r>
        <w:rPr>
          <w:rStyle w:val="81"/>
          <w:rFonts w:ascii="Times New Roman" w:hAnsi="Times New Roman" w:eastAsia="宋体" w:cs="Times New Roman"/>
          <w:spacing w:val="0"/>
          <w:sz w:val="21"/>
          <w:szCs w:val="21"/>
        </w:rPr>
        <w:t>；预应力</w:t>
      </w:r>
      <w:r>
        <w:rPr>
          <w:rFonts w:ascii="Times New Roman" w:hAnsi="Times New Roman" w:eastAsia="宋体" w:cs="Times New Roman"/>
          <w:spacing w:val="0"/>
          <w:sz w:val="21"/>
          <w:szCs w:val="21"/>
        </w:rPr>
        <w:t>预制楼板结构的混凝土强度等级不宜低于</w:t>
      </w:r>
      <w:r>
        <w:rPr>
          <w:rStyle w:val="71"/>
          <w:rFonts w:ascii="Times New Roman" w:hAnsi="Times New Roman" w:eastAsia="宋体" w:cs="Times New Roman"/>
          <w:spacing w:val="0"/>
          <w:sz w:val="21"/>
          <w:szCs w:val="21"/>
        </w:rPr>
        <w:t>C40</w:t>
      </w:r>
      <w:r>
        <w:rPr>
          <w:rStyle w:val="81"/>
          <w:rFonts w:ascii="Times New Roman" w:hAnsi="Times New Roman" w:eastAsia="宋体" w:cs="Times New Roman"/>
          <w:spacing w:val="0"/>
          <w:sz w:val="21"/>
          <w:szCs w:val="21"/>
        </w:rPr>
        <w:t>，且不应低于</w:t>
      </w:r>
      <w:r>
        <w:rPr>
          <w:rStyle w:val="71"/>
          <w:rFonts w:ascii="Times New Roman" w:hAnsi="Times New Roman" w:eastAsia="宋体" w:cs="Times New Roman"/>
          <w:spacing w:val="0"/>
          <w:sz w:val="21"/>
          <w:szCs w:val="21"/>
        </w:rPr>
        <w:t>C30；其他</w:t>
      </w:r>
      <w:r>
        <w:rPr>
          <w:rStyle w:val="81"/>
          <w:rFonts w:ascii="Times New Roman" w:hAnsi="Times New Roman" w:eastAsia="宋体" w:cs="Times New Roman"/>
          <w:spacing w:val="0"/>
          <w:sz w:val="21"/>
          <w:szCs w:val="21"/>
        </w:rPr>
        <w:t>预应力</w:t>
      </w:r>
      <w:r>
        <w:rPr>
          <w:rFonts w:ascii="Times New Roman" w:hAnsi="Times New Roman" w:eastAsia="宋体" w:cs="Times New Roman"/>
          <w:spacing w:val="0"/>
          <w:sz w:val="21"/>
          <w:szCs w:val="21"/>
        </w:rPr>
        <w:t>预制构件的混凝土强度等级不</w:t>
      </w:r>
      <w:r>
        <w:rPr>
          <w:rStyle w:val="81"/>
          <w:rFonts w:ascii="Times New Roman" w:hAnsi="Times New Roman" w:eastAsia="宋体" w:cs="Times New Roman"/>
          <w:spacing w:val="0"/>
          <w:sz w:val="21"/>
          <w:szCs w:val="21"/>
        </w:rPr>
        <w:t>应低于</w:t>
      </w:r>
      <w:r>
        <w:rPr>
          <w:rStyle w:val="71"/>
          <w:rFonts w:ascii="Times New Roman" w:hAnsi="Times New Roman" w:eastAsia="宋体" w:cs="Times New Roman"/>
          <w:spacing w:val="0"/>
          <w:sz w:val="21"/>
          <w:szCs w:val="21"/>
        </w:rPr>
        <w:t>C40</w:t>
      </w:r>
      <w:r>
        <w:rPr>
          <w:rFonts w:ascii="Times New Roman" w:hAnsi="Times New Roman" w:eastAsia="宋体" w:cs="Times New Roman"/>
          <w:spacing w:val="0"/>
          <w:sz w:val="21"/>
          <w:szCs w:val="21"/>
        </w:rPr>
        <w:t>。</w:t>
      </w:r>
    </w:p>
    <w:p>
      <w:pPr>
        <w:pStyle w:val="51"/>
        <w:numPr>
          <w:ilvl w:val="0"/>
          <w:numId w:val="6"/>
        </w:numPr>
        <w:shd w:val="clear" w:color="auto" w:fill="auto"/>
        <w:tabs>
          <w:tab w:val="left" w:pos="654"/>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钢筋的选用及其各项性能指标均应符合现行国家标准</w:t>
      </w:r>
      <w:r>
        <w:rPr>
          <w:rStyle w:val="71"/>
          <w:rFonts w:ascii="Times New Roman" w:hAnsi="Times New Roman" w:eastAsia="宋体" w:cs="Times New Roman"/>
          <w:spacing w:val="0"/>
          <w:sz w:val="21"/>
          <w:szCs w:val="21"/>
        </w:rPr>
        <w:t>GB/T 50010</w:t>
      </w:r>
      <w:r>
        <w:rPr>
          <w:rFonts w:ascii="Times New Roman" w:hAnsi="Times New Roman" w:eastAsia="宋体" w:cs="Times New Roman"/>
          <w:spacing w:val="0"/>
          <w:sz w:val="21"/>
          <w:szCs w:val="21"/>
        </w:rPr>
        <w:t>、</w:t>
      </w:r>
      <w:r>
        <w:rPr>
          <w:rStyle w:val="71"/>
          <w:rFonts w:ascii="Times New Roman" w:hAnsi="Times New Roman" w:eastAsia="宋体" w:cs="Times New Roman"/>
          <w:spacing w:val="0"/>
          <w:sz w:val="21"/>
          <w:szCs w:val="21"/>
        </w:rPr>
        <w:t>GB/T 50011</w:t>
      </w:r>
      <w:r>
        <w:rPr>
          <w:rFonts w:ascii="Times New Roman" w:hAnsi="Times New Roman" w:eastAsia="宋体" w:cs="Times New Roman"/>
          <w:spacing w:val="0"/>
          <w:sz w:val="21"/>
          <w:szCs w:val="21"/>
        </w:rPr>
        <w:t>的规定。普通钢筋采用套筒灌浆连接和浆锚搭接连接时应采用热轧带肋钢筋。</w:t>
      </w:r>
    </w:p>
    <w:p>
      <w:pPr>
        <w:pStyle w:val="51"/>
        <w:numPr>
          <w:ilvl w:val="0"/>
          <w:numId w:val="6"/>
        </w:numPr>
        <w:shd w:val="clear" w:color="auto" w:fill="auto"/>
        <w:tabs>
          <w:tab w:val="left" w:pos="654"/>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钢材的各项性能指标应符合现行国家标准</w:t>
      </w:r>
      <w:r>
        <w:rPr>
          <w:rStyle w:val="71"/>
          <w:rFonts w:ascii="Times New Roman" w:hAnsi="Times New Roman" w:eastAsia="宋体" w:cs="Times New Roman"/>
          <w:spacing w:val="0"/>
          <w:sz w:val="21"/>
          <w:szCs w:val="21"/>
        </w:rPr>
        <w:t>GB 50017</w:t>
      </w:r>
      <w:r>
        <w:rPr>
          <w:rFonts w:ascii="Times New Roman" w:hAnsi="Times New Roman" w:eastAsia="宋体" w:cs="Times New Roman"/>
          <w:spacing w:val="0"/>
          <w:sz w:val="21"/>
          <w:szCs w:val="21"/>
        </w:rPr>
        <w:t>的规定，其质量标准应符合</w:t>
      </w:r>
      <w:r>
        <w:rPr>
          <w:rStyle w:val="71"/>
          <w:rFonts w:ascii="Times New Roman" w:hAnsi="Times New Roman" w:eastAsia="宋体" w:cs="Times New Roman"/>
          <w:spacing w:val="0"/>
          <w:sz w:val="21"/>
          <w:szCs w:val="21"/>
        </w:rPr>
        <w:t>GB/T 700</w:t>
      </w:r>
      <w:r>
        <w:rPr>
          <w:rFonts w:ascii="Times New Roman" w:hAnsi="Times New Roman" w:eastAsia="宋体" w:cs="Times New Roman"/>
          <w:spacing w:val="0"/>
          <w:sz w:val="21"/>
          <w:szCs w:val="21"/>
        </w:rPr>
        <w:t>和</w:t>
      </w:r>
      <w:r>
        <w:rPr>
          <w:rStyle w:val="71"/>
          <w:rFonts w:ascii="Times New Roman" w:hAnsi="Times New Roman" w:eastAsia="宋体" w:cs="Times New Roman"/>
          <w:spacing w:val="0"/>
          <w:sz w:val="21"/>
          <w:szCs w:val="21"/>
        </w:rPr>
        <w:t>GB/T 1591</w:t>
      </w:r>
      <w:r>
        <w:rPr>
          <w:rFonts w:ascii="Times New Roman" w:hAnsi="Times New Roman" w:eastAsia="宋体" w:cs="Times New Roman"/>
          <w:spacing w:val="0"/>
          <w:sz w:val="21"/>
          <w:szCs w:val="21"/>
        </w:rPr>
        <w:t>的规定。</w:t>
      </w:r>
    </w:p>
    <w:p>
      <w:pPr>
        <w:pStyle w:val="51"/>
        <w:numPr>
          <w:ilvl w:val="0"/>
          <w:numId w:val="6"/>
        </w:numPr>
        <w:shd w:val="clear" w:color="auto" w:fill="auto"/>
        <w:tabs>
          <w:tab w:val="left" w:pos="654"/>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钢筋焊接网的选用及其各项性能指标应符合现行行业标准</w:t>
      </w:r>
      <w:r>
        <w:rPr>
          <w:rStyle w:val="71"/>
          <w:rFonts w:ascii="Times New Roman" w:hAnsi="Times New Roman" w:eastAsia="宋体" w:cs="Times New Roman"/>
          <w:spacing w:val="0"/>
          <w:sz w:val="21"/>
          <w:szCs w:val="21"/>
        </w:rPr>
        <w:t>JGJ 114</w:t>
      </w:r>
      <w:r>
        <w:rPr>
          <w:rFonts w:ascii="Times New Roman" w:hAnsi="Times New Roman" w:eastAsia="宋体" w:cs="Times New Roman"/>
          <w:spacing w:val="0"/>
          <w:sz w:val="21"/>
          <w:szCs w:val="21"/>
        </w:rPr>
        <w:t>的规定。</w:t>
      </w:r>
    </w:p>
    <w:p>
      <w:pPr>
        <w:pStyle w:val="51"/>
        <w:numPr>
          <w:ilvl w:val="0"/>
          <w:numId w:val="6"/>
        </w:numPr>
        <w:shd w:val="clear" w:color="auto" w:fill="auto"/>
        <w:tabs>
          <w:tab w:val="left" w:pos="658"/>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预应力钢筋的选用及其各项性能指标应符合现行国家标准</w:t>
      </w:r>
      <w:r>
        <w:rPr>
          <w:rStyle w:val="71"/>
          <w:rFonts w:ascii="Times New Roman" w:hAnsi="Times New Roman" w:eastAsia="宋体" w:cs="Times New Roman"/>
          <w:spacing w:val="0"/>
          <w:sz w:val="21"/>
          <w:szCs w:val="21"/>
        </w:rPr>
        <w:t>GB/T 50010</w:t>
      </w:r>
      <w:r>
        <w:rPr>
          <w:rFonts w:ascii="Times New Roman" w:hAnsi="Times New Roman" w:eastAsia="宋体" w:cs="Times New Roman"/>
          <w:spacing w:val="0"/>
          <w:sz w:val="21"/>
          <w:szCs w:val="21"/>
        </w:rPr>
        <w:t>的规定。</w:t>
      </w:r>
    </w:p>
    <w:p>
      <w:pPr>
        <w:pStyle w:val="210"/>
        <w:spacing w:before="240" w:after="240"/>
        <w:outlineLvl w:val="2"/>
        <w:rPr>
          <w:rFonts w:ascii="黑体" w:hAnsi="黑体" w:eastAsia="黑体"/>
          <w:b w:val="0"/>
          <w:sz w:val="21"/>
          <w:szCs w:val="21"/>
        </w:rPr>
      </w:pPr>
      <w:bookmarkStart w:id="58" w:name="_Toc172188879"/>
      <w:bookmarkStart w:id="59" w:name="_Toc172187818"/>
      <w:bookmarkStart w:id="60" w:name="bookmark14"/>
      <w:bookmarkStart w:id="61" w:name="_Toc172188603"/>
      <w:bookmarkStart w:id="62" w:name="_Toc12940"/>
      <w:r>
        <w:rPr>
          <w:rFonts w:ascii="黑体" w:hAnsi="黑体" w:eastAsia="黑体"/>
          <w:b w:val="0"/>
          <w:sz w:val="21"/>
          <w:szCs w:val="21"/>
        </w:rPr>
        <w:t>5.2 连接材料</w:t>
      </w:r>
      <w:bookmarkEnd w:id="58"/>
      <w:bookmarkEnd w:id="59"/>
      <w:bookmarkEnd w:id="60"/>
      <w:bookmarkEnd w:id="61"/>
      <w:bookmarkEnd w:id="62"/>
    </w:p>
    <w:p>
      <w:pPr>
        <w:pStyle w:val="51"/>
        <w:numPr>
          <w:ilvl w:val="0"/>
          <w:numId w:val="7"/>
        </w:numPr>
        <w:shd w:val="clear" w:color="auto" w:fill="auto"/>
        <w:tabs>
          <w:tab w:val="left" w:pos="668"/>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钢筋套筒灌浆连接接头采用的套筒应符合现行行业标准</w:t>
      </w:r>
      <w:r>
        <w:rPr>
          <w:rStyle w:val="71"/>
          <w:rFonts w:ascii="Times New Roman" w:hAnsi="Times New Roman" w:eastAsia="宋体" w:cs="Times New Roman"/>
          <w:spacing w:val="0"/>
          <w:sz w:val="21"/>
          <w:szCs w:val="21"/>
        </w:rPr>
        <w:t>JG/T 398</w:t>
      </w:r>
      <w:r>
        <w:rPr>
          <w:rFonts w:ascii="Times New Roman" w:hAnsi="Times New Roman" w:eastAsia="宋体" w:cs="Times New Roman"/>
          <w:spacing w:val="0"/>
          <w:sz w:val="21"/>
          <w:szCs w:val="21"/>
        </w:rPr>
        <w:t>的规定。钢筋套筒灌浆连接接头采用的灌浆料应符合现行行业标准</w:t>
      </w:r>
      <w:r>
        <w:rPr>
          <w:rFonts w:ascii="Times New Roman" w:hAnsi="Times New Roman" w:cs="Times New Roman"/>
          <w:sz w:val="21"/>
          <w:szCs w:val="21"/>
        </w:rPr>
        <w:t>JG/T 408</w:t>
      </w:r>
      <w:r>
        <w:rPr>
          <w:rFonts w:ascii="Times New Roman" w:hAnsi="Times New Roman" w:eastAsia="宋体" w:cs="Times New Roman"/>
          <w:spacing w:val="0"/>
          <w:sz w:val="21"/>
          <w:szCs w:val="21"/>
        </w:rPr>
        <w:t>的规定。</w:t>
      </w:r>
    </w:p>
    <w:p>
      <w:pPr>
        <w:pStyle w:val="51"/>
        <w:numPr>
          <w:ilvl w:val="0"/>
          <w:numId w:val="7"/>
        </w:numPr>
        <w:shd w:val="clear" w:color="auto" w:fill="auto"/>
        <w:tabs>
          <w:tab w:val="left" w:pos="668"/>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钢筋套筒灌浆连接接头的实测极限抗拉强度不应小于连接钢筋的抗拉强度标准值，且接头破坏应位于套筒外的连接钢筋。</w:t>
      </w:r>
    </w:p>
    <w:p>
      <w:pPr>
        <w:pStyle w:val="51"/>
        <w:numPr>
          <w:ilvl w:val="0"/>
          <w:numId w:val="7"/>
        </w:numPr>
        <w:shd w:val="clear" w:color="auto" w:fill="auto"/>
        <w:tabs>
          <w:tab w:val="left" w:pos="678"/>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用于钢筋浆锚搭接连接的镀锌金属波纹管应符合现行行业标准</w:t>
      </w:r>
      <w:r>
        <w:rPr>
          <w:rStyle w:val="71"/>
          <w:rFonts w:ascii="Times New Roman" w:hAnsi="Times New Roman" w:eastAsia="宋体" w:cs="Times New Roman"/>
          <w:spacing w:val="0"/>
          <w:sz w:val="21"/>
          <w:szCs w:val="21"/>
        </w:rPr>
        <w:t>JG 225</w:t>
      </w:r>
      <w:r>
        <w:rPr>
          <w:rFonts w:ascii="Times New Roman" w:hAnsi="Times New Roman" w:eastAsia="宋体" w:cs="Times New Roman"/>
          <w:spacing w:val="0"/>
          <w:sz w:val="21"/>
          <w:szCs w:val="21"/>
        </w:rPr>
        <w:t>的有关规定。镀锌金属波纹管的钢带厚度不宜小于</w:t>
      </w:r>
      <w:r>
        <w:rPr>
          <w:rStyle w:val="71"/>
          <w:rFonts w:ascii="Times New Roman" w:hAnsi="Times New Roman" w:eastAsia="宋体" w:cs="Times New Roman"/>
          <w:spacing w:val="0"/>
          <w:sz w:val="21"/>
          <w:szCs w:val="21"/>
        </w:rPr>
        <w:t>0.3mm，</w:t>
      </w:r>
      <w:r>
        <w:rPr>
          <w:rFonts w:ascii="Times New Roman" w:hAnsi="Times New Roman" w:eastAsia="宋体" w:cs="Times New Roman"/>
          <w:spacing w:val="0"/>
          <w:sz w:val="21"/>
          <w:szCs w:val="21"/>
        </w:rPr>
        <w:t>波纹高度不应小于</w:t>
      </w:r>
      <w:r>
        <w:rPr>
          <w:rStyle w:val="71"/>
          <w:rFonts w:ascii="Times New Roman" w:hAnsi="Times New Roman" w:eastAsia="宋体" w:cs="Times New Roman"/>
          <w:spacing w:val="0"/>
          <w:sz w:val="21"/>
          <w:szCs w:val="21"/>
        </w:rPr>
        <w:t>2.5mm</w:t>
      </w:r>
      <w:r>
        <w:rPr>
          <w:rFonts w:ascii="Times New Roman" w:hAnsi="Times New Roman" w:eastAsia="宋体" w:cs="Times New Roman"/>
          <w:spacing w:val="0"/>
          <w:sz w:val="21"/>
          <w:szCs w:val="21"/>
        </w:rPr>
        <w:t>。</w:t>
      </w:r>
    </w:p>
    <w:p>
      <w:pPr>
        <w:pStyle w:val="51"/>
        <w:numPr>
          <w:ilvl w:val="0"/>
          <w:numId w:val="7"/>
        </w:numPr>
        <w:shd w:val="clear" w:color="auto" w:fill="auto"/>
        <w:tabs>
          <w:tab w:val="left" w:pos="674"/>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钢筋浆锚搭接连接接头应采用水泥基灌浆料，灌浆料的性能应满足表1的要求。</w:t>
      </w:r>
    </w:p>
    <w:p>
      <w:pPr>
        <w:pStyle w:val="83"/>
        <w:shd w:val="clear" w:color="auto" w:fill="auto"/>
        <w:spacing w:before="120" w:beforeLines="50" w:after="120" w:afterLines="50" w:line="240" w:lineRule="auto"/>
        <w:jc w:val="center"/>
        <w:rPr>
          <w:rFonts w:ascii="黑体" w:hAnsi="黑体" w:eastAsia="黑体" w:cs="Times New Roman"/>
          <w:bCs w:val="0"/>
          <w:spacing w:val="0"/>
          <w:sz w:val="21"/>
          <w:szCs w:val="21"/>
        </w:rPr>
      </w:pPr>
      <w:r>
        <w:rPr>
          <w:rStyle w:val="84"/>
          <w:rFonts w:ascii="黑体" w:hAnsi="黑体" w:eastAsia="黑体" w:cs="Times New Roman"/>
          <w:b w:val="0"/>
          <w:bCs/>
          <w:spacing w:val="0"/>
          <w:sz w:val="21"/>
          <w:szCs w:val="21"/>
        </w:rPr>
        <w:t>表1</w:t>
      </w:r>
      <w:r>
        <w:rPr>
          <w:rStyle w:val="85"/>
          <w:rFonts w:ascii="黑体" w:hAnsi="黑体" w:eastAsia="黑体"/>
          <w:b w:val="0"/>
          <w:bCs/>
          <w:spacing w:val="0"/>
          <w:sz w:val="21"/>
          <w:szCs w:val="21"/>
        </w:rPr>
        <w:t xml:space="preserve">  </w:t>
      </w:r>
      <w:r>
        <w:rPr>
          <w:rStyle w:val="84"/>
          <w:rFonts w:ascii="黑体" w:hAnsi="黑体" w:eastAsia="黑体" w:cs="Times New Roman"/>
          <w:b w:val="0"/>
          <w:bCs/>
          <w:spacing w:val="0"/>
          <w:sz w:val="21"/>
          <w:szCs w:val="21"/>
        </w:rPr>
        <w:t>钢筋浆锚搭接连接接头用灌浆料性能要求</w:t>
      </w:r>
    </w:p>
    <w:tbl>
      <w:tblPr>
        <w:tblStyle w:val="25"/>
        <w:tblW w:w="0" w:type="auto"/>
        <w:jc w:val="center"/>
        <w:tblLayout w:type="fixed"/>
        <w:tblCellMar>
          <w:top w:w="0" w:type="dxa"/>
          <w:left w:w="10" w:type="dxa"/>
          <w:bottom w:w="0" w:type="dxa"/>
          <w:right w:w="10" w:type="dxa"/>
        </w:tblCellMar>
      </w:tblPr>
      <w:tblGrid>
        <w:gridCol w:w="1531"/>
        <w:gridCol w:w="2268"/>
        <w:gridCol w:w="1560"/>
        <w:gridCol w:w="1310"/>
      </w:tblGrid>
      <w:tr>
        <w:tblPrEx>
          <w:tblCellMar>
            <w:top w:w="0" w:type="dxa"/>
            <w:left w:w="10" w:type="dxa"/>
            <w:bottom w:w="0" w:type="dxa"/>
            <w:right w:w="10" w:type="dxa"/>
          </w:tblCellMar>
        </w:tblPrEx>
        <w:trPr>
          <w:trHeight w:val="418" w:hRule="exact"/>
          <w:jc w:val="center"/>
        </w:trPr>
        <w:tc>
          <w:tcPr>
            <w:tcW w:w="3799" w:type="dxa"/>
            <w:gridSpan w:val="2"/>
            <w:tcBorders>
              <w:top w:val="single" w:color="auto" w:sz="12" w:space="0"/>
              <w:left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项目</w:t>
            </w:r>
          </w:p>
        </w:tc>
        <w:tc>
          <w:tcPr>
            <w:tcW w:w="1560" w:type="dxa"/>
            <w:tcBorders>
              <w:top w:val="single" w:color="auto" w:sz="12" w:space="0"/>
              <w:left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性能指标</w:t>
            </w:r>
          </w:p>
        </w:tc>
        <w:tc>
          <w:tcPr>
            <w:tcW w:w="1310" w:type="dxa"/>
            <w:tcBorders>
              <w:top w:val="single" w:color="auto" w:sz="12" w:space="0"/>
              <w:left w:val="single" w:color="auto" w:sz="4" w:space="0"/>
              <w:right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试验方法</w:t>
            </w:r>
          </w:p>
        </w:tc>
      </w:tr>
      <w:tr>
        <w:tblPrEx>
          <w:tblCellMar>
            <w:top w:w="0" w:type="dxa"/>
            <w:left w:w="10" w:type="dxa"/>
            <w:bottom w:w="0" w:type="dxa"/>
            <w:right w:w="10" w:type="dxa"/>
          </w:tblCellMar>
        </w:tblPrEx>
        <w:trPr>
          <w:trHeight w:val="408" w:hRule="exact"/>
          <w:jc w:val="center"/>
        </w:trPr>
        <w:tc>
          <w:tcPr>
            <w:tcW w:w="3799" w:type="dxa"/>
            <w:gridSpan w:val="2"/>
            <w:tcBorders>
              <w:top w:val="single" w:color="auto" w:sz="4" w:space="0"/>
              <w:left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泌水率</w:t>
            </w:r>
            <w:r>
              <w:rPr>
                <w:rStyle w:val="71"/>
                <w:rFonts w:ascii="Times New Roman" w:hAnsi="Times New Roman" w:eastAsia="宋体" w:cs="Times New Roman"/>
                <w:spacing w:val="0"/>
              </w:rPr>
              <w:t>（％）</w:t>
            </w:r>
          </w:p>
        </w:tc>
        <w:tc>
          <w:tcPr>
            <w:tcW w:w="1560" w:type="dxa"/>
            <w:tcBorders>
              <w:top w:val="single" w:color="auto" w:sz="4" w:space="0"/>
              <w:left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Times New Roman" w:hAnsi="Times New Roman" w:eastAsia="宋体" w:cs="Times New Roman"/>
                <w:spacing w:val="0"/>
                <w:lang w:val="zh-CN"/>
              </w:rPr>
              <w:t>0</w:t>
            </w:r>
          </w:p>
        </w:tc>
        <w:tc>
          <w:tcPr>
            <w:tcW w:w="1310" w:type="dxa"/>
            <w:tcBorders>
              <w:top w:val="single" w:color="auto" w:sz="4" w:space="0"/>
              <w:left w:val="single" w:color="auto" w:sz="4" w:space="0"/>
              <w:right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Times New Roman" w:hAnsi="Times New Roman" w:eastAsia="宋体" w:cs="Times New Roman"/>
                <w:spacing w:val="0"/>
              </w:rPr>
              <w:t>GB/T 50080</w:t>
            </w:r>
          </w:p>
        </w:tc>
      </w:tr>
      <w:tr>
        <w:tblPrEx>
          <w:tblCellMar>
            <w:top w:w="0" w:type="dxa"/>
            <w:left w:w="10" w:type="dxa"/>
            <w:bottom w:w="0" w:type="dxa"/>
            <w:right w:w="10" w:type="dxa"/>
          </w:tblCellMar>
        </w:tblPrEx>
        <w:trPr>
          <w:trHeight w:val="403" w:hRule="exact"/>
          <w:jc w:val="center"/>
        </w:trPr>
        <w:tc>
          <w:tcPr>
            <w:tcW w:w="1531" w:type="dxa"/>
            <w:vMerge w:val="restart"/>
            <w:tcBorders>
              <w:top w:val="single" w:color="auto" w:sz="4" w:space="0"/>
              <w:left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流动度（</w:t>
            </w:r>
            <w:r>
              <w:rPr>
                <w:rStyle w:val="71"/>
                <w:rFonts w:ascii="Times New Roman" w:hAnsi="Times New Roman" w:eastAsia="宋体" w:cs="Times New Roman"/>
                <w:spacing w:val="0"/>
              </w:rPr>
              <w:t>mm）</w:t>
            </w:r>
          </w:p>
        </w:tc>
        <w:tc>
          <w:tcPr>
            <w:tcW w:w="2268" w:type="dxa"/>
            <w:tcBorders>
              <w:top w:val="single" w:color="auto" w:sz="4" w:space="0"/>
              <w:left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初始值</w:t>
            </w:r>
          </w:p>
        </w:tc>
        <w:tc>
          <w:tcPr>
            <w:tcW w:w="1560" w:type="dxa"/>
            <w:tcBorders>
              <w:top w:val="single" w:color="auto" w:sz="4" w:space="0"/>
              <w:left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宋体" w:hAnsi="宋体" w:eastAsia="宋体" w:cs="Times New Roman"/>
                <w:spacing w:val="0"/>
              </w:rPr>
              <w:t>≥</w:t>
            </w:r>
            <w:r>
              <w:rPr>
                <w:rStyle w:val="71"/>
                <w:rFonts w:ascii="Times New Roman" w:hAnsi="Times New Roman" w:eastAsia="宋体" w:cs="Times New Roman"/>
                <w:spacing w:val="0"/>
              </w:rPr>
              <w:t>200</w:t>
            </w:r>
          </w:p>
        </w:tc>
        <w:tc>
          <w:tcPr>
            <w:tcW w:w="1310" w:type="dxa"/>
            <w:vMerge w:val="restart"/>
            <w:tcBorders>
              <w:top w:val="single" w:color="auto" w:sz="4" w:space="0"/>
              <w:left w:val="single" w:color="auto" w:sz="4" w:space="0"/>
              <w:right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Times New Roman" w:hAnsi="Times New Roman" w:eastAsia="宋体" w:cs="Times New Roman"/>
                <w:spacing w:val="0"/>
              </w:rPr>
              <w:t>GB/T 50448</w:t>
            </w:r>
          </w:p>
        </w:tc>
      </w:tr>
      <w:tr>
        <w:tblPrEx>
          <w:tblCellMar>
            <w:top w:w="0" w:type="dxa"/>
            <w:left w:w="10" w:type="dxa"/>
            <w:bottom w:w="0" w:type="dxa"/>
            <w:right w:w="10" w:type="dxa"/>
          </w:tblCellMar>
        </w:tblPrEx>
        <w:trPr>
          <w:trHeight w:val="408" w:hRule="exact"/>
          <w:jc w:val="center"/>
        </w:trPr>
        <w:tc>
          <w:tcPr>
            <w:tcW w:w="1531" w:type="dxa"/>
            <w:vMerge w:val="continue"/>
            <w:tcBorders>
              <w:left w:val="single" w:color="auto" w:sz="12" w:space="0"/>
            </w:tcBorders>
            <w:shd w:val="clear" w:color="auto" w:fill="FFFFFF"/>
            <w:vAlign w:val="center"/>
          </w:tcPr>
          <w:p>
            <w:pPr>
              <w:jc w:val="center"/>
              <w:rPr>
                <w:rFonts w:ascii="Times New Roman" w:hAnsi="Times New Roman" w:eastAsia="宋体" w:cs="Times New Roman"/>
                <w:sz w:val="18"/>
                <w:szCs w:val="18"/>
              </w:rPr>
            </w:pPr>
          </w:p>
        </w:tc>
        <w:tc>
          <w:tcPr>
            <w:tcW w:w="2268" w:type="dxa"/>
            <w:tcBorders>
              <w:top w:val="single" w:color="auto" w:sz="4" w:space="0"/>
              <w:left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Times New Roman" w:hAnsi="Times New Roman" w:eastAsia="宋体" w:cs="Times New Roman"/>
                <w:spacing w:val="0"/>
              </w:rPr>
              <w:t>30min</w:t>
            </w:r>
            <w:r>
              <w:rPr>
                <w:rFonts w:ascii="Times New Roman" w:hAnsi="Times New Roman" w:eastAsia="宋体" w:cs="Times New Roman"/>
                <w:spacing w:val="0"/>
                <w:sz w:val="18"/>
                <w:szCs w:val="18"/>
              </w:rPr>
              <w:t>保留值</w:t>
            </w:r>
          </w:p>
        </w:tc>
        <w:tc>
          <w:tcPr>
            <w:tcW w:w="1560" w:type="dxa"/>
            <w:tcBorders>
              <w:top w:val="single" w:color="auto" w:sz="4" w:space="0"/>
              <w:left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宋体" w:hAnsi="宋体" w:eastAsia="宋体" w:cs="Times New Roman"/>
                <w:spacing w:val="0"/>
              </w:rPr>
              <w:t>≥</w:t>
            </w:r>
            <w:r>
              <w:rPr>
                <w:rStyle w:val="71"/>
                <w:rFonts w:ascii="Times New Roman" w:hAnsi="Times New Roman" w:eastAsia="宋体" w:cs="Times New Roman"/>
                <w:spacing w:val="0"/>
              </w:rPr>
              <w:t>150</w:t>
            </w:r>
          </w:p>
        </w:tc>
        <w:tc>
          <w:tcPr>
            <w:tcW w:w="1310" w:type="dxa"/>
            <w:vMerge w:val="continue"/>
            <w:tcBorders>
              <w:left w:val="single" w:color="auto" w:sz="4" w:space="0"/>
              <w:right w:val="single" w:color="auto" w:sz="12" w:space="0"/>
            </w:tcBorders>
            <w:shd w:val="clear" w:color="auto" w:fill="FFFFFF"/>
            <w:vAlign w:val="center"/>
          </w:tcPr>
          <w:p>
            <w:pPr>
              <w:jc w:val="center"/>
              <w:rPr>
                <w:rFonts w:ascii="Times New Roman" w:hAnsi="Times New Roman" w:eastAsia="宋体" w:cs="Times New Roman"/>
                <w:sz w:val="18"/>
                <w:szCs w:val="18"/>
              </w:rPr>
            </w:pPr>
          </w:p>
        </w:tc>
      </w:tr>
      <w:tr>
        <w:tblPrEx>
          <w:tblCellMar>
            <w:top w:w="0" w:type="dxa"/>
            <w:left w:w="10" w:type="dxa"/>
            <w:bottom w:w="0" w:type="dxa"/>
            <w:right w:w="10" w:type="dxa"/>
          </w:tblCellMar>
        </w:tblPrEx>
        <w:trPr>
          <w:trHeight w:val="408" w:hRule="exact"/>
          <w:jc w:val="center"/>
        </w:trPr>
        <w:tc>
          <w:tcPr>
            <w:tcW w:w="1531" w:type="dxa"/>
            <w:tcBorders>
              <w:top w:val="single" w:color="auto" w:sz="4" w:space="0"/>
              <w:left w:val="single" w:color="auto" w:sz="12" w:space="0"/>
              <w:bottom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竖向膨胀率</w:t>
            </w:r>
            <w:r>
              <w:rPr>
                <w:rStyle w:val="71"/>
                <w:rFonts w:ascii="Times New Roman" w:hAnsi="Times New Roman" w:eastAsia="宋体" w:cs="Times New Roman"/>
                <w:spacing w:val="0"/>
              </w:rPr>
              <w:t>（％）</w:t>
            </w:r>
          </w:p>
        </w:tc>
        <w:tc>
          <w:tcPr>
            <w:tcW w:w="2268" w:type="dxa"/>
            <w:tcBorders>
              <w:top w:val="single" w:color="auto" w:sz="4" w:space="0"/>
              <w:left w:val="single" w:color="auto" w:sz="4" w:space="0"/>
              <w:bottom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Times New Roman" w:hAnsi="Times New Roman" w:eastAsia="宋体" w:cs="Times New Roman"/>
                <w:spacing w:val="0"/>
              </w:rPr>
              <w:t>3h</w:t>
            </w:r>
          </w:p>
        </w:tc>
        <w:tc>
          <w:tcPr>
            <w:tcW w:w="1560" w:type="dxa"/>
            <w:tcBorders>
              <w:top w:val="single" w:color="auto" w:sz="4" w:space="0"/>
              <w:left w:val="single" w:color="auto" w:sz="4" w:space="0"/>
              <w:bottom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宋体" w:hAnsi="宋体" w:eastAsia="宋体" w:cs="Times New Roman"/>
                <w:spacing w:val="0"/>
              </w:rPr>
              <w:t>≥</w:t>
            </w:r>
            <w:r>
              <w:rPr>
                <w:rStyle w:val="71"/>
                <w:rFonts w:ascii="Times New Roman" w:hAnsi="Times New Roman" w:eastAsia="宋体" w:cs="Times New Roman"/>
                <w:spacing w:val="0"/>
              </w:rPr>
              <w:t>0.02</w:t>
            </w:r>
          </w:p>
        </w:tc>
        <w:tc>
          <w:tcPr>
            <w:tcW w:w="1310" w:type="dxa"/>
            <w:tcBorders>
              <w:top w:val="single" w:color="auto" w:sz="4" w:space="0"/>
              <w:left w:val="single" w:color="auto" w:sz="4" w:space="0"/>
              <w:bottom w:val="single" w:color="auto" w:sz="12" w:space="0"/>
              <w:right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Times New Roman" w:hAnsi="Times New Roman" w:eastAsia="宋体" w:cs="Times New Roman"/>
                <w:spacing w:val="0"/>
              </w:rPr>
              <w:t>GB/T 50448</w:t>
            </w:r>
          </w:p>
        </w:tc>
      </w:tr>
    </w:tbl>
    <w:p>
      <w:pPr>
        <w:pStyle w:val="51"/>
        <w:shd w:val="clear" w:color="auto" w:fill="auto"/>
        <w:tabs>
          <w:tab w:val="left" w:pos="678"/>
        </w:tabs>
        <w:spacing w:before="120" w:beforeLines="50" w:after="120" w:afterLines="50" w:line="240" w:lineRule="auto"/>
        <w:ind w:firstLine="0"/>
        <w:jc w:val="center"/>
        <w:rPr>
          <w:rStyle w:val="84"/>
          <w:rFonts w:ascii="黑体" w:hAnsi="黑体" w:eastAsia="黑体" w:cs="Times New Roman"/>
          <w:b w:val="0"/>
          <w:bCs w:val="0"/>
          <w:spacing w:val="0"/>
          <w:sz w:val="21"/>
          <w:szCs w:val="21"/>
        </w:rPr>
      </w:pPr>
    </w:p>
    <w:p>
      <w:pPr>
        <w:pStyle w:val="51"/>
        <w:shd w:val="clear" w:color="auto" w:fill="auto"/>
        <w:tabs>
          <w:tab w:val="left" w:pos="678"/>
        </w:tabs>
        <w:spacing w:before="120" w:beforeLines="50" w:after="120" w:afterLines="50" w:line="240" w:lineRule="auto"/>
        <w:ind w:firstLine="0"/>
        <w:jc w:val="center"/>
        <w:rPr>
          <w:rStyle w:val="84"/>
          <w:rFonts w:ascii="黑体" w:hAnsi="黑体" w:eastAsia="黑体" w:cs="Times New Roman"/>
          <w:b w:val="0"/>
          <w:bCs w:val="0"/>
          <w:spacing w:val="0"/>
          <w:sz w:val="21"/>
          <w:szCs w:val="21"/>
        </w:rPr>
      </w:pPr>
    </w:p>
    <w:p>
      <w:pPr>
        <w:pStyle w:val="51"/>
        <w:shd w:val="clear" w:color="auto" w:fill="auto"/>
        <w:tabs>
          <w:tab w:val="left" w:pos="678"/>
        </w:tabs>
        <w:spacing w:before="120" w:beforeLines="50" w:after="120" w:afterLines="50" w:line="240" w:lineRule="auto"/>
        <w:ind w:firstLine="0"/>
        <w:jc w:val="center"/>
        <w:rPr>
          <w:rStyle w:val="84"/>
          <w:rFonts w:ascii="黑体" w:hAnsi="黑体" w:eastAsia="黑体" w:cs="Times New Roman"/>
          <w:b w:val="0"/>
          <w:bCs w:val="0"/>
          <w:spacing w:val="0"/>
          <w:sz w:val="21"/>
          <w:szCs w:val="21"/>
        </w:rPr>
      </w:pPr>
    </w:p>
    <w:p>
      <w:pPr>
        <w:pStyle w:val="51"/>
        <w:shd w:val="clear" w:color="auto" w:fill="auto"/>
        <w:tabs>
          <w:tab w:val="left" w:pos="678"/>
        </w:tabs>
        <w:spacing w:before="120" w:beforeLines="50" w:after="120" w:afterLines="50" w:line="240" w:lineRule="auto"/>
        <w:ind w:firstLine="0"/>
        <w:jc w:val="center"/>
        <w:rPr>
          <w:rFonts w:ascii="Times New Roman" w:hAnsi="Times New Roman" w:eastAsia="宋体" w:cs="Times New Roman"/>
          <w:b/>
          <w:bCs/>
          <w:spacing w:val="0"/>
          <w:sz w:val="21"/>
          <w:szCs w:val="21"/>
        </w:rPr>
      </w:pPr>
      <w:r>
        <w:rPr>
          <w:rStyle w:val="84"/>
          <w:rFonts w:ascii="黑体" w:hAnsi="黑体" w:eastAsia="黑体" w:cs="Times New Roman"/>
          <w:b w:val="0"/>
          <w:bCs w:val="0"/>
          <w:spacing w:val="0"/>
          <w:sz w:val="21"/>
          <w:szCs w:val="21"/>
        </w:rPr>
        <w:t>表1</w:t>
      </w:r>
      <w:r>
        <w:rPr>
          <w:rStyle w:val="85"/>
          <w:rFonts w:ascii="黑体" w:hAnsi="黑体" w:eastAsia="黑体"/>
          <w:b w:val="0"/>
          <w:bCs w:val="0"/>
          <w:spacing w:val="0"/>
          <w:sz w:val="21"/>
          <w:szCs w:val="21"/>
        </w:rPr>
        <w:t xml:space="preserve">  </w:t>
      </w:r>
      <w:r>
        <w:rPr>
          <w:rStyle w:val="84"/>
          <w:rFonts w:ascii="黑体" w:hAnsi="黑体" w:eastAsia="黑体" w:cs="Times New Roman"/>
          <w:b w:val="0"/>
          <w:bCs w:val="0"/>
          <w:spacing w:val="0"/>
          <w:sz w:val="21"/>
          <w:szCs w:val="21"/>
        </w:rPr>
        <w:t>钢筋浆锚搭接连接接头用灌浆料性能要求</w:t>
      </w:r>
      <w:r>
        <w:rPr>
          <w:rStyle w:val="84"/>
          <w:rFonts w:hint="eastAsia" w:ascii="黑体" w:hAnsi="黑体" w:eastAsia="黑体" w:cs="Times New Roman"/>
          <w:b w:val="0"/>
          <w:bCs w:val="0"/>
          <w:spacing w:val="0"/>
          <w:sz w:val="21"/>
          <w:szCs w:val="21"/>
        </w:rPr>
        <w:t>（续表）</w:t>
      </w:r>
    </w:p>
    <w:tbl>
      <w:tblPr>
        <w:tblStyle w:val="25"/>
        <w:tblW w:w="0" w:type="auto"/>
        <w:jc w:val="center"/>
        <w:tblLayout w:type="fixed"/>
        <w:tblCellMar>
          <w:top w:w="0" w:type="dxa"/>
          <w:left w:w="10" w:type="dxa"/>
          <w:bottom w:w="0" w:type="dxa"/>
          <w:right w:w="10" w:type="dxa"/>
        </w:tblCellMar>
      </w:tblPr>
      <w:tblGrid>
        <w:gridCol w:w="1531"/>
        <w:gridCol w:w="2268"/>
        <w:gridCol w:w="1560"/>
        <w:gridCol w:w="1310"/>
      </w:tblGrid>
      <w:tr>
        <w:tblPrEx>
          <w:tblCellMar>
            <w:top w:w="0" w:type="dxa"/>
            <w:left w:w="10" w:type="dxa"/>
            <w:bottom w:w="0" w:type="dxa"/>
            <w:right w:w="10" w:type="dxa"/>
          </w:tblCellMar>
        </w:tblPrEx>
        <w:trPr>
          <w:trHeight w:val="418" w:hRule="exact"/>
          <w:jc w:val="center"/>
        </w:trPr>
        <w:tc>
          <w:tcPr>
            <w:tcW w:w="3799" w:type="dxa"/>
            <w:gridSpan w:val="2"/>
            <w:tcBorders>
              <w:top w:val="single" w:color="auto" w:sz="12" w:space="0"/>
              <w:left w:val="single" w:color="auto" w:sz="12" w:space="0"/>
              <w:bottom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项目</w:t>
            </w:r>
          </w:p>
        </w:tc>
        <w:tc>
          <w:tcPr>
            <w:tcW w:w="1560" w:type="dxa"/>
            <w:tcBorders>
              <w:top w:val="single" w:color="auto" w:sz="12" w:space="0"/>
              <w:left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性能指标</w:t>
            </w:r>
          </w:p>
        </w:tc>
        <w:tc>
          <w:tcPr>
            <w:tcW w:w="1310" w:type="dxa"/>
            <w:tcBorders>
              <w:top w:val="single" w:color="auto" w:sz="12" w:space="0"/>
              <w:left w:val="single" w:color="auto" w:sz="4" w:space="0"/>
              <w:bottom w:val="single" w:color="auto" w:sz="4" w:space="0"/>
              <w:right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试验方法</w:t>
            </w:r>
          </w:p>
        </w:tc>
      </w:tr>
      <w:tr>
        <w:tblPrEx>
          <w:tblCellMar>
            <w:top w:w="0" w:type="dxa"/>
            <w:left w:w="10" w:type="dxa"/>
            <w:bottom w:w="0" w:type="dxa"/>
            <w:right w:w="10" w:type="dxa"/>
          </w:tblCellMar>
        </w:tblPrEx>
        <w:trPr>
          <w:trHeight w:val="490" w:hRule="exact"/>
          <w:jc w:val="center"/>
        </w:trPr>
        <w:tc>
          <w:tcPr>
            <w:tcW w:w="1531" w:type="dxa"/>
            <w:tcBorders>
              <w:top w:val="single" w:color="auto" w:sz="4" w:space="0"/>
              <w:left w:val="single" w:color="auto" w:sz="12" w:space="0"/>
            </w:tcBorders>
            <w:shd w:val="clear" w:color="auto" w:fill="FFFFFF"/>
            <w:vAlign w:val="center"/>
          </w:tcPr>
          <w:p>
            <w:pPr>
              <w:jc w:val="center"/>
              <w:rPr>
                <w:rFonts w:ascii="Times New Roman" w:hAnsi="Times New Roman" w:eastAsia="宋体" w:cs="Times New Roman"/>
                <w:sz w:val="18"/>
                <w:szCs w:val="18"/>
              </w:rPr>
            </w:pPr>
          </w:p>
        </w:tc>
        <w:tc>
          <w:tcPr>
            <w:tcW w:w="2268" w:type="dxa"/>
            <w:tcBorders>
              <w:top w:val="single" w:color="auto" w:sz="4" w:space="0"/>
              <w:left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Times New Roman" w:hAnsi="Times New Roman" w:eastAsia="宋体" w:cs="Times New Roman"/>
                <w:spacing w:val="0"/>
              </w:rPr>
              <w:t>24h</w:t>
            </w:r>
            <w:r>
              <w:rPr>
                <w:rFonts w:ascii="Times New Roman" w:hAnsi="Times New Roman" w:eastAsia="宋体" w:cs="Times New Roman"/>
                <w:spacing w:val="0"/>
                <w:sz w:val="18"/>
                <w:szCs w:val="18"/>
              </w:rPr>
              <w:t>与</w:t>
            </w:r>
            <w:r>
              <w:rPr>
                <w:rStyle w:val="71"/>
                <w:rFonts w:ascii="Times New Roman" w:hAnsi="Times New Roman" w:eastAsia="宋体" w:cs="Times New Roman"/>
                <w:spacing w:val="0"/>
              </w:rPr>
              <w:t>3h</w:t>
            </w:r>
            <w:r>
              <w:rPr>
                <w:rFonts w:ascii="Times New Roman" w:hAnsi="Times New Roman" w:eastAsia="宋体" w:cs="Times New Roman"/>
                <w:spacing w:val="0"/>
                <w:sz w:val="18"/>
                <w:szCs w:val="18"/>
              </w:rPr>
              <w:t>的膨胀率之差</w:t>
            </w:r>
          </w:p>
        </w:tc>
        <w:tc>
          <w:tcPr>
            <w:tcW w:w="1560" w:type="dxa"/>
            <w:tcBorders>
              <w:top w:val="single" w:color="auto" w:sz="4" w:space="0"/>
              <w:left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Times New Roman" w:hAnsi="Times New Roman" w:eastAsia="宋体" w:cs="Times New Roman"/>
                <w:spacing w:val="0"/>
                <w:lang w:val="zh-CN"/>
              </w:rPr>
              <w:t>0.02~0.5</w:t>
            </w:r>
          </w:p>
        </w:tc>
        <w:tc>
          <w:tcPr>
            <w:tcW w:w="1310" w:type="dxa"/>
            <w:tcBorders>
              <w:top w:val="single" w:color="auto" w:sz="4" w:space="0"/>
              <w:left w:val="single" w:color="auto" w:sz="4" w:space="0"/>
              <w:right w:val="single" w:color="auto" w:sz="12" w:space="0"/>
            </w:tcBorders>
            <w:shd w:val="clear" w:color="auto" w:fill="FFFFFF"/>
            <w:vAlign w:val="center"/>
          </w:tcPr>
          <w:p>
            <w:pPr>
              <w:jc w:val="center"/>
              <w:rPr>
                <w:rFonts w:ascii="Times New Roman" w:hAnsi="Times New Roman" w:eastAsia="宋体" w:cs="Times New Roman"/>
                <w:sz w:val="18"/>
                <w:szCs w:val="18"/>
              </w:rPr>
            </w:pPr>
          </w:p>
        </w:tc>
      </w:tr>
      <w:tr>
        <w:tblPrEx>
          <w:tblCellMar>
            <w:top w:w="0" w:type="dxa"/>
            <w:left w:w="10" w:type="dxa"/>
            <w:bottom w:w="0" w:type="dxa"/>
            <w:right w:w="10" w:type="dxa"/>
          </w:tblCellMar>
        </w:tblPrEx>
        <w:trPr>
          <w:trHeight w:val="408" w:hRule="exact"/>
          <w:jc w:val="center"/>
        </w:trPr>
        <w:tc>
          <w:tcPr>
            <w:tcW w:w="1531" w:type="dxa"/>
            <w:vMerge w:val="restart"/>
            <w:tcBorders>
              <w:top w:val="single" w:color="auto" w:sz="4" w:space="0"/>
              <w:left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抗压强度</w:t>
            </w:r>
            <w:r>
              <w:rPr>
                <w:rStyle w:val="71"/>
                <w:rFonts w:ascii="Times New Roman" w:hAnsi="Times New Roman" w:eastAsia="宋体" w:cs="Times New Roman"/>
                <w:spacing w:val="0"/>
              </w:rPr>
              <w:t>（MPa）</w:t>
            </w:r>
          </w:p>
        </w:tc>
        <w:tc>
          <w:tcPr>
            <w:tcW w:w="2268" w:type="dxa"/>
            <w:tcBorders>
              <w:top w:val="single" w:color="auto" w:sz="4" w:space="0"/>
              <w:left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Times New Roman" w:hAnsi="Times New Roman" w:eastAsia="宋体" w:cs="Times New Roman"/>
                <w:spacing w:val="0"/>
              </w:rPr>
              <w:t>1d</w:t>
            </w:r>
          </w:p>
        </w:tc>
        <w:tc>
          <w:tcPr>
            <w:tcW w:w="1560" w:type="dxa"/>
            <w:tcBorders>
              <w:top w:val="single" w:color="auto" w:sz="4" w:space="0"/>
              <w:left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宋体" w:hAnsi="宋体" w:eastAsia="宋体" w:cs="Times New Roman"/>
                <w:spacing w:val="0"/>
              </w:rPr>
              <w:t>≥</w:t>
            </w:r>
            <w:r>
              <w:rPr>
                <w:rStyle w:val="71"/>
                <w:rFonts w:ascii="Times New Roman" w:hAnsi="Times New Roman" w:eastAsia="宋体" w:cs="Times New Roman"/>
                <w:spacing w:val="0"/>
              </w:rPr>
              <w:t>35</w:t>
            </w:r>
          </w:p>
        </w:tc>
        <w:tc>
          <w:tcPr>
            <w:tcW w:w="1310" w:type="dxa"/>
            <w:vMerge w:val="restart"/>
            <w:tcBorders>
              <w:top w:val="single" w:color="auto" w:sz="4" w:space="0"/>
              <w:left w:val="single" w:color="auto" w:sz="4" w:space="0"/>
              <w:right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Times New Roman" w:hAnsi="Times New Roman" w:eastAsia="宋体" w:cs="Times New Roman"/>
                <w:spacing w:val="0"/>
              </w:rPr>
              <w:t xml:space="preserve">GB/T </w:t>
            </w:r>
            <w:r>
              <w:rPr>
                <w:rStyle w:val="71"/>
                <w:rFonts w:ascii="Times New Roman" w:hAnsi="Times New Roman" w:eastAsia="宋体" w:cs="Times New Roman"/>
                <w:spacing w:val="0"/>
                <w:lang w:val="zh-CN"/>
              </w:rPr>
              <w:t>50448</w:t>
            </w:r>
          </w:p>
        </w:tc>
      </w:tr>
      <w:tr>
        <w:tblPrEx>
          <w:tblCellMar>
            <w:top w:w="0" w:type="dxa"/>
            <w:left w:w="10" w:type="dxa"/>
            <w:bottom w:w="0" w:type="dxa"/>
            <w:right w:w="10" w:type="dxa"/>
          </w:tblCellMar>
        </w:tblPrEx>
        <w:trPr>
          <w:trHeight w:val="408" w:hRule="exact"/>
          <w:jc w:val="center"/>
        </w:trPr>
        <w:tc>
          <w:tcPr>
            <w:tcW w:w="1531" w:type="dxa"/>
            <w:vMerge w:val="continue"/>
            <w:tcBorders>
              <w:left w:val="single" w:color="auto" w:sz="12" w:space="0"/>
            </w:tcBorders>
            <w:shd w:val="clear" w:color="auto" w:fill="FFFFFF"/>
            <w:vAlign w:val="center"/>
          </w:tcPr>
          <w:p>
            <w:pPr>
              <w:jc w:val="center"/>
              <w:rPr>
                <w:rFonts w:ascii="Times New Roman" w:hAnsi="Times New Roman" w:eastAsia="宋体" w:cs="Times New Roman"/>
                <w:sz w:val="18"/>
                <w:szCs w:val="18"/>
              </w:rPr>
            </w:pPr>
          </w:p>
        </w:tc>
        <w:tc>
          <w:tcPr>
            <w:tcW w:w="2268" w:type="dxa"/>
            <w:tcBorders>
              <w:top w:val="single" w:color="auto" w:sz="4" w:space="0"/>
              <w:left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Times New Roman" w:hAnsi="Times New Roman" w:eastAsia="宋体" w:cs="Times New Roman"/>
                <w:spacing w:val="0"/>
              </w:rPr>
              <w:t>3d</w:t>
            </w:r>
          </w:p>
        </w:tc>
        <w:tc>
          <w:tcPr>
            <w:tcW w:w="1560" w:type="dxa"/>
            <w:tcBorders>
              <w:top w:val="single" w:color="auto" w:sz="4" w:space="0"/>
              <w:left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宋体" w:hAnsi="宋体" w:eastAsia="宋体" w:cs="Times New Roman"/>
                <w:spacing w:val="0"/>
              </w:rPr>
              <w:t>≥</w:t>
            </w:r>
            <w:r>
              <w:rPr>
                <w:rStyle w:val="71"/>
                <w:rFonts w:ascii="Times New Roman" w:hAnsi="Times New Roman" w:eastAsia="宋体" w:cs="Times New Roman"/>
                <w:spacing w:val="0"/>
              </w:rPr>
              <w:t>55</w:t>
            </w:r>
          </w:p>
        </w:tc>
        <w:tc>
          <w:tcPr>
            <w:tcW w:w="1310" w:type="dxa"/>
            <w:vMerge w:val="continue"/>
            <w:tcBorders>
              <w:left w:val="single" w:color="auto" w:sz="4" w:space="0"/>
              <w:right w:val="single" w:color="auto" w:sz="12" w:space="0"/>
            </w:tcBorders>
            <w:shd w:val="clear" w:color="auto" w:fill="FFFFFF"/>
            <w:vAlign w:val="center"/>
          </w:tcPr>
          <w:p>
            <w:pPr>
              <w:jc w:val="center"/>
              <w:rPr>
                <w:rFonts w:ascii="Times New Roman" w:hAnsi="Times New Roman" w:eastAsia="宋体" w:cs="Times New Roman"/>
                <w:sz w:val="18"/>
                <w:szCs w:val="18"/>
              </w:rPr>
            </w:pPr>
          </w:p>
        </w:tc>
      </w:tr>
      <w:tr>
        <w:tblPrEx>
          <w:tblCellMar>
            <w:top w:w="0" w:type="dxa"/>
            <w:left w:w="10" w:type="dxa"/>
            <w:bottom w:w="0" w:type="dxa"/>
            <w:right w:w="10" w:type="dxa"/>
          </w:tblCellMar>
        </w:tblPrEx>
        <w:trPr>
          <w:trHeight w:val="403" w:hRule="exact"/>
          <w:jc w:val="center"/>
        </w:trPr>
        <w:tc>
          <w:tcPr>
            <w:tcW w:w="1531" w:type="dxa"/>
            <w:vMerge w:val="continue"/>
            <w:tcBorders>
              <w:left w:val="single" w:color="auto" w:sz="12" w:space="0"/>
            </w:tcBorders>
            <w:shd w:val="clear" w:color="auto" w:fill="FFFFFF"/>
            <w:vAlign w:val="center"/>
          </w:tcPr>
          <w:p>
            <w:pPr>
              <w:jc w:val="center"/>
              <w:rPr>
                <w:rFonts w:ascii="Times New Roman" w:hAnsi="Times New Roman" w:eastAsia="宋体" w:cs="Times New Roman"/>
                <w:sz w:val="18"/>
                <w:szCs w:val="18"/>
              </w:rPr>
            </w:pPr>
          </w:p>
        </w:tc>
        <w:tc>
          <w:tcPr>
            <w:tcW w:w="2268" w:type="dxa"/>
            <w:tcBorders>
              <w:top w:val="single" w:color="auto" w:sz="4" w:space="0"/>
              <w:left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Times New Roman" w:hAnsi="Times New Roman" w:eastAsia="宋体" w:cs="Times New Roman"/>
                <w:spacing w:val="0"/>
              </w:rPr>
              <w:t>28d</w:t>
            </w:r>
          </w:p>
        </w:tc>
        <w:tc>
          <w:tcPr>
            <w:tcW w:w="1560" w:type="dxa"/>
            <w:tcBorders>
              <w:top w:val="single" w:color="auto" w:sz="4" w:space="0"/>
              <w:left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宋体" w:hAnsi="宋体" w:eastAsia="宋体" w:cs="Times New Roman"/>
                <w:spacing w:val="0"/>
              </w:rPr>
              <w:t>≥</w:t>
            </w:r>
            <w:r>
              <w:rPr>
                <w:rStyle w:val="71"/>
                <w:rFonts w:ascii="Times New Roman" w:hAnsi="Times New Roman" w:eastAsia="宋体" w:cs="Times New Roman"/>
                <w:spacing w:val="0"/>
              </w:rPr>
              <w:t>85</w:t>
            </w:r>
          </w:p>
        </w:tc>
        <w:tc>
          <w:tcPr>
            <w:tcW w:w="1310" w:type="dxa"/>
            <w:vMerge w:val="continue"/>
            <w:tcBorders>
              <w:left w:val="single" w:color="auto" w:sz="4" w:space="0"/>
              <w:right w:val="single" w:color="auto" w:sz="12" w:space="0"/>
            </w:tcBorders>
            <w:shd w:val="clear" w:color="auto" w:fill="FFFFFF"/>
            <w:vAlign w:val="center"/>
          </w:tcPr>
          <w:p>
            <w:pPr>
              <w:jc w:val="center"/>
              <w:rPr>
                <w:rFonts w:ascii="Times New Roman" w:hAnsi="Times New Roman" w:eastAsia="宋体" w:cs="Times New Roman"/>
                <w:sz w:val="18"/>
                <w:szCs w:val="18"/>
              </w:rPr>
            </w:pPr>
          </w:p>
        </w:tc>
      </w:tr>
      <w:tr>
        <w:tblPrEx>
          <w:tblCellMar>
            <w:top w:w="0" w:type="dxa"/>
            <w:left w:w="10" w:type="dxa"/>
            <w:bottom w:w="0" w:type="dxa"/>
            <w:right w:w="10" w:type="dxa"/>
          </w:tblCellMar>
        </w:tblPrEx>
        <w:trPr>
          <w:trHeight w:val="418" w:hRule="exact"/>
          <w:jc w:val="center"/>
        </w:trPr>
        <w:tc>
          <w:tcPr>
            <w:tcW w:w="3799" w:type="dxa"/>
            <w:gridSpan w:val="2"/>
            <w:tcBorders>
              <w:top w:val="single" w:color="auto" w:sz="4" w:space="0"/>
              <w:left w:val="single" w:color="auto" w:sz="12" w:space="0"/>
              <w:bottom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氯离子含量</w:t>
            </w:r>
            <w:r>
              <w:rPr>
                <w:rStyle w:val="71"/>
                <w:rFonts w:ascii="Times New Roman" w:hAnsi="Times New Roman" w:eastAsia="宋体" w:cs="Times New Roman"/>
                <w:spacing w:val="0"/>
              </w:rPr>
              <w:t>（％）</w:t>
            </w:r>
          </w:p>
        </w:tc>
        <w:tc>
          <w:tcPr>
            <w:tcW w:w="1560" w:type="dxa"/>
            <w:tcBorders>
              <w:top w:val="single" w:color="auto" w:sz="4" w:space="0"/>
              <w:left w:val="single" w:color="auto" w:sz="4" w:space="0"/>
              <w:bottom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宋体" w:hAnsi="宋体" w:eastAsia="宋体" w:cs="Times New Roman"/>
                <w:spacing w:val="0"/>
                <w:sz w:val="18"/>
                <w:szCs w:val="18"/>
              </w:rPr>
              <w:t>≤</w:t>
            </w:r>
            <w:r>
              <w:rPr>
                <w:rStyle w:val="71"/>
                <w:rFonts w:ascii="Times New Roman" w:hAnsi="Times New Roman" w:eastAsia="宋体" w:cs="Times New Roman"/>
                <w:spacing w:val="0"/>
              </w:rPr>
              <w:t>0.06</w:t>
            </w:r>
          </w:p>
        </w:tc>
        <w:tc>
          <w:tcPr>
            <w:tcW w:w="1310" w:type="dxa"/>
            <w:tcBorders>
              <w:top w:val="single" w:color="auto" w:sz="4" w:space="0"/>
              <w:left w:val="single" w:color="auto" w:sz="4" w:space="0"/>
              <w:bottom w:val="single" w:color="auto" w:sz="12" w:space="0"/>
              <w:right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Times New Roman" w:hAnsi="Times New Roman" w:eastAsia="宋体" w:cs="Times New Roman"/>
                <w:spacing w:val="0"/>
              </w:rPr>
              <w:t>GB/T 8077</w:t>
            </w:r>
          </w:p>
        </w:tc>
      </w:tr>
    </w:tbl>
    <w:p>
      <w:pPr>
        <w:pStyle w:val="51"/>
        <w:numPr>
          <w:ilvl w:val="0"/>
          <w:numId w:val="7"/>
        </w:numPr>
        <w:shd w:val="clear" w:color="auto" w:fill="auto"/>
        <w:tabs>
          <w:tab w:val="left" w:pos="678"/>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用于钢筋机械连接的挤压套筒，其各项性能指标应符合现行行业标准</w:t>
      </w:r>
      <w:r>
        <w:rPr>
          <w:rStyle w:val="71"/>
          <w:rFonts w:ascii="Times New Roman" w:hAnsi="Times New Roman" w:eastAsia="宋体" w:cs="Times New Roman"/>
          <w:spacing w:val="0"/>
          <w:sz w:val="21"/>
          <w:szCs w:val="21"/>
        </w:rPr>
        <w:t>JG/T 163</w:t>
      </w:r>
      <w:r>
        <w:rPr>
          <w:rFonts w:ascii="Times New Roman" w:hAnsi="Times New Roman" w:eastAsia="宋体" w:cs="Times New Roman"/>
          <w:spacing w:val="0"/>
          <w:sz w:val="21"/>
          <w:szCs w:val="21"/>
        </w:rPr>
        <w:t>的有关规定。</w:t>
      </w:r>
    </w:p>
    <w:p>
      <w:pPr>
        <w:pStyle w:val="51"/>
        <w:numPr>
          <w:ilvl w:val="0"/>
          <w:numId w:val="7"/>
        </w:numPr>
        <w:shd w:val="clear" w:color="auto" w:fill="auto"/>
        <w:tabs>
          <w:tab w:val="left" w:pos="674"/>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钢筋锚固板的各项性能指标应符合现行行业标准</w:t>
      </w:r>
      <w:r>
        <w:rPr>
          <w:rStyle w:val="71"/>
          <w:rFonts w:ascii="Times New Roman" w:hAnsi="Times New Roman" w:eastAsia="宋体" w:cs="Times New Roman"/>
          <w:spacing w:val="0"/>
          <w:sz w:val="21"/>
          <w:szCs w:val="21"/>
        </w:rPr>
        <w:t>JGJ 256</w:t>
      </w:r>
      <w:r>
        <w:rPr>
          <w:rFonts w:ascii="Times New Roman" w:hAnsi="Times New Roman" w:eastAsia="宋体" w:cs="Times New Roman"/>
          <w:spacing w:val="0"/>
          <w:sz w:val="21"/>
          <w:szCs w:val="21"/>
        </w:rPr>
        <w:t>的规定。</w:t>
      </w:r>
    </w:p>
    <w:p>
      <w:pPr>
        <w:pStyle w:val="51"/>
        <w:numPr>
          <w:ilvl w:val="0"/>
          <w:numId w:val="7"/>
        </w:numPr>
        <w:shd w:val="clear" w:color="auto" w:fill="auto"/>
        <w:tabs>
          <w:tab w:val="left" w:pos="658"/>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预制构件连接件的钢材及连接用焊接材料，螺栓、锚栓和铆钉等紧固件的各项性能指标应符合国家现行标准</w:t>
      </w:r>
      <w:r>
        <w:rPr>
          <w:rStyle w:val="71"/>
          <w:rFonts w:ascii="Times New Roman" w:hAnsi="Times New Roman" w:eastAsia="宋体" w:cs="Times New Roman"/>
          <w:spacing w:val="0"/>
          <w:sz w:val="21"/>
          <w:szCs w:val="21"/>
        </w:rPr>
        <w:t xml:space="preserve">GB </w:t>
      </w:r>
      <w:r>
        <w:rPr>
          <w:rStyle w:val="71"/>
          <w:rFonts w:ascii="Times New Roman" w:hAnsi="Times New Roman" w:eastAsia="宋体" w:cs="Times New Roman"/>
          <w:spacing w:val="0"/>
          <w:sz w:val="21"/>
          <w:szCs w:val="21"/>
          <w:lang w:val="zh-CN"/>
        </w:rPr>
        <w:t>50017</w:t>
      </w:r>
      <w:r>
        <w:rPr>
          <w:rFonts w:ascii="Times New Roman" w:hAnsi="Times New Roman" w:eastAsia="宋体" w:cs="Times New Roman"/>
          <w:spacing w:val="0"/>
          <w:sz w:val="21"/>
          <w:szCs w:val="21"/>
        </w:rPr>
        <w:t>、</w:t>
      </w:r>
      <w:r>
        <w:rPr>
          <w:rStyle w:val="71"/>
          <w:rFonts w:ascii="Times New Roman" w:hAnsi="Times New Roman" w:eastAsia="宋体" w:cs="Times New Roman"/>
          <w:spacing w:val="0"/>
          <w:sz w:val="21"/>
          <w:szCs w:val="21"/>
        </w:rPr>
        <w:t>GB 50661</w:t>
      </w:r>
      <w:r>
        <w:rPr>
          <w:rFonts w:ascii="Times New Roman" w:hAnsi="Times New Roman" w:eastAsia="宋体" w:cs="Times New Roman"/>
          <w:spacing w:val="0"/>
          <w:sz w:val="21"/>
          <w:szCs w:val="21"/>
        </w:rPr>
        <w:t>和</w:t>
      </w:r>
      <w:r>
        <w:rPr>
          <w:rStyle w:val="71"/>
          <w:rFonts w:ascii="Times New Roman" w:hAnsi="Times New Roman" w:eastAsia="宋体" w:cs="Times New Roman"/>
          <w:spacing w:val="0"/>
          <w:sz w:val="21"/>
          <w:szCs w:val="21"/>
        </w:rPr>
        <w:t>JGJ 18</w:t>
      </w:r>
      <w:r>
        <w:rPr>
          <w:rFonts w:ascii="Times New Roman" w:hAnsi="Times New Roman" w:eastAsia="宋体" w:cs="Times New Roman"/>
          <w:spacing w:val="0"/>
          <w:sz w:val="21"/>
          <w:szCs w:val="21"/>
        </w:rPr>
        <w:t>等的规定。</w:t>
      </w:r>
    </w:p>
    <w:p>
      <w:pPr>
        <w:pStyle w:val="51"/>
        <w:numPr>
          <w:ilvl w:val="0"/>
          <w:numId w:val="7"/>
        </w:numPr>
        <w:shd w:val="clear" w:color="auto" w:fill="auto"/>
        <w:tabs>
          <w:tab w:val="left" w:pos="658"/>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机械连接接头及焊接接头的类型及质量应符合国家现行有关标准的规定。</w:t>
      </w:r>
    </w:p>
    <w:p>
      <w:pPr>
        <w:pStyle w:val="210"/>
        <w:spacing w:before="240" w:after="240"/>
        <w:outlineLvl w:val="2"/>
        <w:rPr>
          <w:rFonts w:ascii="黑体" w:hAnsi="黑体" w:eastAsia="黑体"/>
          <w:b w:val="0"/>
          <w:sz w:val="21"/>
          <w:szCs w:val="21"/>
        </w:rPr>
      </w:pPr>
      <w:bookmarkStart w:id="63" w:name="bookmark15"/>
      <w:bookmarkStart w:id="64" w:name="_Toc172188880"/>
      <w:bookmarkStart w:id="65" w:name="_Toc172187819"/>
      <w:bookmarkStart w:id="66" w:name="_Toc10603"/>
      <w:bookmarkStart w:id="67" w:name="_Toc172188604"/>
      <w:r>
        <w:rPr>
          <w:rFonts w:ascii="黑体" w:hAnsi="黑体" w:eastAsia="黑体"/>
          <w:b w:val="0"/>
          <w:sz w:val="21"/>
          <w:szCs w:val="21"/>
        </w:rPr>
        <w:t>5.3 吊环及预埋件</w:t>
      </w:r>
      <w:bookmarkEnd w:id="63"/>
      <w:bookmarkEnd w:id="64"/>
      <w:bookmarkEnd w:id="65"/>
      <w:bookmarkEnd w:id="66"/>
      <w:bookmarkEnd w:id="67"/>
    </w:p>
    <w:p>
      <w:pPr>
        <w:pStyle w:val="51"/>
        <w:numPr>
          <w:ilvl w:val="0"/>
          <w:numId w:val="8"/>
        </w:numPr>
        <w:shd w:val="clear" w:color="auto" w:fill="auto"/>
        <w:tabs>
          <w:tab w:val="left" w:pos="663"/>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受力预埋件的锚板及锚筋材料应符合现行国家标准</w:t>
      </w:r>
      <w:r>
        <w:rPr>
          <w:rStyle w:val="71"/>
          <w:rFonts w:ascii="Times New Roman" w:hAnsi="Times New Roman" w:eastAsia="宋体" w:cs="Times New Roman"/>
          <w:spacing w:val="0"/>
          <w:sz w:val="21"/>
          <w:szCs w:val="21"/>
        </w:rPr>
        <w:t>GB/T 50010</w:t>
      </w:r>
      <w:r>
        <w:rPr>
          <w:rFonts w:ascii="Times New Roman" w:hAnsi="Times New Roman" w:eastAsia="宋体" w:cs="Times New Roman"/>
          <w:spacing w:val="0"/>
          <w:sz w:val="21"/>
          <w:szCs w:val="21"/>
        </w:rPr>
        <w:t>的有关规定。专用预埋件及连接件材料应符合国家现行有关标准的规定。</w:t>
      </w:r>
    </w:p>
    <w:p>
      <w:pPr>
        <w:pStyle w:val="51"/>
        <w:numPr>
          <w:ilvl w:val="0"/>
          <w:numId w:val="8"/>
        </w:numPr>
        <w:shd w:val="clear" w:color="auto" w:fill="auto"/>
        <w:tabs>
          <w:tab w:val="left" w:pos="638"/>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预埋在构件中的受力吊环应采用</w:t>
      </w:r>
      <w:r>
        <w:rPr>
          <w:rStyle w:val="71"/>
          <w:rFonts w:ascii="Times New Roman" w:hAnsi="Times New Roman" w:eastAsia="宋体" w:cs="Times New Roman"/>
          <w:spacing w:val="0"/>
          <w:sz w:val="21"/>
          <w:szCs w:val="21"/>
        </w:rPr>
        <w:t>HPB300</w:t>
      </w:r>
      <w:r>
        <w:rPr>
          <w:rFonts w:ascii="Times New Roman" w:hAnsi="Times New Roman" w:eastAsia="宋体" w:cs="Times New Roman"/>
          <w:spacing w:val="0"/>
          <w:sz w:val="21"/>
          <w:szCs w:val="21"/>
        </w:rPr>
        <w:t>级钢筋制作，吊环严禁采用冷加工钢筋。</w:t>
      </w:r>
    </w:p>
    <w:p>
      <w:pPr>
        <w:pStyle w:val="51"/>
        <w:numPr>
          <w:ilvl w:val="0"/>
          <w:numId w:val="8"/>
        </w:numPr>
        <w:shd w:val="clear" w:color="auto" w:fill="auto"/>
        <w:tabs>
          <w:tab w:val="left" w:pos="658"/>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专用内埋式螺母或内埋式吊杆及配套的吊具，应符合国家现行有关标准的规定。</w:t>
      </w:r>
    </w:p>
    <w:p>
      <w:pPr>
        <w:pStyle w:val="210"/>
        <w:spacing w:before="240" w:after="240"/>
        <w:outlineLvl w:val="2"/>
        <w:rPr>
          <w:rFonts w:ascii="黑体" w:hAnsi="黑体" w:eastAsia="黑体"/>
          <w:b w:val="0"/>
          <w:sz w:val="21"/>
          <w:szCs w:val="21"/>
        </w:rPr>
      </w:pPr>
      <w:bookmarkStart w:id="68" w:name="bookmark16"/>
      <w:bookmarkStart w:id="69" w:name="_Toc172188605"/>
      <w:bookmarkStart w:id="70" w:name="_Toc172188881"/>
      <w:bookmarkStart w:id="71" w:name="_Toc172187820"/>
      <w:bookmarkStart w:id="72" w:name="_Toc26012"/>
      <w:r>
        <w:rPr>
          <w:rFonts w:ascii="黑体" w:hAnsi="黑体" w:eastAsia="黑体"/>
          <w:b w:val="0"/>
          <w:sz w:val="21"/>
          <w:szCs w:val="21"/>
        </w:rPr>
        <w:t>5.4 其他材料</w:t>
      </w:r>
      <w:bookmarkEnd w:id="68"/>
      <w:bookmarkEnd w:id="69"/>
      <w:bookmarkEnd w:id="70"/>
      <w:bookmarkEnd w:id="71"/>
      <w:bookmarkEnd w:id="72"/>
    </w:p>
    <w:p>
      <w:pPr>
        <w:pStyle w:val="51"/>
        <w:numPr>
          <w:ilvl w:val="0"/>
          <w:numId w:val="9"/>
        </w:numPr>
        <w:shd w:val="clear" w:color="auto" w:fill="auto"/>
        <w:tabs>
          <w:tab w:val="left" w:pos="663"/>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预制构件连接部位的座浆材料的强度不应低于被连接构件混凝土强度，且应满足表2的要求。</w:t>
      </w:r>
    </w:p>
    <w:p>
      <w:pPr>
        <w:pStyle w:val="83"/>
        <w:shd w:val="clear" w:color="auto" w:fill="auto"/>
        <w:spacing w:before="120" w:beforeLines="50" w:after="120" w:afterLines="50" w:line="240" w:lineRule="auto"/>
        <w:jc w:val="center"/>
        <w:rPr>
          <w:rFonts w:ascii="黑体" w:hAnsi="黑体" w:eastAsia="黑体" w:cs="Times New Roman"/>
          <w:bCs w:val="0"/>
          <w:spacing w:val="0"/>
          <w:sz w:val="21"/>
          <w:szCs w:val="21"/>
        </w:rPr>
      </w:pPr>
      <w:r>
        <w:rPr>
          <w:rStyle w:val="84"/>
          <w:rFonts w:ascii="黑体" w:hAnsi="黑体" w:eastAsia="黑体" w:cs="Times New Roman"/>
          <w:b w:val="0"/>
          <w:bCs/>
          <w:spacing w:val="0"/>
          <w:sz w:val="21"/>
          <w:szCs w:val="21"/>
        </w:rPr>
        <w:t>表2</w:t>
      </w:r>
      <w:r>
        <w:rPr>
          <w:rStyle w:val="85"/>
          <w:rFonts w:ascii="黑体" w:hAnsi="黑体" w:eastAsia="黑体"/>
          <w:b w:val="0"/>
          <w:bCs/>
          <w:spacing w:val="0"/>
          <w:sz w:val="21"/>
          <w:szCs w:val="21"/>
        </w:rPr>
        <w:t xml:space="preserve">  </w:t>
      </w:r>
      <w:r>
        <w:rPr>
          <w:rStyle w:val="84"/>
          <w:rFonts w:ascii="黑体" w:hAnsi="黑体" w:eastAsia="黑体" w:cs="Times New Roman"/>
          <w:b w:val="0"/>
          <w:bCs/>
          <w:spacing w:val="0"/>
          <w:sz w:val="21"/>
          <w:szCs w:val="21"/>
        </w:rPr>
        <w:t>座浆砂浆性能要求</w:t>
      </w:r>
    </w:p>
    <w:tbl>
      <w:tblPr>
        <w:tblStyle w:val="25"/>
        <w:tblW w:w="0" w:type="auto"/>
        <w:jc w:val="center"/>
        <w:tblLayout w:type="fixed"/>
        <w:tblCellMar>
          <w:top w:w="0" w:type="dxa"/>
          <w:left w:w="10" w:type="dxa"/>
          <w:bottom w:w="0" w:type="dxa"/>
          <w:right w:w="10" w:type="dxa"/>
        </w:tblCellMar>
      </w:tblPr>
      <w:tblGrid>
        <w:gridCol w:w="2251"/>
        <w:gridCol w:w="2976"/>
        <w:gridCol w:w="1442"/>
      </w:tblGrid>
      <w:tr>
        <w:tblPrEx>
          <w:tblCellMar>
            <w:top w:w="0" w:type="dxa"/>
            <w:left w:w="10" w:type="dxa"/>
            <w:bottom w:w="0" w:type="dxa"/>
            <w:right w:w="10" w:type="dxa"/>
          </w:tblCellMar>
        </w:tblPrEx>
        <w:trPr>
          <w:trHeight w:val="418" w:hRule="exact"/>
          <w:jc w:val="center"/>
        </w:trPr>
        <w:tc>
          <w:tcPr>
            <w:tcW w:w="2251" w:type="dxa"/>
            <w:tcBorders>
              <w:top w:val="single" w:color="auto" w:sz="12" w:space="0"/>
              <w:left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项目</w:t>
            </w:r>
          </w:p>
        </w:tc>
        <w:tc>
          <w:tcPr>
            <w:tcW w:w="2976" w:type="dxa"/>
            <w:tcBorders>
              <w:top w:val="single" w:color="auto" w:sz="12" w:space="0"/>
              <w:left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性能指标</w:t>
            </w:r>
          </w:p>
        </w:tc>
        <w:tc>
          <w:tcPr>
            <w:tcW w:w="1442" w:type="dxa"/>
            <w:tcBorders>
              <w:top w:val="single" w:color="auto" w:sz="12" w:space="0"/>
              <w:left w:val="single" w:color="auto" w:sz="4" w:space="0"/>
              <w:right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试验方法</w:t>
            </w:r>
          </w:p>
        </w:tc>
      </w:tr>
      <w:tr>
        <w:tblPrEx>
          <w:tblCellMar>
            <w:top w:w="0" w:type="dxa"/>
            <w:left w:w="10" w:type="dxa"/>
            <w:bottom w:w="0" w:type="dxa"/>
            <w:right w:w="10" w:type="dxa"/>
          </w:tblCellMar>
        </w:tblPrEx>
        <w:trPr>
          <w:trHeight w:val="408" w:hRule="exact"/>
          <w:jc w:val="center"/>
        </w:trPr>
        <w:tc>
          <w:tcPr>
            <w:tcW w:w="2251" w:type="dxa"/>
            <w:tcBorders>
              <w:top w:val="single" w:color="auto" w:sz="4" w:space="0"/>
              <w:left w:val="single" w:color="auto" w:sz="12" w:space="0"/>
              <w:bottom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砂浆流动度</w:t>
            </w:r>
          </w:p>
        </w:tc>
        <w:tc>
          <w:tcPr>
            <w:tcW w:w="2976" w:type="dxa"/>
            <w:tcBorders>
              <w:top w:val="single" w:color="auto" w:sz="4" w:space="0"/>
              <w:left w:val="single" w:color="auto" w:sz="4" w:space="0"/>
              <w:bottom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Times New Roman" w:hAnsi="Times New Roman" w:eastAsia="宋体" w:cs="Times New Roman"/>
                <w:spacing w:val="0"/>
                <w:lang w:val="zh-CN"/>
              </w:rPr>
              <w:t>130mm~170mm</w:t>
            </w:r>
          </w:p>
        </w:tc>
        <w:tc>
          <w:tcPr>
            <w:tcW w:w="1442" w:type="dxa"/>
            <w:tcBorders>
              <w:top w:val="single" w:color="auto" w:sz="4" w:space="0"/>
              <w:left w:val="single" w:color="auto" w:sz="4" w:space="0"/>
              <w:bottom w:val="single" w:color="auto" w:sz="4" w:space="0"/>
              <w:right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Times New Roman" w:hAnsi="Times New Roman" w:eastAsia="宋体" w:cs="Times New Roman"/>
                <w:spacing w:val="0"/>
              </w:rPr>
              <w:t>GB/T 2419</w:t>
            </w:r>
          </w:p>
        </w:tc>
      </w:tr>
      <w:tr>
        <w:tblPrEx>
          <w:tblCellMar>
            <w:top w:w="0" w:type="dxa"/>
            <w:left w:w="10" w:type="dxa"/>
            <w:bottom w:w="0" w:type="dxa"/>
            <w:right w:w="10" w:type="dxa"/>
          </w:tblCellMar>
        </w:tblPrEx>
        <w:trPr>
          <w:trHeight w:val="408" w:hRule="exact"/>
          <w:jc w:val="center"/>
        </w:trPr>
        <w:tc>
          <w:tcPr>
            <w:tcW w:w="2251" w:type="dxa"/>
            <w:tcBorders>
              <w:top w:val="single" w:color="auto" w:sz="4" w:space="0"/>
              <w:left w:val="single" w:color="auto" w:sz="12" w:space="0"/>
              <w:bottom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抗压强度（1天）</w:t>
            </w:r>
          </w:p>
        </w:tc>
        <w:tc>
          <w:tcPr>
            <w:tcW w:w="2976" w:type="dxa"/>
            <w:tcBorders>
              <w:top w:val="single" w:color="auto" w:sz="4" w:space="0"/>
              <w:left w:val="single" w:color="auto" w:sz="4" w:space="0"/>
              <w:bottom w:val="single" w:color="auto" w:sz="12" w:space="0"/>
            </w:tcBorders>
            <w:shd w:val="clear" w:color="auto" w:fill="FFFFFF"/>
            <w:vAlign w:val="center"/>
          </w:tcPr>
          <w:p>
            <w:pPr>
              <w:pStyle w:val="51"/>
              <w:shd w:val="clear" w:color="auto" w:fill="auto"/>
              <w:spacing w:before="0" w:after="0" w:line="240" w:lineRule="auto"/>
              <w:ind w:firstLine="0"/>
              <w:jc w:val="center"/>
              <w:rPr>
                <w:rStyle w:val="71"/>
                <w:rFonts w:ascii="Times New Roman" w:hAnsi="Times New Roman" w:eastAsia="宋体" w:cs="Times New Roman"/>
                <w:spacing w:val="0"/>
                <w:lang w:val="zh-CN"/>
              </w:rPr>
            </w:pPr>
            <w:r>
              <w:rPr>
                <w:rStyle w:val="71"/>
                <w:rFonts w:ascii="Times New Roman" w:hAnsi="Times New Roman" w:eastAsia="宋体" w:cs="Times New Roman"/>
                <w:spacing w:val="0"/>
                <w:lang w:val="zh-CN"/>
              </w:rPr>
              <w:t>30MPa</w:t>
            </w:r>
          </w:p>
        </w:tc>
        <w:tc>
          <w:tcPr>
            <w:tcW w:w="1442" w:type="dxa"/>
            <w:tcBorders>
              <w:top w:val="single" w:color="auto" w:sz="4" w:space="0"/>
              <w:left w:val="single" w:color="auto" w:sz="4" w:space="0"/>
              <w:bottom w:val="single" w:color="auto" w:sz="12" w:space="0"/>
              <w:right w:val="single" w:color="auto" w:sz="12" w:space="0"/>
            </w:tcBorders>
            <w:shd w:val="clear" w:color="auto" w:fill="FFFFFF"/>
            <w:vAlign w:val="center"/>
          </w:tcPr>
          <w:p>
            <w:pPr>
              <w:pStyle w:val="51"/>
              <w:shd w:val="clear" w:color="auto" w:fill="auto"/>
              <w:spacing w:before="0" w:after="0" w:line="240" w:lineRule="auto"/>
              <w:ind w:firstLine="0"/>
              <w:jc w:val="center"/>
              <w:rPr>
                <w:rStyle w:val="71"/>
                <w:rFonts w:ascii="Times New Roman" w:hAnsi="Times New Roman" w:eastAsia="宋体" w:cs="Times New Roman"/>
                <w:spacing w:val="0"/>
              </w:rPr>
            </w:pPr>
            <w:r>
              <w:rPr>
                <w:rStyle w:val="71"/>
                <w:rFonts w:ascii="Times New Roman" w:hAnsi="Times New Roman" w:eastAsia="宋体" w:cs="Times New Roman"/>
                <w:spacing w:val="0"/>
              </w:rPr>
              <w:t>GB/T 17671</w:t>
            </w:r>
          </w:p>
        </w:tc>
      </w:tr>
    </w:tbl>
    <w:p>
      <w:pPr>
        <w:pStyle w:val="51"/>
        <w:numPr>
          <w:ilvl w:val="0"/>
          <w:numId w:val="9"/>
        </w:numPr>
        <w:shd w:val="clear" w:color="auto" w:fill="auto"/>
        <w:tabs>
          <w:tab w:val="left" w:pos="663"/>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外墙板接缝处的密封材料应符合下列规定：</w:t>
      </w:r>
    </w:p>
    <w:p>
      <w:pPr>
        <w:pStyle w:val="51"/>
        <w:shd w:val="clear" w:color="auto" w:fill="auto"/>
        <w:spacing w:before="0" w:after="0" w:line="240" w:lineRule="auto"/>
        <w:ind w:firstLine="420"/>
        <w:jc w:val="both"/>
        <w:rPr>
          <w:rFonts w:ascii="Times New Roman" w:hAnsi="Times New Roman" w:eastAsia="宋体" w:cs="Times New Roman"/>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hint="eastAsia" w:ascii="Times New Roman" w:hAnsi="Times New Roman" w:eastAsia="宋体" w:cs="Times New Roman"/>
          <w:spacing w:val="0"/>
          <w:sz w:val="21"/>
          <w:szCs w:val="21"/>
        </w:rPr>
        <w:t>密封胶应与混凝土具有相容性，以及规定的抗剪切和伸缩变形能力</w:t>
      </w:r>
      <w:r>
        <w:rPr>
          <w:rFonts w:hint="eastAsia" w:ascii="Times New Roman" w:hAnsi="Times New Roman" w:eastAsia="宋体" w:cs="Times New Roman"/>
          <w:sz w:val="21"/>
          <w:szCs w:val="21"/>
        </w:rPr>
        <w:t>；密封胶尚应具有防霉、防水、防火、耐候等性能</w:t>
      </w:r>
      <w:r>
        <w:rPr>
          <w:rFonts w:ascii="Times New Roman" w:hAnsi="Times New Roman" w:eastAsia="宋体" w:cs="Times New Roman"/>
          <w:sz w:val="21"/>
          <w:szCs w:val="21"/>
        </w:rPr>
        <w:t>；</w:t>
      </w:r>
    </w:p>
    <w:p>
      <w:pPr>
        <w:ind w:firstLine="420" w:firstLineChars="200"/>
        <w:rPr>
          <w:rFonts w:ascii="Times New Roman" w:hAnsi="Times New Roman" w:eastAsia="宋体" w:cs="Times New Roman"/>
          <w:sz w:val="21"/>
          <w:szCs w:val="21"/>
        </w:rPr>
      </w:pPr>
      <w:r>
        <w:rPr>
          <w:rFonts w:ascii="宋体" w:hAnsi="宋体" w:eastAsia="宋体" w:cs="Times New Roman"/>
          <w:sz w:val="21"/>
          <w:szCs w:val="21"/>
        </w:rPr>
        <w:t>b</w:t>
      </w:r>
      <w:r>
        <w:rPr>
          <w:rFonts w:hint="eastAsia" w:ascii="宋体" w:hAnsi="宋体" w:eastAsia="宋体" w:cs="Times New Roman"/>
          <w:sz w:val="21"/>
          <w:szCs w:val="21"/>
        </w:rPr>
        <w:t>）</w:t>
      </w:r>
      <w:r>
        <w:rPr>
          <w:rFonts w:ascii="Times New Roman" w:hAnsi="Times New Roman" w:eastAsia="宋体" w:cs="Times New Roman"/>
          <w:sz w:val="21"/>
          <w:szCs w:val="21"/>
        </w:rPr>
        <w:t>硅酮、聚氨酯、聚硫建筑密封胶应分别符合现行国家标准</w:t>
      </w:r>
      <w:r>
        <w:rPr>
          <w:rStyle w:val="71"/>
          <w:rFonts w:ascii="Times New Roman" w:hAnsi="Times New Roman" w:eastAsia="宋体" w:cs="Times New Roman"/>
          <w:spacing w:val="0"/>
          <w:sz w:val="21"/>
          <w:szCs w:val="21"/>
        </w:rPr>
        <w:t xml:space="preserve">GB/T </w:t>
      </w:r>
      <w:r>
        <w:rPr>
          <w:rStyle w:val="71"/>
          <w:rFonts w:ascii="Times New Roman" w:hAnsi="Times New Roman" w:eastAsia="宋体" w:cs="Times New Roman"/>
          <w:spacing w:val="0"/>
          <w:sz w:val="21"/>
          <w:szCs w:val="21"/>
          <w:lang w:val="zh-CN"/>
        </w:rPr>
        <w:t>14683</w:t>
      </w:r>
      <w:r>
        <w:rPr>
          <w:rFonts w:ascii="Times New Roman" w:hAnsi="Times New Roman" w:eastAsia="宋体" w:cs="Times New Roman"/>
          <w:sz w:val="21"/>
          <w:szCs w:val="21"/>
        </w:rPr>
        <w:t>、</w:t>
      </w:r>
      <w:r>
        <w:rPr>
          <w:rStyle w:val="71"/>
          <w:rFonts w:ascii="Times New Roman" w:hAnsi="Times New Roman" w:eastAsia="宋体" w:cs="Times New Roman"/>
          <w:spacing w:val="0"/>
          <w:sz w:val="21"/>
          <w:szCs w:val="21"/>
        </w:rPr>
        <w:t xml:space="preserve">JC/T </w:t>
      </w:r>
      <w:r>
        <w:rPr>
          <w:rStyle w:val="71"/>
          <w:rFonts w:ascii="Times New Roman" w:hAnsi="Times New Roman" w:eastAsia="宋体" w:cs="Times New Roman"/>
          <w:spacing w:val="0"/>
          <w:sz w:val="21"/>
          <w:szCs w:val="21"/>
          <w:lang w:val="zh-CN"/>
        </w:rPr>
        <w:t>482</w:t>
      </w:r>
      <w:r>
        <w:rPr>
          <w:rStyle w:val="71"/>
          <w:rFonts w:hint="eastAsia" w:ascii="Times New Roman" w:hAnsi="Times New Roman" w:eastAsia="宋体" w:cs="Times New Roman"/>
          <w:spacing w:val="0"/>
          <w:sz w:val="21"/>
          <w:szCs w:val="21"/>
          <w:lang w:val="zh-CN"/>
        </w:rPr>
        <w:t>和</w:t>
      </w:r>
      <w:r>
        <w:rPr>
          <w:rStyle w:val="71"/>
          <w:rFonts w:ascii="Times New Roman" w:hAnsi="Times New Roman" w:eastAsia="宋体" w:cs="Times New Roman"/>
          <w:spacing w:val="0"/>
          <w:sz w:val="21"/>
          <w:szCs w:val="21"/>
        </w:rPr>
        <w:t>JC/T 483</w:t>
      </w:r>
      <w:r>
        <w:rPr>
          <w:rFonts w:ascii="Times New Roman" w:hAnsi="Times New Roman" w:eastAsia="宋体" w:cs="Times New Roman"/>
          <w:sz w:val="21"/>
          <w:szCs w:val="21"/>
        </w:rPr>
        <w:t>的规定；</w:t>
      </w:r>
    </w:p>
    <w:p>
      <w:pPr>
        <w:pStyle w:val="51"/>
        <w:shd w:val="clear" w:color="auto" w:fill="auto"/>
        <w:spacing w:before="0" w:after="0" w:line="240" w:lineRule="auto"/>
        <w:ind w:firstLine="420"/>
        <w:jc w:val="both"/>
        <w:rPr>
          <w:rFonts w:ascii="Times New Roman" w:hAnsi="Times New Roman" w:eastAsia="宋体" w:cs="Times New Roman"/>
          <w:spacing w:val="0"/>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夹心外墙板接缝处填充用保温材料的燃烧性能应符合现行国家标准</w:t>
      </w:r>
      <w:r>
        <w:rPr>
          <w:rStyle w:val="71"/>
          <w:rFonts w:ascii="Times New Roman" w:hAnsi="Times New Roman" w:eastAsia="宋体" w:cs="Times New Roman"/>
          <w:spacing w:val="0"/>
          <w:sz w:val="21"/>
          <w:szCs w:val="21"/>
        </w:rPr>
        <w:t>GB 8624</w:t>
      </w:r>
      <w:r>
        <w:rPr>
          <w:rFonts w:ascii="Times New Roman" w:hAnsi="Times New Roman" w:eastAsia="宋体" w:cs="Times New Roman"/>
          <w:spacing w:val="0"/>
          <w:sz w:val="21"/>
          <w:szCs w:val="21"/>
        </w:rPr>
        <w:t>中</w:t>
      </w:r>
      <w:r>
        <w:rPr>
          <w:rStyle w:val="71"/>
          <w:rFonts w:ascii="Times New Roman" w:hAnsi="Times New Roman" w:eastAsia="宋体" w:cs="Times New Roman"/>
          <w:spacing w:val="0"/>
          <w:sz w:val="21"/>
          <w:szCs w:val="21"/>
        </w:rPr>
        <w:t>A</w:t>
      </w:r>
      <w:r>
        <w:rPr>
          <w:rFonts w:ascii="Times New Roman" w:hAnsi="Times New Roman" w:eastAsia="宋体" w:cs="Times New Roman"/>
          <w:spacing w:val="0"/>
          <w:sz w:val="21"/>
          <w:szCs w:val="21"/>
        </w:rPr>
        <w:t>级的要求。</w:t>
      </w:r>
    </w:p>
    <w:p>
      <w:pPr>
        <w:pStyle w:val="51"/>
        <w:numPr>
          <w:ilvl w:val="0"/>
          <w:numId w:val="9"/>
        </w:numPr>
        <w:shd w:val="clear" w:color="auto" w:fill="auto"/>
        <w:tabs>
          <w:tab w:val="left" w:pos="638"/>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预制夹心外墙板中保温材料的选用应符合国家和湖北省现行外墙外保温相关标准的规定。</w:t>
      </w:r>
    </w:p>
    <w:p>
      <w:pPr>
        <w:pStyle w:val="51"/>
        <w:numPr>
          <w:ilvl w:val="0"/>
          <w:numId w:val="9"/>
        </w:numPr>
        <w:shd w:val="clear" w:color="auto" w:fill="auto"/>
        <w:tabs>
          <w:tab w:val="left" w:pos="638"/>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装配整体式建筑采用的室内装修材料应符合现行国家标准</w:t>
      </w:r>
      <w:r>
        <w:rPr>
          <w:rStyle w:val="71"/>
          <w:rFonts w:ascii="Times New Roman" w:hAnsi="Times New Roman" w:eastAsia="宋体" w:cs="Times New Roman"/>
          <w:spacing w:val="0"/>
          <w:sz w:val="21"/>
          <w:szCs w:val="21"/>
        </w:rPr>
        <w:t>GB 50325</w:t>
      </w:r>
      <w:r>
        <w:rPr>
          <w:rFonts w:ascii="Times New Roman" w:hAnsi="Times New Roman" w:eastAsia="宋体" w:cs="Times New Roman"/>
          <w:spacing w:val="0"/>
          <w:sz w:val="21"/>
          <w:szCs w:val="21"/>
        </w:rPr>
        <w:t>和</w:t>
      </w:r>
      <w:r>
        <w:rPr>
          <w:rStyle w:val="71"/>
          <w:rFonts w:ascii="Times New Roman" w:hAnsi="Times New Roman" w:eastAsia="宋体" w:cs="Times New Roman"/>
          <w:spacing w:val="0"/>
          <w:sz w:val="21"/>
          <w:szCs w:val="21"/>
        </w:rPr>
        <w:t>GB 50222</w:t>
      </w:r>
      <w:r>
        <w:rPr>
          <w:rFonts w:ascii="Times New Roman" w:hAnsi="Times New Roman" w:eastAsia="宋体" w:cs="Times New Roman"/>
          <w:spacing w:val="0"/>
          <w:sz w:val="21"/>
          <w:szCs w:val="21"/>
        </w:rPr>
        <w:t>的有关规定。</w:t>
      </w:r>
    </w:p>
    <w:p>
      <w:pPr>
        <w:pStyle w:val="210"/>
        <w:spacing w:before="240" w:after="240"/>
        <w:rPr>
          <w:rFonts w:ascii="黑体" w:hAnsi="黑体" w:eastAsia="黑体"/>
          <w:b w:val="0"/>
          <w:sz w:val="21"/>
          <w:szCs w:val="21"/>
        </w:rPr>
      </w:pPr>
      <w:bookmarkStart w:id="73" w:name="_Toc8398"/>
      <w:bookmarkStart w:id="74" w:name="_Toc172188606"/>
      <w:bookmarkStart w:id="75" w:name="_Toc172188882"/>
      <w:bookmarkStart w:id="76" w:name="_Toc172187821"/>
      <w:bookmarkStart w:id="77" w:name="bookmark17"/>
      <w:bookmarkStart w:id="78" w:name="_Toc68250309"/>
      <w:r>
        <w:rPr>
          <w:rFonts w:ascii="黑体" w:hAnsi="黑体" w:eastAsia="黑体"/>
          <w:b w:val="0"/>
          <w:sz w:val="21"/>
          <w:szCs w:val="21"/>
        </w:rPr>
        <w:t>6 建筑设计</w:t>
      </w:r>
      <w:bookmarkEnd w:id="73"/>
      <w:bookmarkEnd w:id="74"/>
      <w:bookmarkEnd w:id="75"/>
      <w:bookmarkEnd w:id="76"/>
    </w:p>
    <w:p>
      <w:pPr>
        <w:pStyle w:val="210"/>
        <w:spacing w:before="240" w:after="240"/>
        <w:outlineLvl w:val="2"/>
        <w:rPr>
          <w:rFonts w:ascii="黑体" w:hAnsi="黑体" w:eastAsia="黑体"/>
          <w:b w:val="0"/>
          <w:sz w:val="21"/>
          <w:szCs w:val="21"/>
        </w:rPr>
      </w:pPr>
      <w:bookmarkStart w:id="79" w:name="_Toc172187822"/>
      <w:bookmarkStart w:id="80" w:name="_Toc26973"/>
      <w:bookmarkStart w:id="81" w:name="_Toc172188607"/>
      <w:bookmarkStart w:id="82" w:name="_Toc172188883"/>
      <w:r>
        <w:rPr>
          <w:rFonts w:ascii="黑体" w:hAnsi="黑体" w:eastAsia="黑体"/>
          <w:b w:val="0"/>
          <w:sz w:val="21"/>
          <w:szCs w:val="21"/>
        </w:rPr>
        <w:t>6.1 一般规定</w:t>
      </w:r>
      <w:bookmarkEnd w:id="79"/>
      <w:bookmarkEnd w:id="80"/>
      <w:bookmarkEnd w:id="81"/>
      <w:bookmarkEnd w:id="82"/>
    </w:p>
    <w:p>
      <w:pPr>
        <w:pStyle w:val="51"/>
        <w:numPr>
          <w:ilvl w:val="0"/>
          <w:numId w:val="10"/>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建筑设计应符合建筑功能和性能要求，并宜采用主体结构、装修和设备管线的装配化集成技术。</w:t>
      </w:r>
    </w:p>
    <w:p>
      <w:pPr>
        <w:pStyle w:val="51"/>
        <w:numPr>
          <w:ilvl w:val="0"/>
          <w:numId w:val="10"/>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建筑设计应符合现行国家标准GB 50002的规定。</w:t>
      </w:r>
    </w:p>
    <w:p>
      <w:pPr>
        <w:pStyle w:val="51"/>
        <w:numPr>
          <w:ilvl w:val="0"/>
          <w:numId w:val="10"/>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建筑的围护结构以及楼梯、阳台、隔墙、空调板、管道井等配套构件、室内装修材料宜采用工业化、标准化产品。</w:t>
      </w:r>
    </w:p>
    <w:p>
      <w:pPr>
        <w:pStyle w:val="51"/>
        <w:numPr>
          <w:ilvl w:val="0"/>
          <w:numId w:val="10"/>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建筑的体形系数、窗墙面积比、围护结构的热工性能等应符合节能要求。</w:t>
      </w:r>
    </w:p>
    <w:p>
      <w:pPr>
        <w:pStyle w:val="51"/>
        <w:numPr>
          <w:ilvl w:val="0"/>
          <w:numId w:val="10"/>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建筑防火设计应符合现行国家标准GB 50016的有关规定。</w:t>
      </w:r>
    </w:p>
    <w:p>
      <w:pPr>
        <w:pStyle w:val="210"/>
        <w:spacing w:before="240" w:after="240"/>
        <w:outlineLvl w:val="2"/>
        <w:rPr>
          <w:rFonts w:ascii="黑体" w:hAnsi="黑体" w:eastAsia="黑体"/>
          <w:b w:val="0"/>
          <w:sz w:val="21"/>
          <w:szCs w:val="21"/>
        </w:rPr>
      </w:pPr>
      <w:bookmarkStart w:id="83" w:name="_Toc1264"/>
      <w:bookmarkStart w:id="84" w:name="_Toc172188884"/>
      <w:bookmarkStart w:id="85" w:name="_Toc172188608"/>
      <w:bookmarkStart w:id="86" w:name="_Toc172187823"/>
      <w:r>
        <w:rPr>
          <w:rFonts w:ascii="黑体" w:hAnsi="黑体" w:eastAsia="黑体"/>
          <w:b w:val="0"/>
          <w:sz w:val="21"/>
          <w:szCs w:val="21"/>
        </w:rPr>
        <w:t>6.2 平面设计</w:t>
      </w:r>
      <w:bookmarkEnd w:id="83"/>
      <w:bookmarkEnd w:id="84"/>
      <w:bookmarkEnd w:id="85"/>
      <w:bookmarkEnd w:id="86"/>
    </w:p>
    <w:p>
      <w:pPr>
        <w:pStyle w:val="51"/>
        <w:numPr>
          <w:ilvl w:val="0"/>
          <w:numId w:val="11"/>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建筑宜选用大开间、大进深的平面布置，并应符合本</w:t>
      </w:r>
      <w:r>
        <w:rPr>
          <w:rFonts w:hint="eastAsia" w:ascii="Times New Roman" w:hAnsi="Times New Roman" w:eastAsia="宋体" w:cs="Times New Roman"/>
          <w:spacing w:val="0"/>
          <w:sz w:val="21"/>
          <w:szCs w:val="21"/>
        </w:rPr>
        <w:t>文件</w:t>
      </w:r>
      <w:r>
        <w:rPr>
          <w:rFonts w:ascii="Times New Roman" w:hAnsi="Times New Roman" w:eastAsia="宋体" w:cs="Times New Roman"/>
          <w:spacing w:val="0"/>
          <w:sz w:val="21"/>
          <w:szCs w:val="21"/>
        </w:rPr>
        <w:t>第6.3.4条的规定。</w:t>
      </w:r>
    </w:p>
    <w:p>
      <w:pPr>
        <w:pStyle w:val="51"/>
        <w:numPr>
          <w:ilvl w:val="0"/>
          <w:numId w:val="11"/>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承重墙、柱等竖向构件宜上、下连续，并应符合本</w:t>
      </w:r>
      <w:r>
        <w:rPr>
          <w:rFonts w:hint="eastAsia" w:ascii="Times New Roman" w:hAnsi="Times New Roman" w:eastAsia="宋体" w:cs="Times New Roman"/>
          <w:spacing w:val="0"/>
          <w:sz w:val="21"/>
          <w:szCs w:val="21"/>
        </w:rPr>
        <w:t>文件</w:t>
      </w:r>
      <w:r>
        <w:rPr>
          <w:rFonts w:ascii="Times New Roman" w:hAnsi="Times New Roman" w:eastAsia="宋体" w:cs="Times New Roman"/>
          <w:spacing w:val="0"/>
          <w:sz w:val="21"/>
          <w:szCs w:val="21"/>
        </w:rPr>
        <w:t>第6.3.3条的规定。</w:t>
      </w:r>
    </w:p>
    <w:p>
      <w:pPr>
        <w:pStyle w:val="51"/>
        <w:numPr>
          <w:ilvl w:val="0"/>
          <w:numId w:val="11"/>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门窗洞口宜上下对齐、成列布置，其平面位置和尺寸应满足结构受力及预制构件设计要求；剪力墙结构中不宜采用转角窗。</w:t>
      </w:r>
    </w:p>
    <w:p>
      <w:pPr>
        <w:pStyle w:val="210"/>
        <w:spacing w:before="240" w:after="240"/>
        <w:outlineLvl w:val="2"/>
        <w:rPr>
          <w:rFonts w:ascii="黑体" w:hAnsi="黑体" w:eastAsia="黑体"/>
          <w:b w:val="0"/>
          <w:sz w:val="21"/>
          <w:szCs w:val="21"/>
        </w:rPr>
      </w:pPr>
      <w:bookmarkStart w:id="87" w:name="_Toc26468"/>
      <w:bookmarkStart w:id="88" w:name="_Toc172188885"/>
      <w:bookmarkStart w:id="89" w:name="_Toc172187824"/>
      <w:bookmarkStart w:id="90" w:name="_Toc172188609"/>
      <w:r>
        <w:rPr>
          <w:rFonts w:ascii="黑体" w:hAnsi="黑体" w:eastAsia="黑体"/>
          <w:b w:val="0"/>
          <w:sz w:val="21"/>
          <w:szCs w:val="21"/>
        </w:rPr>
        <w:t>6.3 立面和外墙设计</w:t>
      </w:r>
      <w:bookmarkEnd w:id="87"/>
      <w:bookmarkEnd w:id="88"/>
      <w:bookmarkEnd w:id="89"/>
      <w:bookmarkEnd w:id="90"/>
    </w:p>
    <w:p>
      <w:pPr>
        <w:pStyle w:val="51"/>
        <w:numPr>
          <w:ilvl w:val="0"/>
          <w:numId w:val="12"/>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外墙设计应满足建筑外立面多样化和经济美观的要求。</w:t>
      </w:r>
    </w:p>
    <w:p>
      <w:pPr>
        <w:pStyle w:val="51"/>
        <w:numPr>
          <w:ilvl w:val="0"/>
          <w:numId w:val="12"/>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外墙饰面宜采用耐久、不易污染的材料。采用反打一次成型的外墙饰面材料，其规格尺寸、材质类别、连接构造等应进行工艺试验验证。</w:t>
      </w:r>
    </w:p>
    <w:p>
      <w:pPr>
        <w:pStyle w:val="51"/>
        <w:numPr>
          <w:ilvl w:val="0"/>
          <w:numId w:val="12"/>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预制外墙板的接缝应满足保温、防火、隔声的要求。</w:t>
      </w:r>
    </w:p>
    <w:p>
      <w:pPr>
        <w:pStyle w:val="51"/>
        <w:numPr>
          <w:ilvl w:val="0"/>
          <w:numId w:val="12"/>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预制外墙板的接缝及门窗洞口等防水薄弱部位宜采用材料防水和构造防水相结合的做法，并应符合下列规定：</w:t>
      </w:r>
    </w:p>
    <w:p>
      <w:pPr>
        <w:pStyle w:val="51"/>
        <w:shd w:val="clear" w:color="auto" w:fill="auto"/>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墙板水平接缝宜采用高低缝或企口缝构造；</w:t>
      </w:r>
    </w:p>
    <w:p>
      <w:pPr>
        <w:pStyle w:val="51"/>
        <w:shd w:val="clear" w:color="auto" w:fill="auto"/>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墙板竖缝可采用平口或槽口构造；</w:t>
      </w:r>
    </w:p>
    <w:p>
      <w:pPr>
        <w:pStyle w:val="51"/>
        <w:shd w:val="clear" w:color="auto" w:fill="auto"/>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当板缝空腔需设置导水管排水时，板缝内侧应增设气密条密封构造。</w:t>
      </w:r>
    </w:p>
    <w:p>
      <w:pPr>
        <w:pStyle w:val="51"/>
        <w:numPr>
          <w:ilvl w:val="0"/>
          <w:numId w:val="12"/>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门、窗应采用标准化部件，并宜采用企口、预留副框或预埋件等方法与墙体可靠连接。</w:t>
      </w:r>
    </w:p>
    <w:p>
      <w:pPr>
        <w:pStyle w:val="51"/>
        <w:numPr>
          <w:ilvl w:val="0"/>
          <w:numId w:val="12"/>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空调板宜集中布置，并宜与阳台合并设置。</w:t>
      </w:r>
    </w:p>
    <w:p>
      <w:pPr>
        <w:pStyle w:val="51"/>
        <w:numPr>
          <w:ilvl w:val="0"/>
          <w:numId w:val="12"/>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女儿墙板内侧在要求的泛水高度处应设凹槽、挑檐或其他泛水收头等构造。</w:t>
      </w:r>
    </w:p>
    <w:p>
      <w:pPr>
        <w:pStyle w:val="210"/>
        <w:spacing w:before="240" w:after="240"/>
        <w:outlineLvl w:val="2"/>
        <w:rPr>
          <w:rFonts w:ascii="黑体" w:hAnsi="黑体" w:eastAsia="黑体"/>
          <w:b w:val="0"/>
          <w:sz w:val="21"/>
          <w:szCs w:val="21"/>
        </w:rPr>
      </w:pPr>
      <w:bookmarkStart w:id="91" w:name="_Toc8620"/>
      <w:bookmarkStart w:id="92" w:name="_Toc172187825"/>
      <w:bookmarkStart w:id="93" w:name="_Toc172188886"/>
      <w:bookmarkStart w:id="94" w:name="_Toc172188610"/>
      <w:r>
        <w:rPr>
          <w:rFonts w:ascii="黑体" w:hAnsi="黑体" w:eastAsia="黑体"/>
          <w:b w:val="0"/>
          <w:sz w:val="21"/>
          <w:szCs w:val="21"/>
        </w:rPr>
        <w:t>6.4 设备管线设计</w:t>
      </w:r>
      <w:bookmarkEnd w:id="91"/>
      <w:bookmarkEnd w:id="92"/>
      <w:bookmarkEnd w:id="93"/>
      <w:bookmarkEnd w:id="94"/>
    </w:p>
    <w:p>
      <w:pPr>
        <w:pStyle w:val="51"/>
        <w:numPr>
          <w:ilvl w:val="0"/>
          <w:numId w:val="13"/>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室内装修宜减少施工现场的湿作业。</w:t>
      </w:r>
    </w:p>
    <w:p>
      <w:pPr>
        <w:pStyle w:val="51"/>
        <w:numPr>
          <w:ilvl w:val="0"/>
          <w:numId w:val="13"/>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建筑的部件之间、部件与设备之间的连接应采用标准化接口。</w:t>
      </w:r>
    </w:p>
    <w:p>
      <w:pPr>
        <w:pStyle w:val="51"/>
        <w:numPr>
          <w:ilvl w:val="0"/>
          <w:numId w:val="13"/>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设备管线应进行综合设计，减少平面交叉；竖向管线宜集中布置，并应满足维修更换的要求。</w:t>
      </w:r>
    </w:p>
    <w:p>
      <w:pPr>
        <w:pStyle w:val="51"/>
        <w:numPr>
          <w:ilvl w:val="0"/>
          <w:numId w:val="13"/>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预制构件中电气接口及吊挂配件的孔洞、沟槽应根据装修和设备要求预留。</w:t>
      </w:r>
    </w:p>
    <w:p>
      <w:pPr>
        <w:pStyle w:val="51"/>
        <w:numPr>
          <w:ilvl w:val="0"/>
          <w:numId w:val="13"/>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建筑宜采用同层排水设计，并应结合房间净高、楼板跨度、设备管线等因素确定降板方案。</w:t>
      </w:r>
    </w:p>
    <w:p>
      <w:pPr>
        <w:pStyle w:val="51"/>
        <w:numPr>
          <w:ilvl w:val="0"/>
          <w:numId w:val="13"/>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竖向电气管线宜统一设置在预制板内或装饰墙面内。墙板内竖向电气管线布置应保持安全间距。</w:t>
      </w:r>
    </w:p>
    <w:p>
      <w:pPr>
        <w:pStyle w:val="51"/>
        <w:numPr>
          <w:ilvl w:val="0"/>
          <w:numId w:val="13"/>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隔墙内预留有电气设备时，应采取有效措施满足隔声及防火的要求。</w:t>
      </w:r>
    </w:p>
    <w:p>
      <w:pPr>
        <w:pStyle w:val="51"/>
        <w:numPr>
          <w:ilvl w:val="0"/>
          <w:numId w:val="13"/>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设备管线穿过楼板的部位，应采取防水、防火、隔声等措施。</w:t>
      </w:r>
    </w:p>
    <w:p>
      <w:pPr>
        <w:pStyle w:val="51"/>
        <w:numPr>
          <w:ilvl w:val="0"/>
          <w:numId w:val="13"/>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设备管线宜与预制构件上的预埋件可靠连接。</w:t>
      </w:r>
    </w:p>
    <w:p>
      <w:pPr>
        <w:pStyle w:val="51"/>
        <w:numPr>
          <w:ilvl w:val="0"/>
          <w:numId w:val="13"/>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当采用地面辐射供暖时，地面和楼板的设计应符合现行行业标准JGJ 142的规定。</w:t>
      </w:r>
    </w:p>
    <w:p>
      <w:pPr>
        <w:pStyle w:val="210"/>
        <w:spacing w:before="240" w:after="240"/>
        <w:rPr>
          <w:rFonts w:ascii="黑体" w:hAnsi="黑体" w:eastAsia="黑体"/>
          <w:b w:val="0"/>
          <w:sz w:val="21"/>
          <w:szCs w:val="21"/>
        </w:rPr>
      </w:pPr>
      <w:bookmarkStart w:id="95" w:name="_Toc172188611"/>
      <w:bookmarkStart w:id="96" w:name="_Toc172188887"/>
      <w:bookmarkStart w:id="97" w:name="_Toc172187826"/>
      <w:bookmarkStart w:id="98" w:name="_Toc2647"/>
      <w:r>
        <w:rPr>
          <w:rFonts w:ascii="黑体" w:hAnsi="黑体" w:eastAsia="黑体"/>
          <w:b w:val="0"/>
          <w:sz w:val="21"/>
          <w:szCs w:val="21"/>
        </w:rPr>
        <w:t>7  结构设计基本规定</w:t>
      </w:r>
      <w:bookmarkEnd w:id="77"/>
      <w:bookmarkEnd w:id="78"/>
      <w:bookmarkEnd w:id="95"/>
      <w:bookmarkEnd w:id="96"/>
      <w:bookmarkEnd w:id="97"/>
      <w:bookmarkEnd w:id="98"/>
    </w:p>
    <w:p>
      <w:pPr>
        <w:pStyle w:val="210"/>
        <w:spacing w:before="240" w:after="240"/>
        <w:outlineLvl w:val="2"/>
        <w:rPr>
          <w:rFonts w:ascii="黑体" w:hAnsi="黑体" w:eastAsia="黑体"/>
          <w:b w:val="0"/>
          <w:sz w:val="21"/>
          <w:szCs w:val="21"/>
        </w:rPr>
      </w:pPr>
      <w:bookmarkStart w:id="99" w:name="_Toc5248"/>
      <w:bookmarkStart w:id="100" w:name="bookmark18"/>
      <w:bookmarkStart w:id="101" w:name="_Toc172187827"/>
      <w:bookmarkStart w:id="102" w:name="_Toc172188612"/>
      <w:bookmarkStart w:id="103" w:name="_Toc172188888"/>
      <w:r>
        <w:rPr>
          <w:rFonts w:ascii="黑体" w:hAnsi="黑体" w:eastAsia="黑体"/>
          <w:b w:val="0"/>
          <w:sz w:val="21"/>
          <w:szCs w:val="21"/>
        </w:rPr>
        <w:t>7.1 一般规定</w:t>
      </w:r>
      <w:bookmarkEnd w:id="99"/>
      <w:bookmarkEnd w:id="100"/>
      <w:bookmarkEnd w:id="101"/>
      <w:bookmarkEnd w:id="102"/>
      <w:bookmarkEnd w:id="103"/>
    </w:p>
    <w:p>
      <w:pPr>
        <w:pStyle w:val="51"/>
        <w:numPr>
          <w:ilvl w:val="0"/>
          <w:numId w:val="14"/>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装配整体式混凝土框架结构设计除应符合现行国家标准</w:t>
      </w:r>
      <w:r>
        <w:rPr>
          <w:rStyle w:val="71"/>
          <w:rFonts w:ascii="Times New Roman" w:hAnsi="Times New Roman" w:eastAsia="宋体" w:cs="Times New Roman"/>
          <w:spacing w:val="0"/>
          <w:sz w:val="21"/>
          <w:szCs w:val="21"/>
        </w:rPr>
        <w:t>GB/T 50010</w:t>
      </w:r>
      <w:r>
        <w:rPr>
          <w:rFonts w:ascii="Times New Roman" w:hAnsi="Times New Roman" w:eastAsia="宋体" w:cs="Times New Roman"/>
          <w:spacing w:val="0"/>
          <w:sz w:val="21"/>
          <w:szCs w:val="21"/>
        </w:rPr>
        <w:t>、</w:t>
      </w:r>
      <w:r>
        <w:rPr>
          <w:rStyle w:val="71"/>
          <w:rFonts w:ascii="Times New Roman" w:hAnsi="Times New Roman" w:eastAsia="宋体" w:cs="Times New Roman"/>
          <w:spacing w:val="0"/>
          <w:sz w:val="21"/>
          <w:szCs w:val="21"/>
        </w:rPr>
        <w:t>GB/T 50011</w:t>
      </w:r>
      <w:r>
        <w:rPr>
          <w:rFonts w:ascii="Times New Roman" w:hAnsi="Times New Roman" w:eastAsia="宋体" w:cs="Times New Roman"/>
          <w:spacing w:val="0"/>
          <w:sz w:val="21"/>
          <w:szCs w:val="21"/>
        </w:rPr>
        <w:t>和现行行业标准</w:t>
      </w:r>
      <w:r>
        <w:rPr>
          <w:rStyle w:val="71"/>
          <w:rFonts w:ascii="Times New Roman" w:hAnsi="Times New Roman" w:eastAsia="宋体" w:cs="Times New Roman"/>
          <w:spacing w:val="0"/>
          <w:sz w:val="21"/>
          <w:szCs w:val="21"/>
        </w:rPr>
        <w:t>JGJ 3</w:t>
      </w:r>
      <w:r>
        <w:rPr>
          <w:rFonts w:ascii="Times New Roman" w:hAnsi="Times New Roman" w:eastAsia="宋体" w:cs="Times New Roman"/>
          <w:spacing w:val="0"/>
          <w:sz w:val="21"/>
          <w:szCs w:val="21"/>
        </w:rPr>
        <w:t>的相关要求外，并应符合下列规定：</w:t>
      </w:r>
    </w:p>
    <w:p>
      <w:pPr>
        <w:pStyle w:val="51"/>
        <w:shd w:val="clear" w:color="auto" w:fill="auto"/>
        <w:spacing w:before="0" w:after="0" w:line="240" w:lineRule="auto"/>
        <w:ind w:firstLine="420"/>
        <w:jc w:val="both"/>
        <w:rPr>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应采取有效措施加强结构的整体性；</w:t>
      </w:r>
    </w:p>
    <w:p>
      <w:pPr>
        <w:pStyle w:val="51"/>
        <w:shd w:val="clear" w:color="auto" w:fill="auto"/>
        <w:spacing w:before="0" w:after="0" w:line="240" w:lineRule="auto"/>
        <w:ind w:firstLine="420"/>
        <w:jc w:val="both"/>
        <w:rPr>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节点和接缝应受力明确、构造可靠，并应满足承载力、延性和耐久性等要求；</w:t>
      </w:r>
    </w:p>
    <w:p>
      <w:pPr>
        <w:pStyle w:val="51"/>
        <w:shd w:val="clear" w:color="auto" w:fill="auto"/>
        <w:spacing w:before="0" w:after="0" w:line="240" w:lineRule="auto"/>
        <w:ind w:firstLine="420"/>
        <w:jc w:val="both"/>
        <w:rPr>
          <w:rFonts w:ascii="Times New Roman" w:hAnsi="Times New Roman" w:eastAsia="宋体" w:cs="Times New Roman"/>
          <w:spacing w:val="0"/>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应根据连接</w:t>
      </w:r>
      <w:r>
        <w:rPr>
          <w:rFonts w:ascii="Times New Roman" w:hAnsi="Times New Roman" w:eastAsia="宋体" w:cs="Times New Roman"/>
          <w:color w:val="000000" w:themeColor="text1"/>
          <w:spacing w:val="0"/>
          <w:sz w:val="21"/>
          <w:szCs w:val="21"/>
          <w14:textFill>
            <w14:solidFill>
              <w14:schemeClr w14:val="tx1"/>
            </w14:solidFill>
          </w14:textFill>
        </w:rPr>
        <w:t>节点</w:t>
      </w:r>
      <w:r>
        <w:rPr>
          <w:rFonts w:ascii="Times New Roman" w:hAnsi="Times New Roman" w:eastAsia="宋体" w:cs="Times New Roman"/>
          <w:spacing w:val="0"/>
          <w:sz w:val="21"/>
          <w:szCs w:val="21"/>
        </w:rPr>
        <w:t>和接缝的构造方式和性能，确定结构的整体计算模型；</w:t>
      </w:r>
    </w:p>
    <w:p>
      <w:pPr>
        <w:pStyle w:val="51"/>
        <w:shd w:val="clear" w:color="auto" w:fill="auto"/>
        <w:spacing w:before="0" w:after="0" w:line="240" w:lineRule="auto"/>
        <w:ind w:firstLine="420"/>
        <w:jc w:val="both"/>
        <w:rPr>
          <w:rFonts w:ascii="Times New Roman" w:hAnsi="Times New Roman" w:eastAsia="宋体" w:cs="Times New Roman"/>
          <w:spacing w:val="0"/>
          <w:sz w:val="21"/>
          <w:szCs w:val="21"/>
        </w:rPr>
      </w:pPr>
      <w:r>
        <w:rPr>
          <w:rFonts w:ascii="宋体" w:hAnsi="宋体" w:eastAsia="宋体" w:cs="Times New Roman"/>
          <w:spacing w:val="0"/>
          <w:sz w:val="21"/>
          <w:szCs w:val="21"/>
        </w:rPr>
        <w:t>d</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宜采用高强混凝土、高强钢筋。</w:t>
      </w:r>
    </w:p>
    <w:p>
      <w:pPr>
        <w:pStyle w:val="51"/>
        <w:numPr>
          <w:ilvl w:val="0"/>
          <w:numId w:val="14"/>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装配整体式混凝土结构应按现行国家标准</w:t>
      </w:r>
      <w:r>
        <w:rPr>
          <w:rStyle w:val="71"/>
          <w:rFonts w:ascii="Times New Roman" w:hAnsi="Times New Roman" w:eastAsia="宋体" w:cs="Times New Roman"/>
          <w:spacing w:val="0"/>
          <w:sz w:val="21"/>
          <w:szCs w:val="21"/>
        </w:rPr>
        <w:t>GB 50223</w:t>
      </w:r>
      <w:r>
        <w:rPr>
          <w:rFonts w:ascii="Times New Roman" w:hAnsi="Times New Roman" w:eastAsia="宋体" w:cs="Times New Roman"/>
          <w:spacing w:val="0"/>
          <w:sz w:val="21"/>
          <w:szCs w:val="21"/>
        </w:rPr>
        <w:t>确定抗震设防类别及抗震设防标准。</w:t>
      </w:r>
    </w:p>
    <w:p>
      <w:pPr>
        <w:pStyle w:val="51"/>
        <w:numPr>
          <w:ilvl w:val="0"/>
          <w:numId w:val="14"/>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预制构件的连接部位宜设置在结构受力较小的部位，其尺寸和形状应符合下列规定：</w:t>
      </w:r>
    </w:p>
    <w:p>
      <w:pPr>
        <w:pStyle w:val="51"/>
        <w:shd w:val="clear" w:color="auto" w:fill="auto"/>
        <w:spacing w:before="0" w:after="0" w:line="240" w:lineRule="auto"/>
        <w:ind w:firstLine="420"/>
        <w:jc w:val="both"/>
        <w:rPr>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应满足建筑使用功能、模数、标准化要求，并应进行优化设计；</w:t>
      </w:r>
    </w:p>
    <w:p>
      <w:pPr>
        <w:pStyle w:val="51"/>
        <w:shd w:val="clear" w:color="auto" w:fill="auto"/>
        <w:spacing w:before="0" w:after="0" w:line="240" w:lineRule="auto"/>
        <w:ind w:firstLine="420"/>
        <w:jc w:val="both"/>
        <w:rPr>
          <w:rFonts w:ascii="Times New Roman" w:hAnsi="Times New Roman" w:eastAsia="宋体" w:cs="Times New Roman"/>
          <w:spacing w:val="0"/>
          <w:sz w:val="21"/>
          <w:szCs w:val="21"/>
        </w:rPr>
      </w:pPr>
      <w:r>
        <w:rPr>
          <w:rFonts w:ascii="宋体" w:hAnsi="宋体"/>
          <w:sz w:val="21"/>
        </w:rPr>
        <w:t>b</w:t>
      </w:r>
      <w:r>
        <w:rPr>
          <w:rFonts w:hint="eastAsia" w:ascii="宋体" w:hAnsi="宋体"/>
          <w:sz w:val="21"/>
        </w:rPr>
        <w:t>）</w:t>
      </w:r>
      <w:r>
        <w:rPr>
          <w:rFonts w:ascii="Times New Roman" w:hAnsi="Times New Roman" w:eastAsia="宋体" w:cs="Times New Roman"/>
          <w:spacing w:val="0"/>
          <w:sz w:val="21"/>
          <w:szCs w:val="21"/>
        </w:rPr>
        <w:t>应根据预制构件的功能和安装部位、加工制作及施工精度等要求，确定合理的公差；</w:t>
      </w:r>
    </w:p>
    <w:p>
      <w:pPr>
        <w:pStyle w:val="51"/>
        <w:shd w:val="clear" w:color="auto" w:fill="auto"/>
        <w:spacing w:before="0" w:after="0" w:line="240" w:lineRule="auto"/>
        <w:ind w:firstLine="420"/>
        <w:jc w:val="both"/>
        <w:rPr>
          <w:rFonts w:ascii="Times New Roman" w:hAnsi="Times New Roman" w:eastAsia="宋体" w:cs="Times New Roman"/>
          <w:spacing w:val="0"/>
          <w:sz w:val="21"/>
          <w:szCs w:val="21"/>
        </w:rPr>
      </w:pPr>
      <w:r>
        <w:rPr>
          <w:rFonts w:ascii="宋体" w:hAnsi="宋体"/>
          <w:sz w:val="21"/>
        </w:rPr>
        <w:t>c</w:t>
      </w:r>
      <w:r>
        <w:rPr>
          <w:rFonts w:hint="eastAsia" w:ascii="宋体" w:hAnsi="宋体"/>
          <w:sz w:val="21"/>
        </w:rPr>
        <w:t>）</w:t>
      </w:r>
      <w:r>
        <w:rPr>
          <w:rFonts w:ascii="Times New Roman" w:hAnsi="Times New Roman" w:eastAsia="宋体" w:cs="Times New Roman"/>
          <w:spacing w:val="0"/>
          <w:sz w:val="21"/>
          <w:szCs w:val="21"/>
        </w:rPr>
        <w:t>应满足制作、运输、堆放、安装及质量控制要求。</w:t>
      </w:r>
    </w:p>
    <w:p>
      <w:pPr>
        <w:pStyle w:val="51"/>
        <w:numPr>
          <w:ilvl w:val="0"/>
          <w:numId w:val="14"/>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装配整体式结构构件及节点应进行承载能力极限状态及正常使用极限状态设计，并应符合现行国家标准</w:t>
      </w:r>
      <w:r>
        <w:rPr>
          <w:rStyle w:val="71"/>
          <w:rFonts w:ascii="Times New Roman" w:hAnsi="Times New Roman" w:eastAsia="宋体" w:cs="Times New Roman"/>
          <w:spacing w:val="0"/>
          <w:sz w:val="21"/>
          <w:szCs w:val="21"/>
        </w:rPr>
        <w:t>GB/T 50010</w:t>
      </w:r>
      <w:r>
        <w:rPr>
          <w:rFonts w:ascii="Times New Roman" w:hAnsi="Times New Roman" w:eastAsia="宋体" w:cs="Times New Roman"/>
          <w:spacing w:val="0"/>
          <w:sz w:val="21"/>
          <w:szCs w:val="21"/>
        </w:rPr>
        <w:t>、</w:t>
      </w:r>
      <w:r>
        <w:rPr>
          <w:rStyle w:val="71"/>
          <w:rFonts w:ascii="Times New Roman" w:hAnsi="Times New Roman" w:eastAsia="宋体" w:cs="Times New Roman"/>
          <w:spacing w:val="0"/>
          <w:sz w:val="21"/>
          <w:szCs w:val="21"/>
        </w:rPr>
        <w:t>GB/T 50011</w:t>
      </w:r>
      <w:r>
        <w:rPr>
          <w:rFonts w:ascii="Times New Roman" w:hAnsi="Times New Roman" w:eastAsia="宋体" w:cs="Times New Roman"/>
          <w:spacing w:val="0"/>
          <w:sz w:val="21"/>
          <w:szCs w:val="21"/>
        </w:rPr>
        <w:t>和</w:t>
      </w:r>
      <w:r>
        <w:rPr>
          <w:rStyle w:val="71"/>
          <w:rFonts w:ascii="Times New Roman" w:hAnsi="Times New Roman" w:eastAsia="宋体" w:cs="Times New Roman"/>
          <w:spacing w:val="0"/>
          <w:sz w:val="21"/>
          <w:szCs w:val="21"/>
        </w:rPr>
        <w:t>GB 50666</w:t>
      </w:r>
      <w:r>
        <w:rPr>
          <w:rFonts w:ascii="Times New Roman" w:hAnsi="Times New Roman" w:eastAsia="宋体" w:cs="Times New Roman"/>
          <w:spacing w:val="0"/>
          <w:sz w:val="21"/>
          <w:szCs w:val="21"/>
        </w:rPr>
        <w:t>等的有关规定。</w:t>
      </w:r>
    </w:p>
    <w:p>
      <w:pPr>
        <w:pStyle w:val="51"/>
        <w:numPr>
          <w:ilvl w:val="0"/>
          <w:numId w:val="14"/>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hint="eastAsia" w:ascii="Times New Roman" w:hAnsi="Times New Roman" w:eastAsia="宋体" w:cs="Times New Roman"/>
          <w:spacing w:val="0"/>
          <w:sz w:val="21"/>
          <w:szCs w:val="21"/>
        </w:rPr>
        <w:t>抗震设计时，构件及节点的承载力抗震调整系数</w:t>
      </w:r>
      <w:r>
        <w:rPr>
          <w:rFonts w:ascii="Times New Roman" w:hAnsi="Times New Roman" w:eastAsia="宋体" w:cs="Times New Roman"/>
          <w:spacing w:val="0"/>
          <w:sz w:val="21"/>
          <w:szCs w:val="21"/>
        </w:rPr>
        <w:t xml:space="preserve"> </w:t>
      </w:r>
      <w:r>
        <w:rPr>
          <w:rFonts w:hint="eastAsia" w:ascii="Times New Roman" w:hAnsi="Times New Roman" w:eastAsia="宋体" w:cs="Times New Roman"/>
          <w:spacing w:val="0"/>
          <w:sz w:val="21"/>
          <w:szCs w:val="21"/>
        </w:rPr>
        <w:t>应按表</w:t>
      </w:r>
      <w:r>
        <w:rPr>
          <w:rFonts w:ascii="Times New Roman" w:hAnsi="Times New Roman" w:eastAsia="宋体" w:cs="Times New Roman"/>
          <w:spacing w:val="0"/>
          <w:sz w:val="21"/>
          <w:szCs w:val="21"/>
        </w:rPr>
        <w:t>3</w:t>
      </w:r>
      <w:r>
        <w:rPr>
          <w:rFonts w:hint="eastAsia" w:ascii="Times New Roman" w:hAnsi="Times New Roman" w:eastAsia="宋体" w:cs="Times New Roman"/>
          <w:spacing w:val="0"/>
          <w:sz w:val="21"/>
          <w:szCs w:val="21"/>
        </w:rPr>
        <w:t>采用；当仅考虑竖向地震作用组合时，承载力抗震调整系数</w:t>
      </w:r>
      <w:r>
        <w:rPr>
          <w:rFonts w:ascii="Times New Roman" w:hAnsi="Times New Roman" w:eastAsia="宋体" w:cs="Times New Roman"/>
          <w:spacing w:val="0"/>
          <w:sz w:val="21"/>
          <w:szCs w:val="21"/>
        </w:rPr>
        <w:t xml:space="preserve"> </w:t>
      </w:r>
      <w:r>
        <w:rPr>
          <w:rFonts w:hint="eastAsia" w:ascii="Times New Roman" w:hAnsi="Times New Roman" w:eastAsia="宋体" w:cs="Times New Roman"/>
          <w:spacing w:val="0"/>
          <w:sz w:val="21"/>
          <w:szCs w:val="21"/>
        </w:rPr>
        <w:t>应取</w:t>
      </w:r>
      <w:r>
        <w:rPr>
          <w:rFonts w:ascii="Times New Roman" w:hAnsi="Times New Roman" w:eastAsia="宋体" w:cs="Times New Roman"/>
          <w:spacing w:val="0"/>
          <w:sz w:val="21"/>
          <w:szCs w:val="21"/>
        </w:rPr>
        <w:t>1.0</w:t>
      </w:r>
      <w:r>
        <w:rPr>
          <w:rFonts w:hint="eastAsia" w:ascii="Times New Roman" w:hAnsi="Times New Roman" w:eastAsia="宋体" w:cs="Times New Roman"/>
          <w:spacing w:val="0"/>
          <w:sz w:val="21"/>
          <w:szCs w:val="21"/>
        </w:rPr>
        <w:t>。预埋件锚筋截面计算的承载力抗震调整系数</w:t>
      </w:r>
      <w:r>
        <w:rPr>
          <w:rFonts w:ascii="Times New Roman" w:hAnsi="Times New Roman" w:eastAsia="宋体" w:cs="Times New Roman"/>
          <w:spacing w:val="0"/>
          <w:sz w:val="21"/>
          <w:szCs w:val="21"/>
        </w:rPr>
        <w:t xml:space="preserve"> </w:t>
      </w:r>
      <w:r>
        <w:rPr>
          <w:rFonts w:hint="eastAsia" w:ascii="Times New Roman" w:hAnsi="Times New Roman" w:eastAsia="宋体" w:cs="Times New Roman"/>
          <w:spacing w:val="0"/>
          <w:sz w:val="21"/>
          <w:szCs w:val="21"/>
        </w:rPr>
        <w:t>应取为</w:t>
      </w:r>
      <w:r>
        <w:rPr>
          <w:rFonts w:ascii="Times New Roman" w:hAnsi="Times New Roman" w:eastAsia="宋体" w:cs="Times New Roman"/>
          <w:spacing w:val="0"/>
          <w:sz w:val="21"/>
          <w:szCs w:val="21"/>
        </w:rPr>
        <w:t>1.0</w:t>
      </w:r>
      <w:r>
        <w:rPr>
          <w:rFonts w:hint="eastAsia" w:ascii="Times New Roman" w:hAnsi="Times New Roman" w:eastAsia="宋体" w:cs="Times New Roman"/>
          <w:spacing w:val="0"/>
          <w:sz w:val="21"/>
          <w:szCs w:val="21"/>
        </w:rPr>
        <w:t>。</w:t>
      </w:r>
    </w:p>
    <w:p>
      <w:pPr>
        <w:pStyle w:val="87"/>
        <w:shd w:val="clear" w:color="auto" w:fill="auto"/>
        <w:spacing w:before="0" w:line="240" w:lineRule="auto"/>
        <w:rPr>
          <w:rFonts w:ascii="黑体" w:hAnsi="黑体" w:eastAsia="黑体" w:cs="Times New Roman"/>
          <w:spacing w:val="0"/>
          <w:sz w:val="21"/>
          <w:szCs w:val="21"/>
        </w:rPr>
      </w:pPr>
      <w:r>
        <w:rPr>
          <w:rStyle w:val="88"/>
          <w:rFonts w:ascii="黑体" w:hAnsi="黑体" w:eastAsia="黑体" w:cs="Times New Roman"/>
          <w:b w:val="0"/>
          <w:bCs/>
          <w:spacing w:val="0"/>
          <w:sz w:val="21"/>
          <w:szCs w:val="21"/>
        </w:rPr>
        <w:t>表</w:t>
      </w:r>
      <w:r>
        <w:rPr>
          <w:rStyle w:val="89"/>
          <w:rFonts w:ascii="黑体" w:hAnsi="黑体" w:eastAsia="黑体"/>
          <w:b w:val="0"/>
          <w:bCs/>
          <w:spacing w:val="0"/>
          <w:sz w:val="21"/>
          <w:szCs w:val="21"/>
        </w:rPr>
        <w:t xml:space="preserve">3  </w:t>
      </w:r>
      <w:r>
        <w:rPr>
          <w:rStyle w:val="88"/>
          <w:rFonts w:ascii="黑体" w:hAnsi="黑体" w:eastAsia="黑体" w:cs="Times New Roman"/>
          <w:b w:val="0"/>
          <w:bCs/>
          <w:spacing w:val="0"/>
          <w:sz w:val="21"/>
          <w:szCs w:val="21"/>
        </w:rPr>
        <w:t>构件及节点承载力抗震调整系数</w:t>
      </w:r>
      <w:r>
        <w:rPr>
          <w:rFonts w:ascii="黑体" w:hAnsi="黑体" w:eastAsia="黑体" w:cs="Times New Roman"/>
          <w:position w:val="-12"/>
          <w:sz w:val="21"/>
          <w:szCs w:val="21"/>
        </w:rPr>
        <w:object>
          <v:shape id="_x0000_i1043" o:spt="75" type="#_x0000_t75" style="height:21.5pt;width:21.5pt;" o:ole="t" filled="f" o:preferrelative="t" stroked="f" coordsize="21600,21600">
            <v:path/>
            <v:fill on="f" focussize="0,0"/>
            <v:stroke on="f" joinstyle="miter"/>
            <v:imagedata r:id="rId47" o:title=""/>
            <o:lock v:ext="edit" aspectratio="t"/>
            <w10:wrap type="none"/>
            <w10:anchorlock/>
          </v:shape>
          <o:OLEObject Type="Embed" ProgID="Equation.DSMT4" ShapeID="_x0000_i1043" DrawAspect="Content" ObjectID="_1468075743" r:id="rId46">
            <o:LockedField>false</o:LockedField>
          </o:OLEObject>
        </w:object>
      </w:r>
    </w:p>
    <w:tbl>
      <w:tblPr>
        <w:tblStyle w:val="26"/>
        <w:tblW w:w="8560" w:type="dxa"/>
        <w:jc w:val="center"/>
        <w:tblBorders>
          <w:top w:val="single" w:color="auto" w:sz="12" w:space="0"/>
          <w:left w:val="single" w:color="auto" w:sz="12" w:space="0"/>
          <w:bottom w:val="single" w:color="auto" w:sz="12" w:space="0"/>
          <w:right w:val="single" w:color="auto" w:sz="12"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04"/>
        <w:gridCol w:w="1018"/>
        <w:gridCol w:w="1134"/>
        <w:gridCol w:w="1134"/>
        <w:gridCol w:w="1330"/>
        <w:gridCol w:w="1421"/>
        <w:gridCol w:w="1219"/>
      </w:tblGrid>
      <w:tr>
        <w:tblPrEx>
          <w:tblBorders>
            <w:top w:val="single" w:color="auto" w:sz="12" w:space="0"/>
            <w:left w:val="single" w:color="auto" w:sz="12" w:space="0"/>
            <w:bottom w:val="single" w:color="auto" w:sz="12" w:space="0"/>
            <w:right w:val="single" w:color="auto"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1304" w:type="dxa"/>
            <w:vMerge w:val="restart"/>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结构构件类别</w:t>
            </w:r>
          </w:p>
        </w:tc>
        <w:tc>
          <w:tcPr>
            <w:tcW w:w="4616" w:type="dxa"/>
            <w:gridSpan w:val="4"/>
            <w:vAlign w:val="center"/>
          </w:tcPr>
          <w:p>
            <w:pPr>
              <w:pStyle w:val="51"/>
              <w:shd w:val="clear" w:color="auto" w:fill="auto"/>
              <w:spacing w:before="0" w:after="0" w:line="240" w:lineRule="auto"/>
              <w:ind w:firstLine="0"/>
              <w:jc w:val="center"/>
              <w:rPr>
                <w:rFonts w:ascii="Times New Roman" w:hAnsi="Times New Roman" w:eastAsia="宋体" w:cs="Times New Roman"/>
                <w:b/>
                <w:color w:val="000000" w:themeColor="text1"/>
                <w:spacing w:val="0"/>
                <w:sz w:val="21"/>
                <w:szCs w:val="21"/>
                <w14:textFill>
                  <w14:solidFill>
                    <w14:schemeClr w14:val="tx1"/>
                  </w14:solidFill>
                </w14:textFill>
              </w:rPr>
            </w:pPr>
            <w:r>
              <w:rPr>
                <w:rFonts w:ascii="Times New Roman" w:hAnsi="Times New Roman" w:eastAsia="宋体" w:cs="Times New Roman"/>
                <w:spacing w:val="0"/>
                <w:sz w:val="18"/>
                <w:szCs w:val="18"/>
              </w:rPr>
              <w:t>正截面承载力计算</w:t>
            </w:r>
          </w:p>
        </w:tc>
        <w:tc>
          <w:tcPr>
            <w:tcW w:w="1421" w:type="dxa"/>
            <w:vAlign w:val="center"/>
          </w:tcPr>
          <w:p>
            <w:pPr>
              <w:pStyle w:val="51"/>
              <w:shd w:val="clear" w:color="auto" w:fill="auto"/>
              <w:spacing w:before="0" w:after="0" w:line="240" w:lineRule="auto"/>
              <w:ind w:firstLine="0"/>
              <w:jc w:val="center"/>
              <w:rPr>
                <w:rFonts w:ascii="Times New Roman" w:hAnsi="Times New Roman" w:eastAsia="宋体" w:cs="Times New Roman"/>
                <w:b/>
                <w:color w:val="000000" w:themeColor="text1"/>
                <w:spacing w:val="0"/>
                <w:sz w:val="21"/>
                <w:szCs w:val="21"/>
                <w14:textFill>
                  <w14:solidFill>
                    <w14:schemeClr w14:val="tx1"/>
                  </w14:solidFill>
                </w14:textFill>
              </w:rPr>
            </w:pPr>
            <w:r>
              <w:rPr>
                <w:rFonts w:ascii="Times New Roman" w:hAnsi="Times New Roman" w:eastAsia="宋体" w:cs="Times New Roman"/>
                <w:spacing w:val="0"/>
                <w:sz w:val="18"/>
                <w:szCs w:val="18"/>
              </w:rPr>
              <w:t>斜截面承载力计算</w:t>
            </w:r>
          </w:p>
        </w:tc>
        <w:tc>
          <w:tcPr>
            <w:tcW w:w="1219" w:type="dxa"/>
            <w:vMerge w:val="restart"/>
            <w:vAlign w:val="center"/>
          </w:tcPr>
          <w:p>
            <w:pPr>
              <w:pStyle w:val="51"/>
              <w:shd w:val="clear" w:color="auto" w:fill="auto"/>
              <w:spacing w:before="0" w:after="0" w:line="240" w:lineRule="auto"/>
              <w:ind w:firstLine="0"/>
              <w:jc w:val="center"/>
              <w:rPr>
                <w:rFonts w:ascii="Times New Roman" w:hAnsi="Times New Roman" w:eastAsia="宋体" w:cs="Times New Roman"/>
                <w:b/>
                <w:color w:val="000000" w:themeColor="text1"/>
                <w:spacing w:val="0"/>
                <w:sz w:val="21"/>
                <w:szCs w:val="21"/>
                <w14:textFill>
                  <w14:solidFill>
                    <w14:schemeClr w14:val="tx1"/>
                  </w14:solidFill>
                </w14:textFill>
              </w:rPr>
            </w:pPr>
            <w:r>
              <w:rPr>
                <w:rFonts w:ascii="Times New Roman" w:hAnsi="Times New Roman" w:eastAsia="宋体" w:cs="Times New Roman"/>
                <w:spacing w:val="0"/>
                <w:sz w:val="18"/>
                <w:szCs w:val="18"/>
              </w:rPr>
              <w:t>受冲切承载力计算、接缝受剪承载力计算</w:t>
            </w:r>
          </w:p>
        </w:tc>
      </w:tr>
      <w:tr>
        <w:tblPrEx>
          <w:tblBorders>
            <w:top w:val="single" w:color="auto" w:sz="12" w:space="0"/>
            <w:left w:val="single" w:color="auto" w:sz="12" w:space="0"/>
            <w:bottom w:val="single" w:color="auto" w:sz="12" w:space="0"/>
            <w:right w:val="single" w:color="auto"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1304" w:type="dxa"/>
            <w:vMerge w:val="continue"/>
            <w:vAlign w:val="center"/>
          </w:tcPr>
          <w:p>
            <w:pPr>
              <w:pStyle w:val="51"/>
              <w:shd w:val="clear" w:color="auto" w:fill="auto"/>
              <w:spacing w:before="0" w:after="0" w:line="240" w:lineRule="auto"/>
              <w:ind w:firstLine="0"/>
              <w:jc w:val="center"/>
              <w:rPr>
                <w:rFonts w:ascii="Times New Roman" w:hAnsi="Times New Roman" w:eastAsia="宋体" w:cs="Times New Roman"/>
                <w:b/>
                <w:color w:val="000000" w:themeColor="text1"/>
                <w:spacing w:val="0"/>
                <w:sz w:val="21"/>
                <w:szCs w:val="21"/>
                <w14:textFill>
                  <w14:solidFill>
                    <w14:schemeClr w14:val="tx1"/>
                  </w14:solidFill>
                </w14:textFill>
              </w:rPr>
            </w:pPr>
          </w:p>
        </w:tc>
        <w:tc>
          <w:tcPr>
            <w:tcW w:w="1018" w:type="dxa"/>
            <w:vMerge w:val="restart"/>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受弯构件</w:t>
            </w:r>
          </w:p>
        </w:tc>
        <w:tc>
          <w:tcPr>
            <w:tcW w:w="2268" w:type="dxa"/>
            <w:gridSpan w:val="2"/>
            <w:vAlign w:val="center"/>
          </w:tcPr>
          <w:p>
            <w:pPr>
              <w:pStyle w:val="51"/>
              <w:shd w:val="clear" w:color="auto" w:fill="auto"/>
              <w:spacing w:before="0" w:after="0" w:line="240" w:lineRule="auto"/>
              <w:ind w:firstLine="0"/>
              <w:jc w:val="center"/>
              <w:rPr>
                <w:rFonts w:ascii="Times New Roman" w:hAnsi="Times New Roman" w:eastAsia="宋体" w:cs="Times New Roman"/>
                <w:b/>
                <w:color w:val="000000" w:themeColor="text1"/>
                <w:spacing w:val="0"/>
                <w:sz w:val="21"/>
                <w:szCs w:val="21"/>
                <w14:textFill>
                  <w14:solidFill>
                    <w14:schemeClr w14:val="tx1"/>
                  </w14:solidFill>
                </w14:textFill>
              </w:rPr>
            </w:pPr>
            <w:r>
              <w:rPr>
                <w:rFonts w:ascii="Times New Roman" w:hAnsi="Times New Roman" w:eastAsia="宋体" w:cs="Times New Roman"/>
                <w:spacing w:val="0"/>
                <w:sz w:val="18"/>
                <w:szCs w:val="18"/>
              </w:rPr>
              <w:t>偏心受压构件</w:t>
            </w:r>
          </w:p>
        </w:tc>
        <w:tc>
          <w:tcPr>
            <w:tcW w:w="1330" w:type="dxa"/>
            <w:vMerge w:val="restart"/>
            <w:vAlign w:val="center"/>
          </w:tcPr>
          <w:p>
            <w:pPr>
              <w:pStyle w:val="51"/>
              <w:shd w:val="clear" w:color="auto" w:fill="auto"/>
              <w:spacing w:before="0" w:after="0" w:line="240" w:lineRule="auto"/>
              <w:ind w:firstLine="0"/>
              <w:jc w:val="center"/>
              <w:rPr>
                <w:rFonts w:ascii="Times New Roman" w:hAnsi="Times New Roman" w:eastAsia="宋体" w:cs="Times New Roman"/>
                <w:b/>
                <w:color w:val="000000" w:themeColor="text1"/>
                <w:spacing w:val="0"/>
                <w:sz w:val="21"/>
                <w:szCs w:val="21"/>
                <w14:textFill>
                  <w14:solidFill>
                    <w14:schemeClr w14:val="tx1"/>
                  </w14:solidFill>
                </w14:textFill>
              </w:rPr>
            </w:pPr>
            <w:r>
              <w:rPr>
                <w:rFonts w:ascii="Times New Roman" w:hAnsi="Times New Roman" w:eastAsia="宋体" w:cs="Times New Roman"/>
                <w:spacing w:val="0"/>
                <w:sz w:val="18"/>
                <w:szCs w:val="18"/>
              </w:rPr>
              <w:t>偏心受拉构件</w:t>
            </w:r>
          </w:p>
        </w:tc>
        <w:tc>
          <w:tcPr>
            <w:tcW w:w="1421" w:type="dxa"/>
            <w:vMerge w:val="restart"/>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各类构件及框架节点</w:t>
            </w:r>
          </w:p>
        </w:tc>
        <w:tc>
          <w:tcPr>
            <w:tcW w:w="1219" w:type="dxa"/>
            <w:vMerge w:val="continue"/>
            <w:vAlign w:val="center"/>
          </w:tcPr>
          <w:p>
            <w:pPr>
              <w:pStyle w:val="51"/>
              <w:shd w:val="clear" w:color="auto" w:fill="auto"/>
              <w:spacing w:before="0" w:after="0" w:line="240" w:lineRule="auto"/>
              <w:ind w:firstLine="0"/>
              <w:jc w:val="center"/>
              <w:rPr>
                <w:rFonts w:ascii="Times New Roman" w:hAnsi="Times New Roman" w:eastAsia="宋体" w:cs="Times New Roman"/>
                <w:b/>
                <w:color w:val="000000" w:themeColor="text1"/>
                <w:spacing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1304" w:type="dxa"/>
            <w:vMerge w:val="continue"/>
            <w:vAlign w:val="center"/>
          </w:tcPr>
          <w:p>
            <w:pPr>
              <w:pStyle w:val="51"/>
              <w:shd w:val="clear" w:color="auto" w:fill="auto"/>
              <w:spacing w:before="0" w:after="0" w:line="240" w:lineRule="auto"/>
              <w:ind w:firstLine="0"/>
              <w:jc w:val="center"/>
              <w:rPr>
                <w:rFonts w:ascii="Times New Roman" w:hAnsi="Times New Roman" w:eastAsia="宋体" w:cs="Times New Roman"/>
                <w:b/>
                <w:color w:val="000000" w:themeColor="text1"/>
                <w:spacing w:val="0"/>
                <w:sz w:val="21"/>
                <w:szCs w:val="21"/>
                <w14:textFill>
                  <w14:solidFill>
                    <w14:schemeClr w14:val="tx1"/>
                  </w14:solidFill>
                </w14:textFill>
              </w:rPr>
            </w:pPr>
          </w:p>
        </w:tc>
        <w:tc>
          <w:tcPr>
            <w:tcW w:w="1018" w:type="dxa"/>
            <w:vMerge w:val="continue"/>
            <w:vAlign w:val="center"/>
          </w:tcPr>
          <w:p>
            <w:pPr>
              <w:pStyle w:val="51"/>
              <w:shd w:val="clear" w:color="auto" w:fill="auto"/>
              <w:spacing w:before="0" w:after="0" w:line="240" w:lineRule="auto"/>
              <w:ind w:firstLine="0"/>
              <w:jc w:val="center"/>
              <w:rPr>
                <w:rFonts w:ascii="Times New Roman" w:hAnsi="Times New Roman" w:eastAsia="宋体" w:cs="Times New Roman"/>
                <w:b/>
                <w:color w:val="000000" w:themeColor="text1"/>
                <w:spacing w:val="0"/>
                <w:sz w:val="21"/>
                <w:szCs w:val="21"/>
                <w14:textFill>
                  <w14:solidFill>
                    <w14:schemeClr w14:val="tx1"/>
                  </w14:solidFill>
                </w14:textFill>
              </w:rPr>
            </w:pPr>
          </w:p>
        </w:tc>
        <w:tc>
          <w:tcPr>
            <w:tcW w:w="1134" w:type="dxa"/>
            <w:vAlign w:val="center"/>
          </w:tcPr>
          <w:p>
            <w:pPr>
              <w:pStyle w:val="51"/>
              <w:shd w:val="clear" w:color="auto" w:fill="auto"/>
              <w:spacing w:before="0" w:after="0" w:line="240" w:lineRule="auto"/>
              <w:ind w:firstLine="0"/>
              <w:jc w:val="center"/>
              <w:rPr>
                <w:rFonts w:ascii="Times New Roman" w:hAnsi="Times New Roman" w:eastAsia="宋体" w:cs="Times New Roman"/>
                <w:b/>
                <w:color w:val="000000" w:themeColor="text1"/>
                <w:spacing w:val="0"/>
                <w:sz w:val="21"/>
                <w:szCs w:val="21"/>
                <w14:textFill>
                  <w14:solidFill>
                    <w14:schemeClr w14:val="tx1"/>
                  </w14:solidFill>
                </w14:textFill>
              </w:rPr>
            </w:pPr>
            <w:r>
              <w:rPr>
                <w:rFonts w:ascii="Times New Roman" w:hAnsi="Times New Roman" w:eastAsia="宋体" w:cs="Times New Roman"/>
                <w:spacing w:val="0"/>
                <w:sz w:val="18"/>
                <w:szCs w:val="18"/>
              </w:rPr>
              <w:t>轴压比小于</w:t>
            </w:r>
            <w:r>
              <w:rPr>
                <w:rStyle w:val="71"/>
                <w:rFonts w:ascii="Times New Roman" w:hAnsi="Times New Roman" w:eastAsia="宋体" w:cs="Times New Roman"/>
                <w:spacing w:val="0"/>
              </w:rPr>
              <w:t>0.15</w:t>
            </w:r>
          </w:p>
        </w:tc>
        <w:tc>
          <w:tcPr>
            <w:tcW w:w="1134" w:type="dxa"/>
            <w:vAlign w:val="center"/>
          </w:tcPr>
          <w:p>
            <w:pPr>
              <w:pStyle w:val="51"/>
              <w:shd w:val="clear" w:color="auto" w:fill="auto"/>
              <w:spacing w:before="0" w:after="0" w:line="240" w:lineRule="auto"/>
              <w:ind w:firstLine="0"/>
              <w:jc w:val="center"/>
              <w:rPr>
                <w:rFonts w:ascii="Times New Roman" w:hAnsi="Times New Roman" w:eastAsia="宋体" w:cs="Times New Roman"/>
                <w:b/>
                <w:color w:val="000000" w:themeColor="text1"/>
                <w:spacing w:val="0"/>
                <w:sz w:val="21"/>
                <w:szCs w:val="21"/>
                <w14:textFill>
                  <w14:solidFill>
                    <w14:schemeClr w14:val="tx1"/>
                  </w14:solidFill>
                </w14:textFill>
              </w:rPr>
            </w:pPr>
            <w:r>
              <w:rPr>
                <w:rFonts w:ascii="Times New Roman" w:hAnsi="Times New Roman" w:eastAsia="宋体" w:cs="Times New Roman"/>
                <w:spacing w:val="0"/>
                <w:sz w:val="18"/>
                <w:szCs w:val="18"/>
              </w:rPr>
              <w:t>轴压比不小于</w:t>
            </w:r>
            <w:r>
              <w:rPr>
                <w:rStyle w:val="71"/>
                <w:rFonts w:ascii="Times New Roman" w:hAnsi="Times New Roman" w:eastAsia="宋体" w:cs="Times New Roman"/>
                <w:spacing w:val="0"/>
              </w:rPr>
              <w:t>0.15</w:t>
            </w:r>
          </w:p>
        </w:tc>
        <w:tc>
          <w:tcPr>
            <w:tcW w:w="1330" w:type="dxa"/>
            <w:vMerge w:val="continue"/>
            <w:vAlign w:val="center"/>
          </w:tcPr>
          <w:p>
            <w:pPr>
              <w:pStyle w:val="51"/>
              <w:shd w:val="clear" w:color="auto" w:fill="auto"/>
              <w:spacing w:before="0" w:after="0" w:line="240" w:lineRule="auto"/>
              <w:ind w:firstLine="0"/>
              <w:jc w:val="center"/>
              <w:rPr>
                <w:rFonts w:ascii="Times New Roman" w:hAnsi="Times New Roman" w:eastAsia="宋体" w:cs="Times New Roman"/>
                <w:b/>
                <w:color w:val="000000" w:themeColor="text1"/>
                <w:spacing w:val="0"/>
                <w:sz w:val="21"/>
                <w:szCs w:val="21"/>
                <w14:textFill>
                  <w14:solidFill>
                    <w14:schemeClr w14:val="tx1"/>
                  </w14:solidFill>
                </w14:textFill>
              </w:rPr>
            </w:pPr>
          </w:p>
        </w:tc>
        <w:tc>
          <w:tcPr>
            <w:tcW w:w="1421" w:type="dxa"/>
            <w:vMerge w:val="continue"/>
            <w:vAlign w:val="center"/>
          </w:tcPr>
          <w:p>
            <w:pPr>
              <w:pStyle w:val="51"/>
              <w:shd w:val="clear" w:color="auto" w:fill="auto"/>
              <w:spacing w:before="0" w:after="0" w:line="240" w:lineRule="auto"/>
              <w:ind w:firstLine="0"/>
              <w:jc w:val="center"/>
              <w:rPr>
                <w:rFonts w:ascii="Times New Roman" w:hAnsi="Times New Roman" w:eastAsia="宋体" w:cs="Times New Roman"/>
                <w:b/>
                <w:color w:val="000000" w:themeColor="text1"/>
                <w:spacing w:val="0"/>
                <w:sz w:val="21"/>
                <w:szCs w:val="21"/>
                <w14:textFill>
                  <w14:solidFill>
                    <w14:schemeClr w14:val="tx1"/>
                  </w14:solidFill>
                </w14:textFill>
              </w:rPr>
            </w:pPr>
          </w:p>
        </w:tc>
        <w:tc>
          <w:tcPr>
            <w:tcW w:w="1219" w:type="dxa"/>
            <w:vMerge w:val="continue"/>
            <w:vAlign w:val="center"/>
          </w:tcPr>
          <w:p>
            <w:pPr>
              <w:pStyle w:val="51"/>
              <w:shd w:val="clear" w:color="auto" w:fill="auto"/>
              <w:spacing w:before="0" w:after="0" w:line="240" w:lineRule="auto"/>
              <w:ind w:firstLine="0"/>
              <w:jc w:val="center"/>
              <w:rPr>
                <w:rFonts w:ascii="Times New Roman" w:hAnsi="Times New Roman" w:eastAsia="宋体" w:cs="Times New Roman"/>
                <w:b/>
                <w:color w:val="000000" w:themeColor="text1"/>
                <w:spacing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1304" w:type="dxa"/>
            <w:vAlign w:val="center"/>
          </w:tcPr>
          <w:p>
            <w:pPr>
              <w:pStyle w:val="51"/>
              <w:shd w:val="clear" w:color="auto" w:fill="auto"/>
              <w:spacing w:before="0" w:after="0" w:line="240" w:lineRule="auto"/>
              <w:ind w:firstLine="0"/>
              <w:jc w:val="center"/>
              <w:rPr>
                <w:rFonts w:ascii="Times New Roman" w:hAnsi="Times New Roman" w:eastAsia="宋体" w:cs="Times New Roman"/>
                <w:b/>
                <w:color w:val="000000" w:themeColor="text1"/>
                <w:spacing w:val="0"/>
                <w:sz w:val="21"/>
                <w:szCs w:val="21"/>
                <w14:textFill>
                  <w14:solidFill>
                    <w14:schemeClr w14:val="tx1"/>
                  </w14:solidFill>
                </w14:textFill>
              </w:rPr>
            </w:pPr>
            <w:r>
              <w:rPr>
                <w:rFonts w:ascii="Times New Roman" w:hAnsi="Times New Roman" w:eastAsia="宋体" w:cs="Times New Roman"/>
                <w:position w:val="-12"/>
                <w:sz w:val="21"/>
                <w:szCs w:val="21"/>
              </w:rPr>
              <w:object>
                <v:shape id="_x0000_i1044" o:spt="75" type="#_x0000_t75" style="height:14.5pt;width:14.5pt;" o:ole="t" filled="f" o:preferrelative="t" stroked="f" coordsize="21600,21600">
                  <v:path/>
                  <v:fill on="f" focussize="0,0"/>
                  <v:stroke on="f" joinstyle="miter"/>
                  <v:imagedata r:id="rId37" o:title=""/>
                  <o:lock v:ext="edit" aspectratio="t"/>
                  <w10:wrap type="none"/>
                  <w10:anchorlock/>
                </v:shape>
                <o:OLEObject Type="Embed" ProgID="Equation.DSMT4" ShapeID="_x0000_i1044" DrawAspect="Content" ObjectID="_1468075744" r:id="rId48">
                  <o:LockedField>false</o:LockedField>
                </o:OLEObject>
              </w:object>
            </w:r>
          </w:p>
        </w:tc>
        <w:tc>
          <w:tcPr>
            <w:tcW w:w="1018" w:type="dxa"/>
            <w:vAlign w:val="center"/>
          </w:tcPr>
          <w:p>
            <w:pPr>
              <w:pStyle w:val="51"/>
              <w:shd w:val="clear" w:color="auto" w:fill="auto"/>
              <w:spacing w:before="0" w:after="0" w:line="240" w:lineRule="auto"/>
              <w:ind w:firstLine="0"/>
              <w:jc w:val="center"/>
              <w:rPr>
                <w:rFonts w:ascii="Times New Roman" w:hAnsi="Times New Roman" w:eastAsia="宋体" w:cs="Times New Roman"/>
                <w:b/>
                <w:color w:val="000000" w:themeColor="text1"/>
                <w:spacing w:val="0"/>
                <w:sz w:val="21"/>
                <w:szCs w:val="21"/>
                <w14:textFill>
                  <w14:solidFill>
                    <w14:schemeClr w14:val="tx1"/>
                  </w14:solidFill>
                </w14:textFill>
              </w:rPr>
            </w:pPr>
            <w:r>
              <w:rPr>
                <w:rStyle w:val="71"/>
                <w:rFonts w:ascii="Times New Roman" w:hAnsi="Times New Roman" w:eastAsia="宋体" w:cs="Times New Roman"/>
                <w:spacing w:val="0"/>
              </w:rPr>
              <w:t>0.75</w:t>
            </w:r>
          </w:p>
        </w:tc>
        <w:tc>
          <w:tcPr>
            <w:tcW w:w="1134" w:type="dxa"/>
            <w:vAlign w:val="center"/>
          </w:tcPr>
          <w:p>
            <w:pPr>
              <w:pStyle w:val="51"/>
              <w:shd w:val="clear" w:color="auto" w:fill="auto"/>
              <w:spacing w:before="0" w:after="0" w:line="240" w:lineRule="auto"/>
              <w:ind w:firstLine="0"/>
              <w:jc w:val="center"/>
              <w:rPr>
                <w:rFonts w:ascii="Times New Roman" w:hAnsi="Times New Roman" w:eastAsia="宋体" w:cs="Times New Roman"/>
                <w:b/>
                <w:color w:val="000000" w:themeColor="text1"/>
                <w:spacing w:val="0"/>
                <w:sz w:val="21"/>
                <w:szCs w:val="21"/>
                <w14:textFill>
                  <w14:solidFill>
                    <w14:schemeClr w14:val="tx1"/>
                  </w14:solidFill>
                </w14:textFill>
              </w:rPr>
            </w:pPr>
            <w:r>
              <w:rPr>
                <w:rStyle w:val="71"/>
                <w:rFonts w:ascii="Times New Roman" w:hAnsi="Times New Roman" w:eastAsia="宋体" w:cs="Times New Roman"/>
                <w:spacing w:val="0"/>
              </w:rPr>
              <w:t>0.75</w:t>
            </w:r>
          </w:p>
        </w:tc>
        <w:tc>
          <w:tcPr>
            <w:tcW w:w="1134" w:type="dxa"/>
            <w:vAlign w:val="center"/>
          </w:tcPr>
          <w:p>
            <w:pPr>
              <w:pStyle w:val="51"/>
              <w:shd w:val="clear" w:color="auto" w:fill="auto"/>
              <w:spacing w:before="0" w:after="0" w:line="240" w:lineRule="auto"/>
              <w:ind w:firstLine="0"/>
              <w:jc w:val="center"/>
              <w:rPr>
                <w:rFonts w:ascii="Times New Roman" w:hAnsi="Times New Roman" w:eastAsia="宋体" w:cs="Times New Roman"/>
                <w:b/>
                <w:color w:val="000000" w:themeColor="text1"/>
                <w:spacing w:val="0"/>
                <w:sz w:val="21"/>
                <w:szCs w:val="21"/>
                <w14:textFill>
                  <w14:solidFill>
                    <w14:schemeClr w14:val="tx1"/>
                  </w14:solidFill>
                </w14:textFill>
              </w:rPr>
            </w:pPr>
            <w:r>
              <w:rPr>
                <w:rStyle w:val="71"/>
                <w:rFonts w:ascii="Times New Roman" w:hAnsi="Times New Roman" w:eastAsia="宋体" w:cs="Times New Roman"/>
                <w:spacing w:val="0"/>
              </w:rPr>
              <w:t>0.8</w:t>
            </w:r>
          </w:p>
        </w:tc>
        <w:tc>
          <w:tcPr>
            <w:tcW w:w="1330" w:type="dxa"/>
            <w:vAlign w:val="center"/>
          </w:tcPr>
          <w:p>
            <w:pPr>
              <w:pStyle w:val="51"/>
              <w:shd w:val="clear" w:color="auto" w:fill="auto"/>
              <w:spacing w:before="0" w:after="0" w:line="240" w:lineRule="auto"/>
              <w:ind w:firstLine="0"/>
              <w:jc w:val="center"/>
              <w:rPr>
                <w:rFonts w:ascii="Times New Roman" w:hAnsi="Times New Roman" w:eastAsia="宋体" w:cs="Times New Roman"/>
                <w:b/>
                <w:color w:val="000000" w:themeColor="text1"/>
                <w:spacing w:val="0"/>
                <w:sz w:val="21"/>
                <w:szCs w:val="21"/>
                <w14:textFill>
                  <w14:solidFill>
                    <w14:schemeClr w14:val="tx1"/>
                  </w14:solidFill>
                </w14:textFill>
              </w:rPr>
            </w:pPr>
            <w:r>
              <w:rPr>
                <w:rStyle w:val="71"/>
                <w:rFonts w:ascii="Times New Roman" w:hAnsi="Times New Roman" w:eastAsia="宋体" w:cs="Times New Roman"/>
                <w:spacing w:val="0"/>
              </w:rPr>
              <w:t>0.85</w:t>
            </w:r>
          </w:p>
        </w:tc>
        <w:tc>
          <w:tcPr>
            <w:tcW w:w="1421" w:type="dxa"/>
            <w:vAlign w:val="center"/>
          </w:tcPr>
          <w:p>
            <w:pPr>
              <w:pStyle w:val="51"/>
              <w:shd w:val="clear" w:color="auto" w:fill="auto"/>
              <w:spacing w:before="0" w:after="0" w:line="240" w:lineRule="auto"/>
              <w:ind w:firstLine="0"/>
              <w:jc w:val="center"/>
              <w:rPr>
                <w:rFonts w:ascii="Times New Roman" w:hAnsi="Times New Roman" w:eastAsia="宋体" w:cs="Times New Roman"/>
                <w:b/>
                <w:color w:val="000000" w:themeColor="text1"/>
                <w:spacing w:val="0"/>
                <w:sz w:val="21"/>
                <w:szCs w:val="21"/>
                <w14:textFill>
                  <w14:solidFill>
                    <w14:schemeClr w14:val="tx1"/>
                  </w14:solidFill>
                </w14:textFill>
              </w:rPr>
            </w:pPr>
            <w:r>
              <w:rPr>
                <w:rStyle w:val="71"/>
                <w:rFonts w:ascii="Times New Roman" w:hAnsi="Times New Roman" w:eastAsia="宋体" w:cs="Times New Roman"/>
                <w:spacing w:val="0"/>
                <w:lang w:val="zh-CN"/>
              </w:rPr>
              <w:t>0.85</w:t>
            </w:r>
          </w:p>
        </w:tc>
        <w:tc>
          <w:tcPr>
            <w:tcW w:w="1219" w:type="dxa"/>
            <w:vAlign w:val="center"/>
          </w:tcPr>
          <w:p>
            <w:pPr>
              <w:pStyle w:val="51"/>
              <w:shd w:val="clear" w:color="auto" w:fill="auto"/>
              <w:spacing w:before="0" w:after="0" w:line="240" w:lineRule="auto"/>
              <w:ind w:firstLine="0"/>
              <w:jc w:val="center"/>
              <w:rPr>
                <w:rFonts w:ascii="Times New Roman" w:hAnsi="Times New Roman" w:eastAsia="宋体" w:cs="Times New Roman"/>
                <w:b/>
                <w:color w:val="000000" w:themeColor="text1"/>
                <w:spacing w:val="0"/>
                <w:sz w:val="21"/>
                <w:szCs w:val="21"/>
                <w14:textFill>
                  <w14:solidFill>
                    <w14:schemeClr w14:val="tx1"/>
                  </w14:solidFill>
                </w14:textFill>
              </w:rPr>
            </w:pPr>
            <w:r>
              <w:rPr>
                <w:rStyle w:val="71"/>
                <w:rFonts w:ascii="Times New Roman" w:hAnsi="Times New Roman" w:eastAsia="宋体" w:cs="Times New Roman"/>
                <w:spacing w:val="0"/>
                <w:lang w:val="zh-CN"/>
              </w:rPr>
              <w:t>0.85</w:t>
            </w:r>
          </w:p>
        </w:tc>
      </w:tr>
    </w:tbl>
    <w:p>
      <w:pPr>
        <w:pStyle w:val="51"/>
        <w:numPr>
          <w:ilvl w:val="0"/>
          <w:numId w:val="14"/>
        </w:numPr>
        <w:shd w:val="clear" w:color="auto" w:fill="auto"/>
        <w:spacing w:before="240" w:beforeLines="10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应对连接件、焊缝、螺栓或铆钉等紧固件在不同设计状况下的承载力进行验算，并应符合现行国家标准</w:t>
      </w:r>
      <w:r>
        <w:rPr>
          <w:rStyle w:val="71"/>
          <w:rFonts w:ascii="Times New Roman" w:hAnsi="Times New Roman" w:eastAsia="宋体" w:cs="Times New Roman"/>
          <w:spacing w:val="0"/>
          <w:sz w:val="21"/>
          <w:szCs w:val="21"/>
        </w:rPr>
        <w:t>GB 50017</w:t>
      </w:r>
      <w:r>
        <w:rPr>
          <w:rFonts w:ascii="Times New Roman" w:hAnsi="Times New Roman" w:eastAsia="宋体" w:cs="Times New Roman"/>
          <w:spacing w:val="0"/>
          <w:sz w:val="21"/>
          <w:szCs w:val="21"/>
        </w:rPr>
        <w:t>和</w:t>
      </w:r>
      <w:r>
        <w:rPr>
          <w:rStyle w:val="71"/>
          <w:rFonts w:ascii="Times New Roman" w:hAnsi="Times New Roman" w:eastAsia="宋体" w:cs="Times New Roman"/>
          <w:spacing w:val="0"/>
          <w:sz w:val="21"/>
          <w:szCs w:val="21"/>
        </w:rPr>
        <w:t>GB 50661</w:t>
      </w:r>
      <w:r>
        <w:rPr>
          <w:rFonts w:ascii="Times New Roman" w:hAnsi="Times New Roman" w:eastAsia="宋体" w:cs="Times New Roman"/>
          <w:spacing w:val="0"/>
          <w:sz w:val="21"/>
          <w:szCs w:val="21"/>
        </w:rPr>
        <w:t>等的规定。</w:t>
      </w:r>
    </w:p>
    <w:p>
      <w:pPr>
        <w:pStyle w:val="51"/>
        <w:numPr>
          <w:ilvl w:val="0"/>
          <w:numId w:val="14"/>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吊环及预埋件的设计应符合现行国家标准</w:t>
      </w:r>
      <w:r>
        <w:rPr>
          <w:rStyle w:val="71"/>
          <w:rFonts w:ascii="Times New Roman" w:hAnsi="Times New Roman" w:eastAsia="宋体" w:cs="Times New Roman"/>
          <w:spacing w:val="0"/>
          <w:sz w:val="21"/>
          <w:szCs w:val="21"/>
        </w:rPr>
        <w:t>GB/T 50010</w:t>
      </w:r>
      <w:r>
        <w:rPr>
          <w:rFonts w:ascii="Times New Roman" w:hAnsi="Times New Roman" w:eastAsia="宋体" w:cs="Times New Roman"/>
          <w:spacing w:val="0"/>
          <w:sz w:val="21"/>
          <w:szCs w:val="21"/>
        </w:rPr>
        <w:t>的规定。</w:t>
      </w:r>
    </w:p>
    <w:p>
      <w:pPr>
        <w:pStyle w:val="51"/>
        <w:numPr>
          <w:ilvl w:val="0"/>
          <w:numId w:val="14"/>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预埋件和连接件等外露金属件应按照环境类别的不同进行封闭或防腐、防锈、防火处理，并应符合耐久性要求。</w:t>
      </w:r>
    </w:p>
    <w:p>
      <w:pPr>
        <w:pStyle w:val="51"/>
        <w:numPr>
          <w:ilvl w:val="0"/>
          <w:numId w:val="14"/>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装配整体式框架结构房屋施工图和预制混凝土构件加工详图设计应满足以下要求：</w:t>
      </w:r>
    </w:p>
    <w:p>
      <w:pPr>
        <w:pStyle w:val="51"/>
        <w:shd w:val="clear" w:color="auto" w:fill="auto"/>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混凝土预制构件加工详图应有完整的预制混凝土构件图和组合图，其内容和深度应满足混凝土预制构件的加工要求；同时应满足建筑、结构和机电设备等各专业以及构件制作、运输、安装等各环节的综合要求；</w:t>
      </w:r>
    </w:p>
    <w:p>
      <w:pPr>
        <w:pStyle w:val="51"/>
        <w:shd w:val="clear" w:color="auto" w:fill="auto"/>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预制混凝土构件加工详图应由原设计单位确认；</w:t>
      </w:r>
    </w:p>
    <w:p>
      <w:pPr>
        <w:pStyle w:val="211"/>
        <w:numPr>
          <w:ilvl w:val="0"/>
          <w:numId w:val="0"/>
        </w:numPr>
        <w:spacing w:beforeLines="0" w:afterLines="0"/>
        <w:ind w:firstLine="420" w:firstLineChars="200"/>
        <w:jc w:val="both"/>
        <w:outlineLvl w:val="9"/>
        <w:rPr>
          <w:rFonts w:ascii="Times New Roman" w:eastAsia="宋体"/>
        </w:rPr>
      </w:pPr>
      <w:r>
        <w:rPr>
          <w:rFonts w:ascii="宋体" w:hAnsi="宋体" w:eastAsia="宋体"/>
          <w:kern w:val="2"/>
        </w:rPr>
        <w:t>c</w:t>
      </w:r>
      <w:r>
        <w:rPr>
          <w:rFonts w:hint="eastAsia" w:ascii="宋体" w:hAnsi="宋体" w:eastAsia="宋体"/>
          <w:kern w:val="2"/>
        </w:rPr>
        <w:t>）</w:t>
      </w:r>
      <w:r>
        <w:rPr>
          <w:rFonts w:ascii="Times New Roman" w:eastAsia="宋体"/>
        </w:rPr>
        <w:t>预制构件宜标准化、规格化、系列化。</w:t>
      </w:r>
      <w:bookmarkStart w:id="104" w:name="bookmark19"/>
    </w:p>
    <w:p>
      <w:pPr>
        <w:pStyle w:val="210"/>
        <w:spacing w:before="240" w:after="240"/>
        <w:outlineLvl w:val="2"/>
        <w:rPr>
          <w:rFonts w:ascii="黑体" w:hAnsi="黑体" w:eastAsia="黑体"/>
          <w:b w:val="0"/>
          <w:sz w:val="21"/>
          <w:szCs w:val="21"/>
        </w:rPr>
      </w:pPr>
      <w:bookmarkStart w:id="105" w:name="_Toc172188889"/>
      <w:bookmarkStart w:id="106" w:name="_Toc172188613"/>
      <w:bookmarkStart w:id="107" w:name="_Toc172187828"/>
      <w:bookmarkStart w:id="108" w:name="_Toc18815"/>
      <w:r>
        <w:rPr>
          <w:rFonts w:ascii="黑体" w:hAnsi="黑体" w:eastAsia="黑体"/>
          <w:b w:val="0"/>
          <w:sz w:val="21"/>
          <w:szCs w:val="21"/>
        </w:rPr>
        <w:t>7.2 房屋适用高度和高宽比</w:t>
      </w:r>
      <w:bookmarkEnd w:id="104"/>
      <w:bookmarkEnd w:id="105"/>
      <w:bookmarkEnd w:id="106"/>
      <w:bookmarkEnd w:id="107"/>
      <w:bookmarkEnd w:id="108"/>
    </w:p>
    <w:p>
      <w:pPr>
        <w:pStyle w:val="51"/>
        <w:numPr>
          <w:ilvl w:val="0"/>
          <w:numId w:val="15"/>
        </w:numPr>
        <w:shd w:val="clear" w:color="auto" w:fill="auto"/>
        <w:spacing w:before="120" w:beforeLines="50" w:after="120" w:afterLines="50" w:line="240" w:lineRule="auto"/>
        <w:jc w:val="left"/>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装配整体式混凝土框架结构、装配整体式混凝土框架-剪力墙结构房屋的最大适用高度应满足表4</w:t>
      </w:r>
      <w:r>
        <w:rPr>
          <w:rStyle w:val="56"/>
          <w:rFonts w:ascii="Times New Roman" w:hAnsi="Times New Roman" w:eastAsia="宋体" w:cs="Times New Roman"/>
          <w:spacing w:val="0"/>
          <w:sz w:val="21"/>
          <w:szCs w:val="21"/>
        </w:rPr>
        <w:t>的规定。</w:t>
      </w:r>
    </w:p>
    <w:p>
      <w:pPr>
        <w:pStyle w:val="83"/>
        <w:shd w:val="clear" w:color="auto" w:fill="auto"/>
        <w:spacing w:before="120" w:beforeLines="50" w:after="120" w:afterLines="50" w:line="240" w:lineRule="auto"/>
        <w:jc w:val="center"/>
        <w:rPr>
          <w:rStyle w:val="84"/>
          <w:rFonts w:ascii="黑体" w:hAnsi="黑体" w:eastAsia="黑体" w:cs="Times New Roman"/>
          <w:b w:val="0"/>
          <w:bCs/>
          <w:spacing w:val="0"/>
          <w:sz w:val="21"/>
          <w:szCs w:val="21"/>
        </w:rPr>
      </w:pPr>
    </w:p>
    <w:p>
      <w:pPr>
        <w:pStyle w:val="83"/>
        <w:shd w:val="clear" w:color="auto" w:fill="auto"/>
        <w:spacing w:before="120" w:beforeLines="50" w:after="120" w:afterLines="50" w:line="240" w:lineRule="auto"/>
        <w:jc w:val="center"/>
        <w:rPr>
          <w:rStyle w:val="84"/>
          <w:rFonts w:ascii="黑体" w:hAnsi="黑体" w:eastAsia="黑体" w:cs="Times New Roman"/>
          <w:b w:val="0"/>
          <w:bCs/>
          <w:spacing w:val="0"/>
          <w:sz w:val="21"/>
          <w:szCs w:val="21"/>
        </w:rPr>
      </w:pPr>
    </w:p>
    <w:p>
      <w:pPr>
        <w:pStyle w:val="83"/>
        <w:shd w:val="clear" w:color="auto" w:fill="auto"/>
        <w:spacing w:before="120" w:beforeLines="50" w:after="120" w:afterLines="50" w:line="240" w:lineRule="auto"/>
        <w:jc w:val="center"/>
        <w:rPr>
          <w:rFonts w:ascii="黑体" w:hAnsi="黑体" w:eastAsia="黑体" w:cs="Times New Roman"/>
          <w:bCs w:val="0"/>
          <w:spacing w:val="0"/>
          <w:sz w:val="21"/>
          <w:szCs w:val="21"/>
        </w:rPr>
      </w:pPr>
      <w:r>
        <w:rPr>
          <w:rStyle w:val="84"/>
          <w:rFonts w:ascii="黑体" w:hAnsi="黑体" w:eastAsia="黑体" w:cs="Times New Roman"/>
          <w:b w:val="0"/>
          <w:bCs/>
          <w:spacing w:val="0"/>
          <w:sz w:val="21"/>
          <w:szCs w:val="21"/>
        </w:rPr>
        <w:t>表</w:t>
      </w:r>
      <w:r>
        <w:rPr>
          <w:rStyle w:val="85"/>
          <w:rFonts w:ascii="黑体" w:hAnsi="黑体" w:eastAsia="黑体"/>
          <w:b w:val="0"/>
          <w:bCs/>
          <w:spacing w:val="0"/>
          <w:sz w:val="21"/>
          <w:szCs w:val="21"/>
        </w:rPr>
        <w:t xml:space="preserve">4  </w:t>
      </w:r>
      <w:r>
        <w:rPr>
          <w:rStyle w:val="84"/>
          <w:rFonts w:ascii="黑体" w:hAnsi="黑体" w:eastAsia="黑体" w:cs="Times New Roman"/>
          <w:b w:val="0"/>
          <w:bCs/>
          <w:spacing w:val="0"/>
          <w:sz w:val="21"/>
          <w:szCs w:val="21"/>
        </w:rPr>
        <w:t>装配</w:t>
      </w:r>
      <w:r>
        <w:rPr>
          <w:rStyle w:val="84"/>
          <w:rFonts w:hint="eastAsia" w:ascii="黑体" w:hAnsi="黑体" w:eastAsia="黑体" w:cs="Times New Roman"/>
          <w:b w:val="0"/>
          <w:bCs/>
          <w:spacing w:val="0"/>
          <w:sz w:val="21"/>
          <w:szCs w:val="21"/>
        </w:rPr>
        <w:t>整体式框架结构及框架</w:t>
      </w:r>
      <w:r>
        <w:rPr>
          <w:rStyle w:val="84"/>
          <w:rFonts w:ascii="黑体" w:hAnsi="黑体" w:eastAsia="黑体" w:cs="Times New Roman"/>
          <w:b w:val="0"/>
          <w:bCs/>
          <w:spacing w:val="0"/>
          <w:sz w:val="21"/>
          <w:szCs w:val="21"/>
        </w:rPr>
        <w:t>-</w:t>
      </w:r>
      <w:r>
        <w:rPr>
          <w:rStyle w:val="84"/>
          <w:rFonts w:hint="eastAsia" w:ascii="黑体" w:hAnsi="黑体" w:eastAsia="黑体" w:cs="Times New Roman"/>
          <w:b w:val="0"/>
          <w:bCs/>
          <w:spacing w:val="0"/>
          <w:sz w:val="21"/>
          <w:szCs w:val="21"/>
        </w:rPr>
        <w:t>剪力墙结构房屋的最大适用高度（</w:t>
      </w:r>
      <w:r>
        <w:rPr>
          <w:rStyle w:val="84"/>
          <w:rFonts w:ascii="黑体" w:hAnsi="黑体" w:eastAsia="黑体" w:cs="Times New Roman"/>
          <w:b w:val="0"/>
          <w:bCs/>
          <w:spacing w:val="0"/>
          <w:sz w:val="21"/>
          <w:szCs w:val="21"/>
        </w:rPr>
        <w:t>m</w:t>
      </w:r>
      <w:r>
        <w:rPr>
          <w:rStyle w:val="84"/>
          <w:rFonts w:hint="eastAsia" w:ascii="黑体" w:hAnsi="黑体" w:eastAsia="黑体" w:cs="Times New Roman"/>
          <w:b w:val="0"/>
          <w:bCs/>
          <w:spacing w:val="0"/>
          <w:sz w:val="21"/>
          <w:szCs w:val="21"/>
        </w:rPr>
        <w:t>）</w:t>
      </w:r>
    </w:p>
    <w:tbl>
      <w:tblPr>
        <w:tblStyle w:val="25"/>
        <w:tblW w:w="0" w:type="auto"/>
        <w:jc w:val="center"/>
        <w:tblLayout w:type="fixed"/>
        <w:tblCellMar>
          <w:top w:w="0" w:type="dxa"/>
          <w:left w:w="10" w:type="dxa"/>
          <w:bottom w:w="0" w:type="dxa"/>
          <w:right w:w="10" w:type="dxa"/>
        </w:tblCellMar>
      </w:tblPr>
      <w:tblGrid>
        <w:gridCol w:w="4952"/>
        <w:gridCol w:w="1099"/>
        <w:gridCol w:w="1705"/>
      </w:tblGrid>
      <w:tr>
        <w:tblPrEx>
          <w:tblCellMar>
            <w:top w:w="0" w:type="dxa"/>
            <w:left w:w="10" w:type="dxa"/>
            <w:bottom w:w="0" w:type="dxa"/>
            <w:right w:w="10" w:type="dxa"/>
          </w:tblCellMar>
        </w:tblPrEx>
        <w:trPr>
          <w:trHeight w:val="418" w:hRule="exact"/>
          <w:jc w:val="center"/>
        </w:trPr>
        <w:tc>
          <w:tcPr>
            <w:tcW w:w="4952" w:type="dxa"/>
            <w:vMerge w:val="restart"/>
            <w:tcBorders>
              <w:top w:val="single" w:color="auto" w:sz="12" w:space="0"/>
              <w:left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结构类型</w:t>
            </w:r>
          </w:p>
        </w:tc>
        <w:tc>
          <w:tcPr>
            <w:tcW w:w="2804" w:type="dxa"/>
            <w:gridSpan w:val="2"/>
            <w:tcBorders>
              <w:top w:val="single" w:color="auto" w:sz="12" w:space="0"/>
              <w:left w:val="single" w:color="auto" w:sz="4" w:space="0"/>
              <w:right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抗震设防烈度</w:t>
            </w:r>
          </w:p>
        </w:tc>
      </w:tr>
      <w:tr>
        <w:tblPrEx>
          <w:tblCellMar>
            <w:top w:w="0" w:type="dxa"/>
            <w:left w:w="10" w:type="dxa"/>
            <w:bottom w:w="0" w:type="dxa"/>
            <w:right w:w="10" w:type="dxa"/>
          </w:tblCellMar>
        </w:tblPrEx>
        <w:trPr>
          <w:trHeight w:val="408" w:hRule="exact"/>
          <w:jc w:val="center"/>
        </w:trPr>
        <w:tc>
          <w:tcPr>
            <w:tcW w:w="4952" w:type="dxa"/>
            <w:vMerge w:val="continue"/>
            <w:tcBorders>
              <w:left w:val="single" w:color="auto" w:sz="12" w:space="0"/>
            </w:tcBorders>
            <w:shd w:val="clear" w:color="auto" w:fill="FFFFFF"/>
            <w:vAlign w:val="center"/>
          </w:tcPr>
          <w:p>
            <w:pPr>
              <w:jc w:val="center"/>
              <w:rPr>
                <w:rFonts w:ascii="Times New Roman" w:hAnsi="Times New Roman" w:eastAsia="宋体" w:cs="Times New Roman"/>
                <w:sz w:val="18"/>
                <w:szCs w:val="18"/>
              </w:rPr>
            </w:pPr>
          </w:p>
        </w:tc>
        <w:tc>
          <w:tcPr>
            <w:tcW w:w="1099" w:type="dxa"/>
            <w:tcBorders>
              <w:top w:val="single" w:color="auto" w:sz="4" w:space="0"/>
              <w:left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Times New Roman" w:hAnsi="Times New Roman" w:eastAsia="宋体" w:cs="Times New Roman"/>
                <w:spacing w:val="0"/>
              </w:rPr>
              <w:t>6</w:t>
            </w:r>
            <w:r>
              <w:rPr>
                <w:rFonts w:ascii="Times New Roman" w:hAnsi="Times New Roman" w:eastAsia="宋体" w:cs="Times New Roman"/>
                <w:spacing w:val="0"/>
                <w:sz w:val="18"/>
                <w:szCs w:val="18"/>
              </w:rPr>
              <w:t>度</w:t>
            </w:r>
          </w:p>
        </w:tc>
        <w:tc>
          <w:tcPr>
            <w:tcW w:w="1705" w:type="dxa"/>
            <w:tcBorders>
              <w:top w:val="single" w:color="auto" w:sz="4" w:space="0"/>
              <w:left w:val="single" w:color="auto" w:sz="4" w:space="0"/>
              <w:bottom w:val="single" w:color="auto" w:sz="4" w:space="0"/>
              <w:right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Times New Roman" w:hAnsi="Times New Roman" w:eastAsia="宋体" w:cs="Times New Roman"/>
                <w:spacing w:val="0"/>
                <w:lang w:val="zh-CN"/>
              </w:rPr>
              <w:t>7</w:t>
            </w:r>
            <w:r>
              <w:rPr>
                <w:rFonts w:ascii="Times New Roman" w:hAnsi="Times New Roman" w:eastAsia="宋体" w:cs="Times New Roman"/>
                <w:spacing w:val="0"/>
                <w:sz w:val="18"/>
                <w:szCs w:val="18"/>
              </w:rPr>
              <w:t>度</w:t>
            </w:r>
          </w:p>
        </w:tc>
      </w:tr>
      <w:tr>
        <w:tblPrEx>
          <w:tblCellMar>
            <w:top w:w="0" w:type="dxa"/>
            <w:left w:w="10" w:type="dxa"/>
            <w:bottom w:w="0" w:type="dxa"/>
            <w:right w:w="10" w:type="dxa"/>
          </w:tblCellMar>
        </w:tblPrEx>
        <w:trPr>
          <w:trHeight w:val="499" w:hRule="exact"/>
          <w:jc w:val="center"/>
        </w:trPr>
        <w:tc>
          <w:tcPr>
            <w:tcW w:w="4952" w:type="dxa"/>
            <w:tcBorders>
              <w:top w:val="single" w:color="auto" w:sz="4" w:space="0"/>
              <w:left w:val="single" w:color="auto" w:sz="12" w:space="0"/>
              <w:bottom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装配整体式框架结构</w:t>
            </w:r>
          </w:p>
        </w:tc>
        <w:tc>
          <w:tcPr>
            <w:tcW w:w="1099" w:type="dxa"/>
            <w:tcBorders>
              <w:top w:val="single" w:color="auto" w:sz="4" w:space="0"/>
              <w:left w:val="single" w:color="auto" w:sz="4" w:space="0"/>
              <w:bottom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Times New Roman" w:hAnsi="Times New Roman" w:eastAsia="宋体" w:cs="Times New Roman"/>
                <w:spacing w:val="0"/>
                <w:lang w:val="zh-CN"/>
              </w:rPr>
              <w:t>60</w:t>
            </w:r>
          </w:p>
        </w:tc>
        <w:tc>
          <w:tcPr>
            <w:tcW w:w="1705" w:type="dxa"/>
            <w:tcBorders>
              <w:top w:val="single" w:color="auto" w:sz="4" w:space="0"/>
              <w:left w:val="single" w:color="auto" w:sz="4" w:space="0"/>
              <w:bottom w:val="single" w:color="auto" w:sz="4" w:space="0"/>
              <w:right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Times New Roman" w:hAnsi="Times New Roman" w:eastAsia="宋体" w:cs="Times New Roman"/>
                <w:spacing w:val="0"/>
                <w:lang w:val="zh-CN"/>
              </w:rPr>
              <w:t>50</w:t>
            </w:r>
          </w:p>
        </w:tc>
      </w:tr>
      <w:tr>
        <w:tblPrEx>
          <w:tblCellMar>
            <w:top w:w="0" w:type="dxa"/>
            <w:left w:w="10" w:type="dxa"/>
            <w:bottom w:w="0" w:type="dxa"/>
            <w:right w:w="10" w:type="dxa"/>
          </w:tblCellMar>
        </w:tblPrEx>
        <w:trPr>
          <w:trHeight w:val="499" w:hRule="exact"/>
          <w:jc w:val="center"/>
        </w:trPr>
        <w:tc>
          <w:tcPr>
            <w:tcW w:w="4952" w:type="dxa"/>
            <w:tcBorders>
              <w:top w:val="single" w:color="auto" w:sz="4" w:space="0"/>
              <w:left w:val="single" w:color="auto" w:sz="12" w:space="0"/>
              <w:bottom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装配整体式框架-</w:t>
            </w:r>
            <w:r>
              <w:rPr>
                <w:rFonts w:hint="eastAsia" w:ascii="Times New Roman" w:hAnsi="Times New Roman" w:eastAsia="宋体" w:cs="Times New Roman"/>
                <w:spacing w:val="0"/>
                <w:sz w:val="18"/>
                <w:szCs w:val="18"/>
              </w:rPr>
              <w:t>现浇</w:t>
            </w:r>
            <w:r>
              <w:rPr>
                <w:rFonts w:ascii="Times New Roman" w:hAnsi="Times New Roman" w:eastAsia="宋体" w:cs="Times New Roman"/>
                <w:spacing w:val="0"/>
                <w:sz w:val="18"/>
                <w:szCs w:val="18"/>
              </w:rPr>
              <w:t>剪力墙结构</w:t>
            </w:r>
          </w:p>
        </w:tc>
        <w:tc>
          <w:tcPr>
            <w:tcW w:w="1099" w:type="dxa"/>
            <w:tcBorders>
              <w:top w:val="single" w:color="auto" w:sz="4" w:space="0"/>
              <w:left w:val="single" w:color="auto" w:sz="4" w:space="0"/>
              <w:bottom w:val="single" w:color="auto" w:sz="4" w:space="0"/>
            </w:tcBorders>
            <w:shd w:val="clear" w:color="auto" w:fill="FFFFFF"/>
            <w:vAlign w:val="center"/>
          </w:tcPr>
          <w:p>
            <w:pPr>
              <w:pStyle w:val="51"/>
              <w:shd w:val="clear" w:color="auto" w:fill="auto"/>
              <w:spacing w:before="0" w:after="0" w:line="240" w:lineRule="auto"/>
              <w:ind w:firstLine="0"/>
              <w:jc w:val="center"/>
              <w:rPr>
                <w:rStyle w:val="71"/>
                <w:rFonts w:ascii="Times New Roman" w:hAnsi="Times New Roman" w:eastAsia="宋体" w:cs="Times New Roman"/>
                <w:spacing w:val="0"/>
                <w:lang w:val="zh-CN"/>
              </w:rPr>
            </w:pPr>
            <w:r>
              <w:rPr>
                <w:rStyle w:val="71"/>
                <w:rFonts w:ascii="Times New Roman" w:hAnsi="Times New Roman" w:eastAsia="宋体" w:cs="Times New Roman"/>
                <w:spacing w:val="0"/>
                <w:lang w:val="zh-CN"/>
              </w:rPr>
              <w:t>130</w:t>
            </w:r>
          </w:p>
        </w:tc>
        <w:tc>
          <w:tcPr>
            <w:tcW w:w="1705" w:type="dxa"/>
            <w:tcBorders>
              <w:top w:val="single" w:color="auto" w:sz="4" w:space="0"/>
              <w:left w:val="single" w:color="auto" w:sz="4" w:space="0"/>
              <w:bottom w:val="single" w:color="auto" w:sz="4" w:space="0"/>
              <w:right w:val="single" w:color="auto" w:sz="12" w:space="0"/>
            </w:tcBorders>
            <w:shd w:val="clear" w:color="auto" w:fill="FFFFFF"/>
            <w:vAlign w:val="center"/>
          </w:tcPr>
          <w:p>
            <w:pPr>
              <w:pStyle w:val="51"/>
              <w:shd w:val="clear" w:color="auto" w:fill="auto"/>
              <w:spacing w:before="0" w:after="0" w:line="240" w:lineRule="auto"/>
              <w:ind w:firstLine="0"/>
              <w:jc w:val="center"/>
              <w:rPr>
                <w:rStyle w:val="71"/>
                <w:rFonts w:ascii="Times New Roman" w:hAnsi="Times New Roman" w:eastAsia="宋体" w:cs="Times New Roman"/>
                <w:spacing w:val="0"/>
                <w:lang w:val="zh-CN"/>
              </w:rPr>
            </w:pPr>
            <w:r>
              <w:rPr>
                <w:rStyle w:val="71"/>
                <w:rFonts w:ascii="Times New Roman" w:hAnsi="Times New Roman" w:eastAsia="宋体" w:cs="Times New Roman"/>
                <w:spacing w:val="0"/>
                <w:lang w:val="zh-CN"/>
              </w:rPr>
              <w:t>120</w:t>
            </w:r>
          </w:p>
        </w:tc>
      </w:tr>
      <w:tr>
        <w:tblPrEx>
          <w:tblCellMar>
            <w:top w:w="0" w:type="dxa"/>
            <w:left w:w="10" w:type="dxa"/>
            <w:bottom w:w="0" w:type="dxa"/>
            <w:right w:w="10" w:type="dxa"/>
          </w:tblCellMar>
        </w:tblPrEx>
        <w:trPr>
          <w:trHeight w:val="499" w:hRule="exact"/>
          <w:jc w:val="center"/>
        </w:trPr>
        <w:tc>
          <w:tcPr>
            <w:tcW w:w="4952" w:type="dxa"/>
            <w:tcBorders>
              <w:top w:val="single" w:color="auto" w:sz="4" w:space="0"/>
              <w:left w:val="single" w:color="auto" w:sz="12" w:space="0"/>
              <w:bottom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装配整体式框架-</w:t>
            </w:r>
            <w:r>
              <w:rPr>
                <w:rFonts w:hint="eastAsia" w:ascii="Times New Roman" w:hAnsi="Times New Roman" w:eastAsia="宋体" w:cs="Times New Roman"/>
                <w:spacing w:val="0"/>
                <w:sz w:val="18"/>
                <w:szCs w:val="18"/>
              </w:rPr>
              <w:t>叠合</w:t>
            </w:r>
            <w:r>
              <w:rPr>
                <w:rFonts w:ascii="Times New Roman" w:hAnsi="Times New Roman" w:eastAsia="宋体" w:cs="Times New Roman"/>
                <w:spacing w:val="0"/>
                <w:sz w:val="18"/>
                <w:szCs w:val="18"/>
              </w:rPr>
              <w:t>剪力墙结构</w:t>
            </w:r>
          </w:p>
        </w:tc>
        <w:tc>
          <w:tcPr>
            <w:tcW w:w="1099" w:type="dxa"/>
            <w:tcBorders>
              <w:top w:val="single" w:color="auto" w:sz="4" w:space="0"/>
              <w:left w:val="single" w:color="auto" w:sz="4" w:space="0"/>
              <w:bottom w:val="single" w:color="auto" w:sz="4" w:space="0"/>
            </w:tcBorders>
            <w:shd w:val="clear" w:color="auto" w:fill="FFFFFF"/>
            <w:vAlign w:val="center"/>
          </w:tcPr>
          <w:p>
            <w:pPr>
              <w:pStyle w:val="51"/>
              <w:shd w:val="clear" w:color="auto" w:fill="auto"/>
              <w:spacing w:before="0" w:after="0" w:line="240" w:lineRule="auto"/>
              <w:ind w:firstLine="0"/>
              <w:jc w:val="center"/>
              <w:rPr>
                <w:rStyle w:val="71"/>
                <w:rFonts w:ascii="Times New Roman" w:hAnsi="Times New Roman" w:eastAsia="宋体" w:cs="Times New Roman"/>
                <w:spacing w:val="0"/>
                <w:lang w:val="zh-CN"/>
              </w:rPr>
            </w:pPr>
            <w:r>
              <w:rPr>
                <w:rStyle w:val="71"/>
                <w:rFonts w:ascii="Times New Roman" w:hAnsi="Times New Roman" w:eastAsia="宋体" w:cs="Times New Roman"/>
                <w:spacing w:val="0"/>
                <w:lang w:val="zh-CN"/>
              </w:rPr>
              <w:t>130</w:t>
            </w:r>
          </w:p>
        </w:tc>
        <w:tc>
          <w:tcPr>
            <w:tcW w:w="1705" w:type="dxa"/>
            <w:tcBorders>
              <w:top w:val="single" w:color="auto" w:sz="4" w:space="0"/>
              <w:left w:val="single" w:color="auto" w:sz="4" w:space="0"/>
              <w:bottom w:val="single" w:color="auto" w:sz="4" w:space="0"/>
              <w:right w:val="single" w:color="auto" w:sz="12" w:space="0"/>
            </w:tcBorders>
            <w:shd w:val="clear" w:color="auto" w:fill="FFFFFF"/>
            <w:vAlign w:val="center"/>
          </w:tcPr>
          <w:p>
            <w:pPr>
              <w:pStyle w:val="51"/>
              <w:shd w:val="clear" w:color="auto" w:fill="auto"/>
              <w:spacing w:before="0" w:after="0" w:line="240" w:lineRule="auto"/>
              <w:ind w:firstLine="0"/>
              <w:jc w:val="center"/>
              <w:rPr>
                <w:rStyle w:val="71"/>
                <w:rFonts w:ascii="Times New Roman" w:hAnsi="Times New Roman" w:eastAsia="宋体" w:cs="Times New Roman"/>
                <w:spacing w:val="0"/>
                <w:lang w:val="zh-CN"/>
              </w:rPr>
            </w:pPr>
            <w:r>
              <w:rPr>
                <w:rStyle w:val="71"/>
                <w:rFonts w:ascii="Times New Roman" w:hAnsi="Times New Roman" w:eastAsia="宋体" w:cs="Times New Roman"/>
                <w:spacing w:val="0"/>
                <w:lang w:val="zh-CN"/>
              </w:rPr>
              <w:t>120</w:t>
            </w:r>
          </w:p>
        </w:tc>
      </w:tr>
      <w:tr>
        <w:tblPrEx>
          <w:tblCellMar>
            <w:top w:w="0" w:type="dxa"/>
            <w:left w:w="10" w:type="dxa"/>
            <w:bottom w:w="0" w:type="dxa"/>
            <w:right w:w="10" w:type="dxa"/>
          </w:tblCellMar>
        </w:tblPrEx>
        <w:trPr>
          <w:trHeight w:val="892" w:hRule="exact"/>
          <w:jc w:val="center"/>
        </w:trPr>
        <w:tc>
          <w:tcPr>
            <w:tcW w:w="7756" w:type="dxa"/>
            <w:gridSpan w:val="3"/>
            <w:tcBorders>
              <w:top w:val="single" w:color="auto" w:sz="4" w:space="0"/>
              <w:left w:val="single" w:color="auto" w:sz="12" w:space="0"/>
              <w:bottom w:val="single" w:color="auto" w:sz="12" w:space="0"/>
              <w:right w:val="single" w:color="auto" w:sz="12" w:space="0"/>
            </w:tcBorders>
            <w:shd w:val="clear" w:color="auto" w:fill="FFFFFF"/>
            <w:vAlign w:val="center"/>
          </w:tcPr>
          <w:p>
            <w:pPr>
              <w:pStyle w:val="95"/>
              <w:shd w:val="clear" w:color="auto" w:fill="auto"/>
              <w:ind w:left="954" w:leftChars="150" w:right="360" w:rightChars="150" w:hanging="594" w:hangingChars="330"/>
              <w:jc w:val="both"/>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注：1.</w:t>
            </w:r>
            <w:r>
              <w:rPr>
                <w:rFonts w:hint="eastAsia" w:ascii="Times New Roman" w:hAnsi="Times New Roman" w:eastAsia="宋体" w:cs="Times New Roman"/>
                <w:spacing w:val="0"/>
                <w:sz w:val="18"/>
                <w:szCs w:val="18"/>
              </w:rPr>
              <w:t xml:space="preserve"> </w:t>
            </w:r>
            <w:r>
              <w:rPr>
                <w:rFonts w:ascii="Times New Roman" w:hAnsi="Times New Roman" w:eastAsia="宋体" w:cs="Times New Roman"/>
                <w:spacing w:val="0"/>
                <w:sz w:val="18"/>
                <w:szCs w:val="18"/>
              </w:rPr>
              <w:t>本表适用高度为标准设防类房屋的最大适用高度，其他设防类别房屋的最大适用高度应根据国家现行标准进行适当调整；</w:t>
            </w:r>
          </w:p>
          <w:p>
            <w:pPr>
              <w:pStyle w:val="95"/>
              <w:shd w:val="clear" w:color="auto" w:fill="auto"/>
              <w:ind w:left="360" w:leftChars="150" w:right="360" w:rightChars="150" w:firstLine="360" w:firstLineChars="200"/>
              <w:jc w:val="both"/>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2.</w:t>
            </w:r>
            <w:r>
              <w:rPr>
                <w:rFonts w:hint="eastAsia" w:ascii="Times New Roman" w:hAnsi="Times New Roman" w:eastAsia="宋体" w:cs="Times New Roman"/>
                <w:spacing w:val="0"/>
                <w:sz w:val="18"/>
                <w:szCs w:val="18"/>
              </w:rPr>
              <w:t xml:space="preserve"> </w:t>
            </w:r>
            <w:r>
              <w:rPr>
                <w:rFonts w:ascii="Times New Roman" w:hAnsi="Times New Roman" w:eastAsia="宋体" w:cs="Times New Roman"/>
                <w:spacing w:val="0"/>
                <w:sz w:val="18"/>
                <w:szCs w:val="18"/>
              </w:rPr>
              <w:t>房屋高度指室外地面到主要屋面板板顶的高度（不考虑局部突出屋顶部分）。</w:t>
            </w:r>
          </w:p>
          <w:p>
            <w:pPr>
              <w:pStyle w:val="51"/>
              <w:shd w:val="clear" w:color="auto" w:fill="auto"/>
              <w:spacing w:before="0" w:after="0" w:line="240" w:lineRule="auto"/>
              <w:ind w:firstLine="0"/>
              <w:jc w:val="center"/>
              <w:rPr>
                <w:rStyle w:val="71"/>
                <w:rFonts w:ascii="Times New Roman" w:hAnsi="Times New Roman" w:eastAsia="宋体" w:cs="Times New Roman"/>
                <w:spacing w:val="0"/>
                <w:lang w:val="zh-CN"/>
              </w:rPr>
            </w:pPr>
          </w:p>
        </w:tc>
      </w:tr>
    </w:tbl>
    <w:p>
      <w:pPr>
        <w:pStyle w:val="95"/>
        <w:numPr>
          <w:ilvl w:val="0"/>
          <w:numId w:val="15"/>
        </w:numPr>
        <w:shd w:val="clear" w:color="auto" w:fill="auto"/>
        <w:spacing w:before="120" w:beforeLines="50" w:after="120" w:afterLines="50" w:line="240" w:lineRule="auto"/>
        <w:jc w:val="left"/>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装配整体式混凝土框架结构及框架-剪力墙结构的高宽比不宜超过表</w:t>
      </w:r>
      <w:r>
        <w:rPr>
          <w:rStyle w:val="100"/>
          <w:rFonts w:ascii="Times New Roman" w:hAnsi="Times New Roman" w:eastAsia="宋体" w:cs="Times New Roman"/>
          <w:spacing w:val="0"/>
          <w:sz w:val="21"/>
          <w:szCs w:val="21"/>
        </w:rPr>
        <w:t>5</w:t>
      </w:r>
      <w:r>
        <w:rPr>
          <w:rFonts w:ascii="Times New Roman" w:hAnsi="Times New Roman" w:eastAsia="宋体" w:cs="Times New Roman"/>
          <w:spacing w:val="0"/>
          <w:sz w:val="21"/>
          <w:szCs w:val="21"/>
        </w:rPr>
        <w:t>的数值。</w:t>
      </w:r>
    </w:p>
    <w:p>
      <w:pPr>
        <w:pStyle w:val="83"/>
        <w:shd w:val="clear" w:color="auto" w:fill="auto"/>
        <w:spacing w:before="120" w:beforeLines="50" w:after="120" w:afterLines="50" w:line="240" w:lineRule="auto"/>
        <w:jc w:val="center"/>
        <w:rPr>
          <w:rFonts w:ascii="黑体" w:hAnsi="黑体" w:eastAsia="黑体" w:cs="Times New Roman"/>
          <w:b w:val="0"/>
          <w:spacing w:val="0"/>
          <w:sz w:val="21"/>
          <w:szCs w:val="21"/>
        </w:rPr>
      </w:pPr>
      <w:r>
        <w:rPr>
          <w:rFonts w:ascii="黑体" w:hAnsi="黑体" w:eastAsia="黑体" w:cs="Times New Roman"/>
          <w:b w:val="0"/>
          <w:bCs w:val="0"/>
          <w:spacing w:val="0"/>
          <w:sz w:val="21"/>
          <w:szCs w:val="21"/>
        </w:rPr>
        <w:t>表5  装配整体式混凝土框架结构及框架-剪力墙结构房屋的最大适用高宽比</w:t>
      </w:r>
    </w:p>
    <w:tbl>
      <w:tblPr>
        <w:tblStyle w:val="25"/>
        <w:tblW w:w="0" w:type="auto"/>
        <w:jc w:val="center"/>
        <w:tblLayout w:type="fixed"/>
        <w:tblCellMar>
          <w:top w:w="0" w:type="dxa"/>
          <w:left w:w="10" w:type="dxa"/>
          <w:bottom w:w="0" w:type="dxa"/>
          <w:right w:w="10" w:type="dxa"/>
        </w:tblCellMar>
      </w:tblPr>
      <w:tblGrid>
        <w:gridCol w:w="5090"/>
        <w:gridCol w:w="2195"/>
      </w:tblGrid>
      <w:tr>
        <w:tblPrEx>
          <w:tblCellMar>
            <w:top w:w="0" w:type="dxa"/>
            <w:left w:w="10" w:type="dxa"/>
            <w:bottom w:w="0" w:type="dxa"/>
            <w:right w:w="10" w:type="dxa"/>
          </w:tblCellMar>
        </w:tblPrEx>
        <w:trPr>
          <w:trHeight w:val="413" w:hRule="exact"/>
          <w:jc w:val="center"/>
        </w:trPr>
        <w:tc>
          <w:tcPr>
            <w:tcW w:w="5090" w:type="dxa"/>
            <w:vMerge w:val="restart"/>
            <w:tcBorders>
              <w:top w:val="single" w:color="auto" w:sz="12" w:space="0"/>
              <w:left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结构类型</w:t>
            </w:r>
          </w:p>
        </w:tc>
        <w:tc>
          <w:tcPr>
            <w:tcW w:w="2195" w:type="dxa"/>
            <w:tcBorders>
              <w:top w:val="single" w:color="auto" w:sz="12" w:space="0"/>
              <w:left w:val="single" w:color="auto" w:sz="4" w:space="0"/>
              <w:right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抗震设防烈度</w:t>
            </w:r>
          </w:p>
        </w:tc>
      </w:tr>
      <w:tr>
        <w:tblPrEx>
          <w:tblCellMar>
            <w:top w:w="0" w:type="dxa"/>
            <w:left w:w="10" w:type="dxa"/>
            <w:bottom w:w="0" w:type="dxa"/>
            <w:right w:w="10" w:type="dxa"/>
          </w:tblCellMar>
        </w:tblPrEx>
        <w:trPr>
          <w:trHeight w:val="408" w:hRule="exact"/>
          <w:jc w:val="center"/>
        </w:trPr>
        <w:tc>
          <w:tcPr>
            <w:tcW w:w="5090" w:type="dxa"/>
            <w:vMerge w:val="continue"/>
            <w:tcBorders>
              <w:left w:val="single" w:color="auto" w:sz="12" w:space="0"/>
            </w:tcBorders>
            <w:shd w:val="clear" w:color="auto" w:fill="FFFFFF"/>
            <w:vAlign w:val="center"/>
          </w:tcPr>
          <w:p>
            <w:pPr>
              <w:jc w:val="center"/>
              <w:rPr>
                <w:rFonts w:ascii="Times New Roman" w:hAnsi="Times New Roman" w:eastAsia="宋体" w:cs="Times New Roman"/>
                <w:sz w:val="18"/>
                <w:szCs w:val="18"/>
              </w:rPr>
            </w:pPr>
          </w:p>
        </w:tc>
        <w:tc>
          <w:tcPr>
            <w:tcW w:w="2195" w:type="dxa"/>
            <w:tcBorders>
              <w:top w:val="single" w:color="auto" w:sz="4" w:space="0"/>
              <w:left w:val="single" w:color="auto" w:sz="4" w:space="0"/>
              <w:bottom w:val="single" w:color="auto" w:sz="4" w:space="0"/>
              <w:right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Times New Roman" w:hAnsi="Times New Roman" w:eastAsia="宋体" w:cs="Times New Roman"/>
                <w:spacing w:val="0"/>
              </w:rPr>
              <w:t>6</w:t>
            </w:r>
            <w:r>
              <w:rPr>
                <w:rFonts w:ascii="Times New Roman" w:hAnsi="Times New Roman" w:eastAsia="宋体" w:cs="Times New Roman"/>
                <w:spacing w:val="0"/>
                <w:sz w:val="18"/>
                <w:szCs w:val="18"/>
              </w:rPr>
              <w:t>度、</w:t>
            </w:r>
            <w:r>
              <w:rPr>
                <w:rStyle w:val="71"/>
                <w:rFonts w:ascii="Times New Roman" w:hAnsi="Times New Roman" w:eastAsia="宋体" w:cs="Times New Roman"/>
                <w:spacing w:val="0"/>
              </w:rPr>
              <w:t>7</w:t>
            </w:r>
            <w:r>
              <w:rPr>
                <w:rFonts w:ascii="Times New Roman" w:hAnsi="Times New Roman" w:eastAsia="宋体" w:cs="Times New Roman"/>
                <w:spacing w:val="0"/>
                <w:sz w:val="18"/>
                <w:szCs w:val="18"/>
              </w:rPr>
              <w:t>度</w:t>
            </w:r>
          </w:p>
        </w:tc>
      </w:tr>
      <w:tr>
        <w:tblPrEx>
          <w:tblCellMar>
            <w:top w:w="0" w:type="dxa"/>
            <w:left w:w="10" w:type="dxa"/>
            <w:bottom w:w="0" w:type="dxa"/>
            <w:right w:w="10" w:type="dxa"/>
          </w:tblCellMar>
        </w:tblPrEx>
        <w:trPr>
          <w:trHeight w:val="499" w:hRule="exact"/>
          <w:jc w:val="center"/>
        </w:trPr>
        <w:tc>
          <w:tcPr>
            <w:tcW w:w="5090" w:type="dxa"/>
            <w:tcBorders>
              <w:top w:val="single" w:color="auto" w:sz="4" w:space="0"/>
              <w:left w:val="single" w:color="auto" w:sz="12" w:space="0"/>
              <w:bottom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装配整体式框架结构</w:t>
            </w:r>
          </w:p>
        </w:tc>
        <w:tc>
          <w:tcPr>
            <w:tcW w:w="2195" w:type="dxa"/>
            <w:tcBorders>
              <w:top w:val="single" w:color="auto" w:sz="4" w:space="0"/>
              <w:left w:val="single" w:color="auto" w:sz="4" w:space="0"/>
              <w:bottom w:val="single" w:color="auto" w:sz="4" w:space="0"/>
              <w:right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Times New Roman" w:hAnsi="Times New Roman" w:eastAsia="宋体" w:cs="Times New Roman"/>
                <w:spacing w:val="0"/>
                <w:lang w:val="zh-CN"/>
              </w:rPr>
              <w:t>4</w:t>
            </w:r>
          </w:p>
        </w:tc>
      </w:tr>
      <w:tr>
        <w:tblPrEx>
          <w:tblCellMar>
            <w:top w:w="0" w:type="dxa"/>
            <w:left w:w="10" w:type="dxa"/>
            <w:bottom w:w="0" w:type="dxa"/>
            <w:right w:w="10" w:type="dxa"/>
          </w:tblCellMar>
        </w:tblPrEx>
        <w:trPr>
          <w:trHeight w:val="499" w:hRule="exact"/>
          <w:jc w:val="center"/>
        </w:trPr>
        <w:tc>
          <w:tcPr>
            <w:tcW w:w="5090" w:type="dxa"/>
            <w:tcBorders>
              <w:top w:val="single" w:color="auto" w:sz="4" w:space="0"/>
              <w:left w:val="single" w:color="auto" w:sz="12" w:space="0"/>
              <w:bottom w:val="single" w:color="auto" w:sz="4"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装配整体式框架-</w:t>
            </w:r>
            <w:r>
              <w:rPr>
                <w:rFonts w:hint="eastAsia" w:ascii="Times New Roman" w:hAnsi="Times New Roman" w:eastAsia="宋体" w:cs="Times New Roman"/>
                <w:spacing w:val="0"/>
                <w:sz w:val="18"/>
                <w:szCs w:val="18"/>
              </w:rPr>
              <w:t>现浇</w:t>
            </w:r>
            <w:r>
              <w:rPr>
                <w:rFonts w:ascii="Times New Roman" w:hAnsi="Times New Roman" w:eastAsia="宋体" w:cs="Times New Roman"/>
                <w:spacing w:val="0"/>
                <w:sz w:val="18"/>
                <w:szCs w:val="18"/>
              </w:rPr>
              <w:t>剪力墙结构</w:t>
            </w:r>
          </w:p>
        </w:tc>
        <w:tc>
          <w:tcPr>
            <w:tcW w:w="2195" w:type="dxa"/>
            <w:tcBorders>
              <w:top w:val="single" w:color="auto" w:sz="4" w:space="0"/>
              <w:left w:val="single" w:color="auto" w:sz="4" w:space="0"/>
              <w:bottom w:val="single" w:color="auto" w:sz="4" w:space="0"/>
              <w:right w:val="single" w:color="auto" w:sz="12" w:space="0"/>
            </w:tcBorders>
            <w:shd w:val="clear" w:color="auto" w:fill="FFFFFF"/>
            <w:vAlign w:val="center"/>
          </w:tcPr>
          <w:p>
            <w:pPr>
              <w:pStyle w:val="51"/>
              <w:shd w:val="clear" w:color="auto" w:fill="auto"/>
              <w:spacing w:before="0" w:after="0" w:line="240" w:lineRule="auto"/>
              <w:ind w:firstLine="0"/>
              <w:jc w:val="center"/>
              <w:rPr>
                <w:rStyle w:val="71"/>
                <w:rFonts w:ascii="Times New Roman" w:hAnsi="Times New Roman" w:eastAsia="宋体" w:cs="Times New Roman"/>
                <w:spacing w:val="0"/>
                <w:lang w:val="zh-CN"/>
              </w:rPr>
            </w:pPr>
            <w:r>
              <w:rPr>
                <w:rStyle w:val="71"/>
                <w:rFonts w:ascii="Times New Roman" w:hAnsi="Times New Roman" w:eastAsia="宋体" w:cs="Times New Roman"/>
                <w:spacing w:val="0"/>
                <w:lang w:val="zh-CN"/>
              </w:rPr>
              <w:t>6</w:t>
            </w:r>
          </w:p>
        </w:tc>
      </w:tr>
      <w:tr>
        <w:tblPrEx>
          <w:tblCellMar>
            <w:top w:w="0" w:type="dxa"/>
            <w:left w:w="10" w:type="dxa"/>
            <w:bottom w:w="0" w:type="dxa"/>
            <w:right w:w="10" w:type="dxa"/>
          </w:tblCellMar>
        </w:tblPrEx>
        <w:trPr>
          <w:trHeight w:val="499" w:hRule="exact"/>
          <w:jc w:val="center"/>
        </w:trPr>
        <w:tc>
          <w:tcPr>
            <w:tcW w:w="5090" w:type="dxa"/>
            <w:tcBorders>
              <w:top w:val="single" w:color="auto" w:sz="4" w:space="0"/>
              <w:left w:val="single" w:color="auto" w:sz="12" w:space="0"/>
              <w:bottom w:val="single" w:color="auto" w:sz="12" w:space="0"/>
            </w:tcBorders>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装配整体式框架-</w:t>
            </w:r>
            <w:r>
              <w:rPr>
                <w:rFonts w:hint="eastAsia" w:ascii="Times New Roman" w:hAnsi="Times New Roman" w:eastAsia="宋体" w:cs="Times New Roman"/>
                <w:spacing w:val="0"/>
                <w:sz w:val="18"/>
                <w:szCs w:val="18"/>
              </w:rPr>
              <w:t>叠合</w:t>
            </w:r>
            <w:r>
              <w:rPr>
                <w:rFonts w:ascii="Times New Roman" w:hAnsi="Times New Roman" w:eastAsia="宋体" w:cs="Times New Roman"/>
                <w:spacing w:val="0"/>
                <w:sz w:val="18"/>
                <w:szCs w:val="18"/>
              </w:rPr>
              <w:t>剪力墙结构</w:t>
            </w:r>
          </w:p>
        </w:tc>
        <w:tc>
          <w:tcPr>
            <w:tcW w:w="2195" w:type="dxa"/>
            <w:tcBorders>
              <w:top w:val="single" w:color="auto" w:sz="4" w:space="0"/>
              <w:left w:val="single" w:color="auto" w:sz="4" w:space="0"/>
              <w:bottom w:val="single" w:color="auto" w:sz="12" w:space="0"/>
              <w:right w:val="single" w:color="auto" w:sz="12" w:space="0"/>
            </w:tcBorders>
            <w:shd w:val="clear" w:color="auto" w:fill="FFFFFF"/>
            <w:vAlign w:val="center"/>
          </w:tcPr>
          <w:p>
            <w:pPr>
              <w:pStyle w:val="51"/>
              <w:shd w:val="clear" w:color="auto" w:fill="auto"/>
              <w:spacing w:before="0" w:after="0" w:line="240" w:lineRule="auto"/>
              <w:ind w:firstLine="0"/>
              <w:jc w:val="center"/>
              <w:rPr>
                <w:rStyle w:val="71"/>
                <w:rFonts w:ascii="Times New Roman" w:hAnsi="Times New Roman" w:eastAsia="宋体" w:cs="Times New Roman"/>
                <w:spacing w:val="0"/>
                <w:lang w:val="zh-CN"/>
              </w:rPr>
            </w:pPr>
            <w:r>
              <w:rPr>
                <w:rStyle w:val="71"/>
                <w:rFonts w:hint="eastAsia" w:ascii="Times New Roman" w:hAnsi="Times New Roman" w:eastAsia="宋体" w:cs="Times New Roman"/>
                <w:spacing w:val="0"/>
                <w:lang w:val="zh-CN"/>
              </w:rPr>
              <w:t>6</w:t>
            </w:r>
          </w:p>
        </w:tc>
      </w:tr>
    </w:tbl>
    <w:p>
      <w:pPr>
        <w:pStyle w:val="210"/>
        <w:spacing w:before="240" w:after="240"/>
        <w:outlineLvl w:val="2"/>
        <w:rPr>
          <w:rFonts w:ascii="黑体" w:hAnsi="黑体" w:eastAsia="黑体"/>
          <w:b w:val="0"/>
          <w:sz w:val="21"/>
          <w:szCs w:val="21"/>
        </w:rPr>
      </w:pPr>
      <w:bookmarkStart w:id="109" w:name="_Toc172187829"/>
      <w:bookmarkStart w:id="110" w:name="_Toc172188890"/>
      <w:bookmarkStart w:id="111" w:name="_Toc4163"/>
      <w:bookmarkStart w:id="112" w:name="_Toc172188614"/>
      <w:r>
        <w:rPr>
          <w:rFonts w:ascii="黑体" w:hAnsi="黑体" w:eastAsia="黑体"/>
          <w:b w:val="0"/>
          <w:sz w:val="21"/>
          <w:szCs w:val="21"/>
        </w:rPr>
        <w:t>7.3 结构平面及竖向布置</w:t>
      </w:r>
      <w:bookmarkEnd w:id="109"/>
      <w:bookmarkEnd w:id="110"/>
      <w:bookmarkEnd w:id="111"/>
      <w:bookmarkEnd w:id="112"/>
    </w:p>
    <w:p>
      <w:pPr>
        <w:pStyle w:val="51"/>
        <w:numPr>
          <w:ilvl w:val="0"/>
          <w:numId w:val="16"/>
        </w:numPr>
        <w:shd w:val="clear" w:color="auto" w:fill="auto"/>
        <w:tabs>
          <w:tab w:val="left" w:pos="678"/>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装配整体式混凝土框架结构及框架-剪力墙结构的结构平面布置宜规则对称，质量、高度、刚度分布宜均匀；竖向布置应规则、连续、均匀，并应避免抗侧力结构的侧向刚度和承载力竖向突变，承重构件宜在竖向上下对齐。不规则的建筑应按规定采取加强措施，特别不规则的建筑时应进行专门研究和论证，并采取特别的加强措施。</w:t>
      </w:r>
    </w:p>
    <w:p>
      <w:pPr>
        <w:pStyle w:val="51"/>
        <w:numPr>
          <w:ilvl w:val="0"/>
          <w:numId w:val="16"/>
        </w:numPr>
        <w:shd w:val="clear" w:color="auto" w:fill="auto"/>
        <w:tabs>
          <w:tab w:val="left" w:pos="683"/>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结构平面布置应减少扭转的影响，扭转不规则、楼板平面凹凸不规则以及楼板局部不连续的建筑，尚应符合现行国家标准</w:t>
      </w:r>
      <w:r>
        <w:rPr>
          <w:rStyle w:val="71"/>
          <w:rFonts w:ascii="Times New Roman" w:hAnsi="Times New Roman" w:eastAsia="宋体" w:cs="Times New Roman"/>
          <w:spacing w:val="0"/>
          <w:sz w:val="21"/>
          <w:szCs w:val="21"/>
        </w:rPr>
        <w:t>GB/T 50010</w:t>
      </w:r>
      <w:r>
        <w:rPr>
          <w:rFonts w:ascii="Times New Roman" w:hAnsi="Times New Roman" w:eastAsia="宋体" w:cs="Times New Roman"/>
          <w:spacing w:val="0"/>
          <w:sz w:val="21"/>
          <w:szCs w:val="21"/>
        </w:rPr>
        <w:t>、</w:t>
      </w:r>
      <w:r>
        <w:rPr>
          <w:rStyle w:val="71"/>
          <w:rFonts w:ascii="Times New Roman" w:hAnsi="Times New Roman" w:eastAsia="宋体" w:cs="Times New Roman"/>
          <w:spacing w:val="0"/>
          <w:sz w:val="21"/>
          <w:szCs w:val="21"/>
        </w:rPr>
        <w:t>GB/T 50011</w:t>
      </w:r>
      <w:r>
        <w:rPr>
          <w:rFonts w:ascii="Times New Roman" w:hAnsi="Times New Roman" w:eastAsia="宋体" w:cs="Times New Roman"/>
          <w:spacing w:val="0"/>
          <w:sz w:val="21"/>
          <w:szCs w:val="21"/>
        </w:rPr>
        <w:t>的规定。</w:t>
      </w:r>
    </w:p>
    <w:p>
      <w:pPr>
        <w:pStyle w:val="51"/>
        <w:numPr>
          <w:ilvl w:val="0"/>
          <w:numId w:val="16"/>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结构的竖向体型宜规则、均匀，避免有过大的外挑和内收。结构的侧向刚度宜下大上小，逐渐均匀变化。结构的侧向刚度不均匀和承载力突变的楼层宜采用现浇混凝土结构。</w:t>
      </w:r>
    </w:p>
    <w:p>
      <w:pPr>
        <w:pStyle w:val="51"/>
        <w:numPr>
          <w:ilvl w:val="0"/>
          <w:numId w:val="16"/>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房屋的平面布置宜符合下列规定：</w:t>
      </w:r>
    </w:p>
    <w:p>
      <w:pPr>
        <w:pStyle w:val="51"/>
        <w:shd w:val="clear" w:color="auto" w:fill="auto"/>
        <w:spacing w:before="0" w:after="0" w:line="240" w:lineRule="auto"/>
        <w:ind w:firstLine="442"/>
        <w:jc w:val="left"/>
        <w:rPr>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平面形状宜简单、规则、对称、减少偏心，质量、刚度分布宜均匀；不应采用特别不规则的平面布置；</w:t>
      </w:r>
    </w:p>
    <w:p>
      <w:pPr>
        <w:pStyle w:val="51"/>
        <w:shd w:val="clear" w:color="auto" w:fill="auto"/>
        <w:spacing w:before="0" w:after="0" w:line="240" w:lineRule="auto"/>
        <w:ind w:firstLine="442"/>
        <w:jc w:val="left"/>
        <w:rPr>
          <w:rFonts w:ascii="Times New Roman" w:hAnsi="Times New Roman" w:eastAsia="宋体" w:cs="Times New Roman"/>
          <w:sz w:val="21"/>
          <w:szCs w:val="21"/>
        </w:rPr>
      </w:pPr>
      <w:r>
        <w:rPr>
          <w:rFonts w:ascii="宋体" w:hAnsi="宋体"/>
          <w:sz w:val="21"/>
        </w:rPr>
        <w:t>b</w:t>
      </w:r>
      <w:r>
        <w:rPr>
          <w:rFonts w:hint="eastAsia" w:ascii="宋体" w:hAnsi="宋体"/>
          <w:sz w:val="21"/>
        </w:rPr>
        <w:t>）</w:t>
      </w:r>
      <w:r>
        <w:rPr>
          <w:rStyle w:val="56"/>
          <w:rFonts w:ascii="Times New Roman" w:hAnsi="Times New Roman" w:eastAsia="宋体" w:cs="Times New Roman"/>
          <w:spacing w:val="0"/>
          <w:sz w:val="21"/>
          <w:szCs w:val="21"/>
        </w:rPr>
        <w:t>平面长度不宜过长（</w:t>
      </w:r>
      <w:r>
        <w:rPr>
          <w:rStyle w:val="56"/>
          <w:rFonts w:hint="eastAsia" w:ascii="Times New Roman" w:hAnsi="Times New Roman" w:eastAsia="宋体" w:cs="Times New Roman"/>
          <w:spacing w:val="0"/>
          <w:sz w:val="21"/>
          <w:szCs w:val="21"/>
        </w:rPr>
        <w:t>见</w:t>
      </w:r>
      <w:r>
        <w:rPr>
          <w:rStyle w:val="56"/>
          <w:rFonts w:ascii="Times New Roman" w:hAnsi="Times New Roman" w:eastAsia="宋体" w:cs="Times New Roman"/>
          <w:spacing w:val="0"/>
          <w:sz w:val="21"/>
          <w:szCs w:val="21"/>
        </w:rPr>
        <w:t>图</w:t>
      </w:r>
      <w:r>
        <w:rPr>
          <w:rStyle w:val="72"/>
          <w:rFonts w:ascii="Times New Roman" w:hAnsi="Times New Roman" w:eastAsia="宋体" w:cs="Times New Roman"/>
          <w:spacing w:val="0"/>
          <w:sz w:val="21"/>
          <w:szCs w:val="21"/>
        </w:rPr>
        <w:t>1），</w:t>
      </w:r>
      <w:r>
        <w:rPr>
          <w:rStyle w:val="72"/>
          <w:rFonts w:ascii="Times New Roman" w:hAnsi="Times New Roman" w:eastAsia="宋体" w:cs="Times New Roman"/>
          <w:i/>
          <w:iCs/>
          <w:spacing w:val="0"/>
          <w:sz w:val="21"/>
          <w:szCs w:val="21"/>
        </w:rPr>
        <w:t>L</w:t>
      </w:r>
      <w:r>
        <w:rPr>
          <w:rStyle w:val="72"/>
          <w:rFonts w:ascii="Times New Roman" w:hAnsi="Times New Roman" w:eastAsia="宋体" w:cs="Times New Roman"/>
          <w:spacing w:val="0"/>
          <w:sz w:val="21"/>
          <w:szCs w:val="21"/>
        </w:rPr>
        <w:t>/</w:t>
      </w:r>
      <w:r>
        <w:rPr>
          <w:rStyle w:val="72"/>
          <w:rFonts w:ascii="Times New Roman" w:hAnsi="Times New Roman" w:eastAsia="宋体" w:cs="Times New Roman"/>
          <w:i/>
          <w:iCs/>
          <w:spacing w:val="0"/>
          <w:sz w:val="21"/>
          <w:szCs w:val="21"/>
        </w:rPr>
        <w:t>B</w:t>
      </w:r>
      <w:r>
        <w:rPr>
          <w:rStyle w:val="56"/>
          <w:rFonts w:ascii="Times New Roman" w:hAnsi="Times New Roman" w:eastAsia="宋体" w:cs="Times New Roman"/>
          <w:spacing w:val="0"/>
          <w:sz w:val="21"/>
          <w:szCs w:val="21"/>
        </w:rPr>
        <w:t>宜符合表</w:t>
      </w:r>
      <w:r>
        <w:rPr>
          <w:rStyle w:val="72"/>
          <w:rFonts w:ascii="Times New Roman" w:hAnsi="Times New Roman" w:eastAsia="宋体" w:cs="Times New Roman"/>
          <w:spacing w:val="0"/>
          <w:sz w:val="21"/>
          <w:szCs w:val="21"/>
        </w:rPr>
        <w:t>6</w:t>
      </w:r>
      <w:r>
        <w:rPr>
          <w:rStyle w:val="56"/>
          <w:rFonts w:ascii="Times New Roman" w:hAnsi="Times New Roman" w:eastAsia="宋体" w:cs="Times New Roman"/>
          <w:spacing w:val="0"/>
          <w:sz w:val="21"/>
          <w:szCs w:val="21"/>
        </w:rPr>
        <w:t>的要求</w:t>
      </w:r>
      <w:r>
        <w:rPr>
          <w:rStyle w:val="72"/>
          <w:rFonts w:ascii="Times New Roman" w:hAnsi="Times New Roman" w:eastAsia="宋体" w:cs="Times New Roman"/>
          <w:spacing w:val="0"/>
          <w:sz w:val="21"/>
          <w:szCs w:val="21"/>
          <w:lang w:val="zh-CN"/>
        </w:rPr>
        <w:t>；</w:t>
      </w:r>
      <w:r>
        <w:rPr>
          <w:rFonts w:ascii="Times New Roman" w:hAnsi="Times New Roman" w:eastAsia="宋体" w:cs="Times New Roman"/>
          <w:sz w:val="21"/>
          <w:szCs w:val="21"/>
        </w:rPr>
        <w:t xml:space="preserve"> </w:t>
      </w:r>
    </w:p>
    <w:p>
      <w:pPr>
        <w:pStyle w:val="55"/>
        <w:shd w:val="clear" w:color="auto" w:fill="auto"/>
        <w:spacing w:before="120" w:beforeLines="50" w:line="240" w:lineRule="auto"/>
        <w:ind w:right="23"/>
        <w:rPr>
          <w:rFonts w:ascii="Times New Roman" w:hAnsi="Times New Roman" w:eastAsia="宋体" w:cs="Times New Roman"/>
          <w:spacing w:val="0"/>
          <w:sz w:val="21"/>
          <w:szCs w:val="21"/>
        </w:rPr>
      </w:pPr>
    </w:p>
    <w:p>
      <w:pPr>
        <w:pStyle w:val="55"/>
        <w:shd w:val="clear" w:color="auto" w:fill="auto"/>
        <w:spacing w:before="120" w:beforeLines="50" w:line="240" w:lineRule="auto"/>
        <w:ind w:right="23"/>
        <w:rPr>
          <w:rFonts w:ascii="Times New Roman" w:hAnsi="Times New Roman" w:eastAsia="宋体" w:cs="Times New Roman"/>
          <w:spacing w:val="0"/>
          <w:sz w:val="21"/>
          <w:szCs w:val="21"/>
        </w:rPr>
      </w:pPr>
    </w:p>
    <w:p>
      <w:pPr>
        <w:pStyle w:val="55"/>
        <w:shd w:val="clear" w:color="auto" w:fill="auto"/>
        <w:spacing w:before="120" w:beforeLines="50" w:line="240" w:lineRule="auto"/>
        <w:ind w:right="23"/>
        <w:rPr>
          <w:rFonts w:ascii="Times New Roman" w:hAnsi="Times New Roman" w:eastAsia="宋体" w:cs="Times New Roman"/>
          <w:spacing w:val="0"/>
          <w:sz w:val="21"/>
          <w:szCs w:val="21"/>
        </w:rPr>
      </w:pPr>
      <w:r>
        <w:drawing>
          <wp:inline distT="0" distB="0" distL="0" distR="0">
            <wp:extent cx="1920875" cy="1007745"/>
            <wp:effectExtent l="0" t="0" r="3175" b="1905"/>
            <wp:docPr id="55" name="图片 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true"/>
                    </pic:cNvPicPr>
                  </pic:nvPicPr>
                  <pic:blipFill>
                    <a:blip r:embed="rId49"/>
                    <a:stretch>
                      <a:fillRect/>
                    </a:stretch>
                  </pic:blipFill>
                  <pic:spPr>
                    <a:xfrm>
                      <a:off x="0" y="0"/>
                      <a:ext cx="1921339" cy="1008000"/>
                    </a:xfrm>
                    <a:prstGeom prst="rect">
                      <a:avLst/>
                    </a:prstGeom>
                  </pic:spPr>
                </pic:pic>
              </a:graphicData>
            </a:graphic>
          </wp:inline>
        </w:drawing>
      </w:r>
      <w:r>
        <w:rPr>
          <w:rFonts w:ascii="Times New Roman" w:hAnsi="Times New Roman" w:eastAsia="宋体" w:cs="Times New Roman"/>
          <w:spacing w:val="0"/>
          <w:sz w:val="21"/>
          <w:szCs w:val="21"/>
        </w:rPr>
        <w:t xml:space="preserve">          </w:t>
      </w:r>
      <w:r>
        <w:rPr>
          <w:rFonts w:hint="eastAsia" w:ascii="Times New Roman" w:hAnsi="Times New Roman" w:eastAsia="宋体" w:cs="Times New Roman"/>
          <w:spacing w:val="0"/>
          <w:sz w:val="21"/>
          <w:szCs w:val="21"/>
        </w:rPr>
        <w:t xml:space="preserve"> </w:t>
      </w:r>
      <w:r>
        <w:drawing>
          <wp:inline distT="0" distB="0" distL="0" distR="0">
            <wp:extent cx="1627505" cy="1007745"/>
            <wp:effectExtent l="0" t="0" r="0" b="1905"/>
            <wp:docPr id="60" name="图片 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true"/>
                    </pic:cNvPicPr>
                  </pic:nvPicPr>
                  <pic:blipFill>
                    <a:blip r:embed="rId50"/>
                    <a:stretch>
                      <a:fillRect/>
                    </a:stretch>
                  </pic:blipFill>
                  <pic:spPr>
                    <a:xfrm>
                      <a:off x="0" y="0"/>
                      <a:ext cx="1627866" cy="1008000"/>
                    </a:xfrm>
                    <a:prstGeom prst="rect">
                      <a:avLst/>
                    </a:prstGeom>
                  </pic:spPr>
                </pic:pic>
              </a:graphicData>
            </a:graphic>
          </wp:inline>
        </w:drawing>
      </w:r>
    </w:p>
    <w:p>
      <w:pPr>
        <w:pStyle w:val="55"/>
        <w:shd w:val="clear" w:color="auto" w:fill="auto"/>
        <w:spacing w:before="120" w:beforeLines="50" w:line="240" w:lineRule="auto"/>
        <w:ind w:right="23" w:firstLine="2626" w:firstLineChars="1300"/>
        <w:jc w:val="both"/>
        <w:rPr>
          <w:rFonts w:ascii="Times New Roman" w:hAnsi="Times New Roman" w:eastAsia="宋体" w:cs="Times New Roman"/>
          <w:spacing w:val="0"/>
          <w:sz w:val="21"/>
          <w:szCs w:val="21"/>
        </w:rPr>
      </w:pPr>
      <w:r>
        <w:rPr>
          <w:rFonts w:ascii="宋体" w:hAnsi="宋体" w:eastAsia="宋体" w:cs="Times New Roman"/>
          <w:color w:val="000000" w:themeColor="text1"/>
          <w:sz w:val="21"/>
          <w:szCs w:val="21"/>
          <w14:textFill>
            <w14:solidFill>
              <w14:schemeClr w14:val="tx1"/>
            </w14:solidFill>
          </w14:textFill>
        </w:rPr>
        <w:t>a）</w:t>
      </w:r>
      <w:r>
        <w:rPr>
          <w:rFonts w:hint="eastAsia" w:ascii="宋体" w:hAnsi="宋体" w:eastAsia="宋体" w:cs="Times New Roman"/>
          <w:color w:val="000000" w:themeColor="text1"/>
          <w:sz w:val="21"/>
          <w:szCs w:val="21"/>
          <w14:textFill>
            <w14:solidFill>
              <w14:schemeClr w14:val="tx1"/>
            </w14:solidFill>
          </w14:textFill>
        </w:rPr>
        <w:t xml:space="preserve"> </w:t>
      </w:r>
      <w:r>
        <w:rPr>
          <w:rFonts w:ascii="宋体" w:hAnsi="宋体" w:eastAsia="宋体" w:cs="Times New Roman"/>
          <w:color w:val="000000" w:themeColor="text1"/>
          <w:sz w:val="21"/>
          <w:szCs w:val="21"/>
          <w14:textFill>
            <w14:solidFill>
              <w14:schemeClr w14:val="tx1"/>
            </w14:solidFill>
          </w14:textFill>
        </w:rPr>
        <w:t xml:space="preserve">                                      b）</w:t>
      </w:r>
    </w:p>
    <w:p>
      <w:pPr>
        <w:pStyle w:val="55"/>
        <w:shd w:val="clear" w:color="auto" w:fill="auto"/>
        <w:spacing w:before="120" w:beforeLines="50" w:line="240" w:lineRule="auto"/>
        <w:ind w:right="23"/>
        <w:rPr>
          <w:rFonts w:ascii="Times New Roman" w:hAnsi="Times New Roman" w:eastAsia="宋体" w:cs="Times New Roman"/>
          <w:spacing w:val="0"/>
          <w:sz w:val="21"/>
          <w:szCs w:val="21"/>
        </w:rPr>
      </w:pPr>
      <w:r>
        <w:drawing>
          <wp:anchor distT="0" distB="0" distL="114300" distR="114300" simplePos="0" relativeHeight="251671552" behindDoc="0" locked="0" layoutInCell="1" allowOverlap="1">
            <wp:simplePos x="0" y="0"/>
            <wp:positionH relativeFrom="column">
              <wp:posOffset>3068320</wp:posOffset>
            </wp:positionH>
            <wp:positionV relativeFrom="paragraph">
              <wp:posOffset>64770</wp:posOffset>
            </wp:positionV>
            <wp:extent cx="1908175" cy="2019300"/>
            <wp:effectExtent l="0" t="0" r="0" b="0"/>
            <wp:wrapNone/>
            <wp:docPr id="24"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true" noChangeArrowheads="true"/>
                    </pic:cNvPicPr>
                  </pic:nvPicPr>
                  <pic:blipFill>
                    <a:blip r:embed="rId51">
                      <a:extLst>
                        <a:ext uri="{28A0092B-C50C-407E-A947-70E740481C1C}">
                          <a14:useLocalDpi xmlns:a14="http://schemas.microsoft.com/office/drawing/2010/main" val="false"/>
                        </a:ext>
                      </a:extLst>
                    </a:blip>
                    <a:srcRect/>
                    <a:stretch>
                      <a:fillRect/>
                    </a:stretch>
                  </pic:blipFill>
                  <pic:spPr>
                    <a:xfrm>
                      <a:off x="0" y="0"/>
                      <a:ext cx="1908000" cy="2019580"/>
                    </a:xfrm>
                    <a:prstGeom prst="rect">
                      <a:avLst/>
                    </a:prstGeom>
                    <a:noFill/>
                    <a:ln>
                      <a:noFill/>
                    </a:ln>
                  </pic:spPr>
                </pic:pic>
              </a:graphicData>
            </a:graphic>
          </wp:anchor>
        </w:drawing>
      </w:r>
    </w:p>
    <w:p>
      <w:pPr>
        <w:pStyle w:val="55"/>
        <w:shd w:val="clear" w:color="auto" w:fill="auto"/>
        <w:spacing w:before="120" w:beforeLines="50" w:line="240" w:lineRule="auto"/>
        <w:ind w:right="23"/>
        <w:rPr>
          <w:rFonts w:ascii="Times New Roman" w:hAnsi="Times New Roman" w:eastAsia="宋体" w:cs="Times New Roman"/>
          <w:spacing w:val="0"/>
          <w:sz w:val="21"/>
          <w:szCs w:val="21"/>
        </w:rPr>
      </w:pPr>
    </w:p>
    <w:p>
      <w:pPr>
        <w:pStyle w:val="55"/>
        <w:shd w:val="clear" w:color="auto" w:fill="auto"/>
        <w:spacing w:before="120" w:beforeLines="50" w:line="240" w:lineRule="auto"/>
        <w:ind w:right="23"/>
        <w:rPr>
          <w:rFonts w:ascii="Times New Roman" w:hAnsi="Times New Roman" w:eastAsia="宋体" w:cs="Times New Roman"/>
          <w:spacing w:val="0"/>
          <w:sz w:val="21"/>
          <w:szCs w:val="21"/>
        </w:rPr>
      </w:pPr>
    </w:p>
    <w:p>
      <w:pPr>
        <w:pStyle w:val="55"/>
        <w:shd w:val="clear" w:color="auto" w:fill="auto"/>
        <w:spacing w:before="120" w:beforeLines="50" w:line="240" w:lineRule="auto"/>
        <w:ind w:right="23"/>
        <w:rPr>
          <w:rFonts w:ascii="Times New Roman" w:hAnsi="Times New Roman" w:eastAsia="宋体" w:cs="Times New Roman"/>
          <w:spacing w:val="0"/>
          <w:sz w:val="21"/>
          <w:szCs w:val="21"/>
        </w:rPr>
      </w:pPr>
      <w:r>
        <w:drawing>
          <wp:anchor distT="0" distB="0" distL="114300" distR="114300" simplePos="0" relativeHeight="251670528" behindDoc="0" locked="0" layoutInCell="1" allowOverlap="1">
            <wp:simplePos x="0" y="0"/>
            <wp:positionH relativeFrom="column">
              <wp:posOffset>648970</wp:posOffset>
            </wp:positionH>
            <wp:positionV relativeFrom="paragraph">
              <wp:posOffset>74930</wp:posOffset>
            </wp:positionV>
            <wp:extent cx="1908175" cy="1383030"/>
            <wp:effectExtent l="0" t="0" r="0" b="7620"/>
            <wp:wrapNone/>
            <wp:docPr id="23"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true" noChangeArrowheads="true"/>
                    </pic:cNvPicPr>
                  </pic:nvPicPr>
                  <pic:blipFill>
                    <a:blip r:embed="rId52">
                      <a:extLst>
                        <a:ext uri="{28A0092B-C50C-407E-A947-70E740481C1C}">
                          <a14:useLocalDpi xmlns:a14="http://schemas.microsoft.com/office/drawing/2010/main" val="false"/>
                        </a:ext>
                      </a:extLst>
                    </a:blip>
                    <a:srcRect/>
                    <a:stretch>
                      <a:fillRect/>
                    </a:stretch>
                  </pic:blipFill>
                  <pic:spPr>
                    <a:xfrm>
                      <a:off x="0" y="0"/>
                      <a:ext cx="1908000" cy="1383300"/>
                    </a:xfrm>
                    <a:prstGeom prst="rect">
                      <a:avLst/>
                    </a:prstGeom>
                    <a:noFill/>
                    <a:ln>
                      <a:noFill/>
                    </a:ln>
                  </pic:spPr>
                </pic:pic>
              </a:graphicData>
            </a:graphic>
          </wp:anchor>
        </w:drawing>
      </w:r>
    </w:p>
    <w:p>
      <w:pPr>
        <w:pStyle w:val="55"/>
        <w:shd w:val="clear" w:color="auto" w:fill="auto"/>
        <w:spacing w:before="120" w:beforeLines="50" w:line="240" w:lineRule="auto"/>
        <w:ind w:right="23"/>
        <w:rPr>
          <w:rFonts w:ascii="Times New Roman" w:hAnsi="Times New Roman" w:eastAsia="宋体" w:cs="Times New Roman"/>
          <w:spacing w:val="0"/>
          <w:sz w:val="21"/>
          <w:szCs w:val="21"/>
        </w:rPr>
      </w:pPr>
    </w:p>
    <w:p>
      <w:pPr>
        <w:pStyle w:val="55"/>
        <w:shd w:val="clear" w:color="auto" w:fill="auto"/>
        <w:spacing w:before="120" w:beforeLines="50" w:line="240" w:lineRule="auto"/>
        <w:ind w:right="23"/>
        <w:rPr>
          <w:rFonts w:ascii="Times New Roman" w:hAnsi="Times New Roman" w:eastAsia="宋体" w:cs="Times New Roman"/>
          <w:spacing w:val="0"/>
          <w:sz w:val="21"/>
          <w:szCs w:val="21"/>
        </w:rPr>
      </w:pPr>
    </w:p>
    <w:p>
      <w:pPr>
        <w:pStyle w:val="55"/>
        <w:shd w:val="clear" w:color="auto" w:fill="auto"/>
        <w:spacing w:before="120" w:beforeLines="50" w:line="240" w:lineRule="auto"/>
        <w:ind w:right="23"/>
        <w:rPr>
          <w:rFonts w:ascii="Times New Roman" w:hAnsi="Times New Roman" w:eastAsia="宋体" w:cs="Times New Roman"/>
          <w:spacing w:val="0"/>
          <w:sz w:val="21"/>
          <w:szCs w:val="21"/>
        </w:rPr>
      </w:pPr>
    </w:p>
    <w:p>
      <w:pPr>
        <w:pStyle w:val="55"/>
        <w:shd w:val="clear" w:color="auto" w:fill="auto"/>
        <w:spacing w:before="120" w:beforeLines="50" w:line="240" w:lineRule="auto"/>
        <w:ind w:right="23"/>
        <w:rPr>
          <w:rFonts w:ascii="Times New Roman" w:hAnsi="Times New Roman" w:eastAsia="宋体" w:cs="Times New Roman"/>
          <w:spacing w:val="0"/>
          <w:sz w:val="21"/>
          <w:szCs w:val="21"/>
        </w:rPr>
      </w:pPr>
    </w:p>
    <w:p>
      <w:pPr>
        <w:pStyle w:val="55"/>
        <w:shd w:val="clear" w:color="auto" w:fill="auto"/>
        <w:spacing w:before="120" w:beforeLines="50" w:line="240" w:lineRule="auto"/>
        <w:ind w:right="23"/>
        <w:rPr>
          <w:rFonts w:ascii="Times New Roman" w:hAnsi="Times New Roman" w:eastAsia="宋体" w:cs="Times New Roman"/>
          <w:spacing w:val="0"/>
          <w:sz w:val="21"/>
          <w:szCs w:val="21"/>
        </w:rPr>
      </w:pPr>
    </w:p>
    <w:p>
      <w:pPr>
        <w:pStyle w:val="55"/>
        <w:shd w:val="clear" w:color="auto" w:fill="auto"/>
        <w:spacing w:before="120" w:beforeLines="50" w:line="240" w:lineRule="auto"/>
        <w:ind w:right="23" w:firstLine="2924" w:firstLineChars="1700"/>
        <w:jc w:val="both"/>
        <w:rPr>
          <w:rFonts w:ascii="Times New Roman" w:hAnsi="Times New Roman" w:eastAsia="宋体" w:cs="Times New Roman"/>
          <w:spacing w:val="0"/>
          <w:sz w:val="21"/>
          <w:szCs w:val="21"/>
        </w:rPr>
      </w:pPr>
      <w:r>
        <w:drawing>
          <wp:anchor distT="0" distB="0" distL="114300" distR="114300" simplePos="0" relativeHeight="251672576" behindDoc="0" locked="0" layoutInCell="1" allowOverlap="1">
            <wp:simplePos x="0" y="0"/>
            <wp:positionH relativeFrom="page">
              <wp:posOffset>2878455</wp:posOffset>
            </wp:positionH>
            <wp:positionV relativeFrom="paragraph">
              <wp:posOffset>248920</wp:posOffset>
            </wp:positionV>
            <wp:extent cx="1907540" cy="1913890"/>
            <wp:effectExtent l="0" t="0" r="0" b="0"/>
            <wp:wrapNone/>
            <wp:docPr id="25"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true" noChangeArrowheads="true"/>
                    </pic:cNvPicPr>
                  </pic:nvPicPr>
                  <pic:blipFill>
                    <a:blip r:embed="rId53">
                      <a:extLst>
                        <a:ext uri="{28A0092B-C50C-407E-A947-70E740481C1C}">
                          <a14:useLocalDpi xmlns:a14="http://schemas.microsoft.com/office/drawing/2010/main" val="false"/>
                        </a:ext>
                      </a:extLst>
                    </a:blip>
                    <a:srcRect/>
                    <a:stretch>
                      <a:fillRect/>
                    </a:stretch>
                  </pic:blipFill>
                  <pic:spPr>
                    <a:xfrm>
                      <a:off x="0" y="0"/>
                      <a:ext cx="1907540" cy="1913890"/>
                    </a:xfrm>
                    <a:prstGeom prst="rect">
                      <a:avLst/>
                    </a:prstGeom>
                    <a:noFill/>
                    <a:ln>
                      <a:noFill/>
                    </a:ln>
                  </pic:spPr>
                </pic:pic>
              </a:graphicData>
            </a:graphic>
          </wp:anchor>
        </w:drawing>
      </w:r>
      <w:r>
        <w:rPr>
          <w:rFonts w:ascii="宋体" w:hAnsi="宋体" w:eastAsia="宋体" w:cs="Times New Roman"/>
          <w:color w:val="000000" w:themeColor="text1"/>
          <w:sz w:val="21"/>
          <w:szCs w:val="21"/>
          <w14:textFill>
            <w14:solidFill>
              <w14:schemeClr w14:val="tx1"/>
            </w14:solidFill>
          </w14:textFill>
        </w:rPr>
        <w:t>c）</w:t>
      </w:r>
      <w:r>
        <w:rPr>
          <w:rFonts w:hint="eastAsia" w:ascii="宋体" w:hAnsi="宋体" w:eastAsia="宋体" w:cs="Times New Roman"/>
          <w:color w:val="000000" w:themeColor="text1"/>
          <w:sz w:val="21"/>
          <w:szCs w:val="21"/>
          <w14:textFill>
            <w14:solidFill>
              <w14:schemeClr w14:val="tx1"/>
            </w14:solidFill>
          </w14:textFill>
        </w:rPr>
        <w:t xml:space="preserve"> </w:t>
      </w:r>
      <w:r>
        <w:rPr>
          <w:rFonts w:ascii="宋体" w:hAnsi="宋体" w:eastAsia="宋体" w:cs="Times New Roman"/>
          <w:color w:val="000000" w:themeColor="text1"/>
          <w:sz w:val="21"/>
          <w:szCs w:val="21"/>
          <w14:textFill>
            <w14:solidFill>
              <w14:schemeClr w14:val="tx1"/>
            </w14:solidFill>
          </w14:textFill>
        </w:rPr>
        <w:t xml:space="preserve">                                          d）</w:t>
      </w:r>
    </w:p>
    <w:p>
      <w:pPr>
        <w:pStyle w:val="55"/>
        <w:shd w:val="clear" w:color="auto" w:fill="auto"/>
        <w:spacing w:before="120" w:beforeLines="50" w:line="240" w:lineRule="auto"/>
        <w:ind w:right="23"/>
        <w:rPr>
          <w:rFonts w:ascii="Times New Roman" w:hAnsi="Times New Roman" w:eastAsia="宋体" w:cs="Times New Roman"/>
          <w:spacing w:val="0"/>
          <w:sz w:val="21"/>
          <w:szCs w:val="21"/>
        </w:rPr>
      </w:pPr>
    </w:p>
    <w:p>
      <w:pPr>
        <w:pStyle w:val="55"/>
        <w:shd w:val="clear" w:color="auto" w:fill="auto"/>
        <w:spacing w:before="120" w:beforeLines="50" w:line="240" w:lineRule="auto"/>
        <w:ind w:right="23"/>
        <w:rPr>
          <w:rFonts w:ascii="Times New Roman" w:hAnsi="Times New Roman" w:eastAsia="宋体" w:cs="Times New Roman"/>
          <w:spacing w:val="0"/>
          <w:sz w:val="21"/>
          <w:szCs w:val="21"/>
        </w:rPr>
      </w:pPr>
    </w:p>
    <w:p>
      <w:pPr>
        <w:pStyle w:val="55"/>
        <w:shd w:val="clear" w:color="auto" w:fill="auto"/>
        <w:spacing w:before="120" w:beforeLines="50" w:line="240" w:lineRule="auto"/>
        <w:ind w:right="23"/>
        <w:rPr>
          <w:rFonts w:ascii="Times New Roman" w:hAnsi="Times New Roman" w:eastAsia="宋体" w:cs="Times New Roman"/>
          <w:spacing w:val="0"/>
          <w:sz w:val="21"/>
          <w:szCs w:val="21"/>
        </w:rPr>
      </w:pPr>
    </w:p>
    <w:p>
      <w:pPr>
        <w:pStyle w:val="55"/>
        <w:shd w:val="clear" w:color="auto" w:fill="auto"/>
        <w:spacing w:before="120" w:beforeLines="50" w:line="240" w:lineRule="auto"/>
        <w:ind w:right="23"/>
        <w:rPr>
          <w:rFonts w:ascii="Times New Roman" w:hAnsi="Times New Roman" w:eastAsia="宋体" w:cs="Times New Roman"/>
          <w:spacing w:val="0"/>
          <w:sz w:val="21"/>
          <w:szCs w:val="21"/>
        </w:rPr>
      </w:pPr>
    </w:p>
    <w:p>
      <w:pPr>
        <w:pStyle w:val="55"/>
        <w:shd w:val="clear" w:color="auto" w:fill="auto"/>
        <w:spacing w:before="120" w:beforeLines="50" w:line="240" w:lineRule="auto"/>
        <w:ind w:right="23"/>
        <w:rPr>
          <w:rFonts w:ascii="Times New Roman" w:hAnsi="Times New Roman" w:eastAsia="宋体" w:cs="Times New Roman"/>
          <w:spacing w:val="0"/>
          <w:sz w:val="21"/>
          <w:szCs w:val="21"/>
        </w:rPr>
      </w:pPr>
    </w:p>
    <w:p>
      <w:pPr>
        <w:pStyle w:val="55"/>
        <w:shd w:val="clear" w:color="auto" w:fill="auto"/>
        <w:spacing w:before="120" w:beforeLines="50" w:line="240" w:lineRule="auto"/>
        <w:ind w:right="23"/>
        <w:rPr>
          <w:rFonts w:ascii="Times New Roman" w:hAnsi="Times New Roman" w:eastAsia="宋体" w:cs="Times New Roman"/>
          <w:spacing w:val="0"/>
          <w:sz w:val="21"/>
          <w:szCs w:val="21"/>
        </w:rPr>
      </w:pPr>
    </w:p>
    <w:p>
      <w:pPr>
        <w:pStyle w:val="55"/>
        <w:shd w:val="clear" w:color="auto" w:fill="auto"/>
        <w:spacing w:before="120" w:beforeLines="50" w:line="240" w:lineRule="auto"/>
        <w:ind w:right="23"/>
        <w:rPr>
          <w:rFonts w:ascii="Times New Roman" w:hAnsi="Times New Roman" w:eastAsia="宋体" w:cs="Times New Roman"/>
          <w:spacing w:val="0"/>
          <w:sz w:val="21"/>
          <w:szCs w:val="21"/>
        </w:rPr>
      </w:pPr>
    </w:p>
    <w:p>
      <w:pPr>
        <w:pStyle w:val="55"/>
        <w:shd w:val="clear" w:color="auto" w:fill="auto"/>
        <w:spacing w:before="120" w:beforeLines="50" w:line="240" w:lineRule="auto"/>
        <w:ind w:right="23"/>
        <w:rPr>
          <w:rFonts w:ascii="Times New Roman" w:hAnsi="Times New Roman" w:eastAsia="宋体" w:cs="Times New Roman"/>
          <w:spacing w:val="0"/>
          <w:sz w:val="21"/>
          <w:szCs w:val="21"/>
        </w:rPr>
      </w:pPr>
    </w:p>
    <w:p>
      <w:pPr>
        <w:pStyle w:val="55"/>
        <w:shd w:val="clear" w:color="auto" w:fill="auto"/>
        <w:spacing w:before="120" w:beforeLines="50" w:line="240" w:lineRule="auto"/>
        <w:ind w:right="23"/>
        <w:rPr>
          <w:rFonts w:ascii="Times New Roman" w:hAnsi="Times New Roman" w:eastAsia="宋体" w:cs="Times New Roman"/>
          <w:spacing w:val="0"/>
          <w:sz w:val="21"/>
          <w:szCs w:val="21"/>
        </w:rPr>
      </w:pPr>
      <w:r>
        <w:rPr>
          <w:rFonts w:ascii="宋体" w:hAnsi="宋体" w:eastAsia="宋体" w:cs="Times New Roman"/>
          <w:color w:val="000000" w:themeColor="text1"/>
          <w:sz w:val="21"/>
          <w:szCs w:val="21"/>
          <w14:textFill>
            <w14:solidFill>
              <w14:schemeClr w14:val="tx1"/>
            </w14:solidFill>
          </w14:textFill>
        </w:rPr>
        <w:t>e）</w:t>
      </w:r>
    </w:p>
    <w:p>
      <w:pPr>
        <w:pStyle w:val="83"/>
        <w:shd w:val="clear" w:color="auto" w:fill="auto"/>
        <w:spacing w:before="120" w:beforeLines="50" w:line="240" w:lineRule="auto"/>
        <w:jc w:val="center"/>
        <w:rPr>
          <w:rFonts w:ascii="Times New Roman" w:hAnsi="Times New Roman" w:eastAsia="宋体" w:cs="Times New Roman"/>
          <w:spacing w:val="0"/>
          <w:sz w:val="21"/>
          <w:szCs w:val="21"/>
        </w:rPr>
      </w:pPr>
      <w:r>
        <w:rPr>
          <w:rFonts w:ascii="Times New Roman" w:hAnsi="Times New Roman" w:eastAsia="宋体" w:cs="Times New Roman"/>
          <w:b w:val="0"/>
          <w:bCs w:val="0"/>
          <w:spacing w:val="0"/>
          <w:sz w:val="21"/>
          <w:szCs w:val="21"/>
        </w:rPr>
        <w:t>图1  建筑平面示例</w:t>
      </w:r>
    </w:p>
    <w:p>
      <w:pPr>
        <w:pStyle w:val="83"/>
        <w:shd w:val="clear" w:color="auto" w:fill="auto"/>
        <w:spacing w:before="120" w:beforeLines="50" w:after="120" w:afterLines="50" w:line="240" w:lineRule="auto"/>
        <w:jc w:val="center"/>
        <w:rPr>
          <w:rFonts w:ascii="黑体" w:hAnsi="黑体" w:eastAsia="黑体" w:cs="Times New Roman"/>
          <w:b w:val="0"/>
          <w:spacing w:val="0"/>
          <w:sz w:val="21"/>
          <w:szCs w:val="21"/>
        </w:rPr>
      </w:pPr>
      <w:r>
        <w:rPr>
          <w:rFonts w:ascii="黑体" w:hAnsi="黑体" w:eastAsia="黑体" w:cs="Times New Roman"/>
          <w:b w:val="0"/>
          <w:bCs w:val="0"/>
          <w:spacing w:val="0"/>
          <w:sz w:val="21"/>
          <w:szCs w:val="21"/>
        </w:rPr>
        <w:t>表6  平面尺寸及突出部位尺寸的比值限值</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2064"/>
        <w:gridCol w:w="1219"/>
        <w:gridCol w:w="1234"/>
        <w:gridCol w:w="12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08" w:hRule="exact"/>
          <w:jc w:val="center"/>
        </w:trPr>
        <w:tc>
          <w:tcPr>
            <w:tcW w:w="2064"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抗震设防烈度</w:t>
            </w:r>
          </w:p>
        </w:tc>
        <w:tc>
          <w:tcPr>
            <w:tcW w:w="1219"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7"/>
                <w:rFonts w:ascii="Times New Roman" w:hAnsi="Times New Roman" w:eastAsia="宋体" w:cs="Times New Roman"/>
                <w:spacing w:val="0"/>
                <w:sz w:val="18"/>
                <w:szCs w:val="18"/>
              </w:rPr>
              <w:t>L/B</w:t>
            </w:r>
          </w:p>
        </w:tc>
        <w:tc>
          <w:tcPr>
            <w:tcW w:w="1234"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7"/>
                <w:rFonts w:hint="eastAsia" w:ascii="Times New Roman" w:hAnsi="Times New Roman" w:eastAsia="宋体" w:cs="Times New Roman"/>
                <w:spacing w:val="0"/>
                <w:sz w:val="18"/>
                <w:szCs w:val="18"/>
              </w:rPr>
              <w:t>l</w:t>
            </w:r>
            <w:r>
              <w:rPr>
                <w:rStyle w:val="71"/>
                <w:rFonts w:ascii="Times New Roman" w:hAnsi="Times New Roman" w:eastAsia="宋体" w:cs="Times New Roman"/>
                <w:spacing w:val="0"/>
              </w:rPr>
              <w:t>/</w:t>
            </w:r>
            <w:r>
              <w:rPr>
                <w:rStyle w:val="71"/>
                <w:rFonts w:ascii="Times New Roman" w:hAnsi="Times New Roman" w:eastAsia="宋体" w:cs="Times New Roman"/>
                <w:i/>
                <w:iCs/>
                <w:spacing w:val="0"/>
              </w:rPr>
              <w:t>B</w:t>
            </w:r>
            <w:r>
              <w:rPr>
                <w:rStyle w:val="71"/>
                <w:rFonts w:ascii="Times New Roman" w:hAnsi="Times New Roman" w:eastAsia="宋体" w:cs="Times New Roman"/>
                <w:spacing w:val="0"/>
                <w:vertAlign w:val="subscript"/>
              </w:rPr>
              <w:t>max</w:t>
            </w:r>
          </w:p>
        </w:tc>
        <w:tc>
          <w:tcPr>
            <w:tcW w:w="1253"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7"/>
                <w:rFonts w:ascii="Times New Roman" w:hAnsi="Times New Roman" w:eastAsia="宋体" w:cs="Times New Roman"/>
                <w:spacing w:val="0"/>
                <w:sz w:val="18"/>
                <w:szCs w:val="18"/>
              </w:rPr>
              <w:t>l</w:t>
            </w:r>
            <w:r>
              <w:rPr>
                <w:rStyle w:val="71"/>
                <w:rFonts w:ascii="Times New Roman" w:hAnsi="Times New Roman" w:eastAsia="宋体" w:cs="Times New Roman"/>
                <w:spacing w:val="0"/>
              </w:rPr>
              <w:t>/</w:t>
            </w:r>
            <w:r>
              <w:rPr>
                <w:rStyle w:val="77"/>
                <w:rFonts w:ascii="Times New Roman" w:hAnsi="Times New Roman" w:eastAsia="宋体" w:cs="Times New Roman"/>
                <w:spacing w:val="0"/>
                <w:sz w:val="18"/>
                <w:szCs w:val="18"/>
              </w:rPr>
              <w:t>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08" w:hRule="exact"/>
          <w:jc w:val="center"/>
        </w:trPr>
        <w:tc>
          <w:tcPr>
            <w:tcW w:w="2064"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Times New Roman" w:hAnsi="Times New Roman" w:eastAsia="宋体" w:cs="Times New Roman"/>
                <w:spacing w:val="0"/>
                <w:lang w:val="zh-CN"/>
              </w:rPr>
              <w:t>6</w:t>
            </w:r>
            <w:r>
              <w:rPr>
                <w:rFonts w:ascii="Times New Roman" w:hAnsi="Times New Roman" w:eastAsia="宋体" w:cs="Times New Roman"/>
                <w:spacing w:val="0"/>
                <w:sz w:val="18"/>
                <w:szCs w:val="18"/>
              </w:rPr>
              <w:t>、</w:t>
            </w:r>
            <w:r>
              <w:rPr>
                <w:rStyle w:val="71"/>
                <w:rFonts w:ascii="Times New Roman" w:hAnsi="Times New Roman" w:eastAsia="宋体" w:cs="Times New Roman"/>
                <w:spacing w:val="0"/>
              </w:rPr>
              <w:t>7</w:t>
            </w:r>
            <w:r>
              <w:rPr>
                <w:rFonts w:ascii="Times New Roman" w:hAnsi="Times New Roman" w:eastAsia="宋体" w:cs="Times New Roman"/>
                <w:spacing w:val="0"/>
                <w:sz w:val="18"/>
                <w:szCs w:val="18"/>
              </w:rPr>
              <w:t>度</w:t>
            </w:r>
          </w:p>
        </w:tc>
        <w:tc>
          <w:tcPr>
            <w:tcW w:w="1219"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hint="eastAsia" w:ascii="宋体" w:hAnsi="宋体" w:eastAsia="宋体" w:cs="Times New Roman"/>
                <w:spacing w:val="0"/>
                <w:sz w:val="18"/>
                <w:szCs w:val="18"/>
              </w:rPr>
              <w:t>≤</w:t>
            </w:r>
            <w:r>
              <w:rPr>
                <w:rStyle w:val="71"/>
                <w:rFonts w:ascii="Times New Roman" w:hAnsi="Times New Roman" w:eastAsia="宋体" w:cs="Times New Roman"/>
                <w:spacing w:val="0"/>
              </w:rPr>
              <w:t>6.0</w:t>
            </w:r>
          </w:p>
        </w:tc>
        <w:tc>
          <w:tcPr>
            <w:tcW w:w="1234"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hint="eastAsia" w:ascii="宋体" w:hAnsi="宋体" w:eastAsia="宋体" w:cs="Times New Roman"/>
                <w:spacing w:val="0"/>
                <w:sz w:val="18"/>
                <w:szCs w:val="18"/>
              </w:rPr>
              <w:t>≤</w:t>
            </w:r>
            <w:r>
              <w:rPr>
                <w:rStyle w:val="71"/>
                <w:rFonts w:ascii="Times New Roman" w:hAnsi="Times New Roman" w:eastAsia="宋体" w:cs="Times New Roman"/>
                <w:spacing w:val="0"/>
              </w:rPr>
              <w:t>0.35</w:t>
            </w:r>
          </w:p>
        </w:tc>
        <w:tc>
          <w:tcPr>
            <w:tcW w:w="1253"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hint="eastAsia" w:ascii="宋体" w:hAnsi="宋体" w:eastAsia="宋体" w:cs="Times New Roman"/>
                <w:spacing w:val="0"/>
                <w:sz w:val="18"/>
                <w:szCs w:val="18"/>
              </w:rPr>
              <w:t>≤</w:t>
            </w:r>
            <w:r>
              <w:rPr>
                <w:rStyle w:val="71"/>
                <w:rFonts w:ascii="Times New Roman" w:hAnsi="Times New Roman" w:eastAsia="宋体" w:cs="Times New Roman"/>
                <w:spacing w:val="0"/>
              </w:rPr>
              <w:t>2.0</w:t>
            </w:r>
          </w:p>
        </w:tc>
      </w:tr>
    </w:tbl>
    <w:p>
      <w:pPr>
        <w:pStyle w:val="95"/>
        <w:shd w:val="clear" w:color="auto" w:fill="auto"/>
        <w:spacing w:before="120" w:beforeLines="50" w:line="240" w:lineRule="auto"/>
        <w:ind w:firstLine="442"/>
        <w:jc w:val="left"/>
        <w:rPr>
          <w:rFonts w:ascii="Times New Roman" w:hAnsi="Times New Roman" w:eastAsia="宋体" w:cs="Times New Roman"/>
          <w:spacing w:val="0"/>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平面突出部分的长度</w:t>
      </w:r>
      <w:r>
        <w:rPr>
          <w:rStyle w:val="107"/>
          <w:rFonts w:ascii="Times New Roman" w:hAnsi="Times New Roman" w:eastAsia="宋体" w:cs="Times New Roman"/>
          <w:spacing w:val="0"/>
          <w:sz w:val="21"/>
          <w:szCs w:val="21"/>
          <w:lang w:val="zh-CN"/>
        </w:rPr>
        <w:t>L</w:t>
      </w:r>
      <w:r>
        <w:rPr>
          <w:rFonts w:ascii="Times New Roman" w:hAnsi="Times New Roman" w:eastAsia="宋体" w:cs="Times New Roman"/>
          <w:spacing w:val="0"/>
          <w:sz w:val="21"/>
          <w:szCs w:val="21"/>
        </w:rPr>
        <w:t>不宜过大、宽度</w:t>
      </w:r>
      <w:r>
        <w:rPr>
          <w:rStyle w:val="107"/>
          <w:rFonts w:ascii="Times New Roman" w:hAnsi="Times New Roman" w:eastAsia="宋体" w:cs="Times New Roman"/>
          <w:spacing w:val="0"/>
          <w:sz w:val="21"/>
          <w:szCs w:val="21"/>
        </w:rPr>
        <w:t>b</w:t>
      </w:r>
      <w:r>
        <w:rPr>
          <w:rFonts w:ascii="Times New Roman" w:hAnsi="Times New Roman" w:eastAsia="宋体" w:cs="Times New Roman"/>
          <w:spacing w:val="0"/>
          <w:sz w:val="21"/>
          <w:szCs w:val="21"/>
        </w:rPr>
        <w:t>不宜过小（图</w:t>
      </w:r>
      <w:r>
        <w:rPr>
          <w:rStyle w:val="100"/>
          <w:rFonts w:ascii="Times New Roman" w:hAnsi="Times New Roman" w:eastAsia="宋体" w:cs="Times New Roman"/>
          <w:spacing w:val="0"/>
          <w:sz w:val="21"/>
          <w:szCs w:val="21"/>
          <w:lang w:val="zh-CN"/>
        </w:rPr>
        <w:t>1</w:t>
      </w:r>
      <w:r>
        <w:rPr>
          <w:rStyle w:val="107"/>
          <w:rFonts w:ascii="Times New Roman" w:hAnsi="Times New Roman" w:eastAsia="宋体" w:cs="Times New Roman"/>
          <w:spacing w:val="0"/>
          <w:sz w:val="21"/>
          <w:szCs w:val="21"/>
          <w:lang w:val="zh-CN"/>
        </w:rPr>
        <w:t>），</w:t>
      </w:r>
      <w:r>
        <w:rPr>
          <w:rFonts w:ascii="Times New Roman" w:hAnsi="Times New Roman" w:eastAsia="宋体" w:cs="Times New Roman"/>
          <w:position w:val="-12"/>
          <w:sz w:val="21"/>
          <w:szCs w:val="21"/>
        </w:rPr>
        <w:object>
          <v:shape id="_x0000_i1045" o:spt="75" type="#_x0000_t75" style="height:14.5pt;width:29pt;" o:ole="t" filled="f" o:preferrelative="t" stroked="f" coordsize="21600,21600">
            <v:path/>
            <v:fill on="f" focussize="0,0"/>
            <v:stroke on="f" joinstyle="miter"/>
            <v:imagedata r:id="rId55" o:title=""/>
            <o:lock v:ext="edit" aspectratio="t"/>
            <w10:wrap type="none"/>
            <w10:anchorlock/>
          </v:shape>
          <o:OLEObject Type="Embed" ProgID="Equation.DSMT4" ShapeID="_x0000_i1045" DrawAspect="Content" ObjectID="_1468075745" r:id="rId54">
            <o:LockedField>false</o:LockedField>
          </o:OLEObject>
        </w:object>
      </w:r>
      <w:r>
        <w:rPr>
          <w:rStyle w:val="107"/>
          <w:rFonts w:ascii="Times New Roman" w:hAnsi="Times New Roman" w:eastAsia="宋体" w:cs="Times New Roman"/>
          <w:spacing w:val="0"/>
          <w:sz w:val="21"/>
          <w:szCs w:val="21"/>
          <w:lang w:val="zh-CN"/>
        </w:rPr>
        <w:t>、</w:t>
      </w:r>
      <w:r>
        <w:rPr>
          <w:rFonts w:ascii="Times New Roman" w:hAnsi="Times New Roman" w:eastAsia="宋体" w:cs="Times New Roman"/>
          <w:position w:val="-10"/>
          <w:sz w:val="21"/>
          <w:szCs w:val="21"/>
        </w:rPr>
        <w:object>
          <v:shape id="_x0000_i1046" o:spt="75" type="#_x0000_t75" style="height:14.5pt;width:14.5pt;" o:ole="t" filled="f" o:preferrelative="t" stroked="f" coordsize="21600,21600">
            <v:path/>
            <v:fill on="f" focussize="0,0"/>
            <v:stroke on="f" joinstyle="miter"/>
            <v:imagedata r:id="rId57" o:title=""/>
            <o:lock v:ext="edit" aspectratio="t"/>
            <w10:wrap type="none"/>
            <w10:anchorlock/>
          </v:shape>
          <o:OLEObject Type="Embed" ProgID="Equation.DSMT4" ShapeID="_x0000_i1046" DrawAspect="Content" ObjectID="_1468075746" r:id="rId56">
            <o:LockedField>false</o:LockedField>
          </o:OLEObject>
        </w:object>
      </w:r>
      <w:r>
        <w:rPr>
          <w:rFonts w:ascii="Times New Roman" w:hAnsi="Times New Roman" w:eastAsia="宋体" w:cs="Times New Roman"/>
          <w:spacing w:val="0"/>
          <w:sz w:val="21"/>
          <w:szCs w:val="21"/>
        </w:rPr>
        <w:t>宜符合表</w:t>
      </w:r>
      <w:r>
        <w:rPr>
          <w:rStyle w:val="100"/>
          <w:rFonts w:ascii="Times New Roman" w:hAnsi="Times New Roman" w:eastAsia="宋体" w:cs="Times New Roman"/>
          <w:spacing w:val="0"/>
          <w:sz w:val="21"/>
          <w:szCs w:val="21"/>
        </w:rPr>
        <w:t>6</w:t>
      </w:r>
      <w:r>
        <w:rPr>
          <w:rFonts w:ascii="Times New Roman" w:hAnsi="Times New Roman" w:eastAsia="宋体" w:cs="Times New Roman"/>
          <w:spacing w:val="0"/>
          <w:sz w:val="21"/>
          <w:szCs w:val="21"/>
        </w:rPr>
        <w:t>的要求</w:t>
      </w:r>
      <w:r>
        <w:rPr>
          <w:rStyle w:val="100"/>
          <w:rFonts w:ascii="Times New Roman" w:hAnsi="Times New Roman" w:eastAsia="宋体" w:cs="Times New Roman"/>
          <w:spacing w:val="0"/>
          <w:sz w:val="21"/>
          <w:szCs w:val="21"/>
          <w:lang w:val="zh-CN"/>
        </w:rPr>
        <w:t>；</w:t>
      </w:r>
    </w:p>
    <w:p>
      <w:pPr>
        <w:pStyle w:val="95"/>
        <w:shd w:val="clear" w:color="auto" w:fill="auto"/>
        <w:spacing w:line="240" w:lineRule="auto"/>
        <w:ind w:firstLine="442"/>
        <w:jc w:val="left"/>
        <w:rPr>
          <w:rFonts w:ascii="Times New Roman" w:hAnsi="Times New Roman" w:eastAsia="宋体" w:cs="Times New Roman"/>
          <w:spacing w:val="0"/>
          <w:sz w:val="21"/>
          <w:szCs w:val="21"/>
        </w:rPr>
      </w:pPr>
      <w:r>
        <w:rPr>
          <w:rFonts w:ascii="宋体" w:hAnsi="宋体" w:eastAsia="宋体" w:cs="Times New Roman"/>
          <w:spacing w:val="0"/>
          <w:sz w:val="21"/>
          <w:szCs w:val="21"/>
        </w:rPr>
        <w:t>d</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建筑平面不宜采用角部重叠或细腰形平面布置。</w:t>
      </w:r>
    </w:p>
    <w:p>
      <w:pPr>
        <w:pStyle w:val="51"/>
        <w:numPr>
          <w:ilvl w:val="0"/>
          <w:numId w:val="16"/>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高层装配整体式结构宜设置地下室。</w:t>
      </w:r>
    </w:p>
    <w:p>
      <w:pPr>
        <w:pStyle w:val="210"/>
        <w:spacing w:before="240" w:after="240"/>
        <w:outlineLvl w:val="2"/>
        <w:rPr>
          <w:rFonts w:ascii="黑体" w:hAnsi="黑体" w:eastAsia="黑体"/>
          <w:b w:val="0"/>
          <w:sz w:val="21"/>
          <w:szCs w:val="21"/>
        </w:rPr>
      </w:pPr>
      <w:bookmarkStart w:id="113" w:name="_Toc172187830"/>
      <w:bookmarkStart w:id="114" w:name="_Toc172188891"/>
      <w:bookmarkStart w:id="115" w:name="_Toc172188615"/>
      <w:bookmarkStart w:id="116" w:name="_Toc10786"/>
      <w:bookmarkStart w:id="117" w:name="bookmark20"/>
      <w:r>
        <w:rPr>
          <w:rFonts w:ascii="黑体" w:hAnsi="黑体" w:eastAsia="黑体"/>
          <w:b w:val="0"/>
          <w:sz w:val="21"/>
          <w:szCs w:val="21"/>
        </w:rPr>
        <w:t>7.4 作用及作用组合</w:t>
      </w:r>
      <w:bookmarkEnd w:id="113"/>
      <w:bookmarkEnd w:id="114"/>
      <w:bookmarkEnd w:id="115"/>
      <w:bookmarkEnd w:id="116"/>
      <w:bookmarkEnd w:id="117"/>
    </w:p>
    <w:p>
      <w:pPr>
        <w:pStyle w:val="51"/>
        <w:numPr>
          <w:ilvl w:val="0"/>
          <w:numId w:val="17"/>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装配整体式结构的作用及作用组合应根据现行国家标准</w:t>
      </w:r>
      <w:r>
        <w:rPr>
          <w:rStyle w:val="71"/>
          <w:rFonts w:ascii="Times New Roman" w:hAnsi="Times New Roman" w:eastAsia="宋体" w:cs="Times New Roman"/>
          <w:spacing w:val="0"/>
          <w:sz w:val="21"/>
          <w:szCs w:val="21"/>
        </w:rPr>
        <w:t xml:space="preserve">GB </w:t>
      </w:r>
      <w:r>
        <w:rPr>
          <w:rStyle w:val="71"/>
          <w:rFonts w:ascii="Times New Roman" w:hAnsi="Times New Roman" w:eastAsia="宋体" w:cs="Times New Roman"/>
          <w:spacing w:val="0"/>
          <w:sz w:val="21"/>
          <w:szCs w:val="21"/>
          <w:lang w:val="zh-CN"/>
        </w:rPr>
        <w:t>50009</w:t>
      </w:r>
      <w:r>
        <w:rPr>
          <w:rFonts w:ascii="Times New Roman" w:hAnsi="Times New Roman" w:eastAsia="宋体" w:cs="Times New Roman"/>
          <w:spacing w:val="0"/>
          <w:sz w:val="21"/>
          <w:szCs w:val="21"/>
        </w:rPr>
        <w:t>、</w:t>
      </w:r>
      <w:r>
        <w:rPr>
          <w:rStyle w:val="71"/>
          <w:rFonts w:ascii="Times New Roman" w:hAnsi="Times New Roman" w:eastAsia="宋体" w:cs="Times New Roman"/>
          <w:spacing w:val="0"/>
          <w:sz w:val="21"/>
          <w:szCs w:val="21"/>
        </w:rPr>
        <w:t>GB/T 50011</w:t>
      </w:r>
      <w:r>
        <w:rPr>
          <w:rFonts w:ascii="Times New Roman" w:hAnsi="Times New Roman" w:eastAsia="宋体" w:cs="Times New Roman"/>
          <w:spacing w:val="0"/>
          <w:sz w:val="21"/>
          <w:szCs w:val="21"/>
        </w:rPr>
        <w:t>、</w:t>
      </w:r>
      <w:r>
        <w:rPr>
          <w:rStyle w:val="109"/>
          <w:rFonts w:ascii="Times New Roman" w:hAnsi="Times New Roman" w:eastAsia="宋体" w:cs="Times New Roman"/>
          <w:spacing w:val="0"/>
          <w:sz w:val="21"/>
          <w:szCs w:val="21"/>
        </w:rPr>
        <w:t>JGJ</w:t>
      </w:r>
      <w:r>
        <w:rPr>
          <w:rStyle w:val="71"/>
          <w:rFonts w:ascii="Times New Roman" w:hAnsi="Times New Roman" w:eastAsia="宋体" w:cs="Times New Roman"/>
          <w:spacing w:val="0"/>
          <w:sz w:val="21"/>
          <w:szCs w:val="21"/>
        </w:rPr>
        <w:t xml:space="preserve"> 3</w:t>
      </w:r>
      <w:r>
        <w:rPr>
          <w:rFonts w:ascii="Times New Roman" w:hAnsi="Times New Roman" w:eastAsia="宋体" w:cs="Times New Roman"/>
          <w:spacing w:val="0"/>
          <w:sz w:val="21"/>
          <w:szCs w:val="21"/>
        </w:rPr>
        <w:t>和</w:t>
      </w:r>
      <w:r>
        <w:rPr>
          <w:rStyle w:val="71"/>
          <w:rFonts w:ascii="Times New Roman" w:hAnsi="Times New Roman" w:eastAsia="宋体" w:cs="Times New Roman"/>
          <w:spacing w:val="0"/>
          <w:sz w:val="21"/>
          <w:szCs w:val="21"/>
        </w:rPr>
        <w:t>GB 50666</w:t>
      </w:r>
      <w:r>
        <w:rPr>
          <w:rFonts w:ascii="Times New Roman" w:hAnsi="Times New Roman" w:eastAsia="宋体" w:cs="Times New Roman"/>
          <w:spacing w:val="0"/>
          <w:sz w:val="21"/>
          <w:szCs w:val="21"/>
        </w:rPr>
        <w:t>确定。</w:t>
      </w:r>
    </w:p>
    <w:p>
      <w:pPr>
        <w:pStyle w:val="51"/>
        <w:numPr>
          <w:ilvl w:val="0"/>
          <w:numId w:val="17"/>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预制构件在翻转、运输、吊运、安装等短暂设计状况下的施工验算，应将构件自重标准值乘以动力系数后作为等效静力荷载标准值。构件运输、吊运时，动力系数宜取</w:t>
      </w:r>
      <w:r>
        <w:rPr>
          <w:rStyle w:val="71"/>
          <w:rFonts w:ascii="Times New Roman" w:hAnsi="Times New Roman" w:eastAsia="宋体" w:cs="Times New Roman"/>
          <w:spacing w:val="0"/>
          <w:sz w:val="21"/>
          <w:szCs w:val="21"/>
        </w:rPr>
        <w:t>1.5</w:t>
      </w:r>
      <w:r>
        <w:rPr>
          <w:rFonts w:ascii="Times New Roman" w:hAnsi="Times New Roman" w:eastAsia="宋体" w:cs="Times New Roman"/>
          <w:spacing w:val="0"/>
          <w:sz w:val="21"/>
          <w:szCs w:val="21"/>
        </w:rPr>
        <w:t>；构件翻转及安装过程中就位、临时固定时，动力系数可取</w:t>
      </w:r>
      <w:r>
        <w:rPr>
          <w:rStyle w:val="71"/>
          <w:rFonts w:ascii="Times New Roman" w:hAnsi="Times New Roman" w:eastAsia="宋体" w:cs="Times New Roman"/>
          <w:spacing w:val="0"/>
          <w:sz w:val="21"/>
          <w:szCs w:val="21"/>
          <w:lang w:val="zh-CN"/>
        </w:rPr>
        <w:t>1.2</w:t>
      </w:r>
      <w:r>
        <w:rPr>
          <w:rFonts w:ascii="Times New Roman" w:hAnsi="Times New Roman" w:eastAsia="宋体" w:cs="Times New Roman"/>
          <w:spacing w:val="0"/>
          <w:sz w:val="21"/>
          <w:szCs w:val="21"/>
        </w:rPr>
        <w:t>。</w:t>
      </w:r>
    </w:p>
    <w:p>
      <w:pPr>
        <w:pStyle w:val="51"/>
        <w:numPr>
          <w:ilvl w:val="0"/>
          <w:numId w:val="17"/>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预制构件进行脱模验算时，等效静力荷载标准值应取构件自重标准值乘以动力系数后与脱模吸附力之和，且不宜小于构件自重标准值的</w:t>
      </w:r>
      <w:r>
        <w:rPr>
          <w:rStyle w:val="71"/>
          <w:rFonts w:ascii="Times New Roman" w:hAnsi="Times New Roman" w:eastAsia="宋体" w:cs="Times New Roman"/>
          <w:spacing w:val="0"/>
          <w:sz w:val="21"/>
          <w:szCs w:val="21"/>
        </w:rPr>
        <w:t>1.5</w:t>
      </w:r>
      <w:r>
        <w:rPr>
          <w:rFonts w:ascii="Times New Roman" w:hAnsi="Times New Roman" w:eastAsia="宋体" w:cs="Times New Roman"/>
          <w:spacing w:val="0"/>
          <w:sz w:val="21"/>
          <w:szCs w:val="21"/>
        </w:rPr>
        <w:t>倍。动力系数与脱模吸附力应符合下列规定：</w:t>
      </w:r>
    </w:p>
    <w:p>
      <w:pPr>
        <w:pStyle w:val="51"/>
        <w:shd w:val="clear" w:color="auto" w:fill="auto"/>
        <w:tabs>
          <w:tab w:val="left" w:pos="772"/>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动力系数不宜小于</w:t>
      </w:r>
      <w:r>
        <w:rPr>
          <w:rStyle w:val="71"/>
          <w:rFonts w:ascii="Times New Roman" w:hAnsi="Times New Roman" w:eastAsia="宋体" w:cs="Times New Roman"/>
          <w:spacing w:val="0"/>
          <w:sz w:val="21"/>
          <w:szCs w:val="21"/>
          <w:lang w:val="zh-CN"/>
        </w:rPr>
        <w:t>1.2</w:t>
      </w:r>
      <w:r>
        <w:rPr>
          <w:rFonts w:ascii="Times New Roman" w:hAnsi="Times New Roman" w:eastAsia="宋体" w:cs="Times New Roman"/>
          <w:spacing w:val="0"/>
          <w:sz w:val="21"/>
          <w:szCs w:val="21"/>
        </w:rPr>
        <w:t>；</w:t>
      </w:r>
    </w:p>
    <w:p>
      <w:pPr>
        <w:pStyle w:val="51"/>
        <w:shd w:val="clear" w:color="auto" w:fill="auto"/>
        <w:adjustRightInd w:val="0"/>
        <w:snapToGrid w:val="0"/>
        <w:spacing w:before="0" w:after="0" w:line="240" w:lineRule="auto"/>
        <w:ind w:firstLine="452" w:firstLineChars="200"/>
        <w:jc w:val="both"/>
        <w:rPr>
          <w:rFonts w:ascii="Times New Roman" w:hAnsi="Times New Roman" w:eastAsia="宋体" w:cs="Times New Roman"/>
          <w:spacing w:val="0"/>
          <w:sz w:val="21"/>
          <w:szCs w:val="21"/>
        </w:rPr>
      </w:pPr>
      <w:r>
        <w:rPr>
          <w:rFonts w:ascii="宋体" w:hAnsi="宋体"/>
          <w:sz w:val="21"/>
        </w:rPr>
        <w:t>b</w:t>
      </w:r>
      <w:r>
        <w:rPr>
          <w:rFonts w:hint="eastAsia" w:ascii="宋体" w:hAnsi="宋体"/>
          <w:sz w:val="21"/>
        </w:rPr>
        <w:t>）</w:t>
      </w:r>
      <w:r>
        <w:rPr>
          <w:rFonts w:ascii="Times New Roman" w:hAnsi="Times New Roman" w:eastAsia="宋体" w:cs="Times New Roman"/>
          <w:spacing w:val="0"/>
          <w:sz w:val="21"/>
          <w:szCs w:val="21"/>
        </w:rPr>
        <w:t>脱模吸附力应根据构件和模具的实际状况取用，且不宜小于</w:t>
      </w:r>
      <w:r>
        <w:rPr>
          <w:rStyle w:val="71"/>
          <w:rFonts w:ascii="Times New Roman" w:hAnsi="Times New Roman" w:eastAsia="宋体" w:cs="Times New Roman"/>
          <w:spacing w:val="0"/>
          <w:sz w:val="21"/>
          <w:szCs w:val="21"/>
        </w:rPr>
        <w:t>1.5kN/m</w:t>
      </w:r>
      <w:r>
        <w:rPr>
          <w:rFonts w:ascii="Times New Roman" w:hAnsi="Times New Roman" w:eastAsia="宋体" w:cs="Times New Roman"/>
          <w:spacing w:val="0"/>
          <w:sz w:val="21"/>
          <w:szCs w:val="21"/>
          <w:vertAlign w:val="superscript"/>
        </w:rPr>
        <w:t>2</w:t>
      </w:r>
      <w:r>
        <w:rPr>
          <w:rFonts w:ascii="Times New Roman" w:hAnsi="Times New Roman" w:eastAsia="宋体" w:cs="Times New Roman"/>
          <w:spacing w:val="0"/>
          <w:sz w:val="21"/>
          <w:szCs w:val="21"/>
        </w:rPr>
        <w:t>。</w:t>
      </w:r>
    </w:p>
    <w:p>
      <w:pPr>
        <w:pStyle w:val="210"/>
        <w:spacing w:before="240" w:after="240"/>
        <w:outlineLvl w:val="2"/>
        <w:rPr>
          <w:rFonts w:ascii="黑体" w:hAnsi="黑体" w:eastAsia="黑体"/>
          <w:b w:val="0"/>
          <w:sz w:val="21"/>
          <w:szCs w:val="21"/>
        </w:rPr>
      </w:pPr>
      <w:bookmarkStart w:id="118" w:name="_Toc29614"/>
      <w:bookmarkStart w:id="119" w:name="_Toc172187831"/>
      <w:bookmarkStart w:id="120" w:name="_Toc172188892"/>
      <w:bookmarkStart w:id="121" w:name="_Toc172188616"/>
      <w:r>
        <w:rPr>
          <w:rFonts w:ascii="黑体" w:hAnsi="黑体" w:eastAsia="黑体"/>
          <w:b w:val="0"/>
          <w:sz w:val="21"/>
          <w:szCs w:val="21"/>
        </w:rPr>
        <w:t>7.5 结构分析</w:t>
      </w:r>
      <w:bookmarkEnd w:id="118"/>
      <w:bookmarkEnd w:id="119"/>
      <w:bookmarkEnd w:id="120"/>
      <w:bookmarkEnd w:id="121"/>
    </w:p>
    <w:p>
      <w:pPr>
        <w:pStyle w:val="51"/>
        <w:numPr>
          <w:ilvl w:val="0"/>
          <w:numId w:val="18"/>
        </w:numPr>
        <w:shd w:val="clear" w:color="auto" w:fill="auto"/>
        <w:tabs>
          <w:tab w:val="left" w:pos="678"/>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装配整体式混凝土框架结构及框架-剪力墙结构可采用与现浇混凝土结构相同的方法进行结构分析。</w:t>
      </w:r>
    </w:p>
    <w:p>
      <w:pPr>
        <w:pStyle w:val="51"/>
        <w:numPr>
          <w:ilvl w:val="0"/>
          <w:numId w:val="18"/>
        </w:numPr>
        <w:shd w:val="clear" w:color="auto" w:fill="auto"/>
        <w:tabs>
          <w:tab w:val="left" w:pos="678"/>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装配整体式结构承载能力极限状态及正常使用极限状态的作用效应分析可采用弹性方法。</w:t>
      </w:r>
    </w:p>
    <w:p>
      <w:pPr>
        <w:pStyle w:val="51"/>
        <w:numPr>
          <w:ilvl w:val="0"/>
          <w:numId w:val="18"/>
        </w:numPr>
        <w:shd w:val="clear" w:color="auto" w:fill="auto"/>
        <w:tabs>
          <w:tab w:val="left" w:pos="678"/>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按弹性方法计算的风荷载或多遇地震标准值作用下的楼层层间最大位移</w:t>
      </w:r>
      <w:r>
        <w:rPr>
          <w:rStyle w:val="77"/>
          <w:rFonts w:hint="eastAsia" w:ascii="宋体" w:hAnsi="宋体" w:eastAsia="宋体" w:cs="宋体"/>
          <w:spacing w:val="0"/>
          <w:sz w:val="21"/>
          <w:szCs w:val="21"/>
        </w:rPr>
        <w:t>△</w:t>
      </w:r>
      <w:r>
        <w:rPr>
          <w:rStyle w:val="77"/>
          <w:rFonts w:ascii="Times New Roman" w:hAnsi="Times New Roman" w:eastAsia="宋体" w:cs="Times New Roman"/>
          <w:spacing w:val="0"/>
          <w:sz w:val="21"/>
          <w:szCs w:val="21"/>
        </w:rPr>
        <w:t>u</w:t>
      </w:r>
      <w:r>
        <w:rPr>
          <w:rStyle w:val="77"/>
          <w:rFonts w:ascii="Times New Roman" w:hAnsi="Times New Roman" w:eastAsia="宋体" w:cs="Times New Roman"/>
          <w:spacing w:val="0"/>
          <w:sz w:val="21"/>
          <w:szCs w:val="21"/>
          <w:vertAlign w:val="subscript"/>
        </w:rPr>
        <w:t>e</w:t>
      </w:r>
      <w:r>
        <w:rPr>
          <w:rFonts w:ascii="Times New Roman" w:hAnsi="Times New Roman" w:eastAsia="宋体" w:cs="Times New Roman"/>
          <w:spacing w:val="0"/>
          <w:sz w:val="21"/>
          <w:szCs w:val="21"/>
        </w:rPr>
        <w:t>与层高</w:t>
      </w:r>
      <w:r>
        <w:rPr>
          <w:rStyle w:val="77"/>
          <w:rFonts w:ascii="Times New Roman" w:hAnsi="Times New Roman" w:eastAsia="宋体" w:cs="Times New Roman"/>
          <w:spacing w:val="0"/>
          <w:sz w:val="21"/>
          <w:szCs w:val="21"/>
        </w:rPr>
        <w:t>h</w:t>
      </w:r>
      <w:r>
        <w:rPr>
          <w:rFonts w:ascii="Times New Roman" w:hAnsi="Times New Roman" w:eastAsia="宋体" w:cs="Times New Roman"/>
          <w:spacing w:val="0"/>
          <w:sz w:val="21"/>
          <w:szCs w:val="21"/>
        </w:rPr>
        <w:t>之比应符合表</w:t>
      </w:r>
      <w:r>
        <w:rPr>
          <w:rStyle w:val="71"/>
          <w:rFonts w:ascii="Times New Roman" w:hAnsi="Times New Roman" w:eastAsia="宋体" w:cs="Times New Roman"/>
          <w:spacing w:val="0"/>
          <w:sz w:val="21"/>
          <w:szCs w:val="21"/>
        </w:rPr>
        <w:t>7的规定</w:t>
      </w:r>
      <w:r>
        <w:rPr>
          <w:rFonts w:ascii="Times New Roman" w:hAnsi="Times New Roman" w:eastAsia="宋体" w:cs="Times New Roman"/>
          <w:spacing w:val="0"/>
          <w:sz w:val="21"/>
          <w:szCs w:val="21"/>
        </w:rPr>
        <w:t>。</w:t>
      </w:r>
    </w:p>
    <w:p>
      <w:pPr>
        <w:pStyle w:val="83"/>
        <w:shd w:val="clear" w:color="auto" w:fill="auto"/>
        <w:spacing w:before="120" w:beforeLines="50" w:after="120" w:afterLines="50" w:line="240" w:lineRule="auto"/>
        <w:jc w:val="center"/>
        <w:rPr>
          <w:rFonts w:ascii="黑体" w:hAnsi="黑体" w:eastAsia="黑体" w:cs="Times New Roman"/>
          <w:b w:val="0"/>
          <w:bCs w:val="0"/>
          <w:spacing w:val="0"/>
          <w:sz w:val="21"/>
          <w:szCs w:val="21"/>
        </w:rPr>
      </w:pPr>
      <w:r>
        <w:rPr>
          <w:rFonts w:ascii="黑体" w:hAnsi="黑体" w:eastAsia="黑体" w:cs="Times New Roman"/>
          <w:b w:val="0"/>
          <w:bCs w:val="0"/>
          <w:sz w:val="21"/>
          <w:szCs w:val="21"/>
        </w:rPr>
        <w:t>表7  楼层层间最大位移与层高之比的限值</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5191"/>
        <w:gridCol w:w="17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18" w:hRule="exact"/>
          <w:jc w:val="center"/>
        </w:trPr>
        <w:tc>
          <w:tcPr>
            <w:tcW w:w="5191"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结构类型</w:t>
            </w:r>
          </w:p>
        </w:tc>
        <w:tc>
          <w:tcPr>
            <w:tcW w:w="1757"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7"/>
                <w:rFonts w:hint="eastAsia" w:ascii="宋体" w:hAnsi="宋体" w:eastAsia="宋体" w:cs="宋体"/>
                <w:spacing w:val="0"/>
                <w:sz w:val="18"/>
                <w:szCs w:val="18"/>
              </w:rPr>
              <w:t>△</w:t>
            </w:r>
            <w:r>
              <w:rPr>
                <w:rStyle w:val="77"/>
                <w:rFonts w:ascii="Times New Roman" w:hAnsi="Times New Roman" w:eastAsia="宋体" w:cs="Times New Roman"/>
                <w:spacing w:val="0"/>
                <w:sz w:val="18"/>
                <w:szCs w:val="18"/>
              </w:rPr>
              <w:t>u</w:t>
            </w:r>
            <w:r>
              <w:rPr>
                <w:rStyle w:val="77"/>
                <w:rFonts w:ascii="Times New Roman" w:hAnsi="Times New Roman" w:eastAsia="宋体" w:cs="Times New Roman"/>
                <w:spacing w:val="0"/>
                <w:sz w:val="18"/>
                <w:szCs w:val="18"/>
                <w:vertAlign w:val="subscript"/>
              </w:rPr>
              <w:t>e</w:t>
            </w:r>
            <w:r>
              <w:rPr>
                <w:rStyle w:val="77"/>
                <w:rFonts w:ascii="Times New Roman" w:hAnsi="Times New Roman" w:eastAsia="宋体" w:cs="Times New Roman"/>
                <w:spacing w:val="0"/>
                <w:sz w:val="18"/>
                <w:szCs w:val="18"/>
              </w:rPr>
              <w:t>/h</w:t>
            </w:r>
            <w:r>
              <w:rPr>
                <w:rFonts w:ascii="Times New Roman" w:hAnsi="Times New Roman" w:eastAsia="宋体" w:cs="Times New Roman"/>
                <w:spacing w:val="0"/>
                <w:sz w:val="18"/>
                <w:szCs w:val="18"/>
              </w:rPr>
              <w:t>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18" w:hRule="exact"/>
          <w:jc w:val="center"/>
        </w:trPr>
        <w:tc>
          <w:tcPr>
            <w:tcW w:w="5191"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装配整体式框架结构</w:t>
            </w:r>
          </w:p>
        </w:tc>
        <w:tc>
          <w:tcPr>
            <w:tcW w:w="1757"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Times New Roman" w:hAnsi="Times New Roman" w:eastAsia="宋体" w:cs="Times New Roman"/>
                <w:spacing w:val="0"/>
                <w:lang w:val="zh-CN"/>
              </w:rPr>
              <w:t>1/550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18" w:hRule="exact"/>
          <w:jc w:val="center"/>
        </w:trPr>
        <w:tc>
          <w:tcPr>
            <w:tcW w:w="5191"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装配整体式框架-现浇剪力墙结构</w:t>
            </w:r>
          </w:p>
        </w:tc>
        <w:tc>
          <w:tcPr>
            <w:tcW w:w="1757" w:type="dxa"/>
            <w:shd w:val="clear" w:color="auto" w:fill="FFFFFF"/>
            <w:vAlign w:val="center"/>
          </w:tcPr>
          <w:p>
            <w:pPr>
              <w:pStyle w:val="51"/>
              <w:shd w:val="clear" w:color="auto" w:fill="auto"/>
              <w:spacing w:before="0" w:after="0" w:line="240" w:lineRule="auto"/>
              <w:ind w:firstLine="0"/>
              <w:jc w:val="center"/>
              <w:rPr>
                <w:rStyle w:val="71"/>
                <w:rFonts w:ascii="Times New Roman" w:hAnsi="Times New Roman" w:eastAsia="宋体" w:cs="Times New Roman"/>
                <w:spacing w:val="0"/>
                <w:lang w:val="zh-CN"/>
              </w:rPr>
            </w:pPr>
            <w:r>
              <w:rPr>
                <w:rStyle w:val="71"/>
                <w:rFonts w:ascii="Times New Roman" w:hAnsi="Times New Roman" w:eastAsia="宋体" w:cs="Times New Roman"/>
                <w:spacing w:val="0"/>
                <w:lang w:val="zh-CN"/>
              </w:rPr>
              <w:t>1/800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18" w:hRule="exact"/>
          <w:jc w:val="center"/>
        </w:trPr>
        <w:tc>
          <w:tcPr>
            <w:tcW w:w="5191"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装配整体式框架-</w:t>
            </w:r>
            <w:r>
              <w:rPr>
                <w:rFonts w:hint="eastAsia" w:ascii="Times New Roman" w:hAnsi="Times New Roman" w:eastAsia="宋体" w:cs="Times New Roman"/>
                <w:spacing w:val="0"/>
                <w:sz w:val="18"/>
                <w:szCs w:val="18"/>
              </w:rPr>
              <w:t>叠合</w:t>
            </w:r>
            <w:r>
              <w:rPr>
                <w:rFonts w:ascii="Times New Roman" w:hAnsi="Times New Roman" w:eastAsia="宋体" w:cs="Times New Roman"/>
                <w:spacing w:val="0"/>
                <w:sz w:val="18"/>
                <w:szCs w:val="18"/>
              </w:rPr>
              <w:t>剪力墙结构</w:t>
            </w:r>
          </w:p>
        </w:tc>
        <w:tc>
          <w:tcPr>
            <w:tcW w:w="1757" w:type="dxa"/>
            <w:shd w:val="clear" w:color="auto" w:fill="FFFFFF"/>
            <w:vAlign w:val="center"/>
          </w:tcPr>
          <w:p>
            <w:pPr>
              <w:pStyle w:val="51"/>
              <w:shd w:val="clear" w:color="auto" w:fill="auto"/>
              <w:spacing w:before="0" w:after="0" w:line="240" w:lineRule="auto"/>
              <w:ind w:firstLine="0"/>
              <w:jc w:val="center"/>
              <w:rPr>
                <w:rStyle w:val="71"/>
                <w:rFonts w:ascii="Times New Roman" w:hAnsi="Times New Roman" w:eastAsia="宋体" w:cs="Times New Roman"/>
                <w:spacing w:val="0"/>
                <w:lang w:val="zh-CN"/>
              </w:rPr>
            </w:pPr>
            <w:r>
              <w:rPr>
                <w:rStyle w:val="71"/>
                <w:rFonts w:hint="eastAsia" w:ascii="Times New Roman" w:hAnsi="Times New Roman" w:eastAsia="宋体" w:cs="Times New Roman"/>
                <w:spacing w:val="0"/>
                <w:lang w:val="zh-CN"/>
              </w:rPr>
              <w:t>1/800</w:t>
            </w:r>
          </w:p>
        </w:tc>
      </w:tr>
    </w:tbl>
    <w:p>
      <w:pPr>
        <w:pStyle w:val="51"/>
        <w:numPr>
          <w:ilvl w:val="0"/>
          <w:numId w:val="18"/>
        </w:numPr>
        <w:shd w:val="clear" w:color="auto" w:fill="auto"/>
        <w:tabs>
          <w:tab w:val="left" w:pos="678"/>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罕遇地震作用下，结构薄弱层（部位）弹塑性层间位移</w:t>
      </w:r>
      <w:r>
        <w:rPr>
          <w:rFonts w:hint="eastAsia" w:ascii="宋体" w:hAnsi="宋体" w:eastAsia="宋体" w:cs="宋体"/>
          <w:spacing w:val="0"/>
          <w:sz w:val="21"/>
          <w:szCs w:val="21"/>
        </w:rPr>
        <w:t>△</w:t>
      </w:r>
      <w:r>
        <w:rPr>
          <w:rFonts w:ascii="Times New Roman" w:hAnsi="Times New Roman" w:eastAsia="宋体" w:cs="Times New Roman"/>
          <w:spacing w:val="0"/>
          <w:sz w:val="21"/>
          <w:szCs w:val="21"/>
        </w:rPr>
        <w:t>u</w:t>
      </w:r>
      <w:r>
        <w:rPr>
          <w:rFonts w:ascii="Times New Roman" w:hAnsi="Times New Roman" w:eastAsia="宋体" w:cs="Times New Roman"/>
          <w:spacing w:val="0"/>
          <w:sz w:val="21"/>
          <w:szCs w:val="21"/>
          <w:vertAlign w:val="subscript"/>
        </w:rPr>
        <w:t>p</w:t>
      </w:r>
      <w:r>
        <w:rPr>
          <w:rFonts w:ascii="Times New Roman" w:hAnsi="Times New Roman" w:eastAsia="宋体" w:cs="Times New Roman"/>
          <w:spacing w:val="0"/>
          <w:sz w:val="21"/>
          <w:szCs w:val="21"/>
        </w:rPr>
        <w:t>与层高h之比的限值应符合表8</w:t>
      </w:r>
      <w:r>
        <w:rPr>
          <w:rStyle w:val="71"/>
          <w:rFonts w:ascii="Times New Roman" w:hAnsi="Times New Roman" w:eastAsia="宋体" w:cs="Times New Roman"/>
          <w:spacing w:val="0"/>
          <w:sz w:val="21"/>
          <w:szCs w:val="21"/>
        </w:rPr>
        <w:t>的规定</w:t>
      </w:r>
      <w:r>
        <w:rPr>
          <w:rFonts w:ascii="Times New Roman" w:hAnsi="Times New Roman" w:eastAsia="宋体" w:cs="Times New Roman"/>
          <w:spacing w:val="0"/>
          <w:sz w:val="21"/>
          <w:szCs w:val="21"/>
        </w:rPr>
        <w:t>。</w:t>
      </w:r>
    </w:p>
    <w:p>
      <w:pPr>
        <w:pStyle w:val="83"/>
        <w:shd w:val="clear" w:color="auto" w:fill="auto"/>
        <w:spacing w:before="120" w:beforeLines="50" w:after="120" w:afterLines="50" w:line="240" w:lineRule="auto"/>
        <w:jc w:val="center"/>
        <w:rPr>
          <w:rFonts w:ascii="黑体" w:hAnsi="黑体" w:eastAsia="黑体" w:cs="Times New Roman"/>
          <w:b w:val="0"/>
          <w:bCs w:val="0"/>
          <w:spacing w:val="0"/>
          <w:sz w:val="21"/>
          <w:szCs w:val="21"/>
        </w:rPr>
      </w:pPr>
      <w:r>
        <w:rPr>
          <w:rFonts w:ascii="黑体" w:hAnsi="黑体" w:eastAsia="黑体" w:cs="Times New Roman"/>
          <w:b w:val="0"/>
          <w:bCs w:val="0"/>
          <w:sz w:val="21"/>
          <w:szCs w:val="21"/>
        </w:rPr>
        <w:t>表8  结构薄弱层（部位）弹塑性层间位移与层高之比的限值</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4570"/>
        <w:gridCol w:w="20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18" w:hRule="exact"/>
          <w:jc w:val="center"/>
        </w:trPr>
        <w:tc>
          <w:tcPr>
            <w:tcW w:w="4570"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结构类型</w:t>
            </w:r>
          </w:p>
        </w:tc>
        <w:tc>
          <w:tcPr>
            <w:tcW w:w="2046"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7"/>
                <w:rFonts w:hint="eastAsia" w:ascii="宋体" w:hAnsi="宋体" w:eastAsia="宋体" w:cs="宋体"/>
                <w:spacing w:val="0"/>
                <w:sz w:val="18"/>
                <w:szCs w:val="18"/>
              </w:rPr>
              <w:t>△</w:t>
            </w:r>
            <w:r>
              <w:rPr>
                <w:rStyle w:val="77"/>
                <w:rFonts w:ascii="Times New Roman" w:hAnsi="Times New Roman" w:eastAsia="宋体" w:cs="Times New Roman"/>
                <w:spacing w:val="0"/>
                <w:sz w:val="18"/>
                <w:szCs w:val="18"/>
              </w:rPr>
              <w:t>u</w:t>
            </w:r>
            <w:r>
              <w:rPr>
                <w:rStyle w:val="77"/>
                <w:rFonts w:ascii="Times New Roman" w:hAnsi="Times New Roman" w:eastAsia="宋体" w:cs="Times New Roman"/>
                <w:spacing w:val="0"/>
                <w:sz w:val="18"/>
                <w:szCs w:val="18"/>
                <w:vertAlign w:val="subscript"/>
              </w:rPr>
              <w:t>p</w:t>
            </w:r>
            <w:r>
              <w:rPr>
                <w:rStyle w:val="77"/>
                <w:rFonts w:ascii="Times New Roman" w:hAnsi="Times New Roman" w:eastAsia="宋体" w:cs="Times New Roman"/>
                <w:spacing w:val="0"/>
                <w:sz w:val="18"/>
                <w:szCs w:val="18"/>
              </w:rPr>
              <w:t>/h</w:t>
            </w:r>
            <w:r>
              <w:rPr>
                <w:rFonts w:ascii="Times New Roman" w:hAnsi="Times New Roman" w:eastAsia="宋体" w:cs="Times New Roman"/>
                <w:spacing w:val="0"/>
                <w:sz w:val="18"/>
                <w:szCs w:val="18"/>
              </w:rPr>
              <w:t>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18" w:hRule="exact"/>
          <w:jc w:val="center"/>
        </w:trPr>
        <w:tc>
          <w:tcPr>
            <w:tcW w:w="4570"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装配整体式框架结构</w:t>
            </w:r>
          </w:p>
        </w:tc>
        <w:tc>
          <w:tcPr>
            <w:tcW w:w="2046"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71"/>
                <w:rFonts w:ascii="Times New Roman" w:hAnsi="Times New Roman" w:eastAsia="宋体" w:cs="Times New Roman"/>
                <w:spacing w:val="0"/>
                <w:lang w:val="zh-CN"/>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18" w:hRule="exact"/>
          <w:jc w:val="center"/>
        </w:trPr>
        <w:tc>
          <w:tcPr>
            <w:tcW w:w="4570"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装配整体式框架-现浇剪力墙结构</w:t>
            </w:r>
          </w:p>
        </w:tc>
        <w:tc>
          <w:tcPr>
            <w:tcW w:w="2046" w:type="dxa"/>
            <w:shd w:val="clear" w:color="auto" w:fill="FFFFFF"/>
            <w:vAlign w:val="center"/>
          </w:tcPr>
          <w:p>
            <w:pPr>
              <w:pStyle w:val="51"/>
              <w:shd w:val="clear" w:color="auto" w:fill="auto"/>
              <w:spacing w:before="0" w:after="0" w:line="240" w:lineRule="auto"/>
              <w:ind w:firstLine="0"/>
              <w:jc w:val="center"/>
              <w:rPr>
                <w:rStyle w:val="71"/>
                <w:rFonts w:ascii="Times New Roman" w:hAnsi="Times New Roman" w:eastAsia="宋体" w:cs="Times New Roman"/>
                <w:spacing w:val="0"/>
                <w:lang w:val="zh-CN"/>
              </w:rPr>
            </w:pPr>
            <w:r>
              <w:rPr>
                <w:rStyle w:val="71"/>
                <w:rFonts w:ascii="Times New Roman" w:hAnsi="Times New Roman" w:eastAsia="宋体" w:cs="Times New Roman"/>
                <w:spacing w:val="0"/>
                <w:lang w:val="zh-CN"/>
              </w:rPr>
              <w:t>1/100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18" w:hRule="exact"/>
          <w:jc w:val="center"/>
        </w:trPr>
        <w:tc>
          <w:tcPr>
            <w:tcW w:w="4570"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Fonts w:ascii="Times New Roman" w:hAnsi="Times New Roman" w:eastAsia="宋体" w:cs="Times New Roman"/>
                <w:spacing w:val="0"/>
                <w:sz w:val="18"/>
                <w:szCs w:val="18"/>
              </w:rPr>
              <w:t>装配整体式框架-</w:t>
            </w:r>
            <w:r>
              <w:rPr>
                <w:rFonts w:hint="eastAsia" w:ascii="Times New Roman" w:hAnsi="Times New Roman" w:eastAsia="宋体" w:cs="Times New Roman"/>
                <w:spacing w:val="0"/>
                <w:sz w:val="18"/>
                <w:szCs w:val="18"/>
              </w:rPr>
              <w:t>叠合</w:t>
            </w:r>
            <w:r>
              <w:rPr>
                <w:rFonts w:ascii="Times New Roman" w:hAnsi="Times New Roman" w:eastAsia="宋体" w:cs="Times New Roman"/>
                <w:spacing w:val="0"/>
                <w:sz w:val="18"/>
                <w:szCs w:val="18"/>
              </w:rPr>
              <w:t>剪力墙结构</w:t>
            </w:r>
          </w:p>
        </w:tc>
        <w:tc>
          <w:tcPr>
            <w:tcW w:w="2046" w:type="dxa"/>
            <w:shd w:val="clear" w:color="auto" w:fill="FFFFFF"/>
            <w:vAlign w:val="center"/>
          </w:tcPr>
          <w:p>
            <w:pPr>
              <w:pStyle w:val="51"/>
              <w:shd w:val="clear" w:color="auto" w:fill="auto"/>
              <w:spacing w:before="0" w:after="0" w:line="240" w:lineRule="auto"/>
              <w:ind w:firstLine="0"/>
              <w:jc w:val="center"/>
              <w:rPr>
                <w:rStyle w:val="71"/>
                <w:rFonts w:ascii="Times New Roman" w:hAnsi="Times New Roman" w:eastAsia="宋体" w:cs="Times New Roman"/>
                <w:spacing w:val="0"/>
                <w:lang w:val="zh-CN"/>
              </w:rPr>
            </w:pPr>
            <w:r>
              <w:rPr>
                <w:rStyle w:val="71"/>
                <w:rFonts w:ascii="Times New Roman" w:hAnsi="Times New Roman" w:eastAsia="宋体" w:cs="Times New Roman"/>
                <w:spacing w:val="0"/>
                <w:lang w:val="zh-CN"/>
              </w:rPr>
              <w:t>1/100</w:t>
            </w:r>
          </w:p>
        </w:tc>
      </w:tr>
    </w:tbl>
    <w:p>
      <w:pPr>
        <w:pStyle w:val="51"/>
        <w:numPr>
          <w:ilvl w:val="0"/>
          <w:numId w:val="18"/>
        </w:numPr>
        <w:shd w:val="clear" w:color="auto" w:fill="auto"/>
        <w:tabs>
          <w:tab w:val="left" w:pos="678"/>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结构内力与位移计算时，现浇楼盖和叠合楼盖均可考虑板对梁刚度的增大作用；梁刚度增大系数可根据翼缘情况取1.3</w:t>
      </w:r>
      <w:r>
        <w:rPr>
          <w:rFonts w:ascii="Times New Roman" w:hAnsi="Times New Roman" w:eastAsia="等线" w:cs="Times New Roman"/>
          <w:spacing w:val="0"/>
          <w:sz w:val="21"/>
          <w:szCs w:val="21"/>
        </w:rPr>
        <w:t>~</w:t>
      </w:r>
      <w:r>
        <w:rPr>
          <w:rFonts w:ascii="Times New Roman" w:hAnsi="Times New Roman" w:eastAsia="宋体" w:cs="Times New Roman"/>
          <w:spacing w:val="0"/>
          <w:sz w:val="21"/>
          <w:szCs w:val="21"/>
        </w:rPr>
        <w:t>2.0。</w:t>
      </w:r>
    </w:p>
    <w:p>
      <w:pPr>
        <w:pStyle w:val="210"/>
        <w:spacing w:before="240" w:after="240"/>
        <w:outlineLvl w:val="2"/>
        <w:rPr>
          <w:rFonts w:ascii="黑体" w:hAnsi="黑体" w:eastAsia="黑体"/>
          <w:b w:val="0"/>
          <w:sz w:val="21"/>
          <w:szCs w:val="21"/>
        </w:rPr>
      </w:pPr>
      <w:bookmarkStart w:id="122" w:name="_Toc27773"/>
      <w:bookmarkStart w:id="123" w:name="_Toc172188893"/>
      <w:bookmarkStart w:id="124" w:name="_Toc172187832"/>
      <w:bookmarkStart w:id="125" w:name="_Toc172188617"/>
      <w:r>
        <w:rPr>
          <w:rFonts w:ascii="黑体" w:hAnsi="黑体" w:eastAsia="黑体"/>
          <w:b w:val="0"/>
          <w:sz w:val="21"/>
          <w:szCs w:val="21"/>
        </w:rPr>
        <w:t>7.6 预制构件设计</w:t>
      </w:r>
      <w:bookmarkEnd w:id="122"/>
      <w:bookmarkEnd w:id="123"/>
      <w:bookmarkEnd w:id="124"/>
      <w:bookmarkEnd w:id="125"/>
    </w:p>
    <w:p>
      <w:pPr>
        <w:pStyle w:val="51"/>
        <w:numPr>
          <w:ilvl w:val="0"/>
          <w:numId w:val="19"/>
        </w:numPr>
        <w:shd w:val="clear" w:color="auto" w:fill="auto"/>
        <w:spacing w:before="120" w:beforeLines="50" w:after="120" w:afterLines="50" w:line="240" w:lineRule="auto"/>
        <w:jc w:val="both"/>
        <w:rPr>
          <w:rStyle w:val="118"/>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预制构件的设计应符合下列规定：</w:t>
      </w:r>
    </w:p>
    <w:p>
      <w:pPr>
        <w:pStyle w:val="51"/>
        <w:shd w:val="clear" w:color="auto" w:fill="auto"/>
        <w:tabs>
          <w:tab w:val="left" w:pos="772"/>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对持久设计状况，应对预制构件进行承载力、变形、裂缝控制验算；</w:t>
      </w:r>
    </w:p>
    <w:p>
      <w:pPr>
        <w:pStyle w:val="51"/>
        <w:shd w:val="clear" w:color="auto" w:fill="auto"/>
        <w:tabs>
          <w:tab w:val="left" w:pos="772"/>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对地震设计状况，应对预制构件进行承载力验算；</w:t>
      </w:r>
    </w:p>
    <w:p>
      <w:pPr>
        <w:pStyle w:val="95"/>
        <w:shd w:val="clear" w:color="auto" w:fill="auto"/>
        <w:spacing w:line="240" w:lineRule="auto"/>
        <w:ind w:firstLine="420" w:firstLineChars="200"/>
        <w:jc w:val="left"/>
        <w:rPr>
          <w:rStyle w:val="100"/>
          <w:rFonts w:ascii="Times New Roman" w:hAnsi="Times New Roman" w:eastAsia="宋体" w:cs="Times New Roman"/>
          <w:spacing w:val="0"/>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Style w:val="100"/>
          <w:rFonts w:ascii="Times New Roman" w:hAnsi="Times New Roman" w:eastAsia="宋体" w:cs="Times New Roman"/>
          <w:spacing w:val="0"/>
          <w:sz w:val="21"/>
          <w:szCs w:val="21"/>
        </w:rPr>
        <w:t>对制作、运输和堆放、安装等短暂设计状况下的预制构件验算，应符合现行国家标准GB 50666的有关规定。</w:t>
      </w:r>
    </w:p>
    <w:p>
      <w:pPr>
        <w:pStyle w:val="51"/>
        <w:numPr>
          <w:ilvl w:val="0"/>
          <w:numId w:val="19"/>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预制构件制作前应进行深化设计，设计文件应包括以下内容：</w:t>
      </w:r>
    </w:p>
    <w:p>
      <w:pPr>
        <w:pStyle w:val="51"/>
        <w:shd w:val="clear" w:color="auto" w:fill="auto"/>
        <w:tabs>
          <w:tab w:val="left" w:pos="759"/>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预制构件平面图、模板图、配筋图、安装图、预埋件及细部构造图；</w:t>
      </w:r>
    </w:p>
    <w:p>
      <w:pPr>
        <w:pStyle w:val="51"/>
        <w:shd w:val="clear" w:color="auto" w:fill="auto"/>
        <w:tabs>
          <w:tab w:val="left" w:pos="766"/>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带有饰面板材的构件应绘制饰面板材排</w:t>
      </w:r>
      <w:r>
        <w:rPr>
          <w:rFonts w:hint="eastAsia" w:ascii="Times New Roman" w:hAnsi="Times New Roman" w:eastAsia="宋体" w:cs="Times New Roman"/>
          <w:spacing w:val="0"/>
          <w:sz w:val="21"/>
          <w:szCs w:val="21"/>
        </w:rPr>
        <w:t>板</w:t>
      </w:r>
      <w:r>
        <w:rPr>
          <w:rFonts w:ascii="Times New Roman" w:hAnsi="Times New Roman" w:eastAsia="宋体" w:cs="Times New Roman"/>
          <w:spacing w:val="0"/>
          <w:sz w:val="21"/>
          <w:szCs w:val="21"/>
        </w:rPr>
        <w:t>图；</w:t>
      </w:r>
    </w:p>
    <w:p>
      <w:pPr>
        <w:pStyle w:val="51"/>
        <w:shd w:val="clear" w:color="auto" w:fill="auto"/>
        <w:tabs>
          <w:tab w:val="left" w:pos="766"/>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夹心墙板应绘制内外叶墙板拉结件布置图、保温板排板图。</w:t>
      </w:r>
    </w:p>
    <w:p>
      <w:pPr>
        <w:pStyle w:val="51"/>
        <w:numPr>
          <w:ilvl w:val="0"/>
          <w:numId w:val="19"/>
        </w:numPr>
        <w:shd w:val="clear" w:color="auto" w:fill="auto"/>
        <w:spacing w:before="120" w:beforeLines="50" w:after="120" w:afterLines="50" w:line="240" w:lineRule="auto"/>
        <w:jc w:val="both"/>
        <w:rPr>
          <w:rStyle w:val="118"/>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预制构件设计除应符合现行国家、行业标准的规定外，尚应符合下列规定：</w:t>
      </w:r>
    </w:p>
    <w:p>
      <w:pPr>
        <w:pStyle w:val="95"/>
        <w:shd w:val="clear" w:color="auto" w:fill="auto"/>
        <w:spacing w:line="240" w:lineRule="auto"/>
        <w:ind w:firstLine="420" w:firstLineChars="200"/>
        <w:jc w:val="left"/>
        <w:rPr>
          <w:rStyle w:val="100"/>
          <w:rFonts w:ascii="Times New Roman" w:hAnsi="Times New Roman" w:eastAsia="宋体" w:cs="Times New Roman"/>
          <w:bCs/>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Style w:val="100"/>
          <w:rFonts w:ascii="Times New Roman" w:hAnsi="Times New Roman" w:eastAsia="宋体" w:cs="Times New Roman"/>
          <w:bCs/>
          <w:spacing w:val="0"/>
          <w:sz w:val="21"/>
          <w:szCs w:val="21"/>
        </w:rPr>
        <w:t>预制构件的设计应满足标准化的要求，宜采用建筑信息化（BIM）技术进行一体化设计；</w:t>
      </w:r>
    </w:p>
    <w:p>
      <w:pPr>
        <w:pStyle w:val="51"/>
        <w:shd w:val="clear" w:color="auto" w:fill="auto"/>
        <w:tabs>
          <w:tab w:val="left" w:pos="759"/>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确保预制构件的钢筋与预留洞口、预埋件等相协调，简化预制构件连接节点施工；</w:t>
      </w:r>
    </w:p>
    <w:p>
      <w:pPr>
        <w:pStyle w:val="51"/>
        <w:shd w:val="clear" w:color="auto" w:fill="auto"/>
        <w:tabs>
          <w:tab w:val="left" w:pos="759"/>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预制构件的形状、尺寸、重量等应满足制作、运输、安装各环节的要求；</w:t>
      </w:r>
    </w:p>
    <w:p>
      <w:pPr>
        <w:pStyle w:val="51"/>
        <w:shd w:val="clear" w:color="auto" w:fill="auto"/>
        <w:tabs>
          <w:tab w:val="left" w:pos="762"/>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d</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预制构件的配筋设计应便于工厂化生产和现场连接；</w:t>
      </w:r>
    </w:p>
    <w:p>
      <w:pPr>
        <w:pStyle w:val="95"/>
        <w:shd w:val="clear" w:color="auto" w:fill="auto"/>
        <w:spacing w:line="240" w:lineRule="auto"/>
        <w:ind w:firstLine="420" w:firstLineChars="200"/>
        <w:jc w:val="left"/>
        <w:rPr>
          <w:rStyle w:val="100"/>
          <w:rFonts w:ascii="Times New Roman" w:hAnsi="Times New Roman" w:eastAsia="宋体" w:cs="Times New Roman"/>
          <w:b/>
          <w:spacing w:val="0"/>
          <w:sz w:val="21"/>
          <w:szCs w:val="21"/>
        </w:rPr>
      </w:pPr>
      <w:r>
        <w:rPr>
          <w:rFonts w:ascii="宋体" w:hAnsi="宋体" w:eastAsia="宋体" w:cs="Times New Roman"/>
          <w:spacing w:val="0"/>
          <w:sz w:val="21"/>
          <w:szCs w:val="21"/>
        </w:rPr>
        <w:t>e</w:t>
      </w:r>
      <w:r>
        <w:rPr>
          <w:rFonts w:hint="eastAsia" w:ascii="宋体" w:hAnsi="宋体" w:eastAsia="宋体" w:cs="Times New Roman"/>
          <w:spacing w:val="0"/>
          <w:sz w:val="21"/>
          <w:szCs w:val="21"/>
        </w:rPr>
        <w:t>）</w:t>
      </w:r>
      <w:r>
        <w:rPr>
          <w:rStyle w:val="100"/>
          <w:rFonts w:ascii="Times New Roman" w:hAnsi="Times New Roman" w:eastAsia="宋体" w:cs="Times New Roman"/>
          <w:spacing w:val="0"/>
          <w:sz w:val="21"/>
          <w:szCs w:val="21"/>
        </w:rPr>
        <w:t>在预制构件设计中，对预制构件上设置的各种电气开关、插座及其必要的接线盒、连接管线等应进行预埋、预留；</w:t>
      </w:r>
    </w:p>
    <w:p>
      <w:pPr>
        <w:pStyle w:val="95"/>
        <w:shd w:val="clear" w:color="auto" w:fill="auto"/>
        <w:spacing w:line="240" w:lineRule="auto"/>
        <w:ind w:firstLine="420" w:firstLineChars="200"/>
        <w:jc w:val="left"/>
        <w:rPr>
          <w:rStyle w:val="100"/>
          <w:rFonts w:ascii="Times New Roman" w:hAnsi="Times New Roman" w:eastAsia="宋体" w:cs="Times New Roman"/>
          <w:b/>
          <w:spacing w:val="0"/>
          <w:sz w:val="21"/>
          <w:szCs w:val="21"/>
        </w:rPr>
      </w:pPr>
      <w:r>
        <w:rPr>
          <w:rFonts w:ascii="宋体" w:hAnsi="宋体" w:eastAsia="宋体" w:cs="Times New Roman"/>
          <w:spacing w:val="0"/>
          <w:sz w:val="21"/>
          <w:szCs w:val="21"/>
        </w:rPr>
        <w:t>f</w:t>
      </w:r>
      <w:r>
        <w:rPr>
          <w:rFonts w:hint="eastAsia" w:ascii="宋体" w:hAnsi="宋体" w:eastAsia="宋体" w:cs="Times New Roman"/>
          <w:spacing w:val="0"/>
          <w:sz w:val="21"/>
          <w:szCs w:val="21"/>
        </w:rPr>
        <w:t>）</w:t>
      </w:r>
      <w:r>
        <w:rPr>
          <w:rStyle w:val="100"/>
          <w:rFonts w:ascii="Times New Roman" w:hAnsi="Times New Roman" w:eastAsia="宋体" w:cs="Times New Roman"/>
          <w:spacing w:val="0"/>
          <w:sz w:val="21"/>
          <w:szCs w:val="21"/>
        </w:rPr>
        <w:t>对制作、运输和堆放、安装等短暂设计状况下的预制构件验算，应符合现行国家标准GB 50666的有关规定。</w:t>
      </w:r>
    </w:p>
    <w:p>
      <w:pPr>
        <w:pStyle w:val="51"/>
        <w:numPr>
          <w:ilvl w:val="0"/>
          <w:numId w:val="19"/>
        </w:numPr>
        <w:shd w:val="clear" w:color="auto" w:fill="auto"/>
        <w:spacing w:before="120" w:beforeLines="50" w:after="120" w:afterLines="50" w:line="240" w:lineRule="auto"/>
        <w:jc w:val="both"/>
        <w:rPr>
          <w:rStyle w:val="118"/>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当预制构件中钢筋的混凝土保护层厚度大于50mm时，宜对钢筋的混凝土保护层采取有效的构造措施。</w:t>
      </w:r>
    </w:p>
    <w:p>
      <w:pPr>
        <w:pStyle w:val="51"/>
        <w:numPr>
          <w:ilvl w:val="0"/>
          <w:numId w:val="19"/>
        </w:numPr>
        <w:shd w:val="clear" w:color="auto" w:fill="auto"/>
        <w:spacing w:before="120" w:beforeLines="50" w:after="120" w:afterLines="50" w:line="240" w:lineRule="auto"/>
        <w:jc w:val="both"/>
        <w:rPr>
          <w:rStyle w:val="118"/>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预制板式楼梯的梯段板底应配置通长的纵向钢筋。板面宜配置通长的纵向钢筋；当楼梯两端均不能滑动时，板面应配置通长的纵向钢筋。</w:t>
      </w:r>
    </w:p>
    <w:p>
      <w:pPr>
        <w:pStyle w:val="51"/>
        <w:numPr>
          <w:ilvl w:val="0"/>
          <w:numId w:val="19"/>
        </w:numPr>
        <w:shd w:val="clear" w:color="auto" w:fill="auto"/>
        <w:spacing w:before="120" w:beforeLines="50" w:after="120" w:afterLines="50" w:line="240" w:lineRule="auto"/>
        <w:jc w:val="both"/>
        <w:rPr>
          <w:rStyle w:val="118"/>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用于固定连接件的预埋件与预埋吊件、临时支撑用预埋件不宜兼用；当兼用时，应同时满足各种设计工况要求。预制构件中预埋件的验算应符合现行国家标准GB/T 50010、GB 50017和GB 50666等有关规定。</w:t>
      </w:r>
    </w:p>
    <w:p>
      <w:pPr>
        <w:pStyle w:val="51"/>
        <w:numPr>
          <w:ilvl w:val="0"/>
          <w:numId w:val="19"/>
        </w:numPr>
        <w:shd w:val="clear" w:color="auto" w:fill="auto"/>
        <w:spacing w:before="120" w:beforeLines="50" w:after="120" w:afterLines="50" w:line="240" w:lineRule="auto"/>
        <w:jc w:val="both"/>
        <w:rPr>
          <w:rStyle w:val="118"/>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预制构件中外露预埋件凹入构件表面的深度不宜小于10mm。</w:t>
      </w:r>
    </w:p>
    <w:p>
      <w:pPr>
        <w:pStyle w:val="210"/>
        <w:spacing w:before="240" w:after="240"/>
        <w:outlineLvl w:val="2"/>
        <w:rPr>
          <w:rFonts w:ascii="黑体" w:hAnsi="黑体" w:eastAsia="黑体"/>
          <w:b w:val="0"/>
          <w:sz w:val="21"/>
          <w:szCs w:val="21"/>
        </w:rPr>
      </w:pPr>
      <w:bookmarkStart w:id="126" w:name="_Toc172188894"/>
      <w:bookmarkStart w:id="127" w:name="_Toc172188618"/>
      <w:bookmarkStart w:id="128" w:name="_Toc172187833"/>
      <w:bookmarkStart w:id="129" w:name="_Toc28906"/>
      <w:r>
        <w:rPr>
          <w:rFonts w:ascii="黑体" w:hAnsi="黑体" w:eastAsia="黑体"/>
          <w:b w:val="0"/>
          <w:sz w:val="21"/>
          <w:szCs w:val="21"/>
        </w:rPr>
        <w:t>7.7 楼盖设计</w:t>
      </w:r>
      <w:bookmarkEnd w:id="126"/>
      <w:bookmarkEnd w:id="127"/>
      <w:bookmarkEnd w:id="128"/>
      <w:bookmarkEnd w:id="129"/>
    </w:p>
    <w:p>
      <w:pPr>
        <w:pStyle w:val="51"/>
        <w:numPr>
          <w:ilvl w:val="0"/>
          <w:numId w:val="20"/>
        </w:numPr>
        <w:shd w:val="clear" w:color="auto" w:fill="auto"/>
        <w:spacing w:before="120" w:beforeLines="50" w:after="120" w:afterLines="50" w:line="240" w:lineRule="auto"/>
        <w:jc w:val="both"/>
        <w:rPr>
          <w:rStyle w:val="118"/>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装配整体式结构的楼盖宜采用叠合楼盖。结构转换层、平面复杂或开洞较大的楼层、作为上部结构嵌固部位的地下室楼层宜采用现浇楼盖。</w:t>
      </w:r>
    </w:p>
    <w:p>
      <w:pPr>
        <w:pStyle w:val="51"/>
        <w:numPr>
          <w:ilvl w:val="0"/>
          <w:numId w:val="20"/>
        </w:numPr>
        <w:shd w:val="clear" w:color="auto" w:fill="auto"/>
        <w:spacing w:before="120" w:beforeLines="50" w:after="120" w:afterLines="50" w:line="240" w:lineRule="auto"/>
        <w:jc w:val="both"/>
        <w:rPr>
          <w:rStyle w:val="118"/>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叠合板应符合现行国家标准GB/T 50010</w:t>
      </w:r>
      <w:r>
        <w:rPr>
          <w:rStyle w:val="118"/>
          <w:rFonts w:hint="eastAsia" w:ascii="Times New Roman" w:hAnsi="Times New Roman" w:eastAsia="宋体" w:cs="Times New Roman"/>
          <w:spacing w:val="0"/>
          <w:sz w:val="21"/>
          <w:szCs w:val="21"/>
        </w:rPr>
        <w:t>和</w:t>
      </w:r>
      <w:r>
        <w:rPr>
          <w:rStyle w:val="118"/>
          <w:rFonts w:ascii="Times New Roman" w:hAnsi="Times New Roman" w:eastAsia="宋体" w:cs="Times New Roman"/>
          <w:spacing w:val="0"/>
          <w:sz w:val="21"/>
          <w:szCs w:val="21"/>
        </w:rPr>
        <w:t>GB/T 50011的规定，并应符合下列规定：</w:t>
      </w:r>
    </w:p>
    <w:p>
      <w:pPr>
        <w:pStyle w:val="51"/>
        <w:shd w:val="clear" w:color="auto" w:fill="auto"/>
        <w:spacing w:before="0" w:after="0" w:line="240" w:lineRule="auto"/>
        <w:ind w:firstLine="420" w:firstLineChars="200"/>
        <w:jc w:val="both"/>
        <w:rPr>
          <w:rStyle w:val="118"/>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Style w:val="118"/>
          <w:rFonts w:ascii="Times New Roman" w:hAnsi="Times New Roman" w:eastAsia="宋体" w:cs="Times New Roman"/>
          <w:spacing w:val="0"/>
          <w:sz w:val="21"/>
          <w:szCs w:val="21"/>
        </w:rPr>
        <w:t>叠合板的预制板厚度不宜小于50mm</w:t>
      </w:r>
      <w:r>
        <w:rPr>
          <w:rStyle w:val="118"/>
          <w:rFonts w:hint="eastAsia" w:ascii="Times New Roman" w:hAnsi="Times New Roman" w:eastAsia="宋体" w:cs="Times New Roman"/>
          <w:spacing w:val="0"/>
          <w:sz w:val="21"/>
          <w:szCs w:val="21"/>
        </w:rPr>
        <w:t>，</w:t>
      </w:r>
      <w:r>
        <w:rPr>
          <w:rStyle w:val="118"/>
          <w:rFonts w:ascii="Times New Roman" w:hAnsi="Times New Roman" w:eastAsia="宋体" w:cs="Times New Roman"/>
          <w:spacing w:val="0"/>
          <w:sz w:val="21"/>
          <w:szCs w:val="21"/>
        </w:rPr>
        <w:t>后浇混凝土叠合层厚度不应小于50mm；</w:t>
      </w:r>
    </w:p>
    <w:p>
      <w:pPr>
        <w:pStyle w:val="51"/>
        <w:shd w:val="clear" w:color="auto" w:fill="auto"/>
        <w:spacing w:before="0" w:after="0" w:line="240" w:lineRule="auto"/>
        <w:ind w:firstLine="420" w:firstLineChars="200"/>
        <w:jc w:val="both"/>
        <w:rPr>
          <w:rStyle w:val="118"/>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Style w:val="118"/>
          <w:rFonts w:hint="eastAsia" w:ascii="Times New Roman" w:hAnsi="Times New Roman" w:eastAsia="宋体" w:cs="Times New Roman"/>
          <w:spacing w:val="0"/>
          <w:sz w:val="21"/>
          <w:szCs w:val="21"/>
        </w:rPr>
        <w:t>叠合楼板的预制板的板端在支座上的搁置长度不应少于</w:t>
      </w:r>
      <w:r>
        <w:rPr>
          <w:rStyle w:val="118"/>
          <w:rFonts w:ascii="Times New Roman" w:hAnsi="Times New Roman" w:eastAsia="宋体" w:cs="Times New Roman"/>
          <w:spacing w:val="0"/>
          <w:sz w:val="21"/>
          <w:szCs w:val="21"/>
        </w:rPr>
        <w:t>20mm</w:t>
      </w:r>
      <w:r>
        <w:rPr>
          <w:rStyle w:val="118"/>
          <w:rFonts w:hint="eastAsia" w:ascii="Times New Roman" w:hAnsi="Times New Roman" w:eastAsia="宋体" w:cs="Times New Roman"/>
          <w:spacing w:val="0"/>
          <w:sz w:val="21"/>
          <w:szCs w:val="21"/>
        </w:rPr>
        <w:t>；</w:t>
      </w:r>
    </w:p>
    <w:p>
      <w:pPr>
        <w:pStyle w:val="51"/>
        <w:shd w:val="clear" w:color="auto" w:fill="auto"/>
        <w:spacing w:before="0" w:after="0" w:line="240" w:lineRule="auto"/>
        <w:ind w:firstLine="420" w:firstLineChars="200"/>
        <w:jc w:val="both"/>
        <w:rPr>
          <w:rStyle w:val="118"/>
          <w:rFonts w:ascii="Times New Roman" w:hAnsi="Times New Roman" w:eastAsia="宋体" w:cs="Times New Roman"/>
          <w:spacing w:val="0"/>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Style w:val="118"/>
          <w:rFonts w:ascii="Times New Roman" w:hAnsi="Times New Roman" w:eastAsia="宋体" w:cs="Times New Roman"/>
          <w:spacing w:val="0"/>
          <w:sz w:val="21"/>
          <w:szCs w:val="21"/>
        </w:rPr>
        <w:t>当叠合板的预制板采用空心板时，板端空腔应封堵</w:t>
      </w:r>
      <w:r>
        <w:rPr>
          <w:rStyle w:val="118"/>
          <w:rFonts w:hint="eastAsia" w:ascii="Times New Roman" w:hAnsi="Times New Roman" w:eastAsia="宋体" w:cs="Times New Roman"/>
          <w:spacing w:val="0"/>
          <w:sz w:val="21"/>
          <w:szCs w:val="21"/>
        </w:rPr>
        <w:t>，板端堵头宜留出不小于</w:t>
      </w:r>
      <w:r>
        <w:rPr>
          <w:rStyle w:val="118"/>
          <w:rFonts w:ascii="Times New Roman" w:hAnsi="Times New Roman" w:eastAsia="宋体" w:cs="Times New Roman"/>
          <w:spacing w:val="0"/>
          <w:sz w:val="21"/>
          <w:szCs w:val="21"/>
        </w:rPr>
        <w:t>50mm</w:t>
      </w:r>
      <w:r>
        <w:rPr>
          <w:rStyle w:val="118"/>
          <w:rFonts w:hint="eastAsia" w:ascii="Times New Roman" w:hAnsi="Times New Roman" w:eastAsia="宋体" w:cs="Times New Roman"/>
          <w:spacing w:val="0"/>
          <w:sz w:val="21"/>
          <w:szCs w:val="21"/>
        </w:rPr>
        <w:t>的空腔，并应采用不低于</w:t>
      </w:r>
      <w:r>
        <w:rPr>
          <w:rStyle w:val="118"/>
          <w:rFonts w:ascii="Times New Roman" w:hAnsi="Times New Roman" w:eastAsia="宋体" w:cs="Times New Roman"/>
          <w:spacing w:val="0"/>
          <w:sz w:val="21"/>
          <w:szCs w:val="21"/>
        </w:rPr>
        <w:t>C30</w:t>
      </w:r>
      <w:r>
        <w:rPr>
          <w:rStyle w:val="118"/>
          <w:rFonts w:hint="eastAsia" w:ascii="Times New Roman" w:hAnsi="Times New Roman" w:eastAsia="宋体" w:cs="Times New Roman"/>
          <w:spacing w:val="0"/>
          <w:sz w:val="21"/>
          <w:szCs w:val="21"/>
        </w:rPr>
        <w:t>的混凝土浇灌密实，搁置长度应适当增加</w:t>
      </w:r>
      <w:r>
        <w:rPr>
          <w:rStyle w:val="118"/>
          <w:rFonts w:ascii="Times New Roman" w:hAnsi="Times New Roman" w:eastAsia="宋体" w:cs="Times New Roman"/>
          <w:spacing w:val="0"/>
          <w:sz w:val="21"/>
          <w:szCs w:val="21"/>
        </w:rPr>
        <w:t>；</w:t>
      </w:r>
    </w:p>
    <w:p>
      <w:pPr>
        <w:pStyle w:val="51"/>
        <w:shd w:val="clear" w:color="auto" w:fill="auto"/>
        <w:spacing w:before="0" w:after="0" w:line="240" w:lineRule="auto"/>
        <w:ind w:firstLine="420" w:firstLineChars="200"/>
        <w:jc w:val="both"/>
        <w:rPr>
          <w:rStyle w:val="118"/>
          <w:rFonts w:ascii="Times New Roman" w:hAnsi="Times New Roman" w:eastAsia="宋体" w:cs="Times New Roman"/>
          <w:spacing w:val="0"/>
          <w:sz w:val="21"/>
          <w:szCs w:val="21"/>
        </w:rPr>
      </w:pPr>
      <w:r>
        <w:rPr>
          <w:rFonts w:ascii="宋体" w:hAnsi="宋体" w:eastAsia="宋体" w:cs="Times New Roman"/>
          <w:spacing w:val="0"/>
          <w:sz w:val="21"/>
          <w:szCs w:val="21"/>
        </w:rPr>
        <w:t>d</w:t>
      </w:r>
      <w:r>
        <w:rPr>
          <w:rFonts w:hint="eastAsia" w:ascii="宋体" w:hAnsi="宋体" w:eastAsia="宋体" w:cs="Times New Roman"/>
          <w:spacing w:val="0"/>
          <w:sz w:val="21"/>
          <w:szCs w:val="21"/>
        </w:rPr>
        <w:t>）</w:t>
      </w:r>
      <w:r>
        <w:rPr>
          <w:rStyle w:val="118"/>
          <w:rFonts w:ascii="Times New Roman" w:hAnsi="Times New Roman" w:eastAsia="宋体" w:cs="Times New Roman"/>
          <w:spacing w:val="0"/>
          <w:sz w:val="21"/>
          <w:szCs w:val="21"/>
        </w:rPr>
        <w:t>跨度大于3m</w:t>
      </w:r>
      <w:r>
        <w:rPr>
          <w:rStyle w:val="118"/>
          <w:rFonts w:hint="eastAsia" w:ascii="Times New Roman" w:hAnsi="Times New Roman" w:eastAsia="宋体" w:cs="Times New Roman"/>
          <w:spacing w:val="0"/>
          <w:sz w:val="21"/>
          <w:szCs w:val="21"/>
        </w:rPr>
        <w:t>且整体性要求较高</w:t>
      </w:r>
      <w:r>
        <w:rPr>
          <w:rStyle w:val="118"/>
          <w:rFonts w:ascii="Times New Roman" w:hAnsi="Times New Roman" w:eastAsia="宋体" w:cs="Times New Roman"/>
          <w:spacing w:val="0"/>
          <w:sz w:val="21"/>
          <w:szCs w:val="21"/>
        </w:rPr>
        <w:t>的叠合板，宜采用桁架钢筋混凝土叠合板；</w:t>
      </w:r>
    </w:p>
    <w:p>
      <w:pPr>
        <w:pStyle w:val="51"/>
        <w:shd w:val="clear" w:color="auto" w:fill="auto"/>
        <w:spacing w:before="0" w:after="0" w:line="240" w:lineRule="auto"/>
        <w:ind w:firstLine="420" w:firstLineChars="200"/>
        <w:jc w:val="both"/>
        <w:rPr>
          <w:rStyle w:val="118"/>
          <w:rFonts w:ascii="Times New Roman" w:hAnsi="Times New Roman" w:eastAsia="宋体" w:cs="Times New Roman"/>
          <w:spacing w:val="0"/>
          <w:sz w:val="21"/>
          <w:szCs w:val="21"/>
        </w:rPr>
      </w:pPr>
      <w:r>
        <w:rPr>
          <w:rFonts w:ascii="宋体" w:hAnsi="宋体" w:eastAsia="宋体" w:cs="Times New Roman"/>
          <w:spacing w:val="0"/>
          <w:sz w:val="21"/>
          <w:szCs w:val="21"/>
        </w:rPr>
        <w:t>e</w:t>
      </w:r>
      <w:r>
        <w:rPr>
          <w:rFonts w:hint="eastAsia" w:ascii="宋体" w:hAnsi="宋体" w:eastAsia="宋体" w:cs="Times New Roman"/>
          <w:spacing w:val="0"/>
          <w:sz w:val="21"/>
          <w:szCs w:val="21"/>
        </w:rPr>
        <w:t>）</w:t>
      </w:r>
      <w:r>
        <w:rPr>
          <w:rStyle w:val="118"/>
          <w:rFonts w:ascii="Times New Roman" w:hAnsi="Times New Roman" w:eastAsia="宋体" w:cs="Times New Roman"/>
          <w:spacing w:val="0"/>
          <w:sz w:val="21"/>
          <w:szCs w:val="21"/>
        </w:rPr>
        <w:t>跨度大于6m的叠合板，宜采用预应力混凝土预制板，也可采用预制双向混凝土板；</w:t>
      </w:r>
    </w:p>
    <w:p>
      <w:pPr>
        <w:pStyle w:val="51"/>
        <w:shd w:val="clear" w:color="auto" w:fill="auto"/>
        <w:spacing w:before="0" w:after="0" w:line="240" w:lineRule="auto"/>
        <w:ind w:firstLine="420" w:firstLineChars="200"/>
        <w:jc w:val="both"/>
        <w:rPr>
          <w:rStyle w:val="118"/>
          <w:rFonts w:ascii="Times New Roman" w:hAnsi="Times New Roman" w:eastAsia="宋体" w:cs="Times New Roman"/>
          <w:spacing w:val="0"/>
          <w:sz w:val="21"/>
          <w:szCs w:val="21"/>
        </w:rPr>
      </w:pPr>
      <w:r>
        <w:rPr>
          <w:rFonts w:ascii="宋体" w:hAnsi="宋体" w:eastAsia="宋体" w:cs="Times New Roman"/>
          <w:spacing w:val="0"/>
          <w:sz w:val="21"/>
          <w:szCs w:val="21"/>
        </w:rPr>
        <w:t>f</w:t>
      </w:r>
      <w:r>
        <w:rPr>
          <w:rFonts w:hint="eastAsia" w:ascii="宋体" w:hAnsi="宋体" w:eastAsia="宋体" w:cs="Times New Roman"/>
          <w:spacing w:val="0"/>
          <w:sz w:val="21"/>
          <w:szCs w:val="21"/>
        </w:rPr>
        <w:t>）</w:t>
      </w:r>
      <w:r>
        <w:rPr>
          <w:rStyle w:val="118"/>
          <w:rFonts w:ascii="Times New Roman" w:hAnsi="Times New Roman" w:eastAsia="宋体" w:cs="Times New Roman"/>
          <w:spacing w:val="0"/>
          <w:sz w:val="21"/>
          <w:szCs w:val="21"/>
        </w:rPr>
        <w:t>板厚大于180mm的叠合板，宜采用混凝土空心板</w:t>
      </w:r>
      <w:r>
        <w:rPr>
          <w:rStyle w:val="118"/>
          <w:rFonts w:hint="eastAsia" w:ascii="Times New Roman" w:hAnsi="Times New Roman" w:eastAsia="宋体" w:cs="Times New Roman"/>
          <w:spacing w:val="0"/>
          <w:sz w:val="21"/>
          <w:szCs w:val="21"/>
        </w:rPr>
        <w:t>；</w:t>
      </w:r>
    </w:p>
    <w:p>
      <w:pPr>
        <w:pStyle w:val="51"/>
        <w:shd w:val="clear" w:color="auto" w:fill="auto"/>
        <w:spacing w:before="0" w:after="0" w:line="240" w:lineRule="auto"/>
        <w:ind w:firstLine="420" w:firstLineChars="200"/>
        <w:jc w:val="both"/>
        <w:rPr>
          <w:rStyle w:val="118"/>
          <w:rFonts w:ascii="Times New Roman" w:hAnsi="Times New Roman" w:eastAsia="宋体" w:cs="Times New Roman"/>
          <w:spacing w:val="0"/>
          <w:sz w:val="21"/>
          <w:szCs w:val="21"/>
        </w:rPr>
      </w:pPr>
      <w:r>
        <w:rPr>
          <w:rFonts w:ascii="宋体" w:hAnsi="宋体" w:eastAsia="宋体" w:cs="Times New Roman"/>
          <w:spacing w:val="0"/>
          <w:sz w:val="21"/>
          <w:szCs w:val="21"/>
        </w:rPr>
        <w:t>g</w:t>
      </w:r>
      <w:r>
        <w:rPr>
          <w:rFonts w:hint="eastAsia" w:ascii="宋体" w:hAnsi="宋体" w:eastAsia="宋体" w:cs="Times New Roman"/>
          <w:spacing w:val="0"/>
          <w:sz w:val="21"/>
          <w:szCs w:val="21"/>
        </w:rPr>
        <w:t>）</w:t>
      </w:r>
      <w:r>
        <w:rPr>
          <w:rStyle w:val="118"/>
          <w:rFonts w:hint="eastAsia" w:ascii="Times New Roman" w:hAnsi="Times New Roman" w:eastAsia="宋体" w:cs="Times New Roman"/>
          <w:spacing w:val="0"/>
          <w:sz w:val="21"/>
          <w:szCs w:val="21"/>
        </w:rPr>
        <w:t>预制板板端及与后浇层之间的水平结合面宜做成粗糙面，凹凸不宜小于</w:t>
      </w:r>
      <w:r>
        <w:rPr>
          <w:rStyle w:val="118"/>
          <w:rFonts w:ascii="Times New Roman" w:hAnsi="Times New Roman" w:eastAsia="宋体" w:cs="Times New Roman"/>
          <w:spacing w:val="0"/>
          <w:sz w:val="21"/>
          <w:szCs w:val="21"/>
        </w:rPr>
        <w:t>4mm</w:t>
      </w:r>
      <w:r>
        <w:rPr>
          <w:rStyle w:val="118"/>
          <w:rFonts w:hint="eastAsia" w:ascii="Times New Roman" w:hAnsi="Times New Roman" w:eastAsia="宋体" w:cs="Times New Roman"/>
          <w:spacing w:val="0"/>
          <w:sz w:val="21"/>
          <w:szCs w:val="21"/>
        </w:rPr>
        <w:t>。</w:t>
      </w:r>
    </w:p>
    <w:p>
      <w:pPr>
        <w:pStyle w:val="51"/>
        <w:numPr>
          <w:ilvl w:val="0"/>
          <w:numId w:val="20"/>
        </w:numPr>
        <w:shd w:val="clear" w:color="auto" w:fill="auto"/>
        <w:spacing w:before="120" w:beforeLines="50" w:after="120" w:afterLines="50" w:line="240" w:lineRule="auto"/>
        <w:jc w:val="both"/>
        <w:rPr>
          <w:rStyle w:val="118"/>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装配整体式叠合剪力墙结构的楼面梁可采用现浇、预制或叠合梁，楼板可采用现浇或叠合板。叠合板的后浇叠合层也可采用陶粒混凝土。</w:t>
      </w:r>
    </w:p>
    <w:p>
      <w:pPr>
        <w:pStyle w:val="51"/>
        <w:numPr>
          <w:ilvl w:val="0"/>
          <w:numId w:val="20"/>
        </w:numPr>
        <w:shd w:val="clear" w:color="auto" w:fill="auto"/>
        <w:spacing w:before="120" w:beforeLines="50" w:after="120" w:afterLines="50" w:line="240" w:lineRule="auto"/>
        <w:jc w:val="both"/>
        <w:rPr>
          <w:rStyle w:val="118"/>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梁与梁、梁与墙、梁与板的连接节点应传力可靠、构造合理，满足承载力、变形、延性和耐久性等要求。</w:t>
      </w:r>
    </w:p>
    <w:p>
      <w:pPr>
        <w:pStyle w:val="51"/>
        <w:numPr>
          <w:ilvl w:val="0"/>
          <w:numId w:val="20"/>
        </w:numPr>
        <w:shd w:val="clear" w:color="auto" w:fill="auto"/>
        <w:spacing w:before="120" w:beforeLines="50" w:after="120" w:afterLines="50" w:line="240" w:lineRule="auto"/>
        <w:jc w:val="both"/>
        <w:rPr>
          <w:rStyle w:val="118"/>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楼面梁采用叠合梁时，叠合梁的构造设计应满足现行行业标准JGJ 1的规定，叠合梁两端竖向接缝的受剪承载力计算应按现行行业标准JGJ 1的相关规定进行。</w:t>
      </w:r>
    </w:p>
    <w:p>
      <w:pPr>
        <w:pStyle w:val="51"/>
        <w:numPr>
          <w:ilvl w:val="0"/>
          <w:numId w:val="20"/>
        </w:numPr>
        <w:shd w:val="clear" w:color="auto" w:fill="auto"/>
        <w:spacing w:before="120" w:beforeLines="50" w:after="120" w:afterLines="50" w:line="240" w:lineRule="auto"/>
        <w:jc w:val="both"/>
        <w:rPr>
          <w:rStyle w:val="118"/>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叠合板可根据预制板接缝构造、支座构造、长宽比按单向板或双向板设计。当预制板之间采用分离式接缝时，宜按单向板设计（</w:t>
      </w:r>
      <w:r>
        <w:rPr>
          <w:rStyle w:val="118"/>
          <w:rFonts w:hint="eastAsia" w:ascii="Times New Roman" w:hAnsi="Times New Roman" w:eastAsia="宋体" w:cs="Times New Roman"/>
          <w:spacing w:val="0"/>
          <w:sz w:val="21"/>
          <w:szCs w:val="21"/>
        </w:rPr>
        <w:t>见</w:t>
      </w:r>
      <w:r>
        <w:rPr>
          <w:rStyle w:val="118"/>
          <w:rFonts w:ascii="Times New Roman" w:hAnsi="Times New Roman" w:eastAsia="宋体" w:cs="Times New Roman"/>
          <w:spacing w:val="0"/>
          <w:sz w:val="21"/>
          <w:szCs w:val="21"/>
        </w:rPr>
        <w:t>图2a）。对长宽比不大于3的四边支承叠合板，当其预制板之间采用整体式接缝（</w:t>
      </w:r>
      <w:r>
        <w:rPr>
          <w:rStyle w:val="118"/>
          <w:rFonts w:hint="eastAsia" w:ascii="Times New Roman" w:hAnsi="Times New Roman" w:eastAsia="宋体" w:cs="Times New Roman"/>
          <w:spacing w:val="0"/>
          <w:sz w:val="21"/>
          <w:szCs w:val="21"/>
        </w:rPr>
        <w:t>见</w:t>
      </w:r>
      <w:r>
        <w:rPr>
          <w:rStyle w:val="118"/>
          <w:rFonts w:ascii="Times New Roman" w:hAnsi="Times New Roman" w:eastAsia="宋体" w:cs="Times New Roman"/>
          <w:spacing w:val="0"/>
          <w:sz w:val="21"/>
          <w:szCs w:val="21"/>
        </w:rPr>
        <w:t>图2b）、带分离式接缝（</w:t>
      </w:r>
      <w:r>
        <w:rPr>
          <w:rStyle w:val="118"/>
          <w:rFonts w:hint="eastAsia" w:ascii="Times New Roman" w:hAnsi="Times New Roman" w:eastAsia="宋体" w:cs="Times New Roman"/>
          <w:spacing w:val="0"/>
          <w:sz w:val="21"/>
          <w:szCs w:val="21"/>
        </w:rPr>
        <w:t>见</w:t>
      </w:r>
      <w:r>
        <w:rPr>
          <w:rStyle w:val="118"/>
          <w:rFonts w:ascii="Times New Roman" w:hAnsi="Times New Roman" w:eastAsia="宋体" w:cs="Times New Roman"/>
          <w:spacing w:val="0"/>
          <w:sz w:val="21"/>
          <w:szCs w:val="21"/>
        </w:rPr>
        <w:t>图2c）或无接缝（</w:t>
      </w:r>
      <w:r>
        <w:rPr>
          <w:rStyle w:val="118"/>
          <w:rFonts w:hint="eastAsia" w:ascii="Times New Roman" w:hAnsi="Times New Roman" w:eastAsia="宋体" w:cs="Times New Roman"/>
          <w:spacing w:val="0"/>
          <w:sz w:val="21"/>
          <w:szCs w:val="21"/>
        </w:rPr>
        <w:t>见</w:t>
      </w:r>
      <w:r>
        <w:rPr>
          <w:rStyle w:val="118"/>
          <w:rFonts w:ascii="Times New Roman" w:hAnsi="Times New Roman" w:eastAsia="宋体" w:cs="Times New Roman"/>
          <w:spacing w:val="0"/>
          <w:sz w:val="21"/>
          <w:szCs w:val="21"/>
        </w:rPr>
        <w:t>图2d）时，可按双向板设计。</w:t>
      </w:r>
    </w:p>
    <w:tbl>
      <w:tblPr>
        <w:tblStyle w:val="2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96"/>
        <w:gridCol w:w="35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96" w:type="dxa"/>
          </w:tcPr>
          <w:p>
            <w:pPr>
              <w:pStyle w:val="105"/>
              <w:shd w:val="clear" w:color="auto" w:fill="auto"/>
              <w:spacing w:line="240" w:lineRule="auto"/>
              <w:jc w:val="center"/>
              <w:rPr>
                <w:rFonts w:ascii="Times New Roman" w:hAnsi="Times New Roman" w:eastAsia="宋体" w:cs="Times New Roman"/>
                <w:sz w:val="21"/>
                <w:szCs w:val="21"/>
              </w:rPr>
            </w:pPr>
            <w:r>
              <w:drawing>
                <wp:inline distT="0" distB="0" distL="0" distR="0">
                  <wp:extent cx="1856105" cy="1799590"/>
                  <wp:effectExtent l="0" t="0" r="0" b="0"/>
                  <wp:docPr id="31"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true" noChangeArrowheads="true"/>
                          </pic:cNvPicPr>
                        </pic:nvPicPr>
                        <pic:blipFill>
                          <a:blip r:embed="rId58">
                            <a:extLst>
                              <a:ext uri="{28A0092B-C50C-407E-A947-70E740481C1C}">
                                <a14:useLocalDpi xmlns:a14="http://schemas.microsoft.com/office/drawing/2010/main" val="false"/>
                              </a:ext>
                            </a:extLst>
                          </a:blip>
                          <a:srcRect/>
                          <a:stretch>
                            <a:fillRect/>
                          </a:stretch>
                        </pic:blipFill>
                        <pic:spPr>
                          <a:xfrm>
                            <a:off x="0" y="0"/>
                            <a:ext cx="1856174" cy="1800000"/>
                          </a:xfrm>
                          <a:prstGeom prst="rect">
                            <a:avLst/>
                          </a:prstGeom>
                          <a:noFill/>
                          <a:ln>
                            <a:noFill/>
                          </a:ln>
                        </pic:spPr>
                      </pic:pic>
                    </a:graphicData>
                  </a:graphic>
                </wp:inline>
              </w:drawing>
            </w:r>
          </w:p>
        </w:tc>
        <w:tc>
          <w:tcPr>
            <w:tcW w:w="3596" w:type="dxa"/>
          </w:tcPr>
          <w:p>
            <w:pPr>
              <w:pStyle w:val="105"/>
              <w:shd w:val="clear" w:color="auto" w:fill="auto"/>
              <w:spacing w:line="240" w:lineRule="auto"/>
              <w:jc w:val="center"/>
              <w:rPr>
                <w:rFonts w:ascii="Times New Roman" w:hAnsi="Times New Roman" w:eastAsia="宋体" w:cs="Times New Roman"/>
                <w:sz w:val="21"/>
                <w:szCs w:val="21"/>
              </w:rPr>
            </w:pPr>
            <w:r>
              <w:drawing>
                <wp:inline distT="0" distB="0" distL="0" distR="0">
                  <wp:extent cx="1746250" cy="1799590"/>
                  <wp:effectExtent l="0" t="0" r="6350" b="0"/>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noChangeArrowheads="true"/>
                          </pic:cNvPicPr>
                        </pic:nvPicPr>
                        <pic:blipFill>
                          <a:blip r:embed="rId59">
                            <a:extLst>
                              <a:ext uri="{28A0092B-C50C-407E-A947-70E740481C1C}">
                                <a14:useLocalDpi xmlns:a14="http://schemas.microsoft.com/office/drawing/2010/main" val="false"/>
                              </a:ext>
                            </a:extLst>
                          </a:blip>
                          <a:srcRect/>
                          <a:stretch>
                            <a:fillRect/>
                          </a:stretch>
                        </pic:blipFill>
                        <pic:spPr>
                          <a:xfrm>
                            <a:off x="0" y="0"/>
                            <a:ext cx="1746269" cy="180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96" w:type="dxa"/>
          </w:tcPr>
          <w:p>
            <w:pPr>
              <w:pStyle w:val="105"/>
              <w:shd w:val="clear" w:color="auto" w:fill="auto"/>
              <w:spacing w:line="240" w:lineRule="auto"/>
              <w:jc w:val="center"/>
              <w:rPr>
                <w:rFonts w:ascii="Times New Roman" w:hAnsi="Times New Roman" w:eastAsia="宋体" w:cs="Times New Roman"/>
                <w:sz w:val="21"/>
                <w:szCs w:val="21"/>
              </w:rPr>
            </w:pPr>
            <w:r>
              <w:rPr>
                <w:rFonts w:ascii="宋体" w:hAnsi="宋体" w:eastAsia="宋体" w:cs="Times New Roman"/>
                <w:color w:val="000000" w:themeColor="text1"/>
                <w:sz w:val="21"/>
                <w:szCs w:val="21"/>
                <w14:textFill>
                  <w14:solidFill>
                    <w14:schemeClr w14:val="tx1"/>
                  </w14:solidFill>
                </w14:textFill>
              </w:rPr>
              <w:t>a）</w:t>
            </w:r>
            <w:r>
              <w:rPr>
                <w:rFonts w:ascii="Times New Roman" w:hAnsi="Times New Roman" w:eastAsia="宋体" w:cs="Times New Roman"/>
                <w:color w:val="000000" w:themeColor="text1"/>
                <w:sz w:val="21"/>
                <w:szCs w:val="21"/>
                <w14:textFill>
                  <w14:solidFill>
                    <w14:schemeClr w14:val="tx1"/>
                  </w14:solidFill>
                </w14:textFill>
              </w:rPr>
              <w:t>单向叠合板</w:t>
            </w:r>
          </w:p>
        </w:tc>
        <w:tc>
          <w:tcPr>
            <w:tcW w:w="3596" w:type="dxa"/>
          </w:tcPr>
          <w:p>
            <w:pPr>
              <w:pStyle w:val="105"/>
              <w:shd w:val="clear" w:color="auto" w:fill="auto"/>
              <w:spacing w:line="240" w:lineRule="auto"/>
              <w:jc w:val="center"/>
              <w:rPr>
                <w:rFonts w:ascii="Times New Roman" w:hAnsi="Times New Roman" w:eastAsia="宋体" w:cs="Times New Roman"/>
                <w:sz w:val="21"/>
                <w:szCs w:val="21"/>
              </w:rPr>
            </w:pPr>
            <w:r>
              <w:rPr>
                <w:rFonts w:ascii="宋体" w:hAnsi="宋体" w:eastAsia="宋体" w:cs="Times New Roman"/>
                <w:color w:val="000000" w:themeColor="text1"/>
                <w:sz w:val="21"/>
                <w:szCs w:val="21"/>
                <w14:textFill>
                  <w14:solidFill>
                    <w14:schemeClr w14:val="tx1"/>
                  </w14:solidFill>
                </w14:textFill>
              </w:rPr>
              <w:t>b）</w:t>
            </w:r>
            <w:r>
              <w:rPr>
                <w:rFonts w:ascii="Times New Roman" w:hAnsi="Times New Roman" w:eastAsia="宋体" w:cs="Times New Roman"/>
                <w:color w:val="000000" w:themeColor="text1"/>
                <w:sz w:val="21"/>
                <w:szCs w:val="21"/>
                <w14:textFill>
                  <w14:solidFill>
                    <w14:schemeClr w14:val="tx1"/>
                  </w14:solidFill>
                </w14:textFill>
              </w:rPr>
              <w:t>带整体式接缝的双向叠合板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96" w:type="dxa"/>
          </w:tcPr>
          <w:p>
            <w:pPr>
              <w:pStyle w:val="105"/>
              <w:shd w:val="clear" w:color="auto" w:fill="auto"/>
              <w:spacing w:line="240" w:lineRule="auto"/>
              <w:jc w:val="center"/>
              <w:rPr>
                <w:rFonts w:ascii="Times New Roman" w:hAnsi="Times New Roman" w:eastAsia="宋体" w:cs="Times New Roman"/>
                <w:sz w:val="21"/>
                <w:szCs w:val="21"/>
              </w:rPr>
            </w:pPr>
            <w:r>
              <w:drawing>
                <wp:inline distT="0" distB="0" distL="0" distR="0">
                  <wp:extent cx="1766570" cy="1799590"/>
                  <wp:effectExtent l="0" t="0" r="5080" b="0"/>
                  <wp:docPr id="33"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true" noChangeArrowheads="true"/>
                          </pic:cNvPicPr>
                        </pic:nvPicPr>
                        <pic:blipFill>
                          <a:blip r:embed="rId60">
                            <a:extLst>
                              <a:ext uri="{28A0092B-C50C-407E-A947-70E740481C1C}">
                                <a14:useLocalDpi xmlns:a14="http://schemas.microsoft.com/office/drawing/2010/main" val="false"/>
                              </a:ext>
                            </a:extLst>
                          </a:blip>
                          <a:srcRect/>
                          <a:stretch>
                            <a:fillRect/>
                          </a:stretch>
                        </pic:blipFill>
                        <pic:spPr>
                          <a:xfrm>
                            <a:off x="0" y="0"/>
                            <a:ext cx="1767028" cy="1800000"/>
                          </a:xfrm>
                          <a:prstGeom prst="rect">
                            <a:avLst/>
                          </a:prstGeom>
                          <a:noFill/>
                          <a:ln>
                            <a:noFill/>
                          </a:ln>
                        </pic:spPr>
                      </pic:pic>
                    </a:graphicData>
                  </a:graphic>
                </wp:inline>
              </w:drawing>
            </w:r>
          </w:p>
        </w:tc>
        <w:tc>
          <w:tcPr>
            <w:tcW w:w="3596" w:type="dxa"/>
          </w:tcPr>
          <w:p>
            <w:pPr>
              <w:pStyle w:val="105"/>
              <w:shd w:val="clear" w:color="auto" w:fill="auto"/>
              <w:spacing w:line="240" w:lineRule="auto"/>
              <w:jc w:val="center"/>
              <w:rPr>
                <w:rFonts w:ascii="Times New Roman" w:hAnsi="Times New Roman" w:eastAsia="宋体" w:cs="Times New Roman"/>
                <w:sz w:val="21"/>
                <w:szCs w:val="21"/>
              </w:rPr>
            </w:pPr>
            <w:r>
              <w:drawing>
                <wp:inline distT="0" distB="0" distL="0" distR="0">
                  <wp:extent cx="1771650" cy="1799590"/>
                  <wp:effectExtent l="0" t="0" r="0" b="0"/>
                  <wp:docPr id="3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true" noChangeArrowheads="true"/>
                          </pic:cNvPicPr>
                        </pic:nvPicPr>
                        <pic:blipFill>
                          <a:blip r:embed="rId61">
                            <a:extLst>
                              <a:ext uri="{28A0092B-C50C-407E-A947-70E740481C1C}">
                                <a14:useLocalDpi xmlns:a14="http://schemas.microsoft.com/office/drawing/2010/main" val="false"/>
                              </a:ext>
                            </a:extLst>
                          </a:blip>
                          <a:srcRect/>
                          <a:stretch>
                            <a:fillRect/>
                          </a:stretch>
                        </pic:blipFill>
                        <pic:spPr>
                          <a:xfrm>
                            <a:off x="0" y="0"/>
                            <a:ext cx="1771913" cy="180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96" w:type="dxa"/>
          </w:tcPr>
          <w:p>
            <w:pPr>
              <w:pStyle w:val="105"/>
              <w:shd w:val="clear" w:color="auto" w:fill="auto"/>
              <w:spacing w:line="240" w:lineRule="auto"/>
              <w:jc w:val="center"/>
              <w:rPr>
                <w:rFonts w:ascii="Times New Roman" w:hAnsi="Times New Roman" w:eastAsia="宋体" w:cs="Times New Roman"/>
                <w:sz w:val="21"/>
                <w:szCs w:val="21"/>
              </w:rPr>
            </w:pPr>
            <w:r>
              <w:rPr>
                <w:rFonts w:ascii="宋体" w:hAnsi="宋体" w:eastAsia="宋体" w:cs="Times New Roman"/>
                <w:color w:val="000000" w:themeColor="text1"/>
                <w:sz w:val="21"/>
                <w:szCs w:val="21"/>
                <w14:textFill>
                  <w14:solidFill>
                    <w14:schemeClr w14:val="tx1"/>
                  </w14:solidFill>
                </w14:textFill>
              </w:rPr>
              <w:t>c）</w:t>
            </w:r>
            <w:r>
              <w:rPr>
                <w:rFonts w:ascii="Times New Roman" w:hAnsi="Times New Roman" w:eastAsia="宋体" w:cs="Times New Roman"/>
                <w:color w:val="000000" w:themeColor="text1"/>
                <w:sz w:val="21"/>
                <w:szCs w:val="21"/>
                <w14:textFill>
                  <w14:solidFill>
                    <w14:schemeClr w14:val="tx1"/>
                  </w14:solidFill>
                </w14:textFill>
              </w:rPr>
              <w:t>带分离式接缝的双向叠合板</w:t>
            </w:r>
          </w:p>
        </w:tc>
        <w:tc>
          <w:tcPr>
            <w:tcW w:w="3596" w:type="dxa"/>
          </w:tcPr>
          <w:p>
            <w:pPr>
              <w:pStyle w:val="105"/>
              <w:shd w:val="clear" w:color="auto" w:fill="auto"/>
              <w:spacing w:line="240" w:lineRule="auto"/>
              <w:jc w:val="center"/>
              <w:rPr>
                <w:rFonts w:ascii="Times New Roman" w:hAnsi="Times New Roman" w:eastAsia="宋体" w:cs="Times New Roman"/>
                <w:sz w:val="21"/>
                <w:szCs w:val="21"/>
              </w:rPr>
            </w:pPr>
            <w:r>
              <w:rPr>
                <w:rFonts w:ascii="宋体" w:hAnsi="宋体" w:eastAsia="宋体" w:cs="Times New Roman"/>
                <w:color w:val="000000" w:themeColor="text1"/>
                <w:sz w:val="21"/>
                <w:szCs w:val="21"/>
                <w14:textFill>
                  <w14:solidFill>
                    <w14:schemeClr w14:val="tx1"/>
                  </w14:solidFill>
                </w14:textFill>
              </w:rPr>
              <w:t>d）</w:t>
            </w:r>
            <w:r>
              <w:rPr>
                <w:rFonts w:ascii="Times New Roman" w:hAnsi="Times New Roman" w:eastAsia="宋体" w:cs="Times New Roman"/>
                <w:color w:val="000000" w:themeColor="text1"/>
                <w:sz w:val="21"/>
                <w:szCs w:val="21"/>
                <w14:textFill>
                  <w14:solidFill>
                    <w14:schemeClr w14:val="tx1"/>
                  </w14:solidFill>
                </w14:textFill>
              </w:rPr>
              <w:t>整块双向叠合板</w:t>
            </w:r>
          </w:p>
        </w:tc>
      </w:tr>
    </w:tbl>
    <w:p>
      <w:pPr>
        <w:pStyle w:val="83"/>
        <w:shd w:val="clear" w:color="auto" w:fill="auto"/>
        <w:spacing w:after="120" w:afterLines="50" w:line="240" w:lineRule="auto"/>
        <w:jc w:val="center"/>
        <w:rPr>
          <w:rFonts w:ascii="Times New Roman" w:hAnsi="Times New Roman" w:eastAsia="宋体" w:cs="Times New Roman"/>
          <w:b w:val="0"/>
          <w:bCs w:val="0"/>
          <w:spacing w:val="0"/>
          <w:sz w:val="21"/>
          <w:szCs w:val="21"/>
        </w:rPr>
      </w:pPr>
      <w:r>
        <w:rPr>
          <w:rFonts w:ascii="Times New Roman" w:hAnsi="Times New Roman" w:eastAsia="宋体" w:cs="Times New Roman"/>
          <w:b w:val="0"/>
          <w:bCs w:val="0"/>
          <w:spacing w:val="0"/>
          <w:sz w:val="21"/>
          <w:szCs w:val="21"/>
        </w:rPr>
        <w:t>图2  预制叠合板形式</w:t>
      </w:r>
    </w:p>
    <w:p>
      <w:pPr>
        <w:pStyle w:val="83"/>
        <w:shd w:val="clear" w:color="auto" w:fill="auto"/>
        <w:spacing w:before="50" w:after="50" w:line="240" w:lineRule="auto"/>
        <w:jc w:val="center"/>
        <w:rPr>
          <w:rFonts w:ascii="Times New Roman" w:hAnsi="Times New Roman" w:eastAsia="宋体" w:cs="Times New Roman"/>
          <w:spacing w:val="0"/>
          <w:sz w:val="18"/>
          <w:szCs w:val="18"/>
        </w:rPr>
      </w:pPr>
      <w:r>
        <w:rPr>
          <w:rFonts w:ascii="Times New Roman" w:hAnsi="Times New Roman" w:eastAsia="宋体" w:cs="Times New Roman"/>
          <w:b w:val="0"/>
          <w:bCs w:val="0"/>
          <w:spacing w:val="0"/>
          <w:sz w:val="18"/>
          <w:szCs w:val="18"/>
        </w:rPr>
        <w:t>1－预制叠合板；2－梁或墙；3－板侧分离式接缝；4－板端支座；5－板侧支座；6－板侧整体式接缝</w:t>
      </w:r>
    </w:p>
    <w:p>
      <w:pPr>
        <w:pStyle w:val="51"/>
        <w:numPr>
          <w:ilvl w:val="0"/>
          <w:numId w:val="20"/>
        </w:numPr>
        <w:shd w:val="clear" w:color="auto" w:fill="auto"/>
        <w:spacing w:before="120" w:beforeLines="50" w:after="120" w:afterLines="50" w:line="240" w:lineRule="auto"/>
        <w:jc w:val="both"/>
        <w:rPr>
          <w:rStyle w:val="118"/>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单向叠合板板侧的分离式接缝宜配附加钢筋（</w:t>
      </w:r>
      <w:r>
        <w:rPr>
          <w:rStyle w:val="118"/>
          <w:rFonts w:hint="eastAsia" w:ascii="Times New Roman" w:hAnsi="Times New Roman" w:eastAsia="宋体" w:cs="Times New Roman"/>
          <w:spacing w:val="0"/>
          <w:sz w:val="21"/>
          <w:szCs w:val="21"/>
        </w:rPr>
        <w:t>见</w:t>
      </w:r>
      <w:r>
        <w:rPr>
          <w:rStyle w:val="118"/>
          <w:rFonts w:ascii="Times New Roman" w:hAnsi="Times New Roman" w:eastAsia="宋体" w:cs="Times New Roman"/>
          <w:spacing w:val="0"/>
          <w:sz w:val="21"/>
          <w:szCs w:val="21"/>
        </w:rPr>
        <w:t>图3），并应符合下列规定：</w:t>
      </w:r>
    </w:p>
    <w:p>
      <w:pPr>
        <w:pStyle w:val="51"/>
        <w:shd w:val="clear" w:color="auto" w:fill="auto"/>
        <w:spacing w:before="0" w:after="0" w:line="240" w:lineRule="auto"/>
        <w:ind w:firstLine="420" w:firstLineChars="200"/>
        <w:jc w:val="both"/>
        <w:rPr>
          <w:rStyle w:val="118"/>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Style w:val="118"/>
          <w:rFonts w:ascii="Times New Roman" w:hAnsi="Times New Roman" w:eastAsia="宋体" w:cs="Times New Roman"/>
          <w:spacing w:val="0"/>
          <w:sz w:val="21"/>
          <w:szCs w:val="21"/>
        </w:rPr>
        <w:t>接缝处贴预制板顶面宜设置垂直于板缝的附加钢筋，附加钢筋伸入两侧后浇混凝土叠合层的锚固长度不应小于15</w:t>
      </w:r>
      <w:r>
        <w:rPr>
          <w:rStyle w:val="118"/>
          <w:rFonts w:ascii="Times New Roman" w:hAnsi="Times New Roman" w:eastAsia="宋体" w:cs="Times New Roman"/>
          <w:i/>
          <w:iCs/>
          <w:spacing w:val="0"/>
          <w:sz w:val="21"/>
          <w:szCs w:val="21"/>
        </w:rPr>
        <w:t>d</w:t>
      </w:r>
      <w:r>
        <w:rPr>
          <w:rStyle w:val="118"/>
          <w:rFonts w:ascii="Times New Roman" w:hAnsi="Times New Roman" w:eastAsia="宋体" w:cs="Times New Roman"/>
          <w:spacing w:val="0"/>
          <w:sz w:val="21"/>
          <w:szCs w:val="21"/>
        </w:rPr>
        <w:t>（</w:t>
      </w:r>
      <w:r>
        <w:rPr>
          <w:rStyle w:val="118"/>
          <w:rFonts w:ascii="Times New Roman" w:hAnsi="Times New Roman" w:eastAsia="宋体" w:cs="Times New Roman"/>
          <w:i/>
          <w:iCs/>
          <w:spacing w:val="0"/>
          <w:sz w:val="21"/>
          <w:szCs w:val="21"/>
        </w:rPr>
        <w:t>d</w:t>
      </w:r>
      <w:r>
        <w:rPr>
          <w:rStyle w:val="118"/>
          <w:rFonts w:ascii="Times New Roman" w:hAnsi="Times New Roman" w:eastAsia="宋体" w:cs="Times New Roman"/>
          <w:spacing w:val="0"/>
          <w:sz w:val="21"/>
          <w:szCs w:val="21"/>
        </w:rPr>
        <w:t>为附加钢筋的直径）；</w:t>
      </w:r>
    </w:p>
    <w:p>
      <w:pPr>
        <w:pStyle w:val="51"/>
        <w:shd w:val="clear" w:color="auto" w:fill="auto"/>
        <w:spacing w:before="0" w:after="0" w:line="240" w:lineRule="auto"/>
        <w:ind w:firstLine="420" w:firstLineChars="200"/>
        <w:jc w:val="both"/>
        <w:rPr>
          <w:rStyle w:val="118"/>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Style w:val="118"/>
          <w:rFonts w:ascii="Times New Roman" w:hAnsi="Times New Roman" w:eastAsia="宋体" w:cs="Times New Roman"/>
          <w:spacing w:val="0"/>
          <w:sz w:val="21"/>
          <w:szCs w:val="21"/>
        </w:rPr>
        <w:t>附加钢筋的截面面积不宜小于预制板中该方向钢筋面积，钢筋直径不宜小于8mm，间距不宜大于250mm。</w:t>
      </w:r>
    </w:p>
    <w:p>
      <w:pPr>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drawing>
          <wp:inline distT="0" distB="0" distL="0" distR="0">
            <wp:extent cx="2900045" cy="1223645"/>
            <wp:effectExtent l="0" t="0" r="0" b="0"/>
            <wp:docPr id="36" name="图片 36" descr="D:/师兄材料/规范/改完大于等于号后的图/6.7.7.png6.7.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D:/师兄材料/规范/改完大于等于号后的图/6.7.7.png6.7.7"/>
                    <pic:cNvPicPr>
                      <a:picLocks noChangeAspect="true" noChangeArrowheads="true"/>
                    </pic:cNvPicPr>
                  </pic:nvPicPr>
                  <pic:blipFill>
                    <a:blip r:embed="rId62"/>
                    <a:srcRect t="1620" b="1620"/>
                    <a:stretch>
                      <a:fillRect/>
                    </a:stretch>
                  </pic:blipFill>
                  <pic:spPr>
                    <a:xfrm>
                      <a:off x="0" y="0"/>
                      <a:ext cx="2900455" cy="1224000"/>
                    </a:xfrm>
                    <a:prstGeom prst="rect">
                      <a:avLst/>
                    </a:prstGeom>
                    <a:noFill/>
                    <a:ln>
                      <a:noFill/>
                    </a:ln>
                  </pic:spPr>
                </pic:pic>
              </a:graphicData>
            </a:graphic>
          </wp:inline>
        </w:drawing>
      </w:r>
    </w:p>
    <w:p>
      <w:pPr>
        <w:pStyle w:val="83"/>
        <w:shd w:val="clear" w:color="auto" w:fill="auto"/>
        <w:spacing w:before="120" w:beforeLines="50" w:after="120" w:afterLines="50" w:line="240" w:lineRule="auto"/>
        <w:jc w:val="center"/>
        <w:rPr>
          <w:rFonts w:ascii="Times New Roman" w:hAnsi="Times New Roman" w:eastAsia="宋体" w:cs="Times New Roman"/>
          <w:bCs w:val="0"/>
          <w:spacing w:val="0"/>
          <w:sz w:val="21"/>
          <w:szCs w:val="21"/>
        </w:rPr>
      </w:pPr>
      <w:r>
        <w:rPr>
          <w:rFonts w:ascii="Times New Roman" w:hAnsi="Times New Roman" w:eastAsia="宋体" w:cs="Times New Roman"/>
          <w:b w:val="0"/>
          <w:bCs w:val="0"/>
          <w:spacing w:val="0"/>
          <w:sz w:val="21"/>
          <w:szCs w:val="21"/>
        </w:rPr>
        <w:t>图3  单向板板侧分离式接缝构造示意</w:t>
      </w:r>
    </w:p>
    <w:p>
      <w:pPr>
        <w:pStyle w:val="83"/>
        <w:shd w:val="clear" w:color="auto" w:fill="auto"/>
        <w:spacing w:before="50" w:after="50" w:line="240" w:lineRule="auto"/>
        <w:jc w:val="center"/>
        <w:rPr>
          <w:rFonts w:ascii="Times New Roman" w:hAnsi="Times New Roman" w:eastAsia="宋体" w:cs="Times New Roman"/>
          <w:spacing w:val="0"/>
          <w:sz w:val="18"/>
          <w:szCs w:val="18"/>
        </w:rPr>
      </w:pPr>
      <w:r>
        <w:rPr>
          <w:rFonts w:ascii="Times New Roman" w:hAnsi="Times New Roman" w:eastAsia="宋体" w:cs="Times New Roman"/>
          <w:b w:val="0"/>
          <w:bCs w:val="0"/>
          <w:spacing w:val="0"/>
          <w:sz w:val="18"/>
          <w:szCs w:val="18"/>
        </w:rPr>
        <w:t>1－预制叠合板；2－接缝连接纵筋；3－通长钢筋；4－后浇层；5－后浇层内钢筋</w:t>
      </w:r>
    </w:p>
    <w:p>
      <w:pPr>
        <w:pStyle w:val="51"/>
        <w:numPr>
          <w:ilvl w:val="0"/>
          <w:numId w:val="20"/>
        </w:numPr>
        <w:shd w:val="clear" w:color="auto" w:fill="auto"/>
        <w:spacing w:before="120" w:beforeLines="50" w:after="120" w:afterLines="50" w:line="240" w:lineRule="auto"/>
        <w:jc w:val="both"/>
        <w:rPr>
          <w:rStyle w:val="118"/>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双向叠合板板侧的整体式接缝应设置在叠合板的次要受力方向且宜避开最大弯矩截面。接缝采用后浇带形式（</w:t>
      </w:r>
      <w:r>
        <w:rPr>
          <w:rStyle w:val="118"/>
          <w:rFonts w:hint="eastAsia" w:ascii="Times New Roman" w:hAnsi="Times New Roman" w:eastAsia="宋体" w:cs="Times New Roman"/>
          <w:spacing w:val="0"/>
          <w:sz w:val="21"/>
          <w:szCs w:val="21"/>
        </w:rPr>
        <w:t>见</w:t>
      </w:r>
      <w:r>
        <w:rPr>
          <w:rStyle w:val="118"/>
          <w:rFonts w:ascii="Times New Roman" w:hAnsi="Times New Roman" w:eastAsia="宋体" w:cs="Times New Roman"/>
          <w:spacing w:val="0"/>
          <w:sz w:val="21"/>
          <w:szCs w:val="21"/>
        </w:rPr>
        <w:t>图4），并应符合下列规定：</w:t>
      </w:r>
    </w:p>
    <w:p>
      <w:pPr>
        <w:pStyle w:val="51"/>
        <w:shd w:val="clear" w:color="auto" w:fill="auto"/>
        <w:spacing w:before="0" w:after="0" w:line="240" w:lineRule="auto"/>
        <w:ind w:firstLine="420" w:firstLineChars="200"/>
        <w:jc w:val="both"/>
        <w:rPr>
          <w:rStyle w:val="118"/>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Style w:val="118"/>
          <w:rFonts w:ascii="Times New Roman" w:hAnsi="Times New Roman" w:eastAsia="宋体" w:cs="Times New Roman"/>
          <w:spacing w:val="0"/>
          <w:sz w:val="21"/>
          <w:szCs w:val="21"/>
        </w:rPr>
        <w:t>后浇带宽度不宜小于200mm；</w:t>
      </w:r>
    </w:p>
    <w:p>
      <w:pPr>
        <w:pStyle w:val="51"/>
        <w:shd w:val="clear" w:color="auto" w:fill="auto"/>
        <w:spacing w:before="0" w:after="0" w:line="240" w:lineRule="auto"/>
        <w:ind w:firstLine="420" w:firstLineChars="200"/>
        <w:jc w:val="both"/>
        <w:rPr>
          <w:rStyle w:val="118"/>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Style w:val="118"/>
          <w:rFonts w:ascii="Times New Roman" w:hAnsi="Times New Roman" w:eastAsia="宋体" w:cs="Times New Roman"/>
          <w:spacing w:val="0"/>
          <w:sz w:val="21"/>
          <w:szCs w:val="21"/>
        </w:rPr>
        <w:t>后浇带两侧板底纵向受力钢筋可在后浇带中焊接、搭接、弯折锚固、机械连接，板底通长钢筋面积不应小于预制板中该方向钢筋面积；</w:t>
      </w:r>
    </w:p>
    <w:p>
      <w:pPr>
        <w:pStyle w:val="51"/>
        <w:shd w:val="clear" w:color="auto" w:fill="auto"/>
        <w:spacing w:before="0" w:after="0" w:line="240" w:lineRule="auto"/>
        <w:ind w:firstLine="420" w:firstLineChars="200"/>
        <w:jc w:val="both"/>
        <w:rPr>
          <w:rStyle w:val="118"/>
          <w:rFonts w:ascii="Times New Roman" w:hAnsi="Times New Roman" w:eastAsia="宋体" w:cs="Times New Roman"/>
          <w:spacing w:val="0"/>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Style w:val="118"/>
          <w:rFonts w:ascii="Times New Roman" w:hAnsi="Times New Roman" w:eastAsia="宋体" w:cs="Times New Roman"/>
          <w:spacing w:val="0"/>
          <w:sz w:val="21"/>
          <w:szCs w:val="21"/>
        </w:rPr>
        <w:t>当后浇带两侧板底纵向受力钢筋在后浇带中搭接连接时，应符合下列规定：</w:t>
      </w:r>
    </w:p>
    <w:p>
      <w:pPr>
        <w:ind w:left="680"/>
        <w:jc w:val="both"/>
        <w:rPr>
          <w:rStyle w:val="118"/>
          <w:rFonts w:ascii="Times New Roman" w:hAnsi="Times New Roman" w:eastAsia="宋体" w:cs="Times New Roman"/>
          <w:spacing w:val="0"/>
          <w:sz w:val="21"/>
          <w:szCs w:val="21"/>
        </w:rPr>
      </w:pPr>
      <w:r>
        <w:rPr>
          <w:rStyle w:val="118"/>
          <w:rFonts w:ascii="宋体" w:hAnsi="宋体" w:eastAsia="宋体" w:cs="Times New Roman"/>
          <w:spacing w:val="0"/>
          <w:sz w:val="21"/>
          <w:szCs w:val="21"/>
        </w:rPr>
        <w:t>1</w:t>
      </w:r>
      <w:r>
        <w:rPr>
          <w:rStyle w:val="118"/>
          <w:rFonts w:hint="eastAsia" w:ascii="宋体" w:hAnsi="宋体" w:eastAsia="宋体" w:cs="Times New Roman"/>
          <w:spacing w:val="0"/>
          <w:sz w:val="21"/>
          <w:szCs w:val="21"/>
        </w:rPr>
        <w:t>）</w:t>
      </w:r>
      <w:r>
        <w:rPr>
          <w:rStyle w:val="118"/>
          <w:rFonts w:ascii="Times New Roman" w:hAnsi="Times New Roman" w:eastAsia="宋体" w:cs="Times New Roman"/>
          <w:spacing w:val="0"/>
          <w:sz w:val="21"/>
          <w:szCs w:val="21"/>
        </w:rPr>
        <w:t>预制板板底外伸钢筋为直线形（图4a）时，钢筋搭接长度应符合现行国家标准GB/T 50010的有关规定；</w:t>
      </w:r>
    </w:p>
    <w:p>
      <w:pPr>
        <w:ind w:left="680"/>
        <w:jc w:val="both"/>
        <w:rPr>
          <w:rStyle w:val="118"/>
          <w:rFonts w:ascii="Times New Roman" w:hAnsi="Times New Roman" w:eastAsia="宋体" w:cs="Times New Roman"/>
          <w:spacing w:val="0"/>
          <w:sz w:val="21"/>
          <w:szCs w:val="21"/>
        </w:rPr>
      </w:pPr>
      <w:r>
        <w:rPr>
          <w:rStyle w:val="118"/>
          <w:rFonts w:ascii="宋体" w:hAnsi="宋体" w:eastAsia="宋体" w:cs="Times New Roman"/>
          <w:spacing w:val="0"/>
          <w:sz w:val="21"/>
          <w:szCs w:val="21"/>
        </w:rPr>
        <w:t>2</w:t>
      </w:r>
      <w:r>
        <w:rPr>
          <w:rStyle w:val="118"/>
          <w:rFonts w:hint="eastAsia" w:ascii="宋体" w:hAnsi="宋体" w:eastAsia="宋体" w:cs="Times New Roman"/>
          <w:spacing w:val="0"/>
          <w:sz w:val="21"/>
          <w:szCs w:val="21"/>
        </w:rPr>
        <w:t>）</w:t>
      </w:r>
      <w:r>
        <w:rPr>
          <w:rStyle w:val="118"/>
          <w:rFonts w:ascii="Times New Roman" w:hAnsi="Times New Roman" w:eastAsia="宋体" w:cs="Times New Roman"/>
          <w:spacing w:val="0"/>
          <w:sz w:val="21"/>
          <w:szCs w:val="21"/>
        </w:rPr>
        <w:t>预制板板底外伸钢筋端部为90°或135°弯钩（图4b、c）时，钢筋搭接长度应符合现行国家标准GB/T 50010有关钢筋锚固长度的规定，90°和135°弯钩弯起长度分别为12</w:t>
      </w:r>
      <w:r>
        <w:rPr>
          <w:rStyle w:val="118"/>
          <w:rFonts w:ascii="Times New Roman" w:hAnsi="Times New Roman" w:eastAsia="宋体" w:cs="Times New Roman"/>
          <w:i/>
          <w:iCs/>
          <w:spacing w:val="0"/>
          <w:sz w:val="21"/>
          <w:szCs w:val="21"/>
        </w:rPr>
        <w:t>d</w:t>
      </w:r>
      <w:r>
        <w:rPr>
          <w:rStyle w:val="118"/>
          <w:rFonts w:ascii="Times New Roman" w:hAnsi="Times New Roman" w:eastAsia="宋体" w:cs="Times New Roman"/>
          <w:spacing w:val="0"/>
          <w:sz w:val="21"/>
          <w:szCs w:val="21"/>
        </w:rPr>
        <w:t>和5</w:t>
      </w:r>
      <w:r>
        <w:rPr>
          <w:rStyle w:val="118"/>
          <w:rFonts w:ascii="Times New Roman" w:hAnsi="Times New Roman" w:eastAsia="宋体" w:cs="Times New Roman"/>
          <w:i/>
          <w:iCs/>
          <w:spacing w:val="0"/>
          <w:sz w:val="21"/>
          <w:szCs w:val="21"/>
        </w:rPr>
        <w:t>d</w:t>
      </w:r>
      <w:r>
        <w:rPr>
          <w:rStyle w:val="118"/>
          <w:rFonts w:ascii="Times New Roman" w:hAnsi="Times New Roman" w:eastAsia="宋体" w:cs="Times New Roman"/>
          <w:spacing w:val="0"/>
          <w:sz w:val="21"/>
          <w:szCs w:val="21"/>
        </w:rPr>
        <w:t>（</w:t>
      </w:r>
      <w:r>
        <w:rPr>
          <w:rStyle w:val="118"/>
          <w:rFonts w:ascii="Times New Roman" w:hAnsi="Times New Roman" w:eastAsia="宋体" w:cs="Times New Roman"/>
          <w:i/>
          <w:iCs/>
          <w:spacing w:val="0"/>
          <w:sz w:val="21"/>
          <w:szCs w:val="21"/>
        </w:rPr>
        <w:t>d</w:t>
      </w:r>
      <w:r>
        <w:rPr>
          <w:rStyle w:val="118"/>
          <w:rFonts w:ascii="Times New Roman" w:hAnsi="Times New Roman" w:eastAsia="宋体" w:cs="Times New Roman"/>
          <w:spacing w:val="0"/>
          <w:sz w:val="21"/>
          <w:szCs w:val="21"/>
        </w:rPr>
        <w:t>为钢筋直径）。</w:t>
      </w:r>
    </w:p>
    <w:p>
      <w:pPr>
        <w:adjustRightInd w:val="0"/>
        <w:snapToGrid w:val="0"/>
        <w:ind w:right="-210"/>
        <w:jc w:val="center"/>
        <w:rPr>
          <w:rFonts w:ascii="Times New Roman" w:hAnsi="Times New Roman" w:eastAsia="宋体" w:cs="Times New Roman"/>
          <w:color w:val="000000" w:themeColor="text1"/>
          <w:sz w:val="21"/>
          <w:szCs w:val="21"/>
          <w14:textFill>
            <w14:solidFill>
              <w14:schemeClr w14:val="tx1"/>
            </w14:solidFill>
          </w14:textFill>
        </w:rPr>
      </w:pPr>
      <w:r>
        <w:drawing>
          <wp:inline distT="0" distB="0" distL="0" distR="0">
            <wp:extent cx="2962910" cy="1007745"/>
            <wp:effectExtent l="0" t="0" r="0" b="1905"/>
            <wp:docPr id="45" name="图片 45" descr="D:/师兄材料/规范/改完大于等于号后的图/6.7.8a.png6.7.8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descr="D:/师兄材料/规范/改完大于等于号后的图/6.7.8a.png6.7.8a"/>
                    <pic:cNvPicPr>
                      <a:picLocks noChangeAspect="true" noChangeArrowheads="true"/>
                    </pic:cNvPicPr>
                  </pic:nvPicPr>
                  <pic:blipFill>
                    <a:blip r:embed="rId63"/>
                    <a:srcRect t="270" b="270"/>
                    <a:stretch>
                      <a:fillRect/>
                    </a:stretch>
                  </pic:blipFill>
                  <pic:spPr>
                    <a:xfrm>
                      <a:off x="0" y="0"/>
                      <a:ext cx="2962927" cy="1008000"/>
                    </a:xfrm>
                    <a:prstGeom prst="rect">
                      <a:avLst/>
                    </a:prstGeom>
                    <a:noFill/>
                    <a:ln>
                      <a:noFill/>
                    </a:ln>
                  </pic:spPr>
                </pic:pic>
              </a:graphicData>
            </a:graphic>
          </wp:inline>
        </w:drawing>
      </w:r>
    </w:p>
    <w:p>
      <w:pPr>
        <w:adjustRightInd w:val="0"/>
        <w:snapToGrid w:val="0"/>
        <w:ind w:right="-210"/>
        <w:jc w:val="center"/>
        <w:rPr>
          <w:rFonts w:ascii="Times New Roman" w:hAnsi="Times New Roman"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a）</w:t>
      </w:r>
      <w:r>
        <w:rPr>
          <w:rFonts w:ascii="Times New Roman" w:hAnsi="Times New Roman" w:eastAsia="宋体" w:cs="Times New Roman"/>
          <w:color w:val="000000" w:themeColor="text1"/>
          <w:sz w:val="21"/>
          <w:szCs w:val="21"/>
          <w14:textFill>
            <w14:solidFill>
              <w14:schemeClr w14:val="tx1"/>
            </w14:solidFill>
          </w14:textFill>
        </w:rPr>
        <w:t>板底纵筋直线搭接</w:t>
      </w:r>
    </w:p>
    <w:p>
      <w:pPr>
        <w:adjustRightInd w:val="0"/>
        <w:snapToGrid w:val="0"/>
        <w:ind w:right="-210"/>
        <w:jc w:val="center"/>
        <w:rPr>
          <w:rFonts w:ascii="Times New Roman" w:hAnsi="Times New Roman" w:eastAsia="宋体" w:cs="Times New Roman"/>
          <w:color w:val="000000" w:themeColor="text1"/>
          <w:sz w:val="21"/>
          <w:szCs w:val="21"/>
          <w14:textFill>
            <w14:solidFill>
              <w14:schemeClr w14:val="tx1"/>
            </w14:solidFill>
          </w14:textFill>
        </w:rPr>
      </w:pPr>
      <w:r>
        <w:drawing>
          <wp:inline distT="0" distB="0" distL="0" distR="0">
            <wp:extent cx="2990850" cy="1007745"/>
            <wp:effectExtent l="0" t="0" r="0" b="1905"/>
            <wp:docPr id="47" name="图片 47" descr="D:/师兄材料/规范/改完大于等于号后的图/6.7.8b.png6.7.8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descr="D:/师兄材料/规范/改完大于等于号后的图/6.7.8b.png6.7.8b"/>
                    <pic:cNvPicPr>
                      <a:picLocks noChangeAspect="true" noChangeArrowheads="true"/>
                    </pic:cNvPicPr>
                  </pic:nvPicPr>
                  <pic:blipFill>
                    <a:blip r:embed="rId64"/>
                    <a:srcRect t="1259" b="1259"/>
                    <a:stretch>
                      <a:fillRect/>
                    </a:stretch>
                  </pic:blipFill>
                  <pic:spPr>
                    <a:xfrm>
                      <a:off x="0" y="0"/>
                      <a:ext cx="2991389" cy="1008000"/>
                    </a:xfrm>
                    <a:prstGeom prst="rect">
                      <a:avLst/>
                    </a:prstGeom>
                    <a:noFill/>
                    <a:ln>
                      <a:noFill/>
                    </a:ln>
                  </pic:spPr>
                </pic:pic>
              </a:graphicData>
            </a:graphic>
          </wp:inline>
        </w:drawing>
      </w:r>
    </w:p>
    <w:p>
      <w:pPr>
        <w:adjustRightInd w:val="0"/>
        <w:snapToGrid w:val="0"/>
        <w:ind w:right="-210"/>
        <w:jc w:val="center"/>
        <w:rPr>
          <w:rFonts w:ascii="Times New Roman" w:hAnsi="Times New Roman"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b）</w:t>
      </w:r>
      <w:r>
        <w:rPr>
          <w:rFonts w:ascii="Times New Roman" w:hAnsi="Times New Roman" w:eastAsia="宋体" w:cs="Times New Roman"/>
          <w:color w:val="000000" w:themeColor="text1"/>
          <w:sz w:val="21"/>
          <w:szCs w:val="21"/>
          <w14:textFill>
            <w14:solidFill>
              <w14:schemeClr w14:val="tx1"/>
            </w14:solidFill>
          </w14:textFill>
        </w:rPr>
        <w:t>板底纵筋末端带90°弯钩搭接</w:t>
      </w:r>
    </w:p>
    <w:p>
      <w:pPr>
        <w:adjustRightInd w:val="0"/>
        <w:snapToGrid w:val="0"/>
        <w:ind w:right="-210"/>
        <w:jc w:val="center"/>
        <w:rPr>
          <w:rFonts w:ascii="Times New Roman" w:hAnsi="Times New Roman" w:eastAsia="宋体" w:cs="Times New Roman"/>
          <w:color w:val="000000" w:themeColor="text1"/>
          <w:sz w:val="21"/>
          <w:szCs w:val="21"/>
          <w14:textFill>
            <w14:solidFill>
              <w14:schemeClr w14:val="tx1"/>
            </w14:solidFill>
          </w14:textFill>
        </w:rPr>
      </w:pPr>
      <w:r>
        <w:drawing>
          <wp:inline distT="0" distB="0" distL="0" distR="0">
            <wp:extent cx="2966720" cy="1007745"/>
            <wp:effectExtent l="0" t="0" r="5080" b="1905"/>
            <wp:docPr id="48" name="图片 48" descr="D:/师兄材料/规范/改完大于等于号后的图/6.7.8c.png6.7.8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8" descr="D:/师兄材料/规范/改完大于等于号后的图/6.7.8c.png6.7.8c"/>
                    <pic:cNvPicPr>
                      <a:picLocks noChangeAspect="true" noChangeArrowheads="true"/>
                    </pic:cNvPicPr>
                  </pic:nvPicPr>
                  <pic:blipFill>
                    <a:blip r:embed="rId65"/>
                    <a:srcRect t="1539" b="1539"/>
                    <a:stretch>
                      <a:fillRect/>
                    </a:stretch>
                  </pic:blipFill>
                  <pic:spPr>
                    <a:xfrm>
                      <a:off x="0" y="0"/>
                      <a:ext cx="2967078" cy="1008000"/>
                    </a:xfrm>
                    <a:prstGeom prst="rect">
                      <a:avLst/>
                    </a:prstGeom>
                    <a:noFill/>
                    <a:ln>
                      <a:noFill/>
                    </a:ln>
                  </pic:spPr>
                </pic:pic>
              </a:graphicData>
            </a:graphic>
          </wp:inline>
        </w:drawing>
      </w:r>
    </w:p>
    <w:p>
      <w:pPr>
        <w:adjustRightInd w:val="0"/>
        <w:snapToGrid w:val="0"/>
        <w:ind w:right="-210"/>
        <w:jc w:val="center"/>
        <w:rPr>
          <w:rFonts w:ascii="Times New Roman" w:hAnsi="Times New Roman"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c）</w:t>
      </w:r>
      <w:r>
        <w:rPr>
          <w:rFonts w:ascii="Times New Roman" w:hAnsi="Times New Roman" w:eastAsia="宋体" w:cs="Times New Roman"/>
          <w:color w:val="000000" w:themeColor="text1"/>
          <w:sz w:val="21"/>
          <w:szCs w:val="21"/>
          <w14:textFill>
            <w14:solidFill>
              <w14:schemeClr w14:val="tx1"/>
            </w14:solidFill>
          </w14:textFill>
        </w:rPr>
        <w:t>板底纵筋末端带135°弯钩搭接</w:t>
      </w:r>
    </w:p>
    <w:p>
      <w:pPr>
        <w:pStyle w:val="83"/>
        <w:shd w:val="clear" w:color="auto" w:fill="auto"/>
        <w:spacing w:before="120" w:beforeLines="50" w:after="120" w:afterLines="50" w:line="240" w:lineRule="auto"/>
        <w:jc w:val="center"/>
        <w:rPr>
          <w:rFonts w:ascii="Times New Roman" w:hAnsi="Times New Roman" w:eastAsia="宋体" w:cs="Times New Roman"/>
          <w:bCs w:val="0"/>
          <w:spacing w:val="0"/>
          <w:sz w:val="21"/>
          <w:szCs w:val="21"/>
        </w:rPr>
      </w:pPr>
      <w:r>
        <w:rPr>
          <w:rFonts w:ascii="Times New Roman" w:hAnsi="Times New Roman" w:eastAsia="宋体" w:cs="Times New Roman"/>
          <w:b w:val="0"/>
          <w:bCs w:val="0"/>
          <w:spacing w:val="0"/>
          <w:sz w:val="21"/>
          <w:szCs w:val="21"/>
        </w:rPr>
        <w:t>图4  双向叠合板整体式接缝构造示意</w:t>
      </w:r>
    </w:p>
    <w:p>
      <w:pPr>
        <w:pStyle w:val="83"/>
        <w:shd w:val="clear" w:color="auto" w:fill="auto"/>
        <w:spacing w:before="50" w:after="50" w:line="240" w:lineRule="auto"/>
        <w:jc w:val="center"/>
        <w:rPr>
          <w:rFonts w:ascii="Times New Roman" w:hAnsi="Times New Roman" w:eastAsia="宋体" w:cs="Times New Roman"/>
          <w:spacing w:val="0"/>
          <w:sz w:val="18"/>
          <w:szCs w:val="18"/>
        </w:rPr>
      </w:pPr>
      <w:r>
        <w:rPr>
          <w:rFonts w:ascii="Times New Roman" w:hAnsi="Times New Roman" w:eastAsia="宋体" w:cs="Times New Roman"/>
          <w:b w:val="0"/>
          <w:bCs w:val="0"/>
          <w:spacing w:val="0"/>
          <w:sz w:val="18"/>
          <w:szCs w:val="18"/>
        </w:rPr>
        <w:t>1－预制叠合板；2－板底通长钢筋；3－纵向受力钢筋；4－后浇层；5－后浇层内钢筋</w:t>
      </w:r>
    </w:p>
    <w:p>
      <w:pPr>
        <w:pStyle w:val="51"/>
        <w:numPr>
          <w:ilvl w:val="0"/>
          <w:numId w:val="20"/>
        </w:numPr>
        <w:shd w:val="clear" w:color="auto" w:fill="auto"/>
        <w:spacing w:before="120" w:beforeLines="50" w:after="120" w:afterLines="50" w:line="240" w:lineRule="auto"/>
        <w:jc w:val="both"/>
        <w:rPr>
          <w:rFonts w:ascii="Times New Roman" w:hAnsi="Times New Roman" w:eastAsia="宋体" w:cs="Times New Roman"/>
          <w:color w:val="000000" w:themeColor="text1"/>
          <w:sz w:val="21"/>
          <w:szCs w:val="21"/>
          <w14:textFill>
            <w14:solidFill>
              <w14:schemeClr w14:val="tx1"/>
            </w14:solidFill>
          </w14:textFill>
        </w:rPr>
      </w:pPr>
      <w:r>
        <w:rPr>
          <w:rStyle w:val="118"/>
          <w:rFonts w:ascii="Times New Roman" w:hAnsi="Times New Roman" w:eastAsia="宋体" w:cs="Times New Roman"/>
          <w:spacing w:val="0"/>
          <w:sz w:val="21"/>
          <w:szCs w:val="21"/>
        </w:rPr>
        <w:t>叠合板端支座处，预制板内的纵向受力钢筋宜从板端伸出并锚入梁或墙的现浇混凝土层中，锚固长度不应小于5</w:t>
      </w:r>
      <w:r>
        <w:rPr>
          <w:rStyle w:val="118"/>
          <w:rFonts w:ascii="Times New Roman" w:hAnsi="Times New Roman" w:eastAsia="宋体" w:cs="Times New Roman"/>
          <w:i/>
          <w:iCs/>
          <w:spacing w:val="0"/>
          <w:sz w:val="21"/>
          <w:szCs w:val="21"/>
        </w:rPr>
        <w:t>d</w:t>
      </w:r>
      <w:r>
        <w:rPr>
          <w:rStyle w:val="118"/>
          <w:rFonts w:ascii="Times New Roman" w:hAnsi="Times New Roman" w:eastAsia="宋体" w:cs="Times New Roman"/>
          <w:spacing w:val="0"/>
          <w:sz w:val="21"/>
          <w:szCs w:val="21"/>
        </w:rPr>
        <w:t>及100mm的较大值，且宜伸过支座中心线（图5a</w:t>
      </w:r>
      <w:r>
        <w:rPr>
          <w:rStyle w:val="118"/>
          <w:rFonts w:hint="eastAsia" w:ascii="Times New Roman" w:hAnsi="Times New Roman" w:eastAsia="宋体" w:cs="Times New Roman"/>
          <w:spacing w:val="0"/>
          <w:sz w:val="21"/>
          <w:szCs w:val="21"/>
        </w:rPr>
        <w:t>）</w:t>
      </w:r>
      <w:r>
        <w:rPr>
          <w:rStyle w:val="118"/>
          <w:rFonts w:ascii="Times New Roman" w:hAnsi="Times New Roman" w:eastAsia="宋体" w:cs="Times New Roman"/>
          <w:spacing w:val="0"/>
          <w:sz w:val="21"/>
          <w:szCs w:val="21"/>
        </w:rPr>
        <w:t>。单向预制板的板侧支座处，当板底分布钢筋不伸入支座，宜贴预制板顶面在现浇混凝土中设置附加钢筋；附加钢筋面积不宜小于预制板内同向钢筋面积，在现浇混凝土层内锚固长度不应小于0.8</w:t>
      </w:r>
      <w:r>
        <w:rPr>
          <w:rFonts w:ascii="Times New Roman" w:hAnsi="Times New Roman" w:eastAsia="宋体" w:cs="Times New Roman"/>
          <w:position w:val="-12"/>
          <w:sz w:val="21"/>
          <w:szCs w:val="21"/>
        </w:rPr>
        <w:object>
          <v:shape id="_x0000_i1047" o:spt="75" type="#_x0000_t75" style="height:14.5pt;width:7pt;" o:ole="t" filled="f" o:preferrelative="t" stroked="f" coordsize="21600,21600">
            <v:path/>
            <v:fill on="f" focussize="0,0"/>
            <v:stroke on="f" joinstyle="miter"/>
            <v:imagedata r:id="rId67" o:title=""/>
            <o:lock v:ext="edit" aspectratio="t"/>
            <w10:wrap type="none"/>
            <w10:anchorlock/>
          </v:shape>
          <o:OLEObject Type="Embed" ProgID="Equation.DSMT4" ShapeID="_x0000_i1047" DrawAspect="Content" ObjectID="_1468075747" r:id="rId66">
            <o:LockedField>false</o:LockedField>
          </o:OLEObject>
        </w:object>
      </w:r>
      <w:r>
        <w:rPr>
          <w:rStyle w:val="118"/>
          <w:rFonts w:ascii="Times New Roman" w:hAnsi="Times New Roman" w:eastAsia="宋体" w:cs="Times New Roman"/>
          <w:spacing w:val="0"/>
          <w:sz w:val="21"/>
          <w:szCs w:val="21"/>
        </w:rPr>
        <w:t>，在支座内锚固长度</w:t>
      </w:r>
      <w:r>
        <w:rPr>
          <w:rFonts w:ascii="Times New Roman" w:hAnsi="Times New Roman" w:eastAsia="宋体" w:cs="Times New Roman"/>
          <w:position w:val="-12"/>
          <w:sz w:val="21"/>
          <w:szCs w:val="21"/>
        </w:rPr>
        <w:object>
          <v:shape id="_x0000_i1048" o:spt="75" type="#_x0000_t75" style="height:14.5pt;width:7pt;" o:ole="t" filled="f" o:preferrelative="t" stroked="f" coordsize="21600,21600">
            <v:path/>
            <v:fill on="f" focussize="0,0"/>
            <v:stroke on="f" joinstyle="miter"/>
            <v:imagedata r:id="rId67" o:title=""/>
            <o:lock v:ext="edit" aspectratio="t"/>
            <w10:wrap type="none"/>
            <w10:anchorlock/>
          </v:shape>
          <o:OLEObject Type="Embed" ProgID="Equation.DSMT4" ShapeID="_x0000_i1048" DrawAspect="Content" ObjectID="_1468075748" r:id="rId68">
            <o:LockedField>false</o:LockedField>
          </o:OLEObject>
        </w:object>
      </w:r>
      <w:r>
        <w:rPr>
          <w:rStyle w:val="118"/>
          <w:rFonts w:ascii="Times New Roman" w:hAnsi="Times New Roman" w:eastAsia="宋体" w:cs="Times New Roman"/>
          <w:spacing w:val="0"/>
          <w:sz w:val="21"/>
          <w:szCs w:val="21"/>
        </w:rPr>
        <w:t>不应小于5</w:t>
      </w:r>
      <w:r>
        <w:rPr>
          <w:rStyle w:val="118"/>
          <w:rFonts w:ascii="Times New Roman" w:hAnsi="Times New Roman" w:eastAsia="宋体" w:cs="Times New Roman"/>
          <w:i/>
          <w:iCs/>
          <w:spacing w:val="0"/>
          <w:sz w:val="21"/>
          <w:szCs w:val="21"/>
        </w:rPr>
        <w:t>d</w:t>
      </w:r>
      <w:r>
        <w:rPr>
          <w:rStyle w:val="118"/>
          <w:rFonts w:ascii="Times New Roman" w:hAnsi="Times New Roman" w:eastAsia="宋体" w:cs="Times New Roman"/>
          <w:spacing w:val="0"/>
          <w:sz w:val="21"/>
          <w:szCs w:val="21"/>
        </w:rPr>
        <w:t>及100mm的较大值，且宜伸过支座中心线（</w:t>
      </w:r>
      <w:r>
        <w:rPr>
          <w:rStyle w:val="118"/>
          <w:rFonts w:hint="eastAsia" w:ascii="Times New Roman" w:hAnsi="Times New Roman" w:eastAsia="宋体" w:cs="Times New Roman"/>
          <w:spacing w:val="0"/>
          <w:sz w:val="21"/>
          <w:szCs w:val="21"/>
        </w:rPr>
        <w:t>见</w:t>
      </w:r>
      <w:r>
        <w:rPr>
          <w:rStyle w:val="118"/>
          <w:rFonts w:ascii="Times New Roman" w:hAnsi="Times New Roman" w:eastAsia="宋体" w:cs="Times New Roman"/>
          <w:spacing w:val="0"/>
          <w:sz w:val="21"/>
          <w:szCs w:val="21"/>
        </w:rPr>
        <w:t>图5b</w:t>
      </w:r>
      <w:r>
        <w:rPr>
          <w:rStyle w:val="118"/>
          <w:rFonts w:hint="eastAsia" w:ascii="Times New Roman" w:hAnsi="Times New Roman" w:eastAsia="宋体" w:cs="Times New Roman"/>
          <w:spacing w:val="0"/>
          <w:sz w:val="21"/>
          <w:szCs w:val="21"/>
        </w:rPr>
        <w:t>）</w:t>
      </w:r>
      <w:r>
        <w:rPr>
          <w:rStyle w:val="118"/>
          <w:rFonts w:ascii="Times New Roman" w:hAnsi="Times New Roman" w:eastAsia="宋体" w:cs="Times New Roman"/>
          <w:spacing w:val="0"/>
          <w:sz w:val="21"/>
          <w:szCs w:val="21"/>
        </w:rPr>
        <w:t>。</w:t>
      </w:r>
    </w:p>
    <w:p>
      <w:pPr>
        <w:jc w:val="center"/>
        <w:rPr>
          <w:rFonts w:ascii="Times New Roman" w:hAnsi="Times New Roman" w:eastAsia="宋体" w:cs="Times New Roman"/>
          <w:color w:val="000000" w:themeColor="text1"/>
          <w:sz w:val="21"/>
          <w:szCs w:val="21"/>
          <w14:textFill>
            <w14:solidFill>
              <w14:schemeClr w14:val="tx1"/>
            </w14:solidFill>
          </w14:textFill>
        </w:rPr>
      </w:pPr>
      <w:r>
        <w:drawing>
          <wp:inline distT="0" distB="0" distL="0" distR="0">
            <wp:extent cx="2324100" cy="1871980"/>
            <wp:effectExtent l="0" t="0" r="0" b="0"/>
            <wp:docPr id="49" name="图片 49" descr="D:/师兄材料/规范/改完大于等于号后的图/6.7.9a.png6.7.9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9" descr="D:/师兄材料/规范/改完大于等于号后的图/6.7.9a.png6.7.9a"/>
                    <pic:cNvPicPr>
                      <a:picLocks noChangeAspect="true" noChangeArrowheads="true"/>
                    </pic:cNvPicPr>
                  </pic:nvPicPr>
                  <pic:blipFill>
                    <a:blip r:embed="rId69"/>
                    <a:srcRect t="184" b="184"/>
                    <a:stretch>
                      <a:fillRect/>
                    </a:stretch>
                  </pic:blipFill>
                  <pic:spPr>
                    <a:xfrm>
                      <a:off x="0" y="0"/>
                      <a:ext cx="2324558" cy="1872000"/>
                    </a:xfrm>
                    <a:prstGeom prst="rect">
                      <a:avLst/>
                    </a:prstGeom>
                    <a:noFill/>
                    <a:ln>
                      <a:noFill/>
                    </a:ln>
                  </pic:spPr>
                </pic:pic>
              </a:graphicData>
            </a:graphic>
          </wp:inline>
        </w:drawing>
      </w:r>
      <w:r>
        <w:rPr>
          <w:rFonts w:hint="eastAsia"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2315845" cy="1871980"/>
            <wp:effectExtent l="0" t="0" r="8255" b="0"/>
            <wp:docPr id="1" name="图片 1" descr="6.7.9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6.7.9b"/>
                    <pic:cNvPicPr>
                      <a:picLocks noChangeAspect="true"/>
                    </pic:cNvPicPr>
                  </pic:nvPicPr>
                  <pic:blipFill>
                    <a:blip r:embed="rId70"/>
                    <a:stretch>
                      <a:fillRect/>
                    </a:stretch>
                  </pic:blipFill>
                  <pic:spPr>
                    <a:xfrm>
                      <a:off x="0" y="0"/>
                      <a:ext cx="2315996" cy="1872000"/>
                    </a:xfrm>
                    <a:prstGeom prst="rect">
                      <a:avLst/>
                    </a:prstGeom>
                  </pic:spPr>
                </pic:pic>
              </a:graphicData>
            </a:graphic>
          </wp:inline>
        </w:drawing>
      </w:r>
    </w:p>
    <w:p>
      <w:pPr>
        <w:adjustRightInd w:val="0"/>
        <w:snapToGrid w:val="0"/>
        <w:ind w:right="-210" w:firstLine="1470" w:firstLineChars="700"/>
        <w:jc w:val="both"/>
        <w:rPr>
          <w:rFonts w:ascii="Times New Roman" w:hAnsi="Times New Roman"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a）</w:t>
      </w:r>
      <w:r>
        <w:rPr>
          <w:rFonts w:ascii="Times New Roman" w:hAnsi="Times New Roman" w:eastAsia="宋体" w:cs="Times New Roman"/>
          <w:color w:val="000000" w:themeColor="text1"/>
          <w:sz w:val="21"/>
          <w:szCs w:val="21"/>
          <w14:textFill>
            <w14:solidFill>
              <w14:schemeClr w14:val="tx1"/>
            </w14:solidFill>
          </w14:textFill>
        </w:rPr>
        <w:t xml:space="preserve">板端支座                     </w:t>
      </w:r>
      <w:r>
        <w:rPr>
          <w:rFonts w:ascii="宋体" w:hAnsi="宋体" w:eastAsia="宋体" w:cs="Times New Roman"/>
          <w:color w:val="000000" w:themeColor="text1"/>
          <w:sz w:val="21"/>
          <w:szCs w:val="21"/>
          <w14:textFill>
            <w14:solidFill>
              <w14:schemeClr w14:val="tx1"/>
            </w14:solidFill>
          </w14:textFill>
        </w:rPr>
        <w:t xml:space="preserve"> b）</w:t>
      </w:r>
      <w:r>
        <w:rPr>
          <w:rFonts w:ascii="Times New Roman" w:hAnsi="Times New Roman" w:eastAsia="宋体" w:cs="Times New Roman"/>
          <w:color w:val="000000" w:themeColor="text1"/>
          <w:sz w:val="21"/>
          <w:szCs w:val="21"/>
          <w14:textFill>
            <w14:solidFill>
              <w14:schemeClr w14:val="tx1"/>
            </w14:solidFill>
          </w14:textFill>
        </w:rPr>
        <w:t>单向板板侧支座</w:t>
      </w:r>
    </w:p>
    <w:p>
      <w:pPr>
        <w:pStyle w:val="83"/>
        <w:shd w:val="clear" w:color="auto" w:fill="auto"/>
        <w:spacing w:before="120" w:beforeLines="50" w:after="120" w:afterLines="50" w:line="240" w:lineRule="auto"/>
        <w:jc w:val="center"/>
        <w:rPr>
          <w:rFonts w:ascii="Times New Roman" w:hAnsi="Times New Roman" w:eastAsia="宋体" w:cs="Times New Roman"/>
          <w:color w:val="000000" w:themeColor="text1"/>
          <w:spacing w:val="0"/>
          <w:sz w:val="21"/>
          <w:szCs w:val="21"/>
          <w14:textFill>
            <w14:solidFill>
              <w14:schemeClr w14:val="tx1"/>
            </w14:solidFill>
          </w14:textFill>
        </w:rPr>
      </w:pPr>
      <w:r>
        <w:rPr>
          <w:rFonts w:ascii="Times New Roman" w:hAnsi="Times New Roman" w:eastAsia="宋体" w:cs="Times New Roman"/>
          <w:b w:val="0"/>
          <w:bCs w:val="0"/>
          <w:color w:val="000000" w:themeColor="text1"/>
          <w:spacing w:val="0"/>
          <w:sz w:val="21"/>
          <w:szCs w:val="21"/>
          <w14:textFill>
            <w14:solidFill>
              <w14:schemeClr w14:val="tx1"/>
            </w14:solidFill>
          </w14:textFill>
        </w:rPr>
        <w:t>图5  预制叠合板板端及板侧构造示意</w:t>
      </w:r>
    </w:p>
    <w:p>
      <w:pPr>
        <w:pStyle w:val="83"/>
        <w:shd w:val="clear" w:color="auto" w:fill="auto"/>
        <w:spacing w:before="50" w:after="50" w:line="240" w:lineRule="auto"/>
        <w:jc w:val="center"/>
        <w:rPr>
          <w:rFonts w:ascii="Times New Roman" w:hAnsi="Times New Roman" w:eastAsia="宋体" w:cs="Times New Roman"/>
          <w:b w:val="0"/>
          <w:bCs w:val="0"/>
          <w:spacing w:val="0"/>
          <w:sz w:val="18"/>
          <w:szCs w:val="18"/>
        </w:rPr>
      </w:pPr>
      <w:r>
        <w:rPr>
          <w:rFonts w:ascii="Times New Roman" w:hAnsi="Times New Roman" w:eastAsia="宋体" w:cs="Times New Roman"/>
          <w:b w:val="0"/>
          <w:bCs w:val="0"/>
          <w:spacing w:val="0"/>
          <w:sz w:val="18"/>
          <w:szCs w:val="18"/>
        </w:rPr>
        <w:t>1—预制板；2—现浇层；3—预制板内钢筋；4—附加钢筋</w:t>
      </w:r>
    </w:p>
    <w:p>
      <w:pPr>
        <w:pStyle w:val="51"/>
        <w:numPr>
          <w:ilvl w:val="0"/>
          <w:numId w:val="20"/>
        </w:numPr>
        <w:shd w:val="clear" w:color="auto" w:fill="auto"/>
        <w:tabs>
          <w:tab w:val="left" w:pos="678"/>
        </w:tabs>
        <w:spacing w:before="120" w:beforeLines="50" w:after="120" w:afterLines="50" w:line="240" w:lineRule="auto"/>
        <w:ind w:right="40"/>
        <w:jc w:val="both"/>
        <w:rPr>
          <w:rStyle w:val="118"/>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作为上部结构嵌固部位的楼层、结构复杂或开大洞的楼层、屋面等应采用现浇楼</w:t>
      </w:r>
      <w:r>
        <w:rPr>
          <w:rStyle w:val="118"/>
          <w:rFonts w:hint="eastAsia" w:ascii="Times New Roman" w:hAnsi="Times New Roman" w:eastAsia="宋体" w:cs="Times New Roman"/>
          <w:spacing w:val="0"/>
          <w:sz w:val="21"/>
          <w:szCs w:val="21"/>
        </w:rPr>
        <w:t>板</w:t>
      </w:r>
      <w:r>
        <w:rPr>
          <w:rStyle w:val="118"/>
          <w:rFonts w:ascii="Times New Roman" w:hAnsi="Times New Roman" w:eastAsia="宋体" w:cs="Times New Roman"/>
          <w:spacing w:val="0"/>
          <w:sz w:val="21"/>
          <w:szCs w:val="21"/>
        </w:rPr>
        <w:t>。</w:t>
      </w:r>
    </w:p>
    <w:p>
      <w:pPr>
        <w:pStyle w:val="210"/>
        <w:spacing w:before="240" w:after="120" w:afterLines="50"/>
        <w:rPr>
          <w:rFonts w:ascii="黑体" w:hAnsi="黑体" w:eastAsia="黑体"/>
          <w:b w:val="0"/>
          <w:sz w:val="21"/>
          <w:szCs w:val="21"/>
        </w:rPr>
      </w:pPr>
      <w:bookmarkStart w:id="130" w:name="_Toc172188619"/>
      <w:bookmarkStart w:id="131" w:name="_Toc172187834"/>
      <w:bookmarkStart w:id="132" w:name="_Toc2437"/>
      <w:bookmarkStart w:id="133" w:name="_Toc172188895"/>
      <w:bookmarkStart w:id="134" w:name="_Toc68250310"/>
      <w:bookmarkStart w:id="135" w:name="bookmark21"/>
      <w:r>
        <w:rPr>
          <w:rFonts w:ascii="黑体" w:hAnsi="黑体" w:eastAsia="黑体"/>
          <w:b w:val="0"/>
          <w:sz w:val="21"/>
          <w:szCs w:val="21"/>
        </w:rPr>
        <w:t>8 装配整体式框架结构设计</w:t>
      </w:r>
      <w:bookmarkEnd w:id="130"/>
      <w:bookmarkEnd w:id="131"/>
      <w:bookmarkEnd w:id="132"/>
      <w:bookmarkEnd w:id="133"/>
    </w:p>
    <w:p>
      <w:pPr>
        <w:pStyle w:val="210"/>
        <w:spacing w:before="240" w:after="120" w:afterLines="50"/>
        <w:outlineLvl w:val="2"/>
        <w:rPr>
          <w:rFonts w:ascii="黑体" w:hAnsi="黑体" w:eastAsia="黑体"/>
          <w:b w:val="0"/>
          <w:sz w:val="21"/>
          <w:szCs w:val="21"/>
        </w:rPr>
      </w:pPr>
      <w:bookmarkStart w:id="136" w:name="_Toc172187835"/>
      <w:bookmarkStart w:id="137" w:name="_Toc172188620"/>
      <w:bookmarkStart w:id="138" w:name="_Toc14014"/>
      <w:bookmarkStart w:id="139" w:name="_Toc172188896"/>
      <w:r>
        <w:rPr>
          <w:rFonts w:ascii="黑体" w:hAnsi="黑体" w:eastAsia="黑体"/>
          <w:b w:val="0"/>
          <w:sz w:val="21"/>
          <w:szCs w:val="21"/>
        </w:rPr>
        <w:t>8.1 一般规定</w:t>
      </w:r>
      <w:bookmarkEnd w:id="136"/>
      <w:bookmarkEnd w:id="137"/>
      <w:bookmarkEnd w:id="138"/>
      <w:bookmarkEnd w:id="139"/>
    </w:p>
    <w:bookmarkEnd w:id="134"/>
    <w:bookmarkEnd w:id="135"/>
    <w:p>
      <w:pPr>
        <w:pStyle w:val="51"/>
        <w:numPr>
          <w:ilvl w:val="0"/>
          <w:numId w:val="21"/>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 xml:space="preserve">装配整体式混凝土框架结构设计可按照现浇混凝土结构进行，设计除依照本标准规定外，尚应符合现行国家标准和现行行业标准的要求。当房屋高度、规则性、结构类型等超过本标准的规定或者抗震设防标准有特殊要求时，可按现行行业标准JGJ </w:t>
      </w:r>
      <w:r>
        <w:rPr>
          <w:rStyle w:val="71"/>
          <w:rFonts w:ascii="Times New Roman" w:hAnsi="Times New Roman" w:eastAsia="宋体" w:cs="Times New Roman"/>
          <w:spacing w:val="0"/>
          <w:sz w:val="21"/>
          <w:szCs w:val="21"/>
        </w:rPr>
        <w:t>3</w:t>
      </w:r>
      <w:r>
        <w:rPr>
          <w:rFonts w:ascii="Times New Roman" w:hAnsi="Times New Roman" w:eastAsia="宋体" w:cs="Times New Roman"/>
          <w:spacing w:val="0"/>
          <w:sz w:val="21"/>
          <w:szCs w:val="21"/>
        </w:rPr>
        <w:t>的有关规定进行结构抗震性能设计。</w:t>
      </w:r>
    </w:p>
    <w:p>
      <w:pPr>
        <w:pStyle w:val="51"/>
        <w:numPr>
          <w:ilvl w:val="0"/>
          <w:numId w:val="21"/>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装配整体式混凝土框架结构中，预制柱的纵向钢筋连接应符合下列规定：</w:t>
      </w:r>
    </w:p>
    <w:p>
      <w:pPr>
        <w:pStyle w:val="51"/>
        <w:shd w:val="clear" w:color="auto" w:fill="auto"/>
        <w:spacing w:before="0" w:after="0" w:line="240" w:lineRule="auto"/>
        <w:ind w:firstLine="420" w:firstLineChars="200"/>
        <w:jc w:val="left"/>
        <w:rPr>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当房屋高度不大于</w:t>
      </w:r>
      <w:r>
        <w:rPr>
          <w:rStyle w:val="71"/>
          <w:rFonts w:ascii="Times New Roman" w:hAnsi="Times New Roman" w:eastAsia="宋体" w:cs="Times New Roman"/>
          <w:spacing w:val="0"/>
          <w:sz w:val="21"/>
          <w:szCs w:val="21"/>
        </w:rPr>
        <w:t>12m</w:t>
      </w:r>
      <w:r>
        <w:rPr>
          <w:rFonts w:ascii="Times New Roman" w:hAnsi="Times New Roman" w:eastAsia="宋体" w:cs="Times New Roman"/>
          <w:spacing w:val="0"/>
          <w:sz w:val="21"/>
          <w:szCs w:val="21"/>
        </w:rPr>
        <w:t>或层数不超过</w:t>
      </w:r>
      <w:r>
        <w:rPr>
          <w:rStyle w:val="71"/>
          <w:rFonts w:ascii="Times New Roman" w:hAnsi="Times New Roman" w:eastAsia="宋体" w:cs="Times New Roman"/>
          <w:spacing w:val="0"/>
          <w:sz w:val="21"/>
          <w:szCs w:val="21"/>
        </w:rPr>
        <w:t>3</w:t>
      </w:r>
      <w:r>
        <w:rPr>
          <w:rFonts w:ascii="Times New Roman" w:hAnsi="Times New Roman" w:eastAsia="宋体" w:cs="Times New Roman"/>
          <w:spacing w:val="0"/>
          <w:sz w:val="21"/>
          <w:szCs w:val="21"/>
        </w:rPr>
        <w:t>层时，可采用套筒灌浆、浆锚搭接、焊接等连接方式；</w:t>
      </w:r>
    </w:p>
    <w:p>
      <w:pPr>
        <w:pStyle w:val="51"/>
        <w:shd w:val="clear" w:color="auto" w:fill="auto"/>
        <w:spacing w:before="0" w:after="0" w:line="240" w:lineRule="auto"/>
        <w:ind w:firstLine="420" w:firstLineChars="200"/>
        <w:jc w:val="left"/>
        <w:rPr>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当房屋高度大于</w:t>
      </w:r>
      <w:r>
        <w:rPr>
          <w:rStyle w:val="71"/>
          <w:rFonts w:ascii="Times New Roman" w:hAnsi="Times New Roman" w:eastAsia="宋体" w:cs="Times New Roman"/>
          <w:spacing w:val="0"/>
          <w:sz w:val="21"/>
          <w:szCs w:val="21"/>
        </w:rPr>
        <w:t>12m</w:t>
      </w:r>
      <w:r>
        <w:rPr>
          <w:rFonts w:ascii="Times New Roman" w:hAnsi="Times New Roman" w:eastAsia="宋体" w:cs="Times New Roman"/>
          <w:spacing w:val="0"/>
          <w:sz w:val="21"/>
          <w:szCs w:val="21"/>
        </w:rPr>
        <w:t>或层数超过</w:t>
      </w:r>
      <w:r>
        <w:rPr>
          <w:rStyle w:val="71"/>
          <w:rFonts w:ascii="Times New Roman" w:hAnsi="Times New Roman" w:eastAsia="宋体" w:cs="Times New Roman"/>
          <w:spacing w:val="0"/>
          <w:sz w:val="21"/>
          <w:szCs w:val="21"/>
        </w:rPr>
        <w:t>3</w:t>
      </w:r>
      <w:r>
        <w:rPr>
          <w:rFonts w:ascii="Times New Roman" w:hAnsi="Times New Roman" w:eastAsia="宋体" w:cs="Times New Roman"/>
          <w:spacing w:val="0"/>
          <w:sz w:val="21"/>
          <w:szCs w:val="21"/>
        </w:rPr>
        <w:t>层时，宜采用套筒灌浆连接；</w:t>
      </w:r>
    </w:p>
    <w:p>
      <w:pPr>
        <w:pStyle w:val="51"/>
        <w:numPr>
          <w:ilvl w:val="0"/>
          <w:numId w:val="21"/>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装配整体式混凝土框架结构中，预制柱水平接缝处不宜出现拉力。</w:t>
      </w:r>
    </w:p>
    <w:p>
      <w:pPr>
        <w:pStyle w:val="51"/>
        <w:numPr>
          <w:ilvl w:val="0"/>
          <w:numId w:val="21"/>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装配整体式混凝土框架结构除平面复杂或开洞较大的楼层、作为上部结构嵌固部位的地下室楼层宜采用现浇楼盖外，其他部位宜采用叠合楼盖。叠合楼盖设计除满足国家现行标准的有关规定外，尚应符合下列要求：</w:t>
      </w:r>
    </w:p>
    <w:p>
      <w:pPr>
        <w:pStyle w:val="51"/>
        <w:shd w:val="clear" w:color="auto" w:fill="auto"/>
        <w:spacing w:before="0" w:after="0" w:line="240" w:lineRule="auto"/>
        <w:ind w:firstLine="420" w:firstLineChars="200"/>
        <w:jc w:val="left"/>
        <w:rPr>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叠合楼盖可采用单向板、双向板的布置方案；</w:t>
      </w:r>
    </w:p>
    <w:p>
      <w:pPr>
        <w:pStyle w:val="51"/>
        <w:shd w:val="clear" w:color="auto" w:fill="auto"/>
        <w:spacing w:before="0" w:after="0" w:line="240" w:lineRule="auto"/>
        <w:ind w:firstLine="420" w:firstLineChars="200"/>
        <w:jc w:val="left"/>
        <w:rPr>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叠合楼盖的预制底板可设置接缝也可采用密缝拼接的做法，当采用密缝拼接的做法时，接缝处应采取控制板缝的可靠措施；</w:t>
      </w:r>
    </w:p>
    <w:p>
      <w:pPr>
        <w:pStyle w:val="51"/>
        <w:shd w:val="clear" w:color="auto" w:fill="auto"/>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叠合楼盖设计中，板的跨厚比宜较现浇板适当减小；</w:t>
      </w:r>
    </w:p>
    <w:p>
      <w:pPr>
        <w:pStyle w:val="51"/>
        <w:shd w:val="clear" w:color="auto" w:fill="auto"/>
        <w:tabs>
          <w:tab w:val="left" w:pos="764"/>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d</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叠合楼盖采用预制预应力底板时，应采取控制反拱的可靠措施。</w:t>
      </w:r>
    </w:p>
    <w:p>
      <w:pPr>
        <w:pStyle w:val="51"/>
        <w:numPr>
          <w:ilvl w:val="0"/>
          <w:numId w:val="21"/>
        </w:numPr>
        <w:shd w:val="clear" w:color="auto" w:fill="auto"/>
        <w:tabs>
          <w:tab w:val="left" w:pos="663"/>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高层装配整体式混凝土框架结构尚应符合下列规定：</w:t>
      </w:r>
    </w:p>
    <w:p>
      <w:pPr>
        <w:pStyle w:val="51"/>
        <w:shd w:val="clear" w:color="auto" w:fill="auto"/>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宜设置地下室，地下室宜采用现浇混凝土；</w:t>
      </w:r>
    </w:p>
    <w:p>
      <w:pPr>
        <w:pStyle w:val="51"/>
        <w:shd w:val="clear" w:color="auto" w:fill="auto"/>
        <w:tabs>
          <w:tab w:val="left" w:pos="766"/>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首层柱宜采用现浇混凝土结构；</w:t>
      </w:r>
    </w:p>
    <w:p>
      <w:pPr>
        <w:pStyle w:val="51"/>
        <w:shd w:val="clear" w:color="auto" w:fill="auto"/>
        <w:tabs>
          <w:tab w:val="left" w:pos="762"/>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屋面层和平面受力复杂的楼层宜采用现浇楼盖。</w:t>
      </w:r>
    </w:p>
    <w:p>
      <w:pPr>
        <w:pStyle w:val="51"/>
        <w:numPr>
          <w:ilvl w:val="0"/>
          <w:numId w:val="21"/>
        </w:numPr>
        <w:shd w:val="clear" w:color="auto" w:fill="auto"/>
        <w:tabs>
          <w:tab w:val="left" w:pos="730"/>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预制构件节点及接缝处后浇混凝土强度等级不应低于预制构件的混凝土强度等级。</w:t>
      </w:r>
    </w:p>
    <w:p>
      <w:pPr>
        <w:pStyle w:val="51"/>
        <w:numPr>
          <w:ilvl w:val="0"/>
          <w:numId w:val="21"/>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纵向钢筋采用套筒灌浆连接时，应符合</w:t>
      </w:r>
      <w:r>
        <w:rPr>
          <w:rStyle w:val="71"/>
          <w:rFonts w:ascii="Times New Roman" w:hAnsi="Times New Roman" w:eastAsia="宋体" w:cs="Times New Roman"/>
          <w:spacing w:val="0"/>
          <w:sz w:val="21"/>
          <w:szCs w:val="21"/>
        </w:rPr>
        <w:t>JGJ 365</w:t>
      </w:r>
      <w:r>
        <w:rPr>
          <w:rFonts w:ascii="Times New Roman" w:hAnsi="Times New Roman" w:eastAsia="宋体" w:cs="Times New Roman"/>
          <w:spacing w:val="0"/>
          <w:sz w:val="21"/>
          <w:szCs w:val="21"/>
        </w:rPr>
        <w:t>的规定。</w:t>
      </w:r>
    </w:p>
    <w:p>
      <w:pPr>
        <w:pStyle w:val="51"/>
        <w:numPr>
          <w:ilvl w:val="0"/>
          <w:numId w:val="21"/>
        </w:numPr>
        <w:shd w:val="clear" w:color="auto" w:fill="auto"/>
        <w:tabs>
          <w:tab w:val="left" w:pos="663"/>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纵向钢筋采用浆锚搭接连接时，对预留孔成孔工艺、孔道形状和长度、构造要求、灌浆料和被连接钢筋，应进行力学性能以及适用性的试验验证。直径大于</w:t>
      </w:r>
      <w:r>
        <w:rPr>
          <w:rStyle w:val="71"/>
          <w:rFonts w:ascii="Times New Roman" w:hAnsi="Times New Roman" w:eastAsia="宋体" w:cs="Times New Roman"/>
          <w:spacing w:val="0"/>
          <w:sz w:val="21"/>
          <w:szCs w:val="21"/>
        </w:rPr>
        <w:t>20mm</w:t>
      </w:r>
      <w:r>
        <w:rPr>
          <w:rFonts w:ascii="Times New Roman" w:hAnsi="Times New Roman" w:eastAsia="宋体" w:cs="Times New Roman"/>
          <w:spacing w:val="0"/>
          <w:sz w:val="21"/>
          <w:szCs w:val="21"/>
        </w:rPr>
        <w:t>的钢筋不宜采用浆锚搭接连接，直接承受动力荷载构件的纵向钢筋不应采用浆锚搭接连接。</w:t>
      </w:r>
    </w:p>
    <w:p>
      <w:pPr>
        <w:pStyle w:val="51"/>
        <w:numPr>
          <w:ilvl w:val="0"/>
          <w:numId w:val="21"/>
        </w:numPr>
        <w:shd w:val="clear" w:color="auto" w:fill="auto"/>
        <w:tabs>
          <w:tab w:val="left" w:pos="658"/>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预制构件与后浇混凝土、灌浆料、坐浆材料的结合面应设置粗糙面、键槽，并应符合下列规定：</w:t>
      </w:r>
    </w:p>
    <w:p>
      <w:pPr>
        <w:pStyle w:val="51"/>
        <w:shd w:val="clear" w:color="auto" w:fill="auto"/>
        <w:tabs>
          <w:tab w:val="left" w:pos="752"/>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预制板与后浇混凝土叠合层之间的结合面应设置粗糙面；</w:t>
      </w:r>
    </w:p>
    <w:p>
      <w:pPr>
        <w:pStyle w:val="105"/>
        <w:shd w:val="clear" w:color="auto" w:fill="auto"/>
        <w:spacing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预制梁与后浇混凝土叠合层之间的结合面应设置粗糙面；预制梁端面应设置键槽</w:t>
      </w:r>
      <w:r>
        <w:rPr>
          <w:rFonts w:ascii="Times New Roman" w:hAnsi="Times New Roman" w:eastAsia="宋体" w:cs="Times New Roman"/>
          <w:sz w:val="21"/>
          <w:szCs w:val="21"/>
        </w:rPr>
        <w:t>（</w:t>
      </w:r>
      <w:r>
        <w:rPr>
          <w:rFonts w:hint="eastAsia" w:ascii="Times New Roman" w:hAnsi="Times New Roman" w:eastAsia="宋体" w:cs="Times New Roman"/>
          <w:sz w:val="21"/>
          <w:szCs w:val="21"/>
        </w:rPr>
        <w:t>见</w:t>
      </w:r>
      <w:r>
        <w:rPr>
          <w:rFonts w:ascii="Times New Roman" w:hAnsi="Times New Roman" w:eastAsia="宋体" w:cs="Times New Roman"/>
          <w:spacing w:val="0"/>
          <w:sz w:val="21"/>
          <w:szCs w:val="21"/>
        </w:rPr>
        <w:t>图6</w:t>
      </w:r>
      <w:r>
        <w:rPr>
          <w:rFonts w:ascii="Times New Roman" w:hAnsi="Times New Roman" w:eastAsia="宋体" w:cs="Times New Roman"/>
          <w:sz w:val="21"/>
          <w:szCs w:val="21"/>
        </w:rPr>
        <w:t>）</w:t>
      </w:r>
      <w:r>
        <w:rPr>
          <w:rFonts w:ascii="Times New Roman" w:hAnsi="Times New Roman" w:eastAsia="宋体" w:cs="Times New Roman"/>
          <w:spacing w:val="0"/>
          <w:sz w:val="21"/>
          <w:szCs w:val="21"/>
        </w:rPr>
        <w:t>且宜设置粗糙面。键槽的深度</w:t>
      </w:r>
      <w:r>
        <w:rPr>
          <w:rFonts w:ascii="Times New Roman" w:hAnsi="Times New Roman" w:eastAsia="宋体" w:cs="Times New Roman"/>
          <w:sz w:val="21"/>
          <w:szCs w:val="21"/>
        </w:rPr>
        <w:t>t</w:t>
      </w:r>
      <w:r>
        <w:rPr>
          <w:rFonts w:ascii="Times New Roman" w:hAnsi="Times New Roman" w:eastAsia="宋体" w:cs="Times New Roman"/>
          <w:spacing w:val="0"/>
          <w:sz w:val="21"/>
          <w:szCs w:val="21"/>
        </w:rPr>
        <w:t>不宜小于</w:t>
      </w:r>
      <w:r>
        <w:rPr>
          <w:rFonts w:ascii="Times New Roman" w:hAnsi="Times New Roman" w:eastAsia="宋体" w:cs="Times New Roman"/>
          <w:sz w:val="21"/>
          <w:szCs w:val="21"/>
        </w:rPr>
        <w:t>30mm，</w:t>
      </w:r>
      <w:r>
        <w:rPr>
          <w:rFonts w:ascii="Times New Roman" w:hAnsi="Times New Roman" w:eastAsia="宋体" w:cs="Times New Roman"/>
          <w:spacing w:val="0"/>
          <w:sz w:val="21"/>
          <w:szCs w:val="21"/>
        </w:rPr>
        <w:t>宽度</w:t>
      </w:r>
      <w:r>
        <w:rPr>
          <w:rFonts w:ascii="Times New Roman" w:hAnsi="Times New Roman" w:eastAsia="宋体" w:cs="Times New Roman"/>
          <w:sz w:val="21"/>
          <w:szCs w:val="21"/>
        </w:rPr>
        <w:t>w</w:t>
      </w:r>
      <w:r>
        <w:rPr>
          <w:rFonts w:ascii="Times New Roman" w:hAnsi="Times New Roman" w:eastAsia="宋体" w:cs="Times New Roman"/>
          <w:spacing w:val="0"/>
          <w:sz w:val="21"/>
          <w:szCs w:val="21"/>
        </w:rPr>
        <w:t>不宜小于深度的</w:t>
      </w:r>
      <w:r>
        <w:rPr>
          <w:rFonts w:ascii="Times New Roman" w:hAnsi="Times New Roman" w:eastAsia="宋体" w:cs="Times New Roman"/>
          <w:sz w:val="21"/>
          <w:szCs w:val="21"/>
        </w:rPr>
        <w:t>3</w:t>
      </w:r>
      <w:r>
        <w:rPr>
          <w:rFonts w:ascii="Times New Roman" w:hAnsi="Times New Roman" w:eastAsia="宋体" w:cs="Times New Roman"/>
          <w:spacing w:val="0"/>
          <w:sz w:val="21"/>
          <w:szCs w:val="21"/>
        </w:rPr>
        <w:t>倍且不宜大于深度的</w:t>
      </w:r>
      <w:r>
        <w:rPr>
          <w:rFonts w:ascii="Times New Roman" w:hAnsi="Times New Roman" w:eastAsia="宋体" w:cs="Times New Roman"/>
          <w:sz w:val="21"/>
          <w:szCs w:val="21"/>
        </w:rPr>
        <w:t>10</w:t>
      </w:r>
      <w:r>
        <w:rPr>
          <w:rFonts w:ascii="Times New Roman" w:hAnsi="Times New Roman" w:eastAsia="宋体" w:cs="Times New Roman"/>
          <w:spacing w:val="0"/>
          <w:sz w:val="21"/>
          <w:szCs w:val="21"/>
        </w:rPr>
        <w:t>倍；</w:t>
      </w:r>
    </w:p>
    <w:p>
      <w:pPr>
        <w:pStyle w:val="113"/>
        <w:shd w:val="clear" w:color="auto" w:fill="auto"/>
        <w:tabs>
          <w:tab w:val="left" w:pos="3700"/>
        </w:tabs>
        <w:spacing w:after="0" w:line="240" w:lineRule="auto"/>
        <w:jc w:val="center"/>
        <w:rPr>
          <w:rStyle w:val="114"/>
          <w:rFonts w:ascii="Times New Roman" w:hAnsi="Times New Roman" w:eastAsia="宋体" w:cs="Times New Roman"/>
          <w:spacing w:val="0"/>
          <w:sz w:val="21"/>
          <w:szCs w:val="21"/>
        </w:rPr>
      </w:pPr>
      <w:r>
        <w:drawing>
          <wp:inline distT="0" distB="0" distL="0" distR="0">
            <wp:extent cx="1743075" cy="1619885"/>
            <wp:effectExtent l="0" t="0" r="9525" b="0"/>
            <wp:docPr id="51" name="图片 51" descr="D:/师兄材料/规范/改完大于等于号后的图/7.1.9-1a.png7.1.9-1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1" descr="D:/师兄材料/规范/改完大于等于号后的图/7.1.9-1a.png7.1.9-1a"/>
                    <pic:cNvPicPr>
                      <a:picLocks noChangeAspect="true" noChangeArrowheads="true"/>
                    </pic:cNvPicPr>
                  </pic:nvPicPr>
                  <pic:blipFill>
                    <a:blip r:embed="rId71"/>
                    <a:srcRect l="588" r="588"/>
                    <a:stretch>
                      <a:fillRect/>
                    </a:stretch>
                  </pic:blipFill>
                  <pic:spPr>
                    <a:xfrm>
                      <a:off x="0" y="0"/>
                      <a:ext cx="1743315" cy="1620000"/>
                    </a:xfrm>
                    <a:prstGeom prst="rect">
                      <a:avLst/>
                    </a:prstGeom>
                    <a:noFill/>
                    <a:ln>
                      <a:noFill/>
                    </a:ln>
                  </pic:spPr>
                </pic:pic>
              </a:graphicData>
            </a:graphic>
          </wp:inline>
        </w:drawing>
      </w:r>
      <w:r>
        <w:drawing>
          <wp:inline distT="0" distB="0" distL="0" distR="0">
            <wp:extent cx="1824990" cy="1619885"/>
            <wp:effectExtent l="0" t="0" r="3810" b="0"/>
            <wp:docPr id="52" name="图片 52" descr="D:/师兄材料/规范/改完大于等于号后的图/7.1.9-1b.png7.1.9-1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2" descr="D:/师兄材料/规范/改完大于等于号后的图/7.1.9-1b.png7.1.9-1b"/>
                    <pic:cNvPicPr>
                      <a:picLocks noChangeAspect="true" noChangeArrowheads="true"/>
                    </pic:cNvPicPr>
                  </pic:nvPicPr>
                  <pic:blipFill>
                    <a:blip r:embed="rId72"/>
                    <a:srcRect l="1650" r="1650"/>
                    <a:stretch>
                      <a:fillRect/>
                    </a:stretch>
                  </pic:blipFill>
                  <pic:spPr>
                    <a:xfrm>
                      <a:off x="0" y="0"/>
                      <a:ext cx="1825346" cy="1620000"/>
                    </a:xfrm>
                    <a:prstGeom prst="rect">
                      <a:avLst/>
                    </a:prstGeom>
                    <a:noFill/>
                    <a:ln>
                      <a:noFill/>
                    </a:ln>
                  </pic:spPr>
                </pic:pic>
              </a:graphicData>
            </a:graphic>
          </wp:inline>
        </w:drawing>
      </w:r>
    </w:p>
    <w:p>
      <w:pPr>
        <w:pStyle w:val="113"/>
        <w:shd w:val="clear" w:color="auto" w:fill="auto"/>
        <w:tabs>
          <w:tab w:val="left" w:pos="3700"/>
        </w:tabs>
        <w:spacing w:after="0" w:line="240" w:lineRule="auto"/>
        <w:ind w:firstLine="2100" w:firstLineChars="1000"/>
        <w:jc w:val="both"/>
        <w:rPr>
          <w:rFonts w:ascii="Times New Roman" w:hAnsi="Times New Roman" w:eastAsia="宋体" w:cs="Times New Roman"/>
          <w:spacing w:val="0"/>
          <w:sz w:val="21"/>
          <w:szCs w:val="21"/>
        </w:rPr>
      </w:pPr>
      <w:r>
        <w:rPr>
          <w:rStyle w:val="114"/>
          <w:rFonts w:ascii="宋体" w:hAnsi="宋体" w:eastAsia="宋体" w:cs="Times New Roman"/>
          <w:spacing w:val="0"/>
          <w:sz w:val="21"/>
          <w:szCs w:val="21"/>
        </w:rPr>
        <w:t>a</w:t>
      </w:r>
      <w:r>
        <w:rPr>
          <w:rStyle w:val="114"/>
          <w:rFonts w:hint="eastAsia" w:ascii="宋体" w:hAnsi="宋体" w:eastAsia="宋体" w:cs="Times New Roman"/>
          <w:spacing w:val="0"/>
          <w:sz w:val="21"/>
          <w:szCs w:val="21"/>
        </w:rPr>
        <w:t>）</w:t>
      </w:r>
      <w:r>
        <w:rPr>
          <w:rFonts w:ascii="Times New Roman" w:hAnsi="Times New Roman" w:eastAsia="宋体" w:cs="Times New Roman"/>
          <w:spacing w:val="0"/>
          <w:sz w:val="21"/>
          <w:szCs w:val="21"/>
        </w:rPr>
        <w:t>键槽贯通截面</w:t>
      </w:r>
      <w:r>
        <w:rPr>
          <w:rStyle w:val="115"/>
          <w:rFonts w:eastAsia="宋体"/>
          <w:sz w:val="21"/>
          <w:szCs w:val="21"/>
          <w:lang w:val="zh-CN"/>
        </w:rPr>
        <w:t xml:space="preserve">                   </w:t>
      </w:r>
      <w:r>
        <w:rPr>
          <w:rStyle w:val="114"/>
          <w:rFonts w:ascii="宋体" w:hAnsi="宋体" w:eastAsia="宋体" w:cs="Times New Roman"/>
          <w:spacing w:val="0"/>
          <w:sz w:val="21"/>
          <w:szCs w:val="21"/>
        </w:rPr>
        <w:t>b</w:t>
      </w:r>
      <w:r>
        <w:rPr>
          <w:rStyle w:val="114"/>
          <w:rFonts w:hint="eastAsia" w:ascii="宋体" w:hAnsi="宋体" w:eastAsia="宋体" w:cs="Times New Roman"/>
          <w:spacing w:val="0"/>
          <w:sz w:val="21"/>
          <w:szCs w:val="21"/>
        </w:rPr>
        <w:t>）</w:t>
      </w:r>
      <w:r>
        <w:rPr>
          <w:rFonts w:ascii="Times New Roman" w:hAnsi="Times New Roman" w:eastAsia="宋体" w:cs="Times New Roman"/>
          <w:spacing w:val="0"/>
          <w:sz w:val="21"/>
          <w:szCs w:val="21"/>
        </w:rPr>
        <w:t>键槽不贯通截面</w:t>
      </w:r>
    </w:p>
    <w:p>
      <w:pPr>
        <w:pStyle w:val="83"/>
        <w:shd w:val="clear" w:color="auto" w:fill="auto"/>
        <w:spacing w:line="240" w:lineRule="auto"/>
        <w:jc w:val="center"/>
        <w:rPr>
          <w:rFonts w:ascii="Times New Roman" w:hAnsi="Times New Roman" w:eastAsia="宋体" w:cs="Times New Roman"/>
          <w:sz w:val="21"/>
          <w:szCs w:val="21"/>
        </w:rPr>
      </w:pPr>
      <w:r>
        <w:rPr>
          <w:rFonts w:ascii="Times New Roman" w:hAnsi="Times New Roman" w:eastAsia="宋体" w:cs="Times New Roman"/>
          <w:b w:val="0"/>
          <w:bCs w:val="0"/>
          <w:sz w:val="21"/>
          <w:szCs w:val="21"/>
        </w:rPr>
        <w:t>图6  梁端键槽构造示意</w:t>
      </w:r>
    </w:p>
    <w:p>
      <w:pPr>
        <w:pStyle w:val="83"/>
        <w:shd w:val="clear" w:color="auto" w:fill="auto"/>
        <w:spacing w:line="240" w:lineRule="auto"/>
        <w:jc w:val="center"/>
        <w:rPr>
          <w:rFonts w:ascii="Times New Roman" w:hAnsi="Times New Roman" w:eastAsia="宋体" w:cs="Times New Roman"/>
          <w:b w:val="0"/>
          <w:spacing w:val="0"/>
          <w:sz w:val="18"/>
          <w:szCs w:val="18"/>
        </w:rPr>
      </w:pPr>
      <w:r>
        <w:rPr>
          <w:rFonts w:ascii="Times New Roman" w:hAnsi="Times New Roman" w:eastAsia="宋体" w:cs="Times New Roman"/>
          <w:b w:val="0"/>
          <w:sz w:val="18"/>
          <w:szCs w:val="18"/>
        </w:rPr>
        <w:t>1</w:t>
      </w:r>
      <w:r>
        <w:rPr>
          <w:rFonts w:ascii="Times New Roman" w:hAnsi="Times New Roman" w:eastAsia="宋体" w:cs="Times New Roman"/>
          <w:b w:val="0"/>
          <w:bCs w:val="0"/>
          <w:spacing w:val="0"/>
          <w:sz w:val="18"/>
          <w:szCs w:val="18"/>
        </w:rPr>
        <w:t>—键槽；</w:t>
      </w:r>
      <w:r>
        <w:rPr>
          <w:rFonts w:ascii="Times New Roman" w:hAnsi="Times New Roman" w:eastAsia="宋体" w:cs="Times New Roman"/>
          <w:b w:val="0"/>
          <w:sz w:val="18"/>
          <w:szCs w:val="18"/>
        </w:rPr>
        <w:t>2</w:t>
      </w:r>
      <w:r>
        <w:rPr>
          <w:rFonts w:ascii="Times New Roman" w:hAnsi="Times New Roman" w:eastAsia="宋体" w:cs="Times New Roman"/>
          <w:b w:val="0"/>
          <w:bCs w:val="0"/>
          <w:spacing w:val="0"/>
          <w:sz w:val="18"/>
          <w:szCs w:val="18"/>
        </w:rPr>
        <w:t>—梁端面</w:t>
      </w:r>
    </w:p>
    <w:p>
      <w:pPr>
        <w:pStyle w:val="105"/>
        <w:shd w:val="clear" w:color="auto" w:fill="auto"/>
        <w:spacing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预制柱的底部应设置键槽且宜设置粗糙面，键槽应均匀布置，键槽深度不宜小于</w:t>
      </w:r>
      <w:r>
        <w:rPr>
          <w:rStyle w:val="106"/>
          <w:rFonts w:ascii="Times New Roman" w:hAnsi="Times New Roman" w:eastAsia="宋体" w:cs="Times New Roman"/>
          <w:spacing w:val="0"/>
          <w:sz w:val="21"/>
          <w:szCs w:val="21"/>
        </w:rPr>
        <w:t>30mm</w:t>
      </w:r>
      <w:r>
        <w:rPr>
          <w:rFonts w:ascii="Times New Roman" w:hAnsi="Times New Roman" w:eastAsia="宋体" w:cs="Times New Roman"/>
          <w:spacing w:val="0"/>
          <w:sz w:val="21"/>
          <w:szCs w:val="21"/>
        </w:rPr>
        <w:t>，键槽端部斜面倾角不宜大于</w:t>
      </w:r>
      <w:r>
        <w:rPr>
          <w:rStyle w:val="106"/>
          <w:rFonts w:ascii="Times New Roman" w:hAnsi="Times New Roman" w:eastAsia="宋体" w:cs="Times New Roman"/>
          <w:spacing w:val="0"/>
          <w:sz w:val="21"/>
          <w:szCs w:val="21"/>
        </w:rPr>
        <w:t>30</w:t>
      </w:r>
      <w:r>
        <w:rPr>
          <w:rFonts w:ascii="Times New Roman" w:hAnsi="Times New Roman" w:eastAsia="宋体" w:cs="Times New Roman"/>
          <w:spacing w:val="0"/>
          <w:sz w:val="21"/>
          <w:szCs w:val="21"/>
        </w:rPr>
        <w:t>°。柱顶应设置粗糙面；</w:t>
      </w:r>
    </w:p>
    <w:p>
      <w:pPr>
        <w:pStyle w:val="105"/>
        <w:shd w:val="clear" w:color="auto" w:fill="auto"/>
        <w:spacing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d</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粗糙面的面积不宜小于结合面的</w:t>
      </w:r>
      <w:r>
        <w:rPr>
          <w:rStyle w:val="106"/>
          <w:rFonts w:ascii="Times New Roman" w:hAnsi="Times New Roman" w:eastAsia="宋体" w:cs="Times New Roman"/>
          <w:spacing w:val="0"/>
          <w:sz w:val="21"/>
          <w:szCs w:val="21"/>
        </w:rPr>
        <w:t>80</w:t>
      </w:r>
      <w:r>
        <w:rPr>
          <w:rFonts w:ascii="Times New Roman" w:hAnsi="Times New Roman" w:eastAsia="宋体" w:cs="Times New Roman"/>
          <w:spacing w:val="0"/>
          <w:sz w:val="21"/>
          <w:szCs w:val="21"/>
        </w:rPr>
        <w:t>%，预制板的粗糙面凹凸深度不应小于</w:t>
      </w:r>
      <w:r>
        <w:rPr>
          <w:rStyle w:val="106"/>
          <w:rFonts w:ascii="Times New Roman" w:hAnsi="Times New Roman" w:eastAsia="宋体" w:cs="Times New Roman"/>
          <w:spacing w:val="0"/>
          <w:sz w:val="21"/>
          <w:szCs w:val="21"/>
        </w:rPr>
        <w:t>4mm</w:t>
      </w:r>
      <w:r>
        <w:rPr>
          <w:rFonts w:ascii="Times New Roman" w:hAnsi="Times New Roman" w:eastAsia="宋体" w:cs="Times New Roman"/>
          <w:spacing w:val="0"/>
          <w:sz w:val="21"/>
          <w:szCs w:val="21"/>
        </w:rPr>
        <w:t>，预制梁端、预制柱端的粗糙面凹凸深度不应小于</w:t>
      </w:r>
      <w:r>
        <w:rPr>
          <w:rStyle w:val="106"/>
          <w:rFonts w:ascii="Times New Roman" w:hAnsi="Times New Roman" w:eastAsia="宋体" w:cs="Times New Roman"/>
          <w:spacing w:val="0"/>
          <w:sz w:val="21"/>
          <w:szCs w:val="21"/>
        </w:rPr>
        <w:t>6mm</w:t>
      </w:r>
      <w:r>
        <w:rPr>
          <w:rFonts w:ascii="Times New Roman" w:hAnsi="Times New Roman" w:eastAsia="宋体" w:cs="Times New Roman"/>
          <w:spacing w:val="0"/>
          <w:sz w:val="21"/>
          <w:szCs w:val="21"/>
        </w:rPr>
        <w:t>。</w:t>
      </w:r>
    </w:p>
    <w:p>
      <w:pPr>
        <w:pStyle w:val="105"/>
        <w:numPr>
          <w:ilvl w:val="0"/>
          <w:numId w:val="21"/>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预制构件纵向钢筋宜在后浇混凝土内直线锚固；当直线锚固长度不足时，可采用弯折、机械锚固方式，并应符合现行国家标准</w:t>
      </w:r>
      <w:r>
        <w:rPr>
          <w:rStyle w:val="106"/>
          <w:rFonts w:ascii="Times New Roman" w:hAnsi="Times New Roman" w:eastAsia="宋体" w:cs="Times New Roman"/>
          <w:spacing w:val="0"/>
          <w:sz w:val="21"/>
          <w:szCs w:val="21"/>
        </w:rPr>
        <w:t>GB/T 50010</w:t>
      </w:r>
      <w:r>
        <w:rPr>
          <w:rFonts w:ascii="Times New Roman" w:hAnsi="Times New Roman" w:eastAsia="宋体" w:cs="Times New Roman"/>
          <w:spacing w:val="0"/>
          <w:sz w:val="21"/>
          <w:szCs w:val="21"/>
        </w:rPr>
        <w:t>和</w:t>
      </w:r>
      <w:r>
        <w:rPr>
          <w:rStyle w:val="106"/>
          <w:rFonts w:ascii="Times New Roman" w:hAnsi="Times New Roman" w:eastAsia="宋体" w:cs="Times New Roman"/>
          <w:spacing w:val="0"/>
          <w:sz w:val="21"/>
          <w:szCs w:val="21"/>
        </w:rPr>
        <w:t>JGJ 256</w:t>
      </w:r>
      <w:r>
        <w:rPr>
          <w:rFonts w:ascii="Times New Roman" w:hAnsi="Times New Roman" w:eastAsia="宋体" w:cs="Times New Roman"/>
          <w:spacing w:val="0"/>
          <w:sz w:val="21"/>
          <w:szCs w:val="21"/>
        </w:rPr>
        <w:t>的规定。</w:t>
      </w:r>
    </w:p>
    <w:p>
      <w:pPr>
        <w:pStyle w:val="105"/>
        <w:numPr>
          <w:ilvl w:val="0"/>
          <w:numId w:val="21"/>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装配整体式混凝土框架结构及框架-剪力墙结构中楼梯宜采用与支承构件简支连接的预制楼梯，简支连接的预制楼梯应符合下列规定：</w:t>
      </w:r>
    </w:p>
    <w:p>
      <w:pPr>
        <w:pStyle w:val="51"/>
        <w:shd w:val="clear" w:color="auto" w:fill="auto"/>
        <w:spacing w:before="0" w:after="0" w:line="240" w:lineRule="auto"/>
        <w:ind w:left="23" w:right="40" w:firstLine="420"/>
        <w:jc w:val="both"/>
        <w:rPr>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Style w:val="118"/>
          <w:rFonts w:ascii="Times New Roman" w:hAnsi="Times New Roman" w:eastAsia="宋体" w:cs="Times New Roman"/>
          <w:spacing w:val="0"/>
          <w:sz w:val="21"/>
          <w:szCs w:val="21"/>
        </w:rPr>
        <w:t>预制楼梯宜一端设置固定铰，另一端设置滑动铰，其转动及滑动变形能力应满足结构层间位移的要求，且预制楼梯端部在支承构件上的最小搁置长度应符合表9的规定；</w:t>
      </w:r>
    </w:p>
    <w:p>
      <w:pPr>
        <w:pStyle w:val="51"/>
        <w:shd w:val="clear" w:color="auto" w:fill="auto"/>
        <w:spacing w:before="0" w:after="0" w:line="240" w:lineRule="auto"/>
        <w:ind w:left="23" w:firstLine="420"/>
        <w:jc w:val="both"/>
        <w:rPr>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Style w:val="118"/>
          <w:rFonts w:ascii="Times New Roman" w:hAnsi="Times New Roman" w:eastAsia="宋体" w:cs="Times New Roman"/>
          <w:spacing w:val="0"/>
          <w:sz w:val="21"/>
          <w:szCs w:val="21"/>
        </w:rPr>
        <w:t>预制楼梯设置滑动铰的端部应采取防止滑落的构造措施。</w:t>
      </w:r>
    </w:p>
    <w:p>
      <w:pPr>
        <w:pStyle w:val="83"/>
        <w:shd w:val="clear" w:color="auto" w:fill="auto"/>
        <w:spacing w:before="120" w:beforeLines="50" w:after="120" w:afterLines="50" w:line="240" w:lineRule="auto"/>
        <w:jc w:val="both"/>
        <w:rPr>
          <w:rFonts w:ascii="黑体" w:hAnsi="黑体" w:eastAsia="黑体" w:cs="Times New Roman"/>
          <w:b w:val="0"/>
          <w:sz w:val="8"/>
          <w:szCs w:val="8"/>
        </w:rPr>
      </w:pPr>
    </w:p>
    <w:p>
      <w:pPr>
        <w:pStyle w:val="83"/>
        <w:shd w:val="clear" w:color="auto" w:fill="auto"/>
        <w:spacing w:before="120" w:beforeLines="50" w:after="120" w:afterLines="50" w:line="240" w:lineRule="auto"/>
        <w:ind w:firstLine="2442" w:firstLineChars="1100"/>
        <w:jc w:val="both"/>
        <w:rPr>
          <w:rFonts w:ascii="黑体" w:hAnsi="黑体" w:eastAsia="黑体" w:cs="Times New Roman"/>
          <w:b w:val="0"/>
          <w:sz w:val="21"/>
          <w:szCs w:val="21"/>
        </w:rPr>
      </w:pPr>
      <w:r>
        <w:rPr>
          <w:rFonts w:ascii="黑体" w:hAnsi="黑体" w:eastAsia="黑体" w:cs="Times New Roman"/>
          <w:b w:val="0"/>
          <w:sz w:val="21"/>
          <w:szCs w:val="21"/>
        </w:rPr>
        <w:t>表9  预制楼梯在支承构件上的最小搁置长度</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2112"/>
        <w:gridCol w:w="1296"/>
        <w:gridCol w:w="12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18" w:hRule="exact"/>
          <w:jc w:val="center"/>
        </w:trPr>
        <w:tc>
          <w:tcPr>
            <w:tcW w:w="2112"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121"/>
                <w:rFonts w:ascii="Times New Roman" w:hAnsi="Times New Roman" w:eastAsia="宋体" w:cs="Times New Roman"/>
                <w:spacing w:val="0"/>
                <w:sz w:val="18"/>
                <w:szCs w:val="18"/>
              </w:rPr>
              <w:t>抗震设防烈度</w:t>
            </w:r>
          </w:p>
        </w:tc>
        <w:tc>
          <w:tcPr>
            <w:tcW w:w="1296"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122"/>
                <w:rFonts w:eastAsia="宋体"/>
                <w:spacing w:val="0"/>
                <w:sz w:val="18"/>
                <w:szCs w:val="18"/>
              </w:rPr>
              <w:t>6</w:t>
            </w:r>
            <w:r>
              <w:rPr>
                <w:rStyle w:val="121"/>
                <w:rFonts w:ascii="Times New Roman" w:hAnsi="Times New Roman" w:eastAsia="宋体" w:cs="Times New Roman"/>
                <w:spacing w:val="0"/>
                <w:sz w:val="18"/>
                <w:szCs w:val="18"/>
              </w:rPr>
              <w:t>度</w:t>
            </w:r>
          </w:p>
        </w:tc>
        <w:tc>
          <w:tcPr>
            <w:tcW w:w="1277"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122"/>
                <w:rFonts w:eastAsia="宋体"/>
                <w:spacing w:val="0"/>
                <w:sz w:val="18"/>
                <w:szCs w:val="18"/>
              </w:rPr>
              <w:t>7</w:t>
            </w:r>
            <w:r>
              <w:rPr>
                <w:rStyle w:val="121"/>
                <w:rFonts w:ascii="Times New Roman" w:hAnsi="Times New Roman" w:eastAsia="宋体" w:cs="Times New Roman"/>
                <w:spacing w:val="0"/>
                <w:sz w:val="18"/>
                <w:szCs w:val="18"/>
              </w:rPr>
              <w:t>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18" w:hRule="exact"/>
          <w:jc w:val="center"/>
        </w:trPr>
        <w:tc>
          <w:tcPr>
            <w:tcW w:w="2112"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121"/>
                <w:rFonts w:ascii="Times New Roman" w:hAnsi="Times New Roman" w:eastAsia="宋体" w:cs="Times New Roman"/>
                <w:spacing w:val="0"/>
                <w:sz w:val="18"/>
                <w:szCs w:val="18"/>
              </w:rPr>
              <w:t>最小搁置长度（</w:t>
            </w:r>
            <w:r>
              <w:rPr>
                <w:rStyle w:val="122"/>
                <w:rFonts w:eastAsia="宋体"/>
                <w:spacing w:val="0"/>
                <w:sz w:val="18"/>
                <w:szCs w:val="18"/>
              </w:rPr>
              <w:t>mm）</w:t>
            </w:r>
          </w:p>
        </w:tc>
        <w:tc>
          <w:tcPr>
            <w:tcW w:w="1296"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122"/>
                <w:rFonts w:eastAsia="宋体"/>
                <w:spacing w:val="0"/>
                <w:sz w:val="18"/>
                <w:szCs w:val="18"/>
              </w:rPr>
              <w:t>75</w:t>
            </w:r>
          </w:p>
        </w:tc>
        <w:tc>
          <w:tcPr>
            <w:tcW w:w="1277" w:type="dxa"/>
            <w:shd w:val="clear" w:color="auto" w:fill="FFFFFF"/>
            <w:vAlign w:val="center"/>
          </w:tcPr>
          <w:p>
            <w:pPr>
              <w:pStyle w:val="51"/>
              <w:shd w:val="clear" w:color="auto" w:fill="auto"/>
              <w:spacing w:before="0" w:after="0" w:line="240" w:lineRule="auto"/>
              <w:ind w:firstLine="0"/>
              <w:jc w:val="center"/>
              <w:rPr>
                <w:rFonts w:ascii="Times New Roman" w:hAnsi="Times New Roman" w:eastAsia="宋体" w:cs="Times New Roman"/>
                <w:spacing w:val="0"/>
                <w:sz w:val="18"/>
                <w:szCs w:val="18"/>
              </w:rPr>
            </w:pPr>
            <w:r>
              <w:rPr>
                <w:rStyle w:val="122"/>
                <w:rFonts w:eastAsia="宋体"/>
                <w:spacing w:val="0"/>
                <w:sz w:val="18"/>
                <w:szCs w:val="18"/>
              </w:rPr>
              <w:t>75</w:t>
            </w:r>
          </w:p>
        </w:tc>
      </w:tr>
    </w:tbl>
    <w:p>
      <w:pPr>
        <w:pStyle w:val="210"/>
        <w:spacing w:before="240" w:after="240"/>
        <w:outlineLvl w:val="2"/>
        <w:rPr>
          <w:rFonts w:ascii="黑体" w:hAnsi="黑体" w:eastAsia="黑体"/>
          <w:b w:val="0"/>
          <w:sz w:val="21"/>
          <w:szCs w:val="21"/>
        </w:rPr>
      </w:pPr>
      <w:bookmarkStart w:id="140" w:name="_Toc20455"/>
      <w:bookmarkStart w:id="141" w:name="_Toc172188897"/>
      <w:bookmarkStart w:id="142" w:name="_Toc172187836"/>
      <w:bookmarkStart w:id="143" w:name="bookmark23"/>
      <w:bookmarkStart w:id="144" w:name="_Toc172188621"/>
      <w:r>
        <w:rPr>
          <w:rFonts w:ascii="黑体" w:hAnsi="黑体" w:eastAsia="黑体"/>
          <w:b w:val="0"/>
          <w:sz w:val="21"/>
          <w:szCs w:val="21"/>
        </w:rPr>
        <w:t>8.2 连接设计</w:t>
      </w:r>
      <w:bookmarkEnd w:id="140"/>
      <w:bookmarkEnd w:id="141"/>
      <w:bookmarkEnd w:id="142"/>
      <w:bookmarkEnd w:id="143"/>
      <w:bookmarkEnd w:id="144"/>
    </w:p>
    <w:p>
      <w:pPr>
        <w:pStyle w:val="205"/>
        <w:numPr>
          <w:ilvl w:val="0"/>
          <w:numId w:val="22"/>
        </w:numPr>
        <w:ind w:firstLineChars="0"/>
        <w:rPr>
          <w:rFonts w:ascii="Times New Roman" w:hAnsi="Times New Roman" w:cs="Times New Roman" w:eastAsiaTheme="minorEastAsia"/>
          <w:sz w:val="21"/>
          <w:szCs w:val="21"/>
        </w:rPr>
      </w:pPr>
      <w:r>
        <w:rPr>
          <w:rFonts w:ascii="Times New Roman" w:hAnsi="Times New Roman" w:eastAsia="宋体" w:cs="Times New Roman"/>
          <w:sz w:val="21"/>
          <w:szCs w:val="21"/>
        </w:rPr>
        <w:t>对一、二、三级抗震等级的装配整体式框架结构，应进行梁柱节点核心区抗震受剪承载力验算；对四级抗震等级可不进行验算。梁柱节点核心区抗震受剪承载力验算和构造应符合现行国家标准《混凝土结构设计标准》GB/T 50010和《建筑抗震设计标准》GB/T 50011中的规定。</w:t>
      </w:r>
    </w:p>
    <w:p>
      <w:pPr>
        <w:pStyle w:val="51"/>
        <w:numPr>
          <w:ilvl w:val="0"/>
          <w:numId w:val="22"/>
        </w:numPr>
        <w:shd w:val="clear" w:color="auto" w:fill="auto"/>
        <w:tabs>
          <w:tab w:val="left" w:pos="658"/>
        </w:tabs>
        <w:spacing w:before="120" w:beforeLines="50" w:after="120" w:afterLines="50" w:line="240" w:lineRule="auto"/>
        <w:jc w:val="both"/>
        <w:rPr>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装配整体式结构中，接缝的正截面承载力应符合现行国家标准《混凝土结构设计标准</w:t>
      </w:r>
      <w:r>
        <w:rPr>
          <w:rStyle w:val="117"/>
          <w:rFonts w:ascii="Times New Roman" w:hAnsi="Times New Roman" w:eastAsia="宋体" w:cs="Times New Roman"/>
          <w:spacing w:val="0"/>
          <w:sz w:val="21"/>
          <w:szCs w:val="21"/>
          <w:lang w:val="zh-CN"/>
        </w:rPr>
        <w:t>》</w:t>
      </w:r>
      <w:r>
        <w:rPr>
          <w:rStyle w:val="117"/>
          <w:rFonts w:ascii="Times New Roman" w:hAnsi="Times New Roman" w:eastAsia="宋体" w:cs="Times New Roman"/>
          <w:spacing w:val="0"/>
          <w:sz w:val="21"/>
          <w:szCs w:val="21"/>
        </w:rPr>
        <w:t>GB/T 50010</w:t>
      </w:r>
      <w:r>
        <w:rPr>
          <w:rStyle w:val="118"/>
          <w:rFonts w:ascii="Times New Roman" w:hAnsi="Times New Roman" w:eastAsia="宋体" w:cs="Times New Roman"/>
          <w:spacing w:val="0"/>
          <w:sz w:val="21"/>
          <w:szCs w:val="21"/>
        </w:rPr>
        <w:t>的规定。接缝的受剪承载力应符合</w:t>
      </w:r>
      <w:r>
        <w:rPr>
          <w:rStyle w:val="118"/>
          <w:rFonts w:hint="eastAsia" w:ascii="Times New Roman" w:hAnsi="Times New Roman" w:eastAsia="宋体" w:cs="Times New Roman"/>
          <w:spacing w:val="0"/>
          <w:sz w:val="21"/>
          <w:szCs w:val="21"/>
        </w:rPr>
        <w:t>公式（</w:t>
      </w:r>
      <w:r>
        <w:rPr>
          <w:rStyle w:val="118"/>
          <w:rFonts w:hint="eastAsia" w:ascii="Times New Roman" w:hAnsi="Times New Roman" w:eastAsia="宋体" w:cs="Times New Roman"/>
          <w:spacing w:val="0"/>
          <w:sz w:val="21"/>
          <w:szCs w:val="21"/>
          <w:lang w:val="en-US"/>
        </w:rPr>
        <w:t>1</w:t>
      </w:r>
      <w:r>
        <w:rPr>
          <w:rStyle w:val="118"/>
          <w:rFonts w:hint="eastAsia" w:ascii="Times New Roman" w:hAnsi="Times New Roman" w:eastAsia="宋体" w:cs="Times New Roman"/>
          <w:spacing w:val="0"/>
          <w:sz w:val="21"/>
          <w:szCs w:val="21"/>
        </w:rPr>
        <w:t>）—（</w:t>
      </w:r>
      <w:r>
        <w:rPr>
          <w:rStyle w:val="118"/>
          <w:rFonts w:hint="eastAsia" w:ascii="Times New Roman" w:hAnsi="Times New Roman" w:eastAsia="宋体" w:cs="Times New Roman"/>
          <w:spacing w:val="0"/>
          <w:sz w:val="21"/>
          <w:szCs w:val="21"/>
          <w:lang w:val="en-US"/>
        </w:rPr>
        <w:t>3</w:t>
      </w:r>
      <w:r>
        <w:rPr>
          <w:rStyle w:val="118"/>
          <w:rFonts w:hint="eastAsia" w:ascii="Times New Roman" w:hAnsi="Times New Roman" w:eastAsia="宋体" w:cs="Times New Roman"/>
          <w:spacing w:val="0"/>
          <w:sz w:val="21"/>
          <w:szCs w:val="21"/>
        </w:rPr>
        <w:t>）</w:t>
      </w:r>
      <w:r>
        <w:rPr>
          <w:rStyle w:val="118"/>
          <w:rFonts w:ascii="Times New Roman" w:hAnsi="Times New Roman" w:eastAsia="宋体" w:cs="Times New Roman"/>
          <w:spacing w:val="0"/>
          <w:sz w:val="21"/>
          <w:szCs w:val="21"/>
        </w:rPr>
        <w:t>规定：</w:t>
      </w:r>
    </w:p>
    <w:p>
      <w:pPr>
        <w:pStyle w:val="51"/>
        <w:shd w:val="clear" w:color="auto" w:fill="auto"/>
        <w:tabs>
          <w:tab w:val="left" w:pos="757"/>
        </w:tabs>
        <w:spacing w:before="0" w:after="0" w:line="240" w:lineRule="auto"/>
        <w:ind w:left="440" w:firstLine="0"/>
        <w:jc w:val="both"/>
        <w:rPr>
          <w:rStyle w:val="118"/>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Style w:val="118"/>
          <w:rFonts w:ascii="Times New Roman" w:hAnsi="Times New Roman" w:eastAsia="宋体" w:cs="Times New Roman"/>
          <w:spacing w:val="0"/>
          <w:sz w:val="21"/>
          <w:szCs w:val="21"/>
        </w:rPr>
        <w:t>持久设计状况：</w:t>
      </w:r>
    </w:p>
    <w:p>
      <w:pPr>
        <w:pStyle w:val="51"/>
        <w:shd w:val="clear" w:color="auto" w:fill="auto"/>
        <w:tabs>
          <w:tab w:val="left" w:pos="757"/>
        </w:tabs>
        <w:spacing w:before="0" w:after="0" w:line="240" w:lineRule="auto"/>
        <w:ind w:firstLine="0"/>
        <w:rPr>
          <w:rStyle w:val="118"/>
          <w:rFonts w:ascii="Times New Roman" w:hAnsi="Times New Roman" w:eastAsia="宋体" w:cs="Times New Roman"/>
          <w:spacing w:val="0"/>
          <w:sz w:val="21"/>
          <w:szCs w:val="21"/>
        </w:rPr>
      </w:pPr>
      <w:r>
        <w:rPr>
          <w:rFonts w:ascii="Times New Roman" w:hAnsi="Times New Roman" w:eastAsia="宋体" w:cs="Times New Roman"/>
          <w:position w:val="-14"/>
          <w:sz w:val="21"/>
          <w:szCs w:val="21"/>
        </w:rPr>
        <w:object>
          <v:shape id="_x0000_i1049" o:spt="75" type="#_x0000_t75" style="height:21.5pt;width:50.5pt;" o:ole="t" filled="f" o:preferrelative="t" stroked="f" coordsize="21600,21600">
            <v:path/>
            <v:fill on="f" focussize="0,0"/>
            <v:stroke on="f" joinstyle="miter"/>
            <v:imagedata r:id="rId74" o:title=""/>
            <o:lock v:ext="edit" aspectratio="f"/>
            <w10:wrap type="none"/>
            <w10:anchorlock/>
          </v:shape>
          <o:OLEObject Type="Embed" ProgID="Equation.DSMT4" ShapeID="_x0000_i1049" DrawAspect="Content" ObjectID="_1468075749" r:id="rId73">
            <o:LockedField>false</o:LockedField>
          </o:OLEObject>
        </w:objec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宋体" w:hAnsi="宋体" w:eastAsia="宋体" w:cs="Times New Roman"/>
          <w:sz w:val="21"/>
          <w:szCs w:val="21"/>
        </w:rPr>
        <w:t>（1）</w:t>
      </w:r>
    </w:p>
    <w:p>
      <w:pPr>
        <w:pStyle w:val="51"/>
        <w:shd w:val="clear" w:color="auto" w:fill="auto"/>
        <w:tabs>
          <w:tab w:val="left" w:pos="757"/>
        </w:tabs>
        <w:spacing w:before="0" w:after="0" w:line="240" w:lineRule="auto"/>
        <w:ind w:left="440" w:firstLine="0"/>
        <w:jc w:val="both"/>
        <w:rPr>
          <w:rStyle w:val="118"/>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Style w:val="118"/>
          <w:rFonts w:ascii="Times New Roman" w:hAnsi="Times New Roman" w:eastAsia="宋体" w:cs="Times New Roman"/>
          <w:spacing w:val="0"/>
          <w:sz w:val="21"/>
          <w:szCs w:val="21"/>
        </w:rPr>
        <w:t>地震设计状况：</w:t>
      </w:r>
    </w:p>
    <w:p>
      <w:pPr>
        <w:pStyle w:val="51"/>
        <w:shd w:val="clear" w:color="auto" w:fill="auto"/>
        <w:tabs>
          <w:tab w:val="left" w:pos="757"/>
        </w:tabs>
        <w:spacing w:before="0" w:after="0" w:line="240" w:lineRule="auto"/>
        <w:ind w:left="440" w:firstLine="0"/>
        <w:rPr>
          <w:rFonts w:ascii="Times New Roman" w:hAnsi="Times New Roman" w:eastAsia="宋体" w:cs="Times New Roman"/>
          <w:spacing w:val="0"/>
          <w:sz w:val="21"/>
          <w:szCs w:val="21"/>
        </w:rPr>
      </w:pPr>
      <w:r>
        <w:rPr>
          <w:rFonts w:ascii="Times New Roman" w:hAnsi="Times New Roman" w:eastAsia="宋体" w:cs="Times New Roman"/>
          <w:position w:val="-14"/>
          <w:sz w:val="21"/>
          <w:szCs w:val="21"/>
        </w:rPr>
        <w:object>
          <v:shape id="_x0000_i1050" o:spt="75" type="#_x0000_t75" style="height:21.5pt;width:72pt;" o:ole="t" filled="f" o:preferrelative="t" stroked="f" coordsize="21600,21600">
            <v:path/>
            <v:fill on="f" focussize="0,0"/>
            <v:stroke on="f" joinstyle="miter"/>
            <v:imagedata r:id="rId76" o:title=""/>
            <o:lock v:ext="edit" aspectratio="f"/>
            <w10:wrap type="none"/>
            <w10:anchorlock/>
          </v:shape>
          <o:OLEObject Type="Embed" ProgID="Equation.DSMT4" ShapeID="_x0000_i1050" DrawAspect="Content" ObjectID="_1468075750" r:id="rId75">
            <o:LockedField>false</o:LockedField>
          </o:OLEObject>
        </w:objec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宋体" w:hAnsi="宋体" w:eastAsia="宋体" w:cs="Times New Roman"/>
          <w:sz w:val="21"/>
          <w:szCs w:val="21"/>
        </w:rPr>
        <w:t>（2）</w:t>
      </w:r>
    </w:p>
    <w:p>
      <w:pPr>
        <w:pStyle w:val="105"/>
        <w:shd w:val="clear" w:color="auto" w:fill="auto"/>
        <w:spacing w:line="240" w:lineRule="auto"/>
        <w:ind w:left="459"/>
        <w:rPr>
          <w:rStyle w:val="141"/>
          <w:rFonts w:ascii="Times New Roman" w:hAnsi="Times New Roman" w:eastAsia="宋体" w:cs="Times New Roman"/>
          <w:sz w:val="21"/>
          <w:szCs w:val="21"/>
        </w:rPr>
      </w:pPr>
      <w:r>
        <w:rPr>
          <w:rStyle w:val="141"/>
          <w:rFonts w:ascii="Times New Roman" w:hAnsi="Times New Roman" w:eastAsia="宋体" w:cs="Times New Roman"/>
          <w:sz w:val="21"/>
          <w:szCs w:val="21"/>
        </w:rPr>
        <w:t>在梁、柱端箍筋加密区，尚应符合以下规定：</w:t>
      </w:r>
    </w:p>
    <w:p>
      <w:pPr>
        <w:pStyle w:val="105"/>
        <w:shd w:val="clear" w:color="auto" w:fill="auto"/>
        <w:spacing w:line="240" w:lineRule="auto"/>
        <w:ind w:left="459"/>
        <w:jc w:val="right"/>
        <w:rPr>
          <w:rStyle w:val="141"/>
          <w:rFonts w:ascii="Times New Roman" w:hAnsi="Times New Roman" w:eastAsia="宋体" w:cs="Times New Roman"/>
          <w:sz w:val="21"/>
          <w:szCs w:val="21"/>
        </w:rPr>
      </w:pPr>
      <w:r>
        <w:rPr>
          <w:rStyle w:val="141"/>
          <w:rFonts w:ascii="Times New Roman" w:hAnsi="Times New Roman" w:eastAsia="宋体" w:cs="Times New Roman"/>
          <w:sz w:val="21"/>
          <w:szCs w:val="21"/>
        </w:rPr>
        <w:object>
          <v:shape id="_x0000_i1051" o:spt="75" type="#_x0000_t75" style="height:21.5pt;width:57.5pt;" o:ole="t" filled="f" o:preferrelative="t" stroked="f" coordsize="21600,21600">
            <v:path/>
            <v:fill on="f" focussize="0,0"/>
            <v:stroke on="f" joinstyle="miter"/>
            <v:imagedata r:id="rId78" o:title=""/>
            <o:lock v:ext="edit" aspectratio="f"/>
            <w10:wrap type="none"/>
            <w10:anchorlock/>
          </v:shape>
          <o:OLEObject Type="Embed" ProgID="Equation.DSMT4" ShapeID="_x0000_i1051" DrawAspect="Content" ObjectID="_1468075751" r:id="rId77">
            <o:LockedField>false</o:LockedField>
          </o:OLEObject>
        </w:object>
      </w:r>
      <w:r>
        <w:rPr>
          <w:rStyle w:val="141"/>
          <w:rFonts w:ascii="Times New Roman" w:hAnsi="Times New Roman" w:eastAsia="宋体" w:cs="Times New Roman"/>
          <w:sz w:val="21"/>
          <w:szCs w:val="21"/>
        </w:rPr>
        <w:tab/>
      </w:r>
      <w:r>
        <w:rPr>
          <w:rStyle w:val="141"/>
          <w:rFonts w:ascii="Times New Roman" w:hAnsi="Times New Roman" w:eastAsia="宋体" w:cs="Times New Roman"/>
          <w:sz w:val="21"/>
          <w:szCs w:val="21"/>
        </w:rPr>
        <w:tab/>
      </w:r>
      <w:r>
        <w:rPr>
          <w:rStyle w:val="141"/>
          <w:rFonts w:ascii="Times New Roman" w:hAnsi="Times New Roman" w:eastAsia="宋体" w:cs="Times New Roman"/>
          <w:sz w:val="21"/>
          <w:szCs w:val="21"/>
        </w:rPr>
        <w:tab/>
      </w:r>
      <w:r>
        <w:rPr>
          <w:rStyle w:val="141"/>
          <w:rFonts w:ascii="Times New Roman" w:hAnsi="Times New Roman" w:eastAsia="宋体" w:cs="Times New Roman"/>
          <w:sz w:val="21"/>
          <w:szCs w:val="21"/>
        </w:rPr>
        <w:tab/>
      </w:r>
      <w:r>
        <w:rPr>
          <w:rStyle w:val="141"/>
          <w:rFonts w:ascii="Times New Roman" w:hAnsi="Times New Roman" w:eastAsia="宋体" w:cs="Times New Roman"/>
          <w:sz w:val="21"/>
          <w:szCs w:val="21"/>
        </w:rPr>
        <w:t xml:space="preserve">        </w:t>
      </w:r>
      <w:r>
        <w:rPr>
          <w:rStyle w:val="141"/>
          <w:rFonts w:ascii="Times New Roman" w:hAnsi="Times New Roman" w:eastAsia="宋体" w:cs="Times New Roman"/>
          <w:sz w:val="21"/>
          <w:szCs w:val="21"/>
        </w:rPr>
        <w:tab/>
      </w:r>
      <w:r>
        <w:rPr>
          <w:rStyle w:val="141"/>
          <w:rFonts w:ascii="Times New Roman" w:hAnsi="Times New Roman" w:eastAsia="宋体" w:cs="Times New Roman"/>
          <w:sz w:val="21"/>
          <w:szCs w:val="21"/>
        </w:rPr>
        <w:tab/>
      </w:r>
      <w:r>
        <w:rPr>
          <w:rFonts w:ascii="宋体" w:hAnsi="宋体" w:eastAsia="宋体" w:cs="Times New Roman"/>
          <w:sz w:val="21"/>
          <w:szCs w:val="21"/>
        </w:rPr>
        <w:t>（3）</w:t>
      </w:r>
    </w:p>
    <w:p>
      <w:pPr>
        <w:framePr w:wrap="auto" w:vAnchor="page" w:hAnchor="page" w:x="5283" w:y="4270"/>
        <w:rPr>
          <w:rFonts w:ascii="Times New Roman" w:hAnsi="Times New Roman" w:eastAsia="宋体" w:cs="Times New Roman"/>
          <w:sz w:val="0"/>
          <w:szCs w:val="0"/>
          <w:lang w:val="en-US"/>
        </w:rPr>
      </w:pPr>
    </w:p>
    <w:p>
      <w:pPr>
        <w:pStyle w:val="51"/>
        <w:shd w:val="clear" w:color="auto" w:fill="auto"/>
        <w:spacing w:before="0" w:after="0" w:line="240" w:lineRule="auto"/>
        <w:ind w:firstLine="420" w:firstLineChars="200"/>
        <w:jc w:val="both"/>
        <w:rPr>
          <w:rStyle w:val="118"/>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式中：</w:t>
      </w:r>
    </w:p>
    <w:p>
      <w:pPr>
        <w:pStyle w:val="51"/>
        <w:shd w:val="clear" w:color="auto" w:fill="auto"/>
        <w:spacing w:before="0" w:after="0" w:line="240" w:lineRule="auto"/>
        <w:ind w:firstLine="420" w:firstLineChars="200"/>
        <w:jc w:val="both"/>
        <w:rPr>
          <w:rStyle w:val="117"/>
          <w:rFonts w:ascii="Times New Roman" w:hAnsi="Times New Roman" w:eastAsia="宋体" w:cs="Times New Roman"/>
          <w:spacing w:val="0"/>
          <w:sz w:val="21"/>
          <w:szCs w:val="21"/>
        </w:rPr>
      </w:pPr>
      <w:r>
        <w:rPr>
          <w:rFonts w:ascii="Times New Roman" w:hAnsi="Times New Roman" w:eastAsia="Dotum" w:cs="Times New Roman"/>
          <w:spacing w:val="0"/>
          <w:position w:val="-12"/>
          <w:sz w:val="21"/>
          <w:szCs w:val="21"/>
        </w:rPr>
        <w:object>
          <v:shape id="_x0000_i1052" o:spt="75" type="#_x0000_t75" style="height:21.5pt;width:14.5pt;" o:ole="t" filled="f" o:preferrelative="t" stroked="f" coordsize="21600,21600">
            <v:path/>
            <v:fill on="f" focussize="0,0"/>
            <v:stroke on="f" joinstyle="miter"/>
            <v:imagedata r:id="rId80" o:title=""/>
            <o:lock v:ext="edit" aspectratio="f"/>
            <w10:wrap type="none"/>
            <w10:anchorlock/>
          </v:shape>
          <o:OLEObject Type="Embed" ProgID="Equation.DSMT4" ShapeID="_x0000_i1052" DrawAspect="Content" ObjectID="_1468075752" r:id="rId79">
            <o:LockedField>false</o:LockedField>
          </o:OLEObject>
        </w:object>
      </w:r>
      <w:r>
        <w:rPr>
          <w:rFonts w:ascii="Times New Roman" w:hAnsi="Times New Roman" w:eastAsia="Dotum" w:cs="Times New Roman"/>
          <w:spacing w:val="0"/>
          <w:sz w:val="21"/>
          <w:szCs w:val="21"/>
        </w:rPr>
        <w:t>——</w:t>
      </w:r>
      <w:r>
        <w:rPr>
          <w:rStyle w:val="118"/>
          <w:rFonts w:ascii="Times New Roman" w:hAnsi="Times New Roman" w:eastAsia="宋体" w:cs="Times New Roman"/>
          <w:spacing w:val="0"/>
          <w:sz w:val="21"/>
          <w:szCs w:val="21"/>
        </w:rPr>
        <w:t>结构重要性系数，安全等级为一级时不应小于</w:t>
      </w:r>
      <w:r>
        <w:rPr>
          <w:rStyle w:val="117"/>
          <w:rFonts w:ascii="Times New Roman" w:hAnsi="Times New Roman" w:eastAsia="宋体" w:cs="Times New Roman"/>
          <w:spacing w:val="0"/>
          <w:sz w:val="21"/>
          <w:szCs w:val="21"/>
          <w:lang w:val="zh-CN"/>
        </w:rPr>
        <w:t>1.1</w:t>
      </w:r>
      <w:r>
        <w:rPr>
          <w:rStyle w:val="118"/>
          <w:rFonts w:ascii="Times New Roman" w:hAnsi="Times New Roman" w:eastAsia="宋体" w:cs="Times New Roman"/>
          <w:spacing w:val="0"/>
          <w:sz w:val="21"/>
          <w:szCs w:val="21"/>
        </w:rPr>
        <w:t>，安全等级为二级时不应小于</w:t>
      </w:r>
      <w:r>
        <w:rPr>
          <w:rStyle w:val="117"/>
          <w:rFonts w:ascii="Times New Roman" w:hAnsi="Times New Roman" w:eastAsia="宋体" w:cs="Times New Roman"/>
          <w:spacing w:val="0"/>
          <w:sz w:val="21"/>
          <w:szCs w:val="21"/>
        </w:rPr>
        <w:t>1.0；</w:t>
      </w:r>
    </w:p>
    <w:p>
      <w:pPr>
        <w:pStyle w:val="51"/>
        <w:shd w:val="clear" w:color="auto" w:fill="auto"/>
        <w:spacing w:before="0" w:after="0" w:line="240" w:lineRule="auto"/>
        <w:ind w:firstLine="420" w:firstLineChars="200"/>
        <w:jc w:val="both"/>
        <w:rPr>
          <w:rFonts w:ascii="Times New Roman" w:hAnsi="Times New Roman" w:eastAsia="宋体" w:cs="Times New Roman"/>
          <w:spacing w:val="0"/>
          <w:sz w:val="21"/>
          <w:szCs w:val="21"/>
        </w:rPr>
      </w:pPr>
      <w:r>
        <w:rPr>
          <w:rFonts w:ascii="Times New Roman" w:hAnsi="Times New Roman" w:eastAsia="Dotum" w:cs="Times New Roman"/>
          <w:spacing w:val="0"/>
          <w:position w:val="-12"/>
          <w:sz w:val="21"/>
          <w:szCs w:val="21"/>
        </w:rPr>
        <w:object>
          <v:shape id="_x0000_i1053" o:spt="75" type="#_x0000_t75" style="height:21.5pt;width:21.5pt;" o:ole="t" filled="f" o:preferrelative="t" stroked="f" coordsize="21600,21600">
            <v:path/>
            <v:fill on="f" focussize="0,0"/>
            <v:stroke on="f" joinstyle="miter"/>
            <v:imagedata r:id="rId82" o:title=""/>
            <o:lock v:ext="edit" aspectratio="f"/>
            <w10:wrap type="none"/>
            <w10:anchorlock/>
          </v:shape>
          <o:OLEObject Type="Embed" ProgID="Equation.DSMT4" ShapeID="_x0000_i1053" DrawAspect="Content" ObjectID="_1468075753" r:id="rId81">
            <o:LockedField>false</o:LockedField>
          </o:OLEObject>
        </w:object>
      </w:r>
      <w:r>
        <w:rPr>
          <w:rFonts w:ascii="Times New Roman" w:hAnsi="Times New Roman" w:eastAsia="Dotum" w:cs="Times New Roman"/>
          <w:spacing w:val="0"/>
          <w:sz w:val="21"/>
          <w:szCs w:val="21"/>
        </w:rPr>
        <w:t>——</w:t>
      </w:r>
      <w:r>
        <w:rPr>
          <w:rStyle w:val="117"/>
          <w:rFonts w:ascii="Times New Roman" w:hAnsi="Times New Roman" w:eastAsia="宋体" w:cs="Times New Roman"/>
          <w:spacing w:val="0"/>
          <w:sz w:val="21"/>
          <w:szCs w:val="21"/>
        </w:rPr>
        <w:t>接缝承载力抗震调整系数；</w:t>
      </w:r>
    </w:p>
    <w:p>
      <w:pPr>
        <w:pStyle w:val="51"/>
        <w:shd w:val="clear" w:color="auto" w:fill="auto"/>
        <w:spacing w:before="0" w:after="0" w:line="240" w:lineRule="auto"/>
        <w:ind w:firstLine="453" w:firstLineChars="220"/>
        <w:jc w:val="both"/>
        <w:rPr>
          <w:rFonts w:ascii="Times New Roman" w:hAnsi="Times New Roman" w:eastAsia="宋体" w:cs="Times New Roman"/>
          <w:spacing w:val="0"/>
          <w:sz w:val="21"/>
          <w:szCs w:val="21"/>
        </w:rPr>
      </w:pPr>
      <w:r>
        <w:rPr>
          <w:position w:val="-14"/>
        </w:rPr>
        <w:object>
          <v:shape id="_x0000_i1054" o:spt="75" type="#_x0000_t75" style="height:21.5pt;width:14.5pt;" o:ole="t" filled="f" o:preferrelative="t" stroked="f" coordsize="21600,21600">
            <v:path/>
            <v:fill on="f" focussize="0,0"/>
            <v:stroke on="f" joinstyle="miter"/>
            <v:imagedata r:id="rId84" o:title=""/>
            <o:lock v:ext="edit" aspectratio="t"/>
            <w10:wrap type="none"/>
            <w10:anchorlock/>
          </v:shape>
          <o:OLEObject Type="Embed" ProgID="Equation.DSMT4" ShapeID="_x0000_i1054" DrawAspect="Content" ObjectID="_1468075754" r:id="rId83">
            <o:LockedField>false</o:LockedField>
          </o:OLEObject>
        </w:object>
      </w:r>
      <w:r>
        <w:rPr>
          <w:rFonts w:ascii="Times New Roman" w:hAnsi="Times New Roman" w:eastAsia="Dotum" w:cs="Times New Roman"/>
          <w:spacing w:val="0"/>
          <w:sz w:val="21"/>
          <w:szCs w:val="21"/>
        </w:rPr>
        <w:t>——</w:t>
      </w:r>
      <w:r>
        <w:rPr>
          <w:rStyle w:val="118"/>
          <w:rFonts w:ascii="Times New Roman" w:hAnsi="Times New Roman" w:eastAsia="宋体" w:cs="Times New Roman"/>
          <w:spacing w:val="0"/>
          <w:sz w:val="21"/>
          <w:szCs w:val="21"/>
        </w:rPr>
        <w:t>持久设计状况下接缝剪力设计值；</w:t>
      </w:r>
    </w:p>
    <w:p>
      <w:pPr>
        <w:pStyle w:val="51"/>
        <w:shd w:val="clear" w:color="auto" w:fill="auto"/>
        <w:spacing w:before="0" w:after="0" w:line="240" w:lineRule="auto"/>
        <w:ind w:firstLine="453" w:firstLineChars="220"/>
        <w:jc w:val="both"/>
        <w:rPr>
          <w:rFonts w:ascii="Times New Roman" w:hAnsi="Times New Roman" w:eastAsia="宋体" w:cs="Times New Roman"/>
          <w:spacing w:val="0"/>
          <w:sz w:val="21"/>
          <w:szCs w:val="21"/>
        </w:rPr>
      </w:pPr>
      <w:r>
        <w:rPr>
          <w:position w:val="-14"/>
        </w:rPr>
        <w:object>
          <v:shape id="_x0000_i1055" o:spt="75" type="#_x0000_t75" style="height:21.5pt;width:21.5pt;" o:ole="t" filled="f" o:preferrelative="t" stroked="f" coordsize="21600,21600">
            <v:path/>
            <v:fill on="f" focussize="0,0"/>
            <v:stroke on="f" joinstyle="miter"/>
            <v:imagedata r:id="rId86" o:title=""/>
            <o:lock v:ext="edit" aspectratio="t"/>
            <w10:wrap type="none"/>
            <w10:anchorlock/>
          </v:shape>
          <o:OLEObject Type="Embed" ProgID="Equation.DSMT4" ShapeID="_x0000_i1055" DrawAspect="Content" ObjectID="_1468075755" r:id="rId85">
            <o:LockedField>false</o:LockedField>
          </o:OLEObject>
        </w:object>
      </w:r>
      <w:r>
        <w:rPr>
          <w:rFonts w:ascii="Times New Roman" w:hAnsi="Times New Roman" w:eastAsia="Dotum" w:cs="Times New Roman"/>
          <w:spacing w:val="0"/>
          <w:sz w:val="21"/>
          <w:szCs w:val="21"/>
        </w:rPr>
        <w:t>——</w:t>
      </w:r>
      <w:r>
        <w:rPr>
          <w:rStyle w:val="118"/>
          <w:rFonts w:ascii="Times New Roman" w:hAnsi="Times New Roman" w:eastAsia="宋体" w:cs="Times New Roman"/>
          <w:spacing w:val="0"/>
          <w:sz w:val="21"/>
          <w:szCs w:val="21"/>
        </w:rPr>
        <w:t>地震设计状况下接缝剪力设计值</w:t>
      </w:r>
    </w:p>
    <w:p>
      <w:pPr>
        <w:pStyle w:val="51"/>
        <w:shd w:val="clear" w:color="auto" w:fill="auto"/>
        <w:spacing w:before="0" w:after="0" w:line="240" w:lineRule="auto"/>
        <w:ind w:firstLine="453" w:firstLineChars="220"/>
        <w:jc w:val="both"/>
        <w:rPr>
          <w:rFonts w:ascii="Times New Roman" w:hAnsi="Times New Roman" w:eastAsia="宋体" w:cs="Times New Roman"/>
          <w:spacing w:val="0"/>
          <w:sz w:val="21"/>
          <w:szCs w:val="21"/>
        </w:rPr>
      </w:pPr>
      <w:r>
        <w:rPr>
          <w:position w:val="-12"/>
        </w:rPr>
        <w:object>
          <v:shape id="_x0000_i1056" o:spt="75" type="#_x0000_t75" style="height:21.5pt;width:14.5pt;" o:ole="t" filled="f" o:preferrelative="t" stroked="f" coordsize="21600,21600">
            <v:path/>
            <v:fill on="f" focussize="0,0"/>
            <v:stroke on="f" joinstyle="miter"/>
            <v:imagedata r:id="rId88" o:title=""/>
            <o:lock v:ext="edit" aspectratio="t"/>
            <w10:wrap type="none"/>
            <w10:anchorlock/>
          </v:shape>
          <o:OLEObject Type="Embed" ProgID="Equation.DSMT4" ShapeID="_x0000_i1056" DrawAspect="Content" ObjectID="_1468075756" r:id="rId87">
            <o:LockedField>false</o:LockedField>
          </o:OLEObject>
        </w:object>
      </w:r>
      <w:r>
        <w:rPr>
          <w:rFonts w:ascii="Times New Roman" w:hAnsi="Times New Roman" w:eastAsia="Dotum" w:cs="Times New Roman"/>
          <w:spacing w:val="0"/>
          <w:sz w:val="21"/>
          <w:szCs w:val="21"/>
        </w:rPr>
        <w:t>——</w:t>
      </w:r>
      <w:r>
        <w:rPr>
          <w:rStyle w:val="118"/>
          <w:rFonts w:ascii="Times New Roman" w:hAnsi="Times New Roman" w:eastAsia="宋体" w:cs="Times New Roman"/>
          <w:spacing w:val="0"/>
          <w:sz w:val="21"/>
          <w:szCs w:val="21"/>
        </w:rPr>
        <w:t>持久设计状况下接缝受剪承载力设计值；</w:t>
      </w:r>
    </w:p>
    <w:p>
      <w:pPr>
        <w:pStyle w:val="51"/>
        <w:shd w:val="clear" w:color="auto" w:fill="auto"/>
        <w:spacing w:before="0" w:after="0" w:line="240" w:lineRule="auto"/>
        <w:ind w:firstLine="453" w:firstLineChars="220"/>
        <w:jc w:val="both"/>
        <w:rPr>
          <w:rFonts w:ascii="Times New Roman" w:hAnsi="Times New Roman" w:eastAsia="宋体" w:cs="Times New Roman"/>
          <w:spacing w:val="0"/>
          <w:sz w:val="21"/>
          <w:szCs w:val="21"/>
        </w:rPr>
      </w:pPr>
      <w:r>
        <w:rPr>
          <w:position w:val="-12"/>
        </w:rPr>
        <w:object>
          <v:shape id="_x0000_i1057" o:spt="75" type="#_x0000_t75" style="height:21.5pt;width:21.5pt;" o:ole="t" filled="f" o:preferrelative="t" stroked="f" coordsize="21600,21600">
            <v:path/>
            <v:fill on="f" focussize="0,0"/>
            <v:stroke on="f" joinstyle="miter"/>
            <v:imagedata r:id="rId90" o:title=""/>
            <o:lock v:ext="edit" aspectratio="t"/>
            <w10:wrap type="none"/>
            <w10:anchorlock/>
          </v:shape>
          <o:OLEObject Type="Embed" ProgID="Equation.DSMT4" ShapeID="_x0000_i1057" DrawAspect="Content" ObjectID="_1468075757" r:id="rId89">
            <o:LockedField>false</o:LockedField>
          </o:OLEObject>
        </w:object>
      </w:r>
      <w:r>
        <w:rPr>
          <w:rFonts w:ascii="Times New Roman" w:hAnsi="Times New Roman" w:eastAsia="Dotum" w:cs="Times New Roman"/>
          <w:spacing w:val="0"/>
          <w:sz w:val="21"/>
          <w:szCs w:val="21"/>
        </w:rPr>
        <w:t>——</w:t>
      </w:r>
      <w:r>
        <w:rPr>
          <w:rStyle w:val="118"/>
          <w:rFonts w:ascii="Times New Roman" w:hAnsi="Times New Roman" w:eastAsia="宋体" w:cs="Times New Roman"/>
          <w:spacing w:val="0"/>
          <w:sz w:val="21"/>
          <w:szCs w:val="21"/>
        </w:rPr>
        <w:t>地震设计状况下接缝受剪承载力设计值；</w:t>
      </w:r>
    </w:p>
    <w:p>
      <w:pPr>
        <w:pStyle w:val="51"/>
        <w:shd w:val="clear" w:color="auto" w:fill="auto"/>
        <w:spacing w:before="0" w:after="0" w:line="240" w:lineRule="auto"/>
        <w:ind w:firstLine="453" w:firstLineChars="220"/>
        <w:jc w:val="both"/>
        <w:rPr>
          <w:rStyle w:val="118"/>
          <w:rFonts w:ascii="Times New Roman" w:hAnsi="Times New Roman" w:eastAsia="宋体" w:cs="Times New Roman"/>
          <w:spacing w:val="0"/>
          <w:sz w:val="21"/>
          <w:szCs w:val="21"/>
        </w:rPr>
      </w:pPr>
      <w:r>
        <w:rPr>
          <w:position w:val="-12"/>
        </w:rPr>
        <w:object>
          <v:shape id="_x0000_i1058" o:spt="75" type="#_x0000_t75" style="height:21.5pt;width:21.5pt;" o:ole="t" filled="f" o:preferrelative="t" stroked="f" coordsize="21600,21600">
            <v:path/>
            <v:fill on="f" focussize="0,0"/>
            <v:stroke on="f" joinstyle="miter"/>
            <v:imagedata r:id="rId92" o:title=""/>
            <o:lock v:ext="edit" aspectratio="t"/>
            <w10:wrap type="none"/>
            <w10:anchorlock/>
          </v:shape>
          <o:OLEObject Type="Embed" ProgID="Equation.DSMT4" ShapeID="_x0000_i1058" DrawAspect="Content" ObjectID="_1468075758" r:id="rId91">
            <o:LockedField>false</o:LockedField>
          </o:OLEObject>
        </w:object>
      </w:r>
      <w:r>
        <w:rPr>
          <w:rFonts w:ascii="Times New Roman" w:hAnsi="Times New Roman" w:eastAsia="Dotum" w:cs="Times New Roman"/>
          <w:spacing w:val="0"/>
          <w:sz w:val="21"/>
          <w:szCs w:val="21"/>
        </w:rPr>
        <w:t>——</w:t>
      </w:r>
      <w:r>
        <w:rPr>
          <w:rStyle w:val="118"/>
          <w:rFonts w:ascii="Times New Roman" w:hAnsi="Times New Roman" w:eastAsia="宋体" w:cs="Times New Roman"/>
          <w:spacing w:val="0"/>
          <w:sz w:val="21"/>
          <w:szCs w:val="21"/>
        </w:rPr>
        <w:t>被连接构件端部按实配钢筋面积计算的斜截面受剪承载力设计值；</w:t>
      </w:r>
    </w:p>
    <w:p>
      <w:pPr>
        <w:pStyle w:val="51"/>
        <w:shd w:val="clear" w:color="auto" w:fill="auto"/>
        <w:spacing w:before="0" w:after="0" w:line="240" w:lineRule="auto"/>
        <w:ind w:firstLine="453" w:firstLineChars="220"/>
        <w:jc w:val="both"/>
        <w:rPr>
          <w:rFonts w:ascii="Times New Roman" w:hAnsi="Times New Roman" w:eastAsia="宋体" w:cs="Times New Roman"/>
          <w:spacing w:val="0"/>
          <w:sz w:val="21"/>
          <w:szCs w:val="21"/>
        </w:rPr>
      </w:pPr>
      <w:r>
        <w:rPr>
          <w:position w:val="-14"/>
        </w:rPr>
        <w:object>
          <v:shape id="_x0000_i1059" o:spt="75" type="#_x0000_t75" style="height:21.5pt;width:14.5pt;" o:ole="t" filled="f" o:preferrelative="t" stroked="f" coordsize="21600,21600">
            <v:path/>
            <v:fill on="f" focussize="0,0"/>
            <v:stroke on="f" joinstyle="miter"/>
            <v:imagedata r:id="rId94" o:title=""/>
            <o:lock v:ext="edit" aspectratio="t"/>
            <w10:wrap type="none"/>
            <w10:anchorlock/>
          </v:shape>
          <o:OLEObject Type="Embed" ProgID="Equation.DSMT4" ShapeID="_x0000_i1059" DrawAspect="Content" ObjectID="_1468075759" r:id="rId93">
            <o:LockedField>false</o:LockedField>
          </o:OLEObject>
        </w:object>
      </w:r>
      <w:r>
        <w:rPr>
          <w:rFonts w:ascii="Times New Roman" w:hAnsi="Times New Roman" w:eastAsia="Dotum" w:cs="Times New Roman"/>
          <w:spacing w:val="0"/>
          <w:sz w:val="21"/>
          <w:szCs w:val="21"/>
        </w:rPr>
        <w:t>——</w:t>
      </w:r>
      <w:r>
        <w:rPr>
          <w:rStyle w:val="118"/>
          <w:rFonts w:ascii="Times New Roman" w:hAnsi="Times New Roman" w:eastAsia="宋体" w:cs="Times New Roman"/>
          <w:spacing w:val="0"/>
          <w:sz w:val="21"/>
          <w:szCs w:val="21"/>
        </w:rPr>
        <w:t>接缝受剪承载力增大系数，抗震等级为一、二级取</w:t>
      </w:r>
      <w:r>
        <w:rPr>
          <w:rStyle w:val="117"/>
          <w:rFonts w:ascii="Times New Roman" w:hAnsi="Times New Roman" w:eastAsia="宋体" w:cs="Times New Roman"/>
          <w:spacing w:val="0"/>
          <w:sz w:val="21"/>
          <w:szCs w:val="21"/>
          <w:lang w:val="zh-CN"/>
        </w:rPr>
        <w:t>1.2</w:t>
      </w:r>
      <w:r>
        <w:rPr>
          <w:rStyle w:val="118"/>
          <w:rFonts w:ascii="Times New Roman" w:hAnsi="Times New Roman" w:eastAsia="宋体" w:cs="Times New Roman"/>
          <w:spacing w:val="0"/>
          <w:sz w:val="21"/>
          <w:szCs w:val="21"/>
        </w:rPr>
        <w:t>，抗震等级为三、四级取</w:t>
      </w:r>
      <w:r>
        <w:rPr>
          <w:rStyle w:val="117"/>
          <w:rFonts w:ascii="Times New Roman" w:hAnsi="Times New Roman" w:eastAsia="宋体" w:cs="Times New Roman"/>
          <w:spacing w:val="0"/>
          <w:sz w:val="21"/>
          <w:szCs w:val="21"/>
          <w:lang w:val="zh-CN"/>
        </w:rPr>
        <w:t>1.1</w:t>
      </w:r>
      <w:r>
        <w:rPr>
          <w:rStyle w:val="118"/>
          <w:rFonts w:ascii="Times New Roman" w:hAnsi="Times New Roman" w:eastAsia="宋体" w:cs="Times New Roman"/>
          <w:spacing w:val="0"/>
          <w:sz w:val="21"/>
          <w:szCs w:val="21"/>
        </w:rPr>
        <w:t>。</w:t>
      </w:r>
    </w:p>
    <w:p>
      <w:pPr>
        <w:pStyle w:val="51"/>
        <w:numPr>
          <w:ilvl w:val="0"/>
          <w:numId w:val="23"/>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叠合梁端竖向接缝的受剪承载力设计值应按公式</w:t>
      </w:r>
      <w:r>
        <w:rPr>
          <w:rStyle w:val="118"/>
          <w:rFonts w:hint="eastAsia" w:ascii="Times New Roman" w:hAnsi="Times New Roman" w:eastAsia="宋体" w:cs="Times New Roman"/>
          <w:spacing w:val="0"/>
          <w:sz w:val="21"/>
          <w:szCs w:val="21"/>
        </w:rPr>
        <w:t>（</w:t>
      </w:r>
      <w:r>
        <w:rPr>
          <w:rStyle w:val="118"/>
          <w:rFonts w:hint="eastAsia" w:ascii="Times New Roman" w:hAnsi="Times New Roman" w:eastAsia="宋体" w:cs="Times New Roman"/>
          <w:spacing w:val="0"/>
          <w:sz w:val="21"/>
          <w:szCs w:val="21"/>
          <w:lang w:val="en-US"/>
        </w:rPr>
        <w:t>4</w:t>
      </w:r>
      <w:r>
        <w:rPr>
          <w:rStyle w:val="118"/>
          <w:rFonts w:hint="eastAsia" w:ascii="Times New Roman" w:hAnsi="Times New Roman" w:eastAsia="宋体" w:cs="Times New Roman"/>
          <w:spacing w:val="0"/>
          <w:sz w:val="21"/>
          <w:szCs w:val="21"/>
        </w:rPr>
        <w:t>）（</w:t>
      </w:r>
      <w:r>
        <w:rPr>
          <w:rStyle w:val="118"/>
          <w:rFonts w:hint="eastAsia" w:ascii="Times New Roman" w:hAnsi="Times New Roman" w:eastAsia="宋体" w:cs="Times New Roman"/>
          <w:spacing w:val="0"/>
          <w:sz w:val="21"/>
          <w:szCs w:val="21"/>
          <w:lang w:val="en-US"/>
        </w:rPr>
        <w:t>5</w:t>
      </w:r>
      <w:r>
        <w:rPr>
          <w:rStyle w:val="118"/>
          <w:rFonts w:hint="eastAsia" w:ascii="Times New Roman" w:hAnsi="Times New Roman" w:eastAsia="宋体" w:cs="Times New Roman"/>
          <w:spacing w:val="0"/>
          <w:sz w:val="21"/>
          <w:szCs w:val="21"/>
        </w:rPr>
        <w:t>）</w:t>
      </w:r>
      <w:r>
        <w:rPr>
          <w:rStyle w:val="118"/>
          <w:rFonts w:ascii="Times New Roman" w:hAnsi="Times New Roman" w:eastAsia="宋体" w:cs="Times New Roman"/>
          <w:spacing w:val="0"/>
          <w:sz w:val="21"/>
          <w:szCs w:val="21"/>
        </w:rPr>
        <w:t>计算：</w:t>
      </w:r>
    </w:p>
    <w:p>
      <w:pPr>
        <w:pStyle w:val="105"/>
        <w:shd w:val="clear" w:color="auto" w:fill="auto"/>
        <w:spacing w:line="240" w:lineRule="auto"/>
        <w:ind w:left="459"/>
        <w:rPr>
          <w:rStyle w:val="141"/>
          <w:rFonts w:ascii="Times New Roman" w:hAnsi="Times New Roman" w:eastAsia="宋体" w:cs="Times New Roman"/>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Style w:val="141"/>
          <w:rFonts w:ascii="Times New Roman" w:hAnsi="Times New Roman" w:eastAsia="宋体" w:cs="Times New Roman"/>
          <w:sz w:val="21"/>
          <w:szCs w:val="21"/>
        </w:rPr>
        <w:t>持久设计状况：</w:t>
      </w:r>
    </w:p>
    <w:p>
      <w:pPr>
        <w:pStyle w:val="105"/>
        <w:shd w:val="clear" w:color="auto" w:fill="auto"/>
        <w:spacing w:line="240" w:lineRule="auto"/>
        <w:ind w:left="459"/>
        <w:jc w:val="right"/>
        <w:rPr>
          <w:rFonts w:ascii="Times New Roman" w:hAnsi="Times New Roman" w:eastAsia="宋体" w:cs="Times New Roman"/>
          <w:sz w:val="21"/>
          <w:szCs w:val="21"/>
        </w:rPr>
      </w:pPr>
      <w:r>
        <w:rPr>
          <w:position w:val="-16"/>
        </w:rPr>
        <w:object>
          <v:shape id="_x0000_i1060" o:spt="75" type="#_x0000_t75" style="height:21.5pt;width:201.5pt;" o:ole="t" filled="f" o:preferrelative="t" stroked="f" coordsize="21600,21600">
            <v:path/>
            <v:fill on="f" focussize="0,0"/>
            <v:stroke on="f" joinstyle="miter"/>
            <v:imagedata r:id="rId96" o:title=""/>
            <o:lock v:ext="edit" aspectratio="t"/>
            <w10:wrap type="none"/>
            <w10:anchorlock/>
          </v:shape>
          <o:OLEObject Type="Embed" ProgID="Equation.DSMT4" ShapeID="_x0000_i1060" DrawAspect="Content" ObjectID="_1468075760" r:id="rId95">
            <o:LockedField>false</o:LockedField>
          </o:OLEObject>
        </w:object>
      </w:r>
      <w:r>
        <w:rPr>
          <w:rStyle w:val="141"/>
          <w:rFonts w:ascii="Times New Roman" w:hAnsi="Times New Roman" w:eastAsia="宋体" w:cs="Times New Roman"/>
          <w:sz w:val="21"/>
          <w:szCs w:val="21"/>
        </w:rPr>
        <w:tab/>
      </w:r>
      <w:r>
        <w:rPr>
          <w:rFonts w:ascii="Times New Roman" w:hAnsi="Times New Roman" w:eastAsia="宋体" w:cs="Times New Roman"/>
          <w:sz w:val="21"/>
          <w:szCs w:val="21"/>
        </w:rPr>
        <w:t xml:space="preserve">       </w:t>
      </w:r>
      <w:r>
        <w:rPr>
          <w:rFonts w:ascii="宋体" w:hAnsi="宋体" w:eastAsia="宋体" w:cs="Times New Roman"/>
          <w:sz w:val="21"/>
          <w:szCs w:val="21"/>
        </w:rPr>
        <w:t>（4）</w:t>
      </w:r>
    </w:p>
    <w:p>
      <w:pPr>
        <w:pStyle w:val="105"/>
        <w:shd w:val="clear" w:color="auto" w:fill="auto"/>
        <w:spacing w:line="240" w:lineRule="auto"/>
        <w:ind w:left="459"/>
        <w:rPr>
          <w:rStyle w:val="141"/>
          <w:rFonts w:ascii="Times New Roman" w:hAnsi="Times New Roman" w:eastAsia="宋体" w:cs="Times New Roman"/>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Style w:val="141"/>
          <w:rFonts w:ascii="Times New Roman" w:hAnsi="Times New Roman" w:eastAsia="宋体" w:cs="Times New Roman"/>
          <w:sz w:val="21"/>
          <w:szCs w:val="21"/>
        </w:rPr>
        <w:t>地震设计状况：</w:t>
      </w:r>
    </w:p>
    <w:p>
      <w:pPr>
        <w:pStyle w:val="105"/>
        <w:shd w:val="clear" w:color="auto" w:fill="auto"/>
        <w:spacing w:line="240" w:lineRule="auto"/>
        <w:ind w:left="459"/>
        <w:jc w:val="right"/>
        <w:rPr>
          <w:rFonts w:ascii="Times New Roman" w:hAnsi="Times New Roman" w:eastAsia="宋体" w:cs="Times New Roman"/>
          <w:sz w:val="21"/>
          <w:szCs w:val="21"/>
        </w:rPr>
      </w:pPr>
      <w:r>
        <w:rPr>
          <w:position w:val="-16"/>
        </w:rPr>
        <w:object>
          <v:shape id="_x0000_i1061" o:spt="75" type="#_x0000_t75" style="height:21.5pt;width:209pt;" o:ole="t" filled="f" o:preferrelative="t" stroked="f" coordsize="21600,21600">
            <v:path/>
            <v:fill on="f" focussize="0,0"/>
            <v:stroke on="f" joinstyle="miter"/>
            <v:imagedata r:id="rId98" o:title=""/>
            <o:lock v:ext="edit" aspectratio="t"/>
            <w10:wrap type="none"/>
            <w10:anchorlock/>
          </v:shape>
          <o:OLEObject Type="Embed" ProgID="Equation.DSMT4" ShapeID="_x0000_i1061" DrawAspect="Content" ObjectID="_1468075761" r:id="rId97">
            <o:LockedField>false</o:LockedField>
          </o:OLEObject>
        </w:object>
      </w:r>
      <w:r>
        <w:rPr>
          <w:rStyle w:val="141"/>
          <w:rFonts w:ascii="Times New Roman" w:hAnsi="Times New Roman" w:eastAsia="宋体" w:cs="Times New Roman"/>
          <w:sz w:val="21"/>
          <w:szCs w:val="21"/>
        </w:rPr>
        <w:tab/>
      </w:r>
      <w:r>
        <w:rPr>
          <w:rFonts w:ascii="Times New Roman" w:hAnsi="Times New Roman" w:eastAsia="宋体" w:cs="Times New Roman"/>
          <w:sz w:val="21"/>
          <w:szCs w:val="21"/>
        </w:rPr>
        <w:t xml:space="preserve">    </w:t>
      </w:r>
      <w:r>
        <w:rPr>
          <w:rFonts w:ascii="宋体" w:hAnsi="宋体" w:eastAsia="宋体" w:cs="Times New Roman"/>
          <w:sz w:val="21"/>
          <w:szCs w:val="21"/>
        </w:rPr>
        <w:t>（5）</w:t>
      </w:r>
    </w:p>
    <w:p>
      <w:pPr>
        <w:pStyle w:val="51"/>
        <w:shd w:val="clear" w:color="auto" w:fill="auto"/>
        <w:spacing w:before="0" w:after="0" w:line="240" w:lineRule="auto"/>
        <w:ind w:firstLine="420" w:firstLineChars="200"/>
        <w:jc w:val="both"/>
        <w:rPr>
          <w:rStyle w:val="118"/>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式中：</w:t>
      </w:r>
    </w:p>
    <w:p>
      <w:pPr>
        <w:pStyle w:val="51"/>
        <w:shd w:val="clear" w:color="auto" w:fill="auto"/>
        <w:spacing w:before="0" w:after="0" w:line="240" w:lineRule="auto"/>
        <w:ind w:firstLine="412" w:firstLineChars="200"/>
        <w:jc w:val="both"/>
        <w:rPr>
          <w:rStyle w:val="118"/>
          <w:rFonts w:ascii="Times New Roman" w:hAnsi="Times New Roman" w:eastAsia="宋体" w:cs="Times New Roman"/>
          <w:spacing w:val="0"/>
          <w:sz w:val="21"/>
          <w:szCs w:val="21"/>
        </w:rPr>
      </w:pPr>
      <w:r>
        <w:rPr>
          <w:position w:val="-12"/>
        </w:rPr>
        <w:object>
          <v:shape id="_x0000_i1062" o:spt="75" type="#_x0000_t75" style="height:21.5pt;width:14.5pt;" o:ole="t" filled="f" o:preferrelative="t" stroked="f" coordsize="21600,21600">
            <v:path/>
            <v:fill on="f" focussize="0,0"/>
            <v:stroke on="f" joinstyle="miter"/>
            <v:imagedata r:id="rId100" o:title=""/>
            <o:lock v:ext="edit" aspectratio="t"/>
            <w10:wrap type="none"/>
            <w10:anchorlock/>
          </v:shape>
          <o:OLEObject Type="Embed" ProgID="Equation.DSMT4" ShapeID="_x0000_i1062" DrawAspect="Content" ObjectID="_1468075762" r:id="rId99">
            <o:LockedField>false</o:LockedField>
          </o:OLEObject>
        </w:object>
      </w:r>
      <w:r>
        <w:rPr>
          <w:rFonts w:ascii="Times New Roman" w:hAnsi="Times New Roman" w:eastAsia="Dotum" w:cs="Times New Roman"/>
          <w:spacing w:val="0"/>
          <w:sz w:val="21"/>
          <w:szCs w:val="21"/>
        </w:rPr>
        <w:t>——</w:t>
      </w:r>
      <w:r>
        <w:rPr>
          <w:rStyle w:val="118"/>
          <w:rFonts w:ascii="Times New Roman" w:hAnsi="Times New Roman" w:eastAsia="宋体" w:cs="Times New Roman"/>
          <w:spacing w:val="0"/>
          <w:sz w:val="21"/>
          <w:szCs w:val="21"/>
        </w:rPr>
        <w:t>叠合梁端截面后浇混凝土叠合层截面面积；</w:t>
      </w:r>
    </w:p>
    <w:p>
      <w:pPr>
        <w:pStyle w:val="51"/>
        <w:shd w:val="clear" w:color="auto" w:fill="auto"/>
        <w:spacing w:before="0" w:after="0" w:line="240" w:lineRule="auto"/>
        <w:ind w:firstLine="412" w:firstLineChars="200"/>
        <w:jc w:val="both"/>
        <w:rPr>
          <w:rFonts w:ascii="Times New Roman" w:hAnsi="Times New Roman" w:eastAsia="宋体" w:cs="Times New Roman"/>
          <w:spacing w:val="0"/>
          <w:sz w:val="21"/>
          <w:szCs w:val="21"/>
        </w:rPr>
      </w:pPr>
      <w:r>
        <w:rPr>
          <w:position w:val="-12"/>
        </w:rPr>
        <w:object>
          <v:shape id="_x0000_i1063" o:spt="75" type="#_x0000_t75" style="height:21.5pt;width:14.5pt;" o:ole="t" filled="f" o:preferrelative="t" stroked="f" coordsize="21600,21600">
            <v:path/>
            <v:fill on="f" focussize="0,0"/>
            <v:stroke on="f" joinstyle="miter"/>
            <v:imagedata r:id="rId102" o:title=""/>
            <o:lock v:ext="edit" aspectratio="t"/>
            <w10:wrap type="none"/>
            <w10:anchorlock/>
          </v:shape>
          <o:OLEObject Type="Embed" ProgID="Equation.DSMT4" ShapeID="_x0000_i1063" DrawAspect="Content" ObjectID="_1468075763" r:id="rId101">
            <o:LockedField>false</o:LockedField>
          </o:OLEObject>
        </w:object>
      </w:r>
      <w:r>
        <w:rPr>
          <w:rFonts w:ascii="Times New Roman" w:hAnsi="Times New Roman" w:eastAsia="Dotum" w:cs="Times New Roman"/>
          <w:spacing w:val="0"/>
          <w:sz w:val="21"/>
          <w:szCs w:val="21"/>
        </w:rPr>
        <w:t>——</w:t>
      </w:r>
      <w:r>
        <w:rPr>
          <w:rStyle w:val="118"/>
          <w:rFonts w:ascii="Times New Roman" w:hAnsi="Times New Roman" w:eastAsia="宋体" w:cs="Times New Roman"/>
          <w:spacing w:val="0"/>
          <w:sz w:val="21"/>
          <w:szCs w:val="21"/>
        </w:rPr>
        <w:t>预制构件混凝土轴心抗压强度设计值；</w:t>
      </w:r>
    </w:p>
    <w:p>
      <w:pPr>
        <w:pStyle w:val="51"/>
        <w:shd w:val="clear" w:color="auto" w:fill="auto"/>
        <w:spacing w:before="0" w:after="0" w:line="240" w:lineRule="auto"/>
        <w:ind w:firstLine="412" w:firstLineChars="200"/>
        <w:jc w:val="both"/>
        <w:rPr>
          <w:rFonts w:ascii="Times New Roman" w:hAnsi="Times New Roman" w:eastAsia="宋体" w:cs="Times New Roman"/>
          <w:spacing w:val="0"/>
          <w:sz w:val="21"/>
          <w:szCs w:val="21"/>
        </w:rPr>
      </w:pPr>
      <w:r>
        <w:rPr>
          <w:position w:val="-14"/>
        </w:rPr>
        <w:object>
          <v:shape id="_x0000_i1064" o:spt="75" type="#_x0000_t75" style="height:21.5pt;width:14.5pt;" o:ole="t" filled="f" o:preferrelative="t" stroked="f" coordsize="21600,21600">
            <v:path/>
            <v:fill on="f" focussize="0,0"/>
            <v:stroke on="f" joinstyle="miter"/>
            <v:imagedata r:id="rId104" o:title=""/>
            <o:lock v:ext="edit" aspectratio="t"/>
            <w10:wrap type="none"/>
            <w10:anchorlock/>
          </v:shape>
          <o:OLEObject Type="Embed" ProgID="Equation.DSMT4" ShapeID="_x0000_i1064" DrawAspect="Content" ObjectID="_1468075764" r:id="rId103">
            <o:LockedField>false</o:LockedField>
          </o:OLEObject>
        </w:objec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垂直穿过结合面钢筋抗拉强度设计值；</w:t>
      </w:r>
    </w:p>
    <w:p>
      <w:pPr>
        <w:pStyle w:val="51"/>
        <w:shd w:val="clear" w:color="auto" w:fill="auto"/>
        <w:spacing w:before="0" w:after="0" w:line="240" w:lineRule="auto"/>
        <w:ind w:firstLine="412" w:firstLineChars="200"/>
        <w:jc w:val="both"/>
        <w:rPr>
          <w:rFonts w:ascii="Times New Roman" w:hAnsi="Times New Roman" w:eastAsia="宋体" w:cs="Times New Roman"/>
          <w:spacing w:val="0"/>
          <w:sz w:val="21"/>
          <w:szCs w:val="21"/>
        </w:rPr>
      </w:pPr>
      <w:r>
        <w:rPr>
          <w:position w:val="-12"/>
        </w:rPr>
        <w:object>
          <v:shape id="_x0000_i1065" o:spt="75" type="#_x0000_t75" style="height:21.5pt;width:14.5pt;" o:ole="t" filled="f" o:preferrelative="t" stroked="f" coordsize="21600,21600">
            <v:path/>
            <v:fill on="f" focussize="0,0"/>
            <v:stroke on="f" joinstyle="miter"/>
            <v:imagedata r:id="rId106" o:title=""/>
            <o:lock v:ext="edit" aspectratio="t"/>
            <w10:wrap type="none"/>
            <w10:anchorlock/>
          </v:shape>
          <o:OLEObject Type="Embed" ProgID="Equation.DSMT4" ShapeID="_x0000_i1065" DrawAspect="Content" ObjectID="_1468075765" r:id="rId105">
            <o:LockedField>false</o:LockedField>
          </o:OLEObject>
        </w:objec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各键槽的根部截面面积</w:t>
      </w:r>
      <w:r>
        <w:rPr>
          <w:rStyle w:val="131"/>
          <w:rFonts w:eastAsia="宋体"/>
          <w:spacing w:val="0"/>
          <w:sz w:val="21"/>
          <w:szCs w:val="21"/>
          <w:lang w:val="zh-CN"/>
        </w:rPr>
        <w:t>（</w:t>
      </w:r>
      <w:r>
        <w:rPr>
          <w:rStyle w:val="131"/>
          <w:rFonts w:hint="eastAsia" w:eastAsia="宋体"/>
          <w:spacing w:val="0"/>
          <w:sz w:val="21"/>
          <w:szCs w:val="21"/>
          <w:lang w:val="zh-CN"/>
        </w:rPr>
        <w:t>见</w:t>
      </w:r>
      <w:r>
        <w:rPr>
          <w:rFonts w:ascii="Times New Roman" w:hAnsi="Times New Roman" w:eastAsia="宋体" w:cs="Times New Roman"/>
          <w:spacing w:val="0"/>
          <w:sz w:val="21"/>
          <w:szCs w:val="21"/>
        </w:rPr>
        <w:t>图7</w:t>
      </w:r>
      <w:r>
        <w:rPr>
          <w:rStyle w:val="131"/>
          <w:rFonts w:eastAsia="宋体"/>
          <w:spacing w:val="0"/>
          <w:sz w:val="21"/>
          <w:szCs w:val="21"/>
        </w:rPr>
        <w:t>）</w:t>
      </w:r>
      <w:r>
        <w:rPr>
          <w:rFonts w:ascii="Times New Roman" w:hAnsi="Times New Roman" w:eastAsia="宋体" w:cs="Times New Roman"/>
          <w:spacing w:val="0"/>
          <w:sz w:val="21"/>
          <w:szCs w:val="21"/>
        </w:rPr>
        <w:t>之和，按后浇键槽根部截面和预制键槽根部截面分别计算，并取二者的较小值；</w:t>
      </w:r>
    </w:p>
    <w:p>
      <w:pPr>
        <w:pStyle w:val="51"/>
        <w:shd w:val="clear" w:color="auto" w:fill="auto"/>
        <w:spacing w:before="0" w:after="0" w:line="240" w:lineRule="auto"/>
        <w:ind w:firstLine="412" w:firstLineChars="200"/>
        <w:jc w:val="both"/>
        <w:rPr>
          <w:rFonts w:ascii="Times New Roman" w:hAnsi="Times New Roman" w:eastAsia="宋体" w:cs="Times New Roman"/>
          <w:spacing w:val="0"/>
          <w:sz w:val="21"/>
          <w:szCs w:val="21"/>
        </w:rPr>
      </w:pPr>
      <w:r>
        <w:rPr>
          <w:position w:val="-12"/>
        </w:rPr>
        <w:object>
          <v:shape id="_x0000_i1066" o:spt="75" type="#_x0000_t75" style="height:21.5pt;width:14.5pt;" o:ole="t" filled="f" o:preferrelative="t" stroked="f" coordsize="21600,21600">
            <v:path/>
            <v:fill on="f" focussize="0,0"/>
            <v:stroke on="f" joinstyle="miter"/>
            <v:imagedata r:id="rId108" o:title=""/>
            <o:lock v:ext="edit" aspectratio="t"/>
            <w10:wrap type="none"/>
            <w10:anchorlock/>
          </v:shape>
          <o:OLEObject Type="Embed" ProgID="Equation.DSMT4" ShapeID="_x0000_i1066" DrawAspect="Content" ObjectID="_1468075766" r:id="rId107">
            <o:LockedField>false</o:LockedField>
          </o:OLEObject>
        </w:objec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垂直穿过结合面所有钢筋的面积，包括叠合层内的纵向钢筋。</w:t>
      </w:r>
    </w:p>
    <w:p>
      <w:pPr>
        <w:pStyle w:val="51"/>
        <w:shd w:val="clear" w:color="auto" w:fill="auto"/>
        <w:spacing w:before="0" w:after="0" w:line="240" w:lineRule="auto"/>
        <w:ind w:left="624" w:leftChars="260" w:right="278" w:firstLine="0"/>
        <w:jc w:val="both"/>
        <w:rPr>
          <w:rFonts w:ascii="Times New Roman" w:hAnsi="Times New Roman" w:eastAsia="宋体" w:cs="Times New Roman"/>
          <w:spacing w:val="0"/>
          <w:sz w:val="21"/>
          <w:szCs w:val="21"/>
        </w:rPr>
      </w:pPr>
      <w:r>
        <w:drawing>
          <wp:anchor distT="0" distB="0" distL="114300" distR="114300" simplePos="0" relativeHeight="251666432" behindDoc="0" locked="0" layoutInCell="1" allowOverlap="1">
            <wp:simplePos x="0" y="0"/>
            <wp:positionH relativeFrom="column">
              <wp:posOffset>1851660</wp:posOffset>
            </wp:positionH>
            <wp:positionV relativeFrom="paragraph">
              <wp:posOffset>11430</wp:posOffset>
            </wp:positionV>
            <wp:extent cx="2296795" cy="1799590"/>
            <wp:effectExtent l="0" t="0" r="8255" b="0"/>
            <wp:wrapNone/>
            <wp:docPr id="53" name="图片 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true" noChangeArrowheads="true"/>
                    </pic:cNvPicPr>
                  </pic:nvPicPr>
                  <pic:blipFill>
                    <a:blip r:embed="rId109">
                      <a:extLst>
                        <a:ext uri="{28A0092B-C50C-407E-A947-70E740481C1C}">
                          <a14:useLocalDpi xmlns:a14="http://schemas.microsoft.com/office/drawing/2010/main" val="false"/>
                        </a:ext>
                      </a:extLst>
                    </a:blip>
                    <a:srcRect/>
                    <a:stretch>
                      <a:fillRect/>
                    </a:stretch>
                  </pic:blipFill>
                  <pic:spPr>
                    <a:xfrm>
                      <a:off x="0" y="0"/>
                      <a:ext cx="2296795" cy="1799590"/>
                    </a:xfrm>
                    <a:prstGeom prst="rect">
                      <a:avLst/>
                    </a:prstGeom>
                    <a:noFill/>
                    <a:ln>
                      <a:noFill/>
                    </a:ln>
                  </pic:spPr>
                </pic:pic>
              </a:graphicData>
            </a:graphic>
          </wp:anchor>
        </w:drawing>
      </w:r>
    </w:p>
    <w:p>
      <w:pPr>
        <w:pStyle w:val="51"/>
        <w:shd w:val="clear" w:color="auto" w:fill="auto"/>
        <w:spacing w:before="0" w:after="0" w:line="240" w:lineRule="auto"/>
        <w:ind w:left="624" w:leftChars="260" w:right="278" w:firstLine="0"/>
        <w:jc w:val="both"/>
        <w:rPr>
          <w:rFonts w:ascii="Times New Roman" w:hAnsi="Times New Roman" w:eastAsia="宋体" w:cs="Times New Roman"/>
          <w:spacing w:val="0"/>
          <w:sz w:val="21"/>
          <w:szCs w:val="21"/>
        </w:rPr>
      </w:pPr>
    </w:p>
    <w:p>
      <w:pPr>
        <w:pStyle w:val="51"/>
        <w:shd w:val="clear" w:color="auto" w:fill="auto"/>
        <w:spacing w:before="0" w:after="0" w:line="240" w:lineRule="auto"/>
        <w:ind w:left="624" w:leftChars="260" w:right="278" w:firstLine="0"/>
        <w:jc w:val="both"/>
        <w:rPr>
          <w:rFonts w:ascii="Times New Roman" w:hAnsi="Times New Roman" w:eastAsia="宋体" w:cs="Times New Roman"/>
          <w:spacing w:val="0"/>
          <w:sz w:val="21"/>
          <w:szCs w:val="21"/>
        </w:rPr>
      </w:pPr>
    </w:p>
    <w:p>
      <w:pPr>
        <w:pStyle w:val="51"/>
        <w:shd w:val="clear" w:color="auto" w:fill="auto"/>
        <w:spacing w:before="0" w:after="0" w:line="240" w:lineRule="auto"/>
        <w:ind w:left="624" w:leftChars="260" w:right="278" w:firstLine="0"/>
        <w:jc w:val="both"/>
        <w:rPr>
          <w:rFonts w:ascii="Times New Roman" w:hAnsi="Times New Roman" w:eastAsia="宋体" w:cs="Times New Roman"/>
          <w:spacing w:val="0"/>
          <w:sz w:val="21"/>
          <w:szCs w:val="21"/>
        </w:rPr>
      </w:pPr>
    </w:p>
    <w:p>
      <w:pPr>
        <w:pStyle w:val="51"/>
        <w:shd w:val="clear" w:color="auto" w:fill="auto"/>
        <w:spacing w:before="0" w:after="0" w:line="240" w:lineRule="auto"/>
        <w:ind w:left="624" w:leftChars="260" w:right="278" w:firstLine="0"/>
        <w:jc w:val="both"/>
        <w:rPr>
          <w:rFonts w:ascii="Times New Roman" w:hAnsi="Times New Roman" w:eastAsia="宋体" w:cs="Times New Roman"/>
          <w:spacing w:val="0"/>
          <w:sz w:val="21"/>
          <w:szCs w:val="21"/>
        </w:rPr>
      </w:pPr>
    </w:p>
    <w:p>
      <w:pPr>
        <w:pStyle w:val="51"/>
        <w:shd w:val="clear" w:color="auto" w:fill="auto"/>
        <w:spacing w:before="0" w:after="0" w:line="240" w:lineRule="auto"/>
        <w:ind w:left="624" w:leftChars="260" w:right="278" w:firstLine="0"/>
        <w:jc w:val="both"/>
        <w:rPr>
          <w:rFonts w:ascii="Times New Roman" w:hAnsi="Times New Roman" w:eastAsia="宋体" w:cs="Times New Roman"/>
          <w:spacing w:val="0"/>
          <w:sz w:val="21"/>
          <w:szCs w:val="21"/>
        </w:rPr>
      </w:pPr>
    </w:p>
    <w:p>
      <w:pPr>
        <w:pStyle w:val="51"/>
        <w:shd w:val="clear" w:color="auto" w:fill="auto"/>
        <w:spacing w:before="0" w:after="0" w:line="240" w:lineRule="auto"/>
        <w:ind w:left="624" w:leftChars="260" w:right="278" w:firstLine="0"/>
        <w:jc w:val="both"/>
        <w:rPr>
          <w:rFonts w:ascii="Times New Roman" w:hAnsi="Times New Roman" w:eastAsia="宋体" w:cs="Times New Roman"/>
          <w:spacing w:val="0"/>
          <w:sz w:val="21"/>
          <w:szCs w:val="21"/>
        </w:rPr>
      </w:pPr>
    </w:p>
    <w:p>
      <w:pPr>
        <w:pStyle w:val="51"/>
        <w:shd w:val="clear" w:color="auto" w:fill="auto"/>
        <w:spacing w:before="0" w:after="0" w:line="240" w:lineRule="auto"/>
        <w:ind w:left="624" w:leftChars="260" w:right="278" w:firstLine="0"/>
        <w:jc w:val="both"/>
        <w:rPr>
          <w:rFonts w:ascii="Times New Roman" w:hAnsi="Times New Roman" w:eastAsia="宋体" w:cs="Times New Roman"/>
          <w:spacing w:val="0"/>
          <w:sz w:val="21"/>
          <w:szCs w:val="21"/>
        </w:rPr>
      </w:pPr>
    </w:p>
    <w:p>
      <w:pPr>
        <w:pStyle w:val="51"/>
        <w:shd w:val="clear" w:color="auto" w:fill="auto"/>
        <w:spacing w:before="0" w:after="0" w:line="240" w:lineRule="auto"/>
        <w:ind w:left="624" w:leftChars="260" w:right="278" w:firstLine="0"/>
        <w:jc w:val="both"/>
        <w:rPr>
          <w:rFonts w:ascii="Times New Roman" w:hAnsi="Times New Roman" w:eastAsia="宋体" w:cs="Times New Roman"/>
          <w:spacing w:val="0"/>
          <w:sz w:val="21"/>
          <w:szCs w:val="21"/>
        </w:rPr>
      </w:pPr>
    </w:p>
    <w:p>
      <w:pPr>
        <w:pStyle w:val="51"/>
        <w:shd w:val="clear" w:color="auto" w:fill="auto"/>
        <w:spacing w:before="0" w:after="0" w:line="240" w:lineRule="auto"/>
        <w:ind w:left="624" w:leftChars="260" w:right="278" w:firstLine="0"/>
        <w:jc w:val="both"/>
        <w:rPr>
          <w:rFonts w:ascii="Times New Roman" w:hAnsi="Times New Roman" w:eastAsia="宋体" w:cs="Times New Roman"/>
          <w:spacing w:val="0"/>
          <w:sz w:val="21"/>
          <w:szCs w:val="21"/>
        </w:rPr>
      </w:pPr>
    </w:p>
    <w:p>
      <w:pPr>
        <w:pStyle w:val="51"/>
        <w:shd w:val="clear" w:color="auto" w:fill="auto"/>
        <w:spacing w:before="0" w:after="0" w:line="240" w:lineRule="auto"/>
        <w:ind w:left="624" w:leftChars="260" w:right="278" w:firstLine="0"/>
        <w:jc w:val="both"/>
        <w:rPr>
          <w:rFonts w:ascii="Times New Roman" w:hAnsi="Times New Roman" w:eastAsia="宋体" w:cs="Times New Roman"/>
          <w:spacing w:val="0"/>
          <w:sz w:val="21"/>
          <w:szCs w:val="21"/>
        </w:rPr>
      </w:pPr>
    </w:p>
    <w:p>
      <w:pPr>
        <w:framePr w:wrap="auto" w:vAnchor="page" w:hAnchor="page" w:x="4225" w:y="6920"/>
        <w:rPr>
          <w:rFonts w:ascii="Times New Roman" w:hAnsi="Times New Roman" w:eastAsia="宋体" w:cs="Times New Roman"/>
          <w:sz w:val="0"/>
          <w:szCs w:val="0"/>
        </w:rPr>
      </w:pPr>
    </w:p>
    <w:p>
      <w:pPr>
        <w:pStyle w:val="130"/>
        <w:shd w:val="clear" w:color="auto" w:fill="auto"/>
        <w:spacing w:line="240" w:lineRule="auto"/>
        <w:ind w:firstLine="0"/>
        <w:jc w:val="center"/>
        <w:rPr>
          <w:rFonts w:ascii="Times New Roman" w:hAnsi="Times New Roman" w:eastAsia="宋体" w:cs="Times New Roman"/>
          <w:spacing w:val="0"/>
        </w:rPr>
      </w:pPr>
    </w:p>
    <w:p>
      <w:pPr>
        <w:pStyle w:val="83"/>
        <w:shd w:val="clear" w:color="auto" w:fill="auto"/>
        <w:spacing w:before="120" w:beforeLines="50" w:after="120" w:afterLines="50" w:line="240" w:lineRule="auto"/>
        <w:jc w:val="center"/>
        <w:rPr>
          <w:rFonts w:ascii="Times New Roman" w:hAnsi="Times New Roman" w:eastAsia="宋体" w:cs="Times New Roman"/>
          <w:sz w:val="21"/>
          <w:szCs w:val="21"/>
        </w:rPr>
      </w:pPr>
      <w:r>
        <w:rPr>
          <w:rFonts w:ascii="Times New Roman" w:hAnsi="Times New Roman" w:eastAsia="宋体" w:cs="Times New Roman"/>
          <w:b w:val="0"/>
          <w:bCs w:val="0"/>
          <w:sz w:val="21"/>
          <w:szCs w:val="21"/>
        </w:rPr>
        <w:t>图7  叠合梁端受剪承载力计算参数示意</w:t>
      </w:r>
    </w:p>
    <w:p>
      <w:pPr>
        <w:pStyle w:val="83"/>
        <w:shd w:val="clear" w:color="auto" w:fill="auto"/>
        <w:spacing w:line="240" w:lineRule="auto"/>
        <w:jc w:val="center"/>
        <w:rPr>
          <w:rFonts w:ascii="Times New Roman" w:hAnsi="Times New Roman" w:eastAsia="宋体" w:cs="Times New Roman"/>
          <w:b w:val="0"/>
          <w:bCs w:val="0"/>
          <w:sz w:val="18"/>
          <w:szCs w:val="18"/>
        </w:rPr>
      </w:pPr>
      <w:r>
        <w:rPr>
          <w:rFonts w:ascii="Times New Roman" w:hAnsi="Times New Roman" w:eastAsia="宋体" w:cs="Times New Roman"/>
          <w:b w:val="0"/>
          <w:bCs w:val="0"/>
          <w:sz w:val="18"/>
          <w:szCs w:val="18"/>
        </w:rPr>
        <w:t>1—后浇节点区</w:t>
      </w:r>
      <w:r>
        <w:rPr>
          <w:rFonts w:hint="eastAsia" w:ascii="Times New Roman" w:hAnsi="Times New Roman" w:eastAsia="宋体" w:cs="Times New Roman"/>
          <w:b w:val="0"/>
          <w:bCs w:val="0"/>
          <w:sz w:val="18"/>
          <w:szCs w:val="18"/>
        </w:rPr>
        <w:t>；</w:t>
      </w:r>
      <w:r>
        <w:rPr>
          <w:rFonts w:ascii="Times New Roman" w:hAnsi="Times New Roman" w:eastAsia="宋体" w:cs="Times New Roman"/>
          <w:b w:val="0"/>
          <w:bCs w:val="0"/>
          <w:sz w:val="18"/>
          <w:szCs w:val="18"/>
        </w:rPr>
        <w:t>2—后浇混凝土叠合层；3—预制梁；</w:t>
      </w:r>
    </w:p>
    <w:p>
      <w:pPr>
        <w:pStyle w:val="83"/>
        <w:shd w:val="clear" w:color="auto" w:fill="auto"/>
        <w:spacing w:line="240" w:lineRule="auto"/>
        <w:jc w:val="center"/>
        <w:rPr>
          <w:rFonts w:ascii="Times New Roman" w:hAnsi="Times New Roman" w:eastAsia="宋体" w:cs="Times New Roman"/>
          <w:b w:val="0"/>
          <w:bCs w:val="0"/>
          <w:sz w:val="18"/>
          <w:szCs w:val="18"/>
        </w:rPr>
      </w:pPr>
      <w:r>
        <w:rPr>
          <w:rFonts w:ascii="Times New Roman" w:hAnsi="Times New Roman" w:eastAsia="宋体" w:cs="Times New Roman"/>
          <w:b w:val="0"/>
          <w:bCs w:val="0"/>
          <w:sz w:val="18"/>
          <w:szCs w:val="18"/>
        </w:rPr>
        <w:t>4—预制键槽根部截面；5—后浇键槽根部截面</w:t>
      </w:r>
    </w:p>
    <w:p>
      <w:pPr>
        <w:pStyle w:val="105"/>
        <w:numPr>
          <w:ilvl w:val="0"/>
          <w:numId w:val="23"/>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Style w:val="139"/>
          <w:rFonts w:ascii="Times New Roman" w:hAnsi="Times New Roman" w:eastAsia="宋体" w:cs="Times New Roman"/>
          <w:spacing w:val="0"/>
          <w:sz w:val="21"/>
          <w:szCs w:val="21"/>
        </w:rPr>
        <w:t>在地震设计状况下，预制柱底水平接缝的受剪承载力设计值应按公式</w:t>
      </w:r>
      <w:r>
        <w:rPr>
          <w:rStyle w:val="139"/>
          <w:rFonts w:hint="eastAsia" w:ascii="Times New Roman" w:hAnsi="Times New Roman" w:eastAsia="宋体" w:cs="Times New Roman"/>
          <w:spacing w:val="0"/>
          <w:sz w:val="21"/>
          <w:szCs w:val="21"/>
        </w:rPr>
        <w:t>（</w:t>
      </w:r>
      <w:r>
        <w:rPr>
          <w:rStyle w:val="139"/>
          <w:rFonts w:hint="eastAsia" w:ascii="Times New Roman" w:hAnsi="Times New Roman" w:eastAsia="宋体" w:cs="Times New Roman"/>
          <w:spacing w:val="0"/>
          <w:sz w:val="21"/>
          <w:szCs w:val="21"/>
          <w:lang w:val="en-US"/>
        </w:rPr>
        <w:t>6</w:t>
      </w:r>
      <w:r>
        <w:rPr>
          <w:rStyle w:val="139"/>
          <w:rFonts w:hint="eastAsia" w:ascii="Times New Roman" w:hAnsi="Times New Roman" w:eastAsia="宋体" w:cs="Times New Roman"/>
          <w:spacing w:val="0"/>
          <w:sz w:val="21"/>
          <w:szCs w:val="21"/>
        </w:rPr>
        <w:t>）（</w:t>
      </w:r>
      <w:r>
        <w:rPr>
          <w:rStyle w:val="139"/>
          <w:rFonts w:hint="eastAsia" w:ascii="Times New Roman" w:hAnsi="Times New Roman" w:eastAsia="宋体" w:cs="Times New Roman"/>
          <w:spacing w:val="0"/>
          <w:sz w:val="21"/>
          <w:szCs w:val="21"/>
          <w:lang w:val="en-US"/>
        </w:rPr>
        <w:t>7</w:t>
      </w:r>
      <w:r>
        <w:rPr>
          <w:rStyle w:val="139"/>
          <w:rFonts w:hint="eastAsia" w:ascii="Times New Roman" w:hAnsi="Times New Roman" w:eastAsia="宋体" w:cs="Times New Roman"/>
          <w:spacing w:val="0"/>
          <w:sz w:val="21"/>
          <w:szCs w:val="21"/>
        </w:rPr>
        <w:t>）</w:t>
      </w:r>
      <w:r>
        <w:rPr>
          <w:rStyle w:val="139"/>
          <w:rFonts w:ascii="Times New Roman" w:hAnsi="Times New Roman" w:eastAsia="宋体" w:cs="Times New Roman"/>
          <w:spacing w:val="0"/>
          <w:sz w:val="21"/>
          <w:szCs w:val="21"/>
        </w:rPr>
        <w:t>计算：</w:t>
      </w:r>
    </w:p>
    <w:p>
      <w:pPr>
        <w:pStyle w:val="105"/>
        <w:shd w:val="clear" w:color="auto" w:fill="auto"/>
        <w:spacing w:line="240" w:lineRule="auto"/>
        <w:ind w:left="459"/>
        <w:rPr>
          <w:rStyle w:val="141"/>
          <w:rFonts w:ascii="Times New Roman" w:hAnsi="Times New Roman" w:eastAsia="宋体" w:cs="Times New Roman"/>
          <w:sz w:val="21"/>
          <w:szCs w:val="21"/>
        </w:rPr>
      </w:pPr>
      <w:r>
        <w:rPr>
          <w:rStyle w:val="141"/>
          <w:rFonts w:ascii="Times New Roman" w:hAnsi="Times New Roman" w:eastAsia="宋体" w:cs="Times New Roman"/>
          <w:sz w:val="21"/>
          <w:szCs w:val="21"/>
        </w:rPr>
        <w:t>当预制柱受压时：</w:t>
      </w:r>
    </w:p>
    <w:p>
      <w:pPr>
        <w:pStyle w:val="126"/>
        <w:shd w:val="clear" w:color="auto" w:fill="auto"/>
        <w:spacing w:line="240" w:lineRule="auto"/>
        <w:ind w:left="102"/>
        <w:jc w:val="right"/>
        <w:rPr>
          <w:rFonts w:eastAsia="宋体"/>
          <w:sz w:val="21"/>
          <w:szCs w:val="21"/>
        </w:rPr>
      </w:pPr>
      <w:r>
        <w:rPr>
          <w:position w:val="-16"/>
        </w:rPr>
        <w:object>
          <v:shape id="_x0000_i1067" o:spt="75" type="#_x0000_t75" style="height:21.5pt;width:129.5pt;" o:ole="t" filled="f" o:preferrelative="t" stroked="f" coordsize="21600,21600">
            <v:path/>
            <v:fill on="f" focussize="0,0"/>
            <v:stroke on="f" joinstyle="miter"/>
            <v:imagedata r:id="rId111" o:title=""/>
            <o:lock v:ext="edit" aspectratio="t"/>
            <w10:wrap type="none"/>
            <w10:anchorlock/>
          </v:shape>
          <o:OLEObject Type="Embed" ProgID="Equation.DSMT4" ShapeID="_x0000_i1067" DrawAspect="Content" ObjectID="_1468075767" r:id="rId110">
            <o:LockedField>false</o:LockedField>
          </o:OLEObject>
        </w:object>
      </w:r>
      <w:r>
        <w:rPr>
          <w:rFonts w:eastAsia="宋体"/>
          <w:sz w:val="21"/>
          <w:szCs w:val="21"/>
        </w:rPr>
        <w:tab/>
      </w:r>
      <w:r>
        <w:rPr>
          <w:rFonts w:eastAsia="宋体"/>
          <w:sz w:val="21"/>
          <w:szCs w:val="21"/>
        </w:rPr>
        <w:tab/>
      </w:r>
      <w:r>
        <w:rPr>
          <w:rFonts w:hint="eastAsia" w:eastAsia="宋体"/>
          <w:sz w:val="21"/>
          <w:szCs w:val="21"/>
        </w:rPr>
        <w:t xml:space="preserve">   </w:t>
      </w:r>
      <w:r>
        <w:rPr>
          <w:rFonts w:eastAsia="宋体"/>
          <w:sz w:val="21"/>
          <w:szCs w:val="21"/>
        </w:rPr>
        <w:tab/>
      </w:r>
      <w:r>
        <w:rPr>
          <w:rFonts w:eastAsia="宋体"/>
          <w:sz w:val="21"/>
          <w:szCs w:val="21"/>
        </w:rPr>
        <w:tab/>
      </w:r>
      <w:r>
        <w:rPr>
          <w:rFonts w:eastAsia="宋体"/>
          <w:sz w:val="21"/>
          <w:szCs w:val="21"/>
        </w:rPr>
        <w:tab/>
      </w:r>
      <w:r>
        <w:rPr>
          <w:rFonts w:ascii="宋体" w:hAnsi="宋体" w:eastAsia="宋体"/>
          <w:sz w:val="21"/>
          <w:szCs w:val="21"/>
        </w:rPr>
        <w:t>（6）</w:t>
      </w:r>
    </w:p>
    <w:p>
      <w:pPr>
        <w:pStyle w:val="105"/>
        <w:shd w:val="clear" w:color="auto" w:fill="auto"/>
        <w:spacing w:line="240" w:lineRule="auto"/>
        <w:ind w:left="459"/>
        <w:rPr>
          <w:rFonts w:ascii="Times New Roman" w:hAnsi="Times New Roman" w:eastAsia="宋体" w:cs="Times New Roman"/>
          <w:spacing w:val="0"/>
          <w:sz w:val="21"/>
          <w:szCs w:val="21"/>
        </w:rPr>
      </w:pPr>
      <w:r>
        <w:rPr>
          <w:rStyle w:val="140"/>
          <w:rFonts w:ascii="Times New Roman" w:hAnsi="Times New Roman" w:eastAsia="宋体" w:cs="Times New Roman"/>
          <w:spacing w:val="0"/>
          <w:sz w:val="21"/>
          <w:szCs w:val="21"/>
        </w:rPr>
        <w:t>当预制柱受拉时：</w:t>
      </w:r>
    </w:p>
    <w:p>
      <w:pPr>
        <w:pStyle w:val="51"/>
        <w:shd w:val="clear" w:color="auto" w:fill="auto"/>
        <w:spacing w:before="0" w:after="0" w:line="240" w:lineRule="auto"/>
        <w:ind w:left="102" w:firstLine="0"/>
        <w:rPr>
          <w:rFonts w:ascii="Times New Roman" w:hAnsi="Times New Roman" w:eastAsia="宋体" w:cs="Times New Roman"/>
          <w:spacing w:val="0"/>
          <w:sz w:val="21"/>
          <w:szCs w:val="21"/>
        </w:rPr>
      </w:pPr>
      <w:r>
        <w:rPr>
          <w:position w:val="-44"/>
        </w:rPr>
        <w:object>
          <v:shape id="_x0000_i1068" o:spt="75" type="#_x0000_t75" style="height:50.5pt;width:165.5pt;" o:ole="t" filled="f" o:preferrelative="t" stroked="f" coordsize="21600,21600">
            <v:path/>
            <v:fill on="f" focussize="0,0"/>
            <v:stroke on="f" joinstyle="miter"/>
            <v:imagedata r:id="rId113" o:title=""/>
            <o:lock v:ext="edit" aspectratio="t"/>
            <w10:wrap type="none"/>
            <w10:anchorlock/>
          </v:shape>
          <o:OLEObject Type="Embed" ProgID="Equation.DSMT4" ShapeID="_x0000_i1068" DrawAspect="Content" ObjectID="_1468075768" r:id="rId112">
            <o:LockedField>false</o:LockedField>
          </o:OLEObject>
        </w:object>
      </w:r>
      <w:r>
        <w:rPr>
          <w:rFonts w:ascii="Times New Roman" w:hAnsi="Times New Roman" w:eastAsia="宋体" w:cs="Times New Roman"/>
          <w:spacing w:val="0"/>
          <w:sz w:val="21"/>
          <w:szCs w:val="21"/>
        </w:rPr>
        <w:tab/>
      </w:r>
      <w:r>
        <w:rPr>
          <w:rFonts w:ascii="Times New Roman" w:hAnsi="Times New Roman" w:eastAsia="宋体" w:cs="Times New Roman"/>
          <w:spacing w:val="0"/>
          <w:sz w:val="21"/>
          <w:szCs w:val="21"/>
        </w:rPr>
        <w:tab/>
      </w:r>
      <w:r>
        <w:rPr>
          <w:rFonts w:ascii="Times New Roman" w:hAnsi="Times New Roman" w:eastAsia="宋体" w:cs="Times New Roman"/>
          <w:spacing w:val="0"/>
          <w:sz w:val="21"/>
          <w:szCs w:val="21"/>
        </w:rPr>
        <w:tab/>
      </w:r>
      <w:r>
        <w:rPr>
          <w:rFonts w:ascii="宋体" w:hAnsi="宋体" w:eastAsia="宋体" w:cs="Times New Roman"/>
          <w:spacing w:val="0"/>
          <w:sz w:val="21"/>
          <w:szCs w:val="21"/>
        </w:rPr>
        <w:t>（7）</w:t>
      </w:r>
    </w:p>
    <w:p>
      <w:pPr>
        <w:pStyle w:val="51"/>
        <w:shd w:val="clear" w:color="auto" w:fill="auto"/>
        <w:spacing w:before="0" w:after="0" w:line="240" w:lineRule="auto"/>
        <w:ind w:firstLine="420" w:firstLineChars="200"/>
        <w:jc w:val="both"/>
        <w:rPr>
          <w:rStyle w:val="71"/>
          <w:rFonts w:ascii="Times New Roman" w:hAnsi="Times New Roman" w:eastAsia="宋体" w:cs="Times New Roman"/>
          <w:spacing w:val="0"/>
          <w:sz w:val="21"/>
          <w:szCs w:val="21"/>
          <w:lang w:val="zh-CN"/>
        </w:rPr>
      </w:pPr>
      <w:r>
        <w:rPr>
          <w:rFonts w:ascii="Times New Roman" w:hAnsi="Times New Roman" w:eastAsia="宋体" w:cs="Times New Roman"/>
          <w:spacing w:val="0"/>
          <w:sz w:val="21"/>
          <w:szCs w:val="21"/>
        </w:rPr>
        <w:t>式中</w:t>
      </w:r>
      <w:r>
        <w:rPr>
          <w:rStyle w:val="71"/>
          <w:rFonts w:ascii="Times New Roman" w:hAnsi="Times New Roman" w:eastAsia="宋体" w:cs="Times New Roman"/>
          <w:spacing w:val="0"/>
          <w:sz w:val="21"/>
          <w:szCs w:val="21"/>
          <w:lang w:val="zh-CN"/>
        </w:rPr>
        <w:t>：</w:t>
      </w:r>
    </w:p>
    <w:p>
      <w:pPr>
        <w:pStyle w:val="51"/>
        <w:shd w:val="clear" w:color="auto" w:fill="auto"/>
        <w:spacing w:before="0" w:after="0" w:line="240" w:lineRule="auto"/>
        <w:ind w:firstLine="452" w:firstLineChars="200"/>
        <w:jc w:val="both"/>
        <w:rPr>
          <w:rFonts w:ascii="Times New Roman" w:hAnsi="Times New Roman" w:eastAsia="宋体" w:cs="Times New Roman"/>
          <w:spacing w:val="0"/>
          <w:sz w:val="21"/>
          <w:szCs w:val="21"/>
        </w:rPr>
      </w:pPr>
      <w:r>
        <w:rPr>
          <w:rFonts w:ascii="Times New Roman" w:hAnsi="Times New Roman" w:eastAsia="宋体" w:cs="Times New Roman"/>
          <w:position w:val="-12"/>
          <w:sz w:val="21"/>
          <w:szCs w:val="21"/>
        </w:rPr>
        <w:object>
          <v:shape id="_x0000_i1069" o:spt="75" type="#_x0000_t75" style="height:21.5pt;width:14.5pt;" o:ole="t" filled="f" o:preferrelative="t" stroked="f" coordsize="21600,21600">
            <v:path/>
            <v:fill on="f" focussize="0,0"/>
            <v:stroke on="f" joinstyle="miter"/>
            <v:imagedata r:id="rId11" o:title=""/>
            <o:lock v:ext="edit" aspectratio="t"/>
            <w10:wrap type="none"/>
            <w10:anchorlock/>
          </v:shape>
          <o:OLEObject Type="Embed" ProgID="Equation.DSMT4" ShapeID="_x0000_i1069" DrawAspect="Content" ObjectID="_1468075769" r:id="rId114">
            <o:LockedField>false</o:LockedField>
          </o:OLEObject>
        </w:objec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预制构件混凝土轴心抗压强度设计值；</w:t>
      </w:r>
    </w:p>
    <w:p>
      <w:pPr>
        <w:pStyle w:val="51"/>
        <w:shd w:val="clear" w:color="auto" w:fill="auto"/>
        <w:spacing w:before="0" w:after="0" w:line="240" w:lineRule="auto"/>
        <w:ind w:firstLine="452" w:firstLineChars="200"/>
        <w:jc w:val="left"/>
        <w:rPr>
          <w:rFonts w:ascii="Times New Roman" w:hAnsi="Times New Roman" w:eastAsia="宋体" w:cs="Times New Roman"/>
          <w:spacing w:val="0"/>
          <w:sz w:val="21"/>
          <w:szCs w:val="21"/>
        </w:rPr>
      </w:pPr>
      <w:r>
        <w:rPr>
          <w:rFonts w:ascii="Times New Roman" w:hAnsi="Times New Roman" w:eastAsia="宋体" w:cs="Times New Roman"/>
          <w:position w:val="-14"/>
          <w:sz w:val="21"/>
          <w:szCs w:val="21"/>
        </w:rPr>
        <w:object>
          <v:shape id="_x0000_i1070" o:spt="75" type="#_x0000_t75" style="height:21.5pt;width:14.5pt;" o:ole="t" filled="f" o:preferrelative="t" stroked="f" coordsize="21600,21600">
            <v:path/>
            <v:fill on="f" focussize="0,0"/>
            <v:stroke on="f" joinstyle="miter"/>
            <v:imagedata r:id="rId13" o:title=""/>
            <o:lock v:ext="edit" aspectratio="t"/>
            <w10:wrap type="none"/>
            <w10:anchorlock/>
          </v:shape>
          <o:OLEObject Type="Embed" ProgID="Equation.DSMT4" ShapeID="_x0000_i1070" DrawAspect="Content" ObjectID="_1468075770" r:id="rId115">
            <o:LockedField>false</o:LockedField>
          </o:OLEObject>
        </w:objec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垂直穿过结合面钢筋抗拉强度设计值；</w:t>
      </w:r>
    </w:p>
    <w:p>
      <w:pPr>
        <w:pStyle w:val="51"/>
        <w:shd w:val="clear" w:color="auto" w:fill="auto"/>
        <w:spacing w:before="0" w:after="0" w:line="240" w:lineRule="auto"/>
        <w:ind w:firstLine="452" w:firstLineChars="200"/>
        <w:jc w:val="left"/>
        <w:rPr>
          <w:rFonts w:ascii="Times New Roman" w:hAnsi="Times New Roman" w:eastAsia="宋体" w:cs="Times New Roman"/>
          <w:spacing w:val="0"/>
          <w:sz w:val="21"/>
          <w:szCs w:val="21"/>
        </w:rPr>
      </w:pPr>
      <w:r>
        <w:rPr>
          <w:rFonts w:ascii="Times New Roman" w:hAnsi="Times New Roman" w:eastAsia="宋体" w:cs="Times New Roman"/>
          <w:position w:val="-6"/>
          <w:sz w:val="21"/>
          <w:szCs w:val="21"/>
        </w:rPr>
        <w:object>
          <v:shape id="_x0000_i1071" o:spt="75" type="#_x0000_t75" style="height:14.5pt;width:14.5pt;" o:ole="t" filled="f" o:preferrelative="t" stroked="f" coordsize="21600,21600">
            <v:path/>
            <v:fill on="f" focussize="0,0"/>
            <v:stroke on="f" joinstyle="miter"/>
            <v:imagedata r:id="rId15" o:title=""/>
            <o:lock v:ext="edit" aspectratio="t"/>
            <w10:wrap type="none"/>
            <w10:anchorlock/>
          </v:shape>
          <o:OLEObject Type="Embed" ProgID="Equation.DSMT4" ShapeID="_x0000_i1071" DrawAspect="Content" ObjectID="_1468075771" r:id="rId116">
            <o:LockedField>false</o:LockedField>
          </o:OLEObject>
        </w:objec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与剪力设计值</w:t>
      </w:r>
      <w:r>
        <w:rPr>
          <w:rStyle w:val="150"/>
          <w:rFonts w:ascii="Times New Roman" w:hAnsi="Times New Roman" w:eastAsia="宋体" w:cs="Times New Roman"/>
          <w:sz w:val="21"/>
          <w:szCs w:val="21"/>
          <w:lang w:val="zh-CN"/>
        </w:rPr>
        <w:t>V</w:t>
      </w:r>
      <w:r>
        <w:rPr>
          <w:rFonts w:ascii="Times New Roman" w:hAnsi="Times New Roman" w:eastAsia="宋体" w:cs="Times New Roman"/>
          <w:spacing w:val="0"/>
          <w:sz w:val="21"/>
          <w:szCs w:val="21"/>
        </w:rPr>
        <w:t>相应的垂直于结合面的轴向力设计值，取绝对值进行计算；</w:t>
      </w:r>
    </w:p>
    <w:p>
      <w:pPr>
        <w:pStyle w:val="51"/>
        <w:shd w:val="clear" w:color="auto" w:fill="auto"/>
        <w:spacing w:before="0" w:after="0" w:line="240" w:lineRule="auto"/>
        <w:ind w:firstLine="420" w:firstLineChars="200"/>
        <w:jc w:val="left"/>
        <w:rPr>
          <w:rFonts w:ascii="Times New Roman" w:hAnsi="Times New Roman" w:eastAsia="宋体" w:cs="Times New Roman"/>
          <w:spacing w:val="0"/>
          <w:sz w:val="21"/>
          <w:szCs w:val="21"/>
        </w:rPr>
      </w:pPr>
      <w:r>
        <w:rPr>
          <w:rStyle w:val="149"/>
          <w:rFonts w:ascii="Times New Roman" w:hAnsi="Times New Roman" w:eastAsia="宋体" w:cs="Times New Roman"/>
          <w:i/>
          <w:iCs/>
          <w:spacing w:val="0"/>
          <w:sz w:val="21"/>
          <w:szCs w:val="21"/>
        </w:rPr>
        <w:t>A</w:t>
      </w:r>
      <w:r>
        <w:rPr>
          <w:rStyle w:val="149"/>
          <w:rFonts w:ascii="Times New Roman" w:hAnsi="Times New Roman" w:eastAsia="宋体" w:cs="Times New Roman"/>
          <w:spacing w:val="0"/>
          <w:sz w:val="21"/>
          <w:szCs w:val="21"/>
          <w:vertAlign w:val="subscript"/>
        </w:rPr>
        <w:t>sd</w: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垂直穿过结合面所有钢筋的面积；</w:t>
      </w:r>
    </w:p>
    <w:p>
      <w:pPr>
        <w:pStyle w:val="51"/>
        <w:shd w:val="clear" w:color="auto" w:fill="auto"/>
        <w:spacing w:before="0" w:after="0" w:line="240" w:lineRule="auto"/>
        <w:ind w:firstLine="420" w:firstLineChars="200"/>
        <w:jc w:val="left"/>
        <w:rPr>
          <w:rFonts w:ascii="Times New Roman" w:hAnsi="Times New Roman" w:eastAsia="宋体" w:cs="Times New Roman"/>
          <w:spacing w:val="0"/>
          <w:sz w:val="21"/>
          <w:szCs w:val="21"/>
        </w:rPr>
      </w:pPr>
      <w:r>
        <w:rPr>
          <w:rStyle w:val="149"/>
          <w:rFonts w:ascii="Times New Roman" w:hAnsi="Times New Roman" w:eastAsia="宋体" w:cs="Times New Roman"/>
          <w:i/>
          <w:iCs/>
          <w:spacing w:val="0"/>
          <w:sz w:val="21"/>
          <w:szCs w:val="21"/>
        </w:rPr>
        <w:t>V</w:t>
      </w:r>
      <w:r>
        <w:rPr>
          <w:rStyle w:val="149"/>
          <w:rFonts w:ascii="Times New Roman" w:hAnsi="Times New Roman" w:eastAsia="宋体" w:cs="Times New Roman"/>
          <w:spacing w:val="0"/>
          <w:sz w:val="21"/>
          <w:szCs w:val="21"/>
          <w:vertAlign w:val="subscript"/>
        </w:rPr>
        <w:t>uE</w:t>
      </w:r>
      <w:r>
        <w:rPr>
          <w:rFonts w:ascii="Times New Roman" w:hAnsi="Times New Roman" w:eastAsia="Dotum" w:cs="Times New Roman"/>
          <w:spacing w:val="0"/>
          <w:sz w:val="21"/>
          <w:szCs w:val="21"/>
        </w:rPr>
        <w:t>——</w:t>
      </w:r>
      <w:r>
        <w:rPr>
          <w:rFonts w:ascii="Times New Roman" w:hAnsi="Times New Roman" w:eastAsia="宋体" w:cs="Times New Roman"/>
          <w:spacing w:val="0"/>
          <w:sz w:val="21"/>
          <w:szCs w:val="21"/>
        </w:rPr>
        <w:t>地震设计状况下接缝受剪承载力设计值。</w:t>
      </w:r>
    </w:p>
    <w:p>
      <w:pPr>
        <w:pStyle w:val="51"/>
        <w:numPr>
          <w:ilvl w:val="0"/>
          <w:numId w:val="23"/>
        </w:numPr>
        <w:shd w:val="clear" w:color="auto" w:fill="auto"/>
        <w:tabs>
          <w:tab w:val="left" w:pos="654"/>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混凝土叠合梁的设计应符合本标准和现行国家标准</w:t>
      </w:r>
      <w:r>
        <w:rPr>
          <w:rStyle w:val="71"/>
          <w:rFonts w:ascii="Times New Roman" w:hAnsi="Times New Roman" w:eastAsia="宋体" w:cs="Times New Roman"/>
          <w:spacing w:val="0"/>
          <w:sz w:val="21"/>
          <w:szCs w:val="21"/>
        </w:rPr>
        <w:t>GB/T 50010</w:t>
      </w:r>
      <w:r>
        <w:rPr>
          <w:rFonts w:ascii="Times New Roman" w:hAnsi="Times New Roman" w:eastAsia="宋体" w:cs="Times New Roman"/>
          <w:spacing w:val="0"/>
          <w:sz w:val="21"/>
          <w:szCs w:val="21"/>
        </w:rPr>
        <w:t>中的有关规定。</w:t>
      </w:r>
    </w:p>
    <w:p>
      <w:pPr>
        <w:pStyle w:val="210"/>
        <w:spacing w:before="240" w:after="240"/>
        <w:outlineLvl w:val="2"/>
        <w:rPr>
          <w:rFonts w:ascii="黑体" w:hAnsi="黑体" w:eastAsia="黑体"/>
          <w:b w:val="0"/>
          <w:sz w:val="21"/>
          <w:szCs w:val="21"/>
        </w:rPr>
      </w:pPr>
      <w:bookmarkStart w:id="145" w:name="_Toc172187837"/>
      <w:bookmarkStart w:id="146" w:name="_Toc172188898"/>
      <w:bookmarkStart w:id="147" w:name="_Toc20508"/>
      <w:bookmarkStart w:id="148" w:name="_Toc172188622"/>
      <w:bookmarkStart w:id="149" w:name="bookmark24"/>
      <w:r>
        <w:rPr>
          <w:rFonts w:ascii="黑体" w:hAnsi="黑体" w:eastAsia="黑体"/>
          <w:b w:val="0"/>
          <w:sz w:val="21"/>
          <w:szCs w:val="21"/>
        </w:rPr>
        <w:t>8.3 构造设计</w:t>
      </w:r>
      <w:bookmarkEnd w:id="145"/>
      <w:bookmarkEnd w:id="146"/>
      <w:bookmarkEnd w:id="147"/>
      <w:bookmarkEnd w:id="148"/>
      <w:bookmarkEnd w:id="149"/>
    </w:p>
    <w:p>
      <w:pPr>
        <w:pStyle w:val="51"/>
        <w:numPr>
          <w:ilvl w:val="0"/>
          <w:numId w:val="24"/>
        </w:numPr>
        <w:shd w:val="clear" w:color="auto" w:fill="auto"/>
        <w:tabs>
          <w:tab w:val="left" w:pos="654"/>
        </w:tabs>
        <w:spacing w:before="120" w:beforeLines="50" w:after="0" w:line="240" w:lineRule="auto"/>
        <w:jc w:val="both"/>
        <w:rPr>
          <w:rFonts w:ascii="Times New Roman" w:hAnsi="Times New Roman" w:eastAsia="宋体" w:cs="Times New Roman"/>
          <w:color w:val="FF0000"/>
          <w:spacing w:val="0"/>
        </w:rPr>
      </w:pPr>
      <w:r>
        <w:rPr>
          <w:rFonts w:ascii="Times New Roman" w:hAnsi="Times New Roman" w:eastAsia="宋体" w:cs="Times New Roman"/>
          <w:spacing w:val="0"/>
          <w:sz w:val="21"/>
          <w:szCs w:val="21"/>
        </w:rPr>
        <w:t>装配整体式框架结构及框架-剪力墙结构中，当采用叠合梁时</w:t>
      </w:r>
      <w:r>
        <w:rPr>
          <w:rStyle w:val="71"/>
          <w:rFonts w:ascii="Times New Roman" w:hAnsi="Times New Roman" w:eastAsia="宋体" w:cs="Times New Roman"/>
          <w:spacing w:val="0"/>
          <w:sz w:val="21"/>
          <w:szCs w:val="21"/>
          <w:lang w:val="zh-CN"/>
        </w:rPr>
        <w:t>（</w:t>
      </w:r>
      <w:r>
        <w:rPr>
          <w:rStyle w:val="71"/>
          <w:rFonts w:hint="eastAsia" w:ascii="Times New Roman" w:hAnsi="Times New Roman" w:eastAsia="宋体" w:cs="Times New Roman"/>
          <w:spacing w:val="0"/>
          <w:sz w:val="21"/>
          <w:szCs w:val="21"/>
          <w:lang w:val="zh-CN"/>
        </w:rPr>
        <w:t>见</w:t>
      </w:r>
      <w:r>
        <w:rPr>
          <w:rFonts w:ascii="Times New Roman" w:hAnsi="Times New Roman" w:eastAsia="宋体" w:cs="Times New Roman"/>
          <w:spacing w:val="0"/>
          <w:sz w:val="21"/>
          <w:szCs w:val="21"/>
        </w:rPr>
        <w:t>图</w:t>
      </w:r>
      <w:r>
        <w:rPr>
          <w:rStyle w:val="71"/>
          <w:rFonts w:ascii="Times New Roman" w:hAnsi="Times New Roman" w:eastAsia="宋体" w:cs="Times New Roman"/>
          <w:spacing w:val="0"/>
          <w:sz w:val="21"/>
          <w:szCs w:val="21"/>
          <w:lang w:val="zh-CN"/>
        </w:rPr>
        <w:t>8</w:t>
      </w:r>
      <w:r>
        <w:rPr>
          <w:rStyle w:val="71"/>
          <w:rFonts w:hint="eastAsia" w:ascii="Times New Roman" w:hAnsi="Times New Roman" w:eastAsia="宋体" w:cs="Times New Roman"/>
          <w:spacing w:val="0"/>
          <w:sz w:val="21"/>
          <w:szCs w:val="21"/>
          <w:lang w:val="zh-CN"/>
        </w:rPr>
        <w:t>a</w:t>
      </w:r>
      <w:r>
        <w:rPr>
          <w:rStyle w:val="71"/>
          <w:rFonts w:ascii="Times New Roman" w:hAnsi="Times New Roman" w:eastAsia="宋体" w:cs="Times New Roman"/>
          <w:spacing w:val="0"/>
          <w:sz w:val="21"/>
          <w:szCs w:val="21"/>
          <w:lang w:val="zh-CN"/>
        </w:rPr>
        <w:t>）</w:t>
      </w:r>
      <w:r>
        <w:rPr>
          <w:rFonts w:ascii="Times New Roman" w:hAnsi="Times New Roman" w:eastAsia="宋体" w:cs="Times New Roman"/>
          <w:spacing w:val="0"/>
          <w:sz w:val="21"/>
          <w:szCs w:val="21"/>
        </w:rPr>
        <w:t>，框架梁的后浇混凝土叠合层厚度不宜小于</w:t>
      </w:r>
      <w:r>
        <w:rPr>
          <w:rStyle w:val="71"/>
          <w:rFonts w:ascii="Times New Roman" w:hAnsi="Times New Roman" w:eastAsia="宋体" w:cs="Times New Roman"/>
          <w:spacing w:val="0"/>
          <w:sz w:val="21"/>
          <w:szCs w:val="21"/>
        </w:rPr>
        <w:t>150mm</w:t>
      </w:r>
      <w:r>
        <w:rPr>
          <w:rFonts w:ascii="Times New Roman" w:hAnsi="Times New Roman" w:eastAsia="宋体" w:cs="Times New Roman"/>
          <w:spacing w:val="0"/>
          <w:sz w:val="21"/>
          <w:szCs w:val="21"/>
        </w:rPr>
        <w:t>，次梁的后浇混凝土叠合层厚度不宜小于</w:t>
      </w:r>
      <w:r>
        <w:rPr>
          <w:rStyle w:val="71"/>
          <w:rFonts w:ascii="Times New Roman" w:hAnsi="Times New Roman" w:eastAsia="宋体" w:cs="Times New Roman"/>
          <w:spacing w:val="0"/>
          <w:sz w:val="21"/>
          <w:szCs w:val="21"/>
        </w:rPr>
        <w:t>120mm</w:t>
      </w:r>
      <w:r>
        <w:rPr>
          <w:rFonts w:ascii="Times New Roman" w:hAnsi="Times New Roman" w:eastAsia="宋体" w:cs="Times New Roman"/>
          <w:spacing w:val="0"/>
          <w:sz w:val="21"/>
          <w:szCs w:val="21"/>
        </w:rPr>
        <w:t>；当采用凹口截面预制梁时（</w:t>
      </w:r>
      <w:r>
        <w:rPr>
          <w:rFonts w:hint="eastAsia" w:ascii="Times New Roman" w:hAnsi="Times New Roman" w:eastAsia="宋体" w:cs="Times New Roman"/>
          <w:spacing w:val="0"/>
          <w:sz w:val="21"/>
          <w:szCs w:val="21"/>
        </w:rPr>
        <w:t>见</w:t>
      </w:r>
      <w:r>
        <w:rPr>
          <w:rFonts w:ascii="Times New Roman" w:hAnsi="Times New Roman" w:eastAsia="宋体" w:cs="Times New Roman"/>
          <w:spacing w:val="0"/>
          <w:sz w:val="21"/>
          <w:szCs w:val="21"/>
        </w:rPr>
        <w:t>图</w:t>
      </w:r>
      <w:r>
        <w:rPr>
          <w:rStyle w:val="71"/>
          <w:rFonts w:ascii="Times New Roman" w:hAnsi="Times New Roman" w:eastAsia="宋体" w:cs="Times New Roman"/>
          <w:spacing w:val="0"/>
          <w:sz w:val="21"/>
          <w:szCs w:val="21"/>
          <w:lang w:val="zh-CN"/>
        </w:rPr>
        <w:t>8b</w:t>
      </w:r>
      <w:r>
        <w:rPr>
          <w:rStyle w:val="71"/>
          <w:rFonts w:hint="eastAsia" w:ascii="Times New Roman" w:hAnsi="Times New Roman" w:eastAsia="宋体" w:cs="Times New Roman"/>
          <w:spacing w:val="0"/>
          <w:sz w:val="21"/>
          <w:szCs w:val="21"/>
        </w:rPr>
        <w:t>）</w:t>
      </w:r>
      <w:r>
        <w:rPr>
          <w:rFonts w:hint="eastAsia" w:ascii="Times New Roman" w:hAnsi="Times New Roman" w:eastAsia="宋体" w:cs="Times New Roman"/>
          <w:spacing w:val="0"/>
          <w:sz w:val="21"/>
          <w:szCs w:val="21"/>
        </w:rPr>
        <w:t>，</w:t>
      </w:r>
      <w:r>
        <w:rPr>
          <w:rFonts w:ascii="Times New Roman" w:hAnsi="Times New Roman" w:eastAsia="宋体" w:cs="Times New Roman"/>
          <w:spacing w:val="0"/>
          <w:sz w:val="21"/>
          <w:szCs w:val="21"/>
        </w:rPr>
        <w:t>凹口深度不宜小于</w:t>
      </w:r>
      <w:r>
        <w:rPr>
          <w:rStyle w:val="71"/>
          <w:rFonts w:ascii="Times New Roman" w:hAnsi="Times New Roman" w:eastAsia="宋体" w:cs="Times New Roman"/>
          <w:spacing w:val="0"/>
          <w:sz w:val="21"/>
          <w:szCs w:val="21"/>
        </w:rPr>
        <w:t>50mm</w:t>
      </w:r>
      <w:r>
        <w:rPr>
          <w:rFonts w:ascii="Times New Roman" w:hAnsi="Times New Roman" w:eastAsia="宋体" w:cs="Times New Roman"/>
          <w:spacing w:val="0"/>
          <w:sz w:val="21"/>
          <w:szCs w:val="21"/>
        </w:rPr>
        <w:t>，凹口边厚度不宜小于</w:t>
      </w:r>
      <w:r>
        <w:rPr>
          <w:rStyle w:val="71"/>
          <w:rFonts w:ascii="Times New Roman" w:hAnsi="Times New Roman" w:eastAsia="宋体" w:cs="Times New Roman"/>
          <w:spacing w:val="0"/>
          <w:sz w:val="21"/>
          <w:szCs w:val="21"/>
        </w:rPr>
        <w:t>60mm</w:t>
      </w:r>
      <w:r>
        <w:rPr>
          <w:rFonts w:hint="eastAsia" w:ascii="Times New Roman" w:hAnsi="Times New Roman" w:eastAsia="宋体" w:cs="Times New Roman"/>
          <w:spacing w:val="0"/>
          <w:sz w:val="21"/>
          <w:szCs w:val="21"/>
        </w:rPr>
        <w:t>；</w:t>
      </w:r>
      <w:r>
        <w:rPr>
          <w:rFonts w:hint="eastAsia" w:ascii="Times New Roman" w:hAnsi="Times New Roman" w:eastAsia="宋体" w:cs="Times New Roman"/>
          <w:color w:val="000000" w:themeColor="text1"/>
          <w:spacing w:val="0"/>
          <w:sz w:val="21"/>
          <w:szCs w:val="21"/>
          <w14:textFill>
            <w14:solidFill>
              <w14:schemeClr w14:val="tx1"/>
            </w14:solidFill>
          </w14:textFill>
        </w:rPr>
        <w:t>当采用U</w:t>
      </w:r>
      <w:r>
        <w:rPr>
          <w:rFonts w:ascii="Times New Roman" w:hAnsi="Times New Roman" w:eastAsia="宋体" w:cs="Times New Roman"/>
          <w:color w:val="000000" w:themeColor="text1"/>
          <w:spacing w:val="0"/>
          <w:sz w:val="21"/>
          <w:szCs w:val="21"/>
          <w14:textFill>
            <w14:solidFill>
              <w14:schemeClr w14:val="tx1"/>
            </w14:solidFill>
          </w14:textFill>
        </w:rPr>
        <w:t>形截面</w:t>
      </w:r>
      <w:r>
        <w:rPr>
          <w:rFonts w:hint="eastAsia" w:ascii="Times New Roman" w:hAnsi="Times New Roman" w:eastAsia="宋体" w:cs="Times New Roman"/>
          <w:color w:val="000000" w:themeColor="text1"/>
          <w:spacing w:val="0"/>
          <w:sz w:val="21"/>
          <w:szCs w:val="21"/>
          <w14:textFill>
            <w14:solidFill>
              <w14:schemeClr w14:val="tx1"/>
            </w14:solidFill>
          </w14:textFill>
        </w:rPr>
        <w:t>预制梁时（见图</w:t>
      </w:r>
      <w:r>
        <w:rPr>
          <w:rFonts w:ascii="Times New Roman" w:hAnsi="Times New Roman" w:eastAsia="宋体" w:cs="Times New Roman"/>
          <w:color w:val="000000" w:themeColor="text1"/>
          <w:spacing w:val="0"/>
          <w:sz w:val="21"/>
          <w:szCs w:val="21"/>
          <w14:textFill>
            <w14:solidFill>
              <w14:schemeClr w14:val="tx1"/>
            </w14:solidFill>
          </w14:textFill>
        </w:rPr>
        <w:t>8</w:t>
      </w:r>
      <w:r>
        <w:rPr>
          <w:rFonts w:hint="eastAsia" w:ascii="Times New Roman" w:hAnsi="Times New Roman" w:eastAsia="宋体" w:cs="Times New Roman"/>
          <w:color w:val="000000" w:themeColor="text1"/>
          <w:spacing w:val="0"/>
          <w:sz w:val="21"/>
          <w:szCs w:val="21"/>
          <w14:textFill>
            <w14:solidFill>
              <w14:schemeClr w14:val="tx1"/>
            </w14:solidFill>
          </w14:textFill>
        </w:rPr>
        <w:t>c），</w:t>
      </w:r>
      <w:r>
        <w:rPr>
          <w:rFonts w:ascii="Times New Roman" w:hAnsi="Times New Roman" w:eastAsia="宋体" w:cs="Times New Roman"/>
          <w:color w:val="000000" w:themeColor="text1"/>
          <w:spacing w:val="0"/>
          <w:sz w:val="21"/>
          <w:szCs w:val="21"/>
          <w14:textFill>
            <w14:solidFill>
              <w14:schemeClr w14:val="tx1"/>
            </w14:solidFill>
          </w14:textFill>
        </w:rPr>
        <w:t>U</w:t>
      </w:r>
      <w:r>
        <w:rPr>
          <w:rFonts w:hint="eastAsia" w:ascii="Times New Roman" w:hAnsi="Times New Roman" w:eastAsia="宋体" w:cs="Times New Roman"/>
          <w:color w:val="000000" w:themeColor="text1"/>
          <w:spacing w:val="0"/>
          <w:sz w:val="21"/>
          <w:szCs w:val="21"/>
          <w14:textFill>
            <w14:solidFill>
              <w14:schemeClr w14:val="tx1"/>
            </w14:solidFill>
          </w14:textFill>
        </w:rPr>
        <w:t>形梁壁厚不宜小于</w:t>
      </w:r>
      <w:r>
        <w:rPr>
          <w:rFonts w:ascii="Times New Roman" w:hAnsi="Times New Roman" w:eastAsia="宋体" w:cs="Times New Roman"/>
          <w:color w:val="000000" w:themeColor="text1"/>
          <w:spacing w:val="0"/>
          <w:sz w:val="21"/>
          <w:szCs w:val="21"/>
          <w14:textFill>
            <w14:solidFill>
              <w14:schemeClr w14:val="tx1"/>
            </w14:solidFill>
          </w14:textFill>
        </w:rPr>
        <w:t>50mm</w:t>
      </w:r>
      <w:r>
        <w:rPr>
          <w:rFonts w:hint="eastAsia" w:ascii="Times New Roman" w:hAnsi="Times New Roman" w:eastAsia="宋体" w:cs="Times New Roman"/>
          <w:color w:val="000000" w:themeColor="text1"/>
          <w:spacing w:val="0"/>
          <w:sz w:val="21"/>
          <w:szCs w:val="21"/>
          <w14:textFill>
            <w14:solidFill>
              <w14:schemeClr w14:val="tx1"/>
            </w14:solidFill>
          </w14:textFill>
        </w:rPr>
        <w:t>，空腔净距不宜小于</w:t>
      </w:r>
      <w:r>
        <w:rPr>
          <w:rFonts w:ascii="Times New Roman" w:hAnsi="Times New Roman" w:eastAsia="宋体" w:cs="Times New Roman"/>
          <w:color w:val="000000" w:themeColor="text1"/>
          <w:spacing w:val="0"/>
          <w:sz w:val="21"/>
          <w:szCs w:val="21"/>
          <w14:textFill>
            <w14:solidFill>
              <w14:schemeClr w14:val="tx1"/>
            </w14:solidFill>
          </w14:textFill>
        </w:rPr>
        <w:t>100mm</w:t>
      </w:r>
      <w:r>
        <w:rPr>
          <w:rFonts w:hint="eastAsia" w:ascii="Times New Roman" w:hAnsi="Times New Roman" w:eastAsia="宋体" w:cs="Times New Roman"/>
          <w:color w:val="000000" w:themeColor="text1"/>
          <w:spacing w:val="0"/>
          <w:sz w:val="21"/>
          <w:szCs w:val="21"/>
          <w14:textFill>
            <w14:solidFill>
              <w14:schemeClr w14:val="tx1"/>
            </w14:solidFill>
          </w14:textFill>
        </w:rPr>
        <w:t>。</w:t>
      </w:r>
    </w:p>
    <w:p>
      <w:pPr>
        <w:pStyle w:val="113"/>
        <w:shd w:val="clear" w:color="auto" w:fill="auto"/>
        <w:tabs>
          <w:tab w:val="left" w:pos="3043"/>
        </w:tabs>
        <w:spacing w:after="0" w:line="240" w:lineRule="auto"/>
        <w:jc w:val="center"/>
        <w:rPr>
          <w:rStyle w:val="142"/>
          <w:rFonts w:ascii="Times New Roman" w:hAnsi="Times New Roman" w:eastAsia="宋体" w:cs="Times New Roman"/>
          <w:spacing w:val="0"/>
        </w:rPr>
      </w:pPr>
      <w:r>
        <w:rPr>
          <w:rStyle w:val="142"/>
          <w:rFonts w:hint="eastAsia" w:ascii="Times New Roman" w:hAnsi="Times New Roman" w:eastAsia="宋体" w:cs="Times New Roman"/>
          <w:spacing w:val="0"/>
        </w:rPr>
        <w:drawing>
          <wp:inline distT="0" distB="0" distL="114300" distR="114300">
            <wp:extent cx="4036060" cy="1295400"/>
            <wp:effectExtent l="0" t="0" r="2540" b="0"/>
            <wp:docPr id="7" name="图片 7" descr="7.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7.3.1"/>
                    <pic:cNvPicPr>
                      <a:picLocks noChangeAspect="true"/>
                    </pic:cNvPicPr>
                  </pic:nvPicPr>
                  <pic:blipFill>
                    <a:blip r:embed="rId117"/>
                    <a:srcRect b="18302"/>
                    <a:stretch>
                      <a:fillRect/>
                    </a:stretch>
                  </pic:blipFill>
                  <pic:spPr>
                    <a:xfrm>
                      <a:off x="0" y="0"/>
                      <a:ext cx="4036571" cy="1296000"/>
                    </a:xfrm>
                    <a:prstGeom prst="rect">
                      <a:avLst/>
                    </a:prstGeom>
                  </pic:spPr>
                </pic:pic>
              </a:graphicData>
            </a:graphic>
          </wp:inline>
        </w:drawing>
      </w:r>
    </w:p>
    <w:p>
      <w:pPr>
        <w:pStyle w:val="113"/>
        <w:shd w:val="clear" w:color="auto" w:fill="auto"/>
        <w:tabs>
          <w:tab w:val="left" w:pos="3043"/>
        </w:tabs>
        <w:spacing w:after="0" w:line="336" w:lineRule="exact"/>
        <w:ind w:right="20" w:firstLine="1890" w:firstLineChars="900"/>
        <w:rPr>
          <w:rFonts w:ascii="Times New Roman" w:hAnsi="Times New Roman" w:eastAsia="宋体" w:cs="Times New Roman"/>
          <w:spacing w:val="0"/>
          <w:sz w:val="21"/>
          <w:szCs w:val="21"/>
        </w:rPr>
      </w:pPr>
      <w:r>
        <w:rPr>
          <w:rStyle w:val="142"/>
          <w:rFonts w:ascii="宋体" w:hAnsi="宋体" w:eastAsia="宋体" w:cs="Times New Roman"/>
          <w:spacing w:val="0"/>
          <w:sz w:val="21"/>
          <w:szCs w:val="21"/>
        </w:rPr>
        <w:t>a</w:t>
      </w:r>
      <w:r>
        <w:rPr>
          <w:rStyle w:val="142"/>
          <w:rFonts w:hint="eastAsia" w:ascii="宋体" w:hAnsi="宋体" w:eastAsia="宋体" w:cs="Times New Roman"/>
          <w:spacing w:val="0"/>
          <w:sz w:val="21"/>
          <w:szCs w:val="21"/>
        </w:rPr>
        <w:t>）</w:t>
      </w:r>
      <w:r>
        <w:rPr>
          <w:rFonts w:ascii="Times New Roman" w:hAnsi="Times New Roman" w:eastAsia="宋体" w:cs="Times New Roman"/>
          <w:spacing w:val="0"/>
          <w:sz w:val="21"/>
          <w:szCs w:val="21"/>
        </w:rPr>
        <w:t>矩形截面</w:t>
      </w:r>
      <w:r>
        <w:rPr>
          <w:rFonts w:hint="eastAsia" w:ascii="Times New Roman" w:hAnsi="Times New Roman" w:eastAsia="宋体" w:cs="Times New Roman"/>
          <w:spacing w:val="0"/>
          <w:sz w:val="21"/>
          <w:szCs w:val="21"/>
        </w:rPr>
        <w:t>预制梁</w:t>
      </w:r>
      <w:r>
        <w:rPr>
          <w:rStyle w:val="115"/>
          <w:rFonts w:eastAsia="宋体"/>
          <w:sz w:val="21"/>
          <w:szCs w:val="21"/>
          <w:lang w:val="zh-CN"/>
        </w:rPr>
        <w:tab/>
      </w:r>
      <w:r>
        <w:rPr>
          <w:rStyle w:val="115"/>
          <w:rFonts w:hint="eastAsia" w:eastAsia="宋体"/>
          <w:sz w:val="21"/>
          <w:szCs w:val="21"/>
          <w:lang w:val="zh-CN"/>
        </w:rPr>
        <w:t xml:space="preserve">            </w:t>
      </w:r>
      <w:r>
        <w:rPr>
          <w:rStyle w:val="143"/>
          <w:rFonts w:hint="eastAsia" w:ascii="Times New Roman" w:hAnsi="Times New Roman" w:eastAsia="宋体" w:cs="Times New Roman"/>
          <w:sz w:val="21"/>
          <w:szCs w:val="21"/>
        </w:rPr>
        <w:t xml:space="preserve"> </w:t>
      </w:r>
      <w:r>
        <w:rPr>
          <w:rStyle w:val="143"/>
          <w:rFonts w:ascii="Times New Roman" w:hAnsi="Times New Roman" w:eastAsia="宋体" w:cs="Times New Roman"/>
          <w:sz w:val="21"/>
          <w:szCs w:val="21"/>
        </w:rPr>
        <w:t xml:space="preserve">   </w:t>
      </w:r>
      <w:r>
        <w:rPr>
          <w:rStyle w:val="142"/>
          <w:rFonts w:ascii="宋体" w:hAnsi="宋体" w:eastAsia="宋体" w:cs="Times New Roman"/>
          <w:spacing w:val="0"/>
          <w:sz w:val="21"/>
          <w:szCs w:val="21"/>
        </w:rPr>
        <w:t>b</w:t>
      </w:r>
      <w:r>
        <w:rPr>
          <w:rStyle w:val="142"/>
          <w:rFonts w:hint="eastAsia" w:ascii="宋体" w:hAnsi="宋体" w:eastAsia="宋体" w:cs="Times New Roman"/>
          <w:spacing w:val="0"/>
          <w:sz w:val="21"/>
          <w:szCs w:val="21"/>
        </w:rPr>
        <w:t>）</w:t>
      </w:r>
      <w:r>
        <w:rPr>
          <w:rFonts w:ascii="Times New Roman" w:hAnsi="Times New Roman" w:eastAsia="宋体" w:cs="Times New Roman"/>
          <w:spacing w:val="0"/>
          <w:sz w:val="21"/>
          <w:szCs w:val="21"/>
        </w:rPr>
        <w:t>凹</w:t>
      </w:r>
      <w:r>
        <w:rPr>
          <w:rFonts w:hint="eastAsia" w:ascii="Times New Roman" w:hAnsi="Times New Roman" w:eastAsia="宋体" w:cs="Times New Roman"/>
          <w:spacing w:val="0"/>
          <w:sz w:val="21"/>
          <w:szCs w:val="21"/>
        </w:rPr>
        <w:t>口</w:t>
      </w:r>
      <w:r>
        <w:rPr>
          <w:rFonts w:ascii="Times New Roman" w:hAnsi="Times New Roman" w:eastAsia="宋体" w:cs="Times New Roman"/>
          <w:spacing w:val="0"/>
          <w:sz w:val="21"/>
          <w:szCs w:val="21"/>
        </w:rPr>
        <w:t>截面</w:t>
      </w:r>
      <w:r>
        <w:rPr>
          <w:rFonts w:hint="eastAsia" w:ascii="Times New Roman" w:hAnsi="Times New Roman" w:eastAsia="宋体" w:cs="Times New Roman"/>
          <w:spacing w:val="0"/>
          <w:sz w:val="21"/>
          <w:szCs w:val="21"/>
        </w:rPr>
        <w:t>预制梁</w:t>
      </w:r>
    </w:p>
    <w:p>
      <w:pPr>
        <w:pStyle w:val="113"/>
        <w:shd w:val="clear" w:color="auto" w:fill="auto"/>
        <w:tabs>
          <w:tab w:val="left" w:pos="3043"/>
        </w:tabs>
        <w:spacing w:after="0" w:line="240" w:lineRule="auto"/>
        <w:ind w:right="20"/>
        <w:jc w:val="center"/>
        <w:rPr>
          <w:rFonts w:ascii="Times New Roman" w:hAnsi="Times New Roman" w:eastAsia="宋体" w:cs="Times New Roman"/>
          <w:spacing w:val="0"/>
          <w:sz w:val="21"/>
          <w:szCs w:val="21"/>
        </w:rPr>
      </w:pPr>
      <w:r>
        <w:rPr>
          <w:rFonts w:hint="eastAsia" w:ascii="Times New Roman" w:hAnsi="Times New Roman" w:eastAsia="宋体" w:cs="Times New Roman"/>
          <w:spacing w:val="0"/>
          <w:sz w:val="21"/>
          <w:szCs w:val="21"/>
        </w:rPr>
        <w:drawing>
          <wp:inline distT="0" distB="0" distL="114300" distR="114300">
            <wp:extent cx="1695450" cy="1295400"/>
            <wp:effectExtent l="0" t="0" r="0" b="0"/>
            <wp:docPr id="2" name="图片 2" descr="7.3.1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7.3.1C"/>
                    <pic:cNvPicPr>
                      <a:picLocks noChangeAspect="true"/>
                    </pic:cNvPicPr>
                  </pic:nvPicPr>
                  <pic:blipFill>
                    <a:blip r:embed="rId118"/>
                    <a:stretch>
                      <a:fillRect/>
                    </a:stretch>
                  </pic:blipFill>
                  <pic:spPr>
                    <a:xfrm>
                      <a:off x="0" y="0"/>
                      <a:ext cx="1696000" cy="1296000"/>
                    </a:xfrm>
                    <a:prstGeom prst="rect">
                      <a:avLst/>
                    </a:prstGeom>
                  </pic:spPr>
                </pic:pic>
              </a:graphicData>
            </a:graphic>
          </wp:inline>
        </w:drawing>
      </w:r>
    </w:p>
    <w:p>
      <w:pPr>
        <w:pStyle w:val="113"/>
        <w:shd w:val="clear" w:color="auto" w:fill="auto"/>
        <w:tabs>
          <w:tab w:val="left" w:pos="3043"/>
        </w:tabs>
        <w:spacing w:after="0" w:line="336" w:lineRule="exact"/>
        <w:ind w:right="23" w:firstLine="3780" w:firstLineChars="1800"/>
        <w:rPr>
          <w:rFonts w:ascii="Times New Roman" w:hAnsi="Times New Roman" w:eastAsia="宋体" w:cs="Times New Roman"/>
          <w:spacing w:val="0"/>
          <w:sz w:val="21"/>
          <w:szCs w:val="21"/>
        </w:rPr>
      </w:pPr>
      <w:r>
        <w:rPr>
          <w:rStyle w:val="142"/>
          <w:rFonts w:hint="eastAsia" w:ascii="宋体" w:hAnsi="宋体" w:eastAsia="宋体" w:cs="Times New Roman"/>
          <w:spacing w:val="0"/>
          <w:sz w:val="21"/>
          <w:szCs w:val="21"/>
        </w:rPr>
        <w:t>c）</w:t>
      </w:r>
      <w:r>
        <w:rPr>
          <w:rFonts w:hint="eastAsia" w:ascii="Times New Roman" w:hAnsi="Times New Roman" w:eastAsia="宋体" w:cs="Times New Roman"/>
          <w:spacing w:val="0"/>
          <w:sz w:val="21"/>
          <w:szCs w:val="21"/>
        </w:rPr>
        <w:t>U</w:t>
      </w:r>
      <w:r>
        <w:rPr>
          <w:rFonts w:ascii="Times New Roman" w:hAnsi="Times New Roman" w:eastAsia="宋体" w:cs="Times New Roman"/>
          <w:spacing w:val="0"/>
          <w:sz w:val="21"/>
          <w:szCs w:val="21"/>
        </w:rPr>
        <w:t>形截面</w:t>
      </w:r>
      <w:r>
        <w:rPr>
          <w:rFonts w:hint="eastAsia" w:ascii="Times New Roman" w:hAnsi="Times New Roman" w:eastAsia="宋体" w:cs="Times New Roman"/>
          <w:spacing w:val="0"/>
          <w:sz w:val="21"/>
          <w:szCs w:val="21"/>
        </w:rPr>
        <w:t>预制梁</w:t>
      </w:r>
    </w:p>
    <w:p>
      <w:pPr>
        <w:pStyle w:val="83"/>
        <w:shd w:val="clear" w:color="auto" w:fill="auto"/>
        <w:spacing w:before="120" w:beforeLines="50" w:after="120" w:afterLines="50" w:line="240" w:lineRule="auto"/>
        <w:jc w:val="center"/>
        <w:rPr>
          <w:rFonts w:ascii="Times New Roman" w:hAnsi="Times New Roman" w:eastAsia="宋体" w:cs="Times New Roman"/>
          <w:sz w:val="21"/>
          <w:szCs w:val="21"/>
        </w:rPr>
      </w:pPr>
      <w:r>
        <w:rPr>
          <w:rFonts w:ascii="Times New Roman" w:hAnsi="Times New Roman" w:eastAsia="宋体" w:cs="Times New Roman"/>
          <w:b w:val="0"/>
          <w:bCs w:val="0"/>
          <w:sz w:val="21"/>
          <w:szCs w:val="21"/>
        </w:rPr>
        <w:t>图8  叠合梁截面</w:t>
      </w:r>
    </w:p>
    <w:p>
      <w:pPr>
        <w:pStyle w:val="83"/>
        <w:shd w:val="clear" w:color="auto" w:fill="auto"/>
        <w:spacing w:line="240" w:lineRule="auto"/>
        <w:jc w:val="center"/>
        <w:rPr>
          <w:rFonts w:ascii="Times New Roman" w:hAnsi="Times New Roman" w:eastAsia="宋体" w:cs="Times New Roman"/>
          <w:sz w:val="18"/>
          <w:szCs w:val="18"/>
        </w:rPr>
      </w:pPr>
      <w:r>
        <w:rPr>
          <w:rFonts w:ascii="Times New Roman" w:hAnsi="Times New Roman" w:eastAsia="宋体" w:cs="Times New Roman"/>
          <w:b w:val="0"/>
          <w:bCs w:val="0"/>
          <w:sz w:val="18"/>
          <w:szCs w:val="18"/>
        </w:rPr>
        <w:t>1—</w:t>
      </w:r>
      <w:r>
        <w:rPr>
          <w:rFonts w:hint="eastAsia" w:ascii="Times New Roman" w:hAnsi="Times New Roman" w:eastAsia="宋体" w:cs="Times New Roman"/>
          <w:b w:val="0"/>
          <w:bCs w:val="0"/>
          <w:sz w:val="18"/>
          <w:szCs w:val="18"/>
        </w:rPr>
        <w:t>后</w:t>
      </w:r>
      <w:r>
        <w:rPr>
          <w:rFonts w:ascii="Times New Roman" w:hAnsi="Times New Roman" w:eastAsia="宋体" w:cs="Times New Roman"/>
          <w:b w:val="0"/>
          <w:bCs w:val="0"/>
          <w:sz w:val="18"/>
          <w:szCs w:val="18"/>
        </w:rPr>
        <w:t>浇层；2—预制梁；3—叠合板的预制板</w:t>
      </w:r>
    </w:p>
    <w:p>
      <w:pPr>
        <w:pStyle w:val="105"/>
        <w:numPr>
          <w:ilvl w:val="0"/>
          <w:numId w:val="24"/>
        </w:numPr>
        <w:shd w:val="clear" w:color="auto" w:fill="auto"/>
        <w:tabs>
          <w:tab w:val="left" w:pos="643"/>
        </w:tabs>
        <w:spacing w:before="120" w:beforeLines="50" w:after="120" w:afterLines="50" w:line="240" w:lineRule="auto"/>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叠合梁的箍筋配置应符合下列规定：</w:t>
      </w:r>
    </w:p>
    <w:p>
      <w:pPr>
        <w:pStyle w:val="105"/>
        <w:shd w:val="clear" w:color="auto" w:fill="auto"/>
        <w:tabs>
          <w:tab w:val="left" w:pos="312"/>
        </w:tabs>
        <w:spacing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抗震等级为一、二级的叠合框架梁的梁端箍筋加密区宜采用整体封闭箍筋；当叠合梁受扭时宜采用整体封闭箍筋，且整体封闭箍筋的搭接部分宜设置在预制部位（</w:t>
      </w:r>
      <w:r>
        <w:rPr>
          <w:rFonts w:hint="eastAsia" w:ascii="Times New Roman" w:hAnsi="Times New Roman" w:eastAsia="宋体" w:cs="Times New Roman"/>
          <w:spacing w:val="0"/>
          <w:sz w:val="21"/>
          <w:szCs w:val="21"/>
        </w:rPr>
        <w:t>见</w:t>
      </w:r>
      <w:r>
        <w:rPr>
          <w:rFonts w:ascii="Times New Roman" w:hAnsi="Times New Roman" w:eastAsia="宋体" w:cs="Times New Roman"/>
          <w:spacing w:val="0"/>
          <w:sz w:val="21"/>
          <w:szCs w:val="21"/>
        </w:rPr>
        <w:t>图</w:t>
      </w:r>
      <w:r>
        <w:rPr>
          <w:rStyle w:val="106"/>
          <w:rFonts w:ascii="Times New Roman" w:hAnsi="Times New Roman" w:eastAsia="宋体" w:cs="Times New Roman"/>
          <w:spacing w:val="0"/>
          <w:sz w:val="21"/>
          <w:szCs w:val="21"/>
        </w:rPr>
        <w:t>9a</w:t>
      </w:r>
      <w:r>
        <w:rPr>
          <w:rFonts w:ascii="Times New Roman" w:hAnsi="Times New Roman" w:eastAsia="宋体" w:cs="Times New Roman"/>
          <w:spacing w:val="0"/>
          <w:sz w:val="21"/>
          <w:szCs w:val="21"/>
        </w:rPr>
        <w:t>）。</w:t>
      </w:r>
    </w:p>
    <w:p>
      <w:pPr>
        <w:pStyle w:val="51"/>
        <w:shd w:val="clear" w:color="auto" w:fill="auto"/>
        <w:tabs>
          <w:tab w:val="left" w:pos="778"/>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当采用组合封闭箍筋（</w:t>
      </w:r>
      <w:r>
        <w:rPr>
          <w:rFonts w:hint="eastAsia" w:ascii="Times New Roman" w:hAnsi="Times New Roman" w:eastAsia="宋体" w:cs="Times New Roman"/>
          <w:spacing w:val="0"/>
          <w:sz w:val="21"/>
          <w:szCs w:val="21"/>
        </w:rPr>
        <w:t>见</w:t>
      </w:r>
      <w:r>
        <w:rPr>
          <w:rFonts w:ascii="Times New Roman" w:hAnsi="Times New Roman" w:eastAsia="宋体" w:cs="Times New Roman"/>
          <w:spacing w:val="0"/>
          <w:sz w:val="21"/>
          <w:szCs w:val="21"/>
        </w:rPr>
        <w:t>图</w:t>
      </w:r>
      <w:r>
        <w:rPr>
          <w:rStyle w:val="71"/>
          <w:rFonts w:ascii="Times New Roman" w:hAnsi="Times New Roman" w:eastAsia="宋体" w:cs="Times New Roman"/>
          <w:spacing w:val="0"/>
          <w:sz w:val="21"/>
          <w:szCs w:val="21"/>
        </w:rPr>
        <w:t>9b）</w:t>
      </w:r>
      <w:r>
        <w:rPr>
          <w:rFonts w:ascii="Times New Roman" w:hAnsi="Times New Roman" w:eastAsia="宋体" w:cs="Times New Roman"/>
          <w:spacing w:val="0"/>
          <w:sz w:val="21"/>
          <w:szCs w:val="21"/>
        </w:rPr>
        <w:t>时，开口箍筋上方两端应做成</w:t>
      </w:r>
      <w:r>
        <w:rPr>
          <w:rStyle w:val="71"/>
          <w:rFonts w:ascii="Times New Roman" w:hAnsi="Times New Roman" w:eastAsia="宋体" w:cs="Times New Roman"/>
          <w:spacing w:val="0"/>
          <w:sz w:val="21"/>
          <w:szCs w:val="21"/>
        </w:rPr>
        <w:t>135°</w:t>
      </w:r>
      <w:r>
        <w:rPr>
          <w:rFonts w:ascii="Times New Roman" w:hAnsi="Times New Roman" w:eastAsia="宋体" w:cs="Times New Roman"/>
          <w:spacing w:val="0"/>
          <w:sz w:val="21"/>
          <w:szCs w:val="21"/>
        </w:rPr>
        <w:t>弯钩，对框架梁弯钩平直段长度不应小于</w:t>
      </w:r>
      <w:r>
        <w:rPr>
          <w:rStyle w:val="71"/>
          <w:rFonts w:ascii="Times New Roman" w:hAnsi="Times New Roman" w:eastAsia="宋体" w:cs="Times New Roman"/>
          <w:spacing w:val="0"/>
          <w:sz w:val="21"/>
          <w:szCs w:val="21"/>
        </w:rPr>
        <w:t>10</w:t>
      </w:r>
      <w:r>
        <w:rPr>
          <w:rStyle w:val="71"/>
          <w:rFonts w:ascii="Times New Roman" w:hAnsi="Times New Roman" w:eastAsia="宋体" w:cs="Times New Roman"/>
          <w:i/>
          <w:iCs/>
          <w:spacing w:val="0"/>
          <w:sz w:val="21"/>
          <w:szCs w:val="21"/>
        </w:rPr>
        <w:t>d</w:t>
      </w:r>
      <w:r>
        <w:rPr>
          <w:rStyle w:val="71"/>
          <w:rFonts w:ascii="Times New Roman" w:hAnsi="Times New Roman" w:eastAsia="宋体" w:cs="Times New Roman"/>
          <w:spacing w:val="0"/>
          <w:sz w:val="21"/>
          <w:szCs w:val="21"/>
        </w:rPr>
        <w:t>（</w:t>
      </w:r>
      <w:r>
        <w:rPr>
          <w:rStyle w:val="71"/>
          <w:rFonts w:ascii="Times New Roman" w:hAnsi="Times New Roman" w:eastAsia="宋体" w:cs="Times New Roman"/>
          <w:i/>
          <w:iCs/>
          <w:spacing w:val="0"/>
          <w:sz w:val="21"/>
          <w:szCs w:val="21"/>
        </w:rPr>
        <w:t>d</w:t>
      </w:r>
      <w:r>
        <w:rPr>
          <w:rFonts w:ascii="Times New Roman" w:hAnsi="Times New Roman" w:eastAsia="宋体" w:cs="Times New Roman"/>
          <w:spacing w:val="0"/>
          <w:sz w:val="21"/>
          <w:szCs w:val="21"/>
        </w:rPr>
        <w:t>为箍筋直径</w:t>
      </w:r>
      <w:r>
        <w:rPr>
          <w:rStyle w:val="71"/>
          <w:rFonts w:ascii="Times New Roman" w:hAnsi="Times New Roman" w:eastAsia="宋体" w:cs="Times New Roman"/>
          <w:spacing w:val="0"/>
          <w:sz w:val="21"/>
          <w:szCs w:val="21"/>
        </w:rPr>
        <w:t>）</w:t>
      </w:r>
      <w:r>
        <w:rPr>
          <w:rFonts w:ascii="Times New Roman" w:hAnsi="Times New Roman" w:eastAsia="宋体" w:cs="Times New Roman"/>
          <w:spacing w:val="0"/>
          <w:sz w:val="21"/>
          <w:szCs w:val="21"/>
        </w:rPr>
        <w:t>，次梁弯钩平直段长度不应小于</w:t>
      </w:r>
      <w:r>
        <w:rPr>
          <w:rStyle w:val="150"/>
          <w:rFonts w:ascii="Times New Roman" w:hAnsi="Times New Roman" w:eastAsia="宋体" w:cs="Times New Roman"/>
          <w:sz w:val="21"/>
          <w:szCs w:val="21"/>
        </w:rPr>
        <w:t>5d</w:t>
      </w:r>
      <w:r>
        <w:rPr>
          <w:rFonts w:ascii="Times New Roman" w:hAnsi="Times New Roman" w:eastAsia="宋体" w:cs="Times New Roman"/>
          <w:spacing w:val="0"/>
          <w:sz w:val="21"/>
          <w:szCs w:val="21"/>
        </w:rPr>
        <w:t>。现场应采用箍筋帽封闭开口箍，箍筋帽宜两端做成</w:t>
      </w:r>
      <w:r>
        <w:rPr>
          <w:rStyle w:val="71"/>
          <w:rFonts w:ascii="Times New Roman" w:hAnsi="Times New Roman" w:eastAsia="宋体" w:cs="Times New Roman"/>
          <w:spacing w:val="0"/>
          <w:sz w:val="21"/>
          <w:szCs w:val="21"/>
        </w:rPr>
        <w:t>135</w:t>
      </w:r>
      <w:r>
        <w:rPr>
          <w:rStyle w:val="71"/>
          <w:rFonts w:ascii="Times New Roman" w:hAnsi="Times New Roman" w:eastAsia="宋体" w:cs="Times New Roman"/>
          <w:spacing w:val="0"/>
          <w:sz w:val="21"/>
          <w:szCs w:val="21"/>
          <w:lang w:val="zh-CN"/>
        </w:rPr>
        <w:t>°</w:t>
      </w:r>
      <w:r>
        <w:rPr>
          <w:rFonts w:ascii="Times New Roman" w:hAnsi="Times New Roman" w:eastAsia="宋体" w:cs="Times New Roman"/>
          <w:spacing w:val="0"/>
          <w:sz w:val="21"/>
          <w:szCs w:val="21"/>
        </w:rPr>
        <w:t>弯钩，也可做成一端</w:t>
      </w:r>
      <w:r>
        <w:rPr>
          <w:rStyle w:val="71"/>
          <w:rFonts w:ascii="Times New Roman" w:hAnsi="Times New Roman" w:eastAsia="宋体" w:cs="Times New Roman"/>
          <w:spacing w:val="0"/>
          <w:sz w:val="21"/>
          <w:szCs w:val="21"/>
        </w:rPr>
        <w:t>135°</w:t>
      </w:r>
      <w:r>
        <w:rPr>
          <w:rFonts w:ascii="Times New Roman" w:hAnsi="Times New Roman" w:eastAsia="宋体" w:cs="Times New Roman"/>
          <w:spacing w:val="0"/>
          <w:sz w:val="21"/>
          <w:szCs w:val="21"/>
        </w:rPr>
        <w:t>另一端</w:t>
      </w:r>
      <w:r>
        <w:rPr>
          <w:rStyle w:val="71"/>
          <w:rFonts w:ascii="Times New Roman" w:hAnsi="Times New Roman" w:eastAsia="宋体" w:cs="Times New Roman"/>
          <w:spacing w:val="0"/>
          <w:sz w:val="21"/>
          <w:szCs w:val="21"/>
        </w:rPr>
        <w:t>90°</w:t>
      </w:r>
      <w:r>
        <w:rPr>
          <w:rFonts w:ascii="Times New Roman" w:hAnsi="Times New Roman" w:eastAsia="宋体" w:cs="Times New Roman"/>
          <w:spacing w:val="0"/>
          <w:sz w:val="21"/>
          <w:szCs w:val="21"/>
        </w:rPr>
        <w:t>弯钩，但</w:t>
      </w:r>
      <w:r>
        <w:rPr>
          <w:rStyle w:val="71"/>
          <w:rFonts w:ascii="Times New Roman" w:hAnsi="Times New Roman" w:eastAsia="宋体" w:cs="Times New Roman"/>
          <w:spacing w:val="0"/>
          <w:sz w:val="21"/>
          <w:szCs w:val="21"/>
        </w:rPr>
        <w:t>135°</w:t>
      </w:r>
      <w:r>
        <w:rPr>
          <w:rFonts w:ascii="Times New Roman" w:hAnsi="Times New Roman" w:eastAsia="宋体" w:cs="Times New Roman"/>
          <w:spacing w:val="0"/>
          <w:sz w:val="21"/>
          <w:szCs w:val="21"/>
        </w:rPr>
        <w:t>弯钩和</w:t>
      </w:r>
      <w:r>
        <w:rPr>
          <w:rStyle w:val="71"/>
          <w:rFonts w:ascii="Times New Roman" w:hAnsi="Times New Roman" w:eastAsia="宋体" w:cs="Times New Roman"/>
          <w:spacing w:val="0"/>
          <w:sz w:val="21"/>
          <w:szCs w:val="21"/>
        </w:rPr>
        <w:t>90</w:t>
      </w:r>
      <w:r>
        <w:rPr>
          <w:rFonts w:ascii="Times New Roman" w:hAnsi="Times New Roman" w:eastAsia="宋体" w:cs="Times New Roman"/>
          <w:spacing w:val="0"/>
          <w:sz w:val="21"/>
          <w:szCs w:val="21"/>
        </w:rPr>
        <w:t>°弯钩应沿纵向受力钢筋方向交错设置，框架梁弯钩平直段长度不应小于</w:t>
      </w:r>
      <w:r>
        <w:rPr>
          <w:rStyle w:val="71"/>
          <w:rFonts w:ascii="Times New Roman" w:hAnsi="Times New Roman" w:eastAsia="宋体" w:cs="Times New Roman"/>
          <w:spacing w:val="0"/>
          <w:sz w:val="21"/>
          <w:szCs w:val="21"/>
        </w:rPr>
        <w:t>10</w:t>
      </w:r>
      <w:r>
        <w:rPr>
          <w:rStyle w:val="71"/>
          <w:rFonts w:ascii="Times New Roman" w:hAnsi="Times New Roman" w:eastAsia="宋体" w:cs="Times New Roman"/>
          <w:i/>
          <w:iCs/>
          <w:spacing w:val="0"/>
          <w:sz w:val="21"/>
          <w:szCs w:val="21"/>
        </w:rPr>
        <w:t>d</w:t>
      </w:r>
      <w:r>
        <w:rPr>
          <w:rStyle w:val="71"/>
          <w:rFonts w:ascii="Times New Roman" w:hAnsi="Times New Roman" w:eastAsia="宋体" w:cs="Times New Roman"/>
          <w:spacing w:val="0"/>
          <w:sz w:val="21"/>
          <w:szCs w:val="21"/>
        </w:rPr>
        <w:t>（</w:t>
      </w:r>
      <w:r>
        <w:rPr>
          <w:rStyle w:val="71"/>
          <w:rFonts w:ascii="Times New Roman" w:hAnsi="Times New Roman" w:eastAsia="宋体" w:cs="Times New Roman"/>
          <w:i/>
          <w:iCs/>
          <w:spacing w:val="0"/>
          <w:sz w:val="21"/>
          <w:szCs w:val="21"/>
        </w:rPr>
        <w:t>d</w:t>
      </w:r>
      <w:r>
        <w:rPr>
          <w:rFonts w:ascii="Times New Roman" w:hAnsi="Times New Roman" w:eastAsia="宋体" w:cs="Times New Roman"/>
          <w:spacing w:val="0"/>
          <w:sz w:val="21"/>
          <w:szCs w:val="21"/>
        </w:rPr>
        <w:t>为箍筋直径</w:t>
      </w:r>
      <w:r>
        <w:rPr>
          <w:rStyle w:val="71"/>
          <w:rFonts w:ascii="Times New Roman" w:hAnsi="Times New Roman" w:eastAsia="宋体" w:cs="Times New Roman"/>
          <w:spacing w:val="0"/>
          <w:sz w:val="21"/>
          <w:szCs w:val="21"/>
        </w:rPr>
        <w:t>）</w:t>
      </w:r>
      <w:r>
        <w:rPr>
          <w:rFonts w:ascii="Times New Roman" w:hAnsi="Times New Roman" w:eastAsia="宋体" w:cs="Times New Roman"/>
          <w:spacing w:val="0"/>
          <w:sz w:val="21"/>
          <w:szCs w:val="21"/>
        </w:rPr>
        <w:t>，次梁</w:t>
      </w:r>
      <w:r>
        <w:rPr>
          <w:rStyle w:val="71"/>
          <w:rFonts w:ascii="Times New Roman" w:hAnsi="Times New Roman" w:eastAsia="宋体" w:cs="Times New Roman"/>
          <w:spacing w:val="0"/>
          <w:sz w:val="21"/>
          <w:szCs w:val="21"/>
        </w:rPr>
        <w:t>135°</w:t>
      </w:r>
      <w:r>
        <w:rPr>
          <w:rFonts w:ascii="Times New Roman" w:hAnsi="Times New Roman" w:eastAsia="宋体" w:cs="Times New Roman"/>
          <w:spacing w:val="0"/>
          <w:sz w:val="21"/>
          <w:szCs w:val="21"/>
        </w:rPr>
        <w:t>弯钩平直段长度不应小于</w:t>
      </w:r>
      <w:r>
        <w:rPr>
          <w:rStyle w:val="71"/>
          <w:rFonts w:ascii="Times New Roman" w:hAnsi="Times New Roman" w:eastAsia="宋体" w:cs="Times New Roman"/>
          <w:spacing w:val="0"/>
          <w:sz w:val="21"/>
          <w:szCs w:val="21"/>
        </w:rPr>
        <w:t>5</w:t>
      </w:r>
      <w:r>
        <w:rPr>
          <w:rStyle w:val="71"/>
          <w:rFonts w:ascii="Times New Roman" w:hAnsi="Times New Roman" w:eastAsia="宋体" w:cs="Times New Roman"/>
          <w:i/>
          <w:iCs/>
          <w:spacing w:val="0"/>
          <w:sz w:val="21"/>
          <w:szCs w:val="21"/>
        </w:rPr>
        <w:t>d</w:t>
      </w:r>
      <w:r>
        <w:rPr>
          <w:rFonts w:ascii="Times New Roman" w:hAnsi="Times New Roman" w:eastAsia="宋体" w:cs="Times New Roman"/>
          <w:spacing w:val="0"/>
          <w:sz w:val="21"/>
          <w:szCs w:val="21"/>
        </w:rPr>
        <w:t>，</w:t>
      </w:r>
      <w:r>
        <w:rPr>
          <w:rStyle w:val="71"/>
          <w:rFonts w:ascii="Times New Roman" w:hAnsi="Times New Roman" w:eastAsia="宋体" w:cs="Times New Roman"/>
          <w:spacing w:val="0"/>
          <w:sz w:val="21"/>
          <w:szCs w:val="21"/>
        </w:rPr>
        <w:t>90</w:t>
      </w:r>
      <w:r>
        <w:rPr>
          <w:rStyle w:val="81"/>
          <w:rFonts w:ascii="Times New Roman" w:hAnsi="Times New Roman" w:eastAsia="宋体" w:cs="Times New Roman"/>
          <w:spacing w:val="0"/>
          <w:sz w:val="21"/>
          <w:szCs w:val="21"/>
        </w:rPr>
        <w:t>°弯钩平</w:t>
      </w:r>
      <w:r>
        <w:rPr>
          <w:rFonts w:ascii="Times New Roman" w:hAnsi="Times New Roman" w:eastAsia="宋体" w:cs="Times New Roman"/>
          <w:spacing w:val="0"/>
          <w:sz w:val="21"/>
          <w:szCs w:val="21"/>
        </w:rPr>
        <w:t>直段长度不应小于</w:t>
      </w:r>
      <w:r>
        <w:rPr>
          <w:rStyle w:val="71"/>
          <w:rFonts w:ascii="Times New Roman" w:hAnsi="Times New Roman" w:eastAsia="宋体" w:cs="Times New Roman"/>
          <w:spacing w:val="0"/>
          <w:sz w:val="21"/>
          <w:szCs w:val="21"/>
        </w:rPr>
        <w:t>10</w:t>
      </w:r>
      <w:r>
        <w:rPr>
          <w:rStyle w:val="71"/>
          <w:rFonts w:ascii="Times New Roman" w:hAnsi="Times New Roman" w:eastAsia="宋体" w:cs="Times New Roman"/>
          <w:i/>
          <w:iCs/>
          <w:spacing w:val="0"/>
          <w:sz w:val="21"/>
          <w:szCs w:val="21"/>
        </w:rPr>
        <w:t>d</w:t>
      </w:r>
      <w:r>
        <w:rPr>
          <w:rFonts w:ascii="Times New Roman" w:hAnsi="Times New Roman" w:eastAsia="宋体" w:cs="Times New Roman"/>
          <w:spacing w:val="0"/>
          <w:sz w:val="21"/>
          <w:szCs w:val="21"/>
        </w:rPr>
        <w:t>。</w:t>
      </w:r>
    </w:p>
    <w:p>
      <w:pPr>
        <w:pStyle w:val="51"/>
        <w:shd w:val="clear" w:color="auto" w:fill="auto"/>
        <w:tabs>
          <w:tab w:val="left" w:pos="759"/>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框架梁箍筋加密区长度内的箍筋肢距：一级抗震等级不宜大于</w:t>
      </w:r>
      <w:r>
        <w:rPr>
          <w:rStyle w:val="71"/>
          <w:rFonts w:ascii="Times New Roman" w:hAnsi="Times New Roman" w:eastAsia="宋体" w:cs="Times New Roman"/>
          <w:spacing w:val="0"/>
          <w:sz w:val="21"/>
          <w:szCs w:val="21"/>
        </w:rPr>
        <w:t>200mm</w:t>
      </w:r>
      <w:r>
        <w:rPr>
          <w:rFonts w:ascii="Times New Roman" w:hAnsi="Times New Roman" w:eastAsia="宋体" w:cs="Times New Roman"/>
          <w:spacing w:val="0"/>
          <w:sz w:val="21"/>
          <w:szCs w:val="21"/>
        </w:rPr>
        <w:t>和</w:t>
      </w:r>
      <w:r>
        <w:rPr>
          <w:rStyle w:val="71"/>
          <w:rFonts w:ascii="Times New Roman" w:hAnsi="Times New Roman" w:eastAsia="宋体" w:cs="Times New Roman"/>
          <w:spacing w:val="0"/>
          <w:sz w:val="21"/>
          <w:szCs w:val="21"/>
        </w:rPr>
        <w:t>20</w:t>
      </w:r>
      <w:r>
        <w:rPr>
          <w:rFonts w:ascii="Times New Roman" w:hAnsi="Times New Roman" w:eastAsia="宋体" w:cs="Times New Roman"/>
          <w:spacing w:val="0"/>
          <w:sz w:val="21"/>
          <w:szCs w:val="21"/>
        </w:rPr>
        <w:t>倍箍筋直径的较大值，且不应大于</w:t>
      </w:r>
      <w:r>
        <w:rPr>
          <w:rStyle w:val="71"/>
          <w:rFonts w:ascii="Times New Roman" w:hAnsi="Times New Roman" w:eastAsia="宋体" w:cs="Times New Roman"/>
          <w:spacing w:val="0"/>
          <w:sz w:val="21"/>
          <w:szCs w:val="21"/>
        </w:rPr>
        <w:t>300mm；</w:t>
      </w:r>
      <w:r>
        <w:rPr>
          <w:rFonts w:ascii="Times New Roman" w:hAnsi="Times New Roman" w:eastAsia="宋体" w:cs="Times New Roman"/>
          <w:spacing w:val="0"/>
          <w:sz w:val="21"/>
          <w:szCs w:val="21"/>
        </w:rPr>
        <w:t>二、三级抗震等级，不宜大于</w:t>
      </w:r>
      <w:r>
        <w:rPr>
          <w:rStyle w:val="71"/>
          <w:rFonts w:ascii="Times New Roman" w:hAnsi="Times New Roman" w:eastAsia="宋体" w:cs="Times New Roman"/>
          <w:spacing w:val="0"/>
          <w:sz w:val="21"/>
          <w:szCs w:val="21"/>
        </w:rPr>
        <w:t>250mm</w:t>
      </w:r>
      <w:r>
        <w:rPr>
          <w:rFonts w:ascii="Times New Roman" w:hAnsi="Times New Roman" w:eastAsia="宋体" w:cs="Times New Roman"/>
          <w:spacing w:val="0"/>
          <w:sz w:val="21"/>
          <w:szCs w:val="21"/>
        </w:rPr>
        <w:t>和</w:t>
      </w:r>
      <w:r>
        <w:rPr>
          <w:rStyle w:val="71"/>
          <w:rFonts w:ascii="Times New Roman" w:hAnsi="Times New Roman" w:eastAsia="宋体" w:cs="Times New Roman"/>
          <w:spacing w:val="0"/>
          <w:sz w:val="21"/>
          <w:szCs w:val="21"/>
        </w:rPr>
        <w:t>20</w:t>
      </w:r>
      <w:r>
        <w:rPr>
          <w:rFonts w:ascii="Times New Roman" w:hAnsi="Times New Roman" w:eastAsia="宋体" w:cs="Times New Roman"/>
          <w:spacing w:val="0"/>
          <w:sz w:val="21"/>
          <w:szCs w:val="21"/>
        </w:rPr>
        <w:t>倍箍筋直径的较大值，且不应大于</w:t>
      </w:r>
      <w:r>
        <w:rPr>
          <w:rStyle w:val="71"/>
          <w:rFonts w:ascii="Times New Roman" w:hAnsi="Times New Roman" w:eastAsia="宋体" w:cs="Times New Roman"/>
          <w:spacing w:val="0"/>
          <w:sz w:val="21"/>
          <w:szCs w:val="21"/>
        </w:rPr>
        <w:t>350mm；</w:t>
      </w:r>
      <w:r>
        <w:rPr>
          <w:rFonts w:ascii="Times New Roman" w:hAnsi="Times New Roman" w:eastAsia="宋体" w:cs="Times New Roman"/>
          <w:spacing w:val="0"/>
          <w:sz w:val="21"/>
          <w:szCs w:val="21"/>
        </w:rPr>
        <w:t>四级抗震等级，不宜大于</w:t>
      </w:r>
      <w:r>
        <w:rPr>
          <w:rStyle w:val="71"/>
          <w:rFonts w:ascii="Times New Roman" w:hAnsi="Times New Roman" w:eastAsia="宋体" w:cs="Times New Roman"/>
          <w:spacing w:val="0"/>
          <w:sz w:val="21"/>
          <w:szCs w:val="21"/>
        </w:rPr>
        <w:t>300mm</w:t>
      </w:r>
      <w:r>
        <w:rPr>
          <w:rStyle w:val="81"/>
          <w:rFonts w:ascii="Times New Roman" w:hAnsi="Times New Roman" w:eastAsia="宋体" w:cs="Times New Roman"/>
          <w:spacing w:val="0"/>
          <w:sz w:val="21"/>
          <w:szCs w:val="21"/>
        </w:rPr>
        <w:t>，且不应大</w:t>
      </w:r>
      <w:r>
        <w:rPr>
          <w:rFonts w:ascii="Times New Roman" w:hAnsi="Times New Roman" w:eastAsia="宋体" w:cs="Times New Roman"/>
          <w:spacing w:val="0"/>
          <w:sz w:val="21"/>
          <w:szCs w:val="21"/>
        </w:rPr>
        <w:t>于</w:t>
      </w:r>
      <w:r>
        <w:rPr>
          <w:rStyle w:val="71"/>
          <w:rFonts w:ascii="Times New Roman" w:hAnsi="Times New Roman" w:eastAsia="宋体" w:cs="Times New Roman"/>
          <w:spacing w:val="0"/>
          <w:sz w:val="21"/>
          <w:szCs w:val="21"/>
        </w:rPr>
        <w:t>400mm</w:t>
      </w:r>
      <w:r>
        <w:rPr>
          <w:rFonts w:ascii="Times New Roman" w:hAnsi="Times New Roman" w:eastAsia="宋体" w:cs="Times New Roman"/>
          <w:spacing w:val="0"/>
          <w:sz w:val="21"/>
          <w:szCs w:val="21"/>
        </w:rPr>
        <w:t>。</w:t>
      </w:r>
    </w:p>
    <w:p>
      <w:pPr>
        <w:pStyle w:val="105"/>
        <w:shd w:val="clear" w:color="auto" w:fill="auto"/>
        <w:spacing w:line="240" w:lineRule="auto"/>
        <w:jc w:val="center"/>
        <w:rPr>
          <w:rFonts w:eastAsiaTheme="minorEastAsia"/>
        </w:rPr>
      </w:pPr>
      <w:r>
        <w:rPr>
          <w:rFonts w:hint="eastAsia" w:eastAsiaTheme="minorEastAsia"/>
        </w:rPr>
        <w:drawing>
          <wp:inline distT="0" distB="0" distL="114300" distR="114300">
            <wp:extent cx="2911475" cy="1440180"/>
            <wp:effectExtent l="0" t="0" r="3175" b="7620"/>
            <wp:docPr id="4" name="图片 4" descr="7.3.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7.3.2-1"/>
                    <pic:cNvPicPr>
                      <a:picLocks noChangeAspect="true"/>
                    </pic:cNvPicPr>
                  </pic:nvPicPr>
                  <pic:blipFill>
                    <a:blip r:embed="rId119"/>
                    <a:stretch>
                      <a:fillRect/>
                    </a:stretch>
                  </pic:blipFill>
                  <pic:spPr>
                    <a:xfrm>
                      <a:off x="0" y="0"/>
                      <a:ext cx="2911475" cy="1440180"/>
                    </a:xfrm>
                    <a:prstGeom prst="rect">
                      <a:avLst/>
                    </a:prstGeom>
                  </pic:spPr>
                </pic:pic>
              </a:graphicData>
            </a:graphic>
          </wp:inline>
        </w:drawing>
      </w:r>
    </w:p>
    <w:p>
      <w:pPr>
        <w:pStyle w:val="105"/>
        <w:shd w:val="clear" w:color="auto" w:fill="auto"/>
        <w:spacing w:line="240" w:lineRule="auto"/>
        <w:jc w:val="center"/>
        <w:rPr>
          <w:rFonts w:eastAsiaTheme="minorEastAsia"/>
        </w:rPr>
      </w:pPr>
      <w:r>
        <w:rPr>
          <w:rFonts w:hint="eastAsia" w:eastAsiaTheme="minorEastAsia"/>
        </w:rPr>
        <w:drawing>
          <wp:inline distT="0" distB="0" distL="114300" distR="114300">
            <wp:extent cx="2959100" cy="1440180"/>
            <wp:effectExtent l="0" t="0" r="0" b="7620"/>
            <wp:docPr id="5" name="图片 5" descr="7.3.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7.3.2-2"/>
                    <pic:cNvPicPr>
                      <a:picLocks noChangeAspect="true"/>
                    </pic:cNvPicPr>
                  </pic:nvPicPr>
                  <pic:blipFill>
                    <a:blip r:embed="rId120"/>
                    <a:stretch>
                      <a:fillRect/>
                    </a:stretch>
                  </pic:blipFill>
                  <pic:spPr>
                    <a:xfrm>
                      <a:off x="0" y="0"/>
                      <a:ext cx="2959100" cy="1440180"/>
                    </a:xfrm>
                    <a:prstGeom prst="rect">
                      <a:avLst/>
                    </a:prstGeom>
                  </pic:spPr>
                </pic:pic>
              </a:graphicData>
            </a:graphic>
          </wp:inline>
        </w:drawing>
      </w:r>
    </w:p>
    <w:p>
      <w:pPr>
        <w:pStyle w:val="105"/>
        <w:shd w:val="clear" w:color="auto" w:fill="auto"/>
        <w:spacing w:line="240" w:lineRule="auto"/>
        <w:jc w:val="center"/>
        <w:rPr>
          <w:rFonts w:ascii="Times New Roman" w:hAnsi="Times New Roman" w:eastAsia="宋体" w:cs="Times New Roman"/>
          <w:spacing w:val="0"/>
        </w:rPr>
      </w:pPr>
      <w:r>
        <w:rPr>
          <w:rStyle w:val="142"/>
          <w:rFonts w:ascii="宋体" w:hAnsi="宋体" w:eastAsia="宋体" w:cs="Times New Roman"/>
          <w:spacing w:val="0"/>
          <w:sz w:val="21"/>
          <w:szCs w:val="21"/>
        </w:rPr>
        <w:t>a</w:t>
      </w:r>
      <w:r>
        <w:rPr>
          <w:rStyle w:val="142"/>
          <w:rFonts w:hint="eastAsia" w:ascii="宋体" w:hAnsi="宋体" w:eastAsia="宋体" w:cs="Times New Roman"/>
          <w:spacing w:val="0"/>
          <w:sz w:val="21"/>
          <w:szCs w:val="21"/>
        </w:rPr>
        <w:t>）</w:t>
      </w:r>
      <w:r>
        <w:rPr>
          <w:rFonts w:ascii="Times New Roman" w:hAnsi="Times New Roman" w:eastAsia="宋体" w:cs="Times New Roman"/>
          <w:spacing w:val="0"/>
          <w:sz w:val="21"/>
          <w:szCs w:val="21"/>
        </w:rPr>
        <w:t>采用整体封闭箍筋的叠合梁</w:t>
      </w:r>
    </w:p>
    <w:p>
      <w:pPr>
        <w:pStyle w:val="113"/>
        <w:shd w:val="clear" w:color="auto" w:fill="auto"/>
        <w:spacing w:after="0" w:line="240" w:lineRule="auto"/>
        <w:jc w:val="center"/>
        <w:rPr>
          <w:rFonts w:ascii="Times New Roman" w:hAnsi="Times New Roman" w:eastAsia="宋体" w:cs="Times New Roman"/>
          <w:spacing w:val="0"/>
          <w:sz w:val="15"/>
          <w:szCs w:val="15"/>
        </w:rPr>
      </w:pPr>
      <w:r>
        <w:rPr>
          <w:rFonts w:hint="eastAsia" w:ascii="Times New Roman" w:hAnsi="Times New Roman" w:eastAsia="宋体" w:cs="Times New Roman"/>
          <w:spacing w:val="0"/>
          <w:sz w:val="15"/>
          <w:szCs w:val="15"/>
        </w:rPr>
        <w:drawing>
          <wp:inline distT="0" distB="0" distL="114300" distR="114300">
            <wp:extent cx="2945765" cy="3142615"/>
            <wp:effectExtent l="0" t="0" r="6985" b="635"/>
            <wp:docPr id="9" name="图片 9" descr="7.3.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7.3.2-3"/>
                    <pic:cNvPicPr>
                      <a:picLocks noChangeAspect="true"/>
                    </pic:cNvPicPr>
                  </pic:nvPicPr>
                  <pic:blipFill>
                    <a:blip r:embed="rId121"/>
                    <a:stretch>
                      <a:fillRect/>
                    </a:stretch>
                  </pic:blipFill>
                  <pic:spPr>
                    <a:xfrm>
                      <a:off x="0" y="0"/>
                      <a:ext cx="2945765" cy="3142615"/>
                    </a:xfrm>
                    <a:prstGeom prst="rect">
                      <a:avLst/>
                    </a:prstGeom>
                  </pic:spPr>
                </pic:pic>
              </a:graphicData>
            </a:graphic>
          </wp:inline>
        </w:drawing>
      </w:r>
    </w:p>
    <w:p>
      <w:pPr>
        <w:pStyle w:val="113"/>
        <w:shd w:val="clear" w:color="auto" w:fill="auto"/>
        <w:spacing w:after="0" w:line="240" w:lineRule="auto"/>
        <w:jc w:val="center"/>
        <w:rPr>
          <w:rFonts w:ascii="Times New Roman" w:hAnsi="Times New Roman" w:eastAsia="宋体" w:cs="Times New Roman"/>
          <w:spacing w:val="0"/>
          <w:sz w:val="15"/>
          <w:szCs w:val="15"/>
        </w:rPr>
      </w:pPr>
      <w:r>
        <w:rPr>
          <w:rFonts w:hint="eastAsia" w:ascii="Times New Roman" w:hAnsi="Times New Roman" w:eastAsia="宋体" w:cs="Times New Roman"/>
          <w:spacing w:val="0"/>
          <w:sz w:val="15"/>
          <w:szCs w:val="15"/>
        </w:rPr>
        <w:drawing>
          <wp:inline distT="0" distB="0" distL="114300" distR="114300">
            <wp:extent cx="2852420" cy="1583690"/>
            <wp:effectExtent l="0" t="0" r="5080" b="16510"/>
            <wp:docPr id="11" name="图片 11" descr="7.3.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7.3.2-4"/>
                    <pic:cNvPicPr>
                      <a:picLocks noChangeAspect="true"/>
                    </pic:cNvPicPr>
                  </pic:nvPicPr>
                  <pic:blipFill>
                    <a:blip r:embed="rId122"/>
                    <a:stretch>
                      <a:fillRect/>
                    </a:stretch>
                  </pic:blipFill>
                  <pic:spPr>
                    <a:xfrm>
                      <a:off x="0" y="0"/>
                      <a:ext cx="2852420" cy="1583690"/>
                    </a:xfrm>
                    <a:prstGeom prst="rect">
                      <a:avLst/>
                    </a:prstGeom>
                  </pic:spPr>
                </pic:pic>
              </a:graphicData>
            </a:graphic>
          </wp:inline>
        </w:drawing>
      </w:r>
    </w:p>
    <w:p>
      <w:pPr>
        <w:pStyle w:val="105"/>
        <w:shd w:val="clear" w:color="auto" w:fill="auto"/>
        <w:spacing w:line="240" w:lineRule="auto"/>
        <w:jc w:val="center"/>
        <w:rPr>
          <w:rFonts w:ascii="Times New Roman" w:hAnsi="Times New Roman" w:eastAsia="宋体" w:cs="Times New Roman"/>
          <w:spacing w:val="0"/>
        </w:rPr>
      </w:pPr>
      <w:r>
        <w:rPr>
          <w:rStyle w:val="142"/>
          <w:rFonts w:ascii="宋体" w:hAnsi="宋体" w:eastAsia="宋体" w:cs="Times New Roman"/>
          <w:spacing w:val="0"/>
          <w:sz w:val="21"/>
          <w:szCs w:val="21"/>
        </w:rPr>
        <w:t>b</w:t>
      </w:r>
      <w:r>
        <w:rPr>
          <w:rStyle w:val="142"/>
          <w:rFonts w:hint="eastAsia" w:ascii="宋体" w:hAnsi="宋体" w:eastAsia="宋体" w:cs="Times New Roman"/>
          <w:spacing w:val="0"/>
          <w:sz w:val="21"/>
          <w:szCs w:val="21"/>
        </w:rPr>
        <w:t>）</w:t>
      </w:r>
      <w:r>
        <w:rPr>
          <w:rFonts w:ascii="Times New Roman" w:hAnsi="Times New Roman" w:eastAsia="宋体" w:cs="Times New Roman"/>
          <w:spacing w:val="0"/>
          <w:sz w:val="21"/>
          <w:szCs w:val="21"/>
        </w:rPr>
        <w:t>采用组合封闭箍筋的叠合梁</w:t>
      </w:r>
    </w:p>
    <w:p>
      <w:pPr>
        <w:pStyle w:val="83"/>
        <w:shd w:val="clear" w:color="auto" w:fill="auto"/>
        <w:spacing w:after="120" w:afterLines="50" w:line="240" w:lineRule="auto"/>
        <w:jc w:val="center"/>
        <w:rPr>
          <w:rFonts w:ascii="Times New Roman" w:hAnsi="Times New Roman" w:eastAsia="宋体" w:cs="Times New Roman"/>
          <w:sz w:val="21"/>
          <w:szCs w:val="21"/>
        </w:rPr>
      </w:pPr>
      <w:r>
        <w:rPr>
          <w:rFonts w:ascii="Times New Roman" w:hAnsi="Times New Roman" w:eastAsia="宋体" w:cs="Times New Roman"/>
          <w:b w:val="0"/>
          <w:bCs w:val="0"/>
          <w:sz w:val="21"/>
          <w:szCs w:val="21"/>
        </w:rPr>
        <w:t xml:space="preserve">图9  </w:t>
      </w:r>
      <w:r>
        <w:rPr>
          <w:rFonts w:hint="eastAsia" w:ascii="Times New Roman" w:hAnsi="Times New Roman" w:eastAsia="宋体" w:cs="Times New Roman"/>
          <w:b w:val="0"/>
          <w:bCs w:val="0"/>
          <w:sz w:val="21"/>
          <w:szCs w:val="21"/>
        </w:rPr>
        <w:t>叠合</w:t>
      </w:r>
      <w:r>
        <w:rPr>
          <w:rFonts w:ascii="Times New Roman" w:hAnsi="Times New Roman" w:eastAsia="宋体" w:cs="Times New Roman"/>
          <w:b w:val="0"/>
          <w:bCs w:val="0"/>
          <w:sz w:val="21"/>
          <w:szCs w:val="21"/>
        </w:rPr>
        <w:t>梁箍筋构造示意图</w:t>
      </w:r>
    </w:p>
    <w:p>
      <w:pPr>
        <w:pStyle w:val="83"/>
        <w:shd w:val="clear" w:color="auto" w:fill="auto"/>
        <w:spacing w:before="50" w:after="50" w:line="240" w:lineRule="auto"/>
        <w:jc w:val="center"/>
        <w:rPr>
          <w:rFonts w:ascii="Times New Roman" w:hAnsi="Times New Roman" w:eastAsia="宋体" w:cs="Times New Roman"/>
          <w:sz w:val="18"/>
          <w:szCs w:val="18"/>
        </w:rPr>
      </w:pPr>
      <w:r>
        <w:rPr>
          <w:rFonts w:ascii="Times New Roman" w:hAnsi="Times New Roman" w:eastAsia="宋体" w:cs="Times New Roman"/>
          <w:b w:val="0"/>
          <w:bCs w:val="0"/>
          <w:sz w:val="18"/>
          <w:szCs w:val="18"/>
        </w:rPr>
        <w:t>1—预制梁；2—开口箍筋；3—上部纵向钢筋；4—箍筋帽；5—封闭箍筋</w:t>
      </w:r>
    </w:p>
    <w:p>
      <w:pPr>
        <w:pStyle w:val="51"/>
        <w:numPr>
          <w:ilvl w:val="0"/>
          <w:numId w:val="24"/>
        </w:numPr>
        <w:shd w:val="clear" w:color="auto" w:fill="auto"/>
        <w:tabs>
          <w:tab w:val="left" w:pos="643"/>
        </w:tabs>
        <w:spacing w:before="120" w:beforeLines="50" w:after="120" w:afterLines="50" w:line="240" w:lineRule="auto"/>
        <w:jc w:val="left"/>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叠合梁可采用对接连接（</w:t>
      </w:r>
      <w:r>
        <w:rPr>
          <w:rFonts w:hint="eastAsia" w:ascii="Times New Roman" w:hAnsi="Times New Roman" w:eastAsia="宋体" w:cs="Times New Roman"/>
          <w:spacing w:val="0"/>
          <w:sz w:val="21"/>
          <w:szCs w:val="21"/>
        </w:rPr>
        <w:t>见</w:t>
      </w:r>
      <w:r>
        <w:rPr>
          <w:rFonts w:ascii="Times New Roman" w:hAnsi="Times New Roman" w:eastAsia="宋体" w:cs="Times New Roman"/>
          <w:spacing w:val="0"/>
          <w:sz w:val="21"/>
          <w:szCs w:val="21"/>
        </w:rPr>
        <w:t>图</w:t>
      </w:r>
      <w:r>
        <w:rPr>
          <w:rStyle w:val="71"/>
          <w:rFonts w:ascii="Times New Roman" w:hAnsi="Times New Roman" w:eastAsia="宋体" w:cs="Times New Roman"/>
          <w:spacing w:val="0"/>
          <w:sz w:val="21"/>
          <w:szCs w:val="21"/>
          <w:lang w:val="zh-CN"/>
        </w:rPr>
        <w:t>10）</w:t>
      </w:r>
      <w:r>
        <w:rPr>
          <w:rFonts w:ascii="Times New Roman" w:hAnsi="Times New Roman" w:eastAsia="宋体" w:cs="Times New Roman"/>
          <w:spacing w:val="0"/>
          <w:sz w:val="21"/>
          <w:szCs w:val="21"/>
        </w:rPr>
        <w:t>，并应符合下列规定：</w:t>
      </w:r>
    </w:p>
    <w:p>
      <w:pPr>
        <w:pStyle w:val="51"/>
        <w:shd w:val="clear" w:color="auto" w:fill="auto"/>
        <w:tabs>
          <w:tab w:val="left" w:pos="754"/>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连接处应设置后浇段，后浇段的长度应满足梁下部纵向钢筋连接作业的空间需求；</w:t>
      </w:r>
    </w:p>
    <w:p>
      <w:pPr>
        <w:pStyle w:val="51"/>
        <w:shd w:val="clear" w:color="auto" w:fill="auto"/>
        <w:tabs>
          <w:tab w:val="left" w:pos="754"/>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梁下部纵向钢筋在后浇段内宜采用机械连接、套筒灌浆连接或焊接连接；</w:t>
      </w:r>
    </w:p>
    <w:p>
      <w:pPr>
        <w:pStyle w:val="51"/>
        <w:shd w:val="clear" w:color="auto" w:fill="auto"/>
        <w:tabs>
          <w:tab w:val="left" w:pos="754"/>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后浇段内的箍筋应加密，箍筋间距不应大于5</w:t>
      </w:r>
      <w:r>
        <w:rPr>
          <w:rFonts w:ascii="Times New Roman" w:hAnsi="Times New Roman" w:eastAsia="宋体" w:cs="Times New Roman"/>
          <w:i/>
          <w:iCs/>
          <w:spacing w:val="0"/>
          <w:sz w:val="21"/>
          <w:szCs w:val="21"/>
        </w:rPr>
        <w:t>d</w:t>
      </w:r>
      <w:r>
        <w:rPr>
          <w:rFonts w:hint="eastAsia" w:ascii="Times New Roman" w:hAnsi="Times New Roman" w:eastAsia="宋体" w:cs="Times New Roman"/>
          <w:spacing w:val="0"/>
          <w:sz w:val="21"/>
          <w:szCs w:val="21"/>
        </w:rPr>
        <w:t>（</w:t>
      </w:r>
      <w:r>
        <w:rPr>
          <w:rFonts w:ascii="Times New Roman" w:hAnsi="Times New Roman" w:eastAsia="宋体" w:cs="Times New Roman"/>
          <w:i/>
          <w:iCs/>
          <w:spacing w:val="0"/>
          <w:sz w:val="21"/>
          <w:szCs w:val="21"/>
        </w:rPr>
        <w:t>d</w:t>
      </w:r>
      <w:r>
        <w:rPr>
          <w:rFonts w:ascii="Times New Roman" w:hAnsi="Times New Roman" w:eastAsia="宋体" w:cs="Times New Roman"/>
          <w:spacing w:val="0"/>
          <w:sz w:val="21"/>
          <w:szCs w:val="21"/>
        </w:rPr>
        <w:t>为纵向钢筋直径），且不应大于100mm。</w:t>
      </w:r>
    </w:p>
    <w:p>
      <w:pPr>
        <w:pStyle w:val="51"/>
        <w:shd w:val="clear" w:color="auto" w:fill="auto"/>
        <w:tabs>
          <w:tab w:val="left" w:pos="754"/>
        </w:tabs>
        <w:spacing w:before="0" w:after="0" w:line="240" w:lineRule="auto"/>
        <w:ind w:right="23" w:firstLine="0"/>
        <w:jc w:val="center"/>
        <w:rPr>
          <w:rFonts w:ascii="Times New Roman" w:hAnsi="Times New Roman" w:eastAsia="宋体" w:cs="Times New Roman"/>
          <w:spacing w:val="0"/>
        </w:rPr>
      </w:pPr>
      <w:r>
        <w:drawing>
          <wp:inline distT="0" distB="0" distL="0" distR="0">
            <wp:extent cx="2521585" cy="1439545"/>
            <wp:effectExtent l="0" t="0" r="0" b="8255"/>
            <wp:docPr id="57" name="图片 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true" noChangeArrowheads="true"/>
                    </pic:cNvPicPr>
                  </pic:nvPicPr>
                  <pic:blipFill>
                    <a:blip r:embed="rId123">
                      <a:extLst>
                        <a:ext uri="{28A0092B-C50C-407E-A947-70E740481C1C}">
                          <a14:useLocalDpi xmlns:a14="http://schemas.microsoft.com/office/drawing/2010/main" val="false"/>
                        </a:ext>
                      </a:extLst>
                    </a:blip>
                    <a:srcRect/>
                    <a:stretch>
                      <a:fillRect/>
                    </a:stretch>
                  </pic:blipFill>
                  <pic:spPr>
                    <a:xfrm>
                      <a:off x="0" y="0"/>
                      <a:ext cx="2521966" cy="1440000"/>
                    </a:xfrm>
                    <a:prstGeom prst="rect">
                      <a:avLst/>
                    </a:prstGeom>
                    <a:noFill/>
                    <a:ln>
                      <a:noFill/>
                    </a:ln>
                  </pic:spPr>
                </pic:pic>
              </a:graphicData>
            </a:graphic>
          </wp:inline>
        </w:drawing>
      </w:r>
    </w:p>
    <w:p>
      <w:pPr>
        <w:pStyle w:val="83"/>
        <w:shd w:val="clear" w:color="auto" w:fill="auto"/>
        <w:spacing w:before="120" w:beforeLines="50" w:after="120" w:afterLines="50" w:line="240" w:lineRule="auto"/>
        <w:jc w:val="center"/>
        <w:rPr>
          <w:rFonts w:ascii="Times New Roman" w:hAnsi="Times New Roman" w:eastAsia="宋体" w:cs="Times New Roman"/>
          <w:sz w:val="21"/>
          <w:szCs w:val="21"/>
        </w:rPr>
      </w:pPr>
      <w:r>
        <w:rPr>
          <w:rFonts w:ascii="Times New Roman" w:hAnsi="Times New Roman" w:eastAsia="宋体" w:cs="Times New Roman"/>
          <w:b w:val="0"/>
          <w:bCs w:val="0"/>
          <w:sz w:val="21"/>
          <w:szCs w:val="21"/>
        </w:rPr>
        <w:t>图10  叠合梁连接节点示意</w:t>
      </w:r>
    </w:p>
    <w:p>
      <w:pPr>
        <w:pStyle w:val="83"/>
        <w:shd w:val="clear" w:color="auto" w:fill="auto"/>
        <w:spacing w:before="50" w:after="50" w:line="240" w:lineRule="auto"/>
        <w:jc w:val="center"/>
        <w:rPr>
          <w:rFonts w:ascii="Times New Roman" w:hAnsi="Times New Roman" w:eastAsia="宋体" w:cs="Times New Roman"/>
          <w:sz w:val="18"/>
          <w:szCs w:val="18"/>
        </w:rPr>
      </w:pPr>
      <w:r>
        <w:rPr>
          <w:rFonts w:ascii="Times New Roman" w:hAnsi="Times New Roman" w:eastAsia="宋体" w:cs="Times New Roman"/>
          <w:b w:val="0"/>
          <w:bCs w:val="0"/>
          <w:sz w:val="18"/>
          <w:szCs w:val="18"/>
        </w:rPr>
        <w:t>1—预制梁；2—钢筋连接接头；3—后浇段</w:t>
      </w:r>
    </w:p>
    <w:p>
      <w:pPr>
        <w:pStyle w:val="51"/>
        <w:numPr>
          <w:ilvl w:val="0"/>
          <w:numId w:val="24"/>
        </w:numPr>
        <w:shd w:val="clear" w:color="auto" w:fill="auto"/>
        <w:tabs>
          <w:tab w:val="left" w:pos="710"/>
        </w:tabs>
        <w:spacing w:before="120" w:beforeLines="50" w:after="120" w:afterLines="50" w:line="240" w:lineRule="auto"/>
        <w:jc w:val="left"/>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主梁与次梁采用后浇段连接时，应符合下列规定：</w:t>
      </w:r>
    </w:p>
    <w:p>
      <w:pPr>
        <w:pStyle w:val="51"/>
        <w:shd w:val="clear" w:color="auto" w:fill="auto"/>
        <w:tabs>
          <w:tab w:val="left" w:pos="739"/>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在端部节点处，次梁下部纵向钢筋伸入主梁后浇段内的长度不应小于</w:t>
      </w:r>
      <w:r>
        <w:rPr>
          <w:rStyle w:val="71"/>
          <w:rFonts w:ascii="Times New Roman" w:hAnsi="Times New Roman" w:eastAsia="宋体" w:cs="Times New Roman"/>
          <w:spacing w:val="0"/>
          <w:sz w:val="21"/>
          <w:szCs w:val="21"/>
          <w:lang w:val="zh-CN"/>
        </w:rPr>
        <w:t>12</w:t>
      </w:r>
      <w:r>
        <w:rPr>
          <w:rStyle w:val="71"/>
          <w:rFonts w:ascii="Times New Roman" w:hAnsi="Times New Roman" w:eastAsia="宋体" w:cs="Times New Roman"/>
          <w:i/>
          <w:iCs/>
          <w:spacing w:val="0"/>
          <w:sz w:val="21"/>
          <w:szCs w:val="21"/>
          <w:lang w:val="zh-CN"/>
        </w:rPr>
        <w:t>d</w:t>
      </w:r>
      <w:r>
        <w:rPr>
          <w:rStyle w:val="71"/>
          <w:rFonts w:ascii="Times New Roman" w:hAnsi="Times New Roman" w:eastAsia="宋体" w:cs="Times New Roman"/>
          <w:spacing w:val="0"/>
          <w:sz w:val="21"/>
          <w:szCs w:val="21"/>
          <w:lang w:val="zh-CN"/>
        </w:rPr>
        <w:t>，</w:t>
      </w:r>
      <w:r>
        <w:rPr>
          <w:rFonts w:ascii="Times New Roman" w:hAnsi="Times New Roman" w:eastAsia="宋体" w:cs="Times New Roman"/>
          <w:spacing w:val="0"/>
          <w:sz w:val="21"/>
          <w:szCs w:val="21"/>
        </w:rPr>
        <w:t>次梁上部纵向钢筋伸入主梁后浇段内锚固。当采用弯折锚固（</w:t>
      </w:r>
      <w:r>
        <w:rPr>
          <w:rFonts w:hint="eastAsia" w:ascii="Times New Roman" w:hAnsi="Times New Roman" w:eastAsia="宋体" w:cs="Times New Roman"/>
          <w:spacing w:val="0"/>
          <w:sz w:val="21"/>
          <w:szCs w:val="21"/>
        </w:rPr>
        <w:t>见</w:t>
      </w:r>
      <w:r>
        <w:rPr>
          <w:rFonts w:ascii="Times New Roman" w:hAnsi="Times New Roman" w:eastAsia="宋体" w:cs="Times New Roman"/>
          <w:spacing w:val="0"/>
          <w:sz w:val="21"/>
          <w:szCs w:val="21"/>
        </w:rPr>
        <w:t>图</w:t>
      </w:r>
      <w:r>
        <w:rPr>
          <w:rStyle w:val="71"/>
          <w:rFonts w:ascii="Times New Roman" w:hAnsi="Times New Roman" w:eastAsia="宋体" w:cs="Times New Roman"/>
          <w:spacing w:val="0"/>
          <w:sz w:val="21"/>
          <w:szCs w:val="21"/>
        </w:rPr>
        <w:t>11a）</w:t>
      </w:r>
      <w:r>
        <w:rPr>
          <w:rFonts w:ascii="Times New Roman" w:hAnsi="Times New Roman" w:eastAsia="宋体" w:cs="Times New Roman"/>
          <w:spacing w:val="0"/>
          <w:sz w:val="21"/>
          <w:szCs w:val="21"/>
        </w:rPr>
        <w:t>或锚固板时，锚固直段长度不应小于</w:t>
      </w:r>
      <w:r>
        <w:rPr>
          <w:rStyle w:val="71"/>
          <w:rFonts w:ascii="Times New Roman" w:hAnsi="Times New Roman" w:eastAsia="宋体" w:cs="Times New Roman"/>
          <w:spacing w:val="0"/>
          <w:sz w:val="21"/>
          <w:szCs w:val="21"/>
        </w:rPr>
        <w:t>0.6</w:t>
      </w:r>
      <w:r>
        <w:rPr>
          <w:rFonts w:ascii="Times New Roman" w:hAnsi="Times New Roman" w:eastAsia="宋体" w:cs="Times New Roman"/>
          <w:position w:val="-12"/>
          <w:sz w:val="18"/>
          <w:szCs w:val="18"/>
        </w:rPr>
        <w:object>
          <v:shape id="_x0000_i1072" o:spt="75" type="#_x0000_t75" style="height:19pt;width:12.5pt;" o:ole="t" filled="f" o:preferrelative="t" stroked="f" coordsize="21600,21600">
            <v:path/>
            <v:fill on="f" focussize="0,0"/>
            <v:stroke on="f" joinstyle="miter"/>
            <v:imagedata r:id="rId125" o:title=""/>
            <o:lock v:ext="edit" aspectratio="t"/>
            <w10:wrap type="none"/>
            <w10:anchorlock/>
          </v:shape>
          <o:OLEObject Type="Embed" ProgID="Equation.DSMT4" ShapeID="_x0000_i1072" DrawAspect="Content" ObjectID="_1468075772" r:id="rId124">
            <o:LockedField>false</o:LockedField>
          </o:OLEObject>
        </w:object>
      </w:r>
      <w:r>
        <w:rPr>
          <w:rFonts w:ascii="Times New Roman" w:hAnsi="Times New Roman" w:eastAsia="宋体" w:cs="Times New Roman"/>
          <w:spacing w:val="0"/>
          <w:sz w:val="21"/>
          <w:szCs w:val="21"/>
        </w:rPr>
        <w:t>；当钢筋应力不大于钢筋强度设计值的</w:t>
      </w:r>
      <w:r>
        <w:rPr>
          <w:rStyle w:val="71"/>
          <w:rFonts w:ascii="Times New Roman" w:hAnsi="Times New Roman" w:eastAsia="宋体" w:cs="Times New Roman"/>
          <w:spacing w:val="0"/>
          <w:sz w:val="21"/>
          <w:szCs w:val="21"/>
        </w:rPr>
        <w:t>50%</w:t>
      </w:r>
      <w:r>
        <w:rPr>
          <w:rFonts w:ascii="Times New Roman" w:hAnsi="Times New Roman" w:eastAsia="宋体" w:cs="Times New Roman"/>
          <w:spacing w:val="0"/>
          <w:sz w:val="21"/>
          <w:szCs w:val="21"/>
        </w:rPr>
        <w:t>时，锚固直段长度不应小于</w:t>
      </w:r>
      <w:r>
        <w:rPr>
          <w:rStyle w:val="71"/>
          <w:rFonts w:ascii="Times New Roman" w:hAnsi="Times New Roman" w:eastAsia="宋体" w:cs="Times New Roman"/>
          <w:spacing w:val="0"/>
          <w:sz w:val="21"/>
          <w:szCs w:val="21"/>
        </w:rPr>
        <w:t>0.35</w:t>
      </w:r>
      <w:r>
        <w:rPr>
          <w:rFonts w:ascii="Times New Roman" w:hAnsi="Times New Roman" w:eastAsia="宋体" w:cs="Times New Roman"/>
          <w:position w:val="-12"/>
          <w:sz w:val="18"/>
          <w:szCs w:val="18"/>
        </w:rPr>
        <w:object>
          <v:shape id="_x0000_i1073" o:spt="75" type="#_x0000_t75" style="height:19pt;width:12.5pt;" o:ole="t" filled="f" o:preferrelative="t" stroked="f" coordsize="21600,21600">
            <v:path/>
            <v:fill on="f" focussize="0,0"/>
            <v:stroke on="f" joinstyle="miter"/>
            <v:imagedata r:id="rId125" o:title=""/>
            <o:lock v:ext="edit" aspectratio="t"/>
            <w10:wrap type="none"/>
            <w10:anchorlock/>
          </v:shape>
          <o:OLEObject Type="Embed" ProgID="Equation.DSMT4" ShapeID="_x0000_i1073" DrawAspect="Content" ObjectID="_1468075773" r:id="rId126">
            <o:LockedField>false</o:LockedField>
          </o:OLEObject>
        </w:object>
      </w:r>
      <w:r>
        <w:rPr>
          <w:rFonts w:ascii="Times New Roman" w:hAnsi="Times New Roman" w:eastAsia="宋体" w:cs="Times New Roman"/>
          <w:spacing w:val="0"/>
          <w:sz w:val="21"/>
          <w:szCs w:val="21"/>
        </w:rPr>
        <w:t>；弯折锚固的弯折后直段长度不应小于</w:t>
      </w:r>
      <w:r>
        <w:rPr>
          <w:rStyle w:val="71"/>
          <w:rFonts w:ascii="Times New Roman" w:hAnsi="Times New Roman" w:eastAsia="宋体" w:cs="Times New Roman"/>
          <w:spacing w:val="0"/>
          <w:sz w:val="21"/>
          <w:szCs w:val="21"/>
        </w:rPr>
        <w:t>12</w:t>
      </w:r>
      <w:r>
        <w:rPr>
          <w:rStyle w:val="71"/>
          <w:rFonts w:ascii="Times New Roman" w:hAnsi="Times New Roman" w:eastAsia="宋体" w:cs="Times New Roman"/>
          <w:i/>
          <w:iCs/>
          <w:spacing w:val="0"/>
          <w:sz w:val="21"/>
          <w:szCs w:val="21"/>
        </w:rPr>
        <w:t>d</w:t>
      </w:r>
      <w:r>
        <w:rPr>
          <w:rStyle w:val="71"/>
          <w:rFonts w:hint="eastAsia" w:ascii="Times New Roman" w:hAnsi="Times New Roman" w:eastAsia="宋体" w:cs="Times New Roman"/>
          <w:spacing w:val="0"/>
          <w:sz w:val="21"/>
          <w:szCs w:val="21"/>
        </w:rPr>
        <w:t>（</w:t>
      </w:r>
      <w:r>
        <w:rPr>
          <w:rStyle w:val="150"/>
          <w:rFonts w:ascii="Times New Roman" w:hAnsi="Times New Roman" w:eastAsia="宋体" w:cs="Times New Roman"/>
          <w:sz w:val="21"/>
          <w:szCs w:val="21"/>
        </w:rPr>
        <w:t>d</w:t>
      </w:r>
      <w:r>
        <w:rPr>
          <w:rFonts w:ascii="Times New Roman" w:hAnsi="Times New Roman" w:eastAsia="宋体" w:cs="Times New Roman"/>
          <w:spacing w:val="0"/>
          <w:sz w:val="21"/>
          <w:szCs w:val="21"/>
        </w:rPr>
        <w:t>为纵向受力钢筋直径）；</w:t>
      </w:r>
    </w:p>
    <w:p>
      <w:pPr>
        <w:pStyle w:val="51"/>
        <w:shd w:val="clear" w:color="auto" w:fill="auto"/>
        <w:tabs>
          <w:tab w:val="left" w:pos="739"/>
        </w:tabs>
        <w:spacing w:before="0" w:after="0" w:line="240" w:lineRule="auto"/>
        <w:ind w:right="23" w:firstLine="0"/>
        <w:jc w:val="center"/>
        <w:rPr>
          <w:rFonts w:ascii="Times New Roman" w:hAnsi="Times New Roman" w:eastAsia="宋体" w:cs="Times New Roman"/>
          <w:spacing w:val="0"/>
        </w:rPr>
      </w:pPr>
      <w:r>
        <w:drawing>
          <wp:inline distT="0" distB="0" distL="0" distR="0">
            <wp:extent cx="3903980" cy="1655445"/>
            <wp:effectExtent l="0" t="0" r="1270" b="1905"/>
            <wp:docPr id="58" name="图片 58" descr="D:/师兄材料/规范/改完大于等于号后的图/7.3.4a.png7.3.4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8" descr="D:/师兄材料/规范/改完大于等于号后的图/7.3.4a.png7.3.4a"/>
                    <pic:cNvPicPr>
                      <a:picLocks noChangeAspect="true" noChangeArrowheads="true"/>
                    </pic:cNvPicPr>
                  </pic:nvPicPr>
                  <pic:blipFill>
                    <a:blip r:embed="rId127"/>
                    <a:srcRect t="1062" b="1062"/>
                    <a:stretch>
                      <a:fillRect/>
                    </a:stretch>
                  </pic:blipFill>
                  <pic:spPr>
                    <a:xfrm>
                      <a:off x="0" y="0"/>
                      <a:ext cx="3904430" cy="1656000"/>
                    </a:xfrm>
                    <a:prstGeom prst="rect">
                      <a:avLst/>
                    </a:prstGeom>
                    <a:noFill/>
                    <a:ln>
                      <a:noFill/>
                    </a:ln>
                  </pic:spPr>
                </pic:pic>
              </a:graphicData>
            </a:graphic>
          </wp:inline>
        </w:drawing>
      </w:r>
    </w:p>
    <w:p>
      <w:pPr>
        <w:pStyle w:val="105"/>
        <w:shd w:val="clear" w:color="auto" w:fill="auto"/>
        <w:spacing w:line="240" w:lineRule="auto"/>
        <w:jc w:val="center"/>
        <w:rPr>
          <w:rFonts w:ascii="Times New Roman" w:hAnsi="Times New Roman" w:eastAsia="宋体" w:cs="Times New Roman"/>
          <w:spacing w:val="0"/>
          <w:sz w:val="21"/>
          <w:szCs w:val="21"/>
        </w:rPr>
      </w:pPr>
      <w:r>
        <w:rPr>
          <w:rStyle w:val="142"/>
          <w:rFonts w:ascii="宋体" w:hAnsi="宋体" w:eastAsia="宋体" w:cs="Times New Roman"/>
          <w:spacing w:val="0"/>
          <w:sz w:val="21"/>
          <w:szCs w:val="21"/>
        </w:rPr>
        <w:t>a</w:t>
      </w:r>
      <w:r>
        <w:rPr>
          <w:rStyle w:val="142"/>
          <w:rFonts w:hint="eastAsia" w:ascii="宋体" w:hAnsi="宋体" w:eastAsia="宋体" w:cs="Times New Roman"/>
          <w:spacing w:val="0"/>
          <w:sz w:val="21"/>
          <w:szCs w:val="21"/>
        </w:rPr>
        <w:t>）</w:t>
      </w:r>
      <w:r>
        <w:rPr>
          <w:rFonts w:ascii="Times New Roman" w:hAnsi="Times New Roman" w:eastAsia="宋体" w:cs="Times New Roman"/>
          <w:spacing w:val="0"/>
          <w:sz w:val="21"/>
          <w:szCs w:val="21"/>
        </w:rPr>
        <w:t>端部节点</w:t>
      </w:r>
    </w:p>
    <w:p>
      <w:pPr>
        <w:pStyle w:val="105"/>
        <w:shd w:val="clear" w:color="auto" w:fill="auto"/>
        <w:spacing w:line="240" w:lineRule="auto"/>
        <w:jc w:val="center"/>
        <w:rPr>
          <w:rFonts w:ascii="Times New Roman" w:hAnsi="Times New Roman" w:eastAsia="宋体" w:cs="Times New Roman"/>
          <w:spacing w:val="0"/>
        </w:rPr>
      </w:pPr>
      <w:r>
        <w:drawing>
          <wp:inline distT="0" distB="0" distL="0" distR="0">
            <wp:extent cx="4858385" cy="1619885"/>
            <wp:effectExtent l="0" t="0" r="0" b="0"/>
            <wp:docPr id="59" name="图片 59" descr="D:/师兄材料/规范/改完大于等于号后的图/7.3.4b.png7.3.4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9" descr="D:/师兄材料/规范/改完大于等于号后的图/7.3.4b.png7.3.4b"/>
                    <pic:cNvPicPr>
                      <a:picLocks noChangeAspect="true" noChangeArrowheads="true"/>
                    </pic:cNvPicPr>
                  </pic:nvPicPr>
                  <pic:blipFill>
                    <a:blip r:embed="rId128"/>
                    <a:srcRect t="1889" b="1889"/>
                    <a:stretch>
                      <a:fillRect/>
                    </a:stretch>
                  </pic:blipFill>
                  <pic:spPr>
                    <a:xfrm>
                      <a:off x="0" y="0"/>
                      <a:ext cx="4858755" cy="1620000"/>
                    </a:xfrm>
                    <a:prstGeom prst="rect">
                      <a:avLst/>
                    </a:prstGeom>
                    <a:noFill/>
                    <a:ln>
                      <a:noFill/>
                    </a:ln>
                  </pic:spPr>
                </pic:pic>
              </a:graphicData>
            </a:graphic>
          </wp:inline>
        </w:drawing>
      </w:r>
    </w:p>
    <w:p>
      <w:pPr>
        <w:pStyle w:val="105"/>
        <w:shd w:val="clear" w:color="auto" w:fill="auto"/>
        <w:spacing w:line="240" w:lineRule="auto"/>
        <w:jc w:val="center"/>
        <w:rPr>
          <w:rFonts w:ascii="Times New Roman" w:hAnsi="Times New Roman" w:eastAsia="宋体" w:cs="Times New Roman"/>
          <w:spacing w:val="0"/>
          <w:sz w:val="21"/>
          <w:szCs w:val="21"/>
        </w:rPr>
      </w:pPr>
      <w:r>
        <w:rPr>
          <w:rStyle w:val="142"/>
          <w:rFonts w:ascii="宋体" w:hAnsi="宋体" w:eastAsia="宋体" w:cs="Times New Roman"/>
          <w:spacing w:val="0"/>
          <w:sz w:val="21"/>
          <w:szCs w:val="21"/>
        </w:rPr>
        <w:t>b</w:t>
      </w:r>
      <w:r>
        <w:rPr>
          <w:rStyle w:val="142"/>
          <w:rFonts w:hint="eastAsia" w:ascii="宋体" w:hAnsi="宋体" w:eastAsia="宋体" w:cs="Times New Roman"/>
          <w:spacing w:val="0"/>
          <w:sz w:val="21"/>
          <w:szCs w:val="21"/>
        </w:rPr>
        <w:t>）</w:t>
      </w:r>
      <w:r>
        <w:rPr>
          <w:rStyle w:val="142"/>
          <w:rFonts w:ascii="Times New Roman" w:hAnsi="Times New Roman" w:eastAsia="宋体" w:cs="Times New Roman"/>
          <w:spacing w:val="0"/>
          <w:sz w:val="21"/>
          <w:szCs w:val="21"/>
        </w:rPr>
        <w:t>中间节点</w:t>
      </w:r>
    </w:p>
    <w:p>
      <w:pPr>
        <w:pStyle w:val="83"/>
        <w:shd w:val="clear" w:color="auto" w:fill="auto"/>
        <w:spacing w:before="120" w:beforeLines="50" w:after="120" w:afterLines="50" w:line="240" w:lineRule="auto"/>
        <w:jc w:val="center"/>
        <w:rPr>
          <w:rFonts w:ascii="Times New Roman" w:hAnsi="Times New Roman" w:eastAsia="宋体" w:cs="Times New Roman"/>
          <w:sz w:val="21"/>
          <w:szCs w:val="21"/>
        </w:rPr>
      </w:pPr>
      <w:r>
        <w:rPr>
          <w:rFonts w:ascii="Times New Roman" w:hAnsi="Times New Roman" w:eastAsia="宋体" w:cs="Times New Roman"/>
          <w:b w:val="0"/>
          <w:bCs w:val="0"/>
          <w:sz w:val="21"/>
          <w:szCs w:val="21"/>
        </w:rPr>
        <w:t>图11  主次梁连接节点构造示意</w:t>
      </w:r>
    </w:p>
    <w:p>
      <w:pPr>
        <w:pStyle w:val="83"/>
        <w:shd w:val="clear" w:color="auto" w:fill="auto"/>
        <w:spacing w:before="50" w:after="50" w:line="240" w:lineRule="auto"/>
        <w:jc w:val="center"/>
        <w:rPr>
          <w:rFonts w:ascii="Times New Roman" w:hAnsi="Times New Roman" w:eastAsia="宋体" w:cs="Times New Roman"/>
          <w:sz w:val="18"/>
          <w:szCs w:val="18"/>
        </w:rPr>
      </w:pPr>
      <w:r>
        <w:rPr>
          <w:rFonts w:ascii="Times New Roman" w:hAnsi="Times New Roman" w:eastAsia="宋体" w:cs="Times New Roman"/>
          <w:b w:val="0"/>
          <w:bCs w:val="0"/>
          <w:sz w:val="18"/>
          <w:szCs w:val="18"/>
        </w:rPr>
        <w:t>1—主梁后浇段；2—次梁；3—后浇混凝土叠合层；4—次梁上部纵向钢筋；5—次梁下部纵向钢筋</w:t>
      </w:r>
    </w:p>
    <w:p>
      <w:pPr>
        <w:pStyle w:val="51"/>
        <w:shd w:val="clear" w:color="auto" w:fill="auto"/>
        <w:tabs>
          <w:tab w:val="left" w:pos="764"/>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在中间节点处，两侧次梁的下部纵向钢筋伸入主梁后浇段内的长度不应小于</w:t>
      </w:r>
      <w:r>
        <w:rPr>
          <w:rStyle w:val="71"/>
          <w:rFonts w:ascii="Times New Roman" w:hAnsi="Times New Roman" w:eastAsia="宋体" w:cs="Times New Roman"/>
          <w:spacing w:val="0"/>
          <w:sz w:val="21"/>
          <w:szCs w:val="21"/>
        </w:rPr>
        <w:t>12</w:t>
      </w:r>
      <w:r>
        <w:rPr>
          <w:rStyle w:val="71"/>
          <w:rFonts w:ascii="Times New Roman" w:hAnsi="Times New Roman" w:eastAsia="宋体" w:cs="Times New Roman"/>
          <w:i/>
          <w:iCs/>
          <w:spacing w:val="0"/>
          <w:sz w:val="21"/>
          <w:szCs w:val="21"/>
        </w:rPr>
        <w:t>d</w:t>
      </w:r>
      <w:r>
        <w:rPr>
          <w:rStyle w:val="150"/>
          <w:rFonts w:hint="eastAsia" w:ascii="Times New Roman" w:hAnsi="Times New Roman" w:eastAsia="宋体" w:cs="Times New Roman"/>
          <w:i w:val="0"/>
          <w:iCs w:val="0"/>
          <w:sz w:val="21"/>
          <w:szCs w:val="21"/>
        </w:rPr>
        <w:t>（</w:t>
      </w:r>
      <w:r>
        <w:rPr>
          <w:rStyle w:val="150"/>
          <w:rFonts w:ascii="Times New Roman" w:hAnsi="Times New Roman" w:eastAsia="宋体" w:cs="Times New Roman"/>
          <w:sz w:val="21"/>
          <w:szCs w:val="21"/>
        </w:rPr>
        <w:t>d</w:t>
      </w:r>
      <w:r>
        <w:rPr>
          <w:rFonts w:ascii="Times New Roman" w:hAnsi="Times New Roman" w:eastAsia="宋体" w:cs="Times New Roman"/>
          <w:spacing w:val="0"/>
          <w:sz w:val="21"/>
          <w:szCs w:val="21"/>
        </w:rPr>
        <w:t>为纵向受力钢筋直径）；次梁上部纵向钢筋应在现浇层内贯通（</w:t>
      </w:r>
      <w:r>
        <w:rPr>
          <w:rFonts w:hint="eastAsia" w:ascii="Times New Roman" w:hAnsi="Times New Roman" w:eastAsia="宋体" w:cs="Times New Roman"/>
          <w:spacing w:val="0"/>
          <w:sz w:val="21"/>
          <w:szCs w:val="21"/>
        </w:rPr>
        <w:t>见</w:t>
      </w:r>
      <w:r>
        <w:rPr>
          <w:rFonts w:ascii="Times New Roman" w:hAnsi="Times New Roman" w:eastAsia="宋体" w:cs="Times New Roman"/>
          <w:spacing w:val="0"/>
          <w:sz w:val="21"/>
          <w:szCs w:val="21"/>
        </w:rPr>
        <w:t>图11</w:t>
      </w:r>
      <w:r>
        <w:rPr>
          <w:rStyle w:val="71"/>
          <w:rFonts w:ascii="Times New Roman" w:hAnsi="Times New Roman" w:eastAsia="宋体" w:cs="Times New Roman"/>
          <w:spacing w:val="0"/>
          <w:sz w:val="21"/>
          <w:szCs w:val="21"/>
        </w:rPr>
        <w:t>b</w:t>
      </w:r>
      <w:r>
        <w:rPr>
          <w:rStyle w:val="71"/>
          <w:rFonts w:hint="eastAsia" w:ascii="Times New Roman" w:hAnsi="Times New Roman" w:eastAsia="宋体" w:cs="Times New Roman"/>
          <w:spacing w:val="0"/>
          <w:sz w:val="21"/>
          <w:szCs w:val="21"/>
        </w:rPr>
        <w:t>）</w:t>
      </w:r>
      <w:r>
        <w:rPr>
          <w:rStyle w:val="71"/>
          <w:rFonts w:ascii="Times New Roman" w:hAnsi="Times New Roman" w:eastAsia="宋体" w:cs="Times New Roman"/>
          <w:spacing w:val="0"/>
          <w:sz w:val="21"/>
          <w:szCs w:val="21"/>
        </w:rPr>
        <w:t>。</w:t>
      </w:r>
    </w:p>
    <w:p>
      <w:pPr>
        <w:pStyle w:val="51"/>
        <w:numPr>
          <w:ilvl w:val="0"/>
          <w:numId w:val="24"/>
        </w:numPr>
        <w:shd w:val="clear" w:color="auto" w:fill="auto"/>
        <w:tabs>
          <w:tab w:val="left" w:pos="658"/>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预制柱的设计应满足现行国家标准</w:t>
      </w:r>
      <w:r>
        <w:rPr>
          <w:rStyle w:val="71"/>
          <w:rFonts w:ascii="Times New Roman" w:hAnsi="Times New Roman" w:eastAsia="宋体" w:cs="Times New Roman"/>
          <w:spacing w:val="0"/>
          <w:sz w:val="21"/>
          <w:szCs w:val="21"/>
        </w:rPr>
        <w:t>GB/T 50010</w:t>
      </w:r>
      <w:r>
        <w:rPr>
          <w:rFonts w:ascii="Times New Roman" w:hAnsi="Times New Roman" w:eastAsia="宋体" w:cs="Times New Roman"/>
          <w:spacing w:val="0"/>
          <w:sz w:val="21"/>
          <w:szCs w:val="21"/>
        </w:rPr>
        <w:t>的要求，并应符合下列规定：</w:t>
      </w:r>
    </w:p>
    <w:p>
      <w:pPr>
        <w:pStyle w:val="51"/>
        <w:shd w:val="clear" w:color="auto" w:fill="auto"/>
        <w:tabs>
          <w:tab w:val="left" w:pos="759"/>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矩形柱截面边长不宜小于</w:t>
      </w:r>
      <w:r>
        <w:rPr>
          <w:rStyle w:val="71"/>
          <w:rFonts w:ascii="Times New Roman" w:hAnsi="Times New Roman" w:eastAsia="宋体" w:cs="Times New Roman"/>
          <w:spacing w:val="0"/>
          <w:sz w:val="21"/>
          <w:szCs w:val="21"/>
        </w:rPr>
        <w:t>400mm</w:t>
      </w:r>
      <w:r>
        <w:rPr>
          <w:rFonts w:ascii="Times New Roman" w:hAnsi="Times New Roman" w:eastAsia="宋体" w:cs="Times New Roman"/>
          <w:spacing w:val="0"/>
          <w:sz w:val="21"/>
          <w:szCs w:val="21"/>
        </w:rPr>
        <w:t>，圆形截面柱直径不宜小于</w:t>
      </w:r>
      <w:r>
        <w:rPr>
          <w:rStyle w:val="71"/>
          <w:rFonts w:ascii="Times New Roman" w:hAnsi="Times New Roman" w:eastAsia="宋体" w:cs="Times New Roman"/>
          <w:spacing w:val="0"/>
          <w:sz w:val="21"/>
          <w:szCs w:val="21"/>
        </w:rPr>
        <w:t>450mm</w:t>
      </w:r>
      <w:r>
        <w:rPr>
          <w:rFonts w:ascii="Times New Roman" w:hAnsi="Times New Roman" w:eastAsia="宋体" w:cs="Times New Roman"/>
          <w:spacing w:val="0"/>
          <w:sz w:val="21"/>
          <w:szCs w:val="21"/>
        </w:rPr>
        <w:t>，且不宜小于同方向梁宽的</w:t>
      </w:r>
      <w:r>
        <w:rPr>
          <w:rStyle w:val="71"/>
          <w:rFonts w:ascii="Times New Roman" w:hAnsi="Times New Roman" w:eastAsia="宋体" w:cs="Times New Roman"/>
          <w:spacing w:val="0"/>
          <w:sz w:val="21"/>
          <w:szCs w:val="21"/>
        </w:rPr>
        <w:t>1.5</w:t>
      </w:r>
      <w:r>
        <w:rPr>
          <w:rFonts w:ascii="Times New Roman" w:hAnsi="Times New Roman" w:eastAsia="宋体" w:cs="Times New Roman"/>
          <w:spacing w:val="0"/>
          <w:sz w:val="21"/>
          <w:szCs w:val="21"/>
        </w:rPr>
        <w:t>倍；</w:t>
      </w:r>
    </w:p>
    <w:p>
      <w:pPr>
        <w:pStyle w:val="51"/>
        <w:shd w:val="clear" w:color="auto" w:fill="auto"/>
        <w:tabs>
          <w:tab w:val="left" w:pos="754"/>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柱纵向受力钢筋在柱底连接时，柱箍筋加密区长度不应小于纵向受力钢筋连接区域长度与</w:t>
      </w:r>
      <w:r>
        <w:rPr>
          <w:rStyle w:val="71"/>
          <w:rFonts w:ascii="Times New Roman" w:hAnsi="Times New Roman" w:eastAsia="宋体" w:cs="Times New Roman"/>
          <w:spacing w:val="0"/>
          <w:sz w:val="21"/>
          <w:szCs w:val="21"/>
        </w:rPr>
        <w:t>500mm</w:t>
      </w:r>
      <w:r>
        <w:rPr>
          <w:rFonts w:ascii="Times New Roman" w:hAnsi="Times New Roman" w:eastAsia="宋体" w:cs="Times New Roman"/>
          <w:spacing w:val="0"/>
          <w:sz w:val="21"/>
          <w:szCs w:val="21"/>
        </w:rPr>
        <w:t>之和；当采用套筒灌浆连接或浆锚搭接连接等方式时，套筒或搭接段上端第一道箍筋距离套筒或搭接段顶部不应大于</w:t>
      </w:r>
      <w:r>
        <w:rPr>
          <w:rStyle w:val="71"/>
          <w:rFonts w:ascii="Times New Roman" w:hAnsi="Times New Roman" w:eastAsia="宋体" w:cs="Times New Roman"/>
          <w:spacing w:val="0"/>
          <w:sz w:val="21"/>
          <w:szCs w:val="21"/>
        </w:rPr>
        <w:t>50mm</w:t>
      </w:r>
      <w:r>
        <w:rPr>
          <w:rStyle w:val="71"/>
          <w:rFonts w:ascii="Times New Roman" w:hAnsi="Times New Roman" w:eastAsia="宋体" w:cs="Times New Roman"/>
          <w:spacing w:val="0"/>
          <w:sz w:val="21"/>
          <w:szCs w:val="21"/>
          <w:lang w:val="zh-CN"/>
        </w:rPr>
        <w:t>（</w:t>
      </w:r>
      <w:r>
        <w:rPr>
          <w:rStyle w:val="71"/>
          <w:rFonts w:hint="eastAsia" w:ascii="Times New Roman" w:hAnsi="Times New Roman" w:eastAsia="宋体" w:cs="Times New Roman"/>
          <w:spacing w:val="0"/>
          <w:sz w:val="21"/>
          <w:szCs w:val="21"/>
          <w:lang w:val="zh-CN"/>
        </w:rPr>
        <w:t>见</w:t>
      </w:r>
      <w:r>
        <w:rPr>
          <w:rFonts w:ascii="Times New Roman" w:hAnsi="Times New Roman" w:eastAsia="宋体" w:cs="Times New Roman"/>
          <w:spacing w:val="0"/>
          <w:sz w:val="21"/>
          <w:szCs w:val="21"/>
        </w:rPr>
        <w:t>图12）；</w:t>
      </w:r>
    </w:p>
    <w:p>
      <w:pPr>
        <w:pStyle w:val="51"/>
        <w:shd w:val="clear" w:color="auto" w:fill="auto"/>
        <w:tabs>
          <w:tab w:val="left" w:pos="754"/>
        </w:tabs>
        <w:spacing w:before="0" w:after="0" w:line="240" w:lineRule="auto"/>
        <w:ind w:firstLine="0"/>
        <w:jc w:val="center"/>
        <w:rPr>
          <w:rFonts w:ascii="Times New Roman" w:hAnsi="Times New Roman" w:eastAsia="宋体" w:cs="Times New Roman"/>
          <w:spacing w:val="0"/>
          <w:sz w:val="21"/>
          <w:szCs w:val="21"/>
        </w:rPr>
      </w:pPr>
      <w:r>
        <w:rPr>
          <w:rFonts w:hint="eastAsia" w:ascii="Times New Roman" w:hAnsi="Times New Roman" w:eastAsia="宋体" w:cs="Times New Roman"/>
          <w:sz w:val="21"/>
          <w:szCs w:val="21"/>
        </w:rPr>
        <w:drawing>
          <wp:anchor distT="0" distB="0" distL="114300" distR="114300" simplePos="0" relativeHeight="251659264" behindDoc="0" locked="0" layoutInCell="1" allowOverlap="1">
            <wp:simplePos x="0" y="0"/>
            <wp:positionH relativeFrom="column">
              <wp:posOffset>1779905</wp:posOffset>
            </wp:positionH>
            <wp:positionV relativeFrom="paragraph">
              <wp:posOffset>32385</wp:posOffset>
            </wp:positionV>
            <wp:extent cx="2054225" cy="1871980"/>
            <wp:effectExtent l="0" t="0" r="0" b="0"/>
            <wp:wrapNone/>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129"/>
                    <a:stretch>
                      <a:fillRect/>
                    </a:stretch>
                  </pic:blipFill>
                  <pic:spPr>
                    <a:xfrm>
                      <a:off x="0" y="0"/>
                      <a:ext cx="2054246" cy="1872000"/>
                    </a:xfrm>
                    <a:prstGeom prst="rect">
                      <a:avLst/>
                    </a:prstGeom>
                  </pic:spPr>
                </pic:pic>
              </a:graphicData>
            </a:graphic>
          </wp:anchor>
        </w:drawing>
      </w:r>
    </w:p>
    <w:p>
      <w:pPr>
        <w:pStyle w:val="51"/>
        <w:shd w:val="clear" w:color="auto" w:fill="auto"/>
        <w:tabs>
          <w:tab w:val="left" w:pos="754"/>
        </w:tabs>
        <w:spacing w:before="0" w:after="0" w:line="240" w:lineRule="auto"/>
        <w:ind w:firstLine="0"/>
        <w:jc w:val="center"/>
        <w:rPr>
          <w:rFonts w:ascii="Times New Roman" w:hAnsi="Times New Roman" w:eastAsia="宋体" w:cs="Times New Roman"/>
          <w:spacing w:val="0"/>
          <w:sz w:val="21"/>
          <w:szCs w:val="21"/>
        </w:rPr>
      </w:pPr>
    </w:p>
    <w:p>
      <w:pPr>
        <w:pStyle w:val="51"/>
        <w:shd w:val="clear" w:color="auto" w:fill="auto"/>
        <w:tabs>
          <w:tab w:val="left" w:pos="754"/>
        </w:tabs>
        <w:spacing w:before="0" w:after="0" w:line="240" w:lineRule="auto"/>
        <w:ind w:firstLine="0"/>
        <w:jc w:val="center"/>
        <w:rPr>
          <w:rFonts w:ascii="Times New Roman" w:hAnsi="Times New Roman" w:eastAsia="宋体" w:cs="Times New Roman"/>
          <w:spacing w:val="0"/>
          <w:sz w:val="18"/>
          <w:szCs w:val="18"/>
        </w:rPr>
      </w:pPr>
    </w:p>
    <w:p>
      <w:pPr>
        <w:pStyle w:val="51"/>
        <w:shd w:val="clear" w:color="auto" w:fill="auto"/>
        <w:tabs>
          <w:tab w:val="left" w:pos="754"/>
        </w:tabs>
        <w:spacing w:before="0" w:after="0" w:line="240" w:lineRule="auto"/>
        <w:ind w:firstLine="0"/>
        <w:jc w:val="center"/>
        <w:rPr>
          <w:rFonts w:ascii="Times New Roman" w:hAnsi="Times New Roman" w:eastAsia="宋体" w:cs="Times New Roman"/>
          <w:spacing w:val="0"/>
          <w:sz w:val="18"/>
          <w:szCs w:val="18"/>
        </w:rPr>
      </w:pPr>
    </w:p>
    <w:p>
      <w:pPr>
        <w:pStyle w:val="51"/>
        <w:shd w:val="clear" w:color="auto" w:fill="auto"/>
        <w:tabs>
          <w:tab w:val="left" w:pos="754"/>
        </w:tabs>
        <w:spacing w:before="0" w:after="0" w:line="240" w:lineRule="auto"/>
        <w:ind w:firstLine="0"/>
        <w:jc w:val="center"/>
        <w:rPr>
          <w:rFonts w:ascii="Times New Roman" w:hAnsi="Times New Roman" w:eastAsia="宋体" w:cs="Times New Roman"/>
          <w:spacing w:val="0"/>
          <w:sz w:val="18"/>
          <w:szCs w:val="18"/>
        </w:rPr>
      </w:pPr>
    </w:p>
    <w:p>
      <w:pPr>
        <w:pStyle w:val="51"/>
        <w:shd w:val="clear" w:color="auto" w:fill="auto"/>
        <w:tabs>
          <w:tab w:val="left" w:pos="754"/>
        </w:tabs>
        <w:spacing w:before="0" w:after="0" w:line="240" w:lineRule="auto"/>
        <w:ind w:firstLine="0"/>
        <w:jc w:val="center"/>
        <w:rPr>
          <w:rFonts w:ascii="Times New Roman" w:hAnsi="Times New Roman" w:eastAsia="宋体" w:cs="Times New Roman"/>
          <w:spacing w:val="0"/>
          <w:sz w:val="18"/>
          <w:szCs w:val="18"/>
        </w:rPr>
      </w:pPr>
    </w:p>
    <w:p>
      <w:pPr>
        <w:pStyle w:val="51"/>
        <w:shd w:val="clear" w:color="auto" w:fill="auto"/>
        <w:tabs>
          <w:tab w:val="left" w:pos="754"/>
        </w:tabs>
        <w:spacing w:before="0" w:after="0" w:line="240" w:lineRule="auto"/>
        <w:ind w:firstLine="0"/>
        <w:jc w:val="center"/>
        <w:rPr>
          <w:rFonts w:ascii="Times New Roman" w:hAnsi="Times New Roman" w:eastAsia="宋体" w:cs="Times New Roman"/>
          <w:spacing w:val="0"/>
          <w:sz w:val="21"/>
          <w:szCs w:val="21"/>
        </w:rPr>
      </w:pPr>
    </w:p>
    <w:p>
      <w:pPr>
        <w:pStyle w:val="51"/>
        <w:shd w:val="clear" w:color="auto" w:fill="auto"/>
        <w:tabs>
          <w:tab w:val="left" w:pos="754"/>
        </w:tabs>
        <w:spacing w:before="0" w:after="0" w:line="240" w:lineRule="auto"/>
        <w:ind w:firstLine="0"/>
        <w:jc w:val="center"/>
        <w:rPr>
          <w:rFonts w:ascii="Times New Roman" w:hAnsi="Times New Roman" w:eastAsia="宋体" w:cs="Times New Roman"/>
          <w:spacing w:val="0"/>
          <w:sz w:val="21"/>
          <w:szCs w:val="21"/>
        </w:rPr>
      </w:pPr>
    </w:p>
    <w:p>
      <w:pPr>
        <w:pStyle w:val="51"/>
        <w:shd w:val="clear" w:color="auto" w:fill="auto"/>
        <w:tabs>
          <w:tab w:val="left" w:pos="754"/>
        </w:tabs>
        <w:spacing w:before="0" w:after="0" w:line="240" w:lineRule="auto"/>
        <w:ind w:firstLine="0"/>
        <w:jc w:val="center"/>
        <w:rPr>
          <w:rFonts w:ascii="Times New Roman" w:hAnsi="Times New Roman" w:eastAsia="宋体" w:cs="Times New Roman"/>
          <w:spacing w:val="0"/>
          <w:sz w:val="21"/>
          <w:szCs w:val="21"/>
        </w:rPr>
      </w:pPr>
    </w:p>
    <w:p>
      <w:pPr>
        <w:pStyle w:val="51"/>
        <w:shd w:val="clear" w:color="auto" w:fill="auto"/>
        <w:tabs>
          <w:tab w:val="left" w:pos="754"/>
        </w:tabs>
        <w:spacing w:before="0" w:after="0" w:line="240" w:lineRule="auto"/>
        <w:ind w:firstLine="0"/>
        <w:jc w:val="center"/>
        <w:rPr>
          <w:rFonts w:ascii="Times New Roman" w:hAnsi="Times New Roman" w:eastAsia="宋体" w:cs="Times New Roman"/>
          <w:spacing w:val="0"/>
          <w:sz w:val="21"/>
          <w:szCs w:val="21"/>
        </w:rPr>
      </w:pPr>
    </w:p>
    <w:p>
      <w:pPr>
        <w:pStyle w:val="51"/>
        <w:shd w:val="clear" w:color="auto" w:fill="auto"/>
        <w:tabs>
          <w:tab w:val="left" w:pos="754"/>
        </w:tabs>
        <w:spacing w:before="0" w:after="0" w:line="240" w:lineRule="auto"/>
        <w:ind w:firstLine="0"/>
        <w:jc w:val="center"/>
        <w:rPr>
          <w:rFonts w:ascii="Times New Roman" w:hAnsi="Times New Roman" w:eastAsia="宋体" w:cs="Times New Roman"/>
          <w:spacing w:val="0"/>
          <w:sz w:val="21"/>
          <w:szCs w:val="21"/>
        </w:rPr>
      </w:pPr>
    </w:p>
    <w:p>
      <w:pPr>
        <w:pStyle w:val="51"/>
        <w:shd w:val="clear" w:color="auto" w:fill="auto"/>
        <w:tabs>
          <w:tab w:val="left" w:pos="754"/>
        </w:tabs>
        <w:spacing w:before="0" w:after="0" w:line="240" w:lineRule="auto"/>
        <w:ind w:firstLine="0"/>
        <w:jc w:val="center"/>
        <w:rPr>
          <w:rFonts w:ascii="Times New Roman" w:hAnsi="Times New Roman" w:eastAsia="宋体" w:cs="Times New Roman"/>
          <w:spacing w:val="0"/>
          <w:sz w:val="21"/>
          <w:szCs w:val="21"/>
        </w:rPr>
      </w:pPr>
    </w:p>
    <w:p>
      <w:pPr>
        <w:pStyle w:val="51"/>
        <w:shd w:val="clear" w:color="auto" w:fill="auto"/>
        <w:tabs>
          <w:tab w:val="left" w:pos="754"/>
        </w:tabs>
        <w:spacing w:before="0" w:after="0" w:line="240" w:lineRule="auto"/>
        <w:ind w:firstLine="0"/>
        <w:jc w:val="center"/>
        <w:rPr>
          <w:rFonts w:ascii="Times New Roman" w:hAnsi="Times New Roman" w:eastAsia="宋体" w:cs="Times New Roman"/>
          <w:spacing w:val="0"/>
          <w:sz w:val="21"/>
          <w:szCs w:val="21"/>
        </w:rPr>
      </w:pPr>
    </w:p>
    <w:p>
      <w:pPr>
        <w:pStyle w:val="83"/>
        <w:shd w:val="clear" w:color="auto" w:fill="auto"/>
        <w:spacing w:before="50" w:after="50" w:line="240" w:lineRule="auto"/>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图12  柱底箍筋加密区域构造示意</w:t>
      </w:r>
    </w:p>
    <w:p>
      <w:pPr>
        <w:pStyle w:val="83"/>
        <w:shd w:val="clear" w:color="auto" w:fill="auto"/>
        <w:spacing w:before="50" w:after="50" w:line="240" w:lineRule="auto"/>
        <w:jc w:val="center"/>
        <w:rPr>
          <w:rFonts w:ascii="Times New Roman" w:hAnsi="Times New Roman" w:eastAsia="宋体" w:cs="Times New Roman"/>
          <w:b w:val="0"/>
          <w:bCs w:val="0"/>
          <w:sz w:val="18"/>
          <w:szCs w:val="18"/>
        </w:rPr>
      </w:pPr>
      <w:r>
        <w:rPr>
          <w:rFonts w:ascii="Times New Roman" w:hAnsi="Times New Roman" w:eastAsia="宋体" w:cs="Times New Roman"/>
          <w:b w:val="0"/>
          <w:bCs w:val="0"/>
          <w:sz w:val="18"/>
          <w:szCs w:val="18"/>
        </w:rPr>
        <w:t>1—预制柱；2—连接接头（或钢筋连接区域）；3—箍筋加密区（阴影区域）；4—加密区箍筋</w:t>
      </w:r>
    </w:p>
    <w:p>
      <w:pPr>
        <w:pStyle w:val="51"/>
        <w:shd w:val="clear" w:color="auto" w:fill="auto"/>
        <w:tabs>
          <w:tab w:val="left" w:pos="746"/>
        </w:tabs>
        <w:spacing w:before="0" w:after="0" w:line="240" w:lineRule="auto"/>
        <w:ind w:firstLine="420" w:firstLineChars="200"/>
        <w:jc w:val="left"/>
        <w:rPr>
          <w:rFonts w:ascii="Times New Roman" w:hAnsi="Times New Roman" w:eastAsia="宋体" w:cs="Times New Roman"/>
          <w:spacing w:val="0"/>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柱纵向受力钢筋直径不宜小于20mm，纵向受力钢筋的间距不宜大于200mm且不应大于400mm。柱的纵向受力钢筋可集中于四角配置且宜对称布置。柱中可设置纵向辅助钢筋且直径不宜小于12mm和箍筋直径；当正截面承载力计算不计入纵向辅助钢筋时，纵向辅助钢筋可不伸入框架节点（</w:t>
      </w:r>
      <w:r>
        <w:rPr>
          <w:rFonts w:hint="eastAsia" w:ascii="Times New Roman" w:hAnsi="Times New Roman" w:eastAsia="宋体" w:cs="Times New Roman"/>
          <w:spacing w:val="0"/>
          <w:sz w:val="21"/>
          <w:szCs w:val="21"/>
        </w:rPr>
        <w:t>见</w:t>
      </w:r>
      <w:r>
        <w:rPr>
          <w:rFonts w:ascii="Times New Roman" w:hAnsi="Times New Roman" w:eastAsia="宋体" w:cs="Times New Roman"/>
          <w:spacing w:val="0"/>
          <w:sz w:val="21"/>
          <w:szCs w:val="21"/>
        </w:rPr>
        <w:t>图13</w:t>
      </w:r>
      <w:r>
        <w:rPr>
          <w:rFonts w:hint="eastAsia" w:ascii="Times New Roman" w:hAnsi="Times New Roman" w:eastAsia="宋体" w:cs="Times New Roman"/>
          <w:spacing w:val="0"/>
          <w:sz w:val="21"/>
          <w:szCs w:val="21"/>
        </w:rPr>
        <w:t>）</w:t>
      </w:r>
      <w:r>
        <w:rPr>
          <w:rFonts w:ascii="Times New Roman" w:hAnsi="Times New Roman" w:eastAsia="宋体" w:cs="Times New Roman"/>
          <w:spacing w:val="0"/>
          <w:sz w:val="21"/>
          <w:szCs w:val="21"/>
        </w:rPr>
        <w:t>；</w:t>
      </w:r>
    </w:p>
    <w:p>
      <w:pPr>
        <w:pStyle w:val="51"/>
        <w:shd w:val="clear" w:color="auto" w:fill="auto"/>
        <w:tabs>
          <w:tab w:val="left" w:pos="746"/>
        </w:tabs>
        <w:spacing w:before="0" w:after="0" w:line="240" w:lineRule="auto"/>
        <w:ind w:firstLine="412" w:firstLineChars="200"/>
        <w:jc w:val="left"/>
        <w:rPr>
          <w:rFonts w:ascii="Times New Roman" w:hAnsi="Times New Roman" w:eastAsia="宋体" w:cs="Times New Roman"/>
          <w:spacing w:val="0"/>
          <w:sz w:val="21"/>
          <w:szCs w:val="21"/>
        </w:rPr>
      </w:pPr>
      <w:r>
        <w:drawing>
          <wp:anchor distT="0" distB="0" distL="114300" distR="114300" simplePos="0" relativeHeight="251667456" behindDoc="0" locked="0" layoutInCell="1" allowOverlap="1">
            <wp:simplePos x="0" y="0"/>
            <wp:positionH relativeFrom="column">
              <wp:posOffset>2645410</wp:posOffset>
            </wp:positionH>
            <wp:positionV relativeFrom="paragraph">
              <wp:posOffset>20955</wp:posOffset>
            </wp:positionV>
            <wp:extent cx="1071880" cy="1367790"/>
            <wp:effectExtent l="0" t="0" r="0" b="3810"/>
            <wp:wrapNone/>
            <wp:docPr id="61" name="图片 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true" noChangeArrowheads="true"/>
                    </pic:cNvPicPr>
                  </pic:nvPicPr>
                  <pic:blipFill>
                    <a:blip r:embed="rId130">
                      <a:extLst>
                        <a:ext uri="{28A0092B-C50C-407E-A947-70E740481C1C}">
                          <a14:useLocalDpi xmlns:a14="http://schemas.microsoft.com/office/drawing/2010/main" val="false"/>
                        </a:ext>
                      </a:extLst>
                    </a:blip>
                    <a:srcRect t="1203"/>
                    <a:stretch>
                      <a:fillRect/>
                    </a:stretch>
                  </pic:blipFill>
                  <pic:spPr>
                    <a:xfrm>
                      <a:off x="0" y="0"/>
                      <a:ext cx="1071823" cy="1368000"/>
                    </a:xfrm>
                    <a:prstGeom prst="rect">
                      <a:avLst/>
                    </a:prstGeom>
                    <a:noFill/>
                    <a:ln>
                      <a:noFill/>
                    </a:ln>
                  </pic:spPr>
                </pic:pic>
              </a:graphicData>
            </a:graphic>
          </wp:anchor>
        </w:drawing>
      </w:r>
    </w:p>
    <w:p>
      <w:pPr>
        <w:pStyle w:val="51"/>
        <w:shd w:val="clear" w:color="auto" w:fill="auto"/>
        <w:tabs>
          <w:tab w:val="left" w:pos="746"/>
        </w:tabs>
        <w:spacing w:before="0" w:after="0" w:line="240" w:lineRule="auto"/>
        <w:ind w:firstLine="0"/>
        <w:jc w:val="left"/>
        <w:rPr>
          <w:rFonts w:ascii="Times New Roman" w:hAnsi="Times New Roman" w:eastAsia="宋体" w:cs="Times New Roman"/>
          <w:spacing w:val="0"/>
          <w:sz w:val="20"/>
          <w:szCs w:val="21"/>
        </w:rPr>
      </w:pPr>
    </w:p>
    <w:p>
      <w:pPr>
        <w:pStyle w:val="51"/>
        <w:shd w:val="clear" w:color="auto" w:fill="auto"/>
        <w:tabs>
          <w:tab w:val="left" w:pos="746"/>
        </w:tabs>
        <w:spacing w:before="0" w:after="0" w:line="240" w:lineRule="auto"/>
        <w:ind w:firstLine="400" w:firstLineChars="200"/>
        <w:jc w:val="left"/>
        <w:rPr>
          <w:rFonts w:ascii="Times New Roman" w:hAnsi="Times New Roman" w:eastAsia="宋体" w:cs="Times New Roman"/>
          <w:spacing w:val="0"/>
          <w:sz w:val="20"/>
          <w:szCs w:val="21"/>
        </w:rPr>
      </w:pPr>
    </w:p>
    <w:p>
      <w:pPr>
        <w:pStyle w:val="51"/>
        <w:shd w:val="clear" w:color="auto" w:fill="auto"/>
        <w:tabs>
          <w:tab w:val="left" w:pos="746"/>
        </w:tabs>
        <w:spacing w:before="0" w:after="0" w:line="240" w:lineRule="auto"/>
        <w:ind w:firstLine="400" w:firstLineChars="200"/>
        <w:jc w:val="left"/>
        <w:rPr>
          <w:rFonts w:ascii="Times New Roman" w:hAnsi="Times New Roman" w:eastAsia="宋体" w:cs="Times New Roman"/>
          <w:spacing w:val="0"/>
          <w:sz w:val="20"/>
          <w:szCs w:val="21"/>
        </w:rPr>
      </w:pPr>
    </w:p>
    <w:p>
      <w:pPr>
        <w:pStyle w:val="51"/>
        <w:shd w:val="clear" w:color="auto" w:fill="auto"/>
        <w:tabs>
          <w:tab w:val="left" w:pos="746"/>
        </w:tabs>
        <w:spacing w:before="0" w:after="0" w:line="240" w:lineRule="auto"/>
        <w:ind w:firstLine="400" w:firstLineChars="200"/>
        <w:jc w:val="left"/>
        <w:rPr>
          <w:rFonts w:ascii="Times New Roman" w:hAnsi="Times New Roman" w:eastAsia="宋体" w:cs="Times New Roman"/>
          <w:spacing w:val="0"/>
          <w:sz w:val="20"/>
          <w:szCs w:val="21"/>
        </w:rPr>
      </w:pPr>
    </w:p>
    <w:p>
      <w:pPr>
        <w:pStyle w:val="51"/>
        <w:shd w:val="clear" w:color="auto" w:fill="auto"/>
        <w:tabs>
          <w:tab w:val="left" w:pos="746"/>
        </w:tabs>
        <w:spacing w:before="0" w:after="0" w:line="240" w:lineRule="auto"/>
        <w:ind w:firstLine="400" w:firstLineChars="200"/>
        <w:jc w:val="left"/>
        <w:rPr>
          <w:rFonts w:ascii="Times New Roman" w:hAnsi="Times New Roman" w:eastAsia="宋体" w:cs="Times New Roman"/>
          <w:spacing w:val="0"/>
          <w:sz w:val="20"/>
          <w:szCs w:val="21"/>
        </w:rPr>
      </w:pPr>
    </w:p>
    <w:p>
      <w:pPr>
        <w:pStyle w:val="51"/>
        <w:shd w:val="clear" w:color="auto" w:fill="auto"/>
        <w:tabs>
          <w:tab w:val="left" w:pos="746"/>
        </w:tabs>
        <w:spacing w:before="0" w:after="0" w:line="240" w:lineRule="auto"/>
        <w:ind w:firstLine="420" w:firstLineChars="200"/>
        <w:jc w:val="left"/>
        <w:rPr>
          <w:rFonts w:ascii="Times New Roman" w:hAnsi="Times New Roman" w:eastAsia="宋体" w:cs="Times New Roman"/>
          <w:spacing w:val="0"/>
          <w:sz w:val="21"/>
          <w:szCs w:val="21"/>
        </w:rPr>
      </w:pPr>
    </w:p>
    <w:p>
      <w:pPr>
        <w:pStyle w:val="51"/>
        <w:shd w:val="clear" w:color="auto" w:fill="auto"/>
        <w:tabs>
          <w:tab w:val="left" w:pos="746"/>
        </w:tabs>
        <w:spacing w:before="0" w:after="0" w:line="240" w:lineRule="auto"/>
        <w:ind w:firstLine="420" w:firstLineChars="200"/>
        <w:jc w:val="left"/>
        <w:rPr>
          <w:rFonts w:ascii="Times New Roman" w:hAnsi="Times New Roman" w:eastAsia="宋体" w:cs="Times New Roman"/>
          <w:spacing w:val="0"/>
          <w:sz w:val="21"/>
          <w:szCs w:val="21"/>
        </w:rPr>
      </w:pPr>
    </w:p>
    <w:p>
      <w:pPr>
        <w:framePr w:wrap="auto" w:vAnchor="page" w:hAnchor="page" w:x="5162" w:y="4346"/>
        <w:rPr>
          <w:rFonts w:ascii="Times New Roman" w:hAnsi="Times New Roman" w:eastAsia="宋体" w:cs="Times New Roman"/>
          <w:sz w:val="0"/>
          <w:szCs w:val="0"/>
        </w:rPr>
      </w:pPr>
    </w:p>
    <w:p>
      <w:pPr>
        <w:pStyle w:val="51"/>
        <w:shd w:val="clear" w:color="auto" w:fill="auto"/>
        <w:spacing w:before="0" w:after="0" w:line="240" w:lineRule="auto"/>
        <w:ind w:firstLine="0"/>
        <w:jc w:val="center"/>
        <w:rPr>
          <w:rStyle w:val="71"/>
          <w:rFonts w:ascii="Times New Roman" w:hAnsi="Times New Roman" w:eastAsia="宋体" w:cs="Times New Roman"/>
          <w:spacing w:val="0"/>
        </w:rPr>
      </w:pPr>
    </w:p>
    <w:p>
      <w:pPr>
        <w:pStyle w:val="83"/>
        <w:shd w:val="clear" w:color="auto" w:fill="auto"/>
        <w:spacing w:before="120" w:beforeLines="50" w:after="120" w:afterLines="50" w:line="240" w:lineRule="auto"/>
        <w:ind w:firstLine="3108" w:firstLineChars="1400"/>
        <w:jc w:val="both"/>
        <w:rPr>
          <w:rFonts w:ascii="Times New Roman" w:hAnsi="Times New Roman" w:eastAsia="宋体" w:cs="Times New Roman"/>
          <w:sz w:val="21"/>
          <w:szCs w:val="21"/>
        </w:rPr>
      </w:pPr>
      <w:r>
        <w:rPr>
          <w:rFonts w:ascii="Times New Roman" w:hAnsi="Times New Roman" w:eastAsia="宋体" w:cs="Times New Roman"/>
          <w:b w:val="0"/>
          <w:bCs w:val="0"/>
          <w:sz w:val="21"/>
          <w:szCs w:val="21"/>
        </w:rPr>
        <w:t>图13  柱集中配筋构造平面示意</w:t>
      </w:r>
    </w:p>
    <w:p>
      <w:pPr>
        <w:pStyle w:val="83"/>
        <w:shd w:val="clear" w:color="auto" w:fill="auto"/>
        <w:spacing w:after="50" w:line="240" w:lineRule="auto"/>
        <w:jc w:val="center"/>
        <w:rPr>
          <w:rFonts w:ascii="Times New Roman" w:hAnsi="Times New Roman" w:eastAsia="宋体" w:cs="Times New Roman"/>
          <w:sz w:val="18"/>
          <w:szCs w:val="18"/>
        </w:rPr>
      </w:pPr>
      <w:r>
        <w:rPr>
          <w:rFonts w:ascii="Times New Roman" w:hAnsi="Times New Roman" w:eastAsia="宋体" w:cs="Times New Roman"/>
          <w:b w:val="0"/>
          <w:sz w:val="18"/>
          <w:szCs w:val="18"/>
        </w:rPr>
        <w:t>1</w:t>
      </w:r>
      <w:r>
        <w:rPr>
          <w:rFonts w:ascii="Times New Roman" w:hAnsi="Times New Roman" w:eastAsia="宋体" w:cs="Times New Roman"/>
          <w:b w:val="0"/>
          <w:bCs w:val="0"/>
          <w:sz w:val="18"/>
          <w:szCs w:val="18"/>
        </w:rPr>
        <w:t>—预制柱；</w:t>
      </w:r>
      <w:r>
        <w:rPr>
          <w:rFonts w:ascii="Times New Roman" w:hAnsi="Times New Roman" w:eastAsia="宋体" w:cs="Times New Roman"/>
          <w:b w:val="0"/>
          <w:sz w:val="18"/>
          <w:szCs w:val="18"/>
        </w:rPr>
        <w:t>2</w:t>
      </w:r>
      <w:r>
        <w:rPr>
          <w:rFonts w:ascii="Times New Roman" w:hAnsi="Times New Roman" w:eastAsia="宋体" w:cs="Times New Roman"/>
          <w:sz w:val="18"/>
          <w:szCs w:val="18"/>
        </w:rPr>
        <w:t>—</w:t>
      </w:r>
      <w:r>
        <w:rPr>
          <w:rFonts w:ascii="Times New Roman" w:hAnsi="Times New Roman" w:eastAsia="宋体" w:cs="Times New Roman"/>
          <w:b w:val="0"/>
          <w:bCs w:val="0"/>
          <w:sz w:val="18"/>
          <w:szCs w:val="18"/>
        </w:rPr>
        <w:t>箍筋；</w:t>
      </w:r>
      <w:r>
        <w:rPr>
          <w:rFonts w:ascii="Times New Roman" w:hAnsi="Times New Roman" w:eastAsia="宋体" w:cs="Times New Roman"/>
          <w:b w:val="0"/>
          <w:sz w:val="18"/>
          <w:szCs w:val="18"/>
        </w:rPr>
        <w:t>3</w:t>
      </w:r>
      <w:r>
        <w:rPr>
          <w:rFonts w:ascii="Times New Roman" w:hAnsi="Times New Roman" w:eastAsia="宋体" w:cs="Times New Roman"/>
          <w:sz w:val="18"/>
          <w:szCs w:val="18"/>
        </w:rPr>
        <w:t>—</w:t>
      </w:r>
      <w:r>
        <w:rPr>
          <w:rFonts w:ascii="Times New Roman" w:hAnsi="Times New Roman" w:eastAsia="宋体" w:cs="Times New Roman"/>
          <w:b w:val="0"/>
          <w:bCs w:val="0"/>
          <w:sz w:val="18"/>
          <w:szCs w:val="18"/>
        </w:rPr>
        <w:t>纵向受力钢筋；</w:t>
      </w:r>
      <w:r>
        <w:rPr>
          <w:rFonts w:ascii="Times New Roman" w:hAnsi="Times New Roman" w:eastAsia="宋体" w:cs="Times New Roman"/>
          <w:b w:val="0"/>
          <w:sz w:val="18"/>
          <w:szCs w:val="18"/>
        </w:rPr>
        <w:t>4</w:t>
      </w:r>
      <w:r>
        <w:rPr>
          <w:rFonts w:ascii="Times New Roman" w:hAnsi="Times New Roman" w:eastAsia="宋体" w:cs="Times New Roman"/>
          <w:b w:val="0"/>
          <w:bCs w:val="0"/>
          <w:sz w:val="18"/>
          <w:szCs w:val="18"/>
        </w:rPr>
        <w:t>—纵向辅助钢筋</w:t>
      </w:r>
    </w:p>
    <w:p>
      <w:pPr>
        <w:pStyle w:val="51"/>
        <w:shd w:val="clear" w:color="auto" w:fill="auto"/>
        <w:tabs>
          <w:tab w:val="left" w:pos="746"/>
        </w:tabs>
        <w:spacing w:before="120" w:beforeLines="50" w:after="120" w:afterLines="50" w:line="240" w:lineRule="auto"/>
        <w:ind w:left="420" w:firstLine="0"/>
        <w:jc w:val="left"/>
        <w:rPr>
          <w:rFonts w:ascii="Times New Roman" w:hAnsi="Times New Roman" w:eastAsia="宋体" w:cs="Times New Roman"/>
          <w:spacing w:val="0"/>
          <w:sz w:val="21"/>
          <w:szCs w:val="21"/>
        </w:rPr>
      </w:pPr>
      <w:r>
        <w:rPr>
          <w:rFonts w:ascii="宋体" w:hAnsi="宋体" w:eastAsia="宋体" w:cs="Times New Roman"/>
          <w:spacing w:val="0"/>
          <w:sz w:val="21"/>
          <w:szCs w:val="21"/>
        </w:rPr>
        <w:t>d</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预制柱箍筋宜采用连续复合箍筋。</w:t>
      </w:r>
    </w:p>
    <w:p>
      <w:pPr>
        <w:pStyle w:val="51"/>
        <w:numPr>
          <w:ilvl w:val="0"/>
          <w:numId w:val="24"/>
        </w:numPr>
        <w:shd w:val="clear" w:color="auto" w:fill="auto"/>
        <w:tabs>
          <w:tab w:val="left" w:pos="628"/>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采用预制柱及叠合梁的装配整体式框架中，柱底接缝宜设置在楼面标高处（</w:t>
      </w:r>
      <w:r>
        <w:rPr>
          <w:rFonts w:hint="eastAsia" w:ascii="Times New Roman" w:hAnsi="Times New Roman" w:eastAsia="宋体" w:cs="Times New Roman"/>
          <w:spacing w:val="0"/>
          <w:sz w:val="21"/>
          <w:szCs w:val="21"/>
        </w:rPr>
        <w:t>见</w:t>
      </w:r>
      <w:r>
        <w:rPr>
          <w:rFonts w:ascii="Times New Roman" w:hAnsi="Times New Roman" w:eastAsia="宋体" w:cs="Times New Roman"/>
          <w:spacing w:val="0"/>
          <w:sz w:val="21"/>
          <w:szCs w:val="21"/>
        </w:rPr>
        <w:t>图14</w:t>
      </w:r>
      <w:r>
        <w:rPr>
          <w:rStyle w:val="71"/>
          <w:rFonts w:hint="eastAsia" w:ascii="Times New Roman" w:hAnsi="Times New Roman" w:eastAsia="宋体" w:cs="Times New Roman"/>
          <w:spacing w:val="0"/>
          <w:sz w:val="21"/>
          <w:szCs w:val="21"/>
          <w:lang w:val="zh-CN"/>
        </w:rPr>
        <w:t>）</w:t>
      </w:r>
      <w:r>
        <w:rPr>
          <w:rFonts w:ascii="Times New Roman" w:hAnsi="Times New Roman" w:eastAsia="宋体" w:cs="Times New Roman"/>
          <w:spacing w:val="0"/>
          <w:sz w:val="21"/>
          <w:szCs w:val="21"/>
        </w:rPr>
        <w:t>，并应符合下列规定：</w:t>
      </w:r>
    </w:p>
    <w:p>
      <w:pPr>
        <w:pStyle w:val="51"/>
        <w:shd w:val="clear" w:color="auto" w:fill="auto"/>
        <w:tabs>
          <w:tab w:val="left" w:pos="628"/>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后浇节点区混凝土上表面应按照本标准第</w:t>
      </w:r>
      <w:r>
        <w:rPr>
          <w:rStyle w:val="71"/>
          <w:rFonts w:ascii="Times New Roman" w:hAnsi="Times New Roman" w:eastAsia="宋体" w:cs="Times New Roman"/>
          <w:spacing w:val="0"/>
          <w:sz w:val="21"/>
          <w:szCs w:val="21"/>
        </w:rPr>
        <w:t>6.1.9</w:t>
      </w:r>
      <w:r>
        <w:rPr>
          <w:rFonts w:ascii="Times New Roman" w:hAnsi="Times New Roman" w:eastAsia="宋体" w:cs="Times New Roman"/>
          <w:spacing w:val="0"/>
          <w:sz w:val="21"/>
          <w:szCs w:val="21"/>
        </w:rPr>
        <w:t>条的规定设置粗糙面；</w:t>
      </w:r>
    </w:p>
    <w:p>
      <w:pPr>
        <w:pStyle w:val="51"/>
        <w:shd w:val="clear" w:color="auto" w:fill="auto"/>
        <w:tabs>
          <w:tab w:val="left" w:pos="628"/>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柱纵向受力钢筋应贯穿后浇节点区；</w:t>
      </w:r>
    </w:p>
    <w:p>
      <w:pPr>
        <w:pStyle w:val="51"/>
        <w:shd w:val="clear" w:color="auto" w:fill="auto"/>
        <w:tabs>
          <w:tab w:val="left" w:pos="628"/>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柱底接缝厚度宜为</w:t>
      </w:r>
      <w:r>
        <w:rPr>
          <w:rStyle w:val="71"/>
          <w:rFonts w:ascii="Times New Roman" w:hAnsi="Times New Roman" w:eastAsia="宋体" w:cs="Times New Roman"/>
          <w:spacing w:val="0"/>
          <w:sz w:val="21"/>
          <w:szCs w:val="21"/>
        </w:rPr>
        <w:t>20mm</w:t>
      </w:r>
      <w:r>
        <w:rPr>
          <w:rFonts w:ascii="Times New Roman" w:hAnsi="Times New Roman" w:eastAsia="宋体" w:cs="Times New Roman"/>
          <w:spacing w:val="0"/>
          <w:sz w:val="21"/>
          <w:szCs w:val="21"/>
        </w:rPr>
        <w:t>，并应采用灌浆料填实。</w:t>
      </w:r>
    </w:p>
    <w:p>
      <w:pPr>
        <w:pStyle w:val="51"/>
        <w:shd w:val="clear" w:color="auto" w:fill="auto"/>
        <w:tabs>
          <w:tab w:val="left" w:pos="741"/>
        </w:tabs>
        <w:spacing w:before="0" w:after="0" w:line="240" w:lineRule="auto"/>
        <w:ind w:firstLine="0"/>
        <w:jc w:val="center"/>
        <w:rPr>
          <w:rFonts w:ascii="Times New Roman" w:hAnsi="Times New Roman" w:eastAsia="宋体" w:cs="Times New Roman"/>
          <w:spacing w:val="0"/>
        </w:rPr>
      </w:pPr>
      <w:r>
        <w:drawing>
          <wp:inline distT="0" distB="0" distL="0" distR="0">
            <wp:extent cx="1628775" cy="1511935"/>
            <wp:effectExtent l="0" t="0" r="9525" b="0"/>
            <wp:docPr id="62" name="图片 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true" noChangeArrowheads="true"/>
                    </pic:cNvPicPr>
                  </pic:nvPicPr>
                  <pic:blipFill>
                    <a:blip r:embed="rId131">
                      <a:extLst>
                        <a:ext uri="{28A0092B-C50C-407E-A947-70E740481C1C}">
                          <a14:useLocalDpi xmlns:a14="http://schemas.microsoft.com/office/drawing/2010/main" val="false"/>
                        </a:ext>
                      </a:extLst>
                    </a:blip>
                    <a:srcRect/>
                    <a:stretch>
                      <a:fillRect/>
                    </a:stretch>
                  </pic:blipFill>
                  <pic:spPr>
                    <a:xfrm>
                      <a:off x="0" y="0"/>
                      <a:ext cx="1629357" cy="1512000"/>
                    </a:xfrm>
                    <a:prstGeom prst="rect">
                      <a:avLst/>
                    </a:prstGeom>
                    <a:noFill/>
                    <a:ln>
                      <a:noFill/>
                    </a:ln>
                  </pic:spPr>
                </pic:pic>
              </a:graphicData>
            </a:graphic>
          </wp:inline>
        </w:drawing>
      </w:r>
    </w:p>
    <w:p>
      <w:pPr>
        <w:pStyle w:val="83"/>
        <w:shd w:val="clear" w:color="auto" w:fill="auto"/>
        <w:spacing w:before="120" w:beforeLines="50" w:after="120" w:afterLines="50" w:line="240" w:lineRule="auto"/>
        <w:jc w:val="center"/>
        <w:rPr>
          <w:rFonts w:ascii="Times New Roman" w:hAnsi="Times New Roman" w:eastAsia="宋体" w:cs="Times New Roman"/>
          <w:sz w:val="21"/>
          <w:szCs w:val="21"/>
        </w:rPr>
      </w:pPr>
      <w:r>
        <w:rPr>
          <w:rFonts w:ascii="Times New Roman" w:hAnsi="Times New Roman" w:eastAsia="宋体" w:cs="Times New Roman"/>
          <w:b w:val="0"/>
          <w:bCs w:val="0"/>
          <w:sz w:val="21"/>
          <w:szCs w:val="21"/>
        </w:rPr>
        <w:t>图14  预制柱底接缝构造示意</w:t>
      </w:r>
    </w:p>
    <w:p>
      <w:pPr>
        <w:pStyle w:val="83"/>
        <w:shd w:val="clear" w:color="auto" w:fill="auto"/>
        <w:spacing w:before="50" w:after="50" w:line="240" w:lineRule="auto"/>
        <w:jc w:val="center"/>
        <w:rPr>
          <w:rFonts w:ascii="Times New Roman" w:hAnsi="Times New Roman" w:eastAsia="宋体" w:cs="Times New Roman"/>
          <w:sz w:val="18"/>
          <w:szCs w:val="18"/>
        </w:rPr>
      </w:pPr>
      <w:r>
        <w:rPr>
          <w:rFonts w:ascii="Times New Roman" w:hAnsi="Times New Roman" w:eastAsia="宋体" w:cs="Times New Roman"/>
          <w:b w:val="0"/>
          <w:sz w:val="18"/>
          <w:szCs w:val="18"/>
        </w:rPr>
        <w:t>1</w:t>
      </w:r>
      <w:r>
        <w:rPr>
          <w:rFonts w:ascii="Times New Roman" w:hAnsi="Times New Roman" w:eastAsia="宋体" w:cs="Times New Roman"/>
          <w:b w:val="0"/>
          <w:bCs w:val="0"/>
          <w:sz w:val="18"/>
          <w:szCs w:val="18"/>
        </w:rPr>
        <w:t>—后浇节点区混凝土上表面粗糙面；</w:t>
      </w:r>
      <w:r>
        <w:rPr>
          <w:rFonts w:ascii="Times New Roman" w:hAnsi="Times New Roman" w:eastAsia="宋体" w:cs="Times New Roman"/>
          <w:sz w:val="18"/>
          <w:szCs w:val="18"/>
        </w:rPr>
        <w:t>2—</w:t>
      </w:r>
      <w:r>
        <w:rPr>
          <w:rFonts w:ascii="Times New Roman" w:hAnsi="Times New Roman" w:eastAsia="宋体" w:cs="Times New Roman"/>
          <w:b w:val="0"/>
          <w:bCs w:val="0"/>
          <w:sz w:val="18"/>
          <w:szCs w:val="18"/>
        </w:rPr>
        <w:t>接缝灌浆层；</w:t>
      </w:r>
      <w:r>
        <w:rPr>
          <w:rFonts w:ascii="Times New Roman" w:hAnsi="Times New Roman" w:eastAsia="宋体" w:cs="Times New Roman"/>
          <w:sz w:val="18"/>
          <w:szCs w:val="18"/>
        </w:rPr>
        <w:t>3</w:t>
      </w:r>
      <w:r>
        <w:rPr>
          <w:rFonts w:ascii="Times New Roman" w:hAnsi="Times New Roman" w:eastAsia="宋体" w:cs="Times New Roman"/>
          <w:b w:val="0"/>
          <w:bCs w:val="0"/>
          <w:sz w:val="18"/>
          <w:szCs w:val="18"/>
        </w:rPr>
        <w:t>—后浇区</w:t>
      </w:r>
    </w:p>
    <w:p>
      <w:pPr>
        <w:pStyle w:val="51"/>
        <w:numPr>
          <w:ilvl w:val="0"/>
          <w:numId w:val="24"/>
        </w:numPr>
        <w:shd w:val="clear" w:color="auto" w:fill="auto"/>
        <w:tabs>
          <w:tab w:val="left" w:pos="644"/>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上、下层相邻预制柱纵向受力钢筋采用挤压套筒连接时（</w:t>
      </w:r>
      <w:r>
        <w:rPr>
          <w:rFonts w:hint="eastAsia" w:ascii="Times New Roman" w:hAnsi="Times New Roman" w:eastAsia="宋体" w:cs="Times New Roman"/>
          <w:spacing w:val="0"/>
          <w:sz w:val="21"/>
          <w:szCs w:val="21"/>
        </w:rPr>
        <w:t>见</w:t>
      </w:r>
      <w:r>
        <w:rPr>
          <w:rFonts w:ascii="Times New Roman" w:hAnsi="Times New Roman" w:eastAsia="宋体" w:cs="Times New Roman"/>
          <w:spacing w:val="0"/>
          <w:sz w:val="21"/>
          <w:szCs w:val="21"/>
        </w:rPr>
        <w:t>图</w:t>
      </w:r>
      <w:r>
        <w:rPr>
          <w:rStyle w:val="71"/>
          <w:rFonts w:ascii="Times New Roman" w:hAnsi="Times New Roman" w:eastAsia="宋体" w:cs="Times New Roman"/>
          <w:spacing w:val="0"/>
          <w:sz w:val="21"/>
          <w:szCs w:val="21"/>
          <w:lang w:val="zh-CN"/>
        </w:rPr>
        <w:t>15</w:t>
      </w:r>
      <w:r>
        <w:rPr>
          <w:rStyle w:val="71"/>
          <w:rFonts w:hint="eastAsia" w:ascii="Times New Roman" w:hAnsi="Times New Roman" w:eastAsia="宋体" w:cs="Times New Roman"/>
          <w:spacing w:val="0"/>
          <w:sz w:val="21"/>
          <w:szCs w:val="21"/>
          <w:lang w:val="zh-CN"/>
        </w:rPr>
        <w:t>）</w:t>
      </w:r>
      <w:r>
        <w:rPr>
          <w:rFonts w:ascii="Times New Roman" w:hAnsi="Times New Roman" w:eastAsia="宋体" w:cs="Times New Roman"/>
          <w:spacing w:val="0"/>
          <w:sz w:val="21"/>
          <w:szCs w:val="21"/>
        </w:rPr>
        <w:t>，柱底后浇段的箍筋应满足下列要求：</w:t>
      </w:r>
    </w:p>
    <w:p>
      <w:pPr>
        <w:pStyle w:val="51"/>
        <w:shd w:val="clear" w:color="auto" w:fill="auto"/>
        <w:tabs>
          <w:tab w:val="left" w:pos="739"/>
        </w:tabs>
        <w:spacing w:before="0" w:after="0" w:line="240" w:lineRule="auto"/>
        <w:ind w:firstLine="420" w:firstLineChars="200"/>
        <w:jc w:val="both"/>
        <w:rPr>
          <w:rStyle w:val="71"/>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套筒上端第一道箍筋距离套筒顶部不应大于</w:t>
      </w:r>
      <w:r>
        <w:rPr>
          <w:rStyle w:val="71"/>
          <w:rFonts w:ascii="Times New Roman" w:hAnsi="Times New Roman" w:eastAsia="宋体" w:cs="Times New Roman"/>
          <w:spacing w:val="0"/>
          <w:sz w:val="21"/>
          <w:szCs w:val="21"/>
        </w:rPr>
        <w:t>20mm</w:t>
      </w:r>
      <w:r>
        <w:rPr>
          <w:rFonts w:ascii="Times New Roman" w:hAnsi="Times New Roman" w:eastAsia="宋体" w:cs="Times New Roman"/>
          <w:spacing w:val="0"/>
          <w:sz w:val="21"/>
          <w:szCs w:val="21"/>
        </w:rPr>
        <w:t>，柱底</w:t>
      </w:r>
      <w:r>
        <w:rPr>
          <w:rStyle w:val="81"/>
          <w:rFonts w:ascii="Times New Roman" w:hAnsi="Times New Roman" w:eastAsia="宋体" w:cs="Times New Roman"/>
          <w:spacing w:val="0"/>
          <w:sz w:val="21"/>
          <w:szCs w:val="21"/>
        </w:rPr>
        <w:t>部第一道箍筋距柱底面不应大于</w:t>
      </w:r>
      <w:r>
        <w:rPr>
          <w:rStyle w:val="71"/>
          <w:rFonts w:ascii="Times New Roman" w:hAnsi="Times New Roman" w:eastAsia="宋体" w:cs="Times New Roman"/>
          <w:spacing w:val="0"/>
          <w:sz w:val="21"/>
          <w:szCs w:val="21"/>
        </w:rPr>
        <w:t>50mm</w:t>
      </w:r>
      <w:r>
        <w:rPr>
          <w:rStyle w:val="81"/>
          <w:rFonts w:ascii="Times New Roman" w:hAnsi="Times New Roman" w:eastAsia="宋体" w:cs="Times New Roman"/>
          <w:spacing w:val="0"/>
          <w:sz w:val="21"/>
          <w:szCs w:val="21"/>
        </w:rPr>
        <w:t>，箍筋间距不宜大于</w:t>
      </w:r>
      <w:r>
        <w:rPr>
          <w:rStyle w:val="71"/>
          <w:rFonts w:ascii="Times New Roman" w:hAnsi="Times New Roman" w:eastAsia="宋体" w:cs="Times New Roman"/>
          <w:spacing w:val="0"/>
          <w:sz w:val="21"/>
          <w:szCs w:val="21"/>
        </w:rPr>
        <w:t>75mm；</w:t>
      </w:r>
    </w:p>
    <w:p>
      <w:pPr>
        <w:pStyle w:val="51"/>
        <w:shd w:val="clear" w:color="auto" w:fill="auto"/>
        <w:tabs>
          <w:tab w:val="left" w:pos="739"/>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抗震等级为一、二级时，箍筋直径不应小于</w:t>
      </w:r>
      <w:r>
        <w:rPr>
          <w:rStyle w:val="71"/>
          <w:rFonts w:ascii="Times New Roman" w:hAnsi="Times New Roman" w:eastAsia="宋体" w:cs="Times New Roman"/>
          <w:spacing w:val="0"/>
          <w:sz w:val="21"/>
          <w:szCs w:val="21"/>
        </w:rPr>
        <w:t>10mm</w:t>
      </w:r>
      <w:r>
        <w:rPr>
          <w:rFonts w:ascii="Times New Roman" w:hAnsi="Times New Roman" w:eastAsia="宋体" w:cs="Times New Roman"/>
          <w:spacing w:val="0"/>
          <w:sz w:val="21"/>
          <w:szCs w:val="21"/>
        </w:rPr>
        <w:t>，抗震等级为三、四级时，箍筋直径不应小于</w:t>
      </w:r>
      <w:r>
        <w:rPr>
          <w:rStyle w:val="71"/>
          <w:rFonts w:ascii="Times New Roman" w:hAnsi="Times New Roman" w:eastAsia="宋体" w:cs="Times New Roman"/>
          <w:spacing w:val="0"/>
          <w:sz w:val="21"/>
          <w:szCs w:val="21"/>
        </w:rPr>
        <w:t>8mm</w:t>
      </w:r>
      <w:r>
        <w:rPr>
          <w:rFonts w:ascii="Times New Roman" w:hAnsi="Times New Roman" w:eastAsia="宋体" w:cs="Times New Roman"/>
          <w:spacing w:val="0"/>
          <w:sz w:val="21"/>
          <w:szCs w:val="21"/>
        </w:rPr>
        <w:t>。</w:t>
      </w:r>
    </w:p>
    <w:p>
      <w:pPr>
        <w:pStyle w:val="83"/>
        <w:shd w:val="clear" w:color="auto" w:fill="auto"/>
        <w:spacing w:line="240" w:lineRule="auto"/>
        <w:jc w:val="center"/>
        <w:rPr>
          <w:rFonts w:ascii="Times New Roman" w:hAnsi="Times New Roman" w:eastAsia="宋体" w:cs="Times New Roman"/>
          <w:b w:val="0"/>
          <w:bCs w:val="0"/>
          <w:sz w:val="21"/>
          <w:szCs w:val="21"/>
        </w:rPr>
      </w:pPr>
      <w:r>
        <w:drawing>
          <wp:inline distT="0" distB="0" distL="0" distR="0">
            <wp:extent cx="1522095" cy="1691640"/>
            <wp:effectExtent l="0" t="0" r="1905" b="0"/>
            <wp:docPr id="63" name="图片 63" descr="D:/师兄材料/规范/改完大于等于号后的图/7.3.7.png7.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63" descr="D:/师兄材料/规范/改完大于等于号后的图/7.3.7.png7.3.7"/>
                    <pic:cNvPicPr>
                      <a:picLocks noChangeAspect="true" noChangeArrowheads="true"/>
                    </pic:cNvPicPr>
                  </pic:nvPicPr>
                  <pic:blipFill>
                    <a:blip r:embed="rId132"/>
                    <a:srcRect l="5426" r="5426"/>
                    <a:stretch>
                      <a:fillRect/>
                    </a:stretch>
                  </pic:blipFill>
                  <pic:spPr>
                    <a:xfrm>
                      <a:off x="0" y="0"/>
                      <a:ext cx="1522356" cy="1692000"/>
                    </a:xfrm>
                    <a:prstGeom prst="rect">
                      <a:avLst/>
                    </a:prstGeom>
                    <a:noFill/>
                    <a:ln>
                      <a:noFill/>
                    </a:ln>
                  </pic:spPr>
                </pic:pic>
              </a:graphicData>
            </a:graphic>
          </wp:inline>
        </w:drawing>
      </w:r>
    </w:p>
    <w:p>
      <w:pPr>
        <w:pStyle w:val="83"/>
        <w:shd w:val="clear" w:color="auto" w:fill="auto"/>
        <w:spacing w:after="120" w:afterLines="50" w:line="240" w:lineRule="auto"/>
        <w:jc w:val="center"/>
        <w:rPr>
          <w:rFonts w:ascii="Times New Roman" w:hAnsi="Times New Roman" w:eastAsia="宋体" w:cs="Times New Roman"/>
          <w:sz w:val="21"/>
          <w:szCs w:val="21"/>
        </w:rPr>
      </w:pPr>
      <w:r>
        <w:rPr>
          <w:rFonts w:ascii="Times New Roman" w:hAnsi="Times New Roman" w:eastAsia="宋体" w:cs="Times New Roman"/>
          <w:b w:val="0"/>
          <w:bCs w:val="0"/>
          <w:sz w:val="21"/>
          <w:szCs w:val="21"/>
        </w:rPr>
        <w:t>图15  柱底后浇段箍筋配置示意</w:t>
      </w:r>
    </w:p>
    <w:p>
      <w:pPr>
        <w:pStyle w:val="83"/>
        <w:shd w:val="clear" w:color="auto" w:fill="auto"/>
        <w:spacing w:before="50" w:after="50" w:line="240" w:lineRule="auto"/>
        <w:jc w:val="center"/>
        <w:rPr>
          <w:rFonts w:ascii="Times New Roman" w:hAnsi="Times New Roman" w:eastAsia="宋体" w:cs="Times New Roman"/>
          <w:b w:val="0"/>
          <w:sz w:val="18"/>
          <w:szCs w:val="18"/>
        </w:rPr>
      </w:pPr>
      <w:r>
        <w:rPr>
          <w:rFonts w:ascii="Times New Roman" w:hAnsi="Times New Roman" w:eastAsia="宋体" w:cs="Times New Roman"/>
          <w:b w:val="0"/>
          <w:sz w:val="18"/>
          <w:szCs w:val="18"/>
        </w:rPr>
        <w:t>1</w:t>
      </w:r>
      <w:r>
        <w:rPr>
          <w:rFonts w:ascii="Times New Roman" w:hAnsi="Times New Roman" w:eastAsia="宋体" w:cs="Times New Roman"/>
          <w:b w:val="0"/>
          <w:bCs w:val="0"/>
          <w:sz w:val="18"/>
          <w:szCs w:val="18"/>
        </w:rPr>
        <w:t>—预制柱；2—支撑措施；3—柱底后浇段；4—挤压套筒；5—箍筋</w:t>
      </w:r>
    </w:p>
    <w:p>
      <w:pPr>
        <w:pStyle w:val="105"/>
        <w:numPr>
          <w:ilvl w:val="0"/>
          <w:numId w:val="24"/>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采用预制柱及叠合梁的装配整体式框架结构节点，梁纵向受力钢筋应伸入后浇节点区内锚固或连接，并应符合下列规定：</w:t>
      </w:r>
    </w:p>
    <w:p>
      <w:pPr>
        <w:pStyle w:val="105"/>
        <w:shd w:val="clear" w:color="auto" w:fill="auto"/>
        <w:spacing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对框架中间层中节点，节点两侧的梁下部纵向受力钢筋宜锚固在后浇节点区内（</w:t>
      </w:r>
      <w:r>
        <w:rPr>
          <w:rFonts w:hint="eastAsia" w:ascii="Times New Roman" w:hAnsi="Times New Roman" w:eastAsia="宋体" w:cs="Times New Roman"/>
          <w:spacing w:val="0"/>
          <w:sz w:val="21"/>
          <w:szCs w:val="21"/>
        </w:rPr>
        <w:t>见</w:t>
      </w:r>
      <w:r>
        <w:rPr>
          <w:rFonts w:ascii="Times New Roman" w:hAnsi="Times New Roman" w:eastAsia="宋体" w:cs="Times New Roman"/>
          <w:spacing w:val="0"/>
          <w:sz w:val="21"/>
          <w:szCs w:val="21"/>
        </w:rPr>
        <w:t>图</w:t>
      </w:r>
      <w:r>
        <w:rPr>
          <w:rStyle w:val="106"/>
          <w:rFonts w:ascii="Times New Roman" w:hAnsi="Times New Roman" w:eastAsia="宋体" w:cs="Times New Roman"/>
          <w:spacing w:val="0"/>
          <w:sz w:val="21"/>
          <w:szCs w:val="21"/>
        </w:rPr>
        <w:t>16a</w:t>
      </w:r>
      <w:r>
        <w:rPr>
          <w:rFonts w:ascii="Times New Roman" w:hAnsi="Times New Roman" w:eastAsia="宋体" w:cs="Times New Roman"/>
          <w:spacing w:val="0"/>
          <w:sz w:val="21"/>
          <w:szCs w:val="21"/>
        </w:rPr>
        <w:t>），也可采用机械连接或焊接的方式直接连接（</w:t>
      </w:r>
      <w:r>
        <w:rPr>
          <w:rFonts w:hint="eastAsia" w:ascii="Times New Roman" w:hAnsi="Times New Roman" w:eastAsia="宋体" w:cs="Times New Roman"/>
          <w:spacing w:val="0"/>
          <w:sz w:val="21"/>
          <w:szCs w:val="21"/>
        </w:rPr>
        <w:t>见</w:t>
      </w:r>
      <w:r>
        <w:rPr>
          <w:rFonts w:ascii="Times New Roman" w:hAnsi="Times New Roman" w:eastAsia="宋体" w:cs="Times New Roman"/>
          <w:spacing w:val="0"/>
          <w:sz w:val="21"/>
          <w:szCs w:val="21"/>
        </w:rPr>
        <w:t>图</w:t>
      </w:r>
      <w:r>
        <w:rPr>
          <w:rStyle w:val="106"/>
          <w:rFonts w:ascii="Times New Roman" w:hAnsi="Times New Roman" w:eastAsia="宋体" w:cs="Times New Roman"/>
          <w:spacing w:val="0"/>
          <w:sz w:val="21"/>
          <w:szCs w:val="21"/>
        </w:rPr>
        <w:t>16b</w:t>
      </w:r>
      <w:r>
        <w:rPr>
          <w:rFonts w:ascii="Times New Roman" w:hAnsi="Times New Roman" w:eastAsia="宋体" w:cs="Times New Roman"/>
          <w:spacing w:val="0"/>
          <w:sz w:val="21"/>
          <w:szCs w:val="21"/>
        </w:rPr>
        <w:t>）；梁的上部纵向受力钢筋应贯穿后浇节点区。</w:t>
      </w:r>
    </w:p>
    <w:p>
      <w:pPr>
        <w:pStyle w:val="105"/>
        <w:shd w:val="clear" w:color="auto" w:fill="auto"/>
        <w:spacing w:line="240" w:lineRule="auto"/>
        <w:ind w:firstLine="412" w:firstLineChars="200"/>
        <w:jc w:val="both"/>
        <w:rPr>
          <w:rFonts w:ascii="Times New Roman" w:hAnsi="Times New Roman" w:eastAsia="宋体" w:cs="Times New Roman"/>
          <w:spacing w:val="0"/>
          <w:sz w:val="21"/>
          <w:szCs w:val="21"/>
        </w:rPr>
      </w:pPr>
      <w:r>
        <w:drawing>
          <wp:anchor distT="0" distB="0" distL="114300" distR="114300" simplePos="0" relativeHeight="251668480" behindDoc="0" locked="0" layoutInCell="1" allowOverlap="1">
            <wp:simplePos x="0" y="0"/>
            <wp:positionH relativeFrom="column">
              <wp:posOffset>966470</wp:posOffset>
            </wp:positionH>
            <wp:positionV relativeFrom="paragraph">
              <wp:posOffset>46990</wp:posOffset>
            </wp:positionV>
            <wp:extent cx="3528060" cy="1511935"/>
            <wp:effectExtent l="0" t="0" r="0" b="0"/>
            <wp:wrapNone/>
            <wp:docPr id="64" name="图片 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true" noChangeArrowheads="true"/>
                    </pic:cNvPicPr>
                  </pic:nvPicPr>
                  <pic:blipFill>
                    <a:blip r:embed="rId133">
                      <a:extLst>
                        <a:ext uri="{28A0092B-C50C-407E-A947-70E740481C1C}">
                          <a14:useLocalDpi xmlns:a14="http://schemas.microsoft.com/office/drawing/2010/main" val="false"/>
                        </a:ext>
                      </a:extLst>
                    </a:blip>
                    <a:srcRect/>
                    <a:stretch>
                      <a:fillRect/>
                    </a:stretch>
                  </pic:blipFill>
                  <pic:spPr>
                    <a:xfrm>
                      <a:off x="0" y="0"/>
                      <a:ext cx="3527812" cy="1512000"/>
                    </a:xfrm>
                    <a:prstGeom prst="rect">
                      <a:avLst/>
                    </a:prstGeom>
                    <a:noFill/>
                    <a:ln>
                      <a:noFill/>
                    </a:ln>
                  </pic:spPr>
                </pic:pic>
              </a:graphicData>
            </a:graphic>
          </wp:anchor>
        </w:drawing>
      </w:r>
    </w:p>
    <w:p>
      <w:pPr>
        <w:pStyle w:val="105"/>
        <w:shd w:val="clear" w:color="auto" w:fill="auto"/>
        <w:spacing w:line="240" w:lineRule="auto"/>
        <w:ind w:firstLine="400" w:firstLineChars="200"/>
        <w:jc w:val="both"/>
        <w:rPr>
          <w:rFonts w:ascii="Times New Roman" w:hAnsi="Times New Roman" w:eastAsia="宋体" w:cs="Times New Roman"/>
          <w:spacing w:val="0"/>
          <w:sz w:val="20"/>
          <w:szCs w:val="21"/>
        </w:rPr>
      </w:pPr>
    </w:p>
    <w:p>
      <w:pPr>
        <w:pStyle w:val="105"/>
        <w:shd w:val="clear" w:color="auto" w:fill="auto"/>
        <w:spacing w:line="240" w:lineRule="auto"/>
        <w:ind w:firstLine="400" w:firstLineChars="200"/>
        <w:jc w:val="both"/>
        <w:rPr>
          <w:rFonts w:ascii="Times New Roman" w:hAnsi="Times New Roman" w:eastAsia="宋体" w:cs="Times New Roman"/>
          <w:spacing w:val="0"/>
          <w:sz w:val="20"/>
          <w:szCs w:val="21"/>
        </w:rPr>
      </w:pPr>
    </w:p>
    <w:p>
      <w:pPr>
        <w:pStyle w:val="105"/>
        <w:shd w:val="clear" w:color="auto" w:fill="auto"/>
        <w:spacing w:line="240" w:lineRule="auto"/>
        <w:ind w:firstLine="400" w:firstLineChars="200"/>
        <w:jc w:val="both"/>
        <w:rPr>
          <w:rFonts w:ascii="Times New Roman" w:hAnsi="Times New Roman" w:eastAsia="宋体" w:cs="Times New Roman"/>
          <w:spacing w:val="0"/>
          <w:sz w:val="20"/>
          <w:szCs w:val="21"/>
        </w:rPr>
      </w:pPr>
    </w:p>
    <w:p>
      <w:pPr>
        <w:pStyle w:val="105"/>
        <w:shd w:val="clear" w:color="auto" w:fill="auto"/>
        <w:spacing w:line="240" w:lineRule="auto"/>
        <w:jc w:val="both"/>
        <w:rPr>
          <w:rFonts w:ascii="Times New Roman" w:hAnsi="Times New Roman" w:eastAsia="宋体" w:cs="Times New Roman"/>
          <w:spacing w:val="0"/>
          <w:sz w:val="20"/>
          <w:szCs w:val="21"/>
        </w:rPr>
      </w:pPr>
    </w:p>
    <w:p>
      <w:pPr>
        <w:pStyle w:val="105"/>
        <w:shd w:val="clear" w:color="auto" w:fill="auto"/>
        <w:spacing w:line="240" w:lineRule="auto"/>
        <w:ind w:firstLine="400" w:firstLineChars="200"/>
        <w:jc w:val="both"/>
        <w:rPr>
          <w:rFonts w:ascii="Times New Roman" w:hAnsi="Times New Roman" w:eastAsia="宋体" w:cs="Times New Roman"/>
          <w:spacing w:val="0"/>
          <w:sz w:val="20"/>
          <w:szCs w:val="21"/>
        </w:rPr>
      </w:pPr>
    </w:p>
    <w:p>
      <w:pPr>
        <w:pStyle w:val="105"/>
        <w:shd w:val="clear" w:color="auto" w:fill="auto"/>
        <w:spacing w:line="240" w:lineRule="auto"/>
        <w:ind w:firstLine="400" w:firstLineChars="200"/>
        <w:jc w:val="both"/>
        <w:rPr>
          <w:rFonts w:ascii="Times New Roman" w:hAnsi="Times New Roman" w:eastAsia="宋体" w:cs="Times New Roman"/>
          <w:spacing w:val="0"/>
          <w:sz w:val="20"/>
          <w:szCs w:val="21"/>
        </w:rPr>
      </w:pPr>
    </w:p>
    <w:p>
      <w:pPr>
        <w:pStyle w:val="105"/>
        <w:shd w:val="clear" w:color="auto" w:fill="auto"/>
        <w:spacing w:line="240" w:lineRule="auto"/>
        <w:ind w:firstLine="400" w:firstLineChars="200"/>
        <w:jc w:val="both"/>
        <w:rPr>
          <w:rFonts w:ascii="Times New Roman" w:hAnsi="Times New Roman" w:eastAsia="宋体" w:cs="Times New Roman"/>
          <w:spacing w:val="0"/>
          <w:sz w:val="20"/>
          <w:szCs w:val="21"/>
        </w:rPr>
      </w:pPr>
    </w:p>
    <w:p>
      <w:pPr>
        <w:pStyle w:val="105"/>
        <w:shd w:val="clear" w:color="auto" w:fill="auto"/>
        <w:spacing w:line="240" w:lineRule="auto"/>
        <w:ind w:firstLine="400" w:firstLineChars="200"/>
        <w:jc w:val="both"/>
        <w:rPr>
          <w:rFonts w:ascii="Times New Roman" w:hAnsi="Times New Roman" w:eastAsia="宋体" w:cs="Times New Roman"/>
          <w:spacing w:val="0"/>
          <w:sz w:val="20"/>
          <w:szCs w:val="21"/>
        </w:rPr>
      </w:pPr>
    </w:p>
    <w:p>
      <w:pPr>
        <w:pStyle w:val="105"/>
        <w:shd w:val="clear" w:color="auto" w:fill="auto"/>
        <w:spacing w:line="240" w:lineRule="auto"/>
        <w:ind w:firstLine="420" w:firstLineChars="200"/>
        <w:jc w:val="both"/>
        <w:rPr>
          <w:rFonts w:ascii="Times New Roman" w:hAnsi="Times New Roman" w:eastAsia="宋体" w:cs="Times New Roman"/>
          <w:spacing w:val="0"/>
          <w:sz w:val="21"/>
          <w:szCs w:val="21"/>
        </w:rPr>
      </w:pPr>
    </w:p>
    <w:p>
      <w:pPr>
        <w:framePr w:wrap="auto" w:vAnchor="page" w:hAnchor="page" w:x="3114" w:y="5437"/>
        <w:rPr>
          <w:rFonts w:ascii="Times New Roman" w:hAnsi="Times New Roman" w:eastAsia="宋体" w:cs="Times New Roman"/>
          <w:sz w:val="0"/>
          <w:szCs w:val="0"/>
        </w:rPr>
      </w:pPr>
    </w:p>
    <w:p>
      <w:pPr>
        <w:pStyle w:val="105"/>
        <w:shd w:val="clear" w:color="auto" w:fill="auto"/>
        <w:spacing w:line="240" w:lineRule="auto"/>
        <w:ind w:right="62"/>
        <w:jc w:val="center"/>
        <w:rPr>
          <w:rFonts w:ascii="Times New Roman" w:hAnsi="Times New Roman" w:eastAsia="宋体" w:cs="Times New Roman"/>
          <w:spacing w:val="0"/>
        </w:rPr>
      </w:pPr>
    </w:p>
    <w:p>
      <w:pPr>
        <w:pStyle w:val="105"/>
        <w:shd w:val="clear" w:color="auto" w:fill="auto"/>
        <w:spacing w:line="240" w:lineRule="auto"/>
        <w:ind w:firstLine="1260" w:firstLineChars="600"/>
        <w:jc w:val="both"/>
        <w:rPr>
          <w:rFonts w:ascii="Times New Roman" w:hAnsi="Times New Roman" w:eastAsia="宋体" w:cs="Times New Roman"/>
          <w:spacing w:val="0"/>
          <w:sz w:val="21"/>
          <w:szCs w:val="21"/>
        </w:rPr>
      </w:pPr>
      <w:r>
        <w:rPr>
          <w:rStyle w:val="142"/>
          <w:rFonts w:ascii="宋体" w:hAnsi="宋体" w:eastAsia="宋体" w:cs="Times New Roman"/>
          <w:spacing w:val="0"/>
          <w:sz w:val="21"/>
          <w:szCs w:val="21"/>
        </w:rPr>
        <w:t>a）</w:t>
      </w:r>
      <w:r>
        <w:rPr>
          <w:rFonts w:ascii="Times New Roman" w:hAnsi="Times New Roman" w:eastAsia="宋体" w:cs="Times New Roman"/>
          <w:spacing w:val="0"/>
          <w:sz w:val="21"/>
          <w:szCs w:val="21"/>
        </w:rPr>
        <w:t xml:space="preserve">梁下部纵向受力钢筋锚固       </w:t>
      </w:r>
      <w:r>
        <w:rPr>
          <w:rStyle w:val="142"/>
          <w:rFonts w:ascii="宋体" w:hAnsi="宋体" w:eastAsia="宋体" w:cs="Times New Roman"/>
          <w:spacing w:val="0"/>
          <w:sz w:val="21"/>
          <w:szCs w:val="21"/>
        </w:rPr>
        <w:t>b）</w:t>
      </w:r>
      <w:r>
        <w:rPr>
          <w:rFonts w:ascii="Times New Roman" w:hAnsi="Times New Roman" w:eastAsia="宋体" w:cs="Times New Roman"/>
          <w:spacing w:val="0"/>
          <w:sz w:val="21"/>
          <w:szCs w:val="21"/>
        </w:rPr>
        <w:t>梁下部纵向受力钢筋连接</w:t>
      </w:r>
    </w:p>
    <w:p>
      <w:pPr>
        <w:pStyle w:val="105"/>
        <w:shd w:val="clear" w:color="auto" w:fill="auto"/>
        <w:spacing w:line="240" w:lineRule="auto"/>
        <w:ind w:firstLine="1680" w:firstLineChars="800"/>
        <w:jc w:val="both"/>
        <w:rPr>
          <w:rFonts w:ascii="Times New Roman" w:hAnsi="Times New Roman" w:eastAsia="宋体" w:cs="Times New Roman"/>
          <w:spacing w:val="0"/>
          <w:sz w:val="21"/>
          <w:szCs w:val="21"/>
        </w:rPr>
      </w:pPr>
      <w:r>
        <w:rPr>
          <w:rFonts w:hint="eastAsia" w:ascii="Times New Roman" w:hAnsi="Times New Roman" w:eastAsia="宋体" w:cs="Times New Roman"/>
          <w:spacing w:val="0"/>
          <w:sz w:val="21"/>
          <w:szCs w:val="21"/>
        </w:rPr>
        <w:t>图</w:t>
      </w:r>
      <w:r>
        <w:rPr>
          <w:rFonts w:ascii="Times New Roman" w:hAnsi="Times New Roman" w:eastAsia="宋体" w:cs="Times New Roman"/>
          <w:spacing w:val="0"/>
          <w:sz w:val="21"/>
          <w:szCs w:val="21"/>
        </w:rPr>
        <w:t xml:space="preserve">16  </w:t>
      </w:r>
      <w:r>
        <w:rPr>
          <w:rFonts w:hint="eastAsia" w:ascii="Times New Roman" w:hAnsi="Times New Roman" w:eastAsia="宋体" w:cs="Times New Roman"/>
          <w:spacing w:val="0"/>
          <w:sz w:val="21"/>
          <w:szCs w:val="21"/>
        </w:rPr>
        <w:t>预制柱及叠合梁框架中间层中节点构造示意</w:t>
      </w:r>
    </w:p>
    <w:p>
      <w:pPr>
        <w:pStyle w:val="83"/>
        <w:shd w:val="clear" w:color="auto" w:fill="auto"/>
        <w:spacing w:before="50" w:after="50" w:line="240" w:lineRule="auto"/>
        <w:jc w:val="center"/>
        <w:rPr>
          <w:rFonts w:ascii="Times New Roman" w:hAnsi="Times New Roman" w:eastAsia="宋体" w:cs="Times New Roman"/>
          <w:b w:val="0"/>
          <w:sz w:val="18"/>
          <w:szCs w:val="18"/>
        </w:rPr>
      </w:pPr>
      <w:r>
        <w:rPr>
          <w:rFonts w:ascii="Times New Roman" w:hAnsi="Times New Roman" w:eastAsia="宋体" w:cs="Times New Roman"/>
          <w:b w:val="0"/>
          <w:sz w:val="18"/>
          <w:szCs w:val="18"/>
        </w:rPr>
        <w:t>1</w:t>
      </w:r>
      <w:r>
        <w:rPr>
          <w:rFonts w:ascii="Times New Roman" w:hAnsi="Times New Roman" w:eastAsia="宋体" w:cs="Times New Roman"/>
          <w:b w:val="0"/>
          <w:bCs w:val="0"/>
          <w:sz w:val="18"/>
          <w:szCs w:val="18"/>
        </w:rPr>
        <w:t>—后浇区；2—梁下部纵向受力钢筋连接；3—预制梁；</w:t>
      </w:r>
      <w:r>
        <w:rPr>
          <w:rFonts w:ascii="Times New Roman" w:hAnsi="Times New Roman" w:eastAsia="宋体" w:cs="Times New Roman"/>
          <w:b w:val="0"/>
          <w:sz w:val="18"/>
          <w:szCs w:val="18"/>
        </w:rPr>
        <w:t>4</w:t>
      </w:r>
      <w:r>
        <w:rPr>
          <w:rFonts w:ascii="Times New Roman" w:hAnsi="Times New Roman" w:eastAsia="宋体" w:cs="Times New Roman"/>
          <w:b w:val="0"/>
          <w:bCs w:val="0"/>
          <w:sz w:val="18"/>
          <w:szCs w:val="18"/>
        </w:rPr>
        <w:t>—预制柱；5—梁下部纵向受力</w:t>
      </w:r>
      <w:r>
        <w:rPr>
          <w:rFonts w:hint="eastAsia" w:ascii="Times New Roman" w:hAnsi="Times New Roman" w:eastAsia="宋体" w:cs="Times New Roman"/>
          <w:b w:val="0"/>
          <w:bCs w:val="0"/>
          <w:sz w:val="18"/>
          <w:szCs w:val="18"/>
        </w:rPr>
        <w:t>钢筋锚固</w:t>
      </w:r>
    </w:p>
    <w:p>
      <w:pPr>
        <w:pStyle w:val="105"/>
        <w:shd w:val="clear" w:color="auto" w:fill="auto"/>
        <w:spacing w:before="120" w:beforeLines="50" w:after="120" w:afterLines="5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对框架中间层端节点，当柱截面尺寸不满足梁纵向受力钢筋的直线锚固要求时，宜采用锚固板锚固（</w:t>
      </w:r>
      <w:r>
        <w:rPr>
          <w:rFonts w:hint="eastAsia" w:ascii="Times New Roman" w:hAnsi="Times New Roman" w:eastAsia="宋体" w:cs="Times New Roman"/>
          <w:spacing w:val="0"/>
          <w:sz w:val="21"/>
          <w:szCs w:val="21"/>
        </w:rPr>
        <w:t>见</w:t>
      </w:r>
      <w:r>
        <w:rPr>
          <w:rFonts w:ascii="Times New Roman" w:hAnsi="Times New Roman" w:eastAsia="宋体" w:cs="Times New Roman"/>
          <w:spacing w:val="0"/>
          <w:sz w:val="21"/>
          <w:szCs w:val="21"/>
        </w:rPr>
        <w:t>图</w:t>
      </w:r>
      <w:r>
        <w:rPr>
          <w:rStyle w:val="106"/>
          <w:rFonts w:ascii="Times New Roman" w:hAnsi="Times New Roman" w:eastAsia="宋体" w:cs="Times New Roman"/>
          <w:spacing w:val="0"/>
          <w:sz w:val="21"/>
          <w:szCs w:val="21"/>
        </w:rPr>
        <w:t>17</w:t>
      </w:r>
      <w:r>
        <w:rPr>
          <w:rFonts w:ascii="Times New Roman" w:hAnsi="Times New Roman" w:eastAsia="宋体" w:cs="Times New Roman"/>
          <w:spacing w:val="0"/>
          <w:sz w:val="21"/>
          <w:szCs w:val="21"/>
        </w:rPr>
        <w:t>），也可采用</w:t>
      </w:r>
      <w:r>
        <w:rPr>
          <w:rStyle w:val="106"/>
          <w:rFonts w:ascii="Times New Roman" w:hAnsi="Times New Roman" w:eastAsia="宋体" w:cs="Times New Roman"/>
          <w:spacing w:val="0"/>
          <w:sz w:val="21"/>
          <w:szCs w:val="21"/>
        </w:rPr>
        <w:t>90°</w:t>
      </w:r>
      <w:r>
        <w:rPr>
          <w:rFonts w:ascii="Times New Roman" w:hAnsi="Times New Roman" w:eastAsia="宋体" w:cs="Times New Roman"/>
          <w:spacing w:val="0"/>
          <w:sz w:val="21"/>
          <w:szCs w:val="21"/>
        </w:rPr>
        <w:t>弯折锚固。</w:t>
      </w:r>
    </w:p>
    <w:p>
      <w:pPr>
        <w:pStyle w:val="105"/>
        <w:shd w:val="clear" w:color="auto" w:fill="auto"/>
        <w:spacing w:before="120" w:beforeLines="50" w:after="120" w:afterLines="50" w:line="240" w:lineRule="auto"/>
        <w:ind w:firstLine="412" w:firstLineChars="200"/>
        <w:jc w:val="both"/>
        <w:rPr>
          <w:rFonts w:ascii="Times New Roman" w:hAnsi="Times New Roman" w:eastAsia="宋体" w:cs="Times New Roman"/>
          <w:spacing w:val="0"/>
          <w:sz w:val="21"/>
          <w:szCs w:val="21"/>
        </w:rPr>
      </w:pPr>
      <w:r>
        <w:drawing>
          <wp:anchor distT="0" distB="0" distL="114300" distR="114300" simplePos="0" relativeHeight="251673600" behindDoc="0" locked="0" layoutInCell="1" allowOverlap="1">
            <wp:simplePos x="0" y="0"/>
            <wp:positionH relativeFrom="column">
              <wp:posOffset>2382520</wp:posOffset>
            </wp:positionH>
            <wp:positionV relativeFrom="paragraph">
              <wp:posOffset>-1270</wp:posOffset>
            </wp:positionV>
            <wp:extent cx="1524635" cy="1511935"/>
            <wp:effectExtent l="0" t="0" r="0" b="0"/>
            <wp:wrapNone/>
            <wp:docPr id="66" name="图片 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true" noChangeArrowheads="true"/>
                    </pic:cNvPicPr>
                  </pic:nvPicPr>
                  <pic:blipFill>
                    <a:blip r:embed="rId134">
                      <a:extLst>
                        <a:ext uri="{28A0092B-C50C-407E-A947-70E740481C1C}">
                          <a14:useLocalDpi xmlns:a14="http://schemas.microsoft.com/office/drawing/2010/main" val="false"/>
                        </a:ext>
                      </a:extLst>
                    </a:blip>
                    <a:srcRect/>
                    <a:stretch>
                      <a:fillRect/>
                    </a:stretch>
                  </pic:blipFill>
                  <pic:spPr>
                    <a:xfrm>
                      <a:off x="0" y="0"/>
                      <a:ext cx="1524840" cy="1512000"/>
                    </a:xfrm>
                    <a:prstGeom prst="rect">
                      <a:avLst/>
                    </a:prstGeom>
                    <a:noFill/>
                    <a:ln>
                      <a:noFill/>
                    </a:ln>
                  </pic:spPr>
                </pic:pic>
              </a:graphicData>
            </a:graphic>
          </wp:anchor>
        </w:drawing>
      </w:r>
    </w:p>
    <w:p>
      <w:pPr>
        <w:pStyle w:val="105"/>
        <w:shd w:val="clear" w:color="auto" w:fill="auto"/>
        <w:spacing w:before="120" w:beforeLines="50" w:after="120" w:afterLines="50" w:line="240" w:lineRule="auto"/>
        <w:ind w:firstLine="360" w:firstLineChars="200"/>
        <w:jc w:val="both"/>
        <w:rPr>
          <w:rFonts w:ascii="Times New Roman" w:hAnsi="Times New Roman" w:eastAsia="宋体" w:cs="Times New Roman"/>
          <w:spacing w:val="0"/>
          <w:sz w:val="18"/>
          <w:szCs w:val="18"/>
        </w:rPr>
      </w:pPr>
    </w:p>
    <w:p>
      <w:pPr>
        <w:pStyle w:val="105"/>
        <w:shd w:val="clear" w:color="auto" w:fill="auto"/>
        <w:spacing w:before="120" w:beforeLines="50" w:after="120" w:afterLines="50" w:line="240" w:lineRule="auto"/>
        <w:ind w:firstLine="360" w:firstLineChars="200"/>
        <w:jc w:val="both"/>
        <w:rPr>
          <w:rFonts w:ascii="Times New Roman" w:hAnsi="Times New Roman" w:eastAsia="宋体" w:cs="Times New Roman"/>
          <w:spacing w:val="0"/>
          <w:sz w:val="18"/>
          <w:szCs w:val="18"/>
        </w:rPr>
      </w:pPr>
    </w:p>
    <w:p>
      <w:pPr>
        <w:pStyle w:val="105"/>
        <w:shd w:val="clear" w:color="auto" w:fill="auto"/>
        <w:spacing w:before="120" w:beforeLines="50" w:after="120" w:afterLines="50" w:line="240" w:lineRule="auto"/>
        <w:ind w:firstLine="360" w:firstLineChars="200"/>
        <w:jc w:val="both"/>
        <w:rPr>
          <w:rFonts w:ascii="Times New Roman" w:hAnsi="Times New Roman" w:eastAsia="宋体" w:cs="Times New Roman"/>
          <w:spacing w:val="0"/>
          <w:sz w:val="18"/>
          <w:szCs w:val="18"/>
        </w:rPr>
      </w:pPr>
    </w:p>
    <w:p>
      <w:pPr>
        <w:pStyle w:val="105"/>
        <w:shd w:val="clear" w:color="auto" w:fill="auto"/>
        <w:spacing w:before="120" w:beforeLines="50" w:after="120" w:afterLines="50" w:line="240" w:lineRule="auto"/>
        <w:ind w:firstLine="360" w:firstLineChars="200"/>
        <w:jc w:val="both"/>
        <w:rPr>
          <w:rFonts w:ascii="Times New Roman" w:hAnsi="Times New Roman" w:eastAsia="宋体" w:cs="Times New Roman"/>
          <w:spacing w:val="0"/>
          <w:sz w:val="18"/>
          <w:szCs w:val="18"/>
        </w:rPr>
      </w:pPr>
    </w:p>
    <w:p>
      <w:pPr>
        <w:pStyle w:val="105"/>
        <w:shd w:val="clear" w:color="auto" w:fill="auto"/>
        <w:spacing w:before="120" w:beforeLines="50" w:after="120" w:afterLines="50" w:line="240" w:lineRule="auto"/>
        <w:ind w:firstLine="420" w:firstLineChars="200"/>
        <w:jc w:val="both"/>
        <w:rPr>
          <w:rFonts w:ascii="Times New Roman" w:hAnsi="Times New Roman" w:eastAsia="宋体" w:cs="Times New Roman"/>
          <w:spacing w:val="0"/>
          <w:sz w:val="21"/>
          <w:szCs w:val="21"/>
        </w:rPr>
      </w:pPr>
    </w:p>
    <w:p>
      <w:pPr>
        <w:framePr w:wrap="auto" w:vAnchor="page" w:hAnchor="page" w:x="4847" w:y="8461"/>
        <w:rPr>
          <w:rFonts w:ascii="Times New Roman" w:hAnsi="Times New Roman" w:eastAsia="宋体" w:cs="Times New Roman"/>
          <w:sz w:val="0"/>
          <w:szCs w:val="0"/>
        </w:rPr>
      </w:pPr>
    </w:p>
    <w:p>
      <w:pPr>
        <w:pStyle w:val="105"/>
        <w:shd w:val="clear" w:color="auto" w:fill="auto"/>
        <w:snapToGrid w:val="0"/>
        <w:spacing w:line="240" w:lineRule="auto"/>
        <w:jc w:val="center"/>
        <w:rPr>
          <w:rFonts w:ascii="Times New Roman" w:hAnsi="Times New Roman" w:eastAsia="宋体" w:cs="Times New Roman"/>
          <w:spacing w:val="0"/>
        </w:rPr>
      </w:pPr>
    </w:p>
    <w:p>
      <w:pPr>
        <w:pStyle w:val="83"/>
        <w:shd w:val="clear" w:color="auto" w:fill="auto"/>
        <w:spacing w:before="120" w:beforeLines="50" w:after="120" w:afterLines="50" w:line="240" w:lineRule="auto"/>
        <w:jc w:val="center"/>
        <w:rPr>
          <w:rFonts w:ascii="Times New Roman" w:hAnsi="Times New Roman" w:eastAsia="宋体" w:cs="Times New Roman"/>
          <w:sz w:val="21"/>
          <w:szCs w:val="21"/>
        </w:rPr>
      </w:pPr>
      <w:r>
        <w:rPr>
          <w:rFonts w:ascii="Times New Roman" w:hAnsi="Times New Roman" w:eastAsia="宋体" w:cs="Times New Roman"/>
          <w:b w:val="0"/>
          <w:bCs w:val="0"/>
          <w:sz w:val="21"/>
          <w:szCs w:val="21"/>
        </w:rPr>
        <w:t>图17  预制柱及叠合梁框架中间层端节点构造示意</w:t>
      </w:r>
    </w:p>
    <w:p>
      <w:pPr>
        <w:pStyle w:val="83"/>
        <w:shd w:val="clear" w:color="auto" w:fill="auto"/>
        <w:spacing w:before="50" w:after="50" w:line="240" w:lineRule="auto"/>
        <w:jc w:val="center"/>
        <w:rPr>
          <w:rFonts w:ascii="Times New Roman" w:hAnsi="Times New Roman" w:eastAsia="宋体" w:cs="Times New Roman"/>
          <w:sz w:val="18"/>
          <w:szCs w:val="18"/>
        </w:rPr>
      </w:pPr>
      <w:r>
        <w:rPr>
          <w:rFonts w:ascii="Times New Roman" w:hAnsi="Times New Roman" w:eastAsia="宋体" w:cs="Times New Roman"/>
          <w:b w:val="0"/>
          <w:bCs w:val="0"/>
          <w:sz w:val="18"/>
          <w:szCs w:val="18"/>
        </w:rPr>
        <w:t>1—后浇区；2—梁纵向受力钢筋锚固；3—预制梁；4—预制柱</w:t>
      </w:r>
    </w:p>
    <w:p>
      <w:pPr>
        <w:pStyle w:val="105"/>
        <w:shd w:val="clear" w:color="auto" w:fill="auto"/>
        <w:spacing w:before="120" w:beforeLines="50" w:after="120" w:afterLines="5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hint="eastAsia" w:ascii="Times New Roman" w:hAnsi="Times New Roman" w:eastAsia="宋体" w:cs="Times New Roman"/>
          <w:spacing w:val="0"/>
          <w:sz w:val="21"/>
          <w:szCs w:val="21"/>
        </w:rPr>
        <w:t>对框架顶层中节点，梁纵向受力钢筋的构造应符合本条第</w:t>
      </w:r>
      <w:r>
        <w:rPr>
          <w:rFonts w:ascii="Times New Roman" w:hAnsi="Times New Roman" w:eastAsia="宋体" w:cs="Times New Roman"/>
          <w:spacing w:val="0"/>
          <w:sz w:val="21"/>
          <w:szCs w:val="21"/>
        </w:rPr>
        <w:t>1</w:t>
      </w:r>
      <w:r>
        <w:rPr>
          <w:rFonts w:hint="eastAsia" w:ascii="Times New Roman" w:hAnsi="Times New Roman" w:eastAsia="宋体" w:cs="Times New Roman"/>
          <w:spacing w:val="0"/>
          <w:sz w:val="21"/>
          <w:szCs w:val="21"/>
        </w:rPr>
        <w:t>款的规定。柱纵向受力钢筋宜采用直线锚固；当梁截面尺寸不满足直线锚固要求时，宜采用锚固板锚固（见图</w:t>
      </w:r>
      <w:r>
        <w:rPr>
          <w:rFonts w:ascii="Times New Roman" w:hAnsi="Times New Roman" w:eastAsia="宋体" w:cs="Times New Roman"/>
          <w:spacing w:val="0"/>
          <w:sz w:val="21"/>
          <w:szCs w:val="21"/>
        </w:rPr>
        <w:t>18</w:t>
      </w:r>
      <w:r>
        <w:rPr>
          <w:rFonts w:hint="eastAsia" w:ascii="Times New Roman" w:hAnsi="Times New Roman" w:eastAsia="宋体" w:cs="Times New Roman"/>
          <w:spacing w:val="0"/>
          <w:sz w:val="21"/>
          <w:szCs w:val="21"/>
        </w:rPr>
        <w:t>）</w:t>
      </w:r>
      <w:r>
        <w:rPr>
          <w:rFonts w:ascii="Times New Roman" w:hAnsi="Times New Roman" w:eastAsia="宋体" w:cs="Times New Roman"/>
          <w:spacing w:val="0"/>
          <w:sz w:val="21"/>
          <w:szCs w:val="21"/>
        </w:rPr>
        <w:t>。</w:t>
      </w:r>
    </w:p>
    <w:p>
      <w:pPr>
        <w:pStyle w:val="105"/>
        <w:shd w:val="clear" w:color="auto" w:fill="auto"/>
        <w:spacing w:before="120" w:beforeLines="50" w:after="120" w:afterLines="50" w:line="240" w:lineRule="auto"/>
        <w:ind w:firstLine="412" w:firstLineChars="200"/>
        <w:jc w:val="both"/>
        <w:rPr>
          <w:rStyle w:val="106"/>
          <w:rFonts w:ascii="Times New Roman" w:hAnsi="Times New Roman" w:eastAsia="宋体" w:cs="Times New Roman"/>
          <w:b/>
          <w:spacing w:val="0"/>
          <w:sz w:val="21"/>
          <w:szCs w:val="21"/>
        </w:rPr>
      </w:pPr>
      <w:r>
        <w:drawing>
          <wp:anchor distT="0" distB="0" distL="114300" distR="114300" simplePos="0" relativeHeight="251660288" behindDoc="0" locked="0" layoutInCell="1" allowOverlap="1">
            <wp:simplePos x="0" y="0"/>
            <wp:positionH relativeFrom="margin">
              <wp:posOffset>869315</wp:posOffset>
            </wp:positionH>
            <wp:positionV relativeFrom="paragraph">
              <wp:posOffset>6350</wp:posOffset>
            </wp:positionV>
            <wp:extent cx="4182745" cy="1440180"/>
            <wp:effectExtent l="0" t="0" r="8255" b="7620"/>
            <wp:wrapNone/>
            <wp:docPr id="67" name="图片 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true" noChangeArrowheads="true"/>
                    </pic:cNvPicPr>
                  </pic:nvPicPr>
                  <pic:blipFill>
                    <a:blip r:embed="rId135">
                      <a:extLst>
                        <a:ext uri="{28A0092B-C50C-407E-A947-70E740481C1C}">
                          <a14:useLocalDpi xmlns:a14="http://schemas.microsoft.com/office/drawing/2010/main" val="false"/>
                        </a:ext>
                      </a:extLst>
                    </a:blip>
                    <a:srcRect/>
                    <a:stretch>
                      <a:fillRect/>
                    </a:stretch>
                  </pic:blipFill>
                  <pic:spPr>
                    <a:xfrm>
                      <a:off x="0" y="0"/>
                      <a:ext cx="4182745" cy="1440180"/>
                    </a:xfrm>
                    <a:prstGeom prst="rect">
                      <a:avLst/>
                    </a:prstGeom>
                    <a:noFill/>
                    <a:ln>
                      <a:noFill/>
                    </a:ln>
                  </pic:spPr>
                </pic:pic>
              </a:graphicData>
            </a:graphic>
          </wp:anchor>
        </w:drawing>
      </w:r>
    </w:p>
    <w:p>
      <w:pPr>
        <w:pStyle w:val="105"/>
        <w:shd w:val="clear" w:color="auto" w:fill="auto"/>
        <w:spacing w:before="120" w:beforeLines="50" w:after="120" w:afterLines="50" w:line="240" w:lineRule="auto"/>
        <w:ind w:firstLine="361" w:firstLineChars="200"/>
        <w:jc w:val="both"/>
        <w:rPr>
          <w:rStyle w:val="106"/>
          <w:rFonts w:ascii="Times New Roman" w:hAnsi="Times New Roman" w:eastAsia="宋体" w:cs="Times New Roman"/>
          <w:b/>
          <w:spacing w:val="0"/>
          <w:szCs w:val="21"/>
        </w:rPr>
      </w:pPr>
    </w:p>
    <w:p>
      <w:pPr>
        <w:pStyle w:val="105"/>
        <w:shd w:val="clear" w:color="auto" w:fill="auto"/>
        <w:spacing w:before="120" w:beforeLines="50" w:after="120" w:afterLines="50" w:line="240" w:lineRule="auto"/>
        <w:ind w:firstLine="361" w:firstLineChars="200"/>
        <w:jc w:val="both"/>
        <w:rPr>
          <w:rStyle w:val="106"/>
          <w:rFonts w:ascii="Times New Roman" w:hAnsi="Times New Roman" w:eastAsia="宋体" w:cs="Times New Roman"/>
          <w:b/>
          <w:spacing w:val="0"/>
          <w:szCs w:val="21"/>
        </w:rPr>
      </w:pPr>
    </w:p>
    <w:p>
      <w:pPr>
        <w:pStyle w:val="105"/>
        <w:shd w:val="clear" w:color="auto" w:fill="auto"/>
        <w:spacing w:before="120" w:beforeLines="50" w:after="120" w:afterLines="50" w:line="240" w:lineRule="auto"/>
        <w:ind w:firstLine="361" w:firstLineChars="200"/>
        <w:jc w:val="both"/>
        <w:rPr>
          <w:rStyle w:val="106"/>
          <w:rFonts w:ascii="Times New Roman" w:hAnsi="Times New Roman" w:eastAsia="宋体" w:cs="Times New Roman"/>
          <w:b/>
          <w:spacing w:val="0"/>
          <w:szCs w:val="21"/>
        </w:rPr>
      </w:pPr>
    </w:p>
    <w:p>
      <w:pPr>
        <w:pStyle w:val="105"/>
        <w:shd w:val="clear" w:color="auto" w:fill="auto"/>
        <w:spacing w:before="120" w:beforeLines="50" w:after="120" w:afterLines="50" w:line="240" w:lineRule="auto"/>
        <w:ind w:firstLine="421" w:firstLineChars="200"/>
        <w:jc w:val="both"/>
        <w:rPr>
          <w:rStyle w:val="106"/>
          <w:rFonts w:ascii="Times New Roman" w:hAnsi="Times New Roman" w:eastAsia="宋体" w:cs="Times New Roman"/>
          <w:b/>
          <w:spacing w:val="0"/>
          <w:sz w:val="21"/>
          <w:szCs w:val="21"/>
        </w:rPr>
      </w:pPr>
    </w:p>
    <w:p>
      <w:pPr>
        <w:pStyle w:val="105"/>
        <w:shd w:val="clear" w:color="auto" w:fill="auto"/>
        <w:spacing w:before="120" w:beforeLines="50" w:after="120" w:afterLines="50" w:line="240" w:lineRule="auto"/>
        <w:ind w:firstLine="421" w:firstLineChars="200"/>
        <w:jc w:val="both"/>
        <w:rPr>
          <w:rStyle w:val="106"/>
          <w:rFonts w:ascii="Times New Roman" w:hAnsi="Times New Roman" w:eastAsia="宋体" w:cs="Times New Roman"/>
          <w:b/>
          <w:spacing w:val="0"/>
          <w:sz w:val="21"/>
          <w:szCs w:val="21"/>
        </w:rPr>
      </w:pPr>
    </w:p>
    <w:p>
      <w:pPr>
        <w:pStyle w:val="105"/>
        <w:shd w:val="clear" w:color="auto" w:fill="auto"/>
        <w:spacing w:before="120" w:beforeLines="50" w:after="120" w:afterLines="50" w:line="240" w:lineRule="auto"/>
        <w:ind w:firstLine="421" w:firstLineChars="200"/>
        <w:jc w:val="both"/>
        <w:rPr>
          <w:rStyle w:val="106"/>
          <w:rFonts w:ascii="Times New Roman" w:hAnsi="Times New Roman" w:eastAsia="宋体" w:cs="Times New Roman"/>
          <w:b/>
          <w:spacing w:val="0"/>
          <w:sz w:val="21"/>
          <w:szCs w:val="21"/>
        </w:rPr>
      </w:pPr>
    </w:p>
    <w:p>
      <w:pPr>
        <w:pStyle w:val="105"/>
        <w:shd w:val="clear" w:color="auto" w:fill="auto"/>
        <w:spacing w:line="240" w:lineRule="auto"/>
        <w:ind w:firstLine="1470" w:firstLineChars="700"/>
        <w:jc w:val="both"/>
        <w:rPr>
          <w:rFonts w:ascii="Times New Roman" w:hAnsi="Times New Roman" w:eastAsia="宋体" w:cs="Times New Roman"/>
          <w:spacing w:val="0"/>
        </w:rPr>
      </w:pPr>
      <w:r>
        <w:rPr>
          <w:rStyle w:val="142"/>
          <w:rFonts w:ascii="宋体" w:hAnsi="宋体" w:eastAsia="宋体" w:cs="Times New Roman"/>
          <w:spacing w:val="0"/>
          <w:sz w:val="21"/>
          <w:szCs w:val="21"/>
        </w:rPr>
        <w:t>a）</w:t>
      </w:r>
      <w:r>
        <w:rPr>
          <w:rFonts w:ascii="Times New Roman" w:hAnsi="Times New Roman" w:eastAsia="宋体" w:cs="Times New Roman"/>
          <w:spacing w:val="0"/>
          <w:sz w:val="21"/>
          <w:szCs w:val="21"/>
        </w:rPr>
        <w:t xml:space="preserve">梁下部纵向受力钢筋连接      </w:t>
      </w:r>
      <w:r>
        <w:rPr>
          <w:rStyle w:val="142"/>
          <w:rFonts w:hint="eastAsia" w:ascii="Times New Roman" w:hAnsi="Times New Roman" w:eastAsia="宋体" w:cs="Times New Roman"/>
          <w:spacing w:val="0"/>
          <w:sz w:val="21"/>
          <w:szCs w:val="21"/>
        </w:rPr>
        <w:t xml:space="preserve"> </w:t>
      </w:r>
      <w:r>
        <w:rPr>
          <w:rStyle w:val="142"/>
          <w:rFonts w:ascii="宋体" w:hAnsi="宋体" w:eastAsia="宋体" w:cs="Times New Roman"/>
          <w:spacing w:val="0"/>
          <w:sz w:val="21"/>
          <w:szCs w:val="21"/>
        </w:rPr>
        <w:t xml:space="preserve"> b）</w:t>
      </w:r>
      <w:r>
        <w:rPr>
          <w:rFonts w:ascii="Times New Roman" w:hAnsi="Times New Roman" w:eastAsia="宋体" w:cs="Times New Roman"/>
          <w:spacing w:val="0"/>
          <w:sz w:val="21"/>
          <w:szCs w:val="21"/>
        </w:rPr>
        <w:t>梁下部纵向受力钢筋锚固</w:t>
      </w:r>
    </w:p>
    <w:p>
      <w:pPr>
        <w:pStyle w:val="83"/>
        <w:shd w:val="clear" w:color="auto" w:fill="auto"/>
        <w:spacing w:before="120" w:beforeLines="50" w:after="120" w:afterLines="50" w:line="240" w:lineRule="auto"/>
        <w:jc w:val="center"/>
        <w:rPr>
          <w:rFonts w:ascii="Times New Roman" w:hAnsi="Times New Roman" w:eastAsia="宋体" w:cs="Times New Roman"/>
          <w:sz w:val="21"/>
          <w:szCs w:val="21"/>
        </w:rPr>
      </w:pPr>
      <w:r>
        <w:rPr>
          <w:rFonts w:ascii="Times New Roman" w:hAnsi="Times New Roman" w:eastAsia="宋体" w:cs="Times New Roman"/>
          <w:b w:val="0"/>
          <w:bCs w:val="0"/>
          <w:sz w:val="21"/>
          <w:szCs w:val="21"/>
        </w:rPr>
        <w:t>图18  预制柱及叠合梁框架顶层中节点构造示意</w:t>
      </w:r>
    </w:p>
    <w:p>
      <w:pPr>
        <w:pStyle w:val="83"/>
        <w:shd w:val="clear" w:color="auto" w:fill="auto"/>
        <w:spacing w:before="50" w:after="50" w:line="240" w:lineRule="auto"/>
        <w:jc w:val="center"/>
        <w:rPr>
          <w:rFonts w:ascii="Times New Roman" w:hAnsi="Times New Roman" w:eastAsia="宋体" w:cs="Times New Roman"/>
          <w:b w:val="0"/>
          <w:sz w:val="18"/>
          <w:szCs w:val="18"/>
        </w:rPr>
      </w:pPr>
      <w:r>
        <w:rPr>
          <w:rFonts w:ascii="Times New Roman" w:hAnsi="Times New Roman" w:eastAsia="宋体" w:cs="Times New Roman"/>
          <w:b w:val="0"/>
          <w:sz w:val="18"/>
          <w:szCs w:val="18"/>
        </w:rPr>
        <w:t>1</w:t>
      </w:r>
      <w:r>
        <w:rPr>
          <w:rFonts w:ascii="Times New Roman" w:hAnsi="Times New Roman" w:eastAsia="宋体" w:cs="Times New Roman"/>
          <w:b w:val="0"/>
          <w:bCs w:val="0"/>
          <w:sz w:val="18"/>
          <w:szCs w:val="18"/>
        </w:rPr>
        <w:t>—后浇区；2—梁下部纵向受力钢筋连接；3—预制梁；4—梁下部纵向受力钢筋锚固</w:t>
      </w:r>
    </w:p>
    <w:p>
      <w:pPr>
        <w:pStyle w:val="105"/>
        <w:shd w:val="clear" w:color="auto" w:fill="auto"/>
        <w:spacing w:before="120" w:beforeLines="50" w:after="120" w:afterLines="5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d</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对框架顶层端节点，梁下部纵向受力钢筋应锚固在后浇节点区内，且宜采用锚固板的锚固方式；梁、柱其他纵向受力钢筋的锚固应符合下列规定：</w:t>
      </w:r>
    </w:p>
    <w:p>
      <w:pPr>
        <w:pStyle w:val="105"/>
        <w:shd w:val="clear" w:color="auto" w:fill="auto"/>
        <w:spacing w:line="240" w:lineRule="auto"/>
        <w:ind w:left="1170" w:leftChars="400" w:hanging="210" w:hangingChars="100"/>
        <w:jc w:val="both"/>
        <w:rPr>
          <w:rFonts w:ascii="Times New Roman" w:hAnsi="Times New Roman" w:eastAsia="宋体" w:cs="Times New Roman"/>
          <w:spacing w:val="0"/>
          <w:sz w:val="21"/>
          <w:szCs w:val="21"/>
        </w:rPr>
      </w:pPr>
      <w:r>
        <w:rPr>
          <w:rStyle w:val="106"/>
          <w:rFonts w:ascii="宋体" w:hAnsi="宋体" w:eastAsia="宋体" w:cs="Times New Roman"/>
          <w:spacing w:val="0"/>
          <w:sz w:val="21"/>
          <w:szCs w:val="21"/>
        </w:rPr>
        <w:t>1）</w:t>
      </w:r>
      <w:r>
        <w:rPr>
          <w:rFonts w:ascii="Times New Roman" w:hAnsi="Times New Roman" w:eastAsia="宋体" w:cs="Times New Roman"/>
          <w:spacing w:val="0"/>
          <w:sz w:val="21"/>
          <w:szCs w:val="21"/>
        </w:rPr>
        <w:t>柱宜伸出屋面并将柱纵向受力钢筋锚固在伸出段内（</w:t>
      </w:r>
      <w:r>
        <w:rPr>
          <w:rFonts w:hint="eastAsia" w:ascii="Times New Roman" w:hAnsi="Times New Roman" w:eastAsia="宋体" w:cs="Times New Roman"/>
          <w:spacing w:val="0"/>
          <w:sz w:val="21"/>
          <w:szCs w:val="21"/>
        </w:rPr>
        <w:t>见</w:t>
      </w:r>
      <w:r>
        <w:rPr>
          <w:rFonts w:ascii="Times New Roman" w:hAnsi="Times New Roman" w:eastAsia="宋体" w:cs="Times New Roman"/>
          <w:spacing w:val="0"/>
          <w:sz w:val="21"/>
          <w:szCs w:val="21"/>
        </w:rPr>
        <w:t>图</w:t>
      </w:r>
      <w:r>
        <w:rPr>
          <w:rStyle w:val="106"/>
          <w:rFonts w:ascii="Times New Roman" w:hAnsi="Times New Roman" w:eastAsia="宋体" w:cs="Times New Roman"/>
          <w:spacing w:val="0"/>
          <w:sz w:val="21"/>
          <w:szCs w:val="21"/>
        </w:rPr>
        <w:t>19a）</w:t>
      </w:r>
      <w:r>
        <w:rPr>
          <w:rFonts w:ascii="Times New Roman" w:hAnsi="Times New Roman" w:eastAsia="宋体" w:cs="Times New Roman"/>
          <w:spacing w:val="0"/>
          <w:sz w:val="21"/>
          <w:szCs w:val="21"/>
        </w:rPr>
        <w:t>，伸出段长度不宜小于</w:t>
      </w:r>
      <w:r>
        <w:rPr>
          <w:rStyle w:val="106"/>
          <w:rFonts w:ascii="Times New Roman" w:hAnsi="Times New Roman" w:eastAsia="宋体" w:cs="Times New Roman"/>
          <w:spacing w:val="0"/>
          <w:sz w:val="21"/>
          <w:szCs w:val="21"/>
        </w:rPr>
        <w:t>500mm</w:t>
      </w:r>
      <w:r>
        <w:rPr>
          <w:rStyle w:val="165"/>
          <w:rFonts w:ascii="Times New Roman" w:hAnsi="Times New Roman" w:eastAsia="宋体" w:cs="Times New Roman"/>
          <w:sz w:val="21"/>
          <w:szCs w:val="21"/>
        </w:rPr>
        <w:t>，伸出段内箍</w:t>
      </w:r>
      <w:r>
        <w:rPr>
          <w:rFonts w:ascii="Times New Roman" w:hAnsi="Times New Roman" w:eastAsia="宋体" w:cs="Times New Roman"/>
          <w:spacing w:val="0"/>
          <w:sz w:val="21"/>
          <w:szCs w:val="21"/>
        </w:rPr>
        <w:t>筋间距不应大于</w:t>
      </w:r>
      <w:r>
        <w:rPr>
          <w:rStyle w:val="166"/>
          <w:rFonts w:ascii="Times New Roman" w:hAnsi="Times New Roman" w:eastAsia="宋体" w:cs="Times New Roman"/>
          <w:spacing w:val="0"/>
          <w:sz w:val="21"/>
          <w:szCs w:val="21"/>
        </w:rPr>
        <w:t>5d</w:t>
      </w:r>
      <w:r>
        <w:rPr>
          <w:rStyle w:val="166"/>
          <w:rFonts w:ascii="Times New Roman" w:hAnsi="Times New Roman" w:eastAsia="宋体" w:cs="Times New Roman"/>
          <w:i w:val="0"/>
          <w:iCs w:val="0"/>
          <w:spacing w:val="0"/>
          <w:sz w:val="21"/>
          <w:szCs w:val="21"/>
        </w:rPr>
        <w:t>（</w:t>
      </w:r>
      <w:r>
        <w:rPr>
          <w:rStyle w:val="166"/>
          <w:rFonts w:ascii="Times New Roman" w:hAnsi="Times New Roman" w:eastAsia="宋体" w:cs="Times New Roman"/>
          <w:spacing w:val="0"/>
          <w:sz w:val="21"/>
          <w:szCs w:val="21"/>
        </w:rPr>
        <w:t>d</w:t>
      </w:r>
      <w:r>
        <w:rPr>
          <w:rFonts w:ascii="Times New Roman" w:hAnsi="Times New Roman" w:eastAsia="宋体" w:cs="Times New Roman"/>
          <w:spacing w:val="0"/>
          <w:sz w:val="21"/>
          <w:szCs w:val="21"/>
        </w:rPr>
        <w:t>为柱纵向受力钢筋直径），且不应大于</w:t>
      </w:r>
      <w:r>
        <w:rPr>
          <w:rStyle w:val="106"/>
          <w:rFonts w:ascii="Times New Roman" w:hAnsi="Times New Roman" w:eastAsia="宋体" w:cs="Times New Roman"/>
          <w:spacing w:val="0"/>
          <w:sz w:val="21"/>
          <w:szCs w:val="21"/>
        </w:rPr>
        <w:t>100mm</w:t>
      </w:r>
      <w:r>
        <w:rPr>
          <w:rFonts w:ascii="Times New Roman" w:hAnsi="Times New Roman" w:eastAsia="宋体" w:cs="Times New Roman"/>
          <w:spacing w:val="0"/>
          <w:sz w:val="21"/>
          <w:szCs w:val="21"/>
        </w:rPr>
        <w:t>；柱纵向钢筋宜采用锚固板锚固，锚固长度不应小于</w:t>
      </w:r>
      <w:r>
        <w:rPr>
          <w:rStyle w:val="106"/>
          <w:rFonts w:ascii="Times New Roman" w:hAnsi="Times New Roman" w:eastAsia="宋体" w:cs="Times New Roman"/>
          <w:spacing w:val="0"/>
          <w:sz w:val="21"/>
          <w:szCs w:val="21"/>
        </w:rPr>
        <w:t>40</w:t>
      </w:r>
      <w:r>
        <w:rPr>
          <w:rStyle w:val="106"/>
          <w:rFonts w:ascii="Times New Roman" w:hAnsi="Times New Roman" w:eastAsia="宋体" w:cs="Times New Roman"/>
          <w:i/>
          <w:iCs/>
          <w:spacing w:val="0"/>
          <w:sz w:val="21"/>
          <w:szCs w:val="21"/>
        </w:rPr>
        <w:t>d</w:t>
      </w:r>
      <w:r>
        <w:rPr>
          <w:rFonts w:ascii="Times New Roman" w:hAnsi="Times New Roman" w:eastAsia="宋体" w:cs="Times New Roman"/>
          <w:spacing w:val="0"/>
          <w:sz w:val="21"/>
          <w:szCs w:val="21"/>
        </w:rPr>
        <w:t>，梁上部纵向受力钢筋宜采用锚固板锚固；</w:t>
      </w:r>
    </w:p>
    <w:p>
      <w:pPr>
        <w:pStyle w:val="105"/>
        <w:shd w:val="clear" w:color="auto" w:fill="auto"/>
        <w:spacing w:line="240" w:lineRule="auto"/>
        <w:ind w:left="1044" w:right="40" w:hanging="403"/>
        <w:jc w:val="center"/>
        <w:rPr>
          <w:rFonts w:ascii="Times New Roman" w:hAnsi="Times New Roman" w:eastAsia="宋体" w:cs="Times New Roman"/>
          <w:spacing w:val="0"/>
        </w:rPr>
      </w:pPr>
      <w:r>
        <w:drawing>
          <wp:inline distT="0" distB="0" distL="0" distR="0">
            <wp:extent cx="4014470" cy="1700530"/>
            <wp:effectExtent l="0" t="0" r="0" b="0"/>
            <wp:docPr id="68" name="图片 6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true" noChangeArrowheads="true"/>
                    </pic:cNvPicPr>
                  </pic:nvPicPr>
                  <pic:blipFill>
                    <a:blip r:embed="rId136"/>
                    <a:stretch>
                      <a:fillRect/>
                    </a:stretch>
                  </pic:blipFill>
                  <pic:spPr>
                    <a:xfrm>
                      <a:off x="0" y="0"/>
                      <a:ext cx="4014699" cy="1700829"/>
                    </a:xfrm>
                    <a:prstGeom prst="rect">
                      <a:avLst/>
                    </a:prstGeom>
                    <a:noFill/>
                    <a:ln>
                      <a:noFill/>
                    </a:ln>
                  </pic:spPr>
                </pic:pic>
              </a:graphicData>
            </a:graphic>
          </wp:inline>
        </w:drawing>
      </w:r>
    </w:p>
    <w:p>
      <w:pPr>
        <w:pStyle w:val="105"/>
        <w:shd w:val="clear" w:color="auto" w:fill="auto"/>
        <w:spacing w:before="120" w:beforeLines="50" w:line="240" w:lineRule="auto"/>
        <w:ind w:firstLine="2520" w:firstLineChars="1200"/>
        <w:jc w:val="both"/>
        <w:rPr>
          <w:rFonts w:ascii="Times New Roman" w:hAnsi="Times New Roman" w:eastAsia="宋体" w:cs="Times New Roman"/>
          <w:spacing w:val="0"/>
        </w:rPr>
      </w:pPr>
      <w:r>
        <w:rPr>
          <w:rStyle w:val="142"/>
          <w:rFonts w:ascii="宋体" w:hAnsi="宋体" w:eastAsia="宋体" w:cs="Times New Roman"/>
          <w:spacing w:val="0"/>
          <w:sz w:val="21"/>
          <w:szCs w:val="21"/>
        </w:rPr>
        <w:t>a）</w:t>
      </w:r>
      <w:r>
        <w:rPr>
          <w:rFonts w:ascii="Times New Roman" w:hAnsi="Times New Roman" w:eastAsia="宋体" w:cs="Times New Roman"/>
          <w:spacing w:val="0"/>
          <w:sz w:val="21"/>
          <w:szCs w:val="21"/>
        </w:rPr>
        <w:t xml:space="preserve">柱向上伸长     </w:t>
      </w:r>
      <w:r>
        <w:rPr>
          <w:rFonts w:hint="eastAsia" w:ascii="Times New Roman" w:hAnsi="Times New Roman" w:eastAsia="宋体" w:cs="Times New Roman"/>
          <w:spacing w:val="0"/>
          <w:sz w:val="21"/>
          <w:szCs w:val="21"/>
        </w:rPr>
        <w:t xml:space="preserve">   </w:t>
      </w:r>
      <w:r>
        <w:rPr>
          <w:rFonts w:ascii="Times New Roman" w:hAnsi="Times New Roman" w:eastAsia="宋体" w:cs="Times New Roman"/>
          <w:spacing w:val="0"/>
          <w:sz w:val="21"/>
          <w:szCs w:val="21"/>
        </w:rPr>
        <w:t xml:space="preserve">      </w:t>
      </w:r>
      <w:r>
        <w:rPr>
          <w:rStyle w:val="142"/>
          <w:rFonts w:ascii="宋体" w:hAnsi="宋体" w:eastAsia="宋体" w:cs="Times New Roman"/>
          <w:spacing w:val="0"/>
          <w:sz w:val="21"/>
          <w:szCs w:val="21"/>
        </w:rPr>
        <w:t>b）</w:t>
      </w:r>
      <w:r>
        <w:rPr>
          <w:rFonts w:ascii="Times New Roman" w:hAnsi="Times New Roman" w:eastAsia="宋体" w:cs="Times New Roman"/>
          <w:spacing w:val="0"/>
          <w:sz w:val="21"/>
          <w:szCs w:val="21"/>
        </w:rPr>
        <w:t>梁柱外侧钢筋搭接</w:t>
      </w:r>
    </w:p>
    <w:p>
      <w:pPr>
        <w:pStyle w:val="83"/>
        <w:shd w:val="clear" w:color="auto" w:fill="auto"/>
        <w:spacing w:before="120" w:beforeLines="50" w:after="120" w:afterLines="50" w:line="240" w:lineRule="auto"/>
        <w:jc w:val="center"/>
        <w:rPr>
          <w:rFonts w:ascii="Times New Roman" w:hAnsi="Times New Roman" w:eastAsia="宋体" w:cs="Times New Roman"/>
          <w:sz w:val="21"/>
          <w:szCs w:val="21"/>
        </w:rPr>
      </w:pPr>
      <w:r>
        <w:rPr>
          <w:rFonts w:ascii="Times New Roman" w:hAnsi="Times New Roman" w:eastAsia="宋体" w:cs="Times New Roman"/>
          <w:b w:val="0"/>
          <w:bCs w:val="0"/>
          <w:sz w:val="21"/>
          <w:szCs w:val="21"/>
        </w:rPr>
        <w:t>图19  预制柱及叠合梁框架顶层端节点构造示意</w:t>
      </w:r>
    </w:p>
    <w:p>
      <w:pPr>
        <w:pStyle w:val="83"/>
        <w:shd w:val="clear" w:color="auto" w:fill="auto"/>
        <w:spacing w:before="50" w:after="50" w:line="240" w:lineRule="auto"/>
        <w:jc w:val="center"/>
        <w:rPr>
          <w:rFonts w:ascii="Times New Roman" w:hAnsi="Times New Roman" w:eastAsia="宋体" w:cs="Times New Roman"/>
          <w:b w:val="0"/>
          <w:sz w:val="18"/>
          <w:szCs w:val="18"/>
        </w:rPr>
      </w:pPr>
      <w:r>
        <w:rPr>
          <w:rFonts w:ascii="Times New Roman" w:hAnsi="Times New Roman" w:eastAsia="宋体" w:cs="Times New Roman"/>
          <w:b w:val="0"/>
          <w:sz w:val="18"/>
          <w:szCs w:val="18"/>
        </w:rPr>
        <w:t>1</w:t>
      </w:r>
      <w:r>
        <w:rPr>
          <w:rFonts w:ascii="Times New Roman" w:hAnsi="Times New Roman" w:eastAsia="宋体" w:cs="Times New Roman"/>
          <w:b w:val="0"/>
          <w:bCs w:val="0"/>
          <w:sz w:val="18"/>
          <w:szCs w:val="18"/>
        </w:rPr>
        <w:t>—后浇区；2—梁下部纵向受力钢筋锚固；3—预制梁；4—柱延伸段；5—梁柱外侧钢筋搭接</w:t>
      </w:r>
    </w:p>
    <w:p>
      <w:pPr>
        <w:pStyle w:val="105"/>
        <w:shd w:val="clear" w:color="auto" w:fill="auto"/>
        <w:spacing w:line="240" w:lineRule="auto"/>
        <w:ind w:left="1170" w:leftChars="400" w:hanging="210" w:hangingChars="100"/>
        <w:jc w:val="both"/>
        <w:rPr>
          <w:rStyle w:val="106"/>
          <w:rFonts w:ascii="宋体" w:hAnsi="宋体" w:eastAsia="宋体" w:cs="Times New Roman"/>
          <w:spacing w:val="0"/>
          <w:sz w:val="21"/>
          <w:szCs w:val="21"/>
        </w:rPr>
      </w:pPr>
      <w:r>
        <w:rPr>
          <w:rStyle w:val="106"/>
          <w:rFonts w:ascii="宋体" w:hAnsi="宋体" w:eastAsia="宋体" w:cs="Times New Roman"/>
          <w:spacing w:val="0"/>
          <w:sz w:val="21"/>
          <w:szCs w:val="21"/>
        </w:rPr>
        <w:t>2）柱外侧纵向受力钢筋也可与梁上部纵向受力钢筋在后浇节点区搭接（</w:t>
      </w:r>
      <w:r>
        <w:rPr>
          <w:rStyle w:val="106"/>
          <w:rFonts w:hint="eastAsia" w:ascii="宋体" w:hAnsi="宋体" w:eastAsia="宋体" w:cs="Times New Roman"/>
          <w:spacing w:val="0"/>
          <w:sz w:val="21"/>
          <w:szCs w:val="21"/>
        </w:rPr>
        <w:t>见</w:t>
      </w:r>
      <w:r>
        <w:rPr>
          <w:rStyle w:val="106"/>
          <w:rFonts w:ascii="宋体" w:hAnsi="宋体" w:eastAsia="宋体" w:cs="Times New Roman"/>
          <w:spacing w:val="0"/>
          <w:sz w:val="21"/>
          <w:szCs w:val="21"/>
        </w:rPr>
        <w:t>图19b），其构造要求应符合现行国家标准GB/T 50010中的规定；柱内侧纵向受力钢筋宜采用锚固板锚固。</w:t>
      </w:r>
    </w:p>
    <w:p>
      <w:pPr>
        <w:pStyle w:val="51"/>
        <w:numPr>
          <w:ilvl w:val="0"/>
          <w:numId w:val="24"/>
        </w:numPr>
        <w:shd w:val="clear" w:color="auto" w:fill="auto"/>
        <w:tabs>
          <w:tab w:val="left" w:pos="694"/>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采用预制柱及叠合梁的装配整体式框架结构节点，两侧叠合梁</w:t>
      </w:r>
      <w:r>
        <w:rPr>
          <w:rFonts w:hint="eastAsia" w:ascii="Times New Roman" w:hAnsi="Times New Roman" w:eastAsia="宋体" w:cs="Times New Roman"/>
          <w:spacing w:val="0"/>
          <w:sz w:val="21"/>
          <w:szCs w:val="21"/>
        </w:rPr>
        <w:t>下</w:t>
      </w:r>
      <w:r>
        <w:rPr>
          <w:rFonts w:ascii="Times New Roman" w:hAnsi="Times New Roman" w:eastAsia="宋体" w:cs="Times New Roman"/>
          <w:spacing w:val="0"/>
          <w:sz w:val="21"/>
          <w:szCs w:val="21"/>
        </w:rPr>
        <w:t>部水平钢筋挤压套筒连接时，可在核心区外侧梁端后浇段内连接，也可在核心区外两侧梁端后浇段内连接</w:t>
      </w:r>
      <w:r>
        <w:rPr>
          <w:rStyle w:val="71"/>
          <w:rFonts w:ascii="Times New Roman" w:hAnsi="Times New Roman" w:eastAsia="宋体" w:cs="Times New Roman"/>
          <w:spacing w:val="0"/>
          <w:sz w:val="21"/>
          <w:szCs w:val="21"/>
          <w:lang w:val="zh-CN"/>
        </w:rPr>
        <w:t>（</w:t>
      </w:r>
      <w:r>
        <w:rPr>
          <w:rStyle w:val="71"/>
          <w:rFonts w:hint="eastAsia" w:ascii="Times New Roman" w:hAnsi="Times New Roman" w:eastAsia="宋体" w:cs="Times New Roman"/>
          <w:spacing w:val="0"/>
          <w:sz w:val="21"/>
          <w:szCs w:val="21"/>
          <w:lang w:val="zh-CN"/>
        </w:rPr>
        <w:t>见</w:t>
      </w:r>
      <w:r>
        <w:rPr>
          <w:rFonts w:ascii="Times New Roman" w:hAnsi="Times New Roman" w:eastAsia="宋体" w:cs="Times New Roman"/>
          <w:spacing w:val="0"/>
          <w:sz w:val="21"/>
          <w:szCs w:val="21"/>
        </w:rPr>
        <w:t>图</w:t>
      </w:r>
      <w:r>
        <w:rPr>
          <w:rStyle w:val="71"/>
          <w:rFonts w:ascii="Times New Roman" w:hAnsi="Times New Roman" w:eastAsia="宋体" w:cs="Times New Roman"/>
          <w:spacing w:val="0"/>
          <w:sz w:val="21"/>
          <w:szCs w:val="21"/>
          <w:lang w:val="zh-CN"/>
        </w:rPr>
        <w:t>20）</w:t>
      </w:r>
      <w:r>
        <w:rPr>
          <w:rFonts w:ascii="Times New Roman" w:hAnsi="Times New Roman" w:eastAsia="宋体" w:cs="Times New Roman"/>
          <w:spacing w:val="0"/>
          <w:sz w:val="21"/>
          <w:szCs w:val="21"/>
        </w:rPr>
        <w:t>，连接接头距柱边不小于</w:t>
      </w:r>
      <w:r>
        <w:rPr>
          <w:rStyle w:val="71"/>
          <w:rFonts w:ascii="Times New Roman" w:hAnsi="Times New Roman" w:eastAsia="宋体" w:cs="Times New Roman"/>
          <w:spacing w:val="0"/>
          <w:sz w:val="21"/>
          <w:szCs w:val="21"/>
        </w:rPr>
        <w:t>1.5h</w:t>
      </w:r>
      <w:r>
        <w:rPr>
          <w:rStyle w:val="71"/>
          <w:rFonts w:ascii="Times New Roman" w:hAnsi="Times New Roman" w:eastAsia="宋体" w:cs="Times New Roman"/>
          <w:spacing w:val="0"/>
          <w:sz w:val="21"/>
          <w:szCs w:val="21"/>
          <w:vertAlign w:val="subscript"/>
        </w:rPr>
        <w:t>b</w:t>
      </w:r>
      <w:r>
        <w:rPr>
          <w:rStyle w:val="71"/>
          <w:rFonts w:ascii="Times New Roman" w:hAnsi="Times New Roman" w:eastAsia="宋体" w:cs="Times New Roman"/>
          <w:spacing w:val="0"/>
          <w:sz w:val="21"/>
          <w:szCs w:val="21"/>
        </w:rPr>
        <w:t>（h</w:t>
      </w:r>
      <w:r>
        <w:rPr>
          <w:rStyle w:val="71"/>
          <w:rFonts w:ascii="Times New Roman" w:hAnsi="Times New Roman" w:eastAsia="宋体" w:cs="Times New Roman"/>
          <w:spacing w:val="0"/>
          <w:sz w:val="21"/>
          <w:szCs w:val="21"/>
          <w:vertAlign w:val="subscript"/>
        </w:rPr>
        <w:t>b</w:t>
      </w:r>
      <w:r>
        <w:rPr>
          <w:rFonts w:ascii="Times New Roman" w:hAnsi="Times New Roman" w:eastAsia="宋体" w:cs="Times New Roman"/>
          <w:spacing w:val="0"/>
          <w:sz w:val="21"/>
          <w:szCs w:val="21"/>
        </w:rPr>
        <w:t>为叠合梁截面高度）且不小于</w:t>
      </w:r>
      <w:r>
        <w:rPr>
          <w:rStyle w:val="71"/>
          <w:rFonts w:ascii="Times New Roman" w:hAnsi="Times New Roman" w:eastAsia="宋体" w:cs="Times New Roman"/>
          <w:spacing w:val="0"/>
          <w:sz w:val="21"/>
          <w:szCs w:val="21"/>
        </w:rPr>
        <w:t>300mm</w:t>
      </w:r>
      <w:r>
        <w:rPr>
          <w:rFonts w:ascii="Times New Roman" w:hAnsi="Times New Roman" w:eastAsia="宋体" w:cs="Times New Roman"/>
          <w:spacing w:val="0"/>
          <w:sz w:val="21"/>
          <w:szCs w:val="21"/>
        </w:rPr>
        <w:t>，叠合梁后浇叠合层顶部的水平钢筋应贯穿后浇核心区。两端后浇段的箍筋尚应满足下列要求：</w:t>
      </w:r>
    </w:p>
    <w:p>
      <w:pPr>
        <w:pStyle w:val="51"/>
        <w:shd w:val="clear" w:color="auto" w:fill="auto"/>
        <w:tabs>
          <w:tab w:val="left" w:pos="796"/>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箍筋间距不宜大于</w:t>
      </w:r>
      <w:r>
        <w:rPr>
          <w:rStyle w:val="71"/>
          <w:rFonts w:ascii="Times New Roman" w:hAnsi="Times New Roman" w:eastAsia="宋体" w:cs="Times New Roman"/>
          <w:spacing w:val="0"/>
          <w:sz w:val="21"/>
          <w:szCs w:val="21"/>
        </w:rPr>
        <w:t>75mm</w:t>
      </w:r>
      <w:r>
        <w:rPr>
          <w:rFonts w:ascii="Times New Roman" w:hAnsi="Times New Roman" w:eastAsia="宋体" w:cs="Times New Roman"/>
          <w:spacing w:val="0"/>
          <w:sz w:val="21"/>
          <w:szCs w:val="21"/>
        </w:rPr>
        <w:t>；</w:t>
      </w:r>
    </w:p>
    <w:p>
      <w:pPr>
        <w:pStyle w:val="51"/>
        <w:shd w:val="clear" w:color="auto" w:fill="auto"/>
        <w:tabs>
          <w:tab w:val="left" w:pos="796"/>
        </w:tabs>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hint="eastAsia" w:ascii="Times New Roman" w:hAnsi="Times New Roman" w:eastAsia="宋体" w:cs="Times New Roman"/>
          <w:spacing w:val="0"/>
          <w:sz w:val="21"/>
          <w:szCs w:val="21"/>
        </w:rPr>
        <w:t>抗震等级为一、二级时，箍筋直径不应小于</w:t>
      </w:r>
      <w:r>
        <w:rPr>
          <w:rFonts w:ascii="Times New Roman" w:hAnsi="Times New Roman" w:eastAsia="宋体" w:cs="Times New Roman"/>
          <w:spacing w:val="0"/>
          <w:sz w:val="21"/>
          <w:szCs w:val="21"/>
        </w:rPr>
        <w:t>10mm</w:t>
      </w:r>
      <w:r>
        <w:rPr>
          <w:rFonts w:hint="eastAsia" w:ascii="Times New Roman" w:hAnsi="Times New Roman" w:eastAsia="宋体" w:cs="Times New Roman"/>
          <w:spacing w:val="0"/>
          <w:sz w:val="21"/>
          <w:szCs w:val="21"/>
        </w:rPr>
        <w:t>，抗震等级为三、四级时，箍筋直径不应小于</w:t>
      </w:r>
      <w:r>
        <w:rPr>
          <w:rFonts w:ascii="Times New Roman" w:hAnsi="Times New Roman" w:eastAsia="宋体" w:cs="Times New Roman"/>
          <w:spacing w:val="0"/>
          <w:sz w:val="21"/>
          <w:szCs w:val="21"/>
        </w:rPr>
        <w:t>8mm</w:t>
      </w:r>
      <w:r>
        <w:rPr>
          <w:rFonts w:hint="eastAsia" w:ascii="Times New Roman" w:hAnsi="Times New Roman" w:eastAsia="宋体" w:cs="Times New Roman"/>
          <w:spacing w:val="0"/>
          <w:sz w:val="21"/>
          <w:szCs w:val="21"/>
        </w:rPr>
        <w:t>。</w:t>
      </w:r>
    </w:p>
    <w:p>
      <w:pPr>
        <w:pStyle w:val="51"/>
        <w:shd w:val="clear" w:color="auto" w:fill="auto"/>
        <w:tabs>
          <w:tab w:val="left" w:pos="796"/>
        </w:tabs>
        <w:spacing w:before="0" w:after="0" w:line="240" w:lineRule="auto"/>
        <w:ind w:firstLine="0"/>
        <w:jc w:val="both"/>
        <w:rPr>
          <w:rFonts w:ascii="Times New Roman" w:hAnsi="Times New Roman" w:eastAsia="宋体" w:cs="Times New Roman"/>
          <w:spacing w:val="0"/>
          <w:sz w:val="21"/>
          <w:szCs w:val="21"/>
        </w:rPr>
      </w:pPr>
      <w:r>
        <w:rPr>
          <w:rFonts w:hint="eastAsia" w:ascii="Times New Roman" w:hAnsi="Times New Roman" w:eastAsia="宋体" w:cs="Times New Roman"/>
          <w:spacing w:val="0"/>
        </w:rPr>
        <w:drawing>
          <wp:anchor distT="0" distB="0" distL="114300" distR="114300" simplePos="0" relativeHeight="251661312" behindDoc="0" locked="0" layoutInCell="1" allowOverlap="1">
            <wp:simplePos x="0" y="0"/>
            <wp:positionH relativeFrom="margin">
              <wp:posOffset>515620</wp:posOffset>
            </wp:positionH>
            <wp:positionV relativeFrom="paragraph">
              <wp:posOffset>5080</wp:posOffset>
            </wp:positionV>
            <wp:extent cx="4846320" cy="1803400"/>
            <wp:effectExtent l="0" t="0" r="0" b="6350"/>
            <wp:wrapNone/>
            <wp:docPr id="10" name="图片 10" descr="7.3.9-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7.3.9-2"/>
                    <pic:cNvPicPr>
                      <a:picLocks noChangeAspect="true"/>
                    </pic:cNvPicPr>
                  </pic:nvPicPr>
                  <pic:blipFill>
                    <a:blip r:embed="rId137"/>
                    <a:stretch>
                      <a:fillRect/>
                    </a:stretch>
                  </pic:blipFill>
                  <pic:spPr>
                    <a:xfrm>
                      <a:off x="0" y="0"/>
                      <a:ext cx="4846320" cy="1803400"/>
                    </a:xfrm>
                    <a:prstGeom prst="rect">
                      <a:avLst/>
                    </a:prstGeom>
                  </pic:spPr>
                </pic:pic>
              </a:graphicData>
            </a:graphic>
          </wp:anchor>
        </w:drawing>
      </w:r>
    </w:p>
    <w:p>
      <w:pPr>
        <w:pStyle w:val="51"/>
        <w:shd w:val="clear" w:color="auto" w:fill="auto"/>
        <w:tabs>
          <w:tab w:val="left" w:pos="796"/>
        </w:tabs>
        <w:spacing w:before="0" w:after="0" w:line="240" w:lineRule="auto"/>
        <w:ind w:firstLine="0"/>
        <w:jc w:val="both"/>
        <w:rPr>
          <w:rFonts w:ascii="Times New Roman" w:hAnsi="Times New Roman" w:eastAsia="宋体" w:cs="Times New Roman"/>
          <w:spacing w:val="0"/>
          <w:sz w:val="21"/>
          <w:szCs w:val="21"/>
        </w:rPr>
      </w:pPr>
    </w:p>
    <w:p>
      <w:pPr>
        <w:pStyle w:val="51"/>
        <w:shd w:val="clear" w:color="auto" w:fill="auto"/>
        <w:tabs>
          <w:tab w:val="left" w:pos="796"/>
        </w:tabs>
        <w:spacing w:before="0" w:after="0" w:line="240" w:lineRule="auto"/>
        <w:ind w:firstLine="0"/>
        <w:jc w:val="both"/>
        <w:rPr>
          <w:rFonts w:ascii="Times New Roman" w:hAnsi="Times New Roman" w:eastAsia="宋体" w:cs="Times New Roman"/>
          <w:spacing w:val="0"/>
          <w:sz w:val="21"/>
          <w:szCs w:val="21"/>
        </w:rPr>
      </w:pPr>
    </w:p>
    <w:p>
      <w:pPr>
        <w:pStyle w:val="51"/>
        <w:shd w:val="clear" w:color="auto" w:fill="auto"/>
        <w:tabs>
          <w:tab w:val="left" w:pos="796"/>
        </w:tabs>
        <w:spacing w:before="0" w:after="0" w:line="240" w:lineRule="auto"/>
        <w:ind w:firstLine="0"/>
        <w:jc w:val="both"/>
        <w:rPr>
          <w:rFonts w:ascii="Times New Roman" w:hAnsi="Times New Roman" w:eastAsia="宋体" w:cs="Times New Roman"/>
          <w:spacing w:val="0"/>
          <w:sz w:val="21"/>
          <w:szCs w:val="21"/>
        </w:rPr>
      </w:pPr>
    </w:p>
    <w:p>
      <w:pPr>
        <w:pStyle w:val="51"/>
        <w:shd w:val="clear" w:color="auto" w:fill="auto"/>
        <w:tabs>
          <w:tab w:val="left" w:pos="796"/>
        </w:tabs>
        <w:spacing w:before="0" w:after="0" w:line="240" w:lineRule="auto"/>
        <w:ind w:firstLine="0"/>
        <w:jc w:val="both"/>
        <w:rPr>
          <w:rFonts w:ascii="Times New Roman" w:hAnsi="Times New Roman" w:eastAsia="宋体" w:cs="Times New Roman"/>
          <w:spacing w:val="0"/>
          <w:sz w:val="21"/>
          <w:szCs w:val="21"/>
        </w:rPr>
      </w:pPr>
    </w:p>
    <w:p>
      <w:pPr>
        <w:pStyle w:val="51"/>
        <w:shd w:val="clear" w:color="auto" w:fill="auto"/>
        <w:tabs>
          <w:tab w:val="left" w:pos="796"/>
        </w:tabs>
        <w:spacing w:before="0" w:after="0" w:line="240" w:lineRule="auto"/>
        <w:ind w:firstLine="0"/>
        <w:jc w:val="both"/>
        <w:rPr>
          <w:rFonts w:ascii="Times New Roman" w:hAnsi="Times New Roman" w:eastAsia="宋体" w:cs="Times New Roman"/>
          <w:spacing w:val="0"/>
          <w:sz w:val="21"/>
          <w:szCs w:val="21"/>
        </w:rPr>
      </w:pPr>
    </w:p>
    <w:p>
      <w:pPr>
        <w:pStyle w:val="51"/>
        <w:shd w:val="clear" w:color="auto" w:fill="auto"/>
        <w:tabs>
          <w:tab w:val="left" w:pos="796"/>
        </w:tabs>
        <w:spacing w:before="0" w:after="0" w:line="240" w:lineRule="auto"/>
        <w:ind w:firstLine="0"/>
        <w:jc w:val="both"/>
        <w:rPr>
          <w:rFonts w:ascii="Times New Roman" w:hAnsi="Times New Roman" w:eastAsia="宋体" w:cs="Times New Roman"/>
          <w:spacing w:val="0"/>
          <w:sz w:val="21"/>
          <w:szCs w:val="21"/>
        </w:rPr>
      </w:pPr>
    </w:p>
    <w:p>
      <w:pPr>
        <w:pStyle w:val="51"/>
        <w:shd w:val="clear" w:color="auto" w:fill="auto"/>
        <w:tabs>
          <w:tab w:val="left" w:pos="796"/>
        </w:tabs>
        <w:spacing w:before="0" w:after="0" w:line="240" w:lineRule="auto"/>
        <w:ind w:firstLine="0"/>
        <w:jc w:val="both"/>
        <w:rPr>
          <w:rFonts w:ascii="Times New Roman" w:hAnsi="Times New Roman" w:eastAsia="宋体" w:cs="Times New Roman"/>
          <w:spacing w:val="0"/>
          <w:sz w:val="21"/>
          <w:szCs w:val="21"/>
        </w:rPr>
      </w:pPr>
    </w:p>
    <w:p>
      <w:pPr>
        <w:pStyle w:val="51"/>
        <w:shd w:val="clear" w:color="auto" w:fill="auto"/>
        <w:tabs>
          <w:tab w:val="left" w:pos="796"/>
        </w:tabs>
        <w:spacing w:before="0" w:after="0" w:line="240" w:lineRule="auto"/>
        <w:ind w:firstLine="0"/>
        <w:jc w:val="both"/>
        <w:rPr>
          <w:rFonts w:ascii="Times New Roman" w:hAnsi="Times New Roman" w:eastAsia="宋体" w:cs="Times New Roman"/>
          <w:spacing w:val="0"/>
          <w:sz w:val="21"/>
          <w:szCs w:val="21"/>
        </w:rPr>
      </w:pPr>
    </w:p>
    <w:p>
      <w:pPr>
        <w:pStyle w:val="51"/>
        <w:shd w:val="clear" w:color="auto" w:fill="auto"/>
        <w:tabs>
          <w:tab w:val="left" w:pos="796"/>
        </w:tabs>
        <w:spacing w:before="0" w:after="0" w:line="240" w:lineRule="auto"/>
        <w:ind w:firstLine="0"/>
        <w:jc w:val="both"/>
        <w:rPr>
          <w:rFonts w:ascii="Times New Roman" w:hAnsi="Times New Roman" w:eastAsia="宋体" w:cs="Times New Roman"/>
          <w:spacing w:val="0"/>
          <w:sz w:val="21"/>
          <w:szCs w:val="21"/>
        </w:rPr>
      </w:pPr>
    </w:p>
    <w:p>
      <w:pPr>
        <w:pStyle w:val="51"/>
        <w:shd w:val="clear" w:color="auto" w:fill="auto"/>
        <w:tabs>
          <w:tab w:val="left" w:pos="796"/>
        </w:tabs>
        <w:spacing w:before="0" w:after="0" w:line="240" w:lineRule="auto"/>
        <w:ind w:firstLine="0"/>
        <w:jc w:val="both"/>
        <w:rPr>
          <w:rFonts w:ascii="Times New Roman" w:hAnsi="Times New Roman" w:eastAsia="宋体" w:cs="Times New Roman"/>
          <w:spacing w:val="0"/>
          <w:sz w:val="21"/>
          <w:szCs w:val="21"/>
        </w:rPr>
      </w:pPr>
    </w:p>
    <w:p>
      <w:pPr>
        <w:framePr w:wrap="auto" w:vAnchor="page" w:hAnchor="page" w:x="3077" w:y="6593"/>
        <w:rPr>
          <w:rFonts w:ascii="Times New Roman" w:hAnsi="Times New Roman" w:eastAsia="宋体" w:cs="Times New Roman"/>
          <w:sz w:val="0"/>
          <w:szCs w:val="0"/>
        </w:rPr>
      </w:pPr>
    </w:p>
    <w:p>
      <w:pPr>
        <w:pStyle w:val="105"/>
        <w:shd w:val="clear" w:color="auto" w:fill="auto"/>
        <w:spacing w:line="240" w:lineRule="auto"/>
        <w:ind w:left="23"/>
        <w:jc w:val="center"/>
        <w:rPr>
          <w:rFonts w:ascii="Times New Roman" w:hAnsi="Times New Roman" w:eastAsia="宋体" w:cs="Times New Roman"/>
          <w:spacing w:val="0"/>
        </w:rPr>
      </w:pPr>
    </w:p>
    <w:p>
      <w:pPr>
        <w:pStyle w:val="105"/>
        <w:shd w:val="clear" w:color="auto" w:fill="auto"/>
        <w:spacing w:line="240" w:lineRule="auto"/>
        <w:ind w:firstLine="1680" w:firstLineChars="800"/>
        <w:jc w:val="both"/>
        <w:rPr>
          <w:rFonts w:ascii="Times New Roman" w:hAnsi="Times New Roman" w:eastAsia="宋体" w:cs="Times New Roman"/>
          <w:spacing w:val="0"/>
        </w:rPr>
      </w:pPr>
      <w:r>
        <w:rPr>
          <w:rStyle w:val="142"/>
          <w:rFonts w:ascii="宋体" w:hAnsi="宋体" w:eastAsia="宋体" w:cs="Times New Roman"/>
          <w:spacing w:val="0"/>
          <w:sz w:val="21"/>
          <w:szCs w:val="21"/>
        </w:rPr>
        <w:t>a）</w:t>
      </w:r>
      <w:r>
        <w:rPr>
          <w:rFonts w:ascii="Times New Roman" w:hAnsi="Times New Roman" w:eastAsia="宋体" w:cs="Times New Roman"/>
          <w:spacing w:val="0"/>
          <w:sz w:val="21"/>
          <w:szCs w:val="21"/>
        </w:rPr>
        <w:t xml:space="preserve">中间层                            </w:t>
      </w:r>
      <w:r>
        <w:rPr>
          <w:rStyle w:val="142"/>
          <w:rFonts w:ascii="宋体" w:hAnsi="宋体" w:eastAsia="宋体" w:cs="Times New Roman"/>
          <w:spacing w:val="0"/>
          <w:sz w:val="21"/>
          <w:szCs w:val="21"/>
        </w:rPr>
        <w:t>b）</w:t>
      </w:r>
      <w:r>
        <w:rPr>
          <w:rFonts w:ascii="Times New Roman" w:hAnsi="Times New Roman" w:eastAsia="宋体" w:cs="Times New Roman"/>
          <w:spacing w:val="0"/>
          <w:sz w:val="21"/>
          <w:szCs w:val="21"/>
        </w:rPr>
        <w:t>顶层</w:t>
      </w:r>
    </w:p>
    <w:p>
      <w:pPr>
        <w:pStyle w:val="83"/>
        <w:shd w:val="clear" w:color="auto" w:fill="auto"/>
        <w:spacing w:before="120" w:beforeLines="50" w:after="120" w:afterLines="50" w:line="240" w:lineRule="auto"/>
        <w:jc w:val="center"/>
        <w:rPr>
          <w:rFonts w:ascii="Times New Roman" w:hAnsi="Times New Roman" w:eastAsia="宋体" w:cs="Times New Roman"/>
          <w:sz w:val="21"/>
          <w:szCs w:val="21"/>
        </w:rPr>
      </w:pPr>
      <w:r>
        <w:rPr>
          <w:rFonts w:ascii="Times New Roman" w:hAnsi="Times New Roman" w:eastAsia="宋体" w:cs="Times New Roman"/>
          <w:b w:val="0"/>
          <w:bCs w:val="0"/>
          <w:sz w:val="21"/>
          <w:szCs w:val="21"/>
        </w:rPr>
        <w:t>图20  框架节点叠合梁</w:t>
      </w:r>
      <w:r>
        <w:rPr>
          <w:rFonts w:hint="eastAsia" w:ascii="Times New Roman" w:hAnsi="Times New Roman" w:eastAsia="宋体" w:cs="Times New Roman"/>
          <w:b w:val="0"/>
          <w:bCs w:val="0"/>
          <w:sz w:val="21"/>
          <w:szCs w:val="21"/>
        </w:rPr>
        <w:t>下</w:t>
      </w:r>
      <w:r>
        <w:rPr>
          <w:rFonts w:ascii="Times New Roman" w:hAnsi="Times New Roman" w:eastAsia="宋体" w:cs="Times New Roman"/>
          <w:b w:val="0"/>
          <w:bCs w:val="0"/>
          <w:sz w:val="21"/>
          <w:szCs w:val="21"/>
        </w:rPr>
        <w:t>部水平钢筋在两侧梁端后浇段内采用挤压套筒连接示意</w:t>
      </w:r>
    </w:p>
    <w:p>
      <w:pPr>
        <w:pStyle w:val="83"/>
        <w:shd w:val="clear" w:color="auto" w:fill="auto"/>
        <w:spacing w:before="50" w:after="50" w:line="240" w:lineRule="auto"/>
        <w:jc w:val="center"/>
        <w:rPr>
          <w:rFonts w:ascii="Times New Roman" w:hAnsi="Times New Roman" w:eastAsia="宋体" w:cs="Times New Roman"/>
          <w:b w:val="0"/>
          <w:sz w:val="18"/>
          <w:szCs w:val="18"/>
        </w:rPr>
      </w:pPr>
      <w:r>
        <w:rPr>
          <w:rFonts w:ascii="Times New Roman" w:hAnsi="Times New Roman" w:eastAsia="宋体" w:cs="Times New Roman"/>
          <w:b w:val="0"/>
          <w:sz w:val="18"/>
          <w:szCs w:val="18"/>
        </w:rPr>
        <w:t>1</w:t>
      </w:r>
      <w:r>
        <w:rPr>
          <w:rFonts w:ascii="Times New Roman" w:hAnsi="Times New Roman" w:eastAsia="宋体" w:cs="Times New Roman"/>
          <w:b w:val="0"/>
          <w:bCs w:val="0"/>
          <w:sz w:val="18"/>
          <w:szCs w:val="18"/>
        </w:rPr>
        <w:t>—预制柱；</w:t>
      </w:r>
      <w:r>
        <w:rPr>
          <w:rFonts w:ascii="Times New Roman" w:hAnsi="Times New Roman" w:eastAsia="宋体" w:cs="Times New Roman"/>
          <w:b w:val="0"/>
          <w:sz w:val="18"/>
          <w:szCs w:val="18"/>
        </w:rPr>
        <w:t>2—</w:t>
      </w:r>
      <w:r>
        <w:rPr>
          <w:rFonts w:ascii="Times New Roman" w:hAnsi="Times New Roman" w:eastAsia="宋体" w:cs="Times New Roman"/>
          <w:b w:val="0"/>
          <w:bCs w:val="0"/>
          <w:sz w:val="18"/>
          <w:szCs w:val="18"/>
        </w:rPr>
        <w:t>叠合梁预制部分；</w:t>
      </w:r>
      <w:r>
        <w:rPr>
          <w:rFonts w:ascii="Times New Roman" w:hAnsi="Times New Roman" w:eastAsia="宋体" w:cs="Times New Roman"/>
          <w:b w:val="0"/>
          <w:sz w:val="18"/>
          <w:szCs w:val="18"/>
        </w:rPr>
        <w:t>3—</w:t>
      </w:r>
      <w:r>
        <w:rPr>
          <w:rFonts w:ascii="Times New Roman" w:hAnsi="Times New Roman" w:eastAsia="宋体" w:cs="Times New Roman"/>
          <w:b w:val="0"/>
          <w:bCs w:val="0"/>
          <w:sz w:val="18"/>
          <w:szCs w:val="18"/>
        </w:rPr>
        <w:t>挤压套筒；</w:t>
      </w:r>
      <w:r>
        <w:rPr>
          <w:rFonts w:ascii="Times New Roman" w:hAnsi="Times New Roman" w:eastAsia="宋体" w:cs="Times New Roman"/>
          <w:b w:val="0"/>
          <w:sz w:val="18"/>
          <w:szCs w:val="18"/>
        </w:rPr>
        <w:t>4</w:t>
      </w:r>
      <w:r>
        <w:rPr>
          <w:rFonts w:ascii="Times New Roman" w:hAnsi="Times New Roman" w:eastAsia="宋体" w:cs="Times New Roman"/>
          <w:b w:val="0"/>
          <w:bCs w:val="0"/>
          <w:sz w:val="18"/>
          <w:szCs w:val="18"/>
        </w:rPr>
        <w:t>—后浇区</w:t>
      </w:r>
      <w:r>
        <w:rPr>
          <w:rFonts w:ascii="Times New Roman" w:hAnsi="Times New Roman" w:eastAsia="宋体" w:cs="Times New Roman"/>
          <w:b w:val="0"/>
          <w:sz w:val="18"/>
          <w:szCs w:val="18"/>
        </w:rPr>
        <w:t>；</w:t>
      </w:r>
    </w:p>
    <w:p>
      <w:pPr>
        <w:pStyle w:val="83"/>
        <w:shd w:val="clear" w:color="auto" w:fill="auto"/>
        <w:spacing w:before="50" w:after="50" w:line="240" w:lineRule="auto"/>
        <w:jc w:val="center"/>
        <w:rPr>
          <w:rFonts w:ascii="Times New Roman" w:hAnsi="Times New Roman" w:eastAsia="宋体" w:cs="Times New Roman"/>
          <w:b w:val="0"/>
          <w:sz w:val="18"/>
          <w:szCs w:val="18"/>
        </w:rPr>
      </w:pPr>
      <w:r>
        <w:rPr>
          <w:rFonts w:ascii="Times New Roman" w:hAnsi="Times New Roman" w:eastAsia="宋体" w:cs="Times New Roman"/>
          <w:b w:val="0"/>
          <w:sz w:val="18"/>
          <w:szCs w:val="18"/>
        </w:rPr>
        <w:t>5—</w:t>
      </w:r>
      <w:r>
        <w:rPr>
          <w:rFonts w:ascii="Times New Roman" w:hAnsi="Times New Roman" w:eastAsia="宋体" w:cs="Times New Roman"/>
          <w:b w:val="0"/>
          <w:bCs w:val="0"/>
          <w:sz w:val="18"/>
          <w:szCs w:val="18"/>
        </w:rPr>
        <w:t>梁端后浇段；</w:t>
      </w:r>
      <w:r>
        <w:rPr>
          <w:rFonts w:ascii="Times New Roman" w:hAnsi="Times New Roman" w:eastAsia="宋体" w:cs="Times New Roman"/>
          <w:b w:val="0"/>
          <w:sz w:val="18"/>
          <w:szCs w:val="18"/>
        </w:rPr>
        <w:t>6—</w:t>
      </w:r>
      <w:r>
        <w:rPr>
          <w:rFonts w:ascii="Times New Roman" w:hAnsi="Times New Roman" w:eastAsia="宋体" w:cs="Times New Roman"/>
          <w:b w:val="0"/>
          <w:bCs w:val="0"/>
          <w:sz w:val="18"/>
          <w:szCs w:val="18"/>
        </w:rPr>
        <w:t>柱底后浇段；</w:t>
      </w:r>
      <w:r>
        <w:rPr>
          <w:rFonts w:ascii="Times New Roman" w:hAnsi="Times New Roman" w:eastAsia="宋体" w:cs="Times New Roman"/>
          <w:b w:val="0"/>
          <w:sz w:val="18"/>
          <w:szCs w:val="18"/>
        </w:rPr>
        <w:t>7</w:t>
      </w:r>
      <w:r>
        <w:rPr>
          <w:rFonts w:ascii="Times New Roman" w:hAnsi="Times New Roman" w:eastAsia="宋体" w:cs="Times New Roman"/>
          <w:b w:val="0"/>
          <w:bCs w:val="0"/>
          <w:sz w:val="18"/>
          <w:szCs w:val="18"/>
        </w:rPr>
        <w:t>—锚固板</w:t>
      </w:r>
    </w:p>
    <w:p>
      <w:pPr>
        <w:pStyle w:val="51"/>
        <w:numPr>
          <w:ilvl w:val="0"/>
          <w:numId w:val="24"/>
        </w:numPr>
        <w:shd w:val="clear" w:color="auto" w:fill="auto"/>
        <w:tabs>
          <w:tab w:val="left" w:pos="694"/>
        </w:tabs>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采用预制柱</w:t>
      </w:r>
      <w:r>
        <w:rPr>
          <w:rFonts w:hint="eastAsia" w:ascii="Times New Roman" w:hAnsi="Times New Roman" w:eastAsia="宋体" w:cs="Times New Roman"/>
          <w:spacing w:val="0"/>
          <w:sz w:val="21"/>
          <w:szCs w:val="21"/>
        </w:rPr>
        <w:t>与</w:t>
      </w:r>
      <w:r>
        <w:rPr>
          <w:rFonts w:ascii="Times New Roman" w:hAnsi="Times New Roman" w:eastAsia="宋体" w:cs="Times New Roman"/>
          <w:spacing w:val="0"/>
          <w:sz w:val="21"/>
          <w:szCs w:val="21"/>
        </w:rPr>
        <w:t>U形叠合梁的装配整体式框架节点，</w:t>
      </w:r>
      <w:r>
        <w:rPr>
          <w:rFonts w:hint="eastAsia" w:ascii="Times New Roman" w:hAnsi="Times New Roman" w:eastAsia="宋体" w:cs="Times New Roman"/>
          <w:spacing w:val="0"/>
          <w:sz w:val="21"/>
          <w:szCs w:val="21"/>
        </w:rPr>
        <w:t>预制</w:t>
      </w:r>
      <w:r>
        <w:rPr>
          <w:rFonts w:ascii="Times New Roman" w:hAnsi="Times New Roman" w:eastAsia="宋体" w:cs="Times New Roman"/>
          <w:spacing w:val="0"/>
          <w:sz w:val="21"/>
          <w:szCs w:val="21"/>
        </w:rPr>
        <w:t>U形</w:t>
      </w:r>
      <w:r>
        <w:rPr>
          <w:rFonts w:hint="eastAsia" w:ascii="Times New Roman" w:hAnsi="Times New Roman" w:eastAsia="宋体" w:cs="Times New Roman"/>
          <w:spacing w:val="0"/>
          <w:sz w:val="21"/>
          <w:szCs w:val="21"/>
        </w:rPr>
        <w:t>梁</w:t>
      </w:r>
      <w:r>
        <w:rPr>
          <w:rFonts w:ascii="Times New Roman" w:hAnsi="Times New Roman" w:eastAsia="宋体" w:cs="Times New Roman"/>
          <w:spacing w:val="0"/>
          <w:sz w:val="21"/>
          <w:szCs w:val="21"/>
        </w:rPr>
        <w:t>梁</w:t>
      </w:r>
      <w:r>
        <w:rPr>
          <w:rFonts w:hint="eastAsia" w:ascii="Times New Roman" w:hAnsi="Times New Roman" w:eastAsia="宋体" w:cs="Times New Roman"/>
          <w:spacing w:val="0"/>
          <w:sz w:val="21"/>
          <w:szCs w:val="21"/>
        </w:rPr>
        <w:t>下部</w:t>
      </w:r>
      <w:r>
        <w:rPr>
          <w:rFonts w:ascii="Times New Roman" w:hAnsi="Times New Roman" w:eastAsia="宋体" w:cs="Times New Roman"/>
          <w:spacing w:val="0"/>
          <w:sz w:val="21"/>
          <w:szCs w:val="21"/>
        </w:rPr>
        <w:t>纵向钢筋在节点处可通过</w:t>
      </w:r>
      <w:r>
        <w:rPr>
          <w:rFonts w:hint="eastAsia" w:ascii="Times New Roman" w:hAnsi="Times New Roman" w:eastAsia="宋体" w:cs="Times New Roman"/>
          <w:spacing w:val="0"/>
          <w:sz w:val="21"/>
          <w:szCs w:val="21"/>
        </w:rPr>
        <w:t>设置在</w:t>
      </w:r>
      <w:r>
        <w:rPr>
          <w:rFonts w:ascii="Times New Roman" w:hAnsi="Times New Roman" w:eastAsia="宋体" w:cs="Times New Roman"/>
          <w:spacing w:val="0"/>
          <w:sz w:val="21"/>
          <w:szCs w:val="21"/>
        </w:rPr>
        <w:t>U形</w:t>
      </w:r>
      <w:r>
        <w:rPr>
          <w:rFonts w:hint="eastAsia" w:ascii="Times New Roman" w:hAnsi="Times New Roman" w:eastAsia="宋体" w:cs="Times New Roman"/>
          <w:spacing w:val="0"/>
          <w:sz w:val="21"/>
          <w:szCs w:val="21"/>
        </w:rPr>
        <w:t>梁槽底处的附加</w:t>
      </w:r>
      <w:r>
        <w:rPr>
          <w:rFonts w:ascii="Times New Roman" w:hAnsi="Times New Roman" w:eastAsia="宋体" w:cs="Times New Roman"/>
          <w:spacing w:val="0"/>
          <w:sz w:val="21"/>
          <w:szCs w:val="21"/>
        </w:rPr>
        <w:t>水平连接钢筋连接。非抗震设计时，水平连接钢筋与梁</w:t>
      </w:r>
      <w:r>
        <w:rPr>
          <w:rFonts w:hint="eastAsia" w:ascii="Times New Roman" w:hAnsi="Times New Roman" w:eastAsia="宋体" w:cs="Times New Roman"/>
          <w:spacing w:val="0"/>
          <w:sz w:val="21"/>
          <w:szCs w:val="21"/>
        </w:rPr>
        <w:t>下部</w:t>
      </w:r>
      <w:r>
        <w:rPr>
          <w:rFonts w:ascii="Times New Roman" w:hAnsi="Times New Roman" w:eastAsia="宋体" w:cs="Times New Roman"/>
          <w:spacing w:val="0"/>
          <w:sz w:val="21"/>
          <w:szCs w:val="21"/>
        </w:rPr>
        <w:t>纵向钢筋的搭接长度不应小于1.2</w:t>
      </w:r>
      <m:oMath>
        <m:sSub>
          <m:sSubPr>
            <m:ctrlPr>
              <w:rPr>
                <w:rFonts w:ascii="Cambria Math" w:hAnsi="Cambria Math" w:eastAsia="宋体" w:cs="Times New Roman"/>
                <w:spacing w:val="0"/>
                <w:sz w:val="21"/>
                <w:szCs w:val="21"/>
              </w:rPr>
            </m:ctrlPr>
          </m:sSubPr>
          <m:e>
            <m:r>
              <m:rPr/>
              <w:rPr>
                <w:rFonts w:ascii="Cambria Math" w:hAnsi="Cambria Math" w:eastAsia="宋体" w:cs="Times New Roman"/>
                <w:spacing w:val="0"/>
                <w:sz w:val="21"/>
                <w:szCs w:val="21"/>
              </w:rPr>
              <m:t>l</m:t>
            </m:r>
            <m:ctrlPr>
              <w:rPr>
                <w:rFonts w:ascii="Cambria Math" w:hAnsi="Cambria Math" w:eastAsia="宋体" w:cs="Times New Roman"/>
                <w:spacing w:val="0"/>
                <w:sz w:val="21"/>
                <w:szCs w:val="21"/>
              </w:rPr>
            </m:ctrlPr>
          </m:e>
          <m:sub>
            <m:r>
              <m:rPr>
                <m:sty m:val="p"/>
              </m:rPr>
              <w:rPr>
                <w:rFonts w:ascii="Cambria Math" w:hAnsi="Cambria Math" w:eastAsia="宋体" w:cs="Times New Roman"/>
                <w:spacing w:val="0"/>
                <w:sz w:val="21"/>
                <w:szCs w:val="21"/>
              </w:rPr>
              <m:t>a</m:t>
            </m:r>
            <m:ctrlPr>
              <w:rPr>
                <w:rFonts w:ascii="Cambria Math" w:hAnsi="Cambria Math" w:eastAsia="宋体" w:cs="Times New Roman"/>
                <w:spacing w:val="0"/>
                <w:sz w:val="21"/>
                <w:szCs w:val="21"/>
              </w:rPr>
            </m:ctrlPr>
          </m:sub>
        </m:sSub>
      </m:oMath>
      <w:r>
        <w:rPr>
          <w:rFonts w:ascii="Times New Roman" w:hAnsi="Times New Roman" w:eastAsia="宋体" w:cs="Times New Roman"/>
          <w:spacing w:val="0"/>
          <w:sz w:val="21"/>
          <w:szCs w:val="21"/>
        </w:rPr>
        <w:t>；抗震设计时，水平连接钢筋与梁</w:t>
      </w:r>
      <w:r>
        <w:rPr>
          <w:rFonts w:hint="eastAsia" w:ascii="Times New Roman" w:hAnsi="Times New Roman" w:eastAsia="宋体" w:cs="Times New Roman"/>
          <w:spacing w:val="0"/>
          <w:sz w:val="21"/>
          <w:szCs w:val="21"/>
        </w:rPr>
        <w:t>下部</w:t>
      </w:r>
      <w:r>
        <w:rPr>
          <w:rFonts w:ascii="Times New Roman" w:hAnsi="Times New Roman" w:eastAsia="宋体" w:cs="Times New Roman"/>
          <w:spacing w:val="0"/>
          <w:sz w:val="21"/>
          <w:szCs w:val="21"/>
        </w:rPr>
        <w:t>纵向钢筋的搭接长度不应小于1.2</w:t>
      </w:r>
      <m:oMath>
        <m:sSub>
          <m:sSubPr>
            <m:ctrlPr>
              <w:rPr>
                <w:rFonts w:ascii="Cambria Math" w:hAnsi="Cambria Math" w:eastAsia="宋体" w:cs="Times New Roman"/>
                <w:spacing w:val="0"/>
                <w:sz w:val="21"/>
                <w:szCs w:val="21"/>
              </w:rPr>
            </m:ctrlPr>
          </m:sSubPr>
          <m:e>
            <m:r>
              <m:rPr/>
              <w:rPr>
                <w:rFonts w:ascii="Cambria Math" w:hAnsi="Cambria Math" w:eastAsia="宋体" w:cs="Times New Roman"/>
                <w:spacing w:val="0"/>
                <w:sz w:val="21"/>
                <w:szCs w:val="21"/>
              </w:rPr>
              <m:t>l</m:t>
            </m:r>
            <m:ctrlPr>
              <w:rPr>
                <w:rFonts w:ascii="Cambria Math" w:hAnsi="Cambria Math" w:eastAsia="宋体" w:cs="Times New Roman"/>
                <w:spacing w:val="0"/>
                <w:sz w:val="21"/>
                <w:szCs w:val="21"/>
              </w:rPr>
            </m:ctrlPr>
          </m:e>
          <m:sub>
            <m:r>
              <m:rPr>
                <m:sty m:val="p"/>
              </m:rPr>
              <w:rPr>
                <w:rFonts w:ascii="Cambria Math" w:hAnsi="Cambria Math" w:eastAsia="宋体" w:cs="Times New Roman"/>
                <w:spacing w:val="0"/>
                <w:sz w:val="21"/>
                <w:szCs w:val="21"/>
              </w:rPr>
              <m:t>aE</m:t>
            </m:r>
            <m:ctrlPr>
              <w:rPr>
                <w:rFonts w:ascii="Cambria Math" w:hAnsi="Cambria Math" w:eastAsia="宋体" w:cs="Times New Roman"/>
                <w:spacing w:val="0"/>
                <w:sz w:val="21"/>
                <w:szCs w:val="21"/>
              </w:rPr>
            </m:ctrlPr>
          </m:sub>
        </m:sSub>
      </m:oMath>
      <w:r>
        <w:rPr>
          <w:rFonts w:ascii="Times New Roman" w:hAnsi="Times New Roman" w:eastAsia="宋体" w:cs="Times New Roman"/>
          <w:spacing w:val="0"/>
          <w:sz w:val="21"/>
          <w:szCs w:val="21"/>
        </w:rPr>
        <w:t>。</w:t>
      </w:r>
    </w:p>
    <w:p>
      <w:pPr>
        <w:pStyle w:val="51"/>
        <w:shd w:val="clear" w:color="auto" w:fill="auto"/>
        <w:tabs>
          <w:tab w:val="left" w:pos="694"/>
        </w:tabs>
        <w:spacing w:before="120" w:beforeLines="50" w:after="120" w:afterLines="50" w:line="240" w:lineRule="auto"/>
        <w:ind w:firstLine="0"/>
        <w:jc w:val="both"/>
        <w:rPr>
          <w:rFonts w:ascii="Times New Roman" w:hAnsi="Times New Roman" w:eastAsia="宋体" w:cs="Times New Roman"/>
          <w:spacing w:val="0"/>
          <w:sz w:val="21"/>
          <w:szCs w:val="21"/>
        </w:rPr>
      </w:pPr>
    </w:p>
    <w:p>
      <w:pPr>
        <w:pStyle w:val="51"/>
        <w:shd w:val="clear" w:color="auto" w:fill="auto"/>
        <w:tabs>
          <w:tab w:val="left" w:pos="694"/>
        </w:tabs>
        <w:spacing w:before="120" w:beforeLines="50" w:after="120" w:afterLines="50" w:line="240" w:lineRule="auto"/>
        <w:ind w:firstLine="0"/>
        <w:jc w:val="both"/>
        <w:rPr>
          <w:rFonts w:ascii="Times New Roman" w:hAnsi="Times New Roman" w:eastAsia="宋体" w:cs="Times New Roman"/>
          <w:spacing w:val="0"/>
          <w:sz w:val="21"/>
          <w:szCs w:val="21"/>
        </w:rPr>
      </w:pPr>
    </w:p>
    <w:p>
      <w:pPr>
        <w:pStyle w:val="51"/>
        <w:shd w:val="clear" w:color="auto" w:fill="auto"/>
        <w:tabs>
          <w:tab w:val="left" w:pos="694"/>
        </w:tabs>
        <w:spacing w:before="120" w:beforeLines="50" w:after="120" w:afterLines="50" w:line="240" w:lineRule="auto"/>
        <w:ind w:firstLine="0"/>
        <w:jc w:val="both"/>
        <w:rPr>
          <w:rFonts w:ascii="Times New Roman" w:hAnsi="Times New Roman" w:eastAsia="宋体" w:cs="Times New Roman"/>
          <w:spacing w:val="0"/>
          <w:sz w:val="21"/>
          <w:szCs w:val="21"/>
        </w:rPr>
      </w:pPr>
    </w:p>
    <w:p>
      <w:pPr>
        <w:pStyle w:val="51"/>
        <w:shd w:val="clear" w:color="auto" w:fill="auto"/>
        <w:tabs>
          <w:tab w:val="left" w:pos="694"/>
        </w:tabs>
        <w:spacing w:before="120" w:beforeLines="50" w:after="120" w:afterLines="50" w:line="240" w:lineRule="auto"/>
        <w:ind w:firstLine="0"/>
        <w:jc w:val="both"/>
        <w:rPr>
          <w:rFonts w:ascii="Times New Roman" w:hAnsi="Times New Roman" w:eastAsia="宋体" w:cs="Times New Roman"/>
          <w:spacing w:val="0"/>
          <w:sz w:val="21"/>
          <w:szCs w:val="21"/>
        </w:rPr>
      </w:pPr>
    </w:p>
    <w:p>
      <w:pPr>
        <w:pStyle w:val="51"/>
        <w:shd w:val="clear" w:color="auto" w:fill="auto"/>
        <w:tabs>
          <w:tab w:val="left" w:pos="694"/>
        </w:tabs>
        <w:spacing w:before="120" w:beforeLines="50" w:after="120" w:afterLines="50" w:line="240" w:lineRule="auto"/>
        <w:ind w:firstLine="0"/>
        <w:jc w:val="both"/>
        <w:rPr>
          <w:rFonts w:ascii="Times New Roman" w:hAnsi="Times New Roman" w:eastAsia="宋体" w:cs="Times New Roman"/>
          <w:spacing w:val="0"/>
          <w:sz w:val="21"/>
          <w:szCs w:val="21"/>
        </w:rPr>
      </w:pPr>
      <w:r>
        <w:rPr>
          <w:rFonts w:hint="eastAsia" w:ascii="Times New Roman" w:hAnsi="Times New Roman" w:eastAsia="宋体" w:cs="Times New Roman"/>
          <w:spacing w:val="0"/>
          <w:sz w:val="21"/>
          <w:szCs w:val="21"/>
          <w:vertAlign w:val="subscript"/>
        </w:rPr>
        <w:drawing>
          <wp:anchor distT="0" distB="0" distL="114300" distR="114300" simplePos="0" relativeHeight="251669504" behindDoc="0" locked="0" layoutInCell="1" allowOverlap="1">
            <wp:simplePos x="0" y="0"/>
            <wp:positionH relativeFrom="column">
              <wp:posOffset>934720</wp:posOffset>
            </wp:positionH>
            <wp:positionV relativeFrom="paragraph">
              <wp:posOffset>0</wp:posOffset>
            </wp:positionV>
            <wp:extent cx="2993390" cy="1958975"/>
            <wp:effectExtent l="0" t="0" r="0" b="3175"/>
            <wp:wrapNone/>
            <wp:docPr id="14" name="图片 14" descr="7.3.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7.3.10"/>
                    <pic:cNvPicPr>
                      <a:picLocks noChangeAspect="true"/>
                    </pic:cNvPicPr>
                  </pic:nvPicPr>
                  <pic:blipFill>
                    <a:blip r:embed="rId138"/>
                    <a:srcRect r="23174"/>
                    <a:stretch>
                      <a:fillRect/>
                    </a:stretch>
                  </pic:blipFill>
                  <pic:spPr>
                    <a:xfrm>
                      <a:off x="0" y="0"/>
                      <a:ext cx="2993390" cy="1958975"/>
                    </a:xfrm>
                    <a:prstGeom prst="rect">
                      <a:avLst/>
                    </a:prstGeom>
                  </pic:spPr>
                </pic:pic>
              </a:graphicData>
            </a:graphic>
          </wp:anchor>
        </w:drawing>
      </w:r>
    </w:p>
    <w:p>
      <w:pPr>
        <w:pStyle w:val="51"/>
        <w:shd w:val="clear" w:color="auto" w:fill="auto"/>
        <w:tabs>
          <w:tab w:val="left" w:pos="694"/>
        </w:tabs>
        <w:spacing w:before="120" w:beforeLines="50" w:after="120" w:afterLines="50" w:line="240" w:lineRule="auto"/>
        <w:ind w:firstLine="0"/>
        <w:jc w:val="both"/>
        <w:rPr>
          <w:rFonts w:ascii="Times New Roman" w:hAnsi="Times New Roman" w:eastAsia="宋体" w:cs="Times New Roman"/>
          <w:spacing w:val="0"/>
          <w:sz w:val="21"/>
          <w:szCs w:val="21"/>
        </w:rPr>
      </w:pPr>
    </w:p>
    <w:p>
      <w:pPr>
        <w:pStyle w:val="51"/>
        <w:shd w:val="clear" w:color="auto" w:fill="auto"/>
        <w:tabs>
          <w:tab w:val="left" w:pos="694"/>
        </w:tabs>
        <w:spacing w:before="120" w:beforeLines="50" w:after="120" w:afterLines="50" w:line="240" w:lineRule="auto"/>
        <w:ind w:firstLine="0"/>
        <w:jc w:val="both"/>
        <w:rPr>
          <w:rFonts w:ascii="Times New Roman" w:hAnsi="Times New Roman" w:eastAsia="宋体" w:cs="Times New Roman"/>
          <w:spacing w:val="0"/>
          <w:sz w:val="21"/>
          <w:szCs w:val="21"/>
        </w:rPr>
      </w:pPr>
      <w:r>
        <w:rPr>
          <w:rFonts w:hint="eastAsia" w:ascii="Times New Roman" w:hAnsi="Times New Roman" w:eastAsia="宋体" w:cs="Times New Roman"/>
          <w:spacing w:val="0"/>
          <w:sz w:val="21"/>
          <w:szCs w:val="21"/>
          <w:vertAlign w:val="subscript"/>
        </w:rPr>
        <w:drawing>
          <wp:anchor distT="0" distB="0" distL="114300" distR="114300" simplePos="0" relativeHeight="251662336" behindDoc="0" locked="0" layoutInCell="1" allowOverlap="1">
            <wp:simplePos x="0" y="0"/>
            <wp:positionH relativeFrom="column">
              <wp:posOffset>4110355</wp:posOffset>
            </wp:positionH>
            <wp:positionV relativeFrom="paragraph">
              <wp:posOffset>196215</wp:posOffset>
            </wp:positionV>
            <wp:extent cx="1271905" cy="1161415"/>
            <wp:effectExtent l="0" t="0" r="0" b="635"/>
            <wp:wrapSquare wrapText="bothSides"/>
            <wp:docPr id="8" name="图片 8" descr="7.3.10-w"/>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7.3.10-w"/>
                    <pic:cNvPicPr>
                      <a:picLocks noChangeAspect="true"/>
                    </pic:cNvPicPr>
                  </pic:nvPicPr>
                  <pic:blipFill>
                    <a:blip r:embed="rId139"/>
                    <a:stretch>
                      <a:fillRect/>
                    </a:stretch>
                  </pic:blipFill>
                  <pic:spPr>
                    <a:xfrm>
                      <a:off x="0" y="0"/>
                      <a:ext cx="1271905" cy="1161415"/>
                    </a:xfrm>
                    <a:prstGeom prst="rect">
                      <a:avLst/>
                    </a:prstGeom>
                  </pic:spPr>
                </pic:pic>
              </a:graphicData>
            </a:graphic>
          </wp:anchor>
        </w:drawing>
      </w:r>
    </w:p>
    <w:p>
      <w:pPr>
        <w:pStyle w:val="51"/>
        <w:shd w:val="clear" w:color="auto" w:fill="auto"/>
        <w:tabs>
          <w:tab w:val="left" w:pos="694"/>
        </w:tabs>
        <w:spacing w:before="120" w:beforeLines="50" w:after="120" w:afterLines="50" w:line="240" w:lineRule="auto"/>
        <w:ind w:firstLine="0"/>
        <w:jc w:val="both"/>
        <w:rPr>
          <w:rFonts w:ascii="Times New Roman" w:hAnsi="Times New Roman" w:eastAsia="宋体" w:cs="Times New Roman"/>
          <w:spacing w:val="0"/>
          <w:sz w:val="21"/>
          <w:szCs w:val="21"/>
        </w:rPr>
      </w:pPr>
    </w:p>
    <w:p>
      <w:pPr>
        <w:pStyle w:val="51"/>
        <w:shd w:val="clear" w:color="auto" w:fill="auto"/>
        <w:tabs>
          <w:tab w:val="left" w:pos="694"/>
        </w:tabs>
        <w:spacing w:before="120" w:beforeLines="50" w:after="120" w:afterLines="50" w:line="240" w:lineRule="auto"/>
        <w:ind w:firstLine="0"/>
        <w:jc w:val="both"/>
        <w:rPr>
          <w:rFonts w:ascii="Times New Roman" w:hAnsi="Times New Roman" w:eastAsia="宋体" w:cs="Times New Roman"/>
          <w:spacing w:val="0"/>
          <w:sz w:val="16"/>
          <w:szCs w:val="21"/>
        </w:rPr>
      </w:pPr>
    </w:p>
    <w:p>
      <w:pPr>
        <w:pStyle w:val="51"/>
        <w:shd w:val="clear" w:color="auto" w:fill="auto"/>
        <w:tabs>
          <w:tab w:val="left" w:pos="694"/>
        </w:tabs>
        <w:spacing w:before="120" w:beforeLines="50" w:after="120" w:afterLines="50" w:line="240" w:lineRule="auto"/>
        <w:ind w:firstLine="0"/>
        <w:jc w:val="both"/>
        <w:rPr>
          <w:rFonts w:ascii="Times New Roman" w:hAnsi="Times New Roman" w:eastAsia="宋体" w:cs="Times New Roman"/>
          <w:spacing w:val="0"/>
          <w:sz w:val="16"/>
          <w:szCs w:val="21"/>
        </w:rPr>
      </w:pPr>
    </w:p>
    <w:p>
      <w:pPr>
        <w:pStyle w:val="51"/>
        <w:shd w:val="clear" w:color="auto" w:fill="auto"/>
        <w:tabs>
          <w:tab w:val="left" w:pos="694"/>
        </w:tabs>
        <w:spacing w:before="120" w:beforeLines="50" w:after="120" w:afterLines="50" w:line="240" w:lineRule="auto"/>
        <w:ind w:firstLine="0"/>
        <w:jc w:val="both"/>
        <w:rPr>
          <w:rFonts w:ascii="Times New Roman" w:hAnsi="Times New Roman" w:eastAsia="宋体" w:cs="Times New Roman"/>
          <w:spacing w:val="0"/>
          <w:sz w:val="21"/>
          <w:szCs w:val="21"/>
        </w:rPr>
      </w:pPr>
    </w:p>
    <w:p>
      <w:pPr>
        <w:pStyle w:val="51"/>
        <w:shd w:val="clear" w:color="auto" w:fill="auto"/>
        <w:tabs>
          <w:tab w:val="left" w:pos="694"/>
        </w:tabs>
        <w:spacing w:before="120" w:beforeLines="50" w:after="120" w:afterLines="50" w:line="240" w:lineRule="auto"/>
        <w:ind w:firstLine="0"/>
        <w:jc w:val="both"/>
        <w:rPr>
          <w:rFonts w:ascii="Times New Roman" w:hAnsi="Times New Roman" w:eastAsia="宋体" w:cs="Times New Roman"/>
          <w:spacing w:val="0"/>
          <w:sz w:val="21"/>
          <w:szCs w:val="21"/>
        </w:rPr>
      </w:pPr>
    </w:p>
    <w:p>
      <w:pPr>
        <w:pStyle w:val="51"/>
        <w:shd w:val="clear" w:color="auto" w:fill="auto"/>
        <w:tabs>
          <w:tab w:val="left" w:pos="694"/>
        </w:tabs>
        <w:spacing w:before="0" w:after="120" w:afterLines="50" w:line="240" w:lineRule="auto"/>
        <w:ind w:firstLine="0"/>
        <w:jc w:val="center"/>
        <w:rPr>
          <w:rFonts w:ascii="Times New Roman" w:hAnsi="Times New Roman" w:eastAsia="宋体" w:cs="Times New Roman"/>
          <w:spacing w:val="0"/>
          <w:sz w:val="21"/>
          <w:szCs w:val="21"/>
          <w:vertAlign w:val="subscript"/>
        </w:rPr>
      </w:pPr>
      <w:r>
        <w:rPr>
          <w:rFonts w:hint="eastAsia" w:ascii="Times New Roman" w:hAnsi="Times New Roman" w:eastAsia="宋体" w:cs="Times New Roman"/>
          <w:spacing w:val="0"/>
          <w:sz w:val="21"/>
          <w:szCs w:val="21"/>
          <w:vertAlign w:val="subscript"/>
        </w:rPr>
        <w:t xml:space="preserve"> </w:t>
      </w:r>
    </w:p>
    <w:p>
      <w:pPr>
        <w:pStyle w:val="83"/>
        <w:shd w:val="clear" w:color="auto" w:fill="auto"/>
        <w:spacing w:before="120" w:beforeLines="50" w:after="120" w:afterLines="50" w:line="240" w:lineRule="auto"/>
        <w:jc w:val="center"/>
        <w:rPr>
          <w:rFonts w:ascii="Times New Roman" w:hAnsi="Times New Roman" w:eastAsia="宋体" w:cs="Times New Roman"/>
          <w:sz w:val="21"/>
          <w:szCs w:val="21"/>
        </w:rPr>
      </w:pPr>
      <w:r>
        <w:rPr>
          <w:rFonts w:ascii="Times New Roman" w:hAnsi="Times New Roman" w:eastAsia="宋体" w:cs="Times New Roman"/>
          <w:b w:val="0"/>
          <w:bCs w:val="0"/>
          <w:sz w:val="21"/>
          <w:szCs w:val="21"/>
        </w:rPr>
        <w:t>图21  框架节点U形叠合梁</w:t>
      </w:r>
      <w:r>
        <w:rPr>
          <w:rFonts w:hint="eastAsia" w:ascii="Times New Roman" w:hAnsi="Times New Roman" w:eastAsia="宋体" w:cs="Times New Roman"/>
          <w:b w:val="0"/>
          <w:bCs w:val="0"/>
          <w:sz w:val="21"/>
          <w:szCs w:val="21"/>
        </w:rPr>
        <w:t>下</w:t>
      </w:r>
      <w:r>
        <w:rPr>
          <w:rFonts w:ascii="Times New Roman" w:hAnsi="Times New Roman" w:eastAsia="宋体" w:cs="Times New Roman"/>
          <w:b w:val="0"/>
          <w:bCs w:val="0"/>
          <w:sz w:val="21"/>
          <w:szCs w:val="21"/>
        </w:rPr>
        <w:t>部纵向钢筋在</w:t>
      </w:r>
      <w:r>
        <w:rPr>
          <w:rFonts w:hint="eastAsia" w:ascii="Times New Roman" w:hAnsi="Times New Roman" w:eastAsia="宋体" w:cs="Times New Roman"/>
          <w:b w:val="0"/>
          <w:bCs w:val="0"/>
          <w:sz w:val="21"/>
          <w:szCs w:val="21"/>
        </w:rPr>
        <w:t>梁端</w:t>
      </w:r>
      <w:r>
        <w:rPr>
          <w:rFonts w:ascii="Times New Roman" w:hAnsi="Times New Roman" w:eastAsia="宋体" w:cs="Times New Roman"/>
          <w:b w:val="0"/>
          <w:bCs w:val="0"/>
          <w:sz w:val="21"/>
          <w:szCs w:val="21"/>
        </w:rPr>
        <w:t>采用水平连接钢筋连接示意</w:t>
      </w:r>
    </w:p>
    <w:p>
      <w:pPr>
        <w:pStyle w:val="83"/>
        <w:shd w:val="clear" w:color="auto" w:fill="auto"/>
        <w:spacing w:before="50" w:after="50" w:line="240" w:lineRule="auto"/>
        <w:jc w:val="center"/>
        <w:rPr>
          <w:rFonts w:ascii="Times New Roman" w:hAnsi="Times New Roman" w:eastAsia="宋体" w:cs="Times New Roman"/>
          <w:b w:val="0"/>
          <w:sz w:val="18"/>
          <w:szCs w:val="18"/>
        </w:rPr>
      </w:pPr>
      <w:r>
        <w:rPr>
          <w:rFonts w:ascii="Times New Roman" w:hAnsi="Times New Roman" w:eastAsia="宋体" w:cs="Times New Roman"/>
          <w:b w:val="0"/>
          <w:sz w:val="18"/>
          <w:szCs w:val="18"/>
        </w:rPr>
        <w:t>1</w:t>
      </w:r>
      <w:r>
        <w:rPr>
          <w:rFonts w:ascii="Times New Roman" w:hAnsi="Times New Roman" w:eastAsia="宋体" w:cs="Times New Roman"/>
          <w:b w:val="0"/>
          <w:bCs w:val="0"/>
          <w:sz w:val="18"/>
          <w:szCs w:val="18"/>
        </w:rPr>
        <w:t>—预制柱；</w:t>
      </w:r>
      <w:r>
        <w:rPr>
          <w:rFonts w:ascii="Times New Roman" w:hAnsi="Times New Roman" w:eastAsia="宋体" w:cs="Times New Roman"/>
          <w:b w:val="0"/>
          <w:sz w:val="18"/>
          <w:szCs w:val="18"/>
        </w:rPr>
        <w:t>2—U形</w:t>
      </w:r>
      <w:r>
        <w:rPr>
          <w:rFonts w:ascii="Times New Roman" w:hAnsi="Times New Roman" w:eastAsia="宋体" w:cs="Times New Roman"/>
          <w:b w:val="0"/>
          <w:bCs w:val="0"/>
          <w:sz w:val="18"/>
          <w:szCs w:val="18"/>
        </w:rPr>
        <w:t>叠合梁预制部分；</w:t>
      </w:r>
      <w:r>
        <w:rPr>
          <w:rFonts w:ascii="Times New Roman" w:hAnsi="Times New Roman" w:eastAsia="宋体" w:cs="Times New Roman"/>
          <w:b w:val="0"/>
          <w:sz w:val="18"/>
          <w:szCs w:val="18"/>
        </w:rPr>
        <w:t>3—灌浆</w:t>
      </w:r>
      <w:r>
        <w:rPr>
          <w:rFonts w:ascii="Times New Roman" w:hAnsi="Times New Roman" w:eastAsia="宋体" w:cs="Times New Roman"/>
          <w:b w:val="0"/>
          <w:bCs w:val="0"/>
          <w:sz w:val="18"/>
          <w:szCs w:val="18"/>
        </w:rPr>
        <w:t>套筒；</w:t>
      </w:r>
      <w:r>
        <w:rPr>
          <w:rFonts w:ascii="Times New Roman" w:hAnsi="Times New Roman" w:eastAsia="宋体" w:cs="Times New Roman"/>
          <w:b w:val="0"/>
          <w:sz w:val="18"/>
          <w:szCs w:val="18"/>
        </w:rPr>
        <w:t>4</w:t>
      </w:r>
      <w:r>
        <w:rPr>
          <w:rFonts w:ascii="Times New Roman" w:hAnsi="Times New Roman" w:eastAsia="宋体" w:cs="Times New Roman"/>
          <w:b w:val="0"/>
          <w:bCs w:val="0"/>
          <w:sz w:val="18"/>
          <w:szCs w:val="18"/>
        </w:rPr>
        <w:t>—梁端后浇段</w:t>
      </w:r>
      <w:r>
        <w:rPr>
          <w:rFonts w:ascii="Times New Roman" w:hAnsi="Times New Roman" w:eastAsia="宋体" w:cs="Times New Roman"/>
          <w:b w:val="0"/>
          <w:sz w:val="18"/>
          <w:szCs w:val="18"/>
        </w:rPr>
        <w:t>；</w:t>
      </w:r>
    </w:p>
    <w:p>
      <w:pPr>
        <w:pStyle w:val="83"/>
        <w:shd w:val="clear" w:color="auto" w:fill="auto"/>
        <w:spacing w:before="50" w:after="50" w:line="240" w:lineRule="auto"/>
        <w:jc w:val="center"/>
        <w:rPr>
          <w:rFonts w:ascii="Times New Roman" w:hAnsi="Times New Roman" w:eastAsia="宋体" w:cs="Times New Roman"/>
          <w:b w:val="0"/>
          <w:sz w:val="18"/>
          <w:szCs w:val="18"/>
        </w:rPr>
      </w:pPr>
      <w:r>
        <w:rPr>
          <w:rFonts w:ascii="Times New Roman" w:hAnsi="Times New Roman" w:eastAsia="宋体" w:cs="Times New Roman"/>
          <w:b w:val="0"/>
          <w:sz w:val="18"/>
          <w:szCs w:val="18"/>
        </w:rPr>
        <w:t>5—后浇区</w:t>
      </w:r>
      <w:r>
        <w:rPr>
          <w:rFonts w:ascii="Times New Roman" w:hAnsi="Times New Roman" w:eastAsia="宋体" w:cs="Times New Roman"/>
          <w:b w:val="0"/>
          <w:bCs w:val="0"/>
          <w:sz w:val="18"/>
          <w:szCs w:val="18"/>
        </w:rPr>
        <w:t>；</w:t>
      </w:r>
      <w:r>
        <w:rPr>
          <w:rFonts w:ascii="Times New Roman" w:hAnsi="Times New Roman" w:eastAsia="宋体" w:cs="Times New Roman"/>
          <w:b w:val="0"/>
          <w:sz w:val="18"/>
          <w:szCs w:val="18"/>
        </w:rPr>
        <w:t>6—水平连接钢筋</w:t>
      </w:r>
    </w:p>
    <w:p>
      <w:pPr>
        <w:pStyle w:val="51"/>
        <w:numPr>
          <w:ilvl w:val="0"/>
          <w:numId w:val="24"/>
        </w:numPr>
        <w:shd w:val="clear" w:color="auto" w:fill="auto"/>
        <w:tabs>
          <w:tab w:val="left" w:pos="694"/>
        </w:tabs>
        <w:spacing w:before="120" w:beforeLines="50" w:after="120" w:afterLines="50" w:line="240" w:lineRule="auto"/>
        <w:jc w:val="both"/>
        <w:rPr>
          <w:rFonts w:ascii="Times New Roman" w:hAnsi="Times New Roman" w:eastAsia="宋体" w:cs="Times New Roman"/>
          <w:spacing w:val="0"/>
          <w:sz w:val="21"/>
          <w:szCs w:val="21"/>
        </w:rPr>
      </w:pPr>
      <w:bookmarkStart w:id="150" w:name="_Hlk171848474"/>
      <w:r>
        <w:rPr>
          <w:rFonts w:ascii="Times New Roman" w:hAnsi="Times New Roman" w:eastAsia="宋体" w:cs="Times New Roman"/>
          <w:spacing w:val="0"/>
          <w:sz w:val="21"/>
          <w:szCs w:val="21"/>
        </w:rPr>
        <w:t>采用预制柱、</w:t>
      </w:r>
      <w:r>
        <w:rPr>
          <w:rFonts w:hint="eastAsia" w:ascii="Times New Roman" w:hAnsi="Times New Roman" w:eastAsia="宋体" w:cs="Times New Roman"/>
          <w:spacing w:val="0"/>
          <w:sz w:val="21"/>
          <w:szCs w:val="21"/>
        </w:rPr>
        <w:t>带外伸梁段的</w:t>
      </w:r>
      <w:r>
        <w:rPr>
          <w:rFonts w:ascii="Times New Roman" w:hAnsi="Times New Roman" w:eastAsia="宋体" w:cs="Times New Roman"/>
          <w:spacing w:val="0"/>
          <w:sz w:val="21"/>
          <w:szCs w:val="21"/>
        </w:rPr>
        <w:t>预制节点</w:t>
      </w:r>
      <w:r>
        <w:rPr>
          <w:rFonts w:hint="eastAsia" w:ascii="Times New Roman" w:hAnsi="Times New Roman" w:eastAsia="宋体" w:cs="Times New Roman"/>
          <w:spacing w:val="0"/>
          <w:sz w:val="21"/>
          <w:szCs w:val="21"/>
        </w:rPr>
        <w:t>与</w:t>
      </w:r>
      <w:r>
        <w:rPr>
          <w:rFonts w:ascii="Times New Roman" w:hAnsi="Times New Roman" w:eastAsia="宋体" w:cs="Times New Roman"/>
          <w:spacing w:val="0"/>
          <w:sz w:val="21"/>
          <w:szCs w:val="21"/>
        </w:rPr>
        <w:t>U形叠合梁的装配整体式框架节点，</w:t>
      </w:r>
      <w:bookmarkStart w:id="151" w:name="_Hlk171848903"/>
      <w:r>
        <w:rPr>
          <w:rFonts w:hint="eastAsia" w:ascii="Times New Roman" w:hAnsi="Times New Roman" w:eastAsia="宋体" w:cs="Times New Roman"/>
          <w:spacing w:val="0"/>
          <w:sz w:val="21"/>
          <w:szCs w:val="21"/>
        </w:rPr>
        <w:t>预制</w:t>
      </w:r>
      <w:r>
        <w:rPr>
          <w:rFonts w:ascii="Times New Roman" w:hAnsi="Times New Roman" w:eastAsia="宋体" w:cs="Times New Roman"/>
          <w:spacing w:val="0"/>
          <w:sz w:val="21"/>
          <w:szCs w:val="21"/>
        </w:rPr>
        <w:t>U形</w:t>
      </w:r>
      <w:r>
        <w:rPr>
          <w:rFonts w:hint="eastAsia" w:ascii="Times New Roman" w:hAnsi="Times New Roman" w:eastAsia="宋体" w:cs="Times New Roman"/>
          <w:spacing w:val="0"/>
          <w:sz w:val="21"/>
          <w:szCs w:val="21"/>
        </w:rPr>
        <w:t>梁</w:t>
      </w:r>
      <w:r>
        <w:rPr>
          <w:rFonts w:ascii="Times New Roman" w:hAnsi="Times New Roman" w:eastAsia="宋体" w:cs="Times New Roman"/>
          <w:spacing w:val="0"/>
          <w:sz w:val="21"/>
          <w:szCs w:val="21"/>
        </w:rPr>
        <w:t>梁</w:t>
      </w:r>
      <w:r>
        <w:rPr>
          <w:rFonts w:hint="eastAsia" w:ascii="Times New Roman" w:hAnsi="Times New Roman" w:eastAsia="宋体" w:cs="Times New Roman"/>
          <w:spacing w:val="0"/>
          <w:sz w:val="21"/>
          <w:szCs w:val="21"/>
        </w:rPr>
        <w:t>下部</w:t>
      </w:r>
      <w:r>
        <w:rPr>
          <w:rFonts w:ascii="Times New Roman" w:hAnsi="Times New Roman" w:eastAsia="宋体" w:cs="Times New Roman"/>
          <w:spacing w:val="0"/>
          <w:sz w:val="21"/>
          <w:szCs w:val="21"/>
        </w:rPr>
        <w:t>纵向钢筋在</w:t>
      </w:r>
      <w:r>
        <w:rPr>
          <w:rFonts w:hint="eastAsia" w:ascii="Times New Roman" w:hAnsi="Times New Roman" w:eastAsia="宋体" w:cs="Times New Roman"/>
          <w:spacing w:val="0"/>
          <w:sz w:val="21"/>
          <w:szCs w:val="21"/>
        </w:rPr>
        <w:t>预制外伸梁段外</w:t>
      </w:r>
      <w:r>
        <w:rPr>
          <w:rFonts w:ascii="Times New Roman" w:hAnsi="Times New Roman" w:eastAsia="宋体" w:cs="Times New Roman"/>
          <w:spacing w:val="0"/>
          <w:sz w:val="21"/>
          <w:szCs w:val="21"/>
        </w:rPr>
        <w:t>可通过水平连接钢筋连接。</w:t>
      </w:r>
      <w:bookmarkEnd w:id="151"/>
      <w:r>
        <w:rPr>
          <w:rFonts w:ascii="Times New Roman" w:hAnsi="Times New Roman" w:eastAsia="宋体" w:cs="Times New Roman"/>
          <w:spacing w:val="0"/>
          <w:sz w:val="21"/>
          <w:szCs w:val="21"/>
        </w:rPr>
        <w:t>非抗震设计时，水平连接钢筋与梁</w:t>
      </w:r>
      <w:r>
        <w:rPr>
          <w:rFonts w:hint="eastAsia" w:ascii="Times New Roman" w:hAnsi="Times New Roman" w:eastAsia="宋体" w:cs="Times New Roman"/>
          <w:spacing w:val="0"/>
          <w:sz w:val="21"/>
          <w:szCs w:val="21"/>
        </w:rPr>
        <w:t>下部</w:t>
      </w:r>
      <w:r>
        <w:rPr>
          <w:rFonts w:ascii="Times New Roman" w:hAnsi="Times New Roman" w:eastAsia="宋体" w:cs="Times New Roman"/>
          <w:spacing w:val="0"/>
          <w:sz w:val="21"/>
          <w:szCs w:val="21"/>
        </w:rPr>
        <w:t>纵向钢筋的搭接长度不应小于1.2</w:t>
      </w:r>
      <m:oMath>
        <m:sSub>
          <m:sSubPr>
            <m:ctrlPr>
              <w:rPr>
                <w:rFonts w:ascii="Cambria Math" w:hAnsi="Cambria Math" w:eastAsia="宋体" w:cs="Times New Roman"/>
                <w:spacing w:val="0"/>
                <w:sz w:val="21"/>
                <w:szCs w:val="21"/>
              </w:rPr>
            </m:ctrlPr>
          </m:sSubPr>
          <m:e>
            <m:r>
              <m:rPr/>
              <w:rPr>
                <w:rFonts w:ascii="Cambria Math" w:hAnsi="Cambria Math" w:eastAsia="宋体" w:cs="Times New Roman"/>
                <w:spacing w:val="0"/>
                <w:sz w:val="21"/>
                <w:szCs w:val="21"/>
              </w:rPr>
              <m:t>l</m:t>
            </m:r>
            <m:ctrlPr>
              <w:rPr>
                <w:rFonts w:ascii="Cambria Math" w:hAnsi="Cambria Math" w:eastAsia="宋体" w:cs="Times New Roman"/>
                <w:spacing w:val="0"/>
                <w:sz w:val="21"/>
                <w:szCs w:val="21"/>
              </w:rPr>
            </m:ctrlPr>
          </m:e>
          <m:sub>
            <m:r>
              <m:rPr>
                <m:sty m:val="p"/>
              </m:rPr>
              <w:rPr>
                <w:rFonts w:ascii="Cambria Math" w:hAnsi="Cambria Math" w:eastAsia="宋体" w:cs="Times New Roman"/>
                <w:spacing w:val="0"/>
                <w:sz w:val="21"/>
                <w:szCs w:val="21"/>
              </w:rPr>
              <m:t>a</m:t>
            </m:r>
            <m:ctrlPr>
              <w:rPr>
                <w:rFonts w:ascii="Cambria Math" w:hAnsi="Cambria Math" w:eastAsia="宋体" w:cs="Times New Roman"/>
                <w:spacing w:val="0"/>
                <w:sz w:val="21"/>
                <w:szCs w:val="21"/>
              </w:rPr>
            </m:ctrlPr>
          </m:sub>
        </m:sSub>
      </m:oMath>
      <w:r>
        <w:rPr>
          <w:rFonts w:ascii="Times New Roman" w:hAnsi="Times New Roman" w:eastAsia="宋体" w:cs="Times New Roman"/>
          <w:spacing w:val="0"/>
          <w:sz w:val="21"/>
          <w:szCs w:val="21"/>
        </w:rPr>
        <w:t>；抗震设计时，水平连接钢筋与梁</w:t>
      </w:r>
      <w:r>
        <w:rPr>
          <w:rFonts w:hint="eastAsia" w:ascii="Times New Roman" w:hAnsi="Times New Roman" w:eastAsia="宋体" w:cs="Times New Roman"/>
          <w:spacing w:val="0"/>
          <w:sz w:val="21"/>
          <w:szCs w:val="21"/>
        </w:rPr>
        <w:t>下部</w:t>
      </w:r>
      <w:r>
        <w:rPr>
          <w:rFonts w:ascii="Times New Roman" w:hAnsi="Times New Roman" w:eastAsia="宋体" w:cs="Times New Roman"/>
          <w:spacing w:val="0"/>
          <w:sz w:val="21"/>
          <w:szCs w:val="21"/>
        </w:rPr>
        <w:t>纵向钢筋的搭接长度不应小于1.2</w:t>
      </w:r>
      <m:oMath>
        <m:sSub>
          <m:sSubPr>
            <m:ctrlPr>
              <w:rPr>
                <w:rFonts w:ascii="Cambria Math" w:hAnsi="Cambria Math" w:eastAsia="宋体" w:cs="Times New Roman"/>
                <w:spacing w:val="0"/>
                <w:sz w:val="21"/>
                <w:szCs w:val="21"/>
              </w:rPr>
            </m:ctrlPr>
          </m:sSubPr>
          <m:e>
            <m:r>
              <m:rPr/>
              <w:rPr>
                <w:rFonts w:ascii="Cambria Math" w:hAnsi="Cambria Math" w:eastAsia="宋体" w:cs="Times New Roman"/>
                <w:spacing w:val="0"/>
                <w:sz w:val="21"/>
                <w:szCs w:val="21"/>
              </w:rPr>
              <m:t>l</m:t>
            </m:r>
            <m:ctrlPr>
              <w:rPr>
                <w:rFonts w:ascii="Cambria Math" w:hAnsi="Cambria Math" w:eastAsia="宋体" w:cs="Times New Roman"/>
                <w:spacing w:val="0"/>
                <w:sz w:val="21"/>
                <w:szCs w:val="21"/>
              </w:rPr>
            </m:ctrlPr>
          </m:e>
          <m:sub>
            <m:r>
              <m:rPr>
                <m:sty m:val="p"/>
              </m:rPr>
              <w:rPr>
                <w:rFonts w:ascii="Cambria Math" w:hAnsi="Cambria Math" w:eastAsia="宋体" w:cs="Times New Roman"/>
                <w:spacing w:val="0"/>
                <w:sz w:val="21"/>
                <w:szCs w:val="21"/>
              </w:rPr>
              <m:t>aE</m:t>
            </m:r>
            <m:ctrlPr>
              <w:rPr>
                <w:rFonts w:ascii="Cambria Math" w:hAnsi="Cambria Math" w:eastAsia="宋体" w:cs="Times New Roman"/>
                <w:spacing w:val="0"/>
                <w:sz w:val="21"/>
                <w:szCs w:val="21"/>
              </w:rPr>
            </m:ctrlPr>
          </m:sub>
        </m:sSub>
      </m:oMath>
      <w:r>
        <w:rPr>
          <w:rFonts w:ascii="Times New Roman" w:hAnsi="Times New Roman" w:eastAsia="宋体" w:cs="Times New Roman"/>
          <w:spacing w:val="0"/>
          <w:sz w:val="21"/>
          <w:szCs w:val="21"/>
        </w:rPr>
        <w:t>。</w:t>
      </w:r>
    </w:p>
    <w:bookmarkEnd w:id="150"/>
    <w:p>
      <w:pPr>
        <w:pStyle w:val="51"/>
        <w:shd w:val="clear" w:color="auto" w:fill="auto"/>
        <w:tabs>
          <w:tab w:val="left" w:pos="694"/>
        </w:tabs>
        <w:spacing w:before="120" w:beforeLines="50" w:after="120" w:afterLines="50" w:line="240" w:lineRule="auto"/>
        <w:ind w:firstLine="0"/>
        <w:jc w:val="center"/>
        <w:rPr>
          <w:rFonts w:ascii="Times New Roman" w:hAnsi="Times New Roman" w:eastAsia="宋体" w:cs="Times New Roman"/>
          <w:spacing w:val="0"/>
          <w:sz w:val="21"/>
          <w:szCs w:val="21"/>
        </w:rPr>
      </w:pPr>
      <w:r>
        <w:rPr>
          <w:rFonts w:hint="eastAsia" w:ascii="Times New Roman" w:hAnsi="Times New Roman" w:eastAsia="宋体" w:cs="Times New Roman"/>
          <w:spacing w:val="0"/>
          <w:sz w:val="21"/>
          <w:szCs w:val="21"/>
        </w:rPr>
        <w:drawing>
          <wp:anchor distT="0" distB="0" distL="114300" distR="114300" simplePos="0" relativeHeight="251663360" behindDoc="0" locked="0" layoutInCell="1" allowOverlap="1">
            <wp:simplePos x="0" y="0"/>
            <wp:positionH relativeFrom="margin">
              <wp:posOffset>3229610</wp:posOffset>
            </wp:positionH>
            <wp:positionV relativeFrom="paragraph">
              <wp:posOffset>316865</wp:posOffset>
            </wp:positionV>
            <wp:extent cx="2046605" cy="1365885"/>
            <wp:effectExtent l="0" t="0" r="0" b="5715"/>
            <wp:wrapSquare wrapText="bothSides"/>
            <wp:docPr id="6" name="图片 6" descr="7.3.11-w"/>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7.3.11-w"/>
                    <pic:cNvPicPr>
                      <a:picLocks noChangeAspect="true"/>
                    </pic:cNvPicPr>
                  </pic:nvPicPr>
                  <pic:blipFill>
                    <a:blip r:embed="rId140"/>
                    <a:srcRect l="3106" r="6840"/>
                    <a:stretch>
                      <a:fillRect/>
                    </a:stretch>
                  </pic:blipFill>
                  <pic:spPr>
                    <a:xfrm>
                      <a:off x="0" y="0"/>
                      <a:ext cx="2046605" cy="1365885"/>
                    </a:xfrm>
                    <a:prstGeom prst="rect">
                      <a:avLst/>
                    </a:prstGeom>
                    <a:ln>
                      <a:noFill/>
                    </a:ln>
                  </pic:spPr>
                </pic:pic>
              </a:graphicData>
            </a:graphic>
          </wp:anchor>
        </w:drawing>
      </w:r>
      <w:r>
        <w:rPr>
          <w:rFonts w:hint="eastAsia" w:ascii="Times New Roman" w:hAnsi="Times New Roman" w:eastAsia="宋体" w:cs="Times New Roman"/>
          <w:spacing w:val="0"/>
          <w:sz w:val="21"/>
          <w:szCs w:val="21"/>
        </w:rPr>
        <w:drawing>
          <wp:inline distT="0" distB="0" distL="114300" distR="114300">
            <wp:extent cx="3044825" cy="1814195"/>
            <wp:effectExtent l="0" t="0" r="3175" b="14605"/>
            <wp:docPr id="13" name="图片 13" descr="7.3.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7.3.11"/>
                    <pic:cNvPicPr>
                      <a:picLocks noChangeAspect="true"/>
                    </pic:cNvPicPr>
                  </pic:nvPicPr>
                  <pic:blipFill>
                    <a:blip r:embed="rId141"/>
                    <a:stretch>
                      <a:fillRect/>
                    </a:stretch>
                  </pic:blipFill>
                  <pic:spPr>
                    <a:xfrm>
                      <a:off x="0" y="0"/>
                      <a:ext cx="3044825" cy="1814195"/>
                    </a:xfrm>
                    <a:prstGeom prst="rect">
                      <a:avLst/>
                    </a:prstGeom>
                  </pic:spPr>
                </pic:pic>
              </a:graphicData>
            </a:graphic>
          </wp:inline>
        </w:drawing>
      </w:r>
    </w:p>
    <w:p>
      <w:pPr>
        <w:pStyle w:val="83"/>
        <w:shd w:val="clear" w:color="auto" w:fill="auto"/>
        <w:spacing w:before="120" w:beforeLines="50" w:after="120" w:afterLines="50" w:line="240" w:lineRule="auto"/>
        <w:jc w:val="center"/>
        <w:rPr>
          <w:rFonts w:ascii="Times New Roman" w:hAnsi="Times New Roman" w:eastAsia="宋体" w:cs="Times New Roman"/>
          <w:sz w:val="21"/>
          <w:szCs w:val="21"/>
        </w:rPr>
      </w:pPr>
      <w:r>
        <w:rPr>
          <w:rFonts w:ascii="Times New Roman" w:hAnsi="Times New Roman" w:eastAsia="宋体" w:cs="Times New Roman"/>
          <w:b w:val="0"/>
          <w:bCs w:val="0"/>
          <w:sz w:val="21"/>
          <w:szCs w:val="21"/>
        </w:rPr>
        <w:t>图22  框架节点U形叠合梁</w:t>
      </w:r>
      <w:r>
        <w:rPr>
          <w:rFonts w:hint="eastAsia" w:ascii="Times New Roman" w:hAnsi="Times New Roman" w:eastAsia="宋体" w:cs="Times New Roman"/>
          <w:b w:val="0"/>
          <w:bCs w:val="0"/>
          <w:sz w:val="21"/>
          <w:szCs w:val="21"/>
        </w:rPr>
        <w:t>下部</w:t>
      </w:r>
      <w:r>
        <w:rPr>
          <w:rFonts w:ascii="Times New Roman" w:hAnsi="Times New Roman" w:eastAsia="宋体" w:cs="Times New Roman"/>
          <w:b w:val="0"/>
          <w:bCs w:val="0"/>
          <w:sz w:val="21"/>
          <w:szCs w:val="21"/>
        </w:rPr>
        <w:t>纵向钢筋在跨中采用水平连接钢筋连接示意</w:t>
      </w:r>
    </w:p>
    <w:p>
      <w:pPr>
        <w:pStyle w:val="83"/>
        <w:shd w:val="clear" w:color="auto" w:fill="auto"/>
        <w:spacing w:before="50" w:after="50" w:line="240" w:lineRule="auto"/>
        <w:jc w:val="center"/>
        <w:rPr>
          <w:rFonts w:ascii="Times New Roman" w:hAnsi="Times New Roman" w:eastAsia="宋体" w:cs="Times New Roman"/>
          <w:b w:val="0"/>
          <w:sz w:val="18"/>
          <w:szCs w:val="18"/>
        </w:rPr>
      </w:pPr>
      <w:r>
        <w:rPr>
          <w:rFonts w:ascii="Times New Roman" w:hAnsi="Times New Roman" w:eastAsia="宋体" w:cs="Times New Roman"/>
          <w:b w:val="0"/>
          <w:sz w:val="18"/>
          <w:szCs w:val="18"/>
        </w:rPr>
        <w:t>1</w:t>
      </w:r>
      <w:r>
        <w:rPr>
          <w:rFonts w:ascii="Times New Roman" w:hAnsi="Times New Roman" w:eastAsia="宋体" w:cs="Times New Roman"/>
          <w:b w:val="0"/>
          <w:bCs w:val="0"/>
          <w:sz w:val="18"/>
          <w:szCs w:val="18"/>
        </w:rPr>
        <w:t>—预制柱；</w:t>
      </w:r>
      <w:r>
        <w:rPr>
          <w:rFonts w:ascii="Times New Roman" w:hAnsi="Times New Roman" w:eastAsia="宋体" w:cs="Times New Roman"/>
          <w:b w:val="0"/>
          <w:sz w:val="18"/>
          <w:szCs w:val="18"/>
        </w:rPr>
        <w:t>2—U形</w:t>
      </w:r>
      <w:r>
        <w:rPr>
          <w:rFonts w:ascii="Times New Roman" w:hAnsi="Times New Roman" w:eastAsia="宋体" w:cs="Times New Roman"/>
          <w:b w:val="0"/>
          <w:bCs w:val="0"/>
          <w:sz w:val="18"/>
          <w:szCs w:val="18"/>
        </w:rPr>
        <w:t>叠合梁预制部分；</w:t>
      </w:r>
      <w:r>
        <w:rPr>
          <w:rFonts w:ascii="Times New Roman" w:hAnsi="Times New Roman" w:eastAsia="宋体" w:cs="Times New Roman"/>
          <w:b w:val="0"/>
          <w:sz w:val="18"/>
          <w:szCs w:val="18"/>
        </w:rPr>
        <w:t>3—预制梁端</w:t>
      </w:r>
      <w:r>
        <w:rPr>
          <w:rFonts w:ascii="Times New Roman" w:hAnsi="Times New Roman" w:eastAsia="宋体" w:cs="Times New Roman"/>
          <w:b w:val="0"/>
          <w:bCs w:val="0"/>
          <w:sz w:val="18"/>
          <w:szCs w:val="18"/>
        </w:rPr>
        <w:t>；</w:t>
      </w:r>
      <w:r>
        <w:rPr>
          <w:rFonts w:ascii="Times New Roman" w:hAnsi="Times New Roman" w:eastAsia="宋体" w:cs="Times New Roman"/>
          <w:b w:val="0"/>
          <w:sz w:val="18"/>
          <w:szCs w:val="18"/>
        </w:rPr>
        <w:t>4</w:t>
      </w:r>
      <w:r>
        <w:rPr>
          <w:rFonts w:ascii="Times New Roman" w:hAnsi="Times New Roman" w:eastAsia="宋体" w:cs="Times New Roman"/>
          <w:b w:val="0"/>
          <w:bCs w:val="0"/>
          <w:sz w:val="18"/>
          <w:szCs w:val="18"/>
        </w:rPr>
        <w:t>—预制节点</w:t>
      </w:r>
      <w:r>
        <w:rPr>
          <w:rFonts w:ascii="Times New Roman" w:hAnsi="Times New Roman" w:eastAsia="宋体" w:cs="Times New Roman"/>
          <w:b w:val="0"/>
          <w:sz w:val="18"/>
          <w:szCs w:val="18"/>
        </w:rPr>
        <w:t>；</w:t>
      </w:r>
    </w:p>
    <w:p>
      <w:pPr>
        <w:pStyle w:val="83"/>
        <w:shd w:val="clear" w:color="auto" w:fill="auto"/>
        <w:spacing w:before="50" w:after="50" w:line="240" w:lineRule="auto"/>
        <w:jc w:val="center"/>
        <w:rPr>
          <w:rFonts w:ascii="Times New Roman" w:hAnsi="Times New Roman" w:eastAsia="宋体" w:cs="Times New Roman"/>
          <w:b w:val="0"/>
          <w:sz w:val="18"/>
          <w:szCs w:val="18"/>
        </w:rPr>
      </w:pPr>
      <w:r>
        <w:rPr>
          <w:rFonts w:ascii="Times New Roman" w:hAnsi="Times New Roman" w:eastAsia="宋体" w:cs="Times New Roman"/>
          <w:b w:val="0"/>
          <w:sz w:val="18"/>
          <w:szCs w:val="18"/>
        </w:rPr>
        <w:t>5—梁端后浇区</w:t>
      </w:r>
      <w:r>
        <w:rPr>
          <w:rFonts w:ascii="Times New Roman" w:hAnsi="Times New Roman" w:eastAsia="宋体" w:cs="Times New Roman"/>
          <w:b w:val="0"/>
          <w:bCs w:val="0"/>
          <w:sz w:val="18"/>
          <w:szCs w:val="18"/>
        </w:rPr>
        <w:t>；</w:t>
      </w:r>
      <w:r>
        <w:rPr>
          <w:rFonts w:ascii="Times New Roman" w:hAnsi="Times New Roman" w:eastAsia="宋体" w:cs="Times New Roman"/>
          <w:b w:val="0"/>
          <w:sz w:val="18"/>
          <w:szCs w:val="18"/>
        </w:rPr>
        <w:t>6—灌浆套筒；7—</w:t>
      </w:r>
      <w:r>
        <w:rPr>
          <w:rFonts w:hint="eastAsia" w:ascii="Times New Roman" w:hAnsi="Times New Roman" w:eastAsia="宋体" w:cs="Times New Roman"/>
          <w:b w:val="0"/>
          <w:sz w:val="18"/>
          <w:szCs w:val="18"/>
        </w:rPr>
        <w:t>预制节点外伸梁段的</w:t>
      </w:r>
      <w:r>
        <w:rPr>
          <w:rFonts w:ascii="Times New Roman" w:hAnsi="Times New Roman" w:eastAsia="宋体" w:cs="Times New Roman"/>
          <w:b w:val="0"/>
          <w:sz w:val="18"/>
          <w:szCs w:val="18"/>
        </w:rPr>
        <w:t>水平连接钢筋</w:t>
      </w:r>
    </w:p>
    <w:p>
      <w:pPr>
        <w:pStyle w:val="51"/>
        <w:numPr>
          <w:ilvl w:val="0"/>
          <w:numId w:val="24"/>
        </w:numPr>
        <w:shd w:val="clear" w:color="auto" w:fill="auto"/>
        <w:tabs>
          <w:tab w:val="left" w:pos="694"/>
        </w:tabs>
        <w:spacing w:before="120" w:beforeLines="50" w:after="240" w:afterLines="10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采用预制柱</w:t>
      </w:r>
      <w:r>
        <w:rPr>
          <w:rFonts w:hint="eastAsia" w:ascii="Times New Roman" w:hAnsi="Times New Roman" w:eastAsia="宋体" w:cs="Times New Roman"/>
          <w:spacing w:val="0"/>
          <w:sz w:val="21"/>
          <w:szCs w:val="21"/>
        </w:rPr>
        <w:t>与</w:t>
      </w:r>
      <w:r>
        <w:rPr>
          <w:rFonts w:ascii="Times New Roman" w:hAnsi="Times New Roman" w:eastAsia="宋体" w:cs="Times New Roman"/>
          <w:spacing w:val="0"/>
          <w:sz w:val="21"/>
          <w:szCs w:val="21"/>
        </w:rPr>
        <w:t>叠合梁的装配整体式框架节点</w:t>
      </w:r>
      <w:r>
        <w:rPr>
          <w:rFonts w:hint="eastAsia" w:ascii="Times New Roman" w:hAnsi="Times New Roman" w:eastAsia="宋体" w:cs="Times New Roman"/>
          <w:spacing w:val="0"/>
          <w:sz w:val="21"/>
          <w:szCs w:val="21"/>
        </w:rPr>
        <w:t>，</w:t>
      </w:r>
      <w:r>
        <w:rPr>
          <w:rStyle w:val="106"/>
          <w:rFonts w:ascii="Times New Roman" w:hAnsi="Times New Roman" w:eastAsia="宋体" w:cs="Times New Roman"/>
          <w:spacing w:val="0"/>
          <w:sz w:val="21"/>
          <w:szCs w:val="24"/>
        </w:rPr>
        <w:t>柱纵向钢筋和梁</w:t>
      </w:r>
      <w:r>
        <w:rPr>
          <w:rStyle w:val="106"/>
          <w:rFonts w:hint="eastAsia" w:ascii="Times New Roman" w:hAnsi="Times New Roman" w:eastAsia="宋体" w:cs="Times New Roman"/>
          <w:spacing w:val="0"/>
          <w:sz w:val="21"/>
          <w:szCs w:val="24"/>
        </w:rPr>
        <w:t>下部</w:t>
      </w:r>
      <w:r>
        <w:rPr>
          <w:rStyle w:val="106"/>
          <w:rFonts w:ascii="Times New Roman" w:hAnsi="Times New Roman" w:eastAsia="宋体" w:cs="Times New Roman"/>
          <w:spacing w:val="0"/>
          <w:sz w:val="21"/>
          <w:szCs w:val="24"/>
        </w:rPr>
        <w:t>纵向钢筋</w:t>
      </w:r>
      <w:r>
        <w:rPr>
          <w:rFonts w:ascii="Times New Roman" w:hAnsi="Times New Roman" w:eastAsia="宋体" w:cs="Times New Roman"/>
          <w:spacing w:val="0"/>
          <w:sz w:val="21"/>
          <w:szCs w:val="21"/>
        </w:rPr>
        <w:t>采用螺栓连接时，应在</w:t>
      </w:r>
      <w:r>
        <w:rPr>
          <w:rFonts w:hint="eastAsia" w:ascii="Times New Roman" w:hAnsi="Times New Roman" w:eastAsia="宋体" w:cs="Times New Roman"/>
          <w:spacing w:val="0"/>
          <w:sz w:val="21"/>
          <w:szCs w:val="21"/>
        </w:rPr>
        <w:t>节点</w:t>
      </w:r>
      <w:r>
        <w:rPr>
          <w:rFonts w:ascii="Times New Roman" w:hAnsi="Times New Roman" w:eastAsia="宋体" w:cs="Times New Roman"/>
          <w:spacing w:val="0"/>
          <w:sz w:val="21"/>
          <w:szCs w:val="21"/>
        </w:rPr>
        <w:t>核心区外侧连接，预留孔道及预留手孔均采用高强灌浆料填实。</w:t>
      </w:r>
    </w:p>
    <w:p>
      <w:pPr>
        <w:pStyle w:val="105"/>
        <w:shd w:val="clear" w:color="auto" w:fill="auto"/>
        <w:spacing w:before="120" w:beforeLines="50" w:after="120" w:afterLines="50" w:line="240" w:lineRule="auto"/>
        <w:ind w:firstLine="421" w:firstLineChars="200"/>
        <w:jc w:val="center"/>
        <w:rPr>
          <w:rStyle w:val="106"/>
          <w:rFonts w:ascii="Times New Roman" w:hAnsi="Times New Roman" w:eastAsia="宋体" w:cs="Times New Roman"/>
          <w:b/>
          <w:spacing w:val="0"/>
          <w:sz w:val="21"/>
          <w:szCs w:val="21"/>
        </w:rPr>
      </w:pPr>
      <w:r>
        <w:rPr>
          <w:rStyle w:val="106"/>
          <w:rFonts w:hint="eastAsia" w:ascii="Times New Roman" w:hAnsi="Times New Roman" w:eastAsia="宋体" w:cs="Times New Roman"/>
          <w:b/>
          <w:spacing w:val="0"/>
          <w:sz w:val="21"/>
          <w:szCs w:val="21"/>
        </w:rPr>
        <w:drawing>
          <wp:inline distT="0" distB="0" distL="114300" distR="114300">
            <wp:extent cx="2487295" cy="1800225"/>
            <wp:effectExtent l="0" t="0" r="8255" b="9525"/>
            <wp:docPr id="40" name="图片 40" descr="7.3.12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7.3.12a"/>
                    <pic:cNvPicPr>
                      <a:picLocks noChangeAspect="true"/>
                    </pic:cNvPicPr>
                  </pic:nvPicPr>
                  <pic:blipFill>
                    <a:blip r:embed="rId142"/>
                    <a:stretch>
                      <a:fillRect/>
                    </a:stretch>
                  </pic:blipFill>
                  <pic:spPr>
                    <a:xfrm>
                      <a:off x="0" y="0"/>
                      <a:ext cx="2487295" cy="1800225"/>
                    </a:xfrm>
                    <a:prstGeom prst="rect">
                      <a:avLst/>
                    </a:prstGeom>
                  </pic:spPr>
                </pic:pic>
              </a:graphicData>
            </a:graphic>
          </wp:inline>
        </w:drawing>
      </w:r>
    </w:p>
    <w:p>
      <w:pPr>
        <w:pStyle w:val="105"/>
        <w:shd w:val="clear" w:color="auto" w:fill="auto"/>
        <w:spacing w:line="240" w:lineRule="auto"/>
        <w:ind w:firstLine="420" w:firstLineChars="200"/>
        <w:jc w:val="center"/>
        <w:rPr>
          <w:rStyle w:val="106"/>
          <w:rFonts w:ascii="Times New Roman" w:hAnsi="Times New Roman" w:eastAsia="宋体" w:cs="Times New Roman"/>
          <w:spacing w:val="0"/>
          <w:sz w:val="21"/>
          <w:szCs w:val="24"/>
        </w:rPr>
      </w:pPr>
      <w:r>
        <w:rPr>
          <w:rStyle w:val="106"/>
          <w:rFonts w:ascii="宋体" w:hAnsi="宋体" w:eastAsia="宋体" w:cs="Times New Roman"/>
          <w:spacing w:val="0"/>
          <w:sz w:val="21"/>
          <w:szCs w:val="24"/>
        </w:rPr>
        <w:t>a）</w:t>
      </w:r>
      <w:r>
        <w:rPr>
          <w:rStyle w:val="106"/>
          <w:rFonts w:ascii="Times New Roman" w:hAnsi="Times New Roman" w:eastAsia="宋体" w:cs="Times New Roman"/>
          <w:spacing w:val="0"/>
          <w:sz w:val="21"/>
          <w:szCs w:val="24"/>
        </w:rPr>
        <w:t>柱纵向钢筋和梁</w:t>
      </w:r>
      <w:r>
        <w:rPr>
          <w:rStyle w:val="106"/>
          <w:rFonts w:hint="eastAsia" w:ascii="Times New Roman" w:hAnsi="Times New Roman" w:eastAsia="宋体" w:cs="Times New Roman"/>
          <w:spacing w:val="0"/>
          <w:sz w:val="21"/>
          <w:szCs w:val="24"/>
        </w:rPr>
        <w:t>下部</w:t>
      </w:r>
      <w:r>
        <w:rPr>
          <w:rStyle w:val="106"/>
          <w:rFonts w:ascii="Times New Roman" w:hAnsi="Times New Roman" w:eastAsia="宋体" w:cs="Times New Roman"/>
          <w:spacing w:val="0"/>
          <w:sz w:val="21"/>
          <w:szCs w:val="24"/>
        </w:rPr>
        <w:t>纵向钢筋螺栓连接</w:t>
      </w:r>
    </w:p>
    <w:p>
      <w:pPr>
        <w:pStyle w:val="105"/>
        <w:shd w:val="clear" w:color="auto" w:fill="auto"/>
        <w:spacing w:line="240" w:lineRule="auto"/>
        <w:ind w:firstLine="360" w:firstLineChars="200"/>
        <w:jc w:val="center"/>
        <w:rPr>
          <w:rStyle w:val="106"/>
          <w:rFonts w:ascii="Times New Roman" w:hAnsi="Times New Roman" w:eastAsia="宋体" w:cs="Times New Roman"/>
          <w:spacing w:val="0"/>
          <w:szCs w:val="21"/>
        </w:rPr>
      </w:pPr>
      <w:r>
        <w:rPr>
          <w:rStyle w:val="106"/>
          <w:rFonts w:hint="eastAsia" w:ascii="Times New Roman" w:hAnsi="Times New Roman" w:eastAsia="宋体" w:cs="Times New Roman"/>
          <w:spacing w:val="0"/>
          <w:szCs w:val="21"/>
        </w:rPr>
        <w:drawing>
          <wp:inline distT="0" distB="0" distL="114300" distR="114300">
            <wp:extent cx="2487295" cy="1800225"/>
            <wp:effectExtent l="0" t="0" r="8255" b="9525"/>
            <wp:docPr id="41" name="图片 41" descr="7.3.12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descr="7.3.12b"/>
                    <pic:cNvPicPr>
                      <a:picLocks noChangeAspect="true"/>
                    </pic:cNvPicPr>
                  </pic:nvPicPr>
                  <pic:blipFill>
                    <a:blip r:embed="rId143"/>
                    <a:stretch>
                      <a:fillRect/>
                    </a:stretch>
                  </pic:blipFill>
                  <pic:spPr>
                    <a:xfrm>
                      <a:off x="0" y="0"/>
                      <a:ext cx="2487295" cy="1800225"/>
                    </a:xfrm>
                    <a:prstGeom prst="rect">
                      <a:avLst/>
                    </a:prstGeom>
                  </pic:spPr>
                </pic:pic>
              </a:graphicData>
            </a:graphic>
          </wp:inline>
        </w:drawing>
      </w:r>
    </w:p>
    <w:p>
      <w:pPr>
        <w:pStyle w:val="105"/>
        <w:shd w:val="clear" w:color="auto" w:fill="auto"/>
        <w:spacing w:line="240" w:lineRule="auto"/>
        <w:ind w:firstLine="420" w:firstLineChars="200"/>
        <w:jc w:val="center"/>
        <w:rPr>
          <w:rStyle w:val="106"/>
          <w:rFonts w:ascii="Times New Roman" w:hAnsi="Times New Roman" w:eastAsia="宋体" w:cs="Times New Roman"/>
          <w:spacing w:val="0"/>
          <w:sz w:val="21"/>
          <w:szCs w:val="24"/>
        </w:rPr>
      </w:pPr>
      <w:r>
        <w:rPr>
          <w:rStyle w:val="106"/>
          <w:rFonts w:ascii="宋体" w:hAnsi="宋体" w:eastAsia="宋体" w:cs="Times New Roman"/>
          <w:spacing w:val="0"/>
          <w:sz w:val="21"/>
          <w:szCs w:val="24"/>
        </w:rPr>
        <w:t>b）</w:t>
      </w:r>
      <w:r>
        <w:rPr>
          <w:rStyle w:val="106"/>
          <w:rFonts w:hint="eastAsia" w:ascii="Times New Roman" w:hAnsi="Times New Roman" w:eastAsia="宋体" w:cs="Times New Roman"/>
          <w:spacing w:val="0"/>
          <w:sz w:val="21"/>
          <w:szCs w:val="24"/>
        </w:rPr>
        <w:t>上下</w:t>
      </w:r>
      <w:r>
        <w:rPr>
          <w:rStyle w:val="106"/>
          <w:rFonts w:ascii="Times New Roman" w:hAnsi="Times New Roman" w:eastAsia="宋体" w:cs="Times New Roman"/>
          <w:spacing w:val="0"/>
          <w:sz w:val="21"/>
          <w:szCs w:val="24"/>
        </w:rPr>
        <w:t>层柱纵向钢筋贯通连接、梁</w:t>
      </w:r>
      <w:r>
        <w:rPr>
          <w:rStyle w:val="106"/>
          <w:rFonts w:hint="eastAsia" w:ascii="Times New Roman" w:hAnsi="Times New Roman" w:eastAsia="宋体" w:cs="Times New Roman"/>
          <w:spacing w:val="0"/>
          <w:sz w:val="21"/>
          <w:szCs w:val="24"/>
        </w:rPr>
        <w:t>下部</w:t>
      </w:r>
      <w:r>
        <w:rPr>
          <w:rStyle w:val="106"/>
          <w:rFonts w:ascii="Times New Roman" w:hAnsi="Times New Roman" w:eastAsia="宋体" w:cs="Times New Roman"/>
          <w:spacing w:val="0"/>
          <w:sz w:val="21"/>
          <w:szCs w:val="24"/>
        </w:rPr>
        <w:t>纵向钢筋螺栓连接</w:t>
      </w:r>
    </w:p>
    <w:p>
      <w:pPr>
        <w:pStyle w:val="83"/>
        <w:shd w:val="clear" w:color="auto" w:fill="auto"/>
        <w:spacing w:before="120" w:beforeLines="50" w:after="120" w:afterLines="50" w:line="240" w:lineRule="auto"/>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图23  框架节点采用螺栓连接示意</w:t>
      </w:r>
    </w:p>
    <w:p>
      <w:pPr>
        <w:pStyle w:val="83"/>
        <w:shd w:val="clear" w:color="auto" w:fill="auto"/>
        <w:spacing w:before="50" w:after="50" w:line="240" w:lineRule="auto"/>
        <w:jc w:val="center"/>
        <w:rPr>
          <w:rFonts w:ascii="Times New Roman" w:hAnsi="Times New Roman" w:eastAsia="宋体" w:cs="Times New Roman"/>
          <w:b w:val="0"/>
          <w:sz w:val="18"/>
          <w:szCs w:val="18"/>
        </w:rPr>
      </w:pPr>
      <w:r>
        <w:rPr>
          <w:rFonts w:ascii="Times New Roman" w:hAnsi="Times New Roman" w:eastAsia="宋体" w:cs="Times New Roman"/>
          <w:b w:val="0"/>
          <w:sz w:val="18"/>
          <w:szCs w:val="18"/>
        </w:rPr>
        <w:t>1</w:t>
      </w:r>
      <w:r>
        <w:rPr>
          <w:rFonts w:ascii="Times New Roman" w:hAnsi="Times New Roman" w:eastAsia="宋体" w:cs="Times New Roman"/>
          <w:b w:val="0"/>
          <w:bCs w:val="0"/>
          <w:sz w:val="18"/>
          <w:szCs w:val="18"/>
        </w:rPr>
        <w:t>—预制柱；</w:t>
      </w:r>
      <w:r>
        <w:rPr>
          <w:rFonts w:ascii="Times New Roman" w:hAnsi="Times New Roman" w:eastAsia="宋体" w:cs="Times New Roman"/>
          <w:b w:val="0"/>
          <w:sz w:val="18"/>
          <w:szCs w:val="18"/>
        </w:rPr>
        <w:t>2—</w:t>
      </w:r>
      <w:r>
        <w:rPr>
          <w:rFonts w:ascii="Times New Roman" w:hAnsi="Times New Roman" w:eastAsia="宋体" w:cs="Times New Roman"/>
          <w:b w:val="0"/>
          <w:bCs w:val="0"/>
          <w:sz w:val="18"/>
          <w:szCs w:val="18"/>
        </w:rPr>
        <w:t>叠合梁预制部分；</w:t>
      </w:r>
      <w:r>
        <w:rPr>
          <w:rFonts w:ascii="Times New Roman" w:hAnsi="Times New Roman" w:eastAsia="宋体" w:cs="Times New Roman"/>
          <w:b w:val="0"/>
          <w:sz w:val="18"/>
          <w:szCs w:val="18"/>
        </w:rPr>
        <w:t>3—螺栓</w:t>
      </w:r>
      <w:r>
        <w:rPr>
          <w:rFonts w:ascii="Times New Roman" w:hAnsi="Times New Roman" w:eastAsia="宋体" w:cs="Times New Roman"/>
          <w:b w:val="0"/>
          <w:bCs w:val="0"/>
          <w:sz w:val="18"/>
          <w:szCs w:val="18"/>
        </w:rPr>
        <w:t>；</w:t>
      </w:r>
      <w:r>
        <w:rPr>
          <w:rFonts w:ascii="Times New Roman" w:hAnsi="Times New Roman" w:eastAsia="宋体" w:cs="Times New Roman"/>
          <w:b w:val="0"/>
          <w:sz w:val="18"/>
          <w:szCs w:val="18"/>
        </w:rPr>
        <w:t>4</w:t>
      </w:r>
      <w:r>
        <w:rPr>
          <w:rFonts w:ascii="Times New Roman" w:hAnsi="Times New Roman" w:eastAsia="宋体" w:cs="Times New Roman"/>
          <w:b w:val="0"/>
          <w:bCs w:val="0"/>
          <w:sz w:val="18"/>
          <w:szCs w:val="18"/>
        </w:rPr>
        <w:t>—后浇</w:t>
      </w:r>
      <w:r>
        <w:rPr>
          <w:rFonts w:hint="eastAsia" w:ascii="Times New Roman" w:hAnsi="Times New Roman" w:eastAsia="宋体" w:cs="Times New Roman"/>
          <w:b w:val="0"/>
          <w:bCs w:val="0"/>
          <w:sz w:val="18"/>
          <w:szCs w:val="18"/>
        </w:rPr>
        <w:t>节点核心</w:t>
      </w:r>
      <w:r>
        <w:rPr>
          <w:rFonts w:ascii="Times New Roman" w:hAnsi="Times New Roman" w:eastAsia="宋体" w:cs="Times New Roman"/>
          <w:b w:val="0"/>
          <w:bCs w:val="0"/>
          <w:sz w:val="18"/>
          <w:szCs w:val="18"/>
        </w:rPr>
        <w:t>区</w:t>
      </w:r>
      <w:r>
        <w:rPr>
          <w:rFonts w:ascii="Times New Roman" w:hAnsi="Times New Roman" w:eastAsia="宋体" w:cs="Times New Roman"/>
          <w:b w:val="0"/>
          <w:sz w:val="18"/>
          <w:szCs w:val="18"/>
        </w:rPr>
        <w:t>；5—</w:t>
      </w:r>
      <w:r>
        <w:rPr>
          <w:rFonts w:hint="eastAsia" w:ascii="Times New Roman" w:hAnsi="Times New Roman" w:eastAsia="宋体" w:cs="Times New Roman"/>
          <w:b w:val="0"/>
          <w:sz w:val="18"/>
          <w:szCs w:val="18"/>
        </w:rPr>
        <w:t>叠合</w:t>
      </w:r>
      <w:r>
        <w:rPr>
          <w:rFonts w:ascii="Times New Roman" w:hAnsi="Times New Roman" w:eastAsia="宋体" w:cs="Times New Roman"/>
          <w:b w:val="0"/>
          <w:bCs w:val="0"/>
          <w:sz w:val="18"/>
          <w:szCs w:val="18"/>
        </w:rPr>
        <w:t>梁后</w:t>
      </w:r>
      <w:r>
        <w:rPr>
          <w:rFonts w:hint="eastAsia" w:ascii="Times New Roman" w:hAnsi="Times New Roman" w:eastAsia="宋体" w:cs="Times New Roman"/>
          <w:b w:val="0"/>
          <w:bCs w:val="0"/>
          <w:sz w:val="18"/>
          <w:szCs w:val="18"/>
        </w:rPr>
        <w:t>部分</w:t>
      </w:r>
    </w:p>
    <w:p>
      <w:pPr>
        <w:pStyle w:val="105"/>
        <w:numPr>
          <w:ilvl w:val="0"/>
          <w:numId w:val="24"/>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现浇柱与叠合梁组成的框架节点中，梁纵向受力钢筋的连接与锚固应符合本</w:t>
      </w:r>
      <w:r>
        <w:rPr>
          <w:rFonts w:hint="eastAsia" w:ascii="Times New Roman" w:hAnsi="Times New Roman" w:eastAsia="宋体" w:cs="Times New Roman"/>
          <w:spacing w:val="0"/>
          <w:sz w:val="21"/>
          <w:szCs w:val="21"/>
        </w:rPr>
        <w:t>文件</w:t>
      </w:r>
      <w:r>
        <w:rPr>
          <w:rFonts w:ascii="Times New Roman" w:hAnsi="Times New Roman" w:eastAsia="宋体" w:cs="Times New Roman"/>
          <w:spacing w:val="0"/>
          <w:sz w:val="21"/>
          <w:szCs w:val="21"/>
        </w:rPr>
        <w:t>第</w:t>
      </w:r>
      <w:r>
        <w:rPr>
          <w:rStyle w:val="106"/>
          <w:rFonts w:ascii="Times New Roman" w:hAnsi="Times New Roman" w:eastAsia="宋体" w:cs="Times New Roman"/>
          <w:spacing w:val="0"/>
          <w:sz w:val="21"/>
          <w:szCs w:val="21"/>
        </w:rPr>
        <w:t>7.3.8</w:t>
      </w:r>
      <w:r>
        <w:rPr>
          <w:rFonts w:ascii="Times New Roman" w:hAnsi="Times New Roman" w:eastAsia="宋体" w:cs="Times New Roman"/>
          <w:spacing w:val="0"/>
          <w:sz w:val="21"/>
          <w:szCs w:val="21"/>
        </w:rPr>
        <w:t>、</w:t>
      </w:r>
      <w:r>
        <w:rPr>
          <w:rStyle w:val="106"/>
          <w:rFonts w:ascii="Times New Roman" w:hAnsi="Times New Roman" w:eastAsia="宋体" w:cs="Times New Roman"/>
          <w:spacing w:val="0"/>
          <w:sz w:val="21"/>
          <w:szCs w:val="21"/>
        </w:rPr>
        <w:t>7.3.9</w:t>
      </w:r>
      <w:r>
        <w:rPr>
          <w:rFonts w:ascii="Times New Roman" w:hAnsi="Times New Roman" w:eastAsia="宋体" w:cs="Times New Roman"/>
          <w:spacing w:val="0"/>
          <w:sz w:val="21"/>
          <w:szCs w:val="21"/>
        </w:rPr>
        <w:t>条的规定。</w:t>
      </w:r>
    </w:p>
    <w:p>
      <w:pPr>
        <w:pStyle w:val="105"/>
        <w:numPr>
          <w:ilvl w:val="0"/>
          <w:numId w:val="24"/>
        </w:numPr>
        <w:shd w:val="clear" w:color="auto" w:fill="auto"/>
        <w:spacing w:before="120" w:beforeLines="50" w:after="120" w:afterLines="50" w:line="240" w:lineRule="auto"/>
        <w:jc w:val="both"/>
        <w:rPr>
          <w:rFonts w:ascii="Times New Roman" w:hAnsi="Times New Roman" w:eastAsia="宋体" w:cs="Times New Roman"/>
          <w:color w:val="000000" w:themeColor="text1"/>
          <w:sz w:val="21"/>
          <w:szCs w:val="20"/>
          <w14:textFill>
            <w14:solidFill>
              <w14:schemeClr w14:val="tx1"/>
            </w14:solidFill>
          </w14:textFill>
        </w:rPr>
      </w:pPr>
      <w:r>
        <w:rPr>
          <w:rFonts w:ascii="Times New Roman" w:hAnsi="Times New Roman" w:eastAsia="宋体" w:cs="Times New Roman"/>
          <w:spacing w:val="0"/>
          <w:sz w:val="21"/>
          <w:szCs w:val="21"/>
        </w:rPr>
        <w:t>装配整体式框架采用后张预应力叠合梁时，预应力构造应符合现行行业标准</w:t>
      </w:r>
      <w:r>
        <w:rPr>
          <w:rStyle w:val="106"/>
          <w:rFonts w:ascii="Times New Roman" w:hAnsi="Times New Roman" w:eastAsia="宋体" w:cs="Times New Roman"/>
          <w:spacing w:val="0"/>
          <w:sz w:val="21"/>
          <w:szCs w:val="21"/>
        </w:rPr>
        <w:t>JGJ 369</w:t>
      </w:r>
      <w:r>
        <w:rPr>
          <w:rFonts w:ascii="Times New Roman" w:hAnsi="Times New Roman" w:eastAsia="宋体" w:cs="Times New Roman"/>
          <w:spacing w:val="0"/>
          <w:sz w:val="21"/>
          <w:szCs w:val="21"/>
        </w:rPr>
        <w:t>、</w:t>
      </w:r>
      <w:r>
        <w:rPr>
          <w:rStyle w:val="106"/>
          <w:rFonts w:ascii="Times New Roman" w:hAnsi="Times New Roman" w:eastAsia="宋体" w:cs="Times New Roman"/>
          <w:spacing w:val="0"/>
          <w:sz w:val="21"/>
          <w:szCs w:val="21"/>
        </w:rPr>
        <w:t>JGJ/T 140</w:t>
      </w:r>
      <w:r>
        <w:rPr>
          <w:rFonts w:ascii="Times New Roman" w:hAnsi="Times New Roman" w:eastAsia="宋体" w:cs="Times New Roman"/>
          <w:spacing w:val="0"/>
          <w:sz w:val="21"/>
          <w:szCs w:val="21"/>
        </w:rPr>
        <w:t>及</w:t>
      </w:r>
      <w:r>
        <w:rPr>
          <w:rStyle w:val="167"/>
          <w:rFonts w:ascii="Times New Roman" w:hAnsi="Times New Roman" w:eastAsia="宋体" w:cs="Times New Roman"/>
          <w:sz w:val="21"/>
          <w:szCs w:val="21"/>
        </w:rPr>
        <w:t>JGJ 92</w:t>
      </w:r>
      <w:r>
        <w:rPr>
          <w:rFonts w:ascii="Times New Roman" w:hAnsi="Times New Roman" w:eastAsia="宋体" w:cs="Times New Roman"/>
          <w:spacing w:val="0"/>
          <w:sz w:val="21"/>
          <w:szCs w:val="21"/>
        </w:rPr>
        <w:t>的有关规定。</w:t>
      </w:r>
    </w:p>
    <w:p>
      <w:pPr>
        <w:pStyle w:val="210"/>
        <w:spacing w:before="240" w:after="240"/>
        <w:rPr>
          <w:rFonts w:ascii="黑体" w:hAnsi="黑体" w:eastAsia="黑体"/>
          <w:b w:val="0"/>
          <w:sz w:val="21"/>
          <w:szCs w:val="21"/>
        </w:rPr>
      </w:pPr>
      <w:bookmarkStart w:id="152" w:name="_Toc172187838"/>
      <w:bookmarkStart w:id="153" w:name="_Toc172188899"/>
      <w:bookmarkStart w:id="154" w:name="_Toc172188623"/>
      <w:bookmarkStart w:id="155" w:name="_Toc8673"/>
      <w:r>
        <w:rPr>
          <w:rFonts w:ascii="黑体" w:hAnsi="黑体" w:eastAsia="黑体"/>
          <w:b w:val="0"/>
          <w:sz w:val="21"/>
          <w:szCs w:val="21"/>
        </w:rPr>
        <w:t>9 装配整体式框架-剪力墙结构设计</w:t>
      </w:r>
      <w:bookmarkEnd w:id="152"/>
      <w:bookmarkEnd w:id="153"/>
      <w:bookmarkEnd w:id="154"/>
      <w:bookmarkEnd w:id="155"/>
    </w:p>
    <w:p>
      <w:pPr>
        <w:pStyle w:val="210"/>
        <w:spacing w:before="240" w:after="240"/>
        <w:outlineLvl w:val="2"/>
        <w:rPr>
          <w:rFonts w:ascii="黑体" w:hAnsi="黑体" w:eastAsia="黑体"/>
          <w:b w:val="0"/>
          <w:sz w:val="21"/>
          <w:szCs w:val="21"/>
        </w:rPr>
      </w:pPr>
      <w:bookmarkStart w:id="156" w:name="_Toc172188624"/>
      <w:bookmarkStart w:id="157" w:name="_Toc21782"/>
      <w:bookmarkStart w:id="158" w:name="_Toc172188900"/>
      <w:bookmarkStart w:id="159" w:name="_Toc172187839"/>
      <w:r>
        <w:rPr>
          <w:rFonts w:ascii="黑体" w:hAnsi="黑体" w:eastAsia="黑体"/>
          <w:b w:val="0"/>
          <w:sz w:val="21"/>
          <w:szCs w:val="21"/>
        </w:rPr>
        <w:t>9.1 一般规定</w:t>
      </w:r>
      <w:bookmarkEnd w:id="156"/>
      <w:bookmarkEnd w:id="157"/>
      <w:bookmarkEnd w:id="158"/>
      <w:bookmarkEnd w:id="159"/>
    </w:p>
    <w:p>
      <w:pPr>
        <w:pStyle w:val="105"/>
        <w:numPr>
          <w:ilvl w:val="0"/>
          <w:numId w:val="25"/>
        </w:numPr>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高层框架-剪力墙（框架-筒体）结构中，剪力墙宜采用现浇剪力墙或叠合剪力墙</w:t>
      </w:r>
      <w:r>
        <w:rPr>
          <w:rFonts w:hint="eastAsia" w:ascii="Times New Roman" w:hAnsi="Times New Roman" w:eastAsia="宋体" w:cs="Times New Roman"/>
          <w:spacing w:val="0"/>
          <w:sz w:val="21"/>
          <w:szCs w:val="21"/>
        </w:rPr>
        <w:t>。</w:t>
      </w:r>
      <w:r>
        <w:rPr>
          <w:rFonts w:ascii="Times New Roman" w:hAnsi="Times New Roman" w:eastAsia="宋体" w:cs="Times New Roman"/>
          <w:spacing w:val="0"/>
          <w:sz w:val="21"/>
          <w:szCs w:val="21"/>
        </w:rPr>
        <w:t>高层框架-剪力墙（框架-筒体） 结构宜设置地下室，地下室宜和首层柱宜采用现浇混凝土结构。</w:t>
      </w:r>
    </w:p>
    <w:p>
      <w:pPr>
        <w:pStyle w:val="105"/>
        <w:numPr>
          <w:ilvl w:val="0"/>
          <w:numId w:val="25"/>
        </w:numPr>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除本规程另有规定外，装配整体式框架-剪力墙结构可按现浇混凝土框架-剪力墙结构进行设计。装配整体式框架-剪力墙结构进行抗震设计时，水平地震作用下</w:t>
      </w:r>
      <w:r>
        <w:rPr>
          <w:rFonts w:hint="eastAsia" w:ascii="Times New Roman" w:hAnsi="Times New Roman" w:eastAsia="宋体" w:cs="Times New Roman"/>
          <w:spacing w:val="0"/>
          <w:sz w:val="21"/>
          <w:szCs w:val="21"/>
        </w:rPr>
        <w:t>现浇和叠合剪力墙的墙肢</w:t>
      </w:r>
      <w:r>
        <w:rPr>
          <w:rFonts w:ascii="Times New Roman" w:hAnsi="Times New Roman" w:eastAsia="宋体" w:cs="Times New Roman"/>
          <w:spacing w:val="0"/>
          <w:sz w:val="21"/>
          <w:szCs w:val="21"/>
        </w:rPr>
        <w:t>弯矩、剪力尚应分别乘以不小于1.1、1.2的增大系数。</w:t>
      </w:r>
    </w:p>
    <w:p>
      <w:pPr>
        <w:pStyle w:val="105"/>
        <w:numPr>
          <w:ilvl w:val="0"/>
          <w:numId w:val="25"/>
        </w:numPr>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装配整体式框架-剪力墙结构的框架</w:t>
      </w:r>
      <w:r>
        <w:rPr>
          <w:rFonts w:hint="eastAsia" w:ascii="Times New Roman" w:hAnsi="Times New Roman" w:eastAsia="宋体" w:cs="Times New Roman"/>
          <w:spacing w:val="0"/>
          <w:sz w:val="21"/>
          <w:szCs w:val="21"/>
        </w:rPr>
        <w:t>部分</w:t>
      </w:r>
      <w:r>
        <w:rPr>
          <w:rFonts w:ascii="Times New Roman" w:hAnsi="Times New Roman" w:eastAsia="宋体" w:cs="Times New Roman"/>
          <w:spacing w:val="0"/>
          <w:sz w:val="21"/>
          <w:szCs w:val="21"/>
        </w:rPr>
        <w:t>和剪力墙部分的设计，应满足GB/T 50011、JGJ 3的相关要求；装配整体式框架-剪力墙结构的框架部分设计尚应满足本</w:t>
      </w:r>
      <w:r>
        <w:rPr>
          <w:rFonts w:hint="eastAsia" w:ascii="Times New Roman" w:hAnsi="Times New Roman" w:eastAsia="宋体" w:cs="Times New Roman"/>
          <w:spacing w:val="0"/>
          <w:sz w:val="21"/>
          <w:szCs w:val="21"/>
        </w:rPr>
        <w:t>文件</w:t>
      </w:r>
      <w:r>
        <w:rPr>
          <w:rFonts w:ascii="Times New Roman" w:hAnsi="Times New Roman" w:eastAsia="宋体" w:cs="Times New Roman"/>
          <w:spacing w:val="0"/>
          <w:sz w:val="21"/>
          <w:szCs w:val="21"/>
        </w:rPr>
        <w:t>第7章的有关要求。框架梁与现浇剪力墙连接接缝承载力验算应满足本</w:t>
      </w:r>
      <w:r>
        <w:rPr>
          <w:rFonts w:hint="eastAsia" w:ascii="Times New Roman" w:hAnsi="Times New Roman" w:eastAsia="宋体" w:cs="Times New Roman"/>
          <w:spacing w:val="0"/>
          <w:sz w:val="21"/>
          <w:szCs w:val="21"/>
        </w:rPr>
        <w:t>文件</w:t>
      </w:r>
      <w:r>
        <w:rPr>
          <w:rFonts w:ascii="Times New Roman" w:hAnsi="Times New Roman" w:eastAsia="宋体" w:cs="Times New Roman"/>
          <w:spacing w:val="0"/>
          <w:sz w:val="21"/>
          <w:szCs w:val="21"/>
        </w:rPr>
        <w:t>7.2.3的规定。</w:t>
      </w:r>
    </w:p>
    <w:p>
      <w:pPr>
        <w:pStyle w:val="105"/>
        <w:numPr>
          <w:ilvl w:val="0"/>
          <w:numId w:val="25"/>
        </w:numPr>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装配整体式框架-剪力墙结构可采用下列形式：</w:t>
      </w:r>
    </w:p>
    <w:p>
      <w:pPr>
        <w:pStyle w:val="105"/>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框架与剪力墙（单片墙、 联肢墙或较小井筒）分开布置；</w:t>
      </w:r>
    </w:p>
    <w:p>
      <w:pPr>
        <w:pStyle w:val="105"/>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在框架结构的若干跨内嵌入剪力墙（带边框剪力墙）；</w:t>
      </w:r>
    </w:p>
    <w:p>
      <w:pPr>
        <w:pStyle w:val="105"/>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在单片抗侧力结构内连续分别布置框架和剪力墙；</w:t>
      </w:r>
    </w:p>
    <w:p>
      <w:pPr>
        <w:pStyle w:val="105"/>
        <w:spacing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d</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上述两种或三种形式的混合。</w:t>
      </w:r>
    </w:p>
    <w:p>
      <w:pPr>
        <w:pStyle w:val="105"/>
        <w:numPr>
          <w:ilvl w:val="0"/>
          <w:numId w:val="25"/>
        </w:numPr>
        <w:spacing w:before="120" w:beforeLines="50" w:after="120" w:afterLines="50"/>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装配整体式框架-剪力墙结构应设计成双向抗侧力体系，结构两主轴方向均应布置剪力墙。</w:t>
      </w:r>
    </w:p>
    <w:p>
      <w:pPr>
        <w:pStyle w:val="105"/>
        <w:numPr>
          <w:ilvl w:val="0"/>
          <w:numId w:val="25"/>
        </w:numPr>
        <w:spacing w:before="120" w:beforeLines="50" w:after="120" w:afterLines="50"/>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装配整体式混凝土框架-剪力墙结构中纵向钢筋连接宜采用套筒灌浆连接，且应符合GJ 365的规定；采用浆锚搭接连接时，对预留孔成孔工艺、孔道形状和长度、构造要求、灌浆料和被连接钢筋，应进行力学性能以及适用性的试验验证。直径大于20mm的钢筋不宜采用浆锚搭接连接，直接承受动力荷载构件的纵向钢筋不应采用浆锚搭接连接。</w:t>
      </w:r>
    </w:p>
    <w:p>
      <w:pPr>
        <w:pStyle w:val="105"/>
        <w:numPr>
          <w:ilvl w:val="0"/>
          <w:numId w:val="25"/>
        </w:numPr>
        <w:spacing w:before="120" w:beforeLines="50" w:after="120" w:afterLines="50"/>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装配整体式混凝土框架-剪力墙结构中，预制柱水平接缝处不宜出现拉力。</w:t>
      </w:r>
    </w:p>
    <w:p>
      <w:pPr>
        <w:pStyle w:val="105"/>
        <w:numPr>
          <w:ilvl w:val="0"/>
          <w:numId w:val="25"/>
        </w:numPr>
        <w:spacing w:before="120" w:beforeLines="50" w:after="120" w:afterLines="50"/>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装配整体式混凝土框架-剪力墙结构除平面复杂、开洞较大、屋面层和平面受力复杂的楼层、作为上部结构嵌固部位的地下室楼层宜采用现浇楼盖外，其他部位宜采用叠合楼盖。叠合楼盖设计除满足国家现行标准的有关规定外，尚应符合下列要求：</w:t>
      </w:r>
    </w:p>
    <w:p>
      <w:pPr>
        <w:pStyle w:val="105"/>
        <w:spacing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叠合楼盖的预制底板可设置接缝也可采用密缝拼接的做法，当采用密缝拼接的做法时，接缝处应采取控制板缝的可靠措施；</w:t>
      </w:r>
    </w:p>
    <w:p>
      <w:pPr>
        <w:pStyle w:val="105"/>
        <w:spacing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叠合楼盖设计中，板的跨厚比宜较现浇板适当减小；</w:t>
      </w:r>
    </w:p>
    <w:p>
      <w:pPr>
        <w:pStyle w:val="105"/>
        <w:spacing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叠合楼盖采用预制预应力底板时，应采取控制反拱的可靠措施。</w:t>
      </w:r>
    </w:p>
    <w:p>
      <w:pPr>
        <w:pStyle w:val="105"/>
        <w:numPr>
          <w:ilvl w:val="0"/>
          <w:numId w:val="25"/>
        </w:numPr>
        <w:spacing w:before="120" w:beforeLines="50" w:after="120" w:afterLines="50"/>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预制构件节点及接缝处后浇混凝土强度等级不应低于预制构件的混凝土强度等级。</w:t>
      </w:r>
    </w:p>
    <w:p>
      <w:pPr>
        <w:pStyle w:val="210"/>
        <w:spacing w:before="240" w:after="240"/>
        <w:outlineLvl w:val="2"/>
        <w:rPr>
          <w:rFonts w:ascii="黑体" w:hAnsi="黑体" w:eastAsia="黑体"/>
          <w:b w:val="0"/>
          <w:sz w:val="21"/>
          <w:szCs w:val="21"/>
        </w:rPr>
      </w:pPr>
      <w:bookmarkStart w:id="160" w:name="_Toc8925"/>
      <w:bookmarkStart w:id="161" w:name="_Toc172187840"/>
      <w:bookmarkStart w:id="162" w:name="_Toc172188625"/>
      <w:bookmarkStart w:id="163" w:name="_Toc172188901"/>
      <w:r>
        <w:rPr>
          <w:rFonts w:ascii="黑体" w:hAnsi="黑体" w:eastAsia="黑体"/>
          <w:b w:val="0"/>
          <w:sz w:val="21"/>
          <w:szCs w:val="21"/>
        </w:rPr>
        <w:t>9.2 连接设计</w:t>
      </w:r>
      <w:bookmarkEnd w:id="160"/>
      <w:bookmarkEnd w:id="161"/>
      <w:bookmarkEnd w:id="162"/>
      <w:bookmarkEnd w:id="163"/>
    </w:p>
    <w:p>
      <w:pPr>
        <w:pStyle w:val="105"/>
        <w:numPr>
          <w:ilvl w:val="0"/>
          <w:numId w:val="26"/>
        </w:numPr>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对一、二、三级抗震等级的装配整体式框架-剪力墙，应进行梁柱节点核心区抗震受剪承载力验算；对四级抗震等级可不进行验算。梁柱节点核心区抗震受剪承载力验算和构造应符合现行国家标准GB/T 50010和GB/T 50011中的规定。</w:t>
      </w:r>
    </w:p>
    <w:p>
      <w:pPr>
        <w:pStyle w:val="105"/>
        <w:numPr>
          <w:ilvl w:val="0"/>
          <w:numId w:val="26"/>
        </w:numPr>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接缝的正截面承载力和受剪承载力应符合7.2.2、7.2.3和7.2.4的规定</w:t>
      </w:r>
      <w:r>
        <w:rPr>
          <w:rFonts w:hint="eastAsia" w:ascii="Times New Roman" w:hAnsi="Times New Roman" w:eastAsia="宋体" w:cs="Times New Roman"/>
          <w:spacing w:val="0"/>
          <w:sz w:val="21"/>
          <w:szCs w:val="21"/>
        </w:rPr>
        <w:t>。</w:t>
      </w:r>
    </w:p>
    <w:p>
      <w:pPr>
        <w:pStyle w:val="210"/>
        <w:spacing w:before="240" w:after="240"/>
        <w:outlineLvl w:val="2"/>
        <w:rPr>
          <w:rFonts w:ascii="黑体" w:hAnsi="黑体" w:eastAsia="黑体"/>
          <w:b w:val="0"/>
          <w:sz w:val="21"/>
          <w:szCs w:val="21"/>
        </w:rPr>
      </w:pPr>
      <w:bookmarkStart w:id="164" w:name="_Toc8326"/>
      <w:bookmarkStart w:id="165" w:name="_Toc172187841"/>
      <w:bookmarkStart w:id="166" w:name="_Toc172188626"/>
      <w:bookmarkStart w:id="167" w:name="_Toc172188902"/>
      <w:r>
        <w:rPr>
          <w:rFonts w:ascii="黑体" w:hAnsi="黑体" w:eastAsia="黑体"/>
          <w:b w:val="0"/>
          <w:sz w:val="21"/>
          <w:szCs w:val="21"/>
        </w:rPr>
        <w:t>9.3 构造要求</w:t>
      </w:r>
      <w:bookmarkEnd w:id="164"/>
      <w:bookmarkEnd w:id="165"/>
      <w:bookmarkEnd w:id="166"/>
      <w:bookmarkEnd w:id="167"/>
    </w:p>
    <w:p>
      <w:pPr>
        <w:pStyle w:val="105"/>
        <w:numPr>
          <w:ilvl w:val="0"/>
          <w:numId w:val="27"/>
        </w:numPr>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预制梁的腰筋为构造钢筋时，可不在现浇</w:t>
      </w:r>
      <w:r>
        <w:rPr>
          <w:rFonts w:hint="eastAsia" w:ascii="Times New Roman" w:hAnsi="Times New Roman" w:eastAsia="宋体" w:cs="Times New Roman"/>
          <w:spacing w:val="0"/>
          <w:sz w:val="21"/>
          <w:szCs w:val="21"/>
        </w:rPr>
        <w:t>墙肢</w:t>
      </w:r>
      <w:r>
        <w:rPr>
          <w:rFonts w:ascii="Times New Roman" w:hAnsi="Times New Roman" w:eastAsia="宋体" w:cs="Times New Roman"/>
          <w:spacing w:val="0"/>
          <w:sz w:val="21"/>
          <w:szCs w:val="21"/>
        </w:rPr>
        <w:t>内进行锚固：当腰筋为满足抗扭要求配置时，腰筋应在现浇</w:t>
      </w:r>
      <w:r>
        <w:rPr>
          <w:rFonts w:hint="eastAsia" w:ascii="Times New Roman" w:hAnsi="Times New Roman" w:eastAsia="宋体" w:cs="Times New Roman"/>
          <w:spacing w:val="0"/>
          <w:sz w:val="21"/>
          <w:szCs w:val="21"/>
        </w:rPr>
        <w:t>墙肢</w:t>
      </w:r>
      <w:r>
        <w:rPr>
          <w:rFonts w:ascii="Times New Roman" w:hAnsi="Times New Roman" w:eastAsia="宋体" w:cs="Times New Roman"/>
          <w:spacing w:val="0"/>
          <w:sz w:val="21"/>
          <w:szCs w:val="21"/>
        </w:rPr>
        <w:t>内进行锚固，并满足锚固要求。</w:t>
      </w:r>
    </w:p>
    <w:p>
      <w:pPr>
        <w:pStyle w:val="105"/>
        <w:numPr>
          <w:ilvl w:val="0"/>
          <w:numId w:val="27"/>
        </w:numPr>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z w:val="21"/>
          <w:szCs w:val="21"/>
        </w:rPr>
        <w:drawing>
          <wp:anchor distT="0" distB="0" distL="114300" distR="114300" simplePos="0" relativeHeight="251674624" behindDoc="0" locked="0" layoutInCell="1" allowOverlap="1">
            <wp:simplePos x="0" y="0"/>
            <wp:positionH relativeFrom="column">
              <wp:posOffset>708660</wp:posOffset>
            </wp:positionH>
            <wp:positionV relativeFrom="paragraph">
              <wp:posOffset>401320</wp:posOffset>
            </wp:positionV>
            <wp:extent cx="4449445" cy="1763395"/>
            <wp:effectExtent l="0" t="0" r="0" b="8255"/>
            <wp:wrapNone/>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pic:cNvPicPr>
                  </pic:nvPicPr>
                  <pic:blipFill>
                    <a:blip r:embed="rId144"/>
                    <a:stretch>
                      <a:fillRect/>
                    </a:stretch>
                  </pic:blipFill>
                  <pic:spPr>
                    <a:xfrm>
                      <a:off x="0" y="0"/>
                      <a:ext cx="4449445" cy="1763395"/>
                    </a:xfrm>
                    <a:prstGeom prst="rect">
                      <a:avLst/>
                    </a:prstGeom>
                  </pic:spPr>
                </pic:pic>
              </a:graphicData>
            </a:graphic>
          </wp:anchor>
        </w:drawing>
      </w:r>
      <w:r>
        <w:rPr>
          <w:rFonts w:ascii="Times New Roman" w:hAnsi="Times New Roman" w:eastAsia="宋体" w:cs="Times New Roman"/>
          <w:spacing w:val="0"/>
          <w:sz w:val="21"/>
          <w:szCs w:val="21"/>
        </w:rPr>
        <w:t>预制</w:t>
      </w:r>
      <w:r>
        <w:rPr>
          <w:rFonts w:hint="eastAsia" w:ascii="Times New Roman" w:hAnsi="Times New Roman" w:eastAsia="宋体" w:cs="Times New Roman"/>
          <w:spacing w:val="0"/>
          <w:sz w:val="21"/>
          <w:szCs w:val="21"/>
        </w:rPr>
        <w:t>框架</w:t>
      </w:r>
      <w:r>
        <w:rPr>
          <w:rFonts w:ascii="Times New Roman" w:hAnsi="Times New Roman" w:eastAsia="宋体" w:cs="Times New Roman"/>
          <w:spacing w:val="0"/>
          <w:sz w:val="21"/>
          <w:szCs w:val="21"/>
        </w:rPr>
        <w:t>梁与现浇墙肢采用刚接的连接节点如图24所示。当钢筋直锚长度不足时，可采用钢筋弯折锚固，并满足锚固要求。预制梁端部应支撑于现浇</w:t>
      </w:r>
      <w:r>
        <w:rPr>
          <w:rFonts w:hint="eastAsia" w:ascii="Times New Roman" w:hAnsi="Times New Roman" w:eastAsia="宋体" w:cs="Times New Roman"/>
          <w:spacing w:val="0"/>
          <w:sz w:val="21"/>
          <w:szCs w:val="21"/>
        </w:rPr>
        <w:t>墙肢</w:t>
      </w:r>
      <w:r>
        <w:rPr>
          <w:rFonts w:ascii="Times New Roman" w:hAnsi="Times New Roman" w:eastAsia="宋体" w:cs="Times New Roman"/>
          <w:spacing w:val="0"/>
          <w:sz w:val="21"/>
          <w:szCs w:val="21"/>
        </w:rPr>
        <w:t>上，并满足墙肢竖向钢筋的连续性。</w:t>
      </w:r>
    </w:p>
    <w:p>
      <w:pPr>
        <w:pStyle w:val="105"/>
        <w:spacing w:before="120" w:beforeLines="50" w:after="120" w:afterLines="50" w:line="240" w:lineRule="auto"/>
        <w:jc w:val="both"/>
        <w:rPr>
          <w:rFonts w:ascii="Times New Roman" w:hAnsi="Times New Roman" w:eastAsia="宋体" w:cs="Times New Roman"/>
          <w:spacing w:val="0"/>
          <w:sz w:val="21"/>
          <w:szCs w:val="21"/>
        </w:rPr>
      </w:pPr>
    </w:p>
    <w:p>
      <w:pPr>
        <w:pStyle w:val="105"/>
        <w:spacing w:before="120" w:beforeLines="50" w:after="120" w:afterLines="50" w:line="240" w:lineRule="auto"/>
        <w:jc w:val="both"/>
        <w:rPr>
          <w:rFonts w:ascii="Times New Roman" w:hAnsi="Times New Roman" w:eastAsia="宋体" w:cs="Times New Roman"/>
          <w:spacing w:val="0"/>
          <w:sz w:val="18"/>
          <w:szCs w:val="18"/>
        </w:rPr>
      </w:pPr>
    </w:p>
    <w:p>
      <w:pPr>
        <w:pStyle w:val="105"/>
        <w:spacing w:before="120" w:beforeLines="50" w:after="120" w:afterLines="50" w:line="240" w:lineRule="auto"/>
        <w:jc w:val="both"/>
        <w:rPr>
          <w:rFonts w:ascii="Times New Roman" w:hAnsi="Times New Roman" w:eastAsia="宋体" w:cs="Times New Roman"/>
          <w:spacing w:val="0"/>
          <w:sz w:val="18"/>
          <w:szCs w:val="18"/>
        </w:rPr>
      </w:pPr>
    </w:p>
    <w:p>
      <w:pPr>
        <w:pStyle w:val="105"/>
        <w:spacing w:before="120" w:beforeLines="50" w:after="120" w:afterLines="50" w:line="240" w:lineRule="auto"/>
        <w:jc w:val="both"/>
        <w:rPr>
          <w:rFonts w:ascii="Times New Roman" w:hAnsi="Times New Roman" w:eastAsia="宋体" w:cs="Times New Roman"/>
          <w:spacing w:val="0"/>
          <w:sz w:val="18"/>
          <w:szCs w:val="18"/>
        </w:rPr>
      </w:pPr>
    </w:p>
    <w:p>
      <w:pPr>
        <w:pStyle w:val="105"/>
        <w:spacing w:before="120" w:beforeLines="50" w:after="120" w:afterLines="50" w:line="240" w:lineRule="auto"/>
        <w:jc w:val="both"/>
        <w:rPr>
          <w:rFonts w:ascii="Times New Roman" w:hAnsi="Times New Roman" w:eastAsia="宋体" w:cs="Times New Roman"/>
          <w:spacing w:val="0"/>
          <w:sz w:val="18"/>
          <w:szCs w:val="18"/>
        </w:rPr>
      </w:pPr>
    </w:p>
    <w:p>
      <w:pPr>
        <w:pStyle w:val="105"/>
        <w:spacing w:before="120" w:beforeLines="50" w:after="120" w:afterLines="50" w:line="240" w:lineRule="auto"/>
        <w:jc w:val="both"/>
        <w:rPr>
          <w:rFonts w:ascii="Times New Roman" w:hAnsi="Times New Roman" w:eastAsia="宋体" w:cs="Times New Roman"/>
          <w:spacing w:val="0"/>
          <w:sz w:val="21"/>
          <w:szCs w:val="21"/>
        </w:rPr>
      </w:pPr>
    </w:p>
    <w:p>
      <w:pPr>
        <w:pStyle w:val="105"/>
        <w:spacing w:before="120" w:beforeLines="50" w:after="120" w:afterLines="50" w:line="240" w:lineRule="auto"/>
        <w:jc w:val="both"/>
        <w:rPr>
          <w:rFonts w:ascii="Times New Roman" w:hAnsi="Times New Roman" w:eastAsia="宋体" w:cs="Times New Roman"/>
          <w:spacing w:val="0"/>
          <w:sz w:val="21"/>
          <w:szCs w:val="21"/>
        </w:rPr>
      </w:pPr>
    </w:p>
    <w:p>
      <w:pPr>
        <w:pStyle w:val="105"/>
        <w:spacing w:before="120" w:beforeLines="50" w:after="120" w:afterLines="50"/>
        <w:jc w:val="center"/>
        <w:rPr>
          <w:rFonts w:ascii="Times New Roman" w:hAnsi="Times New Roman" w:eastAsia="宋体" w:cs="Times New Roman"/>
          <w:sz w:val="21"/>
          <w:szCs w:val="21"/>
        </w:rPr>
      </w:pPr>
    </w:p>
    <w:p>
      <w:pPr>
        <w:pStyle w:val="83"/>
        <w:shd w:val="clear" w:color="auto" w:fill="auto"/>
        <w:spacing w:before="120" w:beforeLines="50" w:after="120" w:afterLines="50" w:line="240" w:lineRule="auto"/>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图24  预制</w:t>
      </w:r>
      <w:r>
        <w:rPr>
          <w:rFonts w:hint="eastAsia" w:ascii="Times New Roman" w:hAnsi="Times New Roman" w:eastAsia="宋体" w:cs="Times New Roman"/>
          <w:b w:val="0"/>
          <w:sz w:val="21"/>
          <w:szCs w:val="21"/>
        </w:rPr>
        <w:t>框架</w:t>
      </w:r>
      <w:r>
        <w:rPr>
          <w:rFonts w:ascii="Times New Roman" w:hAnsi="Times New Roman" w:eastAsia="宋体" w:cs="Times New Roman"/>
          <w:b w:val="0"/>
          <w:sz w:val="21"/>
          <w:szCs w:val="21"/>
        </w:rPr>
        <w:t>梁与现浇</w:t>
      </w:r>
      <w:r>
        <w:rPr>
          <w:rFonts w:hint="eastAsia" w:ascii="Times New Roman" w:hAnsi="Times New Roman" w:eastAsia="宋体" w:cs="Times New Roman"/>
          <w:b w:val="0"/>
          <w:sz w:val="21"/>
          <w:szCs w:val="21"/>
        </w:rPr>
        <w:t>剪力墙</w:t>
      </w:r>
      <w:r>
        <w:rPr>
          <w:rFonts w:ascii="Times New Roman" w:hAnsi="Times New Roman" w:eastAsia="宋体" w:cs="Times New Roman"/>
          <w:b w:val="0"/>
          <w:sz w:val="21"/>
          <w:szCs w:val="21"/>
        </w:rPr>
        <w:t>墙肢刚接连接节点构造示意</w:t>
      </w:r>
    </w:p>
    <w:p>
      <w:pPr>
        <w:pStyle w:val="83"/>
        <w:shd w:val="clear" w:color="auto" w:fill="auto"/>
        <w:spacing w:before="50" w:after="50" w:line="240" w:lineRule="auto"/>
        <w:jc w:val="center"/>
        <w:rPr>
          <w:rFonts w:ascii="Times New Roman" w:hAnsi="Times New Roman" w:eastAsia="宋体" w:cs="Times New Roman"/>
          <w:sz w:val="18"/>
          <w:szCs w:val="18"/>
        </w:rPr>
      </w:pPr>
      <w:r>
        <w:rPr>
          <w:rFonts w:ascii="Times New Roman" w:hAnsi="Times New Roman" w:eastAsia="宋体" w:cs="Times New Roman"/>
          <w:b w:val="0"/>
          <w:bCs w:val="0"/>
          <w:sz w:val="18"/>
          <w:szCs w:val="18"/>
        </w:rPr>
        <w:t>1—现浇</w:t>
      </w:r>
      <w:r>
        <w:rPr>
          <w:rFonts w:hint="eastAsia" w:ascii="Times New Roman" w:hAnsi="Times New Roman" w:eastAsia="宋体" w:cs="Times New Roman"/>
          <w:b w:val="0"/>
          <w:bCs w:val="0"/>
          <w:sz w:val="18"/>
          <w:szCs w:val="18"/>
        </w:rPr>
        <w:t>剪力墙</w:t>
      </w:r>
      <w:r>
        <w:rPr>
          <w:rFonts w:ascii="Times New Roman" w:hAnsi="Times New Roman" w:eastAsia="宋体" w:cs="Times New Roman"/>
          <w:b w:val="0"/>
          <w:bCs w:val="0"/>
          <w:sz w:val="18"/>
          <w:szCs w:val="18"/>
        </w:rPr>
        <w:t>；2—预制框架梁；3—后浇混凝土叠合层4—梁上部纵筋；5—梁下部纵筋</w:t>
      </w:r>
    </w:p>
    <w:p>
      <w:pPr>
        <w:pStyle w:val="105"/>
        <w:numPr>
          <w:ilvl w:val="0"/>
          <w:numId w:val="27"/>
        </w:numPr>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b/>
          <w:bCs/>
        </w:rPr>
        <w:drawing>
          <wp:anchor distT="0" distB="0" distL="114300" distR="114300" simplePos="0" relativeHeight="251675648" behindDoc="0" locked="0" layoutInCell="1" allowOverlap="1">
            <wp:simplePos x="0" y="0"/>
            <wp:positionH relativeFrom="margin">
              <wp:posOffset>860425</wp:posOffset>
            </wp:positionH>
            <wp:positionV relativeFrom="paragraph">
              <wp:posOffset>861695</wp:posOffset>
            </wp:positionV>
            <wp:extent cx="4210050" cy="1835785"/>
            <wp:effectExtent l="0" t="0" r="0" b="0"/>
            <wp:wrapNone/>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pic:cNvPicPr>
                  </pic:nvPicPr>
                  <pic:blipFill>
                    <a:blip r:embed="rId145"/>
                    <a:stretch>
                      <a:fillRect/>
                    </a:stretch>
                  </pic:blipFill>
                  <pic:spPr>
                    <a:xfrm>
                      <a:off x="0" y="0"/>
                      <a:ext cx="4210096" cy="1836000"/>
                    </a:xfrm>
                    <a:prstGeom prst="rect">
                      <a:avLst/>
                    </a:prstGeom>
                  </pic:spPr>
                </pic:pic>
              </a:graphicData>
            </a:graphic>
          </wp:anchor>
        </w:drawing>
      </w:r>
      <w:r>
        <w:rPr>
          <w:rFonts w:ascii="Times New Roman" w:hAnsi="Times New Roman" w:eastAsia="宋体" w:cs="Times New Roman"/>
          <w:spacing w:val="0"/>
          <w:sz w:val="21"/>
          <w:szCs w:val="21"/>
        </w:rPr>
        <w:t>预制</w:t>
      </w:r>
      <w:r>
        <w:rPr>
          <w:rFonts w:hint="eastAsia" w:ascii="Times New Roman" w:hAnsi="Times New Roman" w:eastAsia="宋体" w:cs="Times New Roman"/>
          <w:spacing w:val="0"/>
          <w:sz w:val="21"/>
          <w:szCs w:val="21"/>
        </w:rPr>
        <w:t>次</w:t>
      </w:r>
      <w:r>
        <w:rPr>
          <w:rFonts w:ascii="Times New Roman" w:hAnsi="Times New Roman" w:eastAsia="宋体" w:cs="Times New Roman"/>
          <w:spacing w:val="0"/>
          <w:sz w:val="21"/>
          <w:szCs w:val="21"/>
        </w:rPr>
        <w:t>梁与现浇墙肢采用铰接连接节点如图25所示，梁的上部纵筋伸入墙体内的锚固方式可以采用弯锚或机械锚固，当采用弯锚时，弯折的平直段长度不应小于12</w:t>
      </w:r>
      <w:r>
        <w:rPr>
          <w:rFonts w:ascii="Times New Roman" w:hAnsi="Times New Roman" w:eastAsia="宋体" w:cs="Times New Roman"/>
          <w:i/>
          <w:iCs/>
          <w:spacing w:val="0"/>
          <w:sz w:val="21"/>
          <w:szCs w:val="21"/>
        </w:rPr>
        <w:t>d</w:t>
      </w:r>
      <w:r>
        <w:rPr>
          <w:rFonts w:ascii="Times New Roman" w:hAnsi="Times New Roman" w:eastAsia="宋体" w:cs="Times New Roman"/>
          <w:spacing w:val="0"/>
          <w:sz w:val="21"/>
          <w:szCs w:val="21"/>
        </w:rPr>
        <w:t>；当采用机械锚固时，锚固直段长度不应小于0.6</w:t>
      </w:r>
      <w:r>
        <w:rPr>
          <w:rFonts w:ascii="Times New Roman" w:hAnsi="Times New Roman" w:eastAsia="宋体" w:cs="Times New Roman"/>
          <w:position w:val="-12"/>
          <w:sz w:val="21"/>
          <w:szCs w:val="21"/>
        </w:rPr>
        <w:object>
          <v:shape id="_x0000_i1074" o:spt="75" type="#_x0000_t75" style="height:21.5pt;width:14.5pt;" o:ole="t" filled="f" o:preferrelative="t" stroked="f" coordsize="21600,21600">
            <v:path/>
            <v:fill on="f" focussize="0,0"/>
            <v:stroke on="f" joinstyle="miter"/>
            <v:imagedata r:id="rId147" o:title=""/>
            <o:lock v:ext="edit" aspectratio="t"/>
            <w10:wrap type="none"/>
            <w10:anchorlock/>
          </v:shape>
          <o:OLEObject Type="Embed" ProgID="Equation.DSMT4" ShapeID="_x0000_i1074" DrawAspect="Content" ObjectID="_1468075774" r:id="rId146">
            <o:LockedField>false</o:LockedField>
          </o:OLEObject>
        </w:object>
      </w:r>
      <w:r>
        <w:rPr>
          <w:rFonts w:ascii="Times New Roman" w:hAnsi="Times New Roman" w:eastAsia="宋体" w:cs="Times New Roman"/>
          <w:spacing w:val="0"/>
          <w:sz w:val="21"/>
          <w:szCs w:val="21"/>
        </w:rPr>
        <w:t>;当钢筋应力不大于钢筋强度设计值的50%时，锚固段长度不应小于0.35</w:t>
      </w:r>
      <w:r>
        <w:rPr>
          <w:rFonts w:ascii="Times New Roman" w:hAnsi="Times New Roman" w:eastAsia="宋体" w:cs="Times New Roman"/>
          <w:position w:val="-12"/>
          <w:sz w:val="21"/>
          <w:szCs w:val="21"/>
        </w:rPr>
        <w:object>
          <v:shape id="_x0000_i1075" o:spt="75" type="#_x0000_t75" style="height:21.5pt;width:14.5pt;" o:ole="t" filled="f" o:preferrelative="t" stroked="f" coordsize="21600,21600">
            <v:path/>
            <v:fill on="f" focussize="0,0"/>
            <v:stroke on="f" joinstyle="miter"/>
            <v:imagedata r:id="rId149" o:title=""/>
            <o:lock v:ext="edit" aspectratio="t"/>
            <w10:wrap type="none"/>
            <w10:anchorlock/>
          </v:shape>
          <o:OLEObject Type="Embed" ProgID="Equation.DSMT4" ShapeID="_x0000_i1075" DrawAspect="Content" ObjectID="_1468075775" r:id="rId148">
            <o:LockedField>false</o:LockedField>
          </o:OLEObject>
        </w:object>
      </w:r>
      <w:r>
        <w:rPr>
          <w:rFonts w:ascii="Times New Roman" w:hAnsi="Times New Roman" w:eastAsia="宋体" w:cs="Times New Roman"/>
          <w:spacing w:val="0"/>
          <w:sz w:val="21"/>
          <w:szCs w:val="21"/>
        </w:rPr>
        <w:t>。梁的下部纵筋伸入现浇</w:t>
      </w:r>
      <w:r>
        <w:rPr>
          <w:rFonts w:hint="eastAsia" w:ascii="Times New Roman" w:hAnsi="Times New Roman" w:eastAsia="宋体" w:cs="Times New Roman"/>
          <w:spacing w:val="0"/>
          <w:sz w:val="21"/>
          <w:szCs w:val="21"/>
        </w:rPr>
        <w:t>墙肢</w:t>
      </w:r>
      <w:r>
        <w:rPr>
          <w:rFonts w:ascii="Times New Roman" w:hAnsi="Times New Roman" w:eastAsia="宋体" w:cs="Times New Roman"/>
          <w:spacing w:val="0"/>
          <w:sz w:val="21"/>
          <w:szCs w:val="21"/>
        </w:rPr>
        <w:t>的长度不应小于12</w:t>
      </w:r>
      <w:r>
        <w:rPr>
          <w:rFonts w:ascii="Times New Roman" w:hAnsi="Times New Roman" w:eastAsia="宋体" w:cs="Times New Roman"/>
          <w:i/>
          <w:iCs/>
          <w:spacing w:val="0"/>
          <w:sz w:val="21"/>
          <w:szCs w:val="21"/>
        </w:rPr>
        <w:t>d</w:t>
      </w:r>
      <w:r>
        <w:rPr>
          <w:rFonts w:ascii="Times New Roman" w:hAnsi="Times New Roman" w:eastAsia="宋体" w:cs="Times New Roman"/>
          <w:spacing w:val="0"/>
          <w:sz w:val="21"/>
          <w:szCs w:val="21"/>
        </w:rPr>
        <w:t>。</w:t>
      </w:r>
    </w:p>
    <w:p>
      <w:pPr>
        <w:pStyle w:val="105"/>
        <w:spacing w:before="120" w:beforeLines="50" w:after="120" w:afterLines="50" w:line="240" w:lineRule="auto"/>
        <w:jc w:val="both"/>
        <w:rPr>
          <w:rFonts w:ascii="Times New Roman" w:hAnsi="Times New Roman" w:eastAsia="宋体" w:cs="Times New Roman"/>
          <w:spacing w:val="0"/>
          <w:sz w:val="21"/>
          <w:szCs w:val="21"/>
        </w:rPr>
      </w:pPr>
    </w:p>
    <w:p>
      <w:pPr>
        <w:pStyle w:val="105"/>
        <w:spacing w:before="120" w:beforeLines="50" w:after="120" w:afterLines="50" w:line="240" w:lineRule="auto"/>
        <w:jc w:val="both"/>
        <w:rPr>
          <w:rFonts w:ascii="Times New Roman" w:hAnsi="Times New Roman" w:eastAsia="宋体" w:cs="Times New Roman"/>
          <w:spacing w:val="0"/>
          <w:sz w:val="21"/>
          <w:szCs w:val="21"/>
        </w:rPr>
      </w:pPr>
    </w:p>
    <w:p>
      <w:pPr>
        <w:pStyle w:val="105"/>
        <w:spacing w:before="120" w:beforeLines="50" w:after="120" w:afterLines="50" w:line="240" w:lineRule="auto"/>
        <w:jc w:val="both"/>
        <w:rPr>
          <w:rFonts w:ascii="Times New Roman" w:hAnsi="Times New Roman" w:eastAsia="宋体" w:cs="Times New Roman"/>
          <w:spacing w:val="0"/>
          <w:sz w:val="21"/>
          <w:szCs w:val="21"/>
        </w:rPr>
      </w:pPr>
    </w:p>
    <w:p>
      <w:pPr>
        <w:pStyle w:val="105"/>
        <w:spacing w:before="120" w:beforeLines="50" w:after="120" w:afterLines="50" w:line="240" w:lineRule="auto"/>
        <w:jc w:val="both"/>
        <w:rPr>
          <w:rFonts w:ascii="Times New Roman" w:hAnsi="Times New Roman" w:eastAsia="宋体" w:cs="Times New Roman"/>
          <w:spacing w:val="0"/>
          <w:sz w:val="21"/>
          <w:szCs w:val="21"/>
        </w:rPr>
      </w:pPr>
    </w:p>
    <w:p>
      <w:pPr>
        <w:pStyle w:val="105"/>
        <w:spacing w:before="120" w:beforeLines="50" w:after="120" w:afterLines="50" w:line="240" w:lineRule="auto"/>
        <w:jc w:val="both"/>
        <w:rPr>
          <w:rFonts w:ascii="Times New Roman" w:hAnsi="Times New Roman" w:eastAsia="宋体" w:cs="Times New Roman"/>
          <w:spacing w:val="0"/>
          <w:sz w:val="21"/>
          <w:szCs w:val="21"/>
        </w:rPr>
      </w:pPr>
    </w:p>
    <w:p>
      <w:pPr>
        <w:pStyle w:val="105"/>
        <w:spacing w:before="120" w:beforeLines="50" w:after="120" w:afterLines="50" w:line="240" w:lineRule="auto"/>
        <w:jc w:val="both"/>
        <w:rPr>
          <w:rFonts w:ascii="Times New Roman" w:hAnsi="Times New Roman" w:eastAsia="宋体" w:cs="Times New Roman"/>
          <w:spacing w:val="0"/>
          <w:sz w:val="21"/>
          <w:szCs w:val="21"/>
        </w:rPr>
      </w:pPr>
    </w:p>
    <w:p>
      <w:pPr>
        <w:pStyle w:val="105"/>
        <w:spacing w:before="120" w:beforeLines="50" w:after="120" w:afterLines="50" w:line="240" w:lineRule="auto"/>
        <w:jc w:val="both"/>
        <w:rPr>
          <w:rFonts w:ascii="Times New Roman" w:hAnsi="Times New Roman" w:eastAsia="宋体" w:cs="Times New Roman"/>
          <w:spacing w:val="0"/>
          <w:sz w:val="21"/>
          <w:szCs w:val="21"/>
        </w:rPr>
      </w:pPr>
    </w:p>
    <w:p>
      <w:pPr>
        <w:pStyle w:val="83"/>
        <w:shd w:val="clear" w:color="auto" w:fill="auto"/>
        <w:spacing w:before="120" w:beforeLines="50" w:after="120" w:afterLines="50" w:line="240" w:lineRule="auto"/>
        <w:jc w:val="center"/>
        <w:rPr>
          <w:rFonts w:ascii="Times New Roman" w:hAnsi="Times New Roman" w:eastAsia="宋体" w:cs="Times New Roman"/>
          <w:b w:val="0"/>
          <w:bCs w:val="0"/>
        </w:rPr>
      </w:pPr>
    </w:p>
    <w:p>
      <w:pPr>
        <w:pStyle w:val="83"/>
        <w:shd w:val="clear" w:color="auto" w:fill="auto"/>
        <w:spacing w:before="120" w:beforeLines="50" w:after="120" w:afterLines="50" w:line="240" w:lineRule="auto"/>
        <w:jc w:val="center"/>
        <w:rPr>
          <w:rFonts w:ascii="Times New Roman" w:hAnsi="Times New Roman" w:eastAsia="宋体" w:cs="Times New Roman"/>
          <w:sz w:val="21"/>
          <w:szCs w:val="21"/>
        </w:rPr>
      </w:pPr>
      <w:r>
        <w:rPr>
          <w:rFonts w:ascii="Times New Roman" w:hAnsi="Times New Roman" w:eastAsia="宋体" w:cs="Times New Roman"/>
          <w:b w:val="0"/>
          <w:bCs w:val="0"/>
          <w:sz w:val="21"/>
          <w:szCs w:val="21"/>
        </w:rPr>
        <w:t>图25  预制</w:t>
      </w:r>
      <w:r>
        <w:rPr>
          <w:rFonts w:hint="eastAsia" w:ascii="Times New Roman" w:hAnsi="Times New Roman" w:eastAsia="宋体" w:cs="Times New Roman"/>
          <w:b w:val="0"/>
          <w:bCs w:val="0"/>
          <w:sz w:val="21"/>
          <w:szCs w:val="21"/>
        </w:rPr>
        <w:t>次</w:t>
      </w:r>
      <w:r>
        <w:rPr>
          <w:rFonts w:ascii="Times New Roman" w:hAnsi="Times New Roman" w:eastAsia="宋体" w:cs="Times New Roman"/>
          <w:b w:val="0"/>
          <w:bCs w:val="0"/>
          <w:sz w:val="21"/>
          <w:szCs w:val="21"/>
        </w:rPr>
        <w:t>梁与现浇</w:t>
      </w:r>
      <w:r>
        <w:rPr>
          <w:rFonts w:hint="eastAsia" w:ascii="Times New Roman" w:hAnsi="Times New Roman" w:eastAsia="宋体" w:cs="Times New Roman"/>
          <w:b w:val="0"/>
          <w:bCs w:val="0"/>
          <w:sz w:val="21"/>
          <w:szCs w:val="21"/>
        </w:rPr>
        <w:t>剪力墙</w:t>
      </w:r>
      <w:r>
        <w:rPr>
          <w:rFonts w:ascii="Times New Roman" w:hAnsi="Times New Roman" w:eastAsia="宋体" w:cs="Times New Roman"/>
          <w:b w:val="0"/>
          <w:bCs w:val="0"/>
          <w:sz w:val="21"/>
          <w:szCs w:val="21"/>
        </w:rPr>
        <w:t>墙肢</w:t>
      </w:r>
      <w:r>
        <w:rPr>
          <w:rFonts w:hint="eastAsia" w:ascii="Times New Roman" w:hAnsi="Times New Roman" w:eastAsia="宋体" w:cs="Times New Roman"/>
          <w:b w:val="0"/>
          <w:bCs w:val="0"/>
          <w:sz w:val="21"/>
          <w:szCs w:val="21"/>
        </w:rPr>
        <w:t>铰接</w:t>
      </w:r>
      <w:r>
        <w:rPr>
          <w:rFonts w:ascii="Times New Roman" w:hAnsi="Times New Roman" w:eastAsia="宋体" w:cs="Times New Roman"/>
          <w:b w:val="0"/>
          <w:bCs w:val="0"/>
          <w:sz w:val="21"/>
          <w:szCs w:val="21"/>
        </w:rPr>
        <w:t>连接节点构造示意</w:t>
      </w:r>
    </w:p>
    <w:p>
      <w:pPr>
        <w:pStyle w:val="83"/>
        <w:shd w:val="clear" w:color="auto" w:fill="auto"/>
        <w:spacing w:before="50" w:after="50" w:line="240" w:lineRule="auto"/>
        <w:jc w:val="center"/>
        <w:rPr>
          <w:rFonts w:ascii="Times New Roman" w:hAnsi="Times New Roman" w:eastAsia="宋体" w:cs="Times New Roman"/>
          <w:sz w:val="18"/>
          <w:szCs w:val="18"/>
        </w:rPr>
      </w:pPr>
      <w:r>
        <w:rPr>
          <w:rFonts w:ascii="Times New Roman" w:hAnsi="Times New Roman" w:eastAsia="宋体" w:cs="Times New Roman"/>
          <w:b w:val="0"/>
          <w:bCs w:val="0"/>
          <w:sz w:val="18"/>
          <w:szCs w:val="18"/>
        </w:rPr>
        <w:t>1—现浇</w:t>
      </w:r>
      <w:r>
        <w:rPr>
          <w:rFonts w:hint="eastAsia" w:ascii="Times New Roman" w:hAnsi="Times New Roman" w:eastAsia="宋体" w:cs="Times New Roman"/>
          <w:b w:val="0"/>
          <w:bCs w:val="0"/>
          <w:sz w:val="18"/>
          <w:szCs w:val="18"/>
        </w:rPr>
        <w:t>剪力墙</w:t>
      </w:r>
      <w:r>
        <w:rPr>
          <w:rFonts w:ascii="Times New Roman" w:hAnsi="Times New Roman" w:eastAsia="宋体" w:cs="Times New Roman"/>
          <w:b w:val="0"/>
          <w:bCs w:val="0"/>
          <w:sz w:val="18"/>
          <w:szCs w:val="18"/>
        </w:rPr>
        <w:t>；2—预制次梁；3—后浇混凝土叠合层；4—次梁上部纵筋；5—次梁下部纵筋</w:t>
      </w:r>
    </w:p>
    <w:p>
      <w:pPr>
        <w:pStyle w:val="105"/>
        <w:numPr>
          <w:ilvl w:val="0"/>
          <w:numId w:val="27"/>
        </w:numPr>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预制梁与叠合</w:t>
      </w:r>
      <w:r>
        <w:rPr>
          <w:rFonts w:hint="eastAsia" w:ascii="Times New Roman" w:hAnsi="Times New Roman" w:eastAsia="宋体" w:cs="Times New Roman"/>
          <w:spacing w:val="0"/>
          <w:sz w:val="21"/>
          <w:szCs w:val="21"/>
        </w:rPr>
        <w:t>剪力墙</w:t>
      </w:r>
      <w:r>
        <w:rPr>
          <w:rFonts w:ascii="Times New Roman" w:hAnsi="Times New Roman" w:eastAsia="宋体" w:cs="Times New Roman"/>
          <w:spacing w:val="0"/>
          <w:sz w:val="21"/>
          <w:szCs w:val="21"/>
        </w:rPr>
        <w:t>墙肢采用刚接的连接节点如图26所示。预制梁端部应支撑于</w:t>
      </w:r>
      <w:r>
        <w:rPr>
          <w:rFonts w:hint="eastAsia" w:ascii="Times New Roman" w:hAnsi="Times New Roman" w:eastAsia="宋体" w:cs="Times New Roman"/>
          <w:spacing w:val="0"/>
          <w:sz w:val="21"/>
          <w:szCs w:val="21"/>
        </w:rPr>
        <w:t>剪力墙后</w:t>
      </w:r>
      <w:r>
        <w:rPr>
          <w:rFonts w:ascii="Times New Roman" w:hAnsi="Times New Roman" w:eastAsia="宋体" w:cs="Times New Roman"/>
          <w:spacing w:val="0"/>
          <w:sz w:val="21"/>
          <w:szCs w:val="21"/>
        </w:rPr>
        <w:t>浇边缘构件上，并满足边缘构件竖向钢筋的连续性。</w:t>
      </w:r>
      <w:r>
        <w:rPr>
          <w:rFonts w:hint="eastAsia" w:ascii="Times New Roman" w:hAnsi="Times New Roman" w:eastAsia="宋体" w:cs="Times New Roman"/>
          <w:spacing w:val="0"/>
          <w:sz w:val="21"/>
          <w:szCs w:val="21"/>
        </w:rPr>
        <w:t>梁上部和下部纵向受力钢筋伸入后浇边缘构件的长度不应小于</w:t>
      </w:r>
      <w:r>
        <w:rPr>
          <w:rFonts w:hint="eastAsia" w:ascii="Times New Roman" w:hAnsi="Times New Roman" w:eastAsia="宋体" w:cs="Times New Roman"/>
          <w:i/>
          <w:iCs/>
          <w:spacing w:val="0"/>
          <w:sz w:val="21"/>
          <w:szCs w:val="21"/>
        </w:rPr>
        <w:t>l</w:t>
      </w:r>
      <w:r>
        <w:rPr>
          <w:rFonts w:hint="eastAsia" w:ascii="Times New Roman" w:hAnsi="Times New Roman" w:eastAsia="宋体" w:cs="Times New Roman"/>
          <w:spacing w:val="0"/>
          <w:sz w:val="21"/>
          <w:szCs w:val="21"/>
          <w:vertAlign w:val="subscript"/>
        </w:rPr>
        <w:t>aE</w:t>
      </w:r>
      <w:r>
        <w:rPr>
          <w:rFonts w:hint="eastAsia" w:ascii="Times New Roman" w:hAnsi="Times New Roman" w:eastAsia="宋体" w:cs="Times New Roman"/>
          <w:spacing w:val="0"/>
          <w:sz w:val="21"/>
          <w:szCs w:val="21"/>
        </w:rPr>
        <w:t>，</w:t>
      </w:r>
      <w:r>
        <w:rPr>
          <w:rFonts w:ascii="Times New Roman" w:hAnsi="Times New Roman" w:eastAsia="宋体" w:cs="Times New Roman"/>
          <w:spacing w:val="0"/>
          <w:sz w:val="21"/>
          <w:szCs w:val="21"/>
        </w:rPr>
        <w:t>当钢筋直锚长度不足时，可采用钢筋弯折锚固。</w:t>
      </w:r>
      <w:r>
        <w:rPr>
          <w:rFonts w:hint="eastAsia" w:ascii="Times New Roman" w:hAnsi="Times New Roman" w:eastAsia="宋体" w:cs="Times New Roman"/>
          <w:spacing w:val="0"/>
          <w:sz w:val="21"/>
          <w:szCs w:val="21"/>
        </w:rPr>
        <w:t>叠合剪力墙墙肢及边缘构件的构造尚应符合现行国家标准GB/T 51231和现行湖北省地方标准DB 42/T 1483的有关规定。</w:t>
      </w:r>
    </w:p>
    <w:p>
      <w:pPr>
        <w:pStyle w:val="105"/>
        <w:spacing w:before="120" w:beforeLines="50" w:after="120" w:afterLines="50"/>
        <w:jc w:val="center"/>
        <w:rPr>
          <w:rFonts w:ascii="Times New Roman" w:hAnsi="Times New Roman" w:eastAsia="宋体" w:cs="Times New Roman"/>
          <w:sz w:val="21"/>
          <w:szCs w:val="21"/>
        </w:rPr>
      </w:pPr>
      <w:r>
        <w:drawing>
          <wp:inline distT="0" distB="0" distL="0" distR="0">
            <wp:extent cx="2576195" cy="1943735"/>
            <wp:effectExtent l="0" t="0" r="0" b="0"/>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pic:cNvPicPr>
                  </pic:nvPicPr>
                  <pic:blipFill>
                    <a:blip r:embed="rId150"/>
                    <a:stretch>
                      <a:fillRect/>
                    </a:stretch>
                  </pic:blipFill>
                  <pic:spPr>
                    <a:xfrm>
                      <a:off x="0" y="0"/>
                      <a:ext cx="2576815" cy="1944000"/>
                    </a:xfrm>
                    <a:prstGeom prst="rect">
                      <a:avLst/>
                    </a:prstGeom>
                  </pic:spPr>
                </pic:pic>
              </a:graphicData>
            </a:graphic>
          </wp:inline>
        </w:drawing>
      </w:r>
      <w:r>
        <w:rPr>
          <w:rFonts w:ascii="Times New Roman" w:hAnsi="Times New Roman" w:eastAsia="宋体" w:cs="Times New Roman"/>
          <w:sz w:val="21"/>
          <w:szCs w:val="21"/>
        </w:rPr>
        <w:drawing>
          <wp:inline distT="0" distB="0" distL="0" distR="0">
            <wp:extent cx="2565400" cy="1943735"/>
            <wp:effectExtent l="0" t="0" r="6350" b="0"/>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151"/>
                    <a:stretch>
                      <a:fillRect/>
                    </a:stretch>
                  </pic:blipFill>
                  <pic:spPr>
                    <a:xfrm>
                      <a:off x="0" y="0"/>
                      <a:ext cx="2565771" cy="1944000"/>
                    </a:xfrm>
                    <a:prstGeom prst="rect">
                      <a:avLst/>
                    </a:prstGeom>
                  </pic:spPr>
                </pic:pic>
              </a:graphicData>
            </a:graphic>
          </wp:inline>
        </w:drawing>
      </w:r>
    </w:p>
    <w:p>
      <w:pPr>
        <w:pStyle w:val="105"/>
        <w:spacing w:before="120" w:beforeLines="50" w:after="120" w:afterLines="50"/>
        <w:ind w:firstLine="2034" w:firstLineChars="900"/>
        <w:jc w:val="both"/>
        <w:rPr>
          <w:rFonts w:ascii="Times New Roman" w:hAnsi="Times New Roman" w:eastAsia="宋体" w:cs="Times New Roman"/>
          <w:sz w:val="21"/>
          <w:szCs w:val="21"/>
        </w:rPr>
      </w:pPr>
      <w:r>
        <w:rPr>
          <w:rFonts w:ascii="宋体" w:hAnsi="宋体" w:eastAsia="宋体" w:cs="Times New Roman"/>
          <w:sz w:val="21"/>
          <w:szCs w:val="21"/>
        </w:rPr>
        <w:t>a）</w:t>
      </w:r>
      <w:r>
        <w:rPr>
          <w:rFonts w:ascii="Times New Roman" w:hAnsi="Times New Roman" w:eastAsia="宋体" w:cs="Times New Roman"/>
          <w:sz w:val="21"/>
          <w:szCs w:val="21"/>
        </w:rPr>
        <w:t>L型构造边缘构件</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w:t>
      </w:r>
      <w:r>
        <w:rPr>
          <w:rFonts w:ascii="宋体" w:hAnsi="宋体" w:eastAsia="宋体" w:cs="Times New Roman"/>
          <w:sz w:val="21"/>
          <w:szCs w:val="21"/>
        </w:rPr>
        <w:t>b）</w:t>
      </w:r>
      <w:r>
        <w:rPr>
          <w:rFonts w:ascii="Times New Roman" w:hAnsi="Times New Roman" w:eastAsia="宋体" w:cs="Times New Roman"/>
          <w:sz w:val="21"/>
          <w:szCs w:val="21"/>
        </w:rPr>
        <w:t>L型约束边缘构件</w:t>
      </w:r>
    </w:p>
    <w:p>
      <w:pPr>
        <w:pStyle w:val="105"/>
        <w:spacing w:before="120" w:beforeLines="50" w:after="120" w:afterLines="50"/>
        <w:jc w:val="center"/>
        <w:rPr>
          <w:rFonts w:ascii="Times New Roman" w:hAnsi="Times New Roman" w:eastAsia="宋体" w:cs="Times New Roman"/>
          <w:sz w:val="21"/>
          <w:szCs w:val="21"/>
        </w:rPr>
      </w:pPr>
      <w:r>
        <w:drawing>
          <wp:inline distT="0" distB="0" distL="0" distR="0">
            <wp:extent cx="2503805" cy="2724785"/>
            <wp:effectExtent l="0" t="0" r="0" b="0"/>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pic:cNvPicPr>
                  </pic:nvPicPr>
                  <pic:blipFill>
                    <a:blip r:embed="rId152"/>
                    <a:stretch>
                      <a:fillRect/>
                    </a:stretch>
                  </pic:blipFill>
                  <pic:spPr>
                    <a:xfrm>
                      <a:off x="0" y="0"/>
                      <a:ext cx="2504148" cy="2725200"/>
                    </a:xfrm>
                    <a:prstGeom prst="rect">
                      <a:avLst/>
                    </a:prstGeom>
                  </pic:spPr>
                </pic:pic>
              </a:graphicData>
            </a:graphic>
          </wp:inline>
        </w:drawing>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drawing>
          <wp:inline distT="0" distB="0" distL="0" distR="0">
            <wp:extent cx="2474595" cy="3095625"/>
            <wp:effectExtent l="0" t="0" r="1905" b="9525"/>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pic:cNvPicPr>
                  </pic:nvPicPr>
                  <pic:blipFill>
                    <a:blip r:embed="rId153"/>
                    <a:stretch>
                      <a:fillRect/>
                    </a:stretch>
                  </pic:blipFill>
                  <pic:spPr>
                    <a:xfrm>
                      <a:off x="0" y="0"/>
                      <a:ext cx="2474836" cy="3096000"/>
                    </a:xfrm>
                    <a:prstGeom prst="rect">
                      <a:avLst/>
                    </a:prstGeom>
                  </pic:spPr>
                </pic:pic>
              </a:graphicData>
            </a:graphic>
          </wp:inline>
        </w:drawing>
      </w:r>
    </w:p>
    <w:p>
      <w:pPr>
        <w:pStyle w:val="105"/>
        <w:spacing w:before="120" w:beforeLines="50" w:after="120" w:afterLines="50"/>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r>
        <w:rPr>
          <w:rFonts w:ascii="宋体" w:hAnsi="宋体" w:eastAsia="宋体" w:cs="Times New Roman"/>
          <w:sz w:val="21"/>
          <w:szCs w:val="21"/>
        </w:rPr>
        <w:t>c）</w:t>
      </w:r>
      <w:r>
        <w:rPr>
          <w:rFonts w:ascii="Times New Roman" w:hAnsi="Times New Roman" w:eastAsia="宋体" w:cs="Times New Roman"/>
          <w:sz w:val="21"/>
          <w:szCs w:val="21"/>
        </w:rPr>
        <w:t xml:space="preserve">T型构造边缘构件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w:t>
      </w:r>
      <w:r>
        <w:rPr>
          <w:rFonts w:ascii="宋体" w:hAnsi="宋体" w:eastAsia="宋体" w:cs="Times New Roman"/>
          <w:sz w:val="21"/>
          <w:szCs w:val="21"/>
        </w:rPr>
        <w:t>d）</w:t>
      </w:r>
      <w:r>
        <w:rPr>
          <w:rFonts w:ascii="Times New Roman" w:hAnsi="Times New Roman" w:eastAsia="宋体" w:cs="Times New Roman"/>
          <w:sz w:val="21"/>
          <w:szCs w:val="21"/>
        </w:rPr>
        <w:t>T型约束边缘构件</w:t>
      </w:r>
    </w:p>
    <w:p>
      <w:pPr>
        <w:pStyle w:val="83"/>
        <w:shd w:val="clear" w:color="auto" w:fill="auto"/>
        <w:spacing w:before="120" w:beforeLines="50" w:after="120" w:afterLines="50" w:line="240" w:lineRule="auto"/>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图26  预制梁与叠合</w:t>
      </w:r>
      <w:r>
        <w:rPr>
          <w:rFonts w:hint="eastAsia" w:ascii="Times New Roman" w:hAnsi="Times New Roman" w:eastAsia="宋体" w:cs="Times New Roman"/>
          <w:b w:val="0"/>
          <w:sz w:val="21"/>
          <w:szCs w:val="21"/>
        </w:rPr>
        <w:t>剪力墙</w:t>
      </w:r>
      <w:r>
        <w:rPr>
          <w:rFonts w:ascii="Times New Roman" w:hAnsi="Times New Roman" w:eastAsia="宋体" w:cs="Times New Roman"/>
          <w:b w:val="0"/>
          <w:sz w:val="21"/>
          <w:szCs w:val="21"/>
        </w:rPr>
        <w:t>墙肢连接节点构造示意</w:t>
      </w:r>
    </w:p>
    <w:p>
      <w:pPr>
        <w:pStyle w:val="83"/>
        <w:shd w:val="clear" w:color="auto" w:fill="auto"/>
        <w:spacing w:before="50" w:after="50" w:line="240" w:lineRule="auto"/>
        <w:jc w:val="center"/>
        <w:rPr>
          <w:rFonts w:ascii="Times New Roman" w:hAnsi="Times New Roman" w:eastAsia="宋体" w:cs="Times New Roman"/>
          <w:sz w:val="18"/>
          <w:szCs w:val="18"/>
        </w:rPr>
      </w:pPr>
      <w:r>
        <w:rPr>
          <w:rFonts w:ascii="Times New Roman" w:hAnsi="Times New Roman" w:eastAsia="宋体" w:cs="Times New Roman"/>
          <w:b w:val="0"/>
          <w:bCs w:val="0"/>
          <w:sz w:val="18"/>
          <w:szCs w:val="18"/>
        </w:rPr>
        <w:t>1—</w:t>
      </w:r>
      <w:r>
        <w:rPr>
          <w:rFonts w:hint="eastAsia" w:ascii="Times New Roman" w:hAnsi="Times New Roman" w:eastAsia="宋体" w:cs="Times New Roman"/>
          <w:b w:val="0"/>
          <w:bCs w:val="0"/>
          <w:sz w:val="18"/>
          <w:szCs w:val="18"/>
        </w:rPr>
        <w:t>后浇部分</w:t>
      </w:r>
      <w:r>
        <w:rPr>
          <w:rFonts w:ascii="Times New Roman" w:hAnsi="Times New Roman" w:eastAsia="宋体" w:cs="Times New Roman"/>
          <w:b w:val="0"/>
          <w:bCs w:val="0"/>
          <w:sz w:val="18"/>
          <w:szCs w:val="18"/>
        </w:rPr>
        <w:t>；2—预制</w:t>
      </w:r>
      <w:r>
        <w:rPr>
          <w:rFonts w:hint="eastAsia" w:ascii="Times New Roman" w:hAnsi="Times New Roman" w:eastAsia="宋体" w:cs="Times New Roman"/>
          <w:b w:val="0"/>
          <w:bCs w:val="0"/>
          <w:sz w:val="18"/>
          <w:szCs w:val="18"/>
        </w:rPr>
        <w:t>部分</w:t>
      </w:r>
      <w:r>
        <w:rPr>
          <w:rFonts w:ascii="Times New Roman" w:hAnsi="Times New Roman" w:eastAsia="宋体" w:cs="Times New Roman"/>
          <w:b w:val="0"/>
          <w:bCs w:val="0"/>
          <w:sz w:val="18"/>
          <w:szCs w:val="18"/>
        </w:rPr>
        <w:t>；3—后浇混凝土边缘构件；4—预制梁</w:t>
      </w:r>
    </w:p>
    <w:p>
      <w:pPr>
        <w:pStyle w:val="210"/>
        <w:spacing w:before="240" w:after="240"/>
        <w:rPr>
          <w:rFonts w:ascii="黑体" w:hAnsi="黑体" w:eastAsia="黑体"/>
          <w:b w:val="0"/>
          <w:sz w:val="21"/>
          <w:szCs w:val="21"/>
        </w:rPr>
      </w:pPr>
      <w:bookmarkStart w:id="168" w:name="_Toc23294"/>
      <w:bookmarkStart w:id="169" w:name="_Toc172188903"/>
      <w:bookmarkStart w:id="170" w:name="_Toc172187842"/>
      <w:bookmarkStart w:id="171" w:name="_Toc172188627"/>
      <w:r>
        <w:rPr>
          <w:rFonts w:ascii="黑体" w:hAnsi="黑体" w:eastAsia="黑体"/>
          <w:b w:val="0"/>
          <w:sz w:val="21"/>
          <w:szCs w:val="21"/>
        </w:rPr>
        <w:t>10 围护结构设计</w:t>
      </w:r>
      <w:bookmarkEnd w:id="168"/>
      <w:bookmarkEnd w:id="169"/>
      <w:bookmarkEnd w:id="170"/>
      <w:bookmarkEnd w:id="171"/>
    </w:p>
    <w:p>
      <w:pPr>
        <w:pStyle w:val="210"/>
        <w:spacing w:before="240" w:after="240"/>
        <w:outlineLvl w:val="2"/>
        <w:rPr>
          <w:rFonts w:ascii="黑体" w:hAnsi="黑体" w:eastAsia="黑体"/>
          <w:b w:val="0"/>
          <w:sz w:val="21"/>
          <w:szCs w:val="21"/>
        </w:rPr>
      </w:pPr>
      <w:bookmarkStart w:id="172" w:name="_Toc6127"/>
      <w:bookmarkStart w:id="173" w:name="_Toc172187843"/>
      <w:bookmarkStart w:id="174" w:name="_Toc172188628"/>
      <w:bookmarkStart w:id="175" w:name="_Toc172188904"/>
      <w:r>
        <w:rPr>
          <w:rFonts w:ascii="黑体" w:hAnsi="黑体" w:eastAsia="黑体"/>
          <w:b w:val="0"/>
          <w:sz w:val="21"/>
          <w:szCs w:val="21"/>
        </w:rPr>
        <w:t>10.1 一般规定</w:t>
      </w:r>
      <w:bookmarkEnd w:id="172"/>
      <w:bookmarkEnd w:id="173"/>
      <w:bookmarkEnd w:id="174"/>
      <w:bookmarkEnd w:id="175"/>
    </w:p>
    <w:p>
      <w:pPr>
        <w:pStyle w:val="105"/>
        <w:numPr>
          <w:ilvl w:val="0"/>
          <w:numId w:val="28"/>
        </w:numPr>
        <w:spacing w:before="120" w:beforeLines="50" w:after="120" w:afterLines="50"/>
        <w:jc w:val="both"/>
        <w:rPr>
          <w:rFonts w:ascii="Times New Roman" w:hAnsi="Times New Roman" w:eastAsia="宋体" w:cs="Times New Roman"/>
          <w:spacing w:val="0"/>
          <w:sz w:val="21"/>
          <w:szCs w:val="21"/>
        </w:rPr>
      </w:pPr>
      <w:r>
        <w:rPr>
          <w:rFonts w:hint="eastAsia" w:ascii="Times New Roman" w:hAnsi="Times New Roman" w:eastAsia="宋体" w:cs="Times New Roman"/>
          <w:spacing w:val="0"/>
          <w:sz w:val="21"/>
          <w:szCs w:val="21"/>
        </w:rPr>
        <w:t>装配式混凝土结构建筑应合理确定外围护系统的设计使用年限，住宅建筑的外围护系统的设计使用年限应与主体结构相协调。</w:t>
      </w:r>
    </w:p>
    <w:p>
      <w:pPr>
        <w:pStyle w:val="105"/>
        <w:numPr>
          <w:ilvl w:val="0"/>
          <w:numId w:val="28"/>
        </w:numPr>
        <w:spacing w:before="120" w:beforeLines="50" w:after="120" w:afterLines="50"/>
        <w:jc w:val="both"/>
        <w:rPr>
          <w:rFonts w:ascii="Times New Roman" w:hAnsi="Times New Roman" w:eastAsia="宋体" w:cs="Times New Roman"/>
          <w:spacing w:val="0"/>
          <w:sz w:val="21"/>
          <w:szCs w:val="21"/>
        </w:rPr>
      </w:pPr>
      <w:r>
        <w:rPr>
          <w:rFonts w:hint="eastAsia" w:ascii="Times New Roman" w:hAnsi="Times New Roman" w:eastAsia="宋体" w:cs="Times New Roman"/>
          <w:spacing w:val="0"/>
          <w:sz w:val="21"/>
          <w:szCs w:val="21"/>
        </w:rPr>
        <w:t>围护</w:t>
      </w:r>
      <w:r>
        <w:rPr>
          <w:rFonts w:ascii="Times New Roman" w:hAnsi="Times New Roman" w:eastAsia="宋体" w:cs="Times New Roman"/>
          <w:spacing w:val="0"/>
          <w:sz w:val="21"/>
          <w:szCs w:val="21"/>
        </w:rPr>
        <w:t>结构构件对结构抗震产生不利影响时，应根据实际情况计入其刚度的影响。</w:t>
      </w:r>
    </w:p>
    <w:p>
      <w:pPr>
        <w:pStyle w:val="105"/>
        <w:numPr>
          <w:ilvl w:val="0"/>
          <w:numId w:val="28"/>
        </w:numPr>
        <w:spacing w:before="120" w:beforeLines="50" w:after="120" w:afterLines="50"/>
        <w:jc w:val="both"/>
        <w:rPr>
          <w:rFonts w:ascii="Times New Roman" w:hAnsi="Times New Roman" w:eastAsia="宋体" w:cs="Times New Roman"/>
        </w:rPr>
      </w:pPr>
      <w:r>
        <w:rPr>
          <w:rStyle w:val="117"/>
          <w:rFonts w:ascii="Times New Roman" w:hAnsi="Times New Roman" w:eastAsia="宋体" w:cs="Times New Roman"/>
          <w:spacing w:val="0"/>
          <w:sz w:val="21"/>
          <w:szCs w:val="21"/>
        </w:rPr>
        <w:t>围护</w:t>
      </w:r>
      <w:r>
        <w:rPr>
          <w:rFonts w:ascii="Times New Roman" w:hAnsi="Times New Roman" w:eastAsia="宋体" w:cs="Times New Roman"/>
          <w:spacing w:val="0"/>
          <w:sz w:val="21"/>
          <w:szCs w:val="21"/>
        </w:rPr>
        <w:t>结构构件的性能除应满足</w:t>
      </w:r>
      <w:r>
        <w:rPr>
          <w:rStyle w:val="118"/>
          <w:rFonts w:ascii="Times New Roman" w:hAnsi="Times New Roman" w:eastAsia="宋体" w:cs="Times New Roman"/>
          <w:spacing w:val="0"/>
          <w:sz w:val="21"/>
          <w:szCs w:val="21"/>
        </w:rPr>
        <w:t>抗震、耐撞击、抗风等安全性要求</w:t>
      </w:r>
      <w:r>
        <w:rPr>
          <w:rFonts w:ascii="Times New Roman" w:hAnsi="Times New Roman" w:eastAsia="宋体" w:cs="Times New Roman"/>
          <w:spacing w:val="0"/>
          <w:sz w:val="21"/>
          <w:szCs w:val="21"/>
        </w:rPr>
        <w:t>外，尚应满足建筑功能、</w:t>
      </w:r>
      <w:r>
        <w:rPr>
          <w:rStyle w:val="118"/>
          <w:rFonts w:ascii="Times New Roman" w:hAnsi="Times New Roman" w:eastAsia="宋体" w:cs="Times New Roman"/>
          <w:spacing w:val="0"/>
          <w:sz w:val="21"/>
          <w:szCs w:val="21"/>
        </w:rPr>
        <w:t>水密、气密、</w:t>
      </w:r>
      <w:r>
        <w:rPr>
          <w:rFonts w:ascii="Times New Roman" w:hAnsi="Times New Roman" w:eastAsia="宋体" w:cs="Times New Roman"/>
          <w:spacing w:val="0"/>
          <w:sz w:val="21"/>
          <w:szCs w:val="21"/>
        </w:rPr>
        <w:t>热工、隔声、 防火等</w:t>
      </w:r>
      <w:r>
        <w:rPr>
          <w:rStyle w:val="118"/>
          <w:rFonts w:ascii="Times New Roman" w:hAnsi="Times New Roman" w:eastAsia="宋体" w:cs="Times New Roman"/>
          <w:spacing w:val="0"/>
          <w:sz w:val="21"/>
          <w:szCs w:val="21"/>
        </w:rPr>
        <w:t>功能性</w:t>
      </w:r>
      <w:r>
        <w:rPr>
          <w:rFonts w:ascii="Times New Roman" w:hAnsi="Times New Roman" w:eastAsia="宋体" w:cs="Times New Roman"/>
          <w:spacing w:val="0"/>
          <w:sz w:val="21"/>
          <w:szCs w:val="21"/>
        </w:rPr>
        <w:t>要求</w:t>
      </w:r>
      <w:r>
        <w:rPr>
          <w:rStyle w:val="118"/>
          <w:rFonts w:ascii="Times New Roman" w:hAnsi="Times New Roman" w:eastAsia="宋体" w:cs="Times New Roman"/>
          <w:spacing w:val="0"/>
          <w:sz w:val="21"/>
          <w:szCs w:val="21"/>
        </w:rPr>
        <w:t>和耐久性要求</w:t>
      </w:r>
      <w:r>
        <w:rPr>
          <w:rFonts w:ascii="Times New Roman" w:hAnsi="Times New Roman" w:eastAsia="宋体" w:cs="Times New Roman"/>
          <w:spacing w:val="0"/>
          <w:sz w:val="21"/>
          <w:szCs w:val="21"/>
        </w:rPr>
        <w:t>；</w:t>
      </w:r>
    </w:p>
    <w:p>
      <w:pPr>
        <w:pStyle w:val="105"/>
        <w:numPr>
          <w:ilvl w:val="0"/>
          <w:numId w:val="28"/>
        </w:numPr>
        <w:spacing w:before="120" w:beforeLines="50" w:after="120" w:afterLines="50"/>
        <w:jc w:val="both"/>
        <w:rPr>
          <w:rFonts w:ascii="Times New Roman" w:hAnsi="Times New Roman" w:eastAsia="宋体" w:cs="Times New Roman"/>
        </w:rPr>
      </w:pPr>
      <w:r>
        <w:rPr>
          <w:rStyle w:val="117"/>
          <w:rFonts w:ascii="Times New Roman" w:hAnsi="Times New Roman" w:eastAsia="宋体" w:cs="Times New Roman"/>
          <w:spacing w:val="0"/>
          <w:sz w:val="21"/>
          <w:szCs w:val="21"/>
        </w:rPr>
        <w:t>围护</w:t>
      </w:r>
      <w:r>
        <w:rPr>
          <w:rFonts w:ascii="Times New Roman" w:hAnsi="Times New Roman" w:eastAsia="宋体" w:cs="Times New Roman"/>
          <w:spacing w:val="0"/>
          <w:sz w:val="21"/>
          <w:szCs w:val="21"/>
        </w:rPr>
        <w:t>构构件与主体结构的连接应满足安全性和使用性要求；</w:t>
      </w:r>
    </w:p>
    <w:p>
      <w:pPr>
        <w:pStyle w:val="105"/>
        <w:numPr>
          <w:ilvl w:val="0"/>
          <w:numId w:val="28"/>
        </w:numPr>
        <w:spacing w:before="120" w:beforeLines="50" w:after="120" w:afterLines="50" w:line="300" w:lineRule="exact"/>
        <w:jc w:val="both"/>
        <w:rPr>
          <w:rFonts w:ascii="Times New Roman" w:hAnsi="Times New Roman" w:eastAsia="宋体" w:cs="Times New Roman"/>
        </w:rPr>
      </w:pPr>
      <w:r>
        <w:rPr>
          <w:rStyle w:val="117"/>
          <w:rFonts w:ascii="Times New Roman" w:hAnsi="Times New Roman" w:eastAsia="宋体" w:cs="Times New Roman"/>
          <w:spacing w:val="0"/>
          <w:sz w:val="21"/>
          <w:szCs w:val="21"/>
        </w:rPr>
        <w:t>围护</w:t>
      </w:r>
      <w:r>
        <w:rPr>
          <w:rFonts w:ascii="Times New Roman" w:hAnsi="Times New Roman" w:eastAsia="宋体" w:cs="Times New Roman"/>
          <w:spacing w:val="0"/>
          <w:sz w:val="21"/>
          <w:szCs w:val="21"/>
        </w:rPr>
        <w:t>构构件及连接节点设计时，相应的结构构件重要系数</w:t>
      </w:r>
      <w:r>
        <w:rPr>
          <w:rFonts w:ascii="Times New Roman" w:hAnsi="Times New Roman" w:cs="Times New Roman"/>
          <w:position w:val="-12"/>
        </w:rPr>
        <w:object>
          <v:shape id="_x0000_i1076" o:spt="75" type="#_x0000_t75" style="height:21.5pt;width:14.5pt;" o:ole="t" filled="f" o:preferrelative="t" stroked="f" coordsize="21600,21600">
            <v:path/>
            <v:fill on="f" focussize="0,0"/>
            <v:stroke on="f" joinstyle="miter"/>
            <v:imagedata r:id="rId155" o:title=""/>
            <o:lock v:ext="edit" aspectratio="t"/>
            <w10:wrap type="none"/>
            <w10:anchorlock/>
          </v:shape>
          <o:OLEObject Type="Embed" ProgID="Equation.DSMT4" ShapeID="_x0000_i1076" DrawAspect="Content" ObjectID="_1468075776" r:id="rId154">
            <o:LockedField>false</o:LockedField>
          </o:OLEObject>
        </w:object>
      </w:r>
      <w:r>
        <w:rPr>
          <w:rFonts w:ascii="Times New Roman" w:hAnsi="Times New Roman" w:eastAsia="宋体" w:cs="Times New Roman"/>
          <w:spacing w:val="0"/>
          <w:sz w:val="21"/>
          <w:szCs w:val="21"/>
        </w:rPr>
        <w:t>应取不小于1.0，结构构件承载力抗震调整系数</w:t>
      </w:r>
      <w:r>
        <w:rPr>
          <w:rFonts w:ascii="Times New Roman" w:hAnsi="Times New Roman" w:cs="Times New Roman"/>
          <w:position w:val="-12"/>
          <w:sz w:val="21"/>
        </w:rPr>
        <w:object>
          <v:shape id="_x0000_i1077" o:spt="75" type="#_x0000_t75" style="height:21.5pt;width:21.5pt;" o:ole="t" filled="f" o:preferrelative="t" stroked="f" coordsize="21600,21600">
            <v:path/>
            <v:fill on="f" focussize="0,0"/>
            <v:stroke on="f" joinstyle="miter"/>
            <v:imagedata r:id="rId157" o:title=""/>
            <o:lock v:ext="edit" aspectratio="t"/>
            <w10:wrap type="none"/>
            <w10:anchorlock/>
          </v:shape>
          <o:OLEObject Type="Embed" ProgID="Equation.DSMT4" ShapeID="_x0000_i1077" DrawAspect="Content" ObjectID="_1468075777" r:id="rId156">
            <o:LockedField>false</o:LockedField>
          </o:OLEObject>
        </w:object>
      </w:r>
      <w:r>
        <w:rPr>
          <w:rFonts w:ascii="Times New Roman" w:hAnsi="Times New Roman" w:eastAsia="宋体" w:cs="Times New Roman"/>
          <w:spacing w:val="0"/>
          <w:sz w:val="21"/>
          <w:szCs w:val="21"/>
        </w:rPr>
        <w:t>应取1.0。</w:t>
      </w:r>
    </w:p>
    <w:p>
      <w:pPr>
        <w:pStyle w:val="105"/>
        <w:numPr>
          <w:ilvl w:val="0"/>
          <w:numId w:val="28"/>
        </w:numPr>
        <w:spacing w:before="120" w:beforeLines="50" w:after="120" w:afterLines="50"/>
        <w:jc w:val="both"/>
        <w:rPr>
          <w:rFonts w:ascii="Times New Roman" w:hAnsi="Times New Roman" w:eastAsia="宋体" w:cs="Times New Roman"/>
        </w:rPr>
      </w:pPr>
      <w:r>
        <w:rPr>
          <w:rStyle w:val="117"/>
          <w:rFonts w:ascii="Times New Roman" w:hAnsi="Times New Roman" w:eastAsia="宋体" w:cs="Times New Roman"/>
          <w:spacing w:val="0"/>
          <w:sz w:val="21"/>
          <w:szCs w:val="21"/>
        </w:rPr>
        <w:t>围护</w:t>
      </w:r>
      <w:r>
        <w:rPr>
          <w:rFonts w:ascii="Times New Roman" w:hAnsi="Times New Roman" w:eastAsia="宋体" w:cs="Times New Roman"/>
          <w:spacing w:val="0"/>
          <w:sz w:val="21"/>
          <w:szCs w:val="21"/>
        </w:rPr>
        <w:t>构构件应满足地震作用下的相对位移要求。</w:t>
      </w:r>
    </w:p>
    <w:p>
      <w:pPr>
        <w:pStyle w:val="105"/>
        <w:numPr>
          <w:ilvl w:val="0"/>
          <w:numId w:val="28"/>
        </w:numPr>
        <w:spacing w:before="120" w:beforeLines="50" w:after="120" w:afterLines="50"/>
        <w:jc w:val="both"/>
        <w:rPr>
          <w:rStyle w:val="118"/>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装配整体式混凝土框架及框架-剪力墙结构使用的墙板宜优先采用工厂化生产、装配化施工的部品。应合理确定围护系统设计使用年限且应与主体结构相协调。</w:t>
      </w:r>
    </w:p>
    <w:p>
      <w:pPr>
        <w:pStyle w:val="105"/>
        <w:numPr>
          <w:ilvl w:val="0"/>
          <w:numId w:val="28"/>
        </w:numPr>
        <w:spacing w:before="120" w:beforeLines="50" w:after="120" w:afterLines="50"/>
        <w:jc w:val="both"/>
        <w:rPr>
          <w:rFonts w:ascii="Times New Roman" w:hAnsi="Times New Roman" w:eastAsia="宋体" w:cs="Times New Roman"/>
        </w:rPr>
      </w:pPr>
      <w:r>
        <w:rPr>
          <w:rStyle w:val="118"/>
          <w:rFonts w:ascii="Times New Roman" w:hAnsi="Times New Roman" w:eastAsia="宋体" w:cs="Times New Roman"/>
          <w:spacing w:val="0"/>
          <w:sz w:val="21"/>
          <w:szCs w:val="21"/>
        </w:rPr>
        <w:t>围护墙板的设计应符合模数化、标准化的要求，并满足制作工艺、运输及施工安装的条件。</w:t>
      </w:r>
    </w:p>
    <w:p>
      <w:pPr>
        <w:pStyle w:val="210"/>
        <w:spacing w:before="240" w:after="240"/>
        <w:outlineLvl w:val="2"/>
        <w:rPr>
          <w:rFonts w:ascii="黑体" w:hAnsi="黑体" w:eastAsia="黑体"/>
          <w:b w:val="0"/>
          <w:sz w:val="21"/>
          <w:szCs w:val="21"/>
        </w:rPr>
      </w:pPr>
      <w:bookmarkStart w:id="176" w:name="_Toc172187844"/>
      <w:bookmarkStart w:id="177" w:name="_Toc18430"/>
      <w:bookmarkStart w:id="178" w:name="_Toc172188629"/>
      <w:bookmarkStart w:id="179" w:name="_Toc172188905"/>
      <w:r>
        <w:rPr>
          <w:rFonts w:ascii="黑体" w:hAnsi="黑体" w:eastAsia="黑体"/>
          <w:b w:val="0"/>
          <w:sz w:val="21"/>
          <w:szCs w:val="21"/>
        </w:rPr>
        <w:t>10.2 外墙板及连接设计</w:t>
      </w:r>
      <w:bookmarkEnd w:id="176"/>
      <w:bookmarkEnd w:id="177"/>
      <w:bookmarkEnd w:id="178"/>
      <w:bookmarkEnd w:id="179"/>
    </w:p>
    <w:p>
      <w:pPr>
        <w:pStyle w:val="105"/>
        <w:numPr>
          <w:ilvl w:val="0"/>
          <w:numId w:val="29"/>
        </w:numPr>
        <w:spacing w:before="120" w:beforeLines="50" w:after="120" w:afterLines="50"/>
        <w:jc w:val="both"/>
        <w:rPr>
          <w:rStyle w:val="117"/>
          <w:rFonts w:ascii="Times New Roman" w:hAnsi="Times New Roman" w:eastAsia="宋体" w:cs="Times New Roman"/>
          <w:spacing w:val="0"/>
          <w:sz w:val="21"/>
          <w:szCs w:val="21"/>
        </w:rPr>
      </w:pPr>
      <w:r>
        <w:rPr>
          <w:rStyle w:val="117"/>
          <w:rFonts w:ascii="Times New Roman" w:hAnsi="Times New Roman" w:eastAsia="宋体" w:cs="Times New Roman"/>
          <w:spacing w:val="0"/>
          <w:sz w:val="21"/>
          <w:szCs w:val="21"/>
        </w:rPr>
        <w:t>外墙板设计时，水平荷载可不考虑水平地震作用与风荷载作用的组合；地震作用的分项系数取1.3。</w:t>
      </w:r>
    </w:p>
    <w:p>
      <w:pPr>
        <w:pStyle w:val="105"/>
        <w:numPr>
          <w:ilvl w:val="0"/>
          <w:numId w:val="29"/>
        </w:numPr>
        <w:spacing w:before="120" w:beforeLines="50" w:after="120" w:afterLines="50"/>
        <w:jc w:val="both"/>
        <w:rPr>
          <w:rStyle w:val="117"/>
          <w:rFonts w:ascii="Times New Roman" w:hAnsi="Times New Roman" w:eastAsia="宋体" w:cs="Times New Roman"/>
          <w:spacing w:val="0"/>
          <w:sz w:val="21"/>
          <w:szCs w:val="21"/>
        </w:rPr>
      </w:pPr>
      <w:r>
        <w:rPr>
          <w:rStyle w:val="117"/>
          <w:rFonts w:ascii="Times New Roman" w:hAnsi="Times New Roman" w:eastAsia="宋体" w:cs="Times New Roman"/>
          <w:spacing w:val="0"/>
          <w:sz w:val="21"/>
          <w:szCs w:val="21"/>
        </w:rPr>
        <w:t>外墙板的地震作用可采用等效侧力法计算；地震力应施加于外墙挂板的重心，水平地震力应沿任一水平方向。</w:t>
      </w:r>
    </w:p>
    <w:p>
      <w:pPr>
        <w:pStyle w:val="105"/>
        <w:numPr>
          <w:ilvl w:val="0"/>
          <w:numId w:val="29"/>
        </w:numPr>
        <w:spacing w:before="120" w:beforeLines="50" w:after="120" w:afterLines="50"/>
        <w:jc w:val="both"/>
        <w:rPr>
          <w:rStyle w:val="117"/>
          <w:rFonts w:ascii="Times New Roman" w:hAnsi="Times New Roman" w:eastAsia="宋体" w:cs="Times New Roman"/>
          <w:spacing w:val="0"/>
          <w:sz w:val="21"/>
          <w:szCs w:val="21"/>
        </w:rPr>
      </w:pPr>
      <w:r>
        <w:rPr>
          <w:rStyle w:val="117"/>
          <w:rFonts w:ascii="Times New Roman" w:hAnsi="Times New Roman" w:eastAsia="宋体" w:cs="Times New Roman"/>
          <w:spacing w:val="0"/>
          <w:sz w:val="21"/>
          <w:szCs w:val="21"/>
        </w:rPr>
        <w:t>当采用等效侧力法时，外墙挂板自重产生的地震作用应符合</w:t>
      </w:r>
      <w:r>
        <w:rPr>
          <w:rStyle w:val="117"/>
          <w:rFonts w:hint="eastAsia" w:ascii="Times New Roman" w:hAnsi="Times New Roman" w:eastAsia="宋体" w:cs="Times New Roman"/>
          <w:spacing w:val="0"/>
          <w:sz w:val="21"/>
          <w:szCs w:val="21"/>
        </w:rPr>
        <w:t>公式（8）</w:t>
      </w:r>
      <w:r>
        <w:rPr>
          <w:rStyle w:val="117"/>
          <w:rFonts w:ascii="Times New Roman" w:hAnsi="Times New Roman" w:eastAsia="宋体" w:cs="Times New Roman"/>
          <w:spacing w:val="0"/>
          <w:sz w:val="21"/>
          <w:szCs w:val="21"/>
        </w:rPr>
        <w:t>规定：</w:t>
      </w:r>
    </w:p>
    <w:p>
      <w:pPr>
        <w:pStyle w:val="105"/>
        <w:spacing w:before="120" w:beforeLines="50" w:after="120" w:afterLines="50"/>
        <w:jc w:val="right"/>
        <w:rPr>
          <w:rStyle w:val="117"/>
          <w:rFonts w:ascii="Times New Roman" w:hAnsi="Times New Roman" w:eastAsia="宋体" w:cs="Times New Roman"/>
          <w:spacing w:val="0"/>
          <w:sz w:val="21"/>
          <w:szCs w:val="21"/>
        </w:rPr>
      </w:pPr>
      <w:r>
        <w:rPr>
          <w:rFonts w:ascii="Times New Roman" w:hAnsi="Times New Roman" w:cs="Times New Roman"/>
          <w:position w:val="-12"/>
        </w:rPr>
        <w:object>
          <v:shape id="_x0000_i1078" o:spt="75" type="#_x0000_t75" style="height:21.5pt;width:72pt;" o:ole="t" filled="f" o:preferrelative="t" stroked="f" coordsize="21600,21600">
            <v:path/>
            <v:fill on="f" focussize="0,0"/>
            <v:stroke on="f" joinstyle="miter"/>
            <v:imagedata r:id="rId159" o:title=""/>
            <o:lock v:ext="edit" aspectratio="t"/>
            <w10:wrap type="none"/>
            <w10:anchorlock/>
          </v:shape>
          <o:OLEObject Type="Embed" ProgID="Equation.DSMT4" ShapeID="_x0000_i1078" DrawAspect="Content" ObjectID="_1468075778" r:id="rId158">
            <o:LockedField>false</o:LockedField>
          </o:OLEObject>
        </w:object>
      </w:r>
      <w:r>
        <w:rPr>
          <w:rFonts w:ascii="Times New Roman" w:hAnsi="Times New Roman" w:cs="Times New Roman" w:eastAsiaTheme="minorEastAsia"/>
        </w:rPr>
        <w:tab/>
      </w:r>
      <w:r>
        <w:rPr>
          <w:rFonts w:ascii="Times New Roman" w:hAnsi="Times New Roman" w:cs="Times New Roman" w:eastAsiaTheme="minorEastAsia"/>
        </w:rPr>
        <w:tab/>
      </w:r>
      <w:r>
        <w:rPr>
          <w:rFonts w:ascii="Times New Roman" w:hAnsi="Times New Roman" w:cs="Times New Roman" w:eastAsiaTheme="minorEastAsia"/>
        </w:rPr>
        <w:tab/>
      </w:r>
      <w:r>
        <w:rPr>
          <w:rFonts w:ascii="Times New Roman" w:hAnsi="Times New Roman" w:cs="Times New Roman" w:eastAsiaTheme="minorEastAsia"/>
        </w:rPr>
        <w:tab/>
      </w:r>
      <w:r>
        <w:rPr>
          <w:rStyle w:val="117"/>
          <w:rFonts w:ascii="Times New Roman" w:hAnsi="Times New Roman" w:eastAsia="宋体" w:cs="Times New Roman"/>
          <w:spacing w:val="0"/>
          <w:sz w:val="21"/>
          <w:szCs w:val="21"/>
        </w:rPr>
        <w:t xml:space="preserve">                   （8）</w:t>
      </w:r>
    </w:p>
    <w:p>
      <w:pPr>
        <w:pStyle w:val="105"/>
        <w:spacing w:line="240" w:lineRule="auto"/>
        <w:ind w:firstLine="420" w:firstLineChars="200"/>
        <w:jc w:val="both"/>
        <w:rPr>
          <w:rStyle w:val="117"/>
          <w:rFonts w:ascii="Times New Roman" w:hAnsi="Times New Roman" w:eastAsia="宋体" w:cs="Times New Roman"/>
          <w:spacing w:val="0"/>
          <w:sz w:val="21"/>
          <w:szCs w:val="21"/>
        </w:rPr>
      </w:pPr>
      <w:r>
        <w:rPr>
          <w:rStyle w:val="117"/>
          <w:rFonts w:ascii="Times New Roman" w:hAnsi="Times New Roman" w:eastAsia="宋体" w:cs="Times New Roman"/>
          <w:spacing w:val="0"/>
          <w:sz w:val="21"/>
          <w:szCs w:val="21"/>
        </w:rPr>
        <w:t>式中：</w:t>
      </w:r>
    </w:p>
    <w:p>
      <w:pPr>
        <w:pStyle w:val="105"/>
        <w:spacing w:line="240" w:lineRule="auto"/>
        <w:ind w:firstLine="453" w:firstLineChars="220"/>
        <w:jc w:val="both"/>
        <w:rPr>
          <w:rStyle w:val="117"/>
          <w:rFonts w:ascii="Times New Roman" w:hAnsi="Times New Roman" w:eastAsia="宋体" w:cs="Times New Roman"/>
          <w:spacing w:val="0"/>
          <w:sz w:val="21"/>
          <w:szCs w:val="21"/>
        </w:rPr>
      </w:pPr>
      <w:r>
        <w:rPr>
          <w:rFonts w:ascii="Times New Roman" w:hAnsi="Times New Roman" w:eastAsia="宋体" w:cs="Times New Roman"/>
          <w:position w:val="-12"/>
        </w:rPr>
        <w:object>
          <v:shape id="_x0000_i1079" o:spt="75" type="#_x0000_t75" style="height:14.5pt;width:14.5pt;" o:ole="t" filled="f" o:preferrelative="t" stroked="f" coordsize="21600,21600">
            <v:path/>
            <v:fill on="f" focussize="0,0"/>
            <v:stroke on="f" joinstyle="miter"/>
            <v:imagedata r:id="rId161" o:title=""/>
            <o:lock v:ext="edit" aspectratio="t"/>
            <w10:wrap type="none"/>
            <w10:anchorlock/>
          </v:shape>
          <o:OLEObject Type="Embed" ProgID="Equation.DSMT4" ShapeID="_x0000_i1079" DrawAspect="Content" ObjectID="_1468075779" r:id="rId160">
            <o:LockedField>false</o:LockedField>
          </o:OLEObject>
        </w:object>
      </w:r>
      <w:r>
        <w:rPr>
          <w:rStyle w:val="117"/>
          <w:rFonts w:ascii="Times New Roman" w:hAnsi="Times New Roman" w:eastAsia="宋体" w:cs="Times New Roman"/>
          <w:spacing w:val="0"/>
          <w:sz w:val="21"/>
          <w:szCs w:val="21"/>
        </w:rPr>
        <w:t>——施加于外墙挂板的重心上的地震作用力标准值；</w:t>
      </w:r>
    </w:p>
    <w:p>
      <w:pPr>
        <w:pStyle w:val="105"/>
        <w:spacing w:line="240" w:lineRule="auto"/>
        <w:ind w:firstLine="453" w:firstLineChars="220"/>
        <w:jc w:val="both"/>
        <w:rPr>
          <w:rStyle w:val="117"/>
          <w:rFonts w:ascii="Times New Roman" w:hAnsi="Times New Roman" w:eastAsia="宋体" w:cs="Times New Roman"/>
          <w:spacing w:val="0"/>
          <w:sz w:val="21"/>
          <w:szCs w:val="21"/>
        </w:rPr>
      </w:pPr>
      <w:r>
        <w:rPr>
          <w:rFonts w:ascii="Times New Roman" w:hAnsi="Times New Roman" w:eastAsia="宋体" w:cs="Times New Roman"/>
          <w:position w:val="-12"/>
        </w:rPr>
        <w:object>
          <v:shape id="_x0000_i1080" o:spt="75" type="#_x0000_t75" style="height:14.5pt;width:7pt;" o:ole="t" filled="f" o:preferrelative="t" stroked="f" coordsize="21600,21600">
            <v:path/>
            <v:fill on="f" focussize="0,0"/>
            <v:stroke on="f" joinstyle="miter"/>
            <v:imagedata r:id="rId163" o:title=""/>
            <o:lock v:ext="edit" aspectratio="t"/>
            <w10:wrap type="none"/>
            <w10:anchorlock/>
          </v:shape>
          <o:OLEObject Type="Embed" ProgID="Equation.DSMT4" ShapeID="_x0000_i1080" DrawAspect="Content" ObjectID="_1468075780" r:id="rId162">
            <o:LockedField>false</o:LockedField>
          </o:OLEObject>
        </w:object>
      </w:r>
      <w:r>
        <w:rPr>
          <w:rFonts w:ascii="Times New Roman" w:hAnsi="Times New Roman" w:eastAsia="宋体" w:cs="Times New Roman"/>
        </w:rPr>
        <w:t xml:space="preserve"> </w:t>
      </w:r>
      <w:r>
        <w:rPr>
          <w:rStyle w:val="117"/>
          <w:rFonts w:ascii="Times New Roman" w:hAnsi="Times New Roman" w:eastAsia="宋体" w:cs="Times New Roman"/>
          <w:spacing w:val="0"/>
          <w:sz w:val="21"/>
          <w:szCs w:val="21"/>
        </w:rPr>
        <w:t>——动力放大系数，可取5.0；</w:t>
      </w:r>
    </w:p>
    <w:p>
      <w:pPr>
        <w:pStyle w:val="105"/>
        <w:spacing w:line="240" w:lineRule="auto"/>
        <w:ind w:firstLine="453" w:firstLineChars="220"/>
        <w:jc w:val="both"/>
        <w:rPr>
          <w:rStyle w:val="117"/>
          <w:rFonts w:ascii="Times New Roman" w:hAnsi="Times New Roman" w:eastAsia="宋体" w:cs="Times New Roman"/>
          <w:spacing w:val="0"/>
          <w:sz w:val="21"/>
          <w:szCs w:val="21"/>
        </w:rPr>
      </w:pPr>
      <w:r>
        <w:rPr>
          <w:rFonts w:ascii="Times New Roman" w:hAnsi="Times New Roman" w:eastAsia="宋体" w:cs="Times New Roman"/>
          <w:position w:val="-12"/>
        </w:rPr>
        <w:object>
          <v:shape id="_x0000_i1081" o:spt="75" type="#_x0000_t75" style="height:18pt;width:18pt;" o:ole="t" filled="f" o:preferrelative="t" stroked="f" coordsize="21600,21600">
            <v:path/>
            <v:fill on="f" focussize="0,0"/>
            <v:stroke on="f" joinstyle="miter"/>
            <v:imagedata r:id="rId165" o:title=""/>
            <o:lock v:ext="edit" aspectratio="t"/>
            <w10:wrap type="none"/>
            <w10:anchorlock/>
          </v:shape>
          <o:OLEObject Type="Embed" ProgID="Equation.DSMT4" ShapeID="_x0000_i1081" DrawAspect="Content" ObjectID="_1468075781" r:id="rId164">
            <o:LockedField>false</o:LockedField>
          </o:OLEObject>
        </w:object>
      </w:r>
      <w:r>
        <w:rPr>
          <w:rStyle w:val="117"/>
          <w:rFonts w:ascii="Times New Roman" w:hAnsi="Times New Roman" w:eastAsia="宋体" w:cs="Times New Roman"/>
          <w:spacing w:val="0"/>
          <w:sz w:val="21"/>
          <w:szCs w:val="21"/>
        </w:rPr>
        <w:t>——水平地震影响系数最大值，</w:t>
      </w:r>
      <w:r>
        <w:rPr>
          <w:rStyle w:val="117"/>
          <w:rFonts w:hint="eastAsia" w:ascii="Times New Roman" w:hAnsi="Times New Roman" w:eastAsia="宋体" w:cs="Times New Roman"/>
          <w:spacing w:val="0"/>
          <w:sz w:val="21"/>
          <w:szCs w:val="21"/>
        </w:rPr>
        <w:t>取0</w:t>
      </w:r>
      <w:r>
        <w:rPr>
          <w:rStyle w:val="117"/>
          <w:rFonts w:ascii="Times New Roman" w:hAnsi="Times New Roman" w:eastAsia="宋体" w:cs="Times New Roman"/>
          <w:spacing w:val="0"/>
          <w:sz w:val="21"/>
          <w:szCs w:val="21"/>
        </w:rPr>
        <w:t>.08</w:t>
      </w:r>
      <w:r>
        <w:rPr>
          <w:rStyle w:val="117"/>
          <w:rFonts w:hint="eastAsia" w:ascii="Times New Roman" w:hAnsi="Times New Roman" w:eastAsia="宋体" w:cs="Times New Roman"/>
          <w:spacing w:val="0"/>
          <w:sz w:val="21"/>
          <w:szCs w:val="21"/>
        </w:rPr>
        <w:t>（0</w:t>
      </w:r>
      <w:r>
        <w:rPr>
          <w:rStyle w:val="117"/>
          <w:rFonts w:ascii="Times New Roman" w:hAnsi="Times New Roman" w:eastAsia="宋体" w:cs="Times New Roman"/>
          <w:spacing w:val="0"/>
          <w:sz w:val="21"/>
          <w:szCs w:val="21"/>
        </w:rPr>
        <w:t>.12</w:t>
      </w:r>
      <w:r>
        <w:rPr>
          <w:rStyle w:val="117"/>
          <w:rFonts w:hint="eastAsia" w:ascii="Times New Roman" w:hAnsi="Times New Roman" w:eastAsia="宋体" w:cs="Times New Roman"/>
          <w:spacing w:val="0"/>
          <w:sz w:val="21"/>
          <w:szCs w:val="21"/>
        </w:rPr>
        <w:t>）</w:t>
      </w:r>
      <w:r>
        <w:rPr>
          <w:rStyle w:val="117"/>
          <w:rFonts w:ascii="Times New Roman" w:hAnsi="Times New Roman" w:eastAsia="宋体" w:cs="Times New Roman"/>
          <w:spacing w:val="0"/>
          <w:sz w:val="21"/>
          <w:szCs w:val="21"/>
        </w:rPr>
        <w:t>；</w:t>
      </w:r>
    </w:p>
    <w:p>
      <w:pPr>
        <w:pStyle w:val="105"/>
        <w:spacing w:line="240" w:lineRule="auto"/>
        <w:ind w:firstLine="453" w:firstLineChars="220"/>
        <w:jc w:val="both"/>
        <w:rPr>
          <w:rFonts w:ascii="Times New Roman" w:hAnsi="Times New Roman" w:eastAsia="宋体" w:cs="Times New Roman"/>
        </w:rPr>
      </w:pPr>
      <w:r>
        <w:rPr>
          <w:rFonts w:ascii="Times New Roman" w:hAnsi="Times New Roman" w:eastAsia="宋体" w:cs="Times New Roman"/>
          <w:position w:val="-12"/>
        </w:rPr>
        <w:object>
          <v:shape id="_x0000_i1082" o:spt="75" type="#_x0000_t75" style="height:14.5pt;width:14.5pt;" o:ole="t" filled="f" o:preferrelative="t" stroked="f" coordsize="21600,21600">
            <v:path/>
            <v:fill on="f" focussize="0,0"/>
            <v:stroke on="f" joinstyle="miter"/>
            <v:imagedata r:id="rId167" o:title=""/>
            <o:lock v:ext="edit" aspectratio="t"/>
            <w10:wrap type="none"/>
            <w10:anchorlock/>
          </v:shape>
          <o:OLEObject Type="Embed" ProgID="Equation.DSMT4" ShapeID="_x0000_i1082" DrawAspect="Content" ObjectID="_1468075782" r:id="rId166">
            <o:LockedField>false</o:LockedField>
          </o:OLEObject>
        </w:object>
      </w:r>
      <w:r>
        <w:rPr>
          <w:rFonts w:hint="eastAsia" w:ascii="Times New Roman" w:hAnsi="Times New Roman" w:eastAsia="宋体" w:cs="Times New Roman"/>
        </w:rPr>
        <w:t xml:space="preserve"> </w:t>
      </w:r>
      <w:r>
        <w:rPr>
          <w:rFonts w:ascii="Times New Roman" w:hAnsi="Times New Roman" w:eastAsia="宋体" w:cs="Times New Roman"/>
        </w:rPr>
        <w:t>——外墙挂板的重力荷载标准值；</w:t>
      </w:r>
    </w:p>
    <w:p>
      <w:pPr>
        <w:pStyle w:val="105"/>
        <w:numPr>
          <w:ilvl w:val="0"/>
          <w:numId w:val="29"/>
        </w:numPr>
        <w:spacing w:before="120" w:beforeLines="50" w:after="120" w:afterLines="50"/>
        <w:jc w:val="both"/>
        <w:rPr>
          <w:rStyle w:val="117"/>
          <w:rFonts w:ascii="宋体" w:hAnsi="宋体" w:eastAsia="宋体" w:cs="Times New Roman"/>
          <w:spacing w:val="0"/>
          <w:sz w:val="21"/>
          <w:szCs w:val="21"/>
        </w:rPr>
      </w:pPr>
      <w:r>
        <w:rPr>
          <w:rStyle w:val="117"/>
          <w:rFonts w:ascii="Times New Roman" w:hAnsi="Times New Roman" w:eastAsia="宋体" w:cs="Times New Roman"/>
          <w:spacing w:val="0"/>
          <w:sz w:val="21"/>
          <w:szCs w:val="21"/>
        </w:rPr>
        <w:t>外墙板与主体结构的连接可采用上端悬挂下端铰支、两对边简支或下端固接等方式。</w:t>
      </w:r>
    </w:p>
    <w:p>
      <w:pPr>
        <w:pStyle w:val="105"/>
        <w:numPr>
          <w:ilvl w:val="0"/>
          <w:numId w:val="29"/>
        </w:numPr>
        <w:spacing w:before="120" w:beforeLines="50" w:after="120" w:afterLines="50"/>
        <w:jc w:val="both"/>
        <w:rPr>
          <w:rStyle w:val="117"/>
          <w:rFonts w:ascii="Times New Roman" w:hAnsi="Times New Roman" w:cs="Times New Roman" w:eastAsiaTheme="minorEastAsia"/>
          <w:spacing w:val="0"/>
          <w:sz w:val="21"/>
          <w:szCs w:val="21"/>
        </w:rPr>
      </w:pPr>
      <w:r>
        <w:rPr>
          <w:rStyle w:val="117"/>
          <w:rFonts w:ascii="Times New Roman" w:hAnsi="Times New Roman" w:eastAsia="宋体" w:cs="Times New Roman"/>
          <w:spacing w:val="0"/>
          <w:sz w:val="21"/>
          <w:szCs w:val="21"/>
        </w:rPr>
        <w:t>外墙板的厚度不宜小于100mm；宜采用双层、双向配筋；竖向和水平钢筋的配筋率均不宜小于0.1%；且钢筋直径不宜小于6mm，间距不宜大于300mm。</w:t>
      </w:r>
    </w:p>
    <w:p>
      <w:pPr>
        <w:pStyle w:val="51"/>
        <w:numPr>
          <w:ilvl w:val="0"/>
          <w:numId w:val="29"/>
        </w:numPr>
        <w:shd w:val="clear" w:color="auto" w:fill="auto"/>
        <w:spacing w:before="120" w:beforeLines="50" w:after="120" w:afterLines="50" w:line="240" w:lineRule="auto"/>
        <w:jc w:val="both"/>
        <w:rPr>
          <w:rStyle w:val="118"/>
          <w:rFonts w:ascii="Times New Roman" w:hAnsi="Times New Roman" w:eastAsia="宋体" w:cs="Times New Roman"/>
          <w:spacing w:val="0"/>
          <w:sz w:val="21"/>
          <w:szCs w:val="21"/>
        </w:rPr>
      </w:pPr>
      <w:r>
        <w:rPr>
          <w:rStyle w:val="117"/>
          <w:rFonts w:ascii="Times New Roman" w:hAnsi="Times New Roman" w:eastAsia="宋体" w:cs="Times New Roman"/>
          <w:spacing w:val="0"/>
          <w:sz w:val="21"/>
          <w:szCs w:val="21"/>
        </w:rPr>
        <w:t>外</w:t>
      </w:r>
      <w:r>
        <w:rPr>
          <w:rStyle w:val="118"/>
          <w:rFonts w:ascii="Times New Roman" w:hAnsi="Times New Roman" w:eastAsia="宋体" w:cs="Times New Roman"/>
          <w:spacing w:val="0"/>
          <w:sz w:val="21"/>
          <w:szCs w:val="21"/>
        </w:rPr>
        <w:t>墙板与主体结构的连接应符合下列规定：</w:t>
      </w:r>
    </w:p>
    <w:p>
      <w:pPr>
        <w:pStyle w:val="51"/>
        <w:shd w:val="clear" w:color="auto" w:fill="auto"/>
        <w:spacing w:before="0" w:after="0" w:line="240" w:lineRule="auto"/>
        <w:ind w:right="23" w:firstLine="420"/>
        <w:jc w:val="both"/>
        <w:rPr>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Style w:val="118"/>
          <w:rFonts w:ascii="Times New Roman" w:hAnsi="Times New Roman" w:eastAsia="宋体" w:cs="Times New Roman"/>
          <w:spacing w:val="0"/>
          <w:sz w:val="21"/>
          <w:szCs w:val="21"/>
        </w:rPr>
        <w:t>连接节点在保证主体结构整体受力的前提下，应牢固可靠、受力明确、传力途径简捷、构造合理；</w:t>
      </w:r>
    </w:p>
    <w:p>
      <w:pPr>
        <w:pStyle w:val="51"/>
        <w:shd w:val="clear" w:color="auto" w:fill="auto"/>
        <w:spacing w:before="0" w:after="0" w:line="240" w:lineRule="auto"/>
        <w:ind w:right="20" w:firstLine="420"/>
        <w:jc w:val="both"/>
        <w:rPr>
          <w:rStyle w:val="118"/>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Style w:val="118"/>
          <w:rFonts w:ascii="Times New Roman" w:hAnsi="Times New Roman" w:eastAsia="宋体" w:cs="Times New Roman"/>
          <w:spacing w:val="0"/>
          <w:sz w:val="21"/>
          <w:szCs w:val="21"/>
        </w:rPr>
        <w:t>连接节点应具有足够的承载力。承载能力极限状态下，连接节点不应发生破坏；对于外墙板，当单个连接节点失效时，外墙板不应掉落；</w:t>
      </w:r>
    </w:p>
    <w:p>
      <w:pPr>
        <w:pStyle w:val="51"/>
        <w:shd w:val="clear" w:color="auto" w:fill="auto"/>
        <w:spacing w:before="0" w:after="0" w:line="240" w:lineRule="auto"/>
        <w:ind w:right="20" w:firstLine="420"/>
        <w:jc w:val="both"/>
        <w:rPr>
          <w:rStyle w:val="118"/>
          <w:rFonts w:ascii="Times New Roman" w:hAnsi="Times New Roman" w:eastAsia="宋体" w:cs="Times New Roman"/>
          <w:spacing w:val="0"/>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Style w:val="118"/>
          <w:rFonts w:ascii="Times New Roman" w:hAnsi="Times New Roman" w:eastAsia="宋体" w:cs="Times New Roman"/>
          <w:spacing w:val="0"/>
          <w:sz w:val="21"/>
          <w:szCs w:val="21"/>
        </w:rPr>
        <w:t>连接件与主体结构的锚固承载力设计值应大于连接件自身的承载力设计值；</w:t>
      </w:r>
    </w:p>
    <w:p>
      <w:pPr>
        <w:pStyle w:val="51"/>
        <w:shd w:val="clear" w:color="auto" w:fill="auto"/>
        <w:spacing w:before="0" w:after="0" w:line="240" w:lineRule="auto"/>
        <w:ind w:right="20" w:firstLine="420"/>
        <w:jc w:val="both"/>
        <w:rPr>
          <w:rStyle w:val="118"/>
          <w:rFonts w:ascii="Times New Roman" w:hAnsi="Times New Roman" w:eastAsia="宋体" w:cs="Times New Roman"/>
          <w:spacing w:val="0"/>
          <w:sz w:val="21"/>
          <w:szCs w:val="21"/>
        </w:rPr>
      </w:pPr>
      <w:r>
        <w:rPr>
          <w:rFonts w:ascii="宋体" w:hAnsi="宋体" w:eastAsia="宋体" w:cs="Times New Roman"/>
          <w:spacing w:val="0"/>
          <w:sz w:val="21"/>
          <w:szCs w:val="21"/>
        </w:rPr>
        <w:t>d</w:t>
      </w:r>
      <w:r>
        <w:rPr>
          <w:rFonts w:hint="eastAsia" w:ascii="宋体" w:hAnsi="宋体" w:eastAsia="宋体" w:cs="Times New Roman"/>
          <w:spacing w:val="0"/>
          <w:sz w:val="21"/>
          <w:szCs w:val="21"/>
        </w:rPr>
        <w:t>）</w:t>
      </w:r>
      <w:r>
        <w:rPr>
          <w:rStyle w:val="118"/>
          <w:rFonts w:ascii="Times New Roman" w:hAnsi="Times New Roman" w:eastAsia="宋体" w:cs="Times New Roman"/>
          <w:spacing w:val="0"/>
          <w:sz w:val="21"/>
          <w:szCs w:val="21"/>
        </w:rPr>
        <w:t>连接件的承载力设计值应大于外墙板传来的最不利作用效应组合设计值的1.3倍。</w:t>
      </w:r>
    </w:p>
    <w:p>
      <w:pPr>
        <w:pStyle w:val="51"/>
        <w:shd w:val="clear" w:color="auto" w:fill="auto"/>
        <w:spacing w:before="0" w:after="0" w:line="240" w:lineRule="auto"/>
        <w:ind w:right="20" w:firstLine="420"/>
        <w:jc w:val="both"/>
        <w:rPr>
          <w:rFonts w:ascii="Times New Roman" w:hAnsi="Times New Roman" w:eastAsia="宋体" w:cs="Times New Roman"/>
          <w:spacing w:val="0"/>
          <w:sz w:val="21"/>
          <w:szCs w:val="21"/>
        </w:rPr>
      </w:pPr>
      <w:r>
        <w:rPr>
          <w:rFonts w:ascii="宋体" w:hAnsi="宋体" w:eastAsia="宋体" w:cs="Times New Roman"/>
          <w:spacing w:val="0"/>
          <w:sz w:val="21"/>
          <w:szCs w:val="21"/>
        </w:rPr>
        <w:t>e</w:t>
      </w:r>
      <w:r>
        <w:rPr>
          <w:rFonts w:hint="eastAsia" w:ascii="宋体" w:hAnsi="宋体" w:eastAsia="宋体" w:cs="Times New Roman"/>
          <w:spacing w:val="0"/>
          <w:sz w:val="21"/>
          <w:szCs w:val="21"/>
        </w:rPr>
        <w:t>）</w:t>
      </w:r>
      <w:r>
        <w:rPr>
          <w:rStyle w:val="118"/>
          <w:rFonts w:ascii="Times New Roman" w:hAnsi="Times New Roman" w:eastAsia="宋体" w:cs="Times New Roman"/>
          <w:spacing w:val="0"/>
          <w:sz w:val="21"/>
          <w:szCs w:val="21"/>
        </w:rPr>
        <w:t>围护墙体与主体结构宜采用柔性连接，连接节点应具有适应主体结构变形的能力；</w:t>
      </w:r>
    </w:p>
    <w:p>
      <w:pPr>
        <w:pStyle w:val="51"/>
        <w:shd w:val="clear" w:color="auto" w:fill="auto"/>
        <w:spacing w:before="0" w:after="0" w:line="240" w:lineRule="auto"/>
        <w:ind w:left="420" w:right="20" w:firstLine="0"/>
        <w:jc w:val="both"/>
        <w:rPr>
          <w:rStyle w:val="118"/>
          <w:rFonts w:ascii="Times New Roman" w:hAnsi="Times New Roman" w:eastAsia="宋体" w:cs="Times New Roman"/>
          <w:spacing w:val="0"/>
          <w:sz w:val="21"/>
          <w:szCs w:val="21"/>
        </w:rPr>
      </w:pPr>
      <w:r>
        <w:rPr>
          <w:rFonts w:ascii="宋体" w:hAnsi="宋体" w:eastAsia="宋体" w:cs="Times New Roman"/>
          <w:spacing w:val="0"/>
          <w:sz w:val="21"/>
          <w:szCs w:val="21"/>
        </w:rPr>
        <w:t>f</w:t>
      </w:r>
      <w:r>
        <w:rPr>
          <w:rFonts w:hint="eastAsia" w:ascii="宋体" w:hAnsi="宋体" w:eastAsia="宋体" w:cs="Times New Roman"/>
          <w:spacing w:val="0"/>
          <w:sz w:val="21"/>
          <w:szCs w:val="21"/>
        </w:rPr>
        <w:t>）</w:t>
      </w:r>
      <w:r>
        <w:rPr>
          <w:rStyle w:val="118"/>
          <w:rFonts w:ascii="Times New Roman" w:hAnsi="Times New Roman" w:eastAsia="宋体" w:cs="Times New Roman"/>
          <w:spacing w:val="0"/>
          <w:sz w:val="21"/>
          <w:szCs w:val="21"/>
        </w:rPr>
        <w:t>连接节点应按照要求采取可靠的防腐、防锈和防火措施；</w:t>
      </w:r>
    </w:p>
    <w:p>
      <w:pPr>
        <w:pStyle w:val="51"/>
        <w:shd w:val="clear" w:color="auto" w:fill="auto"/>
        <w:spacing w:before="0" w:after="0" w:line="240" w:lineRule="auto"/>
        <w:ind w:left="420" w:right="20" w:firstLine="0"/>
        <w:jc w:val="both"/>
        <w:rPr>
          <w:rFonts w:ascii="Times New Roman" w:hAnsi="Times New Roman" w:eastAsia="宋体" w:cs="Times New Roman"/>
          <w:spacing w:val="0"/>
          <w:sz w:val="21"/>
          <w:szCs w:val="21"/>
        </w:rPr>
      </w:pPr>
      <w:r>
        <w:rPr>
          <w:rFonts w:ascii="宋体" w:hAnsi="宋体" w:eastAsia="宋体" w:cs="Times New Roman"/>
          <w:spacing w:val="0"/>
          <w:sz w:val="21"/>
          <w:szCs w:val="21"/>
        </w:rPr>
        <w:t>g</w:t>
      </w:r>
      <w:r>
        <w:rPr>
          <w:rFonts w:hint="eastAsia" w:ascii="宋体" w:hAnsi="宋体" w:eastAsia="宋体" w:cs="Times New Roman"/>
          <w:spacing w:val="0"/>
          <w:sz w:val="21"/>
          <w:szCs w:val="21"/>
        </w:rPr>
        <w:t>）</w:t>
      </w:r>
      <w:r>
        <w:rPr>
          <w:rStyle w:val="118"/>
          <w:rFonts w:ascii="Times New Roman" w:hAnsi="Times New Roman" w:eastAsia="宋体" w:cs="Times New Roman"/>
          <w:spacing w:val="0"/>
          <w:sz w:val="21"/>
          <w:szCs w:val="21"/>
        </w:rPr>
        <w:t>节点设计应便于工厂加工、现场安装就位和调整；</w:t>
      </w:r>
    </w:p>
    <w:p>
      <w:pPr>
        <w:pStyle w:val="51"/>
        <w:shd w:val="clear" w:color="auto" w:fill="auto"/>
        <w:spacing w:before="0" w:after="0" w:line="240" w:lineRule="auto"/>
        <w:ind w:firstLine="420" w:firstLineChars="200"/>
        <w:jc w:val="both"/>
        <w:rPr>
          <w:rFonts w:ascii="Times New Roman" w:hAnsi="Times New Roman" w:eastAsia="宋体" w:cs="Times New Roman"/>
          <w:spacing w:val="0"/>
          <w:sz w:val="21"/>
          <w:szCs w:val="21"/>
        </w:rPr>
      </w:pPr>
      <w:r>
        <w:rPr>
          <w:rFonts w:ascii="宋体" w:hAnsi="宋体" w:eastAsia="宋体" w:cs="Times New Roman"/>
          <w:spacing w:val="0"/>
          <w:sz w:val="21"/>
          <w:szCs w:val="21"/>
        </w:rPr>
        <w:t>h</w:t>
      </w:r>
      <w:r>
        <w:rPr>
          <w:rFonts w:hint="eastAsia" w:ascii="宋体" w:hAnsi="宋体" w:eastAsia="宋体" w:cs="Times New Roman"/>
          <w:spacing w:val="0"/>
          <w:sz w:val="21"/>
          <w:szCs w:val="21"/>
        </w:rPr>
        <w:t>）</w:t>
      </w:r>
      <w:r>
        <w:rPr>
          <w:rStyle w:val="118"/>
          <w:rFonts w:ascii="Times New Roman" w:hAnsi="Times New Roman" w:eastAsia="宋体" w:cs="Times New Roman"/>
          <w:spacing w:val="0"/>
          <w:sz w:val="21"/>
          <w:szCs w:val="21"/>
        </w:rPr>
        <w:t>连接件的耐久性应满足使用年限要求。</w:t>
      </w:r>
    </w:p>
    <w:p>
      <w:pPr>
        <w:pStyle w:val="51"/>
        <w:numPr>
          <w:ilvl w:val="0"/>
          <w:numId w:val="30"/>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Style w:val="117"/>
          <w:rFonts w:ascii="Times New Roman" w:hAnsi="Times New Roman" w:eastAsia="宋体" w:cs="Times New Roman"/>
          <w:spacing w:val="0"/>
          <w:sz w:val="21"/>
          <w:szCs w:val="21"/>
        </w:rPr>
        <w:t>外墙板的周边宜设置暗柱，其配筋不小于4Φ12，箍筋不小于Φ6@200。</w:t>
      </w:r>
    </w:p>
    <w:p>
      <w:pPr>
        <w:pStyle w:val="51"/>
        <w:numPr>
          <w:ilvl w:val="0"/>
          <w:numId w:val="30"/>
        </w:numPr>
        <w:shd w:val="clear" w:color="auto" w:fill="auto"/>
        <w:spacing w:before="120" w:beforeLines="50" w:after="120" w:afterLines="50" w:line="240" w:lineRule="auto"/>
        <w:jc w:val="both"/>
        <w:rPr>
          <w:rStyle w:val="141"/>
          <w:rFonts w:ascii="Times New Roman" w:hAnsi="Times New Roman" w:eastAsia="宋体" w:cs="Times New Roman"/>
          <w:sz w:val="21"/>
          <w:szCs w:val="21"/>
        </w:rPr>
      </w:pPr>
      <w:r>
        <w:rPr>
          <w:rStyle w:val="141"/>
          <w:rFonts w:ascii="Times New Roman" w:hAnsi="Times New Roman" w:eastAsia="宋体" w:cs="Times New Roman"/>
          <w:sz w:val="21"/>
          <w:szCs w:val="21"/>
        </w:rPr>
        <w:t>围护墙体应根据不同的建筑类型及结构形式选择适宜的类型，围护系统中外墙板可采用内嵌式、外挂式、嵌挂结合等形式，并宜分层悬挂或承托。外墙可采用预制外墙、现场组装骨架外墙、建筑幕墙等类型。</w:t>
      </w:r>
    </w:p>
    <w:p>
      <w:pPr>
        <w:pStyle w:val="51"/>
        <w:numPr>
          <w:ilvl w:val="0"/>
          <w:numId w:val="30"/>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预制外墙板应具有足够的承载力和刚度。与主体结构的连接应满足抗风、抗震等安全要求，与主体结构连接的连接件进行承载力设计时，其安全等级应提高一级并应明确设计使用年限。</w:t>
      </w:r>
    </w:p>
    <w:p>
      <w:pPr>
        <w:pStyle w:val="51"/>
        <w:numPr>
          <w:ilvl w:val="0"/>
          <w:numId w:val="30"/>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计算外围护墙体构件及其连接的风荷载作用及组合，应符合现行国家标准</w:t>
      </w:r>
      <w:r>
        <w:rPr>
          <w:rStyle w:val="117"/>
          <w:rFonts w:ascii="Times New Roman" w:hAnsi="Times New Roman" w:eastAsia="宋体" w:cs="Times New Roman"/>
          <w:spacing w:val="0"/>
          <w:sz w:val="21"/>
          <w:szCs w:val="21"/>
        </w:rPr>
        <w:t>GB 50009</w:t>
      </w:r>
      <w:r>
        <w:rPr>
          <w:rStyle w:val="118"/>
          <w:rFonts w:ascii="Times New Roman" w:hAnsi="Times New Roman" w:eastAsia="宋体" w:cs="Times New Roman"/>
          <w:spacing w:val="0"/>
          <w:sz w:val="21"/>
          <w:szCs w:val="21"/>
        </w:rPr>
        <w:t>的规定；地震作用及组合，应符合现行国家标准</w:t>
      </w:r>
      <w:r>
        <w:rPr>
          <w:rStyle w:val="117"/>
          <w:rFonts w:ascii="Times New Roman" w:hAnsi="Times New Roman" w:eastAsia="宋体" w:cs="Times New Roman"/>
          <w:spacing w:val="0"/>
          <w:sz w:val="21"/>
          <w:szCs w:val="21"/>
        </w:rPr>
        <w:t>GB/T 50011</w:t>
      </w:r>
      <w:r>
        <w:rPr>
          <w:rStyle w:val="118"/>
          <w:rFonts w:ascii="Times New Roman" w:hAnsi="Times New Roman" w:eastAsia="宋体" w:cs="Times New Roman"/>
          <w:spacing w:val="0"/>
          <w:sz w:val="21"/>
          <w:szCs w:val="21"/>
        </w:rPr>
        <w:t>和行业标准</w:t>
      </w:r>
      <w:r>
        <w:rPr>
          <w:rStyle w:val="117"/>
          <w:rFonts w:ascii="Times New Roman" w:hAnsi="Times New Roman" w:eastAsia="宋体" w:cs="Times New Roman"/>
          <w:spacing w:val="0"/>
          <w:sz w:val="21"/>
          <w:szCs w:val="21"/>
        </w:rPr>
        <w:t>JGJ 339</w:t>
      </w:r>
      <w:r>
        <w:rPr>
          <w:rStyle w:val="118"/>
          <w:rFonts w:ascii="Times New Roman" w:hAnsi="Times New Roman" w:eastAsia="宋体" w:cs="Times New Roman"/>
          <w:spacing w:val="0"/>
          <w:sz w:val="21"/>
          <w:szCs w:val="21"/>
        </w:rPr>
        <w:t>的规定。</w:t>
      </w:r>
    </w:p>
    <w:p>
      <w:pPr>
        <w:pStyle w:val="51"/>
        <w:numPr>
          <w:ilvl w:val="0"/>
          <w:numId w:val="30"/>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预制外围护墙体装饰装修的更新不应影响墙体结构性能。</w:t>
      </w:r>
    </w:p>
    <w:p>
      <w:pPr>
        <w:pStyle w:val="51"/>
        <w:numPr>
          <w:ilvl w:val="0"/>
          <w:numId w:val="30"/>
        </w:numPr>
        <w:shd w:val="clear" w:color="auto" w:fill="auto"/>
        <w:spacing w:before="120" w:beforeLines="50" w:after="120" w:afterLines="50" w:line="240" w:lineRule="auto"/>
        <w:jc w:val="both"/>
        <w:rPr>
          <w:rFonts w:ascii="Times New Roman" w:hAnsi="Times New Roman" w:eastAsia="宋体" w:cs="Times New Roman"/>
          <w:spacing w:val="0"/>
          <w:sz w:val="21"/>
          <w:szCs w:val="21"/>
        </w:rPr>
      </w:pPr>
      <w:r>
        <w:rPr>
          <w:rStyle w:val="118"/>
          <w:rFonts w:ascii="Times New Roman" w:hAnsi="Times New Roman" w:eastAsia="宋体" w:cs="Times New Roman"/>
          <w:spacing w:val="0"/>
          <w:sz w:val="21"/>
          <w:szCs w:val="21"/>
        </w:rPr>
        <w:t>外挂墙板的结构安全性和裂缝防治措施应有试验或工程实践验证其可靠性。</w:t>
      </w:r>
    </w:p>
    <w:p>
      <w:pPr>
        <w:pStyle w:val="210"/>
        <w:spacing w:before="240" w:after="240"/>
        <w:outlineLvl w:val="2"/>
        <w:rPr>
          <w:rFonts w:ascii="黑体" w:hAnsi="黑体" w:eastAsia="黑体"/>
          <w:b w:val="0"/>
          <w:sz w:val="21"/>
          <w:szCs w:val="21"/>
        </w:rPr>
      </w:pPr>
      <w:bookmarkStart w:id="180" w:name="_Toc172188630"/>
      <w:bookmarkStart w:id="181" w:name="_Toc172188906"/>
      <w:bookmarkStart w:id="182" w:name="_Toc16221"/>
      <w:bookmarkStart w:id="183" w:name="_Toc172187845"/>
      <w:r>
        <w:rPr>
          <w:rFonts w:ascii="黑体" w:hAnsi="黑体" w:eastAsia="黑体"/>
          <w:b w:val="0"/>
          <w:sz w:val="21"/>
          <w:szCs w:val="21"/>
        </w:rPr>
        <w:t>10.3 内墙板及连接设计</w:t>
      </w:r>
      <w:bookmarkEnd w:id="180"/>
      <w:bookmarkEnd w:id="181"/>
      <w:bookmarkEnd w:id="182"/>
      <w:bookmarkEnd w:id="183"/>
    </w:p>
    <w:p>
      <w:pPr>
        <w:pStyle w:val="105"/>
        <w:numPr>
          <w:ilvl w:val="0"/>
          <w:numId w:val="31"/>
        </w:numPr>
        <w:spacing w:before="120" w:beforeLines="50" w:after="120" w:afterLines="50"/>
        <w:jc w:val="both"/>
        <w:rPr>
          <w:rStyle w:val="117"/>
          <w:rFonts w:ascii="Times New Roman" w:hAnsi="Times New Roman" w:eastAsia="宋体" w:cs="Times New Roman"/>
          <w:spacing w:val="0"/>
          <w:sz w:val="21"/>
          <w:szCs w:val="21"/>
        </w:rPr>
      </w:pPr>
      <w:r>
        <w:rPr>
          <w:rStyle w:val="117"/>
          <w:rFonts w:ascii="Times New Roman" w:hAnsi="Times New Roman" w:eastAsia="宋体" w:cs="Times New Roman"/>
          <w:spacing w:val="0"/>
          <w:sz w:val="21"/>
          <w:szCs w:val="21"/>
        </w:rPr>
        <w:t>室内隔墙板上下两端与结构的连接宜采用铰接方式。</w:t>
      </w:r>
    </w:p>
    <w:p>
      <w:pPr>
        <w:pStyle w:val="105"/>
        <w:numPr>
          <w:ilvl w:val="0"/>
          <w:numId w:val="31"/>
        </w:numPr>
        <w:spacing w:before="120" w:beforeLines="50" w:after="120" w:afterLines="50"/>
        <w:jc w:val="both"/>
        <w:rPr>
          <w:rStyle w:val="117"/>
          <w:rFonts w:ascii="Times New Roman" w:hAnsi="Times New Roman" w:eastAsia="宋体" w:cs="Times New Roman"/>
          <w:spacing w:val="0"/>
          <w:sz w:val="21"/>
          <w:szCs w:val="21"/>
        </w:rPr>
      </w:pPr>
      <w:r>
        <w:rPr>
          <w:rStyle w:val="117"/>
          <w:rFonts w:ascii="Times New Roman" w:hAnsi="Times New Roman" w:eastAsia="宋体" w:cs="Times New Roman"/>
          <w:spacing w:val="0"/>
          <w:sz w:val="21"/>
          <w:szCs w:val="21"/>
        </w:rPr>
        <w:t>室内隔墙板的力学性能应符合下列规定：</w:t>
      </w:r>
    </w:p>
    <w:p>
      <w:pPr>
        <w:pStyle w:val="105"/>
        <w:ind w:firstLine="420" w:firstLineChars="200"/>
        <w:jc w:val="both"/>
        <w:rPr>
          <w:rStyle w:val="117"/>
          <w:rFonts w:ascii="Times New Roman" w:hAnsi="Times New Roman" w:eastAsia="宋体" w:cs="Times New Roman"/>
          <w:spacing w:val="0"/>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Style w:val="117"/>
          <w:rFonts w:ascii="Times New Roman" w:hAnsi="Times New Roman" w:eastAsia="宋体" w:cs="Times New Roman"/>
          <w:spacing w:val="0"/>
          <w:sz w:val="21"/>
          <w:szCs w:val="21"/>
        </w:rPr>
        <w:t>墙板弯曲产生的</w:t>
      </w:r>
      <w:r>
        <w:rPr>
          <w:rStyle w:val="117"/>
          <w:rFonts w:hint="eastAsia" w:ascii="Times New Roman" w:hAnsi="Times New Roman" w:eastAsia="宋体" w:cs="Times New Roman"/>
          <w:spacing w:val="0"/>
          <w:sz w:val="21"/>
          <w:szCs w:val="21"/>
        </w:rPr>
        <w:t>跨中</w:t>
      </w:r>
      <w:r>
        <w:rPr>
          <w:rStyle w:val="117"/>
          <w:rFonts w:ascii="Times New Roman" w:hAnsi="Times New Roman" w:eastAsia="宋体" w:cs="Times New Roman"/>
          <w:spacing w:val="0"/>
          <w:sz w:val="21"/>
          <w:szCs w:val="21"/>
        </w:rPr>
        <w:t>最大挠度应小于允许挠度，且板表面不应开裂；允许挠度为1/250；</w:t>
      </w:r>
    </w:p>
    <w:p>
      <w:pPr>
        <w:pStyle w:val="105"/>
        <w:ind w:firstLine="420" w:firstLineChars="200"/>
        <w:jc w:val="both"/>
        <w:rPr>
          <w:rStyle w:val="117"/>
          <w:rFonts w:ascii="Times New Roman" w:hAnsi="Times New Roman" w:eastAsia="宋体" w:cs="Times New Roman"/>
          <w:spacing w:val="0"/>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Style w:val="117"/>
          <w:rFonts w:ascii="Times New Roman" w:hAnsi="Times New Roman" w:eastAsia="宋体" w:cs="Times New Roman"/>
          <w:spacing w:val="0"/>
          <w:sz w:val="21"/>
          <w:szCs w:val="21"/>
        </w:rPr>
        <w:t>墙板抗冲击次数不应少于5次；</w:t>
      </w:r>
    </w:p>
    <w:p>
      <w:pPr>
        <w:pStyle w:val="105"/>
        <w:ind w:firstLine="420" w:firstLineChars="200"/>
        <w:jc w:val="both"/>
        <w:rPr>
          <w:rStyle w:val="117"/>
          <w:rFonts w:ascii="Times New Roman" w:hAnsi="Times New Roman" w:eastAsia="宋体" w:cs="Times New Roman"/>
          <w:spacing w:val="0"/>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Style w:val="117"/>
          <w:rFonts w:ascii="Times New Roman" w:hAnsi="Times New Roman" w:eastAsia="宋体" w:cs="Times New Roman"/>
          <w:spacing w:val="0"/>
          <w:sz w:val="21"/>
          <w:szCs w:val="21"/>
        </w:rPr>
        <w:t>墙板单点吊挂力不应小于1000N；</w:t>
      </w:r>
    </w:p>
    <w:p>
      <w:pPr>
        <w:pStyle w:val="105"/>
        <w:numPr>
          <w:ilvl w:val="0"/>
          <w:numId w:val="31"/>
        </w:numPr>
        <w:spacing w:before="120" w:beforeLines="50" w:after="120" w:afterLines="50"/>
        <w:jc w:val="both"/>
        <w:rPr>
          <w:rStyle w:val="117"/>
          <w:rFonts w:ascii="Times New Roman" w:hAnsi="Times New Roman" w:eastAsia="宋体" w:cs="Times New Roman"/>
          <w:spacing w:val="0"/>
          <w:sz w:val="21"/>
          <w:szCs w:val="21"/>
        </w:rPr>
      </w:pPr>
      <w:r>
        <w:rPr>
          <w:rStyle w:val="117"/>
          <w:rFonts w:ascii="Times New Roman" w:hAnsi="Times New Roman" w:eastAsia="宋体" w:cs="Times New Roman"/>
          <w:spacing w:val="0"/>
          <w:sz w:val="21"/>
          <w:szCs w:val="21"/>
        </w:rPr>
        <w:t>室内隔墙墙板与主体结构间的连接应具有适应结构变形的能力。</w:t>
      </w:r>
    </w:p>
    <w:p>
      <w:pPr>
        <w:pStyle w:val="105"/>
        <w:numPr>
          <w:ilvl w:val="0"/>
          <w:numId w:val="31"/>
        </w:numPr>
        <w:spacing w:before="120" w:beforeLines="50" w:after="120" w:afterLines="50"/>
        <w:jc w:val="both"/>
        <w:rPr>
          <w:rStyle w:val="117"/>
          <w:rFonts w:ascii="Times New Roman" w:hAnsi="Times New Roman" w:eastAsia="宋体" w:cs="Times New Roman"/>
          <w:spacing w:val="0"/>
          <w:sz w:val="21"/>
          <w:szCs w:val="21"/>
        </w:rPr>
      </w:pPr>
      <w:r>
        <w:rPr>
          <w:rStyle w:val="117"/>
          <w:rFonts w:ascii="Times New Roman" w:hAnsi="Times New Roman" w:eastAsia="宋体" w:cs="Times New Roman"/>
          <w:spacing w:val="0"/>
          <w:sz w:val="21"/>
          <w:szCs w:val="21"/>
        </w:rPr>
        <w:t>室内隔墙墙板的最小配筋率应满足构件运输、安装的要求。</w:t>
      </w:r>
    </w:p>
    <w:p>
      <w:pPr>
        <w:pStyle w:val="105"/>
        <w:numPr>
          <w:ilvl w:val="0"/>
          <w:numId w:val="31"/>
        </w:numPr>
        <w:spacing w:before="120" w:beforeLines="50" w:after="120" w:afterLines="50"/>
        <w:jc w:val="both"/>
        <w:rPr>
          <w:rStyle w:val="117"/>
          <w:rFonts w:ascii="Times New Roman" w:hAnsi="Times New Roman" w:eastAsia="宋体" w:cs="Times New Roman"/>
          <w:spacing w:val="0"/>
          <w:sz w:val="21"/>
          <w:szCs w:val="21"/>
        </w:rPr>
      </w:pPr>
      <w:r>
        <w:rPr>
          <w:rStyle w:val="117"/>
          <w:rFonts w:ascii="Times New Roman" w:hAnsi="Times New Roman" w:eastAsia="宋体" w:cs="Times New Roman"/>
          <w:spacing w:val="0"/>
          <w:sz w:val="21"/>
          <w:szCs w:val="21"/>
        </w:rPr>
        <w:t>室内隔墙墙板的厚度不宜小于100mm</w:t>
      </w:r>
      <w:r>
        <w:rPr>
          <w:rStyle w:val="117"/>
          <w:rFonts w:hint="eastAsia" w:ascii="Times New Roman" w:hAnsi="Times New Roman" w:eastAsia="宋体" w:cs="Times New Roman"/>
          <w:spacing w:val="0"/>
          <w:sz w:val="21"/>
          <w:szCs w:val="21"/>
        </w:rPr>
        <w:t>。</w:t>
      </w:r>
    </w:p>
    <w:p>
      <w:pPr>
        <w:pStyle w:val="210"/>
        <w:spacing w:before="240" w:after="240"/>
        <w:rPr>
          <w:rFonts w:ascii="黑体" w:hAnsi="黑体" w:eastAsia="黑体"/>
          <w:b w:val="0"/>
          <w:sz w:val="21"/>
          <w:szCs w:val="21"/>
        </w:rPr>
      </w:pPr>
      <w:bookmarkStart w:id="184" w:name="_Toc19978"/>
      <w:bookmarkStart w:id="185" w:name="_Toc172188631"/>
      <w:bookmarkStart w:id="186" w:name="_Toc172187846"/>
      <w:bookmarkStart w:id="187" w:name="_Toc172188907"/>
      <w:r>
        <w:rPr>
          <w:rFonts w:ascii="黑体" w:hAnsi="黑体" w:eastAsia="黑体"/>
          <w:b w:val="0"/>
          <w:sz w:val="21"/>
          <w:szCs w:val="21"/>
        </w:rPr>
        <w:t>11 预制构件生产与运输</w:t>
      </w:r>
      <w:bookmarkEnd w:id="184"/>
      <w:bookmarkEnd w:id="185"/>
      <w:bookmarkEnd w:id="186"/>
      <w:bookmarkEnd w:id="187"/>
    </w:p>
    <w:p>
      <w:pPr>
        <w:pStyle w:val="210"/>
        <w:spacing w:before="240" w:after="240"/>
        <w:outlineLvl w:val="2"/>
        <w:rPr>
          <w:rFonts w:ascii="黑体" w:hAnsi="黑体" w:eastAsia="黑体"/>
          <w:b w:val="0"/>
          <w:sz w:val="21"/>
          <w:szCs w:val="21"/>
        </w:rPr>
      </w:pPr>
      <w:bookmarkStart w:id="188" w:name="_Toc24912"/>
      <w:bookmarkStart w:id="189" w:name="_Toc172187847"/>
      <w:bookmarkStart w:id="190" w:name="_Toc172188632"/>
      <w:bookmarkStart w:id="191" w:name="_Toc172188908"/>
      <w:r>
        <w:rPr>
          <w:rFonts w:ascii="黑体" w:hAnsi="黑体" w:eastAsia="黑体"/>
          <w:b w:val="0"/>
          <w:sz w:val="21"/>
          <w:szCs w:val="21"/>
        </w:rPr>
        <w:t>11.1 一般规定</w:t>
      </w:r>
      <w:bookmarkEnd w:id="188"/>
      <w:bookmarkEnd w:id="189"/>
      <w:bookmarkEnd w:id="190"/>
      <w:bookmarkEnd w:id="191"/>
    </w:p>
    <w:p>
      <w:pPr>
        <w:pStyle w:val="105"/>
        <w:numPr>
          <w:ilvl w:val="0"/>
          <w:numId w:val="32"/>
        </w:numPr>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预制构件制作单位应具备相应的生产工艺设施，并应有完善的质量管理体系和必要的试验检测手段。</w:t>
      </w:r>
    </w:p>
    <w:p>
      <w:pPr>
        <w:pStyle w:val="105"/>
        <w:numPr>
          <w:ilvl w:val="0"/>
          <w:numId w:val="32"/>
        </w:numPr>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预制构件制作前，应对其技术要求和质量标准进行技术交底，并应制定生产方案；生产方案应包括生产工艺、模具方案、生产计划、技术质量控制措施、成品保护、堆放及运输方案等内容。</w:t>
      </w:r>
    </w:p>
    <w:p>
      <w:pPr>
        <w:pStyle w:val="105"/>
        <w:numPr>
          <w:ilvl w:val="0"/>
          <w:numId w:val="32"/>
        </w:numPr>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预制构件用混凝土的工作性应根据产品类别和生产工艺要求确定，构件用混凝土原材料及配合比设计应符合国家现行标准GB 50666、JGJ 55和JGJ/T 281等的规定。</w:t>
      </w:r>
    </w:p>
    <w:p>
      <w:pPr>
        <w:pStyle w:val="105"/>
        <w:numPr>
          <w:ilvl w:val="0"/>
          <w:numId w:val="32"/>
        </w:numPr>
        <w:spacing w:before="120" w:beforeLines="50" w:after="120" w:afterLines="50" w:line="240" w:lineRule="auto"/>
        <w:jc w:val="both"/>
        <w:rPr>
          <w:rFonts w:ascii="Times New Roman" w:hAnsi="Times New Roman" w:eastAsia="宋体" w:cs="Times New Roman"/>
          <w:spacing w:val="0"/>
          <w:sz w:val="21"/>
          <w:szCs w:val="21"/>
        </w:rPr>
      </w:pPr>
      <w:r>
        <w:rPr>
          <w:rFonts w:hint="eastAsia" w:ascii="Times New Roman" w:hAnsi="Times New Roman" w:eastAsia="宋体" w:cs="Times New Roman"/>
          <w:spacing w:val="0"/>
          <w:sz w:val="21"/>
          <w:szCs w:val="21"/>
        </w:rPr>
        <w:t>建筑部品部件生产前，应根据设计要求和生产条件编制生产工艺方案，对构造复杂的部品或构件宜进行工艺性试验。</w:t>
      </w:r>
    </w:p>
    <w:p>
      <w:pPr>
        <w:pStyle w:val="105"/>
        <w:numPr>
          <w:ilvl w:val="0"/>
          <w:numId w:val="32"/>
        </w:numPr>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预制构件用钢筋的加工、连接与安装应符合国家现行标准GB 50666和GB 50204等的有关规定。</w:t>
      </w:r>
    </w:p>
    <w:p>
      <w:pPr>
        <w:pStyle w:val="209"/>
        <w:numPr>
          <w:ilvl w:val="0"/>
          <w:numId w:val="32"/>
        </w:numPr>
        <w:spacing w:before="120" w:after="120"/>
        <w:jc w:val="both"/>
        <w:outlineLvl w:val="9"/>
        <w:rPr>
          <w:rFonts w:ascii="Times New Roman" w:eastAsia="宋体"/>
          <w:kern w:val="2"/>
        </w:rPr>
      </w:pPr>
      <w:r>
        <w:rPr>
          <w:rFonts w:ascii="Times New Roman" w:eastAsia="宋体"/>
          <w:kern w:val="2"/>
        </w:rPr>
        <w:t>预制构件的砂、石、水泥、钢筋等原材料及配件在使用前应按照国家现行有关标准、设计文件及合同约定进行进厂检验。</w:t>
      </w:r>
    </w:p>
    <w:p>
      <w:pPr>
        <w:pStyle w:val="209"/>
        <w:numPr>
          <w:ilvl w:val="0"/>
          <w:numId w:val="32"/>
        </w:numPr>
        <w:spacing w:before="120" w:after="120"/>
        <w:jc w:val="both"/>
        <w:outlineLvl w:val="9"/>
        <w:rPr>
          <w:rFonts w:ascii="Times New Roman" w:eastAsia="宋体"/>
          <w:bCs/>
          <w:color w:val="000000"/>
        </w:rPr>
      </w:pPr>
      <w:r>
        <w:rPr>
          <w:rFonts w:ascii="Times New Roman" w:eastAsia="宋体"/>
          <w:bCs/>
          <w:color w:val="000000"/>
        </w:rPr>
        <w:t>预制构件的生产设施、设备应符合环保要求，混凝土搅拌与砂石堆场宜建立封闭设施，无封闭设施的砂石堆场应建立防扬尘及喷淋设施；混凝土生产余料、废弃物应综合利用，生产污水应进行处理后排放。</w:t>
      </w:r>
    </w:p>
    <w:p>
      <w:pPr>
        <w:pStyle w:val="209"/>
        <w:numPr>
          <w:ilvl w:val="0"/>
          <w:numId w:val="32"/>
        </w:numPr>
        <w:spacing w:before="120" w:after="120"/>
        <w:outlineLvl w:val="9"/>
        <w:rPr>
          <w:rFonts w:ascii="Times New Roman" w:eastAsia="宋体"/>
          <w:bCs/>
          <w:color w:val="000000"/>
        </w:rPr>
      </w:pPr>
      <w:r>
        <w:rPr>
          <w:rFonts w:ascii="Times New Roman" w:eastAsia="宋体"/>
          <w:bCs/>
          <w:color w:val="000000"/>
        </w:rPr>
        <w:t>预制构件生产应建立首件验收制度。</w:t>
      </w:r>
    </w:p>
    <w:p>
      <w:pPr>
        <w:pStyle w:val="209"/>
        <w:numPr>
          <w:ilvl w:val="0"/>
          <w:numId w:val="32"/>
        </w:numPr>
        <w:spacing w:before="120" w:after="120"/>
        <w:jc w:val="both"/>
        <w:outlineLvl w:val="9"/>
        <w:rPr>
          <w:rFonts w:ascii="Times New Roman" w:eastAsia="宋体"/>
          <w:bCs/>
          <w:color w:val="000000"/>
        </w:rPr>
      </w:pPr>
      <w:r>
        <w:rPr>
          <w:rFonts w:ascii="Times New Roman" w:eastAsia="宋体"/>
          <w:bCs/>
          <w:color w:val="000000"/>
        </w:rPr>
        <w:t>预制构件生产应建立交接检验制度，上道工序质量检测和检查结果不符合有关标准规定、设计文件或合同要求时，不应进行下道工序的制作。</w:t>
      </w:r>
    </w:p>
    <w:p>
      <w:pPr>
        <w:pStyle w:val="209"/>
        <w:numPr>
          <w:ilvl w:val="0"/>
          <w:numId w:val="32"/>
        </w:numPr>
        <w:spacing w:before="120" w:after="120"/>
        <w:jc w:val="both"/>
        <w:outlineLvl w:val="9"/>
        <w:rPr>
          <w:rFonts w:ascii="Times New Roman" w:eastAsia="宋体"/>
          <w:bCs/>
          <w:color w:val="000000"/>
        </w:rPr>
      </w:pPr>
      <w:r>
        <w:rPr>
          <w:rFonts w:ascii="Times New Roman" w:eastAsia="宋体"/>
          <w:bCs/>
          <w:color w:val="000000"/>
        </w:rPr>
        <w:t>预制工厂应建立构件标识系统，标识系统应满足唯一性要求。对于检验合格的预制构件，应设置表面标识。标识中应包含下列内容：项目名称、使用部位、构件编号、产品规格、生产厂家名称、预制混凝土强度等级、生产日期、检验人员代号、检验部门印章等。</w:t>
      </w:r>
    </w:p>
    <w:p>
      <w:pPr>
        <w:pStyle w:val="209"/>
        <w:numPr>
          <w:ilvl w:val="0"/>
          <w:numId w:val="32"/>
        </w:numPr>
        <w:spacing w:before="120" w:after="120"/>
        <w:outlineLvl w:val="9"/>
        <w:rPr>
          <w:rFonts w:ascii="Times New Roman" w:eastAsia="宋体"/>
          <w:bCs/>
          <w:color w:val="000000"/>
        </w:rPr>
      </w:pPr>
      <w:r>
        <w:rPr>
          <w:rFonts w:ascii="Times New Roman" w:eastAsia="宋体"/>
          <w:bCs/>
          <w:color w:val="000000"/>
        </w:rPr>
        <w:t>预制构件和部品出厂时，应出具质量证明文件。</w:t>
      </w:r>
    </w:p>
    <w:p>
      <w:pPr>
        <w:pStyle w:val="209"/>
        <w:numPr>
          <w:ilvl w:val="0"/>
          <w:numId w:val="32"/>
        </w:numPr>
        <w:spacing w:before="120" w:after="120"/>
        <w:jc w:val="both"/>
        <w:outlineLvl w:val="9"/>
        <w:rPr>
          <w:rFonts w:ascii="Times New Roman" w:eastAsia="宋体"/>
          <w:bCs/>
          <w:color w:val="000000"/>
        </w:rPr>
      </w:pPr>
      <w:r>
        <w:rPr>
          <w:rFonts w:ascii="Times New Roman" w:eastAsia="宋体"/>
          <w:bCs/>
          <w:color w:val="000000"/>
        </w:rPr>
        <w:t>对不合格构件，应使用明显标志在构件显著位置标识，不合格构件应远离合格构件区域，单独存放并集中处理。</w:t>
      </w:r>
    </w:p>
    <w:p>
      <w:pPr>
        <w:pStyle w:val="210"/>
        <w:spacing w:before="240" w:after="240"/>
        <w:outlineLvl w:val="2"/>
        <w:rPr>
          <w:rFonts w:ascii="黑体" w:hAnsi="黑体" w:eastAsia="黑体"/>
          <w:b w:val="0"/>
          <w:sz w:val="21"/>
          <w:szCs w:val="21"/>
        </w:rPr>
      </w:pPr>
      <w:bookmarkStart w:id="192" w:name="_Toc20616"/>
      <w:bookmarkStart w:id="193" w:name="_Toc172187848"/>
      <w:bookmarkStart w:id="194" w:name="_Toc172188633"/>
      <w:bookmarkStart w:id="195" w:name="_Toc172188909"/>
      <w:r>
        <w:rPr>
          <w:rFonts w:ascii="黑体" w:hAnsi="黑体" w:eastAsia="黑体"/>
          <w:b w:val="0"/>
          <w:sz w:val="21"/>
          <w:szCs w:val="21"/>
        </w:rPr>
        <w:t>11.2 生产准备</w:t>
      </w:r>
      <w:bookmarkEnd w:id="192"/>
      <w:bookmarkEnd w:id="193"/>
      <w:bookmarkEnd w:id="194"/>
      <w:bookmarkEnd w:id="195"/>
    </w:p>
    <w:p>
      <w:pPr>
        <w:pStyle w:val="209"/>
        <w:numPr>
          <w:ilvl w:val="0"/>
          <w:numId w:val="33"/>
        </w:numPr>
        <w:spacing w:before="120" w:after="120"/>
        <w:jc w:val="both"/>
        <w:outlineLvl w:val="9"/>
        <w:rPr>
          <w:rFonts w:ascii="Times New Roman" w:eastAsia="宋体"/>
          <w:bCs/>
          <w:color w:val="000000"/>
        </w:rPr>
      </w:pPr>
      <w:r>
        <w:rPr>
          <w:rFonts w:ascii="Times New Roman" w:eastAsia="宋体"/>
          <w:bCs/>
          <w:color w:val="000000"/>
        </w:rPr>
        <w:t>预制构件生产前，应根据工程特点制定相应的质量管控计划、生产进度计划、材料要求、工序控制和产品质量及检验要求，并应进行技术交底。</w:t>
      </w:r>
    </w:p>
    <w:p>
      <w:pPr>
        <w:pStyle w:val="209"/>
        <w:numPr>
          <w:ilvl w:val="0"/>
          <w:numId w:val="33"/>
        </w:numPr>
        <w:spacing w:before="120" w:after="120"/>
        <w:outlineLvl w:val="9"/>
        <w:rPr>
          <w:rFonts w:ascii="Times New Roman" w:eastAsia="宋体"/>
          <w:bCs/>
          <w:color w:val="000000"/>
        </w:rPr>
      </w:pPr>
      <w:r>
        <w:rPr>
          <w:rFonts w:ascii="Times New Roman" w:eastAsia="宋体"/>
          <w:bCs/>
          <w:color w:val="000000"/>
        </w:rPr>
        <w:t>预制构件制作前应进行深化设计，深化设计包括以下内容：</w:t>
      </w:r>
    </w:p>
    <w:p>
      <w:pPr>
        <w:pStyle w:val="215"/>
        <w:ind w:left="768" w:leftChars="203" w:hanging="281" w:hangingChars="134"/>
        <w:rPr>
          <w:rFonts w:ascii="Times New Roman" w:hAnsi="Times New Roman"/>
          <w:color w:val="000000"/>
          <w:szCs w:val="22"/>
        </w:rPr>
      </w:pPr>
      <w:r>
        <w:rPr>
          <w:rFonts w:hAnsi="宋体"/>
          <w:szCs w:val="21"/>
        </w:rPr>
        <w:t>a</w:t>
      </w:r>
      <w:r>
        <w:rPr>
          <w:rFonts w:hint="eastAsia" w:hAnsi="宋体"/>
          <w:szCs w:val="21"/>
        </w:rPr>
        <w:t>）</w:t>
      </w:r>
      <w:r>
        <w:rPr>
          <w:rFonts w:ascii="Times New Roman" w:hAnsi="Times New Roman"/>
          <w:color w:val="000000"/>
          <w:szCs w:val="22"/>
        </w:rPr>
        <w:t>预制构件平面布置图、模板图、配筋图、安装图、预埋件及细部构造图等；</w:t>
      </w:r>
    </w:p>
    <w:p>
      <w:pPr>
        <w:pStyle w:val="215"/>
        <w:ind w:left="768" w:leftChars="203" w:hanging="281" w:hangingChars="134"/>
        <w:rPr>
          <w:rFonts w:ascii="Times New Roman" w:hAnsi="Times New Roman"/>
          <w:color w:val="000000"/>
          <w:szCs w:val="22"/>
        </w:rPr>
      </w:pPr>
      <w:r>
        <w:rPr>
          <w:rFonts w:hAnsi="宋体"/>
          <w:szCs w:val="21"/>
        </w:rPr>
        <w:t>b</w:t>
      </w:r>
      <w:r>
        <w:rPr>
          <w:rFonts w:hint="eastAsia" w:hAnsi="宋体"/>
          <w:szCs w:val="21"/>
        </w:rPr>
        <w:t>）</w:t>
      </w:r>
      <w:r>
        <w:rPr>
          <w:rFonts w:ascii="Times New Roman" w:hAnsi="Times New Roman"/>
          <w:color w:val="000000"/>
          <w:szCs w:val="22"/>
        </w:rPr>
        <w:t>带有饰面板材的构件应绘制板材排板图；</w:t>
      </w:r>
    </w:p>
    <w:p>
      <w:pPr>
        <w:pStyle w:val="215"/>
        <w:ind w:firstLine="483" w:firstLineChars="230"/>
        <w:rPr>
          <w:rFonts w:ascii="Times New Roman" w:hAnsi="Times New Roman"/>
          <w:color w:val="000000"/>
          <w:szCs w:val="22"/>
        </w:rPr>
      </w:pPr>
      <w:r>
        <w:rPr>
          <w:rFonts w:hAnsi="宋体"/>
          <w:szCs w:val="21"/>
        </w:rPr>
        <w:t>c</w:t>
      </w:r>
      <w:r>
        <w:rPr>
          <w:rFonts w:hint="eastAsia" w:hAnsi="宋体"/>
          <w:szCs w:val="21"/>
        </w:rPr>
        <w:t>）</w:t>
      </w:r>
      <w:r>
        <w:rPr>
          <w:rFonts w:ascii="Times New Roman" w:hAnsi="Times New Roman"/>
          <w:color w:val="000000"/>
          <w:szCs w:val="22"/>
        </w:rPr>
        <w:t>预制构件脱模、翻转过程中混凝土强度、构件承载力、构件变形以及吊具、预埋吊件承载力验算。</w:t>
      </w:r>
    </w:p>
    <w:p>
      <w:pPr>
        <w:pStyle w:val="209"/>
        <w:numPr>
          <w:ilvl w:val="0"/>
          <w:numId w:val="34"/>
        </w:numPr>
        <w:spacing w:before="120" w:after="120"/>
        <w:jc w:val="both"/>
        <w:outlineLvl w:val="9"/>
        <w:rPr>
          <w:rFonts w:ascii="Times New Roman" w:eastAsia="宋体"/>
          <w:bCs/>
        </w:rPr>
      </w:pPr>
      <w:r>
        <w:rPr>
          <w:rFonts w:ascii="Times New Roman" w:eastAsia="宋体"/>
          <w:bCs/>
          <w:color w:val="000000"/>
        </w:rPr>
        <w:t>应根据预制构件的质量要求、生产技术及工艺、模具可周转次数确定预制构件模具设计和加工方案。模具设计应满足下列要求：</w:t>
      </w:r>
    </w:p>
    <w:p>
      <w:pPr>
        <w:pStyle w:val="215"/>
        <w:ind w:left="768" w:leftChars="203" w:hanging="281" w:hangingChars="134"/>
        <w:rPr>
          <w:rFonts w:ascii="Times New Roman" w:hAnsi="Times New Roman"/>
          <w:szCs w:val="22"/>
        </w:rPr>
      </w:pPr>
      <w:r>
        <w:rPr>
          <w:rFonts w:hAnsi="宋体"/>
          <w:szCs w:val="21"/>
        </w:rPr>
        <w:t>a</w:t>
      </w:r>
      <w:r>
        <w:rPr>
          <w:rFonts w:hint="eastAsia" w:hAnsi="宋体"/>
          <w:szCs w:val="21"/>
        </w:rPr>
        <w:t>）</w:t>
      </w:r>
      <w:r>
        <w:rPr>
          <w:rFonts w:ascii="Times New Roman" w:hAnsi="Times New Roman"/>
          <w:color w:val="000000"/>
          <w:szCs w:val="22"/>
        </w:rPr>
        <w:t>施工过程中的强度、刚度和整体稳定性及加热养护要求；</w:t>
      </w:r>
    </w:p>
    <w:p>
      <w:pPr>
        <w:pStyle w:val="215"/>
        <w:ind w:left="768" w:leftChars="203" w:hanging="281" w:hangingChars="134"/>
        <w:rPr>
          <w:rFonts w:ascii="Times New Roman" w:hAnsi="Times New Roman"/>
          <w:szCs w:val="22"/>
        </w:rPr>
      </w:pPr>
      <w:r>
        <w:rPr>
          <w:rFonts w:hAnsi="宋体"/>
          <w:szCs w:val="21"/>
        </w:rPr>
        <w:t>b</w:t>
      </w:r>
      <w:r>
        <w:rPr>
          <w:rFonts w:hint="eastAsia" w:hAnsi="宋体"/>
          <w:szCs w:val="21"/>
        </w:rPr>
        <w:t>）</w:t>
      </w:r>
      <w:r>
        <w:rPr>
          <w:rFonts w:ascii="Times New Roman" w:hAnsi="Times New Roman"/>
          <w:color w:val="000000"/>
          <w:szCs w:val="22"/>
        </w:rPr>
        <w:t>构件的尺寸要求及密实性要求；</w:t>
      </w:r>
    </w:p>
    <w:p>
      <w:pPr>
        <w:pStyle w:val="215"/>
        <w:ind w:left="768" w:leftChars="203" w:hanging="281" w:hangingChars="134"/>
        <w:rPr>
          <w:rFonts w:ascii="Times New Roman" w:hAnsi="Times New Roman"/>
          <w:szCs w:val="22"/>
        </w:rPr>
      </w:pPr>
      <w:r>
        <w:rPr>
          <w:rFonts w:hAnsi="宋体"/>
          <w:szCs w:val="21"/>
        </w:rPr>
        <w:t>c</w:t>
      </w:r>
      <w:r>
        <w:rPr>
          <w:rFonts w:hint="eastAsia" w:hAnsi="宋体"/>
          <w:szCs w:val="21"/>
        </w:rPr>
        <w:t>）</w:t>
      </w:r>
      <w:r>
        <w:rPr>
          <w:rFonts w:ascii="Times New Roman" w:hAnsi="Times New Roman"/>
          <w:color w:val="000000"/>
          <w:szCs w:val="22"/>
        </w:rPr>
        <w:t>预制构件预留孔、插筋、预埋吊件及其他预埋件的安装定位要求。</w:t>
      </w:r>
    </w:p>
    <w:p>
      <w:pPr>
        <w:pStyle w:val="209"/>
        <w:numPr>
          <w:ilvl w:val="0"/>
          <w:numId w:val="34"/>
        </w:numPr>
        <w:spacing w:before="120" w:after="120"/>
        <w:jc w:val="both"/>
        <w:outlineLvl w:val="9"/>
        <w:rPr>
          <w:rFonts w:ascii="Times New Roman" w:eastAsia="宋体"/>
          <w:bCs/>
        </w:rPr>
      </w:pPr>
      <w:r>
        <w:rPr>
          <w:rFonts w:ascii="Times New Roman" w:eastAsia="宋体"/>
          <w:bCs/>
          <w:color w:val="000000"/>
        </w:rPr>
        <w:t>台座应具有足够的强度、刚度和稳定性。台座的形式可根据生产工艺要求确定，台座的台面应光滑平整。</w:t>
      </w:r>
    </w:p>
    <w:p>
      <w:pPr>
        <w:pStyle w:val="209"/>
        <w:numPr>
          <w:ilvl w:val="0"/>
          <w:numId w:val="34"/>
        </w:numPr>
        <w:spacing w:before="120" w:after="120"/>
        <w:jc w:val="both"/>
        <w:outlineLvl w:val="9"/>
        <w:rPr>
          <w:rFonts w:ascii="Times New Roman" w:eastAsia="宋体"/>
          <w:bCs/>
        </w:rPr>
      </w:pPr>
      <w:r>
        <w:rPr>
          <w:rFonts w:ascii="Times New Roman" w:eastAsia="宋体"/>
          <w:bCs/>
          <w:color w:val="000000"/>
        </w:rPr>
        <w:t>预制构件模具尺寸的允许偏差和检验方法应符合表10规定。</w:t>
      </w:r>
    </w:p>
    <w:p>
      <w:pPr>
        <w:pStyle w:val="83"/>
        <w:shd w:val="clear" w:color="auto" w:fill="auto"/>
        <w:spacing w:before="120" w:beforeLines="50" w:after="120" w:afterLines="50" w:line="240" w:lineRule="auto"/>
        <w:jc w:val="center"/>
        <w:rPr>
          <w:rFonts w:ascii="黑体" w:hAnsi="黑体" w:eastAsia="黑体" w:cs="Times New Roman"/>
          <w:b w:val="0"/>
          <w:sz w:val="21"/>
          <w:szCs w:val="21"/>
        </w:rPr>
      </w:pPr>
      <w:r>
        <w:rPr>
          <w:rFonts w:ascii="黑体" w:hAnsi="黑体" w:eastAsia="黑体" w:cs="Times New Roman"/>
          <w:b w:val="0"/>
          <w:sz w:val="21"/>
          <w:szCs w:val="21"/>
        </w:rPr>
        <w:t>表10预制构件模具尺寸的允许偏差和检验方法</w:t>
      </w:r>
    </w:p>
    <w:tbl>
      <w:tblPr>
        <w:tblStyle w:val="25"/>
        <w:tblW w:w="7882" w:type="dxa"/>
        <w:jc w:val="center"/>
        <w:tblLayout w:type="fixed"/>
        <w:tblCellMar>
          <w:top w:w="0" w:type="dxa"/>
          <w:left w:w="28" w:type="dxa"/>
          <w:bottom w:w="0" w:type="dxa"/>
          <w:right w:w="28" w:type="dxa"/>
        </w:tblCellMar>
      </w:tblPr>
      <w:tblGrid>
        <w:gridCol w:w="567"/>
        <w:gridCol w:w="1330"/>
        <w:gridCol w:w="993"/>
        <w:gridCol w:w="1590"/>
        <w:gridCol w:w="3402"/>
      </w:tblGrid>
      <w:tr>
        <w:tblPrEx>
          <w:tblCellMar>
            <w:top w:w="0" w:type="dxa"/>
            <w:left w:w="28" w:type="dxa"/>
            <w:bottom w:w="0" w:type="dxa"/>
            <w:right w:w="28" w:type="dxa"/>
          </w:tblCellMar>
        </w:tblPrEx>
        <w:trPr>
          <w:trHeight w:val="181" w:hRule="atLeast"/>
          <w:jc w:val="center"/>
        </w:trPr>
        <w:tc>
          <w:tcPr>
            <w:tcW w:w="567" w:type="dxa"/>
            <w:tcBorders>
              <w:top w:val="single" w:color="auto" w:sz="12" w:space="0"/>
              <w:left w:val="single" w:color="auto" w:sz="12" w:space="0"/>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项次</w:t>
            </w:r>
          </w:p>
        </w:tc>
        <w:tc>
          <w:tcPr>
            <w:tcW w:w="2323" w:type="dxa"/>
            <w:gridSpan w:val="2"/>
            <w:tcBorders>
              <w:top w:val="single" w:color="auto" w:sz="12" w:space="0"/>
              <w:left w:val="nil"/>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项目</w:t>
            </w:r>
          </w:p>
        </w:tc>
        <w:tc>
          <w:tcPr>
            <w:tcW w:w="1590" w:type="dxa"/>
            <w:tcBorders>
              <w:top w:val="single" w:color="auto" w:sz="12" w:space="0"/>
              <w:left w:val="nil"/>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允许偏差（mm）</w:t>
            </w:r>
          </w:p>
        </w:tc>
        <w:tc>
          <w:tcPr>
            <w:tcW w:w="3402" w:type="dxa"/>
            <w:tcBorders>
              <w:top w:val="single" w:color="auto" w:sz="12" w:space="0"/>
              <w:left w:val="nil"/>
              <w:bottom w:val="single" w:color="000000" w:sz="6" w:space="0"/>
              <w:right w:val="single" w:color="auto" w:sz="12"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检验方法</w:t>
            </w:r>
          </w:p>
        </w:tc>
      </w:tr>
      <w:tr>
        <w:tblPrEx>
          <w:tblCellMar>
            <w:top w:w="0" w:type="dxa"/>
            <w:left w:w="28" w:type="dxa"/>
            <w:bottom w:w="0" w:type="dxa"/>
            <w:right w:w="28" w:type="dxa"/>
          </w:tblCellMar>
        </w:tblPrEx>
        <w:trPr>
          <w:trHeight w:val="162" w:hRule="atLeast"/>
          <w:jc w:val="center"/>
        </w:trPr>
        <w:tc>
          <w:tcPr>
            <w:tcW w:w="567" w:type="dxa"/>
            <w:tcBorders>
              <w:top w:val="single" w:color="000000" w:sz="6" w:space="0"/>
              <w:left w:val="single" w:color="auto" w:sz="12" w:space="0"/>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2323" w:type="dxa"/>
            <w:gridSpan w:val="2"/>
            <w:tcBorders>
              <w:top w:val="single" w:color="000000" w:sz="6" w:space="0"/>
              <w:left w:val="nil"/>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长度</w:t>
            </w:r>
          </w:p>
        </w:tc>
        <w:tc>
          <w:tcPr>
            <w:tcW w:w="1590" w:type="dxa"/>
            <w:tcBorders>
              <w:top w:val="single" w:color="000000" w:sz="6" w:space="0"/>
              <w:left w:val="nil"/>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c>
          <w:tcPr>
            <w:tcW w:w="3402" w:type="dxa"/>
            <w:tcBorders>
              <w:top w:val="single" w:color="000000" w:sz="6" w:space="0"/>
              <w:left w:val="nil"/>
              <w:bottom w:val="single" w:color="000000" w:sz="6" w:space="0"/>
              <w:right w:val="single" w:color="auto" w:sz="12" w:space="0"/>
            </w:tcBorders>
            <w:vAlign w:val="center"/>
          </w:tcPr>
          <w:p>
            <w:pPr>
              <w:widowControl/>
              <w:snapToGrid w:val="0"/>
              <w:rPr>
                <w:rFonts w:ascii="Times New Roman" w:hAnsi="Times New Roman" w:eastAsia="宋体" w:cs="Times New Roman"/>
                <w:sz w:val="18"/>
                <w:szCs w:val="18"/>
              </w:rPr>
            </w:pPr>
            <w:r>
              <w:rPr>
                <w:rFonts w:ascii="Times New Roman" w:hAnsi="Times New Roman" w:eastAsia="宋体" w:cs="Times New Roman"/>
                <w:sz w:val="18"/>
                <w:szCs w:val="18"/>
              </w:rPr>
              <w:t>用尺量平行构件长度方向，取最大值</w:t>
            </w:r>
          </w:p>
        </w:tc>
      </w:tr>
      <w:tr>
        <w:tblPrEx>
          <w:tblCellMar>
            <w:top w:w="0" w:type="dxa"/>
            <w:left w:w="28" w:type="dxa"/>
            <w:bottom w:w="0" w:type="dxa"/>
            <w:right w:w="28" w:type="dxa"/>
          </w:tblCellMar>
        </w:tblPrEx>
        <w:trPr>
          <w:trHeight w:val="147" w:hRule="atLeast"/>
          <w:jc w:val="center"/>
        </w:trPr>
        <w:tc>
          <w:tcPr>
            <w:tcW w:w="567" w:type="dxa"/>
            <w:tcBorders>
              <w:top w:val="single" w:color="000000" w:sz="6" w:space="0"/>
              <w:left w:val="single" w:color="auto" w:sz="12" w:space="0"/>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2323" w:type="dxa"/>
            <w:gridSpan w:val="2"/>
            <w:tcBorders>
              <w:top w:val="single" w:color="000000" w:sz="6" w:space="0"/>
              <w:left w:val="nil"/>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宽度</w:t>
            </w:r>
          </w:p>
        </w:tc>
        <w:tc>
          <w:tcPr>
            <w:tcW w:w="1590" w:type="dxa"/>
            <w:tcBorders>
              <w:top w:val="single" w:color="000000" w:sz="6" w:space="0"/>
              <w:left w:val="nil"/>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c>
          <w:tcPr>
            <w:tcW w:w="3402" w:type="dxa"/>
            <w:tcBorders>
              <w:top w:val="single" w:color="000000" w:sz="6" w:space="0"/>
              <w:left w:val="nil"/>
              <w:bottom w:val="single" w:color="000000" w:sz="6" w:space="0"/>
              <w:right w:val="single" w:color="auto" w:sz="12" w:space="0"/>
            </w:tcBorders>
            <w:vAlign w:val="center"/>
          </w:tcPr>
          <w:p>
            <w:pPr>
              <w:widowControl/>
              <w:snapToGrid w:val="0"/>
              <w:rPr>
                <w:rFonts w:ascii="Times New Roman" w:hAnsi="Times New Roman" w:eastAsia="宋体" w:cs="Times New Roman"/>
                <w:sz w:val="18"/>
                <w:szCs w:val="18"/>
              </w:rPr>
            </w:pPr>
            <w:r>
              <w:rPr>
                <w:rFonts w:ascii="Times New Roman" w:hAnsi="Times New Roman" w:eastAsia="宋体" w:cs="Times New Roman"/>
                <w:sz w:val="18"/>
                <w:szCs w:val="18"/>
              </w:rPr>
              <w:t>用尺量平行构件宽度方向，取最大值</w:t>
            </w:r>
          </w:p>
        </w:tc>
      </w:tr>
      <w:tr>
        <w:tblPrEx>
          <w:tblCellMar>
            <w:top w:w="0" w:type="dxa"/>
            <w:left w:w="28" w:type="dxa"/>
            <w:bottom w:w="0" w:type="dxa"/>
            <w:right w:w="28" w:type="dxa"/>
          </w:tblCellMar>
        </w:tblPrEx>
        <w:trPr>
          <w:trHeight w:val="147" w:hRule="atLeast"/>
          <w:jc w:val="center"/>
        </w:trPr>
        <w:tc>
          <w:tcPr>
            <w:tcW w:w="567" w:type="dxa"/>
            <w:tcBorders>
              <w:top w:val="single" w:color="000000" w:sz="6" w:space="0"/>
              <w:left w:val="single" w:color="auto" w:sz="12" w:space="0"/>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2323" w:type="dxa"/>
            <w:gridSpan w:val="2"/>
            <w:tcBorders>
              <w:top w:val="single" w:color="000000" w:sz="6" w:space="0"/>
              <w:left w:val="nil"/>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厚度</w:t>
            </w:r>
          </w:p>
        </w:tc>
        <w:tc>
          <w:tcPr>
            <w:tcW w:w="1590" w:type="dxa"/>
            <w:tcBorders>
              <w:top w:val="single" w:color="000000" w:sz="6" w:space="0"/>
              <w:left w:val="nil"/>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0，-1</w:t>
            </w:r>
          </w:p>
        </w:tc>
        <w:tc>
          <w:tcPr>
            <w:tcW w:w="3402" w:type="dxa"/>
            <w:tcBorders>
              <w:top w:val="single" w:color="000000" w:sz="6" w:space="0"/>
              <w:left w:val="nil"/>
              <w:bottom w:val="single" w:color="000000" w:sz="6" w:space="0"/>
              <w:right w:val="single" w:color="auto" w:sz="12" w:space="0"/>
            </w:tcBorders>
            <w:vAlign w:val="center"/>
          </w:tcPr>
          <w:p>
            <w:pPr>
              <w:widowControl/>
              <w:snapToGrid w:val="0"/>
              <w:rPr>
                <w:rFonts w:ascii="Times New Roman" w:hAnsi="Times New Roman" w:eastAsia="宋体" w:cs="Times New Roman"/>
                <w:sz w:val="18"/>
                <w:szCs w:val="18"/>
              </w:rPr>
            </w:pPr>
            <w:r>
              <w:rPr>
                <w:rFonts w:ascii="Times New Roman" w:hAnsi="Times New Roman" w:eastAsia="宋体" w:cs="Times New Roman"/>
                <w:sz w:val="18"/>
                <w:szCs w:val="18"/>
              </w:rPr>
              <w:t>用尺测量两端或中部，取最大值</w:t>
            </w:r>
          </w:p>
        </w:tc>
      </w:tr>
      <w:tr>
        <w:tblPrEx>
          <w:tblCellMar>
            <w:top w:w="0" w:type="dxa"/>
            <w:left w:w="28" w:type="dxa"/>
            <w:bottom w:w="0" w:type="dxa"/>
            <w:right w:w="28" w:type="dxa"/>
          </w:tblCellMar>
        </w:tblPrEx>
        <w:trPr>
          <w:trHeight w:val="227" w:hRule="atLeast"/>
          <w:jc w:val="center"/>
        </w:trPr>
        <w:tc>
          <w:tcPr>
            <w:tcW w:w="567" w:type="dxa"/>
            <w:tcBorders>
              <w:top w:val="single" w:color="000000" w:sz="6" w:space="0"/>
              <w:left w:val="single" w:color="auto" w:sz="12" w:space="0"/>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2323" w:type="dxa"/>
            <w:gridSpan w:val="2"/>
            <w:tcBorders>
              <w:top w:val="single" w:color="000000" w:sz="6" w:space="0"/>
              <w:left w:val="nil"/>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对角线差</w:t>
            </w:r>
          </w:p>
        </w:tc>
        <w:tc>
          <w:tcPr>
            <w:tcW w:w="1590" w:type="dxa"/>
            <w:tcBorders>
              <w:top w:val="single" w:color="000000" w:sz="6" w:space="0"/>
              <w:left w:val="nil"/>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3402" w:type="dxa"/>
            <w:tcBorders>
              <w:top w:val="single" w:color="000000" w:sz="6" w:space="0"/>
              <w:left w:val="nil"/>
              <w:bottom w:val="single" w:color="000000" w:sz="6" w:space="0"/>
              <w:right w:val="single" w:color="auto" w:sz="12" w:space="0"/>
            </w:tcBorders>
            <w:vAlign w:val="center"/>
          </w:tcPr>
          <w:p>
            <w:pPr>
              <w:widowControl/>
              <w:snapToGrid w:val="0"/>
              <w:rPr>
                <w:rFonts w:ascii="Times New Roman" w:hAnsi="Times New Roman" w:eastAsia="宋体" w:cs="Times New Roman"/>
                <w:sz w:val="18"/>
                <w:szCs w:val="18"/>
              </w:rPr>
            </w:pPr>
            <w:r>
              <w:rPr>
                <w:rFonts w:ascii="Times New Roman" w:hAnsi="Times New Roman" w:eastAsia="宋体" w:cs="Times New Roman"/>
                <w:sz w:val="18"/>
                <w:szCs w:val="18"/>
              </w:rPr>
              <w:t>用尺量纵、横两个方向对角线</w:t>
            </w:r>
          </w:p>
        </w:tc>
      </w:tr>
      <w:tr>
        <w:tblPrEx>
          <w:tblCellMar>
            <w:top w:w="0" w:type="dxa"/>
            <w:left w:w="28" w:type="dxa"/>
            <w:bottom w:w="0" w:type="dxa"/>
            <w:right w:w="28" w:type="dxa"/>
          </w:tblCellMar>
        </w:tblPrEx>
        <w:trPr>
          <w:trHeight w:val="227" w:hRule="atLeast"/>
          <w:jc w:val="center"/>
        </w:trPr>
        <w:tc>
          <w:tcPr>
            <w:tcW w:w="567" w:type="dxa"/>
            <w:tcBorders>
              <w:top w:val="single" w:color="000000" w:sz="6" w:space="0"/>
              <w:left w:val="single" w:color="auto" w:sz="12" w:space="0"/>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2323" w:type="dxa"/>
            <w:gridSpan w:val="2"/>
            <w:tcBorders>
              <w:top w:val="single" w:color="000000" w:sz="6" w:space="0"/>
              <w:left w:val="nil"/>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侧向弯曲</w:t>
            </w:r>
          </w:p>
        </w:tc>
        <w:tc>
          <w:tcPr>
            <w:tcW w:w="1590" w:type="dxa"/>
            <w:tcBorders>
              <w:top w:val="single" w:color="000000" w:sz="6" w:space="0"/>
              <w:left w:val="nil"/>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L/1500，且</w:t>
            </w:r>
            <w:r>
              <w:rPr>
                <w:rFonts w:ascii="宋体" w:hAnsi="宋体" w:eastAsia="宋体" w:cs="Times New Roman"/>
                <w:sz w:val="18"/>
                <w:szCs w:val="18"/>
              </w:rPr>
              <w:t>≤</w:t>
            </w:r>
            <w:r>
              <w:rPr>
                <w:rFonts w:ascii="Times New Roman" w:hAnsi="Times New Roman" w:eastAsia="宋体" w:cs="Times New Roman"/>
                <w:sz w:val="18"/>
                <w:szCs w:val="18"/>
              </w:rPr>
              <w:t>5</w:t>
            </w:r>
          </w:p>
        </w:tc>
        <w:tc>
          <w:tcPr>
            <w:tcW w:w="3402" w:type="dxa"/>
            <w:tcBorders>
              <w:top w:val="single" w:color="000000" w:sz="6" w:space="0"/>
              <w:left w:val="nil"/>
              <w:bottom w:val="single" w:color="000000" w:sz="6" w:space="0"/>
              <w:right w:val="single" w:color="auto" w:sz="12" w:space="0"/>
            </w:tcBorders>
            <w:vAlign w:val="center"/>
          </w:tcPr>
          <w:p>
            <w:pPr>
              <w:widowControl/>
              <w:snapToGrid w:val="0"/>
              <w:rPr>
                <w:rFonts w:ascii="Times New Roman" w:hAnsi="Times New Roman" w:eastAsia="宋体" w:cs="Times New Roman"/>
                <w:sz w:val="18"/>
                <w:szCs w:val="18"/>
              </w:rPr>
            </w:pPr>
            <w:r>
              <w:rPr>
                <w:rFonts w:ascii="Times New Roman" w:hAnsi="Times New Roman" w:eastAsia="宋体" w:cs="Times New Roman"/>
                <w:sz w:val="18"/>
                <w:szCs w:val="18"/>
              </w:rPr>
              <w:t>拉线，用尺量测侧向弯曲最大处</w:t>
            </w:r>
          </w:p>
        </w:tc>
      </w:tr>
      <w:tr>
        <w:tblPrEx>
          <w:tblCellMar>
            <w:top w:w="0" w:type="dxa"/>
            <w:left w:w="28" w:type="dxa"/>
            <w:bottom w:w="0" w:type="dxa"/>
            <w:right w:w="28" w:type="dxa"/>
          </w:tblCellMar>
        </w:tblPrEx>
        <w:trPr>
          <w:trHeight w:val="227" w:hRule="atLeast"/>
          <w:jc w:val="center"/>
        </w:trPr>
        <w:tc>
          <w:tcPr>
            <w:tcW w:w="567" w:type="dxa"/>
            <w:tcBorders>
              <w:top w:val="single" w:color="000000" w:sz="6" w:space="0"/>
              <w:left w:val="single" w:color="auto" w:sz="12" w:space="0"/>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2323" w:type="dxa"/>
            <w:gridSpan w:val="2"/>
            <w:tcBorders>
              <w:top w:val="single" w:color="000000" w:sz="6" w:space="0"/>
              <w:left w:val="nil"/>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翘曲</w:t>
            </w:r>
          </w:p>
        </w:tc>
        <w:tc>
          <w:tcPr>
            <w:tcW w:w="1590" w:type="dxa"/>
            <w:tcBorders>
              <w:top w:val="single" w:color="000000" w:sz="6" w:space="0"/>
              <w:left w:val="nil"/>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L/1500</w:t>
            </w:r>
          </w:p>
        </w:tc>
        <w:tc>
          <w:tcPr>
            <w:tcW w:w="3402" w:type="dxa"/>
            <w:tcBorders>
              <w:top w:val="single" w:color="000000" w:sz="6" w:space="0"/>
              <w:left w:val="nil"/>
              <w:bottom w:val="single" w:color="000000" w:sz="6" w:space="0"/>
              <w:right w:val="single" w:color="auto" w:sz="12" w:space="0"/>
            </w:tcBorders>
            <w:vAlign w:val="center"/>
          </w:tcPr>
          <w:p>
            <w:pPr>
              <w:widowControl/>
              <w:snapToGrid w:val="0"/>
              <w:rPr>
                <w:rFonts w:ascii="Times New Roman" w:hAnsi="Times New Roman" w:eastAsia="宋体" w:cs="Times New Roman"/>
                <w:sz w:val="18"/>
                <w:szCs w:val="18"/>
              </w:rPr>
            </w:pPr>
            <w:r>
              <w:rPr>
                <w:rFonts w:ascii="Times New Roman" w:hAnsi="Times New Roman" w:eastAsia="宋体" w:cs="Times New Roman"/>
                <w:sz w:val="18"/>
                <w:szCs w:val="18"/>
              </w:rPr>
              <w:t>对角拉线测量交点间距离值的两倍</w:t>
            </w:r>
          </w:p>
        </w:tc>
      </w:tr>
      <w:tr>
        <w:tblPrEx>
          <w:tblCellMar>
            <w:top w:w="0" w:type="dxa"/>
            <w:left w:w="28" w:type="dxa"/>
            <w:bottom w:w="0" w:type="dxa"/>
            <w:right w:w="28" w:type="dxa"/>
          </w:tblCellMar>
        </w:tblPrEx>
        <w:trPr>
          <w:trHeight w:val="227" w:hRule="atLeast"/>
          <w:jc w:val="center"/>
        </w:trPr>
        <w:tc>
          <w:tcPr>
            <w:tcW w:w="567" w:type="dxa"/>
            <w:tcBorders>
              <w:top w:val="single" w:color="000000" w:sz="6" w:space="0"/>
              <w:left w:val="single" w:color="auto" w:sz="12" w:space="0"/>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7</w:t>
            </w:r>
          </w:p>
        </w:tc>
        <w:tc>
          <w:tcPr>
            <w:tcW w:w="2323" w:type="dxa"/>
            <w:gridSpan w:val="2"/>
            <w:tcBorders>
              <w:top w:val="single" w:color="000000" w:sz="6" w:space="0"/>
              <w:left w:val="nil"/>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底模表面平整度</w:t>
            </w:r>
          </w:p>
        </w:tc>
        <w:tc>
          <w:tcPr>
            <w:tcW w:w="1590" w:type="dxa"/>
            <w:tcBorders>
              <w:top w:val="single" w:color="000000" w:sz="6" w:space="0"/>
              <w:left w:val="nil"/>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3402" w:type="dxa"/>
            <w:tcBorders>
              <w:top w:val="single" w:color="000000" w:sz="6" w:space="0"/>
              <w:left w:val="nil"/>
              <w:bottom w:val="single" w:color="000000" w:sz="6" w:space="0"/>
              <w:right w:val="single" w:color="auto" w:sz="12" w:space="0"/>
            </w:tcBorders>
            <w:vAlign w:val="center"/>
          </w:tcPr>
          <w:p>
            <w:pPr>
              <w:widowControl/>
              <w:snapToGrid w:val="0"/>
              <w:rPr>
                <w:rFonts w:ascii="Times New Roman" w:hAnsi="Times New Roman" w:eastAsia="宋体" w:cs="Times New Roman"/>
                <w:sz w:val="18"/>
                <w:szCs w:val="18"/>
              </w:rPr>
            </w:pPr>
            <w:r>
              <w:rPr>
                <w:rFonts w:ascii="Times New Roman" w:hAnsi="Times New Roman" w:eastAsia="宋体" w:cs="Times New Roman"/>
                <w:sz w:val="18"/>
                <w:szCs w:val="18"/>
              </w:rPr>
              <w:t>用2m靠尺和塞尺测量</w:t>
            </w:r>
          </w:p>
        </w:tc>
      </w:tr>
      <w:tr>
        <w:tblPrEx>
          <w:tblCellMar>
            <w:top w:w="0" w:type="dxa"/>
            <w:left w:w="28" w:type="dxa"/>
            <w:bottom w:w="0" w:type="dxa"/>
            <w:right w:w="28" w:type="dxa"/>
          </w:tblCellMar>
        </w:tblPrEx>
        <w:trPr>
          <w:trHeight w:val="227" w:hRule="atLeast"/>
          <w:jc w:val="center"/>
        </w:trPr>
        <w:tc>
          <w:tcPr>
            <w:tcW w:w="567" w:type="dxa"/>
            <w:tcBorders>
              <w:top w:val="single" w:color="000000" w:sz="6" w:space="0"/>
              <w:left w:val="single" w:color="auto" w:sz="12" w:space="0"/>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2323" w:type="dxa"/>
            <w:gridSpan w:val="2"/>
            <w:tcBorders>
              <w:top w:val="single" w:color="000000" w:sz="6" w:space="0"/>
              <w:left w:val="nil"/>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组装缝隙</w:t>
            </w:r>
          </w:p>
        </w:tc>
        <w:tc>
          <w:tcPr>
            <w:tcW w:w="1590" w:type="dxa"/>
            <w:tcBorders>
              <w:top w:val="single" w:color="000000" w:sz="6" w:space="0"/>
              <w:left w:val="nil"/>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3402" w:type="dxa"/>
            <w:tcBorders>
              <w:top w:val="single" w:color="000000" w:sz="6" w:space="0"/>
              <w:left w:val="nil"/>
              <w:bottom w:val="single" w:color="000000" w:sz="6" w:space="0"/>
              <w:right w:val="single" w:color="auto" w:sz="12" w:space="0"/>
            </w:tcBorders>
            <w:vAlign w:val="center"/>
          </w:tcPr>
          <w:p>
            <w:pPr>
              <w:widowControl/>
              <w:snapToGrid w:val="0"/>
              <w:rPr>
                <w:rFonts w:ascii="Times New Roman" w:hAnsi="Times New Roman" w:eastAsia="宋体" w:cs="Times New Roman"/>
                <w:sz w:val="18"/>
                <w:szCs w:val="18"/>
              </w:rPr>
            </w:pPr>
            <w:r>
              <w:rPr>
                <w:rFonts w:ascii="Times New Roman" w:hAnsi="Times New Roman" w:eastAsia="宋体" w:cs="Times New Roman"/>
                <w:sz w:val="18"/>
                <w:szCs w:val="18"/>
              </w:rPr>
              <w:t>用塞片或塞尺量</w:t>
            </w:r>
          </w:p>
        </w:tc>
      </w:tr>
      <w:tr>
        <w:tblPrEx>
          <w:tblCellMar>
            <w:top w:w="0" w:type="dxa"/>
            <w:left w:w="28" w:type="dxa"/>
            <w:bottom w:w="0" w:type="dxa"/>
            <w:right w:w="28" w:type="dxa"/>
          </w:tblCellMar>
        </w:tblPrEx>
        <w:trPr>
          <w:trHeight w:val="227" w:hRule="atLeast"/>
          <w:jc w:val="center"/>
        </w:trPr>
        <w:tc>
          <w:tcPr>
            <w:tcW w:w="567" w:type="dxa"/>
            <w:tcBorders>
              <w:top w:val="single" w:color="000000" w:sz="6" w:space="0"/>
              <w:left w:val="single" w:color="auto" w:sz="12" w:space="0"/>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9</w:t>
            </w:r>
          </w:p>
        </w:tc>
        <w:tc>
          <w:tcPr>
            <w:tcW w:w="2323" w:type="dxa"/>
            <w:gridSpan w:val="2"/>
            <w:tcBorders>
              <w:top w:val="single" w:color="000000" w:sz="6" w:space="0"/>
              <w:left w:val="nil"/>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端模与侧模高低差</w:t>
            </w:r>
          </w:p>
        </w:tc>
        <w:tc>
          <w:tcPr>
            <w:tcW w:w="1590" w:type="dxa"/>
            <w:tcBorders>
              <w:top w:val="single" w:color="000000" w:sz="6" w:space="0"/>
              <w:left w:val="nil"/>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3402" w:type="dxa"/>
            <w:tcBorders>
              <w:top w:val="single" w:color="000000" w:sz="6" w:space="0"/>
              <w:left w:val="nil"/>
              <w:bottom w:val="single" w:color="000000" w:sz="6" w:space="0"/>
              <w:right w:val="single" w:color="auto" w:sz="12" w:space="0"/>
            </w:tcBorders>
            <w:vAlign w:val="center"/>
          </w:tcPr>
          <w:p>
            <w:pPr>
              <w:widowControl/>
              <w:snapToGrid w:val="0"/>
              <w:rPr>
                <w:rFonts w:ascii="Times New Roman" w:hAnsi="Times New Roman" w:eastAsia="宋体" w:cs="Times New Roman"/>
                <w:sz w:val="18"/>
                <w:szCs w:val="18"/>
              </w:rPr>
            </w:pPr>
            <w:r>
              <w:rPr>
                <w:rFonts w:ascii="Times New Roman" w:hAnsi="Times New Roman" w:eastAsia="宋体" w:cs="Times New Roman"/>
                <w:sz w:val="18"/>
                <w:szCs w:val="18"/>
              </w:rPr>
              <w:t>用尺量测</w:t>
            </w:r>
          </w:p>
        </w:tc>
      </w:tr>
      <w:tr>
        <w:tblPrEx>
          <w:tblCellMar>
            <w:top w:w="0" w:type="dxa"/>
            <w:left w:w="28" w:type="dxa"/>
            <w:bottom w:w="0" w:type="dxa"/>
            <w:right w:w="28" w:type="dxa"/>
          </w:tblCellMar>
        </w:tblPrEx>
        <w:trPr>
          <w:trHeight w:val="259" w:hRule="atLeast"/>
          <w:jc w:val="center"/>
        </w:trPr>
        <w:tc>
          <w:tcPr>
            <w:tcW w:w="567" w:type="dxa"/>
            <w:vMerge w:val="restart"/>
            <w:tcBorders>
              <w:top w:val="nil"/>
              <w:left w:val="single" w:color="auto" w:sz="12" w:space="0"/>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1330" w:type="dxa"/>
            <w:vMerge w:val="restart"/>
            <w:tcBorders>
              <w:top w:val="nil"/>
              <w:left w:val="nil"/>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连接预留孔位置</w:t>
            </w:r>
          </w:p>
        </w:tc>
        <w:tc>
          <w:tcPr>
            <w:tcW w:w="993" w:type="dxa"/>
            <w:tcBorders>
              <w:top w:val="single" w:color="000000" w:sz="6" w:space="0"/>
              <w:left w:val="nil"/>
              <w:bottom w:val="single" w:color="000000" w:sz="6"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边长方向</w:t>
            </w:r>
          </w:p>
        </w:tc>
        <w:tc>
          <w:tcPr>
            <w:tcW w:w="1590" w:type="dxa"/>
            <w:tcBorders>
              <w:top w:val="single" w:color="000000" w:sz="6" w:space="0"/>
              <w:left w:val="nil"/>
              <w:bottom w:val="single" w:color="000000" w:sz="6" w:space="0"/>
              <w:right w:val="single" w:color="000000" w:sz="6" w:space="0"/>
            </w:tcBorders>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3402" w:type="dxa"/>
            <w:vMerge w:val="restart"/>
            <w:tcBorders>
              <w:top w:val="single" w:color="000000" w:sz="6" w:space="0"/>
              <w:left w:val="nil"/>
              <w:bottom w:val="single" w:color="000000" w:sz="6" w:space="0"/>
              <w:right w:val="single" w:color="auto" w:sz="12" w:space="0"/>
            </w:tcBorders>
            <w:vAlign w:val="center"/>
          </w:tcPr>
          <w:p>
            <w:pPr>
              <w:widowControl/>
              <w:snapToGrid w:val="0"/>
              <w:rPr>
                <w:rFonts w:ascii="Times New Roman" w:hAnsi="Times New Roman" w:eastAsia="宋体" w:cs="Times New Roman"/>
                <w:sz w:val="18"/>
                <w:szCs w:val="18"/>
              </w:rPr>
            </w:pPr>
            <w:r>
              <w:rPr>
                <w:rFonts w:ascii="Times New Roman" w:hAnsi="Times New Roman" w:eastAsia="宋体" w:cs="Times New Roman"/>
                <w:sz w:val="18"/>
                <w:szCs w:val="18"/>
              </w:rPr>
              <w:t>钢尺，测量纵、横中心线位置，取最大值</w:t>
            </w:r>
          </w:p>
        </w:tc>
      </w:tr>
      <w:tr>
        <w:tblPrEx>
          <w:tblCellMar>
            <w:top w:w="0" w:type="dxa"/>
            <w:left w:w="28" w:type="dxa"/>
            <w:bottom w:w="0" w:type="dxa"/>
            <w:right w:w="28" w:type="dxa"/>
          </w:tblCellMar>
        </w:tblPrEx>
        <w:trPr>
          <w:trHeight w:val="259" w:hRule="atLeast"/>
          <w:jc w:val="center"/>
        </w:trPr>
        <w:tc>
          <w:tcPr>
            <w:tcW w:w="567" w:type="dxa"/>
            <w:vMerge w:val="continue"/>
            <w:tcBorders>
              <w:top w:val="nil"/>
              <w:left w:val="single" w:color="auto" w:sz="12" w:space="0"/>
              <w:bottom w:val="single" w:color="auto" w:sz="12" w:space="0"/>
              <w:right w:val="single" w:color="000000" w:sz="6" w:space="0"/>
            </w:tcBorders>
            <w:vAlign w:val="center"/>
          </w:tcPr>
          <w:p>
            <w:pPr>
              <w:widowControl/>
              <w:rPr>
                <w:rFonts w:ascii="Times New Roman" w:hAnsi="Times New Roman" w:eastAsia="宋体" w:cs="Times New Roman"/>
                <w:sz w:val="18"/>
                <w:szCs w:val="18"/>
              </w:rPr>
            </w:pPr>
          </w:p>
        </w:tc>
        <w:tc>
          <w:tcPr>
            <w:tcW w:w="1330" w:type="dxa"/>
            <w:vMerge w:val="continue"/>
            <w:tcBorders>
              <w:top w:val="nil"/>
              <w:left w:val="nil"/>
              <w:bottom w:val="single" w:color="auto" w:sz="12" w:space="0"/>
              <w:right w:val="single" w:color="000000" w:sz="6" w:space="0"/>
            </w:tcBorders>
            <w:vAlign w:val="center"/>
          </w:tcPr>
          <w:p>
            <w:pPr>
              <w:widowControl/>
              <w:rPr>
                <w:rFonts w:ascii="Times New Roman" w:hAnsi="Times New Roman" w:eastAsia="宋体" w:cs="Times New Roman"/>
                <w:sz w:val="18"/>
                <w:szCs w:val="18"/>
              </w:rPr>
            </w:pPr>
          </w:p>
        </w:tc>
        <w:tc>
          <w:tcPr>
            <w:tcW w:w="993" w:type="dxa"/>
            <w:tcBorders>
              <w:top w:val="single" w:color="000000" w:sz="6" w:space="0"/>
              <w:left w:val="nil"/>
              <w:bottom w:val="single" w:color="auto" w:sz="12"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厚度方向</w:t>
            </w:r>
          </w:p>
        </w:tc>
        <w:tc>
          <w:tcPr>
            <w:tcW w:w="1590" w:type="dxa"/>
            <w:tcBorders>
              <w:top w:val="single" w:color="000000" w:sz="6" w:space="0"/>
              <w:left w:val="nil"/>
              <w:bottom w:val="single" w:color="auto" w:sz="12" w:space="0"/>
              <w:right w:val="single" w:color="000000" w:sz="6" w:space="0"/>
            </w:tcBorders>
            <w:vAlign w:val="center"/>
          </w:tcPr>
          <w:p>
            <w:pPr>
              <w:widowControl/>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3402" w:type="dxa"/>
            <w:vMerge w:val="continue"/>
            <w:tcBorders>
              <w:top w:val="single" w:color="000000" w:sz="6" w:space="0"/>
              <w:left w:val="nil"/>
              <w:bottom w:val="single" w:color="auto" w:sz="12" w:space="0"/>
              <w:right w:val="single" w:color="auto" w:sz="12" w:space="0"/>
            </w:tcBorders>
            <w:vAlign w:val="center"/>
          </w:tcPr>
          <w:p>
            <w:pPr>
              <w:widowControl/>
              <w:rPr>
                <w:rFonts w:ascii="Times New Roman" w:hAnsi="Times New Roman" w:eastAsia="宋体" w:cs="Times New Roman"/>
                <w:sz w:val="18"/>
                <w:szCs w:val="18"/>
              </w:rPr>
            </w:pPr>
          </w:p>
        </w:tc>
      </w:tr>
    </w:tbl>
    <w:p>
      <w:pPr>
        <w:pStyle w:val="210"/>
        <w:spacing w:before="240" w:after="240"/>
        <w:outlineLvl w:val="2"/>
        <w:rPr>
          <w:rFonts w:ascii="黑体" w:hAnsi="黑体" w:eastAsia="黑体"/>
          <w:b w:val="0"/>
          <w:sz w:val="21"/>
          <w:szCs w:val="21"/>
        </w:rPr>
      </w:pPr>
      <w:bookmarkStart w:id="196" w:name="_Toc4853"/>
      <w:bookmarkStart w:id="197" w:name="_Toc172188910"/>
      <w:bookmarkStart w:id="198" w:name="_Toc172188634"/>
      <w:bookmarkStart w:id="199" w:name="_Toc172187849"/>
      <w:r>
        <w:rPr>
          <w:rFonts w:ascii="黑体" w:hAnsi="黑体" w:eastAsia="黑体"/>
          <w:b w:val="0"/>
          <w:sz w:val="21"/>
          <w:szCs w:val="21"/>
        </w:rPr>
        <w:t>11.3 构件制作</w:t>
      </w:r>
      <w:bookmarkEnd w:id="196"/>
      <w:bookmarkEnd w:id="197"/>
      <w:bookmarkEnd w:id="198"/>
      <w:bookmarkEnd w:id="199"/>
    </w:p>
    <w:p>
      <w:pPr>
        <w:pStyle w:val="209"/>
        <w:numPr>
          <w:ilvl w:val="0"/>
          <w:numId w:val="35"/>
        </w:numPr>
        <w:spacing w:before="120" w:after="120"/>
        <w:jc w:val="both"/>
        <w:outlineLvl w:val="9"/>
        <w:rPr>
          <w:rFonts w:ascii="Times New Roman" w:eastAsia="宋体"/>
          <w:bCs/>
          <w:color w:val="000000"/>
        </w:rPr>
      </w:pPr>
      <w:r>
        <w:rPr>
          <w:rFonts w:ascii="Times New Roman" w:eastAsia="宋体"/>
          <w:bCs/>
          <w:color w:val="000000"/>
        </w:rPr>
        <w:t>钢筋成品的尺寸偏差应符合表11的规定，钢筋桁架的尺寸偏差应符合表12的规定。</w:t>
      </w:r>
    </w:p>
    <w:p>
      <w:pPr>
        <w:pStyle w:val="83"/>
        <w:shd w:val="clear" w:color="auto" w:fill="auto"/>
        <w:spacing w:before="120" w:beforeLines="50" w:after="120" w:afterLines="50" w:line="240" w:lineRule="auto"/>
        <w:jc w:val="center"/>
        <w:rPr>
          <w:rFonts w:ascii="黑体" w:hAnsi="黑体" w:eastAsia="黑体" w:cs="Times New Roman"/>
          <w:b w:val="0"/>
          <w:sz w:val="21"/>
          <w:szCs w:val="21"/>
        </w:rPr>
      </w:pPr>
      <w:r>
        <w:rPr>
          <w:rFonts w:ascii="黑体" w:hAnsi="黑体" w:eastAsia="黑体" w:cs="Times New Roman"/>
          <w:b w:val="0"/>
          <w:sz w:val="21"/>
          <w:szCs w:val="21"/>
        </w:rPr>
        <w:t>表11钢筋网或钢筋骨架尺寸允许偏差及检验方法</w:t>
      </w:r>
    </w:p>
    <w:tbl>
      <w:tblPr>
        <w:tblStyle w:val="25"/>
        <w:tblW w:w="82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938"/>
        <w:gridCol w:w="1533"/>
        <w:gridCol w:w="34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5" w:type="dxa"/>
            <w:gridSpan w:val="2"/>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项目</w:t>
            </w:r>
          </w:p>
        </w:tc>
        <w:tc>
          <w:tcPr>
            <w:tcW w:w="1533"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允许偏差（mm）</w:t>
            </w:r>
          </w:p>
        </w:tc>
        <w:tc>
          <w:tcPr>
            <w:tcW w:w="3472"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7" w:type="dxa"/>
            <w:vMerge w:val="restart"/>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钢筋网片</w:t>
            </w:r>
          </w:p>
        </w:tc>
        <w:tc>
          <w:tcPr>
            <w:tcW w:w="1938"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长、宽</w:t>
            </w:r>
          </w:p>
        </w:tc>
        <w:tc>
          <w:tcPr>
            <w:tcW w:w="1533"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472"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7" w:type="dxa"/>
            <w:vMerge w:val="continue"/>
            <w:vAlign w:val="center"/>
          </w:tcPr>
          <w:p>
            <w:pPr>
              <w:jc w:val="center"/>
              <w:rPr>
                <w:rFonts w:ascii="Times New Roman" w:hAnsi="Times New Roman" w:eastAsia="宋体" w:cs="Times New Roman"/>
                <w:kern w:val="2"/>
                <w:sz w:val="18"/>
                <w:szCs w:val="18"/>
              </w:rPr>
            </w:pPr>
          </w:p>
        </w:tc>
        <w:tc>
          <w:tcPr>
            <w:tcW w:w="1938"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网眼尺寸</w:t>
            </w:r>
          </w:p>
        </w:tc>
        <w:tc>
          <w:tcPr>
            <w:tcW w:w="1533"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w:t>
            </w:r>
          </w:p>
        </w:tc>
        <w:tc>
          <w:tcPr>
            <w:tcW w:w="3472"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钢尺量连续三档，取最大值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7" w:type="dxa"/>
            <w:vMerge w:val="continue"/>
            <w:vAlign w:val="center"/>
          </w:tcPr>
          <w:p>
            <w:pPr>
              <w:jc w:val="center"/>
              <w:rPr>
                <w:rFonts w:ascii="Times New Roman" w:hAnsi="Times New Roman" w:eastAsia="宋体" w:cs="Times New Roman"/>
                <w:kern w:val="2"/>
                <w:sz w:val="18"/>
                <w:szCs w:val="18"/>
              </w:rPr>
            </w:pPr>
          </w:p>
        </w:tc>
        <w:tc>
          <w:tcPr>
            <w:tcW w:w="1938"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对角线</w:t>
            </w:r>
          </w:p>
        </w:tc>
        <w:tc>
          <w:tcPr>
            <w:tcW w:w="1533"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472"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7" w:type="dxa"/>
            <w:vMerge w:val="continue"/>
            <w:vAlign w:val="center"/>
          </w:tcPr>
          <w:p>
            <w:pPr>
              <w:jc w:val="center"/>
              <w:rPr>
                <w:rFonts w:ascii="Times New Roman" w:hAnsi="Times New Roman" w:eastAsia="宋体" w:cs="Times New Roman"/>
                <w:kern w:val="2"/>
                <w:sz w:val="18"/>
                <w:szCs w:val="18"/>
              </w:rPr>
            </w:pPr>
          </w:p>
        </w:tc>
        <w:tc>
          <w:tcPr>
            <w:tcW w:w="1938"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端头不齐</w:t>
            </w:r>
          </w:p>
        </w:tc>
        <w:tc>
          <w:tcPr>
            <w:tcW w:w="1533"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472"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7" w:type="dxa"/>
            <w:vMerge w:val="restart"/>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钢筋骨架</w:t>
            </w:r>
          </w:p>
        </w:tc>
        <w:tc>
          <w:tcPr>
            <w:tcW w:w="1938"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长</w:t>
            </w:r>
          </w:p>
        </w:tc>
        <w:tc>
          <w:tcPr>
            <w:tcW w:w="1533"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0，-5</w:t>
            </w:r>
          </w:p>
        </w:tc>
        <w:tc>
          <w:tcPr>
            <w:tcW w:w="3472"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7" w:type="dxa"/>
            <w:vMerge w:val="continue"/>
            <w:vAlign w:val="center"/>
          </w:tcPr>
          <w:p>
            <w:pPr>
              <w:jc w:val="center"/>
              <w:rPr>
                <w:rFonts w:ascii="Times New Roman" w:hAnsi="Times New Roman" w:eastAsia="宋体" w:cs="Times New Roman"/>
                <w:kern w:val="2"/>
                <w:sz w:val="18"/>
                <w:szCs w:val="18"/>
              </w:rPr>
            </w:pPr>
          </w:p>
        </w:tc>
        <w:tc>
          <w:tcPr>
            <w:tcW w:w="1938"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宽</w:t>
            </w:r>
          </w:p>
        </w:tc>
        <w:tc>
          <w:tcPr>
            <w:tcW w:w="1533"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472"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钢尺检查</w:t>
            </w:r>
          </w:p>
        </w:tc>
      </w:tr>
    </w:tbl>
    <w:p>
      <w:pPr>
        <w:pStyle w:val="83"/>
        <w:shd w:val="clear" w:color="auto" w:fill="auto"/>
        <w:spacing w:before="120" w:beforeLines="50" w:after="120" w:afterLines="50" w:line="240" w:lineRule="auto"/>
        <w:jc w:val="center"/>
        <w:rPr>
          <w:rFonts w:ascii="黑体" w:hAnsi="黑体" w:eastAsia="黑体" w:cs="Times New Roman"/>
          <w:b w:val="0"/>
          <w:sz w:val="21"/>
          <w:szCs w:val="21"/>
        </w:rPr>
      </w:pPr>
    </w:p>
    <w:p>
      <w:pPr>
        <w:pStyle w:val="83"/>
        <w:shd w:val="clear" w:color="auto" w:fill="auto"/>
        <w:spacing w:before="120" w:beforeLines="50" w:after="120" w:afterLines="50" w:line="240" w:lineRule="auto"/>
        <w:jc w:val="center"/>
        <w:rPr>
          <w:rFonts w:ascii="黑体" w:hAnsi="黑体" w:eastAsia="黑体" w:cs="Times New Roman"/>
          <w:b w:val="0"/>
          <w:sz w:val="21"/>
          <w:szCs w:val="21"/>
        </w:rPr>
      </w:pPr>
    </w:p>
    <w:p>
      <w:pPr>
        <w:pStyle w:val="83"/>
        <w:shd w:val="clear" w:color="auto" w:fill="auto"/>
        <w:spacing w:before="120" w:beforeLines="50" w:after="120" w:afterLines="50" w:line="240" w:lineRule="auto"/>
        <w:jc w:val="center"/>
        <w:rPr>
          <w:rFonts w:ascii="黑体" w:hAnsi="黑体" w:eastAsia="黑体" w:cs="Times New Roman"/>
          <w:b w:val="0"/>
          <w:sz w:val="21"/>
          <w:szCs w:val="21"/>
        </w:rPr>
      </w:pPr>
    </w:p>
    <w:p>
      <w:pPr>
        <w:pStyle w:val="83"/>
        <w:shd w:val="clear" w:color="auto" w:fill="auto"/>
        <w:spacing w:before="120" w:beforeLines="50" w:after="120" w:afterLines="50" w:line="240" w:lineRule="auto"/>
        <w:jc w:val="center"/>
        <w:rPr>
          <w:rFonts w:ascii="黑体" w:hAnsi="黑体" w:eastAsia="黑体" w:cs="Times New Roman"/>
          <w:b w:val="0"/>
          <w:sz w:val="21"/>
          <w:szCs w:val="21"/>
        </w:rPr>
      </w:pPr>
      <w:r>
        <w:rPr>
          <w:rFonts w:ascii="黑体" w:hAnsi="黑体" w:eastAsia="黑体" w:cs="Times New Roman"/>
          <w:b w:val="0"/>
          <w:sz w:val="21"/>
          <w:szCs w:val="21"/>
        </w:rPr>
        <w:t>表11钢筋网或钢筋骨架尺寸允许偏差及检验方法</w:t>
      </w:r>
      <w:r>
        <w:rPr>
          <w:rFonts w:hint="eastAsia" w:ascii="黑体" w:hAnsi="黑体" w:eastAsia="黑体" w:cs="Times New Roman"/>
          <w:b w:val="0"/>
          <w:sz w:val="21"/>
          <w:szCs w:val="21"/>
        </w:rPr>
        <w:t>（续表）</w:t>
      </w:r>
    </w:p>
    <w:tbl>
      <w:tblPr>
        <w:tblStyle w:val="25"/>
        <w:tblW w:w="82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969"/>
        <w:gridCol w:w="969"/>
        <w:gridCol w:w="1533"/>
        <w:gridCol w:w="34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5" w:type="dxa"/>
            <w:gridSpan w:val="3"/>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项目</w:t>
            </w:r>
          </w:p>
        </w:tc>
        <w:tc>
          <w:tcPr>
            <w:tcW w:w="1533"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允许偏差（mm）</w:t>
            </w:r>
          </w:p>
        </w:tc>
        <w:tc>
          <w:tcPr>
            <w:tcW w:w="3472"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7" w:type="dxa"/>
            <w:vMerge w:val="restart"/>
            <w:vAlign w:val="center"/>
          </w:tcPr>
          <w:p>
            <w:pPr>
              <w:jc w:val="center"/>
              <w:rPr>
                <w:rFonts w:ascii="Times New Roman" w:hAnsi="Times New Roman" w:eastAsia="宋体" w:cs="Times New Roman"/>
                <w:kern w:val="2"/>
                <w:sz w:val="18"/>
                <w:szCs w:val="18"/>
              </w:rPr>
            </w:pPr>
          </w:p>
        </w:tc>
        <w:tc>
          <w:tcPr>
            <w:tcW w:w="1938" w:type="dxa"/>
            <w:gridSpan w:val="2"/>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高（厚）</w:t>
            </w:r>
          </w:p>
        </w:tc>
        <w:tc>
          <w:tcPr>
            <w:tcW w:w="1533"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472"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7" w:type="dxa"/>
            <w:vMerge w:val="continue"/>
            <w:vAlign w:val="center"/>
          </w:tcPr>
          <w:p>
            <w:pPr>
              <w:jc w:val="center"/>
              <w:rPr>
                <w:rFonts w:ascii="Times New Roman" w:hAnsi="Times New Roman" w:eastAsia="宋体" w:cs="Times New Roman"/>
                <w:kern w:val="2"/>
                <w:sz w:val="18"/>
                <w:szCs w:val="18"/>
              </w:rPr>
            </w:pPr>
          </w:p>
        </w:tc>
        <w:tc>
          <w:tcPr>
            <w:tcW w:w="1938" w:type="dxa"/>
            <w:gridSpan w:val="2"/>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主筋间距</w:t>
            </w:r>
          </w:p>
        </w:tc>
        <w:tc>
          <w:tcPr>
            <w:tcW w:w="1533"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w:t>
            </w:r>
          </w:p>
        </w:tc>
        <w:tc>
          <w:tcPr>
            <w:tcW w:w="3472"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钢尺量两端、中间各一点，取最大值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7" w:type="dxa"/>
            <w:vMerge w:val="continue"/>
            <w:vAlign w:val="center"/>
          </w:tcPr>
          <w:p>
            <w:pPr>
              <w:jc w:val="center"/>
              <w:rPr>
                <w:rFonts w:ascii="Times New Roman" w:hAnsi="Times New Roman" w:eastAsia="宋体" w:cs="Times New Roman"/>
                <w:kern w:val="2"/>
                <w:sz w:val="18"/>
                <w:szCs w:val="18"/>
              </w:rPr>
            </w:pPr>
          </w:p>
        </w:tc>
        <w:tc>
          <w:tcPr>
            <w:tcW w:w="1938" w:type="dxa"/>
            <w:gridSpan w:val="2"/>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主筋排距</w:t>
            </w:r>
          </w:p>
        </w:tc>
        <w:tc>
          <w:tcPr>
            <w:tcW w:w="1533"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472"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钢尺量两端、中间各一点，取最大值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7" w:type="dxa"/>
            <w:vMerge w:val="continue"/>
            <w:vAlign w:val="center"/>
          </w:tcPr>
          <w:p>
            <w:pPr>
              <w:jc w:val="center"/>
              <w:rPr>
                <w:rFonts w:ascii="Times New Roman" w:hAnsi="Times New Roman" w:eastAsia="宋体" w:cs="Times New Roman"/>
                <w:kern w:val="2"/>
                <w:sz w:val="18"/>
                <w:szCs w:val="18"/>
              </w:rPr>
            </w:pPr>
          </w:p>
        </w:tc>
        <w:tc>
          <w:tcPr>
            <w:tcW w:w="1938" w:type="dxa"/>
            <w:gridSpan w:val="2"/>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箍筋间距</w:t>
            </w:r>
          </w:p>
        </w:tc>
        <w:tc>
          <w:tcPr>
            <w:tcW w:w="1533"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w:t>
            </w:r>
          </w:p>
        </w:tc>
        <w:tc>
          <w:tcPr>
            <w:tcW w:w="3472"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钢尺量连续三档，取最大值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7" w:type="dxa"/>
            <w:vMerge w:val="continue"/>
            <w:vAlign w:val="center"/>
          </w:tcPr>
          <w:p>
            <w:pPr>
              <w:jc w:val="center"/>
              <w:rPr>
                <w:rFonts w:ascii="Times New Roman" w:hAnsi="Times New Roman" w:eastAsia="宋体" w:cs="Times New Roman"/>
                <w:kern w:val="2"/>
                <w:sz w:val="18"/>
                <w:szCs w:val="18"/>
              </w:rPr>
            </w:pPr>
          </w:p>
        </w:tc>
        <w:tc>
          <w:tcPr>
            <w:tcW w:w="1938" w:type="dxa"/>
            <w:gridSpan w:val="2"/>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弯起点位置</w:t>
            </w:r>
          </w:p>
        </w:tc>
        <w:tc>
          <w:tcPr>
            <w:tcW w:w="1533"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15</w:t>
            </w:r>
          </w:p>
        </w:tc>
        <w:tc>
          <w:tcPr>
            <w:tcW w:w="3472"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7" w:type="dxa"/>
            <w:vMerge w:val="continue"/>
            <w:vAlign w:val="center"/>
          </w:tcPr>
          <w:p>
            <w:pPr>
              <w:jc w:val="center"/>
              <w:rPr>
                <w:rFonts w:ascii="Times New Roman" w:hAnsi="Times New Roman" w:eastAsia="宋体" w:cs="Times New Roman"/>
                <w:kern w:val="2"/>
                <w:sz w:val="18"/>
                <w:szCs w:val="18"/>
              </w:rPr>
            </w:pPr>
          </w:p>
        </w:tc>
        <w:tc>
          <w:tcPr>
            <w:tcW w:w="1938" w:type="dxa"/>
            <w:gridSpan w:val="2"/>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端头不齐</w:t>
            </w:r>
          </w:p>
        </w:tc>
        <w:tc>
          <w:tcPr>
            <w:tcW w:w="1533"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472"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7" w:type="dxa"/>
            <w:vMerge w:val="continue"/>
            <w:vAlign w:val="center"/>
          </w:tcPr>
          <w:p>
            <w:pPr>
              <w:jc w:val="center"/>
              <w:rPr>
                <w:rFonts w:ascii="Times New Roman" w:hAnsi="Times New Roman" w:eastAsia="宋体" w:cs="Times New Roman"/>
                <w:kern w:val="2"/>
                <w:sz w:val="18"/>
                <w:szCs w:val="18"/>
              </w:rPr>
            </w:pPr>
          </w:p>
        </w:tc>
        <w:tc>
          <w:tcPr>
            <w:tcW w:w="969" w:type="dxa"/>
            <w:vMerge w:val="restart"/>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保护层</w:t>
            </w:r>
          </w:p>
        </w:tc>
        <w:tc>
          <w:tcPr>
            <w:tcW w:w="969"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柱、梁</w:t>
            </w:r>
          </w:p>
        </w:tc>
        <w:tc>
          <w:tcPr>
            <w:tcW w:w="1533"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472"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7" w:type="dxa"/>
            <w:vMerge w:val="continue"/>
            <w:vAlign w:val="center"/>
          </w:tcPr>
          <w:p>
            <w:pPr>
              <w:jc w:val="center"/>
              <w:rPr>
                <w:rFonts w:ascii="Times New Roman" w:hAnsi="Times New Roman" w:eastAsia="宋体" w:cs="Times New Roman"/>
                <w:kern w:val="2"/>
                <w:sz w:val="18"/>
                <w:szCs w:val="18"/>
              </w:rPr>
            </w:pPr>
          </w:p>
        </w:tc>
        <w:tc>
          <w:tcPr>
            <w:tcW w:w="969" w:type="dxa"/>
            <w:vMerge w:val="continue"/>
            <w:vAlign w:val="center"/>
          </w:tcPr>
          <w:p>
            <w:pPr>
              <w:jc w:val="center"/>
              <w:rPr>
                <w:rFonts w:ascii="Times New Roman" w:hAnsi="Times New Roman" w:eastAsia="宋体" w:cs="Times New Roman"/>
                <w:kern w:val="2"/>
                <w:sz w:val="18"/>
                <w:szCs w:val="18"/>
              </w:rPr>
            </w:pPr>
          </w:p>
        </w:tc>
        <w:tc>
          <w:tcPr>
            <w:tcW w:w="969"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板、墙</w:t>
            </w:r>
          </w:p>
        </w:tc>
        <w:tc>
          <w:tcPr>
            <w:tcW w:w="1533"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±3</w:t>
            </w:r>
          </w:p>
        </w:tc>
        <w:tc>
          <w:tcPr>
            <w:tcW w:w="3472"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钢尺检查</w:t>
            </w:r>
          </w:p>
        </w:tc>
      </w:tr>
    </w:tbl>
    <w:p>
      <w:pPr>
        <w:pStyle w:val="83"/>
        <w:shd w:val="clear" w:color="auto" w:fill="auto"/>
        <w:spacing w:before="120" w:beforeLines="50" w:after="120" w:afterLines="50" w:line="240" w:lineRule="auto"/>
        <w:jc w:val="center"/>
        <w:rPr>
          <w:rFonts w:ascii="黑体" w:hAnsi="黑体" w:eastAsia="黑体" w:cs="Times New Roman"/>
          <w:b w:val="0"/>
          <w:sz w:val="21"/>
          <w:szCs w:val="21"/>
        </w:rPr>
      </w:pPr>
      <w:r>
        <w:rPr>
          <w:rFonts w:ascii="黑体" w:hAnsi="黑体" w:eastAsia="黑体" w:cs="Times New Roman"/>
          <w:b w:val="0"/>
          <w:sz w:val="21"/>
          <w:szCs w:val="21"/>
        </w:rPr>
        <w:t>表12钢筋桁架尺寸允许偏差</w:t>
      </w:r>
    </w:p>
    <w:tbl>
      <w:tblPr>
        <w:tblStyle w:val="25"/>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2413"/>
        <w:gridCol w:w="4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944" w:type="dxa"/>
            <w:tcBorders>
              <w:top w:val="single" w:color="auto" w:sz="12" w:space="0"/>
              <w:lef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项次</w:t>
            </w:r>
          </w:p>
        </w:tc>
        <w:tc>
          <w:tcPr>
            <w:tcW w:w="2413" w:type="dxa"/>
            <w:tcBorders>
              <w:top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检验项目</w:t>
            </w:r>
          </w:p>
        </w:tc>
        <w:tc>
          <w:tcPr>
            <w:tcW w:w="4891" w:type="dxa"/>
            <w:tcBorders>
              <w:top w:val="single" w:color="auto" w:sz="12"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允许偏差（mm）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44" w:type="dxa"/>
            <w:tcBorders>
              <w:lef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w:t>
            </w:r>
          </w:p>
        </w:tc>
        <w:tc>
          <w:tcPr>
            <w:tcW w:w="2413"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长度</w:t>
            </w:r>
          </w:p>
        </w:tc>
        <w:tc>
          <w:tcPr>
            <w:tcW w:w="4891" w:type="dxa"/>
            <w:tcBorders>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总长度的±0.3%，且不超过±10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44" w:type="dxa"/>
            <w:tcBorders>
              <w:lef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2413"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高度</w:t>
            </w:r>
          </w:p>
        </w:tc>
        <w:tc>
          <w:tcPr>
            <w:tcW w:w="4891" w:type="dxa"/>
            <w:tcBorders>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44" w:type="dxa"/>
            <w:tcBorders>
              <w:lef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3</w:t>
            </w:r>
          </w:p>
        </w:tc>
        <w:tc>
          <w:tcPr>
            <w:tcW w:w="2413"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宽度</w:t>
            </w:r>
          </w:p>
        </w:tc>
        <w:tc>
          <w:tcPr>
            <w:tcW w:w="4891" w:type="dxa"/>
            <w:tcBorders>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44" w:type="dxa"/>
            <w:tcBorders>
              <w:left w:val="single" w:color="auto" w:sz="12" w:space="0"/>
              <w:bottom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4</w:t>
            </w:r>
          </w:p>
        </w:tc>
        <w:tc>
          <w:tcPr>
            <w:tcW w:w="2413" w:type="dxa"/>
            <w:tcBorders>
              <w:bottom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扭翘</w:t>
            </w:r>
          </w:p>
        </w:tc>
        <w:tc>
          <w:tcPr>
            <w:tcW w:w="4891" w:type="dxa"/>
            <w:tcBorders>
              <w:bottom w:val="single" w:color="auto" w:sz="12" w:space="0"/>
              <w:right w:val="single" w:color="auto" w:sz="12" w:space="0"/>
            </w:tcBorders>
            <w:vAlign w:val="center"/>
          </w:tcPr>
          <w:p>
            <w:pPr>
              <w:jc w:val="center"/>
              <w:rPr>
                <w:rFonts w:ascii="Times New Roman" w:hAnsi="Times New Roman" w:eastAsia="宋体" w:cs="Times New Roman"/>
                <w:kern w:val="2"/>
                <w:sz w:val="18"/>
                <w:szCs w:val="18"/>
              </w:rPr>
            </w:pPr>
            <w:r>
              <w:rPr>
                <w:rFonts w:ascii="宋体" w:hAnsi="宋体" w:eastAsia="宋体" w:cs="Times New Roman"/>
                <w:kern w:val="2"/>
                <w:sz w:val="18"/>
                <w:szCs w:val="18"/>
              </w:rPr>
              <w:t>≤</w:t>
            </w:r>
            <w:r>
              <w:rPr>
                <w:rFonts w:ascii="Times New Roman" w:hAnsi="Times New Roman" w:eastAsia="宋体" w:cs="Times New Roman"/>
                <w:kern w:val="2"/>
                <w:sz w:val="18"/>
                <w:szCs w:val="18"/>
              </w:rPr>
              <w:t>5</w:t>
            </w:r>
          </w:p>
        </w:tc>
      </w:tr>
    </w:tbl>
    <w:p>
      <w:pPr>
        <w:pStyle w:val="209"/>
        <w:numPr>
          <w:ilvl w:val="0"/>
          <w:numId w:val="35"/>
        </w:numPr>
        <w:spacing w:before="120" w:after="120"/>
        <w:jc w:val="both"/>
        <w:outlineLvl w:val="9"/>
        <w:rPr>
          <w:rFonts w:ascii="Times New Roman" w:eastAsia="宋体"/>
          <w:bCs/>
          <w:color w:val="000000"/>
        </w:rPr>
      </w:pPr>
      <w:r>
        <w:rPr>
          <w:rFonts w:ascii="Times New Roman" w:eastAsia="宋体"/>
          <w:bCs/>
          <w:color w:val="000000"/>
        </w:rPr>
        <w:t>构件上的预埋件和预留孔洞宜通过模具进行定位，并安装牢固，其安装偏差应符合表13的规定。</w:t>
      </w:r>
    </w:p>
    <w:p>
      <w:pPr>
        <w:pStyle w:val="83"/>
        <w:shd w:val="clear" w:color="auto" w:fill="auto"/>
        <w:spacing w:before="120" w:beforeLines="50" w:after="120" w:afterLines="50" w:line="240" w:lineRule="auto"/>
        <w:jc w:val="center"/>
        <w:rPr>
          <w:rFonts w:ascii="黑体" w:hAnsi="黑体" w:eastAsia="黑体" w:cs="Times New Roman"/>
          <w:b w:val="0"/>
          <w:sz w:val="21"/>
          <w:szCs w:val="21"/>
        </w:rPr>
      </w:pPr>
      <w:r>
        <w:rPr>
          <w:rFonts w:ascii="黑体" w:hAnsi="黑体" w:eastAsia="黑体" w:cs="Times New Roman"/>
          <w:b w:val="0"/>
          <w:sz w:val="21"/>
          <w:szCs w:val="21"/>
        </w:rPr>
        <w:t>表13</w:t>
      </w:r>
      <w:r>
        <w:rPr>
          <w:rFonts w:hint="eastAsia" w:ascii="黑体" w:hAnsi="黑体" w:eastAsia="黑体" w:cs="Times New Roman"/>
          <w:b w:val="0"/>
          <w:sz w:val="21"/>
          <w:szCs w:val="21"/>
        </w:rPr>
        <w:t xml:space="preserve">   </w:t>
      </w:r>
      <w:r>
        <w:rPr>
          <w:rFonts w:ascii="黑体" w:hAnsi="黑体" w:eastAsia="黑体" w:cs="Times New Roman"/>
          <w:b w:val="0"/>
          <w:sz w:val="21"/>
          <w:szCs w:val="21"/>
        </w:rPr>
        <w:t>模具上预埋件、预留孔洞的安装允许偏差及检验方法</w:t>
      </w:r>
    </w:p>
    <w:tbl>
      <w:tblPr>
        <w:tblStyle w:val="25"/>
        <w:tblW w:w="822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36"/>
        <w:gridCol w:w="2195"/>
        <w:gridCol w:w="1423"/>
        <w:gridCol w:w="1088"/>
        <w:gridCol w:w="277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70" w:hRule="atLeast"/>
          <w:jc w:val="center"/>
        </w:trPr>
        <w:tc>
          <w:tcPr>
            <w:tcW w:w="736"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项次</w:t>
            </w:r>
          </w:p>
        </w:tc>
        <w:tc>
          <w:tcPr>
            <w:tcW w:w="3618" w:type="dxa"/>
            <w:gridSpan w:val="2"/>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检验项目</w:t>
            </w:r>
          </w:p>
        </w:tc>
        <w:tc>
          <w:tcPr>
            <w:tcW w:w="108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允许偏差（mm）</w:t>
            </w:r>
          </w:p>
        </w:tc>
        <w:tc>
          <w:tcPr>
            <w:tcW w:w="2778"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检验方法</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736" w:type="dxa"/>
            <w:vMerge w:val="restart"/>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w:t>
            </w:r>
          </w:p>
        </w:tc>
        <w:tc>
          <w:tcPr>
            <w:tcW w:w="2195" w:type="dxa"/>
            <w:vMerge w:val="restart"/>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预埋钢板、建筑幕墙用槽式预埋组件</w:t>
            </w:r>
          </w:p>
        </w:tc>
        <w:tc>
          <w:tcPr>
            <w:tcW w:w="1423"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w:t>
            </w:r>
          </w:p>
        </w:tc>
        <w:tc>
          <w:tcPr>
            <w:tcW w:w="108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3</w:t>
            </w:r>
          </w:p>
        </w:tc>
        <w:tc>
          <w:tcPr>
            <w:tcW w:w="2778"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用尺量测纵横两个方向的中心线位置，记录其中较大值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736"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2195"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423"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平面高差</w:t>
            </w:r>
          </w:p>
        </w:tc>
        <w:tc>
          <w:tcPr>
            <w:tcW w:w="108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2778"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钢直尺和塞尺检查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70" w:hRule="atLeast"/>
          <w:jc w:val="center"/>
        </w:trPr>
        <w:tc>
          <w:tcPr>
            <w:tcW w:w="736"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3618" w:type="dxa"/>
            <w:gridSpan w:val="2"/>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预埋管、电线盒、电线管水平和垂直方向的中心线位置偏移、预留孔</w:t>
            </w:r>
          </w:p>
        </w:tc>
        <w:tc>
          <w:tcPr>
            <w:tcW w:w="108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2778"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用尺量测纵横两个方向的中心线位置，记录其中较大值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70" w:hRule="atLeast"/>
          <w:jc w:val="center"/>
        </w:trPr>
        <w:tc>
          <w:tcPr>
            <w:tcW w:w="736" w:type="dxa"/>
            <w:vMerge w:val="restart"/>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3</w:t>
            </w:r>
          </w:p>
        </w:tc>
        <w:tc>
          <w:tcPr>
            <w:tcW w:w="2195" w:type="dxa"/>
            <w:vMerge w:val="restart"/>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插筋</w:t>
            </w:r>
          </w:p>
        </w:tc>
        <w:tc>
          <w:tcPr>
            <w:tcW w:w="1423"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w:t>
            </w:r>
          </w:p>
        </w:tc>
        <w:tc>
          <w:tcPr>
            <w:tcW w:w="108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3</w:t>
            </w:r>
          </w:p>
        </w:tc>
        <w:tc>
          <w:tcPr>
            <w:tcW w:w="2778"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用尺量测纵横两个方向的中心线位置，记录其中较大值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736"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2195"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423"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外露长度</w:t>
            </w:r>
          </w:p>
        </w:tc>
        <w:tc>
          <w:tcPr>
            <w:tcW w:w="108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﹢10，0</w:t>
            </w:r>
          </w:p>
        </w:tc>
        <w:tc>
          <w:tcPr>
            <w:tcW w:w="2778"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70" w:hRule="atLeast"/>
          <w:jc w:val="center"/>
        </w:trPr>
        <w:tc>
          <w:tcPr>
            <w:tcW w:w="736" w:type="dxa"/>
            <w:vMerge w:val="restart"/>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4</w:t>
            </w:r>
          </w:p>
        </w:tc>
        <w:tc>
          <w:tcPr>
            <w:tcW w:w="2195" w:type="dxa"/>
            <w:vMerge w:val="restart"/>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吊环</w:t>
            </w:r>
          </w:p>
        </w:tc>
        <w:tc>
          <w:tcPr>
            <w:tcW w:w="1423"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w:t>
            </w:r>
          </w:p>
        </w:tc>
        <w:tc>
          <w:tcPr>
            <w:tcW w:w="108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3</w:t>
            </w:r>
          </w:p>
        </w:tc>
        <w:tc>
          <w:tcPr>
            <w:tcW w:w="2778"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用尺量测纵横两个方向的中心线位置，记录其中较大值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736"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2195"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423"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外露长度</w:t>
            </w:r>
          </w:p>
        </w:tc>
        <w:tc>
          <w:tcPr>
            <w:tcW w:w="108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0，-5</w:t>
            </w:r>
          </w:p>
        </w:tc>
        <w:tc>
          <w:tcPr>
            <w:tcW w:w="2778"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60" w:hRule="atLeast"/>
          <w:jc w:val="center"/>
        </w:trPr>
        <w:tc>
          <w:tcPr>
            <w:tcW w:w="736"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195"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预埋螺栓</w:t>
            </w:r>
          </w:p>
        </w:tc>
        <w:tc>
          <w:tcPr>
            <w:tcW w:w="1423"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w:t>
            </w:r>
          </w:p>
        </w:tc>
        <w:tc>
          <w:tcPr>
            <w:tcW w:w="108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2778"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用尺量测纵横两个方向的中心线位置，记录其中较大值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736"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2195"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423"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外露长度</w:t>
            </w:r>
          </w:p>
        </w:tc>
        <w:tc>
          <w:tcPr>
            <w:tcW w:w="108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﹢5，0</w:t>
            </w:r>
          </w:p>
        </w:tc>
        <w:tc>
          <w:tcPr>
            <w:tcW w:w="2778"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2" w:hRule="atLeast"/>
          <w:jc w:val="center"/>
        </w:trPr>
        <w:tc>
          <w:tcPr>
            <w:tcW w:w="736"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6</w:t>
            </w:r>
          </w:p>
        </w:tc>
        <w:tc>
          <w:tcPr>
            <w:tcW w:w="2195"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预埋螺母</w:t>
            </w:r>
          </w:p>
        </w:tc>
        <w:tc>
          <w:tcPr>
            <w:tcW w:w="1423"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w:t>
            </w:r>
          </w:p>
        </w:tc>
        <w:tc>
          <w:tcPr>
            <w:tcW w:w="108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2778"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用尺量测纵横两个方向的中心线位置，记录其中较大值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736"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2195"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423"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平面高差</w:t>
            </w:r>
          </w:p>
        </w:tc>
        <w:tc>
          <w:tcPr>
            <w:tcW w:w="108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w:t>
            </w:r>
          </w:p>
        </w:tc>
        <w:tc>
          <w:tcPr>
            <w:tcW w:w="2778" w:type="dxa"/>
            <w:tcBorders>
              <w:tl2br w:val="nil"/>
              <w:tr2bl w:val="nil"/>
            </w:tcBorders>
            <w:vAlign w:val="bottom"/>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钢直尺和塞尺检查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818" w:hRule="atLeast"/>
          <w:jc w:val="center"/>
        </w:trPr>
        <w:tc>
          <w:tcPr>
            <w:tcW w:w="736"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7</w:t>
            </w:r>
          </w:p>
        </w:tc>
        <w:tc>
          <w:tcPr>
            <w:tcW w:w="2195"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预留洞</w:t>
            </w:r>
          </w:p>
        </w:tc>
        <w:tc>
          <w:tcPr>
            <w:tcW w:w="1423"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w:t>
            </w:r>
          </w:p>
        </w:tc>
        <w:tc>
          <w:tcPr>
            <w:tcW w:w="108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3</w:t>
            </w:r>
          </w:p>
        </w:tc>
        <w:tc>
          <w:tcPr>
            <w:tcW w:w="2778"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用尺量测纵横两个方向的中心线位置，记录其中较大值</w:t>
            </w:r>
          </w:p>
        </w:tc>
      </w:tr>
    </w:tbl>
    <w:p>
      <w:pPr>
        <w:spacing w:before="120" w:beforeLines="50" w:after="120" w:afterLines="50"/>
        <w:jc w:val="center"/>
        <w:rPr>
          <w:rFonts w:eastAsiaTheme="minorEastAsia"/>
          <w:lang w:val="en-US"/>
        </w:rPr>
      </w:pPr>
      <w:r>
        <w:rPr>
          <w:rFonts w:ascii="黑体" w:hAnsi="黑体" w:eastAsia="黑体" w:cs="Times New Roman"/>
          <w:sz w:val="21"/>
          <w:szCs w:val="21"/>
        </w:rPr>
        <w:t>表13</w:t>
      </w:r>
      <w:r>
        <w:rPr>
          <w:rFonts w:hint="eastAsia" w:ascii="黑体" w:hAnsi="黑体" w:eastAsia="黑体" w:cs="Times New Roman"/>
          <w:sz w:val="21"/>
          <w:szCs w:val="21"/>
          <w:lang w:val="en-US"/>
        </w:rPr>
        <w:t xml:space="preserve">   </w:t>
      </w:r>
      <w:r>
        <w:rPr>
          <w:rFonts w:ascii="黑体" w:hAnsi="黑体" w:eastAsia="黑体" w:cs="Times New Roman"/>
          <w:sz w:val="21"/>
          <w:szCs w:val="21"/>
        </w:rPr>
        <w:t>模具上预埋件、预留孔洞的安装允许偏差及检验方法</w:t>
      </w:r>
      <w:r>
        <w:rPr>
          <w:rFonts w:hint="eastAsia" w:ascii="黑体" w:hAnsi="黑体" w:eastAsia="黑体" w:cs="Times New Roman"/>
          <w:sz w:val="21"/>
          <w:szCs w:val="21"/>
        </w:rPr>
        <w:t>（续表）</w:t>
      </w:r>
    </w:p>
    <w:tbl>
      <w:tblPr>
        <w:tblStyle w:val="25"/>
        <w:tblW w:w="822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36"/>
        <w:gridCol w:w="2195"/>
        <w:gridCol w:w="1423"/>
        <w:gridCol w:w="1088"/>
        <w:gridCol w:w="277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70" w:hRule="atLeast"/>
          <w:jc w:val="center"/>
        </w:trPr>
        <w:tc>
          <w:tcPr>
            <w:tcW w:w="736"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项次</w:t>
            </w:r>
          </w:p>
        </w:tc>
        <w:tc>
          <w:tcPr>
            <w:tcW w:w="3618" w:type="dxa"/>
            <w:gridSpan w:val="2"/>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检验项目</w:t>
            </w:r>
          </w:p>
        </w:tc>
        <w:tc>
          <w:tcPr>
            <w:tcW w:w="108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允许偏差（mm）</w:t>
            </w:r>
          </w:p>
        </w:tc>
        <w:tc>
          <w:tcPr>
            <w:tcW w:w="2778"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检验方法</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40" w:hRule="atLeast"/>
          <w:jc w:val="center"/>
        </w:trPr>
        <w:tc>
          <w:tcPr>
            <w:tcW w:w="736" w:type="dxa"/>
            <w:tcBorders>
              <w:tl2br w:val="nil"/>
              <w:tr2bl w:val="nil"/>
            </w:tcBorders>
            <w:vAlign w:val="center"/>
          </w:tcPr>
          <w:p>
            <w:pPr>
              <w:jc w:val="center"/>
              <w:rPr>
                <w:rFonts w:ascii="Times New Roman" w:hAnsi="Times New Roman" w:eastAsia="宋体" w:cs="Times New Roman"/>
                <w:kern w:val="2"/>
                <w:sz w:val="18"/>
                <w:szCs w:val="18"/>
              </w:rPr>
            </w:pPr>
          </w:p>
        </w:tc>
        <w:tc>
          <w:tcPr>
            <w:tcW w:w="2195" w:type="dxa"/>
            <w:tcBorders>
              <w:tl2br w:val="nil"/>
              <w:tr2bl w:val="nil"/>
            </w:tcBorders>
            <w:vAlign w:val="center"/>
          </w:tcPr>
          <w:p>
            <w:pPr>
              <w:jc w:val="center"/>
              <w:rPr>
                <w:rFonts w:ascii="Times New Roman" w:hAnsi="Times New Roman" w:eastAsia="宋体" w:cs="Times New Roman"/>
                <w:kern w:val="2"/>
                <w:sz w:val="18"/>
                <w:szCs w:val="18"/>
              </w:rPr>
            </w:pPr>
          </w:p>
        </w:tc>
        <w:tc>
          <w:tcPr>
            <w:tcW w:w="1423"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尺寸</w:t>
            </w:r>
          </w:p>
        </w:tc>
        <w:tc>
          <w:tcPr>
            <w:tcW w:w="108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﹢3，0</w:t>
            </w:r>
          </w:p>
        </w:tc>
        <w:tc>
          <w:tcPr>
            <w:tcW w:w="2778"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用尺量测纵横两个方向尺寸，取其最大值</w:t>
            </w:r>
          </w:p>
        </w:tc>
      </w:tr>
    </w:tbl>
    <w:p>
      <w:pPr>
        <w:rPr>
          <w:rFonts w:eastAsiaTheme="minorEastAsia"/>
          <w:lang w:val="en-US"/>
        </w:rPr>
      </w:pPr>
    </w:p>
    <w:p>
      <w:pPr>
        <w:pStyle w:val="209"/>
        <w:numPr>
          <w:ilvl w:val="0"/>
          <w:numId w:val="35"/>
        </w:numPr>
        <w:spacing w:before="120" w:after="120"/>
        <w:jc w:val="both"/>
        <w:outlineLvl w:val="9"/>
        <w:rPr>
          <w:rFonts w:ascii="Times New Roman" w:eastAsia="宋体"/>
          <w:bCs/>
          <w:color w:val="000000"/>
        </w:rPr>
      </w:pPr>
      <w:r>
        <w:rPr>
          <w:rFonts w:ascii="Times New Roman" w:eastAsia="宋体"/>
          <w:bCs/>
          <w:color w:val="000000"/>
        </w:rPr>
        <w:t>钢筋网、钢筋桁架应满足构件设计图要求，应采用专用钢筋定位件，入模应符合下列要求：</w:t>
      </w:r>
    </w:p>
    <w:p>
      <w:pPr>
        <w:pStyle w:val="215"/>
        <w:ind w:left="823" w:leftChars="203" w:hanging="336" w:hangingChars="160"/>
        <w:rPr>
          <w:rFonts w:ascii="Times New Roman" w:hAnsi="Times New Roman"/>
          <w:color w:val="000000"/>
          <w:szCs w:val="22"/>
        </w:rPr>
      </w:pPr>
      <w:r>
        <w:rPr>
          <w:rFonts w:hAnsi="宋体"/>
          <w:szCs w:val="21"/>
        </w:rPr>
        <w:t>a</w:t>
      </w:r>
      <w:r>
        <w:rPr>
          <w:rFonts w:hint="eastAsia" w:hAnsi="宋体"/>
          <w:szCs w:val="21"/>
        </w:rPr>
        <w:t>）</w:t>
      </w:r>
      <w:r>
        <w:rPr>
          <w:rFonts w:ascii="Times New Roman" w:hAnsi="Times New Roman"/>
          <w:color w:val="000000"/>
          <w:szCs w:val="22"/>
        </w:rPr>
        <w:t>钢筋桁架尺寸应准确，桁架吊装时应采用多吊点的专用吊架，防止桁架产生变形；</w:t>
      </w:r>
    </w:p>
    <w:p>
      <w:pPr>
        <w:pStyle w:val="215"/>
        <w:ind w:firstLine="483" w:firstLineChars="230"/>
        <w:rPr>
          <w:rFonts w:ascii="Times New Roman" w:hAnsi="Times New Roman"/>
          <w:color w:val="000000"/>
          <w:szCs w:val="22"/>
        </w:rPr>
      </w:pPr>
      <w:r>
        <w:rPr>
          <w:rFonts w:hAnsi="宋体"/>
          <w:szCs w:val="21"/>
        </w:rPr>
        <w:t>b</w:t>
      </w:r>
      <w:r>
        <w:rPr>
          <w:rFonts w:hint="eastAsia" w:hAnsi="宋体"/>
          <w:szCs w:val="21"/>
        </w:rPr>
        <w:t>）</w:t>
      </w:r>
      <w:r>
        <w:rPr>
          <w:rFonts w:ascii="Times New Roman" w:hAnsi="Times New Roman"/>
          <w:color w:val="000000"/>
          <w:szCs w:val="22"/>
        </w:rPr>
        <w:t>保护层垫块应与钢筋桁架或网片安装牢固，按梅花状布置，间距满足钢筋限位及控制变形要求；</w:t>
      </w:r>
    </w:p>
    <w:p>
      <w:pPr>
        <w:pStyle w:val="215"/>
        <w:ind w:left="823" w:leftChars="203" w:hanging="336" w:hangingChars="160"/>
        <w:rPr>
          <w:rFonts w:ascii="Times New Roman" w:hAnsi="Times New Roman"/>
          <w:color w:val="000000"/>
          <w:szCs w:val="22"/>
        </w:rPr>
      </w:pPr>
      <w:r>
        <w:rPr>
          <w:rFonts w:hAnsi="宋体"/>
          <w:szCs w:val="21"/>
        </w:rPr>
        <w:t>c</w:t>
      </w:r>
      <w:r>
        <w:rPr>
          <w:rFonts w:hint="eastAsia" w:hAnsi="宋体"/>
          <w:szCs w:val="21"/>
        </w:rPr>
        <w:t>）</w:t>
      </w:r>
      <w:r>
        <w:rPr>
          <w:rFonts w:ascii="Times New Roman" w:hAnsi="Times New Roman"/>
          <w:color w:val="000000"/>
          <w:szCs w:val="22"/>
        </w:rPr>
        <w:t>钢筋桁架入模时应平直、无损伤，表面不得有油污或锈蚀。</w:t>
      </w:r>
    </w:p>
    <w:p>
      <w:pPr>
        <w:pStyle w:val="209"/>
        <w:numPr>
          <w:ilvl w:val="0"/>
          <w:numId w:val="35"/>
        </w:numPr>
        <w:spacing w:before="120" w:after="120"/>
        <w:outlineLvl w:val="9"/>
        <w:rPr>
          <w:rFonts w:ascii="Times New Roman" w:eastAsia="宋体"/>
          <w:bCs/>
          <w:color w:val="000000"/>
        </w:rPr>
      </w:pPr>
      <w:r>
        <w:rPr>
          <w:rFonts w:ascii="Times New Roman" w:eastAsia="宋体"/>
          <w:bCs/>
          <w:color w:val="000000"/>
        </w:rPr>
        <w:t>门框和窗框安装位置应逐件检验，允许偏差应符合表14的规定。</w:t>
      </w:r>
    </w:p>
    <w:p>
      <w:pPr>
        <w:pStyle w:val="83"/>
        <w:shd w:val="clear" w:color="auto" w:fill="auto"/>
        <w:spacing w:before="120" w:beforeLines="50" w:after="120" w:afterLines="50" w:line="240" w:lineRule="auto"/>
        <w:jc w:val="center"/>
        <w:rPr>
          <w:rFonts w:ascii="黑体" w:hAnsi="黑体" w:eastAsia="黑体" w:cs="Times New Roman"/>
          <w:b w:val="0"/>
          <w:sz w:val="21"/>
          <w:szCs w:val="21"/>
        </w:rPr>
      </w:pPr>
      <w:r>
        <w:rPr>
          <w:rFonts w:ascii="黑体" w:hAnsi="黑体" w:eastAsia="黑体" w:cs="Times New Roman"/>
          <w:b w:val="0"/>
          <w:sz w:val="21"/>
          <w:szCs w:val="21"/>
        </w:rPr>
        <w:t>表14</w:t>
      </w:r>
      <w:r>
        <w:rPr>
          <w:rFonts w:hint="eastAsia" w:ascii="黑体" w:hAnsi="黑体" w:eastAsia="黑体" w:cs="Times New Roman"/>
          <w:b w:val="0"/>
          <w:sz w:val="21"/>
          <w:szCs w:val="21"/>
        </w:rPr>
        <w:t xml:space="preserve">   </w:t>
      </w:r>
      <w:r>
        <w:rPr>
          <w:rFonts w:ascii="黑体" w:hAnsi="黑体" w:eastAsia="黑体" w:cs="Times New Roman"/>
          <w:b w:val="0"/>
          <w:sz w:val="21"/>
          <w:szCs w:val="21"/>
        </w:rPr>
        <w:t>门框和窗框安装允许偏差</w:t>
      </w:r>
    </w:p>
    <w:tbl>
      <w:tblPr>
        <w:tblStyle w:val="25"/>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1618"/>
        <w:gridCol w:w="2548"/>
        <w:gridCol w:w="2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066" w:type="dxa"/>
            <w:gridSpan w:val="2"/>
            <w:tcBorders>
              <w:top w:val="single" w:color="auto" w:sz="12"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项  目</w:t>
            </w:r>
          </w:p>
        </w:tc>
        <w:tc>
          <w:tcPr>
            <w:tcW w:w="2548" w:type="dxa"/>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允许偏差（mm）</w:t>
            </w:r>
          </w:p>
        </w:tc>
        <w:tc>
          <w:tcPr>
            <w:tcW w:w="2606" w:type="dxa"/>
            <w:tcBorders>
              <w:top w:val="single" w:color="auto" w:sz="12"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1448"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锚固脚片</w:t>
            </w:r>
          </w:p>
        </w:tc>
        <w:tc>
          <w:tcPr>
            <w:tcW w:w="16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w:t>
            </w:r>
          </w:p>
        </w:tc>
        <w:tc>
          <w:tcPr>
            <w:tcW w:w="254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60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1448"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p>
        </w:tc>
        <w:tc>
          <w:tcPr>
            <w:tcW w:w="16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外露长度</w:t>
            </w:r>
          </w:p>
        </w:tc>
        <w:tc>
          <w:tcPr>
            <w:tcW w:w="254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＋5，0</w:t>
            </w:r>
          </w:p>
        </w:tc>
        <w:tc>
          <w:tcPr>
            <w:tcW w:w="260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066" w:type="dxa"/>
            <w:gridSpan w:val="2"/>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门窗框位置</w:t>
            </w:r>
          </w:p>
        </w:tc>
        <w:tc>
          <w:tcPr>
            <w:tcW w:w="254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260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066" w:type="dxa"/>
            <w:gridSpan w:val="2"/>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门窗框高、宽</w:t>
            </w:r>
          </w:p>
        </w:tc>
        <w:tc>
          <w:tcPr>
            <w:tcW w:w="254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260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066" w:type="dxa"/>
            <w:gridSpan w:val="2"/>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门窗框对角线</w:t>
            </w:r>
          </w:p>
        </w:tc>
        <w:tc>
          <w:tcPr>
            <w:tcW w:w="254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260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对角线测量仪检查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066" w:type="dxa"/>
            <w:gridSpan w:val="2"/>
            <w:tcBorders>
              <w:top w:val="single" w:color="auto" w:sz="4" w:space="0"/>
              <w:left w:val="single" w:color="auto" w:sz="12" w:space="0"/>
              <w:bottom w:val="single" w:color="auto" w:sz="12"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门窗框的平整度</w:t>
            </w:r>
          </w:p>
        </w:tc>
        <w:tc>
          <w:tcPr>
            <w:tcW w:w="2548"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2606" w:type="dxa"/>
            <w:tcBorders>
              <w:top w:val="single" w:color="auto" w:sz="4" w:space="0"/>
              <w:left w:val="single" w:color="auto" w:sz="4" w:space="0"/>
              <w:bottom w:val="single" w:color="auto" w:sz="12"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靠尺检查</w:t>
            </w:r>
          </w:p>
        </w:tc>
      </w:tr>
    </w:tbl>
    <w:p>
      <w:pPr>
        <w:pStyle w:val="209"/>
        <w:numPr>
          <w:ilvl w:val="0"/>
          <w:numId w:val="35"/>
        </w:numPr>
        <w:spacing w:before="120" w:after="120"/>
        <w:outlineLvl w:val="9"/>
        <w:rPr>
          <w:rFonts w:ascii="Times New Roman" w:eastAsia="宋体"/>
          <w:bCs/>
          <w:color w:val="000000"/>
        </w:rPr>
      </w:pPr>
      <w:r>
        <w:rPr>
          <w:rFonts w:ascii="Times New Roman" w:eastAsia="宋体"/>
          <w:bCs/>
          <w:color w:val="000000"/>
        </w:rPr>
        <w:t>混凝土试件应在浇筑地点随机抽取，取样频率和数量应符合下列规定：</w:t>
      </w:r>
    </w:p>
    <w:p>
      <w:pPr>
        <w:pStyle w:val="215"/>
        <w:ind w:left="480" w:leftChars="200"/>
        <w:rPr>
          <w:rFonts w:ascii="Times New Roman" w:hAnsi="Times New Roman"/>
          <w:color w:val="000000"/>
          <w:szCs w:val="22"/>
        </w:rPr>
      </w:pPr>
      <w:r>
        <w:rPr>
          <w:rFonts w:hAnsi="宋体"/>
          <w:szCs w:val="21"/>
        </w:rPr>
        <w:t>a</w:t>
      </w:r>
      <w:r>
        <w:rPr>
          <w:rFonts w:hint="eastAsia" w:hAnsi="宋体"/>
          <w:szCs w:val="21"/>
        </w:rPr>
        <w:t>）</w:t>
      </w:r>
      <w:r>
        <w:rPr>
          <w:rFonts w:ascii="Times New Roman" w:hAnsi="Times New Roman"/>
          <w:color w:val="000000"/>
          <w:szCs w:val="22"/>
        </w:rPr>
        <w:t>每100盘，但不超过100m</w:t>
      </w:r>
      <w:r>
        <w:rPr>
          <w:rFonts w:ascii="Times New Roman" w:hAnsi="Times New Roman"/>
          <w:color w:val="000000"/>
          <w:szCs w:val="22"/>
          <w:vertAlign w:val="superscript"/>
        </w:rPr>
        <w:t>3</w:t>
      </w:r>
      <w:r>
        <w:rPr>
          <w:rFonts w:ascii="Times New Roman" w:hAnsi="Times New Roman"/>
          <w:color w:val="000000"/>
          <w:szCs w:val="22"/>
        </w:rPr>
        <w:t>的同配合比混凝土，取样次数不应少于一次；</w:t>
      </w:r>
    </w:p>
    <w:p>
      <w:pPr>
        <w:pStyle w:val="215"/>
        <w:ind w:left="480" w:leftChars="200"/>
        <w:rPr>
          <w:rFonts w:ascii="Times New Roman" w:hAnsi="Times New Roman"/>
          <w:color w:val="000000"/>
          <w:szCs w:val="22"/>
        </w:rPr>
      </w:pPr>
      <w:r>
        <w:rPr>
          <w:rFonts w:hAnsi="宋体"/>
          <w:szCs w:val="21"/>
        </w:rPr>
        <w:t>b</w:t>
      </w:r>
      <w:r>
        <w:rPr>
          <w:rFonts w:hint="eastAsia" w:hAnsi="宋体"/>
          <w:szCs w:val="21"/>
        </w:rPr>
        <w:t>）</w:t>
      </w:r>
      <w:r>
        <w:rPr>
          <w:rFonts w:ascii="Times New Roman" w:hAnsi="Times New Roman"/>
          <w:color w:val="000000"/>
          <w:szCs w:val="22"/>
        </w:rPr>
        <w:t>每一工作班拌制的同配合比混凝土，不足100盘时其取样次数不应少于一次；</w:t>
      </w:r>
    </w:p>
    <w:p>
      <w:pPr>
        <w:pStyle w:val="215"/>
        <w:ind w:left="480" w:leftChars="200"/>
        <w:rPr>
          <w:rFonts w:ascii="Times New Roman" w:hAnsi="Times New Roman"/>
          <w:color w:val="000000"/>
          <w:szCs w:val="22"/>
        </w:rPr>
      </w:pPr>
      <w:r>
        <w:rPr>
          <w:rFonts w:hAnsi="宋体"/>
          <w:szCs w:val="21"/>
        </w:rPr>
        <w:t>c</w:t>
      </w:r>
      <w:r>
        <w:rPr>
          <w:rFonts w:hint="eastAsia" w:hAnsi="宋体"/>
          <w:szCs w:val="21"/>
        </w:rPr>
        <w:t>）</w:t>
      </w:r>
      <w:r>
        <w:rPr>
          <w:rFonts w:ascii="Times New Roman" w:hAnsi="Times New Roman"/>
          <w:color w:val="000000"/>
          <w:szCs w:val="22"/>
        </w:rPr>
        <w:t>每次制作试件不少于3组，其中取1组进行标准养护。</w:t>
      </w:r>
    </w:p>
    <w:p>
      <w:pPr>
        <w:pStyle w:val="209"/>
        <w:numPr>
          <w:ilvl w:val="0"/>
          <w:numId w:val="35"/>
        </w:numPr>
        <w:spacing w:before="120" w:after="120"/>
        <w:jc w:val="both"/>
        <w:outlineLvl w:val="9"/>
        <w:rPr>
          <w:rFonts w:ascii="Times New Roman" w:eastAsia="宋体"/>
          <w:bCs/>
          <w:color w:val="000000"/>
        </w:rPr>
      </w:pPr>
      <w:r>
        <w:rPr>
          <w:rFonts w:ascii="Times New Roman" w:eastAsia="宋体"/>
          <w:bCs/>
          <w:color w:val="000000"/>
        </w:rPr>
        <w:t>构件浇筑成型前，模具、脱模剂、钢筋、保护层、预埋管道及线盒、配件和预埋件等应进行隐蔽验收，并符合有关标准规定和设计文件要求后方可浇筑混凝土。</w:t>
      </w:r>
    </w:p>
    <w:p>
      <w:pPr>
        <w:pStyle w:val="209"/>
        <w:numPr>
          <w:ilvl w:val="0"/>
          <w:numId w:val="35"/>
        </w:numPr>
        <w:spacing w:before="120" w:after="120"/>
        <w:jc w:val="both"/>
        <w:outlineLvl w:val="9"/>
        <w:rPr>
          <w:rFonts w:ascii="Times New Roman" w:eastAsia="宋体"/>
          <w:bCs/>
          <w:color w:val="000000"/>
        </w:rPr>
      </w:pPr>
      <w:r>
        <w:rPr>
          <w:rFonts w:ascii="Times New Roman" w:eastAsia="宋体"/>
          <w:bCs/>
          <w:color w:val="000000"/>
        </w:rPr>
        <w:t>预埋件、门窗框等细部构造处混凝土应密实，其外露部分应有防污染措施。</w:t>
      </w:r>
    </w:p>
    <w:p>
      <w:pPr>
        <w:pStyle w:val="209"/>
        <w:numPr>
          <w:ilvl w:val="0"/>
          <w:numId w:val="35"/>
        </w:numPr>
        <w:spacing w:before="120" w:after="120"/>
        <w:jc w:val="both"/>
        <w:outlineLvl w:val="9"/>
        <w:rPr>
          <w:rFonts w:ascii="Times New Roman" w:eastAsia="宋体"/>
          <w:bCs/>
          <w:color w:val="000000"/>
        </w:rPr>
      </w:pPr>
      <w:r>
        <w:rPr>
          <w:rFonts w:ascii="Times New Roman" w:eastAsia="宋体"/>
          <w:bCs/>
          <w:color w:val="000000"/>
        </w:rPr>
        <w:t>清水混凝土预制构件的制作及质量应符合现行行业标准JGJ 169的有关规定。</w:t>
      </w:r>
    </w:p>
    <w:p>
      <w:pPr>
        <w:pStyle w:val="209"/>
        <w:numPr>
          <w:ilvl w:val="0"/>
          <w:numId w:val="35"/>
        </w:numPr>
        <w:spacing w:before="120" w:after="120"/>
        <w:jc w:val="both"/>
        <w:outlineLvl w:val="9"/>
        <w:rPr>
          <w:rFonts w:ascii="Times New Roman" w:eastAsia="宋体"/>
          <w:bCs/>
        </w:rPr>
      </w:pPr>
      <w:r>
        <w:rPr>
          <w:rFonts w:ascii="Times New Roman" w:eastAsia="宋体"/>
          <w:bCs/>
          <w:color w:val="000000"/>
        </w:rPr>
        <w:t>预制构件混凝土浇筑完毕后应及时进行养护，养护方式可采用自然养护、化学保护膜养护和蒸汽养护等养护方式。叠合楼板、叠合墙板</w:t>
      </w:r>
      <w:r>
        <w:rPr>
          <w:rFonts w:ascii="Times New Roman" w:eastAsia="宋体"/>
          <w:bCs/>
        </w:rPr>
        <w:t>等厚度小于100mm的预制混凝土构件或冬期生产的预制混凝土构件宜采用蒸汽养护方式。蒸汽养护过程应符合下列规定：</w:t>
      </w:r>
    </w:p>
    <w:p>
      <w:pPr>
        <w:pStyle w:val="215"/>
        <w:ind w:firstLine="420" w:firstLineChars="200"/>
        <w:rPr>
          <w:rFonts w:ascii="Times New Roman" w:hAnsi="Times New Roman"/>
          <w:szCs w:val="22"/>
        </w:rPr>
      </w:pPr>
      <w:bookmarkStart w:id="200" w:name="_Hlk488676560"/>
      <w:r>
        <w:rPr>
          <w:rFonts w:hAnsi="宋体"/>
          <w:szCs w:val="21"/>
        </w:rPr>
        <w:t>a</w:t>
      </w:r>
      <w:r>
        <w:rPr>
          <w:rFonts w:hint="eastAsia" w:hAnsi="宋体"/>
          <w:szCs w:val="21"/>
        </w:rPr>
        <w:t>）</w:t>
      </w:r>
      <w:r>
        <w:rPr>
          <w:rFonts w:ascii="Times New Roman" w:hAnsi="Times New Roman"/>
          <w:szCs w:val="22"/>
        </w:rPr>
        <w:t>异型构件预养护时间不应小于6小时，并采用薄膜覆盖或加湿等措施防止预制构件干燥；</w:t>
      </w:r>
    </w:p>
    <w:p>
      <w:pPr>
        <w:pStyle w:val="215"/>
        <w:ind w:firstLine="420" w:firstLineChars="200"/>
        <w:rPr>
          <w:rFonts w:ascii="Times New Roman" w:hAnsi="Times New Roman"/>
          <w:szCs w:val="22"/>
        </w:rPr>
      </w:pPr>
      <w:r>
        <w:rPr>
          <w:rFonts w:hAnsi="宋体"/>
          <w:szCs w:val="21"/>
        </w:rPr>
        <w:t>b</w:t>
      </w:r>
      <w:r>
        <w:rPr>
          <w:rFonts w:hint="eastAsia" w:hAnsi="宋体"/>
          <w:szCs w:val="21"/>
        </w:rPr>
        <w:t>）</w:t>
      </w:r>
      <w:r>
        <w:rPr>
          <w:rFonts w:ascii="Times New Roman" w:hAnsi="Times New Roman"/>
          <w:szCs w:val="22"/>
        </w:rPr>
        <w:t>应合理控制升温、降温速度和最高温度，升温速率应为10℃～20℃/h，降温速率不应大于10℃/h；</w:t>
      </w:r>
    </w:p>
    <w:p>
      <w:pPr>
        <w:pStyle w:val="215"/>
        <w:ind w:firstLine="420" w:firstLineChars="200"/>
        <w:rPr>
          <w:rFonts w:ascii="Times New Roman" w:hAnsi="Times New Roman"/>
          <w:szCs w:val="22"/>
        </w:rPr>
      </w:pPr>
      <w:r>
        <w:rPr>
          <w:rFonts w:hAnsi="宋体"/>
          <w:szCs w:val="21"/>
        </w:rPr>
        <w:t>c</w:t>
      </w:r>
      <w:r>
        <w:rPr>
          <w:rFonts w:hint="eastAsia" w:hAnsi="宋体"/>
          <w:szCs w:val="21"/>
        </w:rPr>
        <w:t>）</w:t>
      </w:r>
      <w:r>
        <w:rPr>
          <w:rFonts w:ascii="Times New Roman" w:hAnsi="Times New Roman"/>
          <w:szCs w:val="22"/>
        </w:rPr>
        <w:t>叠合楼板、叠合墙板等厚度小于100mm的预制混凝土构件或冬期生产预制混凝土构件，养护最高温度为50℃；持续养护时间不应小于8h，并采用薄膜覆盖或加湿等措施防止预制构件干燥；</w:t>
      </w:r>
    </w:p>
    <w:p>
      <w:pPr>
        <w:pStyle w:val="215"/>
        <w:ind w:firstLine="420" w:firstLineChars="200"/>
        <w:rPr>
          <w:rFonts w:ascii="Times New Roman" w:hAnsi="Times New Roman"/>
          <w:szCs w:val="22"/>
        </w:rPr>
      </w:pPr>
      <w:r>
        <w:rPr>
          <w:rFonts w:hAnsi="宋体"/>
          <w:szCs w:val="21"/>
        </w:rPr>
        <w:t>d</w:t>
      </w:r>
      <w:r>
        <w:rPr>
          <w:rFonts w:hint="eastAsia" w:hAnsi="宋体"/>
          <w:szCs w:val="21"/>
        </w:rPr>
        <w:t>）</w:t>
      </w:r>
      <w:r>
        <w:rPr>
          <w:rFonts w:ascii="Times New Roman" w:hAnsi="Times New Roman"/>
          <w:szCs w:val="22"/>
        </w:rPr>
        <w:t>预制构件脱模时的表面温度与环境温度的差值不宜超过20℃。构件脱模后，当混凝土表面温度和环境温差超过20℃时，应立即覆膜养护。</w:t>
      </w:r>
    </w:p>
    <w:p>
      <w:pPr>
        <w:pStyle w:val="209"/>
        <w:numPr>
          <w:ilvl w:val="0"/>
          <w:numId w:val="35"/>
        </w:numPr>
        <w:spacing w:before="120" w:after="120"/>
        <w:jc w:val="both"/>
        <w:outlineLvl w:val="9"/>
        <w:rPr>
          <w:rFonts w:ascii="Times New Roman" w:eastAsia="宋体"/>
        </w:rPr>
      </w:pPr>
      <w:r>
        <w:rPr>
          <w:rFonts w:ascii="Times New Roman" w:eastAsia="宋体"/>
          <w:bCs/>
          <w:color w:val="000000"/>
        </w:rPr>
        <w:t>预制混凝土构件应严格按照顺序拆除模具，不得使用振动方式拆模。脱模起吊前应进行脱模验算，并满足下列要求：</w:t>
      </w:r>
    </w:p>
    <w:p>
      <w:pPr>
        <w:pStyle w:val="209"/>
        <w:numPr>
          <w:ilvl w:val="0"/>
          <w:numId w:val="0"/>
        </w:numPr>
        <w:spacing w:beforeLines="0" w:afterLines="0"/>
        <w:ind w:firstLine="420" w:firstLineChars="200"/>
        <w:jc w:val="both"/>
        <w:outlineLvl w:val="9"/>
        <w:rPr>
          <w:rFonts w:ascii="Times New Roman" w:eastAsia="宋体"/>
          <w:bCs/>
          <w:color w:val="000000"/>
        </w:rPr>
      </w:pPr>
      <w:r>
        <w:rPr>
          <w:rFonts w:ascii="宋体" w:hAnsi="宋体" w:eastAsia="宋体"/>
        </w:rPr>
        <w:t>a</w:t>
      </w:r>
      <w:r>
        <w:rPr>
          <w:rFonts w:hint="eastAsia" w:ascii="宋体" w:hAnsi="宋体" w:eastAsia="宋体"/>
        </w:rPr>
        <w:t>）</w:t>
      </w:r>
      <w:r>
        <w:rPr>
          <w:rFonts w:ascii="Times New Roman" w:eastAsia="宋体"/>
          <w:bCs/>
          <w:color w:val="000000"/>
        </w:rPr>
        <w:t>构件脱模起吊时，混凝土抗压强度不应小于混凝土设计强度的75％，且不应小于20</w:t>
      </w:r>
      <m:oMath>
        <m:r>
          <m:rPr>
            <m:sty m:val="p"/>
          </m:rPr>
          <w:rPr>
            <w:rFonts w:ascii="Cambria Math" w:hAnsi="Cambria Math" w:eastAsia="宋体"/>
            <w:color w:val="000000"/>
          </w:rPr>
          <m:t>MPa</m:t>
        </m:r>
      </m:oMath>
      <w:r>
        <w:rPr>
          <w:rFonts w:ascii="Times New Roman" w:eastAsia="宋体"/>
          <w:bCs/>
          <w:color w:val="000000"/>
        </w:rPr>
        <w:t>；</w:t>
      </w:r>
    </w:p>
    <w:p>
      <w:pPr>
        <w:pStyle w:val="209"/>
        <w:numPr>
          <w:ilvl w:val="0"/>
          <w:numId w:val="0"/>
        </w:numPr>
        <w:spacing w:beforeLines="0" w:afterLines="0"/>
        <w:ind w:firstLine="420" w:firstLineChars="200"/>
        <w:jc w:val="both"/>
        <w:outlineLvl w:val="9"/>
        <w:rPr>
          <w:rFonts w:ascii="Times New Roman" w:eastAsia="宋体"/>
        </w:rPr>
      </w:pPr>
      <w:r>
        <w:rPr>
          <w:rFonts w:ascii="宋体" w:hAnsi="宋体" w:eastAsia="宋体"/>
        </w:rPr>
        <w:t>b</w:t>
      </w:r>
      <w:r>
        <w:rPr>
          <w:rFonts w:hint="eastAsia" w:ascii="宋体" w:hAnsi="宋体" w:eastAsia="宋体"/>
        </w:rPr>
        <w:t>）</w:t>
      </w:r>
      <w:r>
        <w:rPr>
          <w:rFonts w:ascii="Times New Roman" w:eastAsia="宋体"/>
          <w:bCs/>
          <w:color w:val="000000"/>
        </w:rPr>
        <w:t>预应力预制混凝土构件脱模时的混凝土抗压强度不应小于混凝土设计强度的75％，且不应小于30</w:t>
      </w:r>
      <m:oMath>
        <m:r>
          <m:rPr>
            <m:sty m:val="p"/>
          </m:rPr>
          <w:rPr>
            <w:rFonts w:ascii="Cambria Math" w:hAnsi="Cambria Math" w:eastAsia="宋体"/>
            <w:color w:val="000000"/>
          </w:rPr>
          <m:t>MPa</m:t>
        </m:r>
      </m:oMath>
      <w:r>
        <w:rPr>
          <w:rFonts w:ascii="Times New Roman" w:eastAsia="宋体"/>
          <w:bCs/>
          <w:color w:val="000000"/>
        </w:rPr>
        <w:t>。</w:t>
      </w:r>
      <w:bookmarkEnd w:id="200"/>
    </w:p>
    <w:p>
      <w:pPr>
        <w:pStyle w:val="210"/>
        <w:spacing w:before="240" w:after="240"/>
        <w:outlineLvl w:val="2"/>
        <w:rPr>
          <w:rFonts w:ascii="黑体" w:hAnsi="黑体" w:eastAsia="黑体"/>
          <w:b w:val="0"/>
          <w:sz w:val="21"/>
          <w:szCs w:val="21"/>
        </w:rPr>
      </w:pPr>
      <w:bookmarkStart w:id="201" w:name="_Toc172188635"/>
      <w:bookmarkStart w:id="202" w:name="_Toc172187850"/>
      <w:bookmarkStart w:id="203" w:name="_Toc14815"/>
      <w:bookmarkStart w:id="204" w:name="_Toc172188911"/>
      <w:r>
        <w:rPr>
          <w:rFonts w:ascii="黑体" w:hAnsi="黑体" w:eastAsia="黑体"/>
          <w:b w:val="0"/>
          <w:sz w:val="21"/>
          <w:szCs w:val="21"/>
        </w:rPr>
        <w:t>11.4 构件质量检验</w:t>
      </w:r>
      <w:bookmarkEnd w:id="201"/>
      <w:bookmarkEnd w:id="202"/>
      <w:bookmarkEnd w:id="203"/>
      <w:bookmarkEnd w:id="204"/>
    </w:p>
    <w:p>
      <w:pPr>
        <w:pStyle w:val="209"/>
        <w:numPr>
          <w:ilvl w:val="0"/>
          <w:numId w:val="36"/>
        </w:numPr>
        <w:spacing w:before="120" w:after="120"/>
        <w:jc w:val="both"/>
        <w:outlineLvl w:val="9"/>
        <w:rPr>
          <w:rFonts w:ascii="Times New Roman" w:eastAsia="宋体"/>
          <w:bCs/>
          <w:color w:val="000000"/>
        </w:rPr>
      </w:pPr>
      <w:r>
        <w:rPr>
          <w:rFonts w:ascii="Times New Roman" w:eastAsia="宋体"/>
          <w:bCs/>
          <w:color w:val="000000"/>
        </w:rPr>
        <w:t>预制构件生产时应采取措施避免出现外观质量缺陷。外观质量缺陷根据其影响结构性能、安装和使用功能的严重程度，可按表15规定划分为严重缺陷和一般缺陷。</w:t>
      </w:r>
    </w:p>
    <w:p>
      <w:pPr>
        <w:pStyle w:val="83"/>
        <w:shd w:val="clear" w:color="auto" w:fill="auto"/>
        <w:spacing w:before="120" w:beforeLines="50" w:after="120" w:afterLines="50" w:line="240" w:lineRule="auto"/>
        <w:jc w:val="center"/>
        <w:rPr>
          <w:rFonts w:ascii="黑体" w:hAnsi="黑体" w:eastAsia="黑体" w:cs="Times New Roman"/>
          <w:b w:val="0"/>
          <w:sz w:val="21"/>
          <w:szCs w:val="21"/>
        </w:rPr>
      </w:pPr>
      <w:r>
        <w:rPr>
          <w:rFonts w:ascii="黑体" w:hAnsi="黑体" w:eastAsia="黑体" w:cs="Times New Roman"/>
          <w:b w:val="0"/>
          <w:sz w:val="21"/>
          <w:szCs w:val="21"/>
        </w:rPr>
        <w:t>表15构件外观质量缺陷分类</w:t>
      </w:r>
    </w:p>
    <w:tbl>
      <w:tblPr>
        <w:tblStyle w:val="25"/>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3515"/>
        <w:gridCol w:w="2381"/>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32" w:type="dxa"/>
            <w:tcBorders>
              <w:top w:val="single" w:color="auto" w:sz="12" w:space="0"/>
              <w:left w:val="single" w:color="auto" w:sz="12" w:space="0"/>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名称</w:t>
            </w:r>
          </w:p>
        </w:tc>
        <w:tc>
          <w:tcPr>
            <w:tcW w:w="3515" w:type="dxa"/>
            <w:tcBorders>
              <w:top w:val="single" w:color="auto" w:sz="12" w:space="0"/>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现象</w:t>
            </w:r>
          </w:p>
        </w:tc>
        <w:tc>
          <w:tcPr>
            <w:tcW w:w="2381" w:type="dxa"/>
            <w:tcBorders>
              <w:top w:val="single" w:color="auto" w:sz="12" w:space="0"/>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严重缺陷</w:t>
            </w:r>
          </w:p>
        </w:tc>
        <w:tc>
          <w:tcPr>
            <w:tcW w:w="2665" w:type="dxa"/>
            <w:tcBorders>
              <w:top w:val="single" w:color="auto" w:sz="12" w:space="0"/>
              <w:right w:val="single" w:color="auto" w:sz="12" w:space="0"/>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一般缺陷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32" w:type="dxa"/>
            <w:tcBorders>
              <w:left w:val="single" w:color="auto" w:sz="12" w:space="0"/>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露筋</w:t>
            </w:r>
          </w:p>
        </w:tc>
        <w:tc>
          <w:tcPr>
            <w:tcW w:w="3515"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构件内钢筋未被混凝土包裹而外露</w:t>
            </w:r>
          </w:p>
        </w:tc>
        <w:tc>
          <w:tcPr>
            <w:tcW w:w="238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纵向受力钢筋有露筋</w:t>
            </w:r>
          </w:p>
        </w:tc>
        <w:tc>
          <w:tcPr>
            <w:tcW w:w="2665" w:type="dxa"/>
            <w:tcBorders>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其他钢筋有少量露筋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932" w:type="dxa"/>
            <w:tcBorders>
              <w:left w:val="single" w:color="auto" w:sz="12" w:space="0"/>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蜂窝</w:t>
            </w:r>
          </w:p>
        </w:tc>
        <w:tc>
          <w:tcPr>
            <w:tcW w:w="3515"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混凝土表面缺少水泥</w:t>
            </w:r>
          </w:p>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砂浆而形成石子外露</w:t>
            </w:r>
          </w:p>
        </w:tc>
        <w:tc>
          <w:tcPr>
            <w:tcW w:w="238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构件主要受力部位有蜂窝</w:t>
            </w:r>
          </w:p>
        </w:tc>
        <w:tc>
          <w:tcPr>
            <w:tcW w:w="2665" w:type="dxa"/>
            <w:tcBorders>
              <w:right w:val="single" w:color="auto" w:sz="12" w:space="0"/>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其他部位有少量蜂窝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932" w:type="dxa"/>
            <w:tcBorders>
              <w:left w:val="single" w:color="auto" w:sz="12" w:space="0"/>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孔洞</w:t>
            </w:r>
          </w:p>
        </w:tc>
        <w:tc>
          <w:tcPr>
            <w:tcW w:w="3515"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混凝土空穴深度和长</w:t>
            </w:r>
          </w:p>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度均超过保护层厚度</w:t>
            </w:r>
          </w:p>
        </w:tc>
        <w:tc>
          <w:tcPr>
            <w:tcW w:w="238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构件主要受力部位有孔洞</w:t>
            </w:r>
          </w:p>
        </w:tc>
        <w:tc>
          <w:tcPr>
            <w:tcW w:w="2665" w:type="dxa"/>
            <w:tcBorders>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其他部位有少量孔洞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932" w:type="dxa"/>
            <w:tcBorders>
              <w:left w:val="single" w:color="auto" w:sz="12" w:space="0"/>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夹渣</w:t>
            </w:r>
          </w:p>
        </w:tc>
        <w:tc>
          <w:tcPr>
            <w:tcW w:w="3515"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混凝土中夹有杂物且</w:t>
            </w:r>
          </w:p>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深度超过保护层厚度</w:t>
            </w:r>
          </w:p>
        </w:tc>
        <w:tc>
          <w:tcPr>
            <w:tcW w:w="238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构件主要受力部位有夹渣</w:t>
            </w:r>
          </w:p>
        </w:tc>
        <w:tc>
          <w:tcPr>
            <w:tcW w:w="2665" w:type="dxa"/>
            <w:tcBorders>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其他部位有少量夹渣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32" w:type="dxa"/>
            <w:tcBorders>
              <w:left w:val="single" w:color="auto" w:sz="12" w:space="0"/>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疏松</w:t>
            </w:r>
          </w:p>
        </w:tc>
        <w:tc>
          <w:tcPr>
            <w:tcW w:w="3515" w:type="dxa"/>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混凝土中局部不密实</w:t>
            </w:r>
          </w:p>
        </w:tc>
        <w:tc>
          <w:tcPr>
            <w:tcW w:w="238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构件主要受力部位有疏松</w:t>
            </w:r>
          </w:p>
        </w:tc>
        <w:tc>
          <w:tcPr>
            <w:tcW w:w="2665" w:type="dxa"/>
            <w:tcBorders>
              <w:right w:val="single" w:color="auto" w:sz="12" w:space="0"/>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其他部位有少量疏松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932" w:type="dxa"/>
            <w:tcBorders>
              <w:left w:val="single" w:color="auto" w:sz="12" w:space="0"/>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裂缝</w:t>
            </w:r>
          </w:p>
        </w:tc>
        <w:tc>
          <w:tcPr>
            <w:tcW w:w="3515"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缝隙从混凝土表面延</w:t>
            </w:r>
          </w:p>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伸至混凝土内部</w:t>
            </w:r>
          </w:p>
        </w:tc>
        <w:tc>
          <w:tcPr>
            <w:tcW w:w="238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构件主要受力部位有影响结构性能或使用功能的裂缝</w:t>
            </w:r>
          </w:p>
        </w:tc>
        <w:tc>
          <w:tcPr>
            <w:tcW w:w="2665" w:type="dxa"/>
            <w:tcBorders>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其他部位有少量不影响结构性能或使用功能的裂缝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932" w:type="dxa"/>
            <w:tcBorders>
              <w:left w:val="single" w:color="auto" w:sz="12" w:space="0"/>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连接部位缺陷</w:t>
            </w:r>
          </w:p>
        </w:tc>
        <w:tc>
          <w:tcPr>
            <w:tcW w:w="3515"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构件连接处混凝土缺陷及连接钢筋、连接件松动，插筋严重锈蚀、弯曲</w:t>
            </w:r>
          </w:p>
        </w:tc>
        <w:tc>
          <w:tcPr>
            <w:tcW w:w="238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连接部位有影响结构传力性能的缺陷</w:t>
            </w:r>
          </w:p>
        </w:tc>
        <w:tc>
          <w:tcPr>
            <w:tcW w:w="2665" w:type="dxa"/>
            <w:tcBorders>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连接部位有基本不影响结构传力性能的缺陷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932" w:type="dxa"/>
            <w:tcBorders>
              <w:left w:val="single" w:color="auto" w:sz="12" w:space="0"/>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外形缺陷</w:t>
            </w:r>
          </w:p>
        </w:tc>
        <w:tc>
          <w:tcPr>
            <w:tcW w:w="3515"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缺棱掉角、棱角不直、翘曲不平、飞出凸肋等；装饰面砖粘结不牢、表面不平、砖缝不顺直等</w:t>
            </w:r>
          </w:p>
        </w:tc>
        <w:tc>
          <w:tcPr>
            <w:tcW w:w="238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清水或具有装饰的混凝土构件内有影响使用功能或装饰效果的外形缺陷</w:t>
            </w:r>
          </w:p>
        </w:tc>
        <w:tc>
          <w:tcPr>
            <w:tcW w:w="2665" w:type="dxa"/>
            <w:tcBorders>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其他混凝土构件有不影响使用功能的外形缺陷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932" w:type="dxa"/>
            <w:tcBorders>
              <w:left w:val="single" w:color="auto" w:sz="12" w:space="0"/>
              <w:bottom w:val="single" w:color="auto" w:sz="12" w:space="0"/>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外表缺陷</w:t>
            </w:r>
          </w:p>
        </w:tc>
        <w:tc>
          <w:tcPr>
            <w:tcW w:w="3515" w:type="dxa"/>
            <w:tcBorders>
              <w:bottom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构件表面麻面、掉皮、起砂、沾污等</w:t>
            </w:r>
          </w:p>
        </w:tc>
        <w:tc>
          <w:tcPr>
            <w:tcW w:w="2381" w:type="dxa"/>
            <w:tcBorders>
              <w:bottom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具有重要装饰效果的清水混凝土构件有外表缺陷</w:t>
            </w:r>
          </w:p>
        </w:tc>
        <w:tc>
          <w:tcPr>
            <w:tcW w:w="2665" w:type="dxa"/>
            <w:tcBorders>
              <w:bottom w:val="single" w:color="auto" w:sz="12"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其他混凝土构件有不影响使用功能的外表缺陷</w:t>
            </w:r>
          </w:p>
        </w:tc>
      </w:tr>
    </w:tbl>
    <w:p>
      <w:pPr>
        <w:pStyle w:val="209"/>
        <w:numPr>
          <w:ilvl w:val="0"/>
          <w:numId w:val="36"/>
        </w:numPr>
        <w:spacing w:before="120" w:after="120"/>
        <w:jc w:val="both"/>
        <w:outlineLvl w:val="9"/>
        <w:rPr>
          <w:rFonts w:ascii="Times New Roman" w:eastAsia="宋体"/>
          <w:bCs/>
          <w:color w:val="000000"/>
        </w:rPr>
      </w:pPr>
      <w:r>
        <w:rPr>
          <w:rFonts w:ascii="Times New Roman" w:eastAsia="宋体"/>
          <w:bCs/>
          <w:color w:val="000000"/>
        </w:rPr>
        <w:t>预制构件出模后应及时对其外观质量进行全数目测检查。预制构件外观质量不应有缺陷，对已经出现的严重缺陷应制定技术处理方案进行处理并重新检验，对出现的一般缺陷应进行修整并达到合格。</w:t>
      </w:r>
    </w:p>
    <w:p>
      <w:pPr>
        <w:pStyle w:val="209"/>
        <w:numPr>
          <w:ilvl w:val="0"/>
          <w:numId w:val="36"/>
        </w:numPr>
        <w:spacing w:before="120" w:after="120"/>
        <w:jc w:val="both"/>
        <w:outlineLvl w:val="9"/>
        <w:rPr>
          <w:rFonts w:ascii="Times New Roman" w:eastAsia="宋体"/>
          <w:bCs/>
          <w:color w:val="000000"/>
        </w:rPr>
      </w:pPr>
      <w:r>
        <w:rPr>
          <w:rFonts w:ascii="Times New Roman" w:eastAsia="宋体"/>
          <w:bCs/>
          <w:color w:val="000000"/>
        </w:rPr>
        <w:t>预制构件不应有影响结构性能、安装和使用功能的尺寸偏差。对超过尺寸允许偏差且影响结构性能和安装、使用功能的部位应经原设计单位认可，制定技术处理方案进行处理，并重新检查验收。</w:t>
      </w:r>
    </w:p>
    <w:p>
      <w:pPr>
        <w:pStyle w:val="209"/>
        <w:numPr>
          <w:ilvl w:val="0"/>
          <w:numId w:val="36"/>
        </w:numPr>
        <w:spacing w:before="120" w:after="120"/>
        <w:jc w:val="both"/>
        <w:outlineLvl w:val="9"/>
        <w:rPr>
          <w:rFonts w:ascii="Times New Roman" w:eastAsia="宋体"/>
          <w:bCs/>
        </w:rPr>
      </w:pPr>
      <w:r>
        <w:rPr>
          <w:rFonts w:hint="eastAsia" w:ascii="Times New Roman" w:eastAsia="宋体"/>
          <w:bCs/>
        </w:rPr>
        <w:t>楼板、墙板、梁、柱等</w:t>
      </w:r>
      <w:r>
        <w:rPr>
          <w:rFonts w:ascii="Times New Roman" w:eastAsia="宋体"/>
          <w:bCs/>
        </w:rPr>
        <w:t>预制构件</w:t>
      </w:r>
      <w:r>
        <w:rPr>
          <w:rFonts w:hint="eastAsia" w:ascii="Times New Roman" w:eastAsia="宋体"/>
          <w:bCs/>
        </w:rPr>
        <w:t>的</w:t>
      </w:r>
      <w:r>
        <w:rPr>
          <w:rFonts w:ascii="Times New Roman" w:eastAsia="宋体"/>
          <w:bCs/>
        </w:rPr>
        <w:t>尺寸偏差及预留孔、预留洞、预埋件、预留插筋位置</w:t>
      </w:r>
      <w:r>
        <w:rPr>
          <w:rFonts w:hint="eastAsia" w:ascii="Times New Roman" w:eastAsia="宋体"/>
          <w:bCs/>
        </w:rPr>
        <w:t>要求及</w:t>
      </w:r>
      <w:r>
        <w:rPr>
          <w:rFonts w:ascii="Times New Roman" w:eastAsia="宋体"/>
          <w:bCs/>
        </w:rPr>
        <w:t>检验方法应符合表15</w:t>
      </w:r>
      <w:r>
        <w:rPr>
          <w:rFonts w:hint="eastAsia" w:ascii="Times New Roman" w:eastAsia="宋体"/>
          <w:bCs/>
        </w:rPr>
        <w:t>~</w:t>
      </w:r>
      <w:r>
        <w:rPr>
          <w:rFonts w:ascii="Times New Roman" w:eastAsia="宋体"/>
          <w:bCs/>
        </w:rPr>
        <w:t xml:space="preserve"> 19规定。预制构件有粗糙面时，与预制构件粗糙面相关的尺寸允许偏差可放宽1.5倍。</w:t>
      </w:r>
    </w:p>
    <w:p>
      <w:pPr>
        <w:pStyle w:val="83"/>
        <w:shd w:val="clear" w:color="auto" w:fill="auto"/>
        <w:spacing w:before="120" w:beforeLines="50" w:after="120" w:afterLines="50" w:line="240" w:lineRule="auto"/>
        <w:jc w:val="center"/>
        <w:rPr>
          <w:rFonts w:ascii="黑体" w:hAnsi="黑体" w:eastAsia="黑体" w:cs="Times New Roman"/>
          <w:b w:val="0"/>
          <w:sz w:val="21"/>
          <w:szCs w:val="21"/>
        </w:rPr>
      </w:pPr>
      <w:r>
        <w:rPr>
          <w:rFonts w:ascii="黑体" w:hAnsi="黑体" w:eastAsia="黑体" w:cs="Times New Roman"/>
          <w:b w:val="0"/>
          <w:sz w:val="21"/>
          <w:szCs w:val="21"/>
        </w:rPr>
        <w:t>表16</w:t>
      </w:r>
      <w:r>
        <w:rPr>
          <w:rFonts w:hint="eastAsia" w:ascii="黑体" w:hAnsi="黑体" w:eastAsia="黑体" w:cs="Times New Roman"/>
          <w:b w:val="0"/>
          <w:sz w:val="21"/>
          <w:szCs w:val="21"/>
        </w:rPr>
        <w:t xml:space="preserve">  </w:t>
      </w:r>
      <w:r>
        <w:rPr>
          <w:rFonts w:ascii="黑体" w:hAnsi="黑体" w:eastAsia="黑体" w:cs="Times New Roman"/>
          <w:b w:val="0"/>
          <w:sz w:val="21"/>
          <w:szCs w:val="21"/>
        </w:rPr>
        <w:t>预制楼板类构件外形尺寸的允许偏差及检验方法</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41"/>
        <w:gridCol w:w="1045"/>
        <w:gridCol w:w="1620"/>
        <w:gridCol w:w="1071"/>
        <w:gridCol w:w="24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70" w:hRule="atLeast"/>
          <w:jc w:val="center"/>
        </w:trPr>
        <w:tc>
          <w:tcPr>
            <w:tcW w:w="634"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项次</w:t>
            </w:r>
          </w:p>
        </w:tc>
        <w:tc>
          <w:tcPr>
            <w:tcW w:w="3906" w:type="dxa"/>
            <w:gridSpan w:val="3"/>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检查项目</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允许偏差</w:t>
            </w:r>
          </w:p>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（mm）</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5" w:hRule="atLeast"/>
          <w:jc w:val="center"/>
        </w:trPr>
        <w:tc>
          <w:tcPr>
            <w:tcW w:w="634"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w:t>
            </w:r>
          </w:p>
        </w:tc>
        <w:tc>
          <w:tcPr>
            <w:tcW w:w="1241"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规格尺寸</w:t>
            </w:r>
          </w:p>
        </w:tc>
        <w:tc>
          <w:tcPr>
            <w:tcW w:w="1045"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长度</w:t>
            </w:r>
          </w:p>
        </w:tc>
        <w:tc>
          <w:tcPr>
            <w:tcW w:w="1620"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＜12m</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412"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用尺量两端及中间部位，取其中偏差绝对值较大值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5" w:hRule="atLeast"/>
          <w:jc w:val="center"/>
        </w:trPr>
        <w:tc>
          <w:tcPr>
            <w:tcW w:w="634" w:type="dxa"/>
            <w:vMerge w:val="continue"/>
            <w:vAlign w:val="center"/>
          </w:tcPr>
          <w:p>
            <w:pPr>
              <w:jc w:val="center"/>
              <w:rPr>
                <w:rFonts w:ascii="Times New Roman" w:hAnsi="Times New Roman" w:eastAsia="宋体" w:cs="Times New Roman"/>
                <w:kern w:val="2"/>
                <w:sz w:val="18"/>
                <w:szCs w:val="18"/>
              </w:rPr>
            </w:pPr>
          </w:p>
        </w:tc>
        <w:tc>
          <w:tcPr>
            <w:tcW w:w="1241" w:type="dxa"/>
            <w:vMerge w:val="continue"/>
            <w:vAlign w:val="center"/>
          </w:tcPr>
          <w:p>
            <w:pPr>
              <w:jc w:val="center"/>
              <w:rPr>
                <w:rFonts w:ascii="Times New Roman" w:hAnsi="Times New Roman" w:eastAsia="宋体" w:cs="Times New Roman"/>
                <w:kern w:val="2"/>
                <w:sz w:val="18"/>
                <w:szCs w:val="18"/>
              </w:rPr>
            </w:pPr>
          </w:p>
        </w:tc>
        <w:tc>
          <w:tcPr>
            <w:tcW w:w="1045" w:type="dxa"/>
            <w:vMerge w:val="continue"/>
            <w:vAlign w:val="center"/>
          </w:tcPr>
          <w:p>
            <w:pPr>
              <w:jc w:val="center"/>
              <w:rPr>
                <w:rFonts w:ascii="Times New Roman" w:hAnsi="Times New Roman" w:eastAsia="宋体" w:cs="Times New Roman"/>
                <w:kern w:val="2"/>
                <w:sz w:val="18"/>
                <w:szCs w:val="18"/>
              </w:rPr>
            </w:pPr>
          </w:p>
        </w:tc>
        <w:tc>
          <w:tcPr>
            <w:tcW w:w="1620" w:type="dxa"/>
            <w:vAlign w:val="center"/>
          </w:tcPr>
          <w:p>
            <w:pPr>
              <w:jc w:val="center"/>
              <w:rPr>
                <w:rFonts w:ascii="Times New Roman" w:hAnsi="Times New Roman" w:eastAsia="宋体" w:cs="Times New Roman"/>
                <w:kern w:val="2"/>
                <w:sz w:val="18"/>
                <w:szCs w:val="18"/>
              </w:rPr>
            </w:pPr>
            <w:r>
              <w:rPr>
                <w:rFonts w:hint="eastAsia" w:ascii="等线" w:hAnsi="等线" w:eastAsia="等线" w:cs="Times New Roman"/>
                <w:kern w:val="2"/>
                <w:sz w:val="18"/>
                <w:szCs w:val="18"/>
              </w:rPr>
              <w:t>≥</w:t>
            </w:r>
            <w:r>
              <w:rPr>
                <w:rFonts w:ascii="Times New Roman" w:hAnsi="Times New Roman" w:eastAsia="宋体" w:cs="Times New Roman"/>
                <w:kern w:val="2"/>
                <w:sz w:val="18"/>
                <w:szCs w:val="18"/>
              </w:rPr>
              <w:t>12m且＜18m</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w:t>
            </w:r>
          </w:p>
        </w:tc>
        <w:tc>
          <w:tcPr>
            <w:tcW w:w="2412" w:type="dxa"/>
            <w:vMerge w:val="continue"/>
            <w:vAlign w:val="center"/>
          </w:tcPr>
          <w:p>
            <w:pPr>
              <w:jc w:val="center"/>
              <w:rPr>
                <w:rFonts w:ascii="Times New Roman" w:hAnsi="Times New Roman" w:eastAsia="宋体" w:cs="Times New Roman"/>
                <w:kern w:val="2"/>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5" w:hRule="atLeast"/>
          <w:jc w:val="center"/>
        </w:trPr>
        <w:tc>
          <w:tcPr>
            <w:tcW w:w="634" w:type="dxa"/>
            <w:vMerge w:val="continue"/>
            <w:vAlign w:val="center"/>
          </w:tcPr>
          <w:p>
            <w:pPr>
              <w:jc w:val="center"/>
              <w:rPr>
                <w:rFonts w:ascii="Times New Roman" w:hAnsi="Times New Roman" w:eastAsia="宋体" w:cs="Times New Roman"/>
                <w:kern w:val="2"/>
                <w:sz w:val="18"/>
                <w:szCs w:val="18"/>
              </w:rPr>
            </w:pPr>
          </w:p>
        </w:tc>
        <w:tc>
          <w:tcPr>
            <w:tcW w:w="1241" w:type="dxa"/>
            <w:vMerge w:val="continue"/>
            <w:vAlign w:val="center"/>
          </w:tcPr>
          <w:p>
            <w:pPr>
              <w:jc w:val="center"/>
              <w:rPr>
                <w:rFonts w:ascii="Times New Roman" w:hAnsi="Times New Roman" w:eastAsia="宋体" w:cs="Times New Roman"/>
                <w:kern w:val="2"/>
                <w:sz w:val="18"/>
                <w:szCs w:val="18"/>
              </w:rPr>
            </w:pPr>
          </w:p>
        </w:tc>
        <w:tc>
          <w:tcPr>
            <w:tcW w:w="1045" w:type="dxa"/>
            <w:vMerge w:val="continue"/>
            <w:vAlign w:val="center"/>
          </w:tcPr>
          <w:p>
            <w:pPr>
              <w:jc w:val="center"/>
              <w:rPr>
                <w:rFonts w:ascii="Times New Roman" w:hAnsi="Times New Roman" w:eastAsia="宋体" w:cs="Times New Roman"/>
                <w:kern w:val="2"/>
                <w:sz w:val="18"/>
                <w:szCs w:val="18"/>
              </w:rPr>
            </w:pPr>
          </w:p>
        </w:tc>
        <w:tc>
          <w:tcPr>
            <w:tcW w:w="1620" w:type="dxa"/>
            <w:vAlign w:val="center"/>
          </w:tcPr>
          <w:p>
            <w:pPr>
              <w:jc w:val="center"/>
              <w:rPr>
                <w:rFonts w:ascii="Times New Roman" w:hAnsi="Times New Roman" w:eastAsia="宋体" w:cs="Times New Roman"/>
                <w:kern w:val="2"/>
                <w:sz w:val="18"/>
                <w:szCs w:val="18"/>
              </w:rPr>
            </w:pPr>
            <w:r>
              <w:rPr>
                <w:rFonts w:hint="eastAsia" w:ascii="等线" w:hAnsi="等线" w:eastAsia="等线" w:cs="Times New Roman"/>
                <w:kern w:val="2"/>
                <w:sz w:val="18"/>
                <w:szCs w:val="18"/>
              </w:rPr>
              <w:t>≥</w:t>
            </w:r>
            <w:r>
              <w:rPr>
                <w:rFonts w:ascii="Times New Roman" w:hAnsi="Times New Roman" w:eastAsia="宋体" w:cs="Times New Roman"/>
                <w:kern w:val="2"/>
                <w:sz w:val="18"/>
                <w:szCs w:val="18"/>
              </w:rPr>
              <w:t>18m</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±20</w:t>
            </w:r>
          </w:p>
        </w:tc>
        <w:tc>
          <w:tcPr>
            <w:tcW w:w="2412" w:type="dxa"/>
            <w:vMerge w:val="continue"/>
            <w:vAlign w:val="center"/>
          </w:tcPr>
          <w:p>
            <w:pPr>
              <w:jc w:val="center"/>
              <w:rPr>
                <w:rFonts w:ascii="Times New Roman" w:hAnsi="Times New Roman" w:eastAsia="宋体" w:cs="Times New Roman"/>
                <w:kern w:val="2"/>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jc w:val="center"/>
        </w:trPr>
        <w:tc>
          <w:tcPr>
            <w:tcW w:w="634"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1241" w:type="dxa"/>
            <w:vMerge w:val="continue"/>
            <w:vAlign w:val="center"/>
          </w:tcPr>
          <w:p>
            <w:pPr>
              <w:jc w:val="center"/>
              <w:rPr>
                <w:rFonts w:ascii="Times New Roman" w:hAnsi="Times New Roman" w:eastAsia="宋体" w:cs="Times New Roman"/>
                <w:kern w:val="2"/>
                <w:sz w:val="18"/>
                <w:szCs w:val="18"/>
              </w:rPr>
            </w:pPr>
          </w:p>
        </w:tc>
        <w:tc>
          <w:tcPr>
            <w:tcW w:w="2665" w:type="dxa"/>
            <w:gridSpan w:val="2"/>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宽度</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用尺量两端及中间部位，取其中偏差绝对值较大值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37" w:hRule="atLeast"/>
          <w:jc w:val="center"/>
        </w:trPr>
        <w:tc>
          <w:tcPr>
            <w:tcW w:w="634"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3</w:t>
            </w:r>
          </w:p>
        </w:tc>
        <w:tc>
          <w:tcPr>
            <w:tcW w:w="1241" w:type="dxa"/>
            <w:vMerge w:val="continue"/>
            <w:vAlign w:val="center"/>
          </w:tcPr>
          <w:p>
            <w:pPr>
              <w:jc w:val="center"/>
              <w:rPr>
                <w:rFonts w:ascii="Times New Roman" w:hAnsi="Times New Roman" w:eastAsia="宋体" w:cs="Times New Roman"/>
                <w:kern w:val="2"/>
                <w:sz w:val="18"/>
                <w:szCs w:val="18"/>
              </w:rPr>
            </w:pPr>
          </w:p>
        </w:tc>
        <w:tc>
          <w:tcPr>
            <w:tcW w:w="2665" w:type="dxa"/>
            <w:gridSpan w:val="2"/>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厚度</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用尺量板四角和四边中部位置共８处，取其中偏差绝对值较大值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37" w:hRule="atLeast"/>
          <w:jc w:val="center"/>
        </w:trPr>
        <w:tc>
          <w:tcPr>
            <w:tcW w:w="634"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4</w:t>
            </w:r>
          </w:p>
        </w:tc>
        <w:tc>
          <w:tcPr>
            <w:tcW w:w="3906" w:type="dxa"/>
            <w:gridSpan w:val="3"/>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对角线差</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6</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在构件表面，用尺量测两对角线的长度，取其差值的绝对值</w:t>
            </w:r>
          </w:p>
        </w:tc>
      </w:tr>
    </w:tbl>
    <w:p>
      <w:pPr>
        <w:pStyle w:val="83"/>
        <w:shd w:val="clear" w:color="auto" w:fill="auto"/>
        <w:spacing w:before="120" w:beforeLines="50" w:after="120" w:afterLines="50" w:line="240" w:lineRule="auto"/>
        <w:jc w:val="center"/>
        <w:rPr>
          <w:rFonts w:ascii="黑体" w:hAnsi="黑体" w:eastAsia="黑体" w:cs="Times New Roman"/>
          <w:b w:val="0"/>
          <w:sz w:val="21"/>
          <w:szCs w:val="21"/>
        </w:rPr>
      </w:pPr>
    </w:p>
    <w:p>
      <w:pPr>
        <w:pStyle w:val="83"/>
        <w:shd w:val="clear" w:color="auto" w:fill="auto"/>
        <w:spacing w:before="120" w:beforeLines="50" w:after="120" w:afterLines="50" w:line="240" w:lineRule="auto"/>
        <w:jc w:val="center"/>
        <w:rPr>
          <w:rFonts w:ascii="黑体" w:hAnsi="黑体" w:eastAsia="黑体" w:cs="Times New Roman"/>
          <w:b w:val="0"/>
          <w:sz w:val="21"/>
          <w:szCs w:val="21"/>
        </w:rPr>
      </w:pPr>
    </w:p>
    <w:p>
      <w:pPr>
        <w:pStyle w:val="83"/>
        <w:shd w:val="clear" w:color="auto" w:fill="auto"/>
        <w:spacing w:before="120" w:beforeLines="50" w:after="120" w:afterLines="50" w:line="240" w:lineRule="auto"/>
        <w:jc w:val="center"/>
        <w:rPr>
          <w:rFonts w:ascii="黑体" w:hAnsi="黑体" w:eastAsia="黑体" w:cs="Times New Roman"/>
          <w:b w:val="0"/>
          <w:sz w:val="21"/>
          <w:szCs w:val="21"/>
        </w:rPr>
      </w:pPr>
      <w:r>
        <w:rPr>
          <w:rFonts w:ascii="黑体" w:hAnsi="黑体" w:eastAsia="黑体" w:cs="Times New Roman"/>
          <w:b w:val="0"/>
          <w:sz w:val="21"/>
          <w:szCs w:val="21"/>
        </w:rPr>
        <w:t>表16</w:t>
      </w:r>
      <w:r>
        <w:rPr>
          <w:rFonts w:hint="eastAsia" w:ascii="黑体" w:hAnsi="黑体" w:eastAsia="黑体" w:cs="Times New Roman"/>
          <w:b w:val="0"/>
          <w:sz w:val="21"/>
          <w:szCs w:val="21"/>
        </w:rPr>
        <w:t xml:space="preserve">  </w:t>
      </w:r>
      <w:r>
        <w:rPr>
          <w:rFonts w:ascii="黑体" w:hAnsi="黑体" w:eastAsia="黑体" w:cs="Times New Roman"/>
          <w:b w:val="0"/>
          <w:sz w:val="21"/>
          <w:szCs w:val="21"/>
        </w:rPr>
        <w:t>预制楼板类构件外形尺寸的允许偏差及检验方法</w:t>
      </w:r>
      <w:r>
        <w:rPr>
          <w:rFonts w:hint="eastAsia" w:ascii="黑体" w:hAnsi="黑体" w:eastAsia="黑体" w:cs="Times New Roman"/>
          <w:b w:val="0"/>
          <w:sz w:val="21"/>
          <w:szCs w:val="21"/>
        </w:rPr>
        <w:t>（续表）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41"/>
        <w:gridCol w:w="1045"/>
        <w:gridCol w:w="1620"/>
        <w:gridCol w:w="1071"/>
        <w:gridCol w:w="24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70" w:hRule="atLeast"/>
          <w:jc w:val="center"/>
        </w:trPr>
        <w:tc>
          <w:tcPr>
            <w:tcW w:w="634"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项次</w:t>
            </w:r>
          </w:p>
        </w:tc>
        <w:tc>
          <w:tcPr>
            <w:tcW w:w="3906" w:type="dxa"/>
            <w:gridSpan w:val="3"/>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检查项目</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允许偏差</w:t>
            </w:r>
          </w:p>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（mm）</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634"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1241"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外形</w:t>
            </w:r>
          </w:p>
        </w:tc>
        <w:tc>
          <w:tcPr>
            <w:tcW w:w="1045"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表面平整度</w:t>
            </w:r>
          </w:p>
        </w:tc>
        <w:tc>
          <w:tcPr>
            <w:tcW w:w="1620"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内表面</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4</w:t>
            </w:r>
          </w:p>
        </w:tc>
        <w:tc>
          <w:tcPr>
            <w:tcW w:w="2412"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用2m靠尺安放在构件表面上，用楔形塞尺量测靠尺与表面之间的最大缝隙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atLeast"/>
          <w:jc w:val="center"/>
        </w:trPr>
        <w:tc>
          <w:tcPr>
            <w:tcW w:w="634" w:type="dxa"/>
            <w:vMerge w:val="continue"/>
            <w:vAlign w:val="center"/>
          </w:tcPr>
          <w:p>
            <w:pPr>
              <w:jc w:val="center"/>
              <w:rPr>
                <w:rFonts w:ascii="Times New Roman" w:hAnsi="Times New Roman" w:eastAsia="宋体" w:cs="Times New Roman"/>
                <w:kern w:val="2"/>
                <w:sz w:val="18"/>
                <w:szCs w:val="18"/>
              </w:rPr>
            </w:pPr>
          </w:p>
        </w:tc>
        <w:tc>
          <w:tcPr>
            <w:tcW w:w="1241" w:type="dxa"/>
            <w:vMerge w:val="continue"/>
            <w:vAlign w:val="center"/>
          </w:tcPr>
          <w:p>
            <w:pPr>
              <w:jc w:val="center"/>
              <w:rPr>
                <w:rFonts w:ascii="Times New Roman" w:hAnsi="Times New Roman" w:eastAsia="宋体" w:cs="Times New Roman"/>
                <w:kern w:val="2"/>
                <w:sz w:val="18"/>
                <w:szCs w:val="18"/>
              </w:rPr>
            </w:pPr>
          </w:p>
        </w:tc>
        <w:tc>
          <w:tcPr>
            <w:tcW w:w="1045" w:type="dxa"/>
            <w:vMerge w:val="continue"/>
            <w:vAlign w:val="center"/>
          </w:tcPr>
          <w:p>
            <w:pPr>
              <w:jc w:val="center"/>
              <w:rPr>
                <w:rFonts w:ascii="Times New Roman" w:hAnsi="Times New Roman" w:eastAsia="宋体" w:cs="Times New Roman"/>
                <w:kern w:val="2"/>
                <w:sz w:val="18"/>
                <w:szCs w:val="18"/>
              </w:rPr>
            </w:pPr>
          </w:p>
        </w:tc>
        <w:tc>
          <w:tcPr>
            <w:tcW w:w="1620"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外表面</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3</w:t>
            </w:r>
          </w:p>
        </w:tc>
        <w:tc>
          <w:tcPr>
            <w:tcW w:w="2412" w:type="dxa"/>
            <w:vMerge w:val="continue"/>
            <w:vAlign w:val="center"/>
          </w:tcPr>
          <w:p>
            <w:pPr>
              <w:jc w:val="center"/>
              <w:rPr>
                <w:rFonts w:ascii="Times New Roman" w:hAnsi="Times New Roman" w:eastAsia="宋体" w:cs="Times New Roman"/>
                <w:kern w:val="2"/>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jc w:val="center"/>
        </w:trPr>
        <w:tc>
          <w:tcPr>
            <w:tcW w:w="634"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6</w:t>
            </w:r>
          </w:p>
        </w:tc>
        <w:tc>
          <w:tcPr>
            <w:tcW w:w="1241" w:type="dxa"/>
            <w:vMerge w:val="continue"/>
            <w:vAlign w:val="center"/>
          </w:tcPr>
          <w:p>
            <w:pPr>
              <w:jc w:val="center"/>
              <w:rPr>
                <w:rFonts w:ascii="Times New Roman" w:hAnsi="Times New Roman" w:eastAsia="宋体" w:cs="Times New Roman"/>
                <w:kern w:val="2"/>
                <w:sz w:val="18"/>
                <w:szCs w:val="18"/>
              </w:rPr>
            </w:pPr>
          </w:p>
        </w:tc>
        <w:tc>
          <w:tcPr>
            <w:tcW w:w="2665" w:type="dxa"/>
            <w:gridSpan w:val="2"/>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侧向弯曲</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i/>
                <w:iCs/>
                <w:kern w:val="2"/>
                <w:sz w:val="18"/>
                <w:szCs w:val="18"/>
              </w:rPr>
              <w:t>L</w:t>
            </w:r>
            <w:r>
              <w:rPr>
                <w:rFonts w:ascii="Times New Roman" w:hAnsi="Times New Roman" w:eastAsia="宋体" w:cs="Times New Roman"/>
                <w:kern w:val="2"/>
                <w:sz w:val="18"/>
                <w:szCs w:val="18"/>
              </w:rPr>
              <w:t>/750且</w:t>
            </w:r>
            <w:r>
              <w:rPr>
                <w:rFonts w:hint="eastAsia" w:ascii="等线" w:hAnsi="等线" w:eastAsia="等线" w:cs="Times New Roman"/>
                <w:kern w:val="2"/>
                <w:sz w:val="18"/>
                <w:szCs w:val="18"/>
              </w:rPr>
              <w:t>≤</w:t>
            </w:r>
            <w:r>
              <w:rPr>
                <w:rFonts w:ascii="Times New Roman" w:hAnsi="Times New Roman" w:eastAsia="宋体" w:cs="Times New Roman"/>
                <w:kern w:val="2"/>
                <w:sz w:val="18"/>
                <w:szCs w:val="18"/>
              </w:rPr>
              <w:t>20mm</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拉线，钢尺量最大弯曲处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37" w:hRule="atLeast"/>
          <w:jc w:val="center"/>
        </w:trPr>
        <w:tc>
          <w:tcPr>
            <w:tcW w:w="634"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7</w:t>
            </w:r>
          </w:p>
        </w:tc>
        <w:tc>
          <w:tcPr>
            <w:tcW w:w="1241" w:type="dxa"/>
            <w:vMerge w:val="continue"/>
            <w:vAlign w:val="center"/>
          </w:tcPr>
          <w:p>
            <w:pPr>
              <w:jc w:val="center"/>
              <w:rPr>
                <w:rFonts w:ascii="Times New Roman" w:hAnsi="Times New Roman" w:eastAsia="宋体" w:cs="Times New Roman"/>
                <w:kern w:val="2"/>
                <w:sz w:val="18"/>
                <w:szCs w:val="18"/>
              </w:rPr>
            </w:pPr>
          </w:p>
        </w:tc>
        <w:tc>
          <w:tcPr>
            <w:tcW w:w="2665" w:type="dxa"/>
            <w:gridSpan w:val="2"/>
            <w:vAlign w:val="center"/>
          </w:tcPr>
          <w:p>
            <w:pPr>
              <w:jc w:val="center"/>
              <w:rPr>
                <w:rFonts w:ascii="Times New Roman" w:hAnsi="Times New Roman" w:eastAsia="宋体" w:cs="Times New Roman"/>
                <w:kern w:val="2"/>
                <w:sz w:val="18"/>
                <w:szCs w:val="18"/>
              </w:rPr>
            </w:pPr>
            <w:r>
              <w:rPr>
                <w:rFonts w:hint="eastAsia" w:ascii="Times New Roman" w:hAnsi="Times New Roman" w:eastAsia="宋体" w:cs="Times New Roman"/>
                <w:kern w:val="2"/>
                <w:sz w:val="18"/>
                <w:szCs w:val="18"/>
              </w:rPr>
              <w:t>扭</w:t>
            </w:r>
            <w:r>
              <w:rPr>
                <w:rFonts w:ascii="Times New Roman" w:hAnsi="Times New Roman" w:eastAsia="宋体" w:cs="Times New Roman"/>
                <w:kern w:val="2"/>
                <w:sz w:val="18"/>
                <w:szCs w:val="18"/>
              </w:rPr>
              <w:t>翘</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i/>
                <w:iCs/>
                <w:kern w:val="2"/>
                <w:sz w:val="18"/>
                <w:szCs w:val="18"/>
              </w:rPr>
              <w:t>L</w:t>
            </w:r>
            <w:r>
              <w:rPr>
                <w:rFonts w:ascii="Times New Roman" w:hAnsi="Times New Roman" w:eastAsia="宋体" w:cs="Times New Roman"/>
                <w:kern w:val="2"/>
                <w:sz w:val="18"/>
                <w:szCs w:val="18"/>
              </w:rPr>
              <w:t>/750</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四对角拉两条线，量测两线交点之间的距离，其值的２倍为扭翘值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0" w:hRule="atLeast"/>
          <w:jc w:val="center"/>
        </w:trPr>
        <w:tc>
          <w:tcPr>
            <w:tcW w:w="634"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8</w:t>
            </w:r>
          </w:p>
        </w:tc>
        <w:tc>
          <w:tcPr>
            <w:tcW w:w="1241"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预埋部件</w:t>
            </w:r>
          </w:p>
        </w:tc>
        <w:tc>
          <w:tcPr>
            <w:tcW w:w="1045"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预埋</w:t>
            </w:r>
          </w:p>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钢板</w:t>
            </w:r>
          </w:p>
        </w:tc>
        <w:tc>
          <w:tcPr>
            <w:tcW w:w="1620"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中心线位置偏差</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用尺量测纵横两个方向的中心线位置，记录其中较大值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55" w:hRule="atLeast"/>
          <w:jc w:val="center"/>
        </w:trPr>
        <w:tc>
          <w:tcPr>
            <w:tcW w:w="634" w:type="dxa"/>
            <w:vMerge w:val="continue"/>
            <w:vAlign w:val="center"/>
          </w:tcPr>
          <w:p>
            <w:pPr>
              <w:jc w:val="center"/>
              <w:rPr>
                <w:rFonts w:ascii="Times New Roman" w:hAnsi="Times New Roman" w:eastAsia="宋体" w:cs="Times New Roman"/>
                <w:kern w:val="2"/>
                <w:sz w:val="18"/>
                <w:szCs w:val="18"/>
              </w:rPr>
            </w:pPr>
          </w:p>
        </w:tc>
        <w:tc>
          <w:tcPr>
            <w:tcW w:w="1241" w:type="dxa"/>
            <w:vMerge w:val="continue"/>
            <w:vAlign w:val="center"/>
          </w:tcPr>
          <w:p>
            <w:pPr>
              <w:jc w:val="center"/>
              <w:rPr>
                <w:rFonts w:ascii="Times New Roman" w:hAnsi="Times New Roman" w:eastAsia="宋体" w:cs="Times New Roman"/>
                <w:kern w:val="2"/>
                <w:sz w:val="18"/>
                <w:szCs w:val="18"/>
              </w:rPr>
            </w:pPr>
          </w:p>
        </w:tc>
        <w:tc>
          <w:tcPr>
            <w:tcW w:w="1045" w:type="dxa"/>
            <w:vMerge w:val="continue"/>
            <w:vAlign w:val="center"/>
          </w:tcPr>
          <w:p>
            <w:pPr>
              <w:jc w:val="center"/>
              <w:rPr>
                <w:rFonts w:ascii="Times New Roman" w:hAnsi="Times New Roman" w:eastAsia="宋体" w:cs="Times New Roman"/>
                <w:kern w:val="2"/>
                <w:sz w:val="18"/>
                <w:szCs w:val="18"/>
              </w:rPr>
            </w:pPr>
          </w:p>
        </w:tc>
        <w:tc>
          <w:tcPr>
            <w:tcW w:w="1620"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平面高差</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0，-5</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用尺紧靠在预埋件上，用楔形塞尺量测预埋件平面与混凝土面的最大缝隙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0" w:hRule="atLeast"/>
          <w:jc w:val="center"/>
        </w:trPr>
        <w:tc>
          <w:tcPr>
            <w:tcW w:w="634"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9</w:t>
            </w:r>
          </w:p>
        </w:tc>
        <w:tc>
          <w:tcPr>
            <w:tcW w:w="1241" w:type="dxa"/>
            <w:vMerge w:val="continue"/>
            <w:vAlign w:val="center"/>
          </w:tcPr>
          <w:p>
            <w:pPr>
              <w:jc w:val="center"/>
              <w:rPr>
                <w:rFonts w:ascii="Times New Roman" w:hAnsi="Times New Roman" w:eastAsia="宋体" w:cs="Times New Roman"/>
                <w:kern w:val="2"/>
                <w:sz w:val="18"/>
                <w:szCs w:val="18"/>
              </w:rPr>
            </w:pPr>
          </w:p>
        </w:tc>
        <w:tc>
          <w:tcPr>
            <w:tcW w:w="1045"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预埋</w:t>
            </w:r>
          </w:p>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螺栓</w:t>
            </w:r>
          </w:p>
        </w:tc>
        <w:tc>
          <w:tcPr>
            <w:tcW w:w="1620"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中心线位置偏移</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用尺量测纵横两个方向的中心线位置，记录其中较大值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jc w:val="center"/>
        </w:trPr>
        <w:tc>
          <w:tcPr>
            <w:tcW w:w="634" w:type="dxa"/>
            <w:vMerge w:val="continue"/>
            <w:vAlign w:val="center"/>
          </w:tcPr>
          <w:p>
            <w:pPr>
              <w:jc w:val="center"/>
              <w:rPr>
                <w:rFonts w:ascii="Times New Roman" w:hAnsi="Times New Roman" w:eastAsia="宋体" w:cs="Times New Roman"/>
                <w:kern w:val="2"/>
                <w:sz w:val="18"/>
                <w:szCs w:val="18"/>
              </w:rPr>
            </w:pPr>
          </w:p>
        </w:tc>
        <w:tc>
          <w:tcPr>
            <w:tcW w:w="1241" w:type="dxa"/>
            <w:vMerge w:val="continue"/>
            <w:vAlign w:val="center"/>
          </w:tcPr>
          <w:p>
            <w:pPr>
              <w:jc w:val="center"/>
              <w:rPr>
                <w:rFonts w:ascii="Times New Roman" w:hAnsi="Times New Roman" w:eastAsia="宋体" w:cs="Times New Roman"/>
                <w:kern w:val="2"/>
                <w:sz w:val="18"/>
                <w:szCs w:val="18"/>
              </w:rPr>
            </w:pPr>
          </w:p>
        </w:tc>
        <w:tc>
          <w:tcPr>
            <w:tcW w:w="1045" w:type="dxa"/>
            <w:vMerge w:val="continue"/>
            <w:vAlign w:val="center"/>
          </w:tcPr>
          <w:p>
            <w:pPr>
              <w:jc w:val="center"/>
              <w:rPr>
                <w:rFonts w:ascii="Times New Roman" w:hAnsi="Times New Roman" w:eastAsia="宋体" w:cs="Times New Roman"/>
                <w:kern w:val="2"/>
                <w:sz w:val="18"/>
                <w:szCs w:val="18"/>
              </w:rPr>
            </w:pPr>
          </w:p>
        </w:tc>
        <w:tc>
          <w:tcPr>
            <w:tcW w:w="1620"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外露长度</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+10，-5</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55" w:hRule="atLeast"/>
          <w:jc w:val="center"/>
        </w:trPr>
        <w:tc>
          <w:tcPr>
            <w:tcW w:w="634"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w:t>
            </w:r>
          </w:p>
        </w:tc>
        <w:tc>
          <w:tcPr>
            <w:tcW w:w="1241" w:type="dxa"/>
            <w:vMerge w:val="continue"/>
            <w:vAlign w:val="center"/>
          </w:tcPr>
          <w:p>
            <w:pPr>
              <w:jc w:val="center"/>
              <w:rPr>
                <w:rFonts w:ascii="Times New Roman" w:hAnsi="Times New Roman" w:eastAsia="宋体" w:cs="Times New Roman"/>
                <w:kern w:val="2"/>
                <w:sz w:val="18"/>
                <w:szCs w:val="18"/>
              </w:rPr>
            </w:pPr>
          </w:p>
        </w:tc>
        <w:tc>
          <w:tcPr>
            <w:tcW w:w="1045"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预埋</w:t>
            </w:r>
          </w:p>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线盒、</w:t>
            </w:r>
          </w:p>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电盒</w:t>
            </w:r>
          </w:p>
        </w:tc>
        <w:tc>
          <w:tcPr>
            <w:tcW w:w="1620"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在构件平面的水平方向中心位置偏差</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0" w:hRule="atLeast"/>
          <w:jc w:val="center"/>
        </w:trPr>
        <w:tc>
          <w:tcPr>
            <w:tcW w:w="634" w:type="dxa"/>
            <w:vMerge w:val="continue"/>
            <w:vAlign w:val="center"/>
          </w:tcPr>
          <w:p>
            <w:pPr>
              <w:jc w:val="center"/>
              <w:rPr>
                <w:rFonts w:ascii="Times New Roman" w:hAnsi="Times New Roman" w:eastAsia="宋体" w:cs="Times New Roman"/>
                <w:kern w:val="2"/>
                <w:sz w:val="18"/>
                <w:szCs w:val="18"/>
              </w:rPr>
            </w:pPr>
          </w:p>
        </w:tc>
        <w:tc>
          <w:tcPr>
            <w:tcW w:w="1241" w:type="dxa"/>
            <w:vMerge w:val="continue"/>
            <w:vAlign w:val="center"/>
          </w:tcPr>
          <w:p>
            <w:pPr>
              <w:jc w:val="center"/>
              <w:rPr>
                <w:rFonts w:ascii="Times New Roman" w:hAnsi="Times New Roman" w:eastAsia="宋体" w:cs="Times New Roman"/>
                <w:kern w:val="2"/>
                <w:sz w:val="18"/>
                <w:szCs w:val="18"/>
              </w:rPr>
            </w:pPr>
          </w:p>
        </w:tc>
        <w:tc>
          <w:tcPr>
            <w:tcW w:w="1045" w:type="dxa"/>
            <w:vMerge w:val="continue"/>
            <w:vAlign w:val="center"/>
          </w:tcPr>
          <w:p>
            <w:pPr>
              <w:jc w:val="center"/>
              <w:rPr>
                <w:rFonts w:ascii="Times New Roman" w:hAnsi="Times New Roman" w:eastAsia="宋体" w:cs="Times New Roman"/>
                <w:kern w:val="2"/>
                <w:sz w:val="18"/>
                <w:szCs w:val="18"/>
              </w:rPr>
            </w:pPr>
          </w:p>
        </w:tc>
        <w:tc>
          <w:tcPr>
            <w:tcW w:w="1620"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与构件表面混凝土高差</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0，-5</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0" w:hRule="atLeast"/>
          <w:jc w:val="center"/>
        </w:trPr>
        <w:tc>
          <w:tcPr>
            <w:tcW w:w="634"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11</w:t>
            </w:r>
          </w:p>
        </w:tc>
        <w:tc>
          <w:tcPr>
            <w:tcW w:w="1241"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预留孔</w:t>
            </w:r>
          </w:p>
        </w:tc>
        <w:tc>
          <w:tcPr>
            <w:tcW w:w="2665" w:type="dxa"/>
            <w:gridSpan w:val="2"/>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中心线位置偏移</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用尺量测纵横两个方向的中心线位置，记录其中较大值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atLeast"/>
          <w:jc w:val="center"/>
        </w:trPr>
        <w:tc>
          <w:tcPr>
            <w:tcW w:w="634" w:type="dxa"/>
            <w:vMerge w:val="continue"/>
            <w:vAlign w:val="center"/>
          </w:tcPr>
          <w:p>
            <w:pPr>
              <w:jc w:val="center"/>
              <w:rPr>
                <w:rFonts w:ascii="Times New Roman" w:hAnsi="Times New Roman" w:eastAsia="宋体" w:cs="Times New Roman"/>
                <w:kern w:val="2"/>
                <w:sz w:val="18"/>
                <w:szCs w:val="18"/>
              </w:rPr>
            </w:pPr>
          </w:p>
        </w:tc>
        <w:tc>
          <w:tcPr>
            <w:tcW w:w="1241" w:type="dxa"/>
            <w:vMerge w:val="continue"/>
            <w:vAlign w:val="center"/>
          </w:tcPr>
          <w:p>
            <w:pPr>
              <w:jc w:val="center"/>
              <w:rPr>
                <w:rFonts w:ascii="Times New Roman" w:hAnsi="Times New Roman" w:eastAsia="宋体" w:cs="Times New Roman"/>
                <w:kern w:val="2"/>
                <w:sz w:val="18"/>
                <w:szCs w:val="18"/>
              </w:rPr>
            </w:pPr>
          </w:p>
        </w:tc>
        <w:tc>
          <w:tcPr>
            <w:tcW w:w="2665" w:type="dxa"/>
            <w:gridSpan w:val="2"/>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孔尺寸</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用尺量测纵横两个方向的中心线位置，记录其中较大值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atLeast"/>
          <w:jc w:val="center"/>
        </w:trPr>
        <w:tc>
          <w:tcPr>
            <w:tcW w:w="634"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12</w:t>
            </w:r>
          </w:p>
        </w:tc>
        <w:tc>
          <w:tcPr>
            <w:tcW w:w="1241"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预留洞</w:t>
            </w:r>
          </w:p>
        </w:tc>
        <w:tc>
          <w:tcPr>
            <w:tcW w:w="2665" w:type="dxa"/>
            <w:gridSpan w:val="2"/>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中心线位置偏移</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用尺量测纵横两个方向的中心线位置，记录其中较大值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atLeast"/>
          <w:jc w:val="center"/>
        </w:trPr>
        <w:tc>
          <w:tcPr>
            <w:tcW w:w="634" w:type="dxa"/>
            <w:vMerge w:val="continue"/>
            <w:tcBorders>
              <w:bottom w:val="single" w:color="000000" w:sz="4" w:space="0"/>
            </w:tcBorders>
            <w:vAlign w:val="center"/>
          </w:tcPr>
          <w:p>
            <w:pPr>
              <w:jc w:val="center"/>
              <w:rPr>
                <w:rFonts w:ascii="Times New Roman" w:hAnsi="Times New Roman" w:eastAsia="宋体" w:cs="Times New Roman"/>
                <w:kern w:val="2"/>
                <w:sz w:val="18"/>
                <w:szCs w:val="18"/>
              </w:rPr>
            </w:pPr>
          </w:p>
        </w:tc>
        <w:tc>
          <w:tcPr>
            <w:tcW w:w="1241" w:type="dxa"/>
            <w:vMerge w:val="continue"/>
            <w:tcBorders>
              <w:bottom w:val="single" w:color="000000" w:sz="4" w:space="0"/>
            </w:tcBorders>
            <w:vAlign w:val="center"/>
          </w:tcPr>
          <w:p>
            <w:pPr>
              <w:jc w:val="center"/>
              <w:rPr>
                <w:rFonts w:ascii="Times New Roman" w:hAnsi="Times New Roman" w:eastAsia="宋体" w:cs="Times New Roman"/>
                <w:kern w:val="2"/>
                <w:sz w:val="18"/>
                <w:szCs w:val="18"/>
              </w:rPr>
            </w:pPr>
          </w:p>
        </w:tc>
        <w:tc>
          <w:tcPr>
            <w:tcW w:w="2665" w:type="dxa"/>
            <w:gridSpan w:val="2"/>
            <w:tcBorders>
              <w:bottom w:val="single" w:color="000000"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洞口尺寸、深度</w:t>
            </w:r>
          </w:p>
        </w:tc>
        <w:tc>
          <w:tcPr>
            <w:tcW w:w="1071" w:type="dxa"/>
            <w:tcBorders>
              <w:bottom w:val="single" w:color="000000"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412" w:type="dxa"/>
            <w:tcBorders>
              <w:bottom w:val="single" w:color="000000"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用尺量测纵横两个方向的中心线位置，记录其中较大值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67" w:hRule="atLeast"/>
          <w:jc w:val="center"/>
        </w:trPr>
        <w:tc>
          <w:tcPr>
            <w:tcW w:w="634"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13</w:t>
            </w:r>
          </w:p>
        </w:tc>
        <w:tc>
          <w:tcPr>
            <w:tcW w:w="124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吊环</w:t>
            </w:r>
          </w:p>
        </w:tc>
        <w:tc>
          <w:tcPr>
            <w:tcW w:w="26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中心线位置偏移</w:t>
            </w:r>
          </w:p>
        </w:tc>
        <w:tc>
          <w:tcPr>
            <w:tcW w:w="107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w:t>
            </w:r>
          </w:p>
        </w:tc>
        <w:tc>
          <w:tcPr>
            <w:tcW w:w="2412"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用尺量测纵横两个方向的中心线位置，记录其中较大值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jc w:val="center"/>
        </w:trPr>
        <w:tc>
          <w:tcPr>
            <w:tcW w:w="634"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p>
        </w:tc>
        <w:tc>
          <w:tcPr>
            <w:tcW w:w="124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p>
        </w:tc>
        <w:tc>
          <w:tcPr>
            <w:tcW w:w="26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留出高度</w:t>
            </w:r>
          </w:p>
        </w:tc>
        <w:tc>
          <w:tcPr>
            <w:tcW w:w="107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0，-10</w:t>
            </w:r>
          </w:p>
        </w:tc>
        <w:tc>
          <w:tcPr>
            <w:tcW w:w="2412"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4" w:hRule="atLeast"/>
          <w:jc w:val="center"/>
        </w:trPr>
        <w:tc>
          <w:tcPr>
            <w:tcW w:w="634" w:type="dxa"/>
            <w:tcBorders>
              <w:top w:val="single" w:color="auto" w:sz="4" w:space="0"/>
              <w:left w:val="single" w:color="auto" w:sz="12" w:space="0"/>
              <w:bottom w:val="single" w:color="auto" w:sz="12"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14</w:t>
            </w:r>
          </w:p>
        </w:tc>
        <w:tc>
          <w:tcPr>
            <w:tcW w:w="3906" w:type="dxa"/>
            <w:gridSpan w:val="3"/>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桁架筋高度</w:t>
            </w:r>
          </w:p>
        </w:tc>
        <w:tc>
          <w:tcPr>
            <w:tcW w:w="1071"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+5，0</w:t>
            </w:r>
          </w:p>
        </w:tc>
        <w:tc>
          <w:tcPr>
            <w:tcW w:w="2412" w:type="dxa"/>
            <w:tcBorders>
              <w:top w:val="single" w:color="auto" w:sz="4" w:space="0"/>
              <w:left w:val="single" w:color="auto" w:sz="4" w:space="0"/>
              <w:bottom w:val="single" w:color="auto" w:sz="12"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w:t>
            </w:r>
          </w:p>
        </w:tc>
      </w:tr>
    </w:tbl>
    <w:p>
      <w:pPr>
        <w:pStyle w:val="83"/>
        <w:shd w:val="clear" w:color="auto" w:fill="auto"/>
        <w:spacing w:before="120" w:beforeLines="50" w:after="120" w:afterLines="50" w:line="240" w:lineRule="auto"/>
        <w:jc w:val="center"/>
        <w:rPr>
          <w:rFonts w:ascii="黑体" w:hAnsi="黑体" w:eastAsia="黑体" w:cs="Times New Roman"/>
          <w:b w:val="0"/>
          <w:sz w:val="21"/>
          <w:szCs w:val="21"/>
        </w:rPr>
      </w:pPr>
      <w:r>
        <w:rPr>
          <w:rFonts w:ascii="黑体" w:hAnsi="黑体" w:eastAsia="黑体" w:cs="Times New Roman"/>
          <w:b w:val="0"/>
          <w:sz w:val="21"/>
          <w:szCs w:val="21"/>
        </w:rPr>
        <w:t>表17预制墙板类构件外形尺寸允许偏差及检验方法</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9"/>
        <w:gridCol w:w="1239"/>
        <w:gridCol w:w="1985"/>
        <w:gridCol w:w="1048"/>
        <w:gridCol w:w="31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589"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项次</w:t>
            </w:r>
          </w:p>
        </w:tc>
        <w:tc>
          <w:tcPr>
            <w:tcW w:w="3224" w:type="dxa"/>
            <w:gridSpan w:val="2"/>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检查项目</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允许偏差（mm）</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23" w:hRule="atLeast"/>
          <w:jc w:val="center"/>
        </w:trPr>
        <w:tc>
          <w:tcPr>
            <w:tcW w:w="589"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w:t>
            </w:r>
          </w:p>
        </w:tc>
        <w:tc>
          <w:tcPr>
            <w:tcW w:w="123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规格尺寸</w:t>
            </w:r>
          </w:p>
        </w:tc>
        <w:tc>
          <w:tcPr>
            <w:tcW w:w="1985"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高度</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±4</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用尺量两端及中间部，取其中偏差绝对值较大值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589"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985"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宽度</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±4</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用尺量两端及中间部，取其中偏差绝对值较大值</w:t>
            </w:r>
          </w:p>
        </w:tc>
      </w:tr>
    </w:tbl>
    <w:p>
      <w:pPr>
        <w:pStyle w:val="83"/>
        <w:shd w:val="clear" w:color="auto" w:fill="auto"/>
        <w:spacing w:before="120" w:beforeLines="50" w:after="120" w:afterLines="50" w:line="240" w:lineRule="auto"/>
        <w:jc w:val="center"/>
        <w:rPr>
          <w:rFonts w:ascii="黑体" w:hAnsi="黑体" w:eastAsia="黑体" w:cs="Times New Roman"/>
          <w:b w:val="0"/>
          <w:sz w:val="21"/>
          <w:szCs w:val="21"/>
        </w:rPr>
      </w:pPr>
      <w:r>
        <w:rPr>
          <w:rFonts w:ascii="黑体" w:hAnsi="黑体" w:eastAsia="黑体" w:cs="Times New Roman"/>
          <w:b w:val="0"/>
          <w:sz w:val="21"/>
          <w:szCs w:val="21"/>
        </w:rPr>
        <w:t>表17预制墙板类构件外形尺寸允许偏差及检验方法</w:t>
      </w:r>
      <w:r>
        <w:rPr>
          <w:rFonts w:hint="eastAsia" w:ascii="黑体" w:hAnsi="黑体" w:eastAsia="黑体" w:cs="Times New Roman"/>
          <w:b w:val="0"/>
          <w:sz w:val="21"/>
          <w:szCs w:val="21"/>
        </w:rPr>
        <w:t>（续表）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9"/>
        <w:gridCol w:w="1239"/>
        <w:gridCol w:w="710"/>
        <w:gridCol w:w="141"/>
        <w:gridCol w:w="1134"/>
        <w:gridCol w:w="1048"/>
        <w:gridCol w:w="31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589"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项次</w:t>
            </w:r>
          </w:p>
        </w:tc>
        <w:tc>
          <w:tcPr>
            <w:tcW w:w="3224" w:type="dxa"/>
            <w:gridSpan w:val="4"/>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检查项目</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允许偏差（mm）</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7" w:hRule="atLeast"/>
          <w:jc w:val="center"/>
        </w:trPr>
        <w:tc>
          <w:tcPr>
            <w:tcW w:w="589"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3</w:t>
            </w:r>
          </w:p>
        </w:tc>
        <w:tc>
          <w:tcPr>
            <w:tcW w:w="1239" w:type="dxa"/>
            <w:tcBorders>
              <w:tl2br w:val="nil"/>
              <w:tr2bl w:val="nil"/>
            </w:tcBorders>
            <w:vAlign w:val="center"/>
          </w:tcPr>
          <w:p>
            <w:pPr>
              <w:jc w:val="center"/>
              <w:rPr>
                <w:rFonts w:ascii="Times New Roman" w:hAnsi="Times New Roman" w:eastAsia="宋体" w:cs="Times New Roman"/>
                <w:kern w:val="2"/>
                <w:sz w:val="18"/>
                <w:szCs w:val="18"/>
              </w:rPr>
            </w:pPr>
          </w:p>
        </w:tc>
        <w:tc>
          <w:tcPr>
            <w:tcW w:w="1985" w:type="dxa"/>
            <w:gridSpan w:val="3"/>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厚度</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±3</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用尺量板四角和四边中部位置共8处，取其中偏差绝</w:t>
            </w:r>
          </w:p>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对值较大值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589"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4</w:t>
            </w:r>
          </w:p>
        </w:tc>
        <w:tc>
          <w:tcPr>
            <w:tcW w:w="3224" w:type="dxa"/>
            <w:gridSpan w:val="4"/>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对角线差</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在构件表面，用尺测量两对角线的长度，取其绝对值的差值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89"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224" w:type="dxa"/>
            <w:gridSpan w:val="4"/>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上下层相对位置偏差</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用尺量，取最大值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6</w:t>
            </w:r>
          </w:p>
        </w:tc>
        <w:tc>
          <w:tcPr>
            <w:tcW w:w="123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外形</w:t>
            </w:r>
          </w:p>
        </w:tc>
        <w:tc>
          <w:tcPr>
            <w:tcW w:w="710" w:type="dxa"/>
            <w:vMerge w:val="restart"/>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表面平整度</w:t>
            </w:r>
          </w:p>
        </w:tc>
        <w:tc>
          <w:tcPr>
            <w:tcW w:w="1275" w:type="dxa"/>
            <w:gridSpan w:val="2"/>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内表面</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4</w:t>
            </w:r>
          </w:p>
        </w:tc>
        <w:tc>
          <w:tcPr>
            <w:tcW w:w="3119" w:type="dxa"/>
            <w:vMerge w:val="restart"/>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用2m靠尺安放在构件表面，用楔形塞尺量测靠尺与表面之间的最大间隙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9" w:hRule="atLeast"/>
          <w:jc w:val="center"/>
        </w:trPr>
        <w:tc>
          <w:tcPr>
            <w:tcW w:w="58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710"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275" w:type="dxa"/>
            <w:gridSpan w:val="2"/>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外表面</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3</w:t>
            </w:r>
          </w:p>
        </w:tc>
        <w:tc>
          <w:tcPr>
            <w:tcW w:w="3119" w:type="dxa"/>
            <w:vMerge w:val="continue"/>
            <w:tcBorders>
              <w:tl2br w:val="nil"/>
              <w:tr2bl w:val="nil"/>
            </w:tcBorders>
            <w:vAlign w:val="center"/>
          </w:tcPr>
          <w:p>
            <w:pPr>
              <w:jc w:val="center"/>
              <w:rPr>
                <w:rFonts w:ascii="Times New Roman" w:hAnsi="Times New Roman" w:eastAsia="宋体" w:cs="Times New Roman"/>
                <w:kern w:val="2"/>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0" w:hRule="atLeast"/>
          <w:jc w:val="center"/>
        </w:trPr>
        <w:tc>
          <w:tcPr>
            <w:tcW w:w="589"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7</w:t>
            </w: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985" w:type="dxa"/>
            <w:gridSpan w:val="3"/>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侧向弯曲</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i/>
                <w:iCs/>
                <w:kern w:val="2"/>
                <w:sz w:val="18"/>
                <w:szCs w:val="18"/>
              </w:rPr>
              <w:t>L</w:t>
            </w:r>
            <w:r>
              <w:rPr>
                <w:rFonts w:ascii="Times New Roman" w:hAnsi="Times New Roman" w:eastAsia="宋体" w:cs="Times New Roman"/>
                <w:kern w:val="2"/>
                <w:sz w:val="18"/>
                <w:szCs w:val="18"/>
              </w:rPr>
              <w:t>/1000</w:t>
            </w:r>
          </w:p>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且</w:t>
            </w:r>
            <w:r>
              <w:rPr>
                <w:rFonts w:hint="eastAsia" w:ascii="等线" w:hAnsi="等线" w:eastAsia="等线" w:cs="Times New Roman"/>
                <w:kern w:val="2"/>
                <w:sz w:val="18"/>
                <w:szCs w:val="18"/>
              </w:rPr>
              <w:t>≤</w:t>
            </w:r>
            <w:r>
              <w:rPr>
                <w:rFonts w:ascii="Times New Roman" w:hAnsi="Times New Roman" w:eastAsia="宋体" w:cs="Times New Roman"/>
                <w:kern w:val="2"/>
                <w:sz w:val="18"/>
                <w:szCs w:val="18"/>
              </w:rPr>
              <w:t>20mm</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拉线，钢尺量最大弯曲处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57" w:hRule="atLeast"/>
          <w:jc w:val="center"/>
        </w:trPr>
        <w:tc>
          <w:tcPr>
            <w:tcW w:w="589"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8</w:t>
            </w: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985" w:type="dxa"/>
            <w:gridSpan w:val="3"/>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扭翘</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i/>
                <w:iCs/>
                <w:kern w:val="2"/>
                <w:sz w:val="18"/>
                <w:szCs w:val="18"/>
              </w:rPr>
              <w:t>L</w:t>
            </w:r>
            <w:r>
              <w:rPr>
                <w:rFonts w:ascii="Times New Roman" w:hAnsi="Times New Roman" w:eastAsia="宋体" w:cs="Times New Roman"/>
                <w:kern w:val="2"/>
                <w:sz w:val="18"/>
                <w:szCs w:val="18"/>
              </w:rPr>
              <w:t>/1000</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四对角拉两条线，量测两线交点之间的距离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8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9</w:t>
            </w:r>
          </w:p>
        </w:tc>
        <w:tc>
          <w:tcPr>
            <w:tcW w:w="123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预埋部件</w:t>
            </w:r>
          </w:p>
        </w:tc>
        <w:tc>
          <w:tcPr>
            <w:tcW w:w="851" w:type="dxa"/>
            <w:gridSpan w:val="2"/>
            <w:vMerge w:val="restart"/>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预埋钢板</w:t>
            </w:r>
          </w:p>
        </w:tc>
        <w:tc>
          <w:tcPr>
            <w:tcW w:w="1134"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中心线位置偏移</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用尺量纵横两个方向的中心线位置，记录其中较大者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40" w:hRule="atLeast"/>
          <w:jc w:val="center"/>
        </w:trPr>
        <w:tc>
          <w:tcPr>
            <w:tcW w:w="58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851" w:type="dxa"/>
            <w:gridSpan w:val="2"/>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134"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平面高差</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0，-5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用尺紧靠在预埋件上，用楔形塞尺量测预埋件表面与混凝土面之前的最大间隙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w:t>
            </w: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851" w:type="dxa"/>
            <w:gridSpan w:val="2"/>
            <w:vMerge w:val="restart"/>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预埋螺栓</w:t>
            </w:r>
          </w:p>
        </w:tc>
        <w:tc>
          <w:tcPr>
            <w:tcW w:w="1134"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中心线位置偏移</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用尺量纵横两个方向的中心线位置，记录其中较大者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851" w:type="dxa"/>
            <w:gridSpan w:val="2"/>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134"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外露长度</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restart"/>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11</w:t>
            </w: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851" w:type="dxa"/>
            <w:gridSpan w:val="2"/>
            <w:vMerge w:val="restart"/>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预埋</w:t>
            </w:r>
          </w:p>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线盒、</w:t>
            </w:r>
          </w:p>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电盒</w:t>
            </w:r>
          </w:p>
        </w:tc>
        <w:tc>
          <w:tcPr>
            <w:tcW w:w="1134"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在构件平面的水平方向中心线位置偏差</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21" w:hRule="atLeast"/>
          <w:jc w:val="center"/>
        </w:trPr>
        <w:tc>
          <w:tcPr>
            <w:tcW w:w="58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851" w:type="dxa"/>
            <w:gridSpan w:val="2"/>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134"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与构件表面混凝土高差</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0，-5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12</w:t>
            </w: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851" w:type="dxa"/>
            <w:gridSpan w:val="2"/>
            <w:vMerge w:val="restart"/>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预埋套筒、螺母</w:t>
            </w:r>
          </w:p>
        </w:tc>
        <w:tc>
          <w:tcPr>
            <w:tcW w:w="1134"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中心线位置偏移</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用尺量纵横两个方向的中心线位置，记录其中较大者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851" w:type="dxa"/>
            <w:gridSpan w:val="2"/>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134"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平面高差</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0，-5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用尺紧靠在预埋件上，用楔形塞尺量测预埋件表面与混凝土面之前的最大间隙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13</w:t>
            </w:r>
          </w:p>
        </w:tc>
        <w:tc>
          <w:tcPr>
            <w:tcW w:w="123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预留孔</w:t>
            </w:r>
          </w:p>
        </w:tc>
        <w:tc>
          <w:tcPr>
            <w:tcW w:w="1985" w:type="dxa"/>
            <w:gridSpan w:val="3"/>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中心线位置偏移</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用尺量纵横两个方向的中心线位置，记录其中较大者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985" w:type="dxa"/>
            <w:gridSpan w:val="3"/>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孔尺寸</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用尺量纵横两个方向尺寸，记录其中较大者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14</w:t>
            </w:r>
          </w:p>
        </w:tc>
        <w:tc>
          <w:tcPr>
            <w:tcW w:w="123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预留洞</w:t>
            </w:r>
          </w:p>
        </w:tc>
        <w:tc>
          <w:tcPr>
            <w:tcW w:w="1985" w:type="dxa"/>
            <w:gridSpan w:val="3"/>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中心线位置偏移</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用尺量纵横两个方向的中心线位置，记录其中较大者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985" w:type="dxa"/>
            <w:gridSpan w:val="3"/>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洞口尺寸，深度</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用尺量纵横两个方向尺寸，记录其中较大者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15</w:t>
            </w:r>
          </w:p>
        </w:tc>
        <w:tc>
          <w:tcPr>
            <w:tcW w:w="123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预留插筋</w:t>
            </w:r>
          </w:p>
        </w:tc>
        <w:tc>
          <w:tcPr>
            <w:tcW w:w="1985" w:type="dxa"/>
            <w:gridSpan w:val="3"/>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中心线位置偏移</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3</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用尺量纵横两个方向的中心线位置，记录其中较大者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985" w:type="dxa"/>
            <w:gridSpan w:val="3"/>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外露长度</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16</w:t>
            </w:r>
          </w:p>
        </w:tc>
        <w:tc>
          <w:tcPr>
            <w:tcW w:w="123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吊环</w:t>
            </w:r>
          </w:p>
        </w:tc>
        <w:tc>
          <w:tcPr>
            <w:tcW w:w="1985" w:type="dxa"/>
            <w:gridSpan w:val="3"/>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中心线位置偏移</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用尺量纵横两个方向的中心线位置，记录其中较大者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985" w:type="dxa"/>
            <w:gridSpan w:val="3"/>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与构件表面混凝土高差</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0，-10</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w:t>
            </w:r>
          </w:p>
        </w:tc>
      </w:tr>
    </w:tbl>
    <w:p>
      <w:pPr>
        <w:pStyle w:val="83"/>
        <w:shd w:val="clear" w:color="auto" w:fill="auto"/>
        <w:spacing w:before="120" w:beforeLines="50" w:after="120" w:afterLines="50" w:line="240" w:lineRule="auto"/>
        <w:jc w:val="center"/>
        <w:rPr>
          <w:rFonts w:ascii="黑体" w:hAnsi="黑体" w:eastAsia="黑体" w:cs="Times New Roman"/>
          <w:b w:val="0"/>
          <w:sz w:val="21"/>
          <w:szCs w:val="21"/>
        </w:rPr>
      </w:pPr>
    </w:p>
    <w:p>
      <w:pPr>
        <w:pStyle w:val="83"/>
        <w:shd w:val="clear" w:color="auto" w:fill="auto"/>
        <w:spacing w:before="120" w:beforeLines="50" w:after="120" w:afterLines="50" w:line="240" w:lineRule="auto"/>
        <w:jc w:val="center"/>
        <w:rPr>
          <w:rFonts w:ascii="黑体" w:hAnsi="黑体" w:eastAsia="黑体" w:cs="Times New Roman"/>
          <w:b w:val="0"/>
          <w:sz w:val="21"/>
          <w:szCs w:val="21"/>
        </w:rPr>
      </w:pPr>
    </w:p>
    <w:p>
      <w:pPr>
        <w:pStyle w:val="83"/>
        <w:shd w:val="clear" w:color="auto" w:fill="auto"/>
        <w:spacing w:before="120" w:beforeLines="50" w:after="120" w:afterLines="50" w:line="240" w:lineRule="auto"/>
        <w:jc w:val="center"/>
        <w:rPr>
          <w:rFonts w:ascii="黑体" w:hAnsi="黑体" w:eastAsia="黑体" w:cs="Times New Roman"/>
          <w:b w:val="0"/>
          <w:sz w:val="21"/>
          <w:szCs w:val="21"/>
        </w:rPr>
      </w:pPr>
      <w:r>
        <w:rPr>
          <w:rFonts w:ascii="黑体" w:hAnsi="黑体" w:eastAsia="黑体" w:cs="Times New Roman"/>
          <w:b w:val="0"/>
          <w:sz w:val="21"/>
          <w:szCs w:val="21"/>
        </w:rPr>
        <w:t>表18预制</w:t>
      </w:r>
      <w:r>
        <w:rPr>
          <w:rFonts w:hint="eastAsia" w:ascii="黑体" w:hAnsi="黑体" w:eastAsia="黑体" w:cs="Times New Roman"/>
          <w:b w:val="0"/>
          <w:sz w:val="21"/>
          <w:szCs w:val="21"/>
        </w:rPr>
        <w:t>梁</w:t>
      </w:r>
      <w:r>
        <w:rPr>
          <w:rFonts w:ascii="黑体" w:hAnsi="黑体" w:eastAsia="黑体" w:cs="Times New Roman"/>
          <w:b w:val="0"/>
          <w:sz w:val="21"/>
          <w:szCs w:val="21"/>
        </w:rPr>
        <w:t>构件外形尺寸的允许偏差及检验方法</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41"/>
        <w:gridCol w:w="1045"/>
        <w:gridCol w:w="1620"/>
        <w:gridCol w:w="1071"/>
        <w:gridCol w:w="24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70" w:hRule="atLeast"/>
          <w:jc w:val="center"/>
        </w:trPr>
        <w:tc>
          <w:tcPr>
            <w:tcW w:w="634"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项次</w:t>
            </w:r>
          </w:p>
        </w:tc>
        <w:tc>
          <w:tcPr>
            <w:tcW w:w="3906" w:type="dxa"/>
            <w:gridSpan w:val="3"/>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检查项目</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允许偏差</w:t>
            </w:r>
          </w:p>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（mm）</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5" w:hRule="atLeast"/>
          <w:jc w:val="center"/>
        </w:trPr>
        <w:tc>
          <w:tcPr>
            <w:tcW w:w="634"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w:t>
            </w:r>
          </w:p>
        </w:tc>
        <w:tc>
          <w:tcPr>
            <w:tcW w:w="1241"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规格尺寸</w:t>
            </w:r>
          </w:p>
        </w:tc>
        <w:tc>
          <w:tcPr>
            <w:tcW w:w="1045"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长度</w:t>
            </w:r>
          </w:p>
        </w:tc>
        <w:tc>
          <w:tcPr>
            <w:tcW w:w="1620"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＜12m</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412"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用尺量两端及中间部位，取其中偏差绝对值较大值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5" w:hRule="atLeast"/>
          <w:jc w:val="center"/>
        </w:trPr>
        <w:tc>
          <w:tcPr>
            <w:tcW w:w="634" w:type="dxa"/>
            <w:vMerge w:val="continue"/>
            <w:vAlign w:val="center"/>
          </w:tcPr>
          <w:p>
            <w:pPr>
              <w:jc w:val="center"/>
              <w:rPr>
                <w:rFonts w:ascii="Times New Roman" w:hAnsi="Times New Roman" w:eastAsia="宋体" w:cs="Times New Roman"/>
                <w:kern w:val="2"/>
                <w:sz w:val="18"/>
                <w:szCs w:val="18"/>
              </w:rPr>
            </w:pPr>
          </w:p>
        </w:tc>
        <w:tc>
          <w:tcPr>
            <w:tcW w:w="1241" w:type="dxa"/>
            <w:vMerge w:val="continue"/>
            <w:vAlign w:val="center"/>
          </w:tcPr>
          <w:p>
            <w:pPr>
              <w:jc w:val="center"/>
              <w:rPr>
                <w:rFonts w:ascii="Times New Roman" w:hAnsi="Times New Roman" w:eastAsia="宋体" w:cs="Times New Roman"/>
                <w:kern w:val="2"/>
                <w:sz w:val="18"/>
                <w:szCs w:val="18"/>
              </w:rPr>
            </w:pPr>
          </w:p>
        </w:tc>
        <w:tc>
          <w:tcPr>
            <w:tcW w:w="1045" w:type="dxa"/>
            <w:vMerge w:val="continue"/>
            <w:vAlign w:val="center"/>
          </w:tcPr>
          <w:p>
            <w:pPr>
              <w:jc w:val="center"/>
              <w:rPr>
                <w:rFonts w:ascii="Times New Roman" w:hAnsi="Times New Roman" w:eastAsia="宋体" w:cs="Times New Roman"/>
                <w:kern w:val="2"/>
                <w:sz w:val="18"/>
                <w:szCs w:val="18"/>
              </w:rPr>
            </w:pPr>
          </w:p>
        </w:tc>
        <w:tc>
          <w:tcPr>
            <w:tcW w:w="1620" w:type="dxa"/>
            <w:vAlign w:val="center"/>
          </w:tcPr>
          <w:p>
            <w:pPr>
              <w:jc w:val="center"/>
              <w:rPr>
                <w:rFonts w:ascii="Times New Roman" w:hAnsi="Times New Roman" w:eastAsia="宋体" w:cs="Times New Roman"/>
                <w:kern w:val="2"/>
                <w:sz w:val="18"/>
                <w:szCs w:val="18"/>
              </w:rPr>
            </w:pPr>
            <w:r>
              <w:rPr>
                <w:rFonts w:hint="eastAsia" w:ascii="等线" w:hAnsi="等线" w:eastAsia="等线" w:cs="Times New Roman"/>
                <w:kern w:val="2"/>
                <w:sz w:val="18"/>
                <w:szCs w:val="18"/>
              </w:rPr>
              <w:t>≥</w:t>
            </w:r>
            <w:r>
              <w:rPr>
                <w:rFonts w:ascii="Times New Roman" w:hAnsi="Times New Roman" w:eastAsia="宋体" w:cs="Times New Roman"/>
                <w:kern w:val="2"/>
                <w:sz w:val="18"/>
                <w:szCs w:val="18"/>
              </w:rPr>
              <w:t>12m且＜18m</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w:t>
            </w:r>
          </w:p>
        </w:tc>
        <w:tc>
          <w:tcPr>
            <w:tcW w:w="2412" w:type="dxa"/>
            <w:vMerge w:val="continue"/>
            <w:vAlign w:val="center"/>
          </w:tcPr>
          <w:p>
            <w:pPr>
              <w:jc w:val="center"/>
              <w:rPr>
                <w:rFonts w:ascii="Times New Roman" w:hAnsi="Times New Roman" w:eastAsia="宋体" w:cs="Times New Roman"/>
                <w:kern w:val="2"/>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5" w:hRule="atLeast"/>
          <w:jc w:val="center"/>
        </w:trPr>
        <w:tc>
          <w:tcPr>
            <w:tcW w:w="634" w:type="dxa"/>
            <w:vMerge w:val="continue"/>
            <w:vAlign w:val="center"/>
          </w:tcPr>
          <w:p>
            <w:pPr>
              <w:jc w:val="center"/>
              <w:rPr>
                <w:rFonts w:ascii="Times New Roman" w:hAnsi="Times New Roman" w:eastAsia="宋体" w:cs="Times New Roman"/>
                <w:kern w:val="2"/>
                <w:sz w:val="18"/>
                <w:szCs w:val="18"/>
              </w:rPr>
            </w:pPr>
          </w:p>
        </w:tc>
        <w:tc>
          <w:tcPr>
            <w:tcW w:w="1241" w:type="dxa"/>
            <w:vMerge w:val="continue"/>
            <w:vAlign w:val="center"/>
          </w:tcPr>
          <w:p>
            <w:pPr>
              <w:jc w:val="center"/>
              <w:rPr>
                <w:rFonts w:ascii="Times New Roman" w:hAnsi="Times New Roman" w:eastAsia="宋体" w:cs="Times New Roman"/>
                <w:kern w:val="2"/>
                <w:sz w:val="18"/>
                <w:szCs w:val="18"/>
              </w:rPr>
            </w:pPr>
          </w:p>
        </w:tc>
        <w:tc>
          <w:tcPr>
            <w:tcW w:w="1045" w:type="dxa"/>
            <w:vMerge w:val="continue"/>
            <w:vAlign w:val="center"/>
          </w:tcPr>
          <w:p>
            <w:pPr>
              <w:jc w:val="center"/>
              <w:rPr>
                <w:rFonts w:ascii="Times New Roman" w:hAnsi="Times New Roman" w:eastAsia="宋体" w:cs="Times New Roman"/>
                <w:kern w:val="2"/>
                <w:sz w:val="18"/>
                <w:szCs w:val="18"/>
              </w:rPr>
            </w:pPr>
          </w:p>
        </w:tc>
        <w:tc>
          <w:tcPr>
            <w:tcW w:w="1620" w:type="dxa"/>
            <w:vAlign w:val="center"/>
          </w:tcPr>
          <w:p>
            <w:pPr>
              <w:jc w:val="center"/>
              <w:rPr>
                <w:rFonts w:ascii="Times New Roman" w:hAnsi="Times New Roman" w:eastAsia="宋体" w:cs="Times New Roman"/>
                <w:kern w:val="2"/>
                <w:sz w:val="18"/>
                <w:szCs w:val="18"/>
              </w:rPr>
            </w:pPr>
            <w:r>
              <w:rPr>
                <w:rFonts w:hint="eastAsia" w:ascii="等线" w:hAnsi="等线" w:eastAsia="等线" w:cs="Times New Roman"/>
                <w:kern w:val="2"/>
                <w:sz w:val="18"/>
                <w:szCs w:val="18"/>
              </w:rPr>
              <w:t>≥</w:t>
            </w:r>
            <w:r>
              <w:rPr>
                <w:rFonts w:ascii="Times New Roman" w:hAnsi="Times New Roman" w:eastAsia="宋体" w:cs="Times New Roman"/>
                <w:kern w:val="2"/>
                <w:sz w:val="18"/>
                <w:szCs w:val="18"/>
              </w:rPr>
              <w:t>18m</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±20</w:t>
            </w:r>
          </w:p>
        </w:tc>
        <w:tc>
          <w:tcPr>
            <w:tcW w:w="2412" w:type="dxa"/>
            <w:vMerge w:val="continue"/>
            <w:vAlign w:val="center"/>
          </w:tcPr>
          <w:p>
            <w:pPr>
              <w:jc w:val="center"/>
              <w:rPr>
                <w:rFonts w:ascii="Times New Roman" w:hAnsi="Times New Roman" w:eastAsia="宋体" w:cs="Times New Roman"/>
                <w:kern w:val="2"/>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jc w:val="center"/>
        </w:trPr>
        <w:tc>
          <w:tcPr>
            <w:tcW w:w="634"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1241" w:type="dxa"/>
            <w:vMerge w:val="continue"/>
            <w:vAlign w:val="center"/>
          </w:tcPr>
          <w:p>
            <w:pPr>
              <w:jc w:val="center"/>
              <w:rPr>
                <w:rFonts w:ascii="Times New Roman" w:hAnsi="Times New Roman" w:eastAsia="宋体" w:cs="Times New Roman"/>
                <w:kern w:val="2"/>
                <w:sz w:val="18"/>
                <w:szCs w:val="18"/>
              </w:rPr>
            </w:pPr>
          </w:p>
        </w:tc>
        <w:tc>
          <w:tcPr>
            <w:tcW w:w="2665" w:type="dxa"/>
            <w:gridSpan w:val="2"/>
            <w:vAlign w:val="center"/>
          </w:tcPr>
          <w:p>
            <w:pPr>
              <w:jc w:val="center"/>
              <w:rPr>
                <w:rFonts w:ascii="Times New Roman" w:hAnsi="Times New Roman" w:eastAsia="宋体" w:cs="Times New Roman"/>
                <w:kern w:val="2"/>
                <w:sz w:val="18"/>
                <w:szCs w:val="18"/>
              </w:rPr>
            </w:pPr>
            <w:r>
              <w:rPr>
                <w:rFonts w:hint="eastAsia" w:ascii="Times New Roman" w:hAnsi="Times New Roman" w:eastAsia="宋体" w:cs="Times New Roman"/>
                <w:kern w:val="2"/>
                <w:sz w:val="18"/>
                <w:szCs w:val="18"/>
              </w:rPr>
              <w:t>截面</w:t>
            </w:r>
            <w:r>
              <w:rPr>
                <w:rFonts w:ascii="Times New Roman" w:hAnsi="Times New Roman" w:eastAsia="宋体" w:cs="Times New Roman"/>
                <w:kern w:val="2"/>
                <w:sz w:val="18"/>
                <w:szCs w:val="18"/>
              </w:rPr>
              <w:t>宽度</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用尺量两端及中间部位，取其中偏差绝对值较大值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37" w:hRule="atLeast"/>
          <w:jc w:val="center"/>
        </w:trPr>
        <w:tc>
          <w:tcPr>
            <w:tcW w:w="634"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3</w:t>
            </w:r>
          </w:p>
        </w:tc>
        <w:tc>
          <w:tcPr>
            <w:tcW w:w="1241" w:type="dxa"/>
            <w:vMerge w:val="continue"/>
            <w:vAlign w:val="center"/>
          </w:tcPr>
          <w:p>
            <w:pPr>
              <w:jc w:val="center"/>
              <w:rPr>
                <w:rFonts w:ascii="Times New Roman" w:hAnsi="Times New Roman" w:eastAsia="宋体" w:cs="Times New Roman"/>
                <w:kern w:val="2"/>
                <w:sz w:val="18"/>
                <w:szCs w:val="18"/>
              </w:rPr>
            </w:pPr>
          </w:p>
        </w:tc>
        <w:tc>
          <w:tcPr>
            <w:tcW w:w="2665" w:type="dxa"/>
            <w:gridSpan w:val="2"/>
            <w:vAlign w:val="center"/>
          </w:tcPr>
          <w:p>
            <w:pPr>
              <w:jc w:val="center"/>
              <w:rPr>
                <w:rFonts w:ascii="Times New Roman" w:hAnsi="Times New Roman" w:eastAsia="宋体" w:cs="Times New Roman"/>
                <w:kern w:val="2"/>
                <w:sz w:val="18"/>
                <w:szCs w:val="18"/>
              </w:rPr>
            </w:pPr>
            <w:r>
              <w:rPr>
                <w:rFonts w:hint="eastAsia" w:ascii="Times New Roman" w:hAnsi="Times New Roman" w:eastAsia="宋体" w:cs="Times New Roman"/>
                <w:kern w:val="2"/>
                <w:sz w:val="18"/>
                <w:szCs w:val="18"/>
              </w:rPr>
              <w:t>截面高</w:t>
            </w:r>
            <w:r>
              <w:rPr>
                <w:rFonts w:ascii="Times New Roman" w:hAnsi="Times New Roman" w:eastAsia="宋体" w:cs="Times New Roman"/>
                <w:kern w:val="2"/>
                <w:sz w:val="18"/>
                <w:szCs w:val="18"/>
              </w:rPr>
              <w:t>度</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用尺量板四角和四边中部位置共８处，取其中偏差绝对值较大值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37" w:hRule="atLeast"/>
          <w:jc w:val="center"/>
        </w:trPr>
        <w:tc>
          <w:tcPr>
            <w:tcW w:w="634"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4</w:t>
            </w:r>
          </w:p>
        </w:tc>
        <w:tc>
          <w:tcPr>
            <w:tcW w:w="3906" w:type="dxa"/>
            <w:gridSpan w:val="3"/>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对角线差</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6</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在构件表面，用尺量测两对角线的长度，取其绝对值的差值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634"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1241"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外形</w:t>
            </w:r>
          </w:p>
        </w:tc>
        <w:tc>
          <w:tcPr>
            <w:tcW w:w="1045"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表面平整度</w:t>
            </w:r>
          </w:p>
        </w:tc>
        <w:tc>
          <w:tcPr>
            <w:tcW w:w="1620" w:type="dxa"/>
            <w:vAlign w:val="center"/>
          </w:tcPr>
          <w:p>
            <w:pPr>
              <w:jc w:val="center"/>
              <w:rPr>
                <w:rFonts w:ascii="Times New Roman" w:hAnsi="Times New Roman" w:eastAsia="宋体" w:cs="Times New Roman"/>
                <w:kern w:val="2"/>
                <w:sz w:val="18"/>
                <w:szCs w:val="18"/>
              </w:rPr>
            </w:pPr>
            <w:r>
              <w:rPr>
                <w:rFonts w:hint="eastAsia" w:ascii="Times New Roman" w:hAnsi="Times New Roman" w:eastAsia="宋体" w:cs="Times New Roman"/>
                <w:kern w:val="2"/>
                <w:sz w:val="18"/>
                <w:szCs w:val="18"/>
              </w:rPr>
              <w:t>上</w:t>
            </w:r>
            <w:r>
              <w:rPr>
                <w:rFonts w:ascii="Times New Roman" w:hAnsi="Times New Roman" w:eastAsia="宋体" w:cs="Times New Roman"/>
                <w:kern w:val="2"/>
                <w:sz w:val="18"/>
                <w:szCs w:val="18"/>
              </w:rPr>
              <w:t>表面</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4</w:t>
            </w:r>
          </w:p>
        </w:tc>
        <w:tc>
          <w:tcPr>
            <w:tcW w:w="2412"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用2m靠尺安放在构件表面上，用楔形塞尺量测靠尺与表面之间的最大缝隙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atLeast"/>
          <w:jc w:val="center"/>
        </w:trPr>
        <w:tc>
          <w:tcPr>
            <w:tcW w:w="634" w:type="dxa"/>
            <w:vMerge w:val="continue"/>
            <w:vAlign w:val="center"/>
          </w:tcPr>
          <w:p>
            <w:pPr>
              <w:jc w:val="center"/>
              <w:rPr>
                <w:rFonts w:ascii="Times New Roman" w:hAnsi="Times New Roman" w:eastAsia="宋体" w:cs="Times New Roman"/>
                <w:kern w:val="2"/>
                <w:sz w:val="18"/>
                <w:szCs w:val="18"/>
              </w:rPr>
            </w:pPr>
          </w:p>
        </w:tc>
        <w:tc>
          <w:tcPr>
            <w:tcW w:w="1241" w:type="dxa"/>
            <w:vMerge w:val="continue"/>
            <w:vAlign w:val="center"/>
          </w:tcPr>
          <w:p>
            <w:pPr>
              <w:jc w:val="center"/>
              <w:rPr>
                <w:rFonts w:ascii="Times New Roman" w:hAnsi="Times New Roman" w:eastAsia="宋体" w:cs="Times New Roman"/>
                <w:kern w:val="2"/>
                <w:sz w:val="18"/>
                <w:szCs w:val="18"/>
              </w:rPr>
            </w:pPr>
          </w:p>
        </w:tc>
        <w:tc>
          <w:tcPr>
            <w:tcW w:w="1045" w:type="dxa"/>
            <w:vMerge w:val="continue"/>
            <w:vAlign w:val="center"/>
          </w:tcPr>
          <w:p>
            <w:pPr>
              <w:jc w:val="center"/>
              <w:rPr>
                <w:rFonts w:ascii="Times New Roman" w:hAnsi="Times New Roman" w:eastAsia="宋体" w:cs="Times New Roman"/>
                <w:kern w:val="2"/>
                <w:sz w:val="18"/>
                <w:szCs w:val="18"/>
              </w:rPr>
            </w:pPr>
          </w:p>
        </w:tc>
        <w:tc>
          <w:tcPr>
            <w:tcW w:w="1620" w:type="dxa"/>
            <w:vAlign w:val="center"/>
          </w:tcPr>
          <w:p>
            <w:pPr>
              <w:jc w:val="center"/>
              <w:rPr>
                <w:rFonts w:ascii="Times New Roman" w:hAnsi="Times New Roman" w:eastAsia="宋体" w:cs="Times New Roman"/>
                <w:kern w:val="2"/>
                <w:sz w:val="18"/>
                <w:szCs w:val="18"/>
              </w:rPr>
            </w:pPr>
            <w:r>
              <w:rPr>
                <w:rFonts w:hint="eastAsia" w:ascii="Times New Roman" w:hAnsi="Times New Roman" w:eastAsia="宋体" w:cs="Times New Roman"/>
                <w:kern w:val="2"/>
                <w:sz w:val="18"/>
                <w:szCs w:val="18"/>
              </w:rPr>
              <w:t>下</w:t>
            </w:r>
            <w:r>
              <w:rPr>
                <w:rFonts w:ascii="Times New Roman" w:hAnsi="Times New Roman" w:eastAsia="宋体" w:cs="Times New Roman"/>
                <w:kern w:val="2"/>
                <w:sz w:val="18"/>
                <w:szCs w:val="18"/>
              </w:rPr>
              <w:t>表面</w:t>
            </w:r>
          </w:p>
        </w:tc>
        <w:tc>
          <w:tcPr>
            <w:tcW w:w="1071" w:type="dxa"/>
            <w:vAlign w:val="center"/>
          </w:tcPr>
          <w:p>
            <w:pPr>
              <w:jc w:val="center"/>
              <w:rPr>
                <w:rFonts w:ascii="Times New Roman" w:hAnsi="Times New Roman" w:eastAsia="宋体" w:cs="Times New Roman"/>
                <w:kern w:val="2"/>
                <w:sz w:val="18"/>
                <w:szCs w:val="18"/>
              </w:rPr>
            </w:pPr>
            <w:r>
              <w:rPr>
                <w:rFonts w:hint="eastAsia" w:ascii="Times New Roman" w:hAnsi="Times New Roman" w:eastAsia="宋体" w:cs="Times New Roman"/>
                <w:kern w:val="2"/>
                <w:sz w:val="18"/>
                <w:szCs w:val="18"/>
              </w:rPr>
              <w:t>3</w:t>
            </w:r>
          </w:p>
        </w:tc>
        <w:tc>
          <w:tcPr>
            <w:tcW w:w="2412" w:type="dxa"/>
            <w:vMerge w:val="continue"/>
            <w:vAlign w:val="center"/>
          </w:tcPr>
          <w:p>
            <w:pPr>
              <w:jc w:val="center"/>
              <w:rPr>
                <w:rFonts w:ascii="Times New Roman" w:hAnsi="Times New Roman" w:eastAsia="宋体" w:cs="Times New Roman"/>
                <w:kern w:val="2"/>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jc w:val="center"/>
        </w:trPr>
        <w:tc>
          <w:tcPr>
            <w:tcW w:w="634"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6</w:t>
            </w:r>
          </w:p>
        </w:tc>
        <w:tc>
          <w:tcPr>
            <w:tcW w:w="1241" w:type="dxa"/>
            <w:vMerge w:val="continue"/>
            <w:vAlign w:val="center"/>
          </w:tcPr>
          <w:p>
            <w:pPr>
              <w:jc w:val="center"/>
              <w:rPr>
                <w:rFonts w:ascii="Times New Roman" w:hAnsi="Times New Roman" w:eastAsia="宋体" w:cs="Times New Roman"/>
                <w:kern w:val="2"/>
                <w:sz w:val="18"/>
                <w:szCs w:val="18"/>
              </w:rPr>
            </w:pPr>
          </w:p>
        </w:tc>
        <w:tc>
          <w:tcPr>
            <w:tcW w:w="2665" w:type="dxa"/>
            <w:gridSpan w:val="2"/>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侧向弯曲</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i/>
                <w:iCs/>
                <w:kern w:val="2"/>
                <w:sz w:val="18"/>
                <w:szCs w:val="18"/>
              </w:rPr>
              <w:t>L</w:t>
            </w:r>
            <w:r>
              <w:rPr>
                <w:rFonts w:ascii="Times New Roman" w:hAnsi="Times New Roman" w:eastAsia="宋体" w:cs="Times New Roman"/>
                <w:kern w:val="2"/>
                <w:sz w:val="18"/>
                <w:szCs w:val="18"/>
              </w:rPr>
              <w:t>/750且</w:t>
            </w:r>
            <w:r>
              <w:rPr>
                <w:rFonts w:hint="eastAsia" w:ascii="等线" w:hAnsi="等线" w:eastAsia="等线" w:cs="Times New Roman"/>
                <w:kern w:val="2"/>
                <w:sz w:val="18"/>
                <w:szCs w:val="18"/>
              </w:rPr>
              <w:t>≤</w:t>
            </w:r>
            <w:r>
              <w:rPr>
                <w:rFonts w:ascii="Times New Roman" w:hAnsi="Times New Roman" w:eastAsia="宋体" w:cs="Times New Roman"/>
                <w:kern w:val="2"/>
                <w:sz w:val="18"/>
                <w:szCs w:val="18"/>
              </w:rPr>
              <w:t>20mm</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拉线，钢尺量最大弯曲处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37" w:hRule="atLeast"/>
          <w:jc w:val="center"/>
        </w:trPr>
        <w:tc>
          <w:tcPr>
            <w:tcW w:w="634"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7</w:t>
            </w:r>
          </w:p>
        </w:tc>
        <w:tc>
          <w:tcPr>
            <w:tcW w:w="1241" w:type="dxa"/>
            <w:vMerge w:val="continue"/>
            <w:vAlign w:val="center"/>
          </w:tcPr>
          <w:p>
            <w:pPr>
              <w:jc w:val="center"/>
              <w:rPr>
                <w:rFonts w:ascii="Times New Roman" w:hAnsi="Times New Roman" w:eastAsia="宋体" w:cs="Times New Roman"/>
                <w:kern w:val="2"/>
                <w:sz w:val="18"/>
                <w:szCs w:val="18"/>
              </w:rPr>
            </w:pPr>
          </w:p>
        </w:tc>
        <w:tc>
          <w:tcPr>
            <w:tcW w:w="2665" w:type="dxa"/>
            <w:gridSpan w:val="2"/>
            <w:vAlign w:val="center"/>
          </w:tcPr>
          <w:p>
            <w:pPr>
              <w:jc w:val="center"/>
              <w:rPr>
                <w:rFonts w:ascii="Times New Roman" w:hAnsi="Times New Roman" w:eastAsia="宋体" w:cs="Times New Roman"/>
                <w:kern w:val="2"/>
                <w:sz w:val="18"/>
                <w:szCs w:val="18"/>
              </w:rPr>
            </w:pPr>
            <w:r>
              <w:rPr>
                <w:rFonts w:hint="eastAsia" w:ascii="Times New Roman" w:hAnsi="Times New Roman" w:eastAsia="宋体" w:cs="Times New Roman"/>
                <w:kern w:val="2"/>
                <w:sz w:val="18"/>
                <w:szCs w:val="18"/>
              </w:rPr>
              <w:t>扭</w:t>
            </w:r>
            <w:r>
              <w:rPr>
                <w:rFonts w:ascii="Times New Roman" w:hAnsi="Times New Roman" w:eastAsia="宋体" w:cs="Times New Roman"/>
                <w:kern w:val="2"/>
                <w:sz w:val="18"/>
                <w:szCs w:val="18"/>
              </w:rPr>
              <w:t>翘</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i/>
                <w:iCs/>
                <w:kern w:val="2"/>
                <w:sz w:val="18"/>
                <w:szCs w:val="18"/>
              </w:rPr>
              <w:t>L</w:t>
            </w:r>
            <w:r>
              <w:rPr>
                <w:rFonts w:ascii="Times New Roman" w:hAnsi="Times New Roman" w:eastAsia="宋体" w:cs="Times New Roman"/>
                <w:kern w:val="2"/>
                <w:sz w:val="18"/>
                <w:szCs w:val="18"/>
              </w:rPr>
              <w:t>/750</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四对角拉两条线，量测两线交点之间的距离，其值的２倍为扭翘值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0" w:hRule="atLeast"/>
          <w:jc w:val="center"/>
        </w:trPr>
        <w:tc>
          <w:tcPr>
            <w:tcW w:w="634"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8</w:t>
            </w:r>
          </w:p>
        </w:tc>
        <w:tc>
          <w:tcPr>
            <w:tcW w:w="1241"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预埋部件</w:t>
            </w:r>
          </w:p>
        </w:tc>
        <w:tc>
          <w:tcPr>
            <w:tcW w:w="1045"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预埋</w:t>
            </w:r>
          </w:p>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钢板</w:t>
            </w:r>
          </w:p>
        </w:tc>
        <w:tc>
          <w:tcPr>
            <w:tcW w:w="1620"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中心线位置偏差</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用尺量测纵横两个方向的中心线位置，记录其中较大值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55" w:hRule="atLeast"/>
          <w:jc w:val="center"/>
        </w:trPr>
        <w:tc>
          <w:tcPr>
            <w:tcW w:w="634" w:type="dxa"/>
            <w:vMerge w:val="continue"/>
            <w:vAlign w:val="center"/>
          </w:tcPr>
          <w:p>
            <w:pPr>
              <w:jc w:val="center"/>
              <w:rPr>
                <w:rFonts w:ascii="Times New Roman" w:hAnsi="Times New Roman" w:eastAsia="宋体" w:cs="Times New Roman"/>
                <w:kern w:val="2"/>
                <w:sz w:val="18"/>
                <w:szCs w:val="18"/>
              </w:rPr>
            </w:pPr>
          </w:p>
        </w:tc>
        <w:tc>
          <w:tcPr>
            <w:tcW w:w="1241" w:type="dxa"/>
            <w:vMerge w:val="continue"/>
            <w:vAlign w:val="center"/>
          </w:tcPr>
          <w:p>
            <w:pPr>
              <w:jc w:val="center"/>
              <w:rPr>
                <w:rFonts w:ascii="Times New Roman" w:hAnsi="Times New Roman" w:eastAsia="宋体" w:cs="Times New Roman"/>
                <w:kern w:val="2"/>
                <w:sz w:val="18"/>
                <w:szCs w:val="18"/>
              </w:rPr>
            </w:pPr>
          </w:p>
        </w:tc>
        <w:tc>
          <w:tcPr>
            <w:tcW w:w="1045" w:type="dxa"/>
            <w:vMerge w:val="continue"/>
            <w:vAlign w:val="center"/>
          </w:tcPr>
          <w:p>
            <w:pPr>
              <w:jc w:val="center"/>
              <w:rPr>
                <w:rFonts w:ascii="Times New Roman" w:hAnsi="Times New Roman" w:eastAsia="宋体" w:cs="Times New Roman"/>
                <w:kern w:val="2"/>
                <w:sz w:val="18"/>
                <w:szCs w:val="18"/>
              </w:rPr>
            </w:pPr>
          </w:p>
        </w:tc>
        <w:tc>
          <w:tcPr>
            <w:tcW w:w="1620"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平面高差</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0，-5</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用尺紧靠在预埋件上，用楔形塞尺量测预埋件平面与混凝土面的最大缝隙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0" w:hRule="atLeast"/>
          <w:jc w:val="center"/>
        </w:trPr>
        <w:tc>
          <w:tcPr>
            <w:tcW w:w="634"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9</w:t>
            </w:r>
          </w:p>
        </w:tc>
        <w:tc>
          <w:tcPr>
            <w:tcW w:w="1241" w:type="dxa"/>
            <w:vMerge w:val="continue"/>
            <w:vAlign w:val="center"/>
          </w:tcPr>
          <w:p>
            <w:pPr>
              <w:jc w:val="center"/>
              <w:rPr>
                <w:rFonts w:ascii="Times New Roman" w:hAnsi="Times New Roman" w:eastAsia="宋体" w:cs="Times New Roman"/>
                <w:kern w:val="2"/>
                <w:sz w:val="18"/>
                <w:szCs w:val="18"/>
              </w:rPr>
            </w:pPr>
          </w:p>
        </w:tc>
        <w:tc>
          <w:tcPr>
            <w:tcW w:w="1045"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预埋</w:t>
            </w:r>
          </w:p>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螺栓</w:t>
            </w:r>
          </w:p>
        </w:tc>
        <w:tc>
          <w:tcPr>
            <w:tcW w:w="1620"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中心线位置偏移</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用尺量测纵横两个方向的中心线位置，记录其中较大值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jc w:val="center"/>
        </w:trPr>
        <w:tc>
          <w:tcPr>
            <w:tcW w:w="634" w:type="dxa"/>
            <w:vMerge w:val="continue"/>
            <w:vAlign w:val="center"/>
          </w:tcPr>
          <w:p>
            <w:pPr>
              <w:jc w:val="center"/>
              <w:rPr>
                <w:rFonts w:ascii="Times New Roman" w:hAnsi="Times New Roman" w:eastAsia="宋体" w:cs="Times New Roman"/>
                <w:kern w:val="2"/>
                <w:sz w:val="18"/>
                <w:szCs w:val="18"/>
              </w:rPr>
            </w:pPr>
          </w:p>
        </w:tc>
        <w:tc>
          <w:tcPr>
            <w:tcW w:w="1241" w:type="dxa"/>
            <w:vMerge w:val="continue"/>
            <w:vAlign w:val="center"/>
          </w:tcPr>
          <w:p>
            <w:pPr>
              <w:jc w:val="center"/>
              <w:rPr>
                <w:rFonts w:ascii="Times New Roman" w:hAnsi="Times New Roman" w:eastAsia="宋体" w:cs="Times New Roman"/>
                <w:kern w:val="2"/>
                <w:sz w:val="18"/>
                <w:szCs w:val="18"/>
              </w:rPr>
            </w:pPr>
          </w:p>
        </w:tc>
        <w:tc>
          <w:tcPr>
            <w:tcW w:w="1045" w:type="dxa"/>
            <w:vMerge w:val="continue"/>
            <w:vAlign w:val="center"/>
          </w:tcPr>
          <w:p>
            <w:pPr>
              <w:jc w:val="center"/>
              <w:rPr>
                <w:rFonts w:ascii="Times New Roman" w:hAnsi="Times New Roman" w:eastAsia="宋体" w:cs="Times New Roman"/>
                <w:kern w:val="2"/>
                <w:sz w:val="18"/>
                <w:szCs w:val="18"/>
              </w:rPr>
            </w:pPr>
          </w:p>
        </w:tc>
        <w:tc>
          <w:tcPr>
            <w:tcW w:w="1620"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外露长度</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+10，-5</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55" w:hRule="atLeast"/>
          <w:jc w:val="center"/>
        </w:trPr>
        <w:tc>
          <w:tcPr>
            <w:tcW w:w="634"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w:t>
            </w:r>
          </w:p>
        </w:tc>
        <w:tc>
          <w:tcPr>
            <w:tcW w:w="1241" w:type="dxa"/>
            <w:vMerge w:val="continue"/>
            <w:vAlign w:val="center"/>
          </w:tcPr>
          <w:p>
            <w:pPr>
              <w:jc w:val="center"/>
              <w:rPr>
                <w:rFonts w:ascii="Times New Roman" w:hAnsi="Times New Roman" w:eastAsia="宋体" w:cs="Times New Roman"/>
                <w:kern w:val="2"/>
                <w:sz w:val="18"/>
                <w:szCs w:val="18"/>
              </w:rPr>
            </w:pPr>
          </w:p>
        </w:tc>
        <w:tc>
          <w:tcPr>
            <w:tcW w:w="1045"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预埋</w:t>
            </w:r>
          </w:p>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线盒、</w:t>
            </w:r>
          </w:p>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电盒</w:t>
            </w:r>
          </w:p>
        </w:tc>
        <w:tc>
          <w:tcPr>
            <w:tcW w:w="1620"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在构件平面的水平方向中心位置偏差</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0" w:hRule="atLeast"/>
          <w:jc w:val="center"/>
        </w:trPr>
        <w:tc>
          <w:tcPr>
            <w:tcW w:w="634" w:type="dxa"/>
            <w:vMerge w:val="continue"/>
            <w:vAlign w:val="center"/>
          </w:tcPr>
          <w:p>
            <w:pPr>
              <w:jc w:val="center"/>
              <w:rPr>
                <w:rFonts w:ascii="Times New Roman" w:hAnsi="Times New Roman" w:eastAsia="宋体" w:cs="Times New Roman"/>
                <w:kern w:val="2"/>
                <w:sz w:val="18"/>
                <w:szCs w:val="18"/>
              </w:rPr>
            </w:pPr>
          </w:p>
        </w:tc>
        <w:tc>
          <w:tcPr>
            <w:tcW w:w="1241" w:type="dxa"/>
            <w:vMerge w:val="continue"/>
            <w:vAlign w:val="center"/>
          </w:tcPr>
          <w:p>
            <w:pPr>
              <w:jc w:val="center"/>
              <w:rPr>
                <w:rFonts w:ascii="Times New Roman" w:hAnsi="Times New Roman" w:eastAsia="宋体" w:cs="Times New Roman"/>
                <w:kern w:val="2"/>
                <w:sz w:val="18"/>
                <w:szCs w:val="18"/>
              </w:rPr>
            </w:pPr>
          </w:p>
        </w:tc>
        <w:tc>
          <w:tcPr>
            <w:tcW w:w="1045" w:type="dxa"/>
            <w:vMerge w:val="continue"/>
            <w:vAlign w:val="center"/>
          </w:tcPr>
          <w:p>
            <w:pPr>
              <w:jc w:val="center"/>
              <w:rPr>
                <w:rFonts w:ascii="Times New Roman" w:hAnsi="Times New Roman" w:eastAsia="宋体" w:cs="Times New Roman"/>
                <w:kern w:val="2"/>
                <w:sz w:val="18"/>
                <w:szCs w:val="18"/>
              </w:rPr>
            </w:pPr>
          </w:p>
        </w:tc>
        <w:tc>
          <w:tcPr>
            <w:tcW w:w="1620"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与构件表面混凝土高差</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0，-5</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0" w:hRule="atLeast"/>
          <w:jc w:val="center"/>
        </w:trPr>
        <w:tc>
          <w:tcPr>
            <w:tcW w:w="634"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11</w:t>
            </w:r>
          </w:p>
        </w:tc>
        <w:tc>
          <w:tcPr>
            <w:tcW w:w="1241"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预留孔</w:t>
            </w:r>
          </w:p>
        </w:tc>
        <w:tc>
          <w:tcPr>
            <w:tcW w:w="2665" w:type="dxa"/>
            <w:gridSpan w:val="2"/>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中心线位置偏移</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用尺量测纵横两个方向的中心线位置，记录其中较大值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atLeast"/>
          <w:jc w:val="center"/>
        </w:trPr>
        <w:tc>
          <w:tcPr>
            <w:tcW w:w="634" w:type="dxa"/>
            <w:vMerge w:val="continue"/>
            <w:vAlign w:val="center"/>
          </w:tcPr>
          <w:p>
            <w:pPr>
              <w:jc w:val="center"/>
              <w:rPr>
                <w:rFonts w:ascii="Times New Roman" w:hAnsi="Times New Roman" w:eastAsia="宋体" w:cs="Times New Roman"/>
                <w:kern w:val="2"/>
                <w:sz w:val="18"/>
                <w:szCs w:val="18"/>
              </w:rPr>
            </w:pPr>
          </w:p>
        </w:tc>
        <w:tc>
          <w:tcPr>
            <w:tcW w:w="1241" w:type="dxa"/>
            <w:vMerge w:val="continue"/>
            <w:vAlign w:val="center"/>
          </w:tcPr>
          <w:p>
            <w:pPr>
              <w:jc w:val="center"/>
              <w:rPr>
                <w:rFonts w:ascii="Times New Roman" w:hAnsi="Times New Roman" w:eastAsia="宋体" w:cs="Times New Roman"/>
                <w:kern w:val="2"/>
                <w:sz w:val="18"/>
                <w:szCs w:val="18"/>
              </w:rPr>
            </w:pPr>
          </w:p>
        </w:tc>
        <w:tc>
          <w:tcPr>
            <w:tcW w:w="2665" w:type="dxa"/>
            <w:gridSpan w:val="2"/>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孔尺寸</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用尺量测纵横两个方向的中心线位置，记录其中较大值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atLeast"/>
          <w:jc w:val="center"/>
        </w:trPr>
        <w:tc>
          <w:tcPr>
            <w:tcW w:w="634"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12</w:t>
            </w:r>
          </w:p>
        </w:tc>
        <w:tc>
          <w:tcPr>
            <w:tcW w:w="1241" w:type="dxa"/>
            <w:vMerge w:val="restart"/>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预留洞</w:t>
            </w:r>
          </w:p>
        </w:tc>
        <w:tc>
          <w:tcPr>
            <w:tcW w:w="2665" w:type="dxa"/>
            <w:gridSpan w:val="2"/>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中心线位置偏移</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用尺量测纵横两个方向的中心线位置，记录其中较大值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atLeast"/>
          <w:jc w:val="center"/>
        </w:trPr>
        <w:tc>
          <w:tcPr>
            <w:tcW w:w="634" w:type="dxa"/>
            <w:vMerge w:val="continue"/>
            <w:tcBorders>
              <w:bottom w:val="single" w:color="000000" w:sz="4" w:space="0"/>
            </w:tcBorders>
            <w:vAlign w:val="center"/>
          </w:tcPr>
          <w:p>
            <w:pPr>
              <w:jc w:val="center"/>
              <w:rPr>
                <w:rFonts w:ascii="Times New Roman" w:hAnsi="Times New Roman" w:eastAsia="宋体" w:cs="Times New Roman"/>
                <w:kern w:val="2"/>
                <w:sz w:val="18"/>
                <w:szCs w:val="18"/>
              </w:rPr>
            </w:pPr>
          </w:p>
        </w:tc>
        <w:tc>
          <w:tcPr>
            <w:tcW w:w="1241" w:type="dxa"/>
            <w:vMerge w:val="continue"/>
            <w:tcBorders>
              <w:bottom w:val="single" w:color="000000" w:sz="4" w:space="0"/>
            </w:tcBorders>
            <w:vAlign w:val="center"/>
          </w:tcPr>
          <w:p>
            <w:pPr>
              <w:jc w:val="center"/>
              <w:rPr>
                <w:rFonts w:ascii="Times New Roman" w:hAnsi="Times New Roman" w:eastAsia="宋体" w:cs="Times New Roman"/>
                <w:kern w:val="2"/>
                <w:sz w:val="18"/>
                <w:szCs w:val="18"/>
              </w:rPr>
            </w:pPr>
          </w:p>
        </w:tc>
        <w:tc>
          <w:tcPr>
            <w:tcW w:w="2665" w:type="dxa"/>
            <w:gridSpan w:val="2"/>
            <w:tcBorders>
              <w:bottom w:val="single" w:color="000000"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洞口尺寸、深度</w:t>
            </w:r>
          </w:p>
        </w:tc>
        <w:tc>
          <w:tcPr>
            <w:tcW w:w="1071" w:type="dxa"/>
            <w:tcBorders>
              <w:bottom w:val="single" w:color="000000"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412" w:type="dxa"/>
            <w:tcBorders>
              <w:bottom w:val="single" w:color="000000"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用尺量测纵横两个方向的中心线位置，记录其中较大值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jc w:val="center"/>
        </w:trPr>
        <w:tc>
          <w:tcPr>
            <w:tcW w:w="634" w:type="dxa"/>
            <w:vMerge w:val="restart"/>
            <w:tcBorders>
              <w:top w:val="single" w:color="000000"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13</w:t>
            </w:r>
          </w:p>
        </w:tc>
        <w:tc>
          <w:tcPr>
            <w:tcW w:w="1241" w:type="dxa"/>
            <w:vMerge w:val="restart"/>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预留</w:t>
            </w:r>
            <w:r>
              <w:rPr>
                <w:rFonts w:hint="eastAsia" w:ascii="Times New Roman" w:hAnsi="Times New Roman" w:eastAsia="宋体" w:cs="Times New Roman"/>
                <w:kern w:val="2"/>
                <w:sz w:val="18"/>
                <w:szCs w:val="18"/>
              </w:rPr>
              <w:t>箍</w:t>
            </w:r>
            <w:r>
              <w:rPr>
                <w:rFonts w:ascii="Times New Roman" w:hAnsi="Times New Roman" w:eastAsia="宋体" w:cs="Times New Roman"/>
                <w:kern w:val="2"/>
                <w:sz w:val="18"/>
                <w:szCs w:val="18"/>
              </w:rPr>
              <w:t>筋</w:t>
            </w:r>
          </w:p>
        </w:tc>
        <w:tc>
          <w:tcPr>
            <w:tcW w:w="2665" w:type="dxa"/>
            <w:gridSpan w:val="2"/>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中心线位置偏移</w:t>
            </w:r>
          </w:p>
        </w:tc>
        <w:tc>
          <w:tcPr>
            <w:tcW w:w="1071"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hint="eastAsia" w:ascii="Times New Roman" w:hAnsi="Times New Roman" w:eastAsia="宋体" w:cs="Times New Roman"/>
                <w:kern w:val="2"/>
                <w:sz w:val="18"/>
                <w:szCs w:val="18"/>
              </w:rPr>
              <w:t>5</w:t>
            </w:r>
          </w:p>
        </w:tc>
        <w:tc>
          <w:tcPr>
            <w:tcW w:w="2412" w:type="dxa"/>
            <w:tcBorders>
              <w:top w:val="single" w:color="000000"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用尺量测纵横两个方向的中心线位置，记录其中较大值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4" w:hRule="atLeast"/>
          <w:jc w:val="center"/>
        </w:trPr>
        <w:tc>
          <w:tcPr>
            <w:tcW w:w="634"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p>
        </w:tc>
        <w:tc>
          <w:tcPr>
            <w:tcW w:w="124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p>
        </w:tc>
        <w:tc>
          <w:tcPr>
            <w:tcW w:w="26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外露长度</w:t>
            </w:r>
          </w:p>
        </w:tc>
        <w:tc>
          <w:tcPr>
            <w:tcW w:w="107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412"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w:t>
            </w:r>
          </w:p>
        </w:tc>
      </w:tr>
    </w:tbl>
    <w:p>
      <w:pPr>
        <w:pStyle w:val="83"/>
        <w:shd w:val="clear" w:color="auto" w:fill="auto"/>
        <w:spacing w:before="120" w:beforeLines="50" w:after="120" w:afterLines="50" w:line="240" w:lineRule="auto"/>
        <w:jc w:val="center"/>
        <w:rPr>
          <w:rFonts w:ascii="黑体" w:hAnsi="黑体" w:eastAsia="黑体" w:cs="Times New Roman"/>
          <w:b w:val="0"/>
          <w:sz w:val="21"/>
          <w:szCs w:val="21"/>
        </w:rPr>
      </w:pPr>
      <w:r>
        <w:rPr>
          <w:rFonts w:ascii="黑体" w:hAnsi="黑体" w:eastAsia="黑体" w:cs="Times New Roman"/>
          <w:b w:val="0"/>
          <w:sz w:val="21"/>
          <w:szCs w:val="21"/>
        </w:rPr>
        <w:t>表18预制</w:t>
      </w:r>
      <w:r>
        <w:rPr>
          <w:rFonts w:hint="eastAsia" w:ascii="黑体" w:hAnsi="黑体" w:eastAsia="黑体" w:cs="Times New Roman"/>
          <w:b w:val="0"/>
          <w:sz w:val="21"/>
          <w:szCs w:val="21"/>
        </w:rPr>
        <w:t>梁</w:t>
      </w:r>
      <w:r>
        <w:rPr>
          <w:rFonts w:ascii="黑体" w:hAnsi="黑体" w:eastAsia="黑体" w:cs="Times New Roman"/>
          <w:b w:val="0"/>
          <w:sz w:val="21"/>
          <w:szCs w:val="21"/>
        </w:rPr>
        <w:t>构件外形尺寸的允许偏差及检验方法</w:t>
      </w:r>
      <w:r>
        <w:rPr>
          <w:rFonts w:hint="eastAsia" w:ascii="黑体" w:hAnsi="黑体" w:eastAsia="黑体" w:cs="Times New Roman"/>
          <w:b w:val="0"/>
          <w:sz w:val="21"/>
          <w:szCs w:val="21"/>
        </w:rPr>
        <w:t>（续表）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41"/>
        <w:gridCol w:w="2665"/>
        <w:gridCol w:w="1071"/>
        <w:gridCol w:w="24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70" w:hRule="atLeast"/>
          <w:jc w:val="center"/>
        </w:trPr>
        <w:tc>
          <w:tcPr>
            <w:tcW w:w="634"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项次</w:t>
            </w:r>
          </w:p>
        </w:tc>
        <w:tc>
          <w:tcPr>
            <w:tcW w:w="3906" w:type="dxa"/>
            <w:gridSpan w:val="2"/>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检查项目</w:t>
            </w:r>
          </w:p>
        </w:tc>
        <w:tc>
          <w:tcPr>
            <w:tcW w:w="1071"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允许偏差</w:t>
            </w:r>
          </w:p>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（mm）</w:t>
            </w:r>
          </w:p>
        </w:tc>
        <w:tc>
          <w:tcPr>
            <w:tcW w:w="2412" w:type="dxa"/>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检验方法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67" w:hRule="atLeast"/>
          <w:jc w:val="center"/>
        </w:trPr>
        <w:tc>
          <w:tcPr>
            <w:tcW w:w="634"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14</w:t>
            </w:r>
          </w:p>
        </w:tc>
        <w:tc>
          <w:tcPr>
            <w:tcW w:w="124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吊环</w:t>
            </w:r>
          </w:p>
        </w:tc>
        <w:tc>
          <w:tcPr>
            <w:tcW w:w="266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中心线位置偏移</w:t>
            </w:r>
          </w:p>
        </w:tc>
        <w:tc>
          <w:tcPr>
            <w:tcW w:w="107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w:t>
            </w:r>
          </w:p>
        </w:tc>
        <w:tc>
          <w:tcPr>
            <w:tcW w:w="2412"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用尺量测纵横两个方向的中心线位置，记录其中较大值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jc w:val="center"/>
        </w:trPr>
        <w:tc>
          <w:tcPr>
            <w:tcW w:w="634" w:type="dxa"/>
            <w:vMerge w:val="continue"/>
            <w:tcBorders>
              <w:top w:val="single" w:color="auto" w:sz="4" w:space="0"/>
              <w:left w:val="single" w:color="auto" w:sz="12" w:space="0"/>
              <w:bottom w:val="single" w:color="auto" w:sz="12" w:space="0"/>
              <w:right w:val="single" w:color="auto" w:sz="4" w:space="0"/>
            </w:tcBorders>
            <w:vAlign w:val="center"/>
          </w:tcPr>
          <w:p>
            <w:pPr>
              <w:jc w:val="center"/>
              <w:rPr>
                <w:rFonts w:ascii="Times New Roman" w:hAnsi="Times New Roman" w:eastAsia="宋体" w:cs="Times New Roman"/>
                <w:kern w:val="2"/>
                <w:sz w:val="18"/>
                <w:szCs w:val="18"/>
              </w:rPr>
            </w:pPr>
          </w:p>
        </w:tc>
        <w:tc>
          <w:tcPr>
            <w:tcW w:w="1241" w:type="dxa"/>
            <w:vMerge w:val="continue"/>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kern w:val="2"/>
                <w:sz w:val="18"/>
                <w:szCs w:val="18"/>
              </w:rPr>
            </w:pPr>
          </w:p>
        </w:tc>
        <w:tc>
          <w:tcPr>
            <w:tcW w:w="2665"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留出高度</w:t>
            </w:r>
          </w:p>
        </w:tc>
        <w:tc>
          <w:tcPr>
            <w:tcW w:w="1071"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0，-10</w:t>
            </w:r>
          </w:p>
        </w:tc>
        <w:tc>
          <w:tcPr>
            <w:tcW w:w="2412" w:type="dxa"/>
            <w:tcBorders>
              <w:top w:val="single" w:color="auto" w:sz="4" w:space="0"/>
              <w:left w:val="single" w:color="auto" w:sz="4" w:space="0"/>
              <w:bottom w:val="single" w:color="auto" w:sz="12"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w:t>
            </w:r>
          </w:p>
        </w:tc>
      </w:tr>
    </w:tbl>
    <w:p>
      <w:pPr>
        <w:pStyle w:val="83"/>
        <w:shd w:val="clear" w:color="auto" w:fill="auto"/>
        <w:spacing w:before="120" w:beforeLines="50" w:after="120" w:afterLines="50" w:line="240" w:lineRule="auto"/>
        <w:jc w:val="center"/>
        <w:rPr>
          <w:rFonts w:ascii="黑体" w:hAnsi="黑体" w:eastAsia="黑体" w:cs="Times New Roman"/>
          <w:b w:val="0"/>
          <w:sz w:val="21"/>
          <w:szCs w:val="21"/>
        </w:rPr>
      </w:pPr>
      <w:r>
        <w:rPr>
          <w:rFonts w:ascii="黑体" w:hAnsi="黑体" w:eastAsia="黑体" w:cs="Times New Roman"/>
          <w:b w:val="0"/>
          <w:sz w:val="21"/>
          <w:szCs w:val="21"/>
        </w:rPr>
        <w:t>表19预制</w:t>
      </w:r>
      <w:r>
        <w:rPr>
          <w:rFonts w:hint="eastAsia" w:ascii="黑体" w:hAnsi="黑体" w:eastAsia="黑体" w:cs="Times New Roman"/>
          <w:b w:val="0"/>
          <w:sz w:val="21"/>
          <w:szCs w:val="21"/>
        </w:rPr>
        <w:t>柱</w:t>
      </w:r>
      <w:r>
        <w:rPr>
          <w:rFonts w:ascii="黑体" w:hAnsi="黑体" w:eastAsia="黑体" w:cs="Times New Roman"/>
          <w:b w:val="0"/>
          <w:sz w:val="21"/>
          <w:szCs w:val="21"/>
        </w:rPr>
        <w:t>构件外形尺寸允许偏差及检验方法</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9"/>
        <w:gridCol w:w="1239"/>
        <w:gridCol w:w="851"/>
        <w:gridCol w:w="1134"/>
        <w:gridCol w:w="1048"/>
        <w:gridCol w:w="31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589"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项次</w:t>
            </w:r>
          </w:p>
        </w:tc>
        <w:tc>
          <w:tcPr>
            <w:tcW w:w="3224" w:type="dxa"/>
            <w:gridSpan w:val="3"/>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检查项目</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允许偏差（mm）</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23" w:hRule="atLeast"/>
          <w:jc w:val="center"/>
        </w:trPr>
        <w:tc>
          <w:tcPr>
            <w:tcW w:w="589"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w:t>
            </w:r>
          </w:p>
        </w:tc>
        <w:tc>
          <w:tcPr>
            <w:tcW w:w="123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规格尺寸</w:t>
            </w:r>
          </w:p>
        </w:tc>
        <w:tc>
          <w:tcPr>
            <w:tcW w:w="1985" w:type="dxa"/>
            <w:gridSpan w:val="2"/>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高度</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±4</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w:t>
            </w:r>
            <w:r>
              <w:rPr>
                <w:rFonts w:hint="eastAsia" w:ascii="Times New Roman" w:hAnsi="Times New Roman" w:eastAsia="宋体" w:cs="Times New Roman"/>
                <w:kern w:val="2"/>
                <w:sz w:val="18"/>
                <w:szCs w:val="18"/>
              </w:rPr>
              <w:t>四个角边</w:t>
            </w:r>
            <w:r>
              <w:rPr>
                <w:rFonts w:ascii="Times New Roman" w:hAnsi="Times New Roman" w:eastAsia="宋体" w:cs="Times New Roman"/>
                <w:kern w:val="2"/>
                <w:sz w:val="18"/>
                <w:szCs w:val="18"/>
              </w:rPr>
              <w:t>，取其中偏差绝对值较大值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589"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985" w:type="dxa"/>
            <w:gridSpan w:val="2"/>
            <w:tcBorders>
              <w:tl2br w:val="nil"/>
              <w:tr2bl w:val="nil"/>
            </w:tcBorders>
            <w:vAlign w:val="center"/>
          </w:tcPr>
          <w:p>
            <w:pPr>
              <w:jc w:val="center"/>
              <w:rPr>
                <w:rFonts w:ascii="Times New Roman" w:hAnsi="Times New Roman" w:eastAsia="宋体" w:cs="Times New Roman"/>
                <w:kern w:val="2"/>
                <w:sz w:val="18"/>
                <w:szCs w:val="18"/>
              </w:rPr>
            </w:pPr>
            <w:r>
              <w:rPr>
                <w:rFonts w:hint="eastAsia" w:ascii="Times New Roman" w:hAnsi="Times New Roman" w:eastAsia="宋体" w:cs="Times New Roman"/>
                <w:kern w:val="2"/>
                <w:sz w:val="18"/>
                <w:szCs w:val="18"/>
              </w:rPr>
              <w:t>截面</w:t>
            </w:r>
            <w:r>
              <w:rPr>
                <w:rFonts w:ascii="Times New Roman" w:hAnsi="Times New Roman" w:eastAsia="宋体" w:cs="Times New Roman"/>
                <w:kern w:val="2"/>
                <w:sz w:val="18"/>
                <w:szCs w:val="18"/>
              </w:rPr>
              <w:t>宽度</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w:t>
            </w:r>
            <w:r>
              <w:rPr>
                <w:rFonts w:hint="eastAsia" w:ascii="Times New Roman" w:hAnsi="Times New Roman" w:eastAsia="宋体" w:cs="Times New Roman"/>
                <w:kern w:val="2"/>
                <w:sz w:val="18"/>
                <w:szCs w:val="18"/>
              </w:rPr>
              <w:t>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用尺量两端</w:t>
            </w:r>
            <w:r>
              <w:rPr>
                <w:rFonts w:hint="eastAsia" w:ascii="Times New Roman" w:hAnsi="Times New Roman" w:eastAsia="宋体" w:cs="Times New Roman"/>
                <w:kern w:val="2"/>
                <w:sz w:val="18"/>
                <w:szCs w:val="18"/>
              </w:rPr>
              <w:t>截面</w:t>
            </w:r>
            <w:r>
              <w:rPr>
                <w:rFonts w:ascii="Times New Roman" w:hAnsi="Times New Roman" w:eastAsia="宋体" w:cs="Times New Roman"/>
                <w:kern w:val="2"/>
                <w:sz w:val="18"/>
                <w:szCs w:val="18"/>
              </w:rPr>
              <w:t>及中间部</w:t>
            </w:r>
            <w:r>
              <w:rPr>
                <w:rFonts w:hint="eastAsia" w:ascii="Times New Roman" w:hAnsi="Times New Roman" w:eastAsia="宋体" w:cs="Times New Roman"/>
                <w:kern w:val="2"/>
                <w:sz w:val="18"/>
                <w:szCs w:val="18"/>
              </w:rPr>
              <w:t>位截面</w:t>
            </w:r>
            <w:r>
              <w:rPr>
                <w:rFonts w:ascii="Times New Roman" w:hAnsi="Times New Roman" w:eastAsia="宋体" w:cs="Times New Roman"/>
                <w:kern w:val="2"/>
                <w:sz w:val="18"/>
                <w:szCs w:val="18"/>
              </w:rPr>
              <w:t>，取其中偏差绝对值较大值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7" w:hRule="atLeast"/>
          <w:jc w:val="center"/>
        </w:trPr>
        <w:tc>
          <w:tcPr>
            <w:tcW w:w="589"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3</w:t>
            </w: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985" w:type="dxa"/>
            <w:gridSpan w:val="2"/>
            <w:tcBorders>
              <w:tl2br w:val="nil"/>
              <w:tr2bl w:val="nil"/>
            </w:tcBorders>
            <w:vAlign w:val="center"/>
          </w:tcPr>
          <w:p>
            <w:pPr>
              <w:jc w:val="center"/>
              <w:rPr>
                <w:rFonts w:ascii="Times New Roman" w:hAnsi="Times New Roman" w:eastAsia="宋体" w:cs="Times New Roman"/>
                <w:kern w:val="2"/>
                <w:sz w:val="18"/>
                <w:szCs w:val="18"/>
              </w:rPr>
            </w:pPr>
            <w:r>
              <w:rPr>
                <w:rFonts w:hint="eastAsia" w:ascii="Times New Roman" w:hAnsi="Times New Roman" w:eastAsia="宋体" w:cs="Times New Roman"/>
                <w:kern w:val="2"/>
                <w:sz w:val="18"/>
                <w:szCs w:val="18"/>
              </w:rPr>
              <w:t>截面高度</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w:t>
            </w:r>
            <w:r>
              <w:rPr>
                <w:rFonts w:hint="eastAsia" w:ascii="Times New Roman" w:hAnsi="Times New Roman" w:eastAsia="宋体" w:cs="Times New Roman"/>
                <w:kern w:val="2"/>
                <w:sz w:val="18"/>
                <w:szCs w:val="18"/>
              </w:rPr>
              <w:t>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用尺量两端</w:t>
            </w:r>
            <w:r>
              <w:rPr>
                <w:rFonts w:hint="eastAsia" w:ascii="Times New Roman" w:hAnsi="Times New Roman" w:eastAsia="宋体" w:cs="Times New Roman"/>
                <w:kern w:val="2"/>
                <w:sz w:val="18"/>
                <w:szCs w:val="18"/>
              </w:rPr>
              <w:t>截面</w:t>
            </w:r>
            <w:r>
              <w:rPr>
                <w:rFonts w:ascii="Times New Roman" w:hAnsi="Times New Roman" w:eastAsia="宋体" w:cs="Times New Roman"/>
                <w:kern w:val="2"/>
                <w:sz w:val="18"/>
                <w:szCs w:val="18"/>
              </w:rPr>
              <w:t>及中间部</w:t>
            </w:r>
            <w:r>
              <w:rPr>
                <w:rFonts w:hint="eastAsia" w:ascii="Times New Roman" w:hAnsi="Times New Roman" w:eastAsia="宋体" w:cs="Times New Roman"/>
                <w:kern w:val="2"/>
                <w:sz w:val="18"/>
                <w:szCs w:val="18"/>
              </w:rPr>
              <w:t>位截面</w:t>
            </w:r>
            <w:r>
              <w:rPr>
                <w:rFonts w:ascii="Times New Roman" w:hAnsi="Times New Roman" w:eastAsia="宋体" w:cs="Times New Roman"/>
                <w:kern w:val="2"/>
                <w:sz w:val="18"/>
                <w:szCs w:val="18"/>
              </w:rPr>
              <w:t>，取其中偏差绝对值较大值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589"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4</w:t>
            </w:r>
          </w:p>
        </w:tc>
        <w:tc>
          <w:tcPr>
            <w:tcW w:w="3224" w:type="dxa"/>
            <w:gridSpan w:val="3"/>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对角线差</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在构件表面，用尺测量两对角线的长度，取其绝对值的差值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89"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224" w:type="dxa"/>
            <w:gridSpan w:val="3"/>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上下层相对位置偏差</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用尺量，取最大值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33" w:hRule="atLeast"/>
          <w:jc w:val="center"/>
        </w:trPr>
        <w:tc>
          <w:tcPr>
            <w:tcW w:w="589"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6</w:t>
            </w:r>
          </w:p>
        </w:tc>
        <w:tc>
          <w:tcPr>
            <w:tcW w:w="123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外形</w:t>
            </w:r>
          </w:p>
        </w:tc>
        <w:tc>
          <w:tcPr>
            <w:tcW w:w="1985" w:type="dxa"/>
            <w:gridSpan w:val="2"/>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表面平整度</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4</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用2m靠尺安放在构件表面，用楔形塞尺量测靠尺与表面之间的最大间隙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0" w:hRule="atLeast"/>
          <w:jc w:val="center"/>
        </w:trPr>
        <w:tc>
          <w:tcPr>
            <w:tcW w:w="589"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7</w:t>
            </w: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985" w:type="dxa"/>
            <w:gridSpan w:val="2"/>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侧向弯曲</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i/>
                <w:iCs/>
                <w:kern w:val="2"/>
                <w:sz w:val="18"/>
                <w:szCs w:val="18"/>
              </w:rPr>
              <w:t>L</w:t>
            </w:r>
            <w:r>
              <w:rPr>
                <w:rFonts w:ascii="Times New Roman" w:hAnsi="Times New Roman" w:eastAsia="宋体" w:cs="Times New Roman"/>
                <w:kern w:val="2"/>
                <w:sz w:val="18"/>
                <w:szCs w:val="18"/>
              </w:rPr>
              <w:t>/1000</w:t>
            </w:r>
          </w:p>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且</w:t>
            </w:r>
            <w:r>
              <w:rPr>
                <w:rFonts w:hint="eastAsia" w:ascii="等线" w:hAnsi="等线" w:eastAsia="等线" w:cs="Times New Roman"/>
                <w:kern w:val="2"/>
                <w:sz w:val="18"/>
                <w:szCs w:val="18"/>
              </w:rPr>
              <w:t>≤</w:t>
            </w:r>
            <w:r>
              <w:rPr>
                <w:rFonts w:ascii="Times New Roman" w:hAnsi="Times New Roman" w:eastAsia="宋体" w:cs="Times New Roman"/>
                <w:kern w:val="2"/>
                <w:sz w:val="18"/>
                <w:szCs w:val="18"/>
              </w:rPr>
              <w:t>20mm</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拉线，钢尺量最大弯曲处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57" w:hRule="atLeast"/>
          <w:jc w:val="center"/>
        </w:trPr>
        <w:tc>
          <w:tcPr>
            <w:tcW w:w="589"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8</w:t>
            </w: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985" w:type="dxa"/>
            <w:gridSpan w:val="2"/>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扭翘</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i/>
                <w:iCs/>
                <w:kern w:val="2"/>
                <w:sz w:val="18"/>
                <w:szCs w:val="18"/>
              </w:rPr>
              <w:t>L</w:t>
            </w:r>
            <w:r>
              <w:rPr>
                <w:rFonts w:ascii="Times New Roman" w:hAnsi="Times New Roman" w:eastAsia="宋体" w:cs="Times New Roman"/>
                <w:kern w:val="2"/>
                <w:sz w:val="18"/>
                <w:szCs w:val="18"/>
              </w:rPr>
              <w:t>/1000</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四对角拉两条线，量测两线交点之间的距离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8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9</w:t>
            </w:r>
          </w:p>
        </w:tc>
        <w:tc>
          <w:tcPr>
            <w:tcW w:w="123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预埋部件</w:t>
            </w:r>
          </w:p>
        </w:tc>
        <w:tc>
          <w:tcPr>
            <w:tcW w:w="851" w:type="dxa"/>
            <w:vMerge w:val="restart"/>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预埋钢板</w:t>
            </w:r>
          </w:p>
        </w:tc>
        <w:tc>
          <w:tcPr>
            <w:tcW w:w="1134"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中心线位置偏移</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用尺量纵横两个方向的中心线位置，记录其中较大者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40" w:hRule="atLeast"/>
          <w:jc w:val="center"/>
        </w:trPr>
        <w:tc>
          <w:tcPr>
            <w:tcW w:w="58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851"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134"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平面高差</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0，-5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用尺紧靠在预埋件上，用楔形塞尺量测预埋件表面与混凝土面之前的最大间隙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w:t>
            </w: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851" w:type="dxa"/>
            <w:vMerge w:val="restart"/>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预埋螺栓</w:t>
            </w:r>
          </w:p>
        </w:tc>
        <w:tc>
          <w:tcPr>
            <w:tcW w:w="1134"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中心线位置偏移</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用尺量纵横两个方向的中心线位置，记录其中较大者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851"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134"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外露长度</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restart"/>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11</w:t>
            </w: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851" w:type="dxa"/>
            <w:vMerge w:val="restart"/>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预埋</w:t>
            </w:r>
          </w:p>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线盒、</w:t>
            </w:r>
          </w:p>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电盒</w:t>
            </w:r>
          </w:p>
        </w:tc>
        <w:tc>
          <w:tcPr>
            <w:tcW w:w="1134"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在构件平面的水平方向中心线位置偏差</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851"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134"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与构件表面混凝土高差</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0，-5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12</w:t>
            </w: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851" w:type="dxa"/>
            <w:vMerge w:val="restart"/>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预埋套筒、螺母</w:t>
            </w:r>
          </w:p>
        </w:tc>
        <w:tc>
          <w:tcPr>
            <w:tcW w:w="1134"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中心线位置偏移</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用尺量纵横两个方向的中心线位置，记录其中较大者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851"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134"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平面高差</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0，-5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用尺紧靠在预埋件上，用楔形塞尺量测预埋件表面与混凝土面之前的最大间隙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13</w:t>
            </w:r>
          </w:p>
        </w:tc>
        <w:tc>
          <w:tcPr>
            <w:tcW w:w="123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预留孔</w:t>
            </w:r>
          </w:p>
        </w:tc>
        <w:tc>
          <w:tcPr>
            <w:tcW w:w="1985" w:type="dxa"/>
            <w:gridSpan w:val="2"/>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中心线位置偏移</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用尺量纵横两个方向的中心线位置，记录其中较大者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985" w:type="dxa"/>
            <w:gridSpan w:val="2"/>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孔尺寸</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用尺量纵横两个方向尺寸，记录其中较大者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14</w:t>
            </w:r>
          </w:p>
        </w:tc>
        <w:tc>
          <w:tcPr>
            <w:tcW w:w="123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预留洞</w:t>
            </w:r>
          </w:p>
        </w:tc>
        <w:tc>
          <w:tcPr>
            <w:tcW w:w="1985" w:type="dxa"/>
            <w:gridSpan w:val="2"/>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中心线位置偏移</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用尺量纵横两个方向的中心线位置，记录其中较大者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985" w:type="dxa"/>
            <w:gridSpan w:val="2"/>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洞口尺寸，深度</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用尺量纵横两个方向尺寸，记录其中较大者</w:t>
            </w:r>
          </w:p>
        </w:tc>
      </w:tr>
    </w:tbl>
    <w:p>
      <w:pPr>
        <w:pStyle w:val="209"/>
        <w:numPr>
          <w:ilvl w:val="0"/>
          <w:numId w:val="0"/>
        </w:numPr>
        <w:spacing w:before="120" w:after="120"/>
        <w:jc w:val="center"/>
        <w:outlineLvl w:val="9"/>
        <w:rPr>
          <w:rFonts w:ascii="Times New Roman" w:eastAsia="宋体"/>
          <w:color w:val="000000"/>
          <w:sz w:val="24"/>
          <w:szCs w:val="24"/>
        </w:rPr>
      </w:pPr>
      <w:r>
        <w:rPr>
          <w:rFonts w:hAnsi="黑体"/>
        </w:rPr>
        <w:t>表19预制</w:t>
      </w:r>
      <w:r>
        <w:rPr>
          <w:rFonts w:hint="eastAsia" w:hAnsi="黑体"/>
        </w:rPr>
        <w:t>柱</w:t>
      </w:r>
      <w:r>
        <w:rPr>
          <w:rFonts w:hAnsi="黑体"/>
        </w:rPr>
        <w:t>构件外形尺寸允许偏差及检验方法</w:t>
      </w:r>
      <w:r>
        <w:rPr>
          <w:rFonts w:hint="eastAsia" w:hAnsi="黑体"/>
        </w:rPr>
        <w:t>（续表）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9"/>
        <w:gridCol w:w="1239"/>
        <w:gridCol w:w="1985"/>
        <w:gridCol w:w="1048"/>
        <w:gridCol w:w="31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589"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项次</w:t>
            </w:r>
          </w:p>
        </w:tc>
        <w:tc>
          <w:tcPr>
            <w:tcW w:w="3224" w:type="dxa"/>
            <w:gridSpan w:val="2"/>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检查项目</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允许偏差（mm）</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15</w:t>
            </w:r>
          </w:p>
        </w:tc>
        <w:tc>
          <w:tcPr>
            <w:tcW w:w="123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预留插筋</w:t>
            </w:r>
          </w:p>
        </w:tc>
        <w:tc>
          <w:tcPr>
            <w:tcW w:w="1985"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中心线位置偏移</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3</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用尺量纵横两个方向的中心线位置，记录其中较大者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985"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外露长度</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16</w:t>
            </w:r>
          </w:p>
        </w:tc>
        <w:tc>
          <w:tcPr>
            <w:tcW w:w="1239" w:type="dxa"/>
            <w:vMerge w:val="restart"/>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吊环</w:t>
            </w:r>
          </w:p>
        </w:tc>
        <w:tc>
          <w:tcPr>
            <w:tcW w:w="1985"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中心线位置偏移</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用尺量纵横两个方向的中心线位置，记录其中较大者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58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239"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985"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与构件表面混凝土高差</w:t>
            </w:r>
          </w:p>
        </w:tc>
        <w:tc>
          <w:tcPr>
            <w:tcW w:w="104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0，-10</w:t>
            </w:r>
          </w:p>
        </w:tc>
        <w:tc>
          <w:tcPr>
            <w:tcW w:w="3119"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用尺量</w:t>
            </w:r>
          </w:p>
        </w:tc>
      </w:tr>
    </w:tbl>
    <w:p>
      <w:pPr>
        <w:rPr>
          <w:rFonts w:eastAsiaTheme="minorEastAsia"/>
          <w:lang w:val="en-US"/>
        </w:rPr>
      </w:pPr>
    </w:p>
    <w:p>
      <w:pPr>
        <w:pStyle w:val="209"/>
        <w:numPr>
          <w:ilvl w:val="0"/>
          <w:numId w:val="36"/>
        </w:numPr>
        <w:spacing w:before="120" w:after="120"/>
        <w:jc w:val="both"/>
        <w:outlineLvl w:val="9"/>
        <w:rPr>
          <w:rFonts w:ascii="Times New Roman" w:eastAsia="宋体"/>
          <w:color w:val="000000"/>
          <w:sz w:val="24"/>
          <w:szCs w:val="24"/>
        </w:rPr>
      </w:pPr>
      <w:r>
        <w:rPr>
          <w:rFonts w:ascii="Times New Roman" w:eastAsia="宋体"/>
          <w:bCs/>
          <w:color w:val="000000"/>
        </w:rPr>
        <w:t>预制构件检查合格后，生产企业应出具产品合格证，并在产品合格证和构件上标记工程名称、构件编号、制作日期、合格状态、生产单位等信息。</w:t>
      </w:r>
    </w:p>
    <w:p>
      <w:pPr>
        <w:pStyle w:val="210"/>
        <w:spacing w:before="240" w:after="240"/>
        <w:outlineLvl w:val="2"/>
        <w:rPr>
          <w:rFonts w:ascii="黑体" w:hAnsi="黑体" w:eastAsia="黑体"/>
          <w:b w:val="0"/>
          <w:sz w:val="21"/>
          <w:szCs w:val="21"/>
        </w:rPr>
      </w:pPr>
      <w:bookmarkStart w:id="205" w:name="_Toc172188636"/>
      <w:bookmarkStart w:id="206" w:name="_Toc24381"/>
      <w:bookmarkStart w:id="207" w:name="_Toc172188912"/>
      <w:bookmarkStart w:id="208" w:name="_Toc172187851"/>
      <w:r>
        <w:rPr>
          <w:rFonts w:ascii="黑体" w:hAnsi="黑体" w:eastAsia="黑体"/>
          <w:b w:val="0"/>
          <w:sz w:val="21"/>
          <w:szCs w:val="21"/>
        </w:rPr>
        <w:t>11.5 存放和运输</w:t>
      </w:r>
      <w:bookmarkEnd w:id="205"/>
      <w:bookmarkEnd w:id="206"/>
      <w:bookmarkEnd w:id="207"/>
      <w:bookmarkEnd w:id="208"/>
    </w:p>
    <w:p>
      <w:pPr>
        <w:pStyle w:val="209"/>
        <w:numPr>
          <w:ilvl w:val="0"/>
          <w:numId w:val="37"/>
        </w:numPr>
        <w:spacing w:before="120" w:after="120"/>
        <w:jc w:val="both"/>
        <w:outlineLvl w:val="9"/>
        <w:rPr>
          <w:rFonts w:ascii="Times New Roman" w:eastAsia="宋体"/>
          <w:bCs/>
          <w:color w:val="000000"/>
        </w:rPr>
      </w:pPr>
      <w:r>
        <w:rPr>
          <w:rFonts w:ascii="Times New Roman" w:eastAsia="宋体"/>
          <w:bCs/>
          <w:color w:val="000000"/>
        </w:rPr>
        <w:t>应根据预制构件的种类、规格、重量等参数制定构件运输和存放方案。其内容应包括运输时间、次序、存放场地、运输线路、固定要求、存放支垫及成品保护措施等内容。对于超高、超宽、形状特殊的大型构件的运输和堆放应采取专门质量安全保证措施。</w:t>
      </w:r>
    </w:p>
    <w:p>
      <w:pPr>
        <w:pStyle w:val="209"/>
        <w:numPr>
          <w:ilvl w:val="0"/>
          <w:numId w:val="37"/>
        </w:numPr>
        <w:spacing w:before="120" w:after="120"/>
        <w:jc w:val="both"/>
        <w:outlineLvl w:val="9"/>
        <w:rPr>
          <w:rFonts w:ascii="Times New Roman" w:eastAsia="宋体"/>
          <w:color w:val="000000"/>
        </w:rPr>
      </w:pPr>
      <w:r>
        <w:rPr>
          <w:rFonts w:ascii="Times New Roman" w:eastAsia="宋体"/>
          <w:color w:val="000000"/>
        </w:rPr>
        <w:t>施工现场内道路应根据构件运输车辆设置合理的转弯半径和道路坡度，且应满足重型构件运输车辆通行的承载力要求。</w:t>
      </w:r>
    </w:p>
    <w:p>
      <w:pPr>
        <w:pStyle w:val="209"/>
        <w:numPr>
          <w:ilvl w:val="0"/>
          <w:numId w:val="37"/>
        </w:numPr>
        <w:spacing w:before="120" w:after="120"/>
        <w:jc w:val="both"/>
        <w:outlineLvl w:val="9"/>
        <w:rPr>
          <w:rFonts w:ascii="Times New Roman" w:eastAsia="宋体"/>
          <w:bCs/>
          <w:color w:val="000000"/>
        </w:rPr>
      </w:pPr>
      <w:r>
        <w:rPr>
          <w:rFonts w:ascii="Times New Roman" w:eastAsia="宋体"/>
          <w:bCs/>
          <w:color w:val="000000"/>
        </w:rPr>
        <w:t>预制构件的存放场地宜为混凝土硬化地面，满足平整度和地基承载力要求，并应有排水措施，堆放预制构件时应使构件与地面之间留有一定空隙。</w:t>
      </w:r>
    </w:p>
    <w:p>
      <w:pPr>
        <w:pStyle w:val="209"/>
        <w:numPr>
          <w:ilvl w:val="0"/>
          <w:numId w:val="37"/>
        </w:numPr>
        <w:spacing w:before="120" w:after="120"/>
        <w:jc w:val="both"/>
        <w:outlineLvl w:val="9"/>
        <w:rPr>
          <w:rFonts w:ascii="Times New Roman" w:eastAsia="宋体"/>
          <w:bCs/>
          <w:color w:val="000000"/>
        </w:rPr>
      </w:pPr>
      <w:r>
        <w:rPr>
          <w:rFonts w:ascii="Times New Roman" w:eastAsia="宋体"/>
          <w:bCs/>
          <w:color w:val="000000"/>
        </w:rPr>
        <w:t>预制构件出厂前应完成相关的质量检验，检验合格的预制构件方可运输出厂。</w:t>
      </w:r>
    </w:p>
    <w:p>
      <w:pPr>
        <w:pStyle w:val="209"/>
        <w:numPr>
          <w:ilvl w:val="0"/>
          <w:numId w:val="37"/>
        </w:numPr>
        <w:spacing w:before="120" w:after="120"/>
        <w:jc w:val="both"/>
        <w:outlineLvl w:val="9"/>
        <w:rPr>
          <w:rFonts w:ascii="Times New Roman" w:eastAsia="宋体"/>
          <w:bCs/>
        </w:rPr>
      </w:pPr>
      <w:r>
        <w:rPr>
          <w:rFonts w:ascii="Times New Roman" w:eastAsia="宋体"/>
          <w:bCs/>
          <w:color w:val="000000"/>
        </w:rPr>
        <w:t>运输前应确认构件出厂日的</w:t>
      </w:r>
      <w:r>
        <w:rPr>
          <w:rFonts w:ascii="Times New Roman" w:eastAsia="宋体"/>
          <w:bCs/>
        </w:rPr>
        <w:t>混凝土抗压强度不低于设计强度的75%，且不低于30MPa。</w:t>
      </w:r>
    </w:p>
    <w:p>
      <w:pPr>
        <w:pStyle w:val="209"/>
        <w:numPr>
          <w:ilvl w:val="0"/>
          <w:numId w:val="37"/>
        </w:numPr>
        <w:spacing w:before="120" w:after="120"/>
        <w:jc w:val="both"/>
        <w:outlineLvl w:val="9"/>
        <w:rPr>
          <w:rFonts w:ascii="Times New Roman" w:eastAsia="宋体"/>
          <w:bCs/>
        </w:rPr>
      </w:pPr>
      <w:r>
        <w:rPr>
          <w:rFonts w:ascii="Times New Roman" w:eastAsia="宋体"/>
          <w:bCs/>
        </w:rPr>
        <w:t>预制构件运输过程，应根据构件种类采取可靠固定措施防止构件移动、倾倒、变形、损坏等；对于超高、超宽、形状特殊的预制构件的运输与存放应制定专门的质量安全保证措施。预制构件运输过程中宜采取以下防护措施：</w:t>
      </w:r>
    </w:p>
    <w:p>
      <w:pPr>
        <w:pStyle w:val="221"/>
        <w:spacing w:line="240" w:lineRule="auto"/>
        <w:ind w:firstLine="420" w:firstLineChars="200"/>
        <w:jc w:val="both"/>
        <w:rPr>
          <w:rFonts w:ascii="Times New Roman" w:hAnsi="Times New Roman"/>
          <w:bCs/>
          <w:color w:val="auto"/>
          <w:sz w:val="21"/>
          <w:lang w:eastAsia="zh-CN"/>
        </w:rPr>
      </w:pPr>
      <w:r>
        <w:rPr>
          <w:sz w:val="21"/>
          <w:lang w:eastAsia="zh-CN"/>
        </w:rPr>
        <w:t>a</w:t>
      </w:r>
      <w:r>
        <w:rPr>
          <w:rFonts w:hint="eastAsia"/>
          <w:sz w:val="21"/>
          <w:lang w:eastAsia="zh-CN"/>
        </w:rPr>
        <w:t>）</w:t>
      </w:r>
      <w:r>
        <w:rPr>
          <w:rFonts w:ascii="Times New Roman" w:hAnsi="Times New Roman"/>
          <w:bCs/>
          <w:color w:val="auto"/>
          <w:sz w:val="21"/>
          <w:lang w:eastAsia="zh-CN"/>
        </w:rPr>
        <w:t>托架、车厢板和预制混凝土构件之间应放入柔性材料，构件边角或链索接触部位的混凝土应采用柔性垫衬材料保护；</w:t>
      </w:r>
    </w:p>
    <w:p>
      <w:pPr>
        <w:pStyle w:val="221"/>
        <w:spacing w:line="240" w:lineRule="auto"/>
        <w:ind w:firstLine="420" w:firstLineChars="200"/>
        <w:jc w:val="both"/>
        <w:rPr>
          <w:rFonts w:ascii="Times New Roman" w:hAnsi="Times New Roman"/>
          <w:bCs/>
          <w:color w:val="auto"/>
          <w:sz w:val="21"/>
          <w:lang w:eastAsia="zh-CN"/>
        </w:rPr>
      </w:pPr>
      <w:r>
        <w:rPr>
          <w:sz w:val="21"/>
          <w:lang w:eastAsia="zh-CN"/>
        </w:rPr>
        <w:t>b</w:t>
      </w:r>
      <w:r>
        <w:rPr>
          <w:rFonts w:hint="eastAsia"/>
          <w:sz w:val="21"/>
          <w:lang w:eastAsia="zh-CN"/>
        </w:rPr>
        <w:t>）</w:t>
      </w:r>
      <w:r>
        <w:rPr>
          <w:rFonts w:ascii="Times New Roman" w:hAnsi="Times New Roman"/>
          <w:bCs/>
          <w:color w:val="auto"/>
          <w:sz w:val="21"/>
          <w:lang w:eastAsia="zh-CN"/>
        </w:rPr>
        <w:t>外墙门框、窗框和带外装饰材料的表面应采用塑料贴膜防护措施；</w:t>
      </w:r>
    </w:p>
    <w:p>
      <w:pPr>
        <w:pStyle w:val="221"/>
        <w:spacing w:line="240" w:lineRule="auto"/>
        <w:ind w:firstLine="420" w:firstLineChars="200"/>
        <w:jc w:val="both"/>
        <w:rPr>
          <w:rFonts w:ascii="Times New Roman" w:hAnsi="Times New Roman"/>
          <w:bCs/>
          <w:color w:val="auto"/>
          <w:sz w:val="21"/>
          <w:lang w:eastAsia="zh-CN"/>
        </w:rPr>
      </w:pPr>
      <w:r>
        <w:rPr>
          <w:sz w:val="21"/>
          <w:lang w:eastAsia="zh-CN"/>
        </w:rPr>
        <w:t>c</w:t>
      </w:r>
      <w:r>
        <w:rPr>
          <w:rFonts w:hint="eastAsia"/>
          <w:sz w:val="21"/>
          <w:lang w:eastAsia="zh-CN"/>
        </w:rPr>
        <w:t>）</w:t>
      </w:r>
      <w:r>
        <w:rPr>
          <w:rFonts w:ascii="Times New Roman" w:hAnsi="Times New Roman"/>
          <w:bCs/>
          <w:color w:val="auto"/>
          <w:sz w:val="21"/>
          <w:lang w:eastAsia="zh-CN"/>
        </w:rPr>
        <w:t>预埋线盒、预埋螺栓孔等应采取保护措施；</w:t>
      </w:r>
    </w:p>
    <w:p>
      <w:pPr>
        <w:pStyle w:val="221"/>
        <w:spacing w:line="240" w:lineRule="auto"/>
        <w:ind w:firstLine="420" w:firstLineChars="200"/>
        <w:jc w:val="both"/>
        <w:rPr>
          <w:rFonts w:ascii="Times New Roman" w:hAnsi="Times New Roman"/>
          <w:bCs/>
          <w:color w:val="auto"/>
          <w:sz w:val="21"/>
          <w:lang w:eastAsia="zh-CN"/>
        </w:rPr>
      </w:pPr>
      <w:r>
        <w:rPr>
          <w:sz w:val="21"/>
          <w:lang w:eastAsia="zh-CN"/>
        </w:rPr>
        <w:t>d</w:t>
      </w:r>
      <w:r>
        <w:rPr>
          <w:rFonts w:hint="eastAsia"/>
          <w:sz w:val="21"/>
          <w:lang w:eastAsia="zh-CN"/>
        </w:rPr>
        <w:t>）</w:t>
      </w:r>
      <w:r>
        <w:rPr>
          <w:rFonts w:ascii="Times New Roman" w:hAnsi="Times New Roman"/>
          <w:bCs/>
          <w:color w:val="auto"/>
          <w:sz w:val="21"/>
          <w:lang w:eastAsia="zh-CN"/>
        </w:rPr>
        <w:t>装箱运输时，箱内四周采用木材或柔性垫片填实，支撑牢固。</w:t>
      </w:r>
    </w:p>
    <w:p>
      <w:pPr>
        <w:pStyle w:val="209"/>
        <w:numPr>
          <w:ilvl w:val="0"/>
          <w:numId w:val="37"/>
        </w:numPr>
        <w:spacing w:before="120" w:after="120"/>
        <w:jc w:val="both"/>
        <w:outlineLvl w:val="9"/>
        <w:rPr>
          <w:rFonts w:ascii="Times New Roman" w:eastAsia="宋体"/>
          <w:bCs/>
          <w:color w:val="000000"/>
        </w:rPr>
      </w:pPr>
      <w:r>
        <w:rPr>
          <w:rFonts w:ascii="Times New Roman" w:eastAsia="宋体"/>
          <w:bCs/>
        </w:rPr>
        <w:t>预制墙板采用直立方式运输，并应采用专用车辆和托架，托架应具</w:t>
      </w:r>
      <w:r>
        <w:rPr>
          <w:rFonts w:ascii="Times New Roman" w:eastAsia="宋体"/>
          <w:bCs/>
          <w:color w:val="000000"/>
        </w:rPr>
        <w:t>有足够的承载力和刚度，同时采取防止倾覆措施。</w:t>
      </w:r>
    </w:p>
    <w:p>
      <w:pPr>
        <w:pStyle w:val="209"/>
        <w:numPr>
          <w:ilvl w:val="0"/>
          <w:numId w:val="37"/>
        </w:numPr>
        <w:spacing w:before="120" w:after="120"/>
        <w:jc w:val="both"/>
        <w:outlineLvl w:val="9"/>
        <w:rPr>
          <w:rFonts w:ascii="Times New Roman" w:eastAsia="宋体"/>
          <w:bCs/>
          <w:color w:val="000000"/>
        </w:rPr>
      </w:pPr>
      <w:r>
        <w:rPr>
          <w:rFonts w:ascii="Times New Roman" w:eastAsia="宋体"/>
          <w:bCs/>
          <w:color w:val="000000"/>
        </w:rPr>
        <w:t>预制叠合楼板、预制阳台板、预制楼梯、预制梁、预制柱等构件可采用平放运输，支垫位置和数量应经过计算确定。</w:t>
      </w:r>
    </w:p>
    <w:p>
      <w:pPr>
        <w:pStyle w:val="209"/>
        <w:numPr>
          <w:ilvl w:val="0"/>
          <w:numId w:val="37"/>
        </w:numPr>
        <w:spacing w:before="120" w:after="120"/>
        <w:jc w:val="both"/>
        <w:outlineLvl w:val="9"/>
        <w:rPr>
          <w:rFonts w:ascii="Times New Roman" w:eastAsia="宋体"/>
          <w:bCs/>
          <w:color w:val="000000"/>
        </w:rPr>
      </w:pPr>
      <w:r>
        <w:rPr>
          <w:rFonts w:ascii="Times New Roman" w:eastAsia="宋体"/>
          <w:bCs/>
          <w:color w:val="000000"/>
        </w:rPr>
        <w:t>预制构件运送到施工现场后，应按规格、品种、所用部位、吊装顺序分类堆放。预制叠合墙应采用直立方式进行存放，与地面倾斜角度不宜小于80°，采用木垫块隔离。经验收的预制墙和楼板构件，应按安装位置以及安装顺序存放，并有明确的标记。堆垛之间应设置通道，通道宽度宜设置为0.8～1.2m。</w:t>
      </w:r>
    </w:p>
    <w:p>
      <w:pPr>
        <w:pStyle w:val="209"/>
        <w:numPr>
          <w:ilvl w:val="0"/>
          <w:numId w:val="37"/>
        </w:numPr>
        <w:spacing w:before="120" w:after="120"/>
        <w:jc w:val="both"/>
        <w:outlineLvl w:val="9"/>
        <w:rPr>
          <w:rFonts w:ascii="Times New Roman" w:eastAsia="宋体"/>
          <w:bCs/>
          <w:color w:val="000000"/>
        </w:rPr>
      </w:pPr>
      <w:r>
        <w:rPr>
          <w:rFonts w:ascii="Times New Roman" w:eastAsia="宋体"/>
          <w:bCs/>
          <w:color w:val="000000"/>
        </w:rPr>
        <w:t>预制叠合楼板、预制阳台板、预制楼梯水平分层堆放时应分型号堆放，预制叠合楼板每垛不应超过6块，预制阳台板每垛不应超过4块，预制楼梯每垛不应超过3块。层与层之间应垫平、垫实，各层支垫应上下平齐，最下面一层支垫应通长设置。</w:t>
      </w:r>
    </w:p>
    <w:p>
      <w:pPr>
        <w:pStyle w:val="209"/>
        <w:numPr>
          <w:ilvl w:val="0"/>
          <w:numId w:val="37"/>
        </w:numPr>
        <w:spacing w:before="120" w:after="120"/>
        <w:jc w:val="both"/>
        <w:outlineLvl w:val="9"/>
        <w:rPr>
          <w:rFonts w:ascii="Times New Roman" w:eastAsia="宋体"/>
          <w:bCs/>
          <w:color w:val="000000"/>
        </w:rPr>
      </w:pPr>
      <w:r>
        <w:rPr>
          <w:rFonts w:ascii="Times New Roman" w:eastAsia="宋体"/>
          <w:bCs/>
          <w:color w:val="000000"/>
        </w:rPr>
        <w:t>构件起吊时应拆除与相邻构件的连接，并将相邻构件支撑牢固。起吊时需保持构件水平，慢速起吊并注意观察，下落时平缓，落架时应防止摇摆碰撞，损坏部品棱角或表面等。</w:t>
      </w:r>
    </w:p>
    <w:p>
      <w:pPr>
        <w:pStyle w:val="210"/>
        <w:spacing w:before="240" w:after="240"/>
        <w:rPr>
          <w:rFonts w:ascii="黑体" w:hAnsi="黑体" w:eastAsia="黑体"/>
          <w:b w:val="0"/>
          <w:sz w:val="21"/>
          <w:szCs w:val="21"/>
        </w:rPr>
      </w:pPr>
      <w:bookmarkStart w:id="209" w:name="_Toc172188637"/>
      <w:bookmarkStart w:id="210" w:name="_Toc12992"/>
      <w:bookmarkStart w:id="211" w:name="_Toc172187852"/>
      <w:bookmarkStart w:id="212" w:name="_Toc172188913"/>
      <w:r>
        <w:rPr>
          <w:rFonts w:ascii="黑体" w:hAnsi="黑体" w:eastAsia="黑体"/>
          <w:b w:val="0"/>
          <w:sz w:val="21"/>
          <w:szCs w:val="21"/>
        </w:rPr>
        <w:t>12</w:t>
      </w:r>
      <w:r>
        <w:rPr>
          <w:rFonts w:hint="eastAsia" w:ascii="黑体" w:hAnsi="黑体" w:eastAsia="黑体"/>
          <w:b w:val="0"/>
          <w:sz w:val="21"/>
          <w:szCs w:val="21"/>
        </w:rPr>
        <w:t xml:space="preserve"> </w:t>
      </w:r>
      <w:r>
        <w:rPr>
          <w:rFonts w:ascii="黑体" w:hAnsi="黑体" w:eastAsia="黑体"/>
          <w:b w:val="0"/>
          <w:sz w:val="21"/>
          <w:szCs w:val="21"/>
        </w:rPr>
        <w:t>结构施工</w:t>
      </w:r>
      <w:bookmarkEnd w:id="209"/>
      <w:bookmarkEnd w:id="210"/>
      <w:bookmarkEnd w:id="211"/>
      <w:bookmarkEnd w:id="212"/>
    </w:p>
    <w:p>
      <w:pPr>
        <w:pStyle w:val="210"/>
        <w:spacing w:before="240" w:after="240"/>
        <w:outlineLvl w:val="2"/>
        <w:rPr>
          <w:rFonts w:ascii="黑体" w:hAnsi="黑体" w:eastAsia="黑体"/>
          <w:b w:val="0"/>
          <w:sz w:val="21"/>
          <w:szCs w:val="21"/>
        </w:rPr>
      </w:pPr>
      <w:bookmarkStart w:id="213" w:name="_Toc172188914"/>
      <w:bookmarkStart w:id="214" w:name="_Toc30608"/>
      <w:bookmarkStart w:id="215" w:name="_Toc172188638"/>
      <w:bookmarkStart w:id="216" w:name="_Toc172187853"/>
      <w:r>
        <w:rPr>
          <w:rFonts w:ascii="黑体" w:hAnsi="黑体" w:eastAsia="黑体"/>
          <w:b w:val="0"/>
          <w:sz w:val="21"/>
          <w:szCs w:val="21"/>
        </w:rPr>
        <w:t>12.1 一般规定</w:t>
      </w:r>
      <w:bookmarkEnd w:id="213"/>
      <w:bookmarkEnd w:id="214"/>
      <w:bookmarkEnd w:id="215"/>
      <w:bookmarkEnd w:id="216"/>
    </w:p>
    <w:p>
      <w:pPr>
        <w:pStyle w:val="105"/>
        <w:numPr>
          <w:ilvl w:val="0"/>
          <w:numId w:val="38"/>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装配整体式结构施工前应制定施工组织设计、施工方案；施工组织设计的内容应符合现行国家标准GB/T 50502的规定；施工方案的内容应包括构件安装及节点施工方案、构件安装的质量管理及安全措施等。</w:t>
      </w:r>
    </w:p>
    <w:p>
      <w:pPr>
        <w:pStyle w:val="105"/>
        <w:numPr>
          <w:ilvl w:val="0"/>
          <w:numId w:val="38"/>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装配整体式结构的后浇混凝土部位在浇筑前应进行隐蔽工程验收。验收项目应包括下列内容：</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钢筋的牌号、规格、数量、位置、间距等；</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纵向受力钢筋的连接方式、接头位置、接头数量、接头面积百分率、搭接长度等；</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纵向受力钢筋的锚固方式及长度；</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d</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箍筋、横向钢筋的牌号、规格、数量、位置、间距，箍筋弯钩的弯折角度及平直段长度；</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e</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预埋件的规格、数量、位置；</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f</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混凝土粗糙面的质量，键槽的规格、数量、位置；</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g</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预留管线、线盒等的规格、数量、位置及固定措施。</w:t>
      </w:r>
    </w:p>
    <w:p>
      <w:pPr>
        <w:pStyle w:val="105"/>
        <w:numPr>
          <w:ilvl w:val="0"/>
          <w:numId w:val="38"/>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预制构件、安装用材料及配件等应符合设计要求及国家现行有关标准的规定。</w:t>
      </w:r>
    </w:p>
    <w:p>
      <w:pPr>
        <w:pStyle w:val="105"/>
        <w:numPr>
          <w:ilvl w:val="0"/>
          <w:numId w:val="38"/>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吊装用吊具应按国家现行有关标准的规定进行设计、验算或试验检验。吊具应根据预制构件形状、尺寸及重量等参数进行配置，吊索水平夹角不宜小于60°，且不应小于45°;对尺寸较大或形状复杂的预制构件，宜采用有分配梁或分配桁架的吊具。</w:t>
      </w:r>
    </w:p>
    <w:p>
      <w:pPr>
        <w:pStyle w:val="105"/>
        <w:numPr>
          <w:ilvl w:val="0"/>
          <w:numId w:val="38"/>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钢筋套筒灌浆前，应在现场模拟构件连接接头的灌浆方式，每种规格钢筋应制作不少于3个套筒灌浆连接接头，进行灌注质量以及接头抗拉强度的检验；经检验合格后，方可进行灌浆作业。</w:t>
      </w:r>
    </w:p>
    <w:p>
      <w:pPr>
        <w:pStyle w:val="105"/>
        <w:numPr>
          <w:ilvl w:val="0"/>
          <w:numId w:val="38"/>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在装配整体式结构的施工全过程中，应采取防止预制构件及预制构件上的建筑附件、预埋件、预埋吊件等损伤或污染的保护措施。</w:t>
      </w:r>
    </w:p>
    <w:p>
      <w:pPr>
        <w:pStyle w:val="105"/>
        <w:numPr>
          <w:ilvl w:val="0"/>
          <w:numId w:val="38"/>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未经设计允许不得对预制构件进行切割、开洞。</w:t>
      </w:r>
    </w:p>
    <w:p>
      <w:pPr>
        <w:pStyle w:val="105"/>
        <w:numPr>
          <w:ilvl w:val="0"/>
          <w:numId w:val="38"/>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装配整体式结构施工过程中应采取安全措施，并应符合现行行业标准JGJ 80、JGJ 33和JGJ 46等的有关规定。</w:t>
      </w:r>
    </w:p>
    <w:p>
      <w:pPr>
        <w:pStyle w:val="210"/>
        <w:spacing w:before="240" w:after="240"/>
        <w:outlineLvl w:val="2"/>
        <w:rPr>
          <w:rFonts w:ascii="黑体" w:hAnsi="黑体" w:eastAsia="黑体"/>
          <w:b w:val="0"/>
          <w:sz w:val="21"/>
          <w:szCs w:val="21"/>
        </w:rPr>
      </w:pPr>
      <w:bookmarkStart w:id="217" w:name="_Toc172187854"/>
      <w:bookmarkStart w:id="218" w:name="_Toc172188639"/>
      <w:bookmarkStart w:id="219" w:name="_Toc3205"/>
      <w:bookmarkStart w:id="220" w:name="_Toc172188915"/>
      <w:r>
        <w:rPr>
          <w:rFonts w:ascii="黑体" w:hAnsi="黑体" w:eastAsia="黑体"/>
          <w:b w:val="0"/>
          <w:sz w:val="21"/>
          <w:szCs w:val="21"/>
        </w:rPr>
        <w:t>12.2 安装准备</w:t>
      </w:r>
      <w:bookmarkEnd w:id="217"/>
      <w:bookmarkEnd w:id="218"/>
      <w:bookmarkEnd w:id="219"/>
      <w:bookmarkEnd w:id="220"/>
    </w:p>
    <w:p>
      <w:pPr>
        <w:pStyle w:val="105"/>
        <w:numPr>
          <w:ilvl w:val="0"/>
          <w:numId w:val="39"/>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应合理规划构件运输通道和临时堆放场地，并应采取成品堆放保护措施。</w:t>
      </w:r>
    </w:p>
    <w:p>
      <w:pPr>
        <w:pStyle w:val="105"/>
        <w:numPr>
          <w:ilvl w:val="0"/>
          <w:numId w:val="39"/>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安装施工前，应核对已施工完成结构的混凝土强度、外观质量、尺寸偏差等符合现行国家标准GB 50666和本规程的有关规定，并应核对预制构件的混凝土强度及预制构件和配件的型号、规格、数量等符合设计要求。</w:t>
      </w:r>
    </w:p>
    <w:p>
      <w:pPr>
        <w:pStyle w:val="105"/>
        <w:numPr>
          <w:ilvl w:val="0"/>
          <w:numId w:val="39"/>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安装施工前，应进行测量放线、设置构件安装定位标识。</w:t>
      </w:r>
    </w:p>
    <w:p>
      <w:pPr>
        <w:pStyle w:val="105"/>
        <w:numPr>
          <w:ilvl w:val="0"/>
          <w:numId w:val="39"/>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安装施工前，应复核构件装配位置、节点连接构造及临时支撑方案等。</w:t>
      </w:r>
    </w:p>
    <w:p>
      <w:pPr>
        <w:pStyle w:val="105"/>
        <w:numPr>
          <w:ilvl w:val="0"/>
          <w:numId w:val="39"/>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安装施工前，应检查复核吊装设备及吊具处于安全操作状态。</w:t>
      </w:r>
    </w:p>
    <w:p>
      <w:pPr>
        <w:pStyle w:val="105"/>
        <w:numPr>
          <w:ilvl w:val="0"/>
          <w:numId w:val="39"/>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安装施工前，应核实现场环境、天气、道路状况等满足吊装施工要求。</w:t>
      </w:r>
    </w:p>
    <w:p>
      <w:pPr>
        <w:pStyle w:val="105"/>
        <w:numPr>
          <w:ilvl w:val="0"/>
          <w:numId w:val="39"/>
        </w:numPr>
        <w:spacing w:before="120" w:beforeLines="50" w:after="120" w:afterLines="50" w:line="240" w:lineRule="auto"/>
        <w:jc w:val="both"/>
        <w:rPr>
          <w:rFonts w:ascii="Times New Roman" w:hAnsi="Times New Roman" w:eastAsia="宋体" w:cs="Times New Roman"/>
          <w:spacing w:val="0"/>
          <w:sz w:val="21"/>
          <w:szCs w:val="21"/>
        </w:rPr>
      </w:pPr>
      <w:r>
        <w:rPr>
          <w:rFonts w:ascii="Times New Roman" w:hAnsi="Times New Roman" w:eastAsia="宋体" w:cs="Times New Roman"/>
          <w:spacing w:val="0"/>
          <w:sz w:val="21"/>
          <w:szCs w:val="21"/>
        </w:rPr>
        <w:t>装配整体式结构施工前，宜选择有代表性的单元进行预制构件试安装，并应根据试安装结果及时调整完善施工方案和施工工艺。</w:t>
      </w:r>
    </w:p>
    <w:p>
      <w:pPr>
        <w:pStyle w:val="210"/>
        <w:spacing w:before="240" w:after="240"/>
        <w:outlineLvl w:val="2"/>
        <w:rPr>
          <w:rFonts w:ascii="黑体" w:hAnsi="黑体" w:eastAsia="黑体"/>
          <w:b w:val="0"/>
          <w:sz w:val="21"/>
          <w:szCs w:val="21"/>
        </w:rPr>
      </w:pPr>
      <w:bookmarkStart w:id="221" w:name="_Toc32556"/>
      <w:bookmarkStart w:id="222" w:name="_Toc172188916"/>
      <w:bookmarkStart w:id="223" w:name="_Toc172187855"/>
      <w:bookmarkStart w:id="224" w:name="_Toc172188640"/>
      <w:r>
        <w:rPr>
          <w:rFonts w:ascii="黑体" w:hAnsi="黑体" w:eastAsia="黑体"/>
          <w:b w:val="0"/>
          <w:sz w:val="21"/>
          <w:szCs w:val="21"/>
        </w:rPr>
        <w:t>12.3 安装施工</w:t>
      </w:r>
      <w:bookmarkEnd w:id="221"/>
      <w:bookmarkEnd w:id="222"/>
      <w:bookmarkEnd w:id="223"/>
      <w:bookmarkEnd w:id="224"/>
    </w:p>
    <w:p>
      <w:pPr>
        <w:pStyle w:val="105"/>
        <w:numPr>
          <w:ilvl w:val="0"/>
          <w:numId w:val="40"/>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预制构件吊装就位后，应及时校准并采取临时固定措施，并应符合现行国家标准GB 50666的相关规定。</w:t>
      </w:r>
    </w:p>
    <w:p>
      <w:pPr>
        <w:pStyle w:val="105"/>
        <w:numPr>
          <w:ilvl w:val="0"/>
          <w:numId w:val="40"/>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采用钢筋套筒灌浆连接、钢筋浆锚搭接连接的预制构件就位前，应检查下列内容：</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套筒、预留孔的规格、位置、数量和深度；</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被连接钢筋的规格、数量、位置和长度。</w:t>
      </w:r>
    </w:p>
    <w:p>
      <w:pPr>
        <w:pStyle w:val="105"/>
        <w:spacing w:line="24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当套筒、预留孔内有杂物时，应清理干净；当连接钢筋倾斜时，应进行校直。连接钢筋偏离套筒或孔洞中心线不宜超过5mm。</w:t>
      </w:r>
    </w:p>
    <w:p>
      <w:pPr>
        <w:pStyle w:val="105"/>
        <w:numPr>
          <w:ilvl w:val="0"/>
          <w:numId w:val="40"/>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梁、柱、墙构件的安装应符合下列规定：</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构件安装前，应清洁结合面；</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构件底部应设置可调整接缝厚度和底部标髙的垫块；</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钢筋套筒灌浆连接接头、钢筋浆锚搭接连接接头灌浆前，应对接缝周围进行封堵，封堵措施应符合结合面承载力设计要求；</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d</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多层预制剪力墙底部采用坐浆材料时，其厚度不宜大于20mm。</w:t>
      </w:r>
    </w:p>
    <w:p>
      <w:pPr>
        <w:pStyle w:val="105"/>
        <w:numPr>
          <w:ilvl w:val="0"/>
          <w:numId w:val="40"/>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钢筋套筒灌浆连接接头、钢筋浆锚搭接连接接头应按检验批划分要求及时灌浆，灌浆作业应符合国家现行有关标准及施工方案的要求，并应符合下列规定：</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灌浆施工时，环境温度不应低于5°C;当连接部位养护温度低于10T：时，应采取加热保温措施；</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灌浆操作全过程应有专职检验人员负责旁站监督并及时形成施工质量检查记录；</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应按产品使用说明书的要求计量灌浆料和水的用量，并搅拌均匀；每次拌制的灌浆料拌合物应进行流动度的检测，且其流动度应满足本规程的规定；</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d</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灌浆作业应采用压浆法从下口灌注，当浆料从上口流出后应及时封堵，必要时可设分仓进行灌浆；</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e</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灌浆料拌合物应在制备后30min内用完。</w:t>
      </w:r>
    </w:p>
    <w:p>
      <w:pPr>
        <w:pStyle w:val="105"/>
        <w:numPr>
          <w:ilvl w:val="0"/>
          <w:numId w:val="40"/>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焊接或螺栓连接的施工应符合国家现行标准JGJ 18、GB 50661、GB 50755和GB 50205的有关规定。采用焊接连接时，应采取防止因连续施焊引起的连接部位混凝土开裂的措施。</w:t>
      </w:r>
    </w:p>
    <w:p>
      <w:pPr>
        <w:pStyle w:val="105"/>
        <w:numPr>
          <w:ilvl w:val="0"/>
          <w:numId w:val="40"/>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钢筋机械连接的施工应符合现行行业标准JGJ 107的有关规定。</w:t>
      </w:r>
    </w:p>
    <w:p>
      <w:pPr>
        <w:pStyle w:val="105"/>
        <w:numPr>
          <w:ilvl w:val="0"/>
          <w:numId w:val="40"/>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后浇混凝土的施工应符合下列规定：</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预制构件结合面疏松部分的混凝土应剔除并清理干净；</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模板应保证后浇混凝土部分形状、尺寸和位置准确，并应防止漏浆；</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在浇筑混凝土前应洒水润湿结合面，混凝土应振捣密实；</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d</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同一配合比的混凝土，每工作班且建筑面积不超过1000m</w:t>
      </w:r>
      <w:r>
        <w:rPr>
          <w:rFonts w:ascii="Times New Roman" w:hAnsi="Times New Roman" w:eastAsia="宋体" w:cs="Times New Roman"/>
          <w:spacing w:val="0"/>
          <w:sz w:val="21"/>
          <w:szCs w:val="21"/>
          <w:vertAlign w:val="superscript"/>
        </w:rPr>
        <w:t>2</w:t>
      </w:r>
      <w:r>
        <w:rPr>
          <w:rFonts w:ascii="Times New Roman" w:hAnsi="Times New Roman" w:eastAsia="宋体" w:cs="Times New Roman"/>
          <w:spacing w:val="0"/>
          <w:sz w:val="21"/>
          <w:szCs w:val="21"/>
        </w:rPr>
        <w:t>应制作一组标准养护试件，同一楼层应制作不少于3组标准养护试件。</w:t>
      </w:r>
    </w:p>
    <w:p>
      <w:pPr>
        <w:pStyle w:val="105"/>
        <w:numPr>
          <w:ilvl w:val="0"/>
          <w:numId w:val="40"/>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构件连接部位后浇混凝土及灌浆料的强度达到设计要求后，方可拆除临时固定措施。</w:t>
      </w:r>
    </w:p>
    <w:p>
      <w:pPr>
        <w:pStyle w:val="105"/>
        <w:numPr>
          <w:ilvl w:val="0"/>
          <w:numId w:val="40"/>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受弯叠合构件的装配施工应符合下列规定：</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应根据设计要求或施工方案设置临时支撑；</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施工荷载宜均匀布置，并不应超过设计规定；</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在混凝土浇筑前，应按设计要求检查结合面的粗糙度及预制构件的外露钢筋；</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d</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叠合构件应在后浇混凝土强度达到设计要求后，方可拆除临时支撑。</w:t>
      </w:r>
    </w:p>
    <w:p>
      <w:pPr>
        <w:pStyle w:val="105"/>
        <w:numPr>
          <w:ilvl w:val="0"/>
          <w:numId w:val="40"/>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安装预制受弯构件时，端部的搁置长度应符合设计要求，端部与支承构件之间应坐浆或设置支承垫块，坐浆或支承垫块厚度不宜大于20mm。</w:t>
      </w:r>
    </w:p>
    <w:p>
      <w:pPr>
        <w:pStyle w:val="105"/>
        <w:numPr>
          <w:ilvl w:val="0"/>
          <w:numId w:val="40"/>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外挂墙板的连接节点及接缝构造应符合设计要求；墙板安装完成后，应及时移除临时支承支座、墙板接缝内的传力垫块。</w:t>
      </w:r>
    </w:p>
    <w:p>
      <w:pPr>
        <w:pStyle w:val="105"/>
        <w:numPr>
          <w:ilvl w:val="0"/>
          <w:numId w:val="40"/>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外墙板接缝防水施工应符合下列规定：</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防水施工前，应将板缝空腔清理干净；</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应按设计要求填塞背衬材料；</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密封材料嵌填应饱满、密实、均匀、顺直、表面平滑，其厚度应符合设计要求。</w:t>
      </w:r>
    </w:p>
    <w:p>
      <w:pPr>
        <w:pStyle w:val="210"/>
        <w:spacing w:before="240" w:after="240"/>
        <w:outlineLvl w:val="2"/>
        <w:rPr>
          <w:rFonts w:ascii="黑体" w:hAnsi="黑体" w:eastAsia="黑体"/>
          <w:b w:val="0"/>
          <w:sz w:val="21"/>
          <w:szCs w:val="21"/>
        </w:rPr>
      </w:pPr>
      <w:bookmarkStart w:id="225" w:name="_Toc16277"/>
      <w:bookmarkStart w:id="226" w:name="_Toc172188917"/>
      <w:bookmarkStart w:id="227" w:name="_Toc172187856"/>
      <w:bookmarkStart w:id="228" w:name="_Toc172188641"/>
      <w:r>
        <w:rPr>
          <w:rFonts w:ascii="黑体" w:hAnsi="黑体" w:eastAsia="黑体"/>
          <w:b w:val="0"/>
          <w:sz w:val="21"/>
          <w:szCs w:val="21"/>
        </w:rPr>
        <w:t>12.4 安装质量验收</w:t>
      </w:r>
      <w:bookmarkEnd w:id="225"/>
      <w:bookmarkEnd w:id="226"/>
      <w:bookmarkEnd w:id="227"/>
      <w:bookmarkEnd w:id="228"/>
    </w:p>
    <w:p>
      <w:pPr>
        <w:pStyle w:val="105"/>
        <w:numPr>
          <w:ilvl w:val="0"/>
          <w:numId w:val="41"/>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装配整体式混凝土框架结构及框架-剪力墙结构的施工应按现行国家标准GB 50300和GB 50204的相关规定进行单位工程、分部工程、分项工程和检验批的划分和质量验收。</w:t>
      </w:r>
    </w:p>
    <w:p>
      <w:pPr>
        <w:pStyle w:val="105"/>
        <w:numPr>
          <w:ilvl w:val="0"/>
          <w:numId w:val="41"/>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施工用的原材料、部品、构配件均应按检验批进行进场验收；</w:t>
      </w:r>
    </w:p>
    <w:p>
      <w:pPr>
        <w:pStyle w:val="105"/>
        <w:numPr>
          <w:ilvl w:val="0"/>
          <w:numId w:val="41"/>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预制单元、叠合构件浇筑混凝土前，应进行隐蔽工程验收。隐蔽工程验收主要内容应符合现行国家标准GB/T 51231的规定。</w:t>
      </w:r>
    </w:p>
    <w:p>
      <w:pPr>
        <w:pStyle w:val="105"/>
        <w:numPr>
          <w:ilvl w:val="0"/>
          <w:numId w:val="41"/>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工程验收时，除应按现行国家标准GB 50204 的要求提供文件和记录外，尚应提供下列文件和记录：</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工程设计文件、预制构件制作和安装的深化设计图；</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预制构件、主要材料及配件的质量证明文件、进场验收记录、抽样复检报告；</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c</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预制构件安装施工记录；</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d</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钢筋套筒灌浆连接或机械挤压套筒连接的施工检验记录；</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e</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后浇混凝土部位的隐蔽工程检查验收文件；</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f</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后浇混凝土、灌浆料、坐浆材料强度检测报告；</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g</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外墙防水施工质量检验记录；</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h</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分项工程质量验收文件；</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i</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重大质量问题的处理方案和验收记录；</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j</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其他文件和记录。</w:t>
      </w:r>
    </w:p>
    <w:p>
      <w:pPr>
        <w:pStyle w:val="105"/>
        <w:numPr>
          <w:ilvl w:val="0"/>
          <w:numId w:val="41"/>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进入现场的预制构件，其外观质量、尺寸偏差及结构性能应符合标准或设计的要求，并检查构件合格证。</w:t>
      </w:r>
    </w:p>
    <w:p>
      <w:pPr>
        <w:pStyle w:val="105"/>
        <w:numPr>
          <w:ilvl w:val="0"/>
          <w:numId w:val="41"/>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梁柱节点的施工应逐个进行隐蔽工程验收。梁柱节点混凝土强度未达到本规程要求时，不得安装本节点后续的预制构件。</w:t>
      </w:r>
    </w:p>
    <w:p>
      <w:pPr>
        <w:pStyle w:val="105"/>
        <w:numPr>
          <w:ilvl w:val="0"/>
          <w:numId w:val="41"/>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连接采用套筒连接器的，其灌浆作业应满足有关材料、机具、人员的专项施工检查和质量控制要求。套筒灌浆连接接头的型式检验和施工现场检验除应按JGJ 107的有关规定执行外，尚应符合下列规定：</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a</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进行相关力学试验时，灌浆料的龄期不宜少于28d；</w:t>
      </w:r>
    </w:p>
    <w:p>
      <w:pPr>
        <w:pStyle w:val="105"/>
        <w:spacing w:line="240" w:lineRule="auto"/>
        <w:ind w:firstLine="420" w:firstLineChars="200"/>
        <w:jc w:val="both"/>
        <w:rPr>
          <w:rFonts w:ascii="Times New Roman" w:hAnsi="Times New Roman" w:eastAsia="宋体" w:cs="Times New Roman"/>
          <w:sz w:val="21"/>
          <w:szCs w:val="21"/>
        </w:rPr>
      </w:pPr>
      <w:r>
        <w:rPr>
          <w:rFonts w:ascii="宋体" w:hAnsi="宋体" w:eastAsia="宋体" w:cs="Times New Roman"/>
          <w:spacing w:val="0"/>
          <w:sz w:val="21"/>
          <w:szCs w:val="21"/>
        </w:rPr>
        <w:t>b</w:t>
      </w:r>
      <w:r>
        <w:rPr>
          <w:rFonts w:hint="eastAsia" w:ascii="宋体" w:hAnsi="宋体" w:eastAsia="宋体" w:cs="Times New Roman"/>
          <w:spacing w:val="0"/>
          <w:sz w:val="21"/>
          <w:szCs w:val="21"/>
        </w:rPr>
        <w:t>）</w:t>
      </w:r>
      <w:r>
        <w:rPr>
          <w:rFonts w:ascii="Times New Roman" w:hAnsi="Times New Roman" w:eastAsia="宋体" w:cs="Times New Roman"/>
          <w:spacing w:val="0"/>
          <w:sz w:val="21"/>
          <w:szCs w:val="21"/>
        </w:rPr>
        <w:t>试件破坏时，套筒不应先于钢筋拉断而破坏。</w:t>
      </w:r>
    </w:p>
    <w:p>
      <w:pPr>
        <w:pStyle w:val="105"/>
        <w:numPr>
          <w:ilvl w:val="0"/>
          <w:numId w:val="41"/>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钢筋采用焊接连接时，其焊接质量应符合现行行业标准JGJ 18的有关规定。</w:t>
      </w:r>
    </w:p>
    <w:p>
      <w:pPr>
        <w:pStyle w:val="105"/>
        <w:numPr>
          <w:ilvl w:val="0"/>
          <w:numId w:val="41"/>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钢筋采用机械挤压套筒连接时，其接头质量应符合现行行业标准JGJ 107和JGJ 108的有关规定。</w:t>
      </w:r>
    </w:p>
    <w:p>
      <w:pPr>
        <w:pStyle w:val="105"/>
        <w:numPr>
          <w:ilvl w:val="0"/>
          <w:numId w:val="41"/>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饰面板材或饰面层粘结性能应符合现行行业标准JGJ 110的有关规定。</w:t>
      </w:r>
    </w:p>
    <w:p>
      <w:pPr>
        <w:pStyle w:val="105"/>
        <w:numPr>
          <w:ilvl w:val="0"/>
          <w:numId w:val="41"/>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屋面应按现行国家标准GB 50207的规定进行验收。</w:t>
      </w:r>
    </w:p>
    <w:p>
      <w:pPr>
        <w:pStyle w:val="105"/>
        <w:numPr>
          <w:ilvl w:val="0"/>
          <w:numId w:val="41"/>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门窗的水密性能、气密性能和抗风压性能应按现行国家标准GB/T7106的规定进行验收。</w:t>
      </w:r>
    </w:p>
    <w:p>
      <w:pPr>
        <w:pStyle w:val="105"/>
        <w:numPr>
          <w:ilvl w:val="0"/>
          <w:numId w:val="41"/>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管线、给排水及采暖工程的应按国家现行标准GB 50242的规定进行验收。</w:t>
      </w:r>
    </w:p>
    <w:p>
      <w:pPr>
        <w:pStyle w:val="105"/>
        <w:numPr>
          <w:ilvl w:val="0"/>
          <w:numId w:val="41"/>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设备与机电安装等部分工程应按照现行国家标准GB 50303进行质量验收。</w:t>
      </w:r>
    </w:p>
    <w:p>
      <w:pPr>
        <w:pStyle w:val="105"/>
        <w:numPr>
          <w:ilvl w:val="0"/>
          <w:numId w:val="41"/>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智能建筑的验收应按国家现行标准GB 50339的规定进行验收。</w:t>
      </w:r>
    </w:p>
    <w:p>
      <w:pPr>
        <w:pStyle w:val="105"/>
        <w:numPr>
          <w:ilvl w:val="0"/>
          <w:numId w:val="41"/>
        </w:numPr>
        <w:spacing w:before="120" w:beforeLines="50" w:after="120" w:afterLines="50" w:line="240" w:lineRule="auto"/>
        <w:jc w:val="both"/>
        <w:rPr>
          <w:rFonts w:ascii="Times New Roman" w:hAnsi="Times New Roman" w:eastAsia="宋体" w:cs="Times New Roman"/>
          <w:sz w:val="21"/>
          <w:szCs w:val="21"/>
        </w:rPr>
      </w:pPr>
      <w:r>
        <w:rPr>
          <w:rFonts w:ascii="Times New Roman" w:hAnsi="Times New Roman" w:eastAsia="宋体" w:cs="Times New Roman"/>
          <w:spacing w:val="0"/>
          <w:sz w:val="21"/>
          <w:szCs w:val="21"/>
        </w:rPr>
        <w:t>建筑节能工程的验收应按国家现行标准GB 50411的规定进行验收。</w:t>
      </w:r>
    </w:p>
    <w:p>
      <w:pPr>
        <w:pStyle w:val="210"/>
        <w:spacing w:before="240" w:after="240"/>
        <w:outlineLvl w:val="2"/>
        <w:rPr>
          <w:rFonts w:ascii="黑体" w:hAnsi="黑体" w:eastAsia="黑体"/>
          <w:b w:val="0"/>
          <w:sz w:val="21"/>
          <w:szCs w:val="21"/>
        </w:rPr>
      </w:pPr>
      <w:bookmarkStart w:id="229" w:name="_Toc172187857"/>
      <w:bookmarkStart w:id="230" w:name="_Toc28276"/>
      <w:bookmarkStart w:id="231" w:name="_Toc172188642"/>
      <w:bookmarkStart w:id="232" w:name="_Toc172188918"/>
      <w:r>
        <w:rPr>
          <w:rFonts w:ascii="黑体" w:hAnsi="黑体" w:eastAsia="黑体"/>
          <w:b w:val="0"/>
          <w:sz w:val="21"/>
          <w:szCs w:val="21"/>
        </w:rPr>
        <w:t>12.5 安全管理</w:t>
      </w:r>
      <w:bookmarkEnd w:id="229"/>
      <w:bookmarkEnd w:id="230"/>
      <w:bookmarkEnd w:id="231"/>
      <w:bookmarkEnd w:id="232"/>
    </w:p>
    <w:p>
      <w:pPr>
        <w:pStyle w:val="209"/>
        <w:numPr>
          <w:ilvl w:val="0"/>
          <w:numId w:val="42"/>
        </w:numPr>
        <w:spacing w:before="120" w:after="120"/>
        <w:jc w:val="both"/>
        <w:outlineLvl w:val="9"/>
        <w:rPr>
          <w:rFonts w:ascii="Times New Roman" w:eastAsia="宋体"/>
          <w:bCs/>
          <w:color w:val="000000"/>
        </w:rPr>
      </w:pPr>
      <w:r>
        <w:rPr>
          <w:rFonts w:ascii="Times New Roman" w:eastAsia="宋体"/>
          <w:bCs/>
          <w:color w:val="000000"/>
        </w:rPr>
        <w:t>装配整体式框架结构及框架-剪力墙结构施工应执行国家、地方、行业和企业的安全生产法规和规章制度，落实各级各类人员的安全生产责任制。</w:t>
      </w:r>
    </w:p>
    <w:p>
      <w:pPr>
        <w:pStyle w:val="209"/>
        <w:numPr>
          <w:ilvl w:val="0"/>
          <w:numId w:val="42"/>
        </w:numPr>
        <w:spacing w:before="120" w:after="120"/>
        <w:jc w:val="both"/>
        <w:outlineLvl w:val="9"/>
        <w:rPr>
          <w:rFonts w:ascii="Times New Roman" w:eastAsia="宋体"/>
          <w:bCs/>
          <w:color w:val="000000"/>
        </w:rPr>
      </w:pPr>
      <w:r>
        <w:rPr>
          <w:rFonts w:ascii="Times New Roman" w:eastAsia="宋体"/>
          <w:bCs/>
          <w:color w:val="000000"/>
        </w:rPr>
        <w:t>施工单位应根据工程施工特点对重大危险源进行分析并予以公示，并制定相应的安全生产应急预案。</w:t>
      </w:r>
    </w:p>
    <w:p>
      <w:pPr>
        <w:pStyle w:val="209"/>
        <w:numPr>
          <w:ilvl w:val="0"/>
          <w:numId w:val="42"/>
        </w:numPr>
        <w:spacing w:before="120" w:after="120"/>
        <w:jc w:val="both"/>
        <w:outlineLvl w:val="9"/>
        <w:rPr>
          <w:rFonts w:ascii="Times New Roman" w:eastAsia="宋体"/>
          <w:bCs/>
          <w:color w:val="000000"/>
        </w:rPr>
      </w:pPr>
      <w:r>
        <w:rPr>
          <w:rFonts w:ascii="Times New Roman" w:eastAsia="宋体"/>
          <w:bCs/>
          <w:color w:val="000000"/>
        </w:rPr>
        <w:t>施工单位应对预制构件吊装的作业及相关人员进行安全培训与交底，明确预制构件进场、卸车、存放、吊装、就位各环节的作业风险，并制订防止危险情况的处理措施。</w:t>
      </w:r>
    </w:p>
    <w:p>
      <w:pPr>
        <w:pStyle w:val="209"/>
        <w:numPr>
          <w:ilvl w:val="0"/>
          <w:numId w:val="42"/>
        </w:numPr>
        <w:spacing w:before="120" w:after="120"/>
        <w:jc w:val="both"/>
        <w:outlineLvl w:val="9"/>
        <w:rPr>
          <w:rFonts w:ascii="Times New Roman" w:eastAsia="宋体"/>
          <w:bCs/>
          <w:color w:val="000000"/>
        </w:rPr>
      </w:pPr>
      <w:r>
        <w:rPr>
          <w:rFonts w:ascii="Times New Roman" w:eastAsia="宋体"/>
          <w:bCs/>
          <w:color w:val="000000"/>
        </w:rPr>
        <w:t>安装作业前，应对安装作业区进行围护并做出明显的标识，设置警戒线，根据危险源级别安排旁站，严禁与安装作业无关的人员进入。</w:t>
      </w:r>
    </w:p>
    <w:p>
      <w:pPr>
        <w:pStyle w:val="209"/>
        <w:numPr>
          <w:ilvl w:val="0"/>
          <w:numId w:val="42"/>
        </w:numPr>
        <w:spacing w:before="120" w:after="120"/>
        <w:jc w:val="both"/>
        <w:outlineLvl w:val="9"/>
        <w:rPr>
          <w:rFonts w:ascii="Times New Roman" w:eastAsia="宋体"/>
          <w:bCs/>
          <w:color w:val="000000"/>
        </w:rPr>
      </w:pPr>
      <w:r>
        <w:rPr>
          <w:rFonts w:ascii="Times New Roman" w:eastAsia="宋体"/>
          <w:bCs/>
          <w:color w:val="000000"/>
        </w:rPr>
        <w:t>施工作业使用的专用吊具、吊索、定型工具式支撑、支架等，应进行安全验算，使用中进行定期、不定期检查，确保其安全状态。</w:t>
      </w:r>
    </w:p>
    <w:p>
      <w:pPr>
        <w:pStyle w:val="209"/>
        <w:numPr>
          <w:ilvl w:val="0"/>
          <w:numId w:val="42"/>
        </w:numPr>
        <w:spacing w:before="120" w:after="120"/>
        <w:jc w:val="both"/>
        <w:outlineLvl w:val="9"/>
        <w:rPr>
          <w:rFonts w:ascii="Times New Roman" w:eastAsia="宋体"/>
          <w:bCs/>
          <w:color w:val="000000"/>
        </w:rPr>
      </w:pPr>
      <w:r>
        <w:rPr>
          <w:rFonts w:ascii="Times New Roman" w:eastAsia="宋体"/>
          <w:bCs/>
          <w:color w:val="000000"/>
        </w:rPr>
        <w:t>吊装作业安全应符合下列规定：</w:t>
      </w:r>
    </w:p>
    <w:p>
      <w:pPr>
        <w:pStyle w:val="215"/>
        <w:ind w:firstLine="420" w:firstLineChars="200"/>
        <w:rPr>
          <w:rFonts w:ascii="Times New Roman" w:hAnsi="Times New Roman"/>
          <w:color w:val="000000"/>
          <w:szCs w:val="22"/>
        </w:rPr>
      </w:pPr>
      <w:r>
        <w:rPr>
          <w:rFonts w:hAnsi="宋体"/>
          <w:szCs w:val="21"/>
        </w:rPr>
        <w:t>a</w:t>
      </w:r>
      <w:r>
        <w:rPr>
          <w:rFonts w:hint="eastAsia" w:hAnsi="宋体"/>
          <w:szCs w:val="21"/>
        </w:rPr>
        <w:t>）</w:t>
      </w:r>
      <w:r>
        <w:rPr>
          <w:rFonts w:ascii="Times New Roman" w:hAnsi="Times New Roman"/>
          <w:color w:val="000000"/>
          <w:szCs w:val="22"/>
        </w:rPr>
        <w:t>吊装作业人员禁止酒后施工；</w:t>
      </w:r>
    </w:p>
    <w:p>
      <w:pPr>
        <w:pStyle w:val="215"/>
        <w:ind w:firstLine="420" w:firstLineChars="200"/>
        <w:rPr>
          <w:rFonts w:ascii="Times New Roman" w:hAnsi="Times New Roman"/>
          <w:color w:val="000000"/>
          <w:szCs w:val="22"/>
        </w:rPr>
      </w:pPr>
      <w:r>
        <w:rPr>
          <w:rFonts w:hAnsi="宋体"/>
          <w:szCs w:val="21"/>
        </w:rPr>
        <w:t>b</w:t>
      </w:r>
      <w:r>
        <w:rPr>
          <w:rFonts w:hint="eastAsia" w:hAnsi="宋体"/>
          <w:szCs w:val="21"/>
        </w:rPr>
        <w:t>）</w:t>
      </w:r>
      <w:r>
        <w:rPr>
          <w:rFonts w:ascii="Times New Roman" w:hAnsi="Times New Roman"/>
          <w:color w:val="000000"/>
          <w:szCs w:val="22"/>
        </w:rPr>
        <w:t>遇到雨、雪、雾天气或者风力大于5级时，不得进行吊装作业；</w:t>
      </w:r>
    </w:p>
    <w:p>
      <w:pPr>
        <w:pStyle w:val="215"/>
        <w:ind w:firstLine="420" w:firstLineChars="200"/>
        <w:rPr>
          <w:rFonts w:ascii="Times New Roman" w:hAnsi="Times New Roman"/>
          <w:color w:val="000000"/>
          <w:szCs w:val="22"/>
        </w:rPr>
      </w:pPr>
      <w:r>
        <w:rPr>
          <w:rFonts w:hAnsi="宋体"/>
          <w:szCs w:val="21"/>
        </w:rPr>
        <w:t>c</w:t>
      </w:r>
      <w:r>
        <w:rPr>
          <w:rFonts w:hint="eastAsia" w:hAnsi="宋体"/>
          <w:szCs w:val="21"/>
        </w:rPr>
        <w:t>）</w:t>
      </w:r>
      <w:r>
        <w:rPr>
          <w:rFonts w:ascii="Times New Roman" w:hAnsi="Times New Roman"/>
          <w:color w:val="000000"/>
          <w:szCs w:val="22"/>
        </w:rPr>
        <w:t>预制构件起吊后，应先将预制构件提升300mm左右后，停稳构件，检查钢丝绳、吊具和预制构件状态，确认吊具安全且构件平稳后，方可缓慢提升。</w:t>
      </w:r>
    </w:p>
    <w:p>
      <w:pPr>
        <w:pStyle w:val="215"/>
        <w:ind w:firstLine="420" w:firstLineChars="200"/>
        <w:rPr>
          <w:rFonts w:ascii="Times New Roman" w:hAnsi="Times New Roman"/>
          <w:color w:val="000000"/>
          <w:szCs w:val="22"/>
        </w:rPr>
      </w:pPr>
      <w:r>
        <w:rPr>
          <w:rFonts w:hAnsi="宋体"/>
          <w:szCs w:val="21"/>
        </w:rPr>
        <w:t>d</w:t>
      </w:r>
      <w:r>
        <w:rPr>
          <w:rFonts w:hint="eastAsia" w:hAnsi="宋体"/>
          <w:szCs w:val="21"/>
        </w:rPr>
        <w:t>）</w:t>
      </w:r>
      <w:r>
        <w:rPr>
          <w:rFonts w:ascii="Times New Roman" w:hAnsi="Times New Roman"/>
          <w:color w:val="000000"/>
          <w:szCs w:val="22"/>
        </w:rPr>
        <w:t>高空应通过揽风绳改变预制构件方向，严禁高空直接用手扶预制构件。</w:t>
      </w:r>
    </w:p>
    <w:p>
      <w:pPr>
        <w:pStyle w:val="215"/>
        <w:ind w:firstLine="420" w:firstLineChars="200"/>
        <w:rPr>
          <w:rFonts w:ascii="Times New Roman" w:hAnsi="Times New Roman"/>
          <w:color w:val="000000"/>
          <w:szCs w:val="22"/>
        </w:rPr>
      </w:pPr>
      <w:r>
        <w:rPr>
          <w:rFonts w:hAnsi="宋体"/>
          <w:szCs w:val="21"/>
        </w:rPr>
        <w:t>e</w:t>
      </w:r>
      <w:r>
        <w:rPr>
          <w:rFonts w:hint="eastAsia" w:hAnsi="宋体"/>
          <w:szCs w:val="21"/>
        </w:rPr>
        <w:t>）</w:t>
      </w:r>
      <w:r>
        <w:rPr>
          <w:rFonts w:ascii="Times New Roman" w:hAnsi="Times New Roman"/>
          <w:color w:val="000000"/>
          <w:szCs w:val="22"/>
        </w:rPr>
        <w:t>吊机吊装区域内，非作业人员严禁进入；吊运预制构件时，构件下方严禁站人，应待预制构件降落至距地面1m以内方准作业人员靠近，就位固定后方可脱钩。</w:t>
      </w:r>
    </w:p>
    <w:p>
      <w:pPr>
        <w:pStyle w:val="215"/>
        <w:ind w:firstLine="420" w:firstLineChars="200"/>
        <w:rPr>
          <w:rFonts w:ascii="Times New Roman" w:hAnsi="Times New Roman"/>
          <w:color w:val="000000"/>
          <w:szCs w:val="22"/>
        </w:rPr>
      </w:pPr>
      <w:r>
        <w:rPr>
          <w:rFonts w:hAnsi="宋体"/>
          <w:szCs w:val="21"/>
        </w:rPr>
        <w:t>f</w:t>
      </w:r>
      <w:r>
        <w:rPr>
          <w:rFonts w:hint="eastAsia" w:hAnsi="宋体"/>
          <w:szCs w:val="21"/>
        </w:rPr>
        <w:t>）</w:t>
      </w:r>
      <w:r>
        <w:rPr>
          <w:rFonts w:ascii="Times New Roman" w:hAnsi="Times New Roman"/>
          <w:color w:val="000000"/>
          <w:szCs w:val="22"/>
        </w:rPr>
        <w:t>吊装就位的预制墙板，斜支撑未固定牢固时严禁撤掉起重机吊钩。</w:t>
      </w:r>
    </w:p>
    <w:p>
      <w:pPr>
        <w:pStyle w:val="209"/>
        <w:numPr>
          <w:ilvl w:val="0"/>
          <w:numId w:val="42"/>
        </w:numPr>
        <w:spacing w:before="120" w:after="120"/>
        <w:jc w:val="both"/>
        <w:outlineLvl w:val="9"/>
        <w:rPr>
          <w:rFonts w:ascii="Times New Roman" w:eastAsia="宋体"/>
          <w:bCs/>
          <w:color w:val="000000"/>
        </w:rPr>
      </w:pPr>
      <w:r>
        <w:rPr>
          <w:rFonts w:ascii="Times New Roman" w:eastAsia="宋体"/>
          <w:bCs/>
          <w:color w:val="000000"/>
        </w:rPr>
        <w:t>施工现场“沟坑槽、深基础周边、楼层周边、楼梯侧边、平台或阳台边、屋面周边”和“楼梯口、电梯口、预留洞口、通道口”等部位应设置安全标识与防护措施。</w:t>
      </w:r>
    </w:p>
    <w:p>
      <w:pPr>
        <w:pStyle w:val="210"/>
        <w:spacing w:before="240" w:after="240"/>
        <w:outlineLvl w:val="2"/>
        <w:rPr>
          <w:rFonts w:ascii="黑体" w:hAnsi="黑体" w:eastAsia="黑体"/>
          <w:b w:val="0"/>
          <w:sz w:val="21"/>
          <w:szCs w:val="21"/>
        </w:rPr>
      </w:pPr>
      <w:bookmarkStart w:id="233" w:name="_Toc9720"/>
      <w:bookmarkStart w:id="234" w:name="_Toc172188919"/>
      <w:bookmarkStart w:id="235" w:name="_Toc172187858"/>
      <w:bookmarkStart w:id="236" w:name="_Toc172188643"/>
      <w:r>
        <w:rPr>
          <w:rFonts w:ascii="黑体" w:hAnsi="黑体" w:eastAsia="黑体"/>
          <w:b w:val="0"/>
          <w:sz w:val="21"/>
          <w:szCs w:val="21"/>
        </w:rPr>
        <w:t>12.6 成品保护</w:t>
      </w:r>
      <w:bookmarkEnd w:id="233"/>
      <w:bookmarkEnd w:id="234"/>
      <w:bookmarkEnd w:id="235"/>
      <w:bookmarkEnd w:id="236"/>
    </w:p>
    <w:p>
      <w:pPr>
        <w:pStyle w:val="209"/>
        <w:numPr>
          <w:ilvl w:val="0"/>
          <w:numId w:val="43"/>
        </w:numPr>
        <w:spacing w:before="120" w:after="120"/>
        <w:jc w:val="both"/>
        <w:outlineLvl w:val="9"/>
        <w:rPr>
          <w:rFonts w:ascii="Times New Roman" w:eastAsia="宋体"/>
          <w:bCs/>
          <w:color w:val="000000"/>
        </w:rPr>
      </w:pPr>
      <w:r>
        <w:rPr>
          <w:rFonts w:ascii="Times New Roman" w:eastAsia="宋体"/>
          <w:bCs/>
          <w:color w:val="000000"/>
        </w:rPr>
        <w:t>框架结构及框架-剪力墙结构建筑施工全过程应采取防止预制构件、部品及预制构件上的建筑附件、预埋件等损伤或污染的保护措施。</w:t>
      </w:r>
    </w:p>
    <w:p>
      <w:pPr>
        <w:pStyle w:val="209"/>
        <w:numPr>
          <w:ilvl w:val="0"/>
          <w:numId w:val="43"/>
        </w:numPr>
        <w:spacing w:before="120" w:after="120"/>
        <w:jc w:val="both"/>
        <w:outlineLvl w:val="9"/>
        <w:rPr>
          <w:rFonts w:ascii="Times New Roman" w:eastAsia="宋体"/>
          <w:bCs/>
          <w:color w:val="000000"/>
        </w:rPr>
      </w:pPr>
      <w:r>
        <w:rPr>
          <w:rFonts w:ascii="Times New Roman" w:eastAsia="宋体"/>
          <w:bCs/>
          <w:color w:val="000000"/>
        </w:rPr>
        <w:t>框架结构及框架-剪力墙结构建筑施工全过程应做好工序交接，不得对已完成的成品、半成品造成破坏。</w:t>
      </w:r>
    </w:p>
    <w:p>
      <w:pPr>
        <w:pStyle w:val="209"/>
        <w:numPr>
          <w:ilvl w:val="0"/>
          <w:numId w:val="43"/>
        </w:numPr>
        <w:spacing w:before="120" w:after="120"/>
        <w:jc w:val="both"/>
        <w:outlineLvl w:val="9"/>
        <w:rPr>
          <w:rFonts w:ascii="Times New Roman" w:eastAsia="宋体"/>
          <w:bCs/>
          <w:color w:val="000000"/>
        </w:rPr>
      </w:pPr>
      <w:r>
        <w:rPr>
          <w:rFonts w:ascii="Times New Roman" w:eastAsia="宋体"/>
          <w:bCs/>
          <w:color w:val="000000"/>
        </w:rPr>
        <w:t>预制构件和装配式装修部品部件宜采用贴膜、泡沫板或其他材料对产品进行保护，外墙门框、窗框和带外装饰材料的表面应采用塑料贴膜防护措施。</w:t>
      </w:r>
    </w:p>
    <w:p>
      <w:pPr>
        <w:pStyle w:val="209"/>
        <w:numPr>
          <w:ilvl w:val="0"/>
          <w:numId w:val="43"/>
        </w:numPr>
        <w:spacing w:before="120" w:after="120"/>
        <w:jc w:val="both"/>
        <w:outlineLvl w:val="9"/>
        <w:rPr>
          <w:rFonts w:ascii="Times New Roman" w:eastAsia="宋体"/>
          <w:bCs/>
          <w:color w:val="000000"/>
        </w:rPr>
      </w:pPr>
      <w:r>
        <w:rPr>
          <w:rFonts w:ascii="Times New Roman" w:eastAsia="宋体"/>
          <w:bCs/>
          <w:color w:val="000000"/>
        </w:rPr>
        <w:t>预制构件暴露在空气中的预埋铁件应作防锈处理，防止产生锈蚀。预埋螺栓孔宜采用海绵棒进行填塞，防止混凝土浇筑时将其堵塞。</w:t>
      </w:r>
    </w:p>
    <w:p>
      <w:pPr>
        <w:pStyle w:val="209"/>
        <w:numPr>
          <w:ilvl w:val="0"/>
          <w:numId w:val="43"/>
        </w:numPr>
        <w:spacing w:before="120" w:after="120"/>
        <w:jc w:val="both"/>
        <w:outlineLvl w:val="9"/>
        <w:rPr>
          <w:rFonts w:ascii="Times New Roman" w:eastAsia="宋体"/>
          <w:bCs/>
          <w:color w:val="000000"/>
        </w:rPr>
      </w:pPr>
      <w:r>
        <w:rPr>
          <w:rFonts w:ascii="Times New Roman" w:eastAsia="宋体"/>
          <w:bCs/>
          <w:color w:val="000000"/>
        </w:rPr>
        <w:t>预制楼梯安装后，踏步处应采用相应的成品保护措施。</w:t>
      </w:r>
    </w:p>
    <w:p>
      <w:pPr>
        <w:pStyle w:val="209"/>
        <w:numPr>
          <w:ilvl w:val="0"/>
          <w:numId w:val="43"/>
        </w:numPr>
        <w:spacing w:before="120" w:after="120"/>
        <w:jc w:val="both"/>
        <w:outlineLvl w:val="9"/>
        <w:rPr>
          <w:rFonts w:ascii="Times New Roman" w:eastAsia="宋体"/>
          <w:bCs/>
          <w:color w:val="000000"/>
        </w:rPr>
      </w:pPr>
      <w:r>
        <w:rPr>
          <w:rFonts w:ascii="Times New Roman" w:eastAsia="宋体"/>
          <w:bCs/>
          <w:color w:val="000000"/>
        </w:rPr>
        <w:t>连接止水条、高低口、墙体转角等薄弱部位，宜采用定型保护垫块或专用式套件作加强保护。</w:t>
      </w:r>
    </w:p>
    <w:p>
      <w:pPr>
        <w:pStyle w:val="209"/>
        <w:numPr>
          <w:ilvl w:val="0"/>
          <w:numId w:val="43"/>
        </w:numPr>
        <w:spacing w:before="120" w:after="120"/>
        <w:jc w:val="both"/>
        <w:outlineLvl w:val="9"/>
        <w:rPr>
          <w:rFonts w:ascii="Times New Roman" w:eastAsia="宋体"/>
          <w:bCs/>
          <w:color w:val="000000"/>
        </w:rPr>
      </w:pPr>
      <w:r>
        <w:rPr>
          <w:rFonts w:ascii="Times New Roman" w:eastAsia="宋体"/>
          <w:bCs/>
          <w:color w:val="000000"/>
        </w:rPr>
        <w:t>当工地因故或其他原因停工超过5天时，必须完成作业层所有构件安装工作及混凝土浇筑工作。</w:t>
      </w:r>
    </w:p>
    <w:p>
      <w:pPr>
        <w:pStyle w:val="210"/>
        <w:spacing w:before="240" w:after="240"/>
        <w:rPr>
          <w:rFonts w:ascii="黑体" w:hAnsi="黑体" w:eastAsia="黑体"/>
          <w:b w:val="0"/>
          <w:sz w:val="21"/>
          <w:szCs w:val="21"/>
        </w:rPr>
      </w:pPr>
      <w:bookmarkStart w:id="237" w:name="_Toc172188644"/>
      <w:bookmarkStart w:id="238" w:name="_Toc13752"/>
      <w:bookmarkStart w:id="239" w:name="_Toc172187859"/>
      <w:bookmarkStart w:id="240" w:name="_Toc172188920"/>
      <w:r>
        <w:rPr>
          <w:rFonts w:ascii="黑体" w:hAnsi="黑体" w:eastAsia="黑体"/>
          <w:b w:val="0"/>
          <w:sz w:val="21"/>
          <w:szCs w:val="21"/>
        </w:rPr>
        <w:t>13 工程验收</w:t>
      </w:r>
      <w:bookmarkEnd w:id="237"/>
      <w:bookmarkEnd w:id="238"/>
      <w:bookmarkEnd w:id="239"/>
      <w:bookmarkEnd w:id="240"/>
    </w:p>
    <w:p>
      <w:pPr>
        <w:pStyle w:val="210"/>
        <w:spacing w:before="240" w:after="240"/>
        <w:outlineLvl w:val="2"/>
        <w:rPr>
          <w:rFonts w:ascii="黑体" w:hAnsi="黑体" w:eastAsia="黑体"/>
          <w:b w:val="0"/>
          <w:sz w:val="21"/>
          <w:szCs w:val="21"/>
        </w:rPr>
      </w:pPr>
      <w:bookmarkStart w:id="241" w:name="_Toc7040"/>
      <w:bookmarkStart w:id="242" w:name="_Toc172187860"/>
      <w:bookmarkStart w:id="243" w:name="_Toc172188645"/>
      <w:bookmarkStart w:id="244" w:name="_Toc172188921"/>
      <w:r>
        <w:rPr>
          <w:rFonts w:ascii="黑体" w:hAnsi="黑体" w:eastAsia="黑体"/>
          <w:b w:val="0"/>
          <w:sz w:val="21"/>
          <w:szCs w:val="21"/>
        </w:rPr>
        <w:t>13.1 一般规定</w:t>
      </w:r>
      <w:bookmarkEnd w:id="241"/>
      <w:bookmarkEnd w:id="242"/>
      <w:bookmarkEnd w:id="243"/>
      <w:bookmarkEnd w:id="244"/>
    </w:p>
    <w:p>
      <w:pPr>
        <w:pStyle w:val="209"/>
        <w:numPr>
          <w:ilvl w:val="0"/>
          <w:numId w:val="44"/>
        </w:numPr>
        <w:spacing w:before="120" w:after="120"/>
        <w:jc w:val="both"/>
        <w:outlineLvl w:val="9"/>
        <w:rPr>
          <w:rFonts w:ascii="Times New Roman" w:eastAsia="宋体"/>
          <w:bCs/>
          <w:color w:val="000000"/>
        </w:rPr>
      </w:pPr>
      <w:r>
        <w:rPr>
          <w:rFonts w:ascii="Times New Roman" w:eastAsia="宋体"/>
          <w:bCs/>
          <w:color w:val="000000"/>
        </w:rPr>
        <w:t>装配整体式框架结构及框架-剪力墙结构建筑应按现行国家标准GB 50300的有关规定进行单位工程、分部工程、分项工程和检验批的划分进行质量验收。</w:t>
      </w:r>
    </w:p>
    <w:p>
      <w:pPr>
        <w:pStyle w:val="209"/>
        <w:numPr>
          <w:ilvl w:val="0"/>
          <w:numId w:val="44"/>
        </w:numPr>
        <w:spacing w:before="120" w:after="120"/>
        <w:jc w:val="both"/>
        <w:outlineLvl w:val="9"/>
        <w:rPr>
          <w:rFonts w:ascii="Times New Roman" w:eastAsia="宋体"/>
          <w:bCs/>
          <w:color w:val="000000"/>
        </w:rPr>
      </w:pPr>
      <w:r>
        <w:rPr>
          <w:rFonts w:ascii="Times New Roman" w:eastAsia="宋体"/>
          <w:bCs/>
          <w:color w:val="000000"/>
        </w:rPr>
        <w:t>装配整体式框架结构及框架-剪力墙结构工程应按混凝土结构子分部工程进行验收，装配式结构部分应按混凝土结构子分部工程的分项工程验收，混凝土结构子分部中其他分项工程应符合现行国家标准GB 50204的有关规定进行验收。</w:t>
      </w:r>
    </w:p>
    <w:p>
      <w:pPr>
        <w:pStyle w:val="209"/>
        <w:numPr>
          <w:ilvl w:val="0"/>
          <w:numId w:val="44"/>
        </w:numPr>
        <w:spacing w:before="120" w:after="120"/>
        <w:jc w:val="both"/>
        <w:outlineLvl w:val="9"/>
        <w:rPr>
          <w:rFonts w:ascii="Times New Roman" w:eastAsia="宋体"/>
          <w:bCs/>
          <w:color w:val="000000"/>
        </w:rPr>
      </w:pPr>
      <w:r>
        <w:rPr>
          <w:rFonts w:ascii="Times New Roman" w:eastAsia="宋体"/>
          <w:bCs/>
          <w:color w:val="000000"/>
        </w:rPr>
        <w:t>装配整体式框架结构及框架-剪力墙结构工程的原材料、部品、构配件均应按检验批进行进场验收。</w:t>
      </w:r>
    </w:p>
    <w:p>
      <w:pPr>
        <w:pStyle w:val="209"/>
        <w:numPr>
          <w:ilvl w:val="0"/>
          <w:numId w:val="44"/>
        </w:numPr>
        <w:spacing w:before="120" w:after="120"/>
        <w:jc w:val="both"/>
        <w:outlineLvl w:val="9"/>
        <w:rPr>
          <w:rFonts w:ascii="Times New Roman" w:eastAsia="宋体"/>
          <w:bCs/>
          <w:color w:val="000000"/>
        </w:rPr>
      </w:pPr>
      <w:r>
        <w:rPr>
          <w:rFonts w:ascii="Times New Roman" w:eastAsia="宋体"/>
          <w:bCs/>
          <w:color w:val="000000"/>
        </w:rPr>
        <w:t>装配整体式框架结构及框架-剪力墙结构连接节点及叠合构件浇筑混凝土前，应进行隐蔽工程验收。隐蔽工程验收应包括下列主要内容：</w:t>
      </w:r>
    </w:p>
    <w:p>
      <w:pPr>
        <w:pStyle w:val="215"/>
        <w:ind w:firstLine="420" w:firstLineChars="200"/>
        <w:rPr>
          <w:rFonts w:ascii="Times New Roman" w:hAnsi="Times New Roman"/>
          <w:color w:val="000000"/>
          <w:szCs w:val="22"/>
        </w:rPr>
      </w:pPr>
      <w:r>
        <w:rPr>
          <w:rFonts w:hAnsi="宋体"/>
          <w:szCs w:val="21"/>
        </w:rPr>
        <w:t>a</w:t>
      </w:r>
      <w:r>
        <w:rPr>
          <w:rFonts w:hint="eastAsia" w:hAnsi="宋体"/>
          <w:szCs w:val="21"/>
        </w:rPr>
        <w:t>）</w:t>
      </w:r>
      <w:r>
        <w:rPr>
          <w:rFonts w:ascii="Times New Roman" w:hAnsi="Times New Roman"/>
          <w:color w:val="000000"/>
          <w:szCs w:val="22"/>
        </w:rPr>
        <w:t>混凝土粗糙面的质量，键槽的尺寸、数量、位置；</w:t>
      </w:r>
    </w:p>
    <w:p>
      <w:pPr>
        <w:pStyle w:val="215"/>
        <w:ind w:firstLine="420" w:firstLineChars="200"/>
        <w:rPr>
          <w:rFonts w:ascii="Times New Roman" w:hAnsi="Times New Roman"/>
          <w:color w:val="000000"/>
          <w:szCs w:val="22"/>
        </w:rPr>
      </w:pPr>
      <w:r>
        <w:rPr>
          <w:rFonts w:hAnsi="宋体"/>
          <w:szCs w:val="21"/>
        </w:rPr>
        <w:t>b</w:t>
      </w:r>
      <w:r>
        <w:rPr>
          <w:rFonts w:hint="eastAsia" w:hAnsi="宋体"/>
          <w:szCs w:val="21"/>
        </w:rPr>
        <w:t>）</w:t>
      </w:r>
      <w:r>
        <w:rPr>
          <w:rFonts w:ascii="Times New Roman" w:hAnsi="Times New Roman"/>
          <w:color w:val="000000"/>
          <w:szCs w:val="22"/>
        </w:rPr>
        <w:t>钢筋的牌号、规格、数量、位置、间距，箍筋弯钩的弯折角度及平直段长度；</w:t>
      </w:r>
    </w:p>
    <w:p>
      <w:pPr>
        <w:pStyle w:val="215"/>
        <w:ind w:firstLine="420" w:firstLineChars="200"/>
        <w:rPr>
          <w:rFonts w:ascii="Times New Roman" w:hAnsi="Times New Roman"/>
          <w:color w:val="000000"/>
          <w:szCs w:val="22"/>
        </w:rPr>
      </w:pPr>
      <w:r>
        <w:rPr>
          <w:rFonts w:hAnsi="宋体"/>
          <w:szCs w:val="21"/>
        </w:rPr>
        <w:t>c</w:t>
      </w:r>
      <w:r>
        <w:rPr>
          <w:rFonts w:hint="eastAsia" w:hAnsi="宋体"/>
          <w:szCs w:val="21"/>
        </w:rPr>
        <w:t>）</w:t>
      </w:r>
      <w:r>
        <w:rPr>
          <w:rFonts w:ascii="Times New Roman" w:hAnsi="Times New Roman"/>
          <w:color w:val="000000"/>
          <w:szCs w:val="22"/>
        </w:rPr>
        <w:t>钢筋的连接方式、接头位置、接头数量、接头面积百分率、搭接长度、锚固方式及锚固长度；</w:t>
      </w:r>
    </w:p>
    <w:p>
      <w:pPr>
        <w:pStyle w:val="215"/>
        <w:ind w:firstLine="420" w:firstLineChars="200"/>
        <w:rPr>
          <w:rFonts w:ascii="Times New Roman" w:hAnsi="Times New Roman"/>
          <w:color w:val="000000"/>
          <w:szCs w:val="22"/>
        </w:rPr>
      </w:pPr>
      <w:r>
        <w:rPr>
          <w:rFonts w:hAnsi="宋体"/>
          <w:szCs w:val="21"/>
        </w:rPr>
        <w:t>d</w:t>
      </w:r>
      <w:r>
        <w:rPr>
          <w:rFonts w:hint="eastAsia" w:hAnsi="宋体"/>
          <w:szCs w:val="21"/>
        </w:rPr>
        <w:t>）</w:t>
      </w:r>
      <w:r>
        <w:rPr>
          <w:rFonts w:ascii="Times New Roman" w:hAnsi="Times New Roman"/>
          <w:color w:val="000000"/>
          <w:szCs w:val="22"/>
        </w:rPr>
        <w:t>预埋件、预留管线的规格、数量、位置；</w:t>
      </w:r>
    </w:p>
    <w:p>
      <w:pPr>
        <w:pStyle w:val="215"/>
        <w:ind w:firstLine="420" w:firstLineChars="200"/>
        <w:rPr>
          <w:rFonts w:ascii="Times New Roman" w:hAnsi="Times New Roman"/>
          <w:color w:val="000000"/>
          <w:szCs w:val="22"/>
        </w:rPr>
      </w:pPr>
      <w:r>
        <w:rPr>
          <w:rFonts w:hAnsi="宋体"/>
          <w:szCs w:val="21"/>
        </w:rPr>
        <w:t>e</w:t>
      </w:r>
      <w:r>
        <w:rPr>
          <w:rFonts w:hint="eastAsia" w:hAnsi="宋体"/>
          <w:szCs w:val="21"/>
        </w:rPr>
        <w:t>）</w:t>
      </w:r>
      <w:r>
        <w:rPr>
          <w:rFonts w:ascii="Times New Roman" w:hAnsi="Times New Roman"/>
          <w:color w:val="000000"/>
          <w:szCs w:val="22"/>
        </w:rPr>
        <w:t>预制混凝土构件接缝处防水、防火等构造做法；</w:t>
      </w:r>
    </w:p>
    <w:p>
      <w:pPr>
        <w:pStyle w:val="215"/>
        <w:ind w:firstLine="420" w:firstLineChars="200"/>
        <w:rPr>
          <w:rFonts w:ascii="Times New Roman" w:hAnsi="Times New Roman"/>
          <w:color w:val="000000"/>
          <w:szCs w:val="22"/>
        </w:rPr>
      </w:pPr>
      <w:r>
        <w:rPr>
          <w:rFonts w:hAnsi="宋体"/>
          <w:szCs w:val="21"/>
        </w:rPr>
        <w:t>f</w:t>
      </w:r>
      <w:r>
        <w:rPr>
          <w:rFonts w:hint="eastAsia" w:hAnsi="宋体"/>
          <w:szCs w:val="21"/>
        </w:rPr>
        <w:t>）</w:t>
      </w:r>
      <w:r>
        <w:rPr>
          <w:rFonts w:ascii="Times New Roman" w:hAnsi="Times New Roman"/>
          <w:color w:val="000000"/>
          <w:szCs w:val="22"/>
        </w:rPr>
        <w:t>保温及其节点施工；</w:t>
      </w:r>
    </w:p>
    <w:p>
      <w:pPr>
        <w:pStyle w:val="215"/>
        <w:ind w:firstLine="420" w:firstLineChars="200"/>
        <w:rPr>
          <w:rFonts w:ascii="Times New Roman" w:hAnsi="Times New Roman"/>
          <w:color w:val="000000"/>
          <w:szCs w:val="22"/>
        </w:rPr>
      </w:pPr>
      <w:r>
        <w:rPr>
          <w:rFonts w:hAnsi="宋体"/>
          <w:szCs w:val="21"/>
        </w:rPr>
        <w:t>g</w:t>
      </w:r>
      <w:r>
        <w:rPr>
          <w:rFonts w:hint="eastAsia" w:hAnsi="宋体"/>
          <w:szCs w:val="21"/>
        </w:rPr>
        <w:t>）</w:t>
      </w:r>
      <w:r>
        <w:rPr>
          <w:rFonts w:ascii="Times New Roman" w:hAnsi="Times New Roman"/>
          <w:color w:val="000000"/>
          <w:szCs w:val="22"/>
        </w:rPr>
        <w:t>其他隐蔽项目。</w:t>
      </w:r>
    </w:p>
    <w:p>
      <w:pPr>
        <w:pStyle w:val="209"/>
        <w:numPr>
          <w:ilvl w:val="0"/>
          <w:numId w:val="44"/>
        </w:numPr>
        <w:spacing w:before="120" w:after="120"/>
        <w:jc w:val="both"/>
        <w:outlineLvl w:val="9"/>
        <w:rPr>
          <w:rFonts w:ascii="Times New Roman" w:eastAsia="宋体"/>
          <w:bCs/>
          <w:color w:val="000000"/>
        </w:rPr>
      </w:pPr>
      <w:r>
        <w:rPr>
          <w:rFonts w:ascii="Times New Roman" w:eastAsia="宋体"/>
          <w:bCs/>
          <w:color w:val="000000"/>
        </w:rPr>
        <w:t>装配整体式框架结构及框架-剪力墙结构验收时，除应符合现行国家标准GB 50204的有关规定提供文件和记录外，尚应提供下列文件和记录：</w:t>
      </w:r>
    </w:p>
    <w:p>
      <w:pPr>
        <w:pStyle w:val="215"/>
        <w:ind w:firstLine="420" w:firstLineChars="200"/>
        <w:rPr>
          <w:rFonts w:ascii="Times New Roman" w:hAnsi="Times New Roman"/>
          <w:color w:val="000000"/>
          <w:szCs w:val="22"/>
        </w:rPr>
      </w:pPr>
      <w:r>
        <w:rPr>
          <w:rFonts w:hAnsi="宋体"/>
          <w:szCs w:val="21"/>
        </w:rPr>
        <w:t>a</w:t>
      </w:r>
      <w:r>
        <w:rPr>
          <w:rFonts w:hint="eastAsia" w:hAnsi="宋体"/>
          <w:szCs w:val="21"/>
        </w:rPr>
        <w:t>）</w:t>
      </w:r>
      <w:r>
        <w:rPr>
          <w:rFonts w:ascii="Times New Roman" w:hAnsi="Times New Roman"/>
          <w:color w:val="000000"/>
          <w:szCs w:val="22"/>
        </w:rPr>
        <w:t>工程设计文件、预制构件安装施工图和加工制作详图；</w:t>
      </w:r>
    </w:p>
    <w:p>
      <w:pPr>
        <w:pStyle w:val="215"/>
        <w:ind w:firstLine="420" w:firstLineChars="200"/>
        <w:rPr>
          <w:rFonts w:ascii="Times New Roman" w:hAnsi="Times New Roman"/>
          <w:color w:val="000000"/>
          <w:szCs w:val="22"/>
        </w:rPr>
      </w:pPr>
      <w:r>
        <w:rPr>
          <w:rFonts w:hAnsi="宋体"/>
          <w:szCs w:val="21"/>
        </w:rPr>
        <w:t>b</w:t>
      </w:r>
      <w:r>
        <w:rPr>
          <w:rFonts w:hint="eastAsia" w:hAnsi="宋体"/>
          <w:szCs w:val="21"/>
        </w:rPr>
        <w:t>）</w:t>
      </w:r>
      <w:r>
        <w:rPr>
          <w:rFonts w:ascii="Times New Roman" w:hAnsi="Times New Roman"/>
          <w:color w:val="000000"/>
          <w:szCs w:val="22"/>
        </w:rPr>
        <w:t>预制构件主要材料及配件的质量证明文件、进场验收记录、抽样复验报告；</w:t>
      </w:r>
    </w:p>
    <w:p>
      <w:pPr>
        <w:pStyle w:val="215"/>
        <w:ind w:firstLine="420" w:firstLineChars="200"/>
        <w:rPr>
          <w:rFonts w:ascii="Times New Roman" w:hAnsi="Times New Roman"/>
          <w:color w:val="000000"/>
          <w:szCs w:val="22"/>
        </w:rPr>
      </w:pPr>
      <w:r>
        <w:rPr>
          <w:rFonts w:hAnsi="宋体"/>
          <w:szCs w:val="21"/>
        </w:rPr>
        <w:t>c</w:t>
      </w:r>
      <w:r>
        <w:rPr>
          <w:rFonts w:hint="eastAsia" w:hAnsi="宋体"/>
          <w:szCs w:val="21"/>
        </w:rPr>
        <w:t>）</w:t>
      </w:r>
      <w:r>
        <w:rPr>
          <w:rFonts w:ascii="Times New Roman" w:hAnsi="Times New Roman"/>
          <w:color w:val="000000"/>
          <w:szCs w:val="22"/>
        </w:rPr>
        <w:t>预制构件结构性能检测报告；</w:t>
      </w:r>
    </w:p>
    <w:p>
      <w:pPr>
        <w:pStyle w:val="215"/>
        <w:ind w:firstLine="420" w:firstLineChars="200"/>
        <w:rPr>
          <w:rFonts w:ascii="Times New Roman" w:hAnsi="Times New Roman"/>
          <w:color w:val="000000"/>
          <w:szCs w:val="22"/>
        </w:rPr>
      </w:pPr>
      <w:r>
        <w:rPr>
          <w:rFonts w:hAnsi="宋体"/>
          <w:szCs w:val="21"/>
        </w:rPr>
        <w:t>d</w:t>
      </w:r>
      <w:r>
        <w:rPr>
          <w:rFonts w:hint="eastAsia" w:hAnsi="宋体"/>
          <w:szCs w:val="21"/>
        </w:rPr>
        <w:t>）</w:t>
      </w:r>
      <w:r>
        <w:rPr>
          <w:rFonts w:ascii="Times New Roman" w:hAnsi="Times New Roman"/>
          <w:color w:val="000000"/>
          <w:szCs w:val="22"/>
        </w:rPr>
        <w:t>预制构件安装施工记录；</w:t>
      </w:r>
    </w:p>
    <w:p>
      <w:pPr>
        <w:pStyle w:val="215"/>
        <w:ind w:firstLine="420" w:firstLineChars="200"/>
        <w:rPr>
          <w:rFonts w:ascii="Times New Roman" w:hAnsi="Times New Roman"/>
          <w:color w:val="000000"/>
          <w:szCs w:val="22"/>
        </w:rPr>
      </w:pPr>
      <w:r>
        <w:rPr>
          <w:rFonts w:hAnsi="宋体"/>
          <w:szCs w:val="21"/>
        </w:rPr>
        <w:t>e</w:t>
      </w:r>
      <w:r>
        <w:rPr>
          <w:rFonts w:hint="eastAsia" w:hAnsi="宋体"/>
          <w:szCs w:val="21"/>
        </w:rPr>
        <w:t>）</w:t>
      </w:r>
      <w:r>
        <w:rPr>
          <w:rFonts w:ascii="Times New Roman" w:hAnsi="Times New Roman"/>
          <w:color w:val="000000"/>
          <w:szCs w:val="22"/>
        </w:rPr>
        <w:t>每层预制构件数量、强度统计记录；</w:t>
      </w:r>
    </w:p>
    <w:p>
      <w:pPr>
        <w:pStyle w:val="215"/>
        <w:ind w:firstLine="420" w:firstLineChars="200"/>
        <w:rPr>
          <w:rFonts w:ascii="Times New Roman" w:hAnsi="Times New Roman"/>
          <w:color w:val="000000"/>
          <w:szCs w:val="22"/>
        </w:rPr>
      </w:pPr>
      <w:r>
        <w:rPr>
          <w:rFonts w:hAnsi="宋体"/>
          <w:szCs w:val="21"/>
        </w:rPr>
        <w:t>f</w:t>
      </w:r>
      <w:r>
        <w:rPr>
          <w:rFonts w:hint="eastAsia" w:hAnsi="宋体"/>
          <w:szCs w:val="21"/>
        </w:rPr>
        <w:t>）</w:t>
      </w:r>
      <w:r>
        <w:rPr>
          <w:rFonts w:ascii="Times New Roman" w:hAnsi="Times New Roman"/>
          <w:color w:val="000000"/>
          <w:szCs w:val="22"/>
        </w:rPr>
        <w:t>竖向及水平连接钢筋检验记录；</w:t>
      </w:r>
    </w:p>
    <w:p>
      <w:pPr>
        <w:pStyle w:val="215"/>
        <w:ind w:firstLine="420" w:firstLineChars="200"/>
        <w:rPr>
          <w:rFonts w:ascii="Times New Roman" w:hAnsi="Times New Roman"/>
          <w:color w:val="000000"/>
          <w:szCs w:val="22"/>
        </w:rPr>
      </w:pPr>
      <w:r>
        <w:rPr>
          <w:rFonts w:hAnsi="宋体"/>
          <w:szCs w:val="21"/>
        </w:rPr>
        <w:t>g</w:t>
      </w:r>
      <w:r>
        <w:rPr>
          <w:rFonts w:hint="eastAsia" w:hAnsi="宋体"/>
          <w:szCs w:val="21"/>
        </w:rPr>
        <w:t>）</w:t>
      </w:r>
      <w:r>
        <w:rPr>
          <w:rFonts w:ascii="Times New Roman" w:hAnsi="Times New Roman"/>
          <w:color w:val="000000"/>
          <w:szCs w:val="22"/>
        </w:rPr>
        <w:t>后浇混凝土部位的隐蔽工程检查验收文件；</w:t>
      </w:r>
    </w:p>
    <w:p>
      <w:pPr>
        <w:pStyle w:val="215"/>
        <w:ind w:firstLine="420" w:firstLineChars="200"/>
        <w:rPr>
          <w:rFonts w:ascii="Times New Roman" w:hAnsi="Times New Roman"/>
          <w:color w:val="000000"/>
          <w:szCs w:val="22"/>
        </w:rPr>
      </w:pPr>
      <w:r>
        <w:rPr>
          <w:rFonts w:hAnsi="宋体"/>
          <w:szCs w:val="21"/>
        </w:rPr>
        <w:t>h</w:t>
      </w:r>
      <w:r>
        <w:rPr>
          <w:rFonts w:hint="eastAsia" w:hAnsi="宋体"/>
          <w:szCs w:val="21"/>
        </w:rPr>
        <w:t>）</w:t>
      </w:r>
      <w:r>
        <w:rPr>
          <w:rFonts w:ascii="Times New Roman" w:hAnsi="Times New Roman"/>
          <w:color w:val="000000"/>
          <w:szCs w:val="22"/>
        </w:rPr>
        <w:t>后浇混凝土强度检测报告及混凝土强度统计表、评定表；</w:t>
      </w:r>
    </w:p>
    <w:p>
      <w:pPr>
        <w:pStyle w:val="215"/>
        <w:ind w:firstLine="420" w:firstLineChars="200"/>
        <w:rPr>
          <w:rFonts w:ascii="Times New Roman" w:hAnsi="Times New Roman"/>
          <w:color w:val="000000"/>
          <w:szCs w:val="22"/>
        </w:rPr>
      </w:pPr>
      <w:r>
        <w:rPr>
          <w:rFonts w:hAnsi="宋体"/>
          <w:szCs w:val="21"/>
        </w:rPr>
        <w:t>i</w:t>
      </w:r>
      <w:r>
        <w:rPr>
          <w:rFonts w:hint="eastAsia" w:hAnsi="宋体"/>
          <w:szCs w:val="21"/>
        </w:rPr>
        <w:t>）</w:t>
      </w:r>
      <w:r>
        <w:rPr>
          <w:rFonts w:ascii="Times New Roman" w:hAnsi="Times New Roman"/>
          <w:color w:val="000000"/>
          <w:szCs w:val="22"/>
        </w:rPr>
        <w:t>外墙防水施工质量检验记录；</w:t>
      </w:r>
    </w:p>
    <w:p>
      <w:pPr>
        <w:pStyle w:val="215"/>
        <w:ind w:firstLine="420" w:firstLineChars="200"/>
        <w:rPr>
          <w:rFonts w:ascii="Times New Roman" w:hAnsi="Times New Roman"/>
          <w:color w:val="000000"/>
          <w:szCs w:val="22"/>
        </w:rPr>
      </w:pPr>
      <w:r>
        <w:rPr>
          <w:rFonts w:hAnsi="宋体"/>
          <w:szCs w:val="21"/>
        </w:rPr>
        <w:t>j</w:t>
      </w:r>
      <w:r>
        <w:rPr>
          <w:rFonts w:hint="eastAsia" w:hAnsi="宋体"/>
          <w:szCs w:val="21"/>
        </w:rPr>
        <w:t>）</w:t>
      </w:r>
      <w:r>
        <w:rPr>
          <w:rFonts w:ascii="Times New Roman" w:hAnsi="Times New Roman"/>
          <w:color w:val="000000"/>
          <w:szCs w:val="22"/>
        </w:rPr>
        <w:t>装配整体式框架结构及框架-剪力墙结构子分部及各分项工程质量验收文件；</w:t>
      </w:r>
    </w:p>
    <w:p>
      <w:pPr>
        <w:pStyle w:val="215"/>
        <w:ind w:firstLine="420" w:firstLineChars="200"/>
        <w:rPr>
          <w:rFonts w:ascii="Times New Roman" w:hAnsi="Times New Roman"/>
          <w:color w:val="000000"/>
          <w:szCs w:val="22"/>
        </w:rPr>
      </w:pPr>
      <w:r>
        <w:rPr>
          <w:rFonts w:hAnsi="宋体"/>
          <w:szCs w:val="21"/>
        </w:rPr>
        <w:t>k</w:t>
      </w:r>
      <w:r>
        <w:rPr>
          <w:rFonts w:hint="eastAsia" w:hAnsi="宋体"/>
          <w:szCs w:val="21"/>
        </w:rPr>
        <w:t>）</w:t>
      </w:r>
      <w:r>
        <w:rPr>
          <w:rFonts w:ascii="Times New Roman" w:hAnsi="Times New Roman"/>
          <w:color w:val="000000"/>
          <w:szCs w:val="22"/>
        </w:rPr>
        <w:t>装配整体式框架结构及框架-剪力墙结构工程的重大质量问题的处理方案和验收记录；</w:t>
      </w:r>
    </w:p>
    <w:p>
      <w:pPr>
        <w:pStyle w:val="215"/>
        <w:ind w:firstLine="420" w:firstLineChars="200"/>
        <w:rPr>
          <w:rFonts w:ascii="Times New Roman" w:hAnsi="Times New Roman"/>
          <w:color w:val="000000"/>
          <w:szCs w:val="22"/>
        </w:rPr>
      </w:pPr>
      <w:r>
        <w:rPr>
          <w:rFonts w:hAnsi="宋体"/>
          <w:szCs w:val="21"/>
        </w:rPr>
        <w:t>l</w:t>
      </w:r>
      <w:r>
        <w:rPr>
          <w:rFonts w:hint="eastAsia" w:hAnsi="宋体"/>
          <w:szCs w:val="21"/>
        </w:rPr>
        <w:t>）</w:t>
      </w:r>
      <w:r>
        <w:rPr>
          <w:rFonts w:ascii="Times New Roman" w:hAnsi="Times New Roman"/>
          <w:color w:val="000000"/>
          <w:szCs w:val="22"/>
        </w:rPr>
        <w:t>装配整体式框架结构及框架-剪力墙结构工程的其他文件和记录。</w:t>
      </w:r>
    </w:p>
    <w:p>
      <w:pPr>
        <w:pStyle w:val="209"/>
        <w:numPr>
          <w:ilvl w:val="0"/>
          <w:numId w:val="44"/>
        </w:numPr>
        <w:spacing w:before="120" w:after="120"/>
        <w:jc w:val="both"/>
        <w:outlineLvl w:val="9"/>
        <w:rPr>
          <w:rFonts w:ascii="Times New Roman" w:eastAsia="宋体"/>
          <w:bCs/>
          <w:color w:val="000000"/>
        </w:rPr>
      </w:pPr>
      <w:r>
        <w:rPr>
          <w:rFonts w:ascii="Times New Roman" w:eastAsia="宋体"/>
          <w:bCs/>
          <w:color w:val="000000"/>
        </w:rPr>
        <w:t>装配整体式结构分项工程质量验收记录应按本规程要求进行记录。</w:t>
      </w:r>
    </w:p>
    <w:p>
      <w:pPr>
        <w:pStyle w:val="209"/>
        <w:numPr>
          <w:ilvl w:val="0"/>
          <w:numId w:val="44"/>
        </w:numPr>
        <w:spacing w:before="120" w:after="120"/>
        <w:jc w:val="both"/>
        <w:outlineLvl w:val="9"/>
        <w:rPr>
          <w:rFonts w:ascii="Times New Roman" w:eastAsia="宋体"/>
        </w:rPr>
      </w:pPr>
      <w:r>
        <w:rPr>
          <w:rFonts w:ascii="Times New Roman" w:eastAsia="宋体"/>
          <w:bCs/>
          <w:color w:val="000000"/>
        </w:rPr>
        <w:t>建筑节能工程的分部工程、分项工程、检验批质量验收等应符合现行国家标准GB50411的有关规定。</w:t>
      </w:r>
    </w:p>
    <w:p>
      <w:pPr>
        <w:pStyle w:val="210"/>
        <w:spacing w:before="240" w:after="240"/>
        <w:outlineLvl w:val="2"/>
        <w:rPr>
          <w:rFonts w:ascii="黑体" w:hAnsi="黑体" w:eastAsia="黑体"/>
          <w:b w:val="0"/>
          <w:sz w:val="21"/>
          <w:szCs w:val="21"/>
        </w:rPr>
      </w:pPr>
      <w:bookmarkStart w:id="245" w:name="_Toc172187861"/>
      <w:bookmarkStart w:id="246" w:name="_Toc172188646"/>
      <w:bookmarkStart w:id="247" w:name="_Toc172188922"/>
      <w:bookmarkStart w:id="248" w:name="_Toc17216"/>
      <w:r>
        <w:rPr>
          <w:rFonts w:ascii="黑体" w:hAnsi="黑体" w:eastAsia="黑体"/>
          <w:b w:val="0"/>
          <w:sz w:val="21"/>
          <w:szCs w:val="21"/>
        </w:rPr>
        <w:t>13.2 主控项目</w:t>
      </w:r>
      <w:bookmarkEnd w:id="245"/>
      <w:bookmarkEnd w:id="246"/>
      <w:bookmarkEnd w:id="247"/>
      <w:bookmarkEnd w:id="248"/>
    </w:p>
    <w:p>
      <w:pPr>
        <w:pStyle w:val="209"/>
        <w:numPr>
          <w:ilvl w:val="0"/>
          <w:numId w:val="45"/>
        </w:numPr>
        <w:spacing w:before="120" w:after="120"/>
        <w:jc w:val="both"/>
        <w:outlineLvl w:val="9"/>
        <w:rPr>
          <w:rFonts w:ascii="Times New Roman" w:eastAsia="宋体"/>
          <w:bCs/>
          <w:color w:val="000000"/>
        </w:rPr>
      </w:pPr>
      <w:r>
        <w:rPr>
          <w:rFonts w:ascii="Times New Roman" w:eastAsia="宋体"/>
          <w:bCs/>
          <w:color w:val="000000"/>
        </w:rPr>
        <w:t>预制构件进场时应检查质量证明文件。</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检查数量：全数检查。</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检验方法：检查质量证明文件或质量验收记录。</w:t>
      </w:r>
    </w:p>
    <w:p>
      <w:pPr>
        <w:pStyle w:val="209"/>
        <w:numPr>
          <w:ilvl w:val="0"/>
          <w:numId w:val="45"/>
        </w:numPr>
        <w:spacing w:before="120" w:after="120"/>
        <w:jc w:val="both"/>
        <w:outlineLvl w:val="9"/>
        <w:rPr>
          <w:rFonts w:ascii="Times New Roman" w:eastAsia="宋体"/>
          <w:bCs/>
          <w:color w:val="000000"/>
        </w:rPr>
      </w:pPr>
      <w:r>
        <w:rPr>
          <w:rFonts w:ascii="Times New Roman" w:eastAsia="宋体"/>
          <w:bCs/>
          <w:color w:val="000000"/>
        </w:rPr>
        <w:t>专业企业生产的预制构件进场时，预制构件结构性能检验应符合下列规定：</w:t>
      </w:r>
    </w:p>
    <w:p>
      <w:pPr>
        <w:pStyle w:val="215"/>
        <w:ind w:left="823" w:leftChars="203" w:hanging="336" w:hangingChars="160"/>
        <w:rPr>
          <w:rFonts w:ascii="Times New Roman" w:hAnsi="Times New Roman"/>
          <w:color w:val="000000"/>
          <w:szCs w:val="22"/>
        </w:rPr>
      </w:pPr>
      <w:r>
        <w:rPr>
          <w:rFonts w:hAnsi="宋体"/>
          <w:szCs w:val="21"/>
        </w:rPr>
        <w:t>a</w:t>
      </w:r>
      <w:r>
        <w:rPr>
          <w:rFonts w:hint="eastAsia" w:hAnsi="宋体"/>
          <w:szCs w:val="21"/>
        </w:rPr>
        <w:t>）</w:t>
      </w:r>
      <w:r>
        <w:rPr>
          <w:rFonts w:ascii="Times New Roman" w:hAnsi="Times New Roman"/>
          <w:color w:val="000000"/>
          <w:szCs w:val="22"/>
        </w:rPr>
        <w:t>梁板类简支受弯预制构件进场时应进行结构性能检验，并应符合下列规定：</w:t>
      </w:r>
    </w:p>
    <w:p>
      <w:pPr>
        <w:pStyle w:val="215"/>
        <w:numPr>
          <w:ilvl w:val="0"/>
          <w:numId w:val="46"/>
        </w:numPr>
        <w:tabs>
          <w:tab w:val="left" w:pos="1100"/>
        </w:tabs>
        <w:ind w:left="1056" w:leftChars="300" w:hanging="336" w:hangingChars="160"/>
        <w:rPr>
          <w:rFonts w:ascii="Times New Roman" w:hAnsi="Times New Roman"/>
          <w:color w:val="000000"/>
          <w:szCs w:val="22"/>
        </w:rPr>
      </w:pPr>
      <w:r>
        <w:rPr>
          <w:rFonts w:ascii="Times New Roman" w:hAnsi="Times New Roman"/>
          <w:color w:val="000000"/>
          <w:szCs w:val="22"/>
        </w:rPr>
        <w:t>结构性能检验应符合现行国家标准的有关规定及设计的要求，检验要求和试验方法</w:t>
      </w:r>
      <w:bookmarkStart w:id="249" w:name="_Hlk24987042"/>
      <w:r>
        <w:rPr>
          <w:rFonts w:ascii="Times New Roman" w:hAnsi="Times New Roman"/>
          <w:color w:val="000000"/>
          <w:szCs w:val="22"/>
        </w:rPr>
        <w:t>应符合现行国家标准GB50204的有关规定</w:t>
      </w:r>
      <w:bookmarkEnd w:id="249"/>
      <w:r>
        <w:rPr>
          <w:rFonts w:ascii="Times New Roman" w:hAnsi="Times New Roman"/>
          <w:color w:val="000000"/>
          <w:szCs w:val="22"/>
        </w:rPr>
        <w:t>；</w:t>
      </w:r>
    </w:p>
    <w:p>
      <w:pPr>
        <w:pStyle w:val="215"/>
        <w:numPr>
          <w:ilvl w:val="0"/>
          <w:numId w:val="46"/>
        </w:numPr>
        <w:tabs>
          <w:tab w:val="left" w:pos="1100"/>
        </w:tabs>
        <w:ind w:left="1056" w:leftChars="300" w:hanging="336" w:hangingChars="160"/>
        <w:rPr>
          <w:rFonts w:ascii="Times New Roman" w:hAnsi="Times New Roman"/>
          <w:color w:val="000000"/>
          <w:szCs w:val="22"/>
        </w:rPr>
      </w:pPr>
      <w:r>
        <w:rPr>
          <w:rFonts w:ascii="Times New Roman" w:hAnsi="Times New Roman"/>
          <w:color w:val="000000"/>
          <w:szCs w:val="22"/>
        </w:rPr>
        <w:t xml:space="preserve">钢筋混凝土构件应进行承载力、挠度和裂缝宽度检验； </w:t>
      </w:r>
    </w:p>
    <w:p>
      <w:pPr>
        <w:pStyle w:val="215"/>
        <w:numPr>
          <w:ilvl w:val="0"/>
          <w:numId w:val="46"/>
        </w:numPr>
        <w:tabs>
          <w:tab w:val="left" w:pos="1100"/>
        </w:tabs>
        <w:ind w:left="1056" w:leftChars="300" w:hanging="336" w:hangingChars="160"/>
        <w:rPr>
          <w:rFonts w:ascii="Times New Roman" w:hAnsi="Times New Roman"/>
          <w:color w:val="000000"/>
          <w:szCs w:val="22"/>
        </w:rPr>
      </w:pPr>
      <w:r>
        <w:rPr>
          <w:rFonts w:ascii="Times New Roman" w:hAnsi="Times New Roman"/>
          <w:color w:val="000000"/>
          <w:szCs w:val="22"/>
        </w:rPr>
        <w:t>对大型构件及有可靠应用经验的构件，可只进行裂缝宽度、抗裂和挠度检验；</w:t>
      </w:r>
    </w:p>
    <w:p>
      <w:pPr>
        <w:pStyle w:val="215"/>
        <w:numPr>
          <w:ilvl w:val="0"/>
          <w:numId w:val="46"/>
        </w:numPr>
        <w:tabs>
          <w:tab w:val="left" w:pos="1100"/>
        </w:tabs>
        <w:ind w:left="1056" w:leftChars="300" w:hanging="336" w:hangingChars="160"/>
        <w:rPr>
          <w:rFonts w:ascii="Times New Roman" w:hAnsi="Times New Roman"/>
          <w:color w:val="000000"/>
          <w:szCs w:val="22"/>
        </w:rPr>
      </w:pPr>
      <w:r>
        <w:rPr>
          <w:rFonts w:ascii="Times New Roman" w:hAnsi="Times New Roman"/>
          <w:color w:val="000000"/>
          <w:szCs w:val="22"/>
        </w:rPr>
        <w:t>对使用数量较少的构件，当能提供可靠依据时，可不进行结构性能检验；</w:t>
      </w:r>
    </w:p>
    <w:p>
      <w:pPr>
        <w:pStyle w:val="215"/>
        <w:numPr>
          <w:ilvl w:val="0"/>
          <w:numId w:val="46"/>
        </w:numPr>
        <w:tabs>
          <w:tab w:val="left" w:pos="1100"/>
        </w:tabs>
        <w:spacing w:after="120" w:afterLines="50"/>
        <w:ind w:left="1056" w:leftChars="300" w:hanging="336" w:hangingChars="160"/>
        <w:rPr>
          <w:rFonts w:ascii="Times New Roman" w:hAnsi="Times New Roman"/>
          <w:color w:val="000000"/>
          <w:szCs w:val="22"/>
        </w:rPr>
      </w:pPr>
      <w:r>
        <w:rPr>
          <w:rFonts w:ascii="Times New Roman" w:hAnsi="Times New Roman"/>
          <w:color w:val="000000"/>
          <w:szCs w:val="22"/>
        </w:rPr>
        <w:t>对多个工程共同使用的同类型预制构件，结构性能检验可共同委托，其结果对多个工程共同有效。</w:t>
      </w:r>
    </w:p>
    <w:p>
      <w:pPr>
        <w:pStyle w:val="215"/>
        <w:ind w:left="726" w:leftChars="203" w:hanging="239" w:hangingChars="114"/>
        <w:rPr>
          <w:rFonts w:ascii="Times New Roman" w:hAnsi="Times New Roman"/>
          <w:color w:val="000000"/>
          <w:szCs w:val="22"/>
        </w:rPr>
      </w:pPr>
      <w:r>
        <w:rPr>
          <w:rFonts w:hAnsi="宋体"/>
          <w:szCs w:val="21"/>
        </w:rPr>
        <w:t>b</w:t>
      </w:r>
      <w:r>
        <w:rPr>
          <w:rFonts w:hint="eastAsia" w:hAnsi="宋体"/>
          <w:szCs w:val="21"/>
        </w:rPr>
        <w:t>）</w:t>
      </w:r>
      <w:r>
        <w:rPr>
          <w:rFonts w:ascii="Times New Roman" w:hAnsi="Times New Roman"/>
          <w:color w:val="000000"/>
          <w:szCs w:val="22"/>
        </w:rPr>
        <w:t>对于不可单独使用的叠合板预制底板，可不进行结构性能检验。对于叠合梁构件，是否进行结构性能检验，结构性能检验方式应根据设计要求确定。</w:t>
      </w:r>
    </w:p>
    <w:p>
      <w:pPr>
        <w:pStyle w:val="215"/>
        <w:ind w:left="823" w:leftChars="203" w:hanging="336" w:hangingChars="160"/>
        <w:rPr>
          <w:rFonts w:ascii="Times New Roman" w:hAnsi="Times New Roman"/>
          <w:color w:val="000000"/>
          <w:szCs w:val="22"/>
        </w:rPr>
      </w:pPr>
      <w:r>
        <w:rPr>
          <w:rFonts w:hAnsi="宋体"/>
          <w:szCs w:val="21"/>
        </w:rPr>
        <w:t>c</w:t>
      </w:r>
      <w:r>
        <w:rPr>
          <w:rFonts w:hint="eastAsia" w:hAnsi="宋体"/>
          <w:szCs w:val="21"/>
        </w:rPr>
        <w:t>）</w:t>
      </w:r>
      <w:r>
        <w:rPr>
          <w:rFonts w:ascii="Times New Roman" w:hAnsi="Times New Roman"/>
          <w:color w:val="000000"/>
          <w:szCs w:val="22"/>
        </w:rPr>
        <w:t>对本条第1、2款之外的其他预制构件，除设计有专门要求外，进场时可不做结构性能检验。</w:t>
      </w:r>
    </w:p>
    <w:p>
      <w:pPr>
        <w:pStyle w:val="215"/>
        <w:ind w:left="823" w:leftChars="203" w:hanging="336" w:hangingChars="160"/>
        <w:rPr>
          <w:rFonts w:ascii="Times New Roman" w:hAnsi="Times New Roman"/>
          <w:color w:val="000000"/>
          <w:szCs w:val="22"/>
        </w:rPr>
      </w:pPr>
      <w:r>
        <w:rPr>
          <w:rFonts w:hAnsi="宋体"/>
          <w:szCs w:val="21"/>
        </w:rPr>
        <w:t>d</w:t>
      </w:r>
      <w:r>
        <w:rPr>
          <w:rFonts w:hint="eastAsia" w:hAnsi="宋体"/>
          <w:szCs w:val="21"/>
        </w:rPr>
        <w:t>）</w:t>
      </w:r>
      <w:r>
        <w:rPr>
          <w:rFonts w:ascii="Times New Roman" w:hAnsi="Times New Roman"/>
          <w:color w:val="000000"/>
          <w:szCs w:val="22"/>
        </w:rPr>
        <w:t>本条1、2、3款规定中不做结构性能检验的预制构件，应采取下列措施：</w:t>
      </w:r>
    </w:p>
    <w:p>
      <w:pPr>
        <w:pStyle w:val="215"/>
        <w:numPr>
          <w:ilvl w:val="0"/>
          <w:numId w:val="47"/>
        </w:numPr>
        <w:tabs>
          <w:tab w:val="left" w:pos="1100"/>
        </w:tabs>
        <w:ind w:left="1056" w:leftChars="300" w:hanging="336" w:hangingChars="160"/>
        <w:rPr>
          <w:rFonts w:ascii="Times New Roman" w:hAnsi="Times New Roman"/>
          <w:color w:val="000000"/>
          <w:szCs w:val="22"/>
        </w:rPr>
      </w:pPr>
      <w:r>
        <w:rPr>
          <w:rFonts w:ascii="Times New Roman" w:hAnsi="Times New Roman"/>
          <w:color w:val="000000"/>
          <w:szCs w:val="22"/>
        </w:rPr>
        <w:t>施工单位或监理单位代表应驻厂监督生产过程；</w:t>
      </w:r>
    </w:p>
    <w:p>
      <w:pPr>
        <w:pStyle w:val="215"/>
        <w:numPr>
          <w:ilvl w:val="0"/>
          <w:numId w:val="47"/>
        </w:numPr>
        <w:tabs>
          <w:tab w:val="left" w:pos="1100"/>
        </w:tabs>
        <w:spacing w:after="120" w:afterLines="50"/>
        <w:ind w:left="1056" w:leftChars="300" w:hanging="336" w:hangingChars="160"/>
        <w:rPr>
          <w:rFonts w:ascii="Times New Roman" w:hAnsi="Times New Roman"/>
          <w:color w:val="000000"/>
          <w:szCs w:val="22"/>
        </w:rPr>
      </w:pPr>
      <w:r>
        <w:rPr>
          <w:rFonts w:ascii="Times New Roman" w:hAnsi="Times New Roman"/>
          <w:color w:val="000000"/>
          <w:szCs w:val="22"/>
        </w:rPr>
        <w:t>当无驻厂监督时，预制构件进场时应对其主要受力钢筋数量、规格、间距、保护层厚度及混凝土强度等进行实体检验。</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检验数量：同一类型预制构件不超过1000个为一批，每批随机抽取1个构件进行结构性能检验。</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检验方法：检查结构性能检验报告或实体检验报告。</w:t>
      </w:r>
    </w:p>
    <w:p>
      <w:pPr>
        <w:ind w:firstLine="360" w:firstLineChars="200"/>
        <w:jc w:val="both"/>
        <w:rPr>
          <w:rFonts w:ascii="Times New Roman" w:hAnsi="Times New Roman" w:eastAsia="宋体" w:cs="Times New Roman"/>
          <w:kern w:val="2"/>
          <w:sz w:val="18"/>
          <w:szCs w:val="18"/>
        </w:rPr>
      </w:pPr>
      <w:r>
        <w:rPr>
          <w:rFonts w:ascii="Times New Roman" w:hAnsi="Times New Roman" w:eastAsia="宋体" w:cs="Times New Roman"/>
          <w:kern w:val="2"/>
          <w:sz w:val="18"/>
          <w:szCs w:val="18"/>
        </w:rPr>
        <w:t>注：“同类型”是指同一钢种、同一混凝土强度等级、同一生产工艺和同一结构形式。抽取预制构件时，宜从设计荷载最大，受力最不利或生产数量最多的预制构件中抽取。</w:t>
      </w:r>
    </w:p>
    <w:p>
      <w:pPr>
        <w:pStyle w:val="209"/>
        <w:numPr>
          <w:ilvl w:val="0"/>
          <w:numId w:val="45"/>
        </w:numPr>
        <w:spacing w:before="120" w:after="120"/>
        <w:jc w:val="both"/>
        <w:outlineLvl w:val="9"/>
        <w:rPr>
          <w:rFonts w:ascii="Times New Roman" w:eastAsia="宋体"/>
          <w:bCs/>
          <w:color w:val="000000"/>
        </w:rPr>
      </w:pPr>
      <w:r>
        <w:rPr>
          <w:rFonts w:ascii="Times New Roman" w:eastAsia="宋体"/>
          <w:bCs/>
          <w:color w:val="000000"/>
        </w:rPr>
        <w:t>预制构件的混凝土强度应按现行国家标准GB/T50107的规定进行分批评定，混凝土强度评定结果应合格。</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检查数量：按批检查。</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检验方法：检查混凝土强度报告及混凝土强度检验评定记录。</w:t>
      </w:r>
    </w:p>
    <w:p>
      <w:pPr>
        <w:pStyle w:val="209"/>
        <w:numPr>
          <w:ilvl w:val="0"/>
          <w:numId w:val="45"/>
        </w:numPr>
        <w:spacing w:before="120" w:after="120"/>
        <w:jc w:val="both"/>
        <w:outlineLvl w:val="9"/>
        <w:rPr>
          <w:rFonts w:ascii="Times New Roman" w:eastAsia="宋体"/>
          <w:bCs/>
          <w:color w:val="000000"/>
        </w:rPr>
      </w:pPr>
      <w:r>
        <w:rPr>
          <w:rFonts w:ascii="Times New Roman" w:eastAsia="宋体"/>
          <w:bCs/>
          <w:color w:val="000000"/>
        </w:rPr>
        <w:t>预制构件的混凝土外观质量不应有严重缺陷，且不应有影响结构性能和安装、使用功能的尺寸偏差。</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检查数量：全数检查。</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检验方法：观察、尺量；检查处理记录。</w:t>
      </w:r>
    </w:p>
    <w:p>
      <w:pPr>
        <w:pStyle w:val="209"/>
        <w:numPr>
          <w:ilvl w:val="0"/>
          <w:numId w:val="45"/>
        </w:numPr>
        <w:spacing w:before="120" w:after="120"/>
        <w:jc w:val="both"/>
        <w:outlineLvl w:val="9"/>
        <w:rPr>
          <w:rFonts w:ascii="Times New Roman" w:eastAsia="宋体"/>
          <w:bCs/>
          <w:color w:val="000000"/>
        </w:rPr>
      </w:pPr>
      <w:r>
        <w:rPr>
          <w:rFonts w:ascii="Times New Roman" w:eastAsia="宋体"/>
          <w:bCs/>
          <w:color w:val="000000"/>
        </w:rPr>
        <w:t>预制构件表面预贴饰面砖、石材等饰面与混凝土的粘结性能应符合设计和现行国家有关标准的规定。</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检查数量：按批检查。</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检验方法：检查拉拔强度检验报告。</w:t>
      </w:r>
    </w:p>
    <w:p>
      <w:pPr>
        <w:pStyle w:val="209"/>
        <w:numPr>
          <w:ilvl w:val="0"/>
          <w:numId w:val="45"/>
        </w:numPr>
        <w:spacing w:before="120" w:after="120"/>
        <w:jc w:val="both"/>
        <w:outlineLvl w:val="9"/>
        <w:rPr>
          <w:rFonts w:ascii="Times New Roman" w:eastAsia="宋体"/>
          <w:bCs/>
          <w:color w:val="000000"/>
        </w:rPr>
      </w:pPr>
      <w:r>
        <w:rPr>
          <w:rFonts w:ascii="Times New Roman" w:eastAsia="宋体"/>
          <w:bCs/>
          <w:color w:val="000000"/>
        </w:rPr>
        <w:t>预制构件临时固定措施应符合设计、专项施工方案要求及现行国家有关标准的规定。</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检查数量：全数检查。</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检验方法：观察检查，检查施工方案、施工记录或设计文件。</w:t>
      </w:r>
    </w:p>
    <w:p>
      <w:pPr>
        <w:pStyle w:val="209"/>
        <w:numPr>
          <w:ilvl w:val="0"/>
          <w:numId w:val="45"/>
        </w:numPr>
        <w:spacing w:before="120" w:after="120"/>
        <w:jc w:val="both"/>
        <w:outlineLvl w:val="9"/>
        <w:rPr>
          <w:rFonts w:ascii="Times New Roman" w:eastAsia="宋体"/>
          <w:bCs/>
          <w:color w:val="000000"/>
        </w:rPr>
      </w:pPr>
      <w:r>
        <w:rPr>
          <w:rFonts w:ascii="Times New Roman" w:eastAsia="宋体"/>
          <w:bCs/>
          <w:color w:val="000000"/>
        </w:rPr>
        <w:t>装配整体式框架结构及框架-剪力墙结构构件连接处后浇混凝土的强度应符合设计要求。</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检查数量：按批检验。</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检验方法：应符合现行国家标准 GB/T 50107的有关规定。</w:t>
      </w:r>
    </w:p>
    <w:p>
      <w:pPr>
        <w:pStyle w:val="209"/>
        <w:numPr>
          <w:ilvl w:val="0"/>
          <w:numId w:val="45"/>
        </w:numPr>
        <w:spacing w:before="120" w:after="120"/>
        <w:jc w:val="both"/>
        <w:outlineLvl w:val="9"/>
        <w:rPr>
          <w:rFonts w:ascii="Times New Roman" w:eastAsia="宋体"/>
          <w:bCs/>
          <w:color w:val="000000"/>
        </w:rPr>
      </w:pPr>
      <w:r>
        <w:rPr>
          <w:rFonts w:ascii="Times New Roman" w:eastAsia="宋体"/>
          <w:bCs/>
          <w:color w:val="000000"/>
        </w:rPr>
        <w:t>钢筋采用机械连接、焊接连接时，其接头质量应分别符合现行行业标准JGJ 107</w:t>
      </w:r>
      <w:r>
        <w:rPr>
          <w:rFonts w:hint="eastAsia" w:ascii="Times New Roman" w:eastAsia="宋体"/>
          <w:bCs/>
          <w:color w:val="000000"/>
        </w:rPr>
        <w:t>和</w:t>
      </w:r>
      <w:r>
        <w:rPr>
          <w:rFonts w:ascii="Times New Roman" w:eastAsia="宋体"/>
          <w:bCs/>
          <w:color w:val="000000"/>
        </w:rPr>
        <w:t>JGJ 18的有关规定。</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检查数量：应分别符合现行行业标准JGJ 107、JGJ 18的有关规定。</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检验方法：检查钢筋连接施工记录及平行试件的强度试验报告。</w:t>
      </w:r>
    </w:p>
    <w:p>
      <w:pPr>
        <w:pStyle w:val="209"/>
        <w:numPr>
          <w:ilvl w:val="0"/>
          <w:numId w:val="45"/>
        </w:numPr>
        <w:spacing w:before="120" w:after="120"/>
        <w:jc w:val="both"/>
        <w:outlineLvl w:val="9"/>
        <w:rPr>
          <w:rFonts w:ascii="Times New Roman" w:eastAsia="宋体"/>
          <w:bCs/>
          <w:color w:val="000000"/>
        </w:rPr>
      </w:pPr>
      <w:r>
        <w:rPr>
          <w:rFonts w:ascii="Times New Roman" w:eastAsia="宋体"/>
          <w:bCs/>
          <w:color w:val="000000"/>
        </w:rPr>
        <w:t>钢筋采用绑扎连接时，检验要求应符合现行国家标准GB 50204的有关规定。</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检查数量：全数检查。</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检验方法：观察、尺量。</w:t>
      </w:r>
    </w:p>
    <w:p>
      <w:pPr>
        <w:pStyle w:val="209"/>
        <w:numPr>
          <w:ilvl w:val="0"/>
          <w:numId w:val="45"/>
        </w:numPr>
        <w:spacing w:before="120" w:after="120"/>
        <w:jc w:val="both"/>
        <w:outlineLvl w:val="9"/>
        <w:rPr>
          <w:rFonts w:ascii="Times New Roman" w:eastAsia="宋体"/>
          <w:bCs/>
          <w:color w:val="000000"/>
        </w:rPr>
      </w:pPr>
      <w:r>
        <w:rPr>
          <w:rFonts w:ascii="Times New Roman" w:eastAsia="宋体"/>
          <w:bCs/>
          <w:color w:val="000000"/>
        </w:rPr>
        <w:t>预制构件采用型钢焊接连接时，型钢焊缝的接头质量应满足设计要求，并应符合现行国家标准GB 50661和GB 50205的有关规定。</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检查数量：全数检查。</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检验方法：应符合现行国家标准GB 50205 的有关规定。</w:t>
      </w:r>
    </w:p>
    <w:p>
      <w:pPr>
        <w:pStyle w:val="209"/>
        <w:numPr>
          <w:ilvl w:val="0"/>
          <w:numId w:val="45"/>
        </w:numPr>
        <w:spacing w:before="120" w:after="120"/>
        <w:jc w:val="both"/>
        <w:outlineLvl w:val="9"/>
        <w:rPr>
          <w:rFonts w:ascii="Times New Roman" w:eastAsia="宋体"/>
          <w:bCs/>
          <w:color w:val="000000"/>
        </w:rPr>
      </w:pPr>
      <w:r>
        <w:rPr>
          <w:rFonts w:ascii="Times New Roman" w:eastAsia="宋体"/>
          <w:bCs/>
          <w:color w:val="000000"/>
        </w:rPr>
        <w:t>预制构件采用螺栓连接时，螺栓的材质、规格、拧紧力矩应符合设计要求及现行国家标准GB 50017和GB 50205的有关规定。</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检查数量：全数检查。</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检验方法：应符合现行国家标准GB 50205的有关规定。</w:t>
      </w:r>
    </w:p>
    <w:p>
      <w:pPr>
        <w:pStyle w:val="209"/>
        <w:numPr>
          <w:ilvl w:val="0"/>
          <w:numId w:val="45"/>
        </w:numPr>
        <w:spacing w:before="120" w:after="120"/>
        <w:jc w:val="both"/>
        <w:outlineLvl w:val="9"/>
        <w:rPr>
          <w:rFonts w:ascii="Times New Roman" w:eastAsia="宋体"/>
          <w:bCs/>
          <w:color w:val="000000"/>
        </w:rPr>
      </w:pPr>
      <w:r>
        <w:rPr>
          <w:rFonts w:ascii="Times New Roman" w:eastAsia="宋体"/>
          <w:bCs/>
          <w:color w:val="000000"/>
        </w:rPr>
        <w:t>装配整体式框架结构及框架-剪力墙结构竖向连接钢筋和水平连接钢筋的安装位置、规格、数量和锚固方式应符合设计要求。</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检查数量：全数检查。</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检验方法：观察、尺量。</w:t>
      </w:r>
    </w:p>
    <w:p>
      <w:pPr>
        <w:pStyle w:val="209"/>
        <w:numPr>
          <w:ilvl w:val="0"/>
          <w:numId w:val="45"/>
        </w:numPr>
        <w:spacing w:before="120" w:after="120"/>
        <w:jc w:val="both"/>
        <w:outlineLvl w:val="9"/>
        <w:rPr>
          <w:rFonts w:ascii="Times New Roman" w:eastAsia="宋体"/>
          <w:bCs/>
          <w:color w:val="000000"/>
        </w:rPr>
      </w:pPr>
      <w:r>
        <w:rPr>
          <w:rFonts w:ascii="Times New Roman" w:eastAsia="宋体"/>
          <w:bCs/>
          <w:color w:val="000000"/>
        </w:rPr>
        <w:t>装配整体式结构分项工程的外观质量不应有严重缺陷，且不得有影响结构性能和使用功能的尺寸偏差。</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检查数量：全数检查。</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检验方法：观察、量测；检查处理记录。</w:t>
      </w:r>
    </w:p>
    <w:p>
      <w:pPr>
        <w:pStyle w:val="209"/>
        <w:numPr>
          <w:ilvl w:val="0"/>
          <w:numId w:val="45"/>
        </w:numPr>
        <w:spacing w:before="120" w:after="120"/>
        <w:jc w:val="both"/>
        <w:outlineLvl w:val="9"/>
        <w:rPr>
          <w:rFonts w:ascii="Times New Roman" w:eastAsia="宋体"/>
          <w:bCs/>
          <w:color w:val="000000"/>
        </w:rPr>
      </w:pPr>
      <w:r>
        <w:rPr>
          <w:rFonts w:ascii="Times New Roman" w:eastAsia="宋体"/>
          <w:bCs/>
          <w:color w:val="000000"/>
        </w:rPr>
        <w:t>外墙接缝的防水性能应符合设计要求。</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检验数量：按批检验。每1000m</w:t>
      </w:r>
      <w:r>
        <w:rPr>
          <w:rFonts w:ascii="Times New Roman" w:hAnsi="Times New Roman" w:eastAsia="宋体" w:cs="Times New Roman"/>
          <w:kern w:val="2"/>
          <w:sz w:val="21"/>
          <w:vertAlign w:val="superscript"/>
        </w:rPr>
        <w:t>2</w:t>
      </w:r>
      <w:r>
        <w:rPr>
          <w:rFonts w:ascii="Times New Roman" w:hAnsi="Times New Roman" w:eastAsia="宋体" w:cs="Times New Roman"/>
          <w:kern w:val="2"/>
          <w:sz w:val="21"/>
        </w:rPr>
        <w:t>外墙（含窗）面积应划分为一个检验批，不足1000m</w:t>
      </w:r>
      <w:r>
        <w:rPr>
          <w:rFonts w:ascii="Times New Roman" w:hAnsi="Times New Roman" w:eastAsia="宋体" w:cs="Times New Roman"/>
          <w:kern w:val="2"/>
          <w:sz w:val="21"/>
          <w:vertAlign w:val="superscript"/>
        </w:rPr>
        <w:t>2</w:t>
      </w:r>
      <w:r>
        <w:rPr>
          <w:rFonts w:ascii="Times New Roman" w:hAnsi="Times New Roman" w:eastAsia="宋体" w:cs="Times New Roman"/>
          <w:kern w:val="2"/>
          <w:sz w:val="21"/>
        </w:rPr>
        <w:t>时也应划分为一个检验批；每个检验批应至少抽查一处，抽查部位应为相邻两层4块墙板形成水平和水向十字接缝区域，面积不得小于</w:t>
      </w:r>
      <w:r>
        <w:rPr>
          <w:rFonts w:hint="eastAsia" w:ascii="Times New Roman" w:hAnsi="Times New Roman" w:eastAsia="宋体" w:cs="Times New Roman"/>
          <w:kern w:val="2"/>
          <w:sz w:val="21"/>
        </w:rPr>
        <w:t>1</w:t>
      </w:r>
      <w:r>
        <w:rPr>
          <w:rFonts w:ascii="Times New Roman" w:hAnsi="Times New Roman" w:eastAsia="宋体" w:cs="Times New Roman"/>
          <w:kern w:val="2"/>
          <w:sz w:val="21"/>
        </w:rPr>
        <w:t>0m</w:t>
      </w:r>
      <w:r>
        <w:rPr>
          <w:rFonts w:ascii="Times New Roman" w:hAnsi="Times New Roman" w:eastAsia="宋体" w:cs="Times New Roman"/>
          <w:kern w:val="2"/>
          <w:sz w:val="21"/>
          <w:vertAlign w:val="superscript"/>
        </w:rPr>
        <w:t>2</w:t>
      </w:r>
      <w:r>
        <w:rPr>
          <w:rFonts w:ascii="Times New Roman" w:hAnsi="Times New Roman" w:eastAsia="宋体" w:cs="Times New Roman"/>
          <w:kern w:val="2"/>
          <w:sz w:val="21"/>
        </w:rPr>
        <w:t>。</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检验方法：检查现场淋水试验报告。</w:t>
      </w:r>
    </w:p>
    <w:p>
      <w:pPr>
        <w:pStyle w:val="210"/>
        <w:spacing w:before="240" w:after="240"/>
        <w:outlineLvl w:val="2"/>
        <w:rPr>
          <w:rFonts w:ascii="黑体" w:hAnsi="黑体" w:eastAsia="黑体"/>
          <w:b w:val="0"/>
          <w:sz w:val="21"/>
          <w:szCs w:val="21"/>
        </w:rPr>
      </w:pPr>
      <w:bookmarkStart w:id="250" w:name="_Toc14379"/>
      <w:bookmarkStart w:id="251" w:name="_Toc172187862"/>
      <w:bookmarkStart w:id="252" w:name="_Toc172188647"/>
      <w:bookmarkStart w:id="253" w:name="_Toc172188923"/>
      <w:r>
        <w:rPr>
          <w:rFonts w:ascii="黑体" w:hAnsi="黑体" w:eastAsia="黑体"/>
          <w:b w:val="0"/>
          <w:sz w:val="21"/>
          <w:szCs w:val="21"/>
        </w:rPr>
        <w:t>13.3 一般项目</w:t>
      </w:r>
      <w:bookmarkEnd w:id="250"/>
      <w:bookmarkEnd w:id="251"/>
      <w:bookmarkEnd w:id="252"/>
      <w:bookmarkEnd w:id="253"/>
    </w:p>
    <w:p>
      <w:pPr>
        <w:pStyle w:val="209"/>
        <w:numPr>
          <w:ilvl w:val="0"/>
          <w:numId w:val="48"/>
        </w:numPr>
        <w:spacing w:before="120" w:after="120"/>
        <w:jc w:val="both"/>
        <w:outlineLvl w:val="9"/>
        <w:rPr>
          <w:rFonts w:ascii="Times New Roman" w:eastAsia="宋体"/>
          <w:bCs/>
          <w:color w:val="000000"/>
        </w:rPr>
      </w:pPr>
      <w:r>
        <w:rPr>
          <w:rFonts w:ascii="Times New Roman" w:eastAsia="宋体"/>
          <w:bCs/>
          <w:color w:val="000000"/>
        </w:rPr>
        <w:t>预制构件应有标识。</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检查数量：全数检查。</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检查方法：观察，专用设备读取相关数据。</w:t>
      </w:r>
    </w:p>
    <w:p>
      <w:pPr>
        <w:pStyle w:val="209"/>
        <w:numPr>
          <w:ilvl w:val="0"/>
          <w:numId w:val="48"/>
        </w:numPr>
        <w:spacing w:before="120" w:after="120"/>
        <w:jc w:val="both"/>
        <w:outlineLvl w:val="9"/>
        <w:rPr>
          <w:rFonts w:ascii="Times New Roman" w:eastAsia="宋体"/>
          <w:bCs/>
          <w:color w:val="000000"/>
        </w:rPr>
      </w:pPr>
      <w:r>
        <w:rPr>
          <w:rFonts w:ascii="Times New Roman" w:eastAsia="宋体"/>
          <w:bCs/>
          <w:color w:val="000000"/>
        </w:rPr>
        <w:t>预制构件外观质量不应有一般缺陷，对出现的一般缺陷应要求构件生产单位按技术处理方案进行处理，并重新检查验收。</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检查数量：全数检查。</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检验方法：观察，检查技术处理方案和处理记录。</w:t>
      </w:r>
    </w:p>
    <w:p>
      <w:pPr>
        <w:pStyle w:val="209"/>
        <w:numPr>
          <w:ilvl w:val="0"/>
          <w:numId w:val="48"/>
        </w:numPr>
        <w:spacing w:before="120" w:after="120"/>
        <w:jc w:val="both"/>
        <w:outlineLvl w:val="9"/>
        <w:rPr>
          <w:rFonts w:ascii="Times New Roman" w:eastAsia="宋体"/>
          <w:bCs/>
          <w:color w:val="000000"/>
        </w:rPr>
      </w:pPr>
      <w:r>
        <w:rPr>
          <w:rFonts w:ascii="Times New Roman" w:eastAsia="宋体"/>
          <w:bCs/>
          <w:color w:val="000000"/>
        </w:rPr>
        <w:t>预制构件粗糙面的外观质量、键槽的外观质量和数量应符合设计要求。</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检查数量：全数检查。</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检验方法：观察，量测。</w:t>
      </w:r>
    </w:p>
    <w:p>
      <w:pPr>
        <w:pStyle w:val="209"/>
        <w:numPr>
          <w:ilvl w:val="0"/>
          <w:numId w:val="48"/>
        </w:numPr>
        <w:spacing w:before="120" w:after="120"/>
        <w:jc w:val="both"/>
        <w:outlineLvl w:val="9"/>
        <w:rPr>
          <w:rFonts w:ascii="Times New Roman" w:eastAsia="宋体"/>
          <w:bCs/>
          <w:color w:val="000000"/>
        </w:rPr>
      </w:pPr>
      <w:r>
        <w:rPr>
          <w:rFonts w:ascii="Times New Roman" w:eastAsia="宋体"/>
          <w:bCs/>
          <w:color w:val="000000"/>
        </w:rPr>
        <w:t>预制构件表面预贴饰面砖、石材等饰面与装饰混凝土的外观质量应符合设计和现行国家有关标准的规定。</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检查数量：按批检查。</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检验方法：观察或轻击检查；与样板对比。</w:t>
      </w:r>
    </w:p>
    <w:p>
      <w:pPr>
        <w:pStyle w:val="209"/>
        <w:numPr>
          <w:ilvl w:val="0"/>
          <w:numId w:val="48"/>
        </w:numPr>
        <w:spacing w:before="120" w:after="120"/>
        <w:jc w:val="both"/>
        <w:outlineLvl w:val="9"/>
        <w:rPr>
          <w:rFonts w:ascii="Times New Roman" w:eastAsia="宋体"/>
          <w:bCs/>
          <w:color w:val="000000"/>
        </w:rPr>
      </w:pPr>
      <w:r>
        <w:rPr>
          <w:rFonts w:ascii="Times New Roman" w:eastAsia="宋体"/>
          <w:bCs/>
          <w:color w:val="000000"/>
        </w:rPr>
        <w:t>预制构件上的预埋件、预留钢筋、预留孔洞、预埋管线等规格型号、数量应符合设计要求。</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检查数量：全数检查。</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检验方法：观察、尺量；检查产品合格证。</w:t>
      </w:r>
    </w:p>
    <w:p>
      <w:pPr>
        <w:pStyle w:val="209"/>
        <w:numPr>
          <w:ilvl w:val="0"/>
          <w:numId w:val="48"/>
        </w:numPr>
        <w:spacing w:before="120" w:after="120"/>
        <w:jc w:val="both"/>
        <w:outlineLvl w:val="9"/>
        <w:rPr>
          <w:rFonts w:ascii="Times New Roman" w:eastAsia="宋体"/>
          <w:bCs/>
          <w:color w:val="000000"/>
        </w:rPr>
      </w:pPr>
      <w:r>
        <w:rPr>
          <w:rFonts w:ascii="Times New Roman" w:eastAsia="宋体"/>
          <w:bCs/>
          <w:color w:val="000000"/>
        </w:rPr>
        <w:t>预制墙板和预制楼板外形尺寸偏差和检验方法应分别符合表16和17的规定。</w:t>
      </w:r>
    </w:p>
    <w:p>
      <w:pPr>
        <w:spacing w:before="120" w:beforeLines="50" w:after="120" w:afterLines="50"/>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检查数量：同一类型构件，不超过100个为一批，每批抽检的构件数量不应少于该规格（品种）数量的10%、且不少于5件。</w:t>
      </w:r>
    </w:p>
    <w:p>
      <w:pPr>
        <w:pStyle w:val="209"/>
        <w:numPr>
          <w:ilvl w:val="0"/>
          <w:numId w:val="48"/>
        </w:numPr>
        <w:spacing w:before="120" w:after="120"/>
        <w:jc w:val="both"/>
        <w:outlineLvl w:val="9"/>
        <w:rPr>
          <w:rFonts w:ascii="Times New Roman" w:eastAsia="宋体"/>
          <w:bCs/>
          <w:color w:val="000000"/>
        </w:rPr>
      </w:pPr>
      <w:r>
        <w:rPr>
          <w:rFonts w:ascii="Times New Roman" w:eastAsia="宋体"/>
          <w:bCs/>
          <w:color w:val="000000"/>
        </w:rPr>
        <w:t>装饰构件的装饰外观尺寸偏差和检验方法应符合设计要求；当设计无具体要求时，应符合表20的规定。</w:t>
      </w:r>
    </w:p>
    <w:p>
      <w:pPr>
        <w:spacing w:before="120" w:beforeLines="50" w:after="120" w:afterLines="50"/>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检查数量：同一类型构件，不超过100个为一批，每批抽检的构件数量不应少于该规格（品种）数量的10%、且不少于5件。</w:t>
      </w:r>
    </w:p>
    <w:p>
      <w:pPr>
        <w:pStyle w:val="83"/>
        <w:shd w:val="clear" w:color="auto" w:fill="auto"/>
        <w:spacing w:before="120" w:beforeLines="50" w:after="120" w:afterLines="50" w:line="360" w:lineRule="exact"/>
        <w:jc w:val="center"/>
        <w:rPr>
          <w:rFonts w:ascii="黑体" w:hAnsi="黑体" w:eastAsia="黑体" w:cs="Times New Roman"/>
          <w:b w:val="0"/>
          <w:sz w:val="21"/>
          <w:szCs w:val="21"/>
        </w:rPr>
      </w:pPr>
    </w:p>
    <w:p>
      <w:pPr>
        <w:pStyle w:val="83"/>
        <w:shd w:val="clear" w:color="auto" w:fill="auto"/>
        <w:spacing w:before="120" w:beforeLines="50" w:after="120" w:afterLines="50" w:line="360" w:lineRule="exact"/>
        <w:jc w:val="center"/>
        <w:rPr>
          <w:rFonts w:ascii="黑体" w:hAnsi="黑体" w:eastAsia="黑体" w:cs="Times New Roman"/>
          <w:b w:val="0"/>
          <w:sz w:val="21"/>
          <w:szCs w:val="21"/>
        </w:rPr>
      </w:pPr>
      <w:r>
        <w:rPr>
          <w:rFonts w:ascii="黑体" w:hAnsi="黑体" w:eastAsia="黑体" w:cs="Times New Roman"/>
          <w:b w:val="0"/>
          <w:sz w:val="21"/>
          <w:szCs w:val="21"/>
        </w:rPr>
        <w:t>表20装饰构件外观尺寸允许偏差及检验方法</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524"/>
        <w:gridCol w:w="1588"/>
        <w:gridCol w:w="1388"/>
        <w:gridCol w:w="29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745"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项次</w:t>
            </w:r>
          </w:p>
        </w:tc>
        <w:tc>
          <w:tcPr>
            <w:tcW w:w="1524"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装饰种类</w:t>
            </w:r>
          </w:p>
        </w:tc>
        <w:tc>
          <w:tcPr>
            <w:tcW w:w="158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检查项目</w:t>
            </w:r>
          </w:p>
        </w:tc>
        <w:tc>
          <w:tcPr>
            <w:tcW w:w="138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允许偏差（mm）</w:t>
            </w:r>
          </w:p>
        </w:tc>
        <w:tc>
          <w:tcPr>
            <w:tcW w:w="2975"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745"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w:t>
            </w:r>
          </w:p>
        </w:tc>
        <w:tc>
          <w:tcPr>
            <w:tcW w:w="1524"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通用</w:t>
            </w:r>
          </w:p>
        </w:tc>
        <w:tc>
          <w:tcPr>
            <w:tcW w:w="1588"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表面平整度</w:t>
            </w:r>
          </w:p>
        </w:tc>
        <w:tc>
          <w:tcPr>
            <w:tcW w:w="138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2975"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2m靠尺或塞尺检查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745"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1524" w:type="dxa"/>
            <w:vMerge w:val="restart"/>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面砖、石材</w:t>
            </w:r>
          </w:p>
        </w:tc>
        <w:tc>
          <w:tcPr>
            <w:tcW w:w="1588"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阳角方正</w:t>
            </w:r>
          </w:p>
        </w:tc>
        <w:tc>
          <w:tcPr>
            <w:tcW w:w="138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2975"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用托线板检查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5" w:hRule="atLeast"/>
          <w:jc w:val="center"/>
        </w:trPr>
        <w:tc>
          <w:tcPr>
            <w:tcW w:w="745"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3</w:t>
            </w:r>
          </w:p>
        </w:tc>
        <w:tc>
          <w:tcPr>
            <w:tcW w:w="1524"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588"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上口平直</w:t>
            </w:r>
          </w:p>
        </w:tc>
        <w:tc>
          <w:tcPr>
            <w:tcW w:w="138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2975"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拉通线用钢尺检查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0" w:hRule="atLeast"/>
          <w:jc w:val="center"/>
        </w:trPr>
        <w:tc>
          <w:tcPr>
            <w:tcW w:w="745"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4</w:t>
            </w:r>
          </w:p>
        </w:tc>
        <w:tc>
          <w:tcPr>
            <w:tcW w:w="1524"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588"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接缝平直</w:t>
            </w:r>
          </w:p>
        </w:tc>
        <w:tc>
          <w:tcPr>
            <w:tcW w:w="1388" w:type="dxa"/>
            <w:tcBorders>
              <w:tl2br w:val="nil"/>
              <w:tr2bl w:val="nil"/>
            </w:tcBorders>
            <w:noWrap/>
            <w:vAlign w:val="center"/>
          </w:tcPr>
          <w:p>
            <w:pPr>
              <w:jc w:val="center"/>
              <w:rPr>
                <w:rFonts w:ascii="Times New Roman" w:hAnsi="Times New Roman" w:eastAsia="宋体" w:cs="Times New Roman"/>
                <w:color w:val="FF0000"/>
                <w:kern w:val="2"/>
                <w:sz w:val="18"/>
                <w:szCs w:val="18"/>
              </w:rPr>
            </w:pPr>
            <w:r>
              <w:rPr>
                <w:rFonts w:ascii="Times New Roman" w:hAnsi="Times New Roman" w:eastAsia="宋体" w:cs="Times New Roman"/>
                <w:kern w:val="2"/>
                <w:sz w:val="18"/>
                <w:szCs w:val="18"/>
              </w:rPr>
              <w:t>3</w:t>
            </w:r>
          </w:p>
        </w:tc>
        <w:tc>
          <w:tcPr>
            <w:tcW w:w="2975"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用钢尺或塞尺检查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10" w:hRule="atLeast"/>
          <w:jc w:val="center"/>
        </w:trPr>
        <w:tc>
          <w:tcPr>
            <w:tcW w:w="745"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1524"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588"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接缝深度</w:t>
            </w:r>
          </w:p>
        </w:tc>
        <w:tc>
          <w:tcPr>
            <w:tcW w:w="138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975"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用钢尺或塞尺检查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8" w:hRule="atLeast"/>
          <w:jc w:val="center"/>
        </w:trPr>
        <w:tc>
          <w:tcPr>
            <w:tcW w:w="745"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6</w:t>
            </w:r>
          </w:p>
        </w:tc>
        <w:tc>
          <w:tcPr>
            <w:tcW w:w="1524" w:type="dxa"/>
            <w:vMerge w:val="continue"/>
            <w:tcBorders>
              <w:tl2br w:val="nil"/>
              <w:tr2bl w:val="nil"/>
            </w:tcBorders>
            <w:vAlign w:val="center"/>
          </w:tcPr>
          <w:p>
            <w:pPr>
              <w:jc w:val="center"/>
              <w:rPr>
                <w:rFonts w:ascii="Times New Roman" w:hAnsi="Times New Roman" w:eastAsia="宋体" w:cs="Times New Roman"/>
                <w:kern w:val="2"/>
                <w:sz w:val="18"/>
                <w:szCs w:val="18"/>
              </w:rPr>
            </w:pPr>
          </w:p>
        </w:tc>
        <w:tc>
          <w:tcPr>
            <w:tcW w:w="1588"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接缝宽度</w:t>
            </w:r>
          </w:p>
        </w:tc>
        <w:tc>
          <w:tcPr>
            <w:tcW w:w="1388" w:type="dxa"/>
            <w:tcBorders>
              <w:tl2br w:val="nil"/>
              <w:tr2bl w:val="nil"/>
            </w:tcBorders>
            <w:noWrap/>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w:t>
            </w:r>
          </w:p>
        </w:tc>
        <w:tc>
          <w:tcPr>
            <w:tcW w:w="2975" w:type="dxa"/>
            <w:tcBorders>
              <w:tl2br w:val="nil"/>
              <w:tr2bl w:val="nil"/>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用钢尺检查</w:t>
            </w:r>
          </w:p>
        </w:tc>
      </w:tr>
    </w:tbl>
    <w:p>
      <w:pPr>
        <w:pStyle w:val="209"/>
        <w:numPr>
          <w:ilvl w:val="0"/>
          <w:numId w:val="48"/>
        </w:numPr>
        <w:spacing w:before="120" w:after="120"/>
        <w:jc w:val="both"/>
        <w:outlineLvl w:val="9"/>
        <w:rPr>
          <w:rFonts w:ascii="Times New Roman" w:eastAsia="宋体"/>
          <w:bCs/>
          <w:color w:val="000000"/>
        </w:rPr>
      </w:pPr>
      <w:r>
        <w:rPr>
          <w:rFonts w:ascii="Times New Roman" w:eastAsia="宋体"/>
          <w:bCs/>
          <w:color w:val="000000"/>
        </w:rPr>
        <w:t>装配整体式结构分项工程的施工尺寸偏差及检验方法应符合设计要求；当设计无要求时，应符合表21的规定。</w:t>
      </w:r>
    </w:p>
    <w:p>
      <w:pPr>
        <w:ind w:firstLine="420" w:firstLineChars="200"/>
        <w:jc w:val="both"/>
        <w:rPr>
          <w:rFonts w:ascii="Times New Roman" w:hAnsi="Times New Roman" w:eastAsia="宋体" w:cs="Times New Roman"/>
          <w:bCs/>
          <w:sz w:val="18"/>
          <w:szCs w:val="18"/>
        </w:rPr>
      </w:pPr>
      <w:r>
        <w:rPr>
          <w:rFonts w:ascii="Times New Roman" w:hAnsi="Times New Roman" w:eastAsia="宋体" w:cs="Times New Roman"/>
          <w:kern w:val="2"/>
          <w:sz w:val="21"/>
        </w:rPr>
        <w:t>检查数量：按楼层、结构缝或施工段划分检验批。同一检验批内，对梁和柱，应抽查构件数量的10%，且不少于3件；对墙和板，应按有代表性的自然间抽查10%，且不少于3间；对大空间结构，墙可按相邻轴线间高度5m左右划分检查面，板可按纵、横轴线划分检查面，抽查10%，且均不少于3面。</w:t>
      </w:r>
    </w:p>
    <w:p>
      <w:pPr>
        <w:pStyle w:val="83"/>
        <w:shd w:val="clear" w:color="auto" w:fill="auto"/>
        <w:spacing w:before="120" w:beforeLines="50" w:after="120" w:afterLines="50" w:line="240" w:lineRule="auto"/>
        <w:jc w:val="center"/>
        <w:rPr>
          <w:rFonts w:ascii="黑体" w:hAnsi="黑体" w:eastAsia="黑体" w:cs="Times New Roman"/>
          <w:b w:val="0"/>
          <w:sz w:val="21"/>
          <w:szCs w:val="21"/>
        </w:rPr>
      </w:pPr>
      <w:r>
        <w:rPr>
          <w:rFonts w:ascii="黑体" w:hAnsi="黑体" w:eastAsia="黑体" w:cs="Times New Roman"/>
          <w:b w:val="0"/>
          <w:sz w:val="21"/>
          <w:szCs w:val="21"/>
        </w:rPr>
        <w:t>表21预制构件安装尺寸允许偏差及检验方法</w:t>
      </w:r>
    </w:p>
    <w:tbl>
      <w:tblPr>
        <w:tblStyle w:val="25"/>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1417"/>
        <w:gridCol w:w="1593"/>
        <w:gridCol w:w="1212"/>
        <w:gridCol w:w="2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4" w:hRule="atLeast"/>
          <w:jc w:val="center"/>
        </w:trPr>
        <w:tc>
          <w:tcPr>
            <w:tcW w:w="4633" w:type="dxa"/>
            <w:gridSpan w:val="3"/>
            <w:tcBorders>
              <w:top w:val="single" w:color="auto" w:sz="12"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项目</w:t>
            </w:r>
          </w:p>
        </w:tc>
        <w:tc>
          <w:tcPr>
            <w:tcW w:w="1212" w:type="dxa"/>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允许偏差（mm）</w:t>
            </w:r>
          </w:p>
        </w:tc>
        <w:tc>
          <w:tcPr>
            <w:tcW w:w="2375" w:type="dxa"/>
            <w:tcBorders>
              <w:top w:val="single" w:color="auto" w:sz="12"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623"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构件中心线对轴线位置</w:t>
            </w:r>
          </w:p>
        </w:tc>
        <w:tc>
          <w:tcPr>
            <w:tcW w:w="30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竖向构件（柱、墙）</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8</w:t>
            </w:r>
          </w:p>
        </w:tc>
        <w:tc>
          <w:tcPr>
            <w:tcW w:w="2375" w:type="dxa"/>
            <w:vMerge w:val="restart"/>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经纬仪、尺量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623"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p>
        </w:tc>
        <w:tc>
          <w:tcPr>
            <w:tcW w:w="30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水平构件（梁、板）</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375" w:type="dxa"/>
            <w:vMerge w:val="continue"/>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623"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构件标高</w:t>
            </w:r>
          </w:p>
        </w:tc>
        <w:tc>
          <w:tcPr>
            <w:tcW w:w="30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梁、板</w:t>
            </w:r>
            <w:r>
              <w:rPr>
                <w:rFonts w:hint="eastAsia" w:ascii="Times New Roman" w:hAnsi="Times New Roman" w:eastAsia="宋体" w:cs="Times New Roman"/>
                <w:kern w:val="2"/>
                <w:sz w:val="18"/>
                <w:szCs w:val="18"/>
              </w:rPr>
              <w:t>、</w:t>
            </w:r>
            <w:r>
              <w:rPr>
                <w:rFonts w:ascii="Times New Roman" w:hAnsi="Times New Roman" w:eastAsia="宋体" w:cs="Times New Roman"/>
                <w:kern w:val="2"/>
                <w:sz w:val="18"/>
                <w:szCs w:val="18"/>
              </w:rPr>
              <w:t>柱、墙底面或顶面</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375"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水准仪或拉线、尺量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623"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构件垂直度</w:t>
            </w:r>
          </w:p>
        </w:tc>
        <w:tc>
          <w:tcPr>
            <w:tcW w:w="141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柱、墙</w:t>
            </w:r>
          </w:p>
        </w:tc>
        <w:tc>
          <w:tcPr>
            <w:tcW w:w="15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＜5m</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375" w:type="dxa"/>
            <w:vMerge w:val="restart"/>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经纬仪、吊线、尺量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623"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p>
        </w:tc>
        <w:tc>
          <w:tcPr>
            <w:tcW w:w="15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宋体" w:hAnsi="宋体" w:eastAsia="宋体" w:cs="Times New Roman"/>
                <w:kern w:val="2"/>
                <w:sz w:val="18"/>
                <w:szCs w:val="18"/>
              </w:rPr>
              <w:t>≥</w:t>
            </w:r>
            <w:r>
              <w:rPr>
                <w:rFonts w:ascii="Times New Roman" w:hAnsi="Times New Roman" w:eastAsia="宋体" w:cs="Times New Roman"/>
                <w:kern w:val="2"/>
                <w:sz w:val="18"/>
                <w:szCs w:val="18"/>
              </w:rPr>
              <w:t>5m且＜10m</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w:t>
            </w:r>
          </w:p>
        </w:tc>
        <w:tc>
          <w:tcPr>
            <w:tcW w:w="2375" w:type="dxa"/>
            <w:vMerge w:val="continue"/>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623"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p>
        </w:tc>
        <w:tc>
          <w:tcPr>
            <w:tcW w:w="1593"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kern w:val="2"/>
                <w:sz w:val="18"/>
                <w:szCs w:val="18"/>
              </w:rPr>
            </w:pPr>
            <w:r>
              <w:rPr>
                <w:rFonts w:ascii="宋体" w:hAnsi="宋体" w:eastAsia="宋体" w:cs="Times New Roman"/>
                <w:kern w:val="2"/>
                <w:sz w:val="18"/>
                <w:szCs w:val="18"/>
              </w:rPr>
              <w:t>≥</w:t>
            </w:r>
            <w:r>
              <w:rPr>
                <w:rFonts w:ascii="Times New Roman" w:hAnsi="Times New Roman" w:eastAsia="宋体" w:cs="Times New Roman"/>
                <w:kern w:val="2"/>
                <w:sz w:val="18"/>
                <w:szCs w:val="18"/>
              </w:rPr>
              <w:t>10m</w:t>
            </w:r>
          </w:p>
        </w:tc>
        <w:tc>
          <w:tcPr>
            <w:tcW w:w="1212"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20</w:t>
            </w:r>
          </w:p>
        </w:tc>
        <w:tc>
          <w:tcPr>
            <w:tcW w:w="2375" w:type="dxa"/>
            <w:vMerge w:val="continue"/>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623"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构件倾斜度</w:t>
            </w:r>
          </w:p>
        </w:tc>
        <w:tc>
          <w:tcPr>
            <w:tcW w:w="30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梁、</w:t>
            </w:r>
            <w:r>
              <w:rPr>
                <w:rFonts w:hint="eastAsia" w:ascii="Times New Roman" w:hAnsi="Times New Roman" w:eastAsia="宋体" w:cs="Times New Roman"/>
                <w:kern w:val="2"/>
                <w:sz w:val="18"/>
                <w:szCs w:val="18"/>
              </w:rPr>
              <w:t>板</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375"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经纬仪、吊线、尺量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623"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相邻构件平整度</w:t>
            </w:r>
          </w:p>
        </w:tc>
        <w:tc>
          <w:tcPr>
            <w:tcW w:w="30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板端面</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375" w:type="dxa"/>
            <w:vMerge w:val="restart"/>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2m靠尺和塞尺量测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623"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p>
        </w:tc>
        <w:tc>
          <w:tcPr>
            <w:tcW w:w="141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梁、板底面</w:t>
            </w:r>
          </w:p>
        </w:tc>
        <w:tc>
          <w:tcPr>
            <w:tcW w:w="15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不外露</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375" w:type="dxa"/>
            <w:vMerge w:val="continue"/>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623"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p>
        </w:tc>
        <w:tc>
          <w:tcPr>
            <w:tcW w:w="15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外露</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3</w:t>
            </w:r>
          </w:p>
        </w:tc>
        <w:tc>
          <w:tcPr>
            <w:tcW w:w="2375" w:type="dxa"/>
            <w:vMerge w:val="continue"/>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623"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p>
        </w:tc>
        <w:tc>
          <w:tcPr>
            <w:tcW w:w="141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柱墙侧面</w:t>
            </w:r>
          </w:p>
        </w:tc>
        <w:tc>
          <w:tcPr>
            <w:tcW w:w="15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外露</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375" w:type="dxa"/>
            <w:vMerge w:val="continue"/>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623"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p>
        </w:tc>
        <w:tc>
          <w:tcPr>
            <w:tcW w:w="15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不外露</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8</w:t>
            </w:r>
          </w:p>
        </w:tc>
        <w:tc>
          <w:tcPr>
            <w:tcW w:w="2375" w:type="dxa"/>
            <w:vMerge w:val="continue"/>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623"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构件搁置长度</w:t>
            </w:r>
          </w:p>
        </w:tc>
        <w:tc>
          <w:tcPr>
            <w:tcW w:w="30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梁、板</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w:t>
            </w:r>
          </w:p>
        </w:tc>
        <w:tc>
          <w:tcPr>
            <w:tcW w:w="2375"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jc w:val="center"/>
        </w:trPr>
        <w:tc>
          <w:tcPr>
            <w:tcW w:w="1623"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支座、支垫中心位置</w:t>
            </w:r>
          </w:p>
        </w:tc>
        <w:tc>
          <w:tcPr>
            <w:tcW w:w="30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梁、板、柱、墙</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10</w:t>
            </w:r>
          </w:p>
        </w:tc>
        <w:tc>
          <w:tcPr>
            <w:tcW w:w="2375"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623"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墙板接缝</w:t>
            </w:r>
          </w:p>
        </w:tc>
        <w:tc>
          <w:tcPr>
            <w:tcW w:w="30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宽度</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375"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623" w:type="dxa"/>
            <w:vMerge w:val="continue"/>
            <w:tcBorders>
              <w:top w:val="single" w:color="auto" w:sz="4" w:space="0"/>
              <w:left w:val="single" w:color="auto" w:sz="12" w:space="0"/>
              <w:bottom w:val="single" w:color="auto" w:sz="12" w:space="0"/>
              <w:right w:val="single" w:color="auto" w:sz="4" w:space="0"/>
            </w:tcBorders>
            <w:vAlign w:val="center"/>
          </w:tcPr>
          <w:p>
            <w:pPr>
              <w:jc w:val="center"/>
              <w:rPr>
                <w:rFonts w:ascii="Times New Roman" w:hAnsi="Times New Roman" w:eastAsia="宋体" w:cs="Times New Roman"/>
                <w:kern w:val="2"/>
                <w:sz w:val="18"/>
                <w:szCs w:val="18"/>
              </w:rPr>
            </w:pPr>
          </w:p>
        </w:tc>
        <w:tc>
          <w:tcPr>
            <w:tcW w:w="3010"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中心线位置</w:t>
            </w:r>
          </w:p>
        </w:tc>
        <w:tc>
          <w:tcPr>
            <w:tcW w:w="1212"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±5</w:t>
            </w:r>
          </w:p>
        </w:tc>
        <w:tc>
          <w:tcPr>
            <w:tcW w:w="2375" w:type="dxa"/>
            <w:tcBorders>
              <w:top w:val="single" w:color="auto" w:sz="4" w:space="0"/>
              <w:left w:val="single" w:color="auto" w:sz="4" w:space="0"/>
              <w:bottom w:val="single" w:color="auto" w:sz="12" w:space="0"/>
              <w:right w:val="single" w:color="auto" w:sz="12" w:space="0"/>
            </w:tcBorders>
            <w:vAlign w:val="center"/>
          </w:tcPr>
          <w:p>
            <w:pPr>
              <w:jc w:val="center"/>
              <w:rPr>
                <w:rFonts w:ascii="Times New Roman" w:hAnsi="Times New Roman" w:eastAsia="宋体" w:cs="Times New Roman"/>
                <w:kern w:val="2"/>
                <w:sz w:val="18"/>
                <w:szCs w:val="18"/>
              </w:rPr>
            </w:pPr>
            <w:r>
              <w:rPr>
                <w:rFonts w:ascii="Times New Roman" w:hAnsi="Times New Roman" w:eastAsia="宋体" w:cs="Times New Roman"/>
                <w:kern w:val="2"/>
                <w:sz w:val="18"/>
                <w:szCs w:val="18"/>
              </w:rPr>
              <w:t>尺量</w:t>
            </w:r>
          </w:p>
        </w:tc>
      </w:tr>
    </w:tbl>
    <w:p>
      <w:pPr>
        <w:pStyle w:val="209"/>
        <w:numPr>
          <w:ilvl w:val="0"/>
          <w:numId w:val="48"/>
        </w:numPr>
        <w:spacing w:before="120" w:after="120"/>
        <w:jc w:val="both"/>
        <w:outlineLvl w:val="9"/>
        <w:rPr>
          <w:rFonts w:ascii="Times New Roman" w:eastAsia="宋体"/>
          <w:bCs/>
          <w:color w:val="000000"/>
        </w:rPr>
      </w:pPr>
      <w:r>
        <w:rPr>
          <w:rFonts w:ascii="Times New Roman" w:eastAsia="宋体"/>
          <w:bCs/>
          <w:color w:val="000000"/>
        </w:rPr>
        <w:t>装配整体式框架结构及框架-剪力墙结构建筑的饰面外观质量应符合设计要求，并应符合现行国家标准GB 50210的有关规定。</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检查数量：全数检查。</w:t>
      </w:r>
    </w:p>
    <w:p>
      <w:pPr>
        <w:ind w:firstLine="420" w:firstLineChars="200"/>
        <w:jc w:val="both"/>
        <w:rPr>
          <w:rFonts w:ascii="Times New Roman" w:hAnsi="Times New Roman" w:eastAsia="宋体" w:cs="Times New Roman"/>
          <w:kern w:val="2"/>
          <w:sz w:val="21"/>
        </w:rPr>
      </w:pPr>
      <w:r>
        <w:rPr>
          <w:rFonts w:ascii="Times New Roman" w:hAnsi="Times New Roman" w:eastAsia="宋体" w:cs="Times New Roman"/>
          <w:kern w:val="2"/>
          <w:sz w:val="21"/>
        </w:rPr>
        <w:t>检验方法：观察、对比量测。</w:t>
      </w:r>
    </w:p>
    <w:p>
      <w:pPr>
        <w:pStyle w:val="210"/>
        <w:spacing w:before="240" w:after="240"/>
        <w:rPr>
          <w:rFonts w:ascii="黑体" w:hAnsi="黑体" w:eastAsia="黑体"/>
          <w:b w:val="0"/>
          <w:sz w:val="21"/>
          <w:szCs w:val="21"/>
        </w:rPr>
      </w:pPr>
      <w:bookmarkStart w:id="254" w:name="_Toc172188924"/>
      <w:bookmarkStart w:id="255" w:name="_Toc172188648"/>
      <w:bookmarkStart w:id="256" w:name="_Toc28313"/>
      <w:bookmarkStart w:id="257" w:name="_Toc172187863"/>
      <w:r>
        <w:rPr>
          <w:rFonts w:ascii="黑体" w:hAnsi="黑体" w:eastAsia="黑体"/>
          <w:b w:val="0"/>
          <w:sz w:val="21"/>
          <w:szCs w:val="21"/>
        </w:rPr>
        <w:t>14 信息化技术应用</w:t>
      </w:r>
      <w:bookmarkEnd w:id="254"/>
      <w:bookmarkEnd w:id="255"/>
      <w:bookmarkEnd w:id="256"/>
      <w:bookmarkEnd w:id="257"/>
    </w:p>
    <w:p>
      <w:pPr>
        <w:pStyle w:val="210"/>
        <w:spacing w:before="240" w:after="240"/>
        <w:outlineLvl w:val="2"/>
        <w:rPr>
          <w:rFonts w:ascii="黑体" w:hAnsi="黑体" w:eastAsia="黑体"/>
          <w:b w:val="0"/>
          <w:sz w:val="21"/>
          <w:szCs w:val="21"/>
        </w:rPr>
      </w:pPr>
      <w:bookmarkStart w:id="258" w:name="_Toc172188649"/>
      <w:bookmarkStart w:id="259" w:name="_Toc172188925"/>
      <w:bookmarkStart w:id="260" w:name="_Toc172187864"/>
      <w:bookmarkStart w:id="261" w:name="_Toc16046"/>
      <w:r>
        <w:rPr>
          <w:rFonts w:ascii="黑体" w:hAnsi="黑体" w:eastAsia="黑体"/>
          <w:b w:val="0"/>
          <w:sz w:val="21"/>
          <w:szCs w:val="21"/>
        </w:rPr>
        <w:t>14.1 一般规定</w:t>
      </w:r>
      <w:bookmarkEnd w:id="258"/>
      <w:bookmarkEnd w:id="259"/>
      <w:bookmarkEnd w:id="260"/>
      <w:bookmarkEnd w:id="261"/>
    </w:p>
    <w:p>
      <w:pPr>
        <w:pStyle w:val="209"/>
        <w:numPr>
          <w:ilvl w:val="0"/>
          <w:numId w:val="49"/>
        </w:numPr>
        <w:spacing w:before="120" w:after="120"/>
        <w:jc w:val="both"/>
        <w:outlineLvl w:val="9"/>
        <w:rPr>
          <w:rFonts w:ascii="Times New Roman" w:eastAsia="宋体"/>
          <w:bCs/>
          <w:color w:val="000000"/>
        </w:rPr>
      </w:pPr>
      <w:r>
        <w:rPr>
          <w:rFonts w:ascii="Times New Roman" w:eastAsia="宋体"/>
          <w:bCs/>
          <w:color w:val="000000"/>
        </w:rPr>
        <w:t>BIM实施的组织结构宜按专业进行分组，各专业组的参与人员宜由业主、设计单位、生产单位、施工单位的相关技术人员组成。</w:t>
      </w:r>
    </w:p>
    <w:p>
      <w:pPr>
        <w:pStyle w:val="209"/>
        <w:numPr>
          <w:ilvl w:val="0"/>
          <w:numId w:val="49"/>
        </w:numPr>
        <w:spacing w:before="120" w:after="120"/>
        <w:jc w:val="both"/>
        <w:outlineLvl w:val="9"/>
        <w:rPr>
          <w:rFonts w:ascii="Times New Roman" w:eastAsia="宋体"/>
          <w:bCs/>
          <w:color w:val="000000"/>
        </w:rPr>
      </w:pPr>
      <w:r>
        <w:rPr>
          <w:rFonts w:ascii="Times New Roman" w:eastAsia="宋体"/>
          <w:bCs/>
          <w:color w:val="000000"/>
        </w:rPr>
        <w:t>应对BIM实施的过程文件、关键节点文件、交付文件进行归档，保证各专业组BIM模型、图纸、文档以及数据库的一致性。</w:t>
      </w:r>
    </w:p>
    <w:p>
      <w:pPr>
        <w:pStyle w:val="209"/>
        <w:numPr>
          <w:ilvl w:val="0"/>
          <w:numId w:val="49"/>
        </w:numPr>
        <w:spacing w:before="120" w:after="120"/>
        <w:jc w:val="both"/>
        <w:outlineLvl w:val="9"/>
        <w:rPr>
          <w:rFonts w:ascii="Times New Roman" w:eastAsia="宋体"/>
          <w:bCs/>
          <w:color w:val="000000"/>
        </w:rPr>
      </w:pPr>
      <w:r>
        <w:rPr>
          <w:rFonts w:ascii="Times New Roman" w:eastAsia="宋体"/>
          <w:bCs/>
          <w:color w:val="000000"/>
        </w:rPr>
        <w:t>宜根据BIM实施工作分解任务的决策周期、工作时间及分解任务的顺序相关性来确定最优的工作流程。</w:t>
      </w:r>
    </w:p>
    <w:p>
      <w:pPr>
        <w:pStyle w:val="209"/>
        <w:numPr>
          <w:ilvl w:val="0"/>
          <w:numId w:val="49"/>
        </w:numPr>
        <w:spacing w:before="120" w:after="120"/>
        <w:jc w:val="both"/>
        <w:outlineLvl w:val="9"/>
        <w:rPr>
          <w:rFonts w:ascii="Times New Roman" w:eastAsia="宋体"/>
          <w:bCs/>
          <w:color w:val="000000"/>
        </w:rPr>
      </w:pPr>
      <w:r>
        <w:rPr>
          <w:rFonts w:ascii="Times New Roman" w:eastAsia="宋体"/>
          <w:bCs/>
          <w:color w:val="000000"/>
        </w:rPr>
        <w:t>宜根据项目的BIM应用内容和范围确定模型中不同时间段不同元素的信息深度。</w:t>
      </w:r>
    </w:p>
    <w:p>
      <w:pPr>
        <w:pStyle w:val="209"/>
        <w:numPr>
          <w:ilvl w:val="0"/>
          <w:numId w:val="49"/>
        </w:numPr>
        <w:spacing w:before="120" w:after="120"/>
        <w:jc w:val="both"/>
        <w:outlineLvl w:val="9"/>
        <w:rPr>
          <w:rFonts w:ascii="Times New Roman" w:eastAsia="宋体"/>
          <w:bCs/>
          <w:color w:val="000000"/>
        </w:rPr>
      </w:pPr>
      <w:r>
        <w:rPr>
          <w:rFonts w:ascii="Times New Roman" w:eastAsia="宋体"/>
          <w:bCs/>
          <w:color w:val="000000"/>
        </w:rPr>
        <w:t>BIM实施过程中应保证模型信息的完备性、正确性。</w:t>
      </w:r>
    </w:p>
    <w:p>
      <w:pPr>
        <w:pStyle w:val="209"/>
        <w:numPr>
          <w:ilvl w:val="0"/>
          <w:numId w:val="49"/>
        </w:numPr>
        <w:spacing w:before="120" w:after="120"/>
        <w:jc w:val="both"/>
        <w:outlineLvl w:val="9"/>
        <w:rPr>
          <w:rFonts w:ascii="Times New Roman" w:eastAsia="宋体"/>
          <w:bCs/>
          <w:color w:val="000000"/>
        </w:rPr>
      </w:pPr>
      <w:r>
        <w:rPr>
          <w:rFonts w:ascii="Times New Roman" w:eastAsia="宋体"/>
          <w:bCs/>
          <w:color w:val="000000"/>
        </w:rPr>
        <w:t>应保证BIM实施过程中模型、图纸、文档以及数据库更新的一致性。</w:t>
      </w:r>
    </w:p>
    <w:p>
      <w:pPr>
        <w:pStyle w:val="209"/>
        <w:numPr>
          <w:ilvl w:val="0"/>
          <w:numId w:val="49"/>
        </w:numPr>
        <w:spacing w:before="120" w:after="120"/>
        <w:jc w:val="both"/>
        <w:outlineLvl w:val="9"/>
        <w:rPr>
          <w:rFonts w:ascii="Times New Roman" w:eastAsia="宋体"/>
          <w:bCs/>
        </w:rPr>
      </w:pPr>
      <w:r>
        <w:rPr>
          <w:rFonts w:ascii="Times New Roman" w:eastAsia="宋体"/>
          <w:bCs/>
        </w:rPr>
        <w:t>BIM技术应用应实现装配式建筑工程各相关方的协同工作、信息共享与交换，可支持对工程质量、安全、能耗、成本、环境等方面的分析、检査和模拟，可为项目全过程的科学决策和优化提供依据，为建设行业的提质增效、节能环保创造条件。</w:t>
      </w:r>
    </w:p>
    <w:p>
      <w:pPr>
        <w:pStyle w:val="209"/>
        <w:numPr>
          <w:ilvl w:val="0"/>
          <w:numId w:val="49"/>
        </w:numPr>
        <w:spacing w:before="120" w:after="120"/>
        <w:jc w:val="both"/>
        <w:outlineLvl w:val="9"/>
        <w:rPr>
          <w:rFonts w:ascii="Times New Roman" w:eastAsia="宋体"/>
          <w:bCs/>
        </w:rPr>
      </w:pPr>
      <w:r>
        <w:rPr>
          <w:rFonts w:ascii="Times New Roman" w:eastAsia="宋体"/>
          <w:bCs/>
        </w:rPr>
        <w:t>BIM技术应用宜涵盖装配式工程项目的全生命期，以实现全专业、全过程的信息化符理，并应在规划、设计、生产、施工、运营维护等各个阶段建立符合相应深度的可传递的建筑信息模型，并对模型进行及时修正和深化。</w:t>
      </w:r>
    </w:p>
    <w:p>
      <w:pPr>
        <w:pStyle w:val="209"/>
        <w:numPr>
          <w:ilvl w:val="0"/>
          <w:numId w:val="49"/>
        </w:numPr>
        <w:spacing w:before="120" w:after="120"/>
        <w:jc w:val="both"/>
        <w:outlineLvl w:val="9"/>
        <w:rPr>
          <w:rFonts w:ascii="Times New Roman" w:eastAsia="宋体"/>
          <w:bCs/>
        </w:rPr>
      </w:pPr>
      <w:r>
        <w:rPr>
          <w:rFonts w:ascii="Times New Roman" w:eastAsia="宋体"/>
          <w:bCs/>
        </w:rPr>
        <w:t>BIM在创建、应用和管理过程中，装配式建筑项目各实施参与方应保证信息及数据的安全可控，并宜采用合同条款的形式对相关过程模型应用成果进行保护。</w:t>
      </w:r>
    </w:p>
    <w:p>
      <w:pPr>
        <w:pStyle w:val="209"/>
        <w:numPr>
          <w:ilvl w:val="0"/>
          <w:numId w:val="49"/>
        </w:numPr>
        <w:spacing w:before="120" w:after="120"/>
        <w:jc w:val="both"/>
        <w:outlineLvl w:val="9"/>
        <w:rPr>
          <w:rFonts w:ascii="Times New Roman" w:eastAsia="宋体"/>
          <w:bCs/>
        </w:rPr>
      </w:pPr>
      <w:r>
        <w:rPr>
          <w:rFonts w:ascii="Times New Roman" w:eastAsia="宋体"/>
          <w:bCs/>
        </w:rPr>
        <w:t>装配式建筑BIM技术实施过程中，各参与方对各阶段建筑信息模型所承担的工作职责及工作范围，应与各参与方项目承包范围和承包任务一致。</w:t>
      </w:r>
    </w:p>
    <w:p>
      <w:pPr>
        <w:pStyle w:val="209"/>
        <w:numPr>
          <w:ilvl w:val="0"/>
          <w:numId w:val="49"/>
        </w:numPr>
        <w:spacing w:before="120" w:after="120"/>
        <w:jc w:val="both"/>
        <w:outlineLvl w:val="9"/>
        <w:rPr>
          <w:rFonts w:ascii="Times New Roman" w:eastAsia="宋体"/>
          <w:bCs/>
        </w:rPr>
      </w:pPr>
      <w:r>
        <w:rPr>
          <w:rFonts w:ascii="Times New Roman" w:eastAsia="宋体"/>
          <w:bCs/>
        </w:rPr>
        <w:t>BIM软件类型和版本以及不同专业软件的传递数据接口应满足数据交换的需求，并应对BIM交付成果文件（数据）格式、软件版本作统一规定。</w:t>
      </w:r>
    </w:p>
    <w:p>
      <w:pPr>
        <w:pStyle w:val="209"/>
        <w:numPr>
          <w:ilvl w:val="0"/>
          <w:numId w:val="49"/>
        </w:numPr>
        <w:spacing w:before="120" w:after="120"/>
        <w:jc w:val="both"/>
        <w:outlineLvl w:val="9"/>
        <w:rPr>
          <w:rFonts w:ascii="Times New Roman" w:eastAsia="宋体"/>
          <w:bCs/>
        </w:rPr>
      </w:pPr>
      <w:r>
        <w:rPr>
          <w:rFonts w:ascii="Times New Roman" w:eastAsia="宋体"/>
          <w:bCs/>
        </w:rPr>
        <w:t>各阶段BIM及相关成果的维护应与装配式建筑工程项目的实施进度保持同步，且应做好各阶段模型数据的衔接和传递，同时按规定节点更新，以确保二者的一致性。</w:t>
      </w:r>
    </w:p>
    <w:p>
      <w:pPr>
        <w:pStyle w:val="210"/>
        <w:spacing w:before="240" w:after="240"/>
        <w:outlineLvl w:val="2"/>
        <w:rPr>
          <w:rFonts w:ascii="黑体" w:hAnsi="黑体" w:eastAsia="黑体"/>
          <w:b w:val="0"/>
          <w:sz w:val="21"/>
          <w:szCs w:val="21"/>
        </w:rPr>
      </w:pPr>
      <w:bookmarkStart w:id="262" w:name="_Toc172188926"/>
      <w:bookmarkStart w:id="263" w:name="_Toc172188650"/>
      <w:bookmarkStart w:id="264" w:name="_Toc172187865"/>
      <w:bookmarkStart w:id="265" w:name="_Toc7039"/>
      <w:r>
        <w:rPr>
          <w:rFonts w:ascii="黑体" w:hAnsi="黑体" w:eastAsia="黑体"/>
          <w:b w:val="0"/>
          <w:sz w:val="21"/>
          <w:szCs w:val="21"/>
        </w:rPr>
        <w:t>14.2 信息化资源配置</w:t>
      </w:r>
      <w:bookmarkEnd w:id="262"/>
      <w:bookmarkEnd w:id="263"/>
      <w:bookmarkEnd w:id="264"/>
      <w:bookmarkEnd w:id="265"/>
    </w:p>
    <w:p>
      <w:pPr>
        <w:pStyle w:val="209"/>
        <w:numPr>
          <w:ilvl w:val="0"/>
          <w:numId w:val="50"/>
        </w:numPr>
        <w:spacing w:before="120" w:after="120"/>
        <w:jc w:val="both"/>
        <w:outlineLvl w:val="9"/>
        <w:rPr>
          <w:rFonts w:ascii="Times New Roman" w:eastAsia="宋体"/>
          <w:bCs/>
        </w:rPr>
      </w:pPr>
      <w:r>
        <w:rPr>
          <w:rFonts w:ascii="Times New Roman" w:eastAsia="宋体"/>
          <w:bCs/>
        </w:rPr>
        <w:t>装配式建筑BIM实施单位应建立BIM协同工作平台，协同工作平台的建设应符合实施单位自身业务特征、信息化发展规划以及工程项目的实际需求。</w:t>
      </w:r>
    </w:p>
    <w:p>
      <w:pPr>
        <w:pStyle w:val="209"/>
        <w:numPr>
          <w:ilvl w:val="0"/>
          <w:numId w:val="50"/>
        </w:numPr>
        <w:spacing w:before="120" w:after="120"/>
        <w:jc w:val="both"/>
        <w:outlineLvl w:val="9"/>
        <w:rPr>
          <w:rFonts w:ascii="Times New Roman" w:eastAsia="宋体"/>
          <w:bCs/>
        </w:rPr>
      </w:pPr>
      <w:r>
        <w:rPr>
          <w:rFonts w:ascii="Times New Roman" w:eastAsia="宋体"/>
          <w:bCs/>
        </w:rPr>
        <w:t>BIM协同工作平台宜具备良好的兼容性和可扩展性，实现数据和信息的有效集成和共享。</w:t>
      </w:r>
    </w:p>
    <w:p>
      <w:pPr>
        <w:pStyle w:val="209"/>
        <w:numPr>
          <w:ilvl w:val="0"/>
          <w:numId w:val="50"/>
        </w:numPr>
        <w:spacing w:before="120" w:after="120"/>
        <w:jc w:val="both"/>
        <w:outlineLvl w:val="9"/>
        <w:rPr>
          <w:rFonts w:ascii="Times New Roman" w:eastAsia="宋体"/>
          <w:bCs/>
        </w:rPr>
      </w:pPr>
      <w:r>
        <w:rPr>
          <w:rFonts w:ascii="Times New Roman" w:eastAsia="宋体"/>
          <w:bCs/>
        </w:rPr>
        <w:t>BIM协同工作平台应满足文件及数据的存储、更新及版本记录、权限的分级设定等功能。</w:t>
      </w:r>
    </w:p>
    <w:p>
      <w:pPr>
        <w:pStyle w:val="209"/>
        <w:numPr>
          <w:ilvl w:val="0"/>
          <w:numId w:val="50"/>
        </w:numPr>
        <w:spacing w:before="120" w:after="120"/>
        <w:jc w:val="both"/>
        <w:outlineLvl w:val="9"/>
        <w:rPr>
          <w:rFonts w:ascii="Times New Roman" w:eastAsia="宋体"/>
          <w:bCs/>
        </w:rPr>
      </w:pPr>
      <w:r>
        <w:rPr>
          <w:rFonts w:ascii="Times New Roman" w:eastAsia="宋体"/>
          <w:bCs/>
        </w:rPr>
        <w:t>装配式建筑构件库应对构件的内容、细度、命名原则、分类方法、数据格式、属性信息、版本及存储方式等方面进行管理。</w:t>
      </w:r>
    </w:p>
    <w:p>
      <w:pPr>
        <w:pStyle w:val="209"/>
        <w:numPr>
          <w:ilvl w:val="0"/>
          <w:numId w:val="50"/>
        </w:numPr>
        <w:spacing w:before="120" w:after="120"/>
        <w:jc w:val="both"/>
        <w:outlineLvl w:val="9"/>
        <w:rPr>
          <w:rFonts w:ascii="Times New Roman" w:eastAsia="宋体"/>
          <w:bCs/>
        </w:rPr>
      </w:pPr>
      <w:r>
        <w:rPr>
          <w:rFonts w:ascii="Times New Roman" w:eastAsia="宋体"/>
          <w:bCs/>
        </w:rPr>
        <w:t>装配式建筑构件和构件资源库是装配式建筑BIM实施单位的重要信息资产，实施单位应对实现构件创建、收集、存储、使用、废除等有效管理，形成可扩展的构件资源库管理机制。</w:t>
      </w:r>
    </w:p>
    <w:p>
      <w:pPr>
        <w:pStyle w:val="209"/>
        <w:numPr>
          <w:ilvl w:val="0"/>
          <w:numId w:val="50"/>
        </w:numPr>
        <w:spacing w:before="120" w:after="120"/>
        <w:jc w:val="both"/>
        <w:outlineLvl w:val="9"/>
        <w:rPr>
          <w:rFonts w:ascii="Times New Roman" w:eastAsia="宋体"/>
          <w:bCs/>
        </w:rPr>
      </w:pPr>
      <w:r>
        <w:rPr>
          <w:rFonts w:ascii="Times New Roman" w:eastAsia="宋体"/>
          <w:bCs/>
        </w:rPr>
        <w:t>为方便项目协同、快速査阅和保存文件，应制定统一的建筑信息模型文件及构件命名规则，并在各阶段中保持协调统一。</w:t>
      </w:r>
    </w:p>
    <w:p>
      <w:pPr>
        <w:pStyle w:val="210"/>
        <w:spacing w:before="240" w:after="240"/>
        <w:outlineLvl w:val="2"/>
        <w:rPr>
          <w:rFonts w:ascii="黑体" w:hAnsi="黑体" w:eastAsia="黑体"/>
          <w:b w:val="0"/>
          <w:sz w:val="21"/>
          <w:szCs w:val="21"/>
        </w:rPr>
      </w:pPr>
      <w:bookmarkStart w:id="266" w:name="_Toc172188927"/>
      <w:bookmarkStart w:id="267" w:name="_Toc172188651"/>
      <w:bookmarkStart w:id="268" w:name="_Toc172187866"/>
      <w:bookmarkStart w:id="269" w:name="_Toc26700"/>
      <w:r>
        <w:rPr>
          <w:rFonts w:ascii="黑体" w:hAnsi="黑体" w:eastAsia="黑体"/>
          <w:b w:val="0"/>
          <w:sz w:val="21"/>
          <w:szCs w:val="21"/>
        </w:rPr>
        <w:t>14.3 BIM实施规划及管理</w:t>
      </w:r>
      <w:bookmarkEnd w:id="266"/>
      <w:bookmarkEnd w:id="267"/>
      <w:bookmarkEnd w:id="268"/>
      <w:bookmarkEnd w:id="269"/>
    </w:p>
    <w:p>
      <w:pPr>
        <w:pStyle w:val="209"/>
        <w:numPr>
          <w:ilvl w:val="0"/>
          <w:numId w:val="51"/>
        </w:numPr>
        <w:spacing w:before="120" w:after="120"/>
        <w:jc w:val="both"/>
        <w:outlineLvl w:val="9"/>
        <w:rPr>
          <w:rFonts w:ascii="Times New Roman" w:eastAsia="宋体"/>
          <w:bCs/>
        </w:rPr>
      </w:pPr>
      <w:r>
        <w:rPr>
          <w:rFonts w:ascii="Times New Roman" w:eastAsia="宋体"/>
          <w:bCs/>
        </w:rPr>
        <w:t>按照实施主体不同，BIM实施组织方式可分为建设单位（业主）BIM和承包商BIM。其中，最佳组织方式为建设单位BIM，可充分发挥BIM技术的最大效益和价值。</w:t>
      </w:r>
    </w:p>
    <w:p>
      <w:pPr>
        <w:pStyle w:val="209"/>
        <w:numPr>
          <w:ilvl w:val="0"/>
          <w:numId w:val="51"/>
        </w:numPr>
        <w:spacing w:before="120" w:after="120"/>
        <w:jc w:val="both"/>
        <w:outlineLvl w:val="9"/>
        <w:rPr>
          <w:rFonts w:ascii="Times New Roman" w:eastAsia="宋体"/>
          <w:bCs/>
        </w:rPr>
      </w:pPr>
      <w:r>
        <w:rPr>
          <w:rFonts w:ascii="Times New Roman" w:eastAsia="宋体"/>
          <w:bCs/>
        </w:rPr>
        <w:t>按照BIM应用阶段不同，BIM应用模式可分为全生命期BIM和阶段性BIM，全生命期BIM包括方案设计阶段、初步设计阶段、施工图设计阶段、深化设计阶段、施工准备阶段、施工实施阶段和运营维护阶段，阶段性BIM是针对全生命期的某一阶段或部分阶段进行BIM技术应用。</w:t>
      </w:r>
    </w:p>
    <w:p>
      <w:pPr>
        <w:pStyle w:val="209"/>
        <w:numPr>
          <w:ilvl w:val="0"/>
          <w:numId w:val="51"/>
        </w:numPr>
        <w:spacing w:before="120" w:after="120"/>
        <w:jc w:val="both"/>
        <w:outlineLvl w:val="9"/>
        <w:rPr>
          <w:rFonts w:ascii="Times New Roman" w:eastAsia="宋体"/>
          <w:bCs/>
        </w:rPr>
      </w:pPr>
      <w:r>
        <w:rPr>
          <w:rFonts w:ascii="Times New Roman" w:eastAsia="宋体"/>
          <w:bCs/>
        </w:rPr>
        <w:t>BIM组织架构一般由BIM需求方（建设单位/承包商）、BIM总协调方、BIM设计方、BIM施工和监理方、BIM运营维护方等组成。</w:t>
      </w:r>
    </w:p>
    <w:p>
      <w:pPr>
        <w:pStyle w:val="209"/>
        <w:numPr>
          <w:ilvl w:val="0"/>
          <w:numId w:val="51"/>
        </w:numPr>
        <w:spacing w:before="120" w:after="120"/>
        <w:jc w:val="both"/>
        <w:outlineLvl w:val="9"/>
        <w:rPr>
          <w:rFonts w:ascii="Times New Roman" w:eastAsia="宋体"/>
          <w:bCs/>
        </w:rPr>
      </w:pPr>
      <w:r>
        <w:rPr>
          <w:rFonts w:ascii="Times New Roman" w:eastAsia="宋体"/>
          <w:bCs/>
        </w:rPr>
        <w:t>应建立项目BIM管理流程和机制，包括监督BIM实施质量及进度、协调各参与方工作、管理BIM数据信息和成果。</w:t>
      </w:r>
    </w:p>
    <w:p>
      <w:pPr>
        <w:pStyle w:val="210"/>
        <w:spacing w:before="240" w:after="240"/>
        <w:rPr>
          <w:rFonts w:ascii="黑体" w:hAnsi="黑体" w:eastAsia="黑体"/>
          <w:b w:val="0"/>
          <w:sz w:val="21"/>
          <w:szCs w:val="21"/>
        </w:rPr>
      </w:pPr>
      <w:r>
        <w:rPr>
          <w:rFonts w:ascii="黑体" w:hAnsi="黑体" w:eastAsia="黑体"/>
          <w:b w:val="0"/>
          <w:sz w:val="21"/>
          <w:szCs w:val="21"/>
        </w:rPr>
        <w:t xml:space="preserve">15 </w:t>
      </w:r>
      <w:r>
        <w:rPr>
          <w:rFonts w:hint="eastAsia" w:ascii="黑体" w:hAnsi="黑体" w:eastAsia="黑体"/>
          <w:b w:val="0"/>
          <w:sz w:val="21"/>
          <w:szCs w:val="21"/>
        </w:rPr>
        <w:t>标准实施及评价</w:t>
      </w:r>
    </w:p>
    <w:p>
      <w:pPr>
        <w:pStyle w:val="209"/>
        <w:numPr>
          <w:ilvl w:val="0"/>
          <w:numId w:val="0"/>
        </w:numPr>
        <w:spacing w:before="120" w:after="120"/>
        <w:jc w:val="both"/>
        <w:outlineLvl w:val="9"/>
        <w:rPr>
          <w:rFonts w:ascii="Times New Roman" w:eastAsia="宋体"/>
          <w:bCs/>
        </w:rPr>
      </w:pPr>
      <w:r>
        <w:rPr>
          <w:rFonts w:hAnsi="黑体"/>
          <w:bCs/>
        </w:rPr>
        <w:t>15.1</w:t>
      </w:r>
      <w:r>
        <w:rPr>
          <w:rFonts w:hint="eastAsia" w:ascii="Times New Roman" w:eastAsia="宋体"/>
          <w:bCs/>
        </w:rPr>
        <w:t xml:space="preserve"> 结合实际，认真做好标准实施准备，包括标准实施的方案准备、组织准备、知识准备、手段准备和物质条件准备等。</w:t>
      </w:r>
    </w:p>
    <w:p>
      <w:pPr>
        <w:pStyle w:val="209"/>
        <w:numPr>
          <w:ilvl w:val="0"/>
          <w:numId w:val="0"/>
        </w:numPr>
        <w:spacing w:before="120" w:after="120"/>
        <w:jc w:val="both"/>
        <w:outlineLvl w:val="9"/>
        <w:rPr>
          <w:rFonts w:ascii="Times New Roman" w:eastAsia="宋体"/>
          <w:bCs/>
        </w:rPr>
      </w:pPr>
      <w:r>
        <w:rPr>
          <w:rFonts w:hAnsi="黑体"/>
          <w:bCs/>
        </w:rPr>
        <w:t xml:space="preserve">15.2 </w:t>
      </w:r>
      <w:r>
        <w:rPr>
          <w:rFonts w:hint="eastAsia" w:ascii="Times New Roman" w:eastAsia="宋体"/>
          <w:bCs/>
        </w:rPr>
        <w:t>制定标准实施方案，明确适用对象和场景、提供实施必备条件和保障（组织、制度、资金、人员和设备仪器等）、推荐方法路径，确定资源要素配置、关键环节和控制点，提出标准实施中的注意事项。</w:t>
      </w:r>
    </w:p>
    <w:p>
      <w:pPr>
        <w:pStyle w:val="209"/>
        <w:numPr>
          <w:ilvl w:val="0"/>
          <w:numId w:val="0"/>
        </w:numPr>
        <w:spacing w:before="120" w:after="120"/>
        <w:jc w:val="both"/>
        <w:outlineLvl w:val="9"/>
        <w:rPr>
          <w:rFonts w:ascii="Times New Roman" w:eastAsia="宋体"/>
          <w:bCs/>
        </w:rPr>
      </w:pPr>
      <w:r>
        <w:rPr>
          <w:rFonts w:hAnsi="黑体"/>
          <w:bCs/>
        </w:rPr>
        <w:t xml:space="preserve">15.3 </w:t>
      </w:r>
      <w:r>
        <w:rPr>
          <w:rFonts w:hint="eastAsia" w:ascii="Times New Roman" w:eastAsia="宋体"/>
          <w:bCs/>
        </w:rPr>
        <w:t>针对相关方和具体对象</w:t>
      </w:r>
      <w:r>
        <w:rPr>
          <w:rFonts w:ascii="Times New Roman" w:eastAsia="宋体"/>
          <w:bCs/>
        </w:rPr>
        <w:t>/</w:t>
      </w:r>
      <w:r>
        <w:rPr>
          <w:rFonts w:hint="eastAsia" w:ascii="Times New Roman" w:eastAsia="宋体"/>
          <w:bCs/>
        </w:rPr>
        <w:t>岗位进行标准宣贯和培训，结合标准要求，落实责任制，做到横向到边，纵向到底。</w:t>
      </w:r>
    </w:p>
    <w:p>
      <w:pPr>
        <w:pStyle w:val="209"/>
        <w:numPr>
          <w:ilvl w:val="0"/>
          <w:numId w:val="0"/>
        </w:numPr>
        <w:spacing w:before="120" w:after="120"/>
        <w:jc w:val="both"/>
        <w:outlineLvl w:val="9"/>
        <w:rPr>
          <w:rFonts w:ascii="Times New Roman" w:eastAsia="宋体"/>
          <w:bCs/>
        </w:rPr>
      </w:pPr>
      <w:r>
        <w:rPr>
          <w:rFonts w:hAnsi="黑体"/>
          <w:bCs/>
        </w:rPr>
        <w:t xml:space="preserve">15.4 </w:t>
      </w:r>
      <w:r>
        <w:rPr>
          <w:rFonts w:hint="eastAsia" w:ascii="Times New Roman" w:eastAsia="宋体"/>
          <w:bCs/>
        </w:rPr>
        <w:t>标准实施主要在工程建设活动中开展。工程建设活动标准实施的重点是落实国家的环境保护、健康、卫生、安全的要求。</w:t>
      </w:r>
    </w:p>
    <w:p>
      <w:pPr>
        <w:pStyle w:val="209"/>
        <w:numPr>
          <w:ilvl w:val="0"/>
          <w:numId w:val="0"/>
        </w:numPr>
        <w:spacing w:before="120" w:after="120"/>
        <w:jc w:val="both"/>
        <w:outlineLvl w:val="9"/>
        <w:rPr>
          <w:rFonts w:ascii="Times New Roman" w:eastAsia="宋体"/>
          <w:bCs/>
        </w:rPr>
      </w:pPr>
      <w:r>
        <w:rPr>
          <w:rFonts w:hAnsi="黑体"/>
          <w:bCs/>
        </w:rPr>
        <w:t xml:space="preserve">15.5 </w:t>
      </w:r>
      <w:r>
        <w:rPr>
          <w:rFonts w:hint="eastAsia" w:ascii="Times New Roman" w:eastAsia="宋体"/>
          <w:bCs/>
        </w:rPr>
        <w:t>标准实施的检查主要是检查标准实施方案的落实情况，需要逐条检查标准实施内容的落实，并记录未实施内容的理由或原因。标准实施检查也要检查标准实施的支持手段和物质条件的落实情况。做好标准实施验证记录，畅通标准实施信息采集的方式方法和反馈渠道，定期整理并处理收集到的意见建议。</w:t>
      </w:r>
    </w:p>
    <w:p>
      <w:pPr>
        <w:pStyle w:val="209"/>
        <w:numPr>
          <w:ilvl w:val="0"/>
          <w:numId w:val="0"/>
        </w:numPr>
        <w:spacing w:before="120" w:after="120"/>
        <w:ind w:firstLine="420" w:firstLineChars="200"/>
        <w:jc w:val="both"/>
        <w:outlineLvl w:val="9"/>
        <w:rPr>
          <w:rFonts w:ascii="Times New Roman" w:eastAsia="宋体"/>
          <w:bCs/>
        </w:rPr>
      </w:pPr>
      <w:r>
        <w:rPr>
          <w:rFonts w:hint="eastAsia" w:ascii="Times New Roman" w:eastAsia="宋体"/>
          <w:bCs/>
        </w:rPr>
        <w:t>对标准实施评价的基本依据是《中华人民共和国标准化法》等。</w:t>
      </w:r>
    </w:p>
    <w:p>
      <w:pPr>
        <w:pStyle w:val="209"/>
        <w:numPr>
          <w:ilvl w:val="0"/>
          <w:numId w:val="0"/>
        </w:numPr>
        <w:spacing w:before="120" w:after="120"/>
        <w:jc w:val="both"/>
        <w:outlineLvl w:val="9"/>
        <w:rPr>
          <w:rFonts w:ascii="Times New Roman" w:eastAsia="宋体"/>
          <w:bCs/>
        </w:rPr>
      </w:pPr>
      <w:r>
        <w:rPr>
          <w:rFonts w:hAnsi="黑体"/>
          <w:bCs/>
        </w:rPr>
        <w:t xml:space="preserve">15.6 </w:t>
      </w:r>
      <w:r>
        <w:rPr>
          <w:rFonts w:hint="eastAsia" w:ascii="Times New Roman" w:eastAsia="宋体"/>
          <w:bCs/>
        </w:rPr>
        <w:t>在标准实施一定时间后，对照标准实施方案，开展标准实施效果评价分析，总结实施经验成效，梳理存在的薄弱环节，标准实施的评价主要是评价标准实施的效果，主要从技术进步、质量水平提高、客户满意度、规范秩序、效率提高、节约费用、节省时间、履行社会责任等方面进行有益性评价，同时还要评价标准实施带米的问题，以便为未来改进提供参考。</w:t>
      </w:r>
    </w:p>
    <w:p>
      <w:pPr>
        <w:pStyle w:val="209"/>
        <w:numPr>
          <w:ilvl w:val="0"/>
          <w:numId w:val="0"/>
        </w:numPr>
        <w:spacing w:before="120" w:after="120"/>
        <w:jc w:val="both"/>
        <w:outlineLvl w:val="9"/>
        <w:rPr>
          <w:rFonts w:ascii="Times New Roman" w:eastAsia="宋体"/>
          <w:bCs/>
        </w:rPr>
      </w:pPr>
      <w:r>
        <w:rPr>
          <w:rFonts w:hAnsi="黑体"/>
          <w:bCs/>
        </w:rPr>
        <w:t xml:space="preserve">15.7 </w:t>
      </w:r>
      <w:r>
        <w:rPr>
          <w:rFonts w:hint="eastAsia" w:ascii="Times New Roman" w:eastAsia="宋体"/>
          <w:bCs/>
        </w:rPr>
        <w:t>适时向专业标准化技术委员会和标准归口管理单位反馈情况，提出标准推广、修改、补充、完善或者废止等意见建议。</w:t>
      </w:r>
    </w:p>
    <w:p>
      <w:pPr>
        <w:pStyle w:val="209"/>
        <w:numPr>
          <w:ilvl w:val="0"/>
          <w:numId w:val="0"/>
        </w:numPr>
        <w:spacing w:before="120" w:after="120"/>
        <w:jc w:val="both"/>
        <w:outlineLvl w:val="9"/>
        <w:rPr>
          <w:rFonts w:ascii="Times New Roman" w:eastAsia="宋体"/>
          <w:bCs/>
        </w:rPr>
      </w:pPr>
      <w:r>
        <w:rPr>
          <w:rFonts w:hAnsi="黑体"/>
          <w:bCs/>
        </w:rPr>
        <w:t xml:space="preserve">15.8 </w:t>
      </w:r>
      <w:r>
        <w:rPr>
          <w:rFonts w:hint="eastAsia" w:ascii="Times New Roman" w:eastAsia="宋体"/>
          <w:bCs/>
        </w:rPr>
        <w:t>标准实施信息及意见反馈表相关示例见附录</w:t>
      </w:r>
      <w:r>
        <w:rPr>
          <w:rFonts w:ascii="Times New Roman" w:eastAsia="宋体"/>
          <w:bCs/>
        </w:rPr>
        <w:t>A</w:t>
      </w:r>
      <w:r>
        <w:rPr>
          <w:rFonts w:hint="eastAsia" w:ascii="Times New Roman" w:eastAsia="宋体"/>
          <w:bCs/>
        </w:rPr>
        <w:t>。</w:t>
      </w:r>
    </w:p>
    <w:p>
      <w:pPr>
        <w:pStyle w:val="209"/>
        <w:numPr>
          <w:ilvl w:val="0"/>
          <w:numId w:val="0"/>
        </w:numPr>
        <w:spacing w:before="120" w:after="120"/>
        <w:ind w:left="567"/>
        <w:jc w:val="both"/>
        <w:outlineLvl w:val="9"/>
        <w:rPr>
          <w:rFonts w:ascii="Times New Roman" w:eastAsia="宋体"/>
          <w:bCs/>
        </w:rPr>
      </w:pPr>
      <w:r>
        <w:rPr>
          <w:rFonts w:ascii="Times New Roman" w:eastAsia="宋体"/>
          <w:bCs/>
        </w:rPr>
        <w:br w:type="page"/>
      </w:r>
    </w:p>
    <w:p>
      <w:pPr>
        <w:widowControl/>
        <w:shd w:val="clear" w:color="FFFFFF" w:fill="FFFFFF"/>
        <w:tabs>
          <w:tab w:val="left" w:pos="6406"/>
        </w:tabs>
        <w:spacing w:before="60" w:beforeLines="25" w:after="120" w:afterLines="50"/>
        <w:jc w:val="center"/>
        <w:outlineLvl w:val="1"/>
        <w:rPr>
          <w:rFonts w:ascii="黑体" w:hAnsi="Times New Roman" w:eastAsia="黑体" w:cs="Times New Roman"/>
          <w:color w:val="auto"/>
          <w:sz w:val="21"/>
          <w:szCs w:val="20"/>
          <w:lang w:val="en-US"/>
        </w:rPr>
      </w:pPr>
      <w:bookmarkStart w:id="270" w:name="_Toc172188652"/>
      <w:bookmarkStart w:id="271" w:name="_Toc172188928"/>
      <w:bookmarkStart w:id="272" w:name="_Toc172187867"/>
      <w:r>
        <w:rPr>
          <w:rFonts w:hint="eastAsia" w:ascii="黑体" w:hAnsi="Times New Roman" w:eastAsia="黑体" w:cs="Times New Roman"/>
          <w:color w:val="auto"/>
          <w:sz w:val="21"/>
          <w:szCs w:val="20"/>
          <w:lang w:val="en-US"/>
        </w:rPr>
        <w:t xml:space="preserve">附 录 </w:t>
      </w:r>
      <w:r>
        <w:rPr>
          <w:rFonts w:ascii="黑体" w:hAnsi="Times New Roman" w:eastAsia="黑体" w:cs="Times New Roman"/>
          <w:color w:val="auto"/>
          <w:sz w:val="21"/>
          <w:szCs w:val="20"/>
          <w:lang w:val="en-US"/>
        </w:rPr>
        <w:t>A</w:t>
      </w:r>
      <w:bookmarkStart w:id="273" w:name="_Toc151390325"/>
      <w:bookmarkStart w:id="274" w:name="_Toc151389568"/>
      <w:bookmarkStart w:id="275" w:name="_Toc151390230"/>
    </w:p>
    <w:p>
      <w:pPr>
        <w:widowControl/>
        <w:shd w:val="clear" w:color="FFFFFF" w:fill="FFFFFF"/>
        <w:tabs>
          <w:tab w:val="left" w:pos="6406"/>
        </w:tabs>
        <w:spacing w:before="60" w:beforeLines="25" w:after="120" w:afterLines="50"/>
        <w:jc w:val="center"/>
        <w:outlineLvl w:val="1"/>
        <w:rPr>
          <w:rFonts w:ascii="黑体" w:hAnsi="Times New Roman" w:eastAsia="黑体" w:cs="Times New Roman"/>
          <w:color w:val="auto"/>
          <w:sz w:val="21"/>
          <w:szCs w:val="20"/>
          <w:lang w:val="en-US"/>
        </w:rPr>
      </w:pPr>
      <w:r>
        <w:rPr>
          <w:rFonts w:hint="eastAsia" w:ascii="黑体" w:hAnsi="Times New Roman" w:eastAsia="黑体" w:cs="Times New Roman"/>
          <w:color w:val="auto"/>
          <w:sz w:val="21"/>
          <w:szCs w:val="20"/>
          <w:lang w:val="en-US"/>
        </w:rPr>
        <w:t>（资料性）</w:t>
      </w:r>
    </w:p>
    <w:p>
      <w:pPr>
        <w:widowControl/>
        <w:shd w:val="clear" w:color="FFFFFF" w:fill="FFFFFF"/>
        <w:tabs>
          <w:tab w:val="left" w:pos="6406"/>
        </w:tabs>
        <w:spacing w:before="60" w:beforeLines="25" w:after="120" w:afterLines="50"/>
        <w:jc w:val="center"/>
        <w:outlineLvl w:val="1"/>
        <w:rPr>
          <w:rFonts w:ascii="黑体" w:hAnsi="Times New Roman" w:eastAsia="黑体" w:cs="Times New Roman"/>
          <w:color w:val="auto"/>
          <w:sz w:val="21"/>
          <w:szCs w:val="20"/>
          <w:lang w:val="en-US"/>
        </w:rPr>
      </w:pPr>
      <w:r>
        <w:rPr>
          <w:rFonts w:hint="eastAsia" w:ascii="黑体" w:hAnsi="Times New Roman" w:eastAsia="黑体" w:cs="Times New Roman"/>
          <w:color w:val="auto"/>
          <w:sz w:val="21"/>
          <w:szCs w:val="20"/>
          <w:lang w:val="en-US"/>
        </w:rPr>
        <w:t>湖北省地方标准实施信息及意见反馈表</w:t>
      </w:r>
      <w:bookmarkEnd w:id="270"/>
      <w:bookmarkEnd w:id="271"/>
      <w:bookmarkEnd w:id="272"/>
      <w:bookmarkEnd w:id="273"/>
      <w:bookmarkEnd w:id="274"/>
      <w:bookmarkEnd w:id="275"/>
    </w:p>
    <w:p>
      <w:pPr>
        <w:widowControl/>
        <w:autoSpaceDE w:val="0"/>
        <w:autoSpaceDN w:val="0"/>
        <w:ind w:firstLine="420" w:firstLineChars="200"/>
        <w:jc w:val="both"/>
        <w:rPr>
          <w:rFonts w:ascii="宋体" w:hAnsi="Times New Roman" w:eastAsia="宋体" w:cs="Times New Roman"/>
          <w:color w:val="auto"/>
          <w:sz w:val="21"/>
          <w:szCs w:val="20"/>
          <w:lang w:val="en-US"/>
        </w:rPr>
      </w:pPr>
      <w:r>
        <w:rPr>
          <w:rFonts w:hint="eastAsia" w:ascii="宋体" w:hAnsi="Times New Roman" w:eastAsia="宋体" w:cs="Times New Roman"/>
          <w:color w:val="auto"/>
          <w:sz w:val="21"/>
          <w:szCs w:val="20"/>
          <w:lang w:val="en-US"/>
        </w:rPr>
        <w:t>湖北省地方标准实施信息及意见反馈表如表</w:t>
      </w:r>
      <w:r>
        <w:rPr>
          <w:rFonts w:ascii="宋体" w:hAnsi="Times New Roman" w:eastAsia="宋体" w:cs="Times New Roman"/>
          <w:color w:val="auto"/>
          <w:sz w:val="21"/>
          <w:szCs w:val="20"/>
          <w:lang w:val="en-US"/>
        </w:rPr>
        <w:t>A</w:t>
      </w:r>
      <w:r>
        <w:rPr>
          <w:rFonts w:hint="eastAsia" w:ascii="宋体" w:hAnsi="Times New Roman" w:eastAsia="宋体" w:cs="Times New Roman"/>
          <w:color w:val="auto"/>
          <w:sz w:val="21"/>
          <w:szCs w:val="20"/>
          <w:lang w:val="en-US"/>
        </w:rPr>
        <w:t>.1所示。</w:t>
      </w:r>
    </w:p>
    <w:p>
      <w:pPr>
        <w:widowControl/>
        <w:numPr>
          <w:ilvl w:val="1"/>
          <w:numId w:val="0"/>
        </w:numPr>
        <w:adjustRightInd w:val="0"/>
        <w:snapToGrid w:val="0"/>
        <w:spacing w:before="120" w:beforeLines="50" w:after="120" w:afterLines="50"/>
        <w:ind w:firstLine="420"/>
        <w:jc w:val="center"/>
        <w:textAlignment w:val="baseline"/>
        <w:rPr>
          <w:rFonts w:ascii="黑体" w:hAnsi="Times New Roman" w:eastAsia="黑体" w:cs="Times New Roman"/>
          <w:color w:val="auto"/>
          <w:kern w:val="21"/>
          <w:sz w:val="21"/>
          <w:szCs w:val="20"/>
          <w:lang w:val="en-US"/>
        </w:rPr>
      </w:pPr>
      <w:r>
        <w:rPr>
          <w:rFonts w:hint="eastAsia" w:ascii="黑体" w:hAnsi="Times New Roman" w:eastAsia="黑体" w:cs="Times New Roman"/>
          <w:color w:val="auto"/>
          <w:kern w:val="21"/>
          <w:sz w:val="21"/>
          <w:szCs w:val="20"/>
          <w:lang w:val="en-US"/>
        </w:rPr>
        <w:t>表</w:t>
      </w:r>
      <w:r>
        <w:rPr>
          <w:rFonts w:ascii="黑体" w:hAnsi="Times New Roman" w:eastAsia="黑体" w:cs="Times New Roman"/>
          <w:color w:val="auto"/>
          <w:kern w:val="21"/>
          <w:sz w:val="21"/>
          <w:szCs w:val="20"/>
          <w:lang w:val="en-US"/>
        </w:rPr>
        <w:t xml:space="preserve">A.1 </w:t>
      </w:r>
      <w:r>
        <w:rPr>
          <w:rFonts w:hint="eastAsia" w:ascii="黑体" w:hAnsi="Times New Roman" w:eastAsia="黑体" w:cs="Times New Roman"/>
          <w:color w:val="auto"/>
          <w:kern w:val="21"/>
          <w:sz w:val="21"/>
          <w:szCs w:val="20"/>
          <w:lang w:val="en-US"/>
        </w:rPr>
        <w:t>湖北省地方标准实施信息及意见反馈表</w:t>
      </w:r>
    </w:p>
    <w:tbl>
      <w:tblPr>
        <w:tblStyle w:val="247"/>
        <w:tblW w:w="90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1"/>
        <w:gridCol w:w="823"/>
        <w:gridCol w:w="338"/>
        <w:gridCol w:w="2192"/>
        <w:gridCol w:w="3109"/>
        <w:gridCol w:w="13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6" w:hRule="atLeast"/>
          <w:jc w:val="center"/>
        </w:trPr>
        <w:tc>
          <w:tcPr>
            <w:tcW w:w="2034" w:type="dxa"/>
            <w:gridSpan w:val="2"/>
            <w:tcBorders>
              <w:top w:val="single" w:color="auto" w:sz="12" w:space="0"/>
              <w:left w:val="single" w:color="auto" w:sz="12" w:space="0"/>
              <w:bottom w:val="single" w:color="000000" w:sz="2" w:space="0"/>
              <w:right w:val="single" w:color="auto" w:sz="4" w:space="0"/>
            </w:tcBorders>
            <w:vAlign w:val="center"/>
          </w:tcPr>
          <w:p>
            <w:pPr>
              <w:widowControl/>
              <w:kinsoku w:val="0"/>
              <w:autoSpaceDE w:val="0"/>
              <w:autoSpaceDN w:val="0"/>
              <w:snapToGrid w:val="0"/>
              <w:ind w:left="115"/>
              <w:textAlignment w:val="baseline"/>
              <w:rPr>
                <w:rFonts w:ascii="宋体" w:hAnsi="宋体" w:eastAsia="宋体" w:cs="Times New Roman"/>
                <w:sz w:val="18"/>
                <w:szCs w:val="18"/>
                <w:lang w:val="en-US"/>
              </w:rPr>
            </w:pPr>
            <w:r>
              <w:rPr>
                <w:rFonts w:hint="eastAsia" w:ascii="宋体" w:hAnsi="宋体" w:eastAsia="宋体" w:cs="Times New Roman"/>
                <w:spacing w:val="9"/>
                <w:sz w:val="18"/>
                <w:szCs w:val="18"/>
                <w:lang w:val="en-US"/>
              </w:rPr>
              <w:t>标准名称及编号</w:t>
            </w:r>
          </w:p>
        </w:tc>
        <w:tc>
          <w:tcPr>
            <w:tcW w:w="7023" w:type="dxa"/>
            <w:gridSpan w:val="4"/>
            <w:tcBorders>
              <w:top w:val="single" w:color="auto" w:sz="12" w:space="0"/>
              <w:left w:val="single" w:color="auto" w:sz="4" w:space="0"/>
              <w:bottom w:val="single" w:color="000000" w:sz="2" w:space="0"/>
              <w:right w:val="single" w:color="auto" w:sz="12" w:space="0"/>
            </w:tcBorders>
            <w:vAlign w:val="center"/>
          </w:tcPr>
          <w:p>
            <w:pPr>
              <w:rPr>
                <w:rFonts w:ascii="宋体" w:hAnsi="宋体" w:eastAsia="宋体" w:cs="Arial"/>
                <w:color w:val="auto"/>
                <w:sz w:val="18"/>
                <w:szCs w:val="18"/>
                <w:lang w:val="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06" w:hRule="atLeast"/>
          <w:jc w:val="center"/>
        </w:trPr>
        <w:tc>
          <w:tcPr>
            <w:tcW w:w="1211" w:type="dxa"/>
            <w:vMerge w:val="restart"/>
            <w:tcBorders>
              <w:top w:val="single" w:color="auto" w:sz="12" w:space="0"/>
              <w:left w:val="single" w:color="auto" w:sz="12" w:space="0"/>
              <w:bottom w:val="single" w:color="auto" w:sz="4" w:space="0"/>
              <w:right w:val="single" w:color="auto" w:sz="4" w:space="0"/>
            </w:tcBorders>
            <w:vAlign w:val="center"/>
          </w:tcPr>
          <w:p>
            <w:pPr>
              <w:widowControl/>
              <w:kinsoku w:val="0"/>
              <w:autoSpaceDE w:val="0"/>
              <w:autoSpaceDN w:val="0"/>
              <w:snapToGrid w:val="0"/>
              <w:ind w:left="147"/>
              <w:textAlignment w:val="baseline"/>
              <w:rPr>
                <w:rFonts w:ascii="宋体" w:hAnsi="宋体" w:eastAsia="宋体" w:cs="Times New Roman"/>
                <w:sz w:val="18"/>
                <w:szCs w:val="18"/>
                <w:lang w:val="en-US"/>
              </w:rPr>
            </w:pPr>
            <w:r>
              <w:rPr>
                <w:rFonts w:hint="eastAsia" w:ascii="宋体" w:hAnsi="宋体" w:eastAsia="宋体" w:cs="Times New Roman"/>
                <w:spacing w:val="3"/>
                <w:sz w:val="18"/>
                <w:szCs w:val="18"/>
                <w:lang w:val="en-US"/>
              </w:rPr>
              <w:t>总体评价</w:t>
            </w:r>
          </w:p>
        </w:tc>
        <w:tc>
          <w:tcPr>
            <w:tcW w:w="1161" w:type="dxa"/>
            <w:gridSpan w:val="2"/>
            <w:tcBorders>
              <w:top w:val="single" w:color="auto" w:sz="12" w:space="0"/>
              <w:left w:val="single" w:color="auto" w:sz="4" w:space="0"/>
              <w:bottom w:val="single" w:color="auto" w:sz="4" w:space="0"/>
              <w:right w:val="single" w:color="auto" w:sz="4" w:space="0"/>
            </w:tcBorders>
            <w:vAlign w:val="center"/>
          </w:tcPr>
          <w:p>
            <w:pPr>
              <w:widowControl/>
              <w:kinsoku w:val="0"/>
              <w:autoSpaceDE w:val="0"/>
              <w:autoSpaceDN w:val="0"/>
              <w:snapToGrid w:val="0"/>
              <w:ind w:left="229"/>
              <w:textAlignment w:val="baseline"/>
              <w:rPr>
                <w:rFonts w:ascii="宋体" w:hAnsi="宋体" w:eastAsia="宋体" w:cs="Times New Roman"/>
                <w:sz w:val="18"/>
                <w:szCs w:val="18"/>
                <w:lang w:val="en-US"/>
              </w:rPr>
            </w:pPr>
            <w:r>
              <w:rPr>
                <w:rFonts w:hint="eastAsia" w:ascii="宋体" w:hAnsi="宋体" w:eastAsia="宋体" w:cs="Times New Roman"/>
                <w:spacing w:val="5"/>
                <w:sz w:val="18"/>
                <w:szCs w:val="18"/>
                <w:lang w:val="en-US"/>
              </w:rPr>
              <w:t>适用性</w:t>
            </w:r>
          </w:p>
        </w:tc>
        <w:tc>
          <w:tcPr>
            <w:tcW w:w="5301" w:type="dxa"/>
            <w:gridSpan w:val="2"/>
            <w:tcBorders>
              <w:top w:val="single" w:color="auto" w:sz="12" w:space="0"/>
              <w:left w:val="single" w:color="auto" w:sz="4" w:space="0"/>
              <w:bottom w:val="single" w:color="auto" w:sz="4" w:space="0"/>
              <w:right w:val="single" w:color="auto" w:sz="4" w:space="0"/>
            </w:tcBorders>
            <w:vAlign w:val="center"/>
          </w:tcPr>
          <w:p>
            <w:pPr>
              <w:widowControl/>
              <w:kinsoku w:val="0"/>
              <w:autoSpaceDE w:val="0"/>
              <w:autoSpaceDN w:val="0"/>
              <w:snapToGrid w:val="0"/>
              <w:ind w:left="116" w:right="103"/>
              <w:textAlignment w:val="baseline"/>
              <w:rPr>
                <w:rFonts w:ascii="宋体" w:hAnsi="宋体" w:eastAsia="宋体" w:cs="Times New Roman"/>
                <w:spacing w:val="11"/>
                <w:sz w:val="18"/>
                <w:szCs w:val="18"/>
                <w:lang w:val="en-US"/>
              </w:rPr>
            </w:pPr>
            <w:r>
              <w:rPr>
                <w:rFonts w:hint="eastAsia" w:ascii="宋体" w:hAnsi="宋体" w:eastAsia="宋体" w:cs="Times New Roman"/>
                <w:spacing w:val="11"/>
                <w:sz w:val="18"/>
                <w:szCs w:val="18"/>
                <w:lang w:val="en-US"/>
              </w:rPr>
              <w:t>该标准与当前所在地的产业或社会发展水平是否</w:t>
            </w:r>
          </w:p>
          <w:p>
            <w:pPr>
              <w:widowControl/>
              <w:kinsoku w:val="0"/>
              <w:autoSpaceDE w:val="0"/>
              <w:autoSpaceDN w:val="0"/>
              <w:snapToGrid w:val="0"/>
              <w:ind w:left="116" w:right="103"/>
              <w:textAlignment w:val="baseline"/>
              <w:rPr>
                <w:rFonts w:ascii="宋体" w:hAnsi="宋体" w:eastAsia="宋体" w:cs="Times New Roman"/>
                <w:sz w:val="18"/>
                <w:szCs w:val="18"/>
                <w:lang w:val="en-US"/>
              </w:rPr>
            </w:pPr>
            <w:r>
              <w:rPr>
                <w:rFonts w:hint="eastAsia" w:ascii="宋体" w:hAnsi="宋体" w:eastAsia="宋体" w:cs="Times New Roman"/>
                <w:spacing w:val="11"/>
                <w:sz w:val="18"/>
                <w:szCs w:val="18"/>
                <w:lang w:val="en-US"/>
              </w:rPr>
              <w:t>相匹配？</w:t>
            </w:r>
          </w:p>
        </w:tc>
        <w:tc>
          <w:tcPr>
            <w:tcW w:w="1384" w:type="dxa"/>
            <w:tcBorders>
              <w:top w:val="single" w:color="auto" w:sz="12" w:space="0"/>
              <w:left w:val="single" w:color="auto" w:sz="4" w:space="0"/>
              <w:bottom w:val="single" w:color="auto" w:sz="4" w:space="0"/>
              <w:right w:val="single" w:color="auto" w:sz="12" w:space="0"/>
            </w:tcBorders>
            <w:vAlign w:val="center"/>
          </w:tcPr>
          <w:p>
            <w:pPr>
              <w:widowControl/>
              <w:kinsoku w:val="0"/>
              <w:autoSpaceDE w:val="0"/>
              <w:autoSpaceDN w:val="0"/>
              <w:snapToGrid w:val="0"/>
              <w:ind w:left="127"/>
              <w:textAlignment w:val="baseline"/>
              <w:rPr>
                <w:rFonts w:ascii="宋体" w:hAnsi="宋体" w:eastAsia="宋体" w:cs="Times New Roman"/>
                <w:sz w:val="18"/>
                <w:szCs w:val="18"/>
                <w:lang w:val="en-US"/>
              </w:rPr>
            </w:pPr>
            <w:r>
              <w:rPr>
                <w:rFonts w:ascii="宋体" w:hAnsi="宋体" w:eastAsia="Times New Roman" w:cs="Times New Roman"/>
                <w:sz w:val="18"/>
                <w:szCs w:val="18"/>
                <w:lang w:val="en-US"/>
              </w:rPr>
              <w:drawing>
                <wp:inline distT="0" distB="0" distL="0" distR="0">
                  <wp:extent cx="114300" cy="114300"/>
                  <wp:effectExtent l="0" t="0" r="0" b="0"/>
                  <wp:docPr id="26" name="图片 26" descr="C:\Users\ADMINI~1.USE\AppData\Local\Temp\ksohtml11916\wps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C:\Users\ADMINI~1.USE\AppData\Local\Temp\ksohtml11916\wps1.png"/>
                          <pic:cNvPicPr>
                            <a:picLocks noChangeAspect="true" noChangeArrowheads="true"/>
                          </pic:cNvPicPr>
                        </pic:nvPicPr>
                        <pic:blipFill>
                          <a:blip r:embed="rId168">
                            <a:extLst>
                              <a:ext uri="{28A0092B-C50C-407E-A947-70E740481C1C}">
                                <a14:useLocalDpi xmlns:a14="http://schemas.microsoft.com/office/drawing/2010/main" val="false"/>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宋体" w:cs="Times New Roman"/>
                <w:spacing w:val="22"/>
                <w:sz w:val="18"/>
                <w:szCs w:val="18"/>
                <w:lang w:val="en-US"/>
              </w:rPr>
              <w:t xml:space="preserve">是  </w:t>
            </w:r>
            <w:r>
              <w:rPr>
                <w:rFonts w:ascii="宋体" w:hAnsi="宋体" w:eastAsia="Times New Roman" w:cs="Times New Roman"/>
                <w:sz w:val="18"/>
                <w:szCs w:val="18"/>
                <w:lang w:val="en-US"/>
              </w:rPr>
              <w:drawing>
                <wp:inline distT="0" distB="0" distL="0" distR="0">
                  <wp:extent cx="114300" cy="114300"/>
                  <wp:effectExtent l="0" t="0" r="0" b="0"/>
                  <wp:docPr id="27" name="图片 27" descr="C:\Users\ADMINI~1.USE\AppData\Local\Temp\ksohtml11916\wps2.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C:\Users\ADMINI~1.USE\AppData\Local\Temp\ksohtml11916\wps2.png"/>
                          <pic:cNvPicPr>
                            <a:picLocks noChangeAspect="true" noChangeArrowheads="true"/>
                          </pic:cNvPicPr>
                        </pic:nvPicPr>
                        <pic:blipFill>
                          <a:blip r:embed="rId168">
                            <a:extLst>
                              <a:ext uri="{28A0092B-C50C-407E-A947-70E740481C1C}">
                                <a14:useLocalDpi xmlns:a14="http://schemas.microsoft.com/office/drawing/2010/main" val="false"/>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宋体" w:cs="Times New Roman"/>
                <w:spacing w:val="22"/>
                <w:sz w:val="18"/>
                <w:szCs w:val="18"/>
                <w:lang w:val="en-US"/>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94" w:hRule="atLeast"/>
          <w:jc w:val="center"/>
        </w:trPr>
        <w:tc>
          <w:tcPr>
            <w:tcW w:w="1211" w:type="dxa"/>
            <w:vMerge w:val="continue"/>
            <w:tcBorders>
              <w:top w:val="single" w:color="auto" w:sz="4" w:space="0"/>
              <w:left w:val="single" w:color="auto" w:sz="12" w:space="0"/>
              <w:bottom w:val="single" w:color="auto" w:sz="4" w:space="0"/>
              <w:right w:val="single" w:color="auto" w:sz="4" w:space="0"/>
            </w:tcBorders>
            <w:vAlign w:val="center"/>
          </w:tcPr>
          <w:p>
            <w:pPr>
              <w:widowControl/>
              <w:rPr>
                <w:rFonts w:ascii="宋体" w:hAnsi="宋体" w:eastAsia="宋体" w:cs="Times New Roman"/>
                <w:sz w:val="18"/>
                <w:szCs w:val="18"/>
                <w:lang w:val="en-US"/>
              </w:rPr>
            </w:pPr>
          </w:p>
        </w:tc>
        <w:tc>
          <w:tcPr>
            <w:tcW w:w="1161" w:type="dxa"/>
            <w:gridSpan w:val="2"/>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snapToGrid w:val="0"/>
              <w:ind w:left="229"/>
              <w:textAlignment w:val="baseline"/>
              <w:rPr>
                <w:rFonts w:ascii="宋体" w:hAnsi="宋体" w:eastAsia="宋体" w:cs="Times New Roman"/>
                <w:sz w:val="18"/>
                <w:szCs w:val="18"/>
                <w:lang w:val="en-US"/>
              </w:rPr>
            </w:pPr>
            <w:r>
              <w:rPr>
                <w:rFonts w:hint="eastAsia" w:ascii="宋体" w:hAnsi="宋体" w:eastAsia="宋体" w:cs="Times New Roman"/>
                <w:spacing w:val="5"/>
                <w:sz w:val="18"/>
                <w:szCs w:val="18"/>
                <w:lang w:val="en-US"/>
              </w:rPr>
              <w:t>协调性</w:t>
            </w:r>
          </w:p>
        </w:tc>
        <w:tc>
          <w:tcPr>
            <w:tcW w:w="5301" w:type="dxa"/>
            <w:gridSpan w:val="2"/>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snapToGrid w:val="0"/>
              <w:ind w:left="116" w:right="103"/>
              <w:textAlignment w:val="baseline"/>
              <w:rPr>
                <w:rFonts w:ascii="宋体" w:hAnsi="宋体" w:eastAsia="宋体" w:cs="Times New Roman"/>
                <w:sz w:val="18"/>
                <w:szCs w:val="18"/>
                <w:lang w:val="en-US"/>
              </w:rPr>
            </w:pPr>
            <w:r>
              <w:rPr>
                <w:rFonts w:hint="eastAsia" w:ascii="宋体" w:hAnsi="宋体" w:eastAsia="宋体" w:cs="Times New Roman"/>
                <w:spacing w:val="11"/>
                <w:sz w:val="18"/>
                <w:szCs w:val="18"/>
                <w:lang w:val="en-US"/>
              </w:rPr>
              <w:t>该标准的特色要求与其他强制性标准的主要技术指标、相关法律法规、部门规章或产业政策是否</w:t>
            </w:r>
            <w:r>
              <w:rPr>
                <w:rFonts w:hint="eastAsia" w:ascii="宋体" w:hAnsi="宋体" w:eastAsia="宋体" w:cs="Times New Roman"/>
                <w:spacing w:val="2"/>
                <w:sz w:val="18"/>
                <w:szCs w:val="18"/>
                <w:lang w:val="en-US"/>
              </w:rPr>
              <w:t>协调？</w:t>
            </w:r>
          </w:p>
        </w:tc>
        <w:tc>
          <w:tcPr>
            <w:tcW w:w="1384" w:type="dxa"/>
            <w:tcBorders>
              <w:top w:val="single" w:color="auto" w:sz="4" w:space="0"/>
              <w:left w:val="single" w:color="auto" w:sz="4" w:space="0"/>
              <w:bottom w:val="single" w:color="auto" w:sz="4" w:space="0"/>
              <w:right w:val="single" w:color="auto" w:sz="12" w:space="0"/>
            </w:tcBorders>
            <w:vAlign w:val="center"/>
          </w:tcPr>
          <w:p>
            <w:pPr>
              <w:widowControl/>
              <w:kinsoku w:val="0"/>
              <w:autoSpaceDE w:val="0"/>
              <w:autoSpaceDN w:val="0"/>
              <w:snapToGrid w:val="0"/>
              <w:ind w:left="127"/>
              <w:textAlignment w:val="baseline"/>
              <w:rPr>
                <w:rFonts w:ascii="宋体" w:hAnsi="宋体" w:eastAsia="宋体" w:cs="Times New Roman"/>
                <w:sz w:val="18"/>
                <w:szCs w:val="18"/>
                <w:lang w:val="en-US"/>
              </w:rPr>
            </w:pPr>
            <w:r>
              <w:rPr>
                <w:rFonts w:ascii="宋体" w:hAnsi="宋体" w:eastAsia="Times New Roman" w:cs="Times New Roman"/>
                <w:sz w:val="18"/>
                <w:szCs w:val="18"/>
                <w:lang w:val="en-US"/>
              </w:rPr>
              <w:drawing>
                <wp:inline distT="0" distB="0" distL="0" distR="0">
                  <wp:extent cx="114300" cy="114300"/>
                  <wp:effectExtent l="0" t="0" r="0" b="0"/>
                  <wp:docPr id="28" name="图片 28" descr="C:\Users\ADMINI~1.USE\AppData\Local\Temp\ksohtml11916\wps3.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C:\Users\ADMINI~1.USE\AppData\Local\Temp\ksohtml11916\wps3.png"/>
                          <pic:cNvPicPr>
                            <a:picLocks noChangeAspect="true" noChangeArrowheads="true"/>
                          </pic:cNvPicPr>
                        </pic:nvPicPr>
                        <pic:blipFill>
                          <a:blip r:embed="rId169">
                            <a:extLst>
                              <a:ext uri="{28A0092B-C50C-407E-A947-70E740481C1C}">
                                <a14:useLocalDpi xmlns:a14="http://schemas.microsoft.com/office/drawing/2010/main" val="false"/>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宋体" w:cs="Times New Roman"/>
                <w:spacing w:val="22"/>
                <w:sz w:val="18"/>
                <w:szCs w:val="18"/>
                <w:lang w:val="en-US"/>
              </w:rPr>
              <w:t xml:space="preserve">是  </w:t>
            </w:r>
            <w:r>
              <w:rPr>
                <w:rFonts w:ascii="宋体" w:hAnsi="宋体" w:eastAsia="Times New Roman" w:cs="Times New Roman"/>
                <w:sz w:val="18"/>
                <w:szCs w:val="18"/>
                <w:lang w:val="en-US"/>
              </w:rPr>
              <w:drawing>
                <wp:inline distT="0" distB="0" distL="0" distR="0">
                  <wp:extent cx="114300" cy="114300"/>
                  <wp:effectExtent l="0" t="0" r="0" b="0"/>
                  <wp:docPr id="29" name="图片 29" descr="C:\Users\ADMINI~1.USE\AppData\Local\Temp\ksohtml11916\wps4.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C:\Users\ADMINI~1.USE\AppData\Local\Temp\ksohtml11916\wps4.png"/>
                          <pic:cNvPicPr>
                            <a:picLocks noChangeAspect="true" noChangeArrowheads="true"/>
                          </pic:cNvPicPr>
                        </pic:nvPicPr>
                        <pic:blipFill>
                          <a:blip r:embed="rId169">
                            <a:extLst>
                              <a:ext uri="{28A0092B-C50C-407E-A947-70E740481C1C}">
                                <a14:useLocalDpi xmlns:a14="http://schemas.microsoft.com/office/drawing/2010/main" val="false"/>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宋体" w:cs="Times New Roman"/>
                <w:spacing w:val="22"/>
                <w:sz w:val="18"/>
                <w:szCs w:val="18"/>
                <w:lang w:val="en-US"/>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03" w:hRule="atLeast"/>
          <w:jc w:val="center"/>
        </w:trPr>
        <w:tc>
          <w:tcPr>
            <w:tcW w:w="1211" w:type="dxa"/>
            <w:vMerge w:val="continue"/>
            <w:tcBorders>
              <w:top w:val="single" w:color="auto" w:sz="4" w:space="0"/>
              <w:left w:val="single" w:color="auto" w:sz="12" w:space="0"/>
              <w:bottom w:val="single" w:color="auto" w:sz="4" w:space="0"/>
              <w:right w:val="single" w:color="auto" w:sz="4" w:space="0"/>
            </w:tcBorders>
            <w:vAlign w:val="center"/>
          </w:tcPr>
          <w:p>
            <w:pPr>
              <w:widowControl/>
              <w:rPr>
                <w:rFonts w:ascii="宋体" w:hAnsi="宋体" w:eastAsia="宋体" w:cs="Times New Roman"/>
                <w:sz w:val="18"/>
                <w:szCs w:val="18"/>
                <w:lang w:val="en-US"/>
              </w:rPr>
            </w:pPr>
          </w:p>
        </w:tc>
        <w:tc>
          <w:tcPr>
            <w:tcW w:w="1161" w:type="dxa"/>
            <w:gridSpan w:val="2"/>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snapToGrid w:val="0"/>
              <w:ind w:left="351"/>
              <w:textAlignment w:val="baseline"/>
              <w:rPr>
                <w:rFonts w:ascii="宋体" w:hAnsi="宋体" w:eastAsia="宋体" w:cs="Times New Roman"/>
                <w:sz w:val="18"/>
                <w:szCs w:val="18"/>
                <w:lang w:val="en-US"/>
              </w:rPr>
            </w:pPr>
            <w:r>
              <w:rPr>
                <w:rFonts w:hint="eastAsia" w:ascii="宋体" w:hAnsi="宋体" w:eastAsia="宋体" w:cs="Times New Roman"/>
                <w:spacing w:val="2"/>
                <w:position w:val="12"/>
                <w:sz w:val="18"/>
                <w:szCs w:val="18"/>
                <w:lang w:val="en-US"/>
              </w:rPr>
              <w:t>执行</w:t>
            </w:r>
          </w:p>
          <w:p>
            <w:pPr>
              <w:widowControl/>
              <w:kinsoku w:val="0"/>
              <w:autoSpaceDE w:val="0"/>
              <w:autoSpaceDN w:val="0"/>
              <w:snapToGrid w:val="0"/>
              <w:ind w:left="355"/>
              <w:textAlignment w:val="baseline"/>
              <w:rPr>
                <w:rFonts w:ascii="宋体" w:hAnsi="宋体" w:eastAsia="宋体" w:cs="Times New Roman"/>
                <w:sz w:val="18"/>
                <w:szCs w:val="18"/>
                <w:lang w:val="en-US"/>
              </w:rPr>
            </w:pPr>
            <w:r>
              <w:rPr>
                <w:rFonts w:hint="eastAsia" w:ascii="宋体" w:hAnsi="宋体" w:eastAsia="宋体" w:cs="Times New Roman"/>
                <w:sz w:val="18"/>
                <w:szCs w:val="18"/>
                <w:lang w:val="en-US"/>
              </w:rPr>
              <w:t>情况</w:t>
            </w:r>
          </w:p>
        </w:tc>
        <w:tc>
          <w:tcPr>
            <w:tcW w:w="5301" w:type="dxa"/>
            <w:gridSpan w:val="2"/>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snapToGrid w:val="0"/>
              <w:ind w:left="116" w:right="103"/>
              <w:textAlignment w:val="baseline"/>
              <w:rPr>
                <w:rFonts w:ascii="宋体" w:hAnsi="宋体" w:eastAsia="宋体" w:cs="Times New Roman"/>
                <w:spacing w:val="11"/>
                <w:sz w:val="18"/>
                <w:szCs w:val="18"/>
                <w:lang w:val="en-US"/>
              </w:rPr>
            </w:pPr>
            <w:r>
              <w:rPr>
                <w:rFonts w:hint="eastAsia" w:ascii="宋体" w:hAnsi="宋体" w:eastAsia="宋体" w:cs="Times New Roman"/>
                <w:spacing w:val="11"/>
                <w:sz w:val="18"/>
                <w:szCs w:val="18"/>
                <w:lang w:val="en-US"/>
              </w:rPr>
              <w:t>标准执行单位或人员是否按照标准要求组织开展</w:t>
            </w:r>
          </w:p>
          <w:p>
            <w:pPr>
              <w:widowControl/>
              <w:kinsoku w:val="0"/>
              <w:autoSpaceDE w:val="0"/>
              <w:autoSpaceDN w:val="0"/>
              <w:snapToGrid w:val="0"/>
              <w:ind w:left="116" w:right="103"/>
              <w:textAlignment w:val="baseline"/>
              <w:rPr>
                <w:rFonts w:ascii="宋体" w:hAnsi="宋体" w:eastAsia="宋体" w:cs="Times New Roman"/>
                <w:sz w:val="18"/>
                <w:szCs w:val="18"/>
                <w:lang w:val="en-US"/>
              </w:rPr>
            </w:pPr>
            <w:r>
              <w:rPr>
                <w:rFonts w:hint="eastAsia" w:ascii="宋体" w:hAnsi="宋体" w:eastAsia="宋体" w:cs="Times New Roman"/>
                <w:spacing w:val="11"/>
                <w:sz w:val="18"/>
                <w:szCs w:val="18"/>
                <w:lang w:val="en-US"/>
              </w:rPr>
              <w:t>相关工作？</w:t>
            </w:r>
          </w:p>
        </w:tc>
        <w:tc>
          <w:tcPr>
            <w:tcW w:w="1384" w:type="dxa"/>
            <w:tcBorders>
              <w:top w:val="single" w:color="auto" w:sz="4" w:space="0"/>
              <w:left w:val="single" w:color="auto" w:sz="4" w:space="0"/>
              <w:bottom w:val="single" w:color="auto" w:sz="4" w:space="0"/>
              <w:right w:val="single" w:color="auto" w:sz="12" w:space="0"/>
            </w:tcBorders>
            <w:vAlign w:val="center"/>
          </w:tcPr>
          <w:p>
            <w:pPr>
              <w:widowControl/>
              <w:kinsoku w:val="0"/>
              <w:autoSpaceDE w:val="0"/>
              <w:autoSpaceDN w:val="0"/>
              <w:snapToGrid w:val="0"/>
              <w:ind w:left="127"/>
              <w:textAlignment w:val="baseline"/>
              <w:rPr>
                <w:rFonts w:ascii="宋体" w:hAnsi="宋体" w:eastAsia="宋体" w:cs="Times New Roman"/>
                <w:sz w:val="18"/>
                <w:szCs w:val="18"/>
                <w:lang w:val="en-US"/>
              </w:rPr>
            </w:pPr>
            <w:r>
              <w:rPr>
                <w:rFonts w:ascii="宋体" w:hAnsi="宋体" w:eastAsia="Times New Roman" w:cs="Times New Roman"/>
                <w:sz w:val="18"/>
                <w:szCs w:val="18"/>
                <w:lang w:val="en-US"/>
              </w:rPr>
              <w:drawing>
                <wp:inline distT="0" distB="0" distL="0" distR="0">
                  <wp:extent cx="114300" cy="114300"/>
                  <wp:effectExtent l="0" t="0" r="0" b="0"/>
                  <wp:docPr id="30" name="图片 30" descr="C:\Users\ADMINI~1.USE\AppData\Local\Temp\ksohtml11916\wps5.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C:\Users\ADMINI~1.USE\AppData\Local\Temp\ksohtml11916\wps5.png"/>
                          <pic:cNvPicPr>
                            <a:picLocks noChangeAspect="true" noChangeArrowheads="true"/>
                          </pic:cNvPicPr>
                        </pic:nvPicPr>
                        <pic:blipFill>
                          <a:blip r:embed="rId168">
                            <a:extLst>
                              <a:ext uri="{28A0092B-C50C-407E-A947-70E740481C1C}">
                                <a14:useLocalDpi xmlns:a14="http://schemas.microsoft.com/office/drawing/2010/main" val="false"/>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宋体" w:cs="Times New Roman"/>
                <w:spacing w:val="22"/>
                <w:sz w:val="18"/>
                <w:szCs w:val="18"/>
                <w:lang w:val="en-US"/>
              </w:rPr>
              <w:t xml:space="preserve">是  </w:t>
            </w:r>
            <w:r>
              <w:rPr>
                <w:rFonts w:ascii="宋体" w:hAnsi="宋体" w:eastAsia="Times New Roman" w:cs="Times New Roman"/>
                <w:sz w:val="18"/>
                <w:szCs w:val="18"/>
                <w:lang w:val="en-US"/>
              </w:rPr>
              <w:drawing>
                <wp:inline distT="0" distB="0" distL="0" distR="0">
                  <wp:extent cx="114300" cy="114300"/>
                  <wp:effectExtent l="0" t="0" r="0" b="0"/>
                  <wp:docPr id="35" name="图片 35" descr="C:\Users\ADMINI~1.USE\AppData\Local\Temp\ksohtml11916\wps6.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C:\Users\ADMINI~1.USE\AppData\Local\Temp\ksohtml11916\wps6.png"/>
                          <pic:cNvPicPr>
                            <a:picLocks noChangeAspect="true" noChangeArrowheads="true"/>
                          </pic:cNvPicPr>
                        </pic:nvPicPr>
                        <pic:blipFill>
                          <a:blip r:embed="rId168">
                            <a:extLst>
                              <a:ext uri="{28A0092B-C50C-407E-A947-70E740481C1C}">
                                <a14:useLocalDpi xmlns:a14="http://schemas.microsoft.com/office/drawing/2010/main" val="false"/>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宋体" w:cs="Times New Roman"/>
                <w:spacing w:val="22"/>
                <w:sz w:val="18"/>
                <w:szCs w:val="18"/>
                <w:lang w:val="en-US"/>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5" w:hRule="atLeast"/>
          <w:jc w:val="center"/>
        </w:trPr>
        <w:tc>
          <w:tcPr>
            <w:tcW w:w="1211" w:type="dxa"/>
            <w:vMerge w:val="restart"/>
            <w:tcBorders>
              <w:top w:val="single" w:color="auto" w:sz="4" w:space="0"/>
              <w:left w:val="single" w:color="auto" w:sz="12" w:space="0"/>
              <w:bottom w:val="single" w:color="auto" w:sz="4" w:space="0"/>
              <w:right w:val="single" w:color="auto" w:sz="4" w:space="0"/>
            </w:tcBorders>
            <w:vAlign w:val="center"/>
          </w:tcPr>
          <w:p>
            <w:pPr>
              <w:widowControl/>
              <w:kinsoku w:val="0"/>
              <w:autoSpaceDE w:val="0"/>
              <w:autoSpaceDN w:val="0"/>
              <w:snapToGrid w:val="0"/>
              <w:ind w:left="143"/>
              <w:textAlignment w:val="baseline"/>
              <w:rPr>
                <w:rFonts w:ascii="宋体" w:hAnsi="宋体" w:eastAsia="宋体" w:cs="Times New Roman"/>
                <w:sz w:val="18"/>
                <w:szCs w:val="18"/>
                <w:lang w:val="en-US"/>
              </w:rPr>
            </w:pPr>
            <w:r>
              <w:rPr>
                <w:rFonts w:hint="eastAsia" w:ascii="宋体" w:hAnsi="宋体" w:eastAsia="宋体" w:cs="Times New Roman"/>
                <w:spacing w:val="4"/>
                <w:sz w:val="18"/>
                <w:szCs w:val="18"/>
                <w:lang w:val="en-US"/>
              </w:rPr>
              <w:t>实施信息</w:t>
            </w:r>
          </w:p>
        </w:tc>
        <w:tc>
          <w:tcPr>
            <w:tcW w:w="6462" w:type="dxa"/>
            <w:gridSpan w:val="4"/>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snapToGrid w:val="0"/>
              <w:ind w:left="111"/>
              <w:textAlignment w:val="baseline"/>
              <w:rPr>
                <w:rFonts w:ascii="宋体" w:hAnsi="宋体" w:eastAsia="宋体" w:cs="Times New Roman"/>
                <w:sz w:val="18"/>
                <w:szCs w:val="18"/>
                <w:lang w:val="en-US"/>
              </w:rPr>
            </w:pPr>
            <w:r>
              <w:rPr>
                <w:rFonts w:hint="eastAsia" w:ascii="宋体" w:hAnsi="宋体" w:eastAsia="宋体" w:cs="Times New Roman"/>
                <w:spacing w:val="8"/>
                <w:sz w:val="18"/>
                <w:szCs w:val="18"/>
                <w:lang w:val="en-US"/>
              </w:rPr>
              <w:t>标准实施过程中是否存在阻力和障碍？</w:t>
            </w:r>
          </w:p>
        </w:tc>
        <w:tc>
          <w:tcPr>
            <w:tcW w:w="1384" w:type="dxa"/>
            <w:tcBorders>
              <w:top w:val="single" w:color="auto" w:sz="4" w:space="0"/>
              <w:left w:val="single" w:color="auto" w:sz="4" w:space="0"/>
              <w:bottom w:val="single" w:color="auto" w:sz="4" w:space="0"/>
              <w:right w:val="single" w:color="auto" w:sz="12" w:space="0"/>
            </w:tcBorders>
            <w:vAlign w:val="center"/>
          </w:tcPr>
          <w:p>
            <w:pPr>
              <w:widowControl/>
              <w:kinsoku w:val="0"/>
              <w:autoSpaceDE w:val="0"/>
              <w:autoSpaceDN w:val="0"/>
              <w:snapToGrid w:val="0"/>
              <w:ind w:left="127"/>
              <w:textAlignment w:val="baseline"/>
              <w:rPr>
                <w:rFonts w:ascii="宋体" w:hAnsi="宋体" w:eastAsia="宋体" w:cs="Times New Roman"/>
                <w:sz w:val="18"/>
                <w:szCs w:val="18"/>
                <w:lang w:val="en-US"/>
              </w:rPr>
            </w:pPr>
            <w:r>
              <w:rPr>
                <w:rFonts w:ascii="宋体" w:hAnsi="宋体" w:eastAsia="Times New Roman" w:cs="Times New Roman"/>
                <w:sz w:val="18"/>
                <w:szCs w:val="18"/>
                <w:lang w:val="en-US"/>
              </w:rPr>
              <w:drawing>
                <wp:inline distT="0" distB="0" distL="0" distR="0">
                  <wp:extent cx="114300" cy="114300"/>
                  <wp:effectExtent l="0" t="0" r="0" b="0"/>
                  <wp:docPr id="37" name="图片 37" descr="C:\Users\ADMINI~1.USE\AppData\Local\Temp\ksohtml11916\wps7.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descr="C:\Users\ADMINI~1.USE\AppData\Local\Temp\ksohtml11916\wps7.png"/>
                          <pic:cNvPicPr>
                            <a:picLocks noChangeAspect="true" noChangeArrowheads="true"/>
                          </pic:cNvPicPr>
                        </pic:nvPicPr>
                        <pic:blipFill>
                          <a:blip r:embed="rId169">
                            <a:extLst>
                              <a:ext uri="{28A0092B-C50C-407E-A947-70E740481C1C}">
                                <a14:useLocalDpi xmlns:a14="http://schemas.microsoft.com/office/drawing/2010/main" val="false"/>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宋体" w:cs="Times New Roman"/>
                <w:spacing w:val="22"/>
                <w:sz w:val="18"/>
                <w:szCs w:val="18"/>
                <w:lang w:val="en-US"/>
              </w:rPr>
              <w:t xml:space="preserve">是  </w:t>
            </w:r>
            <w:r>
              <w:rPr>
                <w:rFonts w:ascii="宋体" w:hAnsi="宋体" w:eastAsia="Times New Roman" w:cs="Times New Roman"/>
                <w:sz w:val="18"/>
                <w:szCs w:val="18"/>
                <w:lang w:val="en-US"/>
              </w:rPr>
              <w:drawing>
                <wp:inline distT="0" distB="0" distL="0" distR="0">
                  <wp:extent cx="114300" cy="114300"/>
                  <wp:effectExtent l="0" t="0" r="0" b="0"/>
                  <wp:docPr id="38" name="图片 38" descr="C:\Users\ADMINI~1.USE\AppData\Local\Temp\ksohtml11916\wps8.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descr="C:\Users\ADMINI~1.USE\AppData\Local\Temp\ksohtml11916\wps8.png"/>
                          <pic:cNvPicPr>
                            <a:picLocks noChangeAspect="true" noChangeArrowheads="true"/>
                          </pic:cNvPicPr>
                        </pic:nvPicPr>
                        <pic:blipFill>
                          <a:blip r:embed="rId169">
                            <a:extLst>
                              <a:ext uri="{28A0092B-C50C-407E-A947-70E740481C1C}">
                                <a14:useLocalDpi xmlns:a14="http://schemas.microsoft.com/office/drawing/2010/main" val="false"/>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宋体" w:cs="Times New Roman"/>
                <w:spacing w:val="22"/>
                <w:sz w:val="18"/>
                <w:szCs w:val="18"/>
                <w:lang w:val="en-US"/>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0" w:hRule="atLeast"/>
          <w:jc w:val="center"/>
        </w:trPr>
        <w:tc>
          <w:tcPr>
            <w:tcW w:w="1211" w:type="dxa"/>
            <w:vMerge w:val="continue"/>
            <w:tcBorders>
              <w:top w:val="single" w:color="auto" w:sz="4" w:space="0"/>
              <w:left w:val="single" w:color="auto" w:sz="12" w:space="0"/>
              <w:bottom w:val="single" w:color="auto" w:sz="4" w:space="0"/>
              <w:right w:val="single" w:color="auto" w:sz="4" w:space="0"/>
            </w:tcBorders>
            <w:vAlign w:val="center"/>
          </w:tcPr>
          <w:p>
            <w:pPr>
              <w:widowControl/>
              <w:rPr>
                <w:rFonts w:ascii="宋体" w:hAnsi="宋体" w:eastAsia="宋体" w:cs="Times New Roman"/>
                <w:sz w:val="18"/>
                <w:szCs w:val="18"/>
                <w:lang w:val="en-US"/>
              </w:rPr>
            </w:pPr>
          </w:p>
        </w:tc>
        <w:tc>
          <w:tcPr>
            <w:tcW w:w="3353" w:type="dxa"/>
            <w:gridSpan w:val="3"/>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snapToGrid w:val="0"/>
              <w:ind w:left="125"/>
              <w:textAlignment w:val="baseline"/>
              <w:rPr>
                <w:rFonts w:ascii="宋体" w:hAnsi="宋体" w:eastAsia="宋体" w:cs="Times New Roman"/>
                <w:sz w:val="18"/>
                <w:szCs w:val="18"/>
                <w:lang w:val="en-US"/>
              </w:rPr>
            </w:pPr>
            <w:r>
              <w:rPr>
                <w:rFonts w:hint="eastAsia" w:ascii="宋体" w:hAnsi="宋体" w:eastAsia="宋体" w:cs="Times New Roman"/>
                <w:spacing w:val="8"/>
                <w:sz w:val="18"/>
                <w:szCs w:val="18"/>
                <w:lang w:val="en-US"/>
              </w:rPr>
              <w:t>实施过程中存在的主要问题</w:t>
            </w:r>
          </w:p>
        </w:tc>
        <w:tc>
          <w:tcPr>
            <w:tcW w:w="4493" w:type="dxa"/>
            <w:gridSpan w:val="2"/>
            <w:tcBorders>
              <w:top w:val="single" w:color="auto" w:sz="4" w:space="0"/>
              <w:left w:val="single" w:color="auto" w:sz="4" w:space="0"/>
              <w:bottom w:val="single" w:color="auto" w:sz="4" w:space="0"/>
              <w:right w:val="single" w:color="auto" w:sz="12" w:space="0"/>
            </w:tcBorders>
            <w:vAlign w:val="center"/>
          </w:tcPr>
          <w:p>
            <w:pPr>
              <w:rPr>
                <w:rFonts w:ascii="宋体" w:hAnsi="宋体" w:eastAsia="宋体" w:cs="Arial"/>
                <w:color w:val="auto"/>
                <w:sz w:val="18"/>
                <w:szCs w:val="18"/>
                <w:lang w:val="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23" w:hRule="atLeast"/>
          <w:jc w:val="center"/>
        </w:trPr>
        <w:tc>
          <w:tcPr>
            <w:tcW w:w="1211" w:type="dxa"/>
            <w:vMerge w:val="restart"/>
            <w:tcBorders>
              <w:top w:val="single" w:color="auto" w:sz="4" w:space="0"/>
              <w:left w:val="single" w:color="auto" w:sz="12" w:space="0"/>
              <w:bottom w:val="single" w:color="auto" w:sz="4" w:space="0"/>
              <w:right w:val="single" w:color="auto" w:sz="4" w:space="0"/>
            </w:tcBorders>
            <w:vAlign w:val="center"/>
          </w:tcPr>
          <w:p>
            <w:pPr>
              <w:widowControl/>
              <w:kinsoku w:val="0"/>
              <w:autoSpaceDE w:val="0"/>
              <w:autoSpaceDN w:val="0"/>
              <w:snapToGrid w:val="0"/>
              <w:ind w:left="126"/>
              <w:textAlignment w:val="baseline"/>
              <w:rPr>
                <w:rFonts w:ascii="宋体" w:hAnsi="宋体" w:eastAsia="宋体" w:cs="Times New Roman"/>
                <w:sz w:val="18"/>
                <w:szCs w:val="18"/>
                <w:lang w:val="en-US"/>
              </w:rPr>
            </w:pPr>
            <w:r>
              <w:rPr>
                <w:rFonts w:hint="eastAsia" w:ascii="宋体" w:hAnsi="宋体" w:eastAsia="宋体" w:cs="Times New Roman"/>
                <w:spacing w:val="8"/>
                <w:sz w:val="18"/>
                <w:szCs w:val="18"/>
                <w:lang w:val="en-US"/>
              </w:rPr>
              <w:t>修改意见</w:t>
            </w:r>
          </w:p>
        </w:tc>
        <w:tc>
          <w:tcPr>
            <w:tcW w:w="1161" w:type="dxa"/>
            <w:gridSpan w:val="2"/>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snapToGrid w:val="0"/>
              <w:ind w:left="361"/>
              <w:textAlignment w:val="baseline"/>
              <w:rPr>
                <w:rFonts w:ascii="宋体" w:hAnsi="宋体" w:eastAsia="宋体" w:cs="Times New Roman"/>
                <w:sz w:val="18"/>
                <w:szCs w:val="18"/>
                <w:lang w:val="en-US"/>
              </w:rPr>
            </w:pPr>
            <w:r>
              <w:rPr>
                <w:rFonts w:hint="eastAsia" w:ascii="宋体" w:hAnsi="宋体" w:eastAsia="宋体" w:cs="Times New Roman"/>
                <w:spacing w:val="-3"/>
                <w:position w:val="12"/>
                <w:sz w:val="18"/>
                <w:szCs w:val="18"/>
                <w:lang w:val="en-US"/>
              </w:rPr>
              <w:t>总体</w:t>
            </w:r>
          </w:p>
          <w:p>
            <w:pPr>
              <w:widowControl/>
              <w:kinsoku w:val="0"/>
              <w:autoSpaceDE w:val="0"/>
              <w:autoSpaceDN w:val="0"/>
              <w:snapToGrid w:val="0"/>
              <w:ind w:left="361"/>
              <w:textAlignment w:val="baseline"/>
              <w:rPr>
                <w:rFonts w:ascii="宋体" w:hAnsi="宋体" w:eastAsia="宋体" w:cs="Times New Roman"/>
                <w:sz w:val="18"/>
                <w:szCs w:val="18"/>
                <w:lang w:val="en-US"/>
              </w:rPr>
            </w:pPr>
            <w:r>
              <w:rPr>
                <w:rFonts w:hint="eastAsia" w:ascii="宋体" w:hAnsi="宋体" w:eastAsia="宋体" w:cs="Times New Roman"/>
                <w:spacing w:val="-3"/>
                <w:sz w:val="18"/>
                <w:szCs w:val="18"/>
                <w:lang w:val="en-US"/>
              </w:rPr>
              <w:t>意见</w:t>
            </w:r>
          </w:p>
        </w:tc>
        <w:tc>
          <w:tcPr>
            <w:tcW w:w="6685" w:type="dxa"/>
            <w:gridSpan w:val="3"/>
            <w:tcBorders>
              <w:top w:val="single" w:color="auto" w:sz="4" w:space="0"/>
              <w:left w:val="single" w:color="auto" w:sz="4" w:space="0"/>
              <w:bottom w:val="single" w:color="auto" w:sz="4" w:space="0"/>
              <w:right w:val="single" w:color="auto" w:sz="12" w:space="0"/>
            </w:tcBorders>
            <w:vAlign w:val="center"/>
          </w:tcPr>
          <w:p>
            <w:pPr>
              <w:widowControl/>
              <w:kinsoku w:val="0"/>
              <w:autoSpaceDE w:val="0"/>
              <w:autoSpaceDN w:val="0"/>
              <w:snapToGrid w:val="0"/>
              <w:ind w:left="124"/>
              <w:textAlignment w:val="baseline"/>
              <w:rPr>
                <w:rFonts w:ascii="宋体" w:hAnsi="宋体" w:eastAsia="宋体" w:cs="Times New Roman"/>
                <w:sz w:val="18"/>
                <w:szCs w:val="18"/>
                <w:lang w:val="en-US"/>
              </w:rPr>
            </w:pPr>
            <w:r>
              <w:rPr>
                <w:rFonts w:ascii="宋体" w:hAnsi="宋体" w:eastAsia="Times New Roman" w:cs="Times New Roman"/>
                <w:sz w:val="18"/>
                <w:szCs w:val="18"/>
                <w:lang w:val="en-US"/>
              </w:rPr>
              <w:drawing>
                <wp:inline distT="0" distB="0" distL="0" distR="0">
                  <wp:extent cx="114300" cy="114300"/>
                  <wp:effectExtent l="0" t="0" r="0" b="0"/>
                  <wp:docPr id="39" name="图片 39" descr="C:\Users\ADMINI~1.USE\AppData\Local\Temp\ksohtml11916\wps9.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descr="C:\Users\ADMINI~1.USE\AppData\Local\Temp\ksohtml11916\wps9.png"/>
                          <pic:cNvPicPr>
                            <a:picLocks noChangeAspect="true" noChangeArrowheads="true"/>
                          </pic:cNvPicPr>
                        </pic:nvPicPr>
                        <pic:blipFill>
                          <a:blip r:embed="rId168">
                            <a:extLst>
                              <a:ext uri="{28A0092B-C50C-407E-A947-70E740481C1C}">
                                <a14:useLocalDpi xmlns:a14="http://schemas.microsoft.com/office/drawing/2010/main" val="false"/>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宋体" w:cs="Times New Roman"/>
                <w:spacing w:val="14"/>
                <w:sz w:val="18"/>
                <w:szCs w:val="18"/>
                <w:lang w:val="en-US"/>
              </w:rPr>
              <w:t xml:space="preserve">适用    </w:t>
            </w:r>
            <w:r>
              <w:rPr>
                <w:rFonts w:ascii="宋体" w:hAnsi="宋体" w:eastAsia="Times New Roman" w:cs="Times New Roman"/>
                <w:sz w:val="18"/>
                <w:szCs w:val="18"/>
                <w:lang w:val="en-US"/>
              </w:rPr>
              <w:drawing>
                <wp:inline distT="0" distB="0" distL="0" distR="0">
                  <wp:extent cx="114300" cy="114300"/>
                  <wp:effectExtent l="0" t="0" r="0" b="0"/>
                  <wp:docPr id="42" name="图片 42" descr="C:\Users\ADMINI~1.USE\AppData\Local\Temp\ksohtml11916\wps10.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descr="C:\Users\ADMINI~1.USE\AppData\Local\Temp\ksohtml11916\wps10.png"/>
                          <pic:cNvPicPr>
                            <a:picLocks noChangeAspect="true" noChangeArrowheads="true"/>
                          </pic:cNvPicPr>
                        </pic:nvPicPr>
                        <pic:blipFill>
                          <a:blip r:embed="rId170">
                            <a:extLst>
                              <a:ext uri="{28A0092B-C50C-407E-A947-70E740481C1C}">
                                <a14:useLocalDpi xmlns:a14="http://schemas.microsoft.com/office/drawing/2010/main" val="false"/>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宋体" w:cs="Times New Roman"/>
                <w:spacing w:val="14"/>
                <w:sz w:val="18"/>
                <w:szCs w:val="18"/>
                <w:lang w:val="en-US"/>
              </w:rPr>
              <w:t xml:space="preserve">修改    </w:t>
            </w:r>
            <w:r>
              <w:rPr>
                <w:rFonts w:ascii="宋体" w:hAnsi="宋体" w:eastAsia="Times New Roman" w:cs="Times New Roman"/>
                <w:sz w:val="18"/>
                <w:szCs w:val="18"/>
                <w:lang w:val="en-US"/>
              </w:rPr>
              <w:drawing>
                <wp:inline distT="0" distB="0" distL="0" distR="0">
                  <wp:extent cx="114300" cy="114300"/>
                  <wp:effectExtent l="0" t="0" r="0" b="0"/>
                  <wp:docPr id="43" name="图片 43" descr="C:\Users\ADMINI~1.USE\AppData\Local\Temp\ksohtml11916\wps1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descr="C:\Users\ADMINI~1.USE\AppData\Local\Temp\ksohtml11916\wps11.png"/>
                          <pic:cNvPicPr>
                            <a:picLocks noChangeAspect="true" noChangeArrowheads="true"/>
                          </pic:cNvPicPr>
                        </pic:nvPicPr>
                        <pic:blipFill>
                          <a:blip r:embed="rId170">
                            <a:extLst>
                              <a:ext uri="{28A0092B-C50C-407E-A947-70E740481C1C}">
                                <a14:useLocalDpi xmlns:a14="http://schemas.microsoft.com/office/drawing/2010/main" val="false"/>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宋体" w:cs="Times New Roman"/>
                <w:spacing w:val="14"/>
                <w:sz w:val="18"/>
                <w:szCs w:val="18"/>
                <w:lang w:val="en-US"/>
              </w:rPr>
              <w:t>废止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89" w:hRule="atLeast"/>
          <w:jc w:val="center"/>
        </w:trPr>
        <w:tc>
          <w:tcPr>
            <w:tcW w:w="1211" w:type="dxa"/>
            <w:vMerge w:val="continue"/>
            <w:tcBorders>
              <w:top w:val="single" w:color="auto" w:sz="4" w:space="0"/>
              <w:left w:val="single" w:color="auto" w:sz="12" w:space="0"/>
              <w:bottom w:val="single" w:color="auto" w:sz="4" w:space="0"/>
              <w:right w:val="single" w:color="auto" w:sz="4" w:space="0"/>
            </w:tcBorders>
            <w:vAlign w:val="center"/>
          </w:tcPr>
          <w:p>
            <w:pPr>
              <w:widowControl/>
              <w:rPr>
                <w:rFonts w:ascii="宋体" w:hAnsi="宋体" w:eastAsia="宋体" w:cs="Times New Roman"/>
                <w:sz w:val="18"/>
                <w:szCs w:val="18"/>
                <w:lang w:val="en-US"/>
              </w:rPr>
            </w:pPr>
          </w:p>
        </w:tc>
        <w:tc>
          <w:tcPr>
            <w:tcW w:w="1161" w:type="dxa"/>
            <w:gridSpan w:val="2"/>
            <w:tcBorders>
              <w:top w:val="single" w:color="auto" w:sz="4" w:space="0"/>
              <w:left w:val="single" w:color="auto" w:sz="4" w:space="0"/>
              <w:bottom w:val="single" w:color="000000" w:sz="2" w:space="0"/>
              <w:right w:val="single" w:color="auto" w:sz="4" w:space="0"/>
            </w:tcBorders>
            <w:vAlign w:val="center"/>
          </w:tcPr>
          <w:p>
            <w:pPr>
              <w:widowControl/>
              <w:kinsoku w:val="0"/>
              <w:autoSpaceDE w:val="0"/>
              <w:autoSpaceDN w:val="0"/>
              <w:snapToGrid w:val="0"/>
              <w:ind w:left="233"/>
              <w:textAlignment w:val="baseline"/>
              <w:rPr>
                <w:rFonts w:ascii="宋体" w:hAnsi="宋体" w:eastAsia="宋体" w:cs="Times New Roman"/>
                <w:sz w:val="18"/>
                <w:szCs w:val="18"/>
                <w:lang w:val="en-US"/>
              </w:rPr>
            </w:pPr>
            <w:r>
              <w:rPr>
                <w:rFonts w:hint="eastAsia" w:ascii="宋体" w:hAnsi="宋体" w:eastAsia="宋体" w:cs="Times New Roman"/>
                <w:spacing w:val="4"/>
                <w:position w:val="12"/>
                <w:sz w:val="18"/>
                <w:szCs w:val="18"/>
                <w:lang w:val="en-US"/>
              </w:rPr>
              <w:t>具体修</w:t>
            </w:r>
          </w:p>
          <w:p>
            <w:pPr>
              <w:widowControl/>
              <w:kinsoku w:val="0"/>
              <w:autoSpaceDE w:val="0"/>
              <w:autoSpaceDN w:val="0"/>
              <w:snapToGrid w:val="0"/>
              <w:ind w:left="251"/>
              <w:textAlignment w:val="baseline"/>
              <w:rPr>
                <w:rFonts w:ascii="宋体" w:hAnsi="宋体" w:eastAsia="宋体" w:cs="Times New Roman"/>
                <w:sz w:val="18"/>
                <w:szCs w:val="18"/>
                <w:lang w:val="en-US"/>
              </w:rPr>
            </w:pPr>
            <w:r>
              <w:rPr>
                <w:rFonts w:hint="eastAsia" w:ascii="宋体" w:hAnsi="宋体" w:eastAsia="宋体" w:cs="Times New Roman"/>
                <w:spacing w:val="-2"/>
                <w:sz w:val="18"/>
                <w:szCs w:val="18"/>
                <w:lang w:val="en-US"/>
              </w:rPr>
              <w:t>改意见</w:t>
            </w:r>
          </w:p>
        </w:tc>
        <w:tc>
          <w:tcPr>
            <w:tcW w:w="6685" w:type="dxa"/>
            <w:gridSpan w:val="3"/>
            <w:tcBorders>
              <w:top w:val="single" w:color="auto" w:sz="4" w:space="0"/>
              <w:left w:val="single" w:color="auto" w:sz="4" w:space="0"/>
              <w:bottom w:val="single" w:color="000000" w:sz="2" w:space="0"/>
              <w:right w:val="single" w:color="auto" w:sz="12" w:space="0"/>
            </w:tcBorders>
            <w:vAlign w:val="center"/>
          </w:tcPr>
          <w:p>
            <w:pPr>
              <w:widowControl/>
              <w:kinsoku w:val="0"/>
              <w:autoSpaceDE w:val="0"/>
              <w:autoSpaceDN w:val="0"/>
              <w:snapToGrid w:val="0"/>
              <w:ind w:left="127"/>
              <w:textAlignment w:val="baseline"/>
              <w:rPr>
                <w:rFonts w:ascii="宋体" w:hAnsi="宋体" w:eastAsia="宋体" w:cs="Times New Roman"/>
                <w:sz w:val="18"/>
                <w:szCs w:val="18"/>
                <w:lang w:val="en-US"/>
              </w:rPr>
            </w:pPr>
            <w:r>
              <w:rPr>
                <w:rFonts w:hint="eastAsia" w:ascii="宋体" w:hAnsi="宋体" w:eastAsia="宋体" w:cs="Times New Roman"/>
                <w:spacing w:val="4"/>
                <w:sz w:val="18"/>
                <w:szCs w:val="18"/>
                <w:lang w:val="en-US"/>
              </w:rPr>
              <w:t>需修改章节：</w:t>
            </w:r>
          </w:p>
          <w:p>
            <w:pPr>
              <w:widowControl/>
              <w:kinsoku w:val="0"/>
              <w:autoSpaceDE w:val="0"/>
              <w:autoSpaceDN w:val="0"/>
              <w:snapToGrid w:val="0"/>
              <w:ind w:left="121"/>
              <w:textAlignment w:val="baseline"/>
              <w:rPr>
                <w:rFonts w:ascii="宋体" w:hAnsi="宋体" w:eastAsia="宋体" w:cs="Times New Roman"/>
                <w:sz w:val="18"/>
                <w:szCs w:val="18"/>
                <w:lang w:val="en-US"/>
              </w:rPr>
            </w:pPr>
            <w:r>
              <w:rPr>
                <w:rFonts w:hint="eastAsia" w:ascii="宋体" w:hAnsi="宋体" w:eastAsia="宋体" w:cs="Times New Roman"/>
                <w:spacing w:val="6"/>
                <w:sz w:val="18"/>
                <w:szCs w:val="18"/>
                <w:lang w:val="en-US"/>
              </w:rPr>
              <w:t>具体修改意见：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16" w:hRule="atLeast"/>
          <w:jc w:val="center"/>
        </w:trPr>
        <w:tc>
          <w:tcPr>
            <w:tcW w:w="1211" w:type="dxa"/>
            <w:tcBorders>
              <w:top w:val="single" w:color="auto" w:sz="4" w:space="0"/>
              <w:left w:val="single" w:color="auto" w:sz="12" w:space="0"/>
              <w:bottom w:val="single" w:color="auto" w:sz="4" w:space="0"/>
              <w:right w:val="single" w:color="auto" w:sz="4" w:space="0"/>
            </w:tcBorders>
            <w:vAlign w:val="center"/>
          </w:tcPr>
          <w:p>
            <w:pPr>
              <w:widowControl/>
              <w:kinsoku w:val="0"/>
              <w:autoSpaceDE w:val="0"/>
              <w:autoSpaceDN w:val="0"/>
              <w:snapToGrid w:val="0"/>
              <w:ind w:left="132"/>
              <w:textAlignment w:val="baseline"/>
              <w:rPr>
                <w:rFonts w:ascii="宋体" w:hAnsi="宋体" w:eastAsia="宋体" w:cs="Times New Roman"/>
                <w:sz w:val="18"/>
                <w:szCs w:val="18"/>
                <w:lang w:val="en-US"/>
              </w:rPr>
            </w:pPr>
            <w:r>
              <w:rPr>
                <w:rFonts w:hint="eastAsia" w:ascii="宋体" w:hAnsi="宋体" w:eastAsia="宋体" w:cs="Times New Roman"/>
                <w:spacing w:val="7"/>
                <w:sz w:val="18"/>
                <w:szCs w:val="18"/>
                <w:lang w:val="en-US"/>
              </w:rPr>
              <w:t>反馈渠道</w:t>
            </w:r>
          </w:p>
        </w:tc>
        <w:tc>
          <w:tcPr>
            <w:tcW w:w="7846" w:type="dxa"/>
            <w:gridSpan w:val="5"/>
            <w:tcBorders>
              <w:top w:val="single" w:color="000000" w:sz="2" w:space="0"/>
              <w:left w:val="single" w:color="auto" w:sz="4" w:space="0"/>
              <w:bottom w:val="single" w:color="000000" w:sz="2" w:space="0"/>
              <w:right w:val="single" w:color="auto" w:sz="4" w:space="0"/>
            </w:tcBorders>
            <w:vAlign w:val="center"/>
          </w:tcPr>
          <w:p>
            <w:pPr>
              <w:widowControl/>
              <w:kinsoku w:val="0"/>
              <w:autoSpaceDE w:val="0"/>
              <w:autoSpaceDN w:val="0"/>
              <w:snapToGrid w:val="0"/>
              <w:ind w:left="124"/>
              <w:textAlignment w:val="baseline"/>
              <w:rPr>
                <w:rFonts w:ascii="宋体" w:hAnsi="宋体" w:eastAsia="宋体" w:cs="Times New Roman"/>
                <w:sz w:val="18"/>
                <w:szCs w:val="18"/>
                <w:lang w:val="en-US"/>
              </w:rPr>
            </w:pPr>
            <w:r>
              <w:rPr>
                <w:rFonts w:ascii="宋体" w:hAnsi="宋体" w:eastAsia="Times New Roman" w:cs="Times New Roman"/>
                <w:sz w:val="18"/>
                <w:szCs w:val="18"/>
                <w:lang w:val="en-US"/>
              </w:rPr>
              <w:drawing>
                <wp:inline distT="0" distB="0" distL="0" distR="0">
                  <wp:extent cx="114300" cy="114300"/>
                  <wp:effectExtent l="0" t="0" r="0" b="0"/>
                  <wp:docPr id="44" name="图片 44" descr="C:\Users\ADMINI~1.USE\AppData\Local\Temp\ksohtml11916\wps12.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descr="C:\Users\ADMINI~1.USE\AppData\Local\Temp\ksohtml11916\wps12.png"/>
                          <pic:cNvPicPr>
                            <a:picLocks noChangeAspect="true" noChangeArrowheads="true"/>
                          </pic:cNvPicPr>
                        </pic:nvPicPr>
                        <pic:blipFill>
                          <a:blip r:embed="rId171">
                            <a:extLst>
                              <a:ext uri="{28A0092B-C50C-407E-A947-70E740481C1C}">
                                <a14:useLocalDpi xmlns:a14="http://schemas.microsoft.com/office/drawing/2010/main" val="false"/>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宋体" w:cs="Times New Roman"/>
                <w:spacing w:val="12"/>
                <w:sz w:val="18"/>
                <w:szCs w:val="18"/>
                <w:lang w:val="en-US"/>
              </w:rPr>
              <w:t>标准化行政主管部门</w:t>
            </w:r>
          </w:p>
          <w:p>
            <w:pPr>
              <w:widowControl/>
              <w:kinsoku w:val="0"/>
              <w:autoSpaceDE w:val="0"/>
              <w:autoSpaceDN w:val="0"/>
              <w:snapToGrid w:val="0"/>
              <w:ind w:left="124"/>
              <w:textAlignment w:val="baseline"/>
              <w:rPr>
                <w:rFonts w:ascii="宋体" w:hAnsi="宋体" w:eastAsia="宋体" w:cs="Times New Roman"/>
                <w:sz w:val="18"/>
                <w:szCs w:val="18"/>
                <w:lang w:val="en-US"/>
              </w:rPr>
            </w:pPr>
            <w:r>
              <w:rPr>
                <w:rFonts w:ascii="宋体" w:hAnsi="宋体" w:eastAsia="Times New Roman" w:cs="Times New Roman"/>
                <w:sz w:val="18"/>
                <w:szCs w:val="18"/>
                <w:lang w:val="en-US"/>
              </w:rPr>
              <w:drawing>
                <wp:inline distT="0" distB="0" distL="0" distR="0">
                  <wp:extent cx="114300" cy="114300"/>
                  <wp:effectExtent l="0" t="0" r="0" b="0"/>
                  <wp:docPr id="46" name="图片 46" descr="C:\Users\ADMINI~1.USE\AppData\Local\Temp\ksohtml11916\wps13.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descr="C:\Users\ADMINI~1.USE\AppData\Local\Temp\ksohtml11916\wps13.png"/>
                          <pic:cNvPicPr>
                            <a:picLocks noChangeAspect="true" noChangeArrowheads="true"/>
                          </pic:cNvPicPr>
                        </pic:nvPicPr>
                        <pic:blipFill>
                          <a:blip r:embed="rId172">
                            <a:extLst>
                              <a:ext uri="{28A0092B-C50C-407E-A947-70E740481C1C}">
                                <a14:useLocalDpi xmlns:a14="http://schemas.microsoft.com/office/drawing/2010/main" val="false"/>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宋体" w:cs="Times New Roman"/>
                <w:spacing w:val="12"/>
                <w:sz w:val="18"/>
                <w:szCs w:val="18"/>
                <w:lang w:val="en-US"/>
              </w:rPr>
              <w:t>省直行业主管部门</w:t>
            </w:r>
          </w:p>
          <w:p>
            <w:pPr>
              <w:widowControl/>
              <w:kinsoku w:val="0"/>
              <w:autoSpaceDE w:val="0"/>
              <w:autoSpaceDN w:val="0"/>
              <w:snapToGrid w:val="0"/>
              <w:ind w:left="124"/>
              <w:textAlignment w:val="baseline"/>
              <w:rPr>
                <w:rFonts w:ascii="宋体" w:hAnsi="宋体" w:eastAsia="宋体" w:cs="Times New Roman"/>
                <w:sz w:val="18"/>
                <w:szCs w:val="18"/>
                <w:lang w:val="en-US"/>
              </w:rPr>
            </w:pPr>
            <w:r>
              <w:rPr>
                <w:rFonts w:ascii="宋体" w:hAnsi="宋体" w:eastAsia="Times New Roman" w:cs="Times New Roman"/>
                <w:sz w:val="18"/>
                <w:szCs w:val="18"/>
                <w:lang w:val="en-US"/>
              </w:rPr>
              <w:drawing>
                <wp:inline distT="0" distB="0" distL="0" distR="0">
                  <wp:extent cx="114300" cy="114300"/>
                  <wp:effectExtent l="0" t="0" r="0" b="0"/>
                  <wp:docPr id="50" name="图片 50" descr="C:\Users\ADMINI~1.USE\AppData\Local\Temp\ksohtml11916\wps14.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50" descr="C:\Users\ADMINI~1.USE\AppData\Local\Temp\ksohtml11916\wps14.png"/>
                          <pic:cNvPicPr>
                            <a:picLocks noChangeAspect="true" noChangeArrowheads="true"/>
                          </pic:cNvPicPr>
                        </pic:nvPicPr>
                        <pic:blipFill>
                          <a:blip r:embed="rId171">
                            <a:extLst>
                              <a:ext uri="{28A0092B-C50C-407E-A947-70E740481C1C}">
                                <a14:useLocalDpi xmlns:a14="http://schemas.microsoft.com/office/drawing/2010/main" val="false"/>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宋体" w:cs="Times New Roman"/>
                <w:spacing w:val="10"/>
                <w:sz w:val="18"/>
                <w:szCs w:val="18"/>
                <w:lang w:val="en-US"/>
              </w:rPr>
              <w:t>专业标准化技术委员会（工作组）</w:t>
            </w:r>
          </w:p>
          <w:p>
            <w:pPr>
              <w:widowControl/>
              <w:kinsoku w:val="0"/>
              <w:autoSpaceDE w:val="0"/>
              <w:autoSpaceDN w:val="0"/>
              <w:snapToGrid w:val="0"/>
              <w:ind w:left="124"/>
              <w:textAlignment w:val="baseline"/>
              <w:rPr>
                <w:rFonts w:ascii="宋体" w:hAnsi="宋体" w:eastAsia="宋体" w:cs="Times New Roman"/>
                <w:sz w:val="18"/>
                <w:szCs w:val="18"/>
                <w:lang w:val="en-US"/>
              </w:rPr>
            </w:pPr>
            <w:r>
              <w:rPr>
                <w:rFonts w:ascii="宋体" w:hAnsi="宋体" w:eastAsia="Times New Roman" w:cs="Times New Roman"/>
                <w:sz w:val="18"/>
                <w:szCs w:val="18"/>
                <w:lang w:val="en-US"/>
              </w:rPr>
              <w:drawing>
                <wp:inline distT="0" distB="0" distL="0" distR="0">
                  <wp:extent cx="114300" cy="114300"/>
                  <wp:effectExtent l="0" t="0" r="0" b="0"/>
                  <wp:docPr id="54" name="图片 54" descr="C:\Users\ADMINI~1.USE\AppData\Local\Temp\ksohtml11916\wps15.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4" descr="C:\Users\ADMINI~1.USE\AppData\Local\Temp\ksohtml11916\wps15.png"/>
                          <pic:cNvPicPr>
                            <a:picLocks noChangeAspect="true" noChangeArrowheads="true"/>
                          </pic:cNvPicPr>
                        </pic:nvPicPr>
                        <pic:blipFill>
                          <a:blip r:embed="rId171">
                            <a:extLst>
                              <a:ext uri="{28A0092B-C50C-407E-A947-70E740481C1C}">
                                <a14:useLocalDpi xmlns:a14="http://schemas.microsoft.com/office/drawing/2010/main" val="false"/>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宋体" w:cs="Times New Roman"/>
                <w:spacing w:val="11"/>
                <w:sz w:val="18"/>
                <w:szCs w:val="18"/>
                <w:lang w:val="en-US"/>
              </w:rPr>
              <w:t>标准起草组（牵头起草单位）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24" w:hRule="atLeast"/>
          <w:jc w:val="center"/>
        </w:trPr>
        <w:tc>
          <w:tcPr>
            <w:tcW w:w="1211" w:type="dxa"/>
            <w:tcBorders>
              <w:top w:val="single" w:color="auto" w:sz="4" w:space="0"/>
              <w:left w:val="single" w:color="auto" w:sz="12" w:space="0"/>
              <w:bottom w:val="single" w:color="auto" w:sz="12" w:space="0"/>
              <w:right w:val="single" w:color="auto" w:sz="4" w:space="0"/>
            </w:tcBorders>
            <w:vAlign w:val="center"/>
          </w:tcPr>
          <w:p>
            <w:pPr>
              <w:widowControl/>
              <w:kinsoku w:val="0"/>
              <w:autoSpaceDE w:val="0"/>
              <w:autoSpaceDN w:val="0"/>
              <w:snapToGrid w:val="0"/>
              <w:ind w:left="252"/>
              <w:textAlignment w:val="baseline"/>
              <w:rPr>
                <w:rFonts w:ascii="宋体" w:hAnsi="宋体" w:eastAsia="宋体" w:cs="Times New Roman"/>
                <w:sz w:val="18"/>
                <w:szCs w:val="18"/>
                <w:lang w:val="en-US"/>
              </w:rPr>
            </w:pPr>
            <w:r>
              <w:rPr>
                <w:rFonts w:hint="eastAsia" w:ascii="宋体" w:hAnsi="宋体" w:eastAsia="宋体" w:cs="Times New Roman"/>
                <w:spacing w:val="6"/>
                <w:sz w:val="18"/>
                <w:szCs w:val="18"/>
                <w:lang w:val="en-US"/>
              </w:rPr>
              <w:t>反馈人</w:t>
            </w:r>
          </w:p>
        </w:tc>
        <w:tc>
          <w:tcPr>
            <w:tcW w:w="7846" w:type="dxa"/>
            <w:gridSpan w:val="5"/>
            <w:tcBorders>
              <w:top w:val="single" w:color="000000" w:sz="2" w:space="0"/>
              <w:left w:val="single" w:color="auto" w:sz="4" w:space="0"/>
              <w:bottom w:val="single" w:color="auto" w:sz="12" w:space="0"/>
              <w:right w:val="single" w:color="auto" w:sz="12" w:space="0"/>
            </w:tcBorders>
            <w:vAlign w:val="center"/>
          </w:tcPr>
          <w:p>
            <w:pPr>
              <w:widowControl/>
              <w:kinsoku w:val="0"/>
              <w:autoSpaceDE w:val="0"/>
              <w:autoSpaceDN w:val="0"/>
              <w:snapToGrid w:val="0"/>
              <w:ind w:left="113"/>
              <w:textAlignment w:val="baseline"/>
              <w:rPr>
                <w:rFonts w:ascii="宋体" w:hAnsi="宋体" w:eastAsia="宋体" w:cs="Times New Roman"/>
                <w:sz w:val="18"/>
                <w:szCs w:val="18"/>
                <w:lang w:val="en-US"/>
              </w:rPr>
            </w:pPr>
            <w:r>
              <w:rPr>
                <w:rFonts w:hint="eastAsia" w:ascii="宋体" w:hAnsi="宋体" w:eastAsia="宋体" w:cs="Times New Roman"/>
                <w:spacing w:val="2"/>
                <w:sz w:val="18"/>
                <w:szCs w:val="18"/>
                <w:lang w:val="en-US"/>
              </w:rPr>
              <w:t>姓名：</w:t>
            </w:r>
            <w:r>
              <w:rPr>
                <w:rFonts w:hint="eastAsia" w:ascii="宋体" w:hAnsi="宋体" w:eastAsia="宋体" w:cs="Times New Roman"/>
                <w:spacing w:val="8"/>
                <w:sz w:val="18"/>
                <w:szCs w:val="18"/>
                <w:lang w:val="en-US"/>
              </w:rPr>
              <w:t xml:space="preserve">           </w:t>
            </w:r>
            <w:r>
              <w:rPr>
                <w:rFonts w:hint="eastAsia" w:ascii="宋体" w:hAnsi="宋体" w:eastAsia="宋体" w:cs="Times New Roman"/>
                <w:spacing w:val="2"/>
                <w:sz w:val="18"/>
                <w:szCs w:val="18"/>
                <w:lang w:val="en-US"/>
              </w:rPr>
              <w:t>单位：</w:t>
            </w:r>
            <w:r>
              <w:rPr>
                <w:rFonts w:hint="eastAsia" w:ascii="宋体" w:hAnsi="宋体" w:eastAsia="宋体" w:cs="Times New Roman"/>
                <w:spacing w:val="1"/>
                <w:sz w:val="18"/>
                <w:szCs w:val="18"/>
                <w:lang w:val="en-US"/>
              </w:rPr>
              <w:t xml:space="preserve">                      </w:t>
            </w:r>
            <w:r>
              <w:rPr>
                <w:rFonts w:hint="eastAsia" w:ascii="宋体" w:hAnsi="宋体" w:eastAsia="宋体" w:cs="Times New Roman"/>
                <w:spacing w:val="2"/>
                <w:sz w:val="18"/>
                <w:szCs w:val="18"/>
                <w:lang w:val="en-US"/>
              </w:rPr>
              <w:t>联系方式：</w:t>
            </w:r>
          </w:p>
        </w:tc>
      </w:tr>
    </w:tbl>
    <w:p>
      <w:pPr>
        <w:ind w:firstLine="360" w:firstLineChars="200"/>
        <w:rPr>
          <w:rFonts w:ascii="宋体" w:hAnsi="宋体" w:eastAsia="宋体" w:cs="宋体"/>
          <w:kern w:val="2"/>
          <w:sz w:val="18"/>
          <w:szCs w:val="18"/>
          <w:lang w:val="en-US"/>
        </w:rPr>
      </w:pPr>
      <w:r>
        <w:rPr>
          <w:rFonts w:hint="eastAsia" w:ascii="宋体" w:hAnsi="宋体" w:eastAsia="宋体" w:cs="宋体"/>
          <w:kern w:val="2"/>
          <w:sz w:val="18"/>
          <w:szCs w:val="18"/>
          <w:lang w:val="en-US"/>
        </w:rPr>
        <w:t>填表说明：为及时掌握标准实施情况，了解地方标准实施过程中存在的问题，并为标准复审提供科学依据，特制定《湖北省地方标准实施信息及意见反馈表》。可根据实际情况在表格中对应方框打勾，有需要文字说明的反馈意见可在相应位置进行文字描述，也可另附页。</w:t>
      </w:r>
    </w:p>
    <w:p>
      <w:pPr>
        <w:ind w:firstLine="420" w:firstLineChars="200"/>
        <w:rPr>
          <w:rFonts w:ascii="宋体" w:hAnsi="宋体" w:eastAsia="宋体" w:cs="Times New Roman"/>
          <w:color w:val="auto"/>
          <w:kern w:val="2"/>
          <w:sz w:val="21"/>
          <w:szCs w:val="22"/>
          <w:lang w:val="en-US"/>
        </w:rPr>
      </w:pPr>
    </w:p>
    <w:p>
      <w:pPr>
        <w:widowControl/>
        <w:rPr>
          <w:rFonts w:ascii="Times New Roman" w:hAnsi="Times New Roman" w:cs="Times New Roman"/>
          <w:lang w:val="en-US"/>
        </w:rPr>
      </w:pPr>
      <w:r>
        <w:rPr>
          <w:rFonts w:ascii="Times New Roman" w:hAnsi="Times New Roman" w:cs="Times New Roman"/>
          <w:lang w:val="en-US"/>
        </w:rPr>
        <w:br w:type="page"/>
      </w:r>
    </w:p>
    <w:p>
      <w:pPr>
        <w:jc w:val="center"/>
        <w:rPr>
          <w:rFonts w:ascii="Times New Roman" w:hAnsi="Times New Roman" w:eastAsia="黑体" w:cs="Times New Roman"/>
          <w:color w:val="000000" w:themeColor="text1"/>
          <w:sz w:val="40"/>
          <w:szCs w:val="48"/>
          <w14:textFill>
            <w14:solidFill>
              <w14:schemeClr w14:val="tx1"/>
            </w14:solidFill>
          </w14:textFill>
        </w:rPr>
      </w:pPr>
    </w:p>
    <w:p>
      <w:pPr>
        <w:jc w:val="center"/>
        <w:rPr>
          <w:rFonts w:ascii="Times New Roman" w:hAnsi="Times New Roman" w:eastAsia="黑体" w:cs="Times New Roman"/>
          <w:color w:val="000000" w:themeColor="text1"/>
          <w:sz w:val="40"/>
          <w:szCs w:val="48"/>
          <w14:textFill>
            <w14:solidFill>
              <w14:schemeClr w14:val="tx1"/>
            </w14:solidFill>
          </w14:textFill>
        </w:rPr>
      </w:pPr>
    </w:p>
    <w:p>
      <w:pPr>
        <w:jc w:val="center"/>
        <w:rPr>
          <w:rFonts w:ascii="Times New Roman" w:hAnsi="Times New Roman" w:eastAsia="黑体" w:cs="Times New Roman"/>
          <w:color w:val="000000" w:themeColor="text1"/>
          <w:sz w:val="36"/>
          <w:szCs w:val="44"/>
          <w14:textFill>
            <w14:solidFill>
              <w14:schemeClr w14:val="tx1"/>
            </w14:solidFill>
          </w14:textFill>
        </w:rPr>
      </w:pPr>
      <w:r>
        <w:rPr>
          <w:rFonts w:hint="eastAsia" w:ascii="Times New Roman" w:hAnsi="Times New Roman" w:eastAsia="黑体" w:cs="Times New Roman"/>
          <w:color w:val="000000" w:themeColor="text1"/>
          <w:sz w:val="36"/>
          <w:szCs w:val="44"/>
          <w14:textFill>
            <w14:solidFill>
              <w14:schemeClr w14:val="tx1"/>
            </w14:solidFill>
          </w14:textFill>
        </w:rPr>
        <w:t>湖北省地方标准</w:t>
      </w:r>
    </w:p>
    <w:p>
      <w:pPr>
        <w:jc w:val="center"/>
        <w:rPr>
          <w:rFonts w:ascii="Times New Roman" w:hAnsi="Times New Roman" w:eastAsia="黑体" w:cs="Times New Roman"/>
          <w:color w:val="000000" w:themeColor="text1"/>
          <w:sz w:val="40"/>
          <w:szCs w:val="48"/>
          <w14:textFill>
            <w14:solidFill>
              <w14:schemeClr w14:val="tx1"/>
            </w14:solidFill>
          </w14:textFill>
        </w:rPr>
      </w:pPr>
    </w:p>
    <w:p>
      <w:pPr>
        <w:jc w:val="center"/>
        <w:rPr>
          <w:rFonts w:ascii="宋体" w:hAnsi="宋体" w:eastAsia="宋体" w:cs="Times New Roman"/>
          <w:color w:val="000000" w:themeColor="text1"/>
          <w:sz w:val="40"/>
          <w:szCs w:val="48"/>
          <w14:textFill>
            <w14:solidFill>
              <w14:schemeClr w14:val="tx1"/>
            </w14:solidFill>
          </w14:textFill>
        </w:rPr>
      </w:pPr>
      <w:r>
        <w:rPr>
          <w:rFonts w:ascii="宋体" w:hAnsi="宋体" w:eastAsia="宋体" w:cs="Times New Roman"/>
          <w:color w:val="000000" w:themeColor="text1"/>
          <w:sz w:val="40"/>
          <w:szCs w:val="48"/>
          <w14:textFill>
            <w14:solidFill>
              <w14:schemeClr w14:val="tx1"/>
            </w14:solidFill>
          </w14:textFill>
        </w:rPr>
        <w:t>装配整体式框架及框架-剪力墙结构技术规程</w:t>
      </w:r>
    </w:p>
    <w:p>
      <w:pPr>
        <w:pStyle w:val="229"/>
        <w:framePr w:w="0" w:hRule="auto" w:hSpace="0" w:wrap="auto" w:vAnchor="margin" w:hAnchor="text" w:xAlign="left" w:yAlign="inline"/>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DB</w:t>
      </w:r>
      <w:r>
        <w:rPr>
          <w:rFonts w:ascii="Times New Roman"/>
          <w:color w:val="000000" w:themeColor="text1"/>
          <w14:textFill>
            <w14:solidFill>
              <w14:schemeClr w14:val="tx1"/>
            </w14:solidFill>
          </w14:textFill>
        </w:rPr>
        <w:fldChar w:fldCharType="begin">
          <w:ffData>
            <w:name w:val="StdNo0"/>
            <w:enabled/>
            <w:calcOnExit w:val="0"/>
            <w:textInput>
              <w:default w:val="XX"/>
              <w:maxLength w:val="2"/>
            </w:textInput>
          </w:ffData>
        </w:fldChar>
      </w:r>
      <w:r>
        <w:rPr>
          <w:rFonts w:ascii="Times New Roman"/>
          <w:color w:val="000000" w:themeColor="text1"/>
          <w14:textFill>
            <w14:solidFill>
              <w14:schemeClr w14:val="tx1"/>
            </w14:solidFill>
          </w14:textFill>
        </w:rPr>
        <w:instrText xml:space="preserve"> FORMTEXT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42</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fldChar w:fldCharType="begin">
          <w:ffData>
            <w:name w:val="StdNo1"/>
            <w:enabled/>
            <w:calcOnExit w:val="0"/>
            <w:textInput>
              <w:default w:val="XXXXX"/>
            </w:textInput>
          </w:ffData>
        </w:fldChar>
      </w:r>
      <w:r>
        <w:rPr>
          <w:rFonts w:ascii="Times New Roman"/>
          <w:color w:val="000000" w:themeColor="text1"/>
          <w14:textFill>
            <w14:solidFill>
              <w14:schemeClr w14:val="tx1"/>
            </w14:solidFill>
          </w14:textFill>
        </w:rPr>
        <w:instrText xml:space="preserve"> FORMTEXT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T</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t xml:space="preserve"> </w:t>
      </w:r>
      <w:r>
        <w:rPr>
          <w:rFonts w:ascii="Times New Roman"/>
          <w:color w:val="000000" w:themeColor="text1"/>
          <w:shd w:val="clear" w:color="FFFFFF" w:fill="D9D9D9"/>
          <w14:textFill>
            <w14:solidFill>
              <w14:schemeClr w14:val="tx1"/>
            </w14:solidFill>
          </w14:textFill>
        </w:rPr>
        <w:fldChar w:fldCharType="begin">
          <w:ffData>
            <w:name w:val="StdNo2"/>
            <w:enabled/>
            <w:calcOnExit w:val="0"/>
            <w:textInput>
              <w:default w:val="XXXX"/>
              <w:maxLength w:val="4"/>
            </w:textInput>
          </w:ffData>
        </w:fldChar>
      </w:r>
      <w:r>
        <w:rPr>
          <w:rFonts w:ascii="Times New Roman"/>
          <w:color w:val="000000" w:themeColor="text1"/>
          <w:shd w:val="clear" w:color="FFFFFF" w:fill="D9D9D9"/>
          <w14:textFill>
            <w14:solidFill>
              <w14:schemeClr w14:val="tx1"/>
            </w14:solidFill>
          </w14:textFill>
        </w:rPr>
        <w:instrText xml:space="preserve"> FORMTEXT </w:instrText>
      </w:r>
      <w:r>
        <w:rPr>
          <w:rFonts w:ascii="Times New Roman"/>
          <w:color w:val="000000" w:themeColor="text1"/>
          <w:shd w:val="clear" w:color="FFFFFF" w:fill="D9D9D9"/>
          <w14:textFill>
            <w14:solidFill>
              <w14:schemeClr w14:val="tx1"/>
            </w14:solidFill>
          </w14:textFill>
        </w:rPr>
        <w:fldChar w:fldCharType="separate"/>
      </w:r>
      <w:r>
        <w:rPr>
          <w:rFonts w:ascii="Times New Roman"/>
          <w:color w:val="000000" w:themeColor="text1"/>
          <w:shd w:val="clear" w:color="FFFFFF" w:fill="D9D9D9"/>
          <w14:textFill>
            <w14:solidFill>
              <w14:schemeClr w14:val="tx1"/>
            </w14:solidFill>
          </w14:textFill>
        </w:rPr>
        <w:t>XXXX</w:t>
      </w:r>
      <w:r>
        <w:rPr>
          <w:rFonts w:ascii="Times New Roman"/>
          <w:color w:val="000000" w:themeColor="text1"/>
          <w:shd w:val="clear" w:color="FFFFFF" w:fill="D9D9D9"/>
          <w14:textFill>
            <w14:solidFill>
              <w14:schemeClr w14:val="tx1"/>
            </w14:solidFill>
          </w14:textFill>
        </w:rPr>
        <w:fldChar w:fldCharType="end"/>
      </w:r>
      <w:r>
        <w:rPr>
          <w:rFonts w:ascii="Times New Roman"/>
          <w:color w:val="000000" w:themeColor="text1"/>
          <w14:textFill>
            <w14:solidFill>
              <w14:schemeClr w14:val="tx1"/>
            </w14:solidFill>
          </w14:textFill>
        </w:rPr>
        <w:t>—202X</w:t>
      </w:r>
    </w:p>
    <w:p>
      <w:pPr>
        <w:pStyle w:val="210"/>
        <w:spacing w:before="240" w:after="240"/>
        <w:jc w:val="center"/>
        <w:outlineLvl w:val="9"/>
      </w:pPr>
    </w:p>
    <w:p>
      <w:pPr>
        <w:jc w:val="center"/>
        <w:outlineLvl w:val="1"/>
        <w:rPr>
          <w:rFonts w:ascii="宋体" w:hAnsi="宋体" w:eastAsia="宋体" w:cs="Times New Roman"/>
          <w:color w:val="000000" w:themeColor="text1"/>
          <w:sz w:val="40"/>
          <w:szCs w:val="48"/>
          <w14:textFill>
            <w14:solidFill>
              <w14:schemeClr w14:val="tx1"/>
            </w14:solidFill>
          </w14:textFill>
        </w:rPr>
      </w:pPr>
      <w:bookmarkStart w:id="276" w:name="_Toc172187868"/>
      <w:bookmarkStart w:id="277" w:name="_Toc172188653"/>
      <w:bookmarkStart w:id="278" w:name="_Toc9342"/>
      <w:bookmarkStart w:id="279" w:name="_Toc172188929"/>
      <w:r>
        <w:rPr>
          <w:rFonts w:hint="eastAsia" w:ascii="宋体" w:hAnsi="宋体" w:eastAsia="宋体" w:cs="Times New Roman"/>
          <w:color w:val="000000" w:themeColor="text1"/>
          <w:sz w:val="40"/>
          <w:szCs w:val="48"/>
          <w14:textFill>
            <w14:solidFill>
              <w14:schemeClr w14:val="tx1"/>
            </w14:solidFill>
          </w14:textFill>
        </w:rPr>
        <w:t>条 文 说 明</w:t>
      </w:r>
      <w:bookmarkEnd w:id="276"/>
      <w:bookmarkEnd w:id="277"/>
      <w:bookmarkEnd w:id="278"/>
      <w:bookmarkEnd w:id="279"/>
    </w:p>
    <w:p>
      <w:pPr>
        <w:widowControl/>
        <w:rPr>
          <w:rFonts w:ascii="Times New Roman" w:hAnsi="Times New Roman" w:cs="Times New Roman" w:eastAsiaTheme="minorEastAsia"/>
          <w:b/>
          <w:color w:val="000000" w:themeColor="text1"/>
          <w:lang w:val="en-US"/>
          <w14:textFill>
            <w14:solidFill>
              <w14:schemeClr w14:val="tx1"/>
            </w14:solidFill>
          </w14:textFill>
        </w:rPr>
      </w:pPr>
      <w:r>
        <w:br w:type="page"/>
      </w:r>
    </w:p>
    <w:p>
      <w:pPr>
        <w:pStyle w:val="210"/>
        <w:spacing w:before="240" w:after="240"/>
        <w:jc w:val="center"/>
        <w:outlineLvl w:val="9"/>
        <w:rPr>
          <w:b w:val="0"/>
          <w:bCs/>
        </w:rPr>
      </w:pPr>
      <w:bookmarkStart w:id="280" w:name="_Toc20316"/>
      <w:bookmarkStart w:id="281" w:name="_Toc5450"/>
      <w:r>
        <w:rPr>
          <w:rFonts w:hint="eastAsia" w:ascii="黑体" w:hAnsi="黑体" w:eastAsia="黑体" w:cs="黑体"/>
          <w:b w:val="0"/>
          <w:bCs/>
          <w:sz w:val="30"/>
          <w:szCs w:val="30"/>
        </w:rPr>
        <w:t>目  次</w:t>
      </w:r>
      <w:bookmarkEnd w:id="280"/>
      <w:bookmarkEnd w:id="281"/>
    </w:p>
    <w:p>
      <w:pPr>
        <w:pStyle w:val="20"/>
        <w:rPr>
          <w:rFonts w:hAnsi="宋体"/>
          <w:kern w:val="2"/>
          <w:szCs w:val="21"/>
        </w:rPr>
      </w:pPr>
      <w:r>
        <w:rPr>
          <w:rFonts w:hAnsi="宋体"/>
          <w:szCs w:val="21"/>
        </w:rPr>
        <w:fldChar w:fldCharType="begin"/>
      </w:r>
      <w:r>
        <w:rPr>
          <w:rFonts w:hAnsi="宋体"/>
          <w:szCs w:val="21"/>
        </w:rPr>
        <w:instrText xml:space="preserve">TOC \o "1-3" \h \u </w:instrText>
      </w:r>
      <w:r>
        <w:rPr>
          <w:rFonts w:hAnsi="宋体"/>
          <w:szCs w:val="21"/>
        </w:rPr>
        <w:fldChar w:fldCharType="separate"/>
      </w:r>
    </w:p>
    <w:p>
      <w:pPr>
        <w:pStyle w:val="20"/>
        <w:rPr>
          <w:rFonts w:hAnsi="宋体"/>
          <w:kern w:val="2"/>
          <w:szCs w:val="21"/>
        </w:rPr>
      </w:pPr>
      <w:r>
        <w:fldChar w:fldCharType="begin"/>
      </w:r>
      <w:r>
        <w:instrText xml:space="preserve"> HYPERLINK \l "_Toc172188930" </w:instrText>
      </w:r>
      <w:r>
        <w:fldChar w:fldCharType="separate"/>
      </w:r>
      <w:r>
        <w:rPr>
          <w:rStyle w:val="28"/>
          <w:rFonts w:hAnsi="宋体"/>
          <w:szCs w:val="21"/>
        </w:rPr>
        <w:t>4 基本规定</w:t>
      </w:r>
      <w:r>
        <w:rPr>
          <w:rFonts w:hAnsi="宋体"/>
          <w:szCs w:val="21"/>
        </w:rPr>
        <w:tab/>
      </w:r>
      <w:r>
        <w:rPr>
          <w:rFonts w:hAnsi="宋体"/>
          <w:szCs w:val="21"/>
        </w:rPr>
        <w:fldChar w:fldCharType="begin"/>
      </w:r>
      <w:r>
        <w:rPr>
          <w:rFonts w:hAnsi="宋体"/>
          <w:szCs w:val="21"/>
        </w:rPr>
        <w:instrText xml:space="preserve"> PAGEREF _Toc172188930 \h </w:instrText>
      </w:r>
      <w:r>
        <w:rPr>
          <w:rFonts w:hAnsi="宋体"/>
          <w:szCs w:val="21"/>
        </w:rPr>
        <w:fldChar w:fldCharType="separate"/>
      </w:r>
      <w:r>
        <w:rPr>
          <w:rFonts w:hAnsi="宋体"/>
          <w:szCs w:val="21"/>
        </w:rPr>
        <w:t>53</w:t>
      </w:r>
      <w:r>
        <w:rPr>
          <w:rFonts w:hAnsi="宋体"/>
          <w:szCs w:val="21"/>
        </w:rPr>
        <w:fldChar w:fldCharType="end"/>
      </w:r>
      <w:r>
        <w:rPr>
          <w:rFonts w:hAnsi="宋体"/>
          <w:szCs w:val="21"/>
        </w:rPr>
        <w:fldChar w:fldCharType="end"/>
      </w:r>
    </w:p>
    <w:p>
      <w:pPr>
        <w:pStyle w:val="20"/>
        <w:rPr>
          <w:rFonts w:hAnsi="宋体"/>
          <w:kern w:val="2"/>
          <w:szCs w:val="21"/>
        </w:rPr>
      </w:pPr>
      <w:r>
        <w:fldChar w:fldCharType="begin"/>
      </w:r>
      <w:r>
        <w:instrText xml:space="preserve"> HYPERLINK \l "_Toc172188931" </w:instrText>
      </w:r>
      <w:r>
        <w:fldChar w:fldCharType="separate"/>
      </w:r>
      <w:r>
        <w:rPr>
          <w:rStyle w:val="28"/>
          <w:rFonts w:hAnsi="宋体"/>
          <w:szCs w:val="21"/>
        </w:rPr>
        <w:t>5 材料</w:t>
      </w:r>
      <w:r>
        <w:rPr>
          <w:rFonts w:hAnsi="宋体"/>
          <w:szCs w:val="21"/>
        </w:rPr>
        <w:tab/>
      </w:r>
      <w:r>
        <w:rPr>
          <w:rFonts w:hAnsi="宋体"/>
          <w:szCs w:val="21"/>
        </w:rPr>
        <w:fldChar w:fldCharType="begin"/>
      </w:r>
      <w:r>
        <w:rPr>
          <w:rFonts w:hAnsi="宋体"/>
          <w:szCs w:val="21"/>
        </w:rPr>
        <w:instrText xml:space="preserve"> PAGEREF _Toc172188931 \h </w:instrText>
      </w:r>
      <w:r>
        <w:rPr>
          <w:rFonts w:hAnsi="宋体"/>
          <w:szCs w:val="21"/>
        </w:rPr>
        <w:fldChar w:fldCharType="separate"/>
      </w:r>
      <w:r>
        <w:rPr>
          <w:rFonts w:hAnsi="宋体"/>
          <w:szCs w:val="21"/>
        </w:rPr>
        <w:t>53</w:t>
      </w:r>
      <w:r>
        <w:rPr>
          <w:rFonts w:hAnsi="宋体"/>
          <w:szCs w:val="21"/>
        </w:rPr>
        <w:fldChar w:fldCharType="end"/>
      </w:r>
      <w:r>
        <w:rPr>
          <w:rFonts w:hAnsi="宋体"/>
          <w:szCs w:val="21"/>
        </w:rPr>
        <w:fldChar w:fldCharType="end"/>
      </w:r>
    </w:p>
    <w:p>
      <w:pPr>
        <w:pStyle w:val="11"/>
        <w:rPr>
          <w:rFonts w:ascii="宋体" w:hAnsi="宋体"/>
          <w:kern w:val="2"/>
          <w:sz w:val="21"/>
          <w:szCs w:val="21"/>
        </w:rPr>
      </w:pPr>
      <w:r>
        <w:fldChar w:fldCharType="begin"/>
      </w:r>
      <w:r>
        <w:instrText xml:space="preserve"> HYPERLINK \l "_Toc172188932" </w:instrText>
      </w:r>
      <w:r>
        <w:fldChar w:fldCharType="separate"/>
      </w:r>
      <w:r>
        <w:rPr>
          <w:rStyle w:val="28"/>
          <w:rFonts w:ascii="宋体" w:hAnsi="宋体"/>
          <w:szCs w:val="21"/>
        </w:rPr>
        <w:t>5.1 混凝土、钢筋和钢材</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_Toc172188932 \h </w:instrText>
      </w:r>
      <w:r>
        <w:rPr>
          <w:rFonts w:ascii="宋体" w:hAnsi="宋体"/>
          <w:sz w:val="21"/>
          <w:szCs w:val="21"/>
        </w:rPr>
        <w:fldChar w:fldCharType="separate"/>
      </w:r>
      <w:r>
        <w:rPr>
          <w:rFonts w:ascii="宋体" w:hAnsi="宋体"/>
          <w:sz w:val="21"/>
          <w:szCs w:val="21"/>
        </w:rPr>
        <w:t>53</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"_Toc172188933" </w:instrText>
      </w:r>
      <w:r>
        <w:fldChar w:fldCharType="separate"/>
      </w:r>
      <w:r>
        <w:rPr>
          <w:rStyle w:val="28"/>
          <w:rFonts w:ascii="宋体" w:hAnsi="宋体"/>
          <w:szCs w:val="21"/>
        </w:rPr>
        <w:t>5.2 连接材料</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_Toc172188933 \h </w:instrText>
      </w:r>
      <w:r>
        <w:rPr>
          <w:rFonts w:ascii="宋体" w:hAnsi="宋体"/>
          <w:sz w:val="21"/>
          <w:szCs w:val="21"/>
        </w:rPr>
        <w:fldChar w:fldCharType="separate"/>
      </w:r>
      <w:r>
        <w:rPr>
          <w:rFonts w:ascii="宋体" w:hAnsi="宋体"/>
          <w:sz w:val="21"/>
          <w:szCs w:val="21"/>
        </w:rPr>
        <w:t>53</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"_Toc172188934" </w:instrText>
      </w:r>
      <w:r>
        <w:fldChar w:fldCharType="separate"/>
      </w:r>
      <w:r>
        <w:rPr>
          <w:rStyle w:val="28"/>
          <w:rFonts w:ascii="宋体" w:hAnsi="宋体"/>
          <w:szCs w:val="21"/>
        </w:rPr>
        <w:t>5.3 吊环及预埋件</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_Toc172188934 \h </w:instrText>
      </w:r>
      <w:r>
        <w:rPr>
          <w:rFonts w:ascii="宋体" w:hAnsi="宋体"/>
          <w:sz w:val="21"/>
          <w:szCs w:val="21"/>
        </w:rPr>
        <w:fldChar w:fldCharType="separate"/>
      </w:r>
      <w:r>
        <w:rPr>
          <w:rFonts w:ascii="宋体" w:hAnsi="宋体"/>
          <w:sz w:val="21"/>
          <w:szCs w:val="21"/>
        </w:rPr>
        <w:t>53</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"_Toc172188935" </w:instrText>
      </w:r>
      <w:r>
        <w:fldChar w:fldCharType="separate"/>
      </w:r>
      <w:r>
        <w:rPr>
          <w:rStyle w:val="28"/>
          <w:rFonts w:ascii="宋体" w:hAnsi="宋体"/>
          <w:szCs w:val="21"/>
        </w:rPr>
        <w:t>5.4 其他材料</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_Toc172188935 \h </w:instrText>
      </w:r>
      <w:r>
        <w:rPr>
          <w:rFonts w:ascii="宋体" w:hAnsi="宋体"/>
          <w:sz w:val="21"/>
          <w:szCs w:val="21"/>
        </w:rPr>
        <w:fldChar w:fldCharType="separate"/>
      </w:r>
      <w:r>
        <w:rPr>
          <w:rFonts w:ascii="宋体" w:hAnsi="宋体"/>
          <w:sz w:val="21"/>
          <w:szCs w:val="21"/>
        </w:rPr>
        <w:t>53</w:t>
      </w:r>
      <w:r>
        <w:rPr>
          <w:rFonts w:ascii="宋体" w:hAnsi="宋体"/>
          <w:sz w:val="21"/>
          <w:szCs w:val="21"/>
        </w:rPr>
        <w:fldChar w:fldCharType="end"/>
      </w:r>
      <w:r>
        <w:rPr>
          <w:rFonts w:ascii="宋体" w:hAnsi="宋体"/>
          <w:sz w:val="21"/>
          <w:szCs w:val="21"/>
        </w:rPr>
        <w:fldChar w:fldCharType="end"/>
      </w:r>
    </w:p>
    <w:p>
      <w:pPr>
        <w:pStyle w:val="20"/>
        <w:rPr>
          <w:rFonts w:hAnsi="宋体"/>
          <w:kern w:val="2"/>
          <w:szCs w:val="21"/>
        </w:rPr>
      </w:pPr>
      <w:r>
        <w:fldChar w:fldCharType="begin"/>
      </w:r>
      <w:r>
        <w:instrText xml:space="preserve"> HYPERLINK \l "_Toc172188936" </w:instrText>
      </w:r>
      <w:r>
        <w:fldChar w:fldCharType="separate"/>
      </w:r>
      <w:r>
        <w:rPr>
          <w:rStyle w:val="28"/>
          <w:rFonts w:hAnsi="宋体"/>
          <w:szCs w:val="21"/>
        </w:rPr>
        <w:t>6 建筑设计</w:t>
      </w:r>
      <w:r>
        <w:rPr>
          <w:rFonts w:hAnsi="宋体"/>
          <w:szCs w:val="21"/>
        </w:rPr>
        <w:tab/>
      </w:r>
      <w:r>
        <w:rPr>
          <w:rFonts w:hAnsi="宋体"/>
          <w:szCs w:val="21"/>
        </w:rPr>
        <w:fldChar w:fldCharType="begin"/>
      </w:r>
      <w:r>
        <w:rPr>
          <w:rFonts w:hAnsi="宋体"/>
          <w:szCs w:val="21"/>
        </w:rPr>
        <w:instrText xml:space="preserve"> PAGEREF _Toc172188936 \h </w:instrText>
      </w:r>
      <w:r>
        <w:rPr>
          <w:rFonts w:hAnsi="宋体"/>
          <w:szCs w:val="21"/>
        </w:rPr>
        <w:fldChar w:fldCharType="separate"/>
      </w:r>
      <w:r>
        <w:rPr>
          <w:rFonts w:hAnsi="宋体"/>
          <w:szCs w:val="21"/>
        </w:rPr>
        <w:t>53</w:t>
      </w:r>
      <w:r>
        <w:rPr>
          <w:rFonts w:hAnsi="宋体"/>
          <w:szCs w:val="21"/>
        </w:rPr>
        <w:fldChar w:fldCharType="end"/>
      </w:r>
      <w:r>
        <w:rPr>
          <w:rFonts w:hAnsi="宋体"/>
          <w:szCs w:val="21"/>
        </w:rPr>
        <w:fldChar w:fldCharType="end"/>
      </w:r>
    </w:p>
    <w:p>
      <w:pPr>
        <w:pStyle w:val="11"/>
        <w:rPr>
          <w:rFonts w:ascii="宋体" w:hAnsi="宋体"/>
          <w:kern w:val="2"/>
          <w:sz w:val="21"/>
          <w:szCs w:val="21"/>
        </w:rPr>
      </w:pPr>
      <w:r>
        <w:fldChar w:fldCharType="begin"/>
      </w:r>
      <w:r>
        <w:instrText xml:space="preserve"> HYPERLINK \l "_Toc172188937" </w:instrText>
      </w:r>
      <w:r>
        <w:fldChar w:fldCharType="separate"/>
      </w:r>
      <w:r>
        <w:rPr>
          <w:rStyle w:val="28"/>
          <w:rFonts w:ascii="宋体" w:hAnsi="宋体"/>
          <w:szCs w:val="21"/>
        </w:rPr>
        <w:t>6.1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_Toc172188937 \h </w:instrText>
      </w:r>
      <w:r>
        <w:rPr>
          <w:rFonts w:ascii="宋体" w:hAnsi="宋体"/>
          <w:sz w:val="21"/>
          <w:szCs w:val="21"/>
        </w:rPr>
        <w:fldChar w:fldCharType="separate"/>
      </w:r>
      <w:r>
        <w:rPr>
          <w:rFonts w:ascii="宋体" w:hAnsi="宋体"/>
          <w:sz w:val="21"/>
          <w:szCs w:val="21"/>
        </w:rPr>
        <w:t>53</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"_Toc172188938" </w:instrText>
      </w:r>
      <w:r>
        <w:fldChar w:fldCharType="separate"/>
      </w:r>
      <w:r>
        <w:rPr>
          <w:rStyle w:val="28"/>
          <w:rFonts w:ascii="宋体" w:hAnsi="宋体" w:cs="Times New Roman"/>
          <w:szCs w:val="21"/>
        </w:rPr>
        <w:t>6.2 平面设计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_Toc172188938 \h </w:instrText>
      </w:r>
      <w:r>
        <w:rPr>
          <w:rFonts w:ascii="宋体" w:hAnsi="宋体"/>
          <w:sz w:val="21"/>
          <w:szCs w:val="21"/>
        </w:rPr>
        <w:fldChar w:fldCharType="separate"/>
      </w:r>
      <w:r>
        <w:rPr>
          <w:rFonts w:ascii="宋体" w:hAnsi="宋体"/>
          <w:sz w:val="21"/>
          <w:szCs w:val="21"/>
        </w:rPr>
        <w:t>53</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"_Toc172188939" </w:instrText>
      </w:r>
      <w:r>
        <w:fldChar w:fldCharType="separate"/>
      </w:r>
      <w:r>
        <w:rPr>
          <w:rStyle w:val="28"/>
          <w:rFonts w:ascii="宋体" w:hAnsi="宋体" w:cs="Times New Roman"/>
          <w:szCs w:val="21"/>
        </w:rPr>
        <w:t>6.3 立面和外墙设计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_Toc172188939 \h </w:instrText>
      </w:r>
      <w:r>
        <w:rPr>
          <w:rFonts w:ascii="宋体" w:hAnsi="宋体"/>
          <w:sz w:val="21"/>
          <w:szCs w:val="21"/>
        </w:rPr>
        <w:fldChar w:fldCharType="separate"/>
      </w:r>
      <w:r>
        <w:rPr>
          <w:rFonts w:ascii="宋体" w:hAnsi="宋体"/>
          <w:sz w:val="21"/>
          <w:szCs w:val="21"/>
        </w:rPr>
        <w:t>54</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"_Toc172188940" </w:instrText>
      </w:r>
      <w:r>
        <w:fldChar w:fldCharType="separate"/>
      </w:r>
      <w:r>
        <w:rPr>
          <w:rStyle w:val="28"/>
          <w:rFonts w:ascii="宋体" w:hAnsi="宋体" w:cs="Times New Roman"/>
          <w:szCs w:val="21"/>
        </w:rPr>
        <w:t>6.4 设备管线设计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_Toc172188940 \h </w:instrText>
      </w:r>
      <w:r>
        <w:rPr>
          <w:rFonts w:ascii="宋体" w:hAnsi="宋体"/>
          <w:sz w:val="21"/>
          <w:szCs w:val="21"/>
        </w:rPr>
        <w:fldChar w:fldCharType="separate"/>
      </w:r>
      <w:r>
        <w:rPr>
          <w:rFonts w:ascii="宋体" w:hAnsi="宋体"/>
          <w:sz w:val="21"/>
          <w:szCs w:val="21"/>
        </w:rPr>
        <w:t>54</w:t>
      </w:r>
      <w:r>
        <w:rPr>
          <w:rFonts w:ascii="宋体" w:hAnsi="宋体"/>
          <w:sz w:val="21"/>
          <w:szCs w:val="21"/>
        </w:rPr>
        <w:fldChar w:fldCharType="end"/>
      </w:r>
      <w:r>
        <w:rPr>
          <w:rFonts w:ascii="宋体" w:hAnsi="宋体"/>
          <w:sz w:val="21"/>
          <w:szCs w:val="21"/>
        </w:rPr>
        <w:fldChar w:fldCharType="end"/>
      </w:r>
    </w:p>
    <w:p>
      <w:pPr>
        <w:pStyle w:val="20"/>
        <w:rPr>
          <w:rFonts w:hAnsi="宋体"/>
          <w:kern w:val="2"/>
          <w:szCs w:val="21"/>
        </w:rPr>
      </w:pPr>
      <w:r>
        <w:fldChar w:fldCharType="begin"/>
      </w:r>
      <w:r>
        <w:instrText xml:space="preserve"> HYPERLINK \l "_Toc172188941" </w:instrText>
      </w:r>
      <w:r>
        <w:fldChar w:fldCharType="separate"/>
      </w:r>
      <w:r>
        <w:rPr>
          <w:rStyle w:val="28"/>
          <w:rFonts w:hAnsi="宋体"/>
          <w:szCs w:val="21"/>
        </w:rPr>
        <w:t>7 结构设计基本规定</w:t>
      </w:r>
      <w:r>
        <w:rPr>
          <w:rFonts w:hAnsi="宋体"/>
          <w:szCs w:val="21"/>
        </w:rPr>
        <w:tab/>
      </w:r>
      <w:r>
        <w:rPr>
          <w:rFonts w:hAnsi="宋体"/>
          <w:szCs w:val="21"/>
        </w:rPr>
        <w:fldChar w:fldCharType="begin"/>
      </w:r>
      <w:r>
        <w:rPr>
          <w:rFonts w:hAnsi="宋体"/>
          <w:szCs w:val="21"/>
        </w:rPr>
        <w:instrText xml:space="preserve"> PAGEREF _Toc172188941 \h </w:instrText>
      </w:r>
      <w:r>
        <w:rPr>
          <w:rFonts w:hAnsi="宋体"/>
          <w:szCs w:val="21"/>
        </w:rPr>
        <w:fldChar w:fldCharType="separate"/>
      </w:r>
      <w:r>
        <w:rPr>
          <w:rFonts w:hAnsi="宋体"/>
          <w:szCs w:val="21"/>
        </w:rPr>
        <w:t>54</w:t>
      </w:r>
      <w:r>
        <w:rPr>
          <w:rFonts w:hAnsi="宋体"/>
          <w:szCs w:val="21"/>
        </w:rPr>
        <w:fldChar w:fldCharType="end"/>
      </w:r>
      <w:r>
        <w:rPr>
          <w:rFonts w:hAnsi="宋体"/>
          <w:szCs w:val="21"/>
        </w:rPr>
        <w:fldChar w:fldCharType="end"/>
      </w:r>
    </w:p>
    <w:p>
      <w:pPr>
        <w:pStyle w:val="11"/>
        <w:rPr>
          <w:rFonts w:ascii="宋体" w:hAnsi="宋体"/>
          <w:kern w:val="2"/>
          <w:sz w:val="21"/>
          <w:szCs w:val="21"/>
        </w:rPr>
      </w:pPr>
      <w:r>
        <w:fldChar w:fldCharType="begin"/>
      </w:r>
      <w:r>
        <w:instrText xml:space="preserve"> HYPERLINK \l "_Toc172188942" </w:instrText>
      </w:r>
      <w:r>
        <w:fldChar w:fldCharType="separate"/>
      </w:r>
      <w:r>
        <w:rPr>
          <w:rStyle w:val="28"/>
          <w:rFonts w:ascii="宋体" w:hAnsi="宋体"/>
          <w:szCs w:val="21"/>
        </w:rPr>
        <w:t>7.1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_Toc172188942 \h </w:instrText>
      </w:r>
      <w:r>
        <w:rPr>
          <w:rFonts w:ascii="宋体" w:hAnsi="宋体"/>
          <w:sz w:val="21"/>
          <w:szCs w:val="21"/>
        </w:rPr>
        <w:fldChar w:fldCharType="separate"/>
      </w:r>
      <w:r>
        <w:rPr>
          <w:rFonts w:ascii="宋体" w:hAnsi="宋体"/>
          <w:sz w:val="21"/>
          <w:szCs w:val="21"/>
        </w:rPr>
        <w:t>54</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"_Toc172188943" </w:instrText>
      </w:r>
      <w:r>
        <w:fldChar w:fldCharType="separate"/>
      </w:r>
      <w:r>
        <w:rPr>
          <w:rStyle w:val="28"/>
          <w:rFonts w:ascii="宋体" w:hAnsi="宋体"/>
          <w:szCs w:val="21"/>
        </w:rPr>
        <w:t>7.2 房屋适用高度和高宽比</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_Toc172188943 \h </w:instrText>
      </w:r>
      <w:r>
        <w:rPr>
          <w:rFonts w:ascii="宋体" w:hAnsi="宋体"/>
          <w:sz w:val="21"/>
          <w:szCs w:val="21"/>
        </w:rPr>
        <w:fldChar w:fldCharType="separate"/>
      </w:r>
      <w:r>
        <w:rPr>
          <w:rFonts w:ascii="宋体" w:hAnsi="宋体"/>
          <w:sz w:val="21"/>
          <w:szCs w:val="21"/>
        </w:rPr>
        <w:t>54</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"_Toc172188944" </w:instrText>
      </w:r>
      <w:r>
        <w:fldChar w:fldCharType="separate"/>
      </w:r>
      <w:r>
        <w:rPr>
          <w:rStyle w:val="28"/>
          <w:rFonts w:ascii="宋体" w:hAnsi="宋体"/>
          <w:szCs w:val="21"/>
        </w:rPr>
        <w:t>7.3 结构平面及竖向布置</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_Toc172188944 \h </w:instrText>
      </w:r>
      <w:r>
        <w:rPr>
          <w:rFonts w:ascii="宋体" w:hAnsi="宋体"/>
          <w:sz w:val="21"/>
          <w:szCs w:val="21"/>
        </w:rPr>
        <w:fldChar w:fldCharType="separate"/>
      </w:r>
      <w:r>
        <w:rPr>
          <w:rFonts w:ascii="宋体" w:hAnsi="宋体"/>
          <w:sz w:val="21"/>
          <w:szCs w:val="21"/>
        </w:rPr>
        <w:t>54</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"_Toc172188945" </w:instrText>
      </w:r>
      <w:r>
        <w:fldChar w:fldCharType="separate"/>
      </w:r>
      <w:r>
        <w:rPr>
          <w:rStyle w:val="28"/>
          <w:rFonts w:ascii="宋体" w:hAnsi="宋体"/>
          <w:szCs w:val="21"/>
        </w:rPr>
        <w:t>7.4 作用及作用组合</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_Toc172188945 \h </w:instrText>
      </w:r>
      <w:r>
        <w:rPr>
          <w:rFonts w:ascii="宋体" w:hAnsi="宋体"/>
          <w:sz w:val="21"/>
          <w:szCs w:val="21"/>
        </w:rPr>
        <w:fldChar w:fldCharType="separate"/>
      </w:r>
      <w:r>
        <w:rPr>
          <w:rFonts w:ascii="宋体" w:hAnsi="宋体"/>
          <w:sz w:val="21"/>
          <w:szCs w:val="21"/>
        </w:rPr>
        <w:t>54</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"_Toc172188946" </w:instrText>
      </w:r>
      <w:r>
        <w:fldChar w:fldCharType="separate"/>
      </w:r>
      <w:r>
        <w:rPr>
          <w:rStyle w:val="28"/>
          <w:rFonts w:ascii="宋体" w:hAnsi="宋体"/>
          <w:szCs w:val="21"/>
        </w:rPr>
        <w:t>7.5 结构分析</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_Toc172188946 \h </w:instrText>
      </w:r>
      <w:r>
        <w:rPr>
          <w:rFonts w:ascii="宋体" w:hAnsi="宋体"/>
          <w:sz w:val="21"/>
          <w:szCs w:val="21"/>
        </w:rPr>
        <w:fldChar w:fldCharType="separate"/>
      </w:r>
      <w:r>
        <w:rPr>
          <w:rFonts w:ascii="宋体" w:hAnsi="宋体"/>
          <w:sz w:val="21"/>
          <w:szCs w:val="21"/>
        </w:rPr>
        <w:t>54</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"_Toc172188947" </w:instrText>
      </w:r>
      <w:r>
        <w:fldChar w:fldCharType="separate"/>
      </w:r>
      <w:r>
        <w:rPr>
          <w:rStyle w:val="28"/>
          <w:rFonts w:ascii="宋体" w:hAnsi="宋体"/>
          <w:szCs w:val="21"/>
        </w:rPr>
        <w:t>7.6 预制构件设计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_Toc172188947 \h </w:instrText>
      </w:r>
      <w:r>
        <w:rPr>
          <w:rFonts w:ascii="宋体" w:hAnsi="宋体"/>
          <w:sz w:val="21"/>
          <w:szCs w:val="21"/>
        </w:rPr>
        <w:fldChar w:fldCharType="separate"/>
      </w:r>
      <w:r>
        <w:rPr>
          <w:rFonts w:ascii="宋体" w:hAnsi="宋体"/>
          <w:sz w:val="21"/>
          <w:szCs w:val="21"/>
        </w:rPr>
        <w:t>55</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"_Toc172188948" </w:instrText>
      </w:r>
      <w:r>
        <w:fldChar w:fldCharType="separate"/>
      </w:r>
      <w:r>
        <w:rPr>
          <w:rStyle w:val="28"/>
          <w:rFonts w:ascii="宋体" w:hAnsi="宋体"/>
          <w:szCs w:val="21"/>
        </w:rPr>
        <w:t>7.7 楼盖设计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_Toc172188948 \h </w:instrText>
      </w:r>
      <w:r>
        <w:rPr>
          <w:rFonts w:ascii="宋体" w:hAnsi="宋体"/>
          <w:sz w:val="21"/>
          <w:szCs w:val="21"/>
        </w:rPr>
        <w:fldChar w:fldCharType="separate"/>
      </w:r>
      <w:r>
        <w:rPr>
          <w:rFonts w:ascii="宋体" w:hAnsi="宋体"/>
          <w:sz w:val="21"/>
          <w:szCs w:val="21"/>
        </w:rPr>
        <w:t>55</w:t>
      </w:r>
      <w:r>
        <w:rPr>
          <w:rFonts w:ascii="宋体" w:hAnsi="宋体"/>
          <w:sz w:val="21"/>
          <w:szCs w:val="21"/>
        </w:rPr>
        <w:fldChar w:fldCharType="end"/>
      </w:r>
      <w:r>
        <w:rPr>
          <w:rFonts w:ascii="宋体" w:hAnsi="宋体"/>
          <w:sz w:val="21"/>
          <w:szCs w:val="21"/>
        </w:rPr>
        <w:fldChar w:fldCharType="end"/>
      </w:r>
    </w:p>
    <w:p>
      <w:pPr>
        <w:pStyle w:val="20"/>
        <w:rPr>
          <w:rFonts w:hAnsi="宋体"/>
          <w:kern w:val="2"/>
          <w:szCs w:val="21"/>
        </w:rPr>
      </w:pPr>
      <w:r>
        <w:fldChar w:fldCharType="begin"/>
      </w:r>
      <w:r>
        <w:instrText xml:space="preserve"> HYPERLINK \l "_Toc172188949" </w:instrText>
      </w:r>
      <w:r>
        <w:fldChar w:fldCharType="separate"/>
      </w:r>
      <w:r>
        <w:rPr>
          <w:rStyle w:val="28"/>
          <w:rFonts w:hAnsi="宋体"/>
          <w:szCs w:val="21"/>
        </w:rPr>
        <w:t>8 装配整体式框架结构设计</w:t>
      </w:r>
      <w:r>
        <w:rPr>
          <w:rFonts w:hAnsi="宋体"/>
          <w:szCs w:val="21"/>
        </w:rPr>
        <w:tab/>
      </w:r>
      <w:r>
        <w:rPr>
          <w:rFonts w:hAnsi="宋体"/>
          <w:szCs w:val="21"/>
        </w:rPr>
        <w:fldChar w:fldCharType="begin"/>
      </w:r>
      <w:r>
        <w:rPr>
          <w:rFonts w:hAnsi="宋体"/>
          <w:szCs w:val="21"/>
        </w:rPr>
        <w:instrText xml:space="preserve"> PAGEREF _Toc172188949 \h </w:instrText>
      </w:r>
      <w:r>
        <w:rPr>
          <w:rFonts w:hAnsi="宋体"/>
          <w:szCs w:val="21"/>
        </w:rPr>
        <w:fldChar w:fldCharType="separate"/>
      </w:r>
      <w:r>
        <w:rPr>
          <w:rFonts w:hAnsi="宋体"/>
          <w:szCs w:val="21"/>
        </w:rPr>
        <w:t>55</w:t>
      </w:r>
      <w:r>
        <w:rPr>
          <w:rFonts w:hAnsi="宋体"/>
          <w:szCs w:val="21"/>
        </w:rPr>
        <w:fldChar w:fldCharType="end"/>
      </w:r>
      <w:r>
        <w:rPr>
          <w:rFonts w:hAnsi="宋体"/>
          <w:szCs w:val="21"/>
        </w:rPr>
        <w:fldChar w:fldCharType="end"/>
      </w:r>
    </w:p>
    <w:p>
      <w:pPr>
        <w:pStyle w:val="11"/>
        <w:rPr>
          <w:rFonts w:ascii="宋体" w:hAnsi="宋体"/>
          <w:kern w:val="2"/>
          <w:sz w:val="21"/>
          <w:szCs w:val="21"/>
        </w:rPr>
      </w:pPr>
      <w:r>
        <w:fldChar w:fldCharType="begin"/>
      </w:r>
      <w:r>
        <w:instrText xml:space="preserve"> HYPERLINK \l "_Toc172188950" </w:instrText>
      </w:r>
      <w:r>
        <w:fldChar w:fldCharType="separate"/>
      </w:r>
      <w:r>
        <w:rPr>
          <w:rStyle w:val="28"/>
          <w:rFonts w:ascii="宋体" w:hAnsi="宋体"/>
          <w:szCs w:val="21"/>
        </w:rPr>
        <w:t>8.1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_Toc172188950 \h </w:instrText>
      </w:r>
      <w:r>
        <w:rPr>
          <w:rFonts w:ascii="宋体" w:hAnsi="宋体"/>
          <w:sz w:val="21"/>
          <w:szCs w:val="21"/>
        </w:rPr>
        <w:fldChar w:fldCharType="separate"/>
      </w:r>
      <w:r>
        <w:rPr>
          <w:rFonts w:ascii="宋体" w:hAnsi="宋体"/>
          <w:sz w:val="21"/>
          <w:szCs w:val="21"/>
        </w:rPr>
        <w:t>55</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"_Toc172188951" </w:instrText>
      </w:r>
      <w:r>
        <w:fldChar w:fldCharType="separate"/>
      </w:r>
      <w:r>
        <w:rPr>
          <w:rStyle w:val="28"/>
          <w:rFonts w:ascii="宋体" w:hAnsi="宋体"/>
          <w:szCs w:val="21"/>
        </w:rPr>
        <w:t>8.2 连接设计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_Toc172188951 \h </w:instrText>
      </w:r>
      <w:r>
        <w:rPr>
          <w:rFonts w:ascii="宋体" w:hAnsi="宋体"/>
          <w:sz w:val="21"/>
          <w:szCs w:val="21"/>
        </w:rPr>
        <w:fldChar w:fldCharType="separate"/>
      </w:r>
      <w:r>
        <w:rPr>
          <w:rFonts w:ascii="宋体" w:hAnsi="宋体"/>
          <w:sz w:val="21"/>
          <w:szCs w:val="21"/>
        </w:rPr>
        <w:t>56</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"_Toc172188952" </w:instrText>
      </w:r>
      <w:r>
        <w:fldChar w:fldCharType="separate"/>
      </w:r>
      <w:r>
        <w:rPr>
          <w:rStyle w:val="28"/>
          <w:rFonts w:ascii="宋体" w:hAnsi="宋体"/>
          <w:szCs w:val="21"/>
        </w:rPr>
        <w:t>8.3 构造设计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_Toc172188952 \h </w:instrText>
      </w:r>
      <w:r>
        <w:rPr>
          <w:rFonts w:ascii="宋体" w:hAnsi="宋体"/>
          <w:sz w:val="21"/>
          <w:szCs w:val="21"/>
        </w:rPr>
        <w:fldChar w:fldCharType="separate"/>
      </w:r>
      <w:r>
        <w:rPr>
          <w:rFonts w:ascii="宋体" w:hAnsi="宋体"/>
          <w:sz w:val="21"/>
          <w:szCs w:val="21"/>
        </w:rPr>
        <w:t>56</w:t>
      </w:r>
      <w:r>
        <w:rPr>
          <w:rFonts w:ascii="宋体" w:hAnsi="宋体"/>
          <w:sz w:val="21"/>
          <w:szCs w:val="21"/>
        </w:rPr>
        <w:fldChar w:fldCharType="end"/>
      </w:r>
      <w:r>
        <w:rPr>
          <w:rFonts w:ascii="宋体" w:hAnsi="宋体"/>
          <w:sz w:val="21"/>
          <w:szCs w:val="21"/>
        </w:rPr>
        <w:fldChar w:fldCharType="end"/>
      </w:r>
    </w:p>
    <w:p>
      <w:pPr>
        <w:pStyle w:val="20"/>
        <w:rPr>
          <w:rFonts w:hAnsi="宋体"/>
          <w:kern w:val="2"/>
          <w:szCs w:val="21"/>
        </w:rPr>
      </w:pPr>
      <w:r>
        <w:fldChar w:fldCharType="begin"/>
      </w:r>
      <w:r>
        <w:instrText xml:space="preserve"> HYPERLINK \l "_Toc172188953" </w:instrText>
      </w:r>
      <w:r>
        <w:fldChar w:fldCharType="separate"/>
      </w:r>
      <w:r>
        <w:rPr>
          <w:rStyle w:val="28"/>
          <w:rFonts w:hAnsi="宋体"/>
          <w:szCs w:val="21"/>
        </w:rPr>
        <w:t>9 装配整体式框架-剪力墙结构设计</w:t>
      </w:r>
      <w:r>
        <w:rPr>
          <w:rFonts w:hAnsi="宋体"/>
          <w:szCs w:val="21"/>
        </w:rPr>
        <w:tab/>
      </w:r>
      <w:r>
        <w:rPr>
          <w:rFonts w:hAnsi="宋体"/>
          <w:szCs w:val="21"/>
        </w:rPr>
        <w:fldChar w:fldCharType="begin"/>
      </w:r>
      <w:r>
        <w:rPr>
          <w:rFonts w:hAnsi="宋体"/>
          <w:szCs w:val="21"/>
        </w:rPr>
        <w:instrText xml:space="preserve"> PAGEREF _Toc172188953 \h </w:instrText>
      </w:r>
      <w:r>
        <w:rPr>
          <w:rFonts w:hAnsi="宋体"/>
          <w:szCs w:val="21"/>
        </w:rPr>
        <w:fldChar w:fldCharType="separate"/>
      </w:r>
      <w:r>
        <w:rPr>
          <w:rFonts w:hAnsi="宋体"/>
          <w:szCs w:val="21"/>
        </w:rPr>
        <w:t>56</w:t>
      </w:r>
      <w:r>
        <w:rPr>
          <w:rFonts w:hAnsi="宋体"/>
          <w:szCs w:val="21"/>
        </w:rPr>
        <w:fldChar w:fldCharType="end"/>
      </w:r>
      <w:r>
        <w:rPr>
          <w:rFonts w:hAnsi="宋体"/>
          <w:szCs w:val="21"/>
        </w:rPr>
        <w:fldChar w:fldCharType="end"/>
      </w:r>
    </w:p>
    <w:p>
      <w:pPr>
        <w:pStyle w:val="11"/>
        <w:rPr>
          <w:rFonts w:ascii="宋体" w:hAnsi="宋体"/>
          <w:kern w:val="2"/>
          <w:sz w:val="21"/>
          <w:szCs w:val="21"/>
        </w:rPr>
      </w:pPr>
      <w:r>
        <w:fldChar w:fldCharType="begin"/>
      </w:r>
      <w:r>
        <w:instrText xml:space="preserve"> HYPERLINK \l "_Toc172188954" </w:instrText>
      </w:r>
      <w:r>
        <w:fldChar w:fldCharType="separate"/>
      </w:r>
      <w:r>
        <w:rPr>
          <w:rStyle w:val="28"/>
          <w:rFonts w:ascii="宋体" w:hAnsi="宋体"/>
          <w:szCs w:val="21"/>
        </w:rPr>
        <w:t>9.1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_Toc172188954 \h </w:instrText>
      </w:r>
      <w:r>
        <w:rPr>
          <w:rFonts w:ascii="宋体" w:hAnsi="宋体"/>
          <w:sz w:val="21"/>
          <w:szCs w:val="21"/>
        </w:rPr>
        <w:fldChar w:fldCharType="separate"/>
      </w:r>
      <w:r>
        <w:rPr>
          <w:rFonts w:ascii="宋体" w:hAnsi="宋体"/>
          <w:sz w:val="21"/>
          <w:szCs w:val="21"/>
        </w:rPr>
        <w:t>56</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"_Toc172188955" </w:instrText>
      </w:r>
      <w:r>
        <w:fldChar w:fldCharType="separate"/>
      </w:r>
      <w:r>
        <w:rPr>
          <w:rStyle w:val="28"/>
          <w:rFonts w:ascii="宋体" w:hAnsi="宋体"/>
          <w:szCs w:val="21"/>
        </w:rPr>
        <w:t>9.2 连接设计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_Toc172188955 \h </w:instrText>
      </w:r>
      <w:r>
        <w:rPr>
          <w:rFonts w:ascii="宋体" w:hAnsi="宋体"/>
          <w:sz w:val="21"/>
          <w:szCs w:val="21"/>
        </w:rPr>
        <w:fldChar w:fldCharType="separate"/>
      </w:r>
      <w:r>
        <w:rPr>
          <w:rFonts w:ascii="宋体" w:hAnsi="宋体"/>
          <w:sz w:val="21"/>
          <w:szCs w:val="21"/>
        </w:rPr>
        <w:t>56</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"_Toc172188956" </w:instrText>
      </w:r>
      <w:r>
        <w:fldChar w:fldCharType="separate"/>
      </w:r>
      <w:r>
        <w:rPr>
          <w:rStyle w:val="28"/>
          <w:rFonts w:ascii="宋体" w:hAnsi="宋体"/>
          <w:szCs w:val="21"/>
        </w:rPr>
        <w:t>9.3 构造要求</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_Toc172188956 \h </w:instrText>
      </w:r>
      <w:r>
        <w:rPr>
          <w:rFonts w:ascii="宋体" w:hAnsi="宋体"/>
          <w:sz w:val="21"/>
          <w:szCs w:val="21"/>
        </w:rPr>
        <w:fldChar w:fldCharType="separate"/>
      </w:r>
      <w:r>
        <w:rPr>
          <w:rFonts w:ascii="宋体" w:hAnsi="宋体"/>
          <w:sz w:val="21"/>
          <w:szCs w:val="21"/>
        </w:rPr>
        <w:t>57</w:t>
      </w:r>
      <w:r>
        <w:rPr>
          <w:rFonts w:ascii="宋体" w:hAnsi="宋体"/>
          <w:sz w:val="21"/>
          <w:szCs w:val="21"/>
        </w:rPr>
        <w:fldChar w:fldCharType="end"/>
      </w:r>
      <w:r>
        <w:rPr>
          <w:rFonts w:ascii="宋体" w:hAnsi="宋体"/>
          <w:sz w:val="21"/>
          <w:szCs w:val="21"/>
        </w:rPr>
        <w:fldChar w:fldCharType="end"/>
      </w:r>
    </w:p>
    <w:p>
      <w:pPr>
        <w:pStyle w:val="20"/>
        <w:rPr>
          <w:rFonts w:hAnsi="宋体"/>
          <w:kern w:val="2"/>
          <w:szCs w:val="21"/>
        </w:rPr>
      </w:pPr>
      <w:r>
        <w:fldChar w:fldCharType="begin"/>
      </w:r>
      <w:r>
        <w:instrText xml:space="preserve"> HYPERLINK \l "_Toc172188957" </w:instrText>
      </w:r>
      <w:r>
        <w:fldChar w:fldCharType="separate"/>
      </w:r>
      <w:r>
        <w:rPr>
          <w:rStyle w:val="28"/>
          <w:rFonts w:hAnsi="宋体"/>
          <w:szCs w:val="21"/>
        </w:rPr>
        <w:t>10 围护结构设计</w:t>
      </w:r>
      <w:r>
        <w:rPr>
          <w:rFonts w:hAnsi="宋体"/>
          <w:szCs w:val="21"/>
        </w:rPr>
        <w:tab/>
      </w:r>
      <w:r>
        <w:rPr>
          <w:rFonts w:hAnsi="宋体"/>
          <w:szCs w:val="21"/>
        </w:rPr>
        <w:fldChar w:fldCharType="begin"/>
      </w:r>
      <w:r>
        <w:rPr>
          <w:rFonts w:hAnsi="宋体"/>
          <w:szCs w:val="21"/>
        </w:rPr>
        <w:instrText xml:space="preserve"> PAGEREF _Toc172188957 \h </w:instrText>
      </w:r>
      <w:r>
        <w:rPr>
          <w:rFonts w:hAnsi="宋体"/>
          <w:szCs w:val="21"/>
        </w:rPr>
        <w:fldChar w:fldCharType="separate"/>
      </w:r>
      <w:r>
        <w:rPr>
          <w:rFonts w:hAnsi="宋体"/>
          <w:szCs w:val="21"/>
        </w:rPr>
        <w:t>57</w:t>
      </w:r>
      <w:r>
        <w:rPr>
          <w:rFonts w:hAnsi="宋体"/>
          <w:szCs w:val="21"/>
        </w:rPr>
        <w:fldChar w:fldCharType="end"/>
      </w:r>
      <w:r>
        <w:rPr>
          <w:rFonts w:hAnsi="宋体"/>
          <w:szCs w:val="21"/>
        </w:rPr>
        <w:fldChar w:fldCharType="end"/>
      </w:r>
    </w:p>
    <w:p>
      <w:pPr>
        <w:pStyle w:val="11"/>
        <w:rPr>
          <w:rFonts w:ascii="宋体" w:hAnsi="宋体"/>
          <w:kern w:val="2"/>
          <w:sz w:val="21"/>
          <w:szCs w:val="21"/>
        </w:rPr>
      </w:pPr>
      <w:r>
        <w:fldChar w:fldCharType="begin"/>
      </w:r>
      <w:r>
        <w:instrText xml:space="preserve"> HYPERLINK \l "_Toc172188958" </w:instrText>
      </w:r>
      <w:r>
        <w:fldChar w:fldCharType="separate"/>
      </w:r>
      <w:r>
        <w:rPr>
          <w:rStyle w:val="28"/>
          <w:rFonts w:ascii="宋体" w:hAnsi="宋体"/>
          <w:szCs w:val="21"/>
        </w:rPr>
        <w:t>10.1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_Toc172188958 \h </w:instrText>
      </w:r>
      <w:r>
        <w:rPr>
          <w:rFonts w:ascii="宋体" w:hAnsi="宋体"/>
          <w:sz w:val="21"/>
          <w:szCs w:val="21"/>
        </w:rPr>
        <w:fldChar w:fldCharType="separate"/>
      </w:r>
      <w:r>
        <w:rPr>
          <w:rFonts w:ascii="宋体" w:hAnsi="宋体"/>
          <w:sz w:val="21"/>
          <w:szCs w:val="21"/>
        </w:rPr>
        <w:t>57</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"_Toc172188959" </w:instrText>
      </w:r>
      <w:r>
        <w:fldChar w:fldCharType="separate"/>
      </w:r>
      <w:r>
        <w:rPr>
          <w:rStyle w:val="28"/>
          <w:rFonts w:ascii="宋体" w:hAnsi="宋体"/>
          <w:szCs w:val="21"/>
        </w:rPr>
        <w:t>10.2 外墙板及连接设计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_Toc172188959 \h </w:instrText>
      </w:r>
      <w:r>
        <w:rPr>
          <w:rFonts w:ascii="宋体" w:hAnsi="宋体"/>
          <w:sz w:val="21"/>
          <w:szCs w:val="21"/>
        </w:rPr>
        <w:fldChar w:fldCharType="separate"/>
      </w:r>
      <w:r>
        <w:rPr>
          <w:rFonts w:ascii="宋体" w:hAnsi="宋体"/>
          <w:sz w:val="21"/>
          <w:szCs w:val="21"/>
        </w:rPr>
        <w:t>58</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"_Toc172188960" </w:instrText>
      </w:r>
      <w:r>
        <w:fldChar w:fldCharType="separate"/>
      </w:r>
      <w:r>
        <w:rPr>
          <w:rStyle w:val="28"/>
          <w:rFonts w:ascii="宋体" w:hAnsi="宋体"/>
          <w:szCs w:val="21"/>
        </w:rPr>
        <w:t>10.3 内墙板及连接设计</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_Toc172188960 \h </w:instrText>
      </w:r>
      <w:r>
        <w:rPr>
          <w:rFonts w:ascii="宋体" w:hAnsi="宋体"/>
          <w:sz w:val="21"/>
          <w:szCs w:val="21"/>
        </w:rPr>
        <w:fldChar w:fldCharType="separate"/>
      </w:r>
      <w:r>
        <w:rPr>
          <w:rFonts w:ascii="宋体" w:hAnsi="宋体"/>
          <w:sz w:val="21"/>
          <w:szCs w:val="21"/>
        </w:rPr>
        <w:t>58</w:t>
      </w:r>
      <w:r>
        <w:rPr>
          <w:rFonts w:ascii="宋体" w:hAnsi="宋体"/>
          <w:sz w:val="21"/>
          <w:szCs w:val="21"/>
        </w:rPr>
        <w:fldChar w:fldCharType="end"/>
      </w:r>
      <w:r>
        <w:rPr>
          <w:rFonts w:ascii="宋体" w:hAnsi="宋体"/>
          <w:sz w:val="21"/>
          <w:szCs w:val="21"/>
        </w:rPr>
        <w:fldChar w:fldCharType="end"/>
      </w:r>
    </w:p>
    <w:p>
      <w:pPr>
        <w:pStyle w:val="20"/>
        <w:rPr>
          <w:rFonts w:hAnsi="宋体"/>
          <w:kern w:val="2"/>
          <w:szCs w:val="21"/>
        </w:rPr>
      </w:pPr>
      <w:r>
        <w:fldChar w:fldCharType="begin"/>
      </w:r>
      <w:r>
        <w:instrText xml:space="preserve"> HYPERLINK \l "_Toc172188961" </w:instrText>
      </w:r>
      <w:r>
        <w:fldChar w:fldCharType="separate"/>
      </w:r>
      <w:r>
        <w:rPr>
          <w:rStyle w:val="28"/>
          <w:rFonts w:hAnsi="宋体"/>
          <w:szCs w:val="21"/>
        </w:rPr>
        <w:t>11 预制构件生产与运输</w:t>
      </w:r>
      <w:r>
        <w:rPr>
          <w:rFonts w:hAnsi="宋体"/>
          <w:szCs w:val="21"/>
        </w:rPr>
        <w:tab/>
      </w:r>
      <w:r>
        <w:rPr>
          <w:rFonts w:hAnsi="宋体"/>
          <w:szCs w:val="21"/>
        </w:rPr>
        <w:fldChar w:fldCharType="begin"/>
      </w:r>
      <w:r>
        <w:rPr>
          <w:rFonts w:hAnsi="宋体"/>
          <w:szCs w:val="21"/>
        </w:rPr>
        <w:instrText xml:space="preserve"> PAGEREF _Toc172188961 \h </w:instrText>
      </w:r>
      <w:r>
        <w:rPr>
          <w:rFonts w:hAnsi="宋体"/>
          <w:szCs w:val="21"/>
        </w:rPr>
        <w:fldChar w:fldCharType="separate"/>
      </w:r>
      <w:r>
        <w:rPr>
          <w:rFonts w:hAnsi="宋体"/>
          <w:szCs w:val="21"/>
        </w:rPr>
        <w:t>58</w:t>
      </w:r>
      <w:r>
        <w:rPr>
          <w:rFonts w:hAnsi="宋体"/>
          <w:szCs w:val="21"/>
        </w:rPr>
        <w:fldChar w:fldCharType="end"/>
      </w:r>
      <w:r>
        <w:rPr>
          <w:rFonts w:hAnsi="宋体"/>
          <w:szCs w:val="21"/>
        </w:rPr>
        <w:fldChar w:fldCharType="end"/>
      </w:r>
    </w:p>
    <w:p>
      <w:pPr>
        <w:pStyle w:val="11"/>
        <w:rPr>
          <w:rFonts w:ascii="宋体" w:hAnsi="宋体"/>
          <w:kern w:val="2"/>
          <w:sz w:val="21"/>
          <w:szCs w:val="21"/>
        </w:rPr>
      </w:pPr>
      <w:r>
        <w:fldChar w:fldCharType="begin"/>
      </w:r>
      <w:r>
        <w:instrText xml:space="preserve"> HYPERLINK \l "_Toc172188962" </w:instrText>
      </w:r>
      <w:r>
        <w:fldChar w:fldCharType="separate"/>
      </w:r>
      <w:r>
        <w:rPr>
          <w:rStyle w:val="28"/>
          <w:rFonts w:ascii="宋体" w:hAnsi="宋体"/>
          <w:szCs w:val="21"/>
        </w:rPr>
        <w:t>11.1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_Toc172188962 \h </w:instrText>
      </w:r>
      <w:r>
        <w:rPr>
          <w:rFonts w:ascii="宋体" w:hAnsi="宋体"/>
          <w:sz w:val="21"/>
          <w:szCs w:val="21"/>
        </w:rPr>
        <w:fldChar w:fldCharType="separate"/>
      </w:r>
      <w:r>
        <w:rPr>
          <w:rFonts w:ascii="宋体" w:hAnsi="宋体"/>
          <w:sz w:val="21"/>
          <w:szCs w:val="21"/>
        </w:rPr>
        <w:t>58</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"_Toc172188963" </w:instrText>
      </w:r>
      <w:r>
        <w:fldChar w:fldCharType="separate"/>
      </w:r>
      <w:r>
        <w:rPr>
          <w:rStyle w:val="28"/>
          <w:rFonts w:ascii="宋体" w:hAnsi="宋体"/>
          <w:szCs w:val="21"/>
        </w:rPr>
        <w:t>11.2 生产准备</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_Toc172188963 \h </w:instrText>
      </w:r>
      <w:r>
        <w:rPr>
          <w:rFonts w:ascii="宋体" w:hAnsi="宋体"/>
          <w:sz w:val="21"/>
          <w:szCs w:val="21"/>
        </w:rPr>
        <w:fldChar w:fldCharType="separate"/>
      </w:r>
      <w:r>
        <w:rPr>
          <w:rFonts w:ascii="宋体" w:hAnsi="宋体"/>
          <w:sz w:val="21"/>
          <w:szCs w:val="21"/>
        </w:rPr>
        <w:t>58</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"_Toc172188964" </w:instrText>
      </w:r>
      <w:r>
        <w:fldChar w:fldCharType="separate"/>
      </w:r>
      <w:r>
        <w:rPr>
          <w:rStyle w:val="28"/>
          <w:rFonts w:ascii="宋体" w:hAnsi="宋体"/>
          <w:szCs w:val="21"/>
        </w:rPr>
        <w:t>11.3 构件制作</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_Toc172188964 \h </w:instrText>
      </w:r>
      <w:r>
        <w:rPr>
          <w:rFonts w:ascii="宋体" w:hAnsi="宋体"/>
          <w:sz w:val="21"/>
          <w:szCs w:val="21"/>
        </w:rPr>
        <w:fldChar w:fldCharType="separate"/>
      </w:r>
      <w:r>
        <w:rPr>
          <w:rFonts w:ascii="宋体" w:hAnsi="宋体"/>
          <w:sz w:val="21"/>
          <w:szCs w:val="21"/>
        </w:rPr>
        <w:t>58</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"_Toc172188965" </w:instrText>
      </w:r>
      <w:r>
        <w:fldChar w:fldCharType="separate"/>
      </w:r>
      <w:r>
        <w:rPr>
          <w:rStyle w:val="28"/>
          <w:rFonts w:ascii="宋体" w:hAnsi="宋体"/>
          <w:szCs w:val="21"/>
        </w:rPr>
        <w:t>11.4 构件质量检验</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_Toc172188965 \h </w:instrText>
      </w:r>
      <w:r>
        <w:rPr>
          <w:rFonts w:ascii="宋体" w:hAnsi="宋体"/>
          <w:sz w:val="21"/>
          <w:szCs w:val="21"/>
        </w:rPr>
        <w:fldChar w:fldCharType="separate"/>
      </w:r>
      <w:r>
        <w:rPr>
          <w:rFonts w:ascii="宋体" w:hAnsi="宋体"/>
          <w:sz w:val="21"/>
          <w:szCs w:val="21"/>
        </w:rPr>
        <w:t>59</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"_Toc172188966" </w:instrText>
      </w:r>
      <w:r>
        <w:fldChar w:fldCharType="separate"/>
      </w:r>
      <w:r>
        <w:rPr>
          <w:rStyle w:val="28"/>
          <w:rFonts w:ascii="宋体" w:hAnsi="宋体"/>
          <w:szCs w:val="21"/>
        </w:rPr>
        <w:t>11.5 存放和运输</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_Toc172188966 \h </w:instrText>
      </w:r>
      <w:r>
        <w:rPr>
          <w:rFonts w:ascii="宋体" w:hAnsi="宋体"/>
          <w:sz w:val="21"/>
          <w:szCs w:val="21"/>
        </w:rPr>
        <w:fldChar w:fldCharType="separate"/>
      </w:r>
      <w:r>
        <w:rPr>
          <w:rFonts w:ascii="宋体" w:hAnsi="宋体"/>
          <w:sz w:val="21"/>
          <w:szCs w:val="21"/>
        </w:rPr>
        <w:t>59</w:t>
      </w:r>
      <w:r>
        <w:rPr>
          <w:rFonts w:ascii="宋体" w:hAnsi="宋体"/>
          <w:sz w:val="21"/>
          <w:szCs w:val="21"/>
        </w:rPr>
        <w:fldChar w:fldCharType="end"/>
      </w:r>
      <w:r>
        <w:rPr>
          <w:rFonts w:ascii="宋体" w:hAnsi="宋体"/>
          <w:sz w:val="21"/>
          <w:szCs w:val="21"/>
        </w:rPr>
        <w:fldChar w:fldCharType="end"/>
      </w:r>
    </w:p>
    <w:p>
      <w:pPr>
        <w:pStyle w:val="20"/>
        <w:rPr>
          <w:rFonts w:hAnsi="宋体"/>
          <w:kern w:val="2"/>
          <w:szCs w:val="21"/>
        </w:rPr>
      </w:pPr>
      <w:r>
        <w:fldChar w:fldCharType="begin"/>
      </w:r>
      <w:r>
        <w:instrText xml:space="preserve"> HYPERLINK \l "_Toc172188967" </w:instrText>
      </w:r>
      <w:r>
        <w:fldChar w:fldCharType="separate"/>
      </w:r>
      <w:r>
        <w:rPr>
          <w:rStyle w:val="28"/>
          <w:rFonts w:hAnsi="宋体"/>
          <w:szCs w:val="21"/>
        </w:rPr>
        <w:t>12 结构施工</w:t>
      </w:r>
      <w:r>
        <w:rPr>
          <w:rFonts w:hAnsi="宋体"/>
          <w:szCs w:val="21"/>
        </w:rPr>
        <w:tab/>
      </w:r>
      <w:r>
        <w:rPr>
          <w:rFonts w:hAnsi="宋体"/>
          <w:szCs w:val="21"/>
        </w:rPr>
        <w:fldChar w:fldCharType="begin"/>
      </w:r>
      <w:r>
        <w:rPr>
          <w:rFonts w:hAnsi="宋体"/>
          <w:szCs w:val="21"/>
        </w:rPr>
        <w:instrText xml:space="preserve"> PAGEREF _Toc172188967 \h </w:instrText>
      </w:r>
      <w:r>
        <w:rPr>
          <w:rFonts w:hAnsi="宋体"/>
          <w:szCs w:val="21"/>
        </w:rPr>
        <w:fldChar w:fldCharType="separate"/>
      </w:r>
      <w:r>
        <w:rPr>
          <w:rFonts w:hAnsi="宋体"/>
          <w:szCs w:val="21"/>
        </w:rPr>
        <w:t>59</w:t>
      </w:r>
      <w:r>
        <w:rPr>
          <w:rFonts w:hAnsi="宋体"/>
          <w:szCs w:val="21"/>
        </w:rPr>
        <w:fldChar w:fldCharType="end"/>
      </w:r>
      <w:r>
        <w:rPr>
          <w:rFonts w:hAnsi="宋体"/>
          <w:szCs w:val="21"/>
        </w:rPr>
        <w:fldChar w:fldCharType="end"/>
      </w:r>
    </w:p>
    <w:p>
      <w:pPr>
        <w:pStyle w:val="11"/>
        <w:rPr>
          <w:rFonts w:ascii="宋体" w:hAnsi="宋体"/>
          <w:kern w:val="2"/>
          <w:sz w:val="21"/>
          <w:szCs w:val="21"/>
        </w:rPr>
      </w:pPr>
      <w:r>
        <w:fldChar w:fldCharType="begin"/>
      </w:r>
      <w:r>
        <w:instrText xml:space="preserve"> HYPERLINK \l "_Toc172188968" </w:instrText>
      </w:r>
      <w:r>
        <w:fldChar w:fldCharType="separate"/>
      </w:r>
      <w:r>
        <w:rPr>
          <w:rStyle w:val="28"/>
          <w:rFonts w:ascii="宋体" w:hAnsi="宋体"/>
          <w:szCs w:val="21"/>
        </w:rPr>
        <w:t>12.1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_Toc172188968 \h </w:instrText>
      </w:r>
      <w:r>
        <w:rPr>
          <w:rFonts w:ascii="宋体" w:hAnsi="宋体"/>
          <w:sz w:val="21"/>
          <w:szCs w:val="21"/>
        </w:rPr>
        <w:fldChar w:fldCharType="separate"/>
      </w:r>
      <w:r>
        <w:rPr>
          <w:rFonts w:ascii="宋体" w:hAnsi="宋体"/>
          <w:sz w:val="21"/>
          <w:szCs w:val="21"/>
        </w:rPr>
        <w:t>59</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"_Toc172188969" </w:instrText>
      </w:r>
      <w:r>
        <w:fldChar w:fldCharType="separate"/>
      </w:r>
      <w:r>
        <w:rPr>
          <w:rStyle w:val="28"/>
          <w:rFonts w:ascii="宋体" w:hAnsi="宋体"/>
          <w:szCs w:val="21"/>
        </w:rPr>
        <w:t>12.2 安装准备</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_Toc172188969 \h </w:instrText>
      </w:r>
      <w:r>
        <w:rPr>
          <w:rFonts w:ascii="宋体" w:hAnsi="宋体"/>
          <w:sz w:val="21"/>
          <w:szCs w:val="21"/>
        </w:rPr>
        <w:fldChar w:fldCharType="separate"/>
      </w:r>
      <w:r>
        <w:rPr>
          <w:rFonts w:ascii="宋体" w:hAnsi="宋体"/>
          <w:sz w:val="21"/>
          <w:szCs w:val="21"/>
        </w:rPr>
        <w:t>59</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"_Toc172188970" </w:instrText>
      </w:r>
      <w:r>
        <w:fldChar w:fldCharType="separate"/>
      </w:r>
      <w:r>
        <w:rPr>
          <w:rStyle w:val="28"/>
          <w:rFonts w:ascii="宋体" w:hAnsi="宋体"/>
          <w:szCs w:val="21"/>
        </w:rPr>
        <w:t>12.3 安装施工</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_Toc172188970 \h </w:instrText>
      </w:r>
      <w:r>
        <w:rPr>
          <w:rFonts w:ascii="宋体" w:hAnsi="宋体"/>
          <w:sz w:val="21"/>
          <w:szCs w:val="21"/>
        </w:rPr>
        <w:fldChar w:fldCharType="separate"/>
      </w:r>
      <w:r>
        <w:rPr>
          <w:rFonts w:ascii="宋体" w:hAnsi="宋体"/>
          <w:sz w:val="21"/>
          <w:szCs w:val="21"/>
        </w:rPr>
        <w:t>59</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"_Toc172188971" </w:instrText>
      </w:r>
      <w:r>
        <w:fldChar w:fldCharType="separate"/>
      </w:r>
      <w:r>
        <w:rPr>
          <w:rStyle w:val="28"/>
          <w:rFonts w:ascii="宋体" w:hAnsi="宋体"/>
          <w:szCs w:val="21"/>
        </w:rPr>
        <w:t>12.4 安装质量验收</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_Toc172188971 \h </w:instrText>
      </w:r>
      <w:r>
        <w:rPr>
          <w:rFonts w:ascii="宋体" w:hAnsi="宋体"/>
          <w:sz w:val="21"/>
          <w:szCs w:val="21"/>
        </w:rPr>
        <w:fldChar w:fldCharType="separate"/>
      </w:r>
      <w:r>
        <w:rPr>
          <w:rFonts w:ascii="宋体" w:hAnsi="宋体"/>
          <w:sz w:val="21"/>
          <w:szCs w:val="21"/>
        </w:rPr>
        <w:t>59</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"_Toc172188972" </w:instrText>
      </w:r>
      <w:r>
        <w:fldChar w:fldCharType="separate"/>
      </w:r>
      <w:r>
        <w:rPr>
          <w:rStyle w:val="28"/>
          <w:rFonts w:ascii="宋体" w:hAnsi="宋体"/>
          <w:szCs w:val="21"/>
        </w:rPr>
        <w:t>12.5 安全管理</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_Toc172188972 \h </w:instrText>
      </w:r>
      <w:r>
        <w:rPr>
          <w:rFonts w:ascii="宋体" w:hAnsi="宋体"/>
          <w:sz w:val="21"/>
          <w:szCs w:val="21"/>
        </w:rPr>
        <w:fldChar w:fldCharType="separate"/>
      </w:r>
      <w:r>
        <w:rPr>
          <w:rFonts w:ascii="宋体" w:hAnsi="宋体"/>
          <w:sz w:val="21"/>
          <w:szCs w:val="21"/>
        </w:rPr>
        <w:t>59</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"_Toc172188973" </w:instrText>
      </w:r>
      <w:r>
        <w:fldChar w:fldCharType="separate"/>
      </w:r>
      <w:r>
        <w:rPr>
          <w:rStyle w:val="28"/>
          <w:rFonts w:ascii="宋体" w:hAnsi="宋体"/>
          <w:szCs w:val="21"/>
        </w:rPr>
        <w:t>12.6 成品保护</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_Toc172188973 \h </w:instrText>
      </w:r>
      <w:r>
        <w:rPr>
          <w:rFonts w:ascii="宋体" w:hAnsi="宋体"/>
          <w:sz w:val="21"/>
          <w:szCs w:val="21"/>
        </w:rPr>
        <w:fldChar w:fldCharType="separate"/>
      </w:r>
      <w:r>
        <w:rPr>
          <w:rFonts w:ascii="宋体" w:hAnsi="宋体"/>
          <w:sz w:val="21"/>
          <w:szCs w:val="21"/>
        </w:rPr>
        <w:t>59</w:t>
      </w:r>
      <w:r>
        <w:rPr>
          <w:rFonts w:ascii="宋体" w:hAnsi="宋体"/>
          <w:sz w:val="21"/>
          <w:szCs w:val="21"/>
        </w:rPr>
        <w:fldChar w:fldCharType="end"/>
      </w:r>
      <w:r>
        <w:rPr>
          <w:rFonts w:ascii="宋体" w:hAnsi="宋体"/>
          <w:sz w:val="21"/>
          <w:szCs w:val="21"/>
        </w:rPr>
        <w:fldChar w:fldCharType="end"/>
      </w:r>
    </w:p>
    <w:p>
      <w:pPr>
        <w:pStyle w:val="20"/>
        <w:rPr>
          <w:rFonts w:hAnsi="宋体"/>
          <w:kern w:val="2"/>
          <w:szCs w:val="21"/>
        </w:rPr>
      </w:pPr>
      <w:r>
        <w:fldChar w:fldCharType="begin"/>
      </w:r>
      <w:r>
        <w:instrText xml:space="preserve"> HYPERLINK \l "_Toc172188974" </w:instrText>
      </w:r>
      <w:r>
        <w:fldChar w:fldCharType="separate"/>
      </w:r>
      <w:r>
        <w:rPr>
          <w:rStyle w:val="28"/>
          <w:rFonts w:hAnsi="宋体"/>
          <w:szCs w:val="21"/>
        </w:rPr>
        <w:t>13 工程验收</w:t>
      </w:r>
      <w:r>
        <w:rPr>
          <w:rFonts w:hAnsi="宋体"/>
          <w:szCs w:val="21"/>
        </w:rPr>
        <w:tab/>
      </w:r>
      <w:r>
        <w:rPr>
          <w:rFonts w:hAnsi="宋体"/>
          <w:szCs w:val="21"/>
        </w:rPr>
        <w:fldChar w:fldCharType="begin"/>
      </w:r>
      <w:r>
        <w:rPr>
          <w:rFonts w:hAnsi="宋体"/>
          <w:szCs w:val="21"/>
        </w:rPr>
        <w:instrText xml:space="preserve"> PAGEREF _Toc172188974 \h </w:instrText>
      </w:r>
      <w:r>
        <w:rPr>
          <w:rFonts w:hAnsi="宋体"/>
          <w:szCs w:val="21"/>
        </w:rPr>
        <w:fldChar w:fldCharType="separate"/>
      </w:r>
      <w:r>
        <w:rPr>
          <w:rFonts w:hAnsi="宋体"/>
          <w:szCs w:val="21"/>
        </w:rPr>
        <w:t>60</w:t>
      </w:r>
      <w:r>
        <w:rPr>
          <w:rFonts w:hAnsi="宋体"/>
          <w:szCs w:val="21"/>
        </w:rPr>
        <w:fldChar w:fldCharType="end"/>
      </w:r>
      <w:r>
        <w:rPr>
          <w:rFonts w:hAnsi="宋体"/>
          <w:szCs w:val="21"/>
        </w:rPr>
        <w:fldChar w:fldCharType="end"/>
      </w:r>
    </w:p>
    <w:p>
      <w:pPr>
        <w:pStyle w:val="11"/>
        <w:rPr>
          <w:rFonts w:ascii="宋体" w:hAnsi="宋体"/>
          <w:kern w:val="2"/>
          <w:sz w:val="21"/>
          <w:szCs w:val="21"/>
        </w:rPr>
      </w:pPr>
      <w:r>
        <w:fldChar w:fldCharType="begin"/>
      </w:r>
      <w:r>
        <w:instrText xml:space="preserve"> HYPERLINK \l "_Toc172188975" </w:instrText>
      </w:r>
      <w:r>
        <w:fldChar w:fldCharType="separate"/>
      </w:r>
      <w:r>
        <w:rPr>
          <w:rStyle w:val="28"/>
          <w:rFonts w:ascii="宋体" w:hAnsi="宋体"/>
          <w:szCs w:val="21"/>
        </w:rPr>
        <w:t>13.1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_Toc172188975 \h </w:instrText>
      </w:r>
      <w:r>
        <w:rPr>
          <w:rFonts w:ascii="宋体" w:hAnsi="宋体"/>
          <w:sz w:val="21"/>
          <w:szCs w:val="21"/>
        </w:rPr>
        <w:fldChar w:fldCharType="separate"/>
      </w:r>
      <w:r>
        <w:rPr>
          <w:rFonts w:ascii="宋体" w:hAnsi="宋体"/>
          <w:sz w:val="21"/>
          <w:szCs w:val="21"/>
        </w:rPr>
        <w:t>60</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"_Toc172188976" </w:instrText>
      </w:r>
      <w:r>
        <w:fldChar w:fldCharType="separate"/>
      </w:r>
      <w:r>
        <w:rPr>
          <w:rStyle w:val="28"/>
          <w:rFonts w:ascii="宋体" w:hAnsi="宋体"/>
          <w:szCs w:val="21"/>
        </w:rPr>
        <w:t>13.2 主控项目</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_Toc172188976 \h </w:instrText>
      </w:r>
      <w:r>
        <w:rPr>
          <w:rFonts w:ascii="宋体" w:hAnsi="宋体"/>
          <w:sz w:val="21"/>
          <w:szCs w:val="21"/>
        </w:rPr>
        <w:fldChar w:fldCharType="separate"/>
      </w:r>
      <w:r>
        <w:rPr>
          <w:rFonts w:ascii="宋体" w:hAnsi="宋体"/>
          <w:sz w:val="21"/>
          <w:szCs w:val="21"/>
        </w:rPr>
        <w:t>60</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"_Toc172188977" </w:instrText>
      </w:r>
      <w:r>
        <w:fldChar w:fldCharType="separate"/>
      </w:r>
      <w:r>
        <w:rPr>
          <w:rStyle w:val="28"/>
          <w:rFonts w:ascii="宋体" w:hAnsi="宋体"/>
          <w:szCs w:val="21"/>
        </w:rPr>
        <w:t>13.3 一般项目</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_Toc172188977 \h </w:instrText>
      </w:r>
      <w:r>
        <w:rPr>
          <w:rFonts w:ascii="宋体" w:hAnsi="宋体"/>
          <w:sz w:val="21"/>
          <w:szCs w:val="21"/>
        </w:rPr>
        <w:fldChar w:fldCharType="separate"/>
      </w:r>
      <w:r>
        <w:rPr>
          <w:rFonts w:ascii="宋体" w:hAnsi="宋体"/>
          <w:sz w:val="21"/>
          <w:szCs w:val="21"/>
        </w:rPr>
        <w:t>61</w:t>
      </w:r>
      <w:r>
        <w:rPr>
          <w:rFonts w:ascii="宋体" w:hAnsi="宋体"/>
          <w:sz w:val="21"/>
          <w:szCs w:val="21"/>
        </w:rPr>
        <w:fldChar w:fldCharType="end"/>
      </w:r>
      <w:r>
        <w:rPr>
          <w:rFonts w:ascii="宋体" w:hAnsi="宋体"/>
          <w:sz w:val="21"/>
          <w:szCs w:val="21"/>
        </w:rPr>
        <w:fldChar w:fldCharType="end"/>
      </w:r>
    </w:p>
    <w:p>
      <w:pPr>
        <w:pStyle w:val="20"/>
        <w:rPr>
          <w:rFonts w:hAnsi="宋体"/>
          <w:kern w:val="2"/>
          <w:szCs w:val="21"/>
        </w:rPr>
      </w:pPr>
      <w:r>
        <w:fldChar w:fldCharType="begin"/>
      </w:r>
      <w:r>
        <w:instrText xml:space="preserve"> HYPERLINK \l "_Toc172188978" </w:instrText>
      </w:r>
      <w:r>
        <w:fldChar w:fldCharType="separate"/>
      </w:r>
      <w:r>
        <w:rPr>
          <w:rStyle w:val="28"/>
          <w:rFonts w:hAnsi="宋体"/>
          <w:szCs w:val="21"/>
        </w:rPr>
        <w:t>14 信息化技术应用</w:t>
      </w:r>
      <w:r>
        <w:rPr>
          <w:rFonts w:hAnsi="宋体"/>
          <w:szCs w:val="21"/>
        </w:rPr>
        <w:tab/>
      </w:r>
      <w:r>
        <w:rPr>
          <w:rFonts w:hAnsi="宋体"/>
          <w:szCs w:val="21"/>
        </w:rPr>
        <w:fldChar w:fldCharType="begin"/>
      </w:r>
      <w:r>
        <w:rPr>
          <w:rFonts w:hAnsi="宋体"/>
          <w:szCs w:val="21"/>
        </w:rPr>
        <w:instrText xml:space="preserve"> PAGEREF _Toc172188978 \h </w:instrText>
      </w:r>
      <w:r>
        <w:rPr>
          <w:rFonts w:hAnsi="宋体"/>
          <w:szCs w:val="21"/>
        </w:rPr>
        <w:fldChar w:fldCharType="separate"/>
      </w:r>
      <w:r>
        <w:rPr>
          <w:rFonts w:hAnsi="宋体"/>
          <w:szCs w:val="21"/>
        </w:rPr>
        <w:t>61</w:t>
      </w:r>
      <w:r>
        <w:rPr>
          <w:rFonts w:hAnsi="宋体"/>
          <w:szCs w:val="21"/>
        </w:rPr>
        <w:fldChar w:fldCharType="end"/>
      </w:r>
      <w:r>
        <w:rPr>
          <w:rFonts w:hAnsi="宋体"/>
          <w:szCs w:val="21"/>
        </w:rPr>
        <w:fldChar w:fldCharType="end"/>
      </w:r>
    </w:p>
    <w:p>
      <w:pPr>
        <w:pStyle w:val="11"/>
        <w:rPr>
          <w:rFonts w:ascii="宋体" w:hAnsi="宋体"/>
          <w:kern w:val="2"/>
          <w:sz w:val="21"/>
          <w:szCs w:val="21"/>
        </w:rPr>
      </w:pPr>
      <w:r>
        <w:fldChar w:fldCharType="begin"/>
      </w:r>
      <w:r>
        <w:instrText xml:space="preserve"> HYPERLINK \l "_Toc172188979" </w:instrText>
      </w:r>
      <w:r>
        <w:fldChar w:fldCharType="separate"/>
      </w:r>
      <w:r>
        <w:rPr>
          <w:rStyle w:val="28"/>
          <w:rFonts w:ascii="宋体" w:hAnsi="宋体"/>
          <w:szCs w:val="21"/>
        </w:rPr>
        <w:t>14.1 一般规定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_Toc172188979 \h </w:instrText>
      </w:r>
      <w:r>
        <w:rPr>
          <w:rFonts w:ascii="宋体" w:hAnsi="宋体"/>
          <w:sz w:val="21"/>
          <w:szCs w:val="21"/>
        </w:rPr>
        <w:fldChar w:fldCharType="separate"/>
      </w:r>
      <w:r>
        <w:rPr>
          <w:rFonts w:ascii="宋体" w:hAnsi="宋体"/>
          <w:sz w:val="21"/>
          <w:szCs w:val="21"/>
        </w:rPr>
        <w:t>61</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"_Toc172188980" </w:instrText>
      </w:r>
      <w:r>
        <w:fldChar w:fldCharType="separate"/>
      </w:r>
      <w:r>
        <w:rPr>
          <w:rStyle w:val="28"/>
          <w:rFonts w:ascii="宋体" w:hAnsi="宋体"/>
          <w:szCs w:val="21"/>
        </w:rPr>
        <w:t>14.2 信息化资源配置</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_Toc172188980 \h </w:instrText>
      </w:r>
      <w:r>
        <w:rPr>
          <w:rFonts w:ascii="宋体" w:hAnsi="宋体"/>
          <w:sz w:val="21"/>
          <w:szCs w:val="21"/>
        </w:rPr>
        <w:fldChar w:fldCharType="separate"/>
      </w:r>
      <w:r>
        <w:rPr>
          <w:rFonts w:ascii="宋体" w:hAnsi="宋体"/>
          <w:sz w:val="21"/>
          <w:szCs w:val="21"/>
        </w:rPr>
        <w:t>61</w:t>
      </w:r>
      <w:r>
        <w:rPr>
          <w:rFonts w:ascii="宋体" w:hAnsi="宋体"/>
          <w:sz w:val="21"/>
          <w:szCs w:val="21"/>
        </w:rPr>
        <w:fldChar w:fldCharType="end"/>
      </w:r>
      <w:r>
        <w:rPr>
          <w:rFonts w:ascii="宋体" w:hAnsi="宋体"/>
          <w:sz w:val="21"/>
          <w:szCs w:val="21"/>
        </w:rPr>
        <w:fldChar w:fldCharType="end"/>
      </w:r>
    </w:p>
    <w:p>
      <w:pPr>
        <w:pStyle w:val="11"/>
        <w:rPr>
          <w:rFonts w:ascii="宋体" w:hAnsi="宋体"/>
          <w:kern w:val="2"/>
          <w:sz w:val="21"/>
          <w:szCs w:val="21"/>
        </w:rPr>
      </w:pPr>
      <w:r>
        <w:fldChar w:fldCharType="begin"/>
      </w:r>
      <w:r>
        <w:instrText xml:space="preserve"> HYPERLINK \l "_Toc172188981" </w:instrText>
      </w:r>
      <w:r>
        <w:fldChar w:fldCharType="separate"/>
      </w:r>
      <w:r>
        <w:rPr>
          <w:rStyle w:val="28"/>
          <w:rFonts w:ascii="宋体" w:hAnsi="宋体"/>
          <w:szCs w:val="21"/>
        </w:rPr>
        <w:t>14.3 BIM实施规划及管理</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_Toc172188981 \h </w:instrText>
      </w:r>
      <w:r>
        <w:rPr>
          <w:rFonts w:ascii="宋体" w:hAnsi="宋体"/>
          <w:sz w:val="21"/>
          <w:szCs w:val="21"/>
        </w:rPr>
        <w:fldChar w:fldCharType="separate"/>
      </w:r>
      <w:r>
        <w:rPr>
          <w:rFonts w:ascii="宋体" w:hAnsi="宋体"/>
          <w:sz w:val="21"/>
          <w:szCs w:val="21"/>
        </w:rPr>
        <w:t>61</w:t>
      </w:r>
      <w:r>
        <w:rPr>
          <w:rFonts w:ascii="宋体" w:hAnsi="宋体"/>
          <w:sz w:val="21"/>
          <w:szCs w:val="21"/>
        </w:rPr>
        <w:fldChar w:fldCharType="end"/>
      </w:r>
      <w:r>
        <w:rPr>
          <w:rFonts w:ascii="宋体" w:hAnsi="宋体"/>
          <w:sz w:val="21"/>
          <w:szCs w:val="21"/>
        </w:rPr>
        <w:fldChar w:fldCharType="end"/>
      </w:r>
    </w:p>
    <w:p>
      <w:pPr>
        <w:pStyle w:val="20"/>
        <w:rPr>
          <w:rFonts w:hAnsi="宋体"/>
          <w:szCs w:val="21"/>
        </w:rPr>
      </w:pPr>
      <w:r>
        <w:rPr>
          <w:rFonts w:hAnsi="宋体"/>
          <w:szCs w:val="21"/>
        </w:rPr>
        <w:fldChar w:fldCharType="end"/>
      </w:r>
    </w:p>
    <w:p>
      <w:pPr>
        <w:widowControl/>
        <w:rPr>
          <w:rFonts w:ascii="Times New Roman" w:hAnsi="Times New Roman" w:eastAsia="宋体" w:cs="Times New Roman"/>
          <w:b/>
          <w:color w:val="000000" w:themeColor="text1"/>
          <w:lang w:val="en-US"/>
          <w14:textFill>
            <w14:solidFill>
              <w14:schemeClr w14:val="tx1"/>
            </w14:solidFill>
          </w14:textFill>
        </w:rPr>
      </w:pPr>
      <w:r>
        <w:br w:type="page"/>
      </w:r>
    </w:p>
    <w:p>
      <w:pPr>
        <w:pStyle w:val="210"/>
        <w:spacing w:before="240" w:after="240"/>
        <w:rPr>
          <w:rFonts w:ascii="黑体" w:hAnsi="黑体" w:eastAsia="黑体"/>
          <w:b w:val="0"/>
          <w:sz w:val="21"/>
          <w:szCs w:val="21"/>
        </w:rPr>
      </w:pPr>
      <w:bookmarkStart w:id="282" w:name="_Toc172187869"/>
      <w:bookmarkStart w:id="283" w:name="_Toc172188930"/>
      <w:bookmarkStart w:id="284" w:name="_Toc6098"/>
      <w:r>
        <w:rPr>
          <w:rFonts w:ascii="黑体" w:hAnsi="黑体" w:eastAsia="黑体"/>
          <w:b w:val="0"/>
          <w:sz w:val="21"/>
          <w:szCs w:val="21"/>
        </w:rPr>
        <w:t>3 基本规定</w:t>
      </w:r>
      <w:bookmarkEnd w:id="282"/>
      <w:bookmarkEnd w:id="283"/>
      <w:bookmarkEnd w:id="284"/>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3.1</w:t>
      </w:r>
      <w:r>
        <w:rPr>
          <w:rFonts w:ascii="Times New Roman" w:hAnsi="Times New Roman" w:eastAsia="宋体" w:cs="Times New Roman"/>
          <w:sz w:val="21"/>
          <w:szCs w:val="21"/>
          <w:lang w:val="en-US"/>
        </w:rPr>
        <w:t xml:space="preserve"> 装配式混凝土</w:t>
      </w:r>
      <w:r>
        <w:rPr>
          <w:rFonts w:hint="eastAsia" w:ascii="Times New Roman" w:hAnsi="Times New Roman" w:eastAsia="宋体" w:cs="Times New Roman"/>
          <w:sz w:val="21"/>
          <w:szCs w:val="21"/>
          <w:lang w:val="en-US"/>
        </w:rPr>
        <w:t>建筑</w:t>
      </w:r>
      <w:r>
        <w:rPr>
          <w:rFonts w:ascii="Times New Roman" w:hAnsi="Times New Roman" w:eastAsia="宋体" w:cs="Times New Roman"/>
          <w:sz w:val="21"/>
          <w:szCs w:val="21"/>
          <w:lang w:val="en-US"/>
        </w:rPr>
        <w:t>在建设期间，建设、设计、生产、施工</w:t>
      </w:r>
      <w:r>
        <w:rPr>
          <w:rFonts w:hint="eastAsia" w:ascii="Times New Roman" w:hAnsi="Times New Roman" w:eastAsia="宋体" w:cs="Times New Roman"/>
          <w:sz w:val="21"/>
          <w:szCs w:val="21"/>
          <w:lang w:val="en-US"/>
        </w:rPr>
        <w:t>等</w:t>
      </w:r>
      <w:r>
        <w:rPr>
          <w:rFonts w:ascii="Times New Roman" w:hAnsi="Times New Roman" w:eastAsia="宋体" w:cs="Times New Roman"/>
          <w:sz w:val="21"/>
          <w:szCs w:val="21"/>
          <w:lang w:val="en-US"/>
        </w:rPr>
        <w:t>各</w:t>
      </w:r>
      <w:r>
        <w:rPr>
          <w:rFonts w:hint="eastAsia" w:ascii="Times New Roman" w:hAnsi="Times New Roman" w:eastAsia="宋体" w:cs="Times New Roman"/>
          <w:sz w:val="21"/>
          <w:szCs w:val="21"/>
          <w:lang w:val="en-US"/>
        </w:rPr>
        <w:t>方</w:t>
      </w:r>
      <w:r>
        <w:rPr>
          <w:rFonts w:ascii="Times New Roman" w:hAnsi="Times New Roman" w:eastAsia="宋体" w:cs="Times New Roman"/>
          <w:sz w:val="21"/>
          <w:szCs w:val="21"/>
          <w:lang w:val="en-US"/>
        </w:rPr>
        <w:t>在方案阶段就需进行协同工作，共同对建筑</w:t>
      </w:r>
      <w:r>
        <w:rPr>
          <w:rFonts w:hint="eastAsia" w:ascii="Times New Roman" w:hAnsi="Times New Roman" w:eastAsia="宋体" w:cs="Times New Roman"/>
          <w:sz w:val="21"/>
          <w:szCs w:val="21"/>
          <w:lang w:val="en-US"/>
        </w:rPr>
        <w:t>设计方案</w:t>
      </w:r>
      <w:r>
        <w:rPr>
          <w:rFonts w:ascii="Times New Roman" w:hAnsi="Times New Roman" w:eastAsia="宋体" w:cs="Times New Roman"/>
          <w:sz w:val="21"/>
          <w:szCs w:val="21"/>
          <w:lang w:val="en-US"/>
        </w:rPr>
        <w:t>根据标准化原则进行优化，共同进行整体</w:t>
      </w:r>
      <w:r>
        <w:rPr>
          <w:rFonts w:hint="eastAsia" w:ascii="Times New Roman" w:hAnsi="Times New Roman" w:eastAsia="宋体" w:cs="Times New Roman"/>
          <w:sz w:val="21"/>
          <w:szCs w:val="21"/>
          <w:lang w:val="en-US"/>
        </w:rPr>
        <w:t>方案</w:t>
      </w:r>
      <w:r>
        <w:rPr>
          <w:rFonts w:ascii="Times New Roman" w:hAnsi="Times New Roman" w:eastAsia="宋体" w:cs="Times New Roman"/>
          <w:sz w:val="21"/>
          <w:szCs w:val="21"/>
          <w:lang w:val="en-US"/>
        </w:rPr>
        <w:t>策划。建筑、结构、设备、装修等各专业也应密切配合，对预制构件的尺寸和形状、节点构造等提出具体技术要求。</w:t>
      </w:r>
      <w:r>
        <w:rPr>
          <w:rFonts w:hint="eastAsia" w:ascii="Times New Roman" w:hAnsi="Times New Roman" w:eastAsia="宋体" w:cs="Times New Roman"/>
          <w:sz w:val="21"/>
          <w:szCs w:val="21"/>
          <w:lang w:val="en-US"/>
        </w:rPr>
        <w:t>多方协同</w:t>
      </w:r>
      <w:r>
        <w:rPr>
          <w:rFonts w:ascii="Times New Roman" w:hAnsi="Times New Roman" w:eastAsia="宋体" w:cs="Times New Roman"/>
          <w:sz w:val="21"/>
          <w:szCs w:val="21"/>
          <w:lang w:val="en-US"/>
        </w:rPr>
        <w:t>工作对</w:t>
      </w:r>
      <w:r>
        <w:rPr>
          <w:rFonts w:hint="eastAsia" w:ascii="Times New Roman" w:hAnsi="Times New Roman" w:eastAsia="宋体" w:cs="Times New Roman"/>
          <w:sz w:val="21"/>
          <w:szCs w:val="21"/>
          <w:lang w:val="en-US"/>
        </w:rPr>
        <w:t>装配式</w:t>
      </w:r>
      <w:r>
        <w:rPr>
          <w:rFonts w:ascii="Times New Roman" w:hAnsi="Times New Roman" w:eastAsia="宋体" w:cs="Times New Roman"/>
          <w:sz w:val="21"/>
          <w:szCs w:val="21"/>
          <w:lang w:val="en-US"/>
        </w:rPr>
        <w:t>建筑</w:t>
      </w:r>
      <w:r>
        <w:rPr>
          <w:rFonts w:hint="eastAsia" w:ascii="Times New Roman" w:hAnsi="Times New Roman" w:eastAsia="宋体" w:cs="Times New Roman"/>
          <w:sz w:val="21"/>
          <w:szCs w:val="21"/>
          <w:lang w:val="en-US"/>
        </w:rPr>
        <w:t>的建筑</w:t>
      </w:r>
      <w:r>
        <w:rPr>
          <w:rFonts w:ascii="Times New Roman" w:hAnsi="Times New Roman" w:eastAsia="宋体" w:cs="Times New Roman"/>
          <w:sz w:val="21"/>
          <w:szCs w:val="21"/>
          <w:lang w:val="en-US"/>
        </w:rPr>
        <w:t>功能和结构布置的合理性，结构方案的可行性、适用性以及工程造价等都会产生较大影响，是十分重要的。</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3.2</w:t>
      </w:r>
      <w:r>
        <w:rPr>
          <w:rFonts w:ascii="Times New Roman" w:hAnsi="Times New Roman" w:eastAsia="宋体" w:cs="Times New Roman"/>
          <w:sz w:val="21"/>
          <w:szCs w:val="21"/>
          <w:lang w:val="en-US"/>
        </w:rPr>
        <w:t xml:space="preserve"> 装配式混凝土建筑设计应在满足建筑功能的前提下，实现预制构件基本单元的标准化，以提高标准化建筑构配件的重复使用率</w:t>
      </w:r>
      <w:r>
        <w:rPr>
          <w:rFonts w:hint="eastAsia" w:ascii="Times New Roman" w:hAnsi="Times New Roman" w:eastAsia="宋体" w:cs="Times New Roman"/>
          <w:sz w:val="21"/>
          <w:szCs w:val="21"/>
          <w:lang w:val="en-US"/>
        </w:rPr>
        <w:t>。本规程给出了</w:t>
      </w:r>
      <w:r>
        <w:rPr>
          <w:rFonts w:ascii="Times New Roman" w:hAnsi="Times New Roman" w:eastAsia="宋体" w:cs="Times New Roman"/>
          <w:sz w:val="21"/>
          <w:szCs w:val="21"/>
          <w:lang w:val="en-US"/>
        </w:rPr>
        <w:t>装配整体式混凝土框架结构几种</w:t>
      </w:r>
      <w:r>
        <w:rPr>
          <w:rFonts w:hint="eastAsia" w:ascii="Times New Roman" w:hAnsi="Times New Roman" w:eastAsia="宋体" w:cs="Times New Roman"/>
          <w:sz w:val="21"/>
          <w:szCs w:val="21"/>
          <w:lang w:val="en-US"/>
        </w:rPr>
        <w:t>预制构件</w:t>
      </w:r>
      <w:r>
        <w:rPr>
          <w:rFonts w:ascii="Times New Roman" w:hAnsi="Times New Roman" w:eastAsia="宋体" w:cs="Times New Roman"/>
          <w:sz w:val="21"/>
          <w:szCs w:val="21"/>
          <w:lang w:val="en-US"/>
        </w:rPr>
        <w:t>连接</w:t>
      </w:r>
      <w:r>
        <w:rPr>
          <w:rFonts w:hint="eastAsia" w:ascii="Times New Roman" w:hAnsi="Times New Roman" w:eastAsia="宋体" w:cs="Times New Roman"/>
          <w:sz w:val="21"/>
          <w:szCs w:val="21"/>
          <w:lang w:val="en-US"/>
        </w:rPr>
        <w:t>形式</w:t>
      </w:r>
      <w:r>
        <w:rPr>
          <w:rFonts w:ascii="Times New Roman" w:hAnsi="Times New Roman" w:eastAsia="宋体" w:cs="Times New Roman"/>
          <w:sz w:val="21"/>
          <w:szCs w:val="21"/>
          <w:lang w:val="en-US"/>
        </w:rPr>
        <w:t>，在具体工程应用中，应在满足建筑功能要求的基础上，根据实际情况尽量</w:t>
      </w:r>
      <w:r>
        <w:rPr>
          <w:rFonts w:hint="eastAsia" w:ascii="Times New Roman" w:hAnsi="Times New Roman" w:eastAsia="宋体" w:cs="Times New Roman"/>
          <w:sz w:val="21"/>
          <w:szCs w:val="21"/>
          <w:lang w:val="en-US"/>
        </w:rPr>
        <w:t>做到少规格、多组合</w:t>
      </w:r>
      <w:r>
        <w:rPr>
          <w:rFonts w:ascii="Times New Roman" w:hAnsi="Times New Roman" w:eastAsia="宋体" w:cs="Times New Roman"/>
          <w:sz w:val="21"/>
          <w:szCs w:val="21"/>
          <w:lang w:val="en-US"/>
        </w:rPr>
        <w:t>。</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3.5</w:t>
      </w:r>
      <w:r>
        <w:rPr>
          <w:rFonts w:ascii="Times New Roman" w:hAnsi="Times New Roman" w:eastAsia="宋体" w:cs="Times New Roman"/>
          <w:sz w:val="21"/>
          <w:szCs w:val="21"/>
          <w:lang w:val="en-US"/>
        </w:rPr>
        <w:t xml:space="preserve"> 在装配整体式</w:t>
      </w:r>
      <w:r>
        <w:rPr>
          <w:rFonts w:hint="eastAsia" w:ascii="Times New Roman" w:hAnsi="Times New Roman" w:eastAsia="宋体" w:cs="Times New Roman"/>
          <w:sz w:val="21"/>
          <w:szCs w:val="21"/>
          <w:lang w:val="en-US"/>
        </w:rPr>
        <w:t>混凝土</w:t>
      </w:r>
      <w:r>
        <w:rPr>
          <w:rFonts w:ascii="Times New Roman" w:hAnsi="Times New Roman" w:eastAsia="宋体" w:cs="Times New Roman"/>
          <w:sz w:val="21"/>
          <w:szCs w:val="21"/>
          <w:lang w:val="en-US"/>
        </w:rPr>
        <w:t>结构设计中，哪些</w:t>
      </w:r>
      <w:r>
        <w:rPr>
          <w:rFonts w:hint="eastAsia" w:ascii="Times New Roman" w:hAnsi="Times New Roman" w:eastAsia="宋体" w:cs="Times New Roman"/>
          <w:sz w:val="21"/>
          <w:szCs w:val="21"/>
          <w:lang w:val="en-US"/>
        </w:rPr>
        <w:t>结构</w:t>
      </w:r>
      <w:r>
        <w:rPr>
          <w:rFonts w:ascii="Times New Roman" w:hAnsi="Times New Roman" w:eastAsia="宋体" w:cs="Times New Roman"/>
          <w:sz w:val="21"/>
          <w:szCs w:val="21"/>
          <w:lang w:val="en-US"/>
        </w:rPr>
        <w:t>部位采用预制最有效是设计必须考虑的问题。本规程强调</w:t>
      </w:r>
      <w:r>
        <w:rPr>
          <w:rFonts w:hint="eastAsia" w:ascii="Times New Roman" w:hAnsi="Times New Roman" w:eastAsia="宋体" w:cs="Times New Roman"/>
          <w:sz w:val="21"/>
          <w:szCs w:val="21"/>
          <w:lang w:val="en-US"/>
        </w:rPr>
        <w:t>预制</w:t>
      </w:r>
      <w:r>
        <w:rPr>
          <w:rFonts w:ascii="Times New Roman" w:hAnsi="Times New Roman" w:eastAsia="宋体" w:cs="Times New Roman"/>
          <w:sz w:val="21"/>
          <w:szCs w:val="21"/>
          <w:lang w:val="en-US"/>
        </w:rPr>
        <w:t>构件应</w:t>
      </w:r>
      <w:r>
        <w:rPr>
          <w:rFonts w:hint="eastAsia" w:ascii="Times New Roman" w:hAnsi="Times New Roman" w:eastAsia="宋体" w:cs="Times New Roman"/>
          <w:sz w:val="21"/>
          <w:szCs w:val="21"/>
          <w:lang w:val="en-US"/>
        </w:rPr>
        <w:t>符合</w:t>
      </w:r>
      <w:r>
        <w:rPr>
          <w:rFonts w:ascii="Times New Roman" w:hAnsi="Times New Roman" w:eastAsia="宋体" w:cs="Times New Roman"/>
          <w:sz w:val="21"/>
          <w:szCs w:val="21"/>
          <w:lang w:val="en-US"/>
        </w:rPr>
        <w:t>模数，但弱化对</w:t>
      </w:r>
      <w:r>
        <w:rPr>
          <w:rFonts w:hint="eastAsia" w:ascii="Times New Roman" w:hAnsi="Times New Roman" w:eastAsia="宋体" w:cs="Times New Roman"/>
          <w:sz w:val="21"/>
          <w:szCs w:val="21"/>
          <w:lang w:val="en-US"/>
        </w:rPr>
        <w:t>符合</w:t>
      </w:r>
      <w:r>
        <w:rPr>
          <w:rFonts w:ascii="Times New Roman" w:hAnsi="Times New Roman" w:eastAsia="宋体" w:cs="Times New Roman"/>
          <w:sz w:val="21"/>
          <w:szCs w:val="21"/>
          <w:lang w:val="en-US"/>
        </w:rPr>
        <w:t>建筑模数的要求，只要构件符合标准化、模数化的要求</w:t>
      </w:r>
      <w:r>
        <w:rPr>
          <w:rFonts w:hint="eastAsia" w:ascii="Times New Roman" w:hAnsi="Times New Roman" w:eastAsia="宋体" w:cs="Times New Roman"/>
          <w:sz w:val="21"/>
          <w:szCs w:val="21"/>
          <w:lang w:val="en-US"/>
        </w:rPr>
        <w:t>，就可有效降低整体工程造价</w:t>
      </w:r>
      <w:r>
        <w:rPr>
          <w:rFonts w:ascii="Times New Roman" w:hAnsi="Times New Roman" w:eastAsia="宋体" w:cs="Times New Roman"/>
          <w:sz w:val="21"/>
          <w:szCs w:val="21"/>
          <w:lang w:val="en-US"/>
        </w:rPr>
        <w:t>。</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3.6</w:t>
      </w:r>
      <w:r>
        <w:rPr>
          <w:rFonts w:hint="eastAsia" w:ascii="Times New Roman" w:hAnsi="Times New Roman" w:eastAsia="宋体" w:cs="Times New Roman"/>
          <w:b/>
          <w:bCs/>
          <w:sz w:val="21"/>
          <w:szCs w:val="21"/>
          <w:lang w:val="en-US"/>
        </w:rPr>
        <w:t xml:space="preserve"> </w:t>
      </w:r>
      <w:r>
        <w:rPr>
          <w:rFonts w:ascii="Times New Roman" w:hAnsi="Times New Roman" w:eastAsia="宋体" w:cs="Times New Roman"/>
          <w:sz w:val="21"/>
          <w:szCs w:val="21"/>
          <w:lang w:val="en-US"/>
        </w:rPr>
        <w:t>预制构件的深化</w:t>
      </w:r>
      <w:r>
        <w:rPr>
          <w:rFonts w:hint="eastAsia" w:ascii="Times New Roman" w:hAnsi="Times New Roman" w:eastAsia="宋体" w:cs="Times New Roman"/>
          <w:sz w:val="21"/>
          <w:szCs w:val="21"/>
          <w:lang w:val="en-US"/>
        </w:rPr>
        <w:t>专项</w:t>
      </w:r>
      <w:r>
        <w:rPr>
          <w:rFonts w:ascii="Times New Roman" w:hAnsi="Times New Roman" w:eastAsia="宋体" w:cs="Times New Roman"/>
          <w:sz w:val="21"/>
          <w:szCs w:val="21"/>
          <w:lang w:val="en-US"/>
        </w:rPr>
        <w:t>设计可以由设计</w:t>
      </w:r>
      <w:r>
        <w:rPr>
          <w:rFonts w:hint="eastAsia" w:ascii="Times New Roman" w:hAnsi="Times New Roman" w:eastAsia="宋体" w:cs="Times New Roman"/>
          <w:sz w:val="21"/>
          <w:szCs w:val="21"/>
          <w:lang w:val="en-US"/>
        </w:rPr>
        <w:t>单位</w:t>
      </w:r>
      <w:r>
        <w:rPr>
          <w:rFonts w:ascii="Times New Roman" w:hAnsi="Times New Roman" w:eastAsia="宋体" w:cs="Times New Roman"/>
          <w:sz w:val="21"/>
          <w:szCs w:val="21"/>
          <w:lang w:val="en-US"/>
        </w:rPr>
        <w:t>完成，也可委托</w:t>
      </w:r>
      <w:r>
        <w:rPr>
          <w:rFonts w:hint="eastAsia" w:ascii="Times New Roman" w:hAnsi="Times New Roman" w:eastAsia="宋体" w:cs="Times New Roman"/>
          <w:sz w:val="21"/>
          <w:szCs w:val="21"/>
          <w:lang w:val="en-US"/>
        </w:rPr>
        <w:t>预制构件生产单位</w:t>
      </w:r>
      <w:r>
        <w:rPr>
          <w:rFonts w:ascii="Times New Roman" w:hAnsi="Times New Roman" w:eastAsia="宋体" w:cs="Times New Roman"/>
          <w:sz w:val="21"/>
          <w:szCs w:val="21"/>
          <w:lang w:val="en-US"/>
        </w:rPr>
        <w:t>完成。</w:t>
      </w:r>
    </w:p>
    <w:p>
      <w:pPr>
        <w:pStyle w:val="210"/>
        <w:spacing w:before="240" w:after="240"/>
        <w:rPr>
          <w:rFonts w:ascii="黑体" w:hAnsi="黑体" w:eastAsia="黑体"/>
          <w:b w:val="0"/>
          <w:sz w:val="21"/>
          <w:szCs w:val="21"/>
        </w:rPr>
      </w:pPr>
      <w:bookmarkStart w:id="285" w:name="_Toc172187870"/>
      <w:bookmarkStart w:id="286" w:name="_Toc172188931"/>
      <w:bookmarkStart w:id="287" w:name="_Toc23898"/>
      <w:r>
        <w:rPr>
          <w:rFonts w:ascii="黑体" w:hAnsi="黑体" w:eastAsia="黑体"/>
          <w:b w:val="0"/>
          <w:sz w:val="21"/>
          <w:szCs w:val="21"/>
        </w:rPr>
        <w:t>4 材料</w:t>
      </w:r>
      <w:bookmarkEnd w:id="285"/>
      <w:bookmarkEnd w:id="286"/>
      <w:bookmarkEnd w:id="287"/>
    </w:p>
    <w:p>
      <w:pPr>
        <w:pStyle w:val="210"/>
        <w:spacing w:before="240" w:after="240"/>
        <w:outlineLvl w:val="2"/>
        <w:rPr>
          <w:rFonts w:ascii="黑体" w:hAnsi="黑体" w:eastAsia="黑体"/>
          <w:b w:val="0"/>
          <w:sz w:val="21"/>
          <w:szCs w:val="21"/>
        </w:rPr>
      </w:pPr>
      <w:bookmarkStart w:id="288" w:name="_Toc172188932"/>
      <w:bookmarkStart w:id="289" w:name="_Toc172187871"/>
      <w:r>
        <w:rPr>
          <w:rFonts w:ascii="黑体" w:hAnsi="黑体" w:eastAsia="黑体"/>
          <w:b w:val="0"/>
          <w:sz w:val="21"/>
          <w:szCs w:val="21"/>
        </w:rPr>
        <w:t>4.1 混凝土、钢筋和钢材</w:t>
      </w:r>
      <w:bookmarkEnd w:id="288"/>
      <w:bookmarkEnd w:id="289"/>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4.1.1</w:t>
      </w:r>
      <w:r>
        <w:rPr>
          <w:rFonts w:ascii="Times New Roman" w:hAnsi="Times New Roman" w:eastAsia="宋体" w:cs="Times New Roman"/>
          <w:b/>
          <w:bCs/>
          <w:sz w:val="21"/>
          <w:szCs w:val="21"/>
          <w:lang w:val="en-US"/>
        </w:rPr>
        <w:t>~</w:t>
      </w:r>
      <w:r>
        <w:rPr>
          <w:rStyle w:val="118"/>
          <w:rFonts w:ascii="黑体" w:hAnsi="黑体" w:eastAsia="黑体" w:cs="Times New Roman"/>
          <w:spacing w:val="0"/>
          <w:kern w:val="2"/>
          <w:sz w:val="21"/>
          <w:szCs w:val="21"/>
        </w:rPr>
        <w:t>4.1.6</w:t>
      </w:r>
      <w:r>
        <w:rPr>
          <w:rFonts w:ascii="Times New Roman" w:hAnsi="Times New Roman" w:eastAsia="宋体" w:cs="Times New Roman"/>
          <w:sz w:val="21"/>
          <w:szCs w:val="21"/>
          <w:lang w:val="en-US"/>
        </w:rPr>
        <w:t xml:space="preserve"> 混凝土、钢筋和钢材的要求与现行标准《装配式混凝土结构技术规程》JGJ 1一致。</w:t>
      </w:r>
    </w:p>
    <w:p>
      <w:pPr>
        <w:pStyle w:val="210"/>
        <w:spacing w:before="240" w:after="240"/>
        <w:outlineLvl w:val="2"/>
        <w:rPr>
          <w:rFonts w:ascii="黑体" w:hAnsi="黑体" w:eastAsia="黑体"/>
          <w:b w:val="0"/>
          <w:sz w:val="21"/>
          <w:szCs w:val="21"/>
        </w:rPr>
      </w:pPr>
      <w:bookmarkStart w:id="290" w:name="_Toc172188933"/>
      <w:bookmarkStart w:id="291" w:name="_Toc172187872"/>
      <w:r>
        <w:rPr>
          <w:rFonts w:ascii="黑体" w:hAnsi="黑体" w:eastAsia="黑体"/>
          <w:b w:val="0"/>
          <w:sz w:val="21"/>
          <w:szCs w:val="21"/>
        </w:rPr>
        <w:t>4.2 连接材料</w:t>
      </w:r>
      <w:bookmarkEnd w:id="290"/>
      <w:bookmarkEnd w:id="291"/>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4.2.4</w:t>
      </w:r>
      <w:r>
        <w:rPr>
          <w:rFonts w:ascii="Times New Roman" w:hAnsi="Times New Roman" w:eastAsia="宋体" w:cs="Times New Roman"/>
          <w:sz w:val="21"/>
          <w:szCs w:val="21"/>
          <w:lang w:val="en-US"/>
        </w:rPr>
        <w:t xml:space="preserve"> 预制构件之间的钢筋连接是保证装配整体式混凝土框架结构、框架-剪力墙结构安全可靠的关键，钢筋连接的性能优劣和工程质量，对结构整体性能有巨大影响。为保证钢筋浆锚搭接连接接头施工的简便性，降低施工质量风险，要求灌浆料的流动性好且无收缩。</w:t>
      </w:r>
    </w:p>
    <w:p>
      <w:pPr>
        <w:pStyle w:val="210"/>
        <w:spacing w:before="240" w:after="240"/>
        <w:outlineLvl w:val="2"/>
        <w:rPr>
          <w:rFonts w:ascii="黑体" w:hAnsi="黑体" w:eastAsia="黑体"/>
          <w:b w:val="0"/>
          <w:sz w:val="21"/>
          <w:szCs w:val="21"/>
        </w:rPr>
      </w:pPr>
      <w:bookmarkStart w:id="292" w:name="_Toc172188934"/>
      <w:bookmarkStart w:id="293" w:name="_Toc172187873"/>
      <w:r>
        <w:rPr>
          <w:rFonts w:ascii="黑体" w:hAnsi="黑体" w:eastAsia="黑体"/>
          <w:b w:val="0"/>
          <w:sz w:val="21"/>
          <w:szCs w:val="21"/>
        </w:rPr>
        <w:t>4.3 吊环及预埋件</w:t>
      </w:r>
      <w:bookmarkEnd w:id="292"/>
      <w:bookmarkEnd w:id="293"/>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4.3.2</w:t>
      </w:r>
      <w:r>
        <w:rPr>
          <w:rFonts w:ascii="Times New Roman" w:hAnsi="Times New Roman" w:eastAsia="宋体" w:cs="Times New Roman"/>
          <w:sz w:val="21"/>
          <w:szCs w:val="21"/>
          <w:lang w:val="en-US"/>
        </w:rPr>
        <w:t xml:space="preserve"> 本条与国家标准《混凝土结构设计标准》GB /T 50010的第9.7.5条的规定保持一致。预制构件的吊装方式宜优先采用内埋式螺母、内埋式吊杆或预留吊装孔。这些部件及配套的专用吊具等所采用的材料，应根据相应的产品标准和应用技术规程选用。</w:t>
      </w:r>
    </w:p>
    <w:p>
      <w:pPr>
        <w:pStyle w:val="210"/>
        <w:spacing w:before="240" w:after="240"/>
        <w:outlineLvl w:val="2"/>
        <w:rPr>
          <w:rFonts w:ascii="黑体" w:hAnsi="黑体" w:eastAsia="黑体"/>
          <w:b w:val="0"/>
          <w:sz w:val="21"/>
          <w:szCs w:val="21"/>
        </w:rPr>
      </w:pPr>
      <w:bookmarkStart w:id="294" w:name="_Toc172187874"/>
      <w:bookmarkStart w:id="295" w:name="_Toc172188935"/>
      <w:r>
        <w:rPr>
          <w:rFonts w:ascii="黑体" w:hAnsi="黑体" w:eastAsia="黑体"/>
          <w:b w:val="0"/>
          <w:sz w:val="21"/>
          <w:szCs w:val="21"/>
        </w:rPr>
        <w:t>4.4 其他材料</w:t>
      </w:r>
      <w:bookmarkEnd w:id="294"/>
      <w:bookmarkEnd w:id="295"/>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4.4.1</w:t>
      </w:r>
      <w:r>
        <w:rPr>
          <w:rFonts w:ascii="Times New Roman" w:hAnsi="Times New Roman" w:eastAsia="宋体" w:cs="Times New Roman"/>
          <w:sz w:val="21"/>
          <w:szCs w:val="21"/>
          <w:lang w:val="en-US"/>
        </w:rPr>
        <w:t xml:space="preserve"> 拼缝是装配整体式混凝土框架结构、框架-剪力墙结构的关键部位，拼缝的性能优劣和工程质量，对结构整体性能有巨大影响。为保证拼缝施工的简便性，降低施工质量风险，要求拼缝处座浆材料抗裂好、流动性好且无收缩。</w:t>
      </w:r>
    </w:p>
    <w:p>
      <w:pPr>
        <w:pStyle w:val="210"/>
        <w:spacing w:before="240" w:after="240"/>
        <w:rPr>
          <w:rFonts w:ascii="黑体" w:hAnsi="黑体" w:eastAsia="黑体"/>
          <w:b w:val="0"/>
          <w:sz w:val="21"/>
          <w:szCs w:val="21"/>
        </w:rPr>
      </w:pPr>
      <w:bookmarkStart w:id="296" w:name="_Toc5849"/>
      <w:bookmarkStart w:id="297" w:name="_Toc172187875"/>
      <w:bookmarkStart w:id="298" w:name="_Toc172188936"/>
      <w:r>
        <w:rPr>
          <w:rFonts w:ascii="黑体" w:hAnsi="黑体" w:eastAsia="黑体"/>
          <w:b w:val="0"/>
          <w:sz w:val="21"/>
          <w:szCs w:val="21"/>
        </w:rPr>
        <w:t>5 建筑设计</w:t>
      </w:r>
      <w:bookmarkEnd w:id="296"/>
      <w:bookmarkEnd w:id="297"/>
      <w:bookmarkEnd w:id="298"/>
    </w:p>
    <w:p>
      <w:pPr>
        <w:pStyle w:val="210"/>
        <w:spacing w:before="240" w:after="240"/>
        <w:outlineLvl w:val="2"/>
        <w:rPr>
          <w:rFonts w:ascii="黑体" w:hAnsi="黑体" w:eastAsia="黑体"/>
          <w:b w:val="0"/>
          <w:sz w:val="21"/>
          <w:szCs w:val="21"/>
        </w:rPr>
      </w:pPr>
      <w:bookmarkStart w:id="299" w:name="_Toc172188937"/>
      <w:bookmarkStart w:id="300" w:name="_Toc172187876"/>
      <w:r>
        <w:rPr>
          <w:rFonts w:ascii="黑体" w:hAnsi="黑体" w:eastAsia="黑体"/>
          <w:b w:val="0"/>
          <w:sz w:val="21"/>
          <w:szCs w:val="21"/>
        </w:rPr>
        <w:t>5.1 一般规定</w:t>
      </w:r>
      <w:bookmarkEnd w:id="299"/>
      <w:bookmarkEnd w:id="300"/>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5.1.1</w:t>
      </w:r>
      <w:r>
        <w:rPr>
          <w:rFonts w:ascii="Times New Roman" w:hAnsi="Times New Roman" w:eastAsia="宋体" w:cs="Times New Roman"/>
          <w:sz w:val="21"/>
          <w:szCs w:val="21"/>
          <w:lang w:val="en-US"/>
        </w:rPr>
        <w:t xml:space="preserve"> 考虑到应尽量避免装修时对预制构件造成结构性损伤，建议设计时装修一并考虑。</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5.1.3</w:t>
      </w:r>
      <w:r>
        <w:rPr>
          <w:rFonts w:ascii="Times New Roman" w:hAnsi="Times New Roman" w:eastAsia="宋体" w:cs="Times New Roman"/>
          <w:sz w:val="21"/>
          <w:szCs w:val="21"/>
          <w:lang w:val="en-US"/>
        </w:rPr>
        <w:t xml:space="preserve"> 根据国内实际应用的经验，这些构件较适宜于采用预制构件。</w:t>
      </w:r>
    </w:p>
    <w:p>
      <w:pPr>
        <w:spacing w:before="240" w:beforeLines="100" w:after="240" w:afterLines="100"/>
        <w:jc w:val="both"/>
        <w:outlineLvl w:val="2"/>
        <w:rPr>
          <w:rFonts w:ascii="黑体" w:hAnsi="黑体" w:eastAsia="黑体" w:cs="Times New Roman"/>
          <w:color w:val="000000" w:themeColor="text1"/>
          <w:sz w:val="21"/>
          <w:szCs w:val="21"/>
          <w14:textFill>
            <w14:solidFill>
              <w14:schemeClr w14:val="tx1"/>
            </w14:solidFill>
          </w14:textFill>
        </w:rPr>
      </w:pPr>
      <w:bookmarkStart w:id="301" w:name="_Toc172188938"/>
      <w:bookmarkStart w:id="302" w:name="_Toc172187877"/>
      <w:r>
        <w:rPr>
          <w:rFonts w:ascii="黑体" w:hAnsi="黑体" w:eastAsia="黑体" w:cs="Times New Roman"/>
          <w:color w:val="000000" w:themeColor="text1"/>
          <w:sz w:val="21"/>
          <w:szCs w:val="21"/>
          <w14:textFill>
            <w14:solidFill>
              <w14:schemeClr w14:val="tx1"/>
            </w14:solidFill>
          </w14:textFill>
        </w:rPr>
        <w:t>5.2 平面设计</w:t>
      </w:r>
      <w:bookmarkEnd w:id="301"/>
      <w:bookmarkEnd w:id="302"/>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5.2.3</w:t>
      </w:r>
      <w:r>
        <w:rPr>
          <w:rFonts w:ascii="Times New Roman" w:hAnsi="Times New Roman" w:eastAsia="宋体" w:cs="Times New Roman"/>
          <w:sz w:val="21"/>
          <w:szCs w:val="21"/>
          <w:lang w:val="en-US"/>
        </w:rPr>
        <w:t xml:space="preserve"> 装配式建筑的平面设计应考虑建筑各功能空间的使用尺寸，并应结合结构受力特点，合理设计预制构配件（部件）。同时应注意预制构配件（部件）的定位尺寸，在满足平面功能需要的同时，还应符合模数协调和标准化的要求。装配式建筑平面设计应充分考虑设备管线与结构体系之间的关系。</w:t>
      </w:r>
    </w:p>
    <w:p>
      <w:pPr>
        <w:spacing w:before="240" w:beforeLines="100" w:after="240" w:afterLines="100"/>
        <w:jc w:val="both"/>
        <w:outlineLvl w:val="2"/>
        <w:rPr>
          <w:rFonts w:ascii="黑体" w:hAnsi="黑体" w:eastAsia="黑体" w:cs="Times New Roman"/>
          <w:color w:val="000000" w:themeColor="text1"/>
          <w:sz w:val="21"/>
          <w:szCs w:val="21"/>
          <w14:textFill>
            <w14:solidFill>
              <w14:schemeClr w14:val="tx1"/>
            </w14:solidFill>
          </w14:textFill>
        </w:rPr>
      </w:pPr>
      <w:bookmarkStart w:id="303" w:name="_Toc172187878"/>
      <w:bookmarkStart w:id="304" w:name="_Toc172188939"/>
      <w:r>
        <w:rPr>
          <w:rFonts w:ascii="黑体" w:hAnsi="黑体" w:eastAsia="黑体" w:cs="Times New Roman"/>
          <w:color w:val="000000" w:themeColor="text1"/>
          <w:sz w:val="21"/>
          <w:szCs w:val="21"/>
          <w14:textFill>
            <w14:solidFill>
              <w14:schemeClr w14:val="tx1"/>
            </w14:solidFill>
          </w14:textFill>
        </w:rPr>
        <w:t>5.3 立面和外墙设计</w:t>
      </w:r>
      <w:bookmarkEnd w:id="303"/>
      <w:bookmarkEnd w:id="304"/>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5.3.2</w:t>
      </w:r>
      <w:r>
        <w:rPr>
          <w:rFonts w:ascii="Times New Roman" w:hAnsi="Times New Roman" w:eastAsia="宋体" w:cs="Times New Roman"/>
          <w:sz w:val="21"/>
          <w:szCs w:val="21"/>
          <w:lang w:val="en-US"/>
        </w:rPr>
        <w:t xml:space="preserve"> 饰面砖现场施工采用粘贴工艺，在工厂生产时，可将饰面砖预先放置在模具内，与外墙板的混凝土一起浇筑（即反打工艺），采用该工艺能够有效的解决饰面砖与基层的连接问题，同时也减少现场抹灰，在一定条件下可实现无外架施工。</w:t>
      </w:r>
    </w:p>
    <w:p>
      <w:pPr>
        <w:spacing w:before="240" w:beforeLines="100" w:after="240" w:afterLines="100"/>
        <w:jc w:val="both"/>
        <w:outlineLvl w:val="2"/>
        <w:rPr>
          <w:rFonts w:ascii="黑体" w:hAnsi="黑体" w:eastAsia="黑体" w:cs="Times New Roman"/>
          <w:color w:val="000000" w:themeColor="text1"/>
          <w:sz w:val="21"/>
          <w:szCs w:val="21"/>
          <w14:textFill>
            <w14:solidFill>
              <w14:schemeClr w14:val="tx1"/>
            </w14:solidFill>
          </w14:textFill>
        </w:rPr>
      </w:pPr>
      <w:bookmarkStart w:id="305" w:name="_Toc172187879"/>
      <w:bookmarkStart w:id="306" w:name="_Toc172188940"/>
      <w:r>
        <w:rPr>
          <w:rFonts w:ascii="黑体" w:hAnsi="黑体" w:eastAsia="黑体" w:cs="Times New Roman"/>
          <w:color w:val="000000" w:themeColor="text1"/>
          <w:sz w:val="21"/>
          <w:szCs w:val="21"/>
          <w14:textFill>
            <w14:solidFill>
              <w14:schemeClr w14:val="tx1"/>
            </w14:solidFill>
          </w14:textFill>
        </w:rPr>
        <w:t>5.4 设备管线设计</w:t>
      </w:r>
      <w:bookmarkEnd w:id="305"/>
      <w:bookmarkEnd w:id="306"/>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5.4.2</w:t>
      </w:r>
      <w:r>
        <w:rPr>
          <w:rFonts w:ascii="Times New Roman" w:hAnsi="Times New Roman" w:eastAsia="宋体" w:cs="Times New Roman"/>
          <w:sz w:val="21"/>
          <w:szCs w:val="21"/>
          <w:lang w:val="en-US"/>
        </w:rPr>
        <w:t xml:space="preserve"> 由于部品是集合了一定建筑功能的产品，尤其是预留或预埋了部分管线，因此，接口的标准化是方便施工的重要手段。</w:t>
      </w:r>
    </w:p>
    <w:p>
      <w:pPr>
        <w:pStyle w:val="210"/>
        <w:spacing w:before="240" w:after="240"/>
        <w:rPr>
          <w:rFonts w:ascii="黑体" w:hAnsi="黑体" w:eastAsia="黑体"/>
          <w:b w:val="0"/>
          <w:sz w:val="21"/>
          <w:szCs w:val="21"/>
        </w:rPr>
      </w:pPr>
      <w:bookmarkStart w:id="307" w:name="_Toc32006"/>
      <w:bookmarkStart w:id="308" w:name="_Toc172187880"/>
      <w:bookmarkStart w:id="309" w:name="_Toc172188941"/>
      <w:r>
        <w:rPr>
          <w:rFonts w:ascii="黑体" w:hAnsi="黑体" w:eastAsia="黑体"/>
          <w:b w:val="0"/>
          <w:sz w:val="21"/>
          <w:szCs w:val="21"/>
        </w:rPr>
        <w:t>6 结构设计基本规定</w:t>
      </w:r>
      <w:bookmarkEnd w:id="307"/>
      <w:bookmarkEnd w:id="308"/>
      <w:bookmarkEnd w:id="309"/>
    </w:p>
    <w:p>
      <w:pPr>
        <w:pStyle w:val="210"/>
        <w:spacing w:before="240" w:after="240"/>
        <w:outlineLvl w:val="2"/>
        <w:rPr>
          <w:rFonts w:ascii="黑体" w:hAnsi="黑体" w:eastAsia="黑体"/>
          <w:b w:val="0"/>
          <w:sz w:val="21"/>
          <w:szCs w:val="21"/>
        </w:rPr>
      </w:pPr>
      <w:bookmarkStart w:id="310" w:name="_Toc172187881"/>
      <w:bookmarkStart w:id="311" w:name="_Toc172188942"/>
      <w:r>
        <w:rPr>
          <w:rFonts w:ascii="黑体" w:hAnsi="黑体" w:eastAsia="黑体"/>
          <w:b w:val="0"/>
          <w:sz w:val="21"/>
          <w:szCs w:val="21"/>
        </w:rPr>
        <w:t>6.1 一般规定</w:t>
      </w:r>
      <w:bookmarkEnd w:id="310"/>
      <w:bookmarkEnd w:id="311"/>
    </w:p>
    <w:p>
      <w:pPr>
        <w:spacing w:before="120" w:beforeLines="50" w:after="120" w:afterLines="50"/>
        <w:jc w:val="both"/>
        <w:rPr>
          <w:rFonts w:ascii="Times New Roman" w:hAnsi="Times New Roman" w:eastAsia="宋体" w:cs="Times New Roman"/>
          <w:sz w:val="21"/>
          <w:szCs w:val="21"/>
        </w:rPr>
      </w:pPr>
      <w:r>
        <w:rPr>
          <w:rStyle w:val="118"/>
          <w:rFonts w:ascii="黑体" w:hAnsi="黑体" w:eastAsia="黑体" w:cs="Times New Roman"/>
          <w:spacing w:val="0"/>
          <w:kern w:val="2"/>
          <w:sz w:val="21"/>
          <w:szCs w:val="21"/>
        </w:rPr>
        <w:t>6.1.1</w:t>
      </w:r>
      <w:r>
        <w:rPr>
          <w:rFonts w:ascii="Times New Roman" w:hAnsi="Times New Roman" w:eastAsia="宋体" w:cs="Times New Roman"/>
          <w:sz w:val="21"/>
          <w:szCs w:val="21"/>
          <w:lang w:val="en-US"/>
        </w:rPr>
        <w:t xml:space="preserve"> 节点和接缝的安全可靠是保证装配整体式结构性能的关键，根据国内外多年的研究成果，当采取了可靠的节点连接方式和合理的构造措施后，装配整体式框架结构及装配整体式框架-剪力墙结构性能可以等同现浇混凝土的框架结构和框架-剪力墙结构。因此应采取有效措施加强结构的整体性，保证节点和接缝受力明确、构造可靠，并应满足承载力、延性和耐久性等要求。</w:t>
      </w:r>
    </w:p>
    <w:p>
      <w:pPr>
        <w:pStyle w:val="210"/>
        <w:spacing w:before="240" w:after="240"/>
        <w:outlineLvl w:val="2"/>
        <w:rPr>
          <w:rFonts w:ascii="黑体" w:hAnsi="黑体" w:eastAsia="黑体"/>
          <w:b w:val="0"/>
          <w:sz w:val="21"/>
          <w:szCs w:val="21"/>
        </w:rPr>
      </w:pPr>
      <w:bookmarkStart w:id="312" w:name="_Toc172188943"/>
      <w:bookmarkStart w:id="313" w:name="_Toc172187882"/>
      <w:r>
        <w:rPr>
          <w:rFonts w:ascii="黑体" w:hAnsi="黑体" w:eastAsia="黑体"/>
          <w:b w:val="0"/>
          <w:sz w:val="21"/>
          <w:szCs w:val="21"/>
        </w:rPr>
        <w:t>6.2 房屋适用高度和高宽比</w:t>
      </w:r>
      <w:bookmarkEnd w:id="312"/>
      <w:bookmarkEnd w:id="313"/>
    </w:p>
    <w:p>
      <w:pPr>
        <w:snapToGrid w:val="0"/>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6.2.1</w:t>
      </w:r>
      <w:r>
        <w:rPr>
          <w:rFonts w:ascii="Times New Roman" w:hAnsi="Times New Roman" w:eastAsia="宋体" w:cs="Times New Roman"/>
          <w:sz w:val="21"/>
          <w:szCs w:val="21"/>
          <w:lang w:val="en-US"/>
        </w:rPr>
        <w:t xml:space="preserve"> 装配整体式结构的适用高度与现行</w:t>
      </w:r>
      <w:r>
        <w:rPr>
          <w:rFonts w:hint="eastAsia" w:ascii="Times New Roman" w:hAnsi="Times New Roman" w:eastAsia="宋体" w:cs="Times New Roman"/>
          <w:sz w:val="21"/>
          <w:szCs w:val="21"/>
          <w:lang w:val="en-US"/>
        </w:rPr>
        <w:t>国家标准《装配式混凝土建筑技术标准》GB/T 51231和</w:t>
      </w:r>
      <w:r>
        <w:rPr>
          <w:rFonts w:ascii="Times New Roman" w:hAnsi="Times New Roman" w:eastAsia="宋体" w:cs="Times New Roman"/>
          <w:sz w:val="21"/>
          <w:szCs w:val="21"/>
          <w:lang w:val="en-US"/>
        </w:rPr>
        <w:t>行业标准《装配式混凝土结构技术规程》JGJ 1的规定保持一致。根据国内外多年的研究成果，当采取了可靠的节点连接方式和合理的构造措施后，装配整体式框架结构及装配整体式框架-剪力墙结构性能可以等同现浇混凝土框架结构和框架-剪力墙结构。因此，对装配整体式框架结构</w:t>
      </w:r>
      <w:r>
        <w:rPr>
          <w:rFonts w:hint="eastAsia" w:ascii="Times New Roman" w:hAnsi="Times New Roman" w:eastAsia="宋体" w:cs="Times New Roman"/>
          <w:sz w:val="21"/>
          <w:szCs w:val="21"/>
          <w:lang w:val="en-US"/>
        </w:rPr>
        <w:t>、</w:t>
      </w:r>
      <w:r>
        <w:rPr>
          <w:rFonts w:ascii="Times New Roman" w:hAnsi="Times New Roman" w:eastAsia="宋体" w:cs="Times New Roman"/>
          <w:sz w:val="21"/>
          <w:szCs w:val="21"/>
          <w:lang w:val="en-US"/>
        </w:rPr>
        <w:t>装配整体式框架-</w:t>
      </w:r>
      <w:r>
        <w:rPr>
          <w:rFonts w:hint="eastAsia" w:ascii="Times New Roman" w:hAnsi="Times New Roman" w:eastAsia="宋体" w:cs="Times New Roman"/>
          <w:sz w:val="21"/>
          <w:szCs w:val="21"/>
          <w:lang w:val="en-US"/>
        </w:rPr>
        <w:t>现浇</w:t>
      </w:r>
      <w:r>
        <w:rPr>
          <w:rFonts w:ascii="Times New Roman" w:hAnsi="Times New Roman" w:eastAsia="宋体" w:cs="Times New Roman"/>
          <w:sz w:val="21"/>
          <w:szCs w:val="21"/>
          <w:lang w:val="en-US"/>
        </w:rPr>
        <w:t>剪力墙结构</w:t>
      </w:r>
      <w:r>
        <w:rPr>
          <w:rFonts w:hint="eastAsia" w:ascii="Times New Roman" w:hAnsi="Times New Roman" w:eastAsia="宋体" w:cs="Times New Roman"/>
          <w:sz w:val="21"/>
          <w:szCs w:val="21"/>
          <w:lang w:val="en-US"/>
        </w:rPr>
        <w:t>和</w:t>
      </w:r>
      <w:r>
        <w:rPr>
          <w:rFonts w:ascii="Times New Roman" w:hAnsi="Times New Roman" w:eastAsia="宋体" w:cs="Times New Roman"/>
          <w:sz w:val="21"/>
          <w:szCs w:val="21"/>
          <w:lang w:val="en-US"/>
        </w:rPr>
        <w:t>装配整体式框架-</w:t>
      </w:r>
      <w:r>
        <w:rPr>
          <w:rFonts w:hint="eastAsia" w:ascii="Times New Roman" w:hAnsi="Times New Roman" w:eastAsia="宋体" w:cs="Times New Roman"/>
          <w:sz w:val="21"/>
          <w:szCs w:val="21"/>
          <w:lang w:val="en-US"/>
        </w:rPr>
        <w:t>叠合</w:t>
      </w:r>
      <w:r>
        <w:rPr>
          <w:rFonts w:ascii="Times New Roman" w:hAnsi="Times New Roman" w:eastAsia="宋体" w:cs="Times New Roman"/>
          <w:sz w:val="21"/>
          <w:szCs w:val="21"/>
          <w:lang w:val="en-US"/>
        </w:rPr>
        <w:t>剪力墙结构，当节点及接缝采用适当的构造并满足本规程中有关条文</w:t>
      </w:r>
      <w:r>
        <w:rPr>
          <w:rFonts w:hint="eastAsia" w:ascii="Times New Roman" w:hAnsi="Times New Roman" w:eastAsia="宋体" w:cs="Times New Roman"/>
          <w:sz w:val="21"/>
          <w:szCs w:val="21"/>
          <w:lang w:val="en-US"/>
        </w:rPr>
        <w:t>规定</w:t>
      </w:r>
      <w:r>
        <w:rPr>
          <w:rFonts w:ascii="Times New Roman" w:hAnsi="Times New Roman" w:eastAsia="宋体" w:cs="Times New Roman"/>
          <w:sz w:val="21"/>
          <w:szCs w:val="21"/>
          <w:lang w:val="en-US"/>
        </w:rPr>
        <w:t>时，可认为其性能与现浇结构基本</w:t>
      </w:r>
      <w:r>
        <w:rPr>
          <w:rFonts w:hint="eastAsia" w:ascii="Times New Roman" w:hAnsi="Times New Roman" w:eastAsia="宋体" w:cs="Times New Roman"/>
          <w:sz w:val="21"/>
          <w:szCs w:val="21"/>
          <w:lang w:val="en-US"/>
        </w:rPr>
        <w:t>相同</w:t>
      </w:r>
      <w:r>
        <w:rPr>
          <w:rFonts w:ascii="Times New Roman" w:hAnsi="Times New Roman" w:eastAsia="宋体" w:cs="Times New Roman"/>
          <w:sz w:val="21"/>
          <w:szCs w:val="21"/>
          <w:lang w:val="en-US"/>
        </w:rPr>
        <w:t>，其最大适用高度</w:t>
      </w:r>
      <w:r>
        <w:rPr>
          <w:rFonts w:hint="eastAsia" w:ascii="Times New Roman" w:hAnsi="Times New Roman" w:eastAsia="宋体" w:cs="Times New Roman"/>
          <w:sz w:val="21"/>
          <w:szCs w:val="21"/>
          <w:lang w:val="en-US"/>
        </w:rPr>
        <w:t>可</w:t>
      </w:r>
      <w:r>
        <w:rPr>
          <w:rFonts w:ascii="Times New Roman" w:hAnsi="Times New Roman" w:eastAsia="宋体" w:cs="Times New Roman"/>
          <w:sz w:val="21"/>
          <w:szCs w:val="21"/>
          <w:lang w:val="en-US"/>
        </w:rPr>
        <w:t>与现浇结构相同。</w:t>
      </w:r>
    </w:p>
    <w:p>
      <w:pPr>
        <w:spacing w:before="120" w:beforeLines="50" w:after="120" w:afterLines="50"/>
        <w:ind w:firstLine="420" w:firstLineChars="200"/>
        <w:jc w:val="both"/>
        <w:rPr>
          <w:rFonts w:ascii="Times New Roman" w:hAnsi="Times New Roman" w:eastAsia="宋体" w:cs="Times New Roman"/>
          <w:sz w:val="21"/>
          <w:szCs w:val="21"/>
          <w:lang w:val="en-US"/>
        </w:rPr>
      </w:pPr>
      <w:r>
        <w:rPr>
          <w:rFonts w:ascii="Times New Roman" w:hAnsi="Times New Roman" w:eastAsia="宋体" w:cs="Times New Roman"/>
          <w:sz w:val="21"/>
          <w:szCs w:val="21"/>
          <w:lang w:val="en-US"/>
        </w:rPr>
        <w:t>框架-剪力墙结构是目前我国高层建筑中广泛应用的一种结构体系。考虑目前</w:t>
      </w:r>
      <w:r>
        <w:rPr>
          <w:rFonts w:hint="eastAsia" w:ascii="Times New Roman" w:hAnsi="Times New Roman" w:eastAsia="宋体" w:cs="Times New Roman"/>
          <w:sz w:val="21"/>
          <w:szCs w:val="21"/>
          <w:lang w:val="en-US"/>
        </w:rPr>
        <w:t>国内外相关</w:t>
      </w:r>
      <w:r>
        <w:rPr>
          <w:rFonts w:ascii="Times New Roman" w:hAnsi="Times New Roman" w:eastAsia="宋体" w:cs="Times New Roman"/>
          <w:sz w:val="21"/>
          <w:szCs w:val="21"/>
          <w:lang w:val="en-US"/>
        </w:rPr>
        <w:t>研究</w:t>
      </w:r>
      <w:r>
        <w:rPr>
          <w:rFonts w:hint="eastAsia" w:ascii="Times New Roman" w:hAnsi="Times New Roman" w:eastAsia="宋体" w:cs="Times New Roman"/>
          <w:sz w:val="21"/>
          <w:szCs w:val="21"/>
          <w:lang w:val="en-US"/>
        </w:rPr>
        <w:t>现状</w:t>
      </w:r>
      <w:r>
        <w:rPr>
          <w:rFonts w:ascii="Times New Roman" w:hAnsi="Times New Roman" w:eastAsia="宋体" w:cs="Times New Roman"/>
          <w:sz w:val="21"/>
          <w:szCs w:val="21"/>
          <w:lang w:val="en-US"/>
        </w:rPr>
        <w:t>，装配整体式框架-剪力墙结构建议采用现浇剪力墙或采用叠合剪力墙，以保证整体结构的抗震性能。装配整体式框架-现浇剪力墙结构</w:t>
      </w:r>
      <w:r>
        <w:rPr>
          <w:rFonts w:hint="eastAsia" w:ascii="Times New Roman" w:hAnsi="Times New Roman" w:eastAsia="宋体" w:cs="Times New Roman"/>
          <w:sz w:val="21"/>
          <w:szCs w:val="21"/>
          <w:lang w:val="en-US"/>
        </w:rPr>
        <w:t>和</w:t>
      </w:r>
      <w:r>
        <w:rPr>
          <w:rFonts w:ascii="Times New Roman" w:hAnsi="Times New Roman" w:eastAsia="宋体" w:cs="Times New Roman"/>
          <w:sz w:val="21"/>
          <w:szCs w:val="21"/>
          <w:lang w:val="en-US"/>
        </w:rPr>
        <w:t>装配整体式框架-</w:t>
      </w:r>
      <w:r>
        <w:rPr>
          <w:rFonts w:hint="eastAsia" w:ascii="Times New Roman" w:hAnsi="Times New Roman" w:eastAsia="宋体" w:cs="Times New Roman"/>
          <w:sz w:val="21"/>
          <w:szCs w:val="21"/>
          <w:lang w:val="en-US"/>
        </w:rPr>
        <w:t>叠合</w:t>
      </w:r>
      <w:r>
        <w:rPr>
          <w:rFonts w:ascii="Times New Roman" w:hAnsi="Times New Roman" w:eastAsia="宋体" w:cs="Times New Roman"/>
          <w:sz w:val="21"/>
          <w:szCs w:val="21"/>
          <w:lang w:val="en-US"/>
        </w:rPr>
        <w:t>剪力墙结构中，框架的性能与现浇框架等同，因此整体结构的适用高度</w:t>
      </w:r>
      <w:r>
        <w:rPr>
          <w:rFonts w:hint="eastAsia" w:ascii="Times New Roman" w:hAnsi="Times New Roman" w:eastAsia="宋体" w:cs="Times New Roman"/>
          <w:sz w:val="21"/>
          <w:szCs w:val="21"/>
          <w:lang w:val="en-US"/>
        </w:rPr>
        <w:t>可</w:t>
      </w:r>
      <w:r>
        <w:rPr>
          <w:rFonts w:ascii="Times New Roman" w:hAnsi="Times New Roman" w:eastAsia="宋体" w:cs="Times New Roman"/>
          <w:sz w:val="21"/>
          <w:szCs w:val="21"/>
          <w:lang w:val="en-US"/>
        </w:rPr>
        <w:t>与现浇框架-剪力墙结构相同。对于框架与剪力墙均采用装配式的框架-剪力墙结构，待有较充分的研究结果后再给出规定。</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6.2.2</w:t>
      </w:r>
      <w:r>
        <w:rPr>
          <w:rFonts w:ascii="Times New Roman" w:hAnsi="Times New Roman" w:eastAsia="宋体" w:cs="Times New Roman"/>
          <w:sz w:val="21"/>
          <w:szCs w:val="21"/>
          <w:lang w:val="en-US"/>
        </w:rPr>
        <w:t xml:space="preserve"> 装配整体式结构适用的最大高宽比与现行</w:t>
      </w:r>
      <w:r>
        <w:rPr>
          <w:rFonts w:hint="eastAsia" w:ascii="Times New Roman" w:hAnsi="Times New Roman" w:eastAsia="宋体" w:cs="Times New Roman"/>
          <w:sz w:val="21"/>
          <w:szCs w:val="21"/>
          <w:lang w:val="en-US"/>
        </w:rPr>
        <w:t>国家标准《装配式混凝土建筑技术标准》GB/T 51231和</w:t>
      </w:r>
      <w:r>
        <w:rPr>
          <w:rFonts w:ascii="Times New Roman" w:hAnsi="Times New Roman" w:eastAsia="宋体" w:cs="Times New Roman"/>
          <w:sz w:val="21"/>
          <w:szCs w:val="21"/>
          <w:lang w:val="en-US"/>
        </w:rPr>
        <w:t>行业标准《装配式混凝土结构技术规程》JGJ 1的规定保持一致。</w:t>
      </w:r>
    </w:p>
    <w:p>
      <w:pPr>
        <w:pStyle w:val="210"/>
        <w:spacing w:before="240" w:after="240"/>
        <w:outlineLvl w:val="2"/>
        <w:rPr>
          <w:rFonts w:ascii="黑体" w:hAnsi="黑体" w:eastAsia="黑体"/>
          <w:b w:val="0"/>
          <w:sz w:val="21"/>
          <w:szCs w:val="21"/>
        </w:rPr>
      </w:pPr>
      <w:bookmarkStart w:id="314" w:name="_Toc172187883"/>
      <w:bookmarkStart w:id="315" w:name="_Toc172188944"/>
      <w:r>
        <w:rPr>
          <w:rFonts w:ascii="黑体" w:hAnsi="黑体" w:eastAsia="黑体"/>
          <w:b w:val="0"/>
          <w:sz w:val="21"/>
          <w:szCs w:val="21"/>
        </w:rPr>
        <w:t>6.3 结构平面及竖向布置</w:t>
      </w:r>
      <w:bookmarkEnd w:id="314"/>
      <w:bookmarkEnd w:id="315"/>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6.3.4</w:t>
      </w:r>
      <w:r>
        <w:rPr>
          <w:rFonts w:ascii="Times New Roman" w:hAnsi="Times New Roman" w:eastAsia="宋体" w:cs="Times New Roman"/>
          <w:b/>
          <w:bCs/>
          <w:sz w:val="21"/>
          <w:szCs w:val="21"/>
          <w:lang w:val="en-US"/>
        </w:rPr>
        <w:t xml:space="preserve"> </w:t>
      </w:r>
      <w:r>
        <w:rPr>
          <w:rFonts w:ascii="Times New Roman" w:hAnsi="Times New Roman" w:eastAsia="宋体" w:cs="Times New Roman"/>
          <w:sz w:val="21"/>
          <w:szCs w:val="21"/>
          <w:lang w:val="en-US"/>
        </w:rPr>
        <w:t>试验研究表明</w:t>
      </w:r>
      <w:r>
        <w:rPr>
          <w:rFonts w:hint="eastAsia" w:ascii="Times New Roman" w:hAnsi="Times New Roman" w:eastAsia="宋体" w:cs="Times New Roman"/>
          <w:sz w:val="21"/>
          <w:szCs w:val="21"/>
          <w:lang w:val="en-US"/>
        </w:rPr>
        <w:t>，</w:t>
      </w:r>
      <w:r>
        <w:rPr>
          <w:rFonts w:ascii="Times New Roman" w:hAnsi="Times New Roman" w:eastAsia="宋体" w:cs="Times New Roman"/>
          <w:sz w:val="21"/>
          <w:szCs w:val="21"/>
          <w:lang w:val="en-US"/>
        </w:rPr>
        <w:t>装配整体式结构与现浇结构的受力性能基本相同，因此对于高层装配整体式结构虽然应当采用平面、立面均为规则体系的建筑，但并不比现行标准更严格。</w:t>
      </w:r>
    </w:p>
    <w:p>
      <w:pPr>
        <w:pStyle w:val="210"/>
        <w:spacing w:before="240" w:after="240"/>
        <w:outlineLvl w:val="2"/>
        <w:rPr>
          <w:rFonts w:ascii="黑体" w:hAnsi="黑体" w:eastAsia="黑体"/>
          <w:b w:val="0"/>
          <w:sz w:val="21"/>
          <w:szCs w:val="21"/>
        </w:rPr>
      </w:pPr>
      <w:bookmarkStart w:id="316" w:name="_Toc172188945"/>
      <w:bookmarkStart w:id="317" w:name="_Toc172187884"/>
      <w:r>
        <w:rPr>
          <w:rFonts w:ascii="黑体" w:hAnsi="黑体" w:eastAsia="黑体"/>
          <w:b w:val="0"/>
          <w:sz w:val="21"/>
          <w:szCs w:val="21"/>
        </w:rPr>
        <w:t>6.4 作用及作用组合</w:t>
      </w:r>
      <w:bookmarkEnd w:id="316"/>
      <w:bookmarkEnd w:id="317"/>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6.4.1</w:t>
      </w:r>
      <w:r>
        <w:rPr>
          <w:rFonts w:ascii="Times New Roman" w:hAnsi="Times New Roman" w:eastAsia="宋体" w:cs="Times New Roman"/>
          <w:sz w:val="21"/>
          <w:szCs w:val="21"/>
          <w:lang w:val="en-US"/>
        </w:rPr>
        <w:t xml:space="preserve"> 现在装配整体式结构均按照等同现浇的方法进行设计，因此对装配整体式结构进行承载能力极限状态和正常使用极限状态验算时，荷载和地震作用的取值及其组合均按现行现浇结构相关规范执行。</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6.4.2</w:t>
      </w:r>
      <w:r>
        <w:rPr>
          <w:rFonts w:ascii="Times New Roman" w:hAnsi="Times New Roman" w:eastAsia="宋体" w:cs="Times New Roman"/>
          <w:sz w:val="21"/>
          <w:szCs w:val="21"/>
          <w:lang w:val="en-US"/>
        </w:rPr>
        <w:t xml:space="preserve"> 与现行国家标准《混凝土结构工程施工规范》GB 50666的规定相同。</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6.4.3</w:t>
      </w:r>
      <w:r>
        <w:rPr>
          <w:rFonts w:ascii="Times New Roman" w:hAnsi="Times New Roman" w:eastAsia="宋体" w:cs="Times New Roman"/>
          <w:sz w:val="21"/>
          <w:szCs w:val="21"/>
          <w:lang w:val="en-US"/>
        </w:rPr>
        <w:t xml:space="preserve"> 与现行行业标准《装配式混凝土结构技术规程》JGJ 1的规定保持一致。</w:t>
      </w:r>
    </w:p>
    <w:p>
      <w:pPr>
        <w:pStyle w:val="210"/>
        <w:spacing w:before="240" w:after="240"/>
        <w:outlineLvl w:val="2"/>
        <w:rPr>
          <w:rFonts w:ascii="黑体" w:hAnsi="黑体" w:eastAsia="黑体"/>
          <w:b w:val="0"/>
          <w:sz w:val="21"/>
          <w:szCs w:val="21"/>
        </w:rPr>
      </w:pPr>
      <w:bookmarkStart w:id="318" w:name="_Toc172188946"/>
      <w:bookmarkStart w:id="319" w:name="_Toc172187885"/>
      <w:r>
        <w:rPr>
          <w:rFonts w:ascii="黑体" w:hAnsi="黑体" w:eastAsia="黑体"/>
          <w:b w:val="0"/>
          <w:sz w:val="21"/>
          <w:szCs w:val="21"/>
        </w:rPr>
        <w:t>6.5 结构分析</w:t>
      </w:r>
      <w:bookmarkEnd w:id="318"/>
      <w:bookmarkEnd w:id="319"/>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6.5.1</w:t>
      </w:r>
      <w:r>
        <w:rPr>
          <w:rFonts w:ascii="Times New Roman" w:hAnsi="Times New Roman" w:eastAsia="宋体" w:cs="Times New Roman"/>
          <w:sz w:val="21"/>
          <w:szCs w:val="21"/>
          <w:lang w:val="en-US"/>
        </w:rPr>
        <w:t xml:space="preserve"> 当受力钢筋采用安全可靠的连接方式，且接缝处新旧混凝土之间采用可靠的构造措施时，结构的整体性能与现浇结构相同，设计中可采用与现浇结构相同的方法进行结构分析，并根据本规程的相关规定对计算结果进行适当的调整。</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6.5.3、6.5.4</w:t>
      </w:r>
      <w:r>
        <w:rPr>
          <w:rFonts w:ascii="Times New Roman" w:hAnsi="Times New Roman" w:eastAsia="宋体" w:cs="Times New Roman"/>
          <w:sz w:val="21"/>
          <w:szCs w:val="21"/>
          <w:lang w:val="en-US"/>
        </w:rPr>
        <w:t xml:space="preserve"> 弹性楼层层间最大位移与层高之比及结构薄弱层（部位）弹塑性层间位移与层高之比的限值与现行规范一致。</w:t>
      </w:r>
    </w:p>
    <w:p>
      <w:pPr>
        <w:pStyle w:val="210"/>
        <w:spacing w:before="240" w:after="240"/>
        <w:outlineLvl w:val="2"/>
        <w:rPr>
          <w:rFonts w:ascii="黑体" w:hAnsi="黑体" w:eastAsia="黑体"/>
          <w:b w:val="0"/>
          <w:sz w:val="21"/>
          <w:szCs w:val="21"/>
        </w:rPr>
      </w:pPr>
      <w:bookmarkStart w:id="320" w:name="_Toc172187886"/>
      <w:bookmarkStart w:id="321" w:name="_Toc172188947"/>
      <w:r>
        <w:rPr>
          <w:rFonts w:ascii="黑体" w:hAnsi="黑体" w:eastAsia="黑体"/>
          <w:b w:val="0"/>
          <w:sz w:val="21"/>
          <w:szCs w:val="21"/>
        </w:rPr>
        <w:t>6.6 预制构件设计</w:t>
      </w:r>
      <w:bookmarkEnd w:id="320"/>
      <w:bookmarkEnd w:id="321"/>
    </w:p>
    <w:p>
      <w:pPr>
        <w:spacing w:before="120" w:beforeLines="50" w:after="120" w:afterLines="50"/>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6.6.1</w:t>
      </w:r>
      <w:r>
        <w:rPr>
          <w:rFonts w:ascii="Times New Roman" w:hAnsi="Times New Roman" w:eastAsia="宋体" w:cs="Times New Roman"/>
          <w:sz w:val="21"/>
          <w:szCs w:val="21"/>
          <w:lang w:val="en-US"/>
        </w:rPr>
        <w:t xml:space="preserve"> 与现行行业标准《装配式混凝土结构技术规程》JGJ 1的规定保持一致。</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6.6.4</w:t>
      </w:r>
      <w:r>
        <w:rPr>
          <w:rFonts w:ascii="Times New Roman" w:hAnsi="Times New Roman" w:eastAsia="宋体" w:cs="Times New Roman"/>
          <w:sz w:val="21"/>
          <w:szCs w:val="21"/>
          <w:lang w:val="en-US"/>
        </w:rPr>
        <w:t xml:space="preserve"> 当保护层大于50mm时，宜采取增设钢筋网片等措施，控制混凝土保护层的裂缝，防止在受力过程中剥离脱落。</w:t>
      </w:r>
    </w:p>
    <w:p>
      <w:pPr>
        <w:pStyle w:val="210"/>
        <w:spacing w:before="240" w:after="240"/>
        <w:outlineLvl w:val="2"/>
        <w:rPr>
          <w:rFonts w:ascii="黑体" w:hAnsi="黑体" w:eastAsia="黑体"/>
          <w:b w:val="0"/>
          <w:sz w:val="21"/>
          <w:szCs w:val="21"/>
        </w:rPr>
      </w:pPr>
      <w:bookmarkStart w:id="322" w:name="_Toc172188948"/>
      <w:bookmarkStart w:id="323" w:name="_Toc172187887"/>
      <w:r>
        <w:rPr>
          <w:rFonts w:ascii="黑体" w:hAnsi="黑体" w:eastAsia="黑体"/>
          <w:b w:val="0"/>
          <w:sz w:val="21"/>
          <w:szCs w:val="21"/>
        </w:rPr>
        <w:t>6.7 楼盖设计</w:t>
      </w:r>
      <w:bookmarkEnd w:id="322"/>
      <w:bookmarkEnd w:id="323"/>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6.7.1</w:t>
      </w:r>
      <w:r>
        <w:rPr>
          <w:rFonts w:ascii="Times New Roman" w:hAnsi="Times New Roman" w:eastAsia="宋体" w:cs="Times New Roman"/>
          <w:sz w:val="21"/>
          <w:szCs w:val="21"/>
          <w:lang w:val="en-US"/>
        </w:rPr>
        <w:t xml:space="preserve"> 与现行行业标准《装配式混凝土结构技术规程》JGJ 1的规定保持一致。</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6.7.2</w:t>
      </w:r>
      <w:r>
        <w:rPr>
          <w:rFonts w:ascii="Times New Roman" w:hAnsi="Times New Roman" w:eastAsia="宋体" w:cs="Times New Roman"/>
          <w:sz w:val="21"/>
          <w:szCs w:val="21"/>
          <w:lang w:val="en-US"/>
        </w:rPr>
        <w:t xml:space="preserve"> 叠合板的预制板最小厚度考虑了脱模、吊装、运输、施工等因素，后浇层最小厚度考虑了楼板整体性要求以及管线预埋、面筋铺设、施工误差等因素。当采取构造措施增加其预制板刚度的情况下，如预设格构式钢筋，可以考虑适当减小预制板的厚度。当楼板内预埋管线比较集中的部位，可适当增加后浇层厚度或采用现浇钢筋混凝土板。</w:t>
      </w:r>
    </w:p>
    <w:p>
      <w:pPr>
        <w:spacing w:before="120" w:beforeLines="50" w:after="120" w:afterLines="50"/>
        <w:ind w:firstLine="420" w:firstLineChars="200"/>
        <w:jc w:val="both"/>
        <w:rPr>
          <w:rFonts w:ascii="Times New Roman" w:hAnsi="Times New Roman" w:eastAsia="宋体" w:cs="Times New Roman"/>
          <w:sz w:val="21"/>
          <w:szCs w:val="21"/>
          <w:lang w:val="en-US"/>
        </w:rPr>
      </w:pPr>
      <w:r>
        <w:rPr>
          <w:rFonts w:ascii="Times New Roman" w:hAnsi="Times New Roman" w:eastAsia="宋体" w:cs="Times New Roman"/>
          <w:sz w:val="21"/>
          <w:szCs w:val="21"/>
          <w:lang w:val="en-US"/>
        </w:rPr>
        <w:t>为防止在施工时预制板坠落以及混凝土浇筑时漏浆，预制板需要有一定的支承长度。为增加预制板的整体刚度和水平面抗剪性能，宜在预制板内设置桁架钢筋，钢筋桁架的下弦钢筋可作为叠合板的下部钢筋使用。桁架的下弦和上弦筋直径不小于8mm。格构筋直径不小于4mm，可采用冷加工钢筋，桁架钢筋应根据预制楼板的吊装、叠合面抗剪进行计算。桁架钢筋间距一般不小于600mm，施工阶段验算预制板的承载力及变形时可考虑钢筋桁架的作用，减少预制板下的临设支撑。</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6.7.6</w:t>
      </w:r>
      <w:r>
        <w:rPr>
          <w:rFonts w:ascii="Times New Roman" w:hAnsi="Times New Roman" w:eastAsia="宋体" w:cs="Times New Roman"/>
          <w:sz w:val="21"/>
          <w:szCs w:val="21"/>
          <w:lang w:val="en-US"/>
        </w:rPr>
        <w:t xml:space="preserve"> 根据楼板板块尺寸的大小及预制板的尺寸，同一板块内，可采用整块的预制板及后浇叠合层形成的叠合板，也可采用几块预制板与后浇板叠合层形成的带拼缝的叠合板。整块预制板的叠合板根据尺寸按照单向或双向叠合板设计，带拼缝的叠合板需要根据拼缝的构造确定计算及配筋设计方法。预制板的宽度主要受控于运输条件，一般宽度不超过2.4m，最大宽度不超过3.0m。结构设计时宜预先考虑深化设计可能的传力路径，深化设计时应满足结构设计的要求，否则，实际传力路径可能与原设计不符。</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6.7.7</w:t>
      </w:r>
      <w:r>
        <w:rPr>
          <w:rFonts w:ascii="Times New Roman" w:hAnsi="Times New Roman" w:eastAsia="宋体" w:cs="Times New Roman"/>
          <w:sz w:val="21"/>
          <w:szCs w:val="21"/>
          <w:lang w:val="en-US"/>
        </w:rPr>
        <w:t xml:space="preserve"> 分离式拼缝叠合板的整体受力性能介于按板缝划分的单向板和整块双向板之间，与楼板的尺寸、后浇层与预制板的厚度比例，拼缝钢筋数量等因素有关。开裂特征类似于单向板，承载力高于单向板，挠度小于单向板但大于双向板，板缝拼缝边界主要传递剪力，弯矩传递能力较差。在没有可靠依据时，可偏于安全，按照单向板进行设计，拼缝钢筋按构造要求确定，通常拼缝处板厚约为总厚度的一半，因此拼缝处分布钢筋配筋率的要求为后浇板分布钢筋配筋率的两倍，保证拼缝处不发生剪切破坏，且控制拼缝处裂缝的发展。</w:t>
      </w:r>
    </w:p>
    <w:p>
      <w:pPr>
        <w:pStyle w:val="210"/>
        <w:spacing w:before="240" w:after="240"/>
        <w:rPr>
          <w:rFonts w:ascii="黑体" w:hAnsi="黑体" w:eastAsia="黑体"/>
          <w:b w:val="0"/>
          <w:sz w:val="21"/>
          <w:szCs w:val="21"/>
        </w:rPr>
      </w:pPr>
      <w:bookmarkStart w:id="324" w:name="_Toc16305"/>
      <w:bookmarkStart w:id="325" w:name="_Toc172187888"/>
      <w:bookmarkStart w:id="326" w:name="_Toc172188949"/>
      <w:r>
        <w:rPr>
          <w:rFonts w:ascii="黑体" w:hAnsi="黑体" w:eastAsia="黑体"/>
          <w:b w:val="0"/>
          <w:sz w:val="21"/>
          <w:szCs w:val="21"/>
        </w:rPr>
        <w:t>7 装配整体式框架结构设计</w:t>
      </w:r>
      <w:bookmarkEnd w:id="324"/>
      <w:bookmarkEnd w:id="325"/>
      <w:bookmarkEnd w:id="326"/>
    </w:p>
    <w:p>
      <w:pPr>
        <w:pStyle w:val="210"/>
        <w:spacing w:before="240" w:after="240"/>
        <w:outlineLvl w:val="2"/>
        <w:rPr>
          <w:rFonts w:ascii="黑体" w:hAnsi="黑体" w:eastAsia="黑体"/>
          <w:b w:val="0"/>
          <w:sz w:val="21"/>
          <w:szCs w:val="21"/>
        </w:rPr>
      </w:pPr>
      <w:bookmarkStart w:id="327" w:name="_Toc172187889"/>
      <w:bookmarkStart w:id="328" w:name="_Toc172188950"/>
      <w:r>
        <w:rPr>
          <w:rFonts w:ascii="黑体" w:hAnsi="黑体" w:eastAsia="黑体"/>
          <w:b w:val="0"/>
          <w:sz w:val="21"/>
          <w:szCs w:val="21"/>
        </w:rPr>
        <w:t>7.1 一般规定</w:t>
      </w:r>
      <w:bookmarkEnd w:id="327"/>
      <w:bookmarkEnd w:id="328"/>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7.1.1</w:t>
      </w:r>
      <w:r>
        <w:rPr>
          <w:rFonts w:ascii="Times New Roman" w:hAnsi="Times New Roman" w:eastAsia="宋体" w:cs="Times New Roman"/>
          <w:sz w:val="21"/>
          <w:szCs w:val="21"/>
          <w:lang w:val="en-US"/>
        </w:rPr>
        <w:t xml:space="preserve"> 根据国内外研究成果，在地震区的装配式整体式框架结构，当采取了可靠的节点连接方式和合理的构造措施后，其性能基本等同于现浇混凝土框架结构，可采用和现浇结构相同的方法进行结构分析和设计。</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7.1.2</w:t>
      </w:r>
      <w:r>
        <w:rPr>
          <w:rFonts w:ascii="Times New Roman" w:hAnsi="Times New Roman" w:eastAsia="宋体" w:cs="Times New Roman"/>
          <w:sz w:val="21"/>
          <w:szCs w:val="21"/>
          <w:lang w:val="en-US"/>
        </w:rPr>
        <w:t xml:space="preserve"> 预制柱钢筋</w:t>
      </w:r>
      <w:r>
        <w:rPr>
          <w:rFonts w:hint="eastAsia" w:ascii="Times New Roman" w:hAnsi="Times New Roman" w:eastAsia="宋体" w:cs="Times New Roman"/>
          <w:sz w:val="21"/>
          <w:szCs w:val="21"/>
          <w:lang w:val="en-US"/>
        </w:rPr>
        <w:t>的可靠</w:t>
      </w:r>
      <w:r>
        <w:rPr>
          <w:rFonts w:ascii="Times New Roman" w:hAnsi="Times New Roman" w:eastAsia="宋体" w:cs="Times New Roman"/>
          <w:sz w:val="21"/>
          <w:szCs w:val="21"/>
          <w:lang w:val="en-US"/>
        </w:rPr>
        <w:t>连接是保证结构整体性的重要措施，此处列举</w:t>
      </w:r>
      <w:r>
        <w:rPr>
          <w:rFonts w:hint="eastAsia" w:ascii="Times New Roman" w:hAnsi="Times New Roman" w:eastAsia="宋体" w:cs="Times New Roman"/>
          <w:sz w:val="21"/>
          <w:szCs w:val="21"/>
          <w:lang w:val="en-US"/>
        </w:rPr>
        <w:t>出</w:t>
      </w:r>
      <w:r>
        <w:rPr>
          <w:rFonts w:ascii="Times New Roman" w:hAnsi="Times New Roman" w:eastAsia="宋体" w:cs="Times New Roman"/>
          <w:sz w:val="21"/>
          <w:szCs w:val="21"/>
          <w:lang w:val="en-US"/>
        </w:rPr>
        <w:t>常用的钢筋连接方式。套筒灌浆</w:t>
      </w:r>
      <w:r>
        <w:rPr>
          <w:rFonts w:hint="eastAsia" w:ascii="Times New Roman" w:hAnsi="Times New Roman" w:eastAsia="宋体" w:cs="Times New Roman"/>
          <w:sz w:val="21"/>
          <w:szCs w:val="21"/>
          <w:lang w:val="en-US"/>
        </w:rPr>
        <w:t>连接</w:t>
      </w:r>
      <w:r>
        <w:rPr>
          <w:rFonts w:ascii="Times New Roman" w:hAnsi="Times New Roman" w:eastAsia="宋体" w:cs="Times New Roman"/>
          <w:sz w:val="21"/>
          <w:szCs w:val="21"/>
          <w:lang w:val="en-US"/>
        </w:rPr>
        <w:t>是</w:t>
      </w:r>
      <w:r>
        <w:rPr>
          <w:rFonts w:hint="eastAsia" w:ascii="Times New Roman" w:hAnsi="Times New Roman" w:eastAsia="宋体" w:cs="Times New Roman"/>
          <w:sz w:val="21"/>
          <w:szCs w:val="21"/>
          <w:lang w:val="en-US"/>
        </w:rPr>
        <w:t>从国外</w:t>
      </w:r>
      <w:r>
        <w:rPr>
          <w:rFonts w:ascii="Times New Roman" w:hAnsi="Times New Roman" w:eastAsia="宋体" w:cs="Times New Roman"/>
          <w:sz w:val="21"/>
          <w:szCs w:val="21"/>
          <w:lang w:val="en-US"/>
        </w:rPr>
        <w:t>引进的一种连接方式，其产品种类较多，连接的成本较高；焊接是传统的</w:t>
      </w:r>
      <w:r>
        <w:rPr>
          <w:rFonts w:hint="eastAsia" w:ascii="Times New Roman" w:hAnsi="Times New Roman" w:eastAsia="宋体" w:cs="Times New Roman"/>
          <w:sz w:val="21"/>
          <w:szCs w:val="21"/>
          <w:lang w:val="en-US"/>
        </w:rPr>
        <w:t>钢筋</w:t>
      </w:r>
      <w:r>
        <w:rPr>
          <w:rFonts w:ascii="Times New Roman" w:hAnsi="Times New Roman" w:eastAsia="宋体" w:cs="Times New Roman"/>
          <w:sz w:val="21"/>
          <w:szCs w:val="21"/>
          <w:lang w:val="en-US"/>
        </w:rPr>
        <w:t>连接方式，但在装配整体式</w:t>
      </w:r>
      <w:r>
        <w:rPr>
          <w:rFonts w:hint="eastAsia" w:ascii="Times New Roman" w:hAnsi="Times New Roman" w:eastAsia="宋体" w:cs="Times New Roman"/>
          <w:sz w:val="21"/>
          <w:szCs w:val="21"/>
          <w:lang w:val="en-US"/>
        </w:rPr>
        <w:t>混凝土结构</w:t>
      </w:r>
      <w:r>
        <w:rPr>
          <w:rFonts w:ascii="Times New Roman" w:hAnsi="Times New Roman" w:eastAsia="宋体" w:cs="Times New Roman"/>
          <w:sz w:val="21"/>
          <w:szCs w:val="21"/>
          <w:lang w:val="en-US"/>
        </w:rPr>
        <w:t>中受制于施工条件，较少采用；浆锚连接也是一种传统的连接方式，其相对成本较低，试验研究和汶川地震震后调查均表明浆锚连接具有相当的可靠性。</w:t>
      </w:r>
      <w:r>
        <w:rPr>
          <w:rFonts w:hint="eastAsia" w:ascii="Times New Roman" w:hAnsi="Times New Roman" w:eastAsia="宋体" w:cs="Times New Roman"/>
          <w:sz w:val="21"/>
          <w:szCs w:val="21"/>
          <w:lang w:val="en-US"/>
        </w:rPr>
        <w:t>建筑</w:t>
      </w:r>
      <w:r>
        <w:rPr>
          <w:rFonts w:ascii="Times New Roman" w:hAnsi="Times New Roman" w:eastAsia="宋体" w:cs="Times New Roman"/>
          <w:sz w:val="21"/>
          <w:szCs w:val="21"/>
          <w:lang w:val="en-US"/>
        </w:rPr>
        <w:t>高度不高或层数较少时，可采用构造更简单、造价更低的</w:t>
      </w:r>
      <w:r>
        <w:rPr>
          <w:rFonts w:hint="eastAsia" w:ascii="Times New Roman" w:hAnsi="Times New Roman" w:eastAsia="宋体" w:cs="Times New Roman"/>
          <w:sz w:val="21"/>
          <w:szCs w:val="21"/>
          <w:lang w:val="en-US"/>
        </w:rPr>
        <w:t>钢筋</w:t>
      </w:r>
      <w:r>
        <w:rPr>
          <w:rFonts w:ascii="Times New Roman" w:hAnsi="Times New Roman" w:eastAsia="宋体" w:cs="Times New Roman"/>
          <w:sz w:val="21"/>
          <w:szCs w:val="21"/>
          <w:lang w:val="en-US"/>
        </w:rPr>
        <w:t>连接方式。</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7.1.3</w:t>
      </w:r>
      <w:r>
        <w:rPr>
          <w:rFonts w:ascii="Times New Roman" w:hAnsi="Times New Roman" w:eastAsia="宋体" w:cs="Times New Roman"/>
          <w:sz w:val="21"/>
          <w:szCs w:val="21"/>
          <w:lang w:val="en-US"/>
        </w:rPr>
        <w:t xml:space="preserve"> 柱受拉时，水平接缝的抗剪承载能力会有明显削弱。一般需要通过调整结构布置来避免预制柱的拉力。</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7.1.9</w:t>
      </w:r>
      <w:r>
        <w:rPr>
          <w:rFonts w:ascii="Times New Roman" w:hAnsi="Times New Roman" w:eastAsia="宋体" w:cs="Times New Roman"/>
          <w:sz w:val="21"/>
          <w:szCs w:val="21"/>
          <w:lang w:val="en-US"/>
        </w:rPr>
        <w:t xml:space="preserve"> 结合面的构造对结合面的受剪承载力影响很大。结合面的受剪承载力的组成主要包括：新旧混凝土结合面的粘结力、键槽的抗剪能力、后浇混凝土叠合层的抗剪能力、梁纵向钢筋的销栓抗剪作用。</w:t>
      </w:r>
    </w:p>
    <w:p>
      <w:pPr>
        <w:pStyle w:val="210"/>
        <w:spacing w:before="240" w:after="240"/>
        <w:outlineLvl w:val="2"/>
        <w:rPr>
          <w:rFonts w:ascii="黑体" w:hAnsi="黑体" w:eastAsia="黑体"/>
          <w:b w:val="0"/>
          <w:sz w:val="21"/>
          <w:szCs w:val="21"/>
        </w:rPr>
      </w:pPr>
      <w:bookmarkStart w:id="329" w:name="_Toc172187890"/>
      <w:bookmarkStart w:id="330" w:name="_Toc172188951"/>
      <w:r>
        <w:rPr>
          <w:rFonts w:ascii="黑体" w:hAnsi="黑体" w:eastAsia="黑体"/>
          <w:b w:val="0"/>
          <w:sz w:val="21"/>
          <w:szCs w:val="21"/>
        </w:rPr>
        <w:t>7.2 连接设计</w:t>
      </w:r>
      <w:bookmarkEnd w:id="329"/>
      <w:bookmarkEnd w:id="330"/>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7.2.2</w:t>
      </w:r>
      <w:r>
        <w:rPr>
          <w:rFonts w:ascii="Times New Roman" w:hAnsi="Times New Roman" w:eastAsia="宋体" w:cs="Times New Roman"/>
          <w:sz w:val="21"/>
          <w:szCs w:val="21"/>
          <w:lang w:val="en-US"/>
        </w:rPr>
        <w:t xml:space="preserve"> 装配整体式结构中的接缝是预制构件之间的接缝及预制构件与现浇及后浇混凝土之间的结合面，包括梁端接缝、柱顶底接缝、剪力墙的竖向接缝和水平接缝等。装配整体式结构中，接缝是影响结构受力性能的关键部位。</w:t>
      </w:r>
    </w:p>
    <w:p>
      <w:pPr>
        <w:spacing w:before="120" w:beforeLines="50" w:after="120" w:afterLines="50"/>
        <w:ind w:firstLine="420" w:firstLineChars="200"/>
        <w:jc w:val="both"/>
        <w:rPr>
          <w:rFonts w:ascii="Times New Roman" w:hAnsi="Times New Roman" w:eastAsia="宋体" w:cs="Times New Roman"/>
          <w:sz w:val="21"/>
          <w:szCs w:val="21"/>
          <w:lang w:val="en-US"/>
        </w:rPr>
      </w:pPr>
      <w:r>
        <w:rPr>
          <w:rFonts w:ascii="Times New Roman" w:hAnsi="Times New Roman" w:eastAsia="宋体" w:cs="Times New Roman"/>
          <w:sz w:val="21"/>
          <w:szCs w:val="21"/>
          <w:lang w:val="en-US"/>
        </w:rPr>
        <w:t>接缝处的压力通过后浇混凝土、灌浆料或坐浆材料直接传递；拉力通过连接的钢筋、预埋件传递；剪力由结合面处连接材料的粘结强度、键槽或者粗糙面、钢筋的摩擦抗剪作用、销栓抗剪作用承担；压力提供的静力摩擦也可承担一部分剪力。预制构件连接接缝一般采用强度等级高于构件的后浇混凝土、灌浆料或坐浆材料。</w:t>
      </w:r>
    </w:p>
    <w:p>
      <w:pPr>
        <w:spacing w:before="120" w:beforeLines="50" w:after="120" w:afterLines="50"/>
        <w:ind w:firstLine="420" w:firstLineChars="200"/>
        <w:jc w:val="both"/>
        <w:rPr>
          <w:rFonts w:ascii="Times New Roman" w:hAnsi="Times New Roman" w:eastAsia="宋体" w:cs="Times New Roman"/>
          <w:sz w:val="21"/>
          <w:szCs w:val="21"/>
          <w:lang w:val="en-US"/>
        </w:rPr>
      </w:pPr>
      <w:r>
        <w:rPr>
          <w:rFonts w:ascii="Times New Roman" w:hAnsi="Times New Roman" w:eastAsia="宋体" w:cs="Times New Roman"/>
          <w:sz w:val="21"/>
          <w:szCs w:val="21"/>
          <w:lang w:val="en-US"/>
        </w:rPr>
        <w:t>后浇混凝土、灌浆料或坐浆材料与预制构件结合面的粘结抗剪强度往往低于预制构件本身混凝土的抗剪强度。因此，预制构件的接缝一般都需要进行受剪承载力的计算。本条对各种接缝的受剪承载力提出了总的要求。</w:t>
      </w:r>
    </w:p>
    <w:p>
      <w:pPr>
        <w:pStyle w:val="210"/>
        <w:spacing w:before="240" w:after="240"/>
        <w:outlineLvl w:val="2"/>
        <w:rPr>
          <w:rFonts w:ascii="黑体" w:hAnsi="黑体" w:eastAsia="黑体"/>
          <w:b w:val="0"/>
          <w:sz w:val="21"/>
          <w:szCs w:val="21"/>
        </w:rPr>
      </w:pPr>
      <w:bookmarkStart w:id="331" w:name="_Toc172187891"/>
      <w:bookmarkStart w:id="332" w:name="_Toc172188952"/>
      <w:r>
        <w:rPr>
          <w:rFonts w:ascii="黑体" w:hAnsi="黑体" w:eastAsia="黑体"/>
          <w:b w:val="0"/>
          <w:sz w:val="21"/>
          <w:szCs w:val="21"/>
        </w:rPr>
        <w:t>7.3 构造设计</w:t>
      </w:r>
      <w:bookmarkEnd w:id="331"/>
      <w:bookmarkEnd w:id="332"/>
    </w:p>
    <w:p>
      <w:pPr>
        <w:pStyle w:val="51"/>
        <w:shd w:val="clear" w:color="auto" w:fill="auto"/>
        <w:tabs>
          <w:tab w:val="left" w:pos="694"/>
        </w:tabs>
        <w:spacing w:before="120" w:beforeLines="50" w:after="120" w:afterLines="50" w:line="240" w:lineRule="auto"/>
        <w:ind w:firstLine="0"/>
        <w:jc w:val="both"/>
        <w:rPr>
          <w:rFonts w:ascii="Times New Roman" w:hAnsi="Times New Roman" w:eastAsia="宋体" w:cs="Times New Roman"/>
          <w:sz w:val="21"/>
          <w:szCs w:val="21"/>
        </w:rPr>
      </w:pPr>
      <w:r>
        <w:rPr>
          <w:rStyle w:val="118"/>
          <w:rFonts w:ascii="黑体" w:hAnsi="黑体" w:eastAsia="黑体" w:cs="Times New Roman"/>
          <w:spacing w:val="0"/>
          <w:sz w:val="21"/>
          <w:szCs w:val="21"/>
        </w:rPr>
        <w:t>7.3.1</w:t>
      </w:r>
      <w:r>
        <w:rPr>
          <w:rFonts w:ascii="Times New Roman" w:hAnsi="Times New Roman" w:eastAsia="宋体" w:cs="Times New Roman"/>
          <w:b/>
          <w:color w:val="000000" w:themeColor="text1"/>
          <w:sz w:val="21"/>
          <w:szCs w:val="21"/>
          <w14:textFill>
            <w14:solidFill>
              <w14:schemeClr w14:val="tx1"/>
            </w14:solidFill>
          </w14:textFill>
        </w:rPr>
        <w:t xml:space="preserve"> </w:t>
      </w:r>
      <w:r>
        <w:rPr>
          <w:rFonts w:ascii="Times New Roman" w:hAnsi="Times New Roman" w:eastAsia="宋体" w:cs="Times New Roman"/>
          <w:sz w:val="21"/>
          <w:szCs w:val="21"/>
        </w:rPr>
        <w:t>与现行行业标准《装配式混凝土结构技术规程》JGJ 1的规定保持一致。</w:t>
      </w:r>
    </w:p>
    <w:p>
      <w:pPr>
        <w:pStyle w:val="51"/>
        <w:shd w:val="clear" w:color="auto" w:fill="auto"/>
        <w:tabs>
          <w:tab w:val="left" w:pos="694"/>
        </w:tabs>
        <w:spacing w:before="120" w:beforeLines="50" w:after="120" w:afterLines="50" w:line="240" w:lineRule="auto"/>
        <w:ind w:firstLine="0"/>
        <w:jc w:val="both"/>
        <w:rPr>
          <w:rFonts w:ascii="Times New Roman" w:hAnsi="Times New Roman" w:eastAsia="宋体" w:cs="Times New Roman"/>
          <w:spacing w:val="0"/>
          <w:sz w:val="21"/>
          <w:szCs w:val="21"/>
        </w:rPr>
      </w:pPr>
      <w:r>
        <w:rPr>
          <w:rStyle w:val="118"/>
          <w:rFonts w:ascii="黑体" w:hAnsi="黑体" w:eastAsia="黑体" w:cs="Times New Roman"/>
          <w:spacing w:val="0"/>
          <w:sz w:val="21"/>
          <w:szCs w:val="21"/>
        </w:rPr>
        <w:t>7.3.10</w:t>
      </w:r>
      <w:r>
        <w:rPr>
          <w:rFonts w:ascii="Times New Roman" w:hAnsi="Times New Roman" w:eastAsia="宋体" w:cs="Times New Roman"/>
          <w:spacing w:val="0"/>
          <w:sz w:val="21"/>
          <w:szCs w:val="21"/>
        </w:rPr>
        <w:t xml:space="preserve"> </w:t>
      </w:r>
      <w:r>
        <w:rPr>
          <w:rFonts w:hint="eastAsia" w:ascii="Times New Roman" w:hAnsi="Times New Roman" w:eastAsia="宋体" w:cs="Times New Roman"/>
          <w:spacing w:val="0"/>
          <w:sz w:val="21"/>
          <w:szCs w:val="21"/>
        </w:rPr>
        <w:t>本条提出一种</w:t>
      </w:r>
      <w:r>
        <w:rPr>
          <w:rFonts w:ascii="Times New Roman" w:hAnsi="Times New Roman" w:eastAsia="宋体" w:cs="Times New Roman"/>
          <w:spacing w:val="0"/>
          <w:sz w:val="21"/>
          <w:szCs w:val="21"/>
        </w:rPr>
        <w:t>采用预制柱</w:t>
      </w:r>
      <w:r>
        <w:rPr>
          <w:rFonts w:hint="eastAsia" w:ascii="Times New Roman" w:hAnsi="Times New Roman" w:eastAsia="宋体" w:cs="Times New Roman"/>
          <w:spacing w:val="0"/>
          <w:sz w:val="21"/>
          <w:szCs w:val="21"/>
        </w:rPr>
        <w:t>与</w:t>
      </w:r>
      <w:r>
        <w:rPr>
          <w:rFonts w:ascii="Times New Roman" w:hAnsi="Times New Roman" w:eastAsia="宋体" w:cs="Times New Roman"/>
          <w:spacing w:val="0"/>
          <w:sz w:val="21"/>
          <w:szCs w:val="21"/>
        </w:rPr>
        <w:t>U形叠合梁</w:t>
      </w:r>
      <w:r>
        <w:rPr>
          <w:rFonts w:hint="eastAsia" w:ascii="Times New Roman" w:hAnsi="Times New Roman" w:eastAsia="宋体" w:cs="Times New Roman"/>
          <w:spacing w:val="0"/>
          <w:sz w:val="21"/>
          <w:szCs w:val="21"/>
        </w:rPr>
        <w:t>连接</w:t>
      </w:r>
      <w:r>
        <w:rPr>
          <w:rFonts w:ascii="Times New Roman" w:hAnsi="Times New Roman" w:eastAsia="宋体" w:cs="Times New Roman"/>
          <w:spacing w:val="0"/>
          <w:sz w:val="21"/>
          <w:szCs w:val="21"/>
        </w:rPr>
        <w:t>的装配整体式</w:t>
      </w:r>
      <w:r>
        <w:rPr>
          <w:rFonts w:hint="eastAsia" w:ascii="Times New Roman" w:hAnsi="Times New Roman" w:eastAsia="宋体" w:cs="Times New Roman"/>
          <w:spacing w:val="0"/>
          <w:sz w:val="21"/>
          <w:szCs w:val="21"/>
        </w:rPr>
        <w:t>混凝土</w:t>
      </w:r>
      <w:r>
        <w:rPr>
          <w:rFonts w:ascii="Times New Roman" w:hAnsi="Times New Roman" w:eastAsia="宋体" w:cs="Times New Roman"/>
          <w:spacing w:val="0"/>
          <w:sz w:val="21"/>
          <w:szCs w:val="21"/>
        </w:rPr>
        <w:t>框架节点</w:t>
      </w:r>
      <w:r>
        <w:rPr>
          <w:rFonts w:hint="eastAsia" w:ascii="Times New Roman" w:hAnsi="Times New Roman" w:eastAsia="宋体" w:cs="Times New Roman"/>
          <w:spacing w:val="0"/>
          <w:sz w:val="21"/>
          <w:szCs w:val="21"/>
        </w:rPr>
        <w:t>形式。预制</w:t>
      </w:r>
      <w:r>
        <w:rPr>
          <w:rFonts w:ascii="Times New Roman" w:hAnsi="Times New Roman" w:eastAsia="宋体" w:cs="Times New Roman"/>
          <w:spacing w:val="0"/>
          <w:sz w:val="21"/>
          <w:szCs w:val="21"/>
        </w:rPr>
        <w:t>U形梁</w:t>
      </w:r>
      <w:r>
        <w:rPr>
          <w:rFonts w:hint="eastAsia" w:ascii="Times New Roman" w:hAnsi="Times New Roman" w:eastAsia="宋体" w:cs="Times New Roman"/>
          <w:spacing w:val="0"/>
          <w:sz w:val="21"/>
          <w:szCs w:val="21"/>
        </w:rPr>
        <w:t>梁下部</w:t>
      </w:r>
      <w:r>
        <w:rPr>
          <w:rFonts w:ascii="Times New Roman" w:hAnsi="Times New Roman" w:eastAsia="宋体" w:cs="Times New Roman"/>
          <w:spacing w:val="0"/>
          <w:sz w:val="21"/>
          <w:szCs w:val="21"/>
        </w:rPr>
        <w:t>纵向钢筋在节点处通过</w:t>
      </w:r>
      <w:r>
        <w:rPr>
          <w:rFonts w:hint="eastAsia" w:ascii="Times New Roman" w:hAnsi="Times New Roman" w:eastAsia="宋体" w:cs="Times New Roman"/>
          <w:spacing w:val="0"/>
          <w:sz w:val="21"/>
          <w:szCs w:val="21"/>
        </w:rPr>
        <w:t>设置在</w:t>
      </w:r>
      <w:r>
        <w:rPr>
          <w:rFonts w:ascii="Times New Roman" w:hAnsi="Times New Roman" w:eastAsia="宋体" w:cs="Times New Roman"/>
          <w:spacing w:val="0"/>
          <w:sz w:val="21"/>
          <w:szCs w:val="21"/>
        </w:rPr>
        <w:t>U形</w:t>
      </w:r>
      <w:r>
        <w:rPr>
          <w:rFonts w:hint="eastAsia" w:ascii="Times New Roman" w:hAnsi="Times New Roman" w:eastAsia="宋体" w:cs="Times New Roman"/>
          <w:spacing w:val="0"/>
          <w:sz w:val="21"/>
          <w:szCs w:val="21"/>
        </w:rPr>
        <w:t>槽底的附加</w:t>
      </w:r>
      <w:r>
        <w:rPr>
          <w:rFonts w:ascii="Times New Roman" w:hAnsi="Times New Roman" w:eastAsia="宋体" w:cs="Times New Roman"/>
          <w:spacing w:val="0"/>
          <w:sz w:val="21"/>
          <w:szCs w:val="21"/>
        </w:rPr>
        <w:t>水平连接钢筋</w:t>
      </w:r>
      <w:r>
        <w:rPr>
          <w:rFonts w:hint="eastAsia" w:ascii="Times New Roman" w:hAnsi="Times New Roman" w:eastAsia="宋体" w:cs="Times New Roman"/>
          <w:spacing w:val="0"/>
          <w:sz w:val="21"/>
          <w:szCs w:val="21"/>
        </w:rPr>
        <w:t>间接搭接</w:t>
      </w:r>
      <w:r>
        <w:rPr>
          <w:rFonts w:ascii="Times New Roman" w:hAnsi="Times New Roman" w:eastAsia="宋体" w:cs="Times New Roman"/>
          <w:spacing w:val="0"/>
          <w:sz w:val="21"/>
          <w:szCs w:val="21"/>
        </w:rPr>
        <w:t>连接。</w:t>
      </w:r>
      <w:r>
        <w:rPr>
          <w:rFonts w:hint="eastAsia" w:ascii="Times New Roman" w:hAnsi="Times New Roman" w:eastAsia="宋体" w:cs="Times New Roman"/>
          <w:spacing w:val="0"/>
          <w:sz w:val="21"/>
          <w:szCs w:val="21"/>
        </w:rPr>
        <w:t>试验研究结果表明，采用该连接形式的框架节点的抗震性能等同于全现浇混凝土框架节点。</w:t>
      </w:r>
    </w:p>
    <w:p>
      <w:pPr>
        <w:pStyle w:val="51"/>
        <w:shd w:val="clear" w:color="auto" w:fill="auto"/>
        <w:tabs>
          <w:tab w:val="left" w:pos="694"/>
        </w:tabs>
        <w:spacing w:before="120" w:beforeLines="50" w:after="120" w:afterLines="50" w:line="240" w:lineRule="auto"/>
        <w:ind w:firstLine="0"/>
        <w:jc w:val="both"/>
        <w:rPr>
          <w:rFonts w:ascii="Times New Roman" w:hAnsi="Times New Roman" w:eastAsia="宋体" w:cs="Times New Roman"/>
          <w:spacing w:val="0"/>
          <w:sz w:val="21"/>
          <w:szCs w:val="21"/>
        </w:rPr>
      </w:pPr>
      <w:r>
        <w:rPr>
          <w:rStyle w:val="118"/>
          <w:rFonts w:ascii="黑体" w:hAnsi="黑体" w:eastAsia="黑体" w:cs="Times New Roman"/>
          <w:spacing w:val="0"/>
          <w:sz w:val="21"/>
          <w:szCs w:val="21"/>
        </w:rPr>
        <w:t>7.3.11</w:t>
      </w:r>
      <w:r>
        <w:rPr>
          <w:rFonts w:ascii="Times New Roman" w:hAnsi="Times New Roman" w:eastAsia="宋体" w:cs="Times New Roman"/>
          <w:spacing w:val="0"/>
          <w:sz w:val="21"/>
          <w:szCs w:val="21"/>
        </w:rPr>
        <w:t xml:space="preserve"> </w:t>
      </w:r>
      <w:r>
        <w:rPr>
          <w:rFonts w:hint="eastAsia" w:ascii="Times New Roman" w:hAnsi="Times New Roman" w:eastAsia="宋体" w:cs="Times New Roman"/>
          <w:spacing w:val="0"/>
          <w:sz w:val="21"/>
          <w:szCs w:val="21"/>
        </w:rPr>
        <w:t>本条提出一种</w:t>
      </w:r>
      <w:r>
        <w:rPr>
          <w:rFonts w:ascii="Times New Roman" w:hAnsi="Times New Roman" w:eastAsia="宋体" w:cs="Times New Roman"/>
          <w:spacing w:val="0"/>
          <w:sz w:val="21"/>
          <w:szCs w:val="21"/>
        </w:rPr>
        <w:t>采用预制柱、</w:t>
      </w:r>
      <w:r>
        <w:rPr>
          <w:rFonts w:hint="eastAsia" w:ascii="Times New Roman" w:hAnsi="Times New Roman" w:eastAsia="宋体" w:cs="Times New Roman"/>
          <w:spacing w:val="0"/>
          <w:sz w:val="21"/>
          <w:szCs w:val="21"/>
        </w:rPr>
        <w:t>带外伸梁段的</w:t>
      </w:r>
      <w:r>
        <w:rPr>
          <w:rFonts w:ascii="Times New Roman" w:hAnsi="Times New Roman" w:eastAsia="宋体" w:cs="Times New Roman"/>
          <w:spacing w:val="0"/>
          <w:sz w:val="21"/>
          <w:szCs w:val="21"/>
        </w:rPr>
        <w:t>预制节点</w:t>
      </w:r>
      <w:r>
        <w:rPr>
          <w:rFonts w:hint="eastAsia" w:ascii="Times New Roman" w:hAnsi="Times New Roman" w:eastAsia="宋体" w:cs="Times New Roman"/>
          <w:spacing w:val="0"/>
          <w:sz w:val="21"/>
          <w:szCs w:val="21"/>
        </w:rPr>
        <w:t>与</w:t>
      </w:r>
      <w:r>
        <w:rPr>
          <w:rFonts w:ascii="Times New Roman" w:hAnsi="Times New Roman" w:eastAsia="宋体" w:cs="Times New Roman"/>
          <w:spacing w:val="0"/>
          <w:sz w:val="21"/>
          <w:szCs w:val="21"/>
        </w:rPr>
        <w:t>U形叠合梁</w:t>
      </w:r>
      <w:r>
        <w:rPr>
          <w:rFonts w:hint="eastAsia" w:ascii="Times New Roman" w:hAnsi="Times New Roman" w:eastAsia="宋体" w:cs="Times New Roman"/>
          <w:spacing w:val="0"/>
          <w:sz w:val="21"/>
          <w:szCs w:val="21"/>
        </w:rPr>
        <w:t>连接</w:t>
      </w:r>
      <w:r>
        <w:rPr>
          <w:rFonts w:ascii="Times New Roman" w:hAnsi="Times New Roman" w:eastAsia="宋体" w:cs="Times New Roman"/>
          <w:spacing w:val="0"/>
          <w:sz w:val="21"/>
          <w:szCs w:val="21"/>
        </w:rPr>
        <w:t>的装配整体式</w:t>
      </w:r>
      <w:r>
        <w:rPr>
          <w:rFonts w:hint="eastAsia" w:ascii="Times New Roman" w:hAnsi="Times New Roman" w:eastAsia="宋体" w:cs="Times New Roman"/>
          <w:spacing w:val="0"/>
          <w:sz w:val="21"/>
          <w:szCs w:val="21"/>
        </w:rPr>
        <w:t>混凝土</w:t>
      </w:r>
      <w:r>
        <w:rPr>
          <w:rFonts w:ascii="Times New Roman" w:hAnsi="Times New Roman" w:eastAsia="宋体" w:cs="Times New Roman"/>
          <w:spacing w:val="0"/>
          <w:sz w:val="21"/>
          <w:szCs w:val="21"/>
        </w:rPr>
        <w:t>框架节点</w:t>
      </w:r>
      <w:r>
        <w:rPr>
          <w:rFonts w:hint="eastAsia" w:ascii="Times New Roman" w:hAnsi="Times New Roman" w:eastAsia="宋体" w:cs="Times New Roman"/>
          <w:spacing w:val="0"/>
          <w:sz w:val="21"/>
          <w:szCs w:val="21"/>
        </w:rPr>
        <w:t>形式。预制</w:t>
      </w:r>
      <w:r>
        <w:rPr>
          <w:rFonts w:ascii="Times New Roman" w:hAnsi="Times New Roman" w:eastAsia="宋体" w:cs="Times New Roman"/>
          <w:spacing w:val="0"/>
          <w:sz w:val="21"/>
          <w:szCs w:val="21"/>
        </w:rPr>
        <w:t>U形</w:t>
      </w:r>
      <w:r>
        <w:rPr>
          <w:rFonts w:hint="eastAsia" w:ascii="Times New Roman" w:hAnsi="Times New Roman" w:eastAsia="宋体" w:cs="Times New Roman"/>
          <w:spacing w:val="0"/>
          <w:sz w:val="21"/>
          <w:szCs w:val="21"/>
        </w:rPr>
        <w:t>梁</w:t>
      </w:r>
      <w:r>
        <w:rPr>
          <w:rFonts w:ascii="Times New Roman" w:hAnsi="Times New Roman" w:eastAsia="宋体" w:cs="Times New Roman"/>
          <w:spacing w:val="0"/>
          <w:sz w:val="21"/>
          <w:szCs w:val="21"/>
        </w:rPr>
        <w:t>梁</w:t>
      </w:r>
      <w:r>
        <w:rPr>
          <w:rFonts w:hint="eastAsia" w:ascii="Times New Roman" w:hAnsi="Times New Roman" w:eastAsia="宋体" w:cs="Times New Roman"/>
          <w:spacing w:val="0"/>
          <w:sz w:val="21"/>
          <w:szCs w:val="21"/>
        </w:rPr>
        <w:t>下部</w:t>
      </w:r>
      <w:r>
        <w:rPr>
          <w:rFonts w:ascii="Times New Roman" w:hAnsi="Times New Roman" w:eastAsia="宋体" w:cs="Times New Roman"/>
          <w:spacing w:val="0"/>
          <w:sz w:val="21"/>
          <w:szCs w:val="21"/>
        </w:rPr>
        <w:t>纵向钢筋在</w:t>
      </w:r>
      <w:r>
        <w:rPr>
          <w:rFonts w:hint="eastAsia" w:ascii="Times New Roman" w:hAnsi="Times New Roman" w:eastAsia="宋体" w:cs="Times New Roman"/>
          <w:spacing w:val="0"/>
          <w:sz w:val="21"/>
          <w:szCs w:val="21"/>
        </w:rPr>
        <w:t>预制外伸梁段外</w:t>
      </w:r>
      <w:r>
        <w:rPr>
          <w:rFonts w:ascii="Times New Roman" w:hAnsi="Times New Roman" w:eastAsia="宋体" w:cs="Times New Roman"/>
          <w:spacing w:val="0"/>
          <w:sz w:val="21"/>
          <w:szCs w:val="21"/>
        </w:rPr>
        <w:t>可通过</w:t>
      </w:r>
      <w:r>
        <w:rPr>
          <w:rFonts w:hint="eastAsia" w:ascii="Times New Roman" w:hAnsi="Times New Roman" w:eastAsia="宋体" w:cs="Times New Roman"/>
          <w:spacing w:val="0"/>
          <w:sz w:val="21"/>
          <w:szCs w:val="21"/>
        </w:rPr>
        <w:t>从外伸梁段中伸出的</w:t>
      </w:r>
      <w:r>
        <w:rPr>
          <w:rFonts w:ascii="Times New Roman" w:hAnsi="Times New Roman" w:eastAsia="宋体" w:cs="Times New Roman"/>
          <w:spacing w:val="0"/>
          <w:sz w:val="21"/>
          <w:szCs w:val="21"/>
        </w:rPr>
        <w:t>水平连接钢筋</w:t>
      </w:r>
      <w:r>
        <w:rPr>
          <w:rFonts w:hint="eastAsia" w:ascii="Times New Roman" w:hAnsi="Times New Roman" w:eastAsia="宋体" w:cs="Times New Roman"/>
          <w:spacing w:val="0"/>
          <w:sz w:val="21"/>
          <w:szCs w:val="21"/>
        </w:rPr>
        <w:t>间接搭接</w:t>
      </w:r>
      <w:r>
        <w:rPr>
          <w:rFonts w:ascii="Times New Roman" w:hAnsi="Times New Roman" w:eastAsia="宋体" w:cs="Times New Roman"/>
          <w:spacing w:val="0"/>
          <w:sz w:val="21"/>
          <w:szCs w:val="21"/>
        </w:rPr>
        <w:t>连接。</w:t>
      </w:r>
      <w:r>
        <w:rPr>
          <w:rFonts w:hint="eastAsia" w:ascii="Times New Roman" w:hAnsi="Times New Roman" w:eastAsia="宋体" w:cs="Times New Roman"/>
          <w:spacing w:val="0"/>
          <w:sz w:val="21"/>
          <w:szCs w:val="21"/>
        </w:rPr>
        <w:t>试验研究结果表明，钢筋非接触式间接搭接连接方式在满足最小搭接长度要求的条件下，其连接性能是安全可靠的。该装配式节点形式避免了节点核心区后浇施工的困难，钢筋连接部位也在框架梁受力较小的部位。</w:t>
      </w:r>
    </w:p>
    <w:p>
      <w:pPr>
        <w:pStyle w:val="51"/>
        <w:shd w:val="clear" w:color="auto" w:fill="auto"/>
        <w:tabs>
          <w:tab w:val="left" w:pos="694"/>
        </w:tabs>
        <w:spacing w:before="120" w:beforeLines="50" w:after="120" w:afterLines="50" w:line="240" w:lineRule="auto"/>
        <w:ind w:firstLine="0"/>
        <w:jc w:val="both"/>
        <w:rPr>
          <w:rStyle w:val="106"/>
          <w:rFonts w:ascii="Times New Roman" w:hAnsi="Times New Roman" w:eastAsia="宋体" w:cs="Times New Roman"/>
          <w:spacing w:val="0"/>
          <w:sz w:val="21"/>
          <w:szCs w:val="21"/>
        </w:rPr>
      </w:pPr>
      <w:r>
        <w:rPr>
          <w:rStyle w:val="118"/>
          <w:rFonts w:hint="eastAsia" w:ascii="黑体" w:hAnsi="黑体" w:eastAsia="黑体" w:cs="Times New Roman"/>
          <w:spacing w:val="0"/>
          <w:sz w:val="21"/>
          <w:szCs w:val="21"/>
        </w:rPr>
        <w:t>7.3.12</w:t>
      </w:r>
      <w:r>
        <w:rPr>
          <w:rStyle w:val="106"/>
          <w:rFonts w:hint="eastAsia" w:ascii="Times New Roman" w:hAnsi="Times New Roman" w:eastAsia="宋体" w:cs="Times New Roman"/>
          <w:b/>
          <w:bCs/>
          <w:spacing w:val="0"/>
          <w:sz w:val="21"/>
          <w:szCs w:val="21"/>
        </w:rPr>
        <w:t xml:space="preserve"> </w:t>
      </w:r>
      <w:r>
        <w:rPr>
          <w:rFonts w:hint="eastAsia" w:ascii="Times New Roman" w:hAnsi="Times New Roman" w:eastAsia="宋体" w:cs="Times New Roman"/>
          <w:spacing w:val="0"/>
          <w:sz w:val="21"/>
          <w:szCs w:val="21"/>
        </w:rPr>
        <w:t>本条提出一种</w:t>
      </w:r>
      <w:r>
        <w:rPr>
          <w:rFonts w:ascii="Times New Roman" w:hAnsi="Times New Roman" w:eastAsia="宋体" w:cs="Times New Roman"/>
          <w:spacing w:val="0"/>
          <w:sz w:val="21"/>
          <w:szCs w:val="21"/>
        </w:rPr>
        <w:t>采用</w:t>
      </w:r>
      <w:r>
        <w:rPr>
          <w:rFonts w:hint="eastAsia" w:ascii="Times New Roman" w:hAnsi="Times New Roman" w:eastAsia="宋体" w:cs="Times New Roman"/>
          <w:spacing w:val="0"/>
          <w:sz w:val="21"/>
          <w:szCs w:val="21"/>
        </w:rPr>
        <w:t>螺栓连接</w:t>
      </w:r>
      <w:r>
        <w:rPr>
          <w:rFonts w:ascii="Times New Roman" w:hAnsi="Times New Roman" w:eastAsia="宋体" w:cs="Times New Roman"/>
          <w:spacing w:val="0"/>
          <w:sz w:val="21"/>
          <w:szCs w:val="21"/>
        </w:rPr>
        <w:t>的装配整体式</w:t>
      </w:r>
      <w:r>
        <w:rPr>
          <w:rFonts w:hint="eastAsia" w:ascii="Times New Roman" w:hAnsi="Times New Roman" w:eastAsia="宋体" w:cs="Times New Roman"/>
          <w:spacing w:val="0"/>
          <w:sz w:val="21"/>
          <w:szCs w:val="21"/>
        </w:rPr>
        <w:t>混凝土</w:t>
      </w:r>
      <w:r>
        <w:rPr>
          <w:rFonts w:ascii="Times New Roman" w:hAnsi="Times New Roman" w:eastAsia="宋体" w:cs="Times New Roman"/>
          <w:spacing w:val="0"/>
          <w:sz w:val="21"/>
          <w:szCs w:val="21"/>
        </w:rPr>
        <w:t>框架节点</w:t>
      </w:r>
      <w:r>
        <w:rPr>
          <w:rFonts w:hint="eastAsia" w:ascii="Times New Roman" w:hAnsi="Times New Roman" w:eastAsia="宋体" w:cs="Times New Roman"/>
          <w:spacing w:val="0"/>
          <w:sz w:val="21"/>
          <w:szCs w:val="21"/>
        </w:rPr>
        <w:t>形式。</w:t>
      </w:r>
      <w:r>
        <w:rPr>
          <w:rStyle w:val="106"/>
          <w:rFonts w:hint="eastAsia" w:ascii="Times New Roman" w:hAnsi="Times New Roman" w:eastAsia="宋体" w:cs="Times New Roman"/>
          <w:spacing w:val="0"/>
          <w:sz w:val="21"/>
          <w:szCs w:val="21"/>
        </w:rPr>
        <w:t>（</w:t>
      </w:r>
      <w:r>
        <w:rPr>
          <w:rStyle w:val="106"/>
          <w:rFonts w:ascii="Times New Roman" w:hAnsi="Times New Roman" w:eastAsia="宋体" w:cs="Times New Roman"/>
          <w:spacing w:val="0"/>
          <w:sz w:val="21"/>
          <w:szCs w:val="21"/>
        </w:rPr>
        <w:t>a</w:t>
      </w:r>
      <w:r>
        <w:rPr>
          <w:rStyle w:val="106"/>
          <w:rFonts w:hint="eastAsia" w:ascii="Times New Roman" w:hAnsi="Times New Roman" w:eastAsia="宋体" w:cs="Times New Roman"/>
          <w:spacing w:val="0"/>
          <w:sz w:val="21"/>
          <w:szCs w:val="21"/>
        </w:rPr>
        <w:t>）图中预制梁下部纵向钢筋延伸至预制梁梁端锚固，预制柱纵向钢筋延伸至预制柱柱端锚固。预制梁装配时，在手孔中采用螺栓锚固穿过梁预留孔道和节点核心区的梁下部连接钢筋，待后浇混凝土达到设计强度的</w:t>
      </w:r>
      <w:r>
        <w:rPr>
          <w:rStyle w:val="106"/>
          <w:rFonts w:ascii="Times New Roman" w:hAnsi="Times New Roman" w:eastAsia="宋体" w:cs="Times New Roman"/>
          <w:spacing w:val="0"/>
          <w:sz w:val="21"/>
          <w:szCs w:val="21"/>
        </w:rPr>
        <w:t>75%</w:t>
      </w:r>
      <w:r>
        <w:rPr>
          <w:rStyle w:val="106"/>
          <w:rFonts w:hint="eastAsia" w:ascii="Times New Roman" w:hAnsi="Times New Roman" w:eastAsia="宋体" w:cs="Times New Roman"/>
          <w:spacing w:val="0"/>
          <w:sz w:val="21"/>
          <w:szCs w:val="21"/>
        </w:rPr>
        <w:t>后吊装上部预制柱，并采用螺栓连接伸入上部预制柱预留孔道中的钢筋。（</w:t>
      </w:r>
      <w:r>
        <w:rPr>
          <w:rStyle w:val="106"/>
          <w:rFonts w:ascii="Times New Roman" w:hAnsi="Times New Roman" w:eastAsia="宋体" w:cs="Times New Roman"/>
          <w:spacing w:val="0"/>
          <w:sz w:val="21"/>
          <w:szCs w:val="21"/>
        </w:rPr>
        <w:t>b</w:t>
      </w:r>
      <w:r>
        <w:rPr>
          <w:rStyle w:val="106"/>
          <w:rFonts w:hint="eastAsia" w:ascii="Times New Roman" w:hAnsi="Times New Roman" w:eastAsia="宋体" w:cs="Times New Roman"/>
          <w:spacing w:val="0"/>
          <w:sz w:val="21"/>
          <w:szCs w:val="21"/>
        </w:rPr>
        <w:t>）图中预制柱以下层上半段和上层下半段为一个预制构件，预制柱构件在节点处保留后浇区段，预制梁在节点处的连接采用与（</w:t>
      </w:r>
      <w:r>
        <w:rPr>
          <w:rStyle w:val="106"/>
          <w:rFonts w:ascii="Times New Roman" w:hAnsi="Times New Roman" w:eastAsia="宋体" w:cs="Times New Roman"/>
          <w:spacing w:val="0"/>
          <w:sz w:val="21"/>
          <w:szCs w:val="21"/>
        </w:rPr>
        <w:t>a</w:t>
      </w:r>
      <w:r>
        <w:rPr>
          <w:rStyle w:val="106"/>
          <w:rFonts w:hint="eastAsia" w:ascii="Times New Roman" w:hAnsi="Times New Roman" w:eastAsia="宋体" w:cs="Times New Roman"/>
          <w:spacing w:val="0"/>
          <w:sz w:val="21"/>
          <w:szCs w:val="21"/>
        </w:rPr>
        <w:t>）图相同的螺栓连接方式。</w:t>
      </w:r>
      <w:bookmarkStart w:id="333" w:name="_Toc20615"/>
    </w:p>
    <w:p>
      <w:pPr>
        <w:pStyle w:val="210"/>
        <w:spacing w:before="240" w:after="240"/>
        <w:rPr>
          <w:rFonts w:ascii="黑体" w:hAnsi="黑体" w:eastAsia="黑体"/>
          <w:b w:val="0"/>
          <w:sz w:val="21"/>
          <w:szCs w:val="21"/>
        </w:rPr>
      </w:pPr>
      <w:bookmarkStart w:id="334" w:name="_Toc172187892"/>
      <w:bookmarkStart w:id="335" w:name="_Toc172188953"/>
      <w:r>
        <w:rPr>
          <w:rFonts w:ascii="黑体" w:hAnsi="黑体" w:eastAsia="黑体"/>
          <w:b w:val="0"/>
          <w:sz w:val="21"/>
          <w:szCs w:val="21"/>
        </w:rPr>
        <w:t>8 装配整体式框架-剪力墙结构设计</w:t>
      </w:r>
      <w:bookmarkEnd w:id="333"/>
      <w:bookmarkEnd w:id="334"/>
      <w:bookmarkEnd w:id="335"/>
    </w:p>
    <w:p>
      <w:pPr>
        <w:pStyle w:val="210"/>
        <w:spacing w:before="240" w:after="240"/>
        <w:outlineLvl w:val="2"/>
        <w:rPr>
          <w:rFonts w:ascii="黑体" w:hAnsi="黑体" w:eastAsia="黑体"/>
          <w:b w:val="0"/>
          <w:sz w:val="21"/>
          <w:szCs w:val="21"/>
        </w:rPr>
      </w:pPr>
      <w:bookmarkStart w:id="336" w:name="_Toc172187893"/>
      <w:bookmarkStart w:id="337" w:name="_Toc172188954"/>
      <w:r>
        <w:rPr>
          <w:rFonts w:ascii="黑体" w:hAnsi="黑体" w:eastAsia="黑体"/>
          <w:b w:val="0"/>
          <w:sz w:val="21"/>
          <w:szCs w:val="21"/>
        </w:rPr>
        <w:t>8.1 一般规定</w:t>
      </w:r>
      <w:bookmarkEnd w:id="336"/>
      <w:bookmarkEnd w:id="337"/>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8.1.1</w:t>
      </w:r>
      <w:r>
        <w:rPr>
          <w:rFonts w:ascii="Times New Roman" w:hAnsi="Times New Roman" w:eastAsia="宋体" w:cs="Times New Roman"/>
          <w:sz w:val="21"/>
          <w:szCs w:val="21"/>
          <w:lang w:val="en-US"/>
        </w:rPr>
        <w:t xml:space="preserve"> 剪力墙作为主要的抗侧力构件，为了保证整体的安全性，仍建议采用现浇剪力墙或叠合剪力墙。框架部分（包括梁、柱）可采用预制构件。</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8.1.2</w:t>
      </w:r>
      <w:r>
        <w:rPr>
          <w:rFonts w:ascii="Times New Roman" w:hAnsi="Times New Roman" w:eastAsia="宋体" w:cs="Times New Roman"/>
          <w:sz w:val="21"/>
          <w:szCs w:val="21"/>
          <w:lang w:val="en-US"/>
        </w:rPr>
        <w:t xml:space="preserve"> 本条主要为了提高结构整体安全性。</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8.1.4</w:t>
      </w:r>
      <w:r>
        <w:rPr>
          <w:rFonts w:ascii="Times New Roman" w:hAnsi="Times New Roman" w:eastAsia="宋体" w:cs="Times New Roman"/>
          <w:sz w:val="21"/>
          <w:szCs w:val="21"/>
          <w:lang w:val="en-US"/>
        </w:rPr>
        <w:t xml:space="preserve"> 引用《高层建筑混凝土结构设计规程》JGJ 3的</w:t>
      </w:r>
      <w:r>
        <w:rPr>
          <w:rFonts w:hint="eastAsia" w:ascii="Times New Roman" w:hAnsi="Times New Roman" w:eastAsia="宋体" w:cs="Times New Roman"/>
          <w:sz w:val="21"/>
          <w:szCs w:val="21"/>
          <w:lang w:val="en-US"/>
        </w:rPr>
        <w:t>有关</w:t>
      </w:r>
      <w:r>
        <w:rPr>
          <w:rFonts w:ascii="Times New Roman" w:hAnsi="Times New Roman" w:eastAsia="宋体" w:cs="Times New Roman"/>
          <w:sz w:val="21"/>
          <w:szCs w:val="21"/>
          <w:lang w:val="en-US"/>
        </w:rPr>
        <w:t>规定。</w:t>
      </w:r>
    </w:p>
    <w:p>
      <w:pPr>
        <w:pStyle w:val="210"/>
        <w:spacing w:before="240" w:after="240"/>
        <w:outlineLvl w:val="2"/>
        <w:rPr>
          <w:rFonts w:ascii="黑体" w:hAnsi="黑体" w:eastAsia="黑体"/>
          <w:b w:val="0"/>
          <w:sz w:val="21"/>
          <w:szCs w:val="21"/>
        </w:rPr>
      </w:pPr>
      <w:bookmarkStart w:id="338" w:name="_Toc172187894"/>
      <w:bookmarkStart w:id="339" w:name="_Toc172188955"/>
      <w:r>
        <w:rPr>
          <w:rFonts w:ascii="黑体" w:hAnsi="黑体" w:eastAsia="黑体"/>
          <w:b w:val="0"/>
          <w:sz w:val="21"/>
          <w:szCs w:val="21"/>
        </w:rPr>
        <w:t>8.2 连接设计</w:t>
      </w:r>
      <w:bookmarkEnd w:id="338"/>
      <w:bookmarkEnd w:id="339"/>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8.2.1</w:t>
      </w:r>
      <w:r>
        <w:rPr>
          <w:rFonts w:ascii="Times New Roman" w:hAnsi="Times New Roman" w:eastAsia="宋体" w:cs="Times New Roman"/>
          <w:sz w:val="21"/>
          <w:szCs w:val="21"/>
          <w:lang w:val="en-US"/>
        </w:rPr>
        <w:t xml:space="preserve"> 现行国家标准《混凝土结构设计标准》GB/T 50010和《建筑抗震设计标准》GB/T 50011规定一致，对四级抗震等级的框架节点可不进行受剪承载力验算，仅需满足抗震构造措施的要求。</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8.2.2</w:t>
      </w:r>
      <w:r>
        <w:rPr>
          <w:rFonts w:ascii="Times New Roman" w:hAnsi="Times New Roman" w:eastAsia="宋体" w:cs="Times New Roman"/>
          <w:sz w:val="21"/>
          <w:szCs w:val="21"/>
          <w:lang w:val="en-US"/>
        </w:rPr>
        <w:t xml:space="preserve"> 接缝的正截面承载力和接缝的受剪承载力与7.2.2、7.2.3 和 7.2.4 的规定一致。</w:t>
      </w:r>
    </w:p>
    <w:p>
      <w:pPr>
        <w:pStyle w:val="210"/>
        <w:spacing w:before="240" w:after="240"/>
        <w:outlineLvl w:val="2"/>
        <w:rPr>
          <w:rFonts w:ascii="黑体" w:hAnsi="黑体" w:eastAsia="黑体"/>
          <w:b w:val="0"/>
          <w:sz w:val="21"/>
          <w:szCs w:val="21"/>
        </w:rPr>
      </w:pPr>
      <w:bookmarkStart w:id="340" w:name="_Toc172187895"/>
      <w:bookmarkStart w:id="341" w:name="_Toc172188956"/>
      <w:r>
        <w:rPr>
          <w:rFonts w:ascii="黑体" w:hAnsi="黑体" w:eastAsia="黑体"/>
          <w:b w:val="0"/>
          <w:sz w:val="21"/>
          <w:szCs w:val="21"/>
        </w:rPr>
        <w:t>8.3 构造要求</w:t>
      </w:r>
      <w:bookmarkEnd w:id="340"/>
      <w:bookmarkEnd w:id="341"/>
    </w:p>
    <w:p>
      <w:pPr>
        <w:spacing w:before="120" w:beforeLines="50" w:after="120" w:afterLines="50"/>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8.3.2</w:t>
      </w:r>
      <w:r>
        <w:rPr>
          <w:rFonts w:ascii="Times New Roman" w:hAnsi="Times New Roman" w:eastAsia="宋体" w:cs="Times New Roman"/>
          <w:sz w:val="21"/>
          <w:szCs w:val="21"/>
          <w:lang w:val="en-US"/>
        </w:rPr>
        <w:t xml:space="preserve"> 预制</w:t>
      </w:r>
      <w:r>
        <w:rPr>
          <w:rFonts w:hint="eastAsia" w:ascii="Times New Roman" w:hAnsi="Times New Roman" w:eastAsia="宋体" w:cs="Times New Roman"/>
          <w:sz w:val="21"/>
          <w:szCs w:val="21"/>
          <w:lang w:val="en-US"/>
        </w:rPr>
        <w:t>框架</w:t>
      </w:r>
      <w:r>
        <w:rPr>
          <w:rFonts w:ascii="Times New Roman" w:hAnsi="Times New Roman" w:eastAsia="宋体" w:cs="Times New Roman"/>
          <w:sz w:val="21"/>
          <w:szCs w:val="21"/>
          <w:lang w:val="en-US"/>
        </w:rPr>
        <w:t>梁与现浇</w:t>
      </w:r>
      <w:r>
        <w:rPr>
          <w:rFonts w:hint="eastAsia" w:ascii="Times New Roman" w:hAnsi="Times New Roman" w:eastAsia="宋体" w:cs="Times New Roman"/>
          <w:sz w:val="21"/>
          <w:szCs w:val="21"/>
          <w:lang w:val="en-US"/>
        </w:rPr>
        <w:t>剪力墙</w:t>
      </w:r>
      <w:r>
        <w:rPr>
          <w:rFonts w:ascii="Times New Roman" w:hAnsi="Times New Roman" w:eastAsia="宋体" w:cs="Times New Roman"/>
          <w:sz w:val="21"/>
          <w:szCs w:val="21"/>
          <w:lang w:val="en-US"/>
        </w:rPr>
        <w:t>墙肢</w:t>
      </w:r>
      <w:r>
        <w:rPr>
          <w:rFonts w:hint="eastAsia" w:ascii="Times New Roman" w:hAnsi="Times New Roman" w:eastAsia="宋体" w:cs="Times New Roman"/>
          <w:sz w:val="21"/>
          <w:szCs w:val="21"/>
          <w:lang w:val="en-US"/>
        </w:rPr>
        <w:t>一般应</w:t>
      </w:r>
      <w:r>
        <w:rPr>
          <w:rFonts w:ascii="Times New Roman" w:hAnsi="Times New Roman" w:eastAsia="宋体" w:cs="Times New Roman"/>
          <w:sz w:val="21"/>
          <w:szCs w:val="21"/>
          <w:lang w:val="en-US"/>
        </w:rPr>
        <w:t>采用刚接连接。</w:t>
      </w:r>
    </w:p>
    <w:p>
      <w:pPr>
        <w:spacing w:before="120" w:beforeLines="50" w:after="120" w:afterLines="50"/>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8.3.3</w:t>
      </w:r>
      <w:r>
        <w:rPr>
          <w:rFonts w:ascii="Times New Roman" w:hAnsi="Times New Roman" w:eastAsia="宋体" w:cs="Times New Roman"/>
          <w:sz w:val="21"/>
          <w:szCs w:val="21"/>
          <w:lang w:val="en-US"/>
        </w:rPr>
        <w:t xml:space="preserve"> 预制</w:t>
      </w:r>
      <w:r>
        <w:rPr>
          <w:rFonts w:hint="eastAsia" w:ascii="Times New Roman" w:hAnsi="Times New Roman" w:eastAsia="宋体" w:cs="Times New Roman"/>
          <w:sz w:val="21"/>
          <w:szCs w:val="21"/>
          <w:lang w:val="en-US"/>
        </w:rPr>
        <w:t>次</w:t>
      </w:r>
      <w:r>
        <w:rPr>
          <w:rFonts w:ascii="Times New Roman" w:hAnsi="Times New Roman" w:eastAsia="宋体" w:cs="Times New Roman"/>
          <w:sz w:val="21"/>
          <w:szCs w:val="21"/>
          <w:lang w:val="en-US"/>
        </w:rPr>
        <w:t>梁与现浇</w:t>
      </w:r>
      <w:r>
        <w:rPr>
          <w:rFonts w:hint="eastAsia" w:ascii="Times New Roman" w:hAnsi="Times New Roman" w:eastAsia="宋体" w:cs="Times New Roman"/>
          <w:sz w:val="21"/>
          <w:szCs w:val="21"/>
          <w:lang w:val="en-US"/>
        </w:rPr>
        <w:t>剪力墙</w:t>
      </w:r>
      <w:r>
        <w:rPr>
          <w:rFonts w:ascii="Times New Roman" w:hAnsi="Times New Roman" w:eastAsia="宋体" w:cs="Times New Roman"/>
          <w:sz w:val="21"/>
          <w:szCs w:val="21"/>
          <w:lang w:val="en-US"/>
        </w:rPr>
        <w:t>墙肢可采用刚接连接，也可采用铰接连接。</w:t>
      </w:r>
    </w:p>
    <w:p>
      <w:pPr>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8.3.4</w:t>
      </w:r>
      <w:r>
        <w:rPr>
          <w:rFonts w:ascii="Times New Roman" w:hAnsi="Times New Roman" w:eastAsia="宋体" w:cs="Times New Roman"/>
          <w:sz w:val="21"/>
          <w:szCs w:val="21"/>
        </w:rPr>
        <w:t xml:space="preserve"> 预制</w:t>
      </w:r>
      <w:r>
        <w:rPr>
          <w:rFonts w:hint="eastAsia" w:ascii="Times New Roman" w:hAnsi="Times New Roman" w:eastAsia="宋体" w:cs="Times New Roman"/>
          <w:sz w:val="21"/>
          <w:szCs w:val="21"/>
        </w:rPr>
        <w:t>框架</w:t>
      </w:r>
      <w:r>
        <w:rPr>
          <w:rFonts w:ascii="Times New Roman" w:hAnsi="Times New Roman" w:eastAsia="宋体" w:cs="Times New Roman"/>
          <w:sz w:val="21"/>
          <w:szCs w:val="21"/>
        </w:rPr>
        <w:t>梁</w:t>
      </w:r>
      <w:r>
        <w:rPr>
          <w:rFonts w:hint="eastAsia" w:ascii="Times New Roman" w:hAnsi="Times New Roman" w:eastAsia="宋体" w:cs="Times New Roman"/>
          <w:sz w:val="21"/>
          <w:szCs w:val="21"/>
        </w:rPr>
        <w:t>及次梁</w:t>
      </w:r>
      <w:r>
        <w:rPr>
          <w:rFonts w:ascii="Times New Roman" w:hAnsi="Times New Roman" w:eastAsia="宋体" w:cs="Times New Roman"/>
          <w:sz w:val="21"/>
          <w:szCs w:val="21"/>
        </w:rPr>
        <w:t>与叠合</w:t>
      </w:r>
      <w:r>
        <w:rPr>
          <w:rFonts w:hint="eastAsia" w:ascii="Times New Roman" w:hAnsi="Times New Roman" w:eastAsia="宋体" w:cs="Times New Roman"/>
          <w:sz w:val="21"/>
          <w:szCs w:val="21"/>
        </w:rPr>
        <w:t>剪力墙</w:t>
      </w:r>
      <w:r>
        <w:rPr>
          <w:rFonts w:ascii="Times New Roman" w:hAnsi="Times New Roman" w:eastAsia="宋体" w:cs="Times New Roman"/>
          <w:sz w:val="21"/>
          <w:szCs w:val="21"/>
        </w:rPr>
        <w:t>墙肢</w:t>
      </w:r>
      <w:r>
        <w:rPr>
          <w:rFonts w:hint="eastAsia" w:ascii="Times New Roman" w:hAnsi="Times New Roman" w:eastAsia="宋体" w:cs="Times New Roman"/>
          <w:sz w:val="21"/>
          <w:szCs w:val="21"/>
        </w:rPr>
        <w:t>一般应</w:t>
      </w:r>
      <w:r>
        <w:rPr>
          <w:rFonts w:ascii="Times New Roman" w:hAnsi="Times New Roman" w:eastAsia="宋体" w:cs="Times New Roman"/>
          <w:sz w:val="21"/>
          <w:szCs w:val="21"/>
        </w:rPr>
        <w:t>采用刚接连接</w:t>
      </w:r>
      <w:r>
        <w:rPr>
          <w:rFonts w:hint="eastAsia" w:ascii="Times New Roman" w:hAnsi="Times New Roman" w:eastAsia="宋体" w:cs="Times New Roman"/>
          <w:sz w:val="21"/>
          <w:szCs w:val="21"/>
        </w:rPr>
        <w:t>。</w:t>
      </w:r>
    </w:p>
    <w:p>
      <w:pPr>
        <w:pStyle w:val="210"/>
        <w:spacing w:before="240" w:after="240"/>
        <w:rPr>
          <w:rFonts w:ascii="黑体" w:hAnsi="黑体" w:eastAsia="黑体"/>
          <w:b w:val="0"/>
          <w:sz w:val="21"/>
          <w:szCs w:val="21"/>
        </w:rPr>
      </w:pPr>
      <w:bookmarkStart w:id="342" w:name="_Toc172187896"/>
      <w:bookmarkStart w:id="343" w:name="_Toc10802"/>
      <w:bookmarkStart w:id="344" w:name="_Toc172188957"/>
      <w:r>
        <w:rPr>
          <w:rFonts w:ascii="黑体" w:hAnsi="黑体" w:eastAsia="黑体"/>
          <w:b w:val="0"/>
          <w:sz w:val="21"/>
          <w:szCs w:val="21"/>
        </w:rPr>
        <w:t>9 围护结构设计</w:t>
      </w:r>
      <w:bookmarkEnd w:id="342"/>
      <w:bookmarkEnd w:id="343"/>
      <w:bookmarkEnd w:id="344"/>
    </w:p>
    <w:p>
      <w:pPr>
        <w:pStyle w:val="210"/>
        <w:spacing w:before="240" w:after="240"/>
        <w:outlineLvl w:val="2"/>
        <w:rPr>
          <w:rFonts w:ascii="黑体" w:hAnsi="黑体" w:eastAsia="黑体"/>
          <w:b w:val="0"/>
          <w:sz w:val="21"/>
          <w:szCs w:val="21"/>
        </w:rPr>
      </w:pPr>
      <w:bookmarkStart w:id="345" w:name="_Toc172188958"/>
      <w:bookmarkStart w:id="346" w:name="_Toc172187897"/>
      <w:r>
        <w:rPr>
          <w:rFonts w:ascii="黑体" w:hAnsi="黑体" w:eastAsia="黑体"/>
          <w:b w:val="0"/>
          <w:sz w:val="21"/>
          <w:szCs w:val="21"/>
        </w:rPr>
        <w:t>9.1 一般规定</w:t>
      </w:r>
      <w:bookmarkEnd w:id="345"/>
      <w:bookmarkEnd w:id="346"/>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9.1.1</w:t>
      </w:r>
      <w:r>
        <w:rPr>
          <w:rFonts w:ascii="Times New Roman" w:hAnsi="Times New Roman" w:eastAsia="宋体" w:cs="Times New Roman"/>
          <w:b/>
          <w:color w:val="000000" w:themeColor="text1"/>
          <w:sz w:val="21"/>
          <w:szCs w:val="21"/>
          <w14:textFill>
            <w14:solidFill>
              <w14:schemeClr w14:val="tx1"/>
            </w14:solidFill>
          </w14:textFill>
        </w:rPr>
        <w:t xml:space="preserve"> </w:t>
      </w:r>
      <w:r>
        <w:rPr>
          <w:rFonts w:ascii="Times New Roman" w:hAnsi="Times New Roman" w:eastAsia="宋体" w:cs="Times New Roman"/>
          <w:sz w:val="21"/>
          <w:szCs w:val="21"/>
          <w:lang w:val="en-US"/>
        </w:rPr>
        <w:t>外围护系统的设计使用年限是确定外围护系统性能要求、构造、连接的关键，设计时应明确。住宅建筑中外围护系统的设计使用年限应与主体结构相协调，主要是指住宅建筑中外围护系统的基层板、骨架系统、连接配件的设计使用年限应与建筑物主体结构一致；为满足使用要求，外围护系统应定期维护，接缝胶、涂装层、保温材料应根据材料特性，明确使用年限，并应注明维护要求。</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9.1.2</w:t>
      </w:r>
      <w:r>
        <w:rPr>
          <w:rFonts w:hint="eastAsia" w:ascii="Times New Roman" w:hAnsi="Times New Roman" w:eastAsia="宋体" w:cs="Times New Roman"/>
          <w:sz w:val="21"/>
          <w:szCs w:val="21"/>
          <w:lang w:val="en-US"/>
        </w:rPr>
        <w:t xml:space="preserve"> </w:t>
      </w:r>
      <w:r>
        <w:rPr>
          <w:rFonts w:ascii="Times New Roman" w:hAnsi="Times New Roman" w:eastAsia="宋体" w:cs="Times New Roman"/>
          <w:sz w:val="21"/>
          <w:szCs w:val="21"/>
          <w:lang w:val="en-US"/>
        </w:rPr>
        <w:t>外围护系统的材料种类多样，施工工艺和节点构造也不尽相同，在集成设计时，外围护系统应根据不同材料特性、施工工艺和节点构造特点明确具体的性能要求。性能要求主要包括安全性、功能性和耐久性等，同时屋面系统还应增加结构性能要求。</w:t>
      </w:r>
    </w:p>
    <w:p>
      <w:pPr>
        <w:spacing w:before="120" w:beforeLines="50" w:after="120" w:afterLines="50"/>
        <w:ind w:firstLine="420" w:firstLineChars="200"/>
        <w:jc w:val="both"/>
        <w:rPr>
          <w:rFonts w:ascii="Times New Roman" w:hAnsi="Times New Roman" w:eastAsia="宋体" w:cs="Times New Roman"/>
          <w:sz w:val="21"/>
          <w:szCs w:val="21"/>
          <w:lang w:val="en-US"/>
        </w:rPr>
      </w:pPr>
      <w:r>
        <w:rPr>
          <w:rFonts w:ascii="宋体" w:hAnsi="宋体" w:eastAsia="宋体" w:cs="Times New Roman"/>
          <w:sz w:val="21"/>
          <w:szCs w:val="21"/>
        </w:rPr>
        <w:t>a</w:t>
      </w:r>
      <w:r>
        <w:rPr>
          <w:rFonts w:hint="eastAsia" w:ascii="宋体" w:hAnsi="宋体" w:eastAsia="宋体" w:cs="Times New Roman"/>
          <w:sz w:val="21"/>
          <w:szCs w:val="21"/>
        </w:rPr>
        <w:t>）</w:t>
      </w:r>
      <w:r>
        <w:rPr>
          <w:rFonts w:ascii="Times New Roman" w:hAnsi="Times New Roman" w:eastAsia="宋体" w:cs="Times New Roman"/>
          <w:sz w:val="21"/>
          <w:szCs w:val="21"/>
          <w:lang w:val="en-US"/>
        </w:rPr>
        <w:t>安全性能要求是指关系到人身安全的关键性能指标，对于装配式混凝土结构建筑外围护体系而言，应符合基本的承载力要求以及防火要求，具体可以分为抗风压性能、抗震性能、耐撞击性能以及防火性能四个方面。外墙板应采用弹性方法确定承载力与变形，并明确荷载及作用效应组合；在荷载及作用的标准组合作用下，墙板的最大挠度不应大于板跨度的1/200，且不应出现裂缝；计算外墙板与结构连接节点承载力时，荷载设计值应该乘以1.2的放大系数。在50年重现期风荷载或多遇地震作用下，外墙板不得因主体结构的弹性层间变形而发生开裂、起鼓、零件脱落等损坏；当遭受相当于本地区抗震设防烈度的地震作用时，外墙板不应发生掉落。</w:t>
      </w:r>
    </w:p>
    <w:p>
      <w:pPr>
        <w:spacing w:before="120" w:beforeLines="50" w:after="120" w:afterLines="50"/>
        <w:ind w:firstLine="420" w:firstLineChars="200"/>
        <w:jc w:val="both"/>
        <w:rPr>
          <w:rFonts w:ascii="Times New Roman" w:hAnsi="Times New Roman" w:eastAsia="宋体" w:cs="Times New Roman"/>
          <w:sz w:val="21"/>
          <w:szCs w:val="21"/>
          <w:lang w:val="en-US"/>
        </w:rPr>
      </w:pPr>
      <w:r>
        <w:rPr>
          <w:rFonts w:ascii="Times New Roman" w:hAnsi="Times New Roman" w:eastAsia="宋体" w:cs="Times New Roman"/>
          <w:sz w:val="21"/>
          <w:szCs w:val="21"/>
          <w:lang w:val="en-US"/>
        </w:rPr>
        <w:t>抗风性能中风荷载标准值应符合现行国家标准《建筑结构荷载规范》GB 50009中有关外围护系统风荷载的规定，并可参照现行国家标准《建筑幕墙》GB/T 21086的相关规定。</w:t>
      </w:r>
    </w:p>
    <w:p>
      <w:pPr>
        <w:spacing w:before="120" w:beforeLines="50" w:after="120" w:afterLines="50"/>
        <w:ind w:firstLine="420" w:firstLineChars="200"/>
        <w:jc w:val="both"/>
        <w:rPr>
          <w:rFonts w:ascii="Times New Roman" w:hAnsi="Times New Roman" w:eastAsia="宋体" w:cs="Times New Roman"/>
          <w:sz w:val="21"/>
          <w:szCs w:val="21"/>
          <w:lang w:val="en-US"/>
        </w:rPr>
      </w:pPr>
      <w:r>
        <w:rPr>
          <w:rFonts w:ascii="Times New Roman" w:hAnsi="Times New Roman" w:eastAsia="宋体" w:cs="Times New Roman"/>
          <w:sz w:val="21"/>
          <w:szCs w:val="21"/>
          <w:lang w:val="en-US"/>
        </w:rPr>
        <w:t>抗震性能应满足现行行业标准《非结构构件抗震设计规范》JGJ 339中的相关规定。</w:t>
      </w:r>
    </w:p>
    <w:p>
      <w:pPr>
        <w:spacing w:before="120" w:beforeLines="50" w:after="120" w:afterLines="50"/>
        <w:ind w:firstLine="420" w:firstLineChars="200"/>
        <w:jc w:val="both"/>
        <w:rPr>
          <w:rFonts w:ascii="Times New Roman" w:hAnsi="Times New Roman" w:eastAsia="宋体" w:cs="Times New Roman"/>
          <w:sz w:val="21"/>
          <w:szCs w:val="21"/>
          <w:lang w:val="en-US"/>
        </w:rPr>
      </w:pPr>
      <w:r>
        <w:rPr>
          <w:rFonts w:ascii="Times New Roman" w:hAnsi="Times New Roman" w:eastAsia="宋体" w:cs="Times New Roman"/>
          <w:sz w:val="21"/>
          <w:szCs w:val="21"/>
          <w:lang w:val="en-US"/>
        </w:rPr>
        <w:t>耐撞击性能应根据外围护系统的构成确定。对于幕墙体系，可参照现行国家标准《建筑幕墙》GB/T 1086中的相关规定，撞击能量最高为900J，降落高度最高为2m，试验次数不小于10次，同时试件的跨度及边界条件必须与实际工程相符。除幕墙体系外的外围护系统，应提高耐撞击的性能要求。外围护系统的室内外两侧装饰面，尤其是类似薄抹灰做法的外墙保温饰面层，还应明确抗冲击性能要求。</w:t>
      </w:r>
    </w:p>
    <w:p>
      <w:pPr>
        <w:spacing w:before="120" w:beforeLines="50" w:after="120" w:afterLines="50"/>
        <w:ind w:firstLine="420" w:firstLineChars="200"/>
        <w:jc w:val="both"/>
        <w:rPr>
          <w:rFonts w:ascii="Times New Roman" w:hAnsi="Times New Roman" w:eastAsia="宋体" w:cs="Times New Roman"/>
          <w:sz w:val="21"/>
          <w:szCs w:val="21"/>
          <w:lang w:val="en-US"/>
        </w:rPr>
      </w:pPr>
      <w:r>
        <w:rPr>
          <w:rFonts w:ascii="Times New Roman" w:hAnsi="Times New Roman" w:eastAsia="宋体" w:cs="Times New Roman"/>
          <w:sz w:val="21"/>
          <w:szCs w:val="21"/>
          <w:lang w:val="en-US"/>
        </w:rPr>
        <w:t>防火性能应符合现行国家标准《建筑设计防火规范》GB 50016中的相关规定，试验检测应符合现行国家标准《建筑构件耐火试验方法 第1部分：通用要求》GB/T 9978.1和《建筑构件耐火试验方法 第8部分：非承重垂直分隔构件的特殊要求》GB/T 9978.8的相关规定。</w:t>
      </w:r>
    </w:p>
    <w:p>
      <w:pPr>
        <w:spacing w:before="120" w:beforeLines="50" w:after="120" w:afterLines="50"/>
        <w:ind w:firstLine="420" w:firstLineChars="200"/>
        <w:jc w:val="both"/>
        <w:rPr>
          <w:rFonts w:ascii="Times New Roman" w:hAnsi="Times New Roman" w:eastAsia="宋体" w:cs="Times New Roman"/>
          <w:sz w:val="21"/>
          <w:szCs w:val="21"/>
          <w:lang w:val="en-US"/>
        </w:rPr>
      </w:pPr>
      <w:r>
        <w:rPr>
          <w:rFonts w:ascii="宋体" w:hAnsi="宋体" w:eastAsia="宋体" w:cs="Times New Roman"/>
          <w:sz w:val="21"/>
          <w:szCs w:val="21"/>
        </w:rPr>
        <w:t>b</w:t>
      </w:r>
      <w:r>
        <w:rPr>
          <w:rFonts w:hint="eastAsia" w:ascii="宋体" w:hAnsi="宋体" w:eastAsia="宋体" w:cs="Times New Roman"/>
          <w:sz w:val="21"/>
          <w:szCs w:val="21"/>
        </w:rPr>
        <w:t>）</w:t>
      </w:r>
      <w:r>
        <w:rPr>
          <w:rFonts w:ascii="Times New Roman" w:hAnsi="Times New Roman" w:eastAsia="宋体" w:cs="Times New Roman"/>
          <w:sz w:val="21"/>
          <w:szCs w:val="21"/>
          <w:lang w:val="en-US"/>
        </w:rPr>
        <w:t>功能性要求是指作为外围护体系应该满足居住使用功能的基本要求。具体包括水密性能、气密性能、隔声性能、热工性能四个方面。</w:t>
      </w:r>
    </w:p>
    <w:p>
      <w:pPr>
        <w:spacing w:before="120" w:beforeLines="50" w:after="120" w:afterLines="50"/>
        <w:ind w:firstLine="420" w:firstLineChars="200"/>
        <w:jc w:val="both"/>
        <w:rPr>
          <w:rFonts w:ascii="Times New Roman" w:hAnsi="Times New Roman" w:eastAsia="宋体" w:cs="Times New Roman"/>
          <w:sz w:val="21"/>
          <w:szCs w:val="21"/>
          <w:lang w:val="en-US"/>
        </w:rPr>
      </w:pPr>
      <w:r>
        <w:rPr>
          <w:rFonts w:ascii="Times New Roman" w:hAnsi="Times New Roman" w:eastAsia="宋体" w:cs="Times New Roman"/>
          <w:sz w:val="21"/>
          <w:szCs w:val="21"/>
          <w:lang w:val="en-US"/>
        </w:rPr>
        <w:t>水密性能包括外围护系统中基层板的不透水性以及基层板、外墙板或屋面板接缝处的止水、排水性能。对于建筑幕墙系统，应参照现行国家标准《建筑幕墙》GB/T 21086中的相关规定。</w:t>
      </w:r>
    </w:p>
    <w:p>
      <w:pPr>
        <w:spacing w:before="120" w:beforeLines="50" w:after="120" w:afterLines="50"/>
        <w:ind w:firstLine="420" w:firstLineChars="200"/>
        <w:jc w:val="both"/>
        <w:rPr>
          <w:rFonts w:ascii="Times New Roman" w:hAnsi="Times New Roman" w:eastAsia="宋体" w:cs="Times New Roman"/>
          <w:sz w:val="21"/>
          <w:szCs w:val="21"/>
          <w:lang w:val="en-US"/>
        </w:rPr>
      </w:pPr>
      <w:r>
        <w:rPr>
          <w:rFonts w:ascii="Times New Roman" w:hAnsi="Times New Roman" w:eastAsia="宋体" w:cs="Times New Roman"/>
          <w:sz w:val="21"/>
          <w:szCs w:val="21"/>
          <w:lang w:val="en-US"/>
        </w:rPr>
        <w:t>气密性能主要为基层板、外墙板或屋面板接缝处的空气渗透性能。对于建筑幕墙系统，应参照现行国家标准《建筑幕墙》GB/T 21086中的相关规定。</w:t>
      </w:r>
    </w:p>
    <w:p>
      <w:pPr>
        <w:spacing w:before="120" w:beforeLines="50" w:after="120" w:afterLines="50"/>
        <w:ind w:firstLine="420" w:firstLineChars="200"/>
        <w:jc w:val="both"/>
        <w:rPr>
          <w:rFonts w:ascii="Times New Roman" w:hAnsi="Times New Roman" w:eastAsia="宋体" w:cs="Times New Roman"/>
          <w:sz w:val="21"/>
          <w:szCs w:val="21"/>
          <w:lang w:val="en-US"/>
        </w:rPr>
      </w:pPr>
      <w:r>
        <w:rPr>
          <w:rFonts w:ascii="Times New Roman" w:hAnsi="Times New Roman" w:eastAsia="宋体" w:cs="Times New Roman"/>
          <w:sz w:val="21"/>
          <w:szCs w:val="21"/>
          <w:lang w:val="en-US"/>
        </w:rPr>
        <w:t>隔声性能应符合现行国家标准《民用建筑隔声设计规范》GB 50118的相关规定。</w:t>
      </w:r>
    </w:p>
    <w:p>
      <w:pPr>
        <w:spacing w:before="120" w:beforeLines="50" w:after="120" w:afterLines="50"/>
        <w:ind w:firstLine="420" w:firstLineChars="200"/>
        <w:jc w:val="both"/>
        <w:rPr>
          <w:rFonts w:ascii="Times New Roman" w:hAnsi="Times New Roman" w:eastAsia="宋体" w:cs="Times New Roman"/>
          <w:sz w:val="21"/>
          <w:szCs w:val="21"/>
          <w:lang w:val="en-US"/>
        </w:rPr>
      </w:pPr>
      <w:r>
        <w:rPr>
          <w:rFonts w:ascii="Times New Roman" w:hAnsi="Times New Roman" w:eastAsia="宋体" w:cs="Times New Roman"/>
          <w:sz w:val="21"/>
          <w:szCs w:val="21"/>
          <w:lang w:val="en-US"/>
        </w:rPr>
        <w:t>热工性能应符合国家现行标准《公共建筑节能设计标准》GB 50189、《严寒和寒冷地区居住建筑节能设计标准》JGJ 26、《夏热冬冷地区居住建筑节能设计标准》JGJ 134和《夏热冬暖地区居住建筑节能设计标准》JGJ 75的相关规定。</w:t>
      </w:r>
    </w:p>
    <w:p>
      <w:pPr>
        <w:spacing w:before="120" w:beforeLines="50" w:after="120" w:afterLines="50"/>
        <w:ind w:firstLine="420" w:firstLineChars="200"/>
        <w:jc w:val="both"/>
        <w:rPr>
          <w:rFonts w:ascii="Times New Roman" w:hAnsi="Times New Roman" w:eastAsia="宋体" w:cs="Times New Roman"/>
          <w:sz w:val="21"/>
          <w:szCs w:val="21"/>
          <w:lang w:val="en-US"/>
        </w:rPr>
      </w:pPr>
      <w:r>
        <w:rPr>
          <w:rFonts w:ascii="宋体" w:hAnsi="宋体" w:eastAsia="宋体" w:cs="Times New Roman"/>
          <w:sz w:val="21"/>
          <w:szCs w:val="21"/>
        </w:rPr>
        <w:t>c</w:t>
      </w:r>
      <w:r>
        <w:rPr>
          <w:rFonts w:hint="eastAsia" w:ascii="宋体" w:hAnsi="宋体" w:eastAsia="宋体" w:cs="Times New Roman"/>
          <w:sz w:val="21"/>
          <w:szCs w:val="21"/>
        </w:rPr>
        <w:t>）</w:t>
      </w:r>
      <w:r>
        <w:rPr>
          <w:rFonts w:ascii="Times New Roman" w:hAnsi="Times New Roman" w:eastAsia="宋体" w:cs="Times New Roman"/>
          <w:sz w:val="21"/>
          <w:szCs w:val="21"/>
          <w:lang w:val="en-US"/>
        </w:rPr>
        <w:t>耐久性要求直接影响到外围护系统使用寿命和维护保养时限。不同的材料，对耐久性的性能指标要求也不尽相同。经耐久性试验后，还需对相关力学性能进行复测，以保证使用的稳定性。对于以水泥基类板材作为基层板的外墙板，应符合现行行业标准《外墙用非承重纤维增强水泥板》JG/T 396的相关规定，满足抗冻性、耐热雨性能、耐热水性能以及耐干湿性能的要求。</w:t>
      </w:r>
    </w:p>
    <w:p>
      <w:pPr>
        <w:spacing w:before="120" w:beforeLines="50" w:after="120" w:afterLines="50"/>
        <w:ind w:firstLine="420" w:firstLineChars="200"/>
        <w:jc w:val="both"/>
        <w:rPr>
          <w:rFonts w:ascii="Times New Roman" w:hAnsi="Times New Roman" w:eastAsia="宋体" w:cs="Times New Roman"/>
          <w:sz w:val="21"/>
          <w:szCs w:val="21"/>
          <w:lang w:val="en-US"/>
        </w:rPr>
      </w:pPr>
      <w:r>
        <w:rPr>
          <w:rFonts w:ascii="宋体" w:hAnsi="宋体" w:eastAsia="宋体" w:cs="Times New Roman"/>
          <w:sz w:val="21"/>
          <w:szCs w:val="21"/>
        </w:rPr>
        <w:t>d</w:t>
      </w:r>
      <w:r>
        <w:rPr>
          <w:rFonts w:hint="eastAsia" w:ascii="宋体" w:hAnsi="宋体" w:eastAsia="宋体" w:cs="Times New Roman"/>
          <w:sz w:val="21"/>
          <w:szCs w:val="21"/>
        </w:rPr>
        <w:t>）</w:t>
      </w:r>
      <w:r>
        <w:rPr>
          <w:rFonts w:ascii="Times New Roman" w:hAnsi="Times New Roman" w:eastAsia="宋体" w:cs="Times New Roman"/>
          <w:sz w:val="21"/>
          <w:szCs w:val="21"/>
          <w:lang w:val="en-US"/>
        </w:rPr>
        <w:t>结构性能应包括可能承受的风荷载、积水荷载、雪荷载、冰荷载、遮阳装置及照明装置荷载、活荷载及其他荷载，并按现行国家标准《建筑结构荷载规范》GB 50009和《建筑抗震设计规范》GB 50011的规定对承受的各种荷载和作用以垂直于屋面的方向进行组合，并取最不利工况下的组合荷载标准值为结构性能指标。</w:t>
      </w:r>
    </w:p>
    <w:p>
      <w:pPr>
        <w:pStyle w:val="210"/>
        <w:spacing w:before="240" w:after="240"/>
        <w:outlineLvl w:val="2"/>
        <w:rPr>
          <w:rFonts w:ascii="黑体" w:hAnsi="黑体" w:eastAsia="黑体"/>
          <w:b w:val="0"/>
          <w:sz w:val="21"/>
          <w:szCs w:val="21"/>
        </w:rPr>
      </w:pPr>
      <w:bookmarkStart w:id="347" w:name="_Toc172187898"/>
      <w:bookmarkStart w:id="348" w:name="_Toc172188959"/>
      <w:r>
        <w:rPr>
          <w:rFonts w:ascii="黑体" w:hAnsi="黑体" w:eastAsia="黑体"/>
          <w:b w:val="0"/>
          <w:sz w:val="21"/>
          <w:szCs w:val="21"/>
        </w:rPr>
        <w:t>9.2 外墙板及连接设计</w:t>
      </w:r>
      <w:bookmarkEnd w:id="347"/>
      <w:bookmarkEnd w:id="348"/>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9.2.1</w:t>
      </w:r>
      <w:r>
        <w:rPr>
          <w:rFonts w:ascii="Times New Roman" w:hAnsi="Times New Roman" w:eastAsia="宋体" w:cs="Times New Roman"/>
          <w:sz w:val="21"/>
          <w:szCs w:val="21"/>
          <w:lang w:val="en-US"/>
        </w:rPr>
        <w:t xml:space="preserve"> 根据</w:t>
      </w:r>
      <w:r>
        <w:rPr>
          <w:rFonts w:hint="eastAsia" w:ascii="Times New Roman" w:hAnsi="Times New Roman" w:eastAsia="宋体" w:cs="Times New Roman"/>
          <w:sz w:val="21"/>
          <w:szCs w:val="21"/>
          <w:lang w:val="en-US"/>
        </w:rPr>
        <w:t>《建筑结构荷载规范》GB 50009第</w:t>
      </w:r>
      <w:r>
        <w:rPr>
          <w:rFonts w:ascii="Times New Roman" w:hAnsi="Times New Roman" w:eastAsia="宋体" w:cs="Times New Roman"/>
          <w:sz w:val="21"/>
          <w:szCs w:val="21"/>
          <w:lang w:val="en-US"/>
        </w:rPr>
        <w:t>3.2.6条</w:t>
      </w:r>
      <w:r>
        <w:rPr>
          <w:rFonts w:hint="eastAsia" w:ascii="Times New Roman" w:hAnsi="Times New Roman" w:eastAsia="宋体" w:cs="Times New Roman"/>
          <w:sz w:val="21"/>
          <w:szCs w:val="21"/>
          <w:lang w:val="en-US"/>
        </w:rPr>
        <w:t>规定</w:t>
      </w:r>
      <w:r>
        <w:rPr>
          <w:rFonts w:ascii="Times New Roman" w:hAnsi="Times New Roman" w:eastAsia="宋体" w:cs="Times New Roman"/>
          <w:sz w:val="21"/>
          <w:szCs w:val="21"/>
          <w:lang w:val="en-US"/>
        </w:rPr>
        <w:t>，对于</w:t>
      </w:r>
      <w:r>
        <w:rPr>
          <w:rFonts w:hint="eastAsia" w:ascii="Times New Roman" w:hAnsi="Times New Roman" w:eastAsia="宋体" w:cs="Times New Roman"/>
          <w:sz w:val="21"/>
          <w:szCs w:val="21"/>
          <w:lang w:val="en-US"/>
        </w:rPr>
        <w:t>围</w:t>
      </w:r>
      <w:r>
        <w:rPr>
          <w:rFonts w:ascii="Times New Roman" w:hAnsi="Times New Roman" w:eastAsia="宋体" w:cs="Times New Roman"/>
          <w:sz w:val="21"/>
          <w:szCs w:val="21"/>
          <w:lang w:val="en-US"/>
        </w:rPr>
        <w:t>护结构，地震</w:t>
      </w:r>
      <w:r>
        <w:rPr>
          <w:rFonts w:hint="eastAsia" w:ascii="Times New Roman" w:hAnsi="Times New Roman" w:eastAsia="宋体" w:cs="Times New Roman"/>
          <w:sz w:val="21"/>
          <w:szCs w:val="21"/>
          <w:lang w:val="en-US"/>
        </w:rPr>
        <w:t>作用</w:t>
      </w:r>
      <w:r>
        <w:rPr>
          <w:rFonts w:ascii="Times New Roman" w:hAnsi="Times New Roman" w:eastAsia="宋体" w:cs="Times New Roman"/>
          <w:sz w:val="21"/>
          <w:szCs w:val="21"/>
          <w:lang w:val="en-US"/>
        </w:rPr>
        <w:t>可以作为偶然荷载考虑，地震作用的分项系数仍按1.3考虑。</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9.2.5</w:t>
      </w:r>
      <w:r>
        <w:rPr>
          <w:rFonts w:ascii="Times New Roman" w:hAnsi="Times New Roman" w:eastAsia="宋体" w:cs="Times New Roman"/>
          <w:sz w:val="21"/>
          <w:szCs w:val="21"/>
          <w:lang w:val="en-US"/>
        </w:rPr>
        <w:t xml:space="preserve"> 非结构构件按照允许应力法设计时，配筋率不应执行对结构构件的要求，但为了保证安全性结构设计时仍应配置适当的钢筋，在大多数情况下，实际钢筋用量由制作、安装阶段</w:t>
      </w:r>
      <w:r>
        <w:rPr>
          <w:rFonts w:hint="eastAsia" w:ascii="Times New Roman" w:hAnsi="Times New Roman" w:eastAsia="宋体" w:cs="Times New Roman"/>
          <w:sz w:val="21"/>
          <w:szCs w:val="21"/>
          <w:lang w:val="en-US"/>
        </w:rPr>
        <w:t>的受力</w:t>
      </w:r>
      <w:r>
        <w:rPr>
          <w:rFonts w:ascii="Times New Roman" w:hAnsi="Times New Roman" w:eastAsia="宋体" w:cs="Times New Roman"/>
          <w:sz w:val="21"/>
          <w:szCs w:val="21"/>
          <w:lang w:val="en-US"/>
        </w:rPr>
        <w:t>控制。</w:t>
      </w:r>
    </w:p>
    <w:p>
      <w:pPr>
        <w:pStyle w:val="210"/>
        <w:spacing w:before="240" w:after="240"/>
        <w:outlineLvl w:val="2"/>
        <w:rPr>
          <w:rFonts w:ascii="黑体" w:hAnsi="黑体" w:eastAsia="黑体"/>
          <w:b w:val="0"/>
          <w:sz w:val="21"/>
          <w:szCs w:val="21"/>
        </w:rPr>
      </w:pPr>
      <w:bookmarkStart w:id="349" w:name="_Toc172187899"/>
      <w:bookmarkStart w:id="350" w:name="_Toc172188960"/>
      <w:r>
        <w:rPr>
          <w:rFonts w:ascii="黑体" w:hAnsi="黑体" w:eastAsia="黑体"/>
          <w:b w:val="0"/>
          <w:sz w:val="21"/>
          <w:szCs w:val="21"/>
        </w:rPr>
        <w:t>9.3 内墙板及连接设计</w:t>
      </w:r>
      <w:bookmarkEnd w:id="349"/>
      <w:bookmarkEnd w:id="350"/>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9.3.1</w:t>
      </w:r>
      <w:r>
        <w:rPr>
          <w:rFonts w:ascii="Times New Roman" w:hAnsi="Times New Roman" w:eastAsia="宋体" w:cs="Times New Roman"/>
          <w:sz w:val="21"/>
          <w:szCs w:val="21"/>
          <w:lang w:val="en-US"/>
        </w:rPr>
        <w:t xml:space="preserve"> 为了避免内墙板对结构受力对影响，内墙板与结构连接宜采取铰接方式，避免结构出现意料外的破坏。</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9.3.2</w:t>
      </w:r>
      <w:r>
        <w:rPr>
          <w:rFonts w:ascii="Times New Roman" w:hAnsi="Times New Roman" w:eastAsia="宋体" w:cs="Times New Roman"/>
          <w:sz w:val="21"/>
          <w:szCs w:val="21"/>
          <w:lang w:val="en-US"/>
        </w:rPr>
        <w:t xml:space="preserve"> 采用《墙体材料应用统一技术规范》 GB 50574-2010中3.3.5条要求。</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9.3.4</w:t>
      </w:r>
      <w:r>
        <w:rPr>
          <w:rFonts w:ascii="Times New Roman" w:hAnsi="Times New Roman" w:eastAsia="宋体" w:cs="Times New Roman"/>
          <w:sz w:val="21"/>
          <w:szCs w:val="21"/>
          <w:lang w:val="en-US"/>
        </w:rPr>
        <w:t xml:space="preserve"> 室内隔墙墙板应通过运输和吊装验算确定其最小配筋率，验算应考虑动力系数。</w:t>
      </w:r>
    </w:p>
    <w:p>
      <w:pPr>
        <w:pStyle w:val="210"/>
        <w:spacing w:before="240" w:after="240"/>
        <w:rPr>
          <w:rFonts w:ascii="黑体" w:hAnsi="黑体" w:eastAsia="黑体"/>
          <w:b w:val="0"/>
          <w:sz w:val="21"/>
          <w:szCs w:val="21"/>
        </w:rPr>
      </w:pPr>
      <w:bookmarkStart w:id="351" w:name="_Toc172187900"/>
      <w:bookmarkStart w:id="352" w:name="_Toc172188961"/>
      <w:bookmarkStart w:id="353" w:name="_Toc29846"/>
      <w:r>
        <w:rPr>
          <w:rFonts w:ascii="黑体" w:hAnsi="黑体" w:eastAsia="黑体"/>
          <w:b w:val="0"/>
          <w:sz w:val="21"/>
          <w:szCs w:val="21"/>
        </w:rPr>
        <w:t>10 预制构件生产与运输</w:t>
      </w:r>
      <w:bookmarkEnd w:id="351"/>
      <w:bookmarkEnd w:id="352"/>
      <w:bookmarkEnd w:id="353"/>
    </w:p>
    <w:p>
      <w:pPr>
        <w:pStyle w:val="210"/>
        <w:spacing w:before="240" w:after="240"/>
        <w:outlineLvl w:val="2"/>
        <w:rPr>
          <w:rFonts w:ascii="黑体" w:hAnsi="黑体" w:eastAsia="黑体"/>
          <w:b w:val="0"/>
          <w:sz w:val="21"/>
          <w:szCs w:val="21"/>
        </w:rPr>
      </w:pPr>
      <w:bookmarkStart w:id="354" w:name="_Toc172187901"/>
      <w:bookmarkStart w:id="355" w:name="_Toc172188962"/>
      <w:r>
        <w:rPr>
          <w:rFonts w:ascii="黑体" w:hAnsi="黑体" w:eastAsia="黑体"/>
          <w:b w:val="0"/>
          <w:sz w:val="21"/>
          <w:szCs w:val="21"/>
        </w:rPr>
        <w:t>10.1 一般规定</w:t>
      </w:r>
      <w:bookmarkEnd w:id="354"/>
      <w:bookmarkEnd w:id="355"/>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10.1.1</w:t>
      </w:r>
      <w:r>
        <w:rPr>
          <w:rFonts w:ascii="Times New Roman" w:hAnsi="Times New Roman" w:eastAsia="宋体" w:cs="Times New Roman"/>
          <w:sz w:val="21"/>
          <w:szCs w:val="21"/>
          <w:lang w:val="en-US"/>
        </w:rPr>
        <w:t xml:space="preserve"> 本条规定了建筑部品部件生产企业的基本要求。从企业有固定的生产设备、质量管理体系及试验检测手段等方面进行了规定。</w:t>
      </w:r>
    </w:p>
    <w:p>
      <w:pPr>
        <w:pStyle w:val="210"/>
        <w:spacing w:before="240" w:after="240"/>
        <w:outlineLvl w:val="2"/>
        <w:rPr>
          <w:rFonts w:ascii="黑体" w:hAnsi="黑体" w:eastAsia="黑体"/>
          <w:b w:val="0"/>
          <w:sz w:val="21"/>
          <w:szCs w:val="21"/>
        </w:rPr>
      </w:pPr>
      <w:bookmarkStart w:id="356" w:name="_Toc172187902"/>
      <w:bookmarkStart w:id="357" w:name="_Toc172188963"/>
      <w:r>
        <w:rPr>
          <w:rFonts w:ascii="黑体" w:hAnsi="黑体" w:eastAsia="黑体"/>
          <w:b w:val="0"/>
          <w:sz w:val="21"/>
          <w:szCs w:val="21"/>
        </w:rPr>
        <w:t>10.2 生产准备</w:t>
      </w:r>
      <w:bookmarkEnd w:id="356"/>
      <w:bookmarkEnd w:id="357"/>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10.2.2</w:t>
      </w:r>
      <w:r>
        <w:rPr>
          <w:rFonts w:ascii="Times New Roman" w:hAnsi="Times New Roman" w:eastAsia="宋体" w:cs="Times New Roman"/>
          <w:sz w:val="21"/>
          <w:szCs w:val="21"/>
          <w:lang w:val="en-US"/>
        </w:rPr>
        <w:t xml:space="preserve"> 装配式建筑构件制作前应进行深化设计，深化设计应包括以下内容：预制构件模板、配筋图、预埋吊具和埋设构件的细部结构；带饰面砖或饰面板构件的排砖图或排板图；复合保温墙板的连接件布置图及保温板排板图；构件加工图；预制件在脱模、翻转过程中的强度，构件的承载能力、构件和吊具的变形；预埋吊件的承载力验算等。</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10.2.5</w:t>
      </w:r>
      <w:r>
        <w:rPr>
          <w:rFonts w:ascii="Times New Roman" w:hAnsi="Times New Roman" w:eastAsia="宋体" w:cs="Times New Roman"/>
          <w:sz w:val="21"/>
          <w:szCs w:val="21"/>
          <w:lang w:val="en-US"/>
        </w:rPr>
        <w:t xml:space="preserve"> 模具精度是保证构件制作质量的关键，对于新制、改制或生产数量超过一定数量的模具生产前应按要求进行尺寸偏差检验，合格后方可投入使用。</w:t>
      </w:r>
    </w:p>
    <w:p>
      <w:pPr>
        <w:pStyle w:val="210"/>
        <w:spacing w:before="240" w:after="240"/>
        <w:outlineLvl w:val="2"/>
        <w:rPr>
          <w:rFonts w:ascii="黑体" w:hAnsi="黑体" w:eastAsia="黑体"/>
          <w:b w:val="0"/>
          <w:sz w:val="21"/>
          <w:szCs w:val="21"/>
        </w:rPr>
      </w:pPr>
      <w:bookmarkStart w:id="358" w:name="_Toc172187903"/>
      <w:bookmarkStart w:id="359" w:name="_Toc172188964"/>
      <w:r>
        <w:rPr>
          <w:rFonts w:ascii="黑体" w:hAnsi="黑体" w:eastAsia="黑体"/>
          <w:b w:val="0"/>
          <w:sz w:val="21"/>
          <w:szCs w:val="21"/>
        </w:rPr>
        <w:t>10.3 构件制作</w:t>
      </w:r>
      <w:bookmarkEnd w:id="358"/>
      <w:bookmarkEnd w:id="359"/>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10.3.1</w:t>
      </w:r>
      <w:r>
        <w:rPr>
          <w:rFonts w:hint="eastAsia" w:ascii="Times New Roman" w:hAnsi="Times New Roman" w:eastAsia="宋体" w:cs="Times New Roman"/>
          <w:sz w:val="21"/>
          <w:szCs w:val="21"/>
          <w:lang w:val="en-US"/>
        </w:rPr>
        <w:t xml:space="preserve"> </w:t>
      </w:r>
      <w:r>
        <w:rPr>
          <w:rFonts w:ascii="Times New Roman" w:hAnsi="Times New Roman" w:eastAsia="宋体" w:cs="Times New Roman"/>
          <w:sz w:val="21"/>
          <w:szCs w:val="21"/>
          <w:lang w:val="en-US"/>
        </w:rPr>
        <w:t>制作构件用钢筋骨架或钢筋网片的尺寸偏差应按要求进行抽样检验。</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10.3.2</w:t>
      </w:r>
      <w:r>
        <w:rPr>
          <w:rFonts w:ascii="Times New Roman" w:hAnsi="Times New Roman" w:eastAsia="宋体" w:cs="Times New Roman"/>
          <w:sz w:val="21"/>
          <w:szCs w:val="21"/>
          <w:lang w:val="en-US"/>
        </w:rPr>
        <w:t xml:space="preserve"> 预制构件中的预留预埋件及孔洞的形状尺寸和中心定位偏差非常重要，生产时应按要求进行抽样检验。施工过程中临时使用的预埋件可适当放松。</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10.3.9</w:t>
      </w:r>
      <w:r>
        <w:rPr>
          <w:rFonts w:hint="eastAsia" w:ascii="Times New Roman" w:hAnsi="Times New Roman" w:eastAsia="宋体" w:cs="Times New Roman"/>
          <w:sz w:val="21"/>
          <w:szCs w:val="21"/>
          <w:lang w:val="en-US"/>
        </w:rPr>
        <w:t xml:space="preserve"> </w:t>
      </w:r>
      <w:r>
        <w:rPr>
          <w:rFonts w:ascii="Times New Roman" w:hAnsi="Times New Roman" w:eastAsia="宋体" w:cs="Times New Roman"/>
          <w:sz w:val="21"/>
          <w:szCs w:val="21"/>
          <w:lang w:val="en-US"/>
        </w:rPr>
        <w:t>预制构件的蒸汽养护主要是为了加速混凝土凝结硬化，缩短脱模时间，加快模板的周转，提高生产效率，养护时要按照养护制度的规定进行控制，可以有效避便构件的温差收缩裂缝，保证产品质量非常关键。如果条件许可，构件也可以采用自然养护。</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10.3.10</w:t>
      </w:r>
      <w:r>
        <w:rPr>
          <w:rFonts w:hint="eastAsia" w:ascii="Times New Roman" w:hAnsi="Times New Roman" w:eastAsia="宋体" w:cs="Times New Roman"/>
          <w:sz w:val="21"/>
          <w:szCs w:val="21"/>
          <w:lang w:val="en-US"/>
        </w:rPr>
        <w:t xml:space="preserve"> </w:t>
      </w:r>
      <w:r>
        <w:rPr>
          <w:rFonts w:ascii="Times New Roman" w:hAnsi="Times New Roman" w:eastAsia="宋体" w:cs="Times New Roman"/>
          <w:sz w:val="21"/>
          <w:szCs w:val="21"/>
          <w:lang w:val="en-US"/>
        </w:rPr>
        <w:t>预制构件脱模强度要根据构件的类型和设计要求决定，为防止过早脱模造成构件出现过大变形或开裂，本规定提出构件脱模的最低要求。</w:t>
      </w:r>
    </w:p>
    <w:p>
      <w:pPr>
        <w:pStyle w:val="210"/>
        <w:spacing w:before="240" w:after="240"/>
        <w:outlineLvl w:val="2"/>
        <w:rPr>
          <w:rFonts w:ascii="黑体" w:hAnsi="黑体" w:eastAsia="黑体"/>
          <w:b w:val="0"/>
          <w:sz w:val="21"/>
          <w:szCs w:val="21"/>
        </w:rPr>
      </w:pPr>
      <w:bookmarkStart w:id="360" w:name="_Toc172187904"/>
      <w:bookmarkStart w:id="361" w:name="_Toc172188965"/>
      <w:r>
        <w:rPr>
          <w:rFonts w:ascii="黑体" w:hAnsi="黑体" w:eastAsia="黑体"/>
          <w:b w:val="0"/>
          <w:sz w:val="21"/>
          <w:szCs w:val="21"/>
        </w:rPr>
        <w:t>10.4 构件质量检验</w:t>
      </w:r>
      <w:bookmarkEnd w:id="360"/>
      <w:bookmarkEnd w:id="361"/>
    </w:p>
    <w:p>
      <w:pPr>
        <w:spacing w:before="120" w:beforeLines="50" w:after="120" w:afterLines="50"/>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10.4.1</w:t>
      </w:r>
      <w:r>
        <w:rPr>
          <w:rFonts w:ascii="Times New Roman" w:hAnsi="Times New Roman" w:eastAsia="宋体" w:cs="Times New Roman"/>
          <w:sz w:val="21"/>
          <w:szCs w:val="21"/>
          <w:lang w:val="en-US"/>
        </w:rPr>
        <w:t xml:space="preserve"> </w:t>
      </w:r>
      <w:r>
        <w:rPr>
          <w:rFonts w:ascii="Times New Roman" w:hAnsi="Times New Roman" w:eastAsia="宋体" w:cs="Times New Roman"/>
          <w:sz w:val="21"/>
          <w:szCs w:val="21"/>
        </w:rPr>
        <w:t>现行国家标准GB 50204《混凝土结构工程施工质量验收规范》第7.1.1条对现浇混凝土外观质量的严重缺陷和一般缺陷分别做了规定，本规程对预制构件外观质量检查参照相关地方标准DB21/T 1872《预制混凝土构件制作与验收规程》的规定。</w:t>
      </w:r>
    </w:p>
    <w:p>
      <w:pPr>
        <w:spacing w:before="120" w:beforeLines="50" w:after="120" w:afterLines="50"/>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10.4.4</w:t>
      </w:r>
      <w:r>
        <w:rPr>
          <w:rFonts w:ascii="Times New Roman" w:hAnsi="Times New Roman" w:eastAsia="宋体" w:cs="Times New Roman"/>
          <w:sz w:val="21"/>
          <w:szCs w:val="21"/>
          <w:lang w:val="en-US"/>
        </w:rPr>
        <w:t xml:space="preserve"> </w:t>
      </w:r>
      <w:r>
        <w:rPr>
          <w:rFonts w:ascii="Times New Roman" w:hAnsi="Times New Roman" w:eastAsia="宋体" w:cs="Times New Roman"/>
          <w:sz w:val="21"/>
          <w:szCs w:val="21"/>
        </w:rPr>
        <w:t>本条规定主要涉及预制构件定型尺寸和定位尺寸的控制要求，是指预制构件需要严格控制的关键部位尺寸偏差。</w:t>
      </w:r>
    </w:p>
    <w:p>
      <w:pPr>
        <w:pStyle w:val="210"/>
        <w:spacing w:before="240" w:after="240"/>
        <w:outlineLvl w:val="2"/>
        <w:rPr>
          <w:rFonts w:ascii="黑体" w:hAnsi="黑体" w:eastAsia="黑体"/>
          <w:b w:val="0"/>
          <w:sz w:val="21"/>
          <w:szCs w:val="21"/>
        </w:rPr>
      </w:pPr>
      <w:bookmarkStart w:id="362" w:name="_Toc172188966"/>
      <w:bookmarkStart w:id="363" w:name="_Toc172187905"/>
      <w:r>
        <w:rPr>
          <w:rFonts w:ascii="黑体" w:hAnsi="黑体" w:eastAsia="黑体"/>
          <w:b w:val="0"/>
          <w:sz w:val="21"/>
          <w:szCs w:val="21"/>
        </w:rPr>
        <w:t>10.5 存放和运输</w:t>
      </w:r>
      <w:bookmarkEnd w:id="362"/>
      <w:bookmarkEnd w:id="363"/>
    </w:p>
    <w:p>
      <w:pPr>
        <w:spacing w:before="120" w:beforeLines="50" w:after="120" w:afterLines="50"/>
        <w:rPr>
          <w:rFonts w:ascii="Times New Roman" w:hAnsi="Times New Roman" w:eastAsia="宋体" w:cs="Times New Roman"/>
          <w:sz w:val="21"/>
          <w:szCs w:val="21"/>
        </w:rPr>
      </w:pPr>
      <w:r>
        <w:rPr>
          <w:rStyle w:val="118"/>
          <w:rFonts w:ascii="黑体" w:hAnsi="黑体" w:eastAsia="黑体" w:cs="Times New Roman"/>
          <w:spacing w:val="0"/>
          <w:kern w:val="2"/>
          <w:sz w:val="21"/>
          <w:szCs w:val="21"/>
        </w:rPr>
        <w:t>10.5.3</w:t>
      </w:r>
      <w:r>
        <w:rPr>
          <w:rFonts w:ascii="Times New Roman" w:hAnsi="Times New Roman" w:eastAsia="宋体" w:cs="Times New Roman"/>
          <w:sz w:val="21"/>
          <w:szCs w:val="21"/>
          <w:lang w:val="en-US"/>
        </w:rPr>
        <w:t xml:space="preserve"> </w:t>
      </w:r>
      <w:r>
        <w:rPr>
          <w:rFonts w:ascii="Times New Roman" w:hAnsi="Times New Roman" w:eastAsia="宋体" w:cs="Times New Roman"/>
          <w:sz w:val="21"/>
          <w:szCs w:val="21"/>
        </w:rPr>
        <w:t>存放场地应平整并有足够的承载力，避免发生由于场地原因造成构件开裂和损坏。</w:t>
      </w:r>
    </w:p>
    <w:p>
      <w:pPr>
        <w:pStyle w:val="210"/>
        <w:spacing w:before="240" w:after="240"/>
        <w:rPr>
          <w:rFonts w:ascii="黑体" w:hAnsi="黑体" w:eastAsia="黑体"/>
          <w:b w:val="0"/>
          <w:sz w:val="21"/>
          <w:szCs w:val="21"/>
        </w:rPr>
      </w:pPr>
      <w:bookmarkStart w:id="364" w:name="_Toc172188967"/>
      <w:bookmarkStart w:id="365" w:name="_Toc23403"/>
      <w:bookmarkStart w:id="366" w:name="_Toc172187906"/>
      <w:r>
        <w:rPr>
          <w:rFonts w:ascii="黑体" w:hAnsi="黑体" w:eastAsia="黑体"/>
          <w:b w:val="0"/>
          <w:sz w:val="21"/>
          <w:szCs w:val="21"/>
        </w:rPr>
        <w:t>11 结构施工</w:t>
      </w:r>
      <w:bookmarkEnd w:id="364"/>
      <w:bookmarkEnd w:id="365"/>
      <w:bookmarkEnd w:id="366"/>
    </w:p>
    <w:p>
      <w:pPr>
        <w:pStyle w:val="210"/>
        <w:spacing w:before="240" w:after="240"/>
        <w:outlineLvl w:val="2"/>
        <w:rPr>
          <w:rFonts w:ascii="黑体" w:hAnsi="黑体" w:eastAsia="黑体"/>
          <w:b w:val="0"/>
          <w:sz w:val="21"/>
          <w:szCs w:val="21"/>
        </w:rPr>
      </w:pPr>
      <w:bookmarkStart w:id="367" w:name="_Toc172187907"/>
      <w:bookmarkStart w:id="368" w:name="_Toc172188968"/>
      <w:r>
        <w:rPr>
          <w:rFonts w:ascii="黑体" w:hAnsi="黑体" w:eastAsia="黑体"/>
          <w:b w:val="0"/>
          <w:sz w:val="21"/>
          <w:szCs w:val="21"/>
        </w:rPr>
        <w:t>11.1 一般规定</w:t>
      </w:r>
      <w:bookmarkEnd w:id="367"/>
      <w:bookmarkEnd w:id="368"/>
    </w:p>
    <w:p>
      <w:pPr>
        <w:spacing w:before="120" w:beforeLines="50" w:after="120" w:afterLines="50"/>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11.1.1</w:t>
      </w:r>
      <w:r>
        <w:rPr>
          <w:rFonts w:ascii="Times New Roman" w:hAnsi="Times New Roman" w:eastAsia="宋体" w:cs="Times New Roman"/>
          <w:sz w:val="21"/>
          <w:szCs w:val="21"/>
          <w:lang w:val="en-US"/>
        </w:rPr>
        <w:t xml:space="preserve"> </w:t>
      </w:r>
      <w:r>
        <w:rPr>
          <w:rFonts w:ascii="Times New Roman" w:hAnsi="Times New Roman" w:eastAsia="宋体" w:cs="Times New Roman"/>
          <w:sz w:val="21"/>
          <w:szCs w:val="21"/>
        </w:rPr>
        <w:t>装配整体式结构施工方案应结合结构深化设计、构件制作、运输和安装全过程各工况验算及施工吊装与支撑体系验算等进行策划与制定，应由装配施工、预制构件制作及相关的专业共同参与，施工方案充分反映装配式结构施工的特点和工艺流程的特殊要求。</w:t>
      </w:r>
    </w:p>
    <w:p>
      <w:pPr>
        <w:spacing w:before="120" w:beforeLines="50" w:after="120" w:afterLines="50"/>
        <w:rPr>
          <w:rFonts w:ascii="Times New Roman" w:hAnsi="Times New Roman" w:eastAsia="宋体" w:cs="Times New Roman"/>
          <w:bCs/>
          <w:sz w:val="21"/>
          <w:szCs w:val="21"/>
        </w:rPr>
      </w:pPr>
      <w:r>
        <w:rPr>
          <w:rStyle w:val="118"/>
          <w:rFonts w:ascii="黑体" w:hAnsi="黑体" w:eastAsia="黑体" w:cs="Times New Roman"/>
          <w:spacing w:val="0"/>
          <w:kern w:val="2"/>
          <w:sz w:val="21"/>
          <w:szCs w:val="21"/>
        </w:rPr>
        <w:t>11.1.4</w:t>
      </w:r>
      <w:r>
        <w:rPr>
          <w:rFonts w:ascii="Times New Roman" w:hAnsi="Times New Roman" w:eastAsia="宋体" w:cs="Times New Roman"/>
          <w:bCs/>
          <w:sz w:val="21"/>
          <w:szCs w:val="21"/>
        </w:rPr>
        <w:t xml:space="preserve"> 吊具选用按起重吊装工程的技术和安全要求执行。为提高施工效率，可以采用多功能专用吊具，以适应不同类型的构件吊装。</w:t>
      </w:r>
    </w:p>
    <w:p>
      <w:pPr>
        <w:pStyle w:val="210"/>
        <w:spacing w:before="240" w:after="240"/>
        <w:outlineLvl w:val="2"/>
        <w:rPr>
          <w:rFonts w:ascii="黑体" w:hAnsi="黑体" w:eastAsia="黑体"/>
          <w:b w:val="0"/>
          <w:sz w:val="21"/>
          <w:szCs w:val="21"/>
        </w:rPr>
      </w:pPr>
      <w:bookmarkStart w:id="369" w:name="_Toc172187908"/>
      <w:bookmarkStart w:id="370" w:name="_Toc172188969"/>
      <w:r>
        <w:rPr>
          <w:rFonts w:ascii="黑体" w:hAnsi="黑体" w:eastAsia="黑体"/>
          <w:b w:val="0"/>
          <w:sz w:val="21"/>
          <w:szCs w:val="21"/>
        </w:rPr>
        <w:t>11.2 安装准备</w:t>
      </w:r>
      <w:bookmarkEnd w:id="369"/>
      <w:bookmarkEnd w:id="370"/>
    </w:p>
    <w:p>
      <w:pPr>
        <w:spacing w:before="120" w:beforeLines="50" w:after="120" w:afterLines="50"/>
        <w:jc w:val="both"/>
        <w:rPr>
          <w:rFonts w:ascii="Times New Roman" w:hAnsi="Times New Roman" w:eastAsia="宋体" w:cs="Times New Roman"/>
          <w:sz w:val="21"/>
          <w:szCs w:val="21"/>
        </w:rPr>
      </w:pPr>
      <w:r>
        <w:rPr>
          <w:rStyle w:val="118"/>
          <w:rFonts w:ascii="黑体" w:hAnsi="黑体" w:eastAsia="黑体" w:cs="Times New Roman"/>
          <w:spacing w:val="0"/>
          <w:kern w:val="2"/>
          <w:sz w:val="21"/>
          <w:szCs w:val="21"/>
        </w:rPr>
        <w:t>11.2.1</w:t>
      </w:r>
      <w:r>
        <w:rPr>
          <w:rFonts w:ascii="Times New Roman" w:hAnsi="Times New Roman" w:eastAsia="宋体" w:cs="Times New Roman"/>
          <w:sz w:val="21"/>
          <w:szCs w:val="21"/>
          <w:lang w:val="en-US"/>
        </w:rPr>
        <w:t xml:space="preserve"> 安装施工前，应核对已施工完成结构的混凝土强度、外观质量、尺寸偏差等，并应核对预制构件的混凝土强度及预制构件和配件的型号、规格、数量等。</w:t>
      </w:r>
    </w:p>
    <w:p>
      <w:pPr>
        <w:pStyle w:val="210"/>
        <w:spacing w:before="240" w:after="240"/>
        <w:outlineLvl w:val="2"/>
        <w:rPr>
          <w:rFonts w:ascii="黑体" w:hAnsi="黑体" w:eastAsia="黑体"/>
          <w:b w:val="0"/>
          <w:sz w:val="21"/>
          <w:szCs w:val="21"/>
        </w:rPr>
      </w:pPr>
      <w:bookmarkStart w:id="371" w:name="_Toc172187909"/>
      <w:bookmarkStart w:id="372" w:name="_Toc172188970"/>
      <w:r>
        <w:rPr>
          <w:rFonts w:ascii="黑体" w:hAnsi="黑体" w:eastAsia="黑体"/>
          <w:b w:val="0"/>
          <w:sz w:val="21"/>
          <w:szCs w:val="21"/>
        </w:rPr>
        <w:t>11.3 安装施工</w:t>
      </w:r>
      <w:bookmarkEnd w:id="371"/>
      <w:bookmarkEnd w:id="372"/>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11.3.4</w:t>
      </w:r>
      <w:r>
        <w:rPr>
          <w:rFonts w:ascii="Times New Roman" w:hAnsi="Times New Roman" w:eastAsia="宋体" w:cs="Times New Roman"/>
          <w:sz w:val="21"/>
          <w:szCs w:val="21"/>
          <w:lang w:val="en-US"/>
        </w:rPr>
        <w:t xml:space="preserve"> 钢筋套筒灌浆连接施工是装配整体式混凝土结构工程的关键环节之一。实际工程中钢筋套筒灌浆连接的质量很大程度取决于施工过程控制，因此要求监理人员在灌浆操作全过程旁站，同时要对作业人员进行培训考核。钢筋套筒灌浆连接施工尚需符合有关技术规程和认证配套产品的使用说明书要求。</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11.3.8</w:t>
      </w:r>
      <w:r>
        <w:rPr>
          <w:rFonts w:ascii="Times New Roman" w:hAnsi="Times New Roman" w:eastAsia="宋体" w:cs="Times New Roman"/>
          <w:sz w:val="21"/>
          <w:szCs w:val="21"/>
          <w:lang w:val="en-US"/>
        </w:rPr>
        <w:t xml:space="preserve"> 支撑体系拆除应符合现行国家标准GB 50204《混凝土结构工程施工质量验收规范》底模拆除时的混凝土强度要求。</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11.3.12</w:t>
      </w:r>
      <w:r>
        <w:rPr>
          <w:rFonts w:ascii="Times New Roman" w:hAnsi="Times New Roman" w:eastAsia="宋体" w:cs="Times New Roman"/>
          <w:sz w:val="21"/>
          <w:szCs w:val="21"/>
          <w:lang w:val="en-US"/>
        </w:rPr>
        <w:t xml:space="preserve"> 房屋渗漏水属零容忍，因此必须做淋水试验。试验时，在屋檐下竖缝1.0m宽范围内淋水40min，出水口水压不小于0.1MPa，形成水幕。</w:t>
      </w:r>
    </w:p>
    <w:p>
      <w:pPr>
        <w:pStyle w:val="210"/>
        <w:spacing w:before="240" w:after="240"/>
        <w:outlineLvl w:val="2"/>
        <w:rPr>
          <w:rFonts w:ascii="黑体" w:hAnsi="黑体" w:eastAsia="黑体"/>
          <w:b w:val="0"/>
          <w:sz w:val="21"/>
          <w:szCs w:val="21"/>
        </w:rPr>
      </w:pPr>
      <w:bookmarkStart w:id="373" w:name="_Toc172188971"/>
      <w:bookmarkStart w:id="374" w:name="_Toc172187910"/>
      <w:r>
        <w:rPr>
          <w:rFonts w:ascii="黑体" w:hAnsi="黑体" w:eastAsia="黑体"/>
          <w:b w:val="0"/>
          <w:sz w:val="21"/>
          <w:szCs w:val="21"/>
        </w:rPr>
        <w:t>11.4 安装质量验收</w:t>
      </w:r>
      <w:bookmarkEnd w:id="373"/>
      <w:bookmarkEnd w:id="374"/>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11.4.4</w:t>
      </w:r>
      <w:r>
        <w:rPr>
          <w:rFonts w:ascii="Times New Roman" w:hAnsi="Times New Roman" w:eastAsia="宋体" w:cs="Times New Roman"/>
          <w:sz w:val="21"/>
          <w:szCs w:val="21"/>
          <w:lang w:val="en-US"/>
        </w:rPr>
        <w:t xml:space="preserve"> 本条规定了工程验收时应提供的文件和记录。</w:t>
      </w:r>
    </w:p>
    <w:p>
      <w:pPr>
        <w:pStyle w:val="210"/>
        <w:spacing w:before="240" w:after="240"/>
        <w:outlineLvl w:val="2"/>
        <w:rPr>
          <w:rFonts w:ascii="黑体" w:hAnsi="黑体" w:eastAsia="黑体"/>
          <w:b w:val="0"/>
          <w:sz w:val="21"/>
          <w:szCs w:val="21"/>
        </w:rPr>
      </w:pPr>
      <w:bookmarkStart w:id="375" w:name="_Toc172187911"/>
      <w:bookmarkStart w:id="376" w:name="_Toc172188972"/>
      <w:r>
        <w:rPr>
          <w:rFonts w:ascii="黑体" w:hAnsi="黑体" w:eastAsia="黑体"/>
          <w:b w:val="0"/>
          <w:sz w:val="21"/>
          <w:szCs w:val="21"/>
        </w:rPr>
        <w:t>11.5 安全管理</w:t>
      </w:r>
      <w:bookmarkEnd w:id="375"/>
      <w:bookmarkEnd w:id="376"/>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11.5.2</w:t>
      </w:r>
      <w:r>
        <w:rPr>
          <w:rFonts w:ascii="Times New Roman" w:hAnsi="Times New Roman" w:eastAsia="宋体" w:cs="Times New Roman"/>
          <w:sz w:val="21"/>
          <w:szCs w:val="21"/>
          <w:lang w:val="en-US"/>
        </w:rPr>
        <w:t xml:space="preserve"> 施工企业应对危险源进行辨识、分析，提出应对处理措施，制定应急预案，并根据应急预案进行演练。</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11.5.4</w:t>
      </w:r>
      <w:r>
        <w:rPr>
          <w:rFonts w:ascii="Times New Roman" w:hAnsi="Times New Roman" w:eastAsia="宋体" w:cs="Times New Roman"/>
          <w:sz w:val="21"/>
          <w:szCs w:val="21"/>
          <w:lang w:val="en-US"/>
        </w:rPr>
        <w:t xml:space="preserve"> 构件吊运时，吊机回转半径范围内，为非作业人员禁止入内区域，以防坠物伤人。</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11.5.5</w:t>
      </w:r>
      <w:r>
        <w:rPr>
          <w:rFonts w:ascii="Times New Roman" w:hAnsi="Times New Roman" w:eastAsia="宋体" w:cs="Times New Roman"/>
          <w:sz w:val="21"/>
          <w:szCs w:val="21"/>
          <w:lang w:val="en-US"/>
        </w:rPr>
        <w:t xml:space="preserve"> 装配式构件或体系选用的支撑应经计算符合受力要求，架身组合后，经验收、挂牌后使用。</w:t>
      </w:r>
    </w:p>
    <w:p>
      <w:pPr>
        <w:pStyle w:val="210"/>
        <w:spacing w:before="240" w:after="240"/>
        <w:outlineLvl w:val="2"/>
        <w:rPr>
          <w:rFonts w:ascii="黑体" w:hAnsi="黑体" w:eastAsia="黑体"/>
          <w:b w:val="0"/>
          <w:sz w:val="21"/>
          <w:szCs w:val="21"/>
        </w:rPr>
      </w:pPr>
      <w:bookmarkStart w:id="377" w:name="_Toc172187912"/>
      <w:bookmarkStart w:id="378" w:name="_Toc172188973"/>
      <w:r>
        <w:rPr>
          <w:rFonts w:ascii="黑体" w:hAnsi="黑体" w:eastAsia="黑体"/>
          <w:b w:val="0"/>
          <w:sz w:val="21"/>
          <w:szCs w:val="21"/>
        </w:rPr>
        <w:t>11.6 成品保护</w:t>
      </w:r>
      <w:bookmarkEnd w:id="377"/>
      <w:bookmarkEnd w:id="378"/>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11.6.2</w:t>
      </w:r>
      <w:r>
        <w:rPr>
          <w:rFonts w:ascii="Times New Roman" w:hAnsi="Times New Roman" w:eastAsia="宋体" w:cs="Times New Roman"/>
          <w:sz w:val="21"/>
          <w:szCs w:val="21"/>
          <w:lang w:val="en-US"/>
        </w:rPr>
        <w:t xml:space="preserve"> 交叉作业时，应做好工序交接，做好已完成部位移交单，各工种之间明确责任主体。</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11.6.3</w:t>
      </w:r>
      <w:r>
        <w:rPr>
          <w:rFonts w:ascii="Times New Roman" w:hAnsi="Times New Roman" w:eastAsia="宋体" w:cs="Times New Roman"/>
          <w:sz w:val="21"/>
          <w:szCs w:val="21"/>
          <w:lang w:val="en-US"/>
        </w:rPr>
        <w:t xml:space="preserve"> 饰面砖保护应选用无退色或污染的材料，以防揭膜后，饰面砖表面被污染。</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11.6.5</w:t>
      </w:r>
      <w:r>
        <w:rPr>
          <w:rFonts w:ascii="Times New Roman" w:hAnsi="Times New Roman" w:eastAsia="宋体" w:cs="Times New Roman"/>
          <w:sz w:val="21"/>
          <w:szCs w:val="21"/>
          <w:lang w:val="en-US"/>
        </w:rPr>
        <w:t xml:space="preserve"> 本条规定了预制楼梯安装后，应对台阶做必要的保护。施工现场可采用木模板或定型化装置进行成品保护。由于预制楼梯是最后饰面，成品保护是非常必要的。</w:t>
      </w:r>
    </w:p>
    <w:p>
      <w:pPr>
        <w:pStyle w:val="210"/>
        <w:spacing w:before="240" w:after="240"/>
        <w:rPr>
          <w:rFonts w:ascii="黑体" w:hAnsi="黑体" w:eastAsia="黑体"/>
          <w:b w:val="0"/>
          <w:sz w:val="21"/>
          <w:szCs w:val="21"/>
        </w:rPr>
      </w:pPr>
      <w:bookmarkStart w:id="379" w:name="_Toc12381"/>
      <w:bookmarkStart w:id="380" w:name="_Toc172187913"/>
      <w:bookmarkStart w:id="381" w:name="_Toc172188974"/>
      <w:r>
        <w:rPr>
          <w:rFonts w:ascii="黑体" w:hAnsi="黑体" w:eastAsia="黑体"/>
          <w:b w:val="0"/>
          <w:sz w:val="21"/>
          <w:szCs w:val="21"/>
        </w:rPr>
        <w:t>12 工程验收</w:t>
      </w:r>
      <w:bookmarkEnd w:id="379"/>
      <w:bookmarkEnd w:id="380"/>
      <w:bookmarkEnd w:id="381"/>
    </w:p>
    <w:p>
      <w:pPr>
        <w:pStyle w:val="210"/>
        <w:spacing w:before="240" w:after="240"/>
        <w:outlineLvl w:val="2"/>
        <w:rPr>
          <w:rFonts w:ascii="黑体" w:hAnsi="黑体" w:eastAsia="黑体"/>
          <w:b w:val="0"/>
          <w:sz w:val="21"/>
          <w:szCs w:val="21"/>
        </w:rPr>
      </w:pPr>
      <w:bookmarkStart w:id="382" w:name="_Toc172187914"/>
      <w:bookmarkStart w:id="383" w:name="_Toc172188975"/>
      <w:r>
        <w:rPr>
          <w:rFonts w:ascii="黑体" w:hAnsi="黑体" w:eastAsia="黑体"/>
          <w:b w:val="0"/>
          <w:sz w:val="21"/>
          <w:szCs w:val="21"/>
        </w:rPr>
        <w:t>12.1 一般规定</w:t>
      </w:r>
      <w:bookmarkEnd w:id="382"/>
      <w:bookmarkEnd w:id="383"/>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12.1.4</w:t>
      </w:r>
      <w:r>
        <w:rPr>
          <w:rFonts w:ascii="Times New Roman" w:hAnsi="Times New Roman" w:eastAsia="宋体" w:cs="Times New Roman"/>
          <w:b/>
          <w:bCs/>
          <w:sz w:val="21"/>
          <w:szCs w:val="21"/>
          <w:lang w:val="en-US"/>
        </w:rPr>
        <w:t xml:space="preserve"> </w:t>
      </w:r>
      <w:r>
        <w:rPr>
          <w:rFonts w:ascii="Times New Roman" w:hAnsi="Times New Roman" w:eastAsia="宋体" w:cs="Times New Roman"/>
          <w:sz w:val="21"/>
          <w:szCs w:val="21"/>
          <w:lang w:val="en-US"/>
        </w:rPr>
        <w:t>本条规定的验收内容涉及采用后浇混凝土连接及采用叠合构件的装配整体式结构，隐蔽工程反映钢筋、现浇结构分项工程施工的综合质量，后浇混凝土处的钢筋既包括预制构件外伸的钢筋，也包括后浇混凝土中设置的纵向钢筋和箍筋。在浇筑混凝土之前进行隐蔽工程验收是为了确保其连接构造性能满足设计要求。</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12.1.5</w:t>
      </w:r>
      <w:r>
        <w:rPr>
          <w:rFonts w:ascii="Times New Roman" w:hAnsi="Times New Roman" w:eastAsia="宋体" w:cs="Times New Roman"/>
          <w:sz w:val="21"/>
          <w:szCs w:val="21"/>
          <w:lang w:val="en-US"/>
        </w:rPr>
        <w:t xml:space="preserve"> 本条是针对装配整体式混凝土结构子分部工程施工质量验收时应提交的主要文件和记录，是保证工程质量实现可追溯性的基本要求。</w:t>
      </w:r>
    </w:p>
    <w:p>
      <w:pPr>
        <w:pStyle w:val="210"/>
        <w:spacing w:before="240" w:after="240"/>
        <w:outlineLvl w:val="2"/>
        <w:rPr>
          <w:rFonts w:ascii="黑体" w:hAnsi="黑体" w:eastAsia="黑体"/>
          <w:b w:val="0"/>
          <w:sz w:val="21"/>
          <w:szCs w:val="21"/>
        </w:rPr>
      </w:pPr>
      <w:bookmarkStart w:id="384" w:name="_Toc172187915"/>
      <w:bookmarkStart w:id="385" w:name="_Toc172188976"/>
      <w:r>
        <w:rPr>
          <w:rFonts w:ascii="黑体" w:hAnsi="黑体" w:eastAsia="黑体"/>
          <w:b w:val="0"/>
          <w:sz w:val="21"/>
          <w:szCs w:val="21"/>
        </w:rPr>
        <w:t>12.2 主控项目</w:t>
      </w:r>
      <w:bookmarkEnd w:id="384"/>
      <w:bookmarkEnd w:id="385"/>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12.2.1</w:t>
      </w:r>
      <w:r>
        <w:rPr>
          <w:rFonts w:ascii="Times New Roman" w:hAnsi="Times New Roman" w:eastAsia="宋体" w:cs="Times New Roman"/>
          <w:sz w:val="21"/>
          <w:szCs w:val="21"/>
          <w:lang w:val="en-US"/>
        </w:rPr>
        <w:t xml:space="preserve"> 本条对预制构件的质量提出了基本要求。对专业企业生产的预制构件，进场时应检查质量证明文件。质量证明文件包括产品合格证明书、混凝土强度检验报告及其他重要检验报告等；预制构件的钢筋、混凝土原材料、预埋件等均应参照本文件及国家现行相关标准的规定进行检验，其检验报告在预制构件进场时可不提供，但应在构件生产企业存档保留，以便需要时查阅。对于进场时不做结构性能检验的预制构件，质量证明文件尚应包括预制构件生产过程的关键验收记录。</w:t>
      </w:r>
    </w:p>
    <w:p>
      <w:pPr>
        <w:spacing w:before="120" w:beforeLines="50" w:after="120" w:afterLines="50"/>
        <w:ind w:firstLine="420" w:firstLineChars="200"/>
        <w:jc w:val="both"/>
        <w:rPr>
          <w:rFonts w:ascii="Times New Roman" w:hAnsi="Times New Roman" w:eastAsia="宋体" w:cs="Times New Roman"/>
          <w:sz w:val="21"/>
          <w:szCs w:val="21"/>
          <w:lang w:val="en-US"/>
        </w:rPr>
      </w:pPr>
      <w:r>
        <w:rPr>
          <w:rFonts w:ascii="Times New Roman" w:hAnsi="Times New Roman" w:eastAsia="宋体" w:cs="Times New Roman"/>
          <w:sz w:val="21"/>
          <w:szCs w:val="21"/>
          <w:lang w:val="en-US"/>
        </w:rPr>
        <w:t>对总承包单位制作的预制构件，没有</w:t>
      </w:r>
      <w:r>
        <w:rPr>
          <w:rFonts w:hint="eastAsia" w:ascii="Times New Roman" w:hAnsi="Times New Roman" w:eastAsia="宋体" w:cs="Times New Roman"/>
          <w:sz w:val="21"/>
          <w:szCs w:val="21"/>
          <w:lang w:val="en-US"/>
        </w:rPr>
        <w:t>“</w:t>
      </w:r>
      <w:r>
        <w:rPr>
          <w:rFonts w:ascii="Times New Roman" w:hAnsi="Times New Roman" w:eastAsia="宋体" w:cs="Times New Roman"/>
          <w:sz w:val="21"/>
          <w:szCs w:val="21"/>
          <w:lang w:val="en-US"/>
        </w:rPr>
        <w:t>进场</w:t>
      </w:r>
      <w:r>
        <w:rPr>
          <w:rFonts w:hint="eastAsia" w:ascii="Times New Roman" w:hAnsi="Times New Roman" w:eastAsia="宋体" w:cs="Times New Roman"/>
          <w:sz w:val="21"/>
          <w:szCs w:val="21"/>
          <w:lang w:val="en-US"/>
        </w:rPr>
        <w:t>”</w:t>
      </w:r>
      <w:r>
        <w:rPr>
          <w:rFonts w:ascii="Times New Roman" w:hAnsi="Times New Roman" w:eastAsia="宋体" w:cs="Times New Roman"/>
          <w:sz w:val="21"/>
          <w:szCs w:val="21"/>
          <w:lang w:val="en-US"/>
        </w:rPr>
        <w:t>的验收环节，其材料和制作质量应按本文件各章的规定进行验收。对构件的验收方式为检查构件制作中的质量验收记录。</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12.2.2</w:t>
      </w:r>
      <w:r>
        <w:rPr>
          <w:rFonts w:ascii="Times New Roman" w:hAnsi="Times New Roman" w:eastAsia="宋体" w:cs="Times New Roman"/>
          <w:sz w:val="21"/>
          <w:szCs w:val="21"/>
          <w:lang w:val="en-US"/>
        </w:rPr>
        <w:t xml:space="preserve"> 本条规定了专业企业生产预制构件进场时的结构性能检验要求。结构性能检验通常应在构件进场时进行，但考虑检验方便，工程中多在各方参与下在预制构件生产场地进行。考虑构件特点及加载检验条件，本条仅</w:t>
      </w:r>
      <w:r>
        <w:rPr>
          <w:rFonts w:hint="eastAsia" w:ascii="Times New Roman" w:hAnsi="Times New Roman" w:eastAsia="宋体" w:cs="Times New Roman"/>
          <w:sz w:val="21"/>
          <w:szCs w:val="21"/>
          <w:lang w:val="en-US"/>
        </w:rPr>
        <w:t>给</w:t>
      </w:r>
      <w:r>
        <w:rPr>
          <w:rFonts w:ascii="Times New Roman" w:hAnsi="Times New Roman" w:eastAsia="宋体" w:cs="Times New Roman"/>
          <w:sz w:val="21"/>
          <w:szCs w:val="21"/>
          <w:lang w:val="en-US"/>
        </w:rPr>
        <w:t>出了梁板类简支受弯预制构件的结构性能检验要求；其他预制构件除设计有专门要求外，进场时可不做结构性能检验。对于用于叠合楼板、叠合梁的梁板类受弯预制构件（叠合底板、底梁），是否进行结构性能检验、结构性能检验的方式应根据设计要求确定。对多个工程共同使用的同类型预制构件，也可在多个工程的施工、监理单位见证下共同委托进行结构性能检验，其结果对多个工程共同有效。</w:t>
      </w:r>
    </w:p>
    <w:p>
      <w:pPr>
        <w:spacing w:before="120" w:beforeLines="50" w:after="120" w:afterLines="50"/>
        <w:ind w:firstLine="420" w:firstLineChars="200"/>
        <w:jc w:val="both"/>
        <w:rPr>
          <w:rFonts w:ascii="Times New Roman" w:hAnsi="Times New Roman" w:eastAsia="宋体" w:cs="Times New Roman"/>
          <w:sz w:val="21"/>
          <w:szCs w:val="21"/>
          <w:lang w:val="en-US"/>
        </w:rPr>
      </w:pPr>
      <w:r>
        <w:rPr>
          <w:rFonts w:ascii="Times New Roman" w:hAnsi="Times New Roman" w:eastAsia="宋体" w:cs="Times New Roman"/>
          <w:sz w:val="21"/>
          <w:szCs w:val="21"/>
          <w:lang w:val="en-US"/>
        </w:rPr>
        <w:t>受弯预制构件的抗裂、变形及承载力性能的检验要求和检验方法应符合现行国家标准《混凝土结构工程施工质量验收规范》GB 50204的规定。</w:t>
      </w:r>
    </w:p>
    <w:p>
      <w:pPr>
        <w:spacing w:before="120" w:beforeLines="50" w:after="120" w:afterLines="50"/>
        <w:ind w:firstLine="420" w:firstLineChars="200"/>
        <w:jc w:val="both"/>
        <w:rPr>
          <w:rFonts w:ascii="Times New Roman" w:hAnsi="Times New Roman" w:eastAsia="宋体" w:cs="Times New Roman"/>
          <w:sz w:val="21"/>
          <w:szCs w:val="21"/>
          <w:lang w:val="en-US"/>
        </w:rPr>
      </w:pPr>
      <w:r>
        <w:rPr>
          <w:rFonts w:ascii="Times New Roman" w:hAnsi="Times New Roman" w:eastAsia="宋体" w:cs="Times New Roman"/>
          <w:sz w:val="21"/>
          <w:szCs w:val="21"/>
          <w:lang w:val="en-US"/>
        </w:rPr>
        <w:t>本条还对简支梁板类受弯预制构件提出了结构性能检验的简化条件。大型构件一般指跨度大于18m的构件；可靠应用经验指该单位生产的标准构件在其他工程已多次应用，如预制楼梯、预制空心板、预制双T板等；使用数量较少一般指数量在50件以内，近期完成的合格结构性能检验报告可作为可靠依据。不做结构性能检验时，尚应满足本条第4款的规定。对所有进场时不做结构性能检验的预制构件，可通过施工单位或监理单位代表驻厂监督生产的方式进行质量控制，此时构件进场的质量证明文件应经监督代表确认。当无驻厂监督时，预制构件进场时应对预制构件主要受力钢筋数量、规格、间距及混凝土强度、混凝土保护层厚度等进行实体检验，具体可按以下原则执行：</w:t>
      </w:r>
    </w:p>
    <w:p>
      <w:pPr>
        <w:spacing w:before="120" w:beforeLines="50" w:after="120" w:afterLines="50"/>
        <w:ind w:firstLine="420" w:firstLineChars="200"/>
        <w:jc w:val="both"/>
        <w:rPr>
          <w:rFonts w:ascii="Times New Roman" w:hAnsi="Times New Roman" w:eastAsia="宋体" w:cs="Times New Roman"/>
          <w:sz w:val="21"/>
          <w:szCs w:val="21"/>
          <w:lang w:val="en-US"/>
        </w:rPr>
      </w:pPr>
      <w:r>
        <w:rPr>
          <w:rFonts w:ascii="Times New Roman" w:hAnsi="Times New Roman" w:eastAsia="宋体" w:cs="Times New Roman"/>
          <w:sz w:val="21"/>
          <w:szCs w:val="21"/>
          <w:lang w:val="en-US"/>
        </w:rPr>
        <w:t>a）实体检验宜采用非破损方法，也可采用破损方法，非破损方法应采用专业仪器并符合国家现行相关标准的规定；</w:t>
      </w:r>
    </w:p>
    <w:p>
      <w:pPr>
        <w:spacing w:before="120" w:beforeLines="50" w:after="120" w:afterLines="50"/>
        <w:ind w:firstLine="420" w:firstLineChars="200"/>
        <w:jc w:val="both"/>
        <w:rPr>
          <w:rFonts w:ascii="Times New Roman" w:hAnsi="Times New Roman" w:eastAsia="宋体" w:cs="Times New Roman"/>
          <w:sz w:val="21"/>
          <w:szCs w:val="21"/>
          <w:lang w:val="en-US"/>
        </w:rPr>
      </w:pPr>
      <w:r>
        <w:rPr>
          <w:rFonts w:ascii="Times New Roman" w:hAnsi="Times New Roman" w:eastAsia="宋体" w:cs="Times New Roman"/>
          <w:sz w:val="21"/>
          <w:szCs w:val="21"/>
          <w:lang w:val="en-US"/>
        </w:rPr>
        <w:t>b）检查数量可根据工程情况由各方商定。一般情况下，可以不超过1000个同类型预制构件为一批，每批抽取构件数量的2%且不少于5个构件；</w:t>
      </w:r>
    </w:p>
    <w:p>
      <w:pPr>
        <w:spacing w:before="120" w:beforeLines="50" w:after="120" w:afterLines="50"/>
        <w:ind w:firstLine="420" w:firstLineChars="200"/>
        <w:jc w:val="both"/>
        <w:rPr>
          <w:rFonts w:ascii="Times New Roman" w:hAnsi="Times New Roman" w:eastAsia="宋体" w:cs="Times New Roman"/>
          <w:sz w:val="21"/>
          <w:szCs w:val="21"/>
          <w:lang w:val="en-US"/>
        </w:rPr>
      </w:pPr>
      <w:r>
        <w:rPr>
          <w:rFonts w:ascii="Times New Roman" w:hAnsi="Times New Roman" w:eastAsia="宋体" w:cs="Times New Roman"/>
          <w:sz w:val="21"/>
          <w:szCs w:val="21"/>
          <w:lang w:val="en-US"/>
        </w:rPr>
        <w:t>c）检查方法应符合现行国家标准《混凝土结构工程施工质量验收规范》GB 50204的规定。</w:t>
      </w:r>
    </w:p>
    <w:p>
      <w:pPr>
        <w:spacing w:before="120" w:beforeLines="50" w:after="120" w:afterLines="50"/>
        <w:ind w:firstLine="420" w:firstLineChars="200"/>
        <w:jc w:val="both"/>
        <w:rPr>
          <w:rFonts w:ascii="Times New Roman" w:hAnsi="Times New Roman" w:eastAsia="宋体" w:cs="Times New Roman"/>
          <w:sz w:val="21"/>
          <w:szCs w:val="21"/>
          <w:lang w:val="en-US"/>
        </w:rPr>
      </w:pPr>
      <w:r>
        <w:rPr>
          <w:rFonts w:ascii="Times New Roman" w:hAnsi="Times New Roman" w:eastAsia="宋体" w:cs="Times New Roman"/>
          <w:sz w:val="21"/>
          <w:szCs w:val="21"/>
          <w:lang w:val="en-US"/>
        </w:rPr>
        <w:t>对所有进场时不做结构性能检验的预制构件，进场时的质量证明文件宜增加构件生产过程检查文件，如钢筋隐蔽工程验收记录等。</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12.2.4</w:t>
      </w:r>
      <w:r>
        <w:rPr>
          <w:rFonts w:ascii="Times New Roman" w:hAnsi="Times New Roman" w:eastAsia="宋体" w:cs="Times New Roman"/>
          <w:sz w:val="21"/>
          <w:szCs w:val="21"/>
          <w:lang w:val="en-US"/>
        </w:rPr>
        <w:t xml:space="preserve"> 对于预制构件的严重缺陷、影响结构性能和安装、使用功能的尺寸偏差，以及拉结件类别、数量和位置有不符合设计要求的情形应作退场处理。如经设计同意可以进行修理使用，则应制定处理方案并获得监理确认后，预制构件生产单位按技术处理方案处理，修理后应重新验收。</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12.2.5</w:t>
      </w:r>
      <w:r>
        <w:rPr>
          <w:rFonts w:ascii="Times New Roman" w:hAnsi="Times New Roman" w:eastAsia="宋体" w:cs="Times New Roman"/>
          <w:sz w:val="21"/>
          <w:szCs w:val="21"/>
          <w:lang w:val="en-US"/>
        </w:rPr>
        <w:t xml:space="preserve">  预制构件的装饰外观质量应在进场时按照设计要求对预制构件产品全数检查，合格后方可使用。如果出现偏差情况，应和设计协商相应处理方案，如设计不同意处理应作退场报废处理。</w:t>
      </w:r>
    </w:p>
    <w:p>
      <w:pPr>
        <w:pStyle w:val="210"/>
        <w:spacing w:before="240" w:after="240"/>
        <w:outlineLvl w:val="2"/>
        <w:rPr>
          <w:rFonts w:ascii="黑体" w:hAnsi="黑体" w:eastAsia="黑体"/>
          <w:b w:val="0"/>
          <w:sz w:val="21"/>
          <w:szCs w:val="21"/>
        </w:rPr>
      </w:pPr>
      <w:bookmarkStart w:id="386" w:name="_Toc172188977"/>
      <w:bookmarkStart w:id="387" w:name="_Toc172187916"/>
      <w:r>
        <w:rPr>
          <w:rFonts w:ascii="黑体" w:hAnsi="黑体" w:eastAsia="黑体"/>
          <w:b w:val="0"/>
          <w:sz w:val="21"/>
          <w:szCs w:val="21"/>
        </w:rPr>
        <w:t>12.3 一般项目</w:t>
      </w:r>
      <w:bookmarkEnd w:id="386"/>
      <w:bookmarkEnd w:id="387"/>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12.3.1</w:t>
      </w:r>
      <w:r>
        <w:rPr>
          <w:rFonts w:ascii="Times New Roman" w:hAnsi="Times New Roman" w:eastAsia="宋体" w:cs="Times New Roman"/>
          <w:sz w:val="21"/>
          <w:szCs w:val="21"/>
          <w:lang w:val="en-US"/>
        </w:rPr>
        <w:t xml:space="preserve"> 预制构件的标识宜采用智能芯片、二维码等。预制构件表面的标识应清晰、可靠，以确保能够识别预制构件的</w:t>
      </w:r>
      <w:r>
        <w:rPr>
          <w:rFonts w:hint="eastAsia" w:ascii="Times New Roman" w:hAnsi="Times New Roman" w:eastAsia="宋体" w:cs="Times New Roman"/>
          <w:sz w:val="21"/>
          <w:szCs w:val="21"/>
          <w:lang w:val="en-US"/>
        </w:rPr>
        <w:t>“</w:t>
      </w:r>
      <w:r>
        <w:rPr>
          <w:rFonts w:ascii="Times New Roman" w:hAnsi="Times New Roman" w:eastAsia="宋体" w:cs="Times New Roman"/>
          <w:sz w:val="21"/>
          <w:szCs w:val="21"/>
          <w:lang w:val="en-US"/>
        </w:rPr>
        <w:t>身份</w:t>
      </w:r>
      <w:r>
        <w:rPr>
          <w:rFonts w:hint="eastAsia" w:ascii="Times New Roman" w:hAnsi="Times New Roman" w:eastAsia="宋体" w:cs="Times New Roman"/>
          <w:sz w:val="21"/>
          <w:szCs w:val="21"/>
          <w:lang w:val="en-US"/>
        </w:rPr>
        <w:t>”</w:t>
      </w:r>
      <w:r>
        <w:rPr>
          <w:rFonts w:ascii="Times New Roman" w:hAnsi="Times New Roman" w:eastAsia="宋体" w:cs="Times New Roman"/>
          <w:sz w:val="21"/>
          <w:szCs w:val="21"/>
          <w:lang w:val="en-US"/>
        </w:rPr>
        <w:t>，并在施工全过程中对发生的质量问题可追溯。预制构件表面的标识内容一般包括生产单位、构件型号、生产日期、质量验收标志等，如有必要，尚需通过约定标识表示构件在结构中安装的位置和方向、吊运过程中的朝向等。</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12.3.2</w:t>
      </w:r>
      <w:r>
        <w:rPr>
          <w:rFonts w:ascii="Times New Roman" w:hAnsi="Times New Roman" w:eastAsia="宋体" w:cs="Times New Roman"/>
          <w:sz w:val="21"/>
          <w:szCs w:val="21"/>
          <w:lang w:val="en-US"/>
        </w:rPr>
        <w:t xml:space="preserve"> 预制构件的外观质量一般缺陷应按产品标准规定全数检验；当构件没有产品标准或现场制作时，应按现浇结构构件的外观质量要求检查和处理。</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12.3.3</w:t>
      </w:r>
      <w:r>
        <w:rPr>
          <w:rFonts w:ascii="Times New Roman" w:hAnsi="Times New Roman" w:eastAsia="宋体" w:cs="Times New Roman"/>
          <w:sz w:val="21"/>
          <w:szCs w:val="21"/>
          <w:lang w:val="en-US"/>
        </w:rPr>
        <w:t xml:space="preserve"> 装配整体式结构中预制构件与后浇混凝土结合的界面称为结合面，具体可为粗糙面或键槽两种形式。有需要时，还应在键槽、粗糙面上配置抗剪或抗拉钢筋等，以确保结构的整体性。</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12.3.4</w:t>
      </w:r>
      <w:r>
        <w:rPr>
          <w:rFonts w:ascii="Times New Roman" w:hAnsi="Times New Roman" w:eastAsia="宋体" w:cs="Times New Roman"/>
          <w:sz w:val="21"/>
          <w:szCs w:val="21"/>
          <w:lang w:val="en-US"/>
        </w:rPr>
        <w:t xml:space="preserve"> 预制构件的装饰外观质量应在进场时按照设计要求对预制构件产品全数检查，合格后方可使用。如果出现偏差情况，应和设计协商相应处理方案，如设计不同意处理应作退场报废处理。</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12.3.5</w:t>
      </w:r>
      <w:r>
        <w:rPr>
          <w:rFonts w:ascii="Times New Roman" w:hAnsi="Times New Roman" w:eastAsia="宋体" w:cs="Times New Roman"/>
          <w:sz w:val="21"/>
          <w:szCs w:val="21"/>
          <w:lang w:val="en-US"/>
        </w:rPr>
        <w:t xml:space="preserve"> 本条给出的预制构件上的预留孔、预留洞、预埋件、预留插筋、键槽位置偏差的基本要求应进行全数检查，合格后方可使用，避免在构件安装时发现问题造成不必要的损失。如根据具体工程要求提出高于本条规定时，应按设计要求或合同规定执行。</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12.3.6</w:t>
      </w:r>
      <w:r>
        <w:rPr>
          <w:rFonts w:ascii="Times New Roman" w:hAnsi="Times New Roman" w:eastAsia="宋体" w:cs="Times New Roman"/>
          <w:b/>
          <w:bCs/>
          <w:sz w:val="21"/>
          <w:szCs w:val="21"/>
          <w:lang w:val="en-US"/>
        </w:rPr>
        <w:t>~</w:t>
      </w:r>
      <w:r>
        <w:rPr>
          <w:rStyle w:val="118"/>
          <w:rFonts w:ascii="黑体" w:hAnsi="黑体" w:eastAsia="黑体" w:cs="Times New Roman"/>
          <w:spacing w:val="0"/>
          <w:kern w:val="2"/>
          <w:sz w:val="21"/>
          <w:szCs w:val="21"/>
        </w:rPr>
        <w:t>12.3.7</w:t>
      </w:r>
      <w:r>
        <w:rPr>
          <w:rFonts w:ascii="Times New Roman" w:hAnsi="Times New Roman" w:eastAsia="宋体" w:cs="Times New Roman"/>
          <w:sz w:val="21"/>
          <w:szCs w:val="21"/>
          <w:lang w:val="en-US"/>
        </w:rPr>
        <w:t xml:space="preserve"> 预制构件尺寸偏差应进行抽样检验。如根据具体工程要求提出高于标准规定时，应按设计要求或合同规定执行。</w:t>
      </w:r>
    </w:p>
    <w:p>
      <w:pPr>
        <w:pStyle w:val="210"/>
        <w:spacing w:before="240" w:after="240"/>
        <w:rPr>
          <w:rFonts w:ascii="黑体" w:hAnsi="黑体" w:eastAsia="黑体"/>
          <w:b w:val="0"/>
          <w:sz w:val="21"/>
          <w:szCs w:val="21"/>
        </w:rPr>
      </w:pPr>
      <w:bookmarkStart w:id="388" w:name="_Toc172187917"/>
      <w:bookmarkStart w:id="389" w:name="_Toc17127"/>
      <w:bookmarkStart w:id="390" w:name="_Toc172188978"/>
      <w:r>
        <w:rPr>
          <w:rFonts w:ascii="黑体" w:hAnsi="黑体" w:eastAsia="黑体"/>
          <w:b w:val="0"/>
          <w:sz w:val="21"/>
          <w:szCs w:val="21"/>
        </w:rPr>
        <w:t>13 信息化技术应用</w:t>
      </w:r>
      <w:bookmarkEnd w:id="388"/>
      <w:bookmarkEnd w:id="389"/>
      <w:bookmarkEnd w:id="390"/>
    </w:p>
    <w:p>
      <w:pPr>
        <w:pStyle w:val="210"/>
        <w:spacing w:before="240" w:after="240"/>
        <w:outlineLvl w:val="2"/>
        <w:rPr>
          <w:rFonts w:ascii="黑体" w:hAnsi="黑体" w:eastAsia="黑体"/>
          <w:b w:val="0"/>
          <w:sz w:val="21"/>
          <w:szCs w:val="21"/>
        </w:rPr>
      </w:pPr>
      <w:bookmarkStart w:id="391" w:name="_Toc172187918"/>
      <w:bookmarkStart w:id="392" w:name="_Toc172188979"/>
      <w:r>
        <w:rPr>
          <w:rFonts w:ascii="黑体" w:hAnsi="黑体" w:eastAsia="黑体"/>
          <w:b w:val="0"/>
          <w:sz w:val="21"/>
          <w:szCs w:val="21"/>
        </w:rPr>
        <w:t>13.1 一般规定</w:t>
      </w:r>
      <w:bookmarkEnd w:id="391"/>
      <w:bookmarkEnd w:id="392"/>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13.1.1</w:t>
      </w:r>
      <w:r>
        <w:rPr>
          <w:rFonts w:ascii="Times New Roman" w:hAnsi="Times New Roman" w:eastAsia="宋体" w:cs="Times New Roman"/>
          <w:sz w:val="21"/>
          <w:szCs w:val="21"/>
          <w:lang w:val="en-US"/>
        </w:rPr>
        <w:t xml:space="preserve"> 为了保障BIM组织结构在工程建设期内正常的运转，在项目组织设置时除了提高项目人员BIM专业素养的门槛要求，还应建立BM相关的组织管理制度，切实起到保证项目顺利进行的作用。由于BIM的项目组织管理涉及到多人员、多设备、多软件，故传统的管理制度无法完全的兼顾到，因此编制基于BIM的项目组织管理制度是十分有必要的。BIM组织管理通常需要对项目的数据信息维护、硬软件管理、实施应用、培训管理等制度内容进行改造补充。</w:t>
      </w:r>
    </w:p>
    <w:p>
      <w:pPr>
        <w:pStyle w:val="210"/>
        <w:spacing w:before="240" w:after="240"/>
        <w:outlineLvl w:val="2"/>
        <w:rPr>
          <w:rFonts w:ascii="黑体" w:hAnsi="黑体" w:eastAsia="黑体"/>
          <w:b w:val="0"/>
          <w:sz w:val="21"/>
          <w:szCs w:val="21"/>
        </w:rPr>
      </w:pPr>
      <w:bookmarkStart w:id="393" w:name="_Toc172187919"/>
      <w:bookmarkStart w:id="394" w:name="_Toc172188980"/>
      <w:r>
        <w:rPr>
          <w:rFonts w:ascii="黑体" w:hAnsi="黑体" w:eastAsia="黑体"/>
          <w:b w:val="0"/>
          <w:sz w:val="21"/>
          <w:szCs w:val="21"/>
        </w:rPr>
        <w:t>13.2 信息化资源配置</w:t>
      </w:r>
      <w:bookmarkEnd w:id="393"/>
      <w:bookmarkEnd w:id="394"/>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13.2.1</w:t>
      </w:r>
      <w:r>
        <w:rPr>
          <w:rFonts w:ascii="Times New Roman" w:hAnsi="Times New Roman" w:eastAsia="宋体" w:cs="Times New Roman"/>
          <w:sz w:val="21"/>
          <w:szCs w:val="21"/>
          <w:lang w:val="en-US"/>
        </w:rPr>
        <w:t xml:space="preserve"> 协同工作平台指能够做到将各阶段、各专业的信息进行整合应用，并能为各专业工程师和参与人提供数据交换的工具或协作方式。BIM协同工作平台的主要功能要求：（1）满足企业和项目的目标要求；（2）提供的协同环境具备统一性、灵活性、操作便利性、信息实时性；（3）对成果管理宜按照时间版本、创建角色、管理权限进行分类分级，实现过程和最终成果管理。</w:t>
      </w:r>
    </w:p>
    <w:p>
      <w:pPr>
        <w:spacing w:before="120" w:beforeLines="50" w:after="120" w:afterLines="50"/>
        <w:jc w:val="both"/>
        <w:rPr>
          <w:rFonts w:ascii="Times New Roman" w:hAnsi="Times New Roman" w:eastAsia="宋体" w:cs="Times New Roman"/>
          <w:b/>
          <w:sz w:val="21"/>
          <w:szCs w:val="21"/>
        </w:rPr>
      </w:pPr>
      <w:r>
        <w:rPr>
          <w:rStyle w:val="118"/>
          <w:rFonts w:ascii="黑体" w:hAnsi="黑体" w:eastAsia="黑体" w:cs="Times New Roman"/>
          <w:spacing w:val="0"/>
          <w:kern w:val="2"/>
          <w:sz w:val="21"/>
          <w:szCs w:val="21"/>
        </w:rPr>
        <w:t>13.2.2</w:t>
      </w:r>
      <w:r>
        <w:rPr>
          <w:rFonts w:ascii="Times New Roman" w:hAnsi="Times New Roman" w:eastAsia="宋体" w:cs="Times New Roman"/>
          <w:sz w:val="21"/>
          <w:szCs w:val="21"/>
        </w:rPr>
        <w:t xml:space="preserve"> </w:t>
      </w:r>
      <w:r>
        <w:rPr>
          <w:rFonts w:ascii="Times New Roman" w:hAnsi="Times New Roman" w:eastAsia="宋体" w:cs="Times New Roman"/>
          <w:sz w:val="21"/>
          <w:szCs w:val="21"/>
          <w:lang w:val="en-US"/>
        </w:rPr>
        <w:t>BIM兼容性、可扩展性和协调性是BIM得到大力推广应用的关键因素，能够最大程度的提高工程管理效率，使各专业之间沟通和协助效率做到实时沟通。</w:t>
      </w:r>
    </w:p>
    <w:p>
      <w:pPr>
        <w:pStyle w:val="210"/>
        <w:spacing w:before="240" w:after="240"/>
        <w:outlineLvl w:val="2"/>
        <w:rPr>
          <w:rFonts w:ascii="黑体" w:hAnsi="黑体" w:eastAsia="黑体"/>
          <w:b w:val="0"/>
          <w:sz w:val="21"/>
          <w:szCs w:val="21"/>
        </w:rPr>
      </w:pPr>
      <w:bookmarkStart w:id="395" w:name="_Toc172187920"/>
      <w:bookmarkStart w:id="396" w:name="_Toc172188981"/>
      <w:r>
        <w:rPr>
          <w:rFonts w:ascii="黑体" w:hAnsi="黑体" w:eastAsia="黑体"/>
          <w:b w:val="0"/>
          <w:sz w:val="21"/>
          <w:szCs w:val="21"/>
        </w:rPr>
        <w:t>13.3 BIM实施规划及管理</w:t>
      </w:r>
      <w:bookmarkEnd w:id="395"/>
      <w:bookmarkEnd w:id="396"/>
    </w:p>
    <w:p>
      <w:pPr>
        <w:pStyle w:val="22"/>
        <w:shd w:val="clear" w:color="auto" w:fill="FFFFFF"/>
        <w:spacing w:before="120" w:beforeLines="50" w:beforeAutospacing="0" w:after="120" w:afterLines="50" w:afterAutospacing="0"/>
        <w:jc w:val="both"/>
        <w:rPr>
          <w:rFonts w:ascii="Times New Roman" w:hAnsi="Times New Roman" w:cs="Times New Roman"/>
          <w:color w:val="000000"/>
          <w:sz w:val="21"/>
          <w:szCs w:val="21"/>
        </w:rPr>
      </w:pPr>
      <w:r>
        <w:rPr>
          <w:rStyle w:val="118"/>
          <w:rFonts w:ascii="黑体" w:hAnsi="黑体" w:eastAsia="黑体" w:cs="Times New Roman"/>
          <w:spacing w:val="0"/>
          <w:kern w:val="2"/>
          <w:sz w:val="21"/>
          <w:szCs w:val="21"/>
        </w:rPr>
        <w:t>13.3.1</w:t>
      </w:r>
      <w:r>
        <w:rPr>
          <w:rFonts w:ascii="Times New Roman" w:hAnsi="Times New Roman" w:cs="Times New Roman"/>
          <w:sz w:val="21"/>
          <w:szCs w:val="21"/>
        </w:rPr>
        <w:t xml:space="preserve"> </w:t>
      </w:r>
      <w:r>
        <w:rPr>
          <w:rFonts w:ascii="Times New Roman" w:hAnsi="Times New Roman" w:cs="Times New Roman"/>
          <w:color w:val="000000"/>
          <w:sz w:val="21"/>
          <w:szCs w:val="21"/>
        </w:rPr>
        <w:t>建设单位（业主）实施模式：由建设单位主导，选择适当的技术应用模式，各参与方协同采用技术，完成项目的技术应用。</w:t>
      </w:r>
    </w:p>
    <w:p>
      <w:pPr>
        <w:pStyle w:val="22"/>
        <w:shd w:val="clear" w:color="auto" w:fill="FFFFFF"/>
        <w:spacing w:before="120" w:beforeLines="50" w:beforeAutospacing="0" w:after="120" w:afterLines="50" w:afterAutospacing="0"/>
        <w:ind w:firstLine="420" w:firstLineChars="200"/>
        <w:jc w:val="both"/>
        <w:rPr>
          <w:rFonts w:ascii="Times New Roman" w:hAnsi="Times New Roman" w:cs="Times New Roman"/>
          <w:color w:val="000000"/>
          <w:sz w:val="21"/>
          <w:szCs w:val="21"/>
        </w:rPr>
      </w:pPr>
      <w:r>
        <w:rPr>
          <w:rFonts w:ascii="Times New Roman" w:hAnsi="Times New Roman" w:cs="Times New Roman"/>
          <w:color w:val="000000"/>
          <w:sz w:val="21"/>
          <w:szCs w:val="21"/>
        </w:rPr>
        <w:t>承包商实施模式：由项目各相关方自行或委托第三方机构应用BIM技术，完成自身承担的项目建设内容，辅助项目建设与管理，以实现项目建设目标。</w:t>
      </w:r>
    </w:p>
    <w:p>
      <w:pPr>
        <w:pStyle w:val="22"/>
        <w:shd w:val="clear" w:color="auto" w:fill="FFFFFF"/>
        <w:spacing w:before="120" w:beforeLines="50" w:beforeAutospacing="0" w:after="120" w:afterLines="50" w:afterAutospacing="0"/>
        <w:ind w:firstLine="420" w:firstLineChars="200"/>
        <w:jc w:val="both"/>
        <w:rPr>
          <w:rFonts w:ascii="Times New Roman" w:hAnsi="Times New Roman" w:cs="Times New Roman"/>
          <w:color w:val="000000"/>
          <w:sz w:val="21"/>
          <w:szCs w:val="21"/>
        </w:rPr>
      </w:pPr>
      <w:r>
        <w:rPr>
          <w:rFonts w:ascii="Times New Roman" w:hAnsi="Times New Roman" w:cs="Times New Roman"/>
          <w:color w:val="000000"/>
          <w:sz w:val="21"/>
          <w:szCs w:val="21"/>
        </w:rPr>
        <w:t>BIM实施模式宜采用基于全生命周期BIM技术应用模式下的建设单位（业主）主导的实施模式，以利于协调各参与方在项目全生命周期内协同应用BIM技术，充分发挥BIM技术的最大效益和价值。</w:t>
      </w:r>
    </w:p>
    <w:p>
      <w:pPr>
        <w:spacing w:before="120" w:beforeLines="50" w:after="120" w:afterLines="50"/>
        <w:jc w:val="both"/>
        <w:rPr>
          <w:rFonts w:ascii="Times New Roman" w:hAnsi="Times New Roman" w:eastAsia="宋体" w:cs="Times New Roman"/>
          <w:sz w:val="21"/>
          <w:szCs w:val="21"/>
          <w:lang w:val="en-US"/>
        </w:rPr>
      </w:pPr>
      <w:r>
        <w:rPr>
          <w:rStyle w:val="118"/>
          <w:rFonts w:ascii="黑体" w:hAnsi="黑体" w:eastAsia="黑体" w:cs="Times New Roman"/>
          <w:spacing w:val="0"/>
          <w:kern w:val="2"/>
          <w:sz w:val="21"/>
          <w:szCs w:val="21"/>
        </w:rPr>
        <w:t>13.3.4</w:t>
      </w:r>
      <w:r>
        <w:rPr>
          <w:rFonts w:ascii="Times New Roman" w:hAnsi="Times New Roman" w:eastAsia="宋体" w:cs="Times New Roman"/>
          <w:sz w:val="21"/>
          <w:szCs w:val="21"/>
          <w:lang w:val="en-US"/>
        </w:rPr>
        <w:t xml:space="preserve"> 应明确BIM管理团队的职责和权限，确保团队的有效运作和管理。 制定BIM管理手册，并对项目团队进行培训和推广，确保每个成员都能掌握BIM技术和管理制度。</w:t>
      </w:r>
    </w:p>
    <w:p>
      <w:pPr>
        <w:rPr>
          <w:rFonts w:ascii="Times New Roman" w:hAnsi="Times New Roman" w:eastAsia="宋体" w:cs="Times New Roman"/>
          <w:sz w:val="21"/>
          <w:szCs w:val="21"/>
          <w:lang w:val="en-US"/>
        </w:rPr>
      </w:pPr>
    </w:p>
    <w:sectPr>
      <w:pgSz w:w="11909" w:h="16834"/>
      <w:pgMar w:top="1418" w:right="1134" w:bottom="1418" w:left="1418" w:header="851" w:footer="992"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汉仪中宋简"/>
    <w:panose1 w:val="02010600030101010101"/>
    <w:charset w:val="86"/>
    <w:family w:val="auto"/>
    <w:pitch w:val="default"/>
    <w:sig w:usb0="00000000" w:usb1="00000000" w:usb2="00000016" w:usb3="00000000" w:csb0="0004000F" w:csb1="00000000"/>
  </w:font>
  <w:font w:name="等线">
    <w:altName w:val="仿宋"/>
    <w:panose1 w:val="00000000000000000000"/>
    <w:charset w:val="86"/>
    <w:family w:val="auto"/>
    <w:pitch w:val="default"/>
    <w:sig w:usb0="00000000" w:usb1="00000000" w:usb2="00000000" w:usb3="00000000" w:csb0="00000000" w:csb1="00000000"/>
  </w:font>
  <w:font w:name="等线">
    <w:altName w:val="仿宋"/>
    <w:panose1 w:val="00000000000000000000"/>
    <w:charset w:val="00"/>
    <w:family w:val="auto"/>
    <w:pitch w:val="default"/>
    <w:sig w:usb0="00000000" w:usb1="00000000" w:usb2="00000000" w:usb3="00000000" w:csb0="00000000" w:csb1="00000000"/>
  </w:font>
  <w:font w:name="等线 Light">
    <w:altName w:val="汉仪中宋简"/>
    <w:panose1 w:val="02010600030101010101"/>
    <w:charset w:val="86"/>
    <w:family w:val="auto"/>
    <w:pitch w:val="default"/>
    <w:sig w:usb0="00000000" w:usb1="00000000" w:usb2="00000016" w:usb3="00000000" w:csb0="0004000F" w:csb1="00000000"/>
  </w:font>
  <w:font w:name="MingLiU">
    <w:altName w:val="仿宋"/>
    <w:panose1 w:val="02020509000000000000"/>
    <w:charset w:val="88"/>
    <w:family w:val="modern"/>
    <w:pitch w:val="default"/>
    <w:sig w:usb0="00000000" w:usb1="00000000" w:usb2="00000016" w:usb3="00000000" w:csb0="00100001" w:csb1="00000000"/>
  </w:font>
  <w:font w:name="Arial Unicode MS">
    <w:altName w:val="DejaVu Sans"/>
    <w:panose1 w:val="020B0604020202020204"/>
    <w:charset w:val="86"/>
    <w:family w:val="swiss"/>
    <w:pitch w:val="default"/>
    <w:sig w:usb0="00000000" w:usb1="00000000" w:usb2="0000003F" w:usb3="00000000" w:csb0="003F01FF" w:csb1="00000000"/>
  </w:font>
  <w:font w:name="Garamond">
    <w:altName w:val="Noto Serif Bengali"/>
    <w:panose1 w:val="02020404030301010803"/>
    <w:charset w:val="00"/>
    <w:family w:val="roman"/>
    <w:pitch w:val="default"/>
    <w:sig w:usb0="00000000" w:usb1="00000000" w:usb2="00000000" w:usb3="00000000" w:csb0="0000009F" w:csb1="DFD70000"/>
  </w:font>
  <w:font w:name="Dotum">
    <w:altName w:val="仿宋"/>
    <w:panose1 w:val="020B0600000101010101"/>
    <w:charset w:val="81"/>
    <w:family w:val="swiss"/>
    <w:pitch w:val="default"/>
    <w:sig w:usb0="00000000" w:usb1="00000000" w:usb2="00000030" w:usb3="00000000" w:csb0="4008009F" w:csb1="DFD70000"/>
  </w:font>
  <w:font w:name="Cambria Math">
    <w:altName w:val="DejaVu Math TeX Gyre"/>
    <w:panose1 w:val="02040503050406030204"/>
    <w:charset w:val="00"/>
    <w:family w:val="roman"/>
    <w:pitch w:val="default"/>
    <w:sig w:usb0="00000000" w:usb1="00000000" w:usb2="00000000" w:usb3="00000000" w:csb0="2000019F" w:csb1="00000000"/>
  </w:font>
  <w:font w:name="仿宋">
    <w:panose1 w:val="02010609060101010101"/>
    <w:charset w:val="86"/>
    <w:family w:val="auto"/>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Noto Sans CJK JP Bold">
    <w:panose1 w:val="020B0800000000000000"/>
    <w:charset w:val="86"/>
    <w:family w:val="auto"/>
    <w:pitch w:val="default"/>
    <w:sig w:usb0="30000003" w:usb1="2BDF3C10" w:usb2="00000016" w:usb3="00000000" w:csb0="602E0107" w:csb1="00000000"/>
  </w:font>
  <w:font w:name="等线 Light">
    <w:altName w:val="仿宋"/>
    <w:panose1 w:val="00000000000000000000"/>
    <w:charset w:val="00"/>
    <w:family w:val="auto"/>
    <w:pitch w:val="default"/>
    <w:sig w:usb0="00000000" w:usb1="00000000" w:usb2="00000000" w:usb3="00000000" w:csb0="00000000" w:csb1="00000000"/>
  </w:font>
  <w:font w:name="汉仪中宋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fldChar w:fldCharType="begin"/>
    </w:r>
    <w:r>
      <w:instrText xml:space="preserve">PAGE   \* MERGEFORMAT</w:instrText>
    </w:r>
    <w:r>
      <w:fldChar w:fldCharType="separate"/>
    </w:r>
    <w: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0"/>
      </w:rPr>
      <w:id w:val="1071467345"/>
    </w:sdtPr>
    <w:sdtEndPr>
      <w:rPr>
        <w:rFonts w:ascii="Times New Roman" w:hAnsi="Times New Roman" w:cs="Times New Roman"/>
        <w:sz w:val="20"/>
      </w:rPr>
    </w:sdtEndPr>
    <w:sdtContent>
      <w:p>
        <w:pPr>
          <w:pStyle w:val="15"/>
          <w:jc w:val="right"/>
          <w:rPr>
            <w:rFonts w:ascii="Times New Roman" w:hAnsi="Times New Roman" w:cs="Times New Roman"/>
            <w:sz w:val="20"/>
          </w:rPr>
        </w:pPr>
        <w:r>
          <w:rPr>
            <w:rFonts w:ascii="宋体" w:hAnsi="宋体" w:eastAsia="宋体" w:cs="Times New Roman"/>
          </w:rPr>
          <w:fldChar w:fldCharType="begin"/>
        </w:r>
        <w:r>
          <w:rPr>
            <w:rFonts w:ascii="宋体" w:hAnsi="宋体" w:eastAsia="宋体" w:cs="Times New Roman"/>
          </w:rPr>
          <w:instrText xml:space="preserve">PAGE   \* MERGEFORMAT</w:instrText>
        </w:r>
        <w:r>
          <w:rPr>
            <w:rFonts w:ascii="宋体" w:hAnsi="宋体" w:eastAsia="宋体" w:cs="Times New Roman"/>
          </w:rPr>
          <w:fldChar w:fldCharType="separate"/>
        </w:r>
        <w:r>
          <w:rPr>
            <w:rFonts w:ascii="宋体" w:hAnsi="宋体" w:eastAsia="宋体" w:cs="Times New Roman"/>
          </w:rPr>
          <w:t>5</w:t>
        </w:r>
        <w:r>
          <w:rPr>
            <w:rFonts w:ascii="宋体" w:hAnsi="宋体" w:eastAsia="宋体" w:cs="Times New Roman"/>
          </w:rPr>
          <w:fldChar w:fldCharType="end"/>
        </w:r>
      </w:p>
    </w:sdtContent>
  </w:sdt>
  <w:p>
    <w:pPr>
      <w:pStyle w:val="15"/>
      <w:rPr>
        <w:rFonts w:ascii="Times New Roman" w:hAnsi="Times New Roman" w:cs="Times New Roman"/>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wordWrap w:val="0"/>
      <w:spacing w:before="120" w:after="120"/>
      <w:jc w:val="right"/>
      <w:rPr>
        <w:rFonts w:ascii="黑体" w:hAnsi="黑体" w:eastAsia="黑体"/>
      </w:rPr>
    </w:pPr>
    <w:bookmarkStart w:id="397" w:name="_Hlk170297174"/>
    <w:bookmarkStart w:id="398" w:name="_Hlk170297176"/>
    <w:bookmarkStart w:id="399" w:name="_Hlk170297175"/>
    <w:bookmarkStart w:id="400" w:name="_Hlk170297173"/>
    <w:r>
      <w:rPr>
        <w:rFonts w:ascii="黑体" w:hAnsi="黑体" w:eastAsia="黑体"/>
        <w:sz w:val="21"/>
        <w:szCs w:val="21"/>
      </w:rPr>
      <w:t>DB 42/T XXXX—XXXX</w:t>
    </w:r>
    <w:bookmarkEnd w:id="397"/>
    <w:bookmarkEnd w:id="398"/>
    <w:bookmarkEnd w:id="399"/>
    <w:bookmarkEnd w:id="40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spacing w:before="120" w:after="120"/>
      <w:jc w:val="left"/>
    </w:pPr>
    <w:r>
      <w:rPr>
        <w:rFonts w:ascii="黑体" w:hAnsi="黑体" w:eastAsia="黑体"/>
        <w:sz w:val="21"/>
        <w:szCs w:val="21"/>
      </w:rPr>
      <w:t>DB 42/T XXXX—XXXX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spacing w:before="120" w:after="120"/>
      <w:jc w:val="both"/>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F2F330"/>
    <w:multiLevelType w:val="singleLevel"/>
    <w:tmpl w:val="F7F2F330"/>
    <w:lvl w:ilvl="0" w:tentative="0">
      <w:start w:val="1"/>
      <w:numFmt w:val="decimal"/>
      <w:suff w:val="space"/>
      <w:lvlText w:val="%1）"/>
      <w:lvlJc w:val="left"/>
      <w:rPr>
        <w:rFonts w:ascii="宋体" w:hAnsi="宋体" w:eastAsia="宋体"/>
        <w:b w:val="0"/>
        <w:bCs/>
      </w:rPr>
    </w:lvl>
  </w:abstractNum>
  <w:abstractNum w:abstractNumId="1">
    <w:nsid w:val="FB9080BE"/>
    <w:multiLevelType w:val="singleLevel"/>
    <w:tmpl w:val="FB9080BE"/>
    <w:lvl w:ilvl="0" w:tentative="0">
      <w:start w:val="1"/>
      <w:numFmt w:val="decimal"/>
      <w:suff w:val="space"/>
      <w:lvlText w:val="%1）"/>
      <w:lvlJc w:val="left"/>
      <w:rPr>
        <w:rFonts w:ascii="宋体" w:hAnsi="宋体" w:eastAsia="宋体"/>
        <w:b w:val="0"/>
        <w:bCs/>
      </w:rPr>
    </w:lvl>
  </w:abstractNum>
  <w:abstractNum w:abstractNumId="2">
    <w:nsid w:val="021F0D1D"/>
    <w:multiLevelType w:val="multilevel"/>
    <w:tmpl w:val="021F0D1D"/>
    <w:lvl w:ilvl="0" w:tentative="0">
      <w:start w:val="1"/>
      <w:numFmt w:val="decimal"/>
      <w:lvlText w:val="3.%1"/>
      <w:lvlJc w:val="left"/>
      <w:rPr>
        <w:rFonts w:ascii="Arial Unicode MS" w:hAnsi="Arial Unicode MS" w:eastAsia="Arial Unicode MS" w:cs="Arial Unicode MS"/>
        <w:b w:val="0"/>
        <w:bCs w:val="0"/>
        <w:i w:val="0"/>
        <w:iCs w:val="0"/>
        <w:smallCaps w:val="0"/>
        <w:strike w:val="0"/>
        <w:color w:val="000000"/>
        <w:spacing w:val="-4"/>
        <w:w w:val="100"/>
        <w:position w:val="0"/>
        <w:sz w:val="18"/>
        <w:szCs w:val="18"/>
        <w:u w:val="none"/>
        <w:lang w:val="en-US"/>
      </w:rPr>
    </w:lvl>
    <w:lvl w:ilvl="1" w:tentative="0">
      <w:start w:val="0"/>
      <w:numFmt w:val="decimal"/>
      <w:pStyle w:val="211"/>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02800D78"/>
    <w:multiLevelType w:val="multilevel"/>
    <w:tmpl w:val="02800D78"/>
    <w:lvl w:ilvl="0" w:tentative="0">
      <w:start w:val="1"/>
      <w:numFmt w:val="decimal"/>
      <w:lvlText w:val="6.3.%1"/>
      <w:lvlJc w:val="left"/>
      <w:pPr>
        <w:ind w:left="0" w:firstLine="0"/>
      </w:pPr>
      <w:rPr>
        <w:rFonts w:hint="eastAsia" w:ascii="黑体" w:hAnsi="黑体" w:eastAsia="黑体" w:cs="Arial Unicode MS"/>
        <w:b w:val="0"/>
        <w:bCs w:val="0"/>
        <w:i w:val="0"/>
        <w:iCs w:val="0"/>
        <w:smallCaps w:val="0"/>
        <w:strike w:val="0"/>
        <w:color w:val="000000"/>
        <w:spacing w:val="-3"/>
        <w:w w:val="100"/>
        <w:position w:val="0"/>
        <w:sz w:val="21"/>
        <w:szCs w:val="18"/>
        <w:u w:val="none"/>
      </w:rPr>
    </w:lvl>
    <w:lvl w:ilvl="1" w:tentative="0">
      <w:start w:val="0"/>
      <w:numFmt w:val="decimal"/>
      <w:lvlText w:val=""/>
      <w:lvlJc w:val="left"/>
      <w:pPr>
        <w:ind w:left="0" w:firstLine="0"/>
      </w:pPr>
      <w:rPr>
        <w:rFonts w:hint="eastAsia"/>
      </w:rPr>
    </w:lvl>
    <w:lvl w:ilvl="2" w:tentative="0">
      <w:start w:val="0"/>
      <w:numFmt w:val="decimal"/>
      <w:lvlText w:val=""/>
      <w:lvlJc w:val="left"/>
      <w:pPr>
        <w:ind w:left="0" w:firstLine="0"/>
      </w:pPr>
      <w:rPr>
        <w:rFonts w:hint="eastAsia"/>
      </w:rPr>
    </w:lvl>
    <w:lvl w:ilvl="3" w:tentative="0">
      <w:start w:val="0"/>
      <w:numFmt w:val="decimal"/>
      <w:lvlText w:val=""/>
      <w:lvlJc w:val="left"/>
      <w:pPr>
        <w:ind w:left="0" w:firstLine="0"/>
      </w:pPr>
      <w:rPr>
        <w:rFonts w:hint="eastAsia"/>
      </w:rPr>
    </w:lvl>
    <w:lvl w:ilvl="4" w:tentative="0">
      <w:start w:val="0"/>
      <w:numFmt w:val="decimal"/>
      <w:lvlText w:val=""/>
      <w:lvlJc w:val="left"/>
      <w:pPr>
        <w:ind w:left="0" w:firstLine="0"/>
      </w:pPr>
      <w:rPr>
        <w:rFonts w:hint="eastAsia"/>
      </w:rPr>
    </w:lvl>
    <w:lvl w:ilvl="5" w:tentative="0">
      <w:start w:val="0"/>
      <w:numFmt w:val="decimal"/>
      <w:lvlText w:val=""/>
      <w:lvlJc w:val="left"/>
      <w:pPr>
        <w:ind w:left="0" w:firstLine="0"/>
      </w:pPr>
      <w:rPr>
        <w:rFonts w:hint="eastAsia"/>
      </w:rPr>
    </w:lvl>
    <w:lvl w:ilvl="6" w:tentative="0">
      <w:start w:val="0"/>
      <w:numFmt w:val="decimal"/>
      <w:lvlText w:val=""/>
      <w:lvlJc w:val="left"/>
      <w:pPr>
        <w:ind w:left="0" w:firstLine="0"/>
      </w:pPr>
      <w:rPr>
        <w:rFonts w:hint="eastAsia"/>
      </w:rPr>
    </w:lvl>
    <w:lvl w:ilvl="7" w:tentative="0">
      <w:start w:val="0"/>
      <w:numFmt w:val="decimal"/>
      <w:lvlText w:val=""/>
      <w:lvlJc w:val="left"/>
      <w:pPr>
        <w:ind w:left="0" w:firstLine="0"/>
      </w:pPr>
      <w:rPr>
        <w:rFonts w:hint="eastAsia"/>
      </w:rPr>
    </w:lvl>
    <w:lvl w:ilvl="8" w:tentative="0">
      <w:start w:val="0"/>
      <w:numFmt w:val="decimal"/>
      <w:lvlText w:val=""/>
      <w:lvlJc w:val="left"/>
      <w:pPr>
        <w:ind w:left="0" w:firstLine="0"/>
      </w:pPr>
      <w:rPr>
        <w:rFonts w:hint="eastAsia"/>
      </w:rPr>
    </w:lvl>
  </w:abstractNum>
  <w:abstractNum w:abstractNumId="4">
    <w:nsid w:val="02E6727E"/>
    <w:multiLevelType w:val="multilevel"/>
    <w:tmpl w:val="02E6727E"/>
    <w:lvl w:ilvl="0" w:tentative="0">
      <w:start w:val="1"/>
      <w:numFmt w:val="decimal"/>
      <w:lvlText w:val="9.3.%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0322514A"/>
    <w:multiLevelType w:val="multilevel"/>
    <w:tmpl w:val="0322514A"/>
    <w:lvl w:ilvl="0" w:tentative="0">
      <w:start w:val="1"/>
      <w:numFmt w:val="decimal"/>
      <w:lvlText w:val="13.1.%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
    <w:nsid w:val="03306AED"/>
    <w:multiLevelType w:val="multilevel"/>
    <w:tmpl w:val="03306AED"/>
    <w:lvl w:ilvl="0" w:tentative="0">
      <w:start w:val="1"/>
      <w:numFmt w:val="decimal"/>
      <w:lvlText w:val="6.4.%1"/>
      <w:lvlJc w:val="left"/>
      <w:pPr>
        <w:ind w:left="0" w:firstLine="0"/>
      </w:pPr>
      <w:rPr>
        <w:rFonts w:hint="eastAsia" w:ascii="黑体" w:hAnsi="黑体" w:eastAsia="黑体" w:cs="Arial Unicode MS"/>
        <w:b w:val="0"/>
        <w:bCs w:val="0"/>
        <w:i w:val="0"/>
        <w:iCs w:val="0"/>
        <w:smallCaps w:val="0"/>
        <w:strike w:val="0"/>
        <w:color w:val="000000"/>
        <w:spacing w:val="-3"/>
        <w:w w:val="100"/>
        <w:position w:val="0"/>
        <w:sz w:val="21"/>
        <w:szCs w:val="18"/>
        <w:u w:val="none"/>
      </w:rPr>
    </w:lvl>
    <w:lvl w:ilvl="1" w:tentative="0">
      <w:start w:val="0"/>
      <w:numFmt w:val="decimal"/>
      <w:lvlText w:val=""/>
      <w:lvlJc w:val="left"/>
      <w:pPr>
        <w:ind w:left="0" w:firstLine="0"/>
      </w:pPr>
      <w:rPr>
        <w:rFonts w:hint="eastAsia"/>
      </w:rPr>
    </w:lvl>
    <w:lvl w:ilvl="2" w:tentative="0">
      <w:start w:val="0"/>
      <w:numFmt w:val="decimal"/>
      <w:lvlText w:val=""/>
      <w:lvlJc w:val="left"/>
      <w:pPr>
        <w:ind w:left="0" w:firstLine="0"/>
      </w:pPr>
      <w:rPr>
        <w:rFonts w:hint="eastAsia"/>
      </w:rPr>
    </w:lvl>
    <w:lvl w:ilvl="3" w:tentative="0">
      <w:start w:val="0"/>
      <w:numFmt w:val="decimal"/>
      <w:lvlText w:val=""/>
      <w:lvlJc w:val="left"/>
      <w:pPr>
        <w:ind w:left="0" w:firstLine="0"/>
      </w:pPr>
      <w:rPr>
        <w:rFonts w:hint="eastAsia"/>
      </w:rPr>
    </w:lvl>
    <w:lvl w:ilvl="4" w:tentative="0">
      <w:start w:val="0"/>
      <w:numFmt w:val="decimal"/>
      <w:lvlText w:val=""/>
      <w:lvlJc w:val="left"/>
      <w:pPr>
        <w:ind w:left="0" w:firstLine="0"/>
      </w:pPr>
      <w:rPr>
        <w:rFonts w:hint="eastAsia"/>
      </w:rPr>
    </w:lvl>
    <w:lvl w:ilvl="5" w:tentative="0">
      <w:start w:val="0"/>
      <w:numFmt w:val="decimal"/>
      <w:lvlText w:val=""/>
      <w:lvlJc w:val="left"/>
      <w:pPr>
        <w:ind w:left="0" w:firstLine="0"/>
      </w:pPr>
      <w:rPr>
        <w:rFonts w:hint="eastAsia"/>
      </w:rPr>
    </w:lvl>
    <w:lvl w:ilvl="6" w:tentative="0">
      <w:start w:val="0"/>
      <w:numFmt w:val="decimal"/>
      <w:lvlText w:val=""/>
      <w:lvlJc w:val="left"/>
      <w:pPr>
        <w:ind w:left="0" w:firstLine="0"/>
      </w:pPr>
      <w:rPr>
        <w:rFonts w:hint="eastAsia"/>
      </w:rPr>
    </w:lvl>
    <w:lvl w:ilvl="7" w:tentative="0">
      <w:start w:val="0"/>
      <w:numFmt w:val="decimal"/>
      <w:lvlText w:val=""/>
      <w:lvlJc w:val="left"/>
      <w:pPr>
        <w:ind w:left="0" w:firstLine="0"/>
      </w:pPr>
      <w:rPr>
        <w:rFonts w:hint="eastAsia"/>
      </w:rPr>
    </w:lvl>
    <w:lvl w:ilvl="8" w:tentative="0">
      <w:start w:val="0"/>
      <w:numFmt w:val="decimal"/>
      <w:lvlText w:val=""/>
      <w:lvlJc w:val="left"/>
      <w:pPr>
        <w:ind w:left="0" w:firstLine="0"/>
      </w:pPr>
      <w:rPr>
        <w:rFonts w:hint="eastAsia"/>
      </w:rPr>
    </w:lvl>
  </w:abstractNum>
  <w:abstractNum w:abstractNumId="7">
    <w:nsid w:val="034E08FF"/>
    <w:multiLevelType w:val="multilevel"/>
    <w:tmpl w:val="034E08FF"/>
    <w:lvl w:ilvl="0" w:tentative="0">
      <w:start w:val="1"/>
      <w:numFmt w:val="decimal"/>
      <w:lvlText w:val="9.2.%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
    <w:nsid w:val="04D2127D"/>
    <w:multiLevelType w:val="multilevel"/>
    <w:tmpl w:val="04D2127D"/>
    <w:lvl w:ilvl="0" w:tentative="0">
      <w:start w:val="1"/>
      <w:numFmt w:val="decimal"/>
      <w:lvlText w:val="8.2.%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058917EB"/>
    <w:multiLevelType w:val="multilevel"/>
    <w:tmpl w:val="058917EB"/>
    <w:lvl w:ilvl="0" w:tentative="0">
      <w:start w:val="1"/>
      <w:numFmt w:val="decimal"/>
      <w:lvlText w:val="6.1.%1"/>
      <w:lvlJc w:val="left"/>
      <w:pPr>
        <w:ind w:left="0" w:firstLine="0"/>
      </w:pPr>
      <w:rPr>
        <w:rFonts w:hint="eastAsia" w:ascii="黑体" w:hAnsi="黑体" w:eastAsia="黑体" w:cs="Arial Unicode MS"/>
        <w:b w:val="0"/>
        <w:bCs w:val="0"/>
        <w:i w:val="0"/>
        <w:iCs w:val="0"/>
        <w:smallCaps w:val="0"/>
        <w:strike w:val="0"/>
        <w:color w:val="000000"/>
        <w:spacing w:val="-3"/>
        <w:w w:val="100"/>
        <w:position w:val="0"/>
        <w:sz w:val="21"/>
        <w:szCs w:val="18"/>
        <w:u w:val="none"/>
      </w:rPr>
    </w:lvl>
    <w:lvl w:ilvl="1" w:tentative="0">
      <w:start w:val="0"/>
      <w:numFmt w:val="decimal"/>
      <w:lvlText w:val=""/>
      <w:lvlJc w:val="left"/>
      <w:pPr>
        <w:ind w:left="0" w:firstLine="0"/>
      </w:pPr>
      <w:rPr>
        <w:rFonts w:hint="eastAsia"/>
      </w:rPr>
    </w:lvl>
    <w:lvl w:ilvl="2" w:tentative="0">
      <w:start w:val="0"/>
      <w:numFmt w:val="decimal"/>
      <w:lvlText w:val=""/>
      <w:lvlJc w:val="left"/>
      <w:pPr>
        <w:ind w:left="0" w:firstLine="0"/>
      </w:pPr>
      <w:rPr>
        <w:rFonts w:hint="eastAsia"/>
      </w:rPr>
    </w:lvl>
    <w:lvl w:ilvl="3" w:tentative="0">
      <w:start w:val="0"/>
      <w:numFmt w:val="decimal"/>
      <w:lvlText w:val=""/>
      <w:lvlJc w:val="left"/>
      <w:pPr>
        <w:ind w:left="0" w:firstLine="0"/>
      </w:pPr>
      <w:rPr>
        <w:rFonts w:hint="eastAsia"/>
      </w:rPr>
    </w:lvl>
    <w:lvl w:ilvl="4" w:tentative="0">
      <w:start w:val="0"/>
      <w:numFmt w:val="decimal"/>
      <w:lvlText w:val=""/>
      <w:lvlJc w:val="left"/>
      <w:pPr>
        <w:ind w:left="0" w:firstLine="0"/>
      </w:pPr>
      <w:rPr>
        <w:rFonts w:hint="eastAsia"/>
      </w:rPr>
    </w:lvl>
    <w:lvl w:ilvl="5" w:tentative="0">
      <w:start w:val="0"/>
      <w:numFmt w:val="decimal"/>
      <w:lvlText w:val=""/>
      <w:lvlJc w:val="left"/>
      <w:pPr>
        <w:ind w:left="0" w:firstLine="0"/>
      </w:pPr>
      <w:rPr>
        <w:rFonts w:hint="eastAsia"/>
      </w:rPr>
    </w:lvl>
    <w:lvl w:ilvl="6" w:tentative="0">
      <w:start w:val="0"/>
      <w:numFmt w:val="decimal"/>
      <w:lvlText w:val=""/>
      <w:lvlJc w:val="left"/>
      <w:pPr>
        <w:ind w:left="0" w:firstLine="0"/>
      </w:pPr>
      <w:rPr>
        <w:rFonts w:hint="eastAsia"/>
      </w:rPr>
    </w:lvl>
    <w:lvl w:ilvl="7" w:tentative="0">
      <w:start w:val="0"/>
      <w:numFmt w:val="decimal"/>
      <w:lvlText w:val=""/>
      <w:lvlJc w:val="left"/>
      <w:pPr>
        <w:ind w:left="0" w:firstLine="0"/>
      </w:pPr>
      <w:rPr>
        <w:rFonts w:hint="eastAsia"/>
      </w:rPr>
    </w:lvl>
    <w:lvl w:ilvl="8" w:tentative="0">
      <w:start w:val="0"/>
      <w:numFmt w:val="decimal"/>
      <w:lvlText w:val=""/>
      <w:lvlJc w:val="left"/>
      <w:pPr>
        <w:ind w:left="0" w:firstLine="0"/>
      </w:pPr>
      <w:rPr>
        <w:rFonts w:hint="eastAsia"/>
      </w:rPr>
    </w:lvl>
  </w:abstractNum>
  <w:abstractNum w:abstractNumId="10">
    <w:nsid w:val="063B46CB"/>
    <w:multiLevelType w:val="multilevel"/>
    <w:tmpl w:val="063B46CB"/>
    <w:lvl w:ilvl="0" w:tentative="0">
      <w:start w:val="1"/>
      <w:numFmt w:val="decimal"/>
      <w:lvlText w:val="6.2.%1"/>
      <w:lvlJc w:val="left"/>
      <w:pPr>
        <w:ind w:left="0" w:firstLine="0"/>
      </w:pPr>
      <w:rPr>
        <w:rFonts w:hint="eastAsia" w:ascii="黑体" w:hAnsi="黑体" w:eastAsia="黑体" w:cs="Arial Unicode MS"/>
        <w:b w:val="0"/>
        <w:bCs w:val="0"/>
        <w:i w:val="0"/>
        <w:iCs w:val="0"/>
        <w:smallCaps w:val="0"/>
        <w:strike w:val="0"/>
        <w:color w:val="000000"/>
        <w:spacing w:val="-3"/>
        <w:w w:val="100"/>
        <w:position w:val="0"/>
        <w:sz w:val="21"/>
        <w:szCs w:val="18"/>
        <w:u w:val="none"/>
      </w:rPr>
    </w:lvl>
    <w:lvl w:ilvl="1" w:tentative="0">
      <w:start w:val="0"/>
      <w:numFmt w:val="decimal"/>
      <w:lvlText w:val=""/>
      <w:lvlJc w:val="left"/>
      <w:pPr>
        <w:ind w:left="0" w:firstLine="0"/>
      </w:pPr>
      <w:rPr>
        <w:rFonts w:hint="eastAsia"/>
      </w:rPr>
    </w:lvl>
    <w:lvl w:ilvl="2" w:tentative="0">
      <w:start w:val="0"/>
      <w:numFmt w:val="decimal"/>
      <w:lvlText w:val=""/>
      <w:lvlJc w:val="left"/>
      <w:pPr>
        <w:ind w:left="0" w:firstLine="0"/>
      </w:pPr>
      <w:rPr>
        <w:rFonts w:hint="eastAsia"/>
      </w:rPr>
    </w:lvl>
    <w:lvl w:ilvl="3" w:tentative="0">
      <w:start w:val="0"/>
      <w:numFmt w:val="decimal"/>
      <w:lvlText w:val=""/>
      <w:lvlJc w:val="left"/>
      <w:pPr>
        <w:ind w:left="0" w:firstLine="0"/>
      </w:pPr>
      <w:rPr>
        <w:rFonts w:hint="eastAsia"/>
      </w:rPr>
    </w:lvl>
    <w:lvl w:ilvl="4" w:tentative="0">
      <w:start w:val="0"/>
      <w:numFmt w:val="decimal"/>
      <w:lvlText w:val=""/>
      <w:lvlJc w:val="left"/>
      <w:pPr>
        <w:ind w:left="0" w:firstLine="0"/>
      </w:pPr>
      <w:rPr>
        <w:rFonts w:hint="eastAsia"/>
      </w:rPr>
    </w:lvl>
    <w:lvl w:ilvl="5" w:tentative="0">
      <w:start w:val="0"/>
      <w:numFmt w:val="decimal"/>
      <w:lvlText w:val=""/>
      <w:lvlJc w:val="left"/>
      <w:pPr>
        <w:ind w:left="0" w:firstLine="0"/>
      </w:pPr>
      <w:rPr>
        <w:rFonts w:hint="eastAsia"/>
      </w:rPr>
    </w:lvl>
    <w:lvl w:ilvl="6" w:tentative="0">
      <w:start w:val="0"/>
      <w:numFmt w:val="decimal"/>
      <w:lvlText w:val=""/>
      <w:lvlJc w:val="left"/>
      <w:pPr>
        <w:ind w:left="0" w:firstLine="0"/>
      </w:pPr>
      <w:rPr>
        <w:rFonts w:hint="eastAsia"/>
      </w:rPr>
    </w:lvl>
    <w:lvl w:ilvl="7" w:tentative="0">
      <w:start w:val="0"/>
      <w:numFmt w:val="decimal"/>
      <w:lvlText w:val=""/>
      <w:lvlJc w:val="left"/>
      <w:pPr>
        <w:ind w:left="0" w:firstLine="0"/>
      </w:pPr>
      <w:rPr>
        <w:rFonts w:hint="eastAsia"/>
      </w:rPr>
    </w:lvl>
    <w:lvl w:ilvl="8" w:tentative="0">
      <w:start w:val="0"/>
      <w:numFmt w:val="decimal"/>
      <w:lvlText w:val=""/>
      <w:lvlJc w:val="left"/>
      <w:pPr>
        <w:ind w:left="0" w:firstLine="0"/>
      </w:pPr>
      <w:rPr>
        <w:rFonts w:hint="eastAsia"/>
      </w:rPr>
    </w:lvl>
  </w:abstractNum>
  <w:abstractNum w:abstractNumId="11">
    <w:nsid w:val="08555E28"/>
    <w:multiLevelType w:val="multilevel"/>
    <w:tmpl w:val="08555E28"/>
    <w:lvl w:ilvl="0" w:tentative="0">
      <w:start w:val="1"/>
      <w:numFmt w:val="decimal"/>
      <w:lvlText w:val="12.3.%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08682DA0"/>
    <w:multiLevelType w:val="multilevel"/>
    <w:tmpl w:val="08682DA0"/>
    <w:lvl w:ilvl="0" w:tentative="0">
      <w:start w:val="1"/>
      <w:numFmt w:val="decimal"/>
      <w:lvlText w:val="10.3.%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08AF5C30"/>
    <w:multiLevelType w:val="multilevel"/>
    <w:tmpl w:val="08AF5C30"/>
    <w:lvl w:ilvl="0" w:tentative="0">
      <w:start w:val="1"/>
      <w:numFmt w:val="decimal"/>
      <w:lvlText w:val="12.6.%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08D4604A"/>
    <w:multiLevelType w:val="multilevel"/>
    <w:tmpl w:val="08D4604A"/>
    <w:lvl w:ilvl="0" w:tentative="0">
      <w:start w:val="1"/>
      <w:numFmt w:val="decimal"/>
      <w:lvlText w:val="11.5.%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0C571138"/>
    <w:multiLevelType w:val="multilevel"/>
    <w:tmpl w:val="0C571138"/>
    <w:lvl w:ilvl="0" w:tentative="0">
      <w:start w:val="1"/>
      <w:numFmt w:val="decimal"/>
      <w:lvlText w:val="10.1.%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
    <w:nsid w:val="0EC265EC"/>
    <w:multiLevelType w:val="multilevel"/>
    <w:tmpl w:val="0EC265EC"/>
    <w:lvl w:ilvl="0" w:tentative="0">
      <w:start w:val="3"/>
      <w:numFmt w:val="decimal"/>
      <w:lvlText w:val="8.2.%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
    <w:nsid w:val="12074798"/>
    <w:multiLevelType w:val="multilevel"/>
    <w:tmpl w:val="12074798"/>
    <w:lvl w:ilvl="0" w:tentative="0">
      <w:start w:val="1"/>
      <w:numFmt w:val="decimal"/>
      <w:lvlText w:val="3.2.%1"/>
      <w:lvlJc w:val="left"/>
      <w:pPr>
        <w:ind w:left="0" w:firstLine="0"/>
      </w:pPr>
      <w:rPr>
        <w:rFonts w:hint="eastAsia" w:ascii="黑体" w:hAnsi="黑体" w:eastAsia="黑体" w:cs="Arial Unicode MS"/>
        <w:b w:val="0"/>
        <w:bCs w:val="0"/>
        <w:i w:val="0"/>
        <w:iCs w:val="0"/>
        <w:smallCaps w:val="0"/>
        <w:strike w:val="0"/>
        <w:color w:val="000000"/>
        <w:spacing w:val="-3"/>
        <w:w w:val="100"/>
        <w:position w:val="0"/>
        <w:sz w:val="21"/>
        <w:szCs w:val="18"/>
        <w:u w:val="none"/>
        <w:lang w:val="en-US"/>
      </w:rPr>
    </w:lvl>
    <w:lvl w:ilvl="1" w:tentative="0">
      <w:start w:val="0"/>
      <w:numFmt w:val="decimal"/>
      <w:lvlText w:val=""/>
      <w:lvlJc w:val="left"/>
      <w:pPr>
        <w:ind w:left="0" w:firstLine="0"/>
      </w:pPr>
      <w:rPr>
        <w:rFonts w:hint="eastAsia"/>
      </w:rPr>
    </w:lvl>
    <w:lvl w:ilvl="2" w:tentative="0">
      <w:start w:val="0"/>
      <w:numFmt w:val="decimal"/>
      <w:lvlText w:val=""/>
      <w:lvlJc w:val="left"/>
      <w:pPr>
        <w:ind w:left="0" w:firstLine="0"/>
      </w:pPr>
      <w:rPr>
        <w:rFonts w:hint="eastAsia"/>
      </w:rPr>
    </w:lvl>
    <w:lvl w:ilvl="3" w:tentative="0">
      <w:start w:val="0"/>
      <w:numFmt w:val="decimal"/>
      <w:lvlText w:val=""/>
      <w:lvlJc w:val="left"/>
      <w:pPr>
        <w:ind w:left="0" w:firstLine="0"/>
      </w:pPr>
      <w:rPr>
        <w:rFonts w:hint="eastAsia"/>
      </w:rPr>
    </w:lvl>
    <w:lvl w:ilvl="4" w:tentative="0">
      <w:start w:val="0"/>
      <w:numFmt w:val="decimal"/>
      <w:lvlText w:val=""/>
      <w:lvlJc w:val="left"/>
      <w:pPr>
        <w:ind w:left="0" w:firstLine="0"/>
      </w:pPr>
      <w:rPr>
        <w:rFonts w:hint="eastAsia"/>
      </w:rPr>
    </w:lvl>
    <w:lvl w:ilvl="5" w:tentative="0">
      <w:start w:val="0"/>
      <w:numFmt w:val="decimal"/>
      <w:lvlText w:val=""/>
      <w:lvlJc w:val="left"/>
      <w:pPr>
        <w:ind w:left="0" w:firstLine="0"/>
      </w:pPr>
      <w:rPr>
        <w:rFonts w:hint="eastAsia"/>
      </w:rPr>
    </w:lvl>
    <w:lvl w:ilvl="6" w:tentative="0">
      <w:start w:val="0"/>
      <w:numFmt w:val="decimal"/>
      <w:lvlText w:val=""/>
      <w:lvlJc w:val="left"/>
      <w:pPr>
        <w:ind w:left="0" w:firstLine="0"/>
      </w:pPr>
      <w:rPr>
        <w:rFonts w:hint="eastAsia"/>
      </w:rPr>
    </w:lvl>
    <w:lvl w:ilvl="7" w:tentative="0">
      <w:start w:val="0"/>
      <w:numFmt w:val="decimal"/>
      <w:lvlText w:val=""/>
      <w:lvlJc w:val="left"/>
      <w:pPr>
        <w:ind w:left="0" w:firstLine="0"/>
      </w:pPr>
      <w:rPr>
        <w:rFonts w:hint="eastAsia"/>
      </w:rPr>
    </w:lvl>
    <w:lvl w:ilvl="8" w:tentative="0">
      <w:start w:val="0"/>
      <w:numFmt w:val="decimal"/>
      <w:lvlText w:val=""/>
      <w:lvlJc w:val="left"/>
      <w:pPr>
        <w:ind w:left="0" w:firstLine="0"/>
      </w:pPr>
      <w:rPr>
        <w:rFonts w:hint="eastAsia"/>
      </w:rPr>
    </w:lvl>
  </w:abstractNum>
  <w:abstractNum w:abstractNumId="18">
    <w:nsid w:val="15453B1E"/>
    <w:multiLevelType w:val="multilevel"/>
    <w:tmpl w:val="15453B1E"/>
    <w:lvl w:ilvl="0" w:tentative="0">
      <w:start w:val="1"/>
      <w:numFmt w:val="decimal"/>
      <w:lvlText w:val="5.1.%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
    <w:nsid w:val="1DB97C78"/>
    <w:multiLevelType w:val="multilevel"/>
    <w:tmpl w:val="1DB97C78"/>
    <w:lvl w:ilvl="0" w:tentative="0">
      <w:start w:val="1"/>
      <w:numFmt w:val="decimal"/>
      <w:lvlText w:val="12.1.%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0">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209"/>
      <w:suff w:val="nothing"/>
      <w:lvlText w:val="%1.%2.%3　"/>
      <w:lvlJc w:val="left"/>
      <w:pPr>
        <w:ind w:left="567"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1">
    <w:nsid w:val="23C859CF"/>
    <w:multiLevelType w:val="multilevel"/>
    <w:tmpl w:val="23C859CF"/>
    <w:lvl w:ilvl="0" w:tentative="0">
      <w:start w:val="1"/>
      <w:numFmt w:val="decimal"/>
      <w:lvlText w:val="5.3.%1"/>
      <w:lvlJc w:val="left"/>
      <w:pPr>
        <w:ind w:left="0" w:firstLine="0"/>
      </w:pPr>
      <w:rPr>
        <w:rFonts w:hint="eastAsia" w:ascii="黑体" w:hAnsi="黑体" w:eastAsia="黑体" w:cs="Arial Unicode MS"/>
        <w:b w:val="0"/>
        <w:bCs w:val="0"/>
        <w:i w:val="0"/>
        <w:iCs w:val="0"/>
        <w:smallCaps w:val="0"/>
        <w:strike w:val="0"/>
        <w:color w:val="000000"/>
        <w:spacing w:val="-3"/>
        <w:w w:val="100"/>
        <w:position w:val="0"/>
        <w:sz w:val="21"/>
        <w:szCs w:val="18"/>
        <w:u w:val="none"/>
      </w:rPr>
    </w:lvl>
    <w:lvl w:ilvl="1" w:tentative="0">
      <w:start w:val="0"/>
      <w:numFmt w:val="decimal"/>
      <w:lvlText w:val=""/>
      <w:lvlJc w:val="left"/>
      <w:pPr>
        <w:ind w:left="0" w:firstLine="0"/>
      </w:pPr>
      <w:rPr>
        <w:rFonts w:hint="eastAsia"/>
      </w:rPr>
    </w:lvl>
    <w:lvl w:ilvl="2" w:tentative="0">
      <w:start w:val="0"/>
      <w:numFmt w:val="decimal"/>
      <w:lvlText w:val=""/>
      <w:lvlJc w:val="left"/>
      <w:pPr>
        <w:ind w:left="0" w:firstLine="0"/>
      </w:pPr>
      <w:rPr>
        <w:rFonts w:hint="eastAsia"/>
      </w:rPr>
    </w:lvl>
    <w:lvl w:ilvl="3" w:tentative="0">
      <w:start w:val="0"/>
      <w:numFmt w:val="decimal"/>
      <w:lvlText w:val=""/>
      <w:lvlJc w:val="left"/>
      <w:pPr>
        <w:ind w:left="0" w:firstLine="0"/>
      </w:pPr>
      <w:rPr>
        <w:rFonts w:hint="eastAsia"/>
      </w:rPr>
    </w:lvl>
    <w:lvl w:ilvl="4" w:tentative="0">
      <w:start w:val="0"/>
      <w:numFmt w:val="decimal"/>
      <w:lvlText w:val=""/>
      <w:lvlJc w:val="left"/>
      <w:pPr>
        <w:ind w:left="0" w:firstLine="0"/>
      </w:pPr>
      <w:rPr>
        <w:rFonts w:hint="eastAsia"/>
      </w:rPr>
    </w:lvl>
    <w:lvl w:ilvl="5" w:tentative="0">
      <w:start w:val="0"/>
      <w:numFmt w:val="decimal"/>
      <w:lvlText w:val=""/>
      <w:lvlJc w:val="left"/>
      <w:pPr>
        <w:ind w:left="0" w:firstLine="0"/>
      </w:pPr>
      <w:rPr>
        <w:rFonts w:hint="eastAsia"/>
      </w:rPr>
    </w:lvl>
    <w:lvl w:ilvl="6" w:tentative="0">
      <w:start w:val="0"/>
      <w:numFmt w:val="decimal"/>
      <w:lvlText w:val=""/>
      <w:lvlJc w:val="left"/>
      <w:pPr>
        <w:ind w:left="0" w:firstLine="0"/>
      </w:pPr>
      <w:rPr>
        <w:rFonts w:hint="eastAsia"/>
      </w:rPr>
    </w:lvl>
    <w:lvl w:ilvl="7" w:tentative="0">
      <w:start w:val="0"/>
      <w:numFmt w:val="decimal"/>
      <w:lvlText w:val=""/>
      <w:lvlJc w:val="left"/>
      <w:pPr>
        <w:ind w:left="0" w:firstLine="0"/>
      </w:pPr>
      <w:rPr>
        <w:rFonts w:hint="eastAsia"/>
      </w:rPr>
    </w:lvl>
    <w:lvl w:ilvl="8" w:tentative="0">
      <w:start w:val="0"/>
      <w:numFmt w:val="decimal"/>
      <w:lvlText w:val=""/>
      <w:lvlJc w:val="left"/>
      <w:pPr>
        <w:ind w:left="0" w:firstLine="0"/>
      </w:pPr>
      <w:rPr>
        <w:rFonts w:hint="eastAsia"/>
      </w:rPr>
    </w:lvl>
  </w:abstractNum>
  <w:abstractNum w:abstractNumId="22">
    <w:nsid w:val="252E1035"/>
    <w:multiLevelType w:val="multilevel"/>
    <w:tmpl w:val="252E1035"/>
    <w:lvl w:ilvl="0" w:tentative="0">
      <w:start w:val="1"/>
      <w:numFmt w:val="decimal"/>
      <w:lvlText w:val="5.4.%1"/>
      <w:lvlJc w:val="left"/>
      <w:pPr>
        <w:ind w:left="0" w:firstLine="0"/>
      </w:pPr>
      <w:rPr>
        <w:rFonts w:hint="eastAsia" w:ascii="黑体" w:hAnsi="黑体" w:eastAsia="黑体" w:cs="Arial Unicode MS"/>
        <w:b w:val="0"/>
        <w:bCs w:val="0"/>
        <w:i w:val="0"/>
        <w:iCs w:val="0"/>
        <w:smallCaps w:val="0"/>
        <w:strike w:val="0"/>
        <w:color w:val="000000"/>
        <w:spacing w:val="-3"/>
        <w:w w:val="100"/>
        <w:position w:val="0"/>
        <w:sz w:val="21"/>
        <w:szCs w:val="18"/>
        <w:u w:val="none"/>
      </w:rPr>
    </w:lvl>
    <w:lvl w:ilvl="1" w:tentative="0">
      <w:start w:val="0"/>
      <w:numFmt w:val="decimal"/>
      <w:lvlText w:val=""/>
      <w:lvlJc w:val="left"/>
      <w:pPr>
        <w:ind w:left="0" w:firstLine="0"/>
      </w:pPr>
      <w:rPr>
        <w:rFonts w:hint="eastAsia"/>
      </w:rPr>
    </w:lvl>
    <w:lvl w:ilvl="2" w:tentative="0">
      <w:start w:val="0"/>
      <w:numFmt w:val="decimal"/>
      <w:lvlText w:val=""/>
      <w:lvlJc w:val="left"/>
      <w:pPr>
        <w:ind w:left="0" w:firstLine="0"/>
      </w:pPr>
      <w:rPr>
        <w:rFonts w:hint="eastAsia"/>
      </w:rPr>
    </w:lvl>
    <w:lvl w:ilvl="3" w:tentative="0">
      <w:start w:val="0"/>
      <w:numFmt w:val="decimal"/>
      <w:lvlText w:val=""/>
      <w:lvlJc w:val="left"/>
      <w:pPr>
        <w:ind w:left="0" w:firstLine="0"/>
      </w:pPr>
      <w:rPr>
        <w:rFonts w:hint="eastAsia"/>
      </w:rPr>
    </w:lvl>
    <w:lvl w:ilvl="4" w:tentative="0">
      <w:start w:val="0"/>
      <w:numFmt w:val="decimal"/>
      <w:lvlText w:val=""/>
      <w:lvlJc w:val="left"/>
      <w:pPr>
        <w:ind w:left="0" w:firstLine="0"/>
      </w:pPr>
      <w:rPr>
        <w:rFonts w:hint="eastAsia"/>
      </w:rPr>
    </w:lvl>
    <w:lvl w:ilvl="5" w:tentative="0">
      <w:start w:val="0"/>
      <w:numFmt w:val="decimal"/>
      <w:lvlText w:val=""/>
      <w:lvlJc w:val="left"/>
      <w:pPr>
        <w:ind w:left="0" w:firstLine="0"/>
      </w:pPr>
      <w:rPr>
        <w:rFonts w:hint="eastAsia"/>
      </w:rPr>
    </w:lvl>
    <w:lvl w:ilvl="6" w:tentative="0">
      <w:start w:val="0"/>
      <w:numFmt w:val="decimal"/>
      <w:lvlText w:val=""/>
      <w:lvlJc w:val="left"/>
      <w:pPr>
        <w:ind w:left="0" w:firstLine="0"/>
      </w:pPr>
      <w:rPr>
        <w:rFonts w:hint="eastAsia"/>
      </w:rPr>
    </w:lvl>
    <w:lvl w:ilvl="7" w:tentative="0">
      <w:start w:val="0"/>
      <w:numFmt w:val="decimal"/>
      <w:lvlText w:val=""/>
      <w:lvlJc w:val="left"/>
      <w:pPr>
        <w:ind w:left="0" w:firstLine="0"/>
      </w:pPr>
      <w:rPr>
        <w:rFonts w:hint="eastAsia"/>
      </w:rPr>
    </w:lvl>
    <w:lvl w:ilvl="8" w:tentative="0">
      <w:start w:val="0"/>
      <w:numFmt w:val="decimal"/>
      <w:lvlText w:val=""/>
      <w:lvlJc w:val="left"/>
      <w:pPr>
        <w:ind w:left="0" w:firstLine="0"/>
      </w:pPr>
      <w:rPr>
        <w:rFonts w:hint="eastAsia"/>
      </w:rPr>
    </w:lvl>
  </w:abstractNum>
  <w:abstractNum w:abstractNumId="23">
    <w:nsid w:val="253478A9"/>
    <w:multiLevelType w:val="multilevel"/>
    <w:tmpl w:val="253478A9"/>
    <w:lvl w:ilvl="0" w:tentative="0">
      <w:start w:val="1"/>
      <w:numFmt w:val="decimal"/>
      <w:lvlText w:val="8.3.%1"/>
      <w:lvlJc w:val="left"/>
      <w:pPr>
        <w:ind w:left="0" w:firstLine="0"/>
      </w:pPr>
      <w:rPr>
        <w:rFonts w:hint="eastAsia" w:ascii="黑体" w:eastAsia="黑体"/>
        <w:color w:val="auto"/>
        <w:sz w:val="21"/>
        <w:szCs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262E5FDA"/>
    <w:multiLevelType w:val="multilevel"/>
    <w:tmpl w:val="262E5FDA"/>
    <w:lvl w:ilvl="0" w:tentative="0">
      <w:start w:val="1"/>
      <w:numFmt w:val="decimal"/>
      <w:lvlText w:val="13.3.%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2BAD36AA"/>
    <w:multiLevelType w:val="multilevel"/>
    <w:tmpl w:val="2BAD36AA"/>
    <w:lvl w:ilvl="0" w:tentative="0">
      <w:start w:val="1"/>
      <w:numFmt w:val="decimal"/>
      <w:lvlText w:val="13.2.%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302F2B40"/>
    <w:multiLevelType w:val="multilevel"/>
    <w:tmpl w:val="302F2B40"/>
    <w:lvl w:ilvl="0" w:tentative="0">
      <w:start w:val="1"/>
      <w:numFmt w:val="decimal"/>
      <w:lvlText w:val="7.1.%1"/>
      <w:lvlJc w:val="left"/>
      <w:pPr>
        <w:ind w:left="0" w:firstLine="0"/>
      </w:pPr>
      <w:rPr>
        <w:rFonts w:hint="eastAsia" w:ascii="黑体" w:hAnsi="黑体" w:eastAsia="黑体" w:cs="Arial Unicode MS"/>
        <w:b w:val="0"/>
        <w:bCs w:val="0"/>
        <w:i w:val="0"/>
        <w:iCs w:val="0"/>
        <w:smallCaps w:val="0"/>
        <w:strike w:val="0"/>
        <w:color w:val="000000"/>
        <w:spacing w:val="-3"/>
        <w:w w:val="100"/>
        <w:position w:val="0"/>
        <w:sz w:val="21"/>
        <w:szCs w:val="18"/>
        <w:u w:val="none"/>
      </w:rPr>
    </w:lvl>
    <w:lvl w:ilvl="1" w:tentative="0">
      <w:start w:val="0"/>
      <w:numFmt w:val="decimal"/>
      <w:lvlText w:val=""/>
      <w:lvlJc w:val="left"/>
      <w:pPr>
        <w:ind w:left="0" w:firstLine="0"/>
      </w:pPr>
      <w:rPr>
        <w:rFonts w:hint="eastAsia"/>
      </w:rPr>
    </w:lvl>
    <w:lvl w:ilvl="2" w:tentative="0">
      <w:start w:val="0"/>
      <w:numFmt w:val="decimal"/>
      <w:lvlText w:val=""/>
      <w:lvlJc w:val="left"/>
      <w:pPr>
        <w:ind w:left="0" w:firstLine="0"/>
      </w:pPr>
      <w:rPr>
        <w:rFonts w:hint="eastAsia"/>
      </w:rPr>
    </w:lvl>
    <w:lvl w:ilvl="3" w:tentative="0">
      <w:start w:val="0"/>
      <w:numFmt w:val="decimal"/>
      <w:lvlText w:val=""/>
      <w:lvlJc w:val="left"/>
      <w:pPr>
        <w:ind w:left="0" w:firstLine="0"/>
      </w:pPr>
      <w:rPr>
        <w:rFonts w:hint="eastAsia"/>
      </w:rPr>
    </w:lvl>
    <w:lvl w:ilvl="4" w:tentative="0">
      <w:start w:val="0"/>
      <w:numFmt w:val="decimal"/>
      <w:lvlText w:val=""/>
      <w:lvlJc w:val="left"/>
      <w:pPr>
        <w:ind w:left="0" w:firstLine="0"/>
      </w:pPr>
      <w:rPr>
        <w:rFonts w:hint="eastAsia"/>
      </w:rPr>
    </w:lvl>
    <w:lvl w:ilvl="5" w:tentative="0">
      <w:start w:val="0"/>
      <w:numFmt w:val="decimal"/>
      <w:lvlText w:val=""/>
      <w:lvlJc w:val="left"/>
      <w:pPr>
        <w:ind w:left="0" w:firstLine="0"/>
      </w:pPr>
      <w:rPr>
        <w:rFonts w:hint="eastAsia"/>
      </w:rPr>
    </w:lvl>
    <w:lvl w:ilvl="6" w:tentative="0">
      <w:start w:val="0"/>
      <w:numFmt w:val="decimal"/>
      <w:lvlText w:val=""/>
      <w:lvlJc w:val="left"/>
      <w:pPr>
        <w:ind w:left="0" w:firstLine="0"/>
      </w:pPr>
      <w:rPr>
        <w:rFonts w:hint="eastAsia"/>
      </w:rPr>
    </w:lvl>
    <w:lvl w:ilvl="7" w:tentative="0">
      <w:start w:val="0"/>
      <w:numFmt w:val="decimal"/>
      <w:lvlText w:val=""/>
      <w:lvlJc w:val="left"/>
      <w:pPr>
        <w:ind w:left="0" w:firstLine="0"/>
      </w:pPr>
      <w:rPr>
        <w:rFonts w:hint="eastAsia"/>
      </w:rPr>
    </w:lvl>
    <w:lvl w:ilvl="8" w:tentative="0">
      <w:start w:val="0"/>
      <w:numFmt w:val="decimal"/>
      <w:lvlText w:val=""/>
      <w:lvlJc w:val="left"/>
      <w:pPr>
        <w:ind w:left="0" w:firstLine="0"/>
      </w:pPr>
      <w:rPr>
        <w:rFonts w:hint="eastAsia"/>
      </w:rPr>
    </w:lvl>
  </w:abstractNum>
  <w:abstractNum w:abstractNumId="27">
    <w:nsid w:val="31B36334"/>
    <w:multiLevelType w:val="multilevel"/>
    <w:tmpl w:val="31B36334"/>
    <w:lvl w:ilvl="0" w:tentative="0">
      <w:start w:val="1"/>
      <w:numFmt w:val="decimal"/>
      <w:lvlText w:val="3.1.%1"/>
      <w:lvlJc w:val="left"/>
      <w:pPr>
        <w:ind w:left="0" w:firstLine="0"/>
      </w:pPr>
      <w:rPr>
        <w:rFonts w:hint="eastAsia" w:ascii="黑体" w:hAnsi="黑体" w:eastAsia="黑体" w:cs="Arial Unicode MS"/>
        <w:b w:val="0"/>
        <w:bCs w:val="0"/>
        <w:i w:val="0"/>
        <w:iCs w:val="0"/>
        <w:smallCaps w:val="0"/>
        <w:strike w:val="0"/>
        <w:color w:val="000000"/>
        <w:spacing w:val="-3"/>
        <w:w w:val="100"/>
        <w:position w:val="0"/>
        <w:sz w:val="21"/>
        <w:szCs w:val="18"/>
        <w:u w:val="none"/>
        <w:lang w:val="en-US"/>
      </w:rPr>
    </w:lvl>
    <w:lvl w:ilvl="1" w:tentative="0">
      <w:start w:val="0"/>
      <w:numFmt w:val="decimal"/>
      <w:lvlText w:val=""/>
      <w:lvlJc w:val="left"/>
      <w:pPr>
        <w:ind w:left="0" w:firstLine="0"/>
      </w:pPr>
      <w:rPr>
        <w:rFonts w:hint="eastAsia"/>
      </w:rPr>
    </w:lvl>
    <w:lvl w:ilvl="2" w:tentative="0">
      <w:start w:val="0"/>
      <w:numFmt w:val="decimal"/>
      <w:lvlText w:val=""/>
      <w:lvlJc w:val="left"/>
      <w:pPr>
        <w:ind w:left="0" w:firstLine="0"/>
      </w:pPr>
      <w:rPr>
        <w:rFonts w:hint="eastAsia"/>
      </w:rPr>
    </w:lvl>
    <w:lvl w:ilvl="3" w:tentative="0">
      <w:start w:val="0"/>
      <w:numFmt w:val="decimal"/>
      <w:lvlText w:val=""/>
      <w:lvlJc w:val="left"/>
      <w:pPr>
        <w:ind w:left="0" w:firstLine="0"/>
      </w:pPr>
      <w:rPr>
        <w:rFonts w:hint="eastAsia"/>
      </w:rPr>
    </w:lvl>
    <w:lvl w:ilvl="4" w:tentative="0">
      <w:start w:val="0"/>
      <w:numFmt w:val="decimal"/>
      <w:lvlText w:val=""/>
      <w:lvlJc w:val="left"/>
      <w:pPr>
        <w:ind w:left="0" w:firstLine="0"/>
      </w:pPr>
      <w:rPr>
        <w:rFonts w:hint="eastAsia"/>
      </w:rPr>
    </w:lvl>
    <w:lvl w:ilvl="5" w:tentative="0">
      <w:start w:val="0"/>
      <w:numFmt w:val="decimal"/>
      <w:lvlText w:val=""/>
      <w:lvlJc w:val="left"/>
      <w:pPr>
        <w:ind w:left="0" w:firstLine="0"/>
      </w:pPr>
      <w:rPr>
        <w:rFonts w:hint="eastAsia"/>
      </w:rPr>
    </w:lvl>
    <w:lvl w:ilvl="6" w:tentative="0">
      <w:start w:val="0"/>
      <w:numFmt w:val="decimal"/>
      <w:lvlText w:val=""/>
      <w:lvlJc w:val="left"/>
      <w:pPr>
        <w:ind w:left="0" w:firstLine="0"/>
      </w:pPr>
      <w:rPr>
        <w:rFonts w:hint="eastAsia"/>
      </w:rPr>
    </w:lvl>
    <w:lvl w:ilvl="7" w:tentative="0">
      <w:start w:val="0"/>
      <w:numFmt w:val="decimal"/>
      <w:lvlText w:val=""/>
      <w:lvlJc w:val="left"/>
      <w:pPr>
        <w:ind w:left="0" w:firstLine="0"/>
      </w:pPr>
      <w:rPr>
        <w:rFonts w:hint="eastAsia"/>
      </w:rPr>
    </w:lvl>
    <w:lvl w:ilvl="8" w:tentative="0">
      <w:start w:val="0"/>
      <w:numFmt w:val="decimal"/>
      <w:lvlText w:val=""/>
      <w:lvlJc w:val="left"/>
      <w:pPr>
        <w:ind w:left="0" w:firstLine="0"/>
      </w:pPr>
      <w:rPr>
        <w:rFonts w:hint="eastAsia"/>
      </w:rPr>
    </w:lvl>
  </w:abstractNum>
  <w:abstractNum w:abstractNumId="28">
    <w:nsid w:val="37254927"/>
    <w:multiLevelType w:val="multilevel"/>
    <w:tmpl w:val="37254927"/>
    <w:lvl w:ilvl="0" w:tentative="0">
      <w:start w:val="1"/>
      <w:numFmt w:val="decimal"/>
      <w:lvlText w:val="11.3.%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
    <w:nsid w:val="3AAD3C85"/>
    <w:multiLevelType w:val="multilevel"/>
    <w:tmpl w:val="3AAD3C85"/>
    <w:lvl w:ilvl="0" w:tentative="0">
      <w:start w:val="1"/>
      <w:numFmt w:val="decimal"/>
      <w:lvlText w:val="5.2.%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0">
    <w:nsid w:val="418428E2"/>
    <w:multiLevelType w:val="multilevel"/>
    <w:tmpl w:val="418428E2"/>
    <w:lvl w:ilvl="0" w:tentative="0">
      <w:start w:val="1"/>
      <w:numFmt w:val="decimal"/>
      <w:lvlText w:val="14.3.%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1">
    <w:nsid w:val="437A5181"/>
    <w:multiLevelType w:val="multilevel"/>
    <w:tmpl w:val="437A5181"/>
    <w:lvl w:ilvl="0" w:tentative="0">
      <w:start w:val="1"/>
      <w:numFmt w:val="decimal"/>
      <w:lvlText w:val="14.2.%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2">
    <w:nsid w:val="43CD5284"/>
    <w:multiLevelType w:val="multilevel"/>
    <w:tmpl w:val="43CD5284"/>
    <w:lvl w:ilvl="0" w:tentative="0">
      <w:start w:val="1"/>
      <w:numFmt w:val="decimal"/>
      <w:lvlText w:val="7.7.%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3">
    <w:nsid w:val="46C400B1"/>
    <w:multiLevelType w:val="multilevel"/>
    <w:tmpl w:val="46C400B1"/>
    <w:lvl w:ilvl="0" w:tentative="0">
      <w:start w:val="1"/>
      <w:numFmt w:val="decimal"/>
      <w:lvlText w:val="7.6.%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4">
    <w:nsid w:val="4B6B1CE7"/>
    <w:multiLevelType w:val="multilevel"/>
    <w:tmpl w:val="4B6B1CE7"/>
    <w:lvl w:ilvl="0" w:tentative="0">
      <w:start w:val="1"/>
      <w:numFmt w:val="decimal"/>
      <w:lvlText w:val="12.4.%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5">
    <w:nsid w:val="503D7ADF"/>
    <w:multiLevelType w:val="multilevel"/>
    <w:tmpl w:val="503D7ADF"/>
    <w:lvl w:ilvl="0" w:tentative="0">
      <w:start w:val="1"/>
      <w:numFmt w:val="decimal"/>
      <w:lvlText w:val="8.1.%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6">
    <w:nsid w:val="54B870AB"/>
    <w:multiLevelType w:val="multilevel"/>
    <w:tmpl w:val="54B870AB"/>
    <w:lvl w:ilvl="0" w:tentative="0">
      <w:start w:val="1"/>
      <w:numFmt w:val="decimal"/>
      <w:lvlText w:val="10.2.%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7">
    <w:nsid w:val="5C2F3E9C"/>
    <w:multiLevelType w:val="multilevel"/>
    <w:tmpl w:val="5C2F3E9C"/>
    <w:lvl w:ilvl="0" w:tentative="0">
      <w:start w:val="1"/>
      <w:numFmt w:val="decimal"/>
      <w:lvlText w:val="9.1.%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8">
    <w:nsid w:val="5D902C3A"/>
    <w:multiLevelType w:val="multilevel"/>
    <w:tmpl w:val="5D902C3A"/>
    <w:lvl w:ilvl="0" w:tentative="0">
      <w:start w:val="7"/>
      <w:numFmt w:val="decimal"/>
      <w:lvlText w:val="10.2.%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9">
    <w:nsid w:val="5E65151A"/>
    <w:multiLevelType w:val="multilevel"/>
    <w:tmpl w:val="5E65151A"/>
    <w:lvl w:ilvl="0" w:tentative="0">
      <w:start w:val="1"/>
      <w:numFmt w:val="decimal"/>
      <w:lvlText w:val="12.5.%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0">
    <w:nsid w:val="5F14442C"/>
    <w:multiLevelType w:val="multilevel"/>
    <w:tmpl w:val="5F14442C"/>
    <w:lvl w:ilvl="0" w:tentative="0">
      <w:start w:val="1"/>
      <w:numFmt w:val="decimal"/>
      <w:lvlText w:val="7.3.%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1">
    <w:nsid w:val="63F87EF7"/>
    <w:multiLevelType w:val="multilevel"/>
    <w:tmpl w:val="63F87EF7"/>
    <w:lvl w:ilvl="0" w:tentative="0">
      <w:start w:val="3"/>
      <w:numFmt w:val="decimal"/>
      <w:lvlText w:val="11.2.%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2">
    <w:nsid w:val="63FE4E0D"/>
    <w:multiLevelType w:val="multilevel"/>
    <w:tmpl w:val="63FE4E0D"/>
    <w:lvl w:ilvl="0" w:tentative="0">
      <w:start w:val="1"/>
      <w:numFmt w:val="decimal"/>
      <w:lvlText w:val="11.4.%1"/>
      <w:lvlJc w:val="left"/>
      <w:pPr>
        <w:ind w:left="0" w:firstLine="0"/>
      </w:pPr>
      <w:rPr>
        <w:rFonts w:hint="eastAsia" w:ascii="黑体" w:eastAsia="黑体"/>
        <w:sz w:val="21"/>
        <w:szCs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3">
    <w:nsid w:val="64D51C16"/>
    <w:multiLevelType w:val="multilevel"/>
    <w:tmpl w:val="64D51C16"/>
    <w:lvl w:ilvl="0" w:tentative="0">
      <w:start w:val="1"/>
      <w:numFmt w:val="decimal"/>
      <w:lvlText w:val="11.1.%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4">
    <w:nsid w:val="65467C91"/>
    <w:multiLevelType w:val="multilevel"/>
    <w:tmpl w:val="65467C91"/>
    <w:lvl w:ilvl="0" w:tentative="0">
      <w:start w:val="1"/>
      <w:numFmt w:val="decimal"/>
      <w:lvlText w:val="14.1.%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5">
    <w:nsid w:val="692F04D5"/>
    <w:multiLevelType w:val="multilevel"/>
    <w:tmpl w:val="692F04D5"/>
    <w:lvl w:ilvl="0" w:tentative="0">
      <w:start w:val="1"/>
      <w:numFmt w:val="decimal"/>
      <w:lvlText w:val="4.%1"/>
      <w:lvlJc w:val="left"/>
      <w:pPr>
        <w:ind w:left="0" w:firstLine="0"/>
      </w:pPr>
      <w:rPr>
        <w:rFonts w:hint="eastAsia" w:ascii="黑体" w:hAnsi="黑体" w:eastAsia="黑体" w:cs="Arial Unicode MS"/>
        <w:b w:val="0"/>
        <w:bCs w:val="0"/>
        <w:i w:val="0"/>
        <w:iCs w:val="0"/>
        <w:smallCaps w:val="0"/>
        <w:strike w:val="0"/>
        <w:color w:val="000000"/>
        <w:spacing w:val="-3"/>
        <w:w w:val="100"/>
        <w:position w:val="0"/>
        <w:sz w:val="21"/>
        <w:szCs w:val="18"/>
        <w:u w:val="none"/>
      </w:rPr>
    </w:lvl>
    <w:lvl w:ilvl="1" w:tentative="0">
      <w:start w:val="0"/>
      <w:numFmt w:val="decimal"/>
      <w:lvlText w:val=""/>
      <w:lvlJc w:val="left"/>
      <w:pPr>
        <w:ind w:left="0" w:firstLine="0"/>
      </w:pPr>
      <w:rPr>
        <w:rFonts w:hint="eastAsia"/>
      </w:rPr>
    </w:lvl>
    <w:lvl w:ilvl="2" w:tentative="0">
      <w:start w:val="0"/>
      <w:numFmt w:val="decimal"/>
      <w:lvlText w:val=""/>
      <w:lvlJc w:val="left"/>
      <w:pPr>
        <w:ind w:left="0" w:firstLine="0"/>
      </w:pPr>
      <w:rPr>
        <w:rFonts w:hint="eastAsia"/>
      </w:rPr>
    </w:lvl>
    <w:lvl w:ilvl="3" w:tentative="0">
      <w:start w:val="0"/>
      <w:numFmt w:val="decimal"/>
      <w:lvlText w:val=""/>
      <w:lvlJc w:val="left"/>
      <w:pPr>
        <w:ind w:left="0" w:firstLine="0"/>
      </w:pPr>
      <w:rPr>
        <w:rFonts w:hint="eastAsia"/>
      </w:rPr>
    </w:lvl>
    <w:lvl w:ilvl="4" w:tentative="0">
      <w:start w:val="0"/>
      <w:numFmt w:val="decimal"/>
      <w:lvlText w:val=""/>
      <w:lvlJc w:val="left"/>
      <w:pPr>
        <w:ind w:left="0" w:firstLine="0"/>
      </w:pPr>
      <w:rPr>
        <w:rFonts w:hint="eastAsia"/>
      </w:rPr>
    </w:lvl>
    <w:lvl w:ilvl="5" w:tentative="0">
      <w:start w:val="0"/>
      <w:numFmt w:val="decimal"/>
      <w:lvlText w:val=""/>
      <w:lvlJc w:val="left"/>
      <w:pPr>
        <w:ind w:left="0" w:firstLine="0"/>
      </w:pPr>
      <w:rPr>
        <w:rFonts w:hint="eastAsia"/>
      </w:rPr>
    </w:lvl>
    <w:lvl w:ilvl="6" w:tentative="0">
      <w:start w:val="0"/>
      <w:numFmt w:val="decimal"/>
      <w:lvlText w:val=""/>
      <w:lvlJc w:val="left"/>
      <w:pPr>
        <w:ind w:left="0" w:firstLine="0"/>
      </w:pPr>
      <w:rPr>
        <w:rFonts w:hint="eastAsia"/>
      </w:rPr>
    </w:lvl>
    <w:lvl w:ilvl="7" w:tentative="0">
      <w:start w:val="0"/>
      <w:numFmt w:val="decimal"/>
      <w:lvlText w:val=""/>
      <w:lvlJc w:val="left"/>
      <w:pPr>
        <w:ind w:left="0" w:firstLine="0"/>
      </w:pPr>
      <w:rPr>
        <w:rFonts w:hint="eastAsia"/>
      </w:rPr>
    </w:lvl>
    <w:lvl w:ilvl="8" w:tentative="0">
      <w:start w:val="0"/>
      <w:numFmt w:val="decimal"/>
      <w:lvlText w:val=""/>
      <w:lvlJc w:val="left"/>
      <w:pPr>
        <w:ind w:left="0" w:firstLine="0"/>
      </w:pPr>
      <w:rPr>
        <w:rFonts w:hint="eastAsia"/>
      </w:rPr>
    </w:lvl>
  </w:abstractNum>
  <w:abstractNum w:abstractNumId="46">
    <w:nsid w:val="6BFF6F8C"/>
    <w:multiLevelType w:val="multilevel"/>
    <w:tmpl w:val="6BFF6F8C"/>
    <w:lvl w:ilvl="0" w:tentative="0">
      <w:start w:val="1"/>
      <w:numFmt w:val="decimal"/>
      <w:lvlText w:val="7.2.%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7">
    <w:nsid w:val="73A423E4"/>
    <w:multiLevelType w:val="multilevel"/>
    <w:tmpl w:val="73A423E4"/>
    <w:lvl w:ilvl="0" w:tentative="0">
      <w:start w:val="1"/>
      <w:numFmt w:val="decimal"/>
      <w:lvlText w:val="7.4.%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8">
    <w:nsid w:val="76BA08B7"/>
    <w:multiLevelType w:val="multilevel"/>
    <w:tmpl w:val="76BA08B7"/>
    <w:lvl w:ilvl="0" w:tentative="0">
      <w:start w:val="1"/>
      <w:numFmt w:val="decimal"/>
      <w:lvlText w:val="7.5.%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9">
    <w:nsid w:val="7858297D"/>
    <w:multiLevelType w:val="multilevel"/>
    <w:tmpl w:val="7858297D"/>
    <w:lvl w:ilvl="0" w:tentative="0">
      <w:start w:val="1"/>
      <w:numFmt w:val="decimal"/>
      <w:lvlText w:val="12.2.%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0">
    <w:nsid w:val="7BDE4F62"/>
    <w:multiLevelType w:val="multilevel"/>
    <w:tmpl w:val="7BDE4F62"/>
    <w:lvl w:ilvl="0" w:tentative="0">
      <w:start w:val="1"/>
      <w:numFmt w:val="decimal"/>
      <w:lvlText w:val="11.2.%1"/>
      <w:lvlJc w:val="left"/>
      <w:pPr>
        <w:ind w:left="0" w:firstLine="0"/>
      </w:pPr>
      <w:rPr>
        <w:rFonts w:hint="eastAsia" w:ascii="黑体" w:eastAsia="黑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20"/>
  </w:num>
  <w:num w:numId="2">
    <w:abstractNumId w:val="2"/>
  </w:num>
  <w:num w:numId="3">
    <w:abstractNumId w:val="27"/>
  </w:num>
  <w:num w:numId="4">
    <w:abstractNumId w:val="17"/>
  </w:num>
  <w:num w:numId="5">
    <w:abstractNumId w:val="45"/>
  </w:num>
  <w:num w:numId="6">
    <w:abstractNumId w:val="18"/>
  </w:num>
  <w:num w:numId="7">
    <w:abstractNumId w:val="29"/>
  </w:num>
  <w:num w:numId="8">
    <w:abstractNumId w:val="21"/>
  </w:num>
  <w:num w:numId="9">
    <w:abstractNumId w:val="22"/>
  </w:num>
  <w:num w:numId="10">
    <w:abstractNumId w:val="9"/>
  </w:num>
  <w:num w:numId="11">
    <w:abstractNumId w:val="10"/>
  </w:num>
  <w:num w:numId="12">
    <w:abstractNumId w:val="3"/>
  </w:num>
  <w:num w:numId="13">
    <w:abstractNumId w:val="6"/>
  </w:num>
  <w:num w:numId="14">
    <w:abstractNumId w:val="26"/>
  </w:num>
  <w:num w:numId="15">
    <w:abstractNumId w:val="46"/>
  </w:num>
  <w:num w:numId="16">
    <w:abstractNumId w:val="40"/>
  </w:num>
  <w:num w:numId="17">
    <w:abstractNumId w:val="47"/>
  </w:num>
  <w:num w:numId="18">
    <w:abstractNumId w:val="48"/>
  </w:num>
  <w:num w:numId="19">
    <w:abstractNumId w:val="33"/>
  </w:num>
  <w:num w:numId="20">
    <w:abstractNumId w:val="32"/>
  </w:num>
  <w:num w:numId="21">
    <w:abstractNumId w:val="35"/>
  </w:num>
  <w:num w:numId="22">
    <w:abstractNumId w:val="8"/>
  </w:num>
  <w:num w:numId="23">
    <w:abstractNumId w:val="16"/>
  </w:num>
  <w:num w:numId="24">
    <w:abstractNumId w:val="23"/>
  </w:num>
  <w:num w:numId="25">
    <w:abstractNumId w:val="37"/>
  </w:num>
  <w:num w:numId="26">
    <w:abstractNumId w:val="7"/>
  </w:num>
  <w:num w:numId="27">
    <w:abstractNumId w:val="4"/>
  </w:num>
  <w:num w:numId="28">
    <w:abstractNumId w:val="15"/>
  </w:num>
  <w:num w:numId="29">
    <w:abstractNumId w:val="36"/>
  </w:num>
  <w:num w:numId="30">
    <w:abstractNumId w:val="38"/>
  </w:num>
  <w:num w:numId="31">
    <w:abstractNumId w:val="12"/>
  </w:num>
  <w:num w:numId="32">
    <w:abstractNumId w:val="43"/>
  </w:num>
  <w:num w:numId="33">
    <w:abstractNumId w:val="50"/>
  </w:num>
  <w:num w:numId="34">
    <w:abstractNumId w:val="41"/>
  </w:num>
  <w:num w:numId="35">
    <w:abstractNumId w:val="28"/>
  </w:num>
  <w:num w:numId="36">
    <w:abstractNumId w:val="42"/>
  </w:num>
  <w:num w:numId="37">
    <w:abstractNumId w:val="14"/>
  </w:num>
  <w:num w:numId="38">
    <w:abstractNumId w:val="19"/>
  </w:num>
  <w:num w:numId="39">
    <w:abstractNumId w:val="49"/>
  </w:num>
  <w:num w:numId="40">
    <w:abstractNumId w:val="11"/>
  </w:num>
  <w:num w:numId="41">
    <w:abstractNumId w:val="34"/>
  </w:num>
  <w:num w:numId="42">
    <w:abstractNumId w:val="39"/>
  </w:num>
  <w:num w:numId="43">
    <w:abstractNumId w:val="13"/>
  </w:num>
  <w:num w:numId="44">
    <w:abstractNumId w:val="5"/>
  </w:num>
  <w:num w:numId="45">
    <w:abstractNumId w:val="25"/>
  </w:num>
  <w:num w:numId="46">
    <w:abstractNumId w:val="0"/>
  </w:num>
  <w:num w:numId="47">
    <w:abstractNumId w:val="1"/>
  </w:num>
  <w:num w:numId="48">
    <w:abstractNumId w:val="24"/>
  </w:num>
  <w:num w:numId="49">
    <w:abstractNumId w:val="44"/>
  </w:num>
  <w:num w:numId="50">
    <w:abstractNumId w:val="31"/>
  </w:num>
  <w:num w:numId="5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true"/>
  <w:bordersDoNotSurroundHeader w:val="true"/>
  <w:bordersDoNotSurroundFooter w:val="true"/>
  <w:hideSpellingErrors/>
  <w:documentProtection w:enforcement="0"/>
  <w:defaultTabStop w:val="420"/>
  <w:evenAndOddHeaders w:val="true"/>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ZiYmYwMDA3NjM0MmUxOWZmY2ZlNTY3NWQ0OTlkY2EifQ=="/>
  </w:docVars>
  <w:rsids>
    <w:rsidRoot w:val="005D6FE1"/>
    <w:rsid w:val="00005739"/>
    <w:rsid w:val="000140A8"/>
    <w:rsid w:val="0001558B"/>
    <w:rsid w:val="00015C0A"/>
    <w:rsid w:val="0002019E"/>
    <w:rsid w:val="000250D7"/>
    <w:rsid w:val="000269DA"/>
    <w:rsid w:val="00036A1B"/>
    <w:rsid w:val="00037021"/>
    <w:rsid w:val="0005581E"/>
    <w:rsid w:val="00055A8D"/>
    <w:rsid w:val="000576D0"/>
    <w:rsid w:val="00061D68"/>
    <w:rsid w:val="00070863"/>
    <w:rsid w:val="0007264A"/>
    <w:rsid w:val="00072797"/>
    <w:rsid w:val="000747F8"/>
    <w:rsid w:val="00075CDF"/>
    <w:rsid w:val="00077448"/>
    <w:rsid w:val="0008224D"/>
    <w:rsid w:val="00083F6A"/>
    <w:rsid w:val="00085380"/>
    <w:rsid w:val="00086420"/>
    <w:rsid w:val="000904A8"/>
    <w:rsid w:val="00095937"/>
    <w:rsid w:val="000A4691"/>
    <w:rsid w:val="000A49F2"/>
    <w:rsid w:val="000A4B84"/>
    <w:rsid w:val="000A770A"/>
    <w:rsid w:val="000A7CD0"/>
    <w:rsid w:val="000B02E9"/>
    <w:rsid w:val="000B34C9"/>
    <w:rsid w:val="000B472A"/>
    <w:rsid w:val="000C236B"/>
    <w:rsid w:val="000C3AED"/>
    <w:rsid w:val="000C425B"/>
    <w:rsid w:val="000C474C"/>
    <w:rsid w:val="000C5E1F"/>
    <w:rsid w:val="000D1F89"/>
    <w:rsid w:val="000D45F4"/>
    <w:rsid w:val="000D5244"/>
    <w:rsid w:val="000D7CA4"/>
    <w:rsid w:val="000E1D57"/>
    <w:rsid w:val="000E2934"/>
    <w:rsid w:val="000F1DD9"/>
    <w:rsid w:val="000F3F32"/>
    <w:rsid w:val="000F7708"/>
    <w:rsid w:val="0010590F"/>
    <w:rsid w:val="00105C43"/>
    <w:rsid w:val="00106378"/>
    <w:rsid w:val="001064CF"/>
    <w:rsid w:val="00111E90"/>
    <w:rsid w:val="00116ADC"/>
    <w:rsid w:val="00116F04"/>
    <w:rsid w:val="00117CF2"/>
    <w:rsid w:val="00123368"/>
    <w:rsid w:val="00123534"/>
    <w:rsid w:val="00131624"/>
    <w:rsid w:val="00131B40"/>
    <w:rsid w:val="00134231"/>
    <w:rsid w:val="00136ECE"/>
    <w:rsid w:val="00142BD8"/>
    <w:rsid w:val="00143D60"/>
    <w:rsid w:val="00143EA1"/>
    <w:rsid w:val="00152F04"/>
    <w:rsid w:val="0015615D"/>
    <w:rsid w:val="00164F6A"/>
    <w:rsid w:val="0017438B"/>
    <w:rsid w:val="001850D4"/>
    <w:rsid w:val="0018586E"/>
    <w:rsid w:val="001A3C49"/>
    <w:rsid w:val="001A7980"/>
    <w:rsid w:val="001B156C"/>
    <w:rsid w:val="001B6170"/>
    <w:rsid w:val="001B6775"/>
    <w:rsid w:val="001C2223"/>
    <w:rsid w:val="001C322F"/>
    <w:rsid w:val="001E5C96"/>
    <w:rsid w:val="001F15EC"/>
    <w:rsid w:val="001F4AF7"/>
    <w:rsid w:val="001F50FD"/>
    <w:rsid w:val="001F560D"/>
    <w:rsid w:val="001F6513"/>
    <w:rsid w:val="0020137B"/>
    <w:rsid w:val="002040BE"/>
    <w:rsid w:val="00205140"/>
    <w:rsid w:val="002053BA"/>
    <w:rsid w:val="00206D44"/>
    <w:rsid w:val="00207216"/>
    <w:rsid w:val="00213260"/>
    <w:rsid w:val="0021365A"/>
    <w:rsid w:val="00216943"/>
    <w:rsid w:val="0022178E"/>
    <w:rsid w:val="00221DA4"/>
    <w:rsid w:val="00222417"/>
    <w:rsid w:val="00223C27"/>
    <w:rsid w:val="0022742E"/>
    <w:rsid w:val="00232799"/>
    <w:rsid w:val="00234B6F"/>
    <w:rsid w:val="002362E5"/>
    <w:rsid w:val="00241873"/>
    <w:rsid w:val="00242F7E"/>
    <w:rsid w:val="002473FA"/>
    <w:rsid w:val="00252A03"/>
    <w:rsid w:val="00252A0B"/>
    <w:rsid w:val="002548FF"/>
    <w:rsid w:val="00255E59"/>
    <w:rsid w:val="00260100"/>
    <w:rsid w:val="00261C77"/>
    <w:rsid w:val="00262CD7"/>
    <w:rsid w:val="00265C77"/>
    <w:rsid w:val="0026799F"/>
    <w:rsid w:val="00271B40"/>
    <w:rsid w:val="002839A5"/>
    <w:rsid w:val="0028441C"/>
    <w:rsid w:val="0028717E"/>
    <w:rsid w:val="002908A9"/>
    <w:rsid w:val="002945D6"/>
    <w:rsid w:val="00296110"/>
    <w:rsid w:val="00296B9C"/>
    <w:rsid w:val="002A2B28"/>
    <w:rsid w:val="002A6E58"/>
    <w:rsid w:val="002B2611"/>
    <w:rsid w:val="002B3E02"/>
    <w:rsid w:val="002C4170"/>
    <w:rsid w:val="002D01E5"/>
    <w:rsid w:val="002D0D3F"/>
    <w:rsid w:val="002D4DE5"/>
    <w:rsid w:val="002D611B"/>
    <w:rsid w:val="002D64BE"/>
    <w:rsid w:val="002D7018"/>
    <w:rsid w:val="002E10AD"/>
    <w:rsid w:val="002E27B8"/>
    <w:rsid w:val="002E629B"/>
    <w:rsid w:val="002F16F0"/>
    <w:rsid w:val="002F2E7F"/>
    <w:rsid w:val="002F3302"/>
    <w:rsid w:val="002F7E84"/>
    <w:rsid w:val="00301876"/>
    <w:rsid w:val="00301E0D"/>
    <w:rsid w:val="0030207D"/>
    <w:rsid w:val="0030691F"/>
    <w:rsid w:val="0030693C"/>
    <w:rsid w:val="00307EF0"/>
    <w:rsid w:val="00311151"/>
    <w:rsid w:val="00316438"/>
    <w:rsid w:val="003171D0"/>
    <w:rsid w:val="00333364"/>
    <w:rsid w:val="0034032F"/>
    <w:rsid w:val="003416AC"/>
    <w:rsid w:val="00341ABC"/>
    <w:rsid w:val="00344DF2"/>
    <w:rsid w:val="0035096C"/>
    <w:rsid w:val="00357AF0"/>
    <w:rsid w:val="003623BC"/>
    <w:rsid w:val="003649F1"/>
    <w:rsid w:val="003709C4"/>
    <w:rsid w:val="003736CF"/>
    <w:rsid w:val="00373B59"/>
    <w:rsid w:val="00390675"/>
    <w:rsid w:val="003940DC"/>
    <w:rsid w:val="003964A8"/>
    <w:rsid w:val="003A09E7"/>
    <w:rsid w:val="003A107C"/>
    <w:rsid w:val="003A2104"/>
    <w:rsid w:val="003A27A7"/>
    <w:rsid w:val="003B45E1"/>
    <w:rsid w:val="003C2DD6"/>
    <w:rsid w:val="003C59DF"/>
    <w:rsid w:val="003C65FB"/>
    <w:rsid w:val="003C6A90"/>
    <w:rsid w:val="003D50E6"/>
    <w:rsid w:val="003D5AE9"/>
    <w:rsid w:val="003D6E9A"/>
    <w:rsid w:val="003E072E"/>
    <w:rsid w:val="003E3551"/>
    <w:rsid w:val="003E7D9E"/>
    <w:rsid w:val="003F0F48"/>
    <w:rsid w:val="003F1463"/>
    <w:rsid w:val="003F2728"/>
    <w:rsid w:val="003F76FF"/>
    <w:rsid w:val="00402833"/>
    <w:rsid w:val="004032C9"/>
    <w:rsid w:val="00403316"/>
    <w:rsid w:val="00405643"/>
    <w:rsid w:val="00405C47"/>
    <w:rsid w:val="0041499E"/>
    <w:rsid w:val="0041532F"/>
    <w:rsid w:val="00416777"/>
    <w:rsid w:val="004275B8"/>
    <w:rsid w:val="00427E3B"/>
    <w:rsid w:val="00430D75"/>
    <w:rsid w:val="0043314D"/>
    <w:rsid w:val="004364E3"/>
    <w:rsid w:val="004371EB"/>
    <w:rsid w:val="00441211"/>
    <w:rsid w:val="00446C06"/>
    <w:rsid w:val="00454E5D"/>
    <w:rsid w:val="00455DF1"/>
    <w:rsid w:val="0046000A"/>
    <w:rsid w:val="00460ED6"/>
    <w:rsid w:val="004617E7"/>
    <w:rsid w:val="00463589"/>
    <w:rsid w:val="00465483"/>
    <w:rsid w:val="00471671"/>
    <w:rsid w:val="00471CFD"/>
    <w:rsid w:val="004731C7"/>
    <w:rsid w:val="00473FAB"/>
    <w:rsid w:val="004825DE"/>
    <w:rsid w:val="00485DBA"/>
    <w:rsid w:val="00486401"/>
    <w:rsid w:val="00490FDF"/>
    <w:rsid w:val="00491377"/>
    <w:rsid w:val="00491767"/>
    <w:rsid w:val="004929C4"/>
    <w:rsid w:val="00493027"/>
    <w:rsid w:val="00497866"/>
    <w:rsid w:val="004A157A"/>
    <w:rsid w:val="004A39B6"/>
    <w:rsid w:val="004B0C1A"/>
    <w:rsid w:val="004B6109"/>
    <w:rsid w:val="004B705D"/>
    <w:rsid w:val="004C26D0"/>
    <w:rsid w:val="004C48D7"/>
    <w:rsid w:val="004C579F"/>
    <w:rsid w:val="004C79FE"/>
    <w:rsid w:val="004D0CA8"/>
    <w:rsid w:val="004D5C9F"/>
    <w:rsid w:val="004E0752"/>
    <w:rsid w:val="004E1058"/>
    <w:rsid w:val="004E4079"/>
    <w:rsid w:val="004E4A07"/>
    <w:rsid w:val="004F024E"/>
    <w:rsid w:val="004F23E2"/>
    <w:rsid w:val="00500BC7"/>
    <w:rsid w:val="00500E7A"/>
    <w:rsid w:val="00503023"/>
    <w:rsid w:val="0051058F"/>
    <w:rsid w:val="0051088F"/>
    <w:rsid w:val="00510FFB"/>
    <w:rsid w:val="00511DEA"/>
    <w:rsid w:val="00511F91"/>
    <w:rsid w:val="00512B6F"/>
    <w:rsid w:val="00515C4C"/>
    <w:rsid w:val="0051617E"/>
    <w:rsid w:val="00520ABB"/>
    <w:rsid w:val="00520AC1"/>
    <w:rsid w:val="00522D2B"/>
    <w:rsid w:val="005272ED"/>
    <w:rsid w:val="00532558"/>
    <w:rsid w:val="0053557D"/>
    <w:rsid w:val="005449AE"/>
    <w:rsid w:val="00551813"/>
    <w:rsid w:val="00554264"/>
    <w:rsid w:val="00554D9C"/>
    <w:rsid w:val="005644AC"/>
    <w:rsid w:val="005654CE"/>
    <w:rsid w:val="00565F85"/>
    <w:rsid w:val="005722E8"/>
    <w:rsid w:val="00572DCC"/>
    <w:rsid w:val="00574767"/>
    <w:rsid w:val="005747C0"/>
    <w:rsid w:val="00575D2C"/>
    <w:rsid w:val="00580F83"/>
    <w:rsid w:val="00582FEC"/>
    <w:rsid w:val="005833D5"/>
    <w:rsid w:val="00586AD2"/>
    <w:rsid w:val="00591F22"/>
    <w:rsid w:val="00592E79"/>
    <w:rsid w:val="00596841"/>
    <w:rsid w:val="005A0C70"/>
    <w:rsid w:val="005A2366"/>
    <w:rsid w:val="005B00B5"/>
    <w:rsid w:val="005B1B15"/>
    <w:rsid w:val="005C0370"/>
    <w:rsid w:val="005C2ABB"/>
    <w:rsid w:val="005C4AB1"/>
    <w:rsid w:val="005C4CE1"/>
    <w:rsid w:val="005C775D"/>
    <w:rsid w:val="005D1312"/>
    <w:rsid w:val="005D2518"/>
    <w:rsid w:val="005D371D"/>
    <w:rsid w:val="005D381E"/>
    <w:rsid w:val="005D6FE1"/>
    <w:rsid w:val="005E6280"/>
    <w:rsid w:val="005E74F0"/>
    <w:rsid w:val="005E79D4"/>
    <w:rsid w:val="005F4497"/>
    <w:rsid w:val="005F5B18"/>
    <w:rsid w:val="0060447D"/>
    <w:rsid w:val="006134CB"/>
    <w:rsid w:val="00614BBD"/>
    <w:rsid w:val="006211FF"/>
    <w:rsid w:val="00623181"/>
    <w:rsid w:val="00623992"/>
    <w:rsid w:val="006250B6"/>
    <w:rsid w:val="00630AAB"/>
    <w:rsid w:val="00631312"/>
    <w:rsid w:val="00631D04"/>
    <w:rsid w:val="006321DC"/>
    <w:rsid w:val="00635245"/>
    <w:rsid w:val="006406F8"/>
    <w:rsid w:val="00647444"/>
    <w:rsid w:val="00650CF9"/>
    <w:rsid w:val="006510B3"/>
    <w:rsid w:val="00651463"/>
    <w:rsid w:val="00656D27"/>
    <w:rsid w:val="006570C1"/>
    <w:rsid w:val="006718DA"/>
    <w:rsid w:val="0067248F"/>
    <w:rsid w:val="00673485"/>
    <w:rsid w:val="006737DA"/>
    <w:rsid w:val="00676F3B"/>
    <w:rsid w:val="006922F0"/>
    <w:rsid w:val="006A1801"/>
    <w:rsid w:val="006A4330"/>
    <w:rsid w:val="006A5168"/>
    <w:rsid w:val="006B00D0"/>
    <w:rsid w:val="006B1A54"/>
    <w:rsid w:val="006B224D"/>
    <w:rsid w:val="006B330A"/>
    <w:rsid w:val="006B4D48"/>
    <w:rsid w:val="006B5497"/>
    <w:rsid w:val="006B56EE"/>
    <w:rsid w:val="006B64BE"/>
    <w:rsid w:val="006C29B3"/>
    <w:rsid w:val="006D2B00"/>
    <w:rsid w:val="006D4070"/>
    <w:rsid w:val="006E1E33"/>
    <w:rsid w:val="006F042D"/>
    <w:rsid w:val="006F1CB4"/>
    <w:rsid w:val="006F1E6D"/>
    <w:rsid w:val="006F3361"/>
    <w:rsid w:val="00700059"/>
    <w:rsid w:val="00704B2D"/>
    <w:rsid w:val="007213DA"/>
    <w:rsid w:val="00725BD9"/>
    <w:rsid w:val="007264A6"/>
    <w:rsid w:val="007268A4"/>
    <w:rsid w:val="00731DD7"/>
    <w:rsid w:val="00732C6B"/>
    <w:rsid w:val="00732CAE"/>
    <w:rsid w:val="00733744"/>
    <w:rsid w:val="00736DF3"/>
    <w:rsid w:val="007403D0"/>
    <w:rsid w:val="007430A6"/>
    <w:rsid w:val="00743CB9"/>
    <w:rsid w:val="00745D94"/>
    <w:rsid w:val="00745FB5"/>
    <w:rsid w:val="007556D6"/>
    <w:rsid w:val="00763E86"/>
    <w:rsid w:val="00766BEC"/>
    <w:rsid w:val="007739CD"/>
    <w:rsid w:val="007746C5"/>
    <w:rsid w:val="00774B2A"/>
    <w:rsid w:val="0078113E"/>
    <w:rsid w:val="00781E9E"/>
    <w:rsid w:val="00784FC6"/>
    <w:rsid w:val="00787D1B"/>
    <w:rsid w:val="00790AE8"/>
    <w:rsid w:val="0079452D"/>
    <w:rsid w:val="00794E6A"/>
    <w:rsid w:val="00797A93"/>
    <w:rsid w:val="007A0446"/>
    <w:rsid w:val="007A05BC"/>
    <w:rsid w:val="007A2064"/>
    <w:rsid w:val="007B0307"/>
    <w:rsid w:val="007B2064"/>
    <w:rsid w:val="007B4E11"/>
    <w:rsid w:val="007C63F5"/>
    <w:rsid w:val="007D236E"/>
    <w:rsid w:val="007D37EF"/>
    <w:rsid w:val="007D3D99"/>
    <w:rsid w:val="007D77BF"/>
    <w:rsid w:val="007E253A"/>
    <w:rsid w:val="007E2FBC"/>
    <w:rsid w:val="007E3651"/>
    <w:rsid w:val="007E589A"/>
    <w:rsid w:val="007E6BD3"/>
    <w:rsid w:val="007E75E4"/>
    <w:rsid w:val="007F0E0F"/>
    <w:rsid w:val="007F1C81"/>
    <w:rsid w:val="00802675"/>
    <w:rsid w:val="0080691D"/>
    <w:rsid w:val="008157C3"/>
    <w:rsid w:val="008162E8"/>
    <w:rsid w:val="008167F6"/>
    <w:rsid w:val="00816A2E"/>
    <w:rsid w:val="00827C57"/>
    <w:rsid w:val="00830552"/>
    <w:rsid w:val="0083120A"/>
    <w:rsid w:val="00833C44"/>
    <w:rsid w:val="00836F94"/>
    <w:rsid w:val="0084295D"/>
    <w:rsid w:val="008513EA"/>
    <w:rsid w:val="0085175E"/>
    <w:rsid w:val="008537AD"/>
    <w:rsid w:val="00855A8E"/>
    <w:rsid w:val="00857010"/>
    <w:rsid w:val="008604AA"/>
    <w:rsid w:val="00861DD1"/>
    <w:rsid w:val="00864E9D"/>
    <w:rsid w:val="00865F97"/>
    <w:rsid w:val="00871D18"/>
    <w:rsid w:val="0087403F"/>
    <w:rsid w:val="008757F1"/>
    <w:rsid w:val="00876A1F"/>
    <w:rsid w:val="008911BA"/>
    <w:rsid w:val="00895586"/>
    <w:rsid w:val="00897F3B"/>
    <w:rsid w:val="008A0302"/>
    <w:rsid w:val="008A0740"/>
    <w:rsid w:val="008A4CE1"/>
    <w:rsid w:val="008A5F7C"/>
    <w:rsid w:val="008B33EF"/>
    <w:rsid w:val="008B5F65"/>
    <w:rsid w:val="008B7D3D"/>
    <w:rsid w:val="008C0EA5"/>
    <w:rsid w:val="008C45EE"/>
    <w:rsid w:val="008C6D8B"/>
    <w:rsid w:val="008E54B4"/>
    <w:rsid w:val="008E6C21"/>
    <w:rsid w:val="008F1EC3"/>
    <w:rsid w:val="008F6B82"/>
    <w:rsid w:val="00905B51"/>
    <w:rsid w:val="00906858"/>
    <w:rsid w:val="00912F69"/>
    <w:rsid w:val="009136A0"/>
    <w:rsid w:val="00916227"/>
    <w:rsid w:val="00923B9E"/>
    <w:rsid w:val="009270ED"/>
    <w:rsid w:val="00932796"/>
    <w:rsid w:val="00932CD2"/>
    <w:rsid w:val="00933CE2"/>
    <w:rsid w:val="00937C73"/>
    <w:rsid w:val="009449BE"/>
    <w:rsid w:val="009457BF"/>
    <w:rsid w:val="00952E16"/>
    <w:rsid w:val="00953CA2"/>
    <w:rsid w:val="00953FDF"/>
    <w:rsid w:val="00955FE8"/>
    <w:rsid w:val="00957704"/>
    <w:rsid w:val="009603B5"/>
    <w:rsid w:val="0096342D"/>
    <w:rsid w:val="00965760"/>
    <w:rsid w:val="009673DB"/>
    <w:rsid w:val="00971D0F"/>
    <w:rsid w:val="0097254F"/>
    <w:rsid w:val="00972803"/>
    <w:rsid w:val="009809D5"/>
    <w:rsid w:val="0098398D"/>
    <w:rsid w:val="0099518A"/>
    <w:rsid w:val="009A1D0B"/>
    <w:rsid w:val="009A1F2E"/>
    <w:rsid w:val="009A43D4"/>
    <w:rsid w:val="009A4FE0"/>
    <w:rsid w:val="009A5702"/>
    <w:rsid w:val="009A618B"/>
    <w:rsid w:val="009B46C6"/>
    <w:rsid w:val="009B4D8B"/>
    <w:rsid w:val="009B5796"/>
    <w:rsid w:val="009B57E0"/>
    <w:rsid w:val="009D1C3C"/>
    <w:rsid w:val="009D7954"/>
    <w:rsid w:val="009E3D63"/>
    <w:rsid w:val="009E515E"/>
    <w:rsid w:val="009E6151"/>
    <w:rsid w:val="009F0449"/>
    <w:rsid w:val="009F1E8E"/>
    <w:rsid w:val="009F301B"/>
    <w:rsid w:val="009F5029"/>
    <w:rsid w:val="00A01326"/>
    <w:rsid w:val="00A0140E"/>
    <w:rsid w:val="00A02A32"/>
    <w:rsid w:val="00A21CD9"/>
    <w:rsid w:val="00A334FB"/>
    <w:rsid w:val="00A37D0A"/>
    <w:rsid w:val="00A50A39"/>
    <w:rsid w:val="00A51A97"/>
    <w:rsid w:val="00A51D02"/>
    <w:rsid w:val="00A57173"/>
    <w:rsid w:val="00A60AA1"/>
    <w:rsid w:val="00A60F58"/>
    <w:rsid w:val="00A62784"/>
    <w:rsid w:val="00A67BE4"/>
    <w:rsid w:val="00A735AE"/>
    <w:rsid w:val="00A74469"/>
    <w:rsid w:val="00A75B42"/>
    <w:rsid w:val="00A77624"/>
    <w:rsid w:val="00A86779"/>
    <w:rsid w:val="00A95059"/>
    <w:rsid w:val="00AA189B"/>
    <w:rsid w:val="00AA1D07"/>
    <w:rsid w:val="00AA1E84"/>
    <w:rsid w:val="00AA2E0D"/>
    <w:rsid w:val="00AA4F46"/>
    <w:rsid w:val="00AA71A4"/>
    <w:rsid w:val="00AB0C62"/>
    <w:rsid w:val="00AB144E"/>
    <w:rsid w:val="00AB1C06"/>
    <w:rsid w:val="00AB4561"/>
    <w:rsid w:val="00AC0D6F"/>
    <w:rsid w:val="00AD0954"/>
    <w:rsid w:val="00AD2081"/>
    <w:rsid w:val="00AD2409"/>
    <w:rsid w:val="00AD3D7F"/>
    <w:rsid w:val="00AE582F"/>
    <w:rsid w:val="00AE617C"/>
    <w:rsid w:val="00AF19FD"/>
    <w:rsid w:val="00AF3383"/>
    <w:rsid w:val="00B106B1"/>
    <w:rsid w:val="00B12B0F"/>
    <w:rsid w:val="00B12F3A"/>
    <w:rsid w:val="00B151A0"/>
    <w:rsid w:val="00B1680B"/>
    <w:rsid w:val="00B23F45"/>
    <w:rsid w:val="00B3204C"/>
    <w:rsid w:val="00B335D2"/>
    <w:rsid w:val="00B3416F"/>
    <w:rsid w:val="00B41AF9"/>
    <w:rsid w:val="00B434F6"/>
    <w:rsid w:val="00B50FC0"/>
    <w:rsid w:val="00B56A5A"/>
    <w:rsid w:val="00B5721A"/>
    <w:rsid w:val="00B63260"/>
    <w:rsid w:val="00B6627B"/>
    <w:rsid w:val="00B66C4A"/>
    <w:rsid w:val="00B67172"/>
    <w:rsid w:val="00B71D14"/>
    <w:rsid w:val="00B71D63"/>
    <w:rsid w:val="00B73A97"/>
    <w:rsid w:val="00B80C50"/>
    <w:rsid w:val="00B8179B"/>
    <w:rsid w:val="00B879C8"/>
    <w:rsid w:val="00B87EF2"/>
    <w:rsid w:val="00B92294"/>
    <w:rsid w:val="00B94747"/>
    <w:rsid w:val="00B94F1E"/>
    <w:rsid w:val="00B94F6D"/>
    <w:rsid w:val="00B95602"/>
    <w:rsid w:val="00B96C33"/>
    <w:rsid w:val="00B9706F"/>
    <w:rsid w:val="00B975BA"/>
    <w:rsid w:val="00B97763"/>
    <w:rsid w:val="00BA5ACC"/>
    <w:rsid w:val="00BB47C1"/>
    <w:rsid w:val="00BC0975"/>
    <w:rsid w:val="00BC15A7"/>
    <w:rsid w:val="00BD0100"/>
    <w:rsid w:val="00BD2CF8"/>
    <w:rsid w:val="00BD5648"/>
    <w:rsid w:val="00BD606B"/>
    <w:rsid w:val="00BE1D72"/>
    <w:rsid w:val="00BF1A47"/>
    <w:rsid w:val="00BF3A64"/>
    <w:rsid w:val="00BF47B8"/>
    <w:rsid w:val="00BF4DCB"/>
    <w:rsid w:val="00C019CD"/>
    <w:rsid w:val="00C04D70"/>
    <w:rsid w:val="00C05E43"/>
    <w:rsid w:val="00C11B59"/>
    <w:rsid w:val="00C13B2E"/>
    <w:rsid w:val="00C15297"/>
    <w:rsid w:val="00C17E48"/>
    <w:rsid w:val="00C21B83"/>
    <w:rsid w:val="00C241A4"/>
    <w:rsid w:val="00C27A40"/>
    <w:rsid w:val="00C316BB"/>
    <w:rsid w:val="00C31944"/>
    <w:rsid w:val="00C31C10"/>
    <w:rsid w:val="00C33E45"/>
    <w:rsid w:val="00C4333E"/>
    <w:rsid w:val="00C441A0"/>
    <w:rsid w:val="00C61314"/>
    <w:rsid w:val="00C70998"/>
    <w:rsid w:val="00C724FF"/>
    <w:rsid w:val="00C75723"/>
    <w:rsid w:val="00C7619F"/>
    <w:rsid w:val="00C77140"/>
    <w:rsid w:val="00C855AE"/>
    <w:rsid w:val="00CA7422"/>
    <w:rsid w:val="00CA759F"/>
    <w:rsid w:val="00CB5AEB"/>
    <w:rsid w:val="00CC015E"/>
    <w:rsid w:val="00CC2DB7"/>
    <w:rsid w:val="00CD1D04"/>
    <w:rsid w:val="00CD2C50"/>
    <w:rsid w:val="00CD6291"/>
    <w:rsid w:val="00CE33A3"/>
    <w:rsid w:val="00CE3FDE"/>
    <w:rsid w:val="00CE6A1D"/>
    <w:rsid w:val="00CE7425"/>
    <w:rsid w:val="00CF31B9"/>
    <w:rsid w:val="00CF3C06"/>
    <w:rsid w:val="00CF3FFE"/>
    <w:rsid w:val="00CF6864"/>
    <w:rsid w:val="00D0074B"/>
    <w:rsid w:val="00D01E62"/>
    <w:rsid w:val="00D04110"/>
    <w:rsid w:val="00D061DE"/>
    <w:rsid w:val="00D12E6F"/>
    <w:rsid w:val="00D1439D"/>
    <w:rsid w:val="00D16B4E"/>
    <w:rsid w:val="00D2056E"/>
    <w:rsid w:val="00D2168B"/>
    <w:rsid w:val="00D2677A"/>
    <w:rsid w:val="00D26B48"/>
    <w:rsid w:val="00D30A0E"/>
    <w:rsid w:val="00D33B70"/>
    <w:rsid w:val="00D44C4B"/>
    <w:rsid w:val="00D4677F"/>
    <w:rsid w:val="00D51E10"/>
    <w:rsid w:val="00D5635B"/>
    <w:rsid w:val="00D60887"/>
    <w:rsid w:val="00D61F93"/>
    <w:rsid w:val="00D6428E"/>
    <w:rsid w:val="00D67F4D"/>
    <w:rsid w:val="00D71A11"/>
    <w:rsid w:val="00D90EFA"/>
    <w:rsid w:val="00D925DE"/>
    <w:rsid w:val="00D92964"/>
    <w:rsid w:val="00D949F7"/>
    <w:rsid w:val="00DA1524"/>
    <w:rsid w:val="00DA66EC"/>
    <w:rsid w:val="00DB49FD"/>
    <w:rsid w:val="00DB4B9A"/>
    <w:rsid w:val="00DB773B"/>
    <w:rsid w:val="00DC2867"/>
    <w:rsid w:val="00DC30A4"/>
    <w:rsid w:val="00DC42DE"/>
    <w:rsid w:val="00DC4472"/>
    <w:rsid w:val="00DC4A84"/>
    <w:rsid w:val="00DD0201"/>
    <w:rsid w:val="00DD209A"/>
    <w:rsid w:val="00DD5862"/>
    <w:rsid w:val="00DE085A"/>
    <w:rsid w:val="00DE0F45"/>
    <w:rsid w:val="00DE326E"/>
    <w:rsid w:val="00DE3F91"/>
    <w:rsid w:val="00DE462D"/>
    <w:rsid w:val="00DE5547"/>
    <w:rsid w:val="00DE64EF"/>
    <w:rsid w:val="00DE7113"/>
    <w:rsid w:val="00DF1CA5"/>
    <w:rsid w:val="00DF4D77"/>
    <w:rsid w:val="00DF68E6"/>
    <w:rsid w:val="00DF6BB1"/>
    <w:rsid w:val="00E01A4D"/>
    <w:rsid w:val="00E03137"/>
    <w:rsid w:val="00E060FF"/>
    <w:rsid w:val="00E11AE9"/>
    <w:rsid w:val="00E14B58"/>
    <w:rsid w:val="00E17DEF"/>
    <w:rsid w:val="00E21016"/>
    <w:rsid w:val="00E2181B"/>
    <w:rsid w:val="00E22D71"/>
    <w:rsid w:val="00E255C7"/>
    <w:rsid w:val="00E25A9F"/>
    <w:rsid w:val="00E3634B"/>
    <w:rsid w:val="00E411D3"/>
    <w:rsid w:val="00E4322F"/>
    <w:rsid w:val="00E44788"/>
    <w:rsid w:val="00E46D8F"/>
    <w:rsid w:val="00E5399E"/>
    <w:rsid w:val="00E60620"/>
    <w:rsid w:val="00E65D96"/>
    <w:rsid w:val="00E66E35"/>
    <w:rsid w:val="00E67AF3"/>
    <w:rsid w:val="00E70F8E"/>
    <w:rsid w:val="00E718D3"/>
    <w:rsid w:val="00E72DAC"/>
    <w:rsid w:val="00E74950"/>
    <w:rsid w:val="00E77BE0"/>
    <w:rsid w:val="00E9620E"/>
    <w:rsid w:val="00E964BA"/>
    <w:rsid w:val="00E97DA1"/>
    <w:rsid w:val="00EA051E"/>
    <w:rsid w:val="00EA1DFA"/>
    <w:rsid w:val="00EA2817"/>
    <w:rsid w:val="00EA310B"/>
    <w:rsid w:val="00EA4F72"/>
    <w:rsid w:val="00EA66E0"/>
    <w:rsid w:val="00EA7398"/>
    <w:rsid w:val="00EB2AB5"/>
    <w:rsid w:val="00EB55B7"/>
    <w:rsid w:val="00EC0FF8"/>
    <w:rsid w:val="00EC1427"/>
    <w:rsid w:val="00EC564F"/>
    <w:rsid w:val="00ED3827"/>
    <w:rsid w:val="00EE5336"/>
    <w:rsid w:val="00EE57BE"/>
    <w:rsid w:val="00EE5E0C"/>
    <w:rsid w:val="00EF3A0D"/>
    <w:rsid w:val="00EF43E6"/>
    <w:rsid w:val="00EF4DE6"/>
    <w:rsid w:val="00F077E1"/>
    <w:rsid w:val="00F07E67"/>
    <w:rsid w:val="00F12FD7"/>
    <w:rsid w:val="00F13C6D"/>
    <w:rsid w:val="00F161E3"/>
    <w:rsid w:val="00F17411"/>
    <w:rsid w:val="00F25FC0"/>
    <w:rsid w:val="00F26CEE"/>
    <w:rsid w:val="00F2748F"/>
    <w:rsid w:val="00F3269F"/>
    <w:rsid w:val="00F35D36"/>
    <w:rsid w:val="00F43AF1"/>
    <w:rsid w:val="00F4512C"/>
    <w:rsid w:val="00F472E2"/>
    <w:rsid w:val="00F53F49"/>
    <w:rsid w:val="00F55C29"/>
    <w:rsid w:val="00F66A8F"/>
    <w:rsid w:val="00F67870"/>
    <w:rsid w:val="00F67E2C"/>
    <w:rsid w:val="00F7090D"/>
    <w:rsid w:val="00F72A92"/>
    <w:rsid w:val="00F7569A"/>
    <w:rsid w:val="00F90AAB"/>
    <w:rsid w:val="00FA189C"/>
    <w:rsid w:val="00FA565D"/>
    <w:rsid w:val="00FA72BC"/>
    <w:rsid w:val="00FB1247"/>
    <w:rsid w:val="00FB1487"/>
    <w:rsid w:val="00FB37DB"/>
    <w:rsid w:val="00FB3C54"/>
    <w:rsid w:val="00FB5E4F"/>
    <w:rsid w:val="00FC4247"/>
    <w:rsid w:val="00FC52C8"/>
    <w:rsid w:val="00FD03DE"/>
    <w:rsid w:val="00FD094C"/>
    <w:rsid w:val="00FD1103"/>
    <w:rsid w:val="00FD3628"/>
    <w:rsid w:val="00FD40C1"/>
    <w:rsid w:val="00FD73B4"/>
    <w:rsid w:val="00FE02DE"/>
    <w:rsid w:val="00FE07C1"/>
    <w:rsid w:val="00FE13E7"/>
    <w:rsid w:val="00FE49D0"/>
    <w:rsid w:val="00FE5714"/>
    <w:rsid w:val="00FE6966"/>
    <w:rsid w:val="00FE6AB3"/>
    <w:rsid w:val="00FE6AFE"/>
    <w:rsid w:val="00FE7304"/>
    <w:rsid w:val="00FE7EB5"/>
    <w:rsid w:val="00FF3FF6"/>
    <w:rsid w:val="00FF595F"/>
    <w:rsid w:val="00FF670E"/>
    <w:rsid w:val="0DBA4DB5"/>
    <w:rsid w:val="1D4D182F"/>
    <w:rsid w:val="21630F6C"/>
    <w:rsid w:val="23247A20"/>
    <w:rsid w:val="2E9A0E9C"/>
    <w:rsid w:val="31DA49D0"/>
    <w:rsid w:val="35C819D7"/>
    <w:rsid w:val="3E5E5115"/>
    <w:rsid w:val="4D58199D"/>
    <w:rsid w:val="52244FF7"/>
    <w:rsid w:val="55A80DCB"/>
    <w:rsid w:val="5FA23216"/>
    <w:rsid w:val="60F70EB3"/>
    <w:rsid w:val="644648F9"/>
    <w:rsid w:val="79F44D76"/>
    <w:rsid w:val="79FE68B3"/>
    <w:rsid w:val="7B4B3123"/>
    <w:rsid w:val="FE8FF53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Courier New" w:hAnsi="Courier New" w:eastAsia="Courier New" w:cs="Courier New"/>
      <w:color w:val="000000"/>
      <w:sz w:val="24"/>
      <w:szCs w:val="24"/>
      <w:lang w:val="zh-CN"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before="260" w:after="260" w:line="416" w:lineRule="auto"/>
      <w:jc w:val="center"/>
      <w:outlineLvl w:val="2"/>
    </w:pPr>
    <w:rPr>
      <w:rFonts w:ascii="宋体" w:hAnsi="宋体" w:eastAsia="宋体"/>
      <w:b/>
      <w:bCs/>
      <w:sz w:val="32"/>
      <w:szCs w:val="32"/>
    </w:rPr>
  </w:style>
  <w:style w:type="paragraph" w:styleId="5">
    <w:name w:val="heading 4"/>
    <w:basedOn w:val="1"/>
    <w:next w:val="1"/>
    <w:link w:val="33"/>
    <w:unhideWhenUsed/>
    <w:qFormat/>
    <w:uiPriority w:val="9"/>
    <w:pPr>
      <w:keepNext/>
      <w:keepLines/>
      <w:spacing w:before="280" w:after="290" w:line="376" w:lineRule="auto"/>
      <w:jc w:val="center"/>
      <w:outlineLvl w:val="3"/>
    </w:pPr>
    <w:rPr>
      <w:rFonts w:asciiTheme="minorEastAsia" w:hAnsiTheme="minorEastAsia" w:eastAsiaTheme="minorEastAsia" w:cstheme="majorBidi"/>
      <w:bCs/>
      <w:lang w:val="en-US"/>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jc w:val="both"/>
    </w:pPr>
    <w:rPr>
      <w:rFonts w:asciiTheme="minorHAnsi" w:hAnsiTheme="minorHAnsi" w:eastAsiaTheme="minorEastAsia" w:cstheme="minorBidi"/>
      <w:color w:val="auto"/>
      <w:kern w:val="2"/>
      <w:sz w:val="21"/>
      <w:szCs w:val="22"/>
      <w:lang w:val="en-US"/>
    </w:rPr>
  </w:style>
  <w:style w:type="paragraph" w:styleId="7">
    <w:name w:val="Document Map"/>
    <w:basedOn w:val="1"/>
    <w:link w:val="212"/>
    <w:semiHidden/>
    <w:unhideWhenUsed/>
    <w:qFormat/>
    <w:uiPriority w:val="99"/>
    <w:rPr>
      <w:rFonts w:ascii="宋体" w:eastAsia="宋体"/>
      <w:sz w:val="18"/>
      <w:szCs w:val="18"/>
    </w:rPr>
  </w:style>
  <w:style w:type="paragraph" w:styleId="8">
    <w:name w:val="annotation text"/>
    <w:basedOn w:val="1"/>
    <w:link w:val="218"/>
    <w:unhideWhenUsed/>
    <w:qFormat/>
    <w:uiPriority w:val="99"/>
    <w:rPr>
      <w:rFonts w:asciiTheme="minorHAnsi" w:hAnsiTheme="minorHAnsi" w:eastAsiaTheme="minorEastAsia" w:cstheme="minorBidi"/>
      <w:color w:val="auto"/>
      <w:kern w:val="2"/>
      <w:sz w:val="21"/>
      <w:szCs w:val="22"/>
      <w:lang w:val="en-US"/>
    </w:rPr>
  </w:style>
  <w:style w:type="paragraph" w:styleId="9">
    <w:name w:val="Body Text"/>
    <w:basedOn w:val="1"/>
    <w:link w:val="226"/>
    <w:qFormat/>
    <w:uiPriority w:val="0"/>
    <w:pPr>
      <w:autoSpaceDE w:val="0"/>
      <w:autoSpaceDN w:val="0"/>
      <w:spacing w:beforeLines="50" w:afterLines="50"/>
    </w:pPr>
    <w:rPr>
      <w:rFonts w:hint="eastAsia" w:ascii="宋体" w:hAnsi="宋体" w:eastAsia="宋体" w:cs="Times New Roman"/>
      <w:color w:val="auto"/>
      <w:sz w:val="21"/>
      <w:lang w:val="en-US"/>
    </w:rPr>
  </w:style>
  <w:style w:type="paragraph" w:styleId="10">
    <w:name w:val="toc 5"/>
    <w:basedOn w:val="1"/>
    <w:next w:val="1"/>
    <w:qFormat/>
    <w:uiPriority w:val="39"/>
    <w:pPr>
      <w:shd w:val="clear" w:color="auto" w:fill="FFFFFF"/>
      <w:spacing w:line="379" w:lineRule="exact"/>
    </w:pPr>
    <w:rPr>
      <w:rFonts w:ascii="MingLiU" w:hAnsi="MingLiU" w:eastAsia="MingLiU" w:cs="MingLiU"/>
      <w:spacing w:val="8"/>
      <w:sz w:val="19"/>
      <w:szCs w:val="19"/>
    </w:rPr>
  </w:style>
  <w:style w:type="paragraph" w:styleId="11">
    <w:name w:val="toc 3"/>
    <w:basedOn w:val="1"/>
    <w:next w:val="1"/>
    <w:unhideWhenUsed/>
    <w:qFormat/>
    <w:uiPriority w:val="39"/>
    <w:pPr>
      <w:widowControl/>
      <w:tabs>
        <w:tab w:val="right" w:leader="dot" w:pos="8315"/>
      </w:tabs>
      <w:ind w:left="480" w:leftChars="200"/>
      <w:jc w:val="center"/>
    </w:pPr>
    <w:rPr>
      <w:rFonts w:ascii="Times New Roman" w:hAnsi="Times New Roman" w:eastAsia="宋体" w:cstheme="minorBidi"/>
      <w:color w:val="auto"/>
      <w:sz w:val="22"/>
      <w:szCs w:val="22"/>
      <w:lang w:val="en-US"/>
    </w:rPr>
  </w:style>
  <w:style w:type="paragraph" w:styleId="12">
    <w:name w:val="toc 8"/>
    <w:basedOn w:val="1"/>
    <w:next w:val="1"/>
    <w:unhideWhenUsed/>
    <w:qFormat/>
    <w:uiPriority w:val="39"/>
    <w:pPr>
      <w:ind w:left="2940" w:leftChars="1400"/>
      <w:jc w:val="both"/>
    </w:pPr>
    <w:rPr>
      <w:rFonts w:asciiTheme="minorHAnsi" w:hAnsiTheme="minorHAnsi" w:eastAsiaTheme="minorEastAsia" w:cstheme="minorBidi"/>
      <w:color w:val="auto"/>
      <w:kern w:val="2"/>
      <w:sz w:val="21"/>
      <w:szCs w:val="22"/>
      <w:lang w:val="en-US"/>
    </w:rPr>
  </w:style>
  <w:style w:type="paragraph" w:styleId="13">
    <w:name w:val="Date"/>
    <w:basedOn w:val="1"/>
    <w:next w:val="1"/>
    <w:link w:val="241"/>
    <w:semiHidden/>
    <w:unhideWhenUsed/>
    <w:qFormat/>
    <w:uiPriority w:val="99"/>
    <w:pPr>
      <w:ind w:left="100" w:leftChars="2500"/>
    </w:pPr>
  </w:style>
  <w:style w:type="paragraph" w:styleId="14">
    <w:name w:val="Balloon Text"/>
    <w:basedOn w:val="1"/>
    <w:link w:val="204"/>
    <w:semiHidden/>
    <w:unhideWhenUsed/>
    <w:qFormat/>
    <w:uiPriority w:val="99"/>
    <w:rPr>
      <w:sz w:val="18"/>
      <w:szCs w:val="18"/>
    </w:rPr>
  </w:style>
  <w:style w:type="paragraph" w:styleId="15">
    <w:name w:val="footer"/>
    <w:basedOn w:val="1"/>
    <w:link w:val="203"/>
    <w:unhideWhenUsed/>
    <w:qFormat/>
    <w:uiPriority w:val="99"/>
    <w:pPr>
      <w:tabs>
        <w:tab w:val="center" w:pos="4153"/>
        <w:tab w:val="right" w:pos="8306"/>
      </w:tabs>
      <w:snapToGrid w:val="0"/>
    </w:pPr>
    <w:rPr>
      <w:sz w:val="18"/>
      <w:szCs w:val="18"/>
    </w:rPr>
  </w:style>
  <w:style w:type="paragraph" w:styleId="16">
    <w:name w:val="header"/>
    <w:basedOn w:val="1"/>
    <w:link w:val="202"/>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widowControl/>
      <w:spacing w:after="100" w:line="276" w:lineRule="auto"/>
    </w:pPr>
    <w:rPr>
      <w:rFonts w:ascii="Times New Roman" w:hAnsi="Times New Roman" w:eastAsia="宋体" w:cstheme="minorBidi"/>
      <w:color w:val="auto"/>
      <w:sz w:val="22"/>
      <w:szCs w:val="22"/>
      <w:lang w:val="en-US"/>
    </w:rPr>
  </w:style>
  <w:style w:type="paragraph" w:styleId="18">
    <w:name w:val="toc 4"/>
    <w:basedOn w:val="1"/>
    <w:next w:val="1"/>
    <w:link w:val="64"/>
    <w:qFormat/>
    <w:uiPriority w:val="39"/>
    <w:pPr>
      <w:shd w:val="clear" w:color="auto" w:fill="FFFFFF"/>
      <w:spacing w:line="379" w:lineRule="exact"/>
    </w:pPr>
    <w:rPr>
      <w:rFonts w:ascii="MingLiU" w:hAnsi="MingLiU" w:eastAsia="MingLiU" w:cs="MingLiU"/>
      <w:color w:val="auto"/>
      <w:spacing w:val="8"/>
      <w:kern w:val="2"/>
      <w:sz w:val="19"/>
      <w:szCs w:val="19"/>
      <w:lang w:val="en-US"/>
    </w:rPr>
  </w:style>
  <w:style w:type="paragraph" w:styleId="19">
    <w:name w:val="toc 6"/>
    <w:basedOn w:val="1"/>
    <w:next w:val="1"/>
    <w:unhideWhenUsed/>
    <w:qFormat/>
    <w:uiPriority w:val="39"/>
    <w:pPr>
      <w:ind w:left="2100" w:leftChars="1000"/>
      <w:jc w:val="both"/>
    </w:pPr>
    <w:rPr>
      <w:rFonts w:asciiTheme="minorHAnsi" w:hAnsiTheme="minorHAnsi" w:eastAsiaTheme="minorEastAsia" w:cstheme="minorBidi"/>
      <w:color w:val="auto"/>
      <w:kern w:val="2"/>
      <w:sz w:val="21"/>
      <w:szCs w:val="22"/>
      <w:lang w:val="en-US"/>
    </w:rPr>
  </w:style>
  <w:style w:type="paragraph" w:styleId="20">
    <w:name w:val="toc 2"/>
    <w:basedOn w:val="1"/>
    <w:next w:val="1"/>
    <w:unhideWhenUsed/>
    <w:qFormat/>
    <w:uiPriority w:val="39"/>
    <w:pPr>
      <w:widowControl/>
      <w:tabs>
        <w:tab w:val="right" w:leader="dot" w:pos="8315"/>
      </w:tabs>
      <w:jc w:val="center"/>
      <w:outlineLvl w:val="8"/>
    </w:pPr>
    <w:rPr>
      <w:rFonts w:ascii="宋体" w:hAnsi="黑体" w:eastAsia="宋体" w:cstheme="minorBidi"/>
      <w:color w:val="auto"/>
      <w:sz w:val="21"/>
      <w:szCs w:val="32"/>
      <w:lang w:val="en-US"/>
    </w:rPr>
  </w:style>
  <w:style w:type="paragraph" w:styleId="21">
    <w:name w:val="toc 9"/>
    <w:basedOn w:val="1"/>
    <w:next w:val="1"/>
    <w:unhideWhenUsed/>
    <w:qFormat/>
    <w:uiPriority w:val="39"/>
    <w:pPr>
      <w:ind w:left="3360" w:leftChars="1600"/>
      <w:jc w:val="both"/>
    </w:pPr>
    <w:rPr>
      <w:rFonts w:asciiTheme="minorHAnsi" w:hAnsiTheme="minorHAnsi" w:eastAsiaTheme="minorEastAsia" w:cstheme="minorBidi"/>
      <w:color w:val="auto"/>
      <w:kern w:val="2"/>
      <w:sz w:val="21"/>
      <w:szCs w:val="22"/>
      <w:lang w:val="en-US"/>
    </w:rPr>
  </w:style>
  <w:style w:type="paragraph" w:styleId="22">
    <w:name w:val="Normal (Web)"/>
    <w:basedOn w:val="1"/>
    <w:semiHidden/>
    <w:unhideWhenUsed/>
    <w:qFormat/>
    <w:uiPriority w:val="99"/>
    <w:pPr>
      <w:widowControl/>
      <w:spacing w:before="100" w:beforeAutospacing="1" w:after="100" w:afterAutospacing="1"/>
    </w:pPr>
    <w:rPr>
      <w:rFonts w:ascii="宋体" w:hAnsi="宋体" w:eastAsia="宋体" w:cs="宋体"/>
      <w:color w:val="auto"/>
      <w:lang w:val="en-US"/>
    </w:rPr>
  </w:style>
  <w:style w:type="paragraph" w:styleId="23">
    <w:name w:val="Title"/>
    <w:basedOn w:val="1"/>
    <w:next w:val="1"/>
    <w:link w:val="207"/>
    <w:qFormat/>
    <w:uiPriority w:val="10"/>
    <w:pPr>
      <w:spacing w:before="240" w:after="60"/>
      <w:jc w:val="center"/>
      <w:outlineLvl w:val="0"/>
    </w:pPr>
    <w:rPr>
      <w:rFonts w:eastAsia="宋体" w:asciiTheme="majorHAnsi" w:hAnsiTheme="majorHAnsi" w:cstheme="majorBidi"/>
      <w:b/>
      <w:bCs/>
      <w:sz w:val="32"/>
      <w:szCs w:val="32"/>
    </w:rPr>
  </w:style>
  <w:style w:type="paragraph" w:styleId="24">
    <w:name w:val="annotation subject"/>
    <w:basedOn w:val="8"/>
    <w:next w:val="8"/>
    <w:link w:val="225"/>
    <w:semiHidden/>
    <w:unhideWhenUsed/>
    <w:qFormat/>
    <w:uiPriority w:val="99"/>
    <w:rPr>
      <w:rFonts w:eastAsia="Courier New"/>
      <w:b/>
      <w:bCs/>
      <w:color w:val="000000"/>
      <w:kern w:val="0"/>
      <w:sz w:val="24"/>
      <w:szCs w:val="24"/>
    </w:rPr>
  </w:style>
  <w:style w:type="table" w:styleId="26">
    <w:name w:val="Table Grid"/>
    <w:basedOn w:val="25"/>
    <w:unhideWhenUsed/>
    <w:qFormat/>
    <w:uiPriority w:val="59"/>
    <w:pPr>
      <w:widowControl w:val="0"/>
    </w:pPr>
    <w:rPr>
      <w:rFonts w:ascii="Courier New" w:hAnsi="Courier New" w:cs="Courier New"/>
      <w:sz w:val="24"/>
      <w:szCs w:val="24"/>
      <w:lang w:val="zh-C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8">
    <w:name w:val="Hyperlink"/>
    <w:basedOn w:val="27"/>
    <w:qFormat/>
    <w:uiPriority w:val="99"/>
    <w:rPr>
      <w:rFonts w:eastAsia="宋体"/>
      <w:color w:val="0066CC"/>
      <w:sz w:val="21"/>
      <w:u w:val="single"/>
    </w:rPr>
  </w:style>
  <w:style w:type="character" w:styleId="29">
    <w:name w:val="annotation reference"/>
    <w:unhideWhenUsed/>
    <w:qFormat/>
    <w:uiPriority w:val="99"/>
    <w:rPr>
      <w:sz w:val="21"/>
      <w:szCs w:val="21"/>
    </w:rPr>
  </w:style>
  <w:style w:type="character" w:customStyle="1" w:styleId="30">
    <w:name w:val="标题 1 字符"/>
    <w:basedOn w:val="27"/>
    <w:link w:val="2"/>
    <w:qFormat/>
    <w:uiPriority w:val="9"/>
    <w:rPr>
      <w:rFonts w:ascii="Courier New" w:hAnsi="Courier New" w:eastAsia="Courier New" w:cs="Courier New"/>
      <w:b/>
      <w:bCs/>
      <w:color w:val="000000"/>
      <w:kern w:val="44"/>
      <w:sz w:val="44"/>
      <w:szCs w:val="44"/>
      <w:lang w:val="zh-CN"/>
    </w:rPr>
  </w:style>
  <w:style w:type="character" w:customStyle="1" w:styleId="31">
    <w:name w:val="标题 2 字符"/>
    <w:basedOn w:val="27"/>
    <w:link w:val="3"/>
    <w:qFormat/>
    <w:uiPriority w:val="9"/>
    <w:rPr>
      <w:rFonts w:asciiTheme="majorHAnsi" w:hAnsiTheme="majorHAnsi" w:eastAsiaTheme="majorEastAsia" w:cstheme="majorBidi"/>
      <w:b/>
      <w:bCs/>
      <w:color w:val="000000"/>
      <w:kern w:val="0"/>
      <w:sz w:val="32"/>
      <w:szCs w:val="32"/>
      <w:lang w:val="zh-CN"/>
    </w:rPr>
  </w:style>
  <w:style w:type="character" w:customStyle="1" w:styleId="32">
    <w:name w:val="标题 3 字符"/>
    <w:basedOn w:val="27"/>
    <w:link w:val="4"/>
    <w:qFormat/>
    <w:uiPriority w:val="9"/>
    <w:rPr>
      <w:rFonts w:ascii="宋体" w:hAnsi="宋体" w:eastAsia="宋体" w:cs="Courier New"/>
      <w:b/>
      <w:bCs/>
      <w:color w:val="000000"/>
      <w:kern w:val="0"/>
      <w:sz w:val="32"/>
      <w:szCs w:val="32"/>
      <w:lang w:val="zh-CN"/>
    </w:rPr>
  </w:style>
  <w:style w:type="character" w:customStyle="1" w:styleId="33">
    <w:name w:val="标题 4 字符"/>
    <w:basedOn w:val="27"/>
    <w:link w:val="5"/>
    <w:qFormat/>
    <w:uiPriority w:val="9"/>
    <w:rPr>
      <w:rFonts w:asciiTheme="minorEastAsia" w:hAnsiTheme="minorEastAsia" w:cstheme="majorBidi"/>
      <w:bCs/>
      <w:color w:val="000000"/>
      <w:kern w:val="0"/>
      <w:sz w:val="24"/>
      <w:szCs w:val="24"/>
    </w:rPr>
  </w:style>
  <w:style w:type="character" w:customStyle="1" w:styleId="34">
    <w:name w:val="正文文本 (2)_"/>
    <w:basedOn w:val="27"/>
    <w:link w:val="35"/>
    <w:qFormat/>
    <w:uiPriority w:val="0"/>
    <w:rPr>
      <w:rFonts w:ascii="Times New Roman" w:hAnsi="Times New Roman" w:eastAsia="Times New Roman" w:cs="Times New Roman"/>
      <w:spacing w:val="5"/>
      <w:sz w:val="23"/>
      <w:szCs w:val="23"/>
      <w:shd w:val="clear" w:color="auto" w:fill="FFFFFF"/>
    </w:rPr>
  </w:style>
  <w:style w:type="paragraph" w:customStyle="1" w:styleId="35">
    <w:name w:val="正文文本 (2)"/>
    <w:basedOn w:val="1"/>
    <w:link w:val="34"/>
    <w:qFormat/>
    <w:uiPriority w:val="0"/>
    <w:pPr>
      <w:shd w:val="clear" w:color="auto" w:fill="FFFFFF"/>
      <w:spacing w:line="0" w:lineRule="atLeast"/>
    </w:pPr>
    <w:rPr>
      <w:rFonts w:ascii="Times New Roman" w:hAnsi="Times New Roman" w:eastAsia="Times New Roman" w:cs="Times New Roman"/>
      <w:color w:val="auto"/>
      <w:spacing w:val="5"/>
      <w:kern w:val="2"/>
      <w:sz w:val="23"/>
      <w:szCs w:val="23"/>
      <w:lang w:val="en-US"/>
    </w:rPr>
  </w:style>
  <w:style w:type="character" w:customStyle="1" w:styleId="36">
    <w:name w:val="标题 #1_"/>
    <w:basedOn w:val="27"/>
    <w:link w:val="37"/>
    <w:qFormat/>
    <w:uiPriority w:val="0"/>
    <w:rPr>
      <w:rFonts w:ascii="Times New Roman" w:hAnsi="Times New Roman" w:eastAsia="Times New Roman" w:cs="Times New Roman"/>
      <w:spacing w:val="2"/>
      <w:sz w:val="37"/>
      <w:szCs w:val="37"/>
      <w:shd w:val="clear" w:color="auto" w:fill="FFFFFF"/>
    </w:rPr>
  </w:style>
  <w:style w:type="paragraph" w:customStyle="1" w:styleId="37">
    <w:name w:val="标题 #1"/>
    <w:basedOn w:val="1"/>
    <w:link w:val="36"/>
    <w:qFormat/>
    <w:uiPriority w:val="0"/>
    <w:pPr>
      <w:shd w:val="clear" w:color="auto" w:fill="FFFFFF"/>
      <w:spacing w:line="667" w:lineRule="exact"/>
      <w:jc w:val="right"/>
      <w:outlineLvl w:val="0"/>
    </w:pPr>
    <w:rPr>
      <w:rFonts w:ascii="Times New Roman" w:hAnsi="Times New Roman" w:eastAsia="Times New Roman" w:cs="Times New Roman"/>
      <w:color w:val="auto"/>
      <w:spacing w:val="2"/>
      <w:kern w:val="2"/>
      <w:sz w:val="37"/>
      <w:szCs w:val="37"/>
      <w:lang w:val="en-US"/>
    </w:rPr>
  </w:style>
  <w:style w:type="character" w:customStyle="1" w:styleId="38">
    <w:name w:val="标题 #3_"/>
    <w:basedOn w:val="27"/>
    <w:link w:val="39"/>
    <w:qFormat/>
    <w:uiPriority w:val="0"/>
    <w:rPr>
      <w:rFonts w:ascii="MingLiU" w:hAnsi="MingLiU" w:eastAsia="MingLiU" w:cs="MingLiU"/>
      <w:spacing w:val="18"/>
      <w:sz w:val="29"/>
      <w:szCs w:val="29"/>
      <w:shd w:val="clear" w:color="auto" w:fill="FFFFFF"/>
    </w:rPr>
  </w:style>
  <w:style w:type="paragraph" w:customStyle="1" w:styleId="39">
    <w:name w:val="标题 #3"/>
    <w:basedOn w:val="1"/>
    <w:link w:val="38"/>
    <w:qFormat/>
    <w:uiPriority w:val="0"/>
    <w:pPr>
      <w:shd w:val="clear" w:color="auto" w:fill="FFFFFF"/>
      <w:spacing w:line="667" w:lineRule="exact"/>
      <w:jc w:val="center"/>
      <w:outlineLvl w:val="2"/>
    </w:pPr>
    <w:rPr>
      <w:rFonts w:ascii="MingLiU" w:hAnsi="MingLiU" w:eastAsia="MingLiU" w:cs="MingLiU"/>
      <w:color w:val="auto"/>
      <w:spacing w:val="18"/>
      <w:kern w:val="2"/>
      <w:sz w:val="29"/>
      <w:szCs w:val="29"/>
      <w:lang w:val="en-US"/>
    </w:rPr>
  </w:style>
  <w:style w:type="character" w:customStyle="1" w:styleId="40">
    <w:name w:val="正文文本 (3)_"/>
    <w:basedOn w:val="27"/>
    <w:link w:val="41"/>
    <w:qFormat/>
    <w:uiPriority w:val="0"/>
    <w:rPr>
      <w:rFonts w:ascii="Arial Unicode MS" w:hAnsi="Arial Unicode MS" w:eastAsia="Arial Unicode MS" w:cs="Arial Unicode MS"/>
      <w:spacing w:val="8"/>
      <w:shd w:val="clear" w:color="auto" w:fill="FFFFFF"/>
    </w:rPr>
  </w:style>
  <w:style w:type="paragraph" w:customStyle="1" w:styleId="41">
    <w:name w:val="正文文本 (3)"/>
    <w:basedOn w:val="1"/>
    <w:link w:val="40"/>
    <w:qFormat/>
    <w:uiPriority w:val="0"/>
    <w:pPr>
      <w:shd w:val="clear" w:color="auto" w:fill="FFFFFF"/>
      <w:spacing w:line="667" w:lineRule="exact"/>
    </w:pPr>
    <w:rPr>
      <w:rFonts w:ascii="Arial Unicode MS" w:hAnsi="Arial Unicode MS" w:eastAsia="Arial Unicode MS" w:cs="Arial Unicode MS"/>
      <w:color w:val="auto"/>
      <w:spacing w:val="8"/>
      <w:kern w:val="2"/>
      <w:sz w:val="21"/>
      <w:szCs w:val="22"/>
      <w:lang w:val="en-US"/>
    </w:rPr>
  </w:style>
  <w:style w:type="character" w:customStyle="1" w:styleId="42">
    <w:name w:val="正文文本 (2) + MingLiU"/>
    <w:basedOn w:val="34"/>
    <w:qFormat/>
    <w:uiPriority w:val="0"/>
    <w:rPr>
      <w:rFonts w:ascii="MingLiU" w:hAnsi="MingLiU" w:eastAsia="MingLiU" w:cs="MingLiU"/>
      <w:color w:val="000000"/>
      <w:spacing w:val="-11"/>
      <w:w w:val="100"/>
      <w:position w:val="0"/>
      <w:sz w:val="22"/>
      <w:szCs w:val="22"/>
      <w:shd w:val="clear" w:color="auto" w:fill="FFFFFF"/>
      <w:lang w:val="zh-CN"/>
    </w:rPr>
  </w:style>
  <w:style w:type="character" w:customStyle="1" w:styleId="43">
    <w:name w:val="标题 #2_"/>
    <w:basedOn w:val="27"/>
    <w:link w:val="44"/>
    <w:qFormat/>
    <w:uiPriority w:val="0"/>
    <w:rPr>
      <w:rFonts w:ascii="MingLiU" w:hAnsi="MingLiU" w:eastAsia="MingLiU" w:cs="MingLiU"/>
      <w:spacing w:val="13"/>
      <w:sz w:val="34"/>
      <w:szCs w:val="34"/>
      <w:shd w:val="clear" w:color="auto" w:fill="FFFFFF"/>
    </w:rPr>
  </w:style>
  <w:style w:type="paragraph" w:customStyle="1" w:styleId="44">
    <w:name w:val="标题 #2"/>
    <w:basedOn w:val="1"/>
    <w:link w:val="43"/>
    <w:qFormat/>
    <w:uiPriority w:val="0"/>
    <w:pPr>
      <w:shd w:val="clear" w:color="auto" w:fill="FFFFFF"/>
      <w:spacing w:before="540" w:after="300" w:line="0" w:lineRule="atLeast"/>
      <w:jc w:val="right"/>
      <w:outlineLvl w:val="1"/>
    </w:pPr>
    <w:rPr>
      <w:rFonts w:ascii="MingLiU" w:hAnsi="MingLiU" w:eastAsia="MingLiU" w:cs="MingLiU"/>
      <w:color w:val="auto"/>
      <w:spacing w:val="13"/>
      <w:kern w:val="2"/>
      <w:sz w:val="34"/>
      <w:szCs w:val="34"/>
      <w:lang w:val="en-US"/>
    </w:rPr>
  </w:style>
  <w:style w:type="character" w:customStyle="1" w:styleId="45">
    <w:name w:val="正文文本 (4)_"/>
    <w:basedOn w:val="27"/>
    <w:link w:val="46"/>
    <w:qFormat/>
    <w:uiPriority w:val="0"/>
    <w:rPr>
      <w:rFonts w:ascii="Times New Roman" w:hAnsi="Times New Roman" w:eastAsia="Times New Roman" w:cs="Times New Roman"/>
      <w:spacing w:val="6"/>
      <w:sz w:val="23"/>
      <w:szCs w:val="23"/>
      <w:shd w:val="clear" w:color="auto" w:fill="FFFFFF"/>
    </w:rPr>
  </w:style>
  <w:style w:type="paragraph" w:customStyle="1" w:styleId="46">
    <w:name w:val="正文文本 (4)"/>
    <w:basedOn w:val="1"/>
    <w:link w:val="45"/>
    <w:qFormat/>
    <w:uiPriority w:val="0"/>
    <w:pPr>
      <w:shd w:val="clear" w:color="auto" w:fill="FFFFFF"/>
      <w:spacing w:before="300" w:after="3060" w:line="259" w:lineRule="exact"/>
      <w:jc w:val="center"/>
    </w:pPr>
    <w:rPr>
      <w:rFonts w:ascii="Times New Roman" w:hAnsi="Times New Roman" w:eastAsia="Times New Roman" w:cs="Times New Roman"/>
      <w:color w:val="auto"/>
      <w:spacing w:val="6"/>
      <w:kern w:val="2"/>
      <w:sz w:val="23"/>
      <w:szCs w:val="23"/>
      <w:lang w:val="en-US"/>
    </w:rPr>
  </w:style>
  <w:style w:type="character" w:customStyle="1" w:styleId="47">
    <w:name w:val="正文文本 (3) + MingLiU"/>
    <w:basedOn w:val="40"/>
    <w:qFormat/>
    <w:uiPriority w:val="0"/>
    <w:rPr>
      <w:rFonts w:ascii="MingLiU" w:hAnsi="MingLiU" w:eastAsia="MingLiU" w:cs="MingLiU"/>
      <w:color w:val="000000"/>
      <w:spacing w:val="0"/>
      <w:w w:val="100"/>
      <w:position w:val="0"/>
      <w:sz w:val="26"/>
      <w:szCs w:val="26"/>
      <w:shd w:val="clear" w:color="auto" w:fill="FFFFFF"/>
      <w:lang w:val="zh-CN"/>
    </w:rPr>
  </w:style>
  <w:style w:type="character" w:customStyle="1" w:styleId="48">
    <w:name w:val="正文文本 (5)_"/>
    <w:basedOn w:val="27"/>
    <w:link w:val="49"/>
    <w:qFormat/>
    <w:uiPriority w:val="0"/>
    <w:rPr>
      <w:rFonts w:ascii="MingLiU" w:hAnsi="MingLiU" w:eastAsia="MingLiU" w:cs="MingLiU"/>
      <w:spacing w:val="18"/>
      <w:sz w:val="29"/>
      <w:szCs w:val="29"/>
      <w:shd w:val="clear" w:color="auto" w:fill="FFFFFF"/>
    </w:rPr>
  </w:style>
  <w:style w:type="paragraph" w:customStyle="1" w:styleId="49">
    <w:name w:val="正文文本 (5)"/>
    <w:basedOn w:val="1"/>
    <w:link w:val="48"/>
    <w:qFormat/>
    <w:uiPriority w:val="0"/>
    <w:pPr>
      <w:shd w:val="clear" w:color="auto" w:fill="FFFFFF"/>
      <w:spacing w:after="300" w:line="0" w:lineRule="atLeast"/>
      <w:jc w:val="center"/>
    </w:pPr>
    <w:rPr>
      <w:rFonts w:ascii="MingLiU" w:hAnsi="MingLiU" w:eastAsia="MingLiU" w:cs="MingLiU"/>
      <w:color w:val="auto"/>
      <w:spacing w:val="18"/>
      <w:kern w:val="2"/>
      <w:sz w:val="29"/>
      <w:szCs w:val="29"/>
      <w:lang w:val="en-US"/>
    </w:rPr>
  </w:style>
  <w:style w:type="character" w:customStyle="1" w:styleId="50">
    <w:name w:val="正文文本_"/>
    <w:basedOn w:val="27"/>
    <w:link w:val="51"/>
    <w:qFormat/>
    <w:uiPriority w:val="0"/>
    <w:rPr>
      <w:rFonts w:ascii="MingLiU" w:hAnsi="MingLiU" w:eastAsia="MingLiU" w:cs="MingLiU"/>
      <w:spacing w:val="8"/>
      <w:sz w:val="19"/>
      <w:szCs w:val="19"/>
      <w:shd w:val="clear" w:color="auto" w:fill="FFFFFF"/>
    </w:rPr>
  </w:style>
  <w:style w:type="paragraph" w:customStyle="1" w:styleId="51">
    <w:name w:val="正文文本1"/>
    <w:basedOn w:val="1"/>
    <w:link w:val="50"/>
    <w:qFormat/>
    <w:uiPriority w:val="0"/>
    <w:pPr>
      <w:shd w:val="clear" w:color="auto" w:fill="FFFFFF"/>
      <w:spacing w:before="420" w:after="3360" w:line="355" w:lineRule="exact"/>
      <w:ind w:hanging="920"/>
      <w:jc w:val="right"/>
    </w:pPr>
    <w:rPr>
      <w:rFonts w:ascii="MingLiU" w:hAnsi="MingLiU" w:eastAsia="MingLiU" w:cs="MingLiU"/>
      <w:color w:val="auto"/>
      <w:spacing w:val="8"/>
      <w:kern w:val="2"/>
      <w:sz w:val="19"/>
      <w:szCs w:val="19"/>
      <w:lang w:val="en-US"/>
    </w:rPr>
  </w:style>
  <w:style w:type="character" w:customStyle="1" w:styleId="52">
    <w:name w:val="正文文本 + 间距 3 pt"/>
    <w:basedOn w:val="50"/>
    <w:qFormat/>
    <w:uiPriority w:val="0"/>
    <w:rPr>
      <w:rFonts w:ascii="MingLiU" w:hAnsi="MingLiU" w:eastAsia="MingLiU" w:cs="MingLiU"/>
      <w:color w:val="000000"/>
      <w:spacing w:val="75"/>
      <w:w w:val="100"/>
      <w:position w:val="0"/>
      <w:sz w:val="19"/>
      <w:szCs w:val="19"/>
      <w:shd w:val="clear" w:color="auto" w:fill="FFFFFF"/>
      <w:lang w:val="zh-CN"/>
    </w:rPr>
  </w:style>
  <w:style w:type="character" w:customStyle="1" w:styleId="53">
    <w:name w:val="正文文本 + Arial Unicode MS"/>
    <w:basedOn w:val="50"/>
    <w:qFormat/>
    <w:uiPriority w:val="0"/>
    <w:rPr>
      <w:rFonts w:ascii="Arial Unicode MS" w:hAnsi="Arial Unicode MS" w:eastAsia="Arial Unicode MS" w:cs="Arial Unicode MS"/>
      <w:color w:val="000000"/>
      <w:spacing w:val="189"/>
      <w:w w:val="100"/>
      <w:position w:val="0"/>
      <w:sz w:val="18"/>
      <w:szCs w:val="18"/>
      <w:shd w:val="clear" w:color="auto" w:fill="FFFFFF"/>
      <w:lang w:val="en-US"/>
    </w:rPr>
  </w:style>
  <w:style w:type="character" w:customStyle="1" w:styleId="54">
    <w:name w:val="正文文本 (6)_"/>
    <w:basedOn w:val="27"/>
    <w:link w:val="55"/>
    <w:qFormat/>
    <w:uiPriority w:val="0"/>
    <w:rPr>
      <w:rFonts w:ascii="Arial Unicode MS" w:hAnsi="Arial Unicode MS" w:eastAsia="Arial Unicode MS" w:cs="Arial Unicode MS"/>
      <w:spacing w:val="-4"/>
      <w:sz w:val="18"/>
      <w:szCs w:val="18"/>
      <w:shd w:val="clear" w:color="auto" w:fill="FFFFFF"/>
    </w:rPr>
  </w:style>
  <w:style w:type="paragraph" w:customStyle="1" w:styleId="55">
    <w:name w:val="正文文本 (6)"/>
    <w:basedOn w:val="1"/>
    <w:link w:val="54"/>
    <w:qFormat/>
    <w:uiPriority w:val="0"/>
    <w:pPr>
      <w:shd w:val="clear" w:color="auto" w:fill="FFFFFF"/>
      <w:spacing w:before="3360" w:line="0" w:lineRule="atLeast"/>
      <w:jc w:val="center"/>
    </w:pPr>
    <w:rPr>
      <w:rFonts w:ascii="Arial Unicode MS" w:hAnsi="Arial Unicode MS" w:eastAsia="Arial Unicode MS" w:cs="Arial Unicode MS"/>
      <w:color w:val="auto"/>
      <w:spacing w:val="-4"/>
      <w:kern w:val="2"/>
      <w:sz w:val="18"/>
      <w:szCs w:val="18"/>
      <w:lang w:val="en-US"/>
    </w:rPr>
  </w:style>
  <w:style w:type="character" w:customStyle="1" w:styleId="56">
    <w:name w:val="正文文本 (6) + MingLiU"/>
    <w:basedOn w:val="54"/>
    <w:qFormat/>
    <w:uiPriority w:val="0"/>
    <w:rPr>
      <w:rFonts w:ascii="MingLiU" w:hAnsi="MingLiU" w:eastAsia="MingLiU" w:cs="MingLiU"/>
      <w:color w:val="000000"/>
      <w:spacing w:val="8"/>
      <w:w w:val="100"/>
      <w:position w:val="0"/>
      <w:sz w:val="19"/>
      <w:szCs w:val="19"/>
      <w:shd w:val="clear" w:color="auto" w:fill="FFFFFF"/>
      <w:lang w:val="zh-CN"/>
    </w:rPr>
  </w:style>
  <w:style w:type="character" w:customStyle="1" w:styleId="57">
    <w:name w:val="正文文本 (10)_"/>
    <w:basedOn w:val="27"/>
    <w:link w:val="58"/>
    <w:qFormat/>
    <w:uiPriority w:val="0"/>
    <w:rPr>
      <w:rFonts w:ascii="MingLiU" w:hAnsi="MingLiU" w:eastAsia="MingLiU" w:cs="MingLiU"/>
      <w:sz w:val="20"/>
      <w:szCs w:val="20"/>
      <w:shd w:val="clear" w:color="auto" w:fill="FFFFFF"/>
    </w:rPr>
  </w:style>
  <w:style w:type="paragraph" w:customStyle="1" w:styleId="58">
    <w:name w:val="正文文本 (10)"/>
    <w:basedOn w:val="1"/>
    <w:link w:val="57"/>
    <w:qFormat/>
    <w:uiPriority w:val="0"/>
    <w:pPr>
      <w:shd w:val="clear" w:color="auto" w:fill="FFFFFF"/>
      <w:spacing w:line="0" w:lineRule="atLeast"/>
    </w:pPr>
    <w:rPr>
      <w:rFonts w:ascii="MingLiU" w:hAnsi="MingLiU" w:eastAsia="MingLiU" w:cs="MingLiU"/>
      <w:color w:val="auto"/>
      <w:kern w:val="2"/>
      <w:sz w:val="20"/>
      <w:szCs w:val="20"/>
      <w:lang w:val="en-US"/>
    </w:rPr>
  </w:style>
  <w:style w:type="character" w:customStyle="1" w:styleId="59">
    <w:name w:val="正文文本 (11)_"/>
    <w:basedOn w:val="27"/>
    <w:link w:val="60"/>
    <w:qFormat/>
    <w:uiPriority w:val="0"/>
    <w:rPr>
      <w:rFonts w:ascii="MingLiU" w:hAnsi="MingLiU" w:eastAsia="MingLiU" w:cs="MingLiU"/>
      <w:sz w:val="20"/>
      <w:szCs w:val="20"/>
      <w:shd w:val="clear" w:color="auto" w:fill="FFFFFF"/>
    </w:rPr>
  </w:style>
  <w:style w:type="paragraph" w:customStyle="1" w:styleId="60">
    <w:name w:val="正文文本 (11)"/>
    <w:basedOn w:val="1"/>
    <w:link w:val="59"/>
    <w:qFormat/>
    <w:uiPriority w:val="0"/>
    <w:pPr>
      <w:shd w:val="clear" w:color="auto" w:fill="FFFFFF"/>
      <w:spacing w:line="0" w:lineRule="atLeast"/>
    </w:pPr>
    <w:rPr>
      <w:rFonts w:ascii="MingLiU" w:hAnsi="MingLiU" w:eastAsia="MingLiU" w:cs="MingLiU"/>
      <w:color w:val="auto"/>
      <w:kern w:val="2"/>
      <w:sz w:val="20"/>
      <w:szCs w:val="20"/>
      <w:lang w:val="en-US"/>
    </w:rPr>
  </w:style>
  <w:style w:type="character" w:customStyle="1" w:styleId="61">
    <w:name w:val="目录_"/>
    <w:basedOn w:val="27"/>
    <w:link w:val="62"/>
    <w:qFormat/>
    <w:uiPriority w:val="0"/>
    <w:rPr>
      <w:rFonts w:ascii="Arial Unicode MS" w:hAnsi="Arial Unicode MS" w:eastAsia="Arial Unicode MS" w:cs="Arial Unicode MS"/>
      <w:spacing w:val="-4"/>
      <w:sz w:val="18"/>
      <w:szCs w:val="18"/>
      <w:shd w:val="clear" w:color="auto" w:fill="FFFFFF"/>
    </w:rPr>
  </w:style>
  <w:style w:type="paragraph" w:customStyle="1" w:styleId="62">
    <w:name w:val="目录"/>
    <w:basedOn w:val="1"/>
    <w:link w:val="61"/>
    <w:qFormat/>
    <w:uiPriority w:val="0"/>
    <w:pPr>
      <w:shd w:val="clear" w:color="auto" w:fill="FFFFFF"/>
      <w:spacing w:line="379" w:lineRule="exact"/>
    </w:pPr>
    <w:rPr>
      <w:rFonts w:ascii="Arial Unicode MS" w:hAnsi="Arial Unicode MS" w:eastAsia="Arial Unicode MS" w:cs="Arial Unicode MS"/>
      <w:color w:val="auto"/>
      <w:spacing w:val="-4"/>
      <w:kern w:val="2"/>
      <w:sz w:val="18"/>
      <w:szCs w:val="18"/>
      <w:lang w:val="en-US"/>
    </w:rPr>
  </w:style>
  <w:style w:type="character" w:customStyle="1" w:styleId="63">
    <w:name w:val="目录 + MingLiU"/>
    <w:basedOn w:val="61"/>
    <w:qFormat/>
    <w:uiPriority w:val="0"/>
    <w:rPr>
      <w:rFonts w:ascii="MingLiU" w:hAnsi="MingLiU" w:eastAsia="MingLiU" w:cs="MingLiU"/>
      <w:color w:val="000000"/>
      <w:spacing w:val="8"/>
      <w:w w:val="100"/>
      <w:position w:val="0"/>
      <w:sz w:val="19"/>
      <w:szCs w:val="19"/>
      <w:shd w:val="clear" w:color="auto" w:fill="FFFFFF"/>
      <w:lang w:val="zh-CN"/>
    </w:rPr>
  </w:style>
  <w:style w:type="character" w:customStyle="1" w:styleId="64">
    <w:name w:val="TOC 4 字符"/>
    <w:basedOn w:val="27"/>
    <w:link w:val="18"/>
    <w:qFormat/>
    <w:uiPriority w:val="0"/>
    <w:rPr>
      <w:rFonts w:ascii="MingLiU" w:hAnsi="MingLiU" w:eastAsia="MingLiU" w:cs="MingLiU"/>
      <w:spacing w:val="8"/>
      <w:sz w:val="19"/>
      <w:szCs w:val="19"/>
      <w:shd w:val="clear" w:color="auto" w:fill="FFFFFF"/>
    </w:rPr>
  </w:style>
  <w:style w:type="character" w:customStyle="1" w:styleId="65">
    <w:name w:val="目录 (2) + Arial Unicode MS"/>
    <w:basedOn w:val="64"/>
    <w:qFormat/>
    <w:uiPriority w:val="0"/>
    <w:rPr>
      <w:rFonts w:ascii="Arial Unicode MS" w:hAnsi="Arial Unicode MS" w:eastAsia="Arial Unicode MS" w:cs="Arial Unicode MS"/>
      <w:color w:val="000000"/>
      <w:spacing w:val="-4"/>
      <w:w w:val="100"/>
      <w:position w:val="0"/>
      <w:sz w:val="18"/>
      <w:szCs w:val="18"/>
      <w:shd w:val="clear" w:color="auto" w:fill="FFFFFF"/>
      <w:lang w:val="en-US"/>
    </w:rPr>
  </w:style>
  <w:style w:type="character" w:customStyle="1" w:styleId="66">
    <w:name w:val="目录 + 间距 0 pt"/>
    <w:basedOn w:val="61"/>
    <w:qFormat/>
    <w:uiPriority w:val="0"/>
    <w:rPr>
      <w:rFonts w:ascii="Arial Unicode MS" w:hAnsi="Arial Unicode MS" w:eastAsia="Arial Unicode MS" w:cs="Arial Unicode MS"/>
      <w:color w:val="000000"/>
      <w:spacing w:val="-3"/>
      <w:w w:val="100"/>
      <w:position w:val="0"/>
      <w:sz w:val="18"/>
      <w:szCs w:val="18"/>
      <w:shd w:val="clear" w:color="auto" w:fill="FFFFFF"/>
    </w:rPr>
  </w:style>
  <w:style w:type="character" w:customStyle="1" w:styleId="67">
    <w:name w:val="标题 #4_"/>
    <w:basedOn w:val="27"/>
    <w:link w:val="68"/>
    <w:qFormat/>
    <w:uiPriority w:val="0"/>
    <w:rPr>
      <w:rFonts w:ascii="MingLiU" w:hAnsi="MingLiU" w:eastAsia="MingLiU" w:cs="MingLiU"/>
      <w:sz w:val="26"/>
      <w:szCs w:val="26"/>
      <w:shd w:val="clear" w:color="auto" w:fill="FFFFFF"/>
    </w:rPr>
  </w:style>
  <w:style w:type="paragraph" w:customStyle="1" w:styleId="68">
    <w:name w:val="标题 #41"/>
    <w:basedOn w:val="1"/>
    <w:link w:val="67"/>
    <w:qFormat/>
    <w:uiPriority w:val="0"/>
    <w:pPr>
      <w:shd w:val="clear" w:color="auto" w:fill="FFFFFF"/>
      <w:spacing w:before="360" w:after="300" w:line="379" w:lineRule="exact"/>
      <w:jc w:val="center"/>
      <w:outlineLvl w:val="3"/>
    </w:pPr>
    <w:rPr>
      <w:rFonts w:ascii="MingLiU" w:hAnsi="MingLiU" w:eastAsia="MingLiU" w:cs="MingLiU"/>
      <w:color w:val="auto"/>
      <w:kern w:val="2"/>
      <w:sz w:val="26"/>
      <w:szCs w:val="26"/>
      <w:lang w:val="en-US"/>
    </w:rPr>
  </w:style>
  <w:style w:type="character" w:customStyle="1" w:styleId="69">
    <w:name w:val="标题 #4 + Arial Unicode MS"/>
    <w:basedOn w:val="67"/>
    <w:qFormat/>
    <w:uiPriority w:val="0"/>
    <w:rPr>
      <w:rFonts w:ascii="Arial Unicode MS" w:hAnsi="Arial Unicode MS" w:eastAsia="Arial Unicode MS" w:cs="Arial Unicode MS"/>
      <w:color w:val="000000"/>
      <w:spacing w:val="0"/>
      <w:w w:val="100"/>
      <w:position w:val="0"/>
      <w:sz w:val="24"/>
      <w:szCs w:val="24"/>
      <w:shd w:val="clear" w:color="auto" w:fill="FFFFFF"/>
      <w:lang w:val="en-US"/>
    </w:rPr>
  </w:style>
  <w:style w:type="character" w:customStyle="1" w:styleId="70">
    <w:name w:val="标题 #4 + 间距 0 pt"/>
    <w:basedOn w:val="67"/>
    <w:qFormat/>
    <w:uiPriority w:val="0"/>
    <w:rPr>
      <w:rFonts w:ascii="MingLiU" w:hAnsi="MingLiU" w:eastAsia="MingLiU" w:cs="MingLiU"/>
      <w:color w:val="000000"/>
      <w:spacing w:val="1"/>
      <w:w w:val="100"/>
      <w:position w:val="0"/>
      <w:sz w:val="26"/>
      <w:szCs w:val="26"/>
      <w:shd w:val="clear" w:color="auto" w:fill="FFFFFF"/>
      <w:lang w:val="zh-CN"/>
    </w:rPr>
  </w:style>
  <w:style w:type="character" w:customStyle="1" w:styleId="71">
    <w:name w:val="正文文本 + Arial Unicode MS11"/>
    <w:basedOn w:val="50"/>
    <w:qFormat/>
    <w:uiPriority w:val="0"/>
    <w:rPr>
      <w:rFonts w:ascii="Arial Unicode MS" w:hAnsi="Arial Unicode MS" w:eastAsia="Arial Unicode MS" w:cs="Arial Unicode MS"/>
      <w:color w:val="000000"/>
      <w:spacing w:val="-3"/>
      <w:w w:val="100"/>
      <w:position w:val="0"/>
      <w:sz w:val="18"/>
      <w:szCs w:val="18"/>
      <w:shd w:val="clear" w:color="auto" w:fill="FFFFFF"/>
      <w:lang w:val="en-US"/>
    </w:rPr>
  </w:style>
  <w:style w:type="character" w:customStyle="1" w:styleId="72">
    <w:name w:val="正文文本 (6) + 间距 0 pt"/>
    <w:basedOn w:val="54"/>
    <w:qFormat/>
    <w:uiPriority w:val="0"/>
    <w:rPr>
      <w:rFonts w:ascii="Arial Unicode MS" w:hAnsi="Arial Unicode MS" w:eastAsia="Arial Unicode MS" w:cs="Arial Unicode MS"/>
      <w:color w:val="000000"/>
      <w:spacing w:val="-3"/>
      <w:w w:val="100"/>
      <w:position w:val="0"/>
      <w:sz w:val="18"/>
      <w:szCs w:val="18"/>
      <w:shd w:val="clear" w:color="auto" w:fill="FFFFFF"/>
    </w:rPr>
  </w:style>
  <w:style w:type="character" w:customStyle="1" w:styleId="73">
    <w:name w:val="正文文本 (6) + MingLiU3"/>
    <w:basedOn w:val="54"/>
    <w:qFormat/>
    <w:uiPriority w:val="0"/>
    <w:rPr>
      <w:rFonts w:ascii="MingLiU" w:hAnsi="MingLiU" w:eastAsia="MingLiU" w:cs="MingLiU"/>
      <w:color w:val="000000"/>
      <w:spacing w:val="38"/>
      <w:w w:val="100"/>
      <w:position w:val="0"/>
      <w:sz w:val="19"/>
      <w:szCs w:val="19"/>
      <w:shd w:val="clear" w:color="auto" w:fill="FFFFFF"/>
      <w:lang w:val="zh-CN"/>
    </w:rPr>
  </w:style>
  <w:style w:type="character" w:customStyle="1" w:styleId="74">
    <w:name w:val="正文文本 (6) + MingLiU2"/>
    <w:basedOn w:val="54"/>
    <w:qFormat/>
    <w:uiPriority w:val="0"/>
    <w:rPr>
      <w:rFonts w:ascii="MingLiU" w:hAnsi="MingLiU" w:eastAsia="MingLiU" w:cs="MingLiU"/>
      <w:color w:val="000000"/>
      <w:spacing w:val="79"/>
      <w:w w:val="100"/>
      <w:position w:val="0"/>
      <w:sz w:val="19"/>
      <w:szCs w:val="19"/>
      <w:shd w:val="clear" w:color="auto" w:fill="FFFFFF"/>
      <w:lang w:val="zh-CN"/>
    </w:rPr>
  </w:style>
  <w:style w:type="character" w:customStyle="1" w:styleId="75">
    <w:name w:val="页眉或页脚 (4)_"/>
    <w:basedOn w:val="27"/>
    <w:link w:val="76"/>
    <w:qFormat/>
    <w:uiPriority w:val="0"/>
    <w:rPr>
      <w:rFonts w:ascii="MingLiU" w:hAnsi="MingLiU" w:eastAsia="MingLiU" w:cs="MingLiU"/>
      <w:b/>
      <w:bCs/>
      <w:spacing w:val="5"/>
      <w:sz w:val="19"/>
      <w:szCs w:val="19"/>
      <w:shd w:val="clear" w:color="auto" w:fill="FFFFFF"/>
    </w:rPr>
  </w:style>
  <w:style w:type="paragraph" w:customStyle="1" w:styleId="76">
    <w:name w:val="页眉或页脚 (4)"/>
    <w:basedOn w:val="1"/>
    <w:link w:val="75"/>
    <w:qFormat/>
    <w:uiPriority w:val="0"/>
    <w:pPr>
      <w:shd w:val="clear" w:color="auto" w:fill="FFFFFF"/>
      <w:spacing w:line="0" w:lineRule="atLeast"/>
    </w:pPr>
    <w:rPr>
      <w:rFonts w:ascii="MingLiU" w:hAnsi="MingLiU" w:eastAsia="MingLiU" w:cs="MingLiU"/>
      <w:b/>
      <w:bCs/>
      <w:color w:val="auto"/>
      <w:spacing w:val="5"/>
      <w:kern w:val="2"/>
      <w:sz w:val="19"/>
      <w:szCs w:val="19"/>
      <w:lang w:val="en-US"/>
    </w:rPr>
  </w:style>
  <w:style w:type="character" w:customStyle="1" w:styleId="77">
    <w:name w:val="正文文本 + Arial Unicode MS10"/>
    <w:basedOn w:val="50"/>
    <w:qFormat/>
    <w:uiPriority w:val="0"/>
    <w:rPr>
      <w:rFonts w:ascii="Arial Unicode MS" w:hAnsi="Arial Unicode MS" w:eastAsia="Arial Unicode MS" w:cs="Arial Unicode MS"/>
      <w:i/>
      <w:iCs/>
      <w:color w:val="000000"/>
      <w:spacing w:val="-2"/>
      <w:w w:val="100"/>
      <w:position w:val="0"/>
      <w:sz w:val="17"/>
      <w:szCs w:val="17"/>
      <w:shd w:val="clear" w:color="auto" w:fill="FFFFFF"/>
      <w:lang w:val="en-US"/>
    </w:rPr>
  </w:style>
  <w:style w:type="character" w:customStyle="1" w:styleId="78">
    <w:name w:val="标题 #5_"/>
    <w:basedOn w:val="27"/>
    <w:link w:val="79"/>
    <w:qFormat/>
    <w:uiPriority w:val="0"/>
    <w:rPr>
      <w:rFonts w:ascii="MingLiU" w:hAnsi="MingLiU" w:eastAsia="MingLiU" w:cs="MingLiU"/>
      <w:spacing w:val="8"/>
      <w:sz w:val="19"/>
      <w:szCs w:val="19"/>
      <w:shd w:val="clear" w:color="auto" w:fill="FFFFFF"/>
    </w:rPr>
  </w:style>
  <w:style w:type="paragraph" w:customStyle="1" w:styleId="79">
    <w:name w:val="标题 #5"/>
    <w:basedOn w:val="1"/>
    <w:link w:val="78"/>
    <w:qFormat/>
    <w:uiPriority w:val="0"/>
    <w:pPr>
      <w:shd w:val="clear" w:color="auto" w:fill="FFFFFF"/>
      <w:spacing w:before="420" w:after="420" w:line="0" w:lineRule="atLeast"/>
      <w:jc w:val="center"/>
      <w:outlineLvl w:val="4"/>
    </w:pPr>
    <w:rPr>
      <w:rFonts w:ascii="MingLiU" w:hAnsi="MingLiU" w:eastAsia="MingLiU" w:cs="MingLiU"/>
      <w:color w:val="auto"/>
      <w:spacing w:val="8"/>
      <w:kern w:val="2"/>
      <w:sz w:val="19"/>
      <w:szCs w:val="19"/>
      <w:lang w:val="en-US"/>
    </w:rPr>
  </w:style>
  <w:style w:type="character" w:customStyle="1" w:styleId="80">
    <w:name w:val="标题 #5 + Arial Unicode MS"/>
    <w:basedOn w:val="78"/>
    <w:qFormat/>
    <w:uiPriority w:val="0"/>
    <w:rPr>
      <w:rFonts w:ascii="Arial Unicode MS" w:hAnsi="Arial Unicode MS" w:eastAsia="Arial Unicode MS" w:cs="Arial Unicode MS"/>
      <w:color w:val="000000"/>
      <w:spacing w:val="-3"/>
      <w:w w:val="100"/>
      <w:position w:val="0"/>
      <w:sz w:val="18"/>
      <w:szCs w:val="18"/>
      <w:shd w:val="clear" w:color="auto" w:fill="FFFFFF"/>
      <w:lang w:val="en-US"/>
    </w:rPr>
  </w:style>
  <w:style w:type="character" w:customStyle="1" w:styleId="81">
    <w:name w:val="正文文本 + 间距 1 pt"/>
    <w:basedOn w:val="50"/>
    <w:qFormat/>
    <w:uiPriority w:val="0"/>
    <w:rPr>
      <w:rFonts w:ascii="MingLiU" w:hAnsi="MingLiU" w:eastAsia="MingLiU" w:cs="MingLiU"/>
      <w:color w:val="000000"/>
      <w:spacing w:val="38"/>
      <w:w w:val="100"/>
      <w:position w:val="0"/>
      <w:sz w:val="19"/>
      <w:szCs w:val="19"/>
      <w:shd w:val="clear" w:color="auto" w:fill="FFFFFF"/>
      <w:lang w:val="zh-CN"/>
    </w:rPr>
  </w:style>
  <w:style w:type="character" w:customStyle="1" w:styleId="82">
    <w:name w:val="表格标题 (2)_"/>
    <w:basedOn w:val="27"/>
    <w:link w:val="83"/>
    <w:qFormat/>
    <w:uiPriority w:val="0"/>
    <w:rPr>
      <w:rFonts w:ascii="MingLiU" w:hAnsi="MingLiU" w:eastAsia="MingLiU" w:cs="MingLiU"/>
      <w:b/>
      <w:bCs/>
      <w:spacing w:val="6"/>
      <w:sz w:val="17"/>
      <w:szCs w:val="17"/>
      <w:shd w:val="clear" w:color="auto" w:fill="FFFFFF"/>
    </w:rPr>
  </w:style>
  <w:style w:type="paragraph" w:customStyle="1" w:styleId="83">
    <w:name w:val="表格标题 (2)1"/>
    <w:basedOn w:val="1"/>
    <w:link w:val="82"/>
    <w:qFormat/>
    <w:uiPriority w:val="0"/>
    <w:pPr>
      <w:shd w:val="clear" w:color="auto" w:fill="FFFFFF"/>
      <w:spacing w:line="0" w:lineRule="atLeast"/>
    </w:pPr>
    <w:rPr>
      <w:rFonts w:ascii="MingLiU" w:hAnsi="MingLiU" w:eastAsia="MingLiU" w:cs="MingLiU"/>
      <w:b/>
      <w:bCs/>
      <w:color w:val="auto"/>
      <w:spacing w:val="6"/>
      <w:kern w:val="2"/>
      <w:sz w:val="17"/>
      <w:szCs w:val="17"/>
      <w:lang w:val="en-US"/>
    </w:rPr>
  </w:style>
  <w:style w:type="character" w:customStyle="1" w:styleId="84">
    <w:name w:val="表格标题 (2)"/>
    <w:basedOn w:val="82"/>
    <w:qFormat/>
    <w:uiPriority w:val="0"/>
    <w:rPr>
      <w:rFonts w:ascii="MingLiU" w:hAnsi="MingLiU" w:eastAsia="MingLiU" w:cs="MingLiU"/>
      <w:color w:val="000000"/>
      <w:spacing w:val="6"/>
      <w:w w:val="100"/>
      <w:position w:val="0"/>
      <w:sz w:val="17"/>
      <w:szCs w:val="17"/>
      <w:shd w:val="clear" w:color="auto" w:fill="FFFFFF"/>
      <w:lang w:val="zh-CN"/>
    </w:rPr>
  </w:style>
  <w:style w:type="character" w:customStyle="1" w:styleId="85">
    <w:name w:val="表格标题 (2) + Times New Roman"/>
    <w:basedOn w:val="82"/>
    <w:qFormat/>
    <w:uiPriority w:val="0"/>
    <w:rPr>
      <w:rFonts w:ascii="Times New Roman" w:hAnsi="Times New Roman" w:eastAsia="Times New Roman" w:cs="Times New Roman"/>
      <w:color w:val="000000"/>
      <w:spacing w:val="-4"/>
      <w:w w:val="100"/>
      <w:position w:val="0"/>
      <w:sz w:val="17"/>
      <w:szCs w:val="17"/>
      <w:shd w:val="clear" w:color="auto" w:fill="FFFFFF"/>
      <w:lang w:val="en-US"/>
    </w:rPr>
  </w:style>
  <w:style w:type="character" w:customStyle="1" w:styleId="86">
    <w:name w:val="正文文本 (7)_"/>
    <w:basedOn w:val="27"/>
    <w:link w:val="87"/>
    <w:qFormat/>
    <w:uiPriority w:val="0"/>
    <w:rPr>
      <w:rFonts w:ascii="MingLiU" w:hAnsi="MingLiU" w:eastAsia="MingLiU" w:cs="MingLiU"/>
      <w:b/>
      <w:bCs/>
      <w:spacing w:val="6"/>
      <w:sz w:val="17"/>
      <w:szCs w:val="17"/>
      <w:shd w:val="clear" w:color="auto" w:fill="FFFFFF"/>
    </w:rPr>
  </w:style>
  <w:style w:type="paragraph" w:customStyle="1" w:styleId="87">
    <w:name w:val="正文文本 (7)1"/>
    <w:basedOn w:val="1"/>
    <w:link w:val="86"/>
    <w:qFormat/>
    <w:uiPriority w:val="0"/>
    <w:pPr>
      <w:shd w:val="clear" w:color="auto" w:fill="FFFFFF"/>
      <w:spacing w:before="180" w:line="0" w:lineRule="atLeast"/>
      <w:jc w:val="center"/>
    </w:pPr>
    <w:rPr>
      <w:rFonts w:ascii="MingLiU" w:hAnsi="MingLiU" w:eastAsia="MingLiU" w:cs="MingLiU"/>
      <w:b/>
      <w:bCs/>
      <w:color w:val="auto"/>
      <w:spacing w:val="6"/>
      <w:kern w:val="2"/>
      <w:sz w:val="17"/>
      <w:szCs w:val="17"/>
      <w:lang w:val="en-US"/>
    </w:rPr>
  </w:style>
  <w:style w:type="character" w:customStyle="1" w:styleId="88">
    <w:name w:val="正文文本 (7)"/>
    <w:basedOn w:val="86"/>
    <w:qFormat/>
    <w:uiPriority w:val="0"/>
    <w:rPr>
      <w:rFonts w:ascii="MingLiU" w:hAnsi="MingLiU" w:eastAsia="MingLiU" w:cs="MingLiU"/>
      <w:color w:val="000000"/>
      <w:spacing w:val="6"/>
      <w:w w:val="100"/>
      <w:position w:val="0"/>
      <w:sz w:val="17"/>
      <w:szCs w:val="17"/>
      <w:shd w:val="clear" w:color="auto" w:fill="FFFFFF"/>
      <w:lang w:val="zh-CN"/>
    </w:rPr>
  </w:style>
  <w:style w:type="character" w:customStyle="1" w:styleId="89">
    <w:name w:val="正文文本 (7) + Times New Roman"/>
    <w:basedOn w:val="86"/>
    <w:qFormat/>
    <w:uiPriority w:val="0"/>
    <w:rPr>
      <w:rFonts w:ascii="Times New Roman" w:hAnsi="Times New Roman" w:eastAsia="Times New Roman" w:cs="Times New Roman"/>
      <w:color w:val="000000"/>
      <w:spacing w:val="-4"/>
      <w:w w:val="100"/>
      <w:position w:val="0"/>
      <w:sz w:val="17"/>
      <w:szCs w:val="17"/>
      <w:shd w:val="clear" w:color="auto" w:fill="FFFFFF"/>
      <w:lang w:val="en-US"/>
    </w:rPr>
  </w:style>
  <w:style w:type="character" w:customStyle="1" w:styleId="90">
    <w:name w:val="正文文本 (7) + Times New Roman2"/>
    <w:basedOn w:val="86"/>
    <w:qFormat/>
    <w:uiPriority w:val="0"/>
    <w:rPr>
      <w:rFonts w:ascii="Times New Roman" w:hAnsi="Times New Roman" w:eastAsia="Times New Roman" w:cs="Times New Roman"/>
      <w:color w:val="000000"/>
      <w:spacing w:val="-2"/>
      <w:w w:val="100"/>
      <w:position w:val="0"/>
      <w:sz w:val="16"/>
      <w:szCs w:val="16"/>
      <w:shd w:val="clear" w:color="auto" w:fill="FFFFFF"/>
      <w:lang w:val="en-US"/>
    </w:rPr>
  </w:style>
  <w:style w:type="character" w:customStyle="1" w:styleId="91">
    <w:name w:val="正文文本 + Arial Unicode MS9"/>
    <w:basedOn w:val="50"/>
    <w:qFormat/>
    <w:uiPriority w:val="0"/>
    <w:rPr>
      <w:rFonts w:ascii="Arial Unicode MS" w:hAnsi="Arial Unicode MS" w:eastAsia="Arial Unicode MS" w:cs="Arial Unicode MS"/>
      <w:i/>
      <w:iCs/>
      <w:smallCaps/>
      <w:color w:val="000000"/>
      <w:spacing w:val="-2"/>
      <w:w w:val="100"/>
      <w:position w:val="0"/>
      <w:sz w:val="17"/>
      <w:szCs w:val="17"/>
      <w:shd w:val="clear" w:color="auto" w:fill="FFFFFF"/>
      <w:lang w:val="en-US"/>
    </w:rPr>
  </w:style>
  <w:style w:type="character" w:customStyle="1" w:styleId="92">
    <w:name w:val="表格标题 (2) + 9.5 pt"/>
    <w:basedOn w:val="82"/>
    <w:qFormat/>
    <w:uiPriority w:val="0"/>
    <w:rPr>
      <w:rFonts w:ascii="MingLiU" w:hAnsi="MingLiU" w:eastAsia="MingLiU" w:cs="MingLiU"/>
      <w:color w:val="000000"/>
      <w:spacing w:val="8"/>
      <w:w w:val="100"/>
      <w:position w:val="0"/>
      <w:sz w:val="19"/>
      <w:szCs w:val="19"/>
      <w:shd w:val="clear" w:color="auto" w:fill="FFFFFF"/>
    </w:rPr>
  </w:style>
  <w:style w:type="character" w:customStyle="1" w:styleId="93">
    <w:name w:val="表格标题 (2) + Arial Unicode MS"/>
    <w:basedOn w:val="82"/>
    <w:qFormat/>
    <w:uiPriority w:val="0"/>
    <w:rPr>
      <w:rFonts w:ascii="Arial Unicode MS" w:hAnsi="Arial Unicode MS" w:eastAsia="Arial Unicode MS" w:cs="Arial Unicode MS"/>
      <w:color w:val="000000"/>
      <w:spacing w:val="-3"/>
      <w:w w:val="100"/>
      <w:position w:val="0"/>
      <w:sz w:val="18"/>
      <w:szCs w:val="18"/>
      <w:shd w:val="clear" w:color="auto" w:fill="FFFFFF"/>
      <w:lang w:val="en-US"/>
    </w:rPr>
  </w:style>
  <w:style w:type="character" w:customStyle="1" w:styleId="94">
    <w:name w:val="表格标题_"/>
    <w:basedOn w:val="27"/>
    <w:link w:val="95"/>
    <w:qFormat/>
    <w:uiPriority w:val="0"/>
    <w:rPr>
      <w:rFonts w:ascii="MingLiU" w:hAnsi="MingLiU" w:eastAsia="MingLiU" w:cs="MingLiU"/>
      <w:spacing w:val="8"/>
      <w:sz w:val="19"/>
      <w:szCs w:val="19"/>
      <w:shd w:val="clear" w:color="auto" w:fill="FFFFFF"/>
    </w:rPr>
  </w:style>
  <w:style w:type="paragraph" w:customStyle="1" w:styleId="95">
    <w:name w:val="表格标题"/>
    <w:basedOn w:val="1"/>
    <w:link w:val="94"/>
    <w:qFormat/>
    <w:uiPriority w:val="0"/>
    <w:pPr>
      <w:shd w:val="clear" w:color="auto" w:fill="FFFFFF"/>
      <w:spacing w:line="240" w:lineRule="exact"/>
      <w:jc w:val="distribute"/>
    </w:pPr>
    <w:rPr>
      <w:rFonts w:ascii="MingLiU" w:hAnsi="MingLiU" w:eastAsia="MingLiU" w:cs="MingLiU"/>
      <w:color w:val="auto"/>
      <w:spacing w:val="8"/>
      <w:kern w:val="2"/>
      <w:sz w:val="19"/>
      <w:szCs w:val="19"/>
      <w:lang w:val="en-US"/>
    </w:rPr>
  </w:style>
  <w:style w:type="character" w:customStyle="1" w:styleId="96">
    <w:name w:val="页眉或页脚 (2)_"/>
    <w:basedOn w:val="27"/>
    <w:link w:val="97"/>
    <w:qFormat/>
    <w:uiPriority w:val="0"/>
    <w:rPr>
      <w:rFonts w:ascii="MingLiU" w:hAnsi="MingLiU" w:eastAsia="MingLiU" w:cs="MingLiU"/>
      <w:b/>
      <w:bCs/>
      <w:spacing w:val="4"/>
      <w:sz w:val="17"/>
      <w:szCs w:val="17"/>
      <w:shd w:val="clear" w:color="auto" w:fill="FFFFFF"/>
    </w:rPr>
  </w:style>
  <w:style w:type="paragraph" w:customStyle="1" w:styleId="97">
    <w:name w:val="页眉或页脚 (2)"/>
    <w:basedOn w:val="1"/>
    <w:link w:val="96"/>
    <w:qFormat/>
    <w:uiPriority w:val="0"/>
    <w:pPr>
      <w:shd w:val="clear" w:color="auto" w:fill="FFFFFF"/>
      <w:spacing w:line="0" w:lineRule="atLeast"/>
    </w:pPr>
    <w:rPr>
      <w:rFonts w:ascii="MingLiU" w:hAnsi="MingLiU" w:eastAsia="MingLiU" w:cs="MingLiU"/>
      <w:b/>
      <w:bCs/>
      <w:color w:val="auto"/>
      <w:spacing w:val="4"/>
      <w:kern w:val="2"/>
      <w:sz w:val="17"/>
      <w:szCs w:val="17"/>
      <w:lang w:val="en-US"/>
    </w:rPr>
  </w:style>
  <w:style w:type="character" w:customStyle="1" w:styleId="98">
    <w:name w:val="页眉或页脚 (2) + 间距 0 pt"/>
    <w:basedOn w:val="96"/>
    <w:qFormat/>
    <w:uiPriority w:val="0"/>
    <w:rPr>
      <w:rFonts w:ascii="MingLiU" w:hAnsi="MingLiU" w:eastAsia="MingLiU" w:cs="MingLiU"/>
      <w:color w:val="000000"/>
      <w:spacing w:val="3"/>
      <w:w w:val="100"/>
      <w:position w:val="0"/>
      <w:sz w:val="17"/>
      <w:szCs w:val="17"/>
      <w:shd w:val="clear" w:color="auto" w:fill="FFFFFF"/>
      <w:lang w:val="zh-CN"/>
    </w:rPr>
  </w:style>
  <w:style w:type="character" w:customStyle="1" w:styleId="99">
    <w:name w:val="页眉或页脚 (2) + 8 pt"/>
    <w:basedOn w:val="96"/>
    <w:qFormat/>
    <w:uiPriority w:val="0"/>
    <w:rPr>
      <w:rFonts w:ascii="MingLiU" w:hAnsi="MingLiU" w:eastAsia="MingLiU" w:cs="MingLiU"/>
      <w:color w:val="000000"/>
      <w:spacing w:val="-24"/>
      <w:w w:val="100"/>
      <w:position w:val="0"/>
      <w:sz w:val="16"/>
      <w:szCs w:val="16"/>
      <w:shd w:val="clear" w:color="auto" w:fill="FFFFFF"/>
      <w:lang w:val="en-US"/>
    </w:rPr>
  </w:style>
  <w:style w:type="character" w:customStyle="1" w:styleId="100">
    <w:name w:val="表格标题 + Arial Unicode MS"/>
    <w:basedOn w:val="94"/>
    <w:qFormat/>
    <w:uiPriority w:val="0"/>
    <w:rPr>
      <w:rFonts w:ascii="Arial Unicode MS" w:hAnsi="Arial Unicode MS" w:eastAsia="Arial Unicode MS" w:cs="Arial Unicode MS"/>
      <w:color w:val="000000"/>
      <w:spacing w:val="-3"/>
      <w:w w:val="100"/>
      <w:position w:val="0"/>
      <w:sz w:val="18"/>
      <w:szCs w:val="18"/>
      <w:shd w:val="clear" w:color="auto" w:fill="FFFFFF"/>
      <w:lang w:val="en-US"/>
    </w:rPr>
  </w:style>
  <w:style w:type="character" w:customStyle="1" w:styleId="101">
    <w:name w:val="正文文本 + 8.5 pt"/>
    <w:basedOn w:val="50"/>
    <w:qFormat/>
    <w:uiPriority w:val="0"/>
    <w:rPr>
      <w:rFonts w:ascii="MingLiU" w:hAnsi="MingLiU" w:eastAsia="MingLiU" w:cs="MingLiU"/>
      <w:b/>
      <w:bCs/>
      <w:color w:val="000000"/>
      <w:spacing w:val="6"/>
      <w:w w:val="100"/>
      <w:position w:val="0"/>
      <w:sz w:val="17"/>
      <w:szCs w:val="17"/>
      <w:shd w:val="clear" w:color="auto" w:fill="FFFFFF"/>
      <w:lang w:val="zh-CN"/>
    </w:rPr>
  </w:style>
  <w:style w:type="character" w:customStyle="1" w:styleId="102">
    <w:name w:val="正文文本 + Times New Roman"/>
    <w:basedOn w:val="50"/>
    <w:qFormat/>
    <w:uiPriority w:val="0"/>
    <w:rPr>
      <w:rFonts w:ascii="Times New Roman" w:hAnsi="Times New Roman" w:eastAsia="Times New Roman" w:cs="Times New Roman"/>
      <w:b/>
      <w:bCs/>
      <w:color w:val="000000"/>
      <w:spacing w:val="-4"/>
      <w:w w:val="100"/>
      <w:position w:val="0"/>
      <w:sz w:val="17"/>
      <w:szCs w:val="17"/>
      <w:shd w:val="clear" w:color="auto" w:fill="FFFFFF"/>
      <w:lang w:val="en-US"/>
    </w:rPr>
  </w:style>
  <w:style w:type="character" w:customStyle="1" w:styleId="103">
    <w:name w:val="正文文本 + Times New Roman2"/>
    <w:basedOn w:val="50"/>
    <w:qFormat/>
    <w:uiPriority w:val="0"/>
    <w:rPr>
      <w:rFonts w:ascii="Times New Roman" w:hAnsi="Times New Roman" w:eastAsia="Times New Roman" w:cs="Times New Roman"/>
      <w:color w:val="000000"/>
      <w:spacing w:val="-2"/>
      <w:w w:val="100"/>
      <w:position w:val="0"/>
      <w:sz w:val="16"/>
      <w:szCs w:val="16"/>
      <w:shd w:val="clear" w:color="auto" w:fill="FFFFFF"/>
    </w:rPr>
  </w:style>
  <w:style w:type="character" w:customStyle="1" w:styleId="104">
    <w:name w:val="图片标题_"/>
    <w:basedOn w:val="27"/>
    <w:link w:val="105"/>
    <w:qFormat/>
    <w:uiPriority w:val="0"/>
    <w:rPr>
      <w:rFonts w:ascii="MingLiU" w:hAnsi="MingLiU" w:eastAsia="MingLiU" w:cs="MingLiU"/>
      <w:spacing w:val="8"/>
      <w:sz w:val="19"/>
      <w:szCs w:val="19"/>
      <w:shd w:val="clear" w:color="auto" w:fill="FFFFFF"/>
    </w:rPr>
  </w:style>
  <w:style w:type="paragraph" w:customStyle="1" w:styleId="105">
    <w:name w:val="图片标题"/>
    <w:basedOn w:val="1"/>
    <w:link w:val="104"/>
    <w:qFormat/>
    <w:uiPriority w:val="0"/>
    <w:pPr>
      <w:shd w:val="clear" w:color="auto" w:fill="FFFFFF"/>
      <w:spacing w:line="0" w:lineRule="atLeast"/>
    </w:pPr>
    <w:rPr>
      <w:rFonts w:ascii="MingLiU" w:hAnsi="MingLiU" w:eastAsia="MingLiU" w:cs="MingLiU"/>
      <w:color w:val="auto"/>
      <w:spacing w:val="8"/>
      <w:kern w:val="2"/>
      <w:sz w:val="19"/>
      <w:szCs w:val="19"/>
      <w:lang w:val="en-US"/>
    </w:rPr>
  </w:style>
  <w:style w:type="character" w:customStyle="1" w:styleId="106">
    <w:name w:val="图片标题 + Arial Unicode MS"/>
    <w:basedOn w:val="104"/>
    <w:qFormat/>
    <w:uiPriority w:val="0"/>
    <w:rPr>
      <w:rFonts w:ascii="Arial Unicode MS" w:hAnsi="Arial Unicode MS" w:eastAsia="Arial Unicode MS" w:cs="Arial Unicode MS"/>
      <w:color w:val="000000"/>
      <w:spacing w:val="-3"/>
      <w:w w:val="100"/>
      <w:position w:val="0"/>
      <w:sz w:val="18"/>
      <w:szCs w:val="18"/>
      <w:shd w:val="clear" w:color="auto" w:fill="FFFFFF"/>
      <w:lang w:val="en-US"/>
    </w:rPr>
  </w:style>
  <w:style w:type="character" w:customStyle="1" w:styleId="107">
    <w:name w:val="表格标题 + Arial Unicode MS3"/>
    <w:basedOn w:val="94"/>
    <w:qFormat/>
    <w:uiPriority w:val="0"/>
    <w:rPr>
      <w:rFonts w:ascii="Arial Unicode MS" w:hAnsi="Arial Unicode MS" w:eastAsia="Arial Unicode MS" w:cs="Arial Unicode MS"/>
      <w:i/>
      <w:iCs/>
      <w:color w:val="000000"/>
      <w:spacing w:val="-2"/>
      <w:w w:val="100"/>
      <w:position w:val="0"/>
      <w:sz w:val="17"/>
      <w:szCs w:val="17"/>
      <w:shd w:val="clear" w:color="auto" w:fill="FFFFFF"/>
      <w:lang w:val="en-US"/>
    </w:rPr>
  </w:style>
  <w:style w:type="character" w:customStyle="1" w:styleId="108">
    <w:name w:val="表格标题 + 4 pt"/>
    <w:basedOn w:val="94"/>
    <w:qFormat/>
    <w:uiPriority w:val="0"/>
    <w:rPr>
      <w:rFonts w:ascii="MingLiU" w:hAnsi="MingLiU" w:eastAsia="MingLiU" w:cs="MingLiU"/>
      <w:i/>
      <w:iCs/>
      <w:color w:val="000000"/>
      <w:spacing w:val="0"/>
      <w:w w:val="350"/>
      <w:position w:val="0"/>
      <w:sz w:val="8"/>
      <w:szCs w:val="8"/>
      <w:shd w:val="clear" w:color="auto" w:fill="FFFFFF"/>
    </w:rPr>
  </w:style>
  <w:style w:type="character" w:customStyle="1" w:styleId="109">
    <w:name w:val="正文文本 + Arial Unicode MS8"/>
    <w:basedOn w:val="50"/>
    <w:qFormat/>
    <w:uiPriority w:val="0"/>
    <w:rPr>
      <w:rFonts w:ascii="Arial Unicode MS" w:hAnsi="Arial Unicode MS" w:eastAsia="Arial Unicode MS" w:cs="Arial Unicode MS"/>
      <w:color w:val="000000"/>
      <w:spacing w:val="-28"/>
      <w:w w:val="100"/>
      <w:position w:val="0"/>
      <w:sz w:val="18"/>
      <w:szCs w:val="18"/>
      <w:shd w:val="clear" w:color="auto" w:fill="FFFFFF"/>
      <w:lang w:val="en-US"/>
    </w:rPr>
  </w:style>
  <w:style w:type="character" w:customStyle="1" w:styleId="110">
    <w:name w:val="页眉或页脚 (4) + Arial Unicode MS"/>
    <w:basedOn w:val="75"/>
    <w:qFormat/>
    <w:uiPriority w:val="0"/>
    <w:rPr>
      <w:rFonts w:ascii="Arial Unicode MS" w:hAnsi="Arial Unicode MS" w:eastAsia="Arial Unicode MS" w:cs="Arial Unicode MS"/>
      <w:color w:val="000000"/>
      <w:spacing w:val="0"/>
      <w:w w:val="100"/>
      <w:position w:val="0"/>
      <w:sz w:val="17"/>
      <w:szCs w:val="17"/>
      <w:shd w:val="clear" w:color="auto" w:fill="FFFFFF"/>
    </w:rPr>
  </w:style>
  <w:style w:type="character" w:customStyle="1" w:styleId="111">
    <w:name w:val="页眉或页脚 (4) + Arial Unicode MS2"/>
    <w:basedOn w:val="75"/>
    <w:qFormat/>
    <w:uiPriority w:val="0"/>
    <w:rPr>
      <w:rFonts w:ascii="Arial Unicode MS" w:hAnsi="Arial Unicode MS" w:eastAsia="Arial Unicode MS" w:cs="Arial Unicode MS"/>
      <w:color w:val="000000"/>
      <w:spacing w:val="0"/>
      <w:w w:val="100"/>
      <w:position w:val="0"/>
      <w:sz w:val="27"/>
      <w:szCs w:val="27"/>
      <w:shd w:val="clear" w:color="auto" w:fill="FFFFFF"/>
    </w:rPr>
  </w:style>
  <w:style w:type="character" w:customStyle="1" w:styleId="112">
    <w:name w:val="图片标题 (7)_"/>
    <w:basedOn w:val="27"/>
    <w:link w:val="113"/>
    <w:qFormat/>
    <w:uiPriority w:val="0"/>
    <w:rPr>
      <w:rFonts w:ascii="MingLiU" w:hAnsi="MingLiU" w:eastAsia="MingLiU" w:cs="MingLiU"/>
      <w:spacing w:val="5"/>
      <w:sz w:val="14"/>
      <w:szCs w:val="14"/>
      <w:shd w:val="clear" w:color="auto" w:fill="FFFFFF"/>
    </w:rPr>
  </w:style>
  <w:style w:type="paragraph" w:customStyle="1" w:styleId="113">
    <w:name w:val="图片标题 (7)"/>
    <w:basedOn w:val="1"/>
    <w:link w:val="112"/>
    <w:qFormat/>
    <w:uiPriority w:val="0"/>
    <w:pPr>
      <w:shd w:val="clear" w:color="auto" w:fill="FFFFFF"/>
      <w:spacing w:after="180" w:line="0" w:lineRule="atLeast"/>
    </w:pPr>
    <w:rPr>
      <w:rFonts w:ascii="MingLiU" w:hAnsi="MingLiU" w:eastAsia="MingLiU" w:cs="MingLiU"/>
      <w:color w:val="auto"/>
      <w:spacing w:val="5"/>
      <w:kern w:val="2"/>
      <w:sz w:val="14"/>
      <w:szCs w:val="14"/>
      <w:lang w:val="en-US"/>
    </w:rPr>
  </w:style>
  <w:style w:type="character" w:customStyle="1" w:styleId="114">
    <w:name w:val="图片标题 (7) + Arial Unicode MS"/>
    <w:basedOn w:val="112"/>
    <w:qFormat/>
    <w:uiPriority w:val="0"/>
    <w:rPr>
      <w:rFonts w:ascii="Arial Unicode MS" w:hAnsi="Arial Unicode MS" w:eastAsia="Arial Unicode MS" w:cs="Arial Unicode MS"/>
      <w:color w:val="000000"/>
      <w:spacing w:val="-3"/>
      <w:w w:val="100"/>
      <w:position w:val="0"/>
      <w:sz w:val="18"/>
      <w:szCs w:val="18"/>
      <w:shd w:val="clear" w:color="auto" w:fill="FFFFFF"/>
      <w:lang w:val="en-US"/>
    </w:rPr>
  </w:style>
  <w:style w:type="character" w:customStyle="1" w:styleId="115">
    <w:name w:val="图片标题 (7) + Times New Roman"/>
    <w:basedOn w:val="112"/>
    <w:qFormat/>
    <w:uiPriority w:val="0"/>
    <w:rPr>
      <w:rFonts w:ascii="Times New Roman" w:hAnsi="Times New Roman" w:eastAsia="Times New Roman" w:cs="Times New Roman"/>
      <w:b/>
      <w:bCs/>
      <w:color w:val="000000"/>
      <w:spacing w:val="-4"/>
      <w:w w:val="100"/>
      <w:position w:val="0"/>
      <w:sz w:val="17"/>
      <w:szCs w:val="17"/>
      <w:shd w:val="clear" w:color="auto" w:fill="FFFFFF"/>
      <w:lang w:val="en-US"/>
    </w:rPr>
  </w:style>
  <w:style w:type="character" w:customStyle="1" w:styleId="116">
    <w:name w:val="图片标题 (7) + 9.5 pt"/>
    <w:basedOn w:val="112"/>
    <w:qFormat/>
    <w:uiPriority w:val="0"/>
    <w:rPr>
      <w:rFonts w:ascii="MingLiU" w:hAnsi="MingLiU" w:eastAsia="MingLiU" w:cs="MingLiU"/>
      <w:color w:val="000000"/>
      <w:spacing w:val="8"/>
      <w:w w:val="100"/>
      <w:position w:val="0"/>
      <w:sz w:val="19"/>
      <w:szCs w:val="19"/>
      <w:shd w:val="clear" w:color="auto" w:fill="FFFFFF"/>
    </w:rPr>
  </w:style>
  <w:style w:type="character" w:customStyle="1" w:styleId="117">
    <w:name w:val="正文文本 + Arial Unicode MS7"/>
    <w:basedOn w:val="50"/>
    <w:qFormat/>
    <w:uiPriority w:val="0"/>
    <w:rPr>
      <w:rFonts w:ascii="Arial Unicode MS" w:hAnsi="Arial Unicode MS" w:eastAsia="Arial Unicode MS" w:cs="Arial Unicode MS"/>
      <w:color w:val="000000"/>
      <w:spacing w:val="-3"/>
      <w:w w:val="100"/>
      <w:position w:val="0"/>
      <w:sz w:val="18"/>
      <w:szCs w:val="18"/>
      <w:shd w:val="clear" w:color="auto" w:fill="FFFFFF"/>
      <w:lang w:val="en-US"/>
    </w:rPr>
  </w:style>
  <w:style w:type="character" w:customStyle="1" w:styleId="118">
    <w:name w:val="正文文本 + 间距 0 pt"/>
    <w:basedOn w:val="50"/>
    <w:qFormat/>
    <w:uiPriority w:val="0"/>
    <w:rPr>
      <w:rFonts w:ascii="MingLiU" w:hAnsi="MingLiU" w:eastAsia="MingLiU" w:cs="MingLiU"/>
      <w:color w:val="000000"/>
      <w:spacing w:val="9"/>
      <w:w w:val="100"/>
      <w:position w:val="0"/>
      <w:sz w:val="19"/>
      <w:szCs w:val="19"/>
      <w:shd w:val="clear" w:color="auto" w:fill="FFFFFF"/>
      <w:lang w:val="zh-CN"/>
    </w:rPr>
  </w:style>
  <w:style w:type="character" w:customStyle="1" w:styleId="119">
    <w:name w:val="表格标题 (2) + 间距 0 pt"/>
    <w:basedOn w:val="82"/>
    <w:qFormat/>
    <w:uiPriority w:val="0"/>
    <w:rPr>
      <w:rFonts w:ascii="MingLiU" w:hAnsi="MingLiU" w:eastAsia="MingLiU" w:cs="MingLiU"/>
      <w:color w:val="000000"/>
      <w:spacing w:val="3"/>
      <w:w w:val="100"/>
      <w:position w:val="0"/>
      <w:sz w:val="17"/>
      <w:szCs w:val="17"/>
      <w:shd w:val="clear" w:color="auto" w:fill="FFFFFF"/>
      <w:lang w:val="zh-CN"/>
    </w:rPr>
  </w:style>
  <w:style w:type="character" w:customStyle="1" w:styleId="120">
    <w:name w:val="表格标题 (2) + Times New Roman1"/>
    <w:basedOn w:val="82"/>
    <w:qFormat/>
    <w:uiPriority w:val="0"/>
    <w:rPr>
      <w:rFonts w:ascii="Times New Roman" w:hAnsi="Times New Roman" w:eastAsia="Times New Roman" w:cs="Times New Roman"/>
      <w:color w:val="000000"/>
      <w:spacing w:val="-6"/>
      <w:w w:val="100"/>
      <w:position w:val="0"/>
      <w:sz w:val="17"/>
      <w:szCs w:val="17"/>
      <w:shd w:val="clear" w:color="auto" w:fill="FFFFFF"/>
      <w:lang w:val="en-US"/>
    </w:rPr>
  </w:style>
  <w:style w:type="character" w:customStyle="1" w:styleId="121">
    <w:name w:val="正文文本 + 6.5 pt"/>
    <w:basedOn w:val="50"/>
    <w:qFormat/>
    <w:uiPriority w:val="0"/>
    <w:rPr>
      <w:rFonts w:ascii="MingLiU" w:hAnsi="MingLiU" w:eastAsia="MingLiU" w:cs="MingLiU"/>
      <w:color w:val="000000"/>
      <w:spacing w:val="10"/>
      <w:w w:val="100"/>
      <w:position w:val="0"/>
      <w:sz w:val="13"/>
      <w:szCs w:val="13"/>
      <w:shd w:val="clear" w:color="auto" w:fill="FFFFFF"/>
      <w:lang w:val="zh-CN"/>
    </w:rPr>
  </w:style>
  <w:style w:type="character" w:customStyle="1" w:styleId="122">
    <w:name w:val="正文文本 + Times New Roman1"/>
    <w:basedOn w:val="50"/>
    <w:qFormat/>
    <w:uiPriority w:val="0"/>
    <w:rPr>
      <w:rFonts w:ascii="Times New Roman" w:hAnsi="Times New Roman" w:eastAsia="Times New Roman" w:cs="Times New Roman"/>
      <w:color w:val="000000"/>
      <w:spacing w:val="9"/>
      <w:w w:val="100"/>
      <w:position w:val="0"/>
      <w:sz w:val="13"/>
      <w:szCs w:val="13"/>
      <w:shd w:val="clear" w:color="auto" w:fill="FFFFFF"/>
      <w:lang w:val="en-US"/>
    </w:rPr>
  </w:style>
  <w:style w:type="character" w:customStyle="1" w:styleId="123">
    <w:name w:val="正文文本 + Garamond"/>
    <w:basedOn w:val="50"/>
    <w:qFormat/>
    <w:uiPriority w:val="0"/>
    <w:rPr>
      <w:rFonts w:ascii="Garamond" w:hAnsi="Garamond" w:eastAsia="Garamond" w:cs="Garamond"/>
      <w:color w:val="000000"/>
      <w:spacing w:val="-2"/>
      <w:w w:val="100"/>
      <w:position w:val="0"/>
      <w:sz w:val="13"/>
      <w:szCs w:val="13"/>
      <w:shd w:val="clear" w:color="auto" w:fill="FFFFFF"/>
      <w:lang w:val="en-US"/>
    </w:rPr>
  </w:style>
  <w:style w:type="character" w:customStyle="1" w:styleId="124">
    <w:name w:val="正文文本 + Arial Unicode MS6"/>
    <w:basedOn w:val="50"/>
    <w:qFormat/>
    <w:uiPriority w:val="0"/>
    <w:rPr>
      <w:rFonts w:ascii="Arial Unicode MS" w:hAnsi="Arial Unicode MS" w:eastAsia="Arial Unicode MS" w:cs="Arial Unicode MS"/>
      <w:i/>
      <w:iCs/>
      <w:color w:val="000000"/>
      <w:spacing w:val="-27"/>
      <w:w w:val="100"/>
      <w:position w:val="0"/>
      <w:sz w:val="26"/>
      <w:szCs w:val="26"/>
      <w:shd w:val="clear" w:color="auto" w:fill="FFFFFF"/>
      <w:lang w:val="en-US"/>
    </w:rPr>
  </w:style>
  <w:style w:type="character" w:customStyle="1" w:styleId="125">
    <w:name w:val="正文文本 (33)_"/>
    <w:basedOn w:val="27"/>
    <w:link w:val="126"/>
    <w:qFormat/>
    <w:uiPriority w:val="0"/>
    <w:rPr>
      <w:rFonts w:ascii="Times New Roman" w:hAnsi="Times New Roman" w:eastAsia="Times New Roman" w:cs="Times New Roman"/>
      <w:sz w:val="20"/>
      <w:szCs w:val="20"/>
      <w:shd w:val="clear" w:color="auto" w:fill="FFFFFF"/>
    </w:rPr>
  </w:style>
  <w:style w:type="paragraph" w:customStyle="1" w:styleId="126">
    <w:name w:val="正文文本 (33)"/>
    <w:basedOn w:val="1"/>
    <w:link w:val="125"/>
    <w:qFormat/>
    <w:uiPriority w:val="0"/>
    <w:pPr>
      <w:shd w:val="clear" w:color="auto" w:fill="FFFFFF"/>
      <w:spacing w:line="0" w:lineRule="atLeast"/>
    </w:pPr>
    <w:rPr>
      <w:rFonts w:ascii="Times New Roman" w:hAnsi="Times New Roman" w:eastAsia="Times New Roman" w:cs="Times New Roman"/>
      <w:color w:val="auto"/>
      <w:kern w:val="2"/>
      <w:sz w:val="20"/>
      <w:szCs w:val="20"/>
      <w:lang w:val="en-US"/>
    </w:rPr>
  </w:style>
  <w:style w:type="character" w:customStyle="1" w:styleId="127">
    <w:name w:val="正文文本 (33) + MingLiU"/>
    <w:basedOn w:val="125"/>
    <w:qFormat/>
    <w:uiPriority w:val="0"/>
    <w:rPr>
      <w:rFonts w:ascii="MingLiU" w:hAnsi="MingLiU" w:eastAsia="MingLiU" w:cs="MingLiU"/>
      <w:color w:val="000000"/>
      <w:spacing w:val="0"/>
      <w:w w:val="100"/>
      <w:position w:val="0"/>
      <w:sz w:val="19"/>
      <w:szCs w:val="19"/>
      <w:shd w:val="clear" w:color="auto" w:fill="FFFFFF"/>
    </w:rPr>
  </w:style>
  <w:style w:type="character" w:customStyle="1" w:styleId="128">
    <w:name w:val="正文文本 + Arial Unicode MS5"/>
    <w:basedOn w:val="50"/>
    <w:qFormat/>
    <w:uiPriority w:val="0"/>
    <w:rPr>
      <w:rFonts w:ascii="Arial Unicode MS" w:hAnsi="Arial Unicode MS" w:eastAsia="Arial Unicode MS" w:cs="Arial Unicode MS"/>
      <w:color w:val="000000"/>
      <w:spacing w:val="0"/>
      <w:w w:val="100"/>
      <w:position w:val="0"/>
      <w:sz w:val="26"/>
      <w:szCs w:val="26"/>
      <w:shd w:val="clear" w:color="auto" w:fill="FFFFFF"/>
    </w:rPr>
  </w:style>
  <w:style w:type="character" w:customStyle="1" w:styleId="129">
    <w:name w:val="正文文本 (34)_"/>
    <w:basedOn w:val="27"/>
    <w:link w:val="130"/>
    <w:qFormat/>
    <w:uiPriority w:val="0"/>
    <w:rPr>
      <w:rFonts w:ascii="MingLiU" w:hAnsi="MingLiU" w:eastAsia="MingLiU" w:cs="MingLiU"/>
      <w:spacing w:val="7"/>
      <w:sz w:val="19"/>
      <w:szCs w:val="19"/>
      <w:shd w:val="clear" w:color="auto" w:fill="FFFFFF"/>
    </w:rPr>
  </w:style>
  <w:style w:type="paragraph" w:customStyle="1" w:styleId="130">
    <w:name w:val="正文文本 (34)"/>
    <w:basedOn w:val="1"/>
    <w:link w:val="129"/>
    <w:qFormat/>
    <w:uiPriority w:val="0"/>
    <w:pPr>
      <w:shd w:val="clear" w:color="auto" w:fill="FFFFFF"/>
      <w:spacing w:line="360" w:lineRule="exact"/>
      <w:ind w:hanging="800"/>
      <w:jc w:val="distribute"/>
    </w:pPr>
    <w:rPr>
      <w:rFonts w:ascii="MingLiU" w:hAnsi="MingLiU" w:eastAsia="MingLiU" w:cs="MingLiU"/>
      <w:color w:val="auto"/>
      <w:spacing w:val="7"/>
      <w:kern w:val="2"/>
      <w:sz w:val="19"/>
      <w:szCs w:val="19"/>
      <w:lang w:val="en-US"/>
    </w:rPr>
  </w:style>
  <w:style w:type="character" w:customStyle="1" w:styleId="131">
    <w:name w:val="正文文本 (34) + Times New Roman"/>
    <w:basedOn w:val="129"/>
    <w:qFormat/>
    <w:uiPriority w:val="0"/>
    <w:rPr>
      <w:rFonts w:ascii="Times New Roman" w:hAnsi="Times New Roman" w:eastAsia="Times New Roman" w:cs="Times New Roman"/>
      <w:color w:val="000000"/>
      <w:spacing w:val="4"/>
      <w:w w:val="100"/>
      <w:position w:val="0"/>
      <w:sz w:val="20"/>
      <w:szCs w:val="20"/>
      <w:shd w:val="clear" w:color="auto" w:fill="FFFFFF"/>
      <w:lang w:val="en-US"/>
    </w:rPr>
  </w:style>
  <w:style w:type="character" w:customStyle="1" w:styleId="132">
    <w:name w:val="正文文本 (34) + Arial Unicode MS"/>
    <w:basedOn w:val="129"/>
    <w:qFormat/>
    <w:uiPriority w:val="0"/>
    <w:rPr>
      <w:rFonts w:ascii="Arial Unicode MS" w:hAnsi="Arial Unicode MS" w:eastAsia="Arial Unicode MS" w:cs="Arial Unicode MS"/>
      <w:i/>
      <w:iCs/>
      <w:color w:val="000000"/>
      <w:spacing w:val="-18"/>
      <w:w w:val="100"/>
      <w:position w:val="0"/>
      <w:sz w:val="26"/>
      <w:szCs w:val="26"/>
      <w:shd w:val="clear" w:color="auto" w:fill="FFFFFF"/>
      <w:lang w:val="en-US"/>
    </w:rPr>
  </w:style>
  <w:style w:type="character" w:customStyle="1" w:styleId="133">
    <w:name w:val="正文文本 (34) + Arial Unicode MS1"/>
    <w:basedOn w:val="129"/>
    <w:qFormat/>
    <w:uiPriority w:val="0"/>
    <w:rPr>
      <w:rFonts w:ascii="Arial Unicode MS" w:hAnsi="Arial Unicode MS" w:eastAsia="Arial Unicode MS" w:cs="Arial Unicode MS"/>
      <w:color w:val="000000"/>
      <w:spacing w:val="-8"/>
      <w:w w:val="100"/>
      <w:position w:val="0"/>
      <w:sz w:val="24"/>
      <w:szCs w:val="24"/>
      <w:shd w:val="clear" w:color="auto" w:fill="FFFFFF"/>
      <w:lang w:val="en-US"/>
    </w:rPr>
  </w:style>
  <w:style w:type="character" w:customStyle="1" w:styleId="134">
    <w:name w:val="图片标题 (10)_"/>
    <w:basedOn w:val="27"/>
    <w:link w:val="135"/>
    <w:qFormat/>
    <w:uiPriority w:val="0"/>
    <w:rPr>
      <w:rFonts w:ascii="MingLiU" w:hAnsi="MingLiU" w:eastAsia="MingLiU" w:cs="MingLiU"/>
      <w:spacing w:val="8"/>
      <w:sz w:val="17"/>
      <w:szCs w:val="17"/>
      <w:shd w:val="clear" w:color="auto" w:fill="FFFFFF"/>
    </w:rPr>
  </w:style>
  <w:style w:type="paragraph" w:customStyle="1" w:styleId="135">
    <w:name w:val="图片标题 (10)1"/>
    <w:basedOn w:val="1"/>
    <w:link w:val="134"/>
    <w:qFormat/>
    <w:uiPriority w:val="0"/>
    <w:pPr>
      <w:shd w:val="clear" w:color="auto" w:fill="FFFFFF"/>
      <w:spacing w:after="120" w:line="0" w:lineRule="atLeast"/>
      <w:jc w:val="center"/>
    </w:pPr>
    <w:rPr>
      <w:rFonts w:ascii="MingLiU" w:hAnsi="MingLiU" w:eastAsia="MingLiU" w:cs="MingLiU"/>
      <w:color w:val="auto"/>
      <w:spacing w:val="8"/>
      <w:kern w:val="2"/>
      <w:sz w:val="17"/>
      <w:szCs w:val="17"/>
      <w:lang w:val="en-US"/>
    </w:rPr>
  </w:style>
  <w:style w:type="character" w:customStyle="1" w:styleId="136">
    <w:name w:val="图片标题 (10)"/>
    <w:basedOn w:val="134"/>
    <w:qFormat/>
    <w:uiPriority w:val="0"/>
    <w:rPr>
      <w:rFonts w:ascii="MingLiU" w:hAnsi="MingLiU" w:eastAsia="MingLiU" w:cs="MingLiU"/>
      <w:color w:val="000000"/>
      <w:spacing w:val="8"/>
      <w:w w:val="100"/>
      <w:position w:val="0"/>
      <w:sz w:val="17"/>
      <w:szCs w:val="17"/>
      <w:shd w:val="clear" w:color="auto" w:fill="FFFFFF"/>
      <w:lang w:val="zh-CN"/>
    </w:rPr>
  </w:style>
  <w:style w:type="character" w:customStyle="1" w:styleId="137">
    <w:name w:val="图片标题 (10) + Times New Roman"/>
    <w:basedOn w:val="134"/>
    <w:qFormat/>
    <w:uiPriority w:val="0"/>
    <w:rPr>
      <w:rFonts w:ascii="Times New Roman" w:hAnsi="Times New Roman" w:eastAsia="Times New Roman" w:cs="Times New Roman"/>
      <w:color w:val="000000"/>
      <w:spacing w:val="9"/>
      <w:w w:val="100"/>
      <w:position w:val="0"/>
      <w:sz w:val="13"/>
      <w:szCs w:val="13"/>
      <w:shd w:val="clear" w:color="auto" w:fill="FFFFFF"/>
      <w:lang w:val="en-US"/>
    </w:rPr>
  </w:style>
  <w:style w:type="character" w:customStyle="1" w:styleId="138">
    <w:name w:val="图片标题 + Arial Unicode MS5"/>
    <w:basedOn w:val="104"/>
    <w:qFormat/>
    <w:uiPriority w:val="0"/>
    <w:rPr>
      <w:rFonts w:ascii="Arial Unicode MS" w:hAnsi="Arial Unicode MS" w:eastAsia="Arial Unicode MS" w:cs="Arial Unicode MS"/>
      <w:color w:val="000000"/>
      <w:spacing w:val="-3"/>
      <w:w w:val="100"/>
      <w:position w:val="0"/>
      <w:sz w:val="18"/>
      <w:szCs w:val="18"/>
      <w:shd w:val="clear" w:color="auto" w:fill="FFFFFF"/>
      <w:lang w:val="en-US"/>
    </w:rPr>
  </w:style>
  <w:style w:type="character" w:customStyle="1" w:styleId="139">
    <w:name w:val="图片标题 + 间距 0 pt"/>
    <w:basedOn w:val="104"/>
    <w:qFormat/>
    <w:uiPriority w:val="0"/>
    <w:rPr>
      <w:rFonts w:ascii="MingLiU" w:hAnsi="MingLiU" w:eastAsia="MingLiU" w:cs="MingLiU"/>
      <w:color w:val="000000"/>
      <w:spacing w:val="2"/>
      <w:w w:val="100"/>
      <w:position w:val="0"/>
      <w:sz w:val="19"/>
      <w:szCs w:val="19"/>
      <w:shd w:val="clear" w:color="auto" w:fill="FFFFFF"/>
      <w:lang w:val="zh-CN"/>
    </w:rPr>
  </w:style>
  <w:style w:type="character" w:customStyle="1" w:styleId="140">
    <w:name w:val="正文文本 + 间距 0 pt2"/>
    <w:basedOn w:val="50"/>
    <w:qFormat/>
    <w:uiPriority w:val="0"/>
    <w:rPr>
      <w:rFonts w:ascii="MingLiU" w:hAnsi="MingLiU" w:eastAsia="MingLiU" w:cs="MingLiU"/>
      <w:color w:val="000000"/>
      <w:spacing w:val="2"/>
      <w:w w:val="100"/>
      <w:position w:val="0"/>
      <w:sz w:val="19"/>
      <w:szCs w:val="19"/>
      <w:shd w:val="clear" w:color="auto" w:fill="FFFFFF"/>
      <w:lang w:val="zh-CN"/>
    </w:rPr>
  </w:style>
  <w:style w:type="character" w:customStyle="1" w:styleId="141">
    <w:name w:val="正文文本 + 间距 0 pt1"/>
    <w:basedOn w:val="50"/>
    <w:qFormat/>
    <w:uiPriority w:val="0"/>
    <w:rPr>
      <w:rFonts w:ascii="MingLiU" w:hAnsi="MingLiU" w:eastAsia="MingLiU" w:cs="MingLiU"/>
      <w:color w:val="000000"/>
      <w:spacing w:val="0"/>
      <w:w w:val="100"/>
      <w:position w:val="0"/>
      <w:sz w:val="19"/>
      <w:szCs w:val="19"/>
      <w:shd w:val="clear" w:color="auto" w:fill="FFFFFF"/>
    </w:rPr>
  </w:style>
  <w:style w:type="character" w:customStyle="1" w:styleId="142">
    <w:name w:val="图片标题 (7) + 8.5 pt"/>
    <w:basedOn w:val="112"/>
    <w:qFormat/>
    <w:uiPriority w:val="0"/>
    <w:rPr>
      <w:rFonts w:ascii="MingLiU" w:hAnsi="MingLiU" w:eastAsia="MingLiU" w:cs="MingLiU"/>
      <w:color w:val="000000"/>
      <w:spacing w:val="-25"/>
      <w:w w:val="100"/>
      <w:position w:val="0"/>
      <w:sz w:val="17"/>
      <w:szCs w:val="17"/>
      <w:shd w:val="clear" w:color="auto" w:fill="FFFFFF"/>
      <w:lang w:val="en-US"/>
    </w:rPr>
  </w:style>
  <w:style w:type="character" w:customStyle="1" w:styleId="143">
    <w:name w:val="图片标题 (7) + 6.5 pt"/>
    <w:basedOn w:val="112"/>
    <w:qFormat/>
    <w:uiPriority w:val="0"/>
    <w:rPr>
      <w:rFonts w:ascii="MingLiU" w:hAnsi="MingLiU" w:eastAsia="MingLiU" w:cs="MingLiU"/>
      <w:color w:val="000000"/>
      <w:spacing w:val="0"/>
      <w:w w:val="100"/>
      <w:position w:val="0"/>
      <w:sz w:val="13"/>
      <w:szCs w:val="13"/>
      <w:shd w:val="clear" w:color="auto" w:fill="FFFFFF"/>
    </w:rPr>
  </w:style>
  <w:style w:type="character" w:customStyle="1" w:styleId="144">
    <w:name w:val="图片标题 + Arial Unicode MS4"/>
    <w:basedOn w:val="104"/>
    <w:qFormat/>
    <w:uiPriority w:val="0"/>
    <w:rPr>
      <w:rFonts w:ascii="Arial Unicode MS" w:hAnsi="Arial Unicode MS" w:eastAsia="Arial Unicode MS" w:cs="Arial Unicode MS"/>
      <w:color w:val="000000"/>
      <w:spacing w:val="4"/>
      <w:w w:val="100"/>
      <w:position w:val="0"/>
      <w:sz w:val="14"/>
      <w:szCs w:val="14"/>
      <w:shd w:val="clear" w:color="auto" w:fill="FFFFFF"/>
      <w:lang w:val="en-US"/>
    </w:rPr>
  </w:style>
  <w:style w:type="character" w:customStyle="1" w:styleId="145">
    <w:name w:val="图片标题 + Arial Unicode MS3"/>
    <w:basedOn w:val="104"/>
    <w:qFormat/>
    <w:uiPriority w:val="0"/>
    <w:rPr>
      <w:rFonts w:ascii="Arial Unicode MS" w:hAnsi="Arial Unicode MS" w:eastAsia="Arial Unicode MS" w:cs="Arial Unicode MS"/>
      <w:color w:val="000000"/>
      <w:spacing w:val="0"/>
      <w:w w:val="100"/>
      <w:position w:val="0"/>
      <w:sz w:val="9"/>
      <w:szCs w:val="9"/>
      <w:shd w:val="clear" w:color="auto" w:fill="FFFFFF"/>
    </w:rPr>
  </w:style>
  <w:style w:type="character" w:customStyle="1" w:styleId="146">
    <w:name w:val="图片标题 (8)_"/>
    <w:basedOn w:val="27"/>
    <w:link w:val="147"/>
    <w:qFormat/>
    <w:uiPriority w:val="0"/>
    <w:rPr>
      <w:rFonts w:ascii="MingLiU" w:hAnsi="MingLiU" w:eastAsia="MingLiU" w:cs="MingLiU"/>
      <w:spacing w:val="2"/>
      <w:sz w:val="13"/>
      <w:szCs w:val="13"/>
      <w:shd w:val="clear" w:color="auto" w:fill="FFFFFF"/>
    </w:rPr>
  </w:style>
  <w:style w:type="paragraph" w:customStyle="1" w:styleId="147">
    <w:name w:val="图片标题 (8)"/>
    <w:basedOn w:val="1"/>
    <w:link w:val="146"/>
    <w:qFormat/>
    <w:uiPriority w:val="0"/>
    <w:pPr>
      <w:shd w:val="clear" w:color="auto" w:fill="FFFFFF"/>
      <w:spacing w:after="120" w:line="0" w:lineRule="atLeast"/>
      <w:jc w:val="center"/>
    </w:pPr>
    <w:rPr>
      <w:rFonts w:ascii="MingLiU" w:hAnsi="MingLiU" w:eastAsia="MingLiU" w:cs="MingLiU"/>
      <w:color w:val="auto"/>
      <w:spacing w:val="2"/>
      <w:kern w:val="2"/>
      <w:sz w:val="13"/>
      <w:szCs w:val="13"/>
      <w:lang w:val="en-US"/>
    </w:rPr>
  </w:style>
  <w:style w:type="character" w:customStyle="1" w:styleId="148">
    <w:name w:val="图片标题 (8) + 间距 0 pt"/>
    <w:basedOn w:val="146"/>
    <w:qFormat/>
    <w:uiPriority w:val="0"/>
    <w:rPr>
      <w:rFonts w:ascii="MingLiU" w:hAnsi="MingLiU" w:eastAsia="MingLiU" w:cs="MingLiU"/>
      <w:color w:val="000000"/>
      <w:spacing w:val="0"/>
      <w:w w:val="100"/>
      <w:position w:val="0"/>
      <w:sz w:val="13"/>
      <w:szCs w:val="13"/>
      <w:shd w:val="clear" w:color="auto" w:fill="FFFFFF"/>
      <w:lang w:val="en-US"/>
    </w:rPr>
  </w:style>
  <w:style w:type="character" w:customStyle="1" w:styleId="149">
    <w:name w:val="正文文本 + 8.5 pt1"/>
    <w:basedOn w:val="50"/>
    <w:qFormat/>
    <w:uiPriority w:val="0"/>
    <w:rPr>
      <w:rFonts w:ascii="MingLiU" w:hAnsi="MingLiU" w:eastAsia="MingLiU" w:cs="MingLiU"/>
      <w:color w:val="000000"/>
      <w:spacing w:val="-25"/>
      <w:w w:val="100"/>
      <w:position w:val="0"/>
      <w:sz w:val="17"/>
      <w:szCs w:val="17"/>
      <w:shd w:val="clear" w:color="auto" w:fill="FFFFFF"/>
      <w:lang w:val="en-US"/>
    </w:rPr>
  </w:style>
  <w:style w:type="character" w:customStyle="1" w:styleId="150">
    <w:name w:val="正文文本 + Arial Unicode MS4"/>
    <w:basedOn w:val="50"/>
    <w:qFormat/>
    <w:uiPriority w:val="0"/>
    <w:rPr>
      <w:rFonts w:ascii="Arial Unicode MS" w:hAnsi="Arial Unicode MS" w:eastAsia="Arial Unicode MS" w:cs="Arial Unicode MS"/>
      <w:i/>
      <w:iCs/>
      <w:color w:val="000000"/>
      <w:spacing w:val="-2"/>
      <w:w w:val="100"/>
      <w:position w:val="0"/>
      <w:sz w:val="17"/>
      <w:szCs w:val="17"/>
      <w:shd w:val="clear" w:color="auto" w:fill="FFFFFF"/>
      <w:lang w:val="en-US"/>
    </w:rPr>
  </w:style>
  <w:style w:type="character" w:customStyle="1" w:styleId="151">
    <w:name w:val="图片标题 (9)_"/>
    <w:basedOn w:val="27"/>
    <w:link w:val="152"/>
    <w:qFormat/>
    <w:uiPriority w:val="0"/>
    <w:rPr>
      <w:rFonts w:ascii="MingLiU" w:hAnsi="MingLiU" w:eastAsia="MingLiU" w:cs="MingLiU"/>
      <w:spacing w:val="4"/>
      <w:sz w:val="12"/>
      <w:szCs w:val="12"/>
      <w:shd w:val="clear" w:color="auto" w:fill="FFFFFF"/>
    </w:rPr>
  </w:style>
  <w:style w:type="paragraph" w:customStyle="1" w:styleId="152">
    <w:name w:val="图片标题 (9)"/>
    <w:basedOn w:val="1"/>
    <w:link w:val="151"/>
    <w:qFormat/>
    <w:uiPriority w:val="0"/>
    <w:pPr>
      <w:shd w:val="clear" w:color="auto" w:fill="FFFFFF"/>
      <w:spacing w:before="120" w:line="0" w:lineRule="atLeast"/>
      <w:jc w:val="center"/>
    </w:pPr>
    <w:rPr>
      <w:rFonts w:ascii="MingLiU" w:hAnsi="MingLiU" w:eastAsia="MingLiU" w:cs="MingLiU"/>
      <w:color w:val="auto"/>
      <w:spacing w:val="4"/>
      <w:kern w:val="2"/>
      <w:sz w:val="12"/>
      <w:szCs w:val="12"/>
      <w:lang w:val="en-US"/>
    </w:rPr>
  </w:style>
  <w:style w:type="character" w:customStyle="1" w:styleId="153">
    <w:name w:val="图片标题 (9) + 间距 0 pt"/>
    <w:basedOn w:val="151"/>
    <w:qFormat/>
    <w:uiPriority w:val="0"/>
    <w:rPr>
      <w:rFonts w:ascii="MingLiU" w:hAnsi="MingLiU" w:eastAsia="MingLiU" w:cs="MingLiU"/>
      <w:color w:val="000000"/>
      <w:spacing w:val="0"/>
      <w:w w:val="100"/>
      <w:position w:val="0"/>
      <w:sz w:val="12"/>
      <w:szCs w:val="12"/>
      <w:shd w:val="clear" w:color="auto" w:fill="FFFFFF"/>
    </w:rPr>
  </w:style>
  <w:style w:type="character" w:customStyle="1" w:styleId="154">
    <w:name w:val="图片标题 (9) + 间距 0 pt1"/>
    <w:basedOn w:val="151"/>
    <w:qFormat/>
    <w:uiPriority w:val="0"/>
    <w:rPr>
      <w:rFonts w:ascii="MingLiU" w:hAnsi="MingLiU" w:eastAsia="MingLiU" w:cs="MingLiU"/>
      <w:color w:val="000000"/>
      <w:spacing w:val="0"/>
      <w:w w:val="100"/>
      <w:position w:val="0"/>
      <w:sz w:val="12"/>
      <w:szCs w:val="12"/>
      <w:shd w:val="clear" w:color="auto" w:fill="FFFFFF"/>
    </w:rPr>
  </w:style>
  <w:style w:type="character" w:customStyle="1" w:styleId="155">
    <w:name w:val="图片标题 (10) + Arial Unicode MS"/>
    <w:basedOn w:val="134"/>
    <w:qFormat/>
    <w:uiPriority w:val="0"/>
    <w:rPr>
      <w:rFonts w:ascii="Arial Unicode MS" w:hAnsi="Arial Unicode MS" w:eastAsia="Arial Unicode MS" w:cs="Arial Unicode MS"/>
      <w:color w:val="000000"/>
      <w:spacing w:val="4"/>
      <w:w w:val="100"/>
      <w:position w:val="0"/>
      <w:sz w:val="14"/>
      <w:szCs w:val="14"/>
      <w:shd w:val="clear" w:color="auto" w:fill="FFFFFF"/>
      <w:lang w:val="en-US"/>
    </w:rPr>
  </w:style>
  <w:style w:type="character" w:customStyle="1" w:styleId="156">
    <w:name w:val="图片标题 (10) + Arial Unicode MS1"/>
    <w:basedOn w:val="134"/>
    <w:qFormat/>
    <w:uiPriority w:val="0"/>
    <w:rPr>
      <w:rFonts w:ascii="Arial Unicode MS" w:hAnsi="Arial Unicode MS" w:eastAsia="Arial Unicode MS" w:cs="Arial Unicode MS"/>
      <w:color w:val="000000"/>
      <w:spacing w:val="0"/>
      <w:w w:val="100"/>
      <w:position w:val="0"/>
      <w:sz w:val="9"/>
      <w:szCs w:val="9"/>
      <w:shd w:val="clear" w:color="auto" w:fill="FFFFFF"/>
    </w:rPr>
  </w:style>
  <w:style w:type="character" w:customStyle="1" w:styleId="157">
    <w:name w:val="图片标题 (11)_"/>
    <w:basedOn w:val="27"/>
    <w:link w:val="158"/>
    <w:qFormat/>
    <w:uiPriority w:val="0"/>
    <w:rPr>
      <w:rFonts w:ascii="MingLiU" w:hAnsi="MingLiU" w:eastAsia="MingLiU" w:cs="MingLiU"/>
      <w:spacing w:val="6"/>
      <w:sz w:val="12"/>
      <w:szCs w:val="12"/>
      <w:shd w:val="clear" w:color="auto" w:fill="FFFFFF"/>
    </w:rPr>
  </w:style>
  <w:style w:type="paragraph" w:customStyle="1" w:styleId="158">
    <w:name w:val="图片标题 (11)"/>
    <w:basedOn w:val="1"/>
    <w:link w:val="157"/>
    <w:qFormat/>
    <w:uiPriority w:val="0"/>
    <w:pPr>
      <w:shd w:val="clear" w:color="auto" w:fill="FFFFFF"/>
      <w:spacing w:before="120" w:after="120" w:line="0" w:lineRule="atLeast"/>
      <w:jc w:val="distribute"/>
    </w:pPr>
    <w:rPr>
      <w:rFonts w:ascii="MingLiU" w:hAnsi="MingLiU" w:eastAsia="MingLiU" w:cs="MingLiU"/>
      <w:color w:val="auto"/>
      <w:spacing w:val="6"/>
      <w:kern w:val="2"/>
      <w:sz w:val="12"/>
      <w:szCs w:val="12"/>
      <w:lang w:val="en-US"/>
    </w:rPr>
  </w:style>
  <w:style w:type="character" w:customStyle="1" w:styleId="159">
    <w:name w:val="图片标题 (11) + 间距 0 pt"/>
    <w:basedOn w:val="157"/>
    <w:qFormat/>
    <w:uiPriority w:val="0"/>
    <w:rPr>
      <w:rFonts w:ascii="MingLiU" w:hAnsi="MingLiU" w:eastAsia="MingLiU" w:cs="MingLiU"/>
      <w:color w:val="000000"/>
      <w:spacing w:val="0"/>
      <w:w w:val="100"/>
      <w:position w:val="0"/>
      <w:sz w:val="12"/>
      <w:szCs w:val="12"/>
      <w:shd w:val="clear" w:color="auto" w:fill="FFFFFF"/>
      <w:lang w:val="en-US"/>
    </w:rPr>
  </w:style>
  <w:style w:type="character" w:customStyle="1" w:styleId="160">
    <w:name w:val="正文文本 + 4 pt"/>
    <w:basedOn w:val="50"/>
    <w:qFormat/>
    <w:uiPriority w:val="0"/>
    <w:rPr>
      <w:rFonts w:ascii="MingLiU" w:hAnsi="MingLiU" w:eastAsia="MingLiU" w:cs="MingLiU"/>
      <w:i/>
      <w:iCs/>
      <w:color w:val="000000"/>
      <w:spacing w:val="0"/>
      <w:w w:val="350"/>
      <w:position w:val="0"/>
      <w:sz w:val="8"/>
      <w:szCs w:val="8"/>
      <w:shd w:val="clear" w:color="auto" w:fill="FFFFFF"/>
    </w:rPr>
  </w:style>
  <w:style w:type="character" w:customStyle="1" w:styleId="161">
    <w:name w:val="图片标题 (12)_"/>
    <w:basedOn w:val="27"/>
    <w:link w:val="162"/>
    <w:qFormat/>
    <w:uiPriority w:val="0"/>
    <w:rPr>
      <w:rFonts w:ascii="MingLiU" w:hAnsi="MingLiU" w:eastAsia="MingLiU" w:cs="MingLiU"/>
      <w:spacing w:val="2"/>
      <w:sz w:val="13"/>
      <w:szCs w:val="13"/>
      <w:shd w:val="clear" w:color="auto" w:fill="FFFFFF"/>
    </w:rPr>
  </w:style>
  <w:style w:type="paragraph" w:customStyle="1" w:styleId="162">
    <w:name w:val="图片标题 (12)"/>
    <w:basedOn w:val="1"/>
    <w:link w:val="161"/>
    <w:qFormat/>
    <w:uiPriority w:val="0"/>
    <w:pPr>
      <w:shd w:val="clear" w:color="auto" w:fill="FFFFFF"/>
      <w:spacing w:before="120" w:after="120" w:line="0" w:lineRule="atLeast"/>
      <w:jc w:val="center"/>
    </w:pPr>
    <w:rPr>
      <w:rFonts w:ascii="MingLiU" w:hAnsi="MingLiU" w:eastAsia="MingLiU" w:cs="MingLiU"/>
      <w:color w:val="auto"/>
      <w:spacing w:val="2"/>
      <w:kern w:val="2"/>
      <w:sz w:val="13"/>
      <w:szCs w:val="13"/>
      <w:lang w:val="en-US"/>
    </w:rPr>
  </w:style>
  <w:style w:type="character" w:customStyle="1" w:styleId="163">
    <w:name w:val="图片标题 (12) + 间距 0 pt"/>
    <w:basedOn w:val="161"/>
    <w:qFormat/>
    <w:uiPriority w:val="0"/>
    <w:rPr>
      <w:rFonts w:ascii="MingLiU" w:hAnsi="MingLiU" w:eastAsia="MingLiU" w:cs="MingLiU"/>
      <w:color w:val="000000"/>
      <w:spacing w:val="0"/>
      <w:w w:val="100"/>
      <w:position w:val="0"/>
      <w:sz w:val="13"/>
      <w:szCs w:val="13"/>
      <w:shd w:val="clear" w:color="auto" w:fill="FFFFFF"/>
    </w:rPr>
  </w:style>
  <w:style w:type="character" w:customStyle="1" w:styleId="164">
    <w:name w:val="图片标题 (12) + 间距 0 pt1"/>
    <w:basedOn w:val="161"/>
    <w:qFormat/>
    <w:uiPriority w:val="0"/>
    <w:rPr>
      <w:rFonts w:ascii="MingLiU" w:hAnsi="MingLiU" w:eastAsia="MingLiU" w:cs="MingLiU"/>
      <w:color w:val="000000"/>
      <w:spacing w:val="0"/>
      <w:w w:val="100"/>
      <w:position w:val="0"/>
      <w:sz w:val="13"/>
      <w:szCs w:val="13"/>
      <w:shd w:val="clear" w:color="auto" w:fill="FFFFFF"/>
    </w:rPr>
  </w:style>
  <w:style w:type="character" w:customStyle="1" w:styleId="165">
    <w:name w:val="图片标题 + 间距 1 pt"/>
    <w:basedOn w:val="104"/>
    <w:qFormat/>
    <w:uiPriority w:val="0"/>
    <w:rPr>
      <w:rFonts w:ascii="MingLiU" w:hAnsi="MingLiU" w:eastAsia="MingLiU" w:cs="MingLiU"/>
      <w:color w:val="000000"/>
      <w:spacing w:val="38"/>
      <w:w w:val="100"/>
      <w:position w:val="0"/>
      <w:sz w:val="19"/>
      <w:szCs w:val="19"/>
      <w:shd w:val="clear" w:color="auto" w:fill="FFFFFF"/>
      <w:lang w:val="zh-CN"/>
    </w:rPr>
  </w:style>
  <w:style w:type="character" w:customStyle="1" w:styleId="166">
    <w:name w:val="图片标题 + Arial Unicode MS2"/>
    <w:basedOn w:val="104"/>
    <w:qFormat/>
    <w:uiPriority w:val="0"/>
    <w:rPr>
      <w:rFonts w:ascii="Arial Unicode MS" w:hAnsi="Arial Unicode MS" w:eastAsia="Arial Unicode MS" w:cs="Arial Unicode MS"/>
      <w:i/>
      <w:iCs/>
      <w:color w:val="000000"/>
      <w:spacing w:val="-2"/>
      <w:w w:val="100"/>
      <w:position w:val="0"/>
      <w:sz w:val="17"/>
      <w:szCs w:val="17"/>
      <w:shd w:val="clear" w:color="auto" w:fill="FFFFFF"/>
      <w:lang w:val="en-US"/>
    </w:rPr>
  </w:style>
  <w:style w:type="character" w:customStyle="1" w:styleId="167">
    <w:name w:val="图片标题 + Arial Unicode MS1"/>
    <w:basedOn w:val="104"/>
    <w:qFormat/>
    <w:uiPriority w:val="0"/>
    <w:rPr>
      <w:rFonts w:ascii="Arial Unicode MS" w:hAnsi="Arial Unicode MS" w:eastAsia="Arial Unicode MS" w:cs="Arial Unicode MS"/>
      <w:color w:val="000000"/>
      <w:spacing w:val="-3"/>
      <w:w w:val="100"/>
      <w:position w:val="0"/>
      <w:sz w:val="18"/>
      <w:szCs w:val="18"/>
      <w:shd w:val="clear" w:color="auto" w:fill="FFFFFF"/>
      <w:lang w:val="en-US"/>
    </w:rPr>
  </w:style>
  <w:style w:type="character" w:customStyle="1" w:styleId="168">
    <w:name w:val="标题 #4"/>
    <w:basedOn w:val="67"/>
    <w:qFormat/>
    <w:uiPriority w:val="0"/>
    <w:rPr>
      <w:rFonts w:ascii="MingLiU" w:hAnsi="MingLiU" w:eastAsia="MingLiU" w:cs="MingLiU"/>
      <w:color w:val="000000"/>
      <w:spacing w:val="0"/>
      <w:w w:val="100"/>
      <w:position w:val="0"/>
      <w:sz w:val="26"/>
      <w:szCs w:val="26"/>
      <w:shd w:val="clear" w:color="auto" w:fill="FFFFFF"/>
      <w:lang w:val="zh-CN"/>
    </w:rPr>
  </w:style>
  <w:style w:type="character" w:customStyle="1" w:styleId="169">
    <w:name w:val="正文文本 (6) + MingLiU1"/>
    <w:basedOn w:val="54"/>
    <w:qFormat/>
    <w:uiPriority w:val="0"/>
    <w:rPr>
      <w:rFonts w:ascii="MingLiU" w:hAnsi="MingLiU" w:eastAsia="MingLiU" w:cs="MingLiU"/>
      <w:color w:val="000000"/>
      <w:spacing w:val="9"/>
      <w:w w:val="100"/>
      <w:position w:val="0"/>
      <w:sz w:val="19"/>
      <w:szCs w:val="19"/>
      <w:shd w:val="clear" w:color="auto" w:fill="FFFFFF"/>
      <w:lang w:val="zh-CN"/>
    </w:rPr>
  </w:style>
  <w:style w:type="character" w:customStyle="1" w:styleId="170">
    <w:name w:val="正文文本 (6) + 间距 0 pt1"/>
    <w:basedOn w:val="54"/>
    <w:qFormat/>
    <w:uiPriority w:val="0"/>
    <w:rPr>
      <w:rFonts w:ascii="Arial Unicode MS" w:hAnsi="Arial Unicode MS" w:eastAsia="Arial Unicode MS" w:cs="Arial Unicode MS"/>
      <w:color w:val="000000"/>
      <w:spacing w:val="-3"/>
      <w:w w:val="100"/>
      <w:position w:val="0"/>
      <w:sz w:val="18"/>
      <w:szCs w:val="18"/>
      <w:shd w:val="clear" w:color="auto" w:fill="FFFFFF"/>
      <w:lang w:val="zh-CN"/>
    </w:rPr>
  </w:style>
  <w:style w:type="character" w:customStyle="1" w:styleId="171">
    <w:name w:val="页眉或页脚 (4) + 间距 0 pt"/>
    <w:basedOn w:val="75"/>
    <w:qFormat/>
    <w:uiPriority w:val="0"/>
    <w:rPr>
      <w:rFonts w:ascii="MingLiU" w:hAnsi="MingLiU" w:eastAsia="MingLiU" w:cs="MingLiU"/>
      <w:color w:val="000000"/>
      <w:spacing w:val="6"/>
      <w:w w:val="100"/>
      <w:position w:val="0"/>
      <w:sz w:val="19"/>
      <w:szCs w:val="19"/>
      <w:shd w:val="clear" w:color="auto" w:fill="FFFFFF"/>
      <w:lang w:val="zh-CN"/>
    </w:rPr>
  </w:style>
  <w:style w:type="character" w:customStyle="1" w:styleId="172">
    <w:name w:val="正文文本 (7) + 间距 0 pt"/>
    <w:basedOn w:val="86"/>
    <w:qFormat/>
    <w:uiPriority w:val="0"/>
    <w:rPr>
      <w:rFonts w:ascii="MingLiU" w:hAnsi="MingLiU" w:eastAsia="MingLiU" w:cs="MingLiU"/>
      <w:color w:val="000000"/>
      <w:spacing w:val="3"/>
      <w:w w:val="100"/>
      <w:position w:val="0"/>
      <w:sz w:val="17"/>
      <w:szCs w:val="17"/>
      <w:shd w:val="clear" w:color="auto" w:fill="FFFFFF"/>
      <w:lang w:val="zh-CN"/>
    </w:rPr>
  </w:style>
  <w:style w:type="character" w:customStyle="1" w:styleId="173">
    <w:name w:val="正文文本 (7) + Times New Roman1"/>
    <w:basedOn w:val="86"/>
    <w:qFormat/>
    <w:uiPriority w:val="0"/>
    <w:rPr>
      <w:rFonts w:ascii="Times New Roman" w:hAnsi="Times New Roman" w:eastAsia="Times New Roman" w:cs="Times New Roman"/>
      <w:color w:val="000000"/>
      <w:spacing w:val="-6"/>
      <w:w w:val="100"/>
      <w:position w:val="0"/>
      <w:sz w:val="17"/>
      <w:szCs w:val="17"/>
      <w:shd w:val="clear" w:color="auto" w:fill="FFFFFF"/>
      <w:lang w:val="en-US"/>
    </w:rPr>
  </w:style>
  <w:style w:type="character" w:customStyle="1" w:styleId="174">
    <w:name w:val="表格标题 + Arial Unicode MS2"/>
    <w:basedOn w:val="94"/>
    <w:qFormat/>
    <w:uiPriority w:val="0"/>
    <w:rPr>
      <w:rFonts w:ascii="Arial Unicode MS" w:hAnsi="Arial Unicode MS" w:eastAsia="Arial Unicode MS" w:cs="Arial Unicode MS"/>
      <w:color w:val="000000"/>
      <w:spacing w:val="-3"/>
      <w:w w:val="100"/>
      <w:position w:val="0"/>
      <w:sz w:val="18"/>
      <w:szCs w:val="18"/>
      <w:shd w:val="clear" w:color="auto" w:fill="FFFFFF"/>
      <w:lang w:val="en-US"/>
    </w:rPr>
  </w:style>
  <w:style w:type="character" w:customStyle="1" w:styleId="175">
    <w:name w:val="表格标题 + 间距 0 pt"/>
    <w:basedOn w:val="94"/>
    <w:qFormat/>
    <w:uiPriority w:val="0"/>
    <w:rPr>
      <w:rFonts w:ascii="MingLiU" w:hAnsi="MingLiU" w:eastAsia="MingLiU" w:cs="MingLiU"/>
      <w:color w:val="000000"/>
      <w:spacing w:val="9"/>
      <w:w w:val="100"/>
      <w:position w:val="0"/>
      <w:sz w:val="19"/>
      <w:szCs w:val="19"/>
      <w:shd w:val="clear" w:color="auto" w:fill="FFFFFF"/>
      <w:lang w:val="zh-CN"/>
    </w:rPr>
  </w:style>
  <w:style w:type="character" w:customStyle="1" w:styleId="176">
    <w:name w:val="页眉或页脚 (2) + 间距 0 pt1"/>
    <w:basedOn w:val="96"/>
    <w:qFormat/>
    <w:uiPriority w:val="0"/>
    <w:rPr>
      <w:rFonts w:ascii="MingLiU" w:hAnsi="MingLiU" w:eastAsia="MingLiU" w:cs="MingLiU"/>
      <w:color w:val="000000"/>
      <w:spacing w:val="5"/>
      <w:w w:val="100"/>
      <w:position w:val="0"/>
      <w:sz w:val="17"/>
      <w:szCs w:val="17"/>
      <w:shd w:val="clear" w:color="auto" w:fill="FFFFFF"/>
      <w:lang w:val="zh-CN"/>
    </w:rPr>
  </w:style>
  <w:style w:type="character" w:customStyle="1" w:styleId="177">
    <w:name w:val="页眉或页脚 (2) + 8 pt1"/>
    <w:basedOn w:val="96"/>
    <w:qFormat/>
    <w:uiPriority w:val="0"/>
    <w:rPr>
      <w:rFonts w:ascii="MingLiU" w:hAnsi="MingLiU" w:eastAsia="MingLiU" w:cs="MingLiU"/>
      <w:color w:val="000000"/>
      <w:spacing w:val="-14"/>
      <w:w w:val="100"/>
      <w:position w:val="0"/>
      <w:sz w:val="16"/>
      <w:szCs w:val="16"/>
      <w:shd w:val="clear" w:color="auto" w:fill="FFFFFF"/>
      <w:lang w:val="en-US"/>
    </w:rPr>
  </w:style>
  <w:style w:type="character" w:customStyle="1" w:styleId="178">
    <w:name w:val="正文文本 + Arial Unicode MS3"/>
    <w:basedOn w:val="50"/>
    <w:qFormat/>
    <w:uiPriority w:val="0"/>
    <w:rPr>
      <w:rFonts w:ascii="Arial Unicode MS" w:hAnsi="Arial Unicode MS" w:eastAsia="Arial Unicode MS" w:cs="Arial Unicode MS"/>
      <w:i/>
      <w:iCs/>
      <w:smallCaps/>
      <w:color w:val="000000"/>
      <w:spacing w:val="-10"/>
      <w:w w:val="100"/>
      <w:position w:val="0"/>
      <w:sz w:val="17"/>
      <w:szCs w:val="17"/>
      <w:shd w:val="clear" w:color="auto" w:fill="FFFFFF"/>
      <w:lang w:val="en-US"/>
    </w:rPr>
  </w:style>
  <w:style w:type="character" w:customStyle="1" w:styleId="179">
    <w:name w:val="正文文本 + Arial Unicode MS2"/>
    <w:basedOn w:val="50"/>
    <w:qFormat/>
    <w:uiPriority w:val="0"/>
    <w:rPr>
      <w:rFonts w:ascii="Arial Unicode MS" w:hAnsi="Arial Unicode MS" w:eastAsia="Arial Unicode MS" w:cs="Arial Unicode MS"/>
      <w:i/>
      <w:iCs/>
      <w:color w:val="000000"/>
      <w:spacing w:val="-10"/>
      <w:w w:val="100"/>
      <w:position w:val="0"/>
      <w:sz w:val="17"/>
      <w:szCs w:val="17"/>
      <w:shd w:val="clear" w:color="auto" w:fill="FFFFFF"/>
      <w:lang w:val="en-US"/>
    </w:rPr>
  </w:style>
  <w:style w:type="character" w:customStyle="1" w:styleId="180">
    <w:name w:val="表格标题 + Times New Roman"/>
    <w:basedOn w:val="94"/>
    <w:qFormat/>
    <w:uiPriority w:val="0"/>
    <w:rPr>
      <w:rFonts w:ascii="Times New Roman" w:hAnsi="Times New Roman" w:eastAsia="Times New Roman" w:cs="Times New Roman"/>
      <w:color w:val="000000"/>
      <w:spacing w:val="7"/>
      <w:w w:val="100"/>
      <w:position w:val="0"/>
      <w:sz w:val="11"/>
      <w:szCs w:val="11"/>
      <w:shd w:val="clear" w:color="auto" w:fill="FFFFFF"/>
      <w:lang w:val="en-US"/>
    </w:rPr>
  </w:style>
  <w:style w:type="character" w:customStyle="1" w:styleId="181">
    <w:name w:val="表格标题 + Arial Unicode MS1"/>
    <w:basedOn w:val="94"/>
    <w:qFormat/>
    <w:uiPriority w:val="0"/>
    <w:rPr>
      <w:rFonts w:ascii="Arial Unicode MS" w:hAnsi="Arial Unicode MS" w:eastAsia="Arial Unicode MS" w:cs="Arial Unicode MS"/>
      <w:i/>
      <w:iCs/>
      <w:color w:val="000000"/>
      <w:spacing w:val="-10"/>
      <w:w w:val="100"/>
      <w:position w:val="0"/>
      <w:sz w:val="17"/>
      <w:szCs w:val="17"/>
      <w:shd w:val="clear" w:color="auto" w:fill="FFFFFF"/>
    </w:rPr>
  </w:style>
  <w:style w:type="character" w:customStyle="1" w:styleId="182">
    <w:name w:val="正文文本 (5) + 间距 0 pt"/>
    <w:basedOn w:val="48"/>
    <w:qFormat/>
    <w:uiPriority w:val="0"/>
    <w:rPr>
      <w:rFonts w:ascii="MingLiU" w:hAnsi="MingLiU" w:eastAsia="MingLiU" w:cs="MingLiU"/>
      <w:color w:val="000000"/>
      <w:spacing w:val="5"/>
      <w:w w:val="100"/>
      <w:position w:val="0"/>
      <w:sz w:val="29"/>
      <w:szCs w:val="29"/>
      <w:shd w:val="clear" w:color="auto" w:fill="FFFFFF"/>
      <w:lang w:val="zh-CN"/>
    </w:rPr>
  </w:style>
  <w:style w:type="character" w:customStyle="1" w:styleId="183">
    <w:name w:val="正文文本 (31)_"/>
    <w:basedOn w:val="27"/>
    <w:link w:val="184"/>
    <w:qFormat/>
    <w:uiPriority w:val="0"/>
    <w:rPr>
      <w:rFonts w:ascii="MingLiU" w:hAnsi="MingLiU" w:eastAsia="MingLiU" w:cs="MingLiU"/>
      <w:spacing w:val="-1"/>
      <w:sz w:val="34"/>
      <w:szCs w:val="34"/>
      <w:shd w:val="clear" w:color="auto" w:fill="FFFFFF"/>
    </w:rPr>
  </w:style>
  <w:style w:type="paragraph" w:customStyle="1" w:styleId="184">
    <w:name w:val="正文文本 (31)"/>
    <w:basedOn w:val="1"/>
    <w:link w:val="183"/>
    <w:qFormat/>
    <w:uiPriority w:val="0"/>
    <w:pPr>
      <w:shd w:val="clear" w:color="auto" w:fill="FFFFFF"/>
      <w:spacing w:before="360" w:after="60" w:line="542" w:lineRule="exact"/>
      <w:jc w:val="center"/>
    </w:pPr>
    <w:rPr>
      <w:rFonts w:ascii="MingLiU" w:hAnsi="MingLiU" w:eastAsia="MingLiU" w:cs="MingLiU"/>
      <w:color w:val="auto"/>
      <w:spacing w:val="-1"/>
      <w:kern w:val="2"/>
      <w:sz w:val="34"/>
      <w:szCs w:val="34"/>
      <w:lang w:val="en-US"/>
    </w:rPr>
  </w:style>
  <w:style w:type="character" w:customStyle="1" w:styleId="185">
    <w:name w:val="正文文本 (3) + 间距 0 pt"/>
    <w:basedOn w:val="40"/>
    <w:qFormat/>
    <w:uiPriority w:val="0"/>
    <w:rPr>
      <w:rFonts w:ascii="Arial Unicode MS" w:hAnsi="Arial Unicode MS" w:eastAsia="Arial Unicode MS" w:cs="Arial Unicode MS"/>
      <w:color w:val="000000"/>
      <w:spacing w:val="10"/>
      <w:w w:val="100"/>
      <w:position w:val="0"/>
      <w:sz w:val="24"/>
      <w:szCs w:val="24"/>
      <w:shd w:val="clear" w:color="auto" w:fill="FFFFFF"/>
    </w:rPr>
  </w:style>
  <w:style w:type="character" w:customStyle="1" w:styleId="186">
    <w:name w:val="正文文本 (24)_"/>
    <w:basedOn w:val="27"/>
    <w:link w:val="187"/>
    <w:qFormat/>
    <w:uiPriority w:val="0"/>
    <w:rPr>
      <w:rFonts w:ascii="MingLiU" w:hAnsi="MingLiU" w:eastAsia="MingLiU" w:cs="MingLiU"/>
      <w:spacing w:val="-36"/>
      <w:w w:val="80"/>
      <w:sz w:val="18"/>
      <w:szCs w:val="18"/>
      <w:shd w:val="clear" w:color="auto" w:fill="FFFFFF"/>
    </w:rPr>
  </w:style>
  <w:style w:type="paragraph" w:customStyle="1" w:styleId="187">
    <w:name w:val="正文文本 (24)"/>
    <w:basedOn w:val="1"/>
    <w:link w:val="186"/>
    <w:qFormat/>
    <w:uiPriority w:val="0"/>
    <w:pPr>
      <w:shd w:val="clear" w:color="auto" w:fill="FFFFFF"/>
      <w:spacing w:line="0" w:lineRule="atLeast"/>
    </w:pPr>
    <w:rPr>
      <w:rFonts w:ascii="MingLiU" w:hAnsi="MingLiU" w:eastAsia="MingLiU" w:cs="MingLiU"/>
      <w:color w:val="auto"/>
      <w:spacing w:val="-36"/>
      <w:w w:val="80"/>
      <w:kern w:val="2"/>
      <w:sz w:val="18"/>
      <w:szCs w:val="18"/>
      <w:lang w:val="en-US"/>
    </w:rPr>
  </w:style>
  <w:style w:type="character" w:customStyle="1" w:styleId="188">
    <w:name w:val="正文文本 (24) + 间距 0 pt"/>
    <w:basedOn w:val="186"/>
    <w:qFormat/>
    <w:uiPriority w:val="0"/>
    <w:rPr>
      <w:rFonts w:ascii="MingLiU" w:hAnsi="MingLiU" w:eastAsia="MingLiU" w:cs="MingLiU"/>
      <w:color w:val="000000"/>
      <w:spacing w:val="0"/>
      <w:w w:val="200"/>
      <w:position w:val="0"/>
      <w:sz w:val="18"/>
      <w:szCs w:val="18"/>
      <w:shd w:val="clear" w:color="auto" w:fill="FFFFFF"/>
    </w:rPr>
  </w:style>
  <w:style w:type="character" w:customStyle="1" w:styleId="189">
    <w:name w:val="目录 + 间距 0 pt1"/>
    <w:basedOn w:val="61"/>
    <w:qFormat/>
    <w:uiPriority w:val="0"/>
    <w:rPr>
      <w:rFonts w:ascii="Arial Unicode MS" w:hAnsi="Arial Unicode MS" w:eastAsia="Arial Unicode MS" w:cs="Arial Unicode MS"/>
      <w:color w:val="000000"/>
      <w:spacing w:val="-3"/>
      <w:w w:val="100"/>
      <w:position w:val="0"/>
      <w:sz w:val="18"/>
      <w:szCs w:val="18"/>
      <w:shd w:val="clear" w:color="auto" w:fill="FFFFFF"/>
    </w:rPr>
  </w:style>
  <w:style w:type="character" w:customStyle="1" w:styleId="190">
    <w:name w:val="目录 + MingLiU1"/>
    <w:basedOn w:val="61"/>
    <w:qFormat/>
    <w:uiPriority w:val="0"/>
    <w:rPr>
      <w:rFonts w:ascii="MingLiU" w:hAnsi="MingLiU" w:eastAsia="MingLiU" w:cs="MingLiU"/>
      <w:color w:val="000000"/>
      <w:spacing w:val="9"/>
      <w:w w:val="100"/>
      <w:position w:val="0"/>
      <w:sz w:val="19"/>
      <w:szCs w:val="19"/>
      <w:shd w:val="clear" w:color="auto" w:fill="FFFFFF"/>
      <w:lang w:val="zh-CN"/>
    </w:rPr>
  </w:style>
  <w:style w:type="character" w:customStyle="1" w:styleId="191">
    <w:name w:val="目录 (2) + Arial Unicode MS1"/>
    <w:basedOn w:val="64"/>
    <w:qFormat/>
    <w:uiPriority w:val="0"/>
    <w:rPr>
      <w:rFonts w:ascii="Arial Unicode MS" w:hAnsi="Arial Unicode MS" w:eastAsia="Arial Unicode MS" w:cs="Arial Unicode MS"/>
      <w:color w:val="000000"/>
      <w:spacing w:val="-3"/>
      <w:w w:val="100"/>
      <w:position w:val="0"/>
      <w:sz w:val="18"/>
      <w:szCs w:val="18"/>
      <w:shd w:val="clear" w:color="auto" w:fill="FFFFFF"/>
      <w:lang w:val="en-US"/>
    </w:rPr>
  </w:style>
  <w:style w:type="character" w:customStyle="1" w:styleId="192">
    <w:name w:val="目录 (2) + 间距 0 pt"/>
    <w:basedOn w:val="64"/>
    <w:qFormat/>
    <w:uiPriority w:val="0"/>
    <w:rPr>
      <w:rFonts w:ascii="MingLiU" w:hAnsi="MingLiU" w:eastAsia="MingLiU" w:cs="MingLiU"/>
      <w:color w:val="000000"/>
      <w:spacing w:val="9"/>
      <w:w w:val="100"/>
      <w:position w:val="0"/>
      <w:sz w:val="19"/>
      <w:szCs w:val="19"/>
      <w:shd w:val="clear" w:color="auto" w:fill="FFFFFF"/>
      <w:lang w:val="zh-CN"/>
    </w:rPr>
  </w:style>
  <w:style w:type="character" w:customStyle="1" w:styleId="193">
    <w:name w:val="页眉或页脚 (8)_"/>
    <w:basedOn w:val="27"/>
    <w:link w:val="194"/>
    <w:qFormat/>
    <w:uiPriority w:val="0"/>
    <w:rPr>
      <w:rFonts w:ascii="MingLiU" w:hAnsi="MingLiU" w:eastAsia="MingLiU" w:cs="MingLiU"/>
      <w:sz w:val="25"/>
      <w:szCs w:val="25"/>
      <w:shd w:val="clear" w:color="auto" w:fill="FFFFFF"/>
    </w:rPr>
  </w:style>
  <w:style w:type="paragraph" w:customStyle="1" w:styleId="194">
    <w:name w:val="页眉或页脚 (8)"/>
    <w:basedOn w:val="1"/>
    <w:link w:val="193"/>
    <w:qFormat/>
    <w:uiPriority w:val="0"/>
    <w:pPr>
      <w:shd w:val="clear" w:color="auto" w:fill="FFFFFF"/>
      <w:spacing w:line="0" w:lineRule="atLeast"/>
      <w:jc w:val="center"/>
    </w:pPr>
    <w:rPr>
      <w:rFonts w:ascii="MingLiU" w:hAnsi="MingLiU" w:eastAsia="MingLiU" w:cs="MingLiU"/>
      <w:color w:val="auto"/>
      <w:kern w:val="2"/>
      <w:sz w:val="25"/>
      <w:szCs w:val="25"/>
      <w:lang w:val="en-US"/>
    </w:rPr>
  </w:style>
  <w:style w:type="character" w:customStyle="1" w:styleId="195">
    <w:name w:val="页眉或页脚 (8) + Garamond"/>
    <w:basedOn w:val="193"/>
    <w:qFormat/>
    <w:uiPriority w:val="0"/>
    <w:rPr>
      <w:rFonts w:ascii="Garamond" w:hAnsi="Garamond" w:eastAsia="Garamond" w:cs="Garamond"/>
      <w:b/>
      <w:bCs/>
      <w:color w:val="000000"/>
      <w:spacing w:val="0"/>
      <w:w w:val="100"/>
      <w:position w:val="0"/>
      <w:sz w:val="26"/>
      <w:szCs w:val="26"/>
      <w:shd w:val="clear" w:color="auto" w:fill="FFFFFF"/>
    </w:rPr>
  </w:style>
  <w:style w:type="character" w:customStyle="1" w:styleId="196">
    <w:name w:val="页眉或页脚 (8) + Times New Roman"/>
    <w:basedOn w:val="193"/>
    <w:qFormat/>
    <w:uiPriority w:val="0"/>
    <w:rPr>
      <w:rFonts w:ascii="Times New Roman" w:hAnsi="Times New Roman" w:eastAsia="Times New Roman" w:cs="Times New Roman"/>
      <w:color w:val="000000"/>
      <w:spacing w:val="0"/>
      <w:w w:val="100"/>
      <w:position w:val="0"/>
      <w:sz w:val="28"/>
      <w:szCs w:val="28"/>
      <w:shd w:val="clear" w:color="auto" w:fill="FFFFFF"/>
    </w:rPr>
  </w:style>
  <w:style w:type="character" w:customStyle="1" w:styleId="197">
    <w:name w:val="标题 #5 + Arial Unicode MS1"/>
    <w:basedOn w:val="78"/>
    <w:qFormat/>
    <w:uiPriority w:val="0"/>
    <w:rPr>
      <w:rFonts w:ascii="Arial Unicode MS" w:hAnsi="Arial Unicode MS" w:eastAsia="Arial Unicode MS" w:cs="Arial Unicode MS"/>
      <w:color w:val="000000"/>
      <w:spacing w:val="-3"/>
      <w:w w:val="100"/>
      <w:position w:val="0"/>
      <w:sz w:val="18"/>
      <w:szCs w:val="18"/>
      <w:shd w:val="clear" w:color="auto" w:fill="FFFFFF"/>
      <w:lang w:val="en-US"/>
    </w:rPr>
  </w:style>
  <w:style w:type="character" w:customStyle="1" w:styleId="198">
    <w:name w:val="标题 #5 + 间距 0 pt"/>
    <w:basedOn w:val="78"/>
    <w:qFormat/>
    <w:uiPriority w:val="0"/>
    <w:rPr>
      <w:rFonts w:ascii="MingLiU" w:hAnsi="MingLiU" w:eastAsia="MingLiU" w:cs="MingLiU"/>
      <w:color w:val="000000"/>
      <w:spacing w:val="9"/>
      <w:w w:val="100"/>
      <w:position w:val="0"/>
      <w:sz w:val="19"/>
      <w:szCs w:val="19"/>
      <w:shd w:val="clear" w:color="auto" w:fill="FFFFFF"/>
      <w:lang w:val="zh-CN"/>
    </w:rPr>
  </w:style>
  <w:style w:type="character" w:customStyle="1" w:styleId="199">
    <w:name w:val="页眉或页脚 (4) + Arial Unicode MS1"/>
    <w:basedOn w:val="75"/>
    <w:qFormat/>
    <w:uiPriority w:val="0"/>
    <w:rPr>
      <w:rFonts w:ascii="Arial Unicode MS" w:hAnsi="Arial Unicode MS" w:eastAsia="Arial Unicode MS" w:cs="Arial Unicode MS"/>
      <w:color w:val="000000"/>
      <w:spacing w:val="-5"/>
      <w:w w:val="100"/>
      <w:position w:val="0"/>
      <w:sz w:val="17"/>
      <w:szCs w:val="17"/>
      <w:shd w:val="clear" w:color="auto" w:fill="FFFFFF"/>
      <w:lang w:val="en-US"/>
    </w:rPr>
  </w:style>
  <w:style w:type="character" w:customStyle="1" w:styleId="200">
    <w:name w:val="正文文本 + 间距 -1 pt"/>
    <w:basedOn w:val="50"/>
    <w:qFormat/>
    <w:uiPriority w:val="0"/>
    <w:rPr>
      <w:rFonts w:ascii="MingLiU" w:hAnsi="MingLiU" w:eastAsia="MingLiU" w:cs="MingLiU"/>
      <w:color w:val="000000"/>
      <w:spacing w:val="-22"/>
      <w:w w:val="100"/>
      <w:position w:val="0"/>
      <w:sz w:val="19"/>
      <w:szCs w:val="19"/>
      <w:shd w:val="clear" w:color="auto" w:fill="FFFFFF"/>
      <w:lang w:val="zh-CN"/>
    </w:rPr>
  </w:style>
  <w:style w:type="character" w:customStyle="1" w:styleId="201">
    <w:name w:val="正文文本 + Arial Unicode MS1"/>
    <w:basedOn w:val="50"/>
    <w:qFormat/>
    <w:uiPriority w:val="0"/>
    <w:rPr>
      <w:rFonts w:ascii="Arial Unicode MS" w:hAnsi="Arial Unicode MS" w:eastAsia="Arial Unicode MS" w:cs="Arial Unicode MS"/>
      <w:color w:val="000000"/>
      <w:spacing w:val="-35"/>
      <w:w w:val="100"/>
      <w:position w:val="0"/>
      <w:sz w:val="18"/>
      <w:szCs w:val="18"/>
      <w:shd w:val="clear" w:color="auto" w:fill="FFFFFF"/>
      <w:lang w:val="en-US"/>
    </w:rPr>
  </w:style>
  <w:style w:type="character" w:customStyle="1" w:styleId="202">
    <w:name w:val="页眉 字符"/>
    <w:basedOn w:val="27"/>
    <w:link w:val="16"/>
    <w:qFormat/>
    <w:uiPriority w:val="99"/>
    <w:rPr>
      <w:rFonts w:ascii="Courier New" w:hAnsi="Courier New" w:eastAsia="Courier New" w:cs="Courier New"/>
      <w:color w:val="000000"/>
      <w:kern w:val="0"/>
      <w:sz w:val="18"/>
      <w:szCs w:val="18"/>
      <w:lang w:val="zh-CN"/>
    </w:rPr>
  </w:style>
  <w:style w:type="character" w:customStyle="1" w:styleId="203">
    <w:name w:val="页脚 字符"/>
    <w:basedOn w:val="27"/>
    <w:link w:val="15"/>
    <w:qFormat/>
    <w:uiPriority w:val="99"/>
    <w:rPr>
      <w:rFonts w:ascii="Courier New" w:hAnsi="Courier New" w:eastAsia="Courier New" w:cs="Courier New"/>
      <w:color w:val="000000"/>
      <w:kern w:val="0"/>
      <w:sz w:val="18"/>
      <w:szCs w:val="18"/>
      <w:lang w:val="zh-CN"/>
    </w:rPr>
  </w:style>
  <w:style w:type="character" w:customStyle="1" w:styleId="204">
    <w:name w:val="批注框文本 字符"/>
    <w:basedOn w:val="27"/>
    <w:link w:val="14"/>
    <w:semiHidden/>
    <w:qFormat/>
    <w:uiPriority w:val="99"/>
    <w:rPr>
      <w:rFonts w:ascii="Courier New" w:hAnsi="Courier New" w:eastAsia="Courier New" w:cs="Courier New"/>
      <w:color w:val="000000"/>
      <w:kern w:val="0"/>
      <w:sz w:val="18"/>
      <w:szCs w:val="18"/>
      <w:lang w:val="zh-CN"/>
    </w:rPr>
  </w:style>
  <w:style w:type="paragraph" w:styleId="205">
    <w:name w:val="List Paragraph"/>
    <w:basedOn w:val="1"/>
    <w:qFormat/>
    <w:uiPriority w:val="34"/>
    <w:pPr>
      <w:ind w:firstLine="420" w:firstLineChars="200"/>
    </w:pPr>
  </w:style>
  <w:style w:type="paragraph" w:customStyle="1" w:styleId="206">
    <w:name w:val="文献分类号"/>
    <w:qFormat/>
    <w:uiPriority w:val="99"/>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character" w:customStyle="1" w:styleId="207">
    <w:name w:val="标题 字符"/>
    <w:basedOn w:val="27"/>
    <w:link w:val="23"/>
    <w:qFormat/>
    <w:uiPriority w:val="10"/>
    <w:rPr>
      <w:rFonts w:eastAsia="宋体" w:asciiTheme="majorHAnsi" w:hAnsiTheme="majorHAnsi" w:cstheme="majorBidi"/>
      <w:b/>
      <w:bCs/>
      <w:color w:val="000000"/>
      <w:kern w:val="0"/>
      <w:sz w:val="32"/>
      <w:szCs w:val="32"/>
      <w:lang w:val="zh-CN"/>
    </w:rPr>
  </w:style>
  <w:style w:type="paragraph" w:customStyle="1" w:styleId="208">
    <w:name w:val="TOC 标题1"/>
    <w:basedOn w:val="2"/>
    <w:next w:val="1"/>
    <w:unhideWhenUsed/>
    <w:qFormat/>
    <w:uiPriority w:val="39"/>
    <w:pPr>
      <w:widowControl/>
      <w:spacing w:before="480" w:after="0" w:line="276" w:lineRule="auto"/>
      <w:outlineLvl w:val="9"/>
    </w:pPr>
    <w:rPr>
      <w:rFonts w:asciiTheme="majorHAnsi" w:hAnsiTheme="majorHAnsi" w:eastAsiaTheme="majorEastAsia" w:cstheme="majorBidi"/>
      <w:color w:val="2F5597" w:themeColor="accent1" w:themeShade="BF"/>
      <w:kern w:val="0"/>
      <w:sz w:val="28"/>
      <w:szCs w:val="28"/>
      <w:lang w:val="en-US"/>
    </w:rPr>
  </w:style>
  <w:style w:type="paragraph" w:customStyle="1" w:styleId="209">
    <w:name w:val="二级条标题"/>
    <w:basedOn w:val="1"/>
    <w:next w:val="1"/>
    <w:link w:val="214"/>
    <w:qFormat/>
    <w:uiPriority w:val="0"/>
    <w:pPr>
      <w:widowControl/>
      <w:numPr>
        <w:ilvl w:val="2"/>
        <w:numId w:val="1"/>
      </w:numPr>
      <w:spacing w:beforeLines="50" w:afterLines="50"/>
      <w:outlineLvl w:val="3"/>
    </w:pPr>
    <w:rPr>
      <w:rFonts w:ascii="黑体" w:hAnsi="Times New Roman" w:eastAsia="黑体" w:cs="Times New Roman"/>
      <w:color w:val="auto"/>
      <w:sz w:val="21"/>
      <w:szCs w:val="21"/>
      <w:lang w:val="en-US"/>
    </w:rPr>
  </w:style>
  <w:style w:type="paragraph" w:customStyle="1" w:styleId="210">
    <w:name w:val="章标题"/>
    <w:next w:val="1"/>
    <w:qFormat/>
    <w:uiPriority w:val="99"/>
    <w:pPr>
      <w:tabs>
        <w:tab w:val="left" w:pos="0"/>
      </w:tabs>
      <w:spacing w:beforeLines="100" w:afterLines="100"/>
      <w:jc w:val="both"/>
      <w:outlineLvl w:val="1"/>
    </w:pPr>
    <w:rPr>
      <w:rFonts w:ascii="Times New Roman" w:hAnsi="Times New Roman" w:eastAsia="宋体" w:cs="Times New Roman"/>
      <w:b/>
      <w:color w:val="000000" w:themeColor="text1"/>
      <w:sz w:val="24"/>
      <w:szCs w:val="24"/>
      <w:lang w:val="en-US" w:eastAsia="zh-CN" w:bidi="ar-SA"/>
      <w14:textFill>
        <w14:solidFill>
          <w14:schemeClr w14:val="tx1"/>
        </w14:solidFill>
      </w14:textFill>
    </w:rPr>
  </w:style>
  <w:style w:type="paragraph" w:customStyle="1" w:styleId="211">
    <w:name w:val="一级条标题"/>
    <w:next w:val="1"/>
    <w:qFormat/>
    <w:uiPriority w:val="99"/>
    <w:pPr>
      <w:numPr>
        <w:ilvl w:val="1"/>
        <w:numId w:val="2"/>
      </w:numPr>
      <w:spacing w:beforeLines="50" w:afterLines="50"/>
      <w:outlineLvl w:val="2"/>
    </w:pPr>
    <w:rPr>
      <w:rFonts w:ascii="黑体" w:hAnsi="Times New Roman" w:eastAsia="黑体" w:cs="Times New Roman"/>
      <w:sz w:val="21"/>
      <w:szCs w:val="21"/>
      <w:lang w:val="en-US" w:eastAsia="zh-CN" w:bidi="ar-SA"/>
    </w:rPr>
  </w:style>
  <w:style w:type="character" w:customStyle="1" w:styleId="212">
    <w:name w:val="文档结构图 字符"/>
    <w:basedOn w:val="27"/>
    <w:link w:val="7"/>
    <w:semiHidden/>
    <w:qFormat/>
    <w:uiPriority w:val="99"/>
    <w:rPr>
      <w:rFonts w:ascii="宋体" w:hAnsi="Courier New" w:eastAsia="宋体" w:cs="Courier New"/>
      <w:color w:val="000000"/>
      <w:kern w:val="0"/>
      <w:sz w:val="18"/>
      <w:szCs w:val="18"/>
      <w:lang w:val="zh-CN"/>
    </w:rPr>
  </w:style>
  <w:style w:type="paragraph" w:customStyle="1" w:styleId="213">
    <w:name w:val="修订1"/>
    <w:hidden/>
    <w:semiHidden/>
    <w:qFormat/>
    <w:uiPriority w:val="99"/>
    <w:rPr>
      <w:rFonts w:ascii="Courier New" w:hAnsi="Courier New" w:eastAsia="Courier New" w:cs="Courier New"/>
      <w:color w:val="000000"/>
      <w:sz w:val="24"/>
      <w:szCs w:val="24"/>
      <w:lang w:val="zh-CN" w:eastAsia="zh-CN" w:bidi="ar-SA"/>
    </w:rPr>
  </w:style>
  <w:style w:type="character" w:customStyle="1" w:styleId="214">
    <w:name w:val="二级条标题 Char"/>
    <w:link w:val="209"/>
    <w:qFormat/>
    <w:uiPriority w:val="0"/>
    <w:rPr>
      <w:rFonts w:ascii="黑体" w:hAnsi="Times New Roman" w:eastAsia="黑体" w:cs="Times New Roman"/>
      <w:sz w:val="21"/>
      <w:szCs w:val="21"/>
    </w:rPr>
  </w:style>
  <w:style w:type="paragraph" w:customStyle="1" w:styleId="215">
    <w:name w:val="字母编号列项（一级）"/>
    <w:qFormat/>
    <w:uiPriority w:val="0"/>
    <w:pPr>
      <w:tabs>
        <w:tab w:val="left" w:pos="840"/>
      </w:tabs>
      <w:jc w:val="both"/>
    </w:pPr>
    <w:rPr>
      <w:rFonts w:ascii="宋体" w:hAnsi="Calibri" w:eastAsia="宋体" w:cs="Times New Roman"/>
      <w:sz w:val="21"/>
      <w:lang w:val="en-US" w:eastAsia="zh-CN" w:bidi="ar-SA"/>
    </w:rPr>
  </w:style>
  <w:style w:type="character" w:customStyle="1" w:styleId="216">
    <w:name w:val="段 Char"/>
    <w:link w:val="217"/>
    <w:qFormat/>
    <w:locked/>
    <w:uiPriority w:val="99"/>
    <w:rPr>
      <w:rFonts w:ascii="宋体"/>
    </w:rPr>
  </w:style>
  <w:style w:type="paragraph" w:customStyle="1" w:styleId="217">
    <w:name w:val="段"/>
    <w:link w:val="216"/>
    <w:qFormat/>
    <w:uiPriority w:val="99"/>
    <w:pPr>
      <w:tabs>
        <w:tab w:val="center" w:pos="4201"/>
        <w:tab w:val="right" w:leader="dot" w:pos="9298"/>
      </w:tabs>
      <w:autoSpaceDE w:val="0"/>
      <w:autoSpaceDN w:val="0"/>
      <w:ind w:firstLine="420" w:firstLineChars="200"/>
      <w:jc w:val="both"/>
    </w:pPr>
    <w:rPr>
      <w:rFonts w:ascii="宋体" w:hAnsiTheme="minorHAnsi" w:eastAsiaTheme="minorEastAsia" w:cstheme="minorBidi"/>
      <w:kern w:val="2"/>
      <w:sz w:val="21"/>
      <w:szCs w:val="22"/>
      <w:lang w:val="en-US" w:eastAsia="zh-CN" w:bidi="ar-SA"/>
    </w:rPr>
  </w:style>
  <w:style w:type="character" w:customStyle="1" w:styleId="218">
    <w:name w:val="批注文字 字符"/>
    <w:link w:val="8"/>
    <w:qFormat/>
    <w:uiPriority w:val="99"/>
  </w:style>
  <w:style w:type="character" w:customStyle="1" w:styleId="219">
    <w:name w:val="批注文字 字符1"/>
    <w:basedOn w:val="27"/>
    <w:semiHidden/>
    <w:qFormat/>
    <w:uiPriority w:val="99"/>
    <w:rPr>
      <w:rFonts w:ascii="Courier New" w:hAnsi="Courier New" w:eastAsia="Courier New" w:cs="Courier New"/>
      <w:color w:val="000000"/>
      <w:kern w:val="0"/>
      <w:sz w:val="24"/>
      <w:szCs w:val="24"/>
      <w:lang w:val="zh-CN"/>
    </w:rPr>
  </w:style>
  <w:style w:type="character" w:customStyle="1" w:styleId="220">
    <w:name w:val="批注文字 Char1"/>
    <w:basedOn w:val="27"/>
    <w:semiHidden/>
    <w:qFormat/>
    <w:uiPriority w:val="99"/>
    <w:rPr>
      <w:rFonts w:eastAsia="Courier New"/>
      <w:color w:val="000000"/>
    </w:rPr>
  </w:style>
  <w:style w:type="paragraph" w:customStyle="1" w:styleId="221">
    <w:name w:val="标准正文"/>
    <w:basedOn w:val="1"/>
    <w:qFormat/>
    <w:uiPriority w:val="0"/>
    <w:pPr>
      <w:tabs>
        <w:tab w:val="left" w:pos="540"/>
        <w:tab w:val="left" w:pos="720"/>
        <w:tab w:val="left" w:pos="900"/>
        <w:tab w:val="left" w:pos="1080"/>
      </w:tabs>
      <w:snapToGrid w:val="0"/>
      <w:spacing w:line="288" w:lineRule="auto"/>
    </w:pPr>
    <w:rPr>
      <w:rFonts w:ascii="宋体" w:hAnsi="宋体" w:eastAsia="宋体" w:cs="Times New Roman"/>
      <w:sz w:val="22"/>
      <w:szCs w:val="21"/>
      <w:lang w:val="en-US" w:eastAsia="en-US"/>
    </w:rPr>
  </w:style>
  <w:style w:type="paragraph" w:customStyle="1" w:styleId="222">
    <w:name w:val="数字编号列项（二级）"/>
    <w:qFormat/>
    <w:uiPriority w:val="0"/>
    <w:pPr>
      <w:tabs>
        <w:tab w:val="left" w:pos="1260"/>
      </w:tabs>
      <w:ind w:left="1259" w:hanging="419"/>
      <w:jc w:val="both"/>
    </w:pPr>
    <w:rPr>
      <w:rFonts w:ascii="宋体" w:hAnsi="Times New Roman" w:eastAsia="宋体" w:cs="Times New Roman"/>
      <w:sz w:val="21"/>
      <w:lang w:val="en-US" w:eastAsia="zh-CN" w:bidi="ar-SA"/>
    </w:rPr>
  </w:style>
  <w:style w:type="paragraph" w:customStyle="1" w:styleId="223">
    <w:name w:val="四级条标题"/>
    <w:basedOn w:val="1"/>
    <w:next w:val="217"/>
    <w:qFormat/>
    <w:uiPriority w:val="99"/>
    <w:pPr>
      <w:widowControl/>
      <w:spacing w:beforeLines="50" w:afterLines="50"/>
      <w:outlineLvl w:val="5"/>
    </w:pPr>
    <w:rPr>
      <w:rFonts w:ascii="黑体" w:hAnsi="Times New Roman" w:eastAsia="黑体" w:cs="Times New Roman"/>
      <w:color w:val="auto"/>
      <w:sz w:val="21"/>
      <w:szCs w:val="21"/>
      <w:lang w:val="en-US"/>
    </w:rPr>
  </w:style>
  <w:style w:type="paragraph" w:customStyle="1" w:styleId="224">
    <w:name w:val="五级条标题"/>
    <w:basedOn w:val="223"/>
    <w:next w:val="217"/>
    <w:qFormat/>
    <w:uiPriority w:val="99"/>
    <w:pPr>
      <w:outlineLvl w:val="6"/>
    </w:pPr>
  </w:style>
  <w:style w:type="character" w:customStyle="1" w:styleId="225">
    <w:name w:val="批注主题 字符"/>
    <w:basedOn w:val="219"/>
    <w:link w:val="24"/>
    <w:semiHidden/>
    <w:qFormat/>
    <w:uiPriority w:val="99"/>
    <w:rPr>
      <w:rFonts w:ascii="Courier New" w:hAnsi="Courier New" w:eastAsia="Courier New" w:cs="Courier New"/>
      <w:b/>
      <w:bCs/>
      <w:color w:val="000000"/>
      <w:kern w:val="0"/>
      <w:sz w:val="24"/>
      <w:szCs w:val="24"/>
      <w:lang w:val="zh-CN"/>
    </w:rPr>
  </w:style>
  <w:style w:type="character" w:customStyle="1" w:styleId="226">
    <w:name w:val="正文文本 字符"/>
    <w:basedOn w:val="27"/>
    <w:link w:val="9"/>
    <w:qFormat/>
    <w:uiPriority w:val="0"/>
    <w:rPr>
      <w:rFonts w:ascii="宋体" w:hAnsi="宋体" w:eastAsia="宋体" w:cs="Times New Roman"/>
      <w:kern w:val="0"/>
      <w:szCs w:val="24"/>
    </w:rPr>
  </w:style>
  <w:style w:type="paragraph" w:customStyle="1" w:styleId="227">
    <w:name w:val="图片文字"/>
    <w:next w:val="1"/>
    <w:qFormat/>
    <w:uiPriority w:val="99"/>
    <w:pPr>
      <w:spacing w:line="360" w:lineRule="auto"/>
      <w:jc w:val="center"/>
    </w:pPr>
    <w:rPr>
      <w:rFonts w:ascii="Times New Roman" w:hAnsi="Times New Roman" w:eastAsia="宋体" w:cs="Times New Roman"/>
      <w:sz w:val="21"/>
      <w:szCs w:val="22"/>
      <w:lang w:val="en-US" w:eastAsia="zh-CN" w:bidi="ar-SA"/>
    </w:rPr>
  </w:style>
  <w:style w:type="character" w:customStyle="1" w:styleId="228">
    <w:name w:val="未处理的提及1"/>
    <w:basedOn w:val="27"/>
    <w:semiHidden/>
    <w:unhideWhenUsed/>
    <w:qFormat/>
    <w:uiPriority w:val="99"/>
    <w:rPr>
      <w:color w:val="605E5C"/>
      <w:shd w:val="clear" w:color="auto" w:fill="E1DFDD"/>
    </w:rPr>
  </w:style>
  <w:style w:type="paragraph" w:customStyle="1" w:styleId="229">
    <w:name w:val="封面标准号2"/>
    <w:qFormat/>
    <w:uiPriority w:val="99"/>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character" w:customStyle="1" w:styleId="230">
    <w:name w:val="发布"/>
    <w:qFormat/>
    <w:uiPriority w:val="0"/>
    <w:rPr>
      <w:rFonts w:ascii="黑体" w:eastAsia="黑体"/>
      <w:spacing w:val="85"/>
      <w:w w:val="100"/>
      <w:position w:val="3"/>
      <w:sz w:val="28"/>
      <w:szCs w:val="28"/>
    </w:rPr>
  </w:style>
  <w:style w:type="paragraph" w:customStyle="1" w:styleId="231">
    <w:name w:val="封面标准代替信息"/>
    <w:qFormat/>
    <w:uiPriority w:val="99"/>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232">
    <w:name w:val="封面标准文稿类别"/>
    <w:basedOn w:val="1"/>
    <w:qFormat/>
    <w:uiPriority w:val="0"/>
    <w:pPr>
      <w:framePr w:w="9639" w:h="6917" w:hRule="exact" w:wrap="around" w:vAnchor="page" w:hAnchor="page" w:xAlign="center" w:y="6408" w:anchorLock="1"/>
      <w:spacing w:before="440" w:after="160"/>
      <w:jc w:val="center"/>
      <w:textAlignment w:val="center"/>
    </w:pPr>
    <w:rPr>
      <w:rFonts w:ascii="宋体" w:hAnsi="Times New Roman" w:eastAsia="宋体" w:cs="Times New Roman"/>
      <w:color w:val="auto"/>
      <w:szCs w:val="28"/>
      <w:lang w:val="en-US"/>
    </w:rPr>
  </w:style>
  <w:style w:type="paragraph" w:customStyle="1" w:styleId="233">
    <w:name w:val="封面标准文稿编辑信息"/>
    <w:basedOn w:val="232"/>
    <w:qFormat/>
    <w:uiPriority w:val="0"/>
    <w:pPr>
      <w:framePr/>
      <w:spacing w:before="180" w:line="180" w:lineRule="exact"/>
    </w:pPr>
    <w:rPr>
      <w:sz w:val="21"/>
    </w:rPr>
  </w:style>
  <w:style w:type="paragraph" w:customStyle="1" w:styleId="234">
    <w:name w:val="其他标准标志"/>
    <w:basedOn w:val="1"/>
    <w:qFormat/>
    <w:uiPriority w:val="99"/>
    <w:pPr>
      <w:framePr w:w="6101" w:h="1389" w:hRule="exact" w:hSpace="181" w:vSpace="181" w:wrap="around" w:vAnchor="page" w:hAnchor="page" w:x="4673" w:y="942" w:anchorLock="1"/>
      <w:widowControl/>
      <w:shd w:val="solid" w:color="FFFFFF" w:fill="FFFFFF"/>
      <w:spacing w:line="0" w:lineRule="atLeast"/>
      <w:jc w:val="right"/>
    </w:pPr>
    <w:rPr>
      <w:rFonts w:ascii="Times New Roman" w:hAnsi="Times New Roman" w:eastAsia="宋体" w:cs="Times New Roman"/>
      <w:b/>
      <w:color w:val="auto"/>
      <w:w w:val="130"/>
      <w:sz w:val="96"/>
      <w:szCs w:val="96"/>
      <w:lang w:val="en-US"/>
    </w:rPr>
  </w:style>
  <w:style w:type="paragraph" w:customStyle="1" w:styleId="235">
    <w:name w:val="其他标准称谓"/>
    <w:next w:val="1"/>
    <w:qFormat/>
    <w:uiPriority w:val="99"/>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236">
    <w:name w:val="其他发布部门"/>
    <w:basedOn w:val="1"/>
    <w:qFormat/>
    <w:uiPriority w:val="0"/>
    <w:pPr>
      <w:framePr w:w="7938" w:h="1134" w:hRule="exact" w:hSpace="125" w:vSpace="181" w:wrap="around" w:vAnchor="page" w:hAnchor="page" w:x="2150" w:y="15310" w:anchorLock="1"/>
      <w:widowControl/>
      <w:spacing w:line="0" w:lineRule="atLeast"/>
      <w:jc w:val="center"/>
    </w:pPr>
    <w:rPr>
      <w:rFonts w:ascii="黑体" w:hAnsi="Times New Roman" w:eastAsia="黑体" w:cs="Times New Roman"/>
      <w:color w:val="auto"/>
      <w:spacing w:val="20"/>
      <w:w w:val="135"/>
      <w:sz w:val="28"/>
      <w:szCs w:val="20"/>
      <w:lang w:val="en-US"/>
    </w:rPr>
  </w:style>
  <w:style w:type="paragraph" w:customStyle="1" w:styleId="237">
    <w:name w:val="其他发布日期"/>
    <w:basedOn w:val="1"/>
    <w:qFormat/>
    <w:uiPriority w:val="99"/>
    <w:pPr>
      <w:framePr w:w="3997" w:h="471" w:hRule="exact" w:vSpace="181" w:wrap="around" w:vAnchor="page" w:hAnchor="text" w:x="1419" w:y="14097" w:anchorLock="1"/>
      <w:widowControl/>
    </w:pPr>
    <w:rPr>
      <w:rFonts w:ascii="Times New Roman" w:hAnsi="Times New Roman" w:eastAsia="黑体" w:cs="Times New Roman"/>
      <w:color w:val="auto"/>
      <w:sz w:val="28"/>
      <w:szCs w:val="20"/>
      <w:lang w:val="en-US"/>
    </w:rPr>
  </w:style>
  <w:style w:type="paragraph" w:customStyle="1" w:styleId="238">
    <w:name w:val="其他实施日期"/>
    <w:basedOn w:val="1"/>
    <w:qFormat/>
    <w:uiPriority w:val="99"/>
    <w:pPr>
      <w:framePr w:w="3997" w:h="471" w:hRule="exact" w:vSpace="181" w:wrap="around" w:vAnchor="page" w:hAnchor="text" w:x="7089" w:y="14097" w:anchorLock="1"/>
      <w:widowControl/>
      <w:jc w:val="right"/>
    </w:pPr>
    <w:rPr>
      <w:rFonts w:ascii="Times New Roman" w:hAnsi="Times New Roman" w:eastAsia="黑体" w:cs="Times New Roman"/>
      <w:color w:val="auto"/>
      <w:sz w:val="28"/>
      <w:szCs w:val="20"/>
      <w:lang w:val="en-US"/>
    </w:rPr>
  </w:style>
  <w:style w:type="paragraph" w:customStyle="1" w:styleId="239">
    <w:name w:val="前言、引言标题"/>
    <w:next w:val="217"/>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character" w:styleId="240">
    <w:name w:val="Placeholder Text"/>
    <w:basedOn w:val="27"/>
    <w:semiHidden/>
    <w:qFormat/>
    <w:uiPriority w:val="99"/>
    <w:rPr>
      <w:color w:val="808080"/>
    </w:rPr>
  </w:style>
  <w:style w:type="character" w:customStyle="1" w:styleId="241">
    <w:name w:val="日期 字符"/>
    <w:basedOn w:val="27"/>
    <w:link w:val="13"/>
    <w:semiHidden/>
    <w:qFormat/>
    <w:uiPriority w:val="99"/>
    <w:rPr>
      <w:rFonts w:ascii="Courier New" w:hAnsi="Courier New" w:eastAsia="Courier New" w:cs="Courier New"/>
      <w:color w:val="000000"/>
      <w:kern w:val="0"/>
      <w:sz w:val="24"/>
      <w:szCs w:val="24"/>
      <w:lang w:val="zh-CN"/>
    </w:rPr>
  </w:style>
  <w:style w:type="paragraph" w:customStyle="1" w:styleId="242">
    <w:name w:val="修订2"/>
    <w:hidden/>
    <w:semiHidden/>
    <w:qFormat/>
    <w:uiPriority w:val="99"/>
    <w:rPr>
      <w:rFonts w:ascii="Courier New" w:hAnsi="Courier New" w:eastAsia="Courier New" w:cs="Courier New"/>
      <w:color w:val="000000"/>
      <w:sz w:val="24"/>
      <w:szCs w:val="24"/>
      <w:lang w:val="zh-CN" w:eastAsia="zh-CN" w:bidi="ar-SA"/>
    </w:rPr>
  </w:style>
  <w:style w:type="paragraph" w:customStyle="1" w:styleId="243">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244">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table" w:customStyle="1" w:styleId="245">
    <w:name w:val="网格型1"/>
    <w:basedOn w:val="25"/>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46">
    <w:name w:val="修订3"/>
    <w:hidden/>
    <w:semiHidden/>
    <w:qFormat/>
    <w:uiPriority w:val="99"/>
    <w:rPr>
      <w:rFonts w:ascii="Courier New" w:hAnsi="Courier New" w:eastAsia="Courier New" w:cs="Courier New"/>
      <w:color w:val="000000"/>
      <w:sz w:val="24"/>
      <w:szCs w:val="24"/>
      <w:lang w:val="zh-CN" w:eastAsia="zh-CN" w:bidi="ar-SA"/>
    </w:rPr>
  </w:style>
  <w:style w:type="table" w:customStyle="1" w:styleId="247">
    <w:name w:val="Table Normal11"/>
    <w:basedOn w:val="25"/>
    <w:qFormat/>
    <w:uiPriority w:val="0"/>
    <w:rPr>
      <w:rFonts w:ascii="Times New Roman" w:hAnsi="Times New Roman" w:eastAsia="Times New Roman" w:cs="Times New Roman"/>
    </w:rPr>
    <w:tblPr>
      <w:tblCellMar>
        <w:left w:w="0" w:type="dxa"/>
        <w:right w:w="0" w:type="dxa"/>
      </w:tblCellMar>
    </w:tblPr>
  </w:style>
  <w:style w:type="character" w:customStyle="1" w:styleId="248">
    <w:name w:val="未处理的提及2"/>
    <w:basedOn w:val="2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8.bin"/><Relationship Id="rId98" Type="http://schemas.openxmlformats.org/officeDocument/2006/relationships/image" Target="media/image52.wmf"/><Relationship Id="rId97" Type="http://schemas.openxmlformats.org/officeDocument/2006/relationships/oleObject" Target="embeddings/oleObject37.bin"/><Relationship Id="rId96" Type="http://schemas.openxmlformats.org/officeDocument/2006/relationships/image" Target="media/image51.wmf"/><Relationship Id="rId95" Type="http://schemas.openxmlformats.org/officeDocument/2006/relationships/oleObject" Target="embeddings/oleObject36.bin"/><Relationship Id="rId94" Type="http://schemas.openxmlformats.org/officeDocument/2006/relationships/image" Target="media/image50.wmf"/><Relationship Id="rId93" Type="http://schemas.openxmlformats.org/officeDocument/2006/relationships/oleObject" Target="embeddings/oleObject35.bin"/><Relationship Id="rId92" Type="http://schemas.openxmlformats.org/officeDocument/2006/relationships/image" Target="media/image49.wmf"/><Relationship Id="rId91" Type="http://schemas.openxmlformats.org/officeDocument/2006/relationships/oleObject" Target="embeddings/oleObject34.bin"/><Relationship Id="rId90" Type="http://schemas.openxmlformats.org/officeDocument/2006/relationships/image" Target="media/image48.wmf"/><Relationship Id="rId9" Type="http://schemas.openxmlformats.org/officeDocument/2006/relationships/theme" Target="theme/theme1.xml"/><Relationship Id="rId89" Type="http://schemas.openxmlformats.org/officeDocument/2006/relationships/oleObject" Target="embeddings/oleObject33.bin"/><Relationship Id="rId88" Type="http://schemas.openxmlformats.org/officeDocument/2006/relationships/image" Target="media/image47.wmf"/><Relationship Id="rId87" Type="http://schemas.openxmlformats.org/officeDocument/2006/relationships/oleObject" Target="embeddings/oleObject32.bin"/><Relationship Id="rId86" Type="http://schemas.openxmlformats.org/officeDocument/2006/relationships/image" Target="media/image46.wmf"/><Relationship Id="rId85" Type="http://schemas.openxmlformats.org/officeDocument/2006/relationships/oleObject" Target="embeddings/oleObject31.bin"/><Relationship Id="rId84" Type="http://schemas.openxmlformats.org/officeDocument/2006/relationships/image" Target="media/image45.wmf"/><Relationship Id="rId83" Type="http://schemas.openxmlformats.org/officeDocument/2006/relationships/oleObject" Target="embeddings/oleObject30.bin"/><Relationship Id="rId82" Type="http://schemas.openxmlformats.org/officeDocument/2006/relationships/image" Target="media/image44.wmf"/><Relationship Id="rId81" Type="http://schemas.openxmlformats.org/officeDocument/2006/relationships/oleObject" Target="embeddings/oleObject29.bin"/><Relationship Id="rId80" Type="http://schemas.openxmlformats.org/officeDocument/2006/relationships/image" Target="media/image43.wmf"/><Relationship Id="rId8" Type="http://schemas.openxmlformats.org/officeDocument/2006/relationships/footer" Target="footer3.xml"/><Relationship Id="rId79" Type="http://schemas.openxmlformats.org/officeDocument/2006/relationships/oleObject" Target="embeddings/oleObject28.bin"/><Relationship Id="rId78" Type="http://schemas.openxmlformats.org/officeDocument/2006/relationships/image" Target="media/image42.wmf"/><Relationship Id="rId77" Type="http://schemas.openxmlformats.org/officeDocument/2006/relationships/oleObject" Target="embeddings/oleObject27.bin"/><Relationship Id="rId76" Type="http://schemas.openxmlformats.org/officeDocument/2006/relationships/image" Target="media/image41.wmf"/><Relationship Id="rId75" Type="http://schemas.openxmlformats.org/officeDocument/2006/relationships/oleObject" Target="embeddings/oleObject26.bin"/><Relationship Id="rId74" Type="http://schemas.openxmlformats.org/officeDocument/2006/relationships/image" Target="media/image40.wmf"/><Relationship Id="rId73" Type="http://schemas.openxmlformats.org/officeDocument/2006/relationships/oleObject" Target="embeddings/oleObject25.bin"/><Relationship Id="rId72" Type="http://schemas.openxmlformats.org/officeDocument/2006/relationships/image" Target="media/image39.png"/><Relationship Id="rId71" Type="http://schemas.openxmlformats.org/officeDocument/2006/relationships/image" Target="media/image38.png"/><Relationship Id="rId70" Type="http://schemas.openxmlformats.org/officeDocument/2006/relationships/image" Target="media/image37.png"/><Relationship Id="rId7" Type="http://schemas.openxmlformats.org/officeDocument/2006/relationships/footer" Target="footer2.xml"/><Relationship Id="rId69" Type="http://schemas.openxmlformats.org/officeDocument/2006/relationships/image" Target="media/image36.png"/><Relationship Id="rId68" Type="http://schemas.openxmlformats.org/officeDocument/2006/relationships/oleObject" Target="embeddings/oleObject24.bin"/><Relationship Id="rId67" Type="http://schemas.openxmlformats.org/officeDocument/2006/relationships/image" Target="media/image35.wmf"/><Relationship Id="rId66" Type="http://schemas.openxmlformats.org/officeDocument/2006/relationships/oleObject" Target="embeddings/oleObject23.bin"/><Relationship Id="rId65" Type="http://schemas.openxmlformats.org/officeDocument/2006/relationships/image" Target="media/image34.png"/><Relationship Id="rId64" Type="http://schemas.openxmlformats.org/officeDocument/2006/relationships/image" Target="media/image33.png"/><Relationship Id="rId63" Type="http://schemas.openxmlformats.org/officeDocument/2006/relationships/image" Target="media/image32.png"/><Relationship Id="rId62" Type="http://schemas.openxmlformats.org/officeDocument/2006/relationships/image" Target="media/image31.png"/><Relationship Id="rId61" Type="http://schemas.openxmlformats.org/officeDocument/2006/relationships/image" Target="media/image30.jpeg"/><Relationship Id="rId60" Type="http://schemas.openxmlformats.org/officeDocument/2006/relationships/image" Target="media/image29.jpeg"/><Relationship Id="rId6" Type="http://schemas.openxmlformats.org/officeDocument/2006/relationships/footer" Target="footer1.xml"/><Relationship Id="rId59" Type="http://schemas.openxmlformats.org/officeDocument/2006/relationships/image" Target="media/image28.jpeg"/><Relationship Id="rId58" Type="http://schemas.openxmlformats.org/officeDocument/2006/relationships/image" Target="media/image27.jpeg"/><Relationship Id="rId57" Type="http://schemas.openxmlformats.org/officeDocument/2006/relationships/image" Target="media/image26.wmf"/><Relationship Id="rId56" Type="http://schemas.openxmlformats.org/officeDocument/2006/relationships/oleObject" Target="embeddings/oleObject22.bin"/><Relationship Id="rId55" Type="http://schemas.openxmlformats.org/officeDocument/2006/relationships/image" Target="media/image25.wmf"/><Relationship Id="rId54" Type="http://schemas.openxmlformats.org/officeDocument/2006/relationships/oleObject" Target="embeddings/oleObject21.bin"/><Relationship Id="rId53" Type="http://schemas.openxmlformats.org/officeDocument/2006/relationships/image" Target="media/image24.png"/><Relationship Id="rId52" Type="http://schemas.openxmlformats.org/officeDocument/2006/relationships/image" Target="media/image23.png"/><Relationship Id="rId51" Type="http://schemas.openxmlformats.org/officeDocument/2006/relationships/image" Target="media/image22.png"/><Relationship Id="rId50" Type="http://schemas.openxmlformats.org/officeDocument/2006/relationships/image" Target="media/image21.png"/><Relationship Id="rId5" Type="http://schemas.openxmlformats.org/officeDocument/2006/relationships/header" Target="header3.xml"/><Relationship Id="rId49" Type="http://schemas.openxmlformats.org/officeDocument/2006/relationships/image" Target="media/image20.png"/><Relationship Id="rId48" Type="http://schemas.openxmlformats.org/officeDocument/2006/relationships/oleObject" Target="embeddings/oleObject20.bin"/><Relationship Id="rId47" Type="http://schemas.openxmlformats.org/officeDocument/2006/relationships/image" Target="media/image19.wmf"/><Relationship Id="rId46" Type="http://schemas.openxmlformats.org/officeDocument/2006/relationships/oleObject" Target="embeddings/oleObject19.bin"/><Relationship Id="rId45" Type="http://schemas.openxmlformats.org/officeDocument/2006/relationships/image" Target="media/image18.wmf"/><Relationship Id="rId44" Type="http://schemas.openxmlformats.org/officeDocument/2006/relationships/oleObject" Target="embeddings/oleObject18.bin"/><Relationship Id="rId43" Type="http://schemas.openxmlformats.org/officeDocument/2006/relationships/image" Target="media/image17.wmf"/><Relationship Id="rId42" Type="http://schemas.openxmlformats.org/officeDocument/2006/relationships/oleObject" Target="embeddings/oleObject17.bin"/><Relationship Id="rId41" Type="http://schemas.openxmlformats.org/officeDocument/2006/relationships/image" Target="media/image16.wmf"/><Relationship Id="rId40" Type="http://schemas.openxmlformats.org/officeDocument/2006/relationships/oleObject" Target="embeddings/oleObject16.bin"/><Relationship Id="rId4" Type="http://schemas.openxmlformats.org/officeDocument/2006/relationships/header" Target="header2.xml"/><Relationship Id="rId39" Type="http://schemas.openxmlformats.org/officeDocument/2006/relationships/image" Target="media/image15.wmf"/><Relationship Id="rId38" Type="http://schemas.openxmlformats.org/officeDocument/2006/relationships/oleObject" Target="embeddings/oleObject15.bin"/><Relationship Id="rId37" Type="http://schemas.openxmlformats.org/officeDocument/2006/relationships/image" Target="media/image14.wmf"/><Relationship Id="rId36" Type="http://schemas.openxmlformats.org/officeDocument/2006/relationships/oleObject" Target="embeddings/oleObject14.bin"/><Relationship Id="rId35" Type="http://schemas.openxmlformats.org/officeDocument/2006/relationships/image" Target="media/image13.wmf"/><Relationship Id="rId34" Type="http://schemas.openxmlformats.org/officeDocument/2006/relationships/oleObject" Target="embeddings/oleObject13.bin"/><Relationship Id="rId33" Type="http://schemas.openxmlformats.org/officeDocument/2006/relationships/image" Target="media/image12.wmf"/><Relationship Id="rId32" Type="http://schemas.openxmlformats.org/officeDocument/2006/relationships/oleObject" Target="embeddings/oleObject12.bin"/><Relationship Id="rId31" Type="http://schemas.openxmlformats.org/officeDocument/2006/relationships/image" Target="media/image11.wmf"/><Relationship Id="rId30" Type="http://schemas.openxmlformats.org/officeDocument/2006/relationships/oleObject" Target="embeddings/oleObject11.bin"/><Relationship Id="rId3" Type="http://schemas.openxmlformats.org/officeDocument/2006/relationships/header" Target="header1.xml"/><Relationship Id="rId29" Type="http://schemas.openxmlformats.org/officeDocument/2006/relationships/image" Target="media/image10.wmf"/><Relationship Id="rId28" Type="http://schemas.openxmlformats.org/officeDocument/2006/relationships/oleObject" Target="embeddings/oleObject10.bin"/><Relationship Id="rId27" Type="http://schemas.openxmlformats.org/officeDocument/2006/relationships/image" Target="media/image9.wmf"/><Relationship Id="rId26" Type="http://schemas.openxmlformats.org/officeDocument/2006/relationships/oleObject" Target="embeddings/oleObject9.bin"/><Relationship Id="rId25" Type="http://schemas.openxmlformats.org/officeDocument/2006/relationships/image" Target="media/image8.wmf"/><Relationship Id="rId24" Type="http://schemas.openxmlformats.org/officeDocument/2006/relationships/oleObject" Target="embeddings/oleObject8.bin"/><Relationship Id="rId23" Type="http://schemas.openxmlformats.org/officeDocument/2006/relationships/image" Target="media/image7.wmf"/><Relationship Id="rId22" Type="http://schemas.openxmlformats.org/officeDocument/2006/relationships/oleObject" Target="embeddings/oleObject7.bin"/><Relationship Id="rId21" Type="http://schemas.openxmlformats.org/officeDocument/2006/relationships/image" Target="media/image6.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5.bin"/><Relationship Id="rId175" Type="http://schemas.openxmlformats.org/officeDocument/2006/relationships/fontTable" Target="fontTable.xml"/><Relationship Id="rId174" Type="http://schemas.openxmlformats.org/officeDocument/2006/relationships/numbering" Target="numbering.xml"/><Relationship Id="rId173" Type="http://schemas.openxmlformats.org/officeDocument/2006/relationships/customXml" Target="../customXml/item1.xml"/><Relationship Id="rId172" Type="http://schemas.openxmlformats.org/officeDocument/2006/relationships/image" Target="media/image105.png"/><Relationship Id="rId171" Type="http://schemas.openxmlformats.org/officeDocument/2006/relationships/image" Target="media/image104.png"/><Relationship Id="rId170" Type="http://schemas.openxmlformats.org/officeDocument/2006/relationships/image" Target="media/image103.png"/><Relationship Id="rId17" Type="http://schemas.openxmlformats.org/officeDocument/2006/relationships/image" Target="media/image4.wmf"/><Relationship Id="rId169" Type="http://schemas.openxmlformats.org/officeDocument/2006/relationships/image" Target="media/image102.png"/><Relationship Id="rId168" Type="http://schemas.openxmlformats.org/officeDocument/2006/relationships/image" Target="media/image101.png"/><Relationship Id="rId167" Type="http://schemas.openxmlformats.org/officeDocument/2006/relationships/image" Target="media/image100.wmf"/><Relationship Id="rId166" Type="http://schemas.openxmlformats.org/officeDocument/2006/relationships/oleObject" Target="embeddings/oleObject58.bin"/><Relationship Id="rId165" Type="http://schemas.openxmlformats.org/officeDocument/2006/relationships/image" Target="media/image99.wmf"/><Relationship Id="rId164" Type="http://schemas.openxmlformats.org/officeDocument/2006/relationships/oleObject" Target="embeddings/oleObject57.bin"/><Relationship Id="rId163" Type="http://schemas.openxmlformats.org/officeDocument/2006/relationships/image" Target="media/image98.wmf"/><Relationship Id="rId162" Type="http://schemas.openxmlformats.org/officeDocument/2006/relationships/oleObject" Target="embeddings/oleObject56.bin"/><Relationship Id="rId161" Type="http://schemas.openxmlformats.org/officeDocument/2006/relationships/image" Target="media/image97.wmf"/><Relationship Id="rId160" Type="http://schemas.openxmlformats.org/officeDocument/2006/relationships/oleObject" Target="embeddings/oleObject55.bin"/><Relationship Id="rId16" Type="http://schemas.openxmlformats.org/officeDocument/2006/relationships/oleObject" Target="embeddings/oleObject4.bin"/><Relationship Id="rId159" Type="http://schemas.openxmlformats.org/officeDocument/2006/relationships/image" Target="media/image96.wmf"/><Relationship Id="rId158" Type="http://schemas.openxmlformats.org/officeDocument/2006/relationships/oleObject" Target="embeddings/oleObject54.bin"/><Relationship Id="rId157" Type="http://schemas.openxmlformats.org/officeDocument/2006/relationships/image" Target="media/image95.wmf"/><Relationship Id="rId156" Type="http://schemas.openxmlformats.org/officeDocument/2006/relationships/oleObject" Target="embeddings/oleObject53.bin"/><Relationship Id="rId155" Type="http://schemas.openxmlformats.org/officeDocument/2006/relationships/image" Target="media/image94.wmf"/><Relationship Id="rId154" Type="http://schemas.openxmlformats.org/officeDocument/2006/relationships/oleObject" Target="embeddings/oleObject52.bin"/><Relationship Id="rId153" Type="http://schemas.openxmlformats.org/officeDocument/2006/relationships/image" Target="media/image93.png"/><Relationship Id="rId152" Type="http://schemas.openxmlformats.org/officeDocument/2006/relationships/image" Target="media/image92.png"/><Relationship Id="rId151" Type="http://schemas.openxmlformats.org/officeDocument/2006/relationships/image" Target="media/image91.png"/><Relationship Id="rId150" Type="http://schemas.openxmlformats.org/officeDocument/2006/relationships/image" Target="media/image90.png"/><Relationship Id="rId15" Type="http://schemas.openxmlformats.org/officeDocument/2006/relationships/image" Target="media/image3.wmf"/><Relationship Id="rId149" Type="http://schemas.openxmlformats.org/officeDocument/2006/relationships/image" Target="media/image89.wmf"/><Relationship Id="rId148" Type="http://schemas.openxmlformats.org/officeDocument/2006/relationships/oleObject" Target="embeddings/oleObject51.bin"/><Relationship Id="rId147" Type="http://schemas.openxmlformats.org/officeDocument/2006/relationships/image" Target="media/image88.wmf"/><Relationship Id="rId146" Type="http://schemas.openxmlformats.org/officeDocument/2006/relationships/oleObject" Target="embeddings/oleObject50.bin"/><Relationship Id="rId145" Type="http://schemas.openxmlformats.org/officeDocument/2006/relationships/image" Target="media/image87.png"/><Relationship Id="rId144" Type="http://schemas.openxmlformats.org/officeDocument/2006/relationships/image" Target="media/image86.png"/><Relationship Id="rId143" Type="http://schemas.openxmlformats.org/officeDocument/2006/relationships/image" Target="media/image85.png"/><Relationship Id="rId142" Type="http://schemas.openxmlformats.org/officeDocument/2006/relationships/image" Target="media/image84.png"/><Relationship Id="rId141" Type="http://schemas.openxmlformats.org/officeDocument/2006/relationships/image" Target="media/image83.png"/><Relationship Id="rId140" Type="http://schemas.openxmlformats.org/officeDocument/2006/relationships/image" Target="media/image82.png"/><Relationship Id="rId14" Type="http://schemas.openxmlformats.org/officeDocument/2006/relationships/oleObject" Target="embeddings/oleObject3.bin"/><Relationship Id="rId139" Type="http://schemas.openxmlformats.org/officeDocument/2006/relationships/image" Target="media/image81.png"/><Relationship Id="rId138" Type="http://schemas.openxmlformats.org/officeDocument/2006/relationships/image" Target="media/image80.png"/><Relationship Id="rId137" Type="http://schemas.openxmlformats.org/officeDocument/2006/relationships/image" Target="media/image79.png"/><Relationship Id="rId136" Type="http://schemas.openxmlformats.org/officeDocument/2006/relationships/image" Target="media/image78.png"/><Relationship Id="rId135" Type="http://schemas.openxmlformats.org/officeDocument/2006/relationships/image" Target="media/image77.jpeg"/><Relationship Id="rId134" Type="http://schemas.openxmlformats.org/officeDocument/2006/relationships/image" Target="media/image76.jpeg"/><Relationship Id="rId133" Type="http://schemas.openxmlformats.org/officeDocument/2006/relationships/image" Target="media/image75.jpeg"/><Relationship Id="rId132" Type="http://schemas.openxmlformats.org/officeDocument/2006/relationships/image" Target="media/image74.png"/><Relationship Id="rId131" Type="http://schemas.openxmlformats.org/officeDocument/2006/relationships/image" Target="media/image73.jpeg"/><Relationship Id="rId130" Type="http://schemas.openxmlformats.org/officeDocument/2006/relationships/image" Target="media/image72.jpeg"/><Relationship Id="rId13" Type="http://schemas.openxmlformats.org/officeDocument/2006/relationships/image" Target="media/image2.wmf"/><Relationship Id="rId129" Type="http://schemas.openxmlformats.org/officeDocument/2006/relationships/image" Target="media/image71.png"/><Relationship Id="rId128" Type="http://schemas.openxmlformats.org/officeDocument/2006/relationships/image" Target="media/image70.png"/><Relationship Id="rId127" Type="http://schemas.openxmlformats.org/officeDocument/2006/relationships/image" Target="media/image69.png"/><Relationship Id="rId126" Type="http://schemas.openxmlformats.org/officeDocument/2006/relationships/oleObject" Target="embeddings/oleObject49.bin"/><Relationship Id="rId125" Type="http://schemas.openxmlformats.org/officeDocument/2006/relationships/image" Target="media/image68.wmf"/><Relationship Id="rId124" Type="http://schemas.openxmlformats.org/officeDocument/2006/relationships/oleObject" Target="embeddings/oleObject48.bin"/><Relationship Id="rId123" Type="http://schemas.openxmlformats.org/officeDocument/2006/relationships/image" Target="media/image67.jpeg"/><Relationship Id="rId122" Type="http://schemas.openxmlformats.org/officeDocument/2006/relationships/image" Target="media/image66.png"/><Relationship Id="rId121" Type="http://schemas.openxmlformats.org/officeDocument/2006/relationships/image" Target="media/image65.png"/><Relationship Id="rId120" Type="http://schemas.openxmlformats.org/officeDocument/2006/relationships/image" Target="media/image64.png"/><Relationship Id="rId12" Type="http://schemas.openxmlformats.org/officeDocument/2006/relationships/oleObject" Target="embeddings/oleObject2.bin"/><Relationship Id="rId119" Type="http://schemas.openxmlformats.org/officeDocument/2006/relationships/image" Target="media/image63.png"/><Relationship Id="rId118" Type="http://schemas.openxmlformats.org/officeDocument/2006/relationships/image" Target="media/image62.png"/><Relationship Id="rId117" Type="http://schemas.openxmlformats.org/officeDocument/2006/relationships/image" Target="media/image61.png"/><Relationship Id="rId116" Type="http://schemas.openxmlformats.org/officeDocument/2006/relationships/oleObject" Target="embeddings/oleObject47.bin"/><Relationship Id="rId115" Type="http://schemas.openxmlformats.org/officeDocument/2006/relationships/oleObject" Target="embeddings/oleObject46.bin"/><Relationship Id="rId114" Type="http://schemas.openxmlformats.org/officeDocument/2006/relationships/oleObject" Target="embeddings/oleObject45.bin"/><Relationship Id="rId113" Type="http://schemas.openxmlformats.org/officeDocument/2006/relationships/image" Target="media/image60.wmf"/><Relationship Id="rId112" Type="http://schemas.openxmlformats.org/officeDocument/2006/relationships/oleObject" Target="embeddings/oleObject44.bin"/><Relationship Id="rId111" Type="http://schemas.openxmlformats.org/officeDocument/2006/relationships/image" Target="media/image59.wmf"/><Relationship Id="rId110" Type="http://schemas.openxmlformats.org/officeDocument/2006/relationships/oleObject" Target="embeddings/oleObject43.bin"/><Relationship Id="rId11" Type="http://schemas.openxmlformats.org/officeDocument/2006/relationships/image" Target="media/image1.wmf"/><Relationship Id="rId109" Type="http://schemas.openxmlformats.org/officeDocument/2006/relationships/image" Target="media/image58.jpeg"/><Relationship Id="rId108" Type="http://schemas.openxmlformats.org/officeDocument/2006/relationships/image" Target="media/image57.wmf"/><Relationship Id="rId107" Type="http://schemas.openxmlformats.org/officeDocument/2006/relationships/oleObject" Target="embeddings/oleObject42.bin"/><Relationship Id="rId106" Type="http://schemas.openxmlformats.org/officeDocument/2006/relationships/image" Target="media/image56.wmf"/><Relationship Id="rId105" Type="http://schemas.openxmlformats.org/officeDocument/2006/relationships/oleObject" Target="embeddings/oleObject41.bin"/><Relationship Id="rId104" Type="http://schemas.openxmlformats.org/officeDocument/2006/relationships/image" Target="media/image55.wmf"/><Relationship Id="rId103" Type="http://schemas.openxmlformats.org/officeDocument/2006/relationships/oleObject" Target="embeddings/oleObject40.bin"/><Relationship Id="rId102" Type="http://schemas.openxmlformats.org/officeDocument/2006/relationships/image" Target="media/image54.wmf"/><Relationship Id="rId101" Type="http://schemas.openxmlformats.org/officeDocument/2006/relationships/oleObject" Target="embeddings/oleObject39.bin"/><Relationship Id="rId100" Type="http://schemas.openxmlformats.org/officeDocument/2006/relationships/image" Target="media/image53.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66</Pages>
  <Words>48980</Words>
  <Characters>52865</Characters>
  <Lines>467</Lines>
  <Paragraphs>131</Paragraphs>
  <TotalTime>85</TotalTime>
  <ScaleCrop>false</ScaleCrop>
  <LinksUpToDate>false</LinksUpToDate>
  <CharactersWithSpaces>54169</CharactersWithSpaces>
  <Application>WPS Office_11.8.2.10489_F1E327BC-269C-435d-A152-05C5408002CA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2024-07-18T10:44:00Z</dcterms:created>
  <dc:creator>Administrator</dc:creator>
  <cp:lastModifiedBy>user</cp:lastModifiedBy>
  <dcterms:modified xsi:type="dcterms:W3CDTF">2024-07-29T07:53:55Z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y fmtid="{D5CDD505-2E9C-101B-9397-08002B2CF9AE}" pid="3" name="ICV">
    <vt:lpwstr>564406A1C0C546ADBA7CDD2AAF18AEE5_13</vt:lpwstr>
  </property>
</Properties>
</file>