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b/>
          <w:sz w:val="28"/>
          <w:szCs w:val="28"/>
        </w:rPr>
      </w:pPr>
      <w:bookmarkStart w:id="0" w:name="_Toc29168"/>
      <w:bookmarkStart w:id="1" w:name="_Toc397965640"/>
      <w:bookmarkStart w:id="2" w:name="_Toc404681284"/>
      <w:bookmarkStart w:id="3" w:name="_Toc17122"/>
      <w:bookmarkStart w:id="4" w:name="_Toc26964"/>
      <w:bookmarkStart w:id="5" w:name="_Toc18844"/>
      <w:r>
        <mc:AlternateContent>
          <mc:Choice Requires="wps">
            <w:drawing>
              <wp:anchor distT="0" distB="0" distL="114300" distR="114300" simplePos="0" relativeHeight="251661312" behindDoc="0" locked="0" layoutInCell="1" allowOverlap="1">
                <wp:simplePos x="0" y="0"/>
                <wp:positionH relativeFrom="column">
                  <wp:posOffset>4258310</wp:posOffset>
                </wp:positionH>
                <wp:positionV relativeFrom="paragraph">
                  <wp:posOffset>0</wp:posOffset>
                </wp:positionV>
                <wp:extent cx="1981835" cy="1481455"/>
                <wp:effectExtent l="0" t="0" r="0" b="0"/>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1438275" cy="1481138"/>
                        </a:xfrm>
                        <a:prstGeom prst="rect">
                          <a:avLst/>
                        </a:prstGeom>
                        <a:noFill/>
                        <a:ln>
                          <a:noFill/>
                        </a:ln>
                        <a:effectLst/>
                      </wps:spPr>
                      <wps:txbx>
                        <w:txbxContent>
                          <w:p>
                            <w:pPr>
                              <w:rPr>
                                <w:rFonts w:ascii="Adobe 黑体 Std R" w:hAnsi="Adobe 黑体 Std R" w:eastAsia="Adobe 黑体 Std R"/>
                                <w:sz w:val="144"/>
                                <w:szCs w:val="144"/>
                              </w:rPr>
                            </w:pPr>
                            <w:r>
                              <w:rPr>
                                <w:rFonts w:ascii="Adobe 黑体 Std R" w:hAnsi="Adobe 黑体 Std R" w:eastAsia="Adobe 黑体 Std R"/>
                                <w:sz w:val="144"/>
                                <w:szCs w:val="144"/>
                              </w:rPr>
                              <w:t>D</w:t>
                            </w:r>
                            <w:r>
                              <w:rPr>
                                <w:rFonts w:hint="eastAsia" w:ascii="Adobe 黑体 Std R" w:hAnsi="Adobe 黑体 Std R" w:eastAsia="Adobe 黑体 Std R"/>
                                <w:sz w:val="144"/>
                                <w:szCs w:val="144"/>
                              </w:rPr>
                              <w:t>B</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5.3pt;margin-top:0pt;height:116.65pt;width:156.05pt;z-index:251661312;mso-width-relative:page;mso-height-relative:page;" filled="f" stroked="f" coordsize="21600,21600" o:gfxdata="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uFfXDWAAAA&#10;CAEAAA8AAAAAAAAAAQAgAAAAIgAAAGRycy9kb3ducmV2LnhtbFBLAQIUABQAAAAIAIdO4kC5ZiCI&#10;HwIAACgEAAAOAAAAAAAAAAEAIAAAACUBAABkcnMvZTJvRG9jLnhtbFBLBQYAAAAABgAGAFkBAAC2&#10;BQAAAAA=&#10;">
                <v:fill on="f" focussize="0,0"/>
                <v:stroke on="f"/>
                <v:imagedata o:title=""/>
                <o:lock v:ext="edit" aspectratio="f"/>
                <v:textbox>
                  <w:txbxContent>
                    <w:p>
                      <w:pPr>
                        <w:rPr>
                          <w:rFonts w:ascii="Adobe 黑体 Std R" w:hAnsi="Adobe 黑体 Std R" w:eastAsia="Adobe 黑体 Std R"/>
                          <w:sz w:val="144"/>
                          <w:szCs w:val="144"/>
                        </w:rPr>
                      </w:pPr>
                      <w:r>
                        <w:rPr>
                          <w:rFonts w:ascii="Adobe 黑体 Std R" w:hAnsi="Adobe 黑体 Std R" w:eastAsia="Adobe 黑体 Std R"/>
                          <w:sz w:val="144"/>
                          <w:szCs w:val="144"/>
                        </w:rPr>
                        <w:t>D</w:t>
                      </w:r>
                      <w:r>
                        <w:rPr>
                          <w:rFonts w:hint="eastAsia" w:ascii="Adobe 黑体 Std R" w:hAnsi="Adobe 黑体 Std R" w:eastAsia="Adobe 黑体 Std R"/>
                          <w:sz w:val="144"/>
                          <w:szCs w:val="144"/>
                        </w:rPr>
                        <w:t>B</w:t>
                      </w:r>
                    </w:p>
                  </w:txbxContent>
                </v:textbox>
              </v:shape>
            </w:pict>
          </mc:Fallback>
        </mc:AlternateContent>
      </w:r>
      <w:bookmarkStart w:id="6" w:name="_Toc416447207"/>
      <w:bookmarkStart w:id="7" w:name="_Toc416446805"/>
      <w:bookmarkStart w:id="8" w:name="_Toc416447134"/>
      <w:r>
        <w:rPr>
          <w:b/>
          <w:sz w:val="28"/>
          <w:szCs w:val="28"/>
        </w:rPr>
        <w:t xml:space="preserve"> </w:t>
      </w:r>
      <w:bookmarkStart w:id="9" w:name="_Toc436657055"/>
      <w:bookmarkStart w:id="10" w:name="_Toc432408999"/>
      <w:bookmarkStart w:id="11" w:name="_Toc446926005"/>
      <w:bookmarkStart w:id="12" w:name="_Toc432408951"/>
      <w:bookmarkStart w:id="13" w:name="_Toc432408888"/>
      <w:bookmarkStart w:id="14" w:name="_Toc436656869"/>
      <w:bookmarkStart w:id="15" w:name="_Toc432408800"/>
      <w:bookmarkStart w:id="16" w:name="_Toc436905389"/>
      <w:bookmarkStart w:id="17" w:name="_Toc443385222"/>
      <w:r>
        <w:rPr>
          <w:b/>
          <w:sz w:val="28"/>
          <w:szCs w:val="28"/>
        </w:rPr>
        <w:t>UG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ind w:firstLine="2400" w:firstLineChars="500"/>
        <w:rPr>
          <w:b/>
          <w:sz w:val="28"/>
          <w:szCs w:val="28"/>
        </w:rPr>
      </w:pPr>
      <w:r>
        <w:rPr>
          <w:rFonts w:eastAsia="黑体"/>
          <w:sz w:val="48"/>
          <w:szCs w:val="48"/>
        </w:rPr>
        <w:t>北京市地方标准</w:t>
      </w:r>
    </w:p>
    <w:p>
      <w:pPr>
        <w:ind w:firstLine="480" w:firstLineChars="100"/>
        <w:rPr>
          <w:rFonts w:eastAsia="黑体"/>
          <w:sz w:val="48"/>
          <w:szCs w:val="48"/>
        </w:rPr>
      </w:pPr>
    </w:p>
    <w:p>
      <w:pPr>
        <w:rPr>
          <w:b/>
          <w:szCs w:val="21"/>
        </w:rPr>
      </w:pPr>
    </w:p>
    <w:p>
      <w:pPr>
        <w:ind w:firstLine="2108" w:firstLineChars="1000"/>
        <w:rPr>
          <w:b/>
          <w:snapToGrid w:val="0"/>
          <w:kern w:val="0"/>
          <w:szCs w:val="21"/>
        </w:rPr>
      </w:pPr>
      <w:r>
        <w:rPr>
          <w:b/>
          <w:szCs w:val="21"/>
        </w:rPr>
        <w:t xml:space="preserve">                               </w:t>
      </w:r>
      <w:r>
        <w:rPr>
          <w:b/>
          <w:snapToGrid w:val="0"/>
          <w:kern w:val="0"/>
          <w:szCs w:val="21"/>
        </w:rPr>
        <w:t>编  号：</w:t>
      </w:r>
      <w:r>
        <w:rPr>
          <w:rFonts w:hint="eastAsia"/>
          <w:b/>
          <w:snapToGrid w:val="0"/>
          <w:kern w:val="0"/>
          <w:szCs w:val="21"/>
        </w:rPr>
        <w:t>DB11/T 1469-</w:t>
      </w:r>
      <w:r>
        <w:rPr>
          <w:b/>
          <w:snapToGrid w:val="0"/>
          <w:kern w:val="0"/>
          <w:szCs w:val="21"/>
        </w:rPr>
        <w:t>20</w:t>
      </w:r>
      <w:r>
        <w:rPr>
          <w:rFonts w:hint="eastAsia"/>
          <w:b/>
          <w:snapToGrid w:val="0"/>
          <w:kern w:val="0"/>
          <w:szCs w:val="21"/>
        </w:rPr>
        <w:t>2</w:t>
      </w:r>
      <w:r>
        <w:rPr>
          <w:b/>
          <w:snapToGrid w:val="0"/>
          <w:kern w:val="0"/>
          <w:szCs w:val="21"/>
        </w:rPr>
        <w:t>X</w:t>
      </w:r>
    </w:p>
    <w:p>
      <w:pPr>
        <w:rPr>
          <w:b/>
          <w:szCs w:val="21"/>
        </w:rPr>
      </w:pPr>
      <w:r>
        <w:rPr>
          <w:b/>
          <w:szCs w:val="21"/>
        </w:rPr>
        <w:t xml:space="preserve">                                                   备案号：J×－20</w:t>
      </w:r>
      <w:r>
        <w:rPr>
          <w:rFonts w:hint="eastAsia"/>
          <w:b/>
          <w:szCs w:val="21"/>
        </w:rPr>
        <w:t>2</w:t>
      </w:r>
      <w:r>
        <w:rPr>
          <w:b/>
          <w:szCs w:val="21"/>
        </w:rPr>
        <w:t>×</w:t>
      </w:r>
    </w:p>
    <w:p>
      <w:pPr>
        <w:rPr>
          <w:sz w:val="28"/>
          <w:szCs w:val="28"/>
        </w:rPr>
      </w:pPr>
      <w: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49530</wp:posOffset>
                </wp:positionV>
                <wp:extent cx="6112510" cy="0"/>
                <wp:effectExtent l="0" t="4445" r="0" b="5080"/>
                <wp:wrapNone/>
                <wp:docPr id="123" name="直接连接符 123"/>
                <wp:cNvGraphicFramePr/>
                <a:graphic xmlns:a="http://schemas.openxmlformats.org/drawingml/2006/main">
                  <a:graphicData uri="http://schemas.microsoft.com/office/word/2010/wordprocessingShape">
                    <wps:wsp>
                      <wps:cNvCnPr>
                        <a:cxnSpLocks noChangeShapeType="1"/>
                      </wps:cNvCnPr>
                      <wps:spPr bwMode="auto">
                        <a:xfrm>
                          <a:off x="0" y="0"/>
                          <a:ext cx="611251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5pt;margin-top:3.9pt;height:0pt;width:481.3pt;z-index:251660288;mso-width-relative:page;mso-height-relative:page;" filled="f" stroked="t" coordsize="21600,21600" o:gfxdata="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D15qbU&#10;AAAABgEAAA8AAAAAAAAAAQAgAAAAIgAAAGRycy9kb3ducmV2LnhtbFBLAQIUABQAAAAIAIdO4kBw&#10;a2LG6wEAALwDAAAOAAAAAAAAAAEAIAAAACMBAABkcnMvZTJvRG9jLnhtbFBLBQYAAAAABgAGAFkB&#10;AACABQAAAAA=&#10;">
                <v:fill on="f" focussize="0,0"/>
                <v:stroke color="#000000" joinstyle="round"/>
                <v:imagedata o:title=""/>
                <o:lock v:ext="edit" aspectratio="f"/>
              </v:line>
            </w:pict>
          </mc:Fallback>
        </mc:AlternateContent>
      </w:r>
    </w:p>
    <w:p>
      <w:pPr>
        <w:rPr>
          <w:sz w:val="28"/>
          <w:szCs w:val="28"/>
        </w:rPr>
      </w:pPr>
    </w:p>
    <w:p>
      <w:pPr>
        <w:rPr>
          <w:sz w:val="28"/>
          <w:szCs w:val="28"/>
        </w:rPr>
      </w:pPr>
    </w:p>
    <w:p>
      <w:pPr>
        <w:pStyle w:val="23"/>
        <w:spacing w:line="240" w:lineRule="auto"/>
        <w:outlineLvl w:val="0"/>
        <w:rPr>
          <w:rFonts w:ascii="Times New Roman"/>
          <w:sz w:val="44"/>
          <w:szCs w:val="44"/>
        </w:rPr>
      </w:pPr>
      <w:bookmarkStart w:id="18" w:name="_Toc8386"/>
      <w:bookmarkStart w:id="19" w:name="_Toc25416"/>
      <w:bookmarkStart w:id="20" w:name="_Toc15593"/>
      <w:bookmarkStart w:id="21" w:name="_Toc18275"/>
      <w:r>
        <w:rPr>
          <w:rFonts w:ascii="Times New Roman"/>
          <w:sz w:val="44"/>
          <w:szCs w:val="44"/>
        </w:rPr>
        <w:t>建设工程施工现场安全防护、场容卫生及消防保卫标准 第2部分：防护设施</w:t>
      </w:r>
      <w:bookmarkEnd w:id="18"/>
      <w:bookmarkEnd w:id="19"/>
      <w:bookmarkEnd w:id="20"/>
      <w:bookmarkEnd w:id="21"/>
    </w:p>
    <w:p>
      <w:pPr>
        <w:pStyle w:val="23"/>
        <w:spacing w:line="240" w:lineRule="auto"/>
        <w:rPr>
          <w:rFonts w:ascii="Times New Roman"/>
          <w:sz w:val="28"/>
          <w:szCs w:val="28"/>
        </w:rPr>
      </w:pPr>
      <w:bookmarkStart w:id="22" w:name="_Hlk148019118"/>
      <w:r>
        <w:rPr>
          <w:rFonts w:ascii="Times New Roman"/>
          <w:sz w:val="28"/>
          <w:szCs w:val="28"/>
        </w:rPr>
        <w:t>Technical specification of security protection facilities in construction site Second parts: protective equipment</w:t>
      </w:r>
    </w:p>
    <w:bookmarkEnd w:id="22"/>
    <w:p>
      <w:pPr>
        <w:jc w:val="center"/>
        <w:rPr>
          <w:rFonts w:eastAsia="黑体"/>
          <w:kern w:val="0"/>
          <w:sz w:val="28"/>
          <w:szCs w:val="28"/>
        </w:rPr>
      </w:pPr>
      <w:r>
        <w:rPr>
          <w:rFonts w:eastAsia="黑体"/>
          <w:kern w:val="0"/>
          <w:sz w:val="28"/>
          <w:szCs w:val="28"/>
        </w:rPr>
        <w:t>（</w:t>
      </w:r>
      <w:r>
        <w:rPr>
          <w:rFonts w:hint="eastAsia" w:eastAsia="黑体"/>
          <w:kern w:val="0"/>
          <w:sz w:val="28"/>
          <w:szCs w:val="28"/>
        </w:rPr>
        <w:t>征求意见</w:t>
      </w:r>
      <w:r>
        <w:rPr>
          <w:rFonts w:eastAsia="黑体"/>
          <w:kern w:val="0"/>
          <w:sz w:val="28"/>
          <w:szCs w:val="28"/>
        </w:rPr>
        <w:t>稿）</w:t>
      </w:r>
    </w:p>
    <w:p>
      <w:pPr>
        <w:rPr>
          <w:sz w:val="28"/>
          <w:szCs w:val="28"/>
        </w:rPr>
      </w:pPr>
    </w:p>
    <w:p>
      <w:pPr>
        <w:rPr>
          <w:kern w:val="0"/>
          <w:sz w:val="28"/>
          <w:szCs w:val="28"/>
        </w:rPr>
      </w:pPr>
    </w:p>
    <w:p>
      <w:pPr>
        <w:rPr>
          <w:sz w:val="28"/>
          <w:szCs w:val="28"/>
        </w:rPr>
      </w:pPr>
    </w:p>
    <w:p>
      <w:pPr>
        <w:rPr>
          <w:sz w:val="28"/>
          <w:szCs w:val="28"/>
        </w:rPr>
      </w:pPr>
    </w:p>
    <w:p>
      <w:pPr>
        <w:rPr>
          <w:sz w:val="28"/>
          <w:szCs w:val="28"/>
        </w:rPr>
      </w:pPr>
    </w:p>
    <w:p>
      <w:pPr>
        <w:jc w:val="center"/>
        <w:rPr>
          <w:rFonts w:eastAsia="黑体"/>
          <w:b/>
          <w:sz w:val="28"/>
          <w:szCs w:val="28"/>
        </w:rPr>
      </w:pPr>
      <w:r>
        <w:rPr>
          <w:rFonts w:eastAsia="黑体"/>
          <w:b/>
          <w:sz w:val="28"/>
          <w:szCs w:val="28"/>
        </w:rPr>
        <w:t>20</w:t>
      </w:r>
      <w:r>
        <w:rPr>
          <w:rFonts w:hint="eastAsia" w:eastAsia="黑体"/>
          <w:b/>
          <w:sz w:val="28"/>
          <w:szCs w:val="28"/>
        </w:rPr>
        <w:t>2</w:t>
      </w:r>
      <w:r>
        <w:rPr>
          <w:rFonts w:eastAsia="黑体"/>
          <w:b/>
          <w:sz w:val="28"/>
          <w:szCs w:val="28"/>
        </w:rPr>
        <w:t>×</w:t>
      </w:r>
      <w:r>
        <w:rPr>
          <w:rFonts w:hint="eastAsia" w:eastAsia="黑体"/>
          <w:b/>
          <w:sz w:val="28"/>
          <w:szCs w:val="28"/>
        </w:rPr>
        <w:t>－</w:t>
      </w:r>
      <w:r>
        <w:rPr>
          <w:rFonts w:eastAsia="黑体"/>
          <w:b/>
          <w:sz w:val="28"/>
          <w:szCs w:val="28"/>
        </w:rPr>
        <w:t>××</w:t>
      </w:r>
      <w:r>
        <w:rPr>
          <w:rFonts w:hint="eastAsia" w:eastAsia="黑体"/>
          <w:b/>
          <w:sz w:val="28"/>
          <w:szCs w:val="28"/>
        </w:rPr>
        <w:t>－</w:t>
      </w:r>
      <w:r>
        <w:rPr>
          <w:rFonts w:eastAsia="黑体"/>
          <w:b/>
          <w:sz w:val="28"/>
          <w:szCs w:val="28"/>
        </w:rPr>
        <w:t>××</w:t>
      </w:r>
      <w:r>
        <w:rPr>
          <w:rFonts w:hint="eastAsia" w:eastAsia="黑体"/>
          <w:b/>
          <w:sz w:val="28"/>
          <w:szCs w:val="28"/>
        </w:rPr>
        <w:t>发布</w:t>
      </w:r>
      <w:r>
        <w:rPr>
          <w:rFonts w:eastAsia="黑体"/>
          <w:b/>
          <w:sz w:val="28"/>
          <w:szCs w:val="28"/>
        </w:rPr>
        <w:t xml:space="preserve">                         20</w:t>
      </w:r>
      <w:r>
        <w:rPr>
          <w:rFonts w:hint="eastAsia" w:eastAsia="黑体"/>
          <w:b/>
          <w:sz w:val="28"/>
          <w:szCs w:val="28"/>
        </w:rPr>
        <w:t>2</w:t>
      </w:r>
      <w:r>
        <w:rPr>
          <w:rFonts w:eastAsia="黑体"/>
          <w:b/>
          <w:sz w:val="28"/>
          <w:szCs w:val="28"/>
        </w:rPr>
        <w:t>×</w:t>
      </w:r>
      <w:r>
        <w:rPr>
          <w:rFonts w:hint="eastAsia" w:eastAsia="黑体"/>
          <w:b/>
          <w:sz w:val="28"/>
          <w:szCs w:val="28"/>
        </w:rPr>
        <w:t>－</w:t>
      </w:r>
      <w:r>
        <w:rPr>
          <w:rFonts w:eastAsia="黑体"/>
          <w:b/>
          <w:sz w:val="28"/>
          <w:szCs w:val="28"/>
        </w:rPr>
        <w:t>××</w:t>
      </w:r>
      <w:r>
        <w:rPr>
          <w:rFonts w:hint="eastAsia" w:eastAsia="黑体"/>
          <w:b/>
          <w:sz w:val="28"/>
          <w:szCs w:val="28"/>
        </w:rPr>
        <w:t>－</w:t>
      </w:r>
      <w:r>
        <w:rPr>
          <w:rFonts w:eastAsia="黑体"/>
          <w:b/>
          <w:sz w:val="28"/>
          <w:szCs w:val="28"/>
        </w:rPr>
        <w:t>××</w:t>
      </w:r>
      <w:r>
        <w:rPr>
          <w:rFonts w:hint="eastAsia" w:eastAsia="黑体"/>
          <w:b/>
          <w:sz w:val="28"/>
          <w:szCs w:val="28"/>
        </w:rPr>
        <w:t>实施</w:t>
      </w:r>
    </w:p>
    <w:p>
      <w:pPr>
        <w:rPr>
          <w:sz w:val="28"/>
          <w:szCs w:val="28"/>
        </w:rPr>
      </w:pPr>
      <w:r>
        <w:rPr>
          <w:rFonts w:ascii="Plotter" w:hAnsi="Plotter" w:cs="Plotter"/>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24765</wp:posOffset>
                </wp:positionV>
                <wp:extent cx="6200775" cy="0"/>
                <wp:effectExtent l="0" t="4445" r="0" b="508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2pt;margin-top:1.95pt;height:0pt;width:488.25pt;z-index:251669504;mso-width-relative:page;mso-height-relative:page;" filled="f" stroked="t" coordsize="21600,21600" o:gfxdata="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bFgK9UA&#10;AAAHAQAADwAAAAAAAAABACAAAAAiAAAAZHJzL2Rvd25yZXYueG1sUEsBAhQAFAAAAAgAh07iQEks&#10;BD/pAQAAuAMAAA4AAAAAAAAAAQAgAAAAJAEAAGRycy9lMm9Eb2MueG1sUEsFBgAAAAAGAAYAWQEA&#10;AH8FAAAAAA==&#10;">
                <v:fill on="f" focussize="0,0"/>
                <v:stroke color="#000000" joinstyle="round"/>
                <v:imagedata o:title=""/>
                <o:lock v:ext="edit" aspectratio="f"/>
              </v:line>
            </w:pict>
          </mc:Fallback>
        </mc:AlternateContent>
      </w:r>
    </w:p>
    <w:p>
      <w:pPr>
        <w:ind w:firstLine="2570" w:firstLineChars="800"/>
        <w:rPr>
          <w:rFonts w:ascii="黑体" w:eastAsia="黑体"/>
          <w:b/>
          <w:sz w:val="32"/>
          <w:szCs w:val="32"/>
        </w:rPr>
      </w:pPr>
      <w:r>
        <w:rPr>
          <w:rFonts w:hint="eastAsia" w:ascii="黑体" w:eastAsia="黑体"/>
          <w:b/>
          <w:kern w:val="0"/>
          <w:sz w:val="32"/>
          <w:szCs w:val="32"/>
        </w:rPr>
        <mc:AlternateContent>
          <mc:Choice Requires="wps">
            <w:drawing>
              <wp:anchor distT="45720" distB="45720" distL="114300" distR="114300" simplePos="0" relativeHeight="251670528" behindDoc="0" locked="0" layoutInCell="1" allowOverlap="1">
                <wp:simplePos x="0" y="0"/>
                <wp:positionH relativeFrom="column">
                  <wp:posOffset>3838575</wp:posOffset>
                </wp:positionH>
                <wp:positionV relativeFrom="paragraph">
                  <wp:posOffset>152400</wp:posOffset>
                </wp:positionV>
                <wp:extent cx="1410970" cy="487680"/>
                <wp:effectExtent l="0" t="0" r="0" b="0"/>
                <wp:wrapSquare wrapText="bothSides"/>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1410970" cy="487680"/>
                        </a:xfrm>
                        <a:prstGeom prst="rect">
                          <a:avLst/>
                        </a:prstGeom>
                        <a:noFill/>
                        <a:ln w="9525">
                          <a:noFill/>
                          <a:miter lim="800000"/>
                        </a:ln>
                        <a:effectLst/>
                      </wps:spPr>
                      <wps:txbx>
                        <w:txbxContent>
                          <w:p>
                            <w:r>
                              <w:rPr>
                                <w:rFonts w:ascii="黑体" w:eastAsia="黑体"/>
                                <w:b/>
                                <w:sz w:val="32"/>
                                <w:szCs w:val="32"/>
                              </w:rPr>
                              <w:t>联合</w:t>
                            </w:r>
                            <w:r>
                              <w:rPr>
                                <w:rFonts w:hint="eastAsia" w:ascii="黑体" w:eastAsia="黑体"/>
                                <w:b/>
                                <w:sz w:val="32"/>
                                <w:szCs w:val="32"/>
                              </w:rPr>
                              <w:t>发布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02.25pt;margin-top:12pt;height:38.4pt;width:111.1pt;mso-wrap-distance-bottom:3.6pt;mso-wrap-distance-left:9pt;mso-wrap-distance-right:9pt;mso-wrap-distance-top:3.6pt;z-index:251670528;mso-width-relative:page;mso-height-relative:margin;mso-height-percent:200;" filled="f" stroked="f" coordsize="21600,21600" o:gfxdata="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1eRldcAAAAKAQAADwAAAAAAAAABACAAAAAiAAAAZHJzL2Rvd25yZXYueG1sUEsBAhQA&#10;FAAAAAgAh07iQOzU6T4sAgAAOQQAAA4AAAAAAAAAAQAgAAAAJgEAAGRycy9lMm9Eb2MueG1sUEsF&#10;BgAAAAAGAAYAWQEAAMQFAAAAAA==&#10;">
                <v:fill on="f" focussize="0,0"/>
                <v:stroke on="f" miterlimit="8" joinstyle="miter"/>
                <v:imagedata o:title=""/>
                <o:lock v:ext="edit" aspectratio="f"/>
                <v:textbox style="mso-fit-shape-to-text:t;">
                  <w:txbxContent>
                    <w:p>
                      <w:r>
                        <w:rPr>
                          <w:rFonts w:ascii="黑体" w:eastAsia="黑体"/>
                          <w:b/>
                          <w:sz w:val="32"/>
                          <w:szCs w:val="32"/>
                        </w:rPr>
                        <w:t>联合</w:t>
                      </w:r>
                      <w:r>
                        <w:rPr>
                          <w:rFonts w:hint="eastAsia" w:ascii="黑体" w:eastAsia="黑体"/>
                          <w:b/>
                          <w:sz w:val="32"/>
                          <w:szCs w:val="32"/>
                        </w:rPr>
                        <w:t>发布</w:t>
                      </w:r>
                    </w:p>
                  </w:txbxContent>
                </v:textbox>
                <w10:wrap type="square"/>
              </v:shape>
            </w:pict>
          </mc:Fallback>
        </mc:AlternateContent>
      </w:r>
      <w:r>
        <w:rPr>
          <w:rFonts w:hint="eastAsia" w:ascii="黑体" w:eastAsia="黑体"/>
          <w:b/>
          <w:spacing w:val="0"/>
          <w:w w:val="78"/>
          <w:kern w:val="0"/>
          <w:sz w:val="32"/>
          <w:szCs w:val="32"/>
          <w:fitText w:val="3259" w:id="750079087"/>
        </w:rPr>
        <w:t>北京市住房和城乡建设委员会</w:t>
      </w:r>
    </w:p>
    <w:p>
      <w:pPr>
        <w:jc w:val="center"/>
        <w:rPr>
          <w:rFonts w:ascii="黑体" w:eastAsia="黑体"/>
          <w:b/>
          <w:sz w:val="32"/>
          <w:szCs w:val="32"/>
        </w:rPr>
      </w:pPr>
      <w:r>
        <w:rPr>
          <w:rFonts w:hint="eastAsia" w:ascii="黑体" w:eastAsia="黑体"/>
          <w:b/>
          <w:sz w:val="32"/>
          <w:szCs w:val="32"/>
        </w:rPr>
        <w:t xml:space="preserve">               北京市市场监督管理局</w:t>
      </w:r>
    </w:p>
    <w:p>
      <w:pPr>
        <w:jc w:val="left"/>
        <w:rPr>
          <w:rFonts w:hint="eastAsia" w:ascii="黑体" w:eastAsia="黑体"/>
          <w:b/>
          <w:kern w:val="0"/>
          <w:sz w:val="32"/>
          <w:szCs w:val="32"/>
        </w:rPr>
      </w:pPr>
    </w:p>
    <w:p>
      <w:pPr>
        <w:jc w:val="center"/>
        <w:rPr>
          <w:rFonts w:eastAsia="黑体"/>
          <w:b/>
          <w:sz w:val="32"/>
          <w:szCs w:val="32"/>
        </w:rPr>
      </w:pPr>
      <w:bookmarkStart w:id="23" w:name="_Toc432408890"/>
      <w:bookmarkStart w:id="24" w:name="_Toc446926006"/>
      <w:bookmarkStart w:id="25" w:name="_Toc432408802"/>
      <w:r>
        <w:rPr>
          <w:rFonts w:eastAsia="黑体"/>
          <w:b/>
          <w:sz w:val="32"/>
          <w:szCs w:val="32"/>
        </w:rPr>
        <w:t>北京市地方标准</w:t>
      </w:r>
    </w:p>
    <w:p>
      <w:pPr>
        <w:jc w:val="center"/>
        <w:rPr>
          <w:rFonts w:eastAsia="黑体"/>
          <w:b/>
          <w:sz w:val="32"/>
          <w:szCs w:val="32"/>
        </w:rPr>
      </w:pPr>
    </w:p>
    <w:p>
      <w:pPr>
        <w:jc w:val="center"/>
        <w:rPr>
          <w:rFonts w:eastAsia="黑体"/>
          <w:b/>
          <w:sz w:val="32"/>
          <w:szCs w:val="32"/>
        </w:rPr>
      </w:pPr>
    </w:p>
    <w:p>
      <w:pPr>
        <w:jc w:val="center"/>
        <w:rPr>
          <w:rFonts w:eastAsia="黑体"/>
          <w:b/>
          <w:sz w:val="32"/>
          <w:szCs w:val="32"/>
        </w:rPr>
      </w:pPr>
    </w:p>
    <w:p>
      <w:pPr>
        <w:pStyle w:val="23"/>
        <w:spacing w:line="240" w:lineRule="auto"/>
        <w:outlineLvl w:val="0"/>
        <w:rPr>
          <w:rFonts w:ascii="Times New Roman"/>
          <w:sz w:val="44"/>
          <w:szCs w:val="44"/>
        </w:rPr>
      </w:pPr>
      <w:bookmarkStart w:id="26" w:name="_Toc1629"/>
      <w:bookmarkStart w:id="27" w:name="_Toc21460"/>
      <w:bookmarkStart w:id="28" w:name="_Toc16362"/>
      <w:bookmarkStart w:id="29" w:name="_Toc22072"/>
      <w:r>
        <w:rPr>
          <w:rFonts w:ascii="Times New Roman"/>
          <w:sz w:val="44"/>
          <w:szCs w:val="44"/>
        </w:rPr>
        <w:t>建设工程施工现场安全防护、场容卫生及消防保卫标准 第2部分：防护设施</w:t>
      </w:r>
      <w:bookmarkEnd w:id="26"/>
      <w:bookmarkEnd w:id="27"/>
      <w:bookmarkEnd w:id="28"/>
      <w:bookmarkEnd w:id="29"/>
    </w:p>
    <w:p>
      <w:pPr>
        <w:pStyle w:val="23"/>
        <w:spacing w:line="240" w:lineRule="auto"/>
        <w:rPr>
          <w:rFonts w:ascii="Times New Roman"/>
          <w:sz w:val="28"/>
          <w:szCs w:val="28"/>
        </w:rPr>
      </w:pPr>
      <w:r>
        <w:rPr>
          <w:rFonts w:ascii="Times New Roman"/>
          <w:sz w:val="28"/>
          <w:szCs w:val="28"/>
        </w:rPr>
        <w:t>Technical specification of security protection facilities in construction site Second parts</w:t>
      </w:r>
      <w:r>
        <w:rPr>
          <w:rFonts w:hint="eastAsia" w:ascii="Times New Roman"/>
          <w:sz w:val="28"/>
          <w:szCs w:val="28"/>
        </w:rPr>
        <w:t>：</w:t>
      </w:r>
      <w:r>
        <w:rPr>
          <w:rFonts w:ascii="Times New Roman"/>
          <w:sz w:val="28"/>
          <w:szCs w:val="28"/>
        </w:rPr>
        <w:t> protective equipment</w:t>
      </w:r>
    </w:p>
    <w:p>
      <w:pPr>
        <w:jc w:val="center"/>
        <w:rPr>
          <w:rFonts w:eastAsia="黑体"/>
          <w:b/>
          <w:sz w:val="32"/>
          <w:szCs w:val="32"/>
        </w:rPr>
      </w:pPr>
    </w:p>
    <w:p>
      <w:pPr>
        <w:jc w:val="center"/>
        <w:outlineLvl w:val="0"/>
        <w:rPr>
          <w:rFonts w:eastAsia="黑体"/>
          <w:b/>
          <w:szCs w:val="21"/>
        </w:rPr>
      </w:pPr>
      <w:bookmarkStart w:id="30" w:name="_Toc18263"/>
      <w:bookmarkStart w:id="31" w:name="_Toc14508"/>
      <w:bookmarkStart w:id="32" w:name="_Toc3786"/>
      <w:bookmarkStart w:id="33" w:name="_Toc13134"/>
      <w:r>
        <w:rPr>
          <w:rFonts w:hint="eastAsia" w:eastAsia="黑体"/>
          <w:b/>
          <w:szCs w:val="21"/>
        </w:rPr>
        <w:t xml:space="preserve"> </w:t>
      </w:r>
      <w:r>
        <w:rPr>
          <w:rFonts w:eastAsia="黑体"/>
          <w:b/>
          <w:szCs w:val="21"/>
        </w:rPr>
        <w:t>编  号：DB11</w:t>
      </w:r>
      <w:r>
        <w:rPr>
          <w:rFonts w:hint="eastAsia" w:eastAsia="黑体"/>
          <w:b/>
          <w:szCs w:val="21"/>
        </w:rPr>
        <w:t xml:space="preserve">/T </w:t>
      </w:r>
      <w:r>
        <w:rPr>
          <w:rFonts w:eastAsia="黑体"/>
          <w:b/>
          <w:szCs w:val="21"/>
        </w:rPr>
        <w:t>XXX-20</w:t>
      </w:r>
      <w:r>
        <w:rPr>
          <w:rFonts w:hint="eastAsia" w:eastAsia="黑体"/>
          <w:b/>
          <w:szCs w:val="21"/>
        </w:rPr>
        <w:t>2</w:t>
      </w:r>
      <w:r>
        <w:rPr>
          <w:rFonts w:eastAsia="黑体"/>
          <w:b/>
          <w:szCs w:val="21"/>
        </w:rPr>
        <w:t>X</w:t>
      </w:r>
      <w:bookmarkEnd w:id="30"/>
      <w:bookmarkEnd w:id="31"/>
      <w:bookmarkEnd w:id="32"/>
      <w:bookmarkEnd w:id="33"/>
    </w:p>
    <w:p>
      <w:pPr>
        <w:ind w:firstLine="2951" w:firstLineChars="1400"/>
        <w:rPr>
          <w:rFonts w:eastAsia="黑体"/>
          <w:b/>
          <w:sz w:val="32"/>
          <w:szCs w:val="32"/>
        </w:rPr>
      </w:pPr>
      <w:r>
        <w:rPr>
          <w:rFonts w:eastAsia="黑体"/>
          <w:b/>
          <w:szCs w:val="21"/>
        </w:rPr>
        <w:t>备案号：J</w:t>
      </w:r>
      <w:r>
        <w:rPr>
          <w:szCs w:val="21"/>
        </w:rPr>
        <w:t>×</w:t>
      </w:r>
      <w:r>
        <w:rPr>
          <w:rFonts w:eastAsia="黑体"/>
          <w:b/>
          <w:szCs w:val="21"/>
        </w:rPr>
        <w:t xml:space="preserve">   -201</w:t>
      </w:r>
      <w:r>
        <w:rPr>
          <w:szCs w:val="21"/>
        </w:rPr>
        <w:t>×</w:t>
      </w:r>
    </w:p>
    <w:p>
      <w:pPr>
        <w:rPr>
          <w:szCs w:val="21"/>
        </w:rPr>
      </w:pPr>
    </w:p>
    <w:p>
      <w:pPr>
        <w:ind w:firstLine="2520" w:firstLineChars="1200"/>
        <w:rPr>
          <w:rFonts w:eastAsia="黑体"/>
          <w:b/>
          <w:sz w:val="32"/>
          <w:szCs w:val="32"/>
        </w:rPr>
      </w:pPr>
      <w:r>
        <w:rPr>
          <w:szCs w:val="21"/>
        </w:rPr>
        <w:t>主编</w:t>
      </w:r>
      <w:r>
        <w:rPr>
          <w:rFonts w:hint="eastAsia"/>
          <w:szCs w:val="21"/>
        </w:rPr>
        <w:t>单位</w:t>
      </w:r>
      <w:r>
        <w:rPr>
          <w:szCs w:val="21"/>
        </w:rPr>
        <w:t>：北京城建科技促进会</w:t>
      </w:r>
    </w:p>
    <w:p>
      <w:pPr>
        <w:ind w:firstLine="2520" w:firstLineChars="1200"/>
        <w:rPr>
          <w:szCs w:val="21"/>
        </w:rPr>
      </w:pPr>
      <w:r>
        <w:rPr>
          <w:szCs w:val="21"/>
        </w:rPr>
        <w:t>批准部门：</w:t>
      </w:r>
      <w:r>
        <w:rPr>
          <w:rFonts w:hint="eastAsia"/>
          <w:szCs w:val="21"/>
        </w:rPr>
        <w:t>北京市住房和城乡建设委员会</w:t>
      </w:r>
    </w:p>
    <w:p>
      <w:pPr>
        <w:ind w:firstLine="3570" w:firstLineChars="1700"/>
        <w:rPr>
          <w:szCs w:val="21"/>
        </w:rPr>
      </w:pPr>
      <w:r>
        <w:rPr>
          <w:szCs w:val="21"/>
        </w:rPr>
        <w:t>北京市</w:t>
      </w:r>
      <w:r>
        <w:rPr>
          <w:rFonts w:hint="eastAsia"/>
          <w:szCs w:val="21"/>
        </w:rPr>
        <w:t>市场监督管理</w:t>
      </w:r>
      <w:r>
        <w:rPr>
          <w:szCs w:val="21"/>
        </w:rPr>
        <w:t>局</w:t>
      </w:r>
    </w:p>
    <w:p>
      <w:pPr>
        <w:ind w:firstLine="3570" w:firstLineChars="1700"/>
        <w:rPr>
          <w:szCs w:val="21"/>
        </w:rPr>
      </w:pPr>
    </w:p>
    <w:p>
      <w:pPr>
        <w:ind w:firstLine="2520" w:firstLineChars="1200"/>
        <w:rPr>
          <w:szCs w:val="21"/>
        </w:rPr>
      </w:pPr>
      <w:r>
        <w:rPr>
          <w:szCs w:val="21"/>
        </w:rPr>
        <w:t>施行日期：20</w:t>
      </w:r>
      <w:r>
        <w:rPr>
          <w:rFonts w:hint="eastAsia"/>
          <w:szCs w:val="21"/>
        </w:rPr>
        <w:t>2</w:t>
      </w:r>
      <w:r>
        <w:rPr>
          <w:szCs w:val="21"/>
        </w:rPr>
        <w:t>×年×月×日</w:t>
      </w: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jc w:val="center"/>
        <w:rPr>
          <w:rFonts w:eastAsia="黑体"/>
          <w:szCs w:val="21"/>
        </w:rPr>
        <w:sectPr>
          <w:footerReference r:id="rId5" w:type="first"/>
          <w:headerReference r:id="rId3" w:type="default"/>
          <w:footerReference r:id="rId4" w:type="default"/>
          <w:pgSz w:w="11906" w:h="16838"/>
          <w:pgMar w:top="1440" w:right="1797" w:bottom="1440" w:left="1797" w:header="851" w:footer="1474" w:gutter="0"/>
          <w:pgNumType w:fmt="upperRoman" w:start="1"/>
          <w:cols w:space="720" w:num="1"/>
          <w:titlePg/>
          <w:docGrid w:type="lines" w:linePitch="312" w:charSpace="0"/>
        </w:sectPr>
      </w:pPr>
      <w:r>
        <w:rPr>
          <w:rFonts w:eastAsia="黑体"/>
          <w:szCs w:val="21"/>
        </w:rPr>
        <w:t>20</w:t>
      </w:r>
      <w:r>
        <w:rPr>
          <w:rFonts w:hint="eastAsia" w:eastAsia="黑体"/>
          <w:szCs w:val="21"/>
        </w:rPr>
        <w:t>2</w:t>
      </w:r>
      <w:r>
        <w:rPr>
          <w:rFonts w:eastAsia="黑体"/>
          <w:b/>
          <w:sz w:val="28"/>
          <w:szCs w:val="28"/>
        </w:rPr>
        <w:t>×</w:t>
      </w:r>
      <w:r>
        <w:rPr>
          <w:rFonts w:eastAsia="黑体"/>
          <w:szCs w:val="21"/>
        </w:rPr>
        <w:t xml:space="preserve"> 北京</w:t>
      </w:r>
    </w:p>
    <w:p>
      <w:pPr>
        <w:keepNext/>
        <w:keepLines/>
        <w:spacing w:after="312" w:afterLines="100" w:line="579" w:lineRule="auto"/>
        <w:jc w:val="center"/>
        <w:outlineLvl w:val="0"/>
        <w:rPr>
          <w:b/>
          <w:bCs/>
          <w:sz w:val="30"/>
          <w:szCs w:val="30"/>
        </w:rPr>
      </w:pPr>
      <w:bookmarkStart w:id="34" w:name="_Toc22838"/>
      <w:bookmarkStart w:id="35" w:name="_Toc29891"/>
      <w:bookmarkStart w:id="36" w:name="_Toc31945"/>
      <w:bookmarkStart w:id="37" w:name="_Toc8097"/>
      <w:r>
        <w:rPr>
          <w:b/>
          <w:bCs/>
          <w:sz w:val="30"/>
          <w:szCs w:val="30"/>
        </w:rPr>
        <w:t>前</w:t>
      </w:r>
      <w:r>
        <w:rPr>
          <w:rFonts w:hint="eastAsia"/>
          <w:b/>
          <w:bCs/>
          <w:sz w:val="30"/>
          <w:szCs w:val="30"/>
        </w:rPr>
        <w:t xml:space="preserve">  </w:t>
      </w:r>
      <w:r>
        <w:rPr>
          <w:b/>
          <w:bCs/>
          <w:sz w:val="30"/>
          <w:szCs w:val="30"/>
        </w:rPr>
        <w:t>言</w:t>
      </w:r>
      <w:bookmarkEnd w:id="34"/>
      <w:bookmarkEnd w:id="35"/>
      <w:bookmarkEnd w:id="36"/>
      <w:bookmarkEnd w:id="37"/>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北京市市场监督管理局《2023年北京市地方标准修订项目计划（第一批）》（京市监函〔2023〕5号）的要求，标准编制组经广泛调查研究，认真总结实践经验，参考国内相关标准，并在广泛征求意见的基础上，修订本标准。</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本规程的主要技术内容是：1 总则；2 术语；3基本规定；4脚手架作业安全防护；5临边安全防护；6洞口安全防护；7操作平台安全防护；8装配式施工安全防护；9交叉作业安全防护。</w:t>
      </w:r>
    </w:p>
    <w:p>
      <w:pPr>
        <w:spacing w:after="120"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规程由北京市住房和城乡建设委员会和北京市市场监督管理局共同负责管理，北京市住房和城乡建设委员会归口、组织实施并组织编制单位对本规程的具体内容进行解释。执行过程中如有意见或建议，请寄送北京城建科技促进会（地址：北京市西城区广莲路1号建工大厦9层，邮编：100055；电话：010-63989087电子邮箱：cjhbzb@163.com）。</w:t>
      </w:r>
    </w:p>
    <w:p>
      <w:pPr>
        <w:pStyle w:val="14"/>
        <w:rPr>
          <w:rFonts w:asciiTheme="minorEastAsia" w:hAnsiTheme="minorEastAsia" w:eastAsiaTheme="minorEastAsia" w:cstheme="minorEastAsia"/>
          <w:color w:val="auto"/>
          <w:sz w:val="21"/>
          <w:szCs w:val="21"/>
          <w:lang w:val="zh-CN"/>
        </w:rPr>
      </w:pPr>
    </w:p>
    <w:p>
      <w:pPr>
        <w:pStyle w:val="14"/>
        <w:spacing w:line="24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zh-CN"/>
        </w:rPr>
        <w:t>本</w:t>
      </w:r>
      <w:r>
        <w:rPr>
          <w:rFonts w:hint="eastAsia" w:asciiTheme="minorEastAsia" w:hAnsiTheme="minorEastAsia" w:eastAsiaTheme="minorEastAsia" w:cstheme="minorEastAsia"/>
          <w:color w:val="auto"/>
          <w:sz w:val="21"/>
          <w:szCs w:val="21"/>
        </w:rPr>
        <w:t>标准</w:t>
      </w:r>
      <w:r>
        <w:rPr>
          <w:rFonts w:hint="eastAsia" w:asciiTheme="minorEastAsia" w:hAnsiTheme="minorEastAsia" w:eastAsiaTheme="minorEastAsia" w:cstheme="minorEastAsia"/>
          <w:color w:val="auto"/>
          <w:sz w:val="21"/>
          <w:szCs w:val="21"/>
          <w:lang w:val="zh-CN"/>
        </w:rPr>
        <w:t>主编单位</w:t>
      </w:r>
      <w:r>
        <w:rPr>
          <w:rFonts w:hint="eastAsia" w:asciiTheme="minorEastAsia" w:hAnsiTheme="minorEastAsia" w:eastAsiaTheme="minorEastAsia" w:cstheme="minorEastAsia"/>
          <w:color w:val="auto"/>
          <w:sz w:val="21"/>
          <w:szCs w:val="21"/>
        </w:rPr>
        <w:t>：北京城建科技促进会</w:t>
      </w:r>
    </w:p>
    <w:p>
      <w:pPr>
        <w:pStyle w:val="14"/>
        <w:spacing w:line="24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北京城建集团有限责任公司</w:t>
      </w:r>
    </w:p>
    <w:p>
      <w:pPr>
        <w:pStyle w:val="14"/>
        <w:spacing w:line="240" w:lineRule="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北京建工集团有限责任公司</w:t>
      </w:r>
    </w:p>
    <w:p>
      <w:pPr>
        <w:pStyle w:val="6"/>
        <w:keepNext w:val="0"/>
        <w:keepLines w:val="0"/>
        <w:pageBreakBefore w:val="0"/>
        <w:widowControl w:val="0"/>
        <w:kinsoku/>
        <w:wordWrap/>
        <w:overflowPunct/>
        <w:topLinePunct w:val="0"/>
        <w:autoSpaceDE/>
        <w:autoSpaceDN/>
        <w:bidi w:val="0"/>
        <w:adjustRightInd/>
        <w:snapToGrid/>
        <w:spacing w:after="0"/>
        <w:ind w:firstLine="420" w:firstLineChars="200"/>
        <w:textAlignment w:val="auto"/>
      </w:pPr>
      <w:r>
        <w:rPr>
          <w:rFonts w:hint="eastAsia" w:asciiTheme="minorEastAsia" w:hAnsiTheme="minorEastAsia" w:eastAsiaTheme="minorEastAsia" w:cstheme="minorEastAsia"/>
          <w:szCs w:val="21"/>
        </w:rPr>
        <w:t>本</w:t>
      </w:r>
      <w:r>
        <w:rPr>
          <w:rFonts w:hint="eastAsia" w:asciiTheme="minorEastAsia" w:hAnsiTheme="minorEastAsia" w:eastAsiaTheme="minorEastAsia" w:cstheme="minorEastAsia"/>
          <w:szCs w:val="21"/>
          <w:lang w:val="en-US"/>
        </w:rPr>
        <w:t>标准</w:t>
      </w:r>
      <w:r>
        <w:rPr>
          <w:rFonts w:hint="eastAsia" w:asciiTheme="minorEastAsia" w:hAnsiTheme="minorEastAsia" w:eastAsiaTheme="minorEastAsia" w:cstheme="minorEastAsia"/>
          <w:szCs w:val="21"/>
        </w:rPr>
        <w:t>参编单位：</w:t>
      </w:r>
      <w:bookmarkStart w:id="236" w:name="_GoBack"/>
      <w:r>
        <w:rPr>
          <w:rFonts w:hint="eastAsia"/>
        </w:rPr>
        <w:t>中国建筑一局(集团)有限公司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中国建筑第三工程局有限公司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中国建筑第八工程局有限公司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北京住总集团有限责任公司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北京城建道桥建设集团有限公司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中国新兴建筑工程有限责任公司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北京万兴建筑集团有限公司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中国建筑第五工程局有限公司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北京城建北方集团有限公司</w:t>
      </w:r>
      <w:r>
        <w:rPr>
          <w:rFonts w:hint="eastAsia"/>
        </w:rPr>
        <w:tab/>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 xml:space="preserve">北京城建十六建筑工程有限责任公司 </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中国新兴建设开发有限责任公司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北京建工土木工程有限公司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中铁一局集团第二工程有限公司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中铁建设集团有限公司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北京城建七建设工程有限公司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中建七局第一建筑有限公司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中国建筑第四工程局有限公司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中航天建设工程集团有限公司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北京城建亚泰建设集团有限公司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pPr>
      <w:r>
        <w:rPr>
          <w:rFonts w:hint="eastAsia"/>
        </w:rPr>
        <w:t>北京兴电国际工程管理有限公司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rPr>
          <w:lang w:val="en-US"/>
        </w:rPr>
      </w:pPr>
      <w:r>
        <w:rPr>
          <w:rFonts w:hint="eastAsia"/>
          <w:lang w:val="en-US"/>
        </w:rPr>
        <w:t>北京中煤正辰建设有限公司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rPr>
          <w:lang w:val="en-US"/>
        </w:rPr>
      </w:pPr>
      <w:r>
        <w:rPr>
          <w:rFonts w:hint="eastAsia"/>
          <w:lang w:val="en-US"/>
        </w:rPr>
        <w:t>中壤建设股份有限公司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rPr>
          <w:lang w:val="en-US"/>
        </w:rPr>
      </w:pPr>
      <w:r>
        <w:rPr>
          <w:rFonts w:hint="eastAsia"/>
          <w:lang w:val="en-US"/>
        </w:rPr>
        <w:t>三一筑工科技股份有限公司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rPr>
          <w:lang w:val="en-US"/>
        </w:rPr>
      </w:pPr>
      <w:r>
        <w:rPr>
          <w:rFonts w:hint="eastAsia"/>
          <w:lang w:val="en-US"/>
        </w:rPr>
        <w:t>中交一公局集团有限公司</w:t>
      </w:r>
    </w:p>
    <w:p>
      <w:pPr>
        <w:pStyle w:val="6"/>
        <w:keepNext w:val="0"/>
        <w:keepLines w:val="0"/>
        <w:pageBreakBefore w:val="0"/>
        <w:widowControl w:val="0"/>
        <w:kinsoku/>
        <w:wordWrap/>
        <w:overflowPunct/>
        <w:topLinePunct w:val="0"/>
        <w:autoSpaceDE/>
        <w:autoSpaceDN/>
        <w:bidi w:val="0"/>
        <w:adjustRightInd/>
        <w:snapToGrid/>
        <w:spacing w:after="0"/>
        <w:ind w:firstLine="2100" w:firstLineChars="1000"/>
        <w:textAlignment w:val="auto"/>
        <w:rPr>
          <w:lang w:val="en-US"/>
        </w:rPr>
      </w:pPr>
      <w:r>
        <w:rPr>
          <w:rFonts w:hint="eastAsia"/>
          <w:lang w:val="en-US"/>
        </w:rPr>
        <w:t>北京四汇建筑工程有限责任公司</w:t>
      </w:r>
      <w:bookmarkEnd w:id="236"/>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本规程主要起草人员：</w:t>
      </w:r>
    </w:p>
    <w:p>
      <w:pPr>
        <w:spacing w:line="360" w:lineRule="auto"/>
        <w:ind w:firstLine="420" w:firstLineChars="200"/>
        <w:rPr>
          <w:rFonts w:asciiTheme="minorEastAsia" w:hAnsiTheme="minorEastAsia" w:eastAsiaTheme="minorEastAsia" w:cstheme="minorEastAsia"/>
          <w:b/>
          <w:szCs w:val="21"/>
        </w:rPr>
      </w:pPr>
      <w:r>
        <w:rPr>
          <w:rFonts w:hint="eastAsia" w:asciiTheme="minorEastAsia" w:hAnsiTheme="minorEastAsia" w:eastAsiaTheme="minorEastAsia" w:cstheme="minorEastAsia"/>
          <w:szCs w:val="21"/>
        </w:rPr>
        <w:t>本规程主要审查人员：</w:t>
      </w:r>
    </w:p>
    <w:bookmarkEnd w:id="23"/>
    <w:bookmarkEnd w:id="24"/>
    <w:bookmarkEnd w:id="25"/>
    <w:p>
      <w:pPr>
        <w:jc w:val="center"/>
        <w:rPr>
          <w:b/>
          <w:sz w:val="28"/>
          <w:szCs w:val="28"/>
        </w:rPr>
        <w:sectPr>
          <w:footerReference r:id="rId6" w:type="default"/>
          <w:pgSz w:w="11906" w:h="16838"/>
          <w:pgMar w:top="1440" w:right="1800" w:bottom="1440" w:left="1800" w:header="851" w:footer="992" w:gutter="0"/>
          <w:cols w:space="425" w:num="1"/>
          <w:docGrid w:type="lines" w:linePitch="312" w:charSpace="0"/>
        </w:sectPr>
      </w:pPr>
      <w:bookmarkStart w:id="38" w:name="_Toc400609298"/>
    </w:p>
    <w:p>
      <w:pPr>
        <w:jc w:val="center"/>
        <w:rPr>
          <w:b/>
          <w:sz w:val="28"/>
          <w:szCs w:val="28"/>
        </w:rPr>
      </w:pPr>
      <w:r>
        <w:rPr>
          <w:rFonts w:hint="eastAsia"/>
          <w:b/>
          <w:sz w:val="28"/>
          <w:szCs w:val="28"/>
        </w:rPr>
        <w:t>目次</w:t>
      </w:r>
    </w:p>
    <w:sdt>
      <w:sdtPr>
        <w:rPr>
          <w:rFonts w:ascii="宋体" w:hAnsi="宋体"/>
        </w:rPr>
        <w:id w:val="147450918"/>
        <w15:color w:val="DBDBDB"/>
        <w:docPartObj>
          <w:docPartGallery w:val="Table of Contents"/>
          <w:docPartUnique/>
        </w:docPartObj>
      </w:sdtPr>
      <w:sdtEndPr>
        <w:rPr>
          <w:rFonts w:ascii="宋体" w:hAnsi="宋体"/>
          <w:b/>
        </w:rPr>
      </w:sdtEndPr>
      <w:sdtContent>
        <w:p>
          <w:pPr>
            <w:jc w:val="center"/>
            <w:rPr>
              <w:b/>
            </w:rPr>
          </w:pPr>
          <w:r>
            <w:fldChar w:fldCharType="begin"/>
          </w:r>
          <w:r>
            <w:instrText xml:space="preserve">TOC \o "1-2" \h \u </w:instrText>
          </w:r>
          <w:r>
            <w:fldChar w:fldCharType="separate"/>
          </w:r>
        </w:p>
        <w:p>
          <w:pPr>
            <w:pStyle w:val="11"/>
            <w:tabs>
              <w:tab w:val="right" w:leader="dot" w:pos="8306"/>
            </w:tabs>
          </w:pPr>
          <w:r>
            <w:fldChar w:fldCharType="begin"/>
          </w:r>
          <w:r>
            <w:instrText xml:space="preserve"> HYPERLINK \l "_Toc29861" </w:instrText>
          </w:r>
          <w:r>
            <w:fldChar w:fldCharType="separate"/>
          </w:r>
          <w:r>
            <w:rPr>
              <w:szCs w:val="28"/>
            </w:rPr>
            <w:t>1</w:t>
          </w:r>
          <w:r>
            <w:rPr>
              <w:rFonts w:hint="eastAsia"/>
              <w:szCs w:val="28"/>
            </w:rPr>
            <w:t xml:space="preserve">  </w:t>
          </w:r>
          <w:r>
            <w:rPr>
              <w:szCs w:val="28"/>
            </w:rPr>
            <w:t>总 则</w:t>
          </w:r>
          <w:r>
            <w:tab/>
          </w:r>
          <w:r>
            <w:fldChar w:fldCharType="begin"/>
          </w:r>
          <w:r>
            <w:instrText xml:space="preserve"> PAGEREF _Toc29861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"_Toc3408" </w:instrText>
          </w:r>
          <w:r>
            <w:fldChar w:fldCharType="separate"/>
          </w:r>
          <w:r>
            <w:rPr>
              <w:szCs w:val="28"/>
            </w:rPr>
            <w:t>2</w:t>
          </w:r>
          <w:r>
            <w:rPr>
              <w:rFonts w:hint="eastAsia"/>
              <w:szCs w:val="28"/>
            </w:rPr>
            <w:t xml:space="preserve">  </w:t>
          </w:r>
          <w:r>
            <w:rPr>
              <w:szCs w:val="28"/>
            </w:rPr>
            <w:t>术 语</w:t>
          </w:r>
          <w:r>
            <w:tab/>
          </w:r>
          <w:r>
            <w:fldChar w:fldCharType="begin"/>
          </w:r>
          <w:r>
            <w:instrText xml:space="preserve"> PAGEREF _Toc3408 \h </w:instrText>
          </w:r>
          <w:r>
            <w:fldChar w:fldCharType="separate"/>
          </w:r>
          <w:r>
            <w:t>2</w:t>
          </w:r>
          <w:r>
            <w:fldChar w:fldCharType="end"/>
          </w:r>
          <w:r>
            <w:fldChar w:fldCharType="end"/>
          </w:r>
        </w:p>
        <w:p>
          <w:pPr>
            <w:pStyle w:val="11"/>
            <w:tabs>
              <w:tab w:val="right" w:leader="dot" w:pos="8306"/>
            </w:tabs>
          </w:pPr>
          <w:r>
            <w:fldChar w:fldCharType="begin"/>
          </w:r>
          <w:r>
            <w:instrText xml:space="preserve"> HYPERLINK \l "_Toc17245" </w:instrText>
          </w:r>
          <w:r>
            <w:fldChar w:fldCharType="separate"/>
          </w:r>
          <w:r>
            <w:rPr>
              <w:szCs w:val="28"/>
            </w:rPr>
            <w:t>3</w:t>
          </w:r>
          <w:r>
            <w:rPr>
              <w:rFonts w:hint="eastAsia"/>
              <w:szCs w:val="28"/>
            </w:rPr>
            <w:t xml:space="preserve">  </w:t>
          </w:r>
          <w:r>
            <w:rPr>
              <w:szCs w:val="28"/>
            </w:rPr>
            <w:t>基本规定</w:t>
          </w:r>
          <w:r>
            <w:tab/>
          </w:r>
          <w:r>
            <w:fldChar w:fldCharType="begin"/>
          </w:r>
          <w:r>
            <w:instrText xml:space="preserve"> PAGEREF _Toc17245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"_Toc26995" </w:instrText>
          </w:r>
          <w:r>
            <w:fldChar w:fldCharType="separate"/>
          </w:r>
          <w:r>
            <w:rPr>
              <w:bCs/>
              <w:szCs w:val="28"/>
            </w:rPr>
            <w:t>4</w:t>
          </w:r>
          <w:r>
            <w:rPr>
              <w:szCs w:val="28"/>
            </w:rPr>
            <w:t xml:space="preserve">  脚手架作业安全防护</w:t>
          </w:r>
          <w:r>
            <w:tab/>
          </w:r>
          <w:r>
            <w:fldChar w:fldCharType="begin"/>
          </w:r>
          <w:r>
            <w:instrText xml:space="preserve"> PAGEREF _Toc26995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"_Toc23904" </w:instrText>
          </w:r>
          <w:r>
            <w:fldChar w:fldCharType="separate"/>
          </w:r>
          <w:r>
            <w:t>4.1  一般规定</w:t>
          </w:r>
          <w:r>
            <w:tab/>
          </w:r>
          <w:r>
            <w:fldChar w:fldCharType="begin"/>
          </w:r>
          <w:r>
            <w:instrText xml:space="preserve"> PAGEREF _Toc23904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"_Toc9208" </w:instrText>
          </w:r>
          <w:r>
            <w:fldChar w:fldCharType="separate"/>
          </w:r>
          <w:r>
            <w:rPr>
              <w:rFonts w:eastAsiaTheme="minorEastAsia"/>
            </w:rPr>
            <w:t>4.2  一般脚手架作业安全防护</w:t>
          </w:r>
          <w:r>
            <w:tab/>
          </w:r>
          <w:r>
            <w:fldChar w:fldCharType="begin"/>
          </w:r>
          <w:r>
            <w:instrText xml:space="preserve"> PAGEREF _Toc9208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"_Toc10822" </w:instrText>
          </w:r>
          <w:r>
            <w:fldChar w:fldCharType="separate"/>
          </w:r>
          <w:r>
            <w:rPr>
              <w:rFonts w:eastAsiaTheme="minorEastAsia"/>
            </w:rPr>
            <w:t>4.3  工具式脚手架作业防护</w:t>
          </w:r>
          <w:r>
            <w:tab/>
          </w:r>
          <w:r>
            <w:fldChar w:fldCharType="begin"/>
          </w:r>
          <w:r>
            <w:instrText xml:space="preserve"> PAGEREF _Toc10822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"_Toc1422" </w:instrText>
          </w:r>
          <w:r>
            <w:fldChar w:fldCharType="separate"/>
          </w:r>
          <w:r>
            <w:rPr>
              <w:rFonts w:eastAsiaTheme="minorEastAsia"/>
              <w:bCs/>
              <w:szCs w:val="21"/>
            </w:rPr>
            <w:t>4.4  拉杆式悬挑脚手架</w:t>
          </w:r>
          <w:r>
            <w:tab/>
          </w:r>
          <w:r>
            <w:fldChar w:fldCharType="begin"/>
          </w:r>
          <w:r>
            <w:instrText xml:space="preserve"> PAGEREF _Toc1422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"_Toc2236" </w:instrText>
          </w:r>
          <w:r>
            <w:fldChar w:fldCharType="separate"/>
          </w:r>
          <w:r>
            <w:rPr>
              <w:rFonts w:eastAsiaTheme="minorEastAsia"/>
            </w:rPr>
            <w:t>4.5  三角桁架悬挑脚手架安全防护</w:t>
          </w:r>
          <w:r>
            <w:tab/>
          </w:r>
          <w:r>
            <w:fldChar w:fldCharType="begin"/>
          </w:r>
          <w:r>
            <w:instrText xml:space="preserve"> PAGEREF _Toc2236 \h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"_Toc19232" </w:instrText>
          </w:r>
          <w:r>
            <w:fldChar w:fldCharType="separate"/>
          </w:r>
          <w:r>
            <w:rPr>
              <w:rFonts w:eastAsiaTheme="minorEastAsia"/>
              <w:bCs/>
              <w:kern w:val="44"/>
              <w:szCs w:val="28"/>
            </w:rPr>
            <w:t>5  临边安全防护</w:t>
          </w:r>
          <w:r>
            <w:tab/>
          </w:r>
          <w:r>
            <w:fldChar w:fldCharType="begin"/>
          </w:r>
          <w:r>
            <w:instrText xml:space="preserve"> PAGEREF _Toc19232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"_Toc24528" </w:instrText>
          </w:r>
          <w:r>
            <w:fldChar w:fldCharType="separate"/>
          </w:r>
          <w:r>
            <w:rPr>
              <w:rFonts w:eastAsiaTheme="minorEastAsia"/>
            </w:rPr>
            <w:t>5.1  一般规定</w:t>
          </w:r>
          <w:r>
            <w:tab/>
          </w:r>
          <w:r>
            <w:fldChar w:fldCharType="begin"/>
          </w:r>
          <w:r>
            <w:instrText xml:space="preserve"> PAGEREF _Toc24528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"_Toc12249" </w:instrText>
          </w:r>
          <w:r>
            <w:fldChar w:fldCharType="separate"/>
          </w:r>
          <w:r>
            <w:rPr>
              <w:rFonts w:eastAsiaTheme="minorEastAsia"/>
              <w:szCs w:val="21"/>
            </w:rPr>
            <w:t>5.2  防护设施</w:t>
          </w:r>
          <w:r>
            <w:tab/>
          </w:r>
          <w:r>
            <w:fldChar w:fldCharType="begin"/>
          </w:r>
          <w:r>
            <w:instrText xml:space="preserve"> PAGEREF _Toc12249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"_Toc28769" </w:instrText>
          </w:r>
          <w:r>
            <w:fldChar w:fldCharType="separate"/>
          </w:r>
          <w:r>
            <w:rPr>
              <w:rFonts w:eastAsiaTheme="minorEastAsia"/>
              <w:szCs w:val="21"/>
            </w:rPr>
            <w:t>5.3  防护栏杆固定</w:t>
          </w:r>
          <w:r>
            <w:tab/>
          </w:r>
          <w:r>
            <w:fldChar w:fldCharType="begin"/>
          </w:r>
          <w:r>
            <w:instrText xml:space="preserve"> PAGEREF _Toc28769 \h </w:instrText>
          </w:r>
          <w:r>
            <w:fldChar w:fldCharType="separate"/>
          </w:r>
          <w:r>
            <w:t>13</w:t>
          </w:r>
          <w:r>
            <w:fldChar w:fldCharType="end"/>
          </w:r>
          <w:r>
            <w:fldChar w:fldCharType="end"/>
          </w:r>
        </w:p>
        <w:p>
          <w:pPr>
            <w:pStyle w:val="12"/>
            <w:tabs>
              <w:tab w:val="right" w:leader="dot" w:pos="8306"/>
            </w:tabs>
          </w:pPr>
          <w:r>
            <w:fldChar w:fldCharType="begin"/>
          </w:r>
          <w:r>
            <w:instrText xml:space="preserve"> HYPERLINK \l "_Toc19475" </w:instrText>
          </w:r>
          <w:r>
            <w:fldChar w:fldCharType="separate"/>
          </w:r>
          <w:r>
            <w:rPr>
              <w:szCs w:val="21"/>
            </w:rPr>
            <w:t>5.4  其他</w:t>
          </w:r>
          <w:r>
            <w:tab/>
          </w:r>
          <w:r>
            <w:fldChar w:fldCharType="begin"/>
          </w:r>
          <w:r>
            <w:instrText xml:space="preserve"> PAGEREF _Toc19475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"_Toc5005" </w:instrText>
          </w:r>
          <w:r>
            <w:fldChar w:fldCharType="separate"/>
          </w:r>
          <w:r>
            <w:rPr>
              <w:bCs/>
              <w:szCs w:val="28"/>
            </w:rPr>
            <w:t>6  洞口安全防护</w:t>
          </w:r>
          <w:r>
            <w:tab/>
          </w:r>
          <w:r>
            <w:fldChar w:fldCharType="begin"/>
          </w:r>
          <w:r>
            <w:instrText xml:space="preserve"> PAGEREF _Toc5005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"_Toc22040" </w:instrText>
          </w:r>
          <w:r>
            <w:fldChar w:fldCharType="separate"/>
          </w:r>
          <w:r>
            <w:rPr>
              <w:bCs/>
              <w:szCs w:val="21"/>
            </w:rPr>
            <w:t>6.1  一般规定</w:t>
          </w:r>
          <w:r>
            <w:tab/>
          </w:r>
          <w:r>
            <w:fldChar w:fldCharType="begin"/>
          </w:r>
          <w:r>
            <w:instrText xml:space="preserve"> PAGEREF _Toc22040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"_Toc2430" </w:instrText>
          </w:r>
          <w:r>
            <w:fldChar w:fldCharType="separate"/>
          </w:r>
          <w:r>
            <w:rPr>
              <w:bCs/>
              <w:szCs w:val="21"/>
            </w:rPr>
            <w:t>6.2  防护设施</w:t>
          </w:r>
          <w:r>
            <w:tab/>
          </w:r>
          <w:r>
            <w:fldChar w:fldCharType="begin"/>
          </w:r>
          <w:r>
            <w:instrText xml:space="preserve"> PAGEREF _Toc2430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"_Toc27754" </w:instrText>
          </w:r>
          <w:r>
            <w:fldChar w:fldCharType="separate"/>
          </w:r>
          <w:r>
            <w:rPr>
              <w:bCs/>
              <w:szCs w:val="21"/>
            </w:rPr>
            <w:t>6.3  其他防护</w:t>
          </w:r>
          <w:r>
            <w:tab/>
          </w:r>
          <w:r>
            <w:fldChar w:fldCharType="begin"/>
          </w:r>
          <w:r>
            <w:instrText xml:space="preserve"> PAGEREF _Toc27754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"_Toc16826" </w:instrText>
          </w:r>
          <w:r>
            <w:fldChar w:fldCharType="separate"/>
          </w:r>
          <w:r>
            <w:rPr>
              <w:bCs/>
              <w:spacing w:val="-1"/>
              <w:szCs w:val="26"/>
            </w:rPr>
            <w:t>7</w:t>
          </w:r>
          <w:r>
            <w:rPr>
              <w:bCs/>
              <w:szCs w:val="26"/>
            </w:rPr>
            <w:t xml:space="preserve">  操作平台安全防护</w:t>
          </w:r>
          <w:r>
            <w:tab/>
          </w:r>
          <w:r>
            <w:fldChar w:fldCharType="begin"/>
          </w:r>
          <w:r>
            <w:instrText xml:space="preserve"> PAGEREF _Toc16826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"_Toc10047" </w:instrText>
          </w:r>
          <w:r>
            <w:fldChar w:fldCharType="separate"/>
          </w:r>
          <w:r>
            <w:rPr>
              <w:bCs/>
              <w:szCs w:val="21"/>
            </w:rPr>
            <w:t>7.1  一般规定</w:t>
          </w:r>
          <w:r>
            <w:tab/>
          </w:r>
          <w:r>
            <w:fldChar w:fldCharType="begin"/>
          </w:r>
          <w:r>
            <w:instrText xml:space="preserve"> PAGEREF _Toc10047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"_Toc26437" </w:instrText>
          </w:r>
          <w:r>
            <w:fldChar w:fldCharType="separate"/>
          </w:r>
          <w:r>
            <w:rPr>
              <w:bCs/>
              <w:szCs w:val="21"/>
            </w:rPr>
            <w:t>7.2  移动（升降）式操作平台安全防护</w:t>
          </w:r>
          <w:r>
            <w:tab/>
          </w:r>
          <w:r>
            <w:fldChar w:fldCharType="begin"/>
          </w:r>
          <w:r>
            <w:instrText xml:space="preserve"> PAGEREF _Toc26437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"_Toc12962" </w:instrText>
          </w:r>
          <w:r>
            <w:fldChar w:fldCharType="separate"/>
          </w:r>
          <w:r>
            <w:rPr>
              <w:bCs/>
              <w:szCs w:val="21"/>
            </w:rPr>
            <w:t>7.3  电梯井操作平台安全防护</w:t>
          </w:r>
          <w:r>
            <w:tab/>
          </w:r>
          <w:r>
            <w:fldChar w:fldCharType="begin"/>
          </w:r>
          <w:r>
            <w:instrText xml:space="preserve"> PAGEREF _Toc12962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"_Toc22188" </w:instrText>
          </w:r>
          <w:r>
            <w:fldChar w:fldCharType="separate"/>
          </w:r>
          <w:r>
            <w:rPr>
              <w:bCs/>
              <w:szCs w:val="21"/>
            </w:rPr>
            <w:t>7.4  悬挑式钢平台安全防护</w:t>
          </w:r>
          <w:r>
            <w:tab/>
          </w:r>
          <w:r>
            <w:fldChar w:fldCharType="begin"/>
          </w:r>
          <w:r>
            <w:instrText xml:space="preserve"> PAGEREF _Toc22188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"_Toc7897" </w:instrText>
          </w:r>
          <w:r>
            <w:fldChar w:fldCharType="separate"/>
          </w:r>
          <w:r>
            <w:rPr>
              <w:bCs/>
              <w:szCs w:val="21"/>
            </w:rPr>
            <w:t>7.5  垂直运输通道平台</w:t>
          </w:r>
          <w:r>
            <w:tab/>
          </w:r>
          <w:r>
            <w:fldChar w:fldCharType="begin"/>
          </w:r>
          <w:r>
            <w:instrText xml:space="preserve"> PAGEREF _Toc7897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"_Toc5475" </w:instrText>
          </w:r>
          <w:r>
            <w:fldChar w:fldCharType="separate"/>
          </w:r>
          <w:r>
            <w:rPr>
              <w:bCs/>
              <w:szCs w:val="21"/>
            </w:rPr>
            <w:t>7.6  大模板安全防护及存放</w:t>
          </w:r>
          <w:r>
            <w:tab/>
          </w:r>
          <w:r>
            <w:fldChar w:fldCharType="begin"/>
          </w:r>
          <w:r>
            <w:instrText xml:space="preserve"> PAGEREF _Toc5475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"_Toc16577" </w:instrText>
          </w:r>
          <w:r>
            <w:fldChar w:fldCharType="separate"/>
          </w:r>
          <w:r>
            <w:rPr>
              <w:bCs/>
              <w:szCs w:val="36"/>
            </w:rPr>
            <w:t>8  装配式施工安全防护</w:t>
          </w:r>
          <w:r>
            <w:tab/>
          </w:r>
          <w:r>
            <w:fldChar w:fldCharType="begin"/>
          </w:r>
          <w:r>
            <w:instrText xml:space="preserve"> PAGEREF _Toc16577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"_Toc23842" </w:instrText>
          </w:r>
          <w:r>
            <w:fldChar w:fldCharType="separate"/>
          </w:r>
          <w:r>
            <w:rPr>
              <w:bCs/>
              <w:szCs w:val="21"/>
            </w:rPr>
            <w:t>8.1  材料码放</w:t>
          </w:r>
          <w:r>
            <w:tab/>
          </w:r>
          <w:r>
            <w:fldChar w:fldCharType="begin"/>
          </w:r>
          <w:r>
            <w:instrText xml:space="preserve"> PAGEREF _Toc23842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"_Toc2620" </w:instrText>
          </w:r>
          <w:r>
            <w:fldChar w:fldCharType="separate"/>
          </w:r>
          <w:r>
            <w:rPr>
              <w:bCs/>
              <w:szCs w:val="21"/>
            </w:rPr>
            <w:t>8.2  装配式构件安装安全防护</w:t>
          </w:r>
          <w:r>
            <w:tab/>
          </w:r>
          <w:r>
            <w:fldChar w:fldCharType="begin"/>
          </w:r>
          <w:r>
            <w:instrText xml:space="preserve"> PAGEREF _Toc2620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"_Toc9000" </w:instrText>
          </w:r>
          <w:r>
            <w:fldChar w:fldCharType="separate"/>
          </w:r>
          <w:r>
            <w:rPr>
              <w:bCs/>
              <w:szCs w:val="21"/>
            </w:rPr>
            <w:t>8.3  钢结构安全防护</w:t>
          </w:r>
          <w:r>
            <w:tab/>
          </w:r>
          <w:r>
            <w:fldChar w:fldCharType="begin"/>
          </w:r>
          <w:r>
            <w:instrText xml:space="preserve"> PAGEREF _Toc9000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"_Toc17130" </w:instrText>
          </w:r>
          <w:r>
            <w:fldChar w:fldCharType="separate"/>
          </w:r>
          <w:r>
            <w:rPr>
              <w:bCs/>
              <w:szCs w:val="28"/>
            </w:rPr>
            <w:t>9  交叉作业安全防护</w:t>
          </w:r>
          <w:r>
            <w:tab/>
          </w:r>
          <w:r>
            <w:fldChar w:fldCharType="begin"/>
          </w:r>
          <w:r>
            <w:instrText xml:space="preserve"> PAGEREF _Toc17130 \h </w:instrText>
          </w:r>
          <w:r>
            <w:fldChar w:fldCharType="separate"/>
          </w:r>
          <w:r>
            <w:t>44</w:t>
          </w:r>
          <w:r>
            <w:fldChar w:fldCharType="end"/>
          </w:r>
          <w:r>
            <w:fldChar w:fldCharType="end"/>
          </w:r>
        </w:p>
        <w:p>
          <w:pPr>
            <w:pStyle w:val="12"/>
            <w:tabs>
              <w:tab w:val="right" w:leader="dot" w:pos="8306"/>
            </w:tabs>
          </w:pPr>
          <w:r>
            <w:fldChar w:fldCharType="begin"/>
          </w:r>
          <w:r>
            <w:instrText xml:space="preserve"> HYPERLINK \l "_Toc646" </w:instrText>
          </w:r>
          <w:r>
            <w:fldChar w:fldCharType="separate"/>
          </w:r>
          <w:r>
            <w:rPr>
              <w:szCs w:val="21"/>
            </w:rPr>
            <w:t>9.1  一般规定</w:t>
          </w:r>
          <w:r>
            <w:tab/>
          </w:r>
          <w:r>
            <w:fldChar w:fldCharType="begin"/>
          </w:r>
          <w:r>
            <w:instrText xml:space="preserve"> PAGEREF _Toc646 \h </w:instrText>
          </w:r>
          <w:r>
            <w:fldChar w:fldCharType="separate"/>
          </w:r>
          <w:r>
            <w:t>44</w:t>
          </w:r>
          <w:r>
            <w:fldChar w:fldCharType="end"/>
          </w:r>
          <w:r>
            <w:fldChar w:fldCharType="end"/>
          </w:r>
        </w:p>
        <w:p>
          <w:pPr>
            <w:pStyle w:val="12"/>
            <w:tabs>
              <w:tab w:val="right" w:leader="dot" w:pos="8306"/>
            </w:tabs>
          </w:pPr>
          <w:r>
            <w:fldChar w:fldCharType="begin"/>
          </w:r>
          <w:r>
            <w:instrText xml:space="preserve"> HYPERLINK \l "_Toc3004" </w:instrText>
          </w:r>
          <w:r>
            <w:fldChar w:fldCharType="separate"/>
          </w:r>
          <w:r>
            <w:rPr>
              <w:szCs w:val="21"/>
            </w:rPr>
            <w:t>9.2  防护棚的设置</w:t>
          </w:r>
          <w:r>
            <w:tab/>
          </w:r>
          <w:r>
            <w:fldChar w:fldCharType="begin"/>
          </w:r>
          <w:r>
            <w:instrText xml:space="preserve"> PAGEREF _Toc3004 \h </w:instrText>
          </w:r>
          <w:r>
            <w:fldChar w:fldCharType="separate"/>
          </w:r>
          <w:r>
            <w:t>44</w:t>
          </w:r>
          <w:r>
            <w:fldChar w:fldCharType="end"/>
          </w:r>
          <w:r>
            <w:fldChar w:fldCharType="end"/>
          </w:r>
        </w:p>
        <w:p>
          <w:pPr>
            <w:pStyle w:val="11"/>
            <w:tabs>
              <w:tab w:val="right" w:leader="dot" w:pos="8306"/>
            </w:tabs>
          </w:pPr>
          <w:r>
            <w:fldChar w:fldCharType="begin"/>
          </w:r>
          <w:r>
            <w:instrText xml:space="preserve"> HYPERLINK \l "_Toc27112" </w:instrText>
          </w:r>
          <w:r>
            <w:fldChar w:fldCharType="separate"/>
          </w:r>
          <w:r>
            <w:rPr>
              <w:bCs/>
              <w:szCs w:val="28"/>
            </w:rPr>
            <w:t>本标准用词说明</w:t>
          </w:r>
          <w:r>
            <w:tab/>
          </w:r>
          <w:r>
            <w:fldChar w:fldCharType="begin"/>
          </w:r>
          <w:r>
            <w:instrText xml:space="preserve"> PAGEREF _Toc27112 \h </w:instrText>
          </w:r>
          <w:r>
            <w:fldChar w:fldCharType="separate"/>
          </w:r>
          <w:r>
            <w:t>47</w:t>
          </w:r>
          <w:r>
            <w:fldChar w:fldCharType="end"/>
          </w:r>
          <w:r>
            <w:fldChar w:fldCharType="end"/>
          </w:r>
        </w:p>
        <w:p>
          <w:pPr>
            <w:pStyle w:val="11"/>
            <w:tabs>
              <w:tab w:val="right" w:leader="dot" w:pos="8306"/>
            </w:tabs>
          </w:pPr>
          <w:r>
            <w:fldChar w:fldCharType="begin"/>
          </w:r>
          <w:r>
            <w:instrText xml:space="preserve"> HYPERLINK \l "_Toc11309" </w:instrText>
          </w:r>
          <w:r>
            <w:fldChar w:fldCharType="separate"/>
          </w:r>
          <w:r>
            <w:rPr>
              <w:kern w:val="0"/>
              <w:szCs w:val="28"/>
              <w:lang w:bidi="zh-CN"/>
            </w:rPr>
            <w:t>引用标准名录</w:t>
          </w:r>
          <w:r>
            <w:tab/>
          </w:r>
          <w:r>
            <w:fldChar w:fldCharType="begin"/>
          </w:r>
          <w:r>
            <w:instrText xml:space="preserve"> PAGEREF _Toc11309 \h </w:instrText>
          </w:r>
          <w:r>
            <w:fldChar w:fldCharType="separate"/>
          </w:r>
          <w:r>
            <w:t>48</w:t>
          </w:r>
          <w:r>
            <w:fldChar w:fldCharType="end"/>
          </w:r>
          <w:r>
            <w:fldChar w:fldCharType="end"/>
          </w:r>
        </w:p>
        <w:p>
          <w:pPr>
            <w:pStyle w:val="11"/>
            <w:tabs>
              <w:tab w:val="right" w:leader="dot" w:pos="8306"/>
            </w:tabs>
          </w:pPr>
          <w:r>
            <w:rPr>
              <w:rFonts w:hint="eastAsia"/>
            </w:rPr>
            <w:t>附：</w:t>
          </w:r>
          <w:r>
            <w:fldChar w:fldCharType="begin"/>
          </w:r>
          <w:r>
            <w:instrText xml:space="preserve"> HYPERLINK \l "_Toc12400" </w:instrText>
          </w:r>
          <w:r>
            <w:fldChar w:fldCharType="separate"/>
          </w:r>
          <w:r>
            <w:rPr>
              <w:rFonts w:hint="eastAsia"/>
              <w:szCs w:val="32"/>
            </w:rPr>
            <w:t>条文说明</w:t>
          </w:r>
          <w:r>
            <w:tab/>
          </w:r>
          <w:r>
            <w:fldChar w:fldCharType="begin"/>
          </w:r>
          <w:r>
            <w:instrText xml:space="preserve"> PAGEREF _Toc12400 \h </w:instrText>
          </w:r>
          <w:r>
            <w:fldChar w:fldCharType="separate"/>
          </w:r>
          <w:r>
            <w:t>49</w:t>
          </w:r>
          <w:r>
            <w:fldChar w:fldCharType="end"/>
          </w:r>
          <w:r>
            <w:fldChar w:fldCharType="end"/>
          </w:r>
        </w:p>
        <w:p>
          <w:pPr>
            <w:jc w:val="center"/>
          </w:pPr>
          <w:r>
            <w:rPr>
              <w:b/>
            </w:rPr>
            <w:fldChar w:fldCharType="end"/>
          </w:r>
        </w:p>
      </w:sdtContent>
    </w:sdt>
    <w:p>
      <w:pPr>
        <w:jc w:val="center"/>
        <w:rPr>
          <w:rFonts w:ascii="宋体" w:hAnsi="宋体"/>
          <w:b/>
          <w:bCs/>
          <w:sz w:val="32"/>
          <w:szCs w:val="32"/>
        </w:rPr>
        <w:sectPr>
          <w:footerReference r:id="rId7" w:type="default"/>
          <w:pgSz w:w="11906" w:h="16838"/>
          <w:pgMar w:top="1440" w:right="1800" w:bottom="1440" w:left="1800" w:header="851" w:footer="992" w:gutter="0"/>
          <w:cols w:space="425" w:num="1"/>
          <w:docGrid w:type="lines" w:linePitch="312" w:charSpace="0"/>
        </w:sectPr>
      </w:pPr>
      <w:bookmarkStart w:id="39" w:name="_Toc5017"/>
    </w:p>
    <w:p>
      <w:pPr>
        <w:jc w:val="center"/>
        <w:rPr>
          <w:b/>
          <w:sz w:val="28"/>
          <w:szCs w:val="28"/>
        </w:rPr>
      </w:pPr>
      <w:r>
        <w:rPr>
          <w:rFonts w:hint="eastAsia" w:ascii="宋体" w:hAnsi="宋体"/>
          <w:b/>
          <w:bCs/>
          <w:sz w:val="32"/>
          <w:szCs w:val="32"/>
        </w:rPr>
        <w:t>Contents</w:t>
      </w:r>
    </w:p>
    <w:sdt>
      <w:sdtPr>
        <w:rPr>
          <w:rFonts w:ascii="宋体" w:hAnsi="宋体"/>
        </w:rPr>
        <w:id w:val="586506295"/>
        <w15:color w:val="DBDBDB"/>
        <w:docPartObj>
          <w:docPartGallery w:val="Table of Contents"/>
          <w:docPartUnique/>
        </w:docPartObj>
      </w:sdtPr>
      <w:sdtEndPr>
        <w:rPr>
          <w:rFonts w:ascii="宋体" w:hAnsi="宋体"/>
          <w:b/>
        </w:rPr>
      </w:sdtEndPr>
      <w:sdtContent>
        <w:p>
          <w:pPr>
            <w:jc w:val="center"/>
          </w:pPr>
          <w:r>
            <w:fldChar w:fldCharType="begin"/>
          </w:r>
          <w:r>
            <w:instrText xml:space="preserve">TOC \o "1-2" \h \u </w:instrText>
          </w:r>
          <w:r>
            <w:fldChar w:fldCharType="separate"/>
          </w:r>
        </w:p>
        <w:p>
          <w:pPr>
            <w:pStyle w:val="11"/>
            <w:tabs>
              <w:tab w:val="right" w:leader="dot" w:pos="8306"/>
            </w:tabs>
          </w:pPr>
          <w:r>
            <w:fldChar w:fldCharType="begin"/>
          </w:r>
          <w:r>
            <w:instrText xml:space="preserve"> HYPERLINK \l "_Toc29861" </w:instrText>
          </w:r>
          <w:r>
            <w:fldChar w:fldCharType="separate"/>
          </w:r>
          <w:r>
            <w:rPr>
              <w:szCs w:val="28"/>
            </w:rPr>
            <w:t>1</w:t>
          </w:r>
          <w:r>
            <w:rPr>
              <w:rFonts w:hint="eastAsia"/>
              <w:szCs w:val="28"/>
            </w:rPr>
            <w:t xml:space="preserve">  </w:t>
          </w:r>
          <w:r>
            <w:t>General provisions</w:t>
          </w:r>
          <w:r>
            <w:tab/>
          </w:r>
          <w:r>
            <w:fldChar w:fldCharType="begin"/>
          </w:r>
          <w:r>
            <w:instrText xml:space="preserve"> PAGEREF _Toc29861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"_Toc3408" </w:instrText>
          </w:r>
          <w:r>
            <w:fldChar w:fldCharType="separate"/>
          </w:r>
          <w:r>
            <w:rPr>
              <w:szCs w:val="28"/>
            </w:rPr>
            <w:t>2</w:t>
          </w:r>
          <w:r>
            <w:rPr>
              <w:rFonts w:hint="eastAsia"/>
              <w:szCs w:val="28"/>
            </w:rPr>
            <w:t xml:space="preserve">  </w:t>
          </w:r>
          <w:r>
            <w:t>Terms</w:t>
          </w:r>
          <w:r>
            <w:tab/>
          </w:r>
          <w:r>
            <w:fldChar w:fldCharType="begin"/>
          </w:r>
          <w:r>
            <w:instrText xml:space="preserve"> PAGEREF _Toc3408 \h </w:instrText>
          </w:r>
          <w:r>
            <w:fldChar w:fldCharType="separate"/>
          </w:r>
          <w:r>
            <w:t>2</w:t>
          </w:r>
          <w:r>
            <w:fldChar w:fldCharType="end"/>
          </w:r>
          <w:r>
            <w:fldChar w:fldCharType="end"/>
          </w:r>
        </w:p>
        <w:p>
          <w:pPr>
            <w:pStyle w:val="11"/>
            <w:tabs>
              <w:tab w:val="right" w:leader="dot" w:pos="8306"/>
            </w:tabs>
          </w:pPr>
          <w:r>
            <w:fldChar w:fldCharType="begin"/>
          </w:r>
          <w:r>
            <w:instrText xml:space="preserve"> HYPERLINK \l "_Toc17245" </w:instrText>
          </w:r>
          <w:r>
            <w:fldChar w:fldCharType="separate"/>
          </w:r>
          <w:r>
            <w:rPr>
              <w:szCs w:val="28"/>
            </w:rPr>
            <w:t>3</w:t>
          </w:r>
          <w:r>
            <w:rPr>
              <w:rFonts w:hint="eastAsia"/>
              <w:szCs w:val="28"/>
            </w:rPr>
            <w:t xml:space="preserve">  </w:t>
          </w:r>
          <w:r>
            <w:rPr>
              <w:rStyle w:val="17"/>
              <w:color w:val="auto"/>
            </w:rPr>
            <w:t xml:space="preserve">Basic </w:t>
          </w:r>
          <w:r>
            <w:rPr>
              <w:rStyle w:val="17"/>
              <w:rFonts w:hint="eastAsia"/>
              <w:color w:val="auto"/>
            </w:rPr>
            <w:t>Requirements</w:t>
          </w:r>
          <w:r>
            <w:tab/>
          </w:r>
          <w:r>
            <w:fldChar w:fldCharType="begin"/>
          </w:r>
          <w:r>
            <w:instrText xml:space="preserve"> PAGEREF _Toc17245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"_Toc26995" </w:instrText>
          </w:r>
          <w:r>
            <w:fldChar w:fldCharType="separate"/>
          </w:r>
          <w:r>
            <w:rPr>
              <w:szCs w:val="28"/>
            </w:rPr>
            <w:t>4  Scaffolding operation safety protection</w:t>
          </w:r>
          <w:r>
            <w:tab/>
          </w:r>
          <w:r>
            <w:fldChar w:fldCharType="begin"/>
          </w:r>
          <w:r>
            <w:instrText xml:space="preserve"> PAGEREF _Toc26995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"_Toc23904" </w:instrText>
          </w:r>
          <w:r>
            <w:fldChar w:fldCharType="separate"/>
          </w:r>
          <w:r>
            <w:t>4.1  general provisions</w:t>
          </w:r>
          <w:r>
            <w:tab/>
          </w:r>
          <w:r>
            <w:fldChar w:fldCharType="begin"/>
          </w:r>
          <w:r>
            <w:instrText xml:space="preserve"> PAGEREF _Toc23904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"_Toc9208" </w:instrText>
          </w:r>
          <w:r>
            <w:fldChar w:fldCharType="separate"/>
          </w:r>
          <w:r>
            <w:rPr>
              <w:rFonts w:eastAsiaTheme="minorEastAsia"/>
            </w:rPr>
            <w:t>4.2  General scaffolding operation safety protection</w:t>
          </w:r>
          <w:r>
            <w:tab/>
          </w:r>
          <w:r>
            <w:fldChar w:fldCharType="begin"/>
          </w:r>
          <w:r>
            <w:instrText xml:space="preserve"> PAGEREF _Toc9208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"_Toc10822" </w:instrText>
          </w:r>
          <w:r>
            <w:fldChar w:fldCharType="separate"/>
          </w:r>
          <w:r>
            <w:rPr>
              <w:rFonts w:eastAsiaTheme="minorEastAsia"/>
            </w:rPr>
            <w:t>4.3  Protection of tool-type scaffold operations</w:t>
          </w:r>
          <w:r>
            <w:tab/>
          </w:r>
          <w:r>
            <w:fldChar w:fldCharType="begin"/>
          </w:r>
          <w:r>
            <w:instrText xml:space="preserve"> PAGEREF _Toc10822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"_Toc1422" </w:instrText>
          </w:r>
          <w:r>
            <w:fldChar w:fldCharType="separate"/>
          </w:r>
          <w:r>
            <w:rPr>
              <w:rFonts w:eastAsiaTheme="minorEastAsia"/>
              <w:szCs w:val="21"/>
            </w:rPr>
            <w:t>4.4  Pull rod cantilever scaffold</w:t>
          </w:r>
          <w:r>
            <w:tab/>
          </w:r>
          <w:r>
            <w:fldChar w:fldCharType="begin"/>
          </w:r>
          <w:r>
            <w:instrText xml:space="preserve"> PAGEREF _Toc1422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"_Toc2236" </w:instrText>
          </w:r>
          <w:r>
            <w:fldChar w:fldCharType="separate"/>
          </w:r>
          <w:r>
            <w:rPr>
              <w:rFonts w:eastAsiaTheme="minorEastAsia"/>
            </w:rPr>
            <w:t>4.5  Safety protection of triangular truss cantilevered scaffold</w:t>
          </w:r>
          <w:r>
            <w:tab/>
          </w:r>
          <w:r>
            <w:fldChar w:fldCharType="begin"/>
          </w:r>
          <w:r>
            <w:instrText xml:space="preserve"> PAGEREF _Toc2236 \h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"_Toc19232" </w:instrText>
          </w:r>
          <w:r>
            <w:fldChar w:fldCharType="separate"/>
          </w:r>
          <w:r>
            <w:rPr>
              <w:rFonts w:eastAsiaTheme="minorEastAsia"/>
              <w:kern w:val="44"/>
              <w:szCs w:val="28"/>
            </w:rPr>
            <w:t>5  Border security protection</w:t>
          </w:r>
          <w:r>
            <w:tab/>
          </w:r>
          <w:r>
            <w:fldChar w:fldCharType="begin"/>
          </w:r>
          <w:r>
            <w:instrText xml:space="preserve"> PAGEREF _Toc19232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"_Toc24528" </w:instrText>
          </w:r>
          <w:r>
            <w:fldChar w:fldCharType="separate"/>
          </w:r>
          <w:r>
            <w:rPr>
              <w:rFonts w:eastAsiaTheme="minorEastAsia"/>
            </w:rPr>
            <w:t xml:space="preserve">5.1  </w:t>
          </w:r>
          <w:r>
            <w:t>general provisions</w:t>
          </w:r>
          <w:r>
            <w:tab/>
          </w:r>
          <w:r>
            <w:fldChar w:fldCharType="begin"/>
          </w:r>
          <w:r>
            <w:instrText xml:space="preserve"> PAGEREF _Toc24528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"_Toc12249" </w:instrText>
          </w:r>
          <w:r>
            <w:fldChar w:fldCharType="separate"/>
          </w:r>
          <w:r>
            <w:rPr>
              <w:rFonts w:eastAsiaTheme="minorEastAsia"/>
              <w:szCs w:val="21"/>
            </w:rPr>
            <w:t xml:space="preserve">5.2  safeguard </w:t>
          </w:r>
          <w:r>
            <w:tab/>
          </w:r>
          <w:r>
            <w:fldChar w:fldCharType="begin"/>
          </w:r>
          <w:r>
            <w:instrText xml:space="preserve"> PAGEREF _Toc12249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"_Toc28769" </w:instrText>
          </w:r>
          <w:r>
            <w:fldChar w:fldCharType="separate"/>
          </w:r>
          <w:r>
            <w:rPr>
              <w:rFonts w:eastAsiaTheme="minorEastAsia"/>
              <w:szCs w:val="21"/>
            </w:rPr>
            <w:t>5.3  The protective rail is fixed</w:t>
          </w:r>
          <w:r>
            <w:tab/>
          </w:r>
          <w:r>
            <w:fldChar w:fldCharType="begin"/>
          </w:r>
          <w:r>
            <w:instrText xml:space="preserve"> PAGEREF _Toc28769 \h </w:instrText>
          </w:r>
          <w:r>
            <w:fldChar w:fldCharType="separate"/>
          </w:r>
          <w:r>
            <w:t>13</w:t>
          </w:r>
          <w:r>
            <w:fldChar w:fldCharType="end"/>
          </w:r>
          <w:r>
            <w:fldChar w:fldCharType="end"/>
          </w:r>
        </w:p>
        <w:p>
          <w:pPr>
            <w:pStyle w:val="12"/>
            <w:tabs>
              <w:tab w:val="right" w:leader="dot" w:pos="8306"/>
            </w:tabs>
          </w:pPr>
          <w:r>
            <w:fldChar w:fldCharType="begin"/>
          </w:r>
          <w:r>
            <w:instrText xml:space="preserve"> HYPERLINK \l "_Toc19475" </w:instrText>
          </w:r>
          <w:r>
            <w:fldChar w:fldCharType="separate"/>
          </w:r>
          <w:r>
            <w:rPr>
              <w:szCs w:val="21"/>
            </w:rPr>
            <w:t>5.4  other</w:t>
          </w:r>
          <w:r>
            <w:tab/>
          </w:r>
          <w:r>
            <w:fldChar w:fldCharType="begin"/>
          </w:r>
          <w:r>
            <w:instrText xml:space="preserve"> PAGEREF _Toc19475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"_Toc5005" </w:instrText>
          </w:r>
          <w:r>
            <w:fldChar w:fldCharType="separate"/>
          </w:r>
          <w:r>
            <w:rPr>
              <w:szCs w:val="28"/>
            </w:rPr>
            <w:t>6  Hole safety protection</w:t>
          </w:r>
          <w:r>
            <w:tab/>
          </w:r>
          <w:r>
            <w:fldChar w:fldCharType="begin"/>
          </w:r>
          <w:r>
            <w:instrText xml:space="preserve"> PAGEREF _Toc5005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"_Toc22040" </w:instrText>
          </w:r>
          <w:r>
            <w:fldChar w:fldCharType="separate"/>
          </w:r>
          <w:r>
            <w:rPr>
              <w:szCs w:val="21"/>
            </w:rPr>
            <w:t xml:space="preserve">6.1  </w:t>
          </w:r>
          <w:r>
            <w:t>general provisions</w:t>
          </w:r>
          <w:r>
            <w:tab/>
          </w:r>
          <w:r>
            <w:fldChar w:fldCharType="begin"/>
          </w:r>
          <w:r>
            <w:instrText xml:space="preserve"> PAGEREF _Toc22040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"_Toc2430" </w:instrText>
          </w:r>
          <w:r>
            <w:fldChar w:fldCharType="separate"/>
          </w:r>
          <w:r>
            <w:rPr>
              <w:szCs w:val="21"/>
            </w:rPr>
            <w:t xml:space="preserve">6.2  safeguard </w:t>
          </w:r>
          <w:r>
            <w:tab/>
          </w:r>
          <w:r>
            <w:fldChar w:fldCharType="begin"/>
          </w:r>
          <w:r>
            <w:instrText xml:space="preserve"> PAGEREF _Toc2430 \h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"_Toc27754" </w:instrText>
          </w:r>
          <w:r>
            <w:fldChar w:fldCharType="separate"/>
          </w:r>
          <w:r>
            <w:rPr>
              <w:szCs w:val="21"/>
            </w:rPr>
            <w:t>6.3  Other protection</w:t>
          </w:r>
          <w:r>
            <w:tab/>
          </w:r>
          <w:r>
            <w:fldChar w:fldCharType="begin"/>
          </w:r>
          <w:r>
            <w:instrText xml:space="preserve"> PAGEREF _Toc27754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"_Toc16826" </w:instrText>
          </w:r>
          <w:r>
            <w:fldChar w:fldCharType="separate"/>
          </w:r>
          <w:r>
            <w:rPr>
              <w:spacing w:val="-1"/>
              <w:szCs w:val="26"/>
            </w:rPr>
            <w:t>7</w:t>
          </w:r>
          <w:r>
            <w:rPr>
              <w:szCs w:val="26"/>
            </w:rPr>
            <w:t xml:space="preserve">  Safety protection of the operating platform</w:t>
          </w:r>
          <w:r>
            <w:tab/>
          </w:r>
          <w:r>
            <w:fldChar w:fldCharType="begin"/>
          </w:r>
          <w:r>
            <w:instrText xml:space="preserve"> PAGEREF _Toc16826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"_Toc10047" </w:instrText>
          </w:r>
          <w:r>
            <w:fldChar w:fldCharType="separate"/>
          </w:r>
          <w:r>
            <w:rPr>
              <w:szCs w:val="21"/>
            </w:rPr>
            <w:t xml:space="preserve">7.1  </w:t>
          </w:r>
          <w:r>
            <w:t>general provisions</w:t>
          </w:r>
          <w:r>
            <w:tab/>
          </w:r>
          <w:r>
            <w:fldChar w:fldCharType="begin"/>
          </w:r>
          <w:r>
            <w:instrText xml:space="preserve"> PAGEREF _Toc10047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"_Toc26437" </w:instrText>
          </w:r>
          <w:r>
            <w:fldChar w:fldCharType="separate"/>
          </w:r>
          <w:r>
            <w:rPr>
              <w:szCs w:val="21"/>
            </w:rPr>
            <w:t>7.2  Safety protection of the mobile (lifting) operating platform</w:t>
          </w:r>
          <w:r>
            <w:tab/>
          </w:r>
          <w:r>
            <w:fldChar w:fldCharType="begin"/>
          </w:r>
          <w:r>
            <w:instrText xml:space="preserve"> PAGEREF _Toc26437 \h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"_Toc12962" </w:instrText>
          </w:r>
          <w:r>
            <w:fldChar w:fldCharType="separate"/>
          </w:r>
          <w:r>
            <w:rPr>
              <w:szCs w:val="21"/>
            </w:rPr>
            <w:t>7.3  Safety protection of the elevator well operating platform</w:t>
          </w:r>
          <w:r>
            <w:tab/>
          </w:r>
          <w:r>
            <w:fldChar w:fldCharType="begin"/>
          </w:r>
          <w:r>
            <w:instrText xml:space="preserve"> PAGEREF _Toc12962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"_Toc22188" </w:instrText>
          </w:r>
          <w:r>
            <w:fldChar w:fldCharType="separate"/>
          </w:r>
          <w:r>
            <w:rPr>
              <w:szCs w:val="21"/>
            </w:rPr>
            <w:t>7.4  Safety protection of the cantilever steel platform</w:t>
          </w:r>
          <w:r>
            <w:tab/>
          </w:r>
          <w:r>
            <w:fldChar w:fldCharType="begin"/>
          </w:r>
          <w:r>
            <w:instrText xml:space="preserve"> PAGEREF _Toc22188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"_Toc7897" </w:instrText>
          </w:r>
          <w:r>
            <w:fldChar w:fldCharType="separate"/>
          </w:r>
          <w:r>
            <w:rPr>
              <w:szCs w:val="21"/>
            </w:rPr>
            <w:t>7.5  Vertical transport channel platform</w:t>
          </w:r>
          <w:r>
            <w:tab/>
          </w:r>
          <w:r>
            <w:fldChar w:fldCharType="begin"/>
          </w:r>
          <w:r>
            <w:instrText xml:space="preserve"> PAGEREF _Toc7897 \h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"_Toc5475" </w:instrText>
          </w:r>
          <w:r>
            <w:fldChar w:fldCharType="separate"/>
          </w:r>
          <w:r>
            <w:rPr>
              <w:szCs w:val="21"/>
            </w:rPr>
            <w:t>7.6  Safety protection and storage of large templates</w:t>
          </w:r>
          <w:r>
            <w:tab/>
          </w:r>
          <w:r>
            <w:fldChar w:fldCharType="begin"/>
          </w:r>
          <w:r>
            <w:instrText xml:space="preserve"> PAGEREF _Toc5475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"_Toc16577" </w:instrText>
          </w:r>
          <w:r>
            <w:fldChar w:fldCharType="separate"/>
          </w:r>
          <w:r>
            <w:rPr>
              <w:szCs w:val="36"/>
            </w:rPr>
            <w:t>8  Prefabricated construction safety protection</w:t>
          </w:r>
          <w:r>
            <w:tab/>
          </w:r>
          <w:r>
            <w:fldChar w:fldCharType="begin"/>
          </w:r>
          <w:r>
            <w:instrText xml:space="preserve"> PAGEREF _Toc16577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"_Toc23842" </w:instrText>
          </w:r>
          <w:r>
            <w:fldChar w:fldCharType="separate"/>
          </w:r>
          <w:r>
            <w:rPr>
              <w:szCs w:val="21"/>
            </w:rPr>
            <w:t>8.1  Material code put</w:t>
          </w:r>
          <w:r>
            <w:tab/>
          </w:r>
          <w:r>
            <w:fldChar w:fldCharType="begin"/>
          </w:r>
          <w:r>
            <w:instrText xml:space="preserve"> PAGEREF _Toc23842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"_Toc2620" </w:instrText>
          </w:r>
          <w:r>
            <w:fldChar w:fldCharType="separate"/>
          </w:r>
          <w:r>
            <w:rPr>
              <w:szCs w:val="21"/>
            </w:rPr>
            <w:t>8.2  Safety protection for the installation of prefabricated components</w:t>
          </w:r>
          <w:r>
            <w:tab/>
          </w:r>
          <w:r>
            <w:fldChar w:fldCharType="begin"/>
          </w:r>
          <w:r>
            <w:instrText xml:space="preserve"> PAGEREF _Toc2620 \h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"_Toc9000" </w:instrText>
          </w:r>
          <w:r>
            <w:fldChar w:fldCharType="separate"/>
          </w:r>
          <w:r>
            <w:rPr>
              <w:szCs w:val="21"/>
            </w:rPr>
            <w:t>8.3  Safety protection of steel structure</w:t>
          </w:r>
          <w:r>
            <w:tab/>
          </w:r>
          <w:r>
            <w:fldChar w:fldCharType="begin"/>
          </w:r>
          <w:r>
            <w:instrText xml:space="preserve"> PAGEREF _Toc9000 \h </w:instrText>
          </w:r>
          <w:r>
            <w:fldChar w:fldCharType="separate"/>
          </w:r>
          <w:r>
            <w:t>39</w:t>
          </w:r>
          <w:r>
            <w:fldChar w:fldCharType="end"/>
          </w:r>
          <w:r>
            <w:fldChar w:fldCharType="end"/>
          </w:r>
        </w:p>
        <w:p>
          <w:pPr>
            <w:pStyle w:val="11"/>
            <w:tabs>
              <w:tab w:val="right" w:leader="dot" w:pos="8306"/>
            </w:tabs>
          </w:pPr>
          <w:r>
            <w:fldChar w:fldCharType="begin"/>
          </w:r>
          <w:r>
            <w:instrText xml:space="preserve"> HYPERLINK \l "_Toc17130" </w:instrText>
          </w:r>
          <w:r>
            <w:fldChar w:fldCharType="separate"/>
          </w:r>
          <w:r>
            <w:rPr>
              <w:szCs w:val="28"/>
            </w:rPr>
            <w:t>9  Safety protection for cross-over operation</w:t>
          </w:r>
          <w:r>
            <w:tab/>
          </w:r>
          <w:r>
            <w:fldChar w:fldCharType="begin"/>
          </w:r>
          <w:r>
            <w:instrText xml:space="preserve"> PAGEREF _Toc17130 \h </w:instrText>
          </w:r>
          <w:r>
            <w:fldChar w:fldCharType="separate"/>
          </w:r>
          <w:r>
            <w:t>44</w:t>
          </w:r>
          <w:r>
            <w:fldChar w:fldCharType="end"/>
          </w:r>
          <w:r>
            <w:fldChar w:fldCharType="end"/>
          </w:r>
        </w:p>
        <w:p>
          <w:pPr>
            <w:pStyle w:val="12"/>
            <w:tabs>
              <w:tab w:val="right" w:leader="dot" w:pos="8306"/>
            </w:tabs>
          </w:pPr>
          <w:r>
            <w:fldChar w:fldCharType="begin"/>
          </w:r>
          <w:r>
            <w:instrText xml:space="preserve"> HYPERLINK \l "_Toc646" </w:instrText>
          </w:r>
          <w:r>
            <w:fldChar w:fldCharType="separate"/>
          </w:r>
          <w:r>
            <w:rPr>
              <w:szCs w:val="21"/>
            </w:rPr>
            <w:t xml:space="preserve">9.1  </w:t>
          </w:r>
          <w:r>
            <w:t>general provisions</w:t>
          </w:r>
          <w:r>
            <w:tab/>
          </w:r>
          <w:r>
            <w:fldChar w:fldCharType="begin"/>
          </w:r>
          <w:r>
            <w:instrText xml:space="preserve"> PAGEREF _Toc646 \h </w:instrText>
          </w:r>
          <w:r>
            <w:fldChar w:fldCharType="separate"/>
          </w:r>
          <w:r>
            <w:t>44</w:t>
          </w:r>
          <w:r>
            <w:fldChar w:fldCharType="end"/>
          </w:r>
          <w:r>
            <w:fldChar w:fldCharType="end"/>
          </w:r>
        </w:p>
        <w:p>
          <w:pPr>
            <w:pStyle w:val="12"/>
            <w:tabs>
              <w:tab w:val="right" w:leader="dot" w:pos="8306"/>
            </w:tabs>
          </w:pPr>
          <w:r>
            <w:fldChar w:fldCharType="begin"/>
          </w:r>
          <w:r>
            <w:instrText xml:space="preserve"> HYPERLINK \l "_Toc3004" </w:instrText>
          </w:r>
          <w:r>
            <w:fldChar w:fldCharType="separate"/>
          </w:r>
          <w:r>
            <w:rPr>
              <w:szCs w:val="21"/>
            </w:rPr>
            <w:t>9.2  Setting of protective shed</w:t>
          </w:r>
          <w:r>
            <w:tab/>
          </w:r>
          <w:r>
            <w:fldChar w:fldCharType="begin"/>
          </w:r>
          <w:r>
            <w:instrText xml:space="preserve"> PAGEREF _Toc3004 \h </w:instrText>
          </w:r>
          <w:r>
            <w:fldChar w:fldCharType="separate"/>
          </w:r>
          <w:r>
            <w:t>44</w:t>
          </w:r>
          <w:r>
            <w:fldChar w:fldCharType="end"/>
          </w:r>
          <w:r>
            <w:fldChar w:fldCharType="end"/>
          </w:r>
        </w:p>
        <w:p>
          <w:pPr>
            <w:pStyle w:val="11"/>
            <w:tabs>
              <w:tab w:val="right" w:leader="dot" w:pos="8306"/>
            </w:tabs>
          </w:pPr>
          <w:r>
            <w:fldChar w:fldCharType="begin"/>
          </w:r>
          <w:r>
            <w:instrText xml:space="preserve"> HYPERLINK \l "_Toc27112" </w:instrText>
          </w:r>
          <w:r>
            <w:fldChar w:fldCharType="separate"/>
          </w:r>
          <w:r>
            <w:rPr>
              <w:szCs w:val="21"/>
            </w:rPr>
            <w:t>Explanation of Wording in This Standard</w:t>
          </w:r>
          <w:r>
            <w:tab/>
          </w:r>
          <w:r>
            <w:fldChar w:fldCharType="begin"/>
          </w:r>
          <w:r>
            <w:instrText xml:space="preserve"> PAGEREF _Toc27112 \h </w:instrText>
          </w:r>
          <w:r>
            <w:fldChar w:fldCharType="separate"/>
          </w:r>
          <w:r>
            <w:t>47</w:t>
          </w:r>
          <w:r>
            <w:fldChar w:fldCharType="end"/>
          </w:r>
          <w:r>
            <w:fldChar w:fldCharType="end"/>
          </w:r>
        </w:p>
        <w:p>
          <w:pPr>
            <w:pStyle w:val="11"/>
            <w:tabs>
              <w:tab w:val="right" w:leader="dot" w:pos="8306"/>
            </w:tabs>
          </w:pPr>
          <w:r>
            <w:fldChar w:fldCharType="begin"/>
          </w:r>
          <w:r>
            <w:instrText xml:space="preserve"> HYPERLINK \l "_Toc11309" </w:instrText>
          </w:r>
          <w:r>
            <w:fldChar w:fldCharType="separate"/>
          </w:r>
          <w:r>
            <w:rPr>
              <w:szCs w:val="21"/>
            </w:rPr>
            <w:t>List of Quoted Standards</w:t>
          </w:r>
          <w:r>
            <w:tab/>
          </w:r>
          <w:r>
            <w:fldChar w:fldCharType="begin"/>
          </w:r>
          <w:r>
            <w:instrText xml:space="preserve"> PAGEREF _Toc11309 \h </w:instrText>
          </w:r>
          <w:r>
            <w:fldChar w:fldCharType="separate"/>
          </w:r>
          <w:r>
            <w:t>48</w:t>
          </w:r>
          <w:r>
            <w:fldChar w:fldCharType="end"/>
          </w:r>
          <w:r>
            <w:fldChar w:fldCharType="end"/>
          </w:r>
        </w:p>
        <w:p>
          <w:pPr>
            <w:pStyle w:val="11"/>
            <w:tabs>
              <w:tab w:val="right" w:leader="dot" w:pos="8306"/>
            </w:tabs>
          </w:pPr>
          <w:r>
            <w:rPr>
              <w:rFonts w:hint="eastAsia"/>
            </w:rPr>
            <w:t>A</w:t>
          </w:r>
          <w:r>
            <w:fldChar w:fldCharType="begin"/>
          </w:r>
          <w:r>
            <w:instrText xml:space="preserve"> HYPERLINK \l "_Toc12400" </w:instrText>
          </w:r>
          <w:r>
            <w:fldChar w:fldCharType="separate"/>
          </w:r>
          <w:r>
            <w:rPr>
              <w:szCs w:val="21"/>
            </w:rPr>
            <w:t>ddition: Explanation of Provisins</w:t>
          </w:r>
          <w:r>
            <w:tab/>
          </w:r>
          <w:r>
            <w:fldChar w:fldCharType="begin"/>
          </w:r>
          <w:r>
            <w:instrText xml:space="preserve"> PAGEREF _Toc12400 \h </w:instrText>
          </w:r>
          <w:r>
            <w:fldChar w:fldCharType="separate"/>
          </w:r>
          <w:r>
            <w:t>49</w:t>
          </w:r>
          <w:r>
            <w:fldChar w:fldCharType="end"/>
          </w:r>
          <w:r>
            <w:fldChar w:fldCharType="end"/>
          </w:r>
        </w:p>
        <w:p>
          <w:pPr>
            <w:jc w:val="center"/>
            <w:rPr>
              <w:rFonts w:ascii="宋体" w:hAnsi="宋体"/>
              <w:b/>
            </w:rPr>
          </w:pPr>
          <w:r>
            <w:fldChar w:fldCharType="end"/>
          </w:r>
        </w:p>
      </w:sdtContent>
    </w:sdt>
    <w:p>
      <w:pPr>
        <w:rPr>
          <w:b/>
          <w:sz w:val="28"/>
          <w:szCs w:val="28"/>
        </w:rPr>
      </w:pPr>
    </w:p>
    <w:p>
      <w:pPr>
        <w:rPr>
          <w:b/>
          <w:sz w:val="28"/>
          <w:szCs w:val="28"/>
        </w:rPr>
        <w:sectPr>
          <w:footerReference r:id="rId8" w:type="default"/>
          <w:pgSz w:w="11906" w:h="16838"/>
          <w:pgMar w:top="1440" w:right="1800" w:bottom="1440" w:left="1800" w:header="851" w:footer="992" w:gutter="0"/>
          <w:pgNumType w:start="1"/>
          <w:cols w:space="425" w:num="1"/>
          <w:docGrid w:type="lines" w:linePitch="312" w:charSpace="0"/>
        </w:sectPr>
      </w:pPr>
    </w:p>
    <w:p>
      <w:pPr>
        <w:rPr>
          <w:b/>
          <w:sz w:val="28"/>
          <w:szCs w:val="28"/>
        </w:rPr>
      </w:pPr>
    </w:p>
    <w:p>
      <w:pPr>
        <w:pStyle w:val="2"/>
        <w:keepNext w:val="0"/>
        <w:widowControl/>
        <w:numPr>
          <w:ilvl w:val="0"/>
          <w:numId w:val="0"/>
        </w:numPr>
        <w:tabs>
          <w:tab w:val="clear" w:pos="0"/>
        </w:tabs>
        <w:adjustRightInd w:val="0"/>
        <w:snapToGrid w:val="0"/>
        <w:spacing w:line="300" w:lineRule="auto"/>
        <w:rPr>
          <w:rFonts w:ascii="Times New Roman" w:hAnsi="Times New Roman" w:eastAsia="宋体"/>
          <w:b/>
          <w:sz w:val="28"/>
          <w:szCs w:val="28"/>
        </w:rPr>
      </w:pPr>
      <w:bookmarkStart w:id="40" w:name="_Toc25909"/>
      <w:bookmarkStart w:id="41" w:name="_Toc23737"/>
      <w:bookmarkStart w:id="42" w:name="_Toc29861"/>
      <w:r>
        <w:rPr>
          <w:rFonts w:ascii="Times New Roman" w:hAnsi="Times New Roman" w:eastAsia="宋体"/>
          <w:b/>
          <w:sz w:val="28"/>
          <w:szCs w:val="28"/>
        </w:rPr>
        <w:t>1</w:t>
      </w:r>
      <w:r>
        <w:rPr>
          <w:rFonts w:hint="eastAsia" w:ascii="Times New Roman" w:hAnsi="Times New Roman" w:eastAsia="宋体"/>
          <w:b/>
          <w:sz w:val="28"/>
          <w:szCs w:val="28"/>
        </w:rPr>
        <w:t xml:space="preserve">  </w:t>
      </w:r>
      <w:r>
        <w:rPr>
          <w:rFonts w:ascii="Times New Roman" w:hAnsi="Times New Roman" w:eastAsia="宋体"/>
          <w:b/>
          <w:sz w:val="28"/>
          <w:szCs w:val="28"/>
        </w:rPr>
        <w:t>总 则</w:t>
      </w:r>
      <w:bookmarkEnd w:id="39"/>
      <w:bookmarkEnd w:id="40"/>
      <w:bookmarkEnd w:id="41"/>
      <w:bookmarkEnd w:id="42"/>
    </w:p>
    <w:p>
      <w:pPr>
        <w:jc w:val="left"/>
        <w:rPr>
          <w:szCs w:val="21"/>
        </w:rPr>
      </w:pPr>
      <w:r>
        <w:rPr>
          <w:rFonts w:hint="eastAsia"/>
          <w:b/>
          <w:bCs/>
          <w:szCs w:val="21"/>
        </w:rPr>
        <w:t>1.0.1</w:t>
      </w:r>
      <w:r>
        <w:rPr>
          <w:rFonts w:hint="eastAsia"/>
          <w:szCs w:val="21"/>
        </w:rPr>
        <w:t xml:space="preserve"> </w:t>
      </w:r>
      <w:r>
        <w:rPr>
          <w:szCs w:val="21"/>
        </w:rPr>
        <w:t xml:space="preserve"> </w:t>
      </w:r>
      <w:r>
        <w:rPr>
          <w:rFonts w:hint="eastAsia"/>
          <w:szCs w:val="21"/>
        </w:rPr>
        <w:t>为加强建设工程施工现场安全管理，规范施工现场防护设施，制定本标准。</w:t>
      </w:r>
    </w:p>
    <w:p>
      <w:pPr>
        <w:jc w:val="left"/>
        <w:rPr>
          <w:szCs w:val="21"/>
        </w:rPr>
      </w:pPr>
      <w:r>
        <w:rPr>
          <w:rFonts w:hint="eastAsia"/>
          <w:b/>
          <w:bCs/>
          <w:szCs w:val="21"/>
        </w:rPr>
        <w:t>1.0.2</w:t>
      </w:r>
      <w:r>
        <w:rPr>
          <w:rFonts w:hint="eastAsia"/>
          <w:szCs w:val="21"/>
        </w:rPr>
        <w:t xml:space="preserve"> </w:t>
      </w:r>
      <w:r>
        <w:rPr>
          <w:szCs w:val="21"/>
        </w:rPr>
        <w:t xml:space="preserve"> </w:t>
      </w:r>
      <w:r>
        <w:rPr>
          <w:rFonts w:hint="eastAsia"/>
          <w:szCs w:val="21"/>
        </w:rPr>
        <w:t>本标准适用于北京市行政区域内新建、改建、扩建房屋建筑和市政基础设施工程、拆除工程的施工现场防护设施设置。</w:t>
      </w:r>
    </w:p>
    <w:p>
      <w:pPr>
        <w:jc w:val="left"/>
        <w:rPr>
          <w:szCs w:val="21"/>
        </w:rPr>
      </w:pPr>
      <w:r>
        <w:rPr>
          <w:rFonts w:hint="eastAsia"/>
          <w:b/>
          <w:bCs/>
          <w:szCs w:val="21"/>
        </w:rPr>
        <w:t>1.0.3</w:t>
      </w:r>
      <w:r>
        <w:rPr>
          <w:rFonts w:hint="eastAsia"/>
          <w:szCs w:val="21"/>
        </w:rPr>
        <w:t xml:space="preserve"> </w:t>
      </w:r>
      <w:r>
        <w:rPr>
          <w:szCs w:val="21"/>
        </w:rPr>
        <w:t xml:space="preserve"> </w:t>
      </w:r>
      <w:r>
        <w:rPr>
          <w:rFonts w:hint="eastAsia"/>
          <w:szCs w:val="21"/>
        </w:rPr>
        <w:t>施工现场安全防护设施除应符合本标准的规定外，尚应符合国家和北京市现行有关标准的规定。</w:t>
      </w:r>
    </w:p>
    <w:p>
      <w:pPr>
        <w:rPr>
          <w:b/>
          <w:sz w:val="28"/>
          <w:szCs w:val="28"/>
        </w:rPr>
      </w:pPr>
      <w:bookmarkStart w:id="43" w:name="_Toc446926007"/>
      <w:bookmarkStart w:id="44" w:name="_Toc432408891"/>
      <w:bookmarkStart w:id="45" w:name="_Toc432408803"/>
      <w:r>
        <w:rPr>
          <w:b/>
          <w:sz w:val="28"/>
          <w:szCs w:val="28"/>
        </w:rPr>
        <w:br w:type="page"/>
      </w:r>
    </w:p>
    <w:p>
      <w:pPr>
        <w:pStyle w:val="2"/>
        <w:keepNext w:val="0"/>
        <w:widowControl/>
        <w:numPr>
          <w:ilvl w:val="0"/>
          <w:numId w:val="0"/>
        </w:numPr>
        <w:tabs>
          <w:tab w:val="clear" w:pos="0"/>
        </w:tabs>
        <w:adjustRightInd w:val="0"/>
        <w:snapToGrid w:val="0"/>
        <w:spacing w:line="300" w:lineRule="auto"/>
        <w:rPr>
          <w:rFonts w:ascii="Times New Roman" w:hAnsi="Times New Roman" w:eastAsia="宋体"/>
          <w:b/>
          <w:sz w:val="28"/>
          <w:szCs w:val="28"/>
        </w:rPr>
      </w:pPr>
      <w:bookmarkStart w:id="46" w:name="_Toc11057"/>
      <w:bookmarkStart w:id="47" w:name="_Toc27593"/>
      <w:bookmarkStart w:id="48" w:name="_Toc3408"/>
      <w:bookmarkStart w:id="49" w:name="_Toc26648"/>
      <w:r>
        <w:rPr>
          <w:rFonts w:ascii="Times New Roman" w:hAnsi="Times New Roman" w:eastAsia="宋体"/>
          <w:b/>
          <w:sz w:val="28"/>
          <w:szCs w:val="28"/>
        </w:rPr>
        <w:t>2</w:t>
      </w:r>
      <w:r>
        <w:rPr>
          <w:rFonts w:hint="eastAsia" w:ascii="Times New Roman" w:hAnsi="Times New Roman" w:eastAsia="宋体"/>
          <w:b/>
          <w:sz w:val="28"/>
          <w:szCs w:val="28"/>
        </w:rPr>
        <w:t xml:space="preserve">  </w:t>
      </w:r>
      <w:r>
        <w:rPr>
          <w:rFonts w:ascii="Times New Roman" w:hAnsi="Times New Roman" w:eastAsia="宋体"/>
          <w:b/>
          <w:sz w:val="28"/>
          <w:szCs w:val="28"/>
        </w:rPr>
        <w:t>术 语</w:t>
      </w:r>
      <w:bookmarkEnd w:id="38"/>
      <w:bookmarkEnd w:id="43"/>
      <w:bookmarkEnd w:id="44"/>
      <w:bookmarkEnd w:id="45"/>
      <w:bookmarkEnd w:id="46"/>
      <w:bookmarkEnd w:id="47"/>
      <w:bookmarkEnd w:id="48"/>
      <w:bookmarkEnd w:id="49"/>
    </w:p>
    <w:p>
      <w:pPr>
        <w:spacing w:line="360" w:lineRule="auto"/>
        <w:outlineLvl w:val="1"/>
      </w:pPr>
      <w:bookmarkStart w:id="50" w:name="_Toc20721"/>
      <w:bookmarkStart w:id="51" w:name="_Toc13466"/>
      <w:bookmarkStart w:id="52" w:name="_Toc2843"/>
      <w:bookmarkStart w:id="53" w:name="_Toc2250"/>
      <w:r>
        <w:rPr>
          <w:rFonts w:hint="eastAsia"/>
          <w:b/>
          <w:bCs/>
          <w:szCs w:val="21"/>
        </w:rPr>
        <w:t xml:space="preserve">2.0.1 </w:t>
      </w:r>
      <w:r>
        <w:rPr>
          <w:b/>
          <w:bCs/>
          <w:szCs w:val="21"/>
        </w:rPr>
        <w:t xml:space="preserve"> </w:t>
      </w:r>
      <w:r>
        <w:rPr>
          <w:rFonts w:hint="eastAsia"/>
        </w:rPr>
        <w:t xml:space="preserve">洞口 </w:t>
      </w:r>
      <w:r>
        <w:rPr>
          <w:rFonts w:hint="eastAsia"/>
          <w:szCs w:val="22"/>
        </w:rPr>
        <w:t>hole</w:t>
      </w:r>
      <w:bookmarkEnd w:id="50"/>
      <w:bookmarkEnd w:id="51"/>
      <w:bookmarkEnd w:id="52"/>
    </w:p>
    <w:p>
      <w:pPr>
        <w:spacing w:line="360" w:lineRule="auto"/>
        <w:ind w:firstLine="420" w:firstLineChars="200"/>
      </w:pPr>
      <w:r>
        <w:rPr>
          <w:rFonts w:hint="eastAsia"/>
        </w:rPr>
        <w:t>在地面、楼面、屋面和墙面等有可能使人和物料坠落的因结构不连续而形成的通透空间。</w:t>
      </w:r>
    </w:p>
    <w:bookmarkEnd w:id="53"/>
    <w:p>
      <w:pPr>
        <w:spacing w:line="360" w:lineRule="auto"/>
        <w:jc w:val="left"/>
        <w:outlineLvl w:val="1"/>
        <w:rPr>
          <w:szCs w:val="21"/>
        </w:rPr>
      </w:pPr>
      <w:bookmarkStart w:id="54" w:name="_Toc3737"/>
      <w:bookmarkStart w:id="55" w:name="_Toc19134"/>
      <w:bookmarkStart w:id="56" w:name="_Toc19847"/>
      <w:bookmarkStart w:id="57" w:name="_Toc23298"/>
      <w:r>
        <w:rPr>
          <w:rFonts w:hint="eastAsia"/>
          <w:b/>
          <w:bCs/>
          <w:szCs w:val="21"/>
        </w:rPr>
        <w:t>2.0.2</w:t>
      </w:r>
      <w:r>
        <w:rPr>
          <w:rFonts w:hint="eastAsia"/>
          <w:szCs w:val="21"/>
        </w:rPr>
        <w:t xml:space="preserve"> </w:t>
      </w:r>
      <w:r>
        <w:rPr>
          <w:szCs w:val="21"/>
        </w:rPr>
        <w:t xml:space="preserve"> </w:t>
      </w:r>
      <w:r>
        <w:rPr>
          <w:rFonts w:hint="eastAsia"/>
          <w:szCs w:val="21"/>
        </w:rPr>
        <w:t>操作平台</w:t>
      </w:r>
      <w:bookmarkEnd w:id="54"/>
      <w:r>
        <w:rPr>
          <w:rFonts w:hint="eastAsia"/>
          <w:szCs w:val="21"/>
        </w:rPr>
        <w:t xml:space="preserve"> </w:t>
      </w:r>
      <w:r>
        <w:rPr>
          <w:szCs w:val="21"/>
        </w:rPr>
        <w:t>operating platform</w:t>
      </w:r>
      <w:bookmarkEnd w:id="55"/>
      <w:bookmarkEnd w:id="56"/>
      <w:bookmarkEnd w:id="57"/>
    </w:p>
    <w:p>
      <w:pPr>
        <w:spacing w:line="360" w:lineRule="auto"/>
        <w:ind w:firstLine="410"/>
        <w:jc w:val="left"/>
        <w:rPr>
          <w:szCs w:val="21"/>
        </w:rPr>
      </w:pPr>
      <w:r>
        <w:rPr>
          <w:rFonts w:hint="eastAsia"/>
          <w:szCs w:val="21"/>
        </w:rPr>
        <w:t>施工现场中用钢管扣件或钢构件搭设的架体平台，其顶面用以临时堆放物料或站人操作。</w:t>
      </w:r>
    </w:p>
    <w:p>
      <w:pPr>
        <w:spacing w:line="360" w:lineRule="auto"/>
        <w:outlineLvl w:val="1"/>
        <w:rPr>
          <w:rFonts w:ascii="宋体" w:hAnsi="宋体" w:cs="宋体"/>
          <w:szCs w:val="21"/>
        </w:rPr>
      </w:pPr>
      <w:bookmarkStart w:id="58" w:name="_Toc9683"/>
      <w:bookmarkStart w:id="59" w:name="_Toc22854"/>
      <w:bookmarkStart w:id="60" w:name="_Toc5481"/>
      <w:bookmarkStart w:id="61" w:name="_Toc15158"/>
      <w:r>
        <w:rPr>
          <w:rFonts w:hint="eastAsia"/>
          <w:b/>
          <w:bCs/>
          <w:szCs w:val="21"/>
        </w:rPr>
        <w:t>2.0.3</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工具式脚手架 </w:t>
      </w:r>
      <w:r>
        <w:rPr>
          <w:szCs w:val="21"/>
        </w:rPr>
        <w:t>implementation scaffold</w:t>
      </w:r>
      <w:bookmarkEnd w:id="58"/>
      <w:bookmarkEnd w:id="59"/>
      <w:bookmarkEnd w:id="60"/>
      <w:bookmarkEnd w:id="61"/>
      <w:r>
        <w:rPr>
          <w:rFonts w:hint="eastAsia" w:ascii="宋体" w:hAnsi="宋体" w:cs="宋体"/>
          <w:szCs w:val="21"/>
        </w:rPr>
        <w:t xml:space="preserve"> </w:t>
      </w:r>
    </w:p>
    <w:p>
      <w:pPr>
        <w:spacing w:line="360" w:lineRule="auto"/>
        <w:ind w:firstLine="420" w:firstLineChars="200"/>
        <w:rPr>
          <w:rFonts w:ascii="宋体" w:hAnsi="宋体" w:cs="宋体"/>
          <w:szCs w:val="21"/>
        </w:rPr>
      </w:pPr>
      <w:r>
        <w:rPr>
          <w:rFonts w:hint="eastAsia" w:ascii="宋体" w:hAnsi="宋体" w:cs="宋体"/>
          <w:szCs w:val="21"/>
        </w:rPr>
        <w:t>为操作人员搭设或设立的作业场所或平台，其主要架体构件为工厂制作的专用的钢结构产品，在现场按特定的程序组装后，附着在建筑物上自行或利用机械设备，沿建筑物可整体或部分升降的脚手架。</w:t>
      </w:r>
    </w:p>
    <w:p>
      <w:pPr>
        <w:spacing w:line="360" w:lineRule="auto"/>
        <w:outlineLvl w:val="1"/>
      </w:pPr>
      <w:bookmarkStart w:id="62" w:name="_Toc6680"/>
      <w:bookmarkStart w:id="63" w:name="_Toc27055"/>
      <w:bookmarkStart w:id="64" w:name="_Toc21156"/>
      <w:bookmarkStart w:id="65" w:name="_Toc15275"/>
      <w:r>
        <w:rPr>
          <w:rFonts w:hint="eastAsia"/>
          <w:b/>
          <w:bCs/>
          <w:szCs w:val="21"/>
        </w:rPr>
        <w:t>2.0.4</w:t>
      </w:r>
      <w:r>
        <w:rPr>
          <w:rFonts w:hint="eastAsia"/>
        </w:rPr>
        <w:t xml:space="preserve"> </w:t>
      </w:r>
      <w:r>
        <w:t xml:space="preserve"> </w:t>
      </w:r>
      <w:r>
        <w:rPr>
          <w:rFonts w:hint="eastAsia"/>
        </w:rPr>
        <w:t xml:space="preserve">人工挖孔桩  </w:t>
      </w:r>
      <w:r>
        <w:rPr>
          <w:szCs w:val="22"/>
        </w:rPr>
        <w:t>h</w:t>
      </w:r>
      <w:r>
        <w:rPr>
          <w:rFonts w:hint="eastAsia"/>
          <w:szCs w:val="22"/>
        </w:rPr>
        <w:t>and dig piles</w:t>
      </w:r>
      <w:bookmarkEnd w:id="62"/>
      <w:bookmarkEnd w:id="63"/>
      <w:bookmarkEnd w:id="64"/>
      <w:bookmarkEnd w:id="65"/>
    </w:p>
    <w:p>
      <w:pPr>
        <w:spacing w:line="360" w:lineRule="auto"/>
        <w:ind w:firstLine="420" w:firstLineChars="200"/>
        <w:rPr>
          <w:rFonts w:ascii="宋体" w:hAnsi="宋体" w:cs="宋体"/>
          <w:sz w:val="20"/>
        </w:rPr>
      </w:pPr>
      <w:r>
        <w:t>桩孔采用人工挖掘，孔内安放钢筋笼后浇注混凝土而成的桩。</w:t>
      </w:r>
    </w:p>
    <w:p>
      <w:pPr>
        <w:spacing w:line="360" w:lineRule="auto"/>
        <w:outlineLvl w:val="1"/>
      </w:pPr>
      <w:bookmarkStart w:id="66" w:name="_Toc32325"/>
      <w:bookmarkStart w:id="67" w:name="_Toc29531"/>
      <w:bookmarkStart w:id="68" w:name="_Toc22387"/>
      <w:bookmarkStart w:id="69" w:name="_Toc15965"/>
      <w:r>
        <w:rPr>
          <w:rFonts w:hint="eastAsia"/>
          <w:b/>
          <w:bCs/>
          <w:szCs w:val="21"/>
        </w:rPr>
        <w:t>2.0.5</w:t>
      </w:r>
      <w:r>
        <w:rPr>
          <w:rFonts w:hint="eastAsia"/>
        </w:rPr>
        <w:t xml:space="preserve"> 拆除工程 </w:t>
      </w:r>
      <w:r>
        <w:rPr>
          <w:szCs w:val="22"/>
        </w:rPr>
        <w:t>d</w:t>
      </w:r>
      <w:r>
        <w:rPr>
          <w:rFonts w:hint="eastAsia"/>
          <w:szCs w:val="22"/>
        </w:rPr>
        <w:t>emolition project</w:t>
      </w:r>
      <w:bookmarkEnd w:id="66"/>
      <w:bookmarkEnd w:id="67"/>
      <w:bookmarkEnd w:id="68"/>
      <w:bookmarkEnd w:id="69"/>
    </w:p>
    <w:p>
      <w:pPr>
        <w:spacing w:line="360" w:lineRule="auto"/>
        <w:ind w:firstLine="420" w:firstLineChars="200"/>
      </w:pPr>
      <w:r>
        <w:rPr>
          <w:rFonts w:hint="eastAsia"/>
        </w:rPr>
        <w:t>指对已经建成或部分建成的建筑物进行拆除的工程。</w:t>
      </w:r>
    </w:p>
    <w:p>
      <w:pPr>
        <w:spacing w:line="360" w:lineRule="auto"/>
      </w:pPr>
      <w:r>
        <w:rPr>
          <w:rFonts w:hint="eastAsia"/>
          <w:b/>
          <w:bCs/>
          <w:szCs w:val="21"/>
        </w:rPr>
        <w:t>2.0.6</w:t>
      </w:r>
      <w:r>
        <w:rPr>
          <w:rFonts w:hint="eastAsia"/>
        </w:rPr>
        <w:t xml:space="preserve"> 楼梯间整体平台 </w:t>
      </w:r>
      <w:r>
        <w:rPr>
          <w:szCs w:val="22"/>
        </w:rPr>
        <w:t>s</w:t>
      </w:r>
      <w:r>
        <w:rPr>
          <w:rFonts w:hint="eastAsia"/>
          <w:szCs w:val="22"/>
        </w:rPr>
        <w:t>taircase integral lifting platform</w:t>
      </w:r>
    </w:p>
    <w:p>
      <w:pPr>
        <w:spacing w:line="360" w:lineRule="auto"/>
        <w:ind w:firstLine="420" w:firstLineChars="200"/>
      </w:pPr>
      <w:r>
        <w:rPr>
          <w:rFonts w:hint="eastAsia"/>
        </w:rPr>
        <w:t>在装配式建筑施工过程中，保证装配式建筑预制楼梯间的外侧现浇剪力墙周边有操作空间，降低工人操作难度和危险性，同时提供上楼顶通道的下部为承重梁的可吊装提升钢平台。</w:t>
      </w:r>
    </w:p>
    <w:p>
      <w:pPr>
        <w:rPr>
          <w:b/>
          <w:sz w:val="28"/>
          <w:szCs w:val="28"/>
        </w:rPr>
      </w:pPr>
      <w:bookmarkStart w:id="70" w:name="_Toc28606"/>
      <w:bookmarkStart w:id="71" w:name="_Toc432408892"/>
      <w:bookmarkStart w:id="72" w:name="_Toc446926008"/>
      <w:bookmarkStart w:id="73" w:name="_Toc432408804"/>
      <w:r>
        <w:rPr>
          <w:b/>
          <w:sz w:val="28"/>
          <w:szCs w:val="28"/>
        </w:rPr>
        <w:br w:type="page"/>
      </w:r>
    </w:p>
    <w:p>
      <w:pPr>
        <w:pStyle w:val="2"/>
        <w:numPr>
          <w:ilvl w:val="0"/>
          <w:numId w:val="0"/>
        </w:numPr>
        <w:tabs>
          <w:tab w:val="clear" w:pos="0"/>
        </w:tabs>
        <w:rPr>
          <w:rFonts w:ascii="Times New Roman" w:hAnsi="Times New Roman" w:eastAsia="宋体"/>
          <w:szCs w:val="21"/>
        </w:rPr>
      </w:pPr>
      <w:bookmarkStart w:id="74" w:name="_Toc17245"/>
      <w:bookmarkStart w:id="75" w:name="_Toc20898"/>
      <w:bookmarkStart w:id="76" w:name="_Toc28952"/>
      <w:r>
        <w:rPr>
          <w:rFonts w:ascii="Times New Roman" w:hAnsi="Times New Roman" w:eastAsia="宋体"/>
          <w:b/>
          <w:sz w:val="28"/>
          <w:szCs w:val="28"/>
        </w:rPr>
        <w:t>3</w:t>
      </w:r>
      <w:r>
        <w:rPr>
          <w:rFonts w:hint="eastAsia" w:ascii="Times New Roman" w:hAnsi="Times New Roman" w:eastAsia="宋体"/>
          <w:b/>
          <w:sz w:val="28"/>
          <w:szCs w:val="28"/>
        </w:rPr>
        <w:t xml:space="preserve">  </w:t>
      </w:r>
      <w:r>
        <w:rPr>
          <w:rFonts w:ascii="Times New Roman" w:hAnsi="Times New Roman" w:eastAsia="宋体"/>
          <w:b/>
          <w:sz w:val="28"/>
          <w:szCs w:val="28"/>
        </w:rPr>
        <w:t>基本规定</w:t>
      </w:r>
      <w:bookmarkEnd w:id="70"/>
      <w:bookmarkEnd w:id="71"/>
      <w:bookmarkEnd w:id="72"/>
      <w:bookmarkEnd w:id="73"/>
      <w:bookmarkEnd w:id="74"/>
      <w:bookmarkEnd w:id="75"/>
      <w:bookmarkEnd w:id="76"/>
    </w:p>
    <w:p>
      <w:pPr>
        <w:spacing w:line="360" w:lineRule="auto"/>
        <w:jc w:val="left"/>
        <w:rPr>
          <w:szCs w:val="21"/>
        </w:rPr>
      </w:pPr>
      <w:r>
        <w:rPr>
          <w:rFonts w:hint="eastAsia"/>
          <w:b/>
          <w:bCs/>
          <w:szCs w:val="21"/>
        </w:rPr>
        <w:t>3.0.1</w:t>
      </w:r>
      <w:r>
        <w:rPr>
          <w:rFonts w:hint="eastAsia"/>
          <w:szCs w:val="21"/>
        </w:rPr>
        <w:t xml:space="preserve">  工程建设施工全过程应设置安全防护设施，作业前应对防护设施进行验收，验收合格后方可使用。</w:t>
      </w:r>
    </w:p>
    <w:p>
      <w:pPr>
        <w:spacing w:line="360" w:lineRule="auto"/>
        <w:jc w:val="left"/>
        <w:rPr>
          <w:szCs w:val="21"/>
        </w:rPr>
      </w:pPr>
      <w:r>
        <w:rPr>
          <w:rFonts w:hint="eastAsia"/>
          <w:b/>
          <w:bCs/>
          <w:szCs w:val="21"/>
        </w:rPr>
        <w:t>3.0.2</w:t>
      </w:r>
      <w:r>
        <w:rPr>
          <w:rFonts w:hint="eastAsia"/>
          <w:szCs w:val="21"/>
        </w:rPr>
        <w:t xml:space="preserve">  施工单位应定期对安全防护设施进行检查和维护，需临时拆除或变动安全防护设施时，应采取能代替原防护设施的可靠措施，作业后应立即恢复。</w:t>
      </w:r>
    </w:p>
    <w:p>
      <w:pPr>
        <w:spacing w:line="360" w:lineRule="auto"/>
        <w:jc w:val="left"/>
        <w:rPr>
          <w:szCs w:val="21"/>
        </w:rPr>
      </w:pPr>
      <w:r>
        <w:rPr>
          <w:rFonts w:hint="eastAsia"/>
          <w:b/>
          <w:bCs/>
          <w:szCs w:val="21"/>
        </w:rPr>
        <w:t>3.0.3</w:t>
      </w:r>
      <w:r>
        <w:rPr>
          <w:rFonts w:hint="eastAsia"/>
          <w:szCs w:val="21"/>
        </w:rPr>
        <w:t xml:space="preserve">  安全防护设施使用的钢管、扣件、钢板、方钢、脚手板、安全网、钢丝绳、螺栓等应符合现行国家产品标准的规定。</w:t>
      </w:r>
    </w:p>
    <w:p>
      <w:pPr>
        <w:spacing w:line="360" w:lineRule="auto"/>
        <w:jc w:val="left"/>
        <w:rPr>
          <w:szCs w:val="21"/>
        </w:rPr>
      </w:pPr>
      <w:r>
        <w:rPr>
          <w:rFonts w:hint="eastAsia"/>
          <w:b/>
          <w:bCs/>
          <w:szCs w:val="21"/>
        </w:rPr>
        <w:t>3.0.4</w:t>
      </w:r>
      <w:r>
        <w:rPr>
          <w:rFonts w:hint="eastAsia"/>
          <w:szCs w:val="21"/>
        </w:rPr>
        <w:t xml:space="preserve">  施工作业场所有坠落可能的物件应撤除或固定牢固。</w:t>
      </w:r>
    </w:p>
    <w:p>
      <w:pPr>
        <w:spacing w:line="360" w:lineRule="auto"/>
        <w:jc w:val="left"/>
        <w:rPr>
          <w:szCs w:val="21"/>
        </w:rPr>
      </w:pPr>
      <w:r>
        <w:rPr>
          <w:rFonts w:hint="eastAsia"/>
          <w:b/>
          <w:bCs/>
          <w:szCs w:val="21"/>
        </w:rPr>
        <w:t>3.0.5</w:t>
      </w:r>
      <w:r>
        <w:rPr>
          <w:rFonts w:hint="eastAsia"/>
          <w:szCs w:val="21"/>
        </w:rPr>
        <w:t xml:space="preserve">  拆除模板、脚手架时，周边应设置警戒区域并有专人看护。拆除后的材料临时堆放处离楼层边沿不应小于1m，堆放高度不应大于1m。楼层边口、通道口、脚手架边缘等处，不得堆放任何拆除物料。</w:t>
      </w:r>
    </w:p>
    <w:p>
      <w:pPr>
        <w:spacing w:line="360" w:lineRule="auto"/>
        <w:jc w:val="left"/>
        <w:rPr>
          <w:szCs w:val="21"/>
        </w:rPr>
      </w:pPr>
      <w:r>
        <w:rPr>
          <w:rFonts w:hint="eastAsia"/>
          <w:b/>
          <w:bCs/>
          <w:szCs w:val="21"/>
        </w:rPr>
        <w:t>3.0.6</w:t>
      </w:r>
      <w:r>
        <w:rPr>
          <w:rFonts w:hint="eastAsia"/>
          <w:szCs w:val="21"/>
        </w:rPr>
        <w:t xml:space="preserve"> </w:t>
      </w:r>
      <w:r>
        <w:rPr>
          <w:szCs w:val="21"/>
        </w:rPr>
        <w:t xml:space="preserve"> </w:t>
      </w:r>
      <w:r>
        <w:rPr>
          <w:rFonts w:hint="eastAsia"/>
          <w:szCs w:val="21"/>
        </w:rPr>
        <w:t>防护设施安装及搭设前应对作业人员进行安全技术交底，并应配备相应的劳动保护用品。</w:t>
      </w:r>
    </w:p>
    <w:p>
      <w:pPr>
        <w:spacing w:line="360" w:lineRule="auto"/>
      </w:pPr>
      <w:bookmarkStart w:id="77" w:name="_Toc9279"/>
      <w:r>
        <w:rPr>
          <w:rFonts w:hint="eastAsia"/>
          <w:b/>
          <w:bCs/>
        </w:rPr>
        <w:t>3.0.7</w:t>
      </w:r>
      <w:r>
        <w:rPr>
          <w:rFonts w:hint="eastAsia"/>
        </w:rPr>
        <w:t xml:space="preserve"> </w:t>
      </w:r>
      <w:r>
        <w:t xml:space="preserve"> </w:t>
      </w:r>
      <w:r>
        <w:rPr>
          <w:rFonts w:hint="eastAsia"/>
        </w:rPr>
        <w:t>施工前应编制防护施工方案或安全技术措施</w:t>
      </w:r>
      <w:bookmarkEnd w:id="77"/>
      <w:r>
        <w:rPr>
          <w:rFonts w:hint="eastAsia"/>
        </w:rPr>
        <w:t>。</w:t>
      </w:r>
    </w:p>
    <w:p>
      <w:pPr>
        <w:rPr>
          <w:rFonts w:ascii="宋体" w:hAnsi="宋体" w:cs="宋体"/>
          <w:b/>
          <w:bCs/>
          <w:sz w:val="28"/>
          <w:szCs w:val="28"/>
        </w:rPr>
      </w:pPr>
      <w:bookmarkStart w:id="78" w:name="_Toc836"/>
      <w:r>
        <w:rPr>
          <w:rFonts w:hint="eastAsia" w:ascii="宋体" w:hAnsi="宋体" w:cs="宋体"/>
          <w:b/>
          <w:bCs/>
          <w:sz w:val="28"/>
          <w:szCs w:val="28"/>
        </w:rPr>
        <w:br w:type="page"/>
      </w:r>
    </w:p>
    <w:p>
      <w:pPr>
        <w:pStyle w:val="2"/>
        <w:keepNext w:val="0"/>
        <w:keepLines w:val="0"/>
        <w:numPr>
          <w:ilvl w:val="0"/>
          <w:numId w:val="0"/>
        </w:numPr>
        <w:tabs>
          <w:tab w:val="clear" w:pos="425"/>
        </w:tabs>
        <w:spacing w:line="360" w:lineRule="auto"/>
        <w:rPr>
          <w:rFonts w:ascii="Times New Roman" w:hAnsi="Times New Roman" w:eastAsia="宋体"/>
          <w:b/>
          <w:sz w:val="28"/>
          <w:szCs w:val="28"/>
        </w:rPr>
      </w:pPr>
      <w:bookmarkStart w:id="79" w:name="_Toc26995"/>
      <w:bookmarkStart w:id="80" w:name="_Toc4134"/>
      <w:bookmarkStart w:id="81" w:name="_Toc9651"/>
      <w:r>
        <w:rPr>
          <w:rFonts w:ascii="Times New Roman" w:hAnsi="Times New Roman" w:eastAsia="宋体"/>
          <w:b/>
          <w:bCs/>
          <w:sz w:val="28"/>
          <w:szCs w:val="28"/>
        </w:rPr>
        <w:t>4</w:t>
      </w:r>
      <w:r>
        <w:rPr>
          <w:rFonts w:ascii="Times New Roman" w:hAnsi="Times New Roman" w:eastAsia="宋体"/>
          <w:sz w:val="28"/>
          <w:szCs w:val="28"/>
        </w:rPr>
        <w:t xml:space="preserve">  </w:t>
      </w:r>
      <w:r>
        <w:rPr>
          <w:rFonts w:ascii="Times New Roman" w:hAnsi="Times New Roman" w:eastAsia="宋体"/>
          <w:b/>
          <w:sz w:val="28"/>
          <w:szCs w:val="28"/>
        </w:rPr>
        <w:t>脚手架作业安全防护</w:t>
      </w:r>
      <w:bookmarkEnd w:id="79"/>
    </w:p>
    <w:p>
      <w:pPr>
        <w:pStyle w:val="3"/>
        <w:rPr>
          <w:rFonts w:ascii="Times New Roman" w:hAnsi="Times New Roman" w:cs="Times New Roman"/>
          <w:color w:val="auto"/>
        </w:rPr>
      </w:pPr>
      <w:bookmarkStart w:id="82" w:name="_Toc23904"/>
      <w:r>
        <w:rPr>
          <w:rFonts w:ascii="Times New Roman" w:hAnsi="Times New Roman" w:cs="Times New Roman"/>
          <w:color w:val="auto"/>
        </w:rPr>
        <w:t>4.1  一般规定</w:t>
      </w:r>
      <w:bookmarkEnd w:id="82"/>
    </w:p>
    <w:p>
      <w:pPr>
        <w:spacing w:line="360" w:lineRule="auto"/>
      </w:pPr>
      <w:r>
        <w:rPr>
          <w:b/>
        </w:rPr>
        <w:t>4.1.1</w:t>
      </w:r>
      <w:r>
        <w:rPr>
          <w:rFonts w:hint="eastAsia"/>
          <w:b/>
        </w:rPr>
        <w:t xml:space="preserve"> </w:t>
      </w:r>
      <w:r>
        <w:rPr>
          <w:b/>
        </w:rPr>
        <w:t xml:space="preserve"> </w:t>
      </w:r>
      <w:r>
        <w:rPr>
          <w:rFonts w:hint="eastAsia"/>
        </w:rPr>
        <w:t>安全网应阻燃，其续燃、阴燃时间不应大于4s，外观缝线不应有跳针、漏缝，缝边应均匀。网体上不应有断纱、破洞、变形及有碍使用的编织缺陷。安全网应符合现行国家标准《安全网》GB 5725的规定。</w:t>
      </w:r>
    </w:p>
    <w:p>
      <w:pPr>
        <w:spacing w:line="360" w:lineRule="auto"/>
      </w:pPr>
      <w:r>
        <w:rPr>
          <w:rFonts w:hint="eastAsia"/>
          <w:b/>
          <w:bCs/>
        </w:rPr>
        <w:t>4.1.2</w:t>
      </w:r>
      <w:r>
        <w:rPr>
          <w:rFonts w:hint="eastAsia"/>
        </w:rPr>
        <w:t xml:space="preserve"> </w:t>
      </w:r>
      <w:r>
        <w:t xml:space="preserve"> </w:t>
      </w:r>
      <w:r>
        <w:rPr>
          <w:rFonts w:hint="eastAsia"/>
        </w:rPr>
        <w:t>施工现场使用的密目式安全立网或钢板网宜选用绿色或蓝色。钢板网应符合现行国家标准《钢板网》GB/T 33275的规定。</w:t>
      </w:r>
    </w:p>
    <w:p>
      <w:pPr>
        <w:spacing w:line="360" w:lineRule="auto"/>
      </w:pPr>
      <w:r>
        <w:rPr>
          <w:rFonts w:hint="eastAsia"/>
          <w:b/>
          <w:bCs/>
        </w:rPr>
        <w:t>4.1.3</w:t>
      </w:r>
      <w:r>
        <w:rPr>
          <w:rFonts w:hint="eastAsia"/>
          <w:b/>
        </w:rPr>
        <w:t xml:space="preserve"> </w:t>
      </w:r>
      <w:r>
        <w:rPr>
          <w:b/>
        </w:rPr>
        <w:t xml:space="preserve"> </w:t>
      </w:r>
      <w:r>
        <w:rPr>
          <w:rFonts w:hint="eastAsia"/>
        </w:rPr>
        <w:t xml:space="preserve">作业脚手架、支撑脚手架的作业层脚手板应铺满、铺稳、铺实，不得有空隙、探头板和飞跳板，距墙面间距不得大于150mm。当作业层边沿与结构外表面的距离大于150mm时，应采取挂设水平安全网或铺设脚手板等防护措施。 </w:t>
      </w:r>
    </w:p>
    <w:p>
      <w:pPr>
        <w:spacing w:line="360" w:lineRule="auto"/>
      </w:pPr>
      <w:r>
        <w:rPr>
          <w:rFonts w:hint="eastAsia"/>
          <w:b/>
          <w:bCs/>
        </w:rPr>
        <w:t>4.1.4</w:t>
      </w:r>
      <w:r>
        <w:rPr>
          <w:rFonts w:hint="eastAsia"/>
          <w:b/>
        </w:rPr>
        <w:t xml:space="preserve"> </w:t>
      </w:r>
      <w:r>
        <w:rPr>
          <w:b/>
        </w:rPr>
        <w:t xml:space="preserve"> </w:t>
      </w:r>
      <w:r>
        <w:rPr>
          <w:rFonts w:hint="eastAsia"/>
        </w:rPr>
        <w:t>脚手架施工层操作面以下应用安全网封闭，作业层下方净空距离3m内应设置一道水平安全网，下方每隔10m应设置一道水平安全网。</w:t>
      </w:r>
    </w:p>
    <w:p>
      <w:pPr>
        <w:spacing w:line="360" w:lineRule="auto"/>
      </w:pPr>
      <w:r>
        <w:rPr>
          <w:rFonts w:hint="eastAsia"/>
          <w:b/>
          <w:bCs/>
        </w:rPr>
        <w:t>4.1.5</w:t>
      </w:r>
      <w:r>
        <w:rPr>
          <w:rFonts w:hint="eastAsia"/>
          <w:b/>
        </w:rPr>
        <w:t xml:space="preserve"> </w:t>
      </w:r>
      <w:r>
        <w:rPr>
          <w:b/>
        </w:rPr>
        <w:t xml:space="preserve"> </w:t>
      </w:r>
      <w:r>
        <w:rPr>
          <w:rFonts w:hint="eastAsia"/>
        </w:rPr>
        <w:t>脚手架支搭与所用构件应符合国家和北京市现行有关标准的规定。</w:t>
      </w:r>
    </w:p>
    <w:p>
      <w:pPr>
        <w:pStyle w:val="3"/>
        <w:rPr>
          <w:rFonts w:ascii="Times New Roman" w:hAnsi="Times New Roman" w:cs="Times New Roman" w:eastAsiaTheme="minorEastAsia"/>
          <w:color w:val="auto"/>
        </w:rPr>
      </w:pPr>
      <w:bookmarkStart w:id="83" w:name="_Toc9208"/>
      <w:r>
        <w:rPr>
          <w:rFonts w:ascii="Times New Roman" w:hAnsi="Times New Roman" w:cs="Times New Roman" w:eastAsiaTheme="minorEastAsia"/>
          <w:color w:val="auto"/>
        </w:rPr>
        <w:t>4.2  一般脚手架作业安全防护</w:t>
      </w:r>
      <w:bookmarkEnd w:id="83"/>
    </w:p>
    <w:p>
      <w:pPr>
        <w:spacing w:line="360" w:lineRule="auto"/>
        <w:rPr>
          <w:b/>
        </w:rPr>
      </w:pPr>
      <w:r>
        <w:rPr>
          <w:rFonts w:hint="eastAsia"/>
          <w:b/>
        </w:rPr>
        <w:t xml:space="preserve">4.2.1 </w:t>
      </w:r>
      <w:r>
        <w:rPr>
          <w:b/>
        </w:rPr>
        <w:t xml:space="preserve"> </w:t>
      </w:r>
      <w:r>
        <w:rPr>
          <w:rFonts w:hint="eastAsia"/>
        </w:rPr>
        <w:t>脚手架作业层安全防护措施应符合下列规定：</w:t>
      </w:r>
    </w:p>
    <w:p>
      <w:pPr>
        <w:spacing w:line="360" w:lineRule="auto"/>
        <w:ind w:firstLine="339" w:firstLineChars="161"/>
        <w:rPr>
          <w:b/>
        </w:rPr>
      </w:pPr>
      <w:r>
        <w:rPr>
          <w:rFonts w:hint="eastAsia"/>
          <w:b/>
        </w:rPr>
        <w:t>1</w:t>
      </w:r>
      <w:r>
        <w:rPr>
          <w:rFonts w:hint="eastAsia"/>
        </w:rPr>
        <w:t xml:space="preserve"> </w:t>
      </w:r>
      <w:r>
        <w:t xml:space="preserve"> </w:t>
      </w:r>
      <w:r>
        <w:rPr>
          <w:rFonts w:hint="eastAsia"/>
        </w:rPr>
        <w:t>采用挂钩连接的钢脚手板应带有自锁装置且与作业层水平杆锁紧；</w:t>
      </w:r>
    </w:p>
    <w:p>
      <w:pPr>
        <w:spacing w:line="360" w:lineRule="auto"/>
        <w:ind w:firstLine="339" w:firstLineChars="161"/>
        <w:rPr>
          <w:b/>
        </w:rPr>
      </w:pPr>
      <w:r>
        <w:rPr>
          <w:rFonts w:hint="eastAsia"/>
          <w:b/>
        </w:rPr>
        <w:t>2</w:t>
      </w:r>
      <w:r>
        <w:rPr>
          <w:rFonts w:hint="eastAsia"/>
        </w:rPr>
        <w:t xml:space="preserve"> </w:t>
      </w:r>
      <w:r>
        <w:t xml:space="preserve"> </w:t>
      </w:r>
      <w:r>
        <w:rPr>
          <w:rFonts w:hint="eastAsia"/>
        </w:rPr>
        <w:t>作业脚手架底层脚手板应采取封闭措施；</w:t>
      </w:r>
    </w:p>
    <w:p>
      <w:pPr>
        <w:spacing w:line="360" w:lineRule="auto"/>
        <w:ind w:firstLine="339" w:firstLineChars="161"/>
        <w:rPr>
          <w:b/>
        </w:rPr>
      </w:pPr>
      <w:r>
        <w:rPr>
          <w:rFonts w:hint="eastAsia"/>
          <w:b/>
        </w:rPr>
        <w:t>3</w:t>
      </w:r>
      <w:r>
        <w:rPr>
          <w:rFonts w:hint="eastAsia"/>
        </w:rPr>
        <w:t xml:space="preserve"> </w:t>
      </w:r>
      <w:r>
        <w:t xml:space="preserve"> </w:t>
      </w:r>
      <w:r>
        <w:rPr>
          <w:rFonts w:hint="eastAsia"/>
        </w:rPr>
        <w:t>临街作业脚手架的外侧立面、转角处应采取有效硬防护措施。</w:t>
      </w:r>
    </w:p>
    <w:p>
      <w:pPr>
        <w:spacing w:line="360" w:lineRule="auto"/>
        <w:rPr>
          <w:bCs/>
        </w:rPr>
      </w:pPr>
      <w:r>
        <w:rPr>
          <w:rFonts w:hint="eastAsia"/>
          <w:b/>
        </w:rPr>
        <w:t>4.2.2</w:t>
      </w:r>
      <w:r>
        <w:rPr>
          <w:rFonts w:hint="eastAsia"/>
        </w:rPr>
        <w:t xml:space="preserve"> </w:t>
      </w:r>
      <w:r>
        <w:t xml:space="preserve"> </w:t>
      </w:r>
      <w:r>
        <w:rPr>
          <w:rFonts w:hint="eastAsia"/>
        </w:rPr>
        <w:t>开口型双排脚手架的两端应设置连墙件和横向斜撑。</w:t>
      </w:r>
    </w:p>
    <w:p>
      <w:pPr>
        <w:spacing w:line="360" w:lineRule="auto"/>
        <w:rPr>
          <w:szCs w:val="21"/>
        </w:rPr>
      </w:pPr>
      <w:r>
        <w:rPr>
          <w:rFonts w:hint="eastAsia"/>
          <w:b/>
          <w:bCs/>
          <w:szCs w:val="21"/>
        </w:rPr>
        <w:t>4.2.3</w:t>
      </w:r>
      <w:r>
        <w:rPr>
          <w:b/>
          <w:szCs w:val="21"/>
        </w:rPr>
        <w:t xml:space="preserve">  </w:t>
      </w:r>
      <w:r>
        <w:rPr>
          <w:szCs w:val="21"/>
        </w:rPr>
        <w:t>脚手架最上一道纵向水平杆应高出女儿墙上端1000mm，坡屋面结构应高出檐口上端1500mm。</w:t>
      </w:r>
    </w:p>
    <w:p>
      <w:pPr>
        <w:spacing w:line="360" w:lineRule="auto"/>
      </w:pPr>
      <w:r>
        <w:rPr>
          <w:rFonts w:hint="eastAsia"/>
          <w:b/>
        </w:rPr>
        <w:t xml:space="preserve">4.2.4 </w:t>
      </w:r>
      <w:r>
        <w:rPr>
          <w:b/>
        </w:rPr>
        <w:t xml:space="preserve"> </w:t>
      </w:r>
      <w:r>
        <w:rPr>
          <w:rFonts w:hint="eastAsia"/>
        </w:rPr>
        <w:t>脚手架作业层外边沿应设置防护栏杆和高度不小于180mm的挡脚板，栏杆与挡脚板构造见图4.2.4所示。</w:t>
      </w:r>
    </w:p>
    <w:p>
      <w:pPr>
        <w:spacing w:line="360" w:lineRule="auto"/>
        <w:jc w:val="center"/>
        <w:rPr>
          <w:szCs w:val="21"/>
        </w:rPr>
      </w:pPr>
      <w:r>
        <w:rPr>
          <w:szCs w:val="21"/>
        </w:rPr>
        <w:drawing>
          <wp:inline distT="0" distB="0" distL="114300" distR="114300">
            <wp:extent cx="2103755" cy="1550670"/>
            <wp:effectExtent l="0" t="0" r="1079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103755" cy="155067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 xml:space="preserve">4.2.4  </w:t>
      </w:r>
      <w:r>
        <w:rPr>
          <w:rFonts w:hint="eastAsia" w:ascii="黑体" w:hAnsi="黑体" w:eastAsia="黑体" w:cs="宋体"/>
          <w:sz w:val="18"/>
          <w:szCs w:val="18"/>
        </w:rPr>
        <w:t>栏杆与挡脚板构造（单位：</w:t>
      </w:r>
      <w:r>
        <w:rPr>
          <w:rFonts w:ascii="黑体" w:hAnsi="黑体" w:eastAsia="黑体" w:cs="宋体"/>
          <w:sz w:val="18"/>
          <w:szCs w:val="18"/>
        </w:rPr>
        <w:t>mm</w:t>
      </w:r>
      <w:r>
        <w:rPr>
          <w:rFonts w:hint="eastAsia" w:ascii="黑体" w:hAnsi="黑体" w:eastAsia="黑体" w:cs="宋体"/>
          <w:sz w:val="18"/>
          <w:szCs w:val="18"/>
        </w:rPr>
        <w:t>）</w:t>
      </w:r>
    </w:p>
    <w:p>
      <w:pPr>
        <w:spacing w:line="360" w:lineRule="auto"/>
        <w:jc w:val="center"/>
        <w:rPr>
          <w:rFonts w:ascii="黑体" w:hAnsi="黑体" w:eastAsia="黑体" w:cs="宋体"/>
          <w:sz w:val="18"/>
          <w:szCs w:val="18"/>
        </w:rPr>
      </w:pPr>
      <w:r>
        <w:rPr>
          <w:rFonts w:ascii="黑体" w:hAnsi="黑体" w:eastAsia="黑体" w:cs="宋体"/>
          <w:sz w:val="18"/>
          <w:szCs w:val="18"/>
        </w:rPr>
        <w:t>1</w:t>
      </w:r>
      <w:r>
        <w:rPr>
          <w:rFonts w:hint="eastAsia" w:ascii="黑体" w:hAnsi="黑体" w:eastAsia="黑体"/>
          <w:bCs/>
          <w:sz w:val="18"/>
          <w:szCs w:val="18"/>
        </w:rPr>
        <w:t>—</w:t>
      </w:r>
      <w:r>
        <w:rPr>
          <w:rFonts w:hint="eastAsia" w:ascii="黑体" w:hAnsi="黑体" w:eastAsia="黑体" w:cs="宋体"/>
          <w:sz w:val="18"/>
          <w:szCs w:val="18"/>
        </w:rPr>
        <w:t>上栏杆；</w:t>
      </w:r>
      <w:r>
        <w:rPr>
          <w:rFonts w:ascii="黑体" w:hAnsi="黑体" w:eastAsia="黑体" w:cs="宋体"/>
          <w:sz w:val="18"/>
          <w:szCs w:val="18"/>
        </w:rPr>
        <w:t>2</w:t>
      </w:r>
      <w:r>
        <w:rPr>
          <w:rFonts w:ascii="黑体" w:hAnsi="黑体" w:eastAsia="黑体"/>
          <w:bCs/>
          <w:sz w:val="18"/>
          <w:szCs w:val="18"/>
        </w:rPr>
        <w:t>—</w:t>
      </w:r>
      <w:r>
        <w:rPr>
          <w:rFonts w:hint="eastAsia" w:ascii="黑体" w:hAnsi="黑体" w:eastAsia="黑体" w:cs="宋体"/>
          <w:sz w:val="18"/>
          <w:szCs w:val="18"/>
        </w:rPr>
        <w:t>外立杆；</w:t>
      </w:r>
      <w:r>
        <w:rPr>
          <w:rFonts w:ascii="黑体" w:hAnsi="黑体" w:eastAsia="黑体" w:cs="宋体"/>
          <w:sz w:val="18"/>
          <w:szCs w:val="18"/>
        </w:rPr>
        <w:t>3</w:t>
      </w:r>
      <w:r>
        <w:rPr>
          <w:rFonts w:ascii="黑体" w:hAnsi="黑体" w:eastAsia="黑体"/>
          <w:bCs/>
          <w:sz w:val="18"/>
          <w:szCs w:val="18"/>
        </w:rPr>
        <w:t>—</w:t>
      </w:r>
      <w:r>
        <w:rPr>
          <w:rFonts w:hint="eastAsia" w:ascii="黑体" w:hAnsi="黑体" w:eastAsia="黑体" w:cs="宋体"/>
          <w:sz w:val="18"/>
          <w:szCs w:val="18"/>
        </w:rPr>
        <w:t>挡脚板；</w:t>
      </w:r>
      <w:r>
        <w:rPr>
          <w:rFonts w:ascii="黑体" w:hAnsi="黑体" w:eastAsia="黑体" w:cs="宋体"/>
          <w:sz w:val="18"/>
          <w:szCs w:val="18"/>
        </w:rPr>
        <w:t>4</w:t>
      </w:r>
      <w:r>
        <w:rPr>
          <w:rFonts w:hint="eastAsia" w:ascii="黑体" w:hAnsi="黑体" w:eastAsia="黑体"/>
          <w:bCs/>
          <w:sz w:val="18"/>
          <w:szCs w:val="18"/>
        </w:rPr>
        <w:t>—</w:t>
      </w:r>
      <w:r>
        <w:rPr>
          <w:rFonts w:hint="eastAsia" w:ascii="黑体" w:hAnsi="黑体" w:eastAsia="黑体" w:cs="宋体"/>
          <w:sz w:val="18"/>
          <w:szCs w:val="18"/>
        </w:rPr>
        <w:t>中栏杆</w:t>
      </w:r>
    </w:p>
    <w:p>
      <w:pPr>
        <w:spacing w:line="360" w:lineRule="auto"/>
        <w:rPr>
          <w:rFonts w:ascii="宋体" w:hAnsi="宋体" w:cs="宋体"/>
          <w:szCs w:val="21"/>
        </w:rPr>
      </w:pPr>
      <w:r>
        <w:rPr>
          <w:rFonts w:hint="eastAsia"/>
          <w:b/>
          <w:bCs/>
          <w:szCs w:val="21"/>
        </w:rPr>
        <w:t>4.2.5</w:t>
      </w:r>
      <w:r>
        <w:rPr>
          <w:rFonts w:hint="eastAsia" w:ascii="宋体" w:hAnsi="宋体" w:cs="宋体"/>
          <w:b/>
          <w:szCs w:val="21"/>
        </w:rPr>
        <w:t xml:space="preserve"> </w:t>
      </w:r>
      <w:r>
        <w:rPr>
          <w:rFonts w:ascii="宋体" w:hAnsi="宋体" w:cs="宋体"/>
          <w:b/>
          <w:szCs w:val="21"/>
        </w:rPr>
        <w:t xml:space="preserve"> </w:t>
      </w:r>
      <w:r>
        <w:rPr>
          <w:rFonts w:hint="eastAsia" w:ascii="宋体" w:hAnsi="宋体" w:cs="宋体"/>
          <w:szCs w:val="21"/>
        </w:rPr>
        <w:t>脚手架架体外立面应采用密目式安全网或钢板网进行全封闭防护。密目式安全网应沿外立杆内侧进行封闭，钢板网应沿架体外侧进行封闭。密目式安全网和钢板网应与架体可靠固定。</w:t>
      </w:r>
    </w:p>
    <w:p>
      <w:pPr>
        <w:spacing w:line="360" w:lineRule="auto"/>
        <w:jc w:val="left"/>
      </w:pPr>
      <w:r>
        <w:rPr>
          <w:rFonts w:hint="eastAsia"/>
          <w:b/>
        </w:rPr>
        <w:t xml:space="preserve">4.2.6  </w:t>
      </w:r>
      <w:r>
        <w:rPr>
          <w:rFonts w:hint="eastAsia"/>
        </w:rPr>
        <w:t>人行斜道宽度不应小于 1m，坡度不应大于 1：3； 运料斜道宽度不应小于 1.5m，坡度不应大于 1：6。斜道拐弯处应设置平台，平台尺寸应满足人员双向通行及运料要求且不小于斜道宽度，设置防护栏杆和挡脚板。人行斜道和运料斜道的脚手板上应每隔250mm～300mm 设置一根防滑木条，木条厚度宜为 20mm～30mm。</w:t>
      </w:r>
    </w:p>
    <w:p>
      <w:pPr>
        <w:spacing w:line="360" w:lineRule="auto"/>
      </w:pPr>
      <w:r>
        <w:rPr>
          <w:rFonts w:hint="eastAsia"/>
          <w:b/>
        </w:rPr>
        <w:t xml:space="preserve">4.2.7 </w:t>
      </w:r>
      <w:r>
        <w:rPr>
          <w:b/>
        </w:rPr>
        <w:t xml:space="preserve"> </w:t>
      </w:r>
      <w:r>
        <w:rPr>
          <w:rFonts w:hint="eastAsia"/>
        </w:rPr>
        <w:t>悬挑架架体底层应采取硬质封闭措施。</w:t>
      </w:r>
      <w:r>
        <w:rPr>
          <w:rFonts w:hint="eastAsia"/>
          <w:b/>
        </w:rPr>
        <w:t xml:space="preserve"> </w:t>
      </w:r>
    </w:p>
    <w:p>
      <w:pPr>
        <w:spacing w:line="360" w:lineRule="auto"/>
        <w:rPr>
          <w:rFonts w:ascii="宋体" w:hAnsi="宋体" w:cs="宋体"/>
          <w:bCs/>
          <w:szCs w:val="21"/>
        </w:rPr>
      </w:pPr>
      <w:r>
        <w:rPr>
          <w:rFonts w:hint="eastAsia"/>
          <w:b/>
          <w:bCs/>
          <w:szCs w:val="21"/>
        </w:rPr>
        <w:t>4.2.8</w:t>
      </w:r>
      <w:r>
        <w:rPr>
          <w:rFonts w:hint="eastAsia" w:ascii="宋体" w:hAnsi="宋体" w:cs="宋体"/>
          <w:b/>
          <w:szCs w:val="21"/>
        </w:rPr>
        <w:t xml:space="preserve">  </w:t>
      </w:r>
      <w:r>
        <w:rPr>
          <w:rFonts w:hint="eastAsia" w:ascii="宋体" w:hAnsi="宋体" w:cs="宋体"/>
          <w:bCs/>
          <w:szCs w:val="21"/>
        </w:rPr>
        <w:t>当遇五级及以上强风、浓雾、雨或雪天气时，应停止室外脚手架的搭设、使用及拆除作业。雨、霜、雪后上架作业应有防滑措施，并应及时清除水、冰、霜和雪。</w:t>
      </w:r>
    </w:p>
    <w:p>
      <w:pPr>
        <w:spacing w:line="360" w:lineRule="auto"/>
        <w:rPr>
          <w:rFonts w:ascii="宋体" w:hAnsi="宋体" w:cs="宋体"/>
          <w:bCs/>
          <w:szCs w:val="21"/>
        </w:rPr>
      </w:pPr>
      <w:r>
        <w:rPr>
          <w:rFonts w:hint="eastAsia"/>
          <w:b/>
          <w:bCs/>
          <w:szCs w:val="21"/>
        </w:rPr>
        <w:t>4.2.9</w:t>
      </w:r>
      <w:r>
        <w:rPr>
          <w:rFonts w:hint="eastAsia" w:ascii="宋体" w:hAnsi="宋体" w:cs="宋体"/>
          <w:b/>
          <w:szCs w:val="21"/>
        </w:rPr>
        <w:t xml:space="preserve">  </w:t>
      </w:r>
      <w:r>
        <w:rPr>
          <w:rFonts w:hint="eastAsia" w:ascii="宋体" w:hAnsi="宋体" w:cs="宋体"/>
          <w:bCs/>
          <w:szCs w:val="21"/>
        </w:rPr>
        <w:t>作业层上的施工荷载应符合设计要求，不得超载。不应将模板支架、缆风绳、泵送混凝土和砂浆的输送管等固定在架体上；不应悬挂起重设备，不得拆除或移动架体上安全防护设施。</w:t>
      </w:r>
    </w:p>
    <w:p>
      <w:pPr>
        <w:spacing w:line="360" w:lineRule="auto"/>
        <w:rPr>
          <w:rFonts w:ascii="宋体" w:hAnsi="宋体" w:cs="宋体"/>
          <w:szCs w:val="21"/>
        </w:rPr>
      </w:pPr>
      <w:r>
        <w:rPr>
          <w:rFonts w:hint="eastAsia"/>
          <w:b/>
          <w:bCs/>
          <w:szCs w:val="21"/>
        </w:rPr>
        <w:t>4.2.10</w:t>
      </w:r>
      <w:r>
        <w:rPr>
          <w:rFonts w:hint="eastAsia" w:ascii="宋体" w:hAnsi="宋体" w:cs="宋体"/>
          <w:b/>
          <w:szCs w:val="21"/>
        </w:rPr>
        <w:t xml:space="preserve">  </w:t>
      </w:r>
      <w:r>
        <w:rPr>
          <w:rFonts w:hint="eastAsia" w:ascii="宋体" w:hAnsi="宋体" w:cs="宋体"/>
          <w:szCs w:val="21"/>
        </w:rPr>
        <w:t>搭设和拆除脚手架作业应有相应的安全措施，应设置安全警戒线、警戒标志，并应由专人监护，非作业人员不得进入警戒作业区</w:t>
      </w:r>
      <w:r>
        <w:rPr>
          <w:rFonts w:hint="eastAsia" w:ascii="宋体" w:hAnsi="宋体" w:cs="宋体"/>
          <w:bCs/>
          <w:szCs w:val="21"/>
        </w:rPr>
        <w:t>。</w:t>
      </w:r>
    </w:p>
    <w:p>
      <w:pPr>
        <w:spacing w:line="360" w:lineRule="auto"/>
        <w:rPr>
          <w:rFonts w:ascii="宋体" w:hAnsi="宋体" w:cs="宋体"/>
          <w:bCs/>
          <w:szCs w:val="21"/>
        </w:rPr>
      </w:pPr>
      <w:r>
        <w:rPr>
          <w:rFonts w:hint="eastAsia"/>
          <w:b/>
        </w:rPr>
        <w:t xml:space="preserve">4.2.11  </w:t>
      </w:r>
      <w:r>
        <w:rPr>
          <w:rFonts w:hint="eastAsia"/>
        </w:rPr>
        <w:t>脚手架搭设和拆除时，宜采取以下措施</w:t>
      </w:r>
      <w:r>
        <w:rPr>
          <w:rFonts w:hint="eastAsia" w:ascii="宋体" w:hAnsi="宋体" w:cs="宋体"/>
          <w:bCs/>
          <w:szCs w:val="21"/>
        </w:rPr>
        <w:t>：</w:t>
      </w:r>
    </w:p>
    <w:p>
      <w:pPr>
        <w:spacing w:line="360" w:lineRule="auto"/>
        <w:ind w:firstLine="422" w:firstLineChars="200"/>
      </w:pPr>
      <w:r>
        <w:rPr>
          <w:rFonts w:hint="eastAsia" w:ascii="宋体" w:hAnsi="宋体" w:cs="宋体"/>
          <w:b/>
          <w:szCs w:val="21"/>
        </w:rPr>
        <w:t>1</w:t>
      </w:r>
      <w:r>
        <w:rPr>
          <w:rFonts w:hint="eastAsia" w:ascii="宋体" w:hAnsi="宋体" w:cs="宋体"/>
          <w:bCs/>
          <w:szCs w:val="21"/>
        </w:rPr>
        <w:t xml:space="preserve"> </w:t>
      </w:r>
      <w:r>
        <w:rPr>
          <w:rFonts w:hint="eastAsia"/>
        </w:rPr>
        <w:t>设置安全钢丝绳，钢丝绳直径不应小于6mm；</w:t>
      </w:r>
    </w:p>
    <w:p>
      <w:pPr>
        <w:spacing w:line="360" w:lineRule="auto"/>
        <w:ind w:firstLine="422" w:firstLineChars="200"/>
      </w:pPr>
      <w:r>
        <w:rPr>
          <w:rFonts w:hint="eastAsia"/>
          <w:b/>
          <w:bCs/>
        </w:rPr>
        <w:t>2</w:t>
      </w:r>
      <w:r>
        <w:rPr>
          <w:rFonts w:hint="eastAsia"/>
        </w:rPr>
        <w:t xml:space="preserve"> 脚手架搭设时，安全钢丝绳设置在脚手架靠近结构一侧的立杆或横向水平杆上。脚手架搭设时安全钢丝绳的设置构造示意图见图4.2.13；</w:t>
      </w:r>
    </w:p>
    <w:p>
      <w:pPr>
        <w:spacing w:line="360" w:lineRule="auto"/>
        <w:ind w:firstLine="422" w:firstLineChars="200"/>
        <w:rPr>
          <w:bCs/>
        </w:rPr>
      </w:pPr>
      <w:r>
        <w:rPr>
          <w:rFonts w:hint="eastAsia"/>
          <w:b/>
          <w:bCs/>
        </w:rPr>
        <w:t>3</w:t>
      </w:r>
      <w:r>
        <w:rPr>
          <w:rFonts w:hint="eastAsia"/>
        </w:rPr>
        <w:t xml:space="preserve"> 脚手架拆除时，安全钢丝绳设置在立杆内侧的横向水平杆下方。</w:t>
      </w:r>
    </w:p>
    <w:p>
      <w:pPr>
        <w:spacing w:line="360" w:lineRule="auto"/>
        <w:jc w:val="center"/>
        <w:rPr>
          <w:szCs w:val="21"/>
        </w:rPr>
      </w:pPr>
      <w:r>
        <w:drawing>
          <wp:inline distT="0" distB="0" distL="114300" distR="114300">
            <wp:extent cx="3689350" cy="2160270"/>
            <wp:effectExtent l="0" t="0" r="635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689350" cy="2160270"/>
                    </a:xfrm>
                    <a:prstGeom prst="rect">
                      <a:avLst/>
                    </a:prstGeom>
                    <a:noFill/>
                    <a:ln>
                      <a:noFill/>
                    </a:ln>
                  </pic:spPr>
                </pic:pic>
              </a:graphicData>
            </a:graphic>
          </wp:inline>
        </w:drawing>
      </w:r>
    </w:p>
    <w:p>
      <w:pPr>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4.2.13  </w:t>
      </w:r>
      <w:r>
        <w:rPr>
          <w:rFonts w:hint="eastAsia" w:ascii="黑体" w:hAnsi="黑体" w:eastAsia="黑体"/>
          <w:sz w:val="18"/>
          <w:szCs w:val="18"/>
        </w:rPr>
        <w:t>脚手架搭设时生命线的设置构造</w:t>
      </w:r>
    </w:p>
    <w:p>
      <w:pPr>
        <w:spacing w:line="360" w:lineRule="auto"/>
        <w:jc w:val="center"/>
        <w:rPr>
          <w:rFonts w:ascii="黑体" w:hAnsi="黑体" w:eastAsia="黑体" w:cs="宋体"/>
          <w:bCs/>
          <w:sz w:val="18"/>
          <w:szCs w:val="18"/>
        </w:rPr>
      </w:pPr>
      <w:r>
        <w:rPr>
          <w:rFonts w:ascii="黑体" w:hAnsi="黑体" w:eastAsia="黑体" w:cs="宋体"/>
          <w:bCs/>
          <w:sz w:val="18"/>
          <w:szCs w:val="18"/>
        </w:rPr>
        <w:t>1</w:t>
      </w:r>
      <w:r>
        <w:rPr>
          <w:rFonts w:hint="eastAsia" w:ascii="黑体" w:hAnsi="黑体" w:eastAsia="黑体" w:cs="宋体"/>
          <w:sz w:val="18"/>
          <w:szCs w:val="18"/>
        </w:rPr>
        <w:t>—</w:t>
      </w:r>
      <w:r>
        <w:rPr>
          <w:rFonts w:hint="eastAsia" w:ascii="黑体" w:hAnsi="黑体" w:eastAsia="黑体" w:cs="宋体"/>
          <w:bCs/>
          <w:sz w:val="18"/>
          <w:szCs w:val="18"/>
        </w:rPr>
        <w:t>绳端连接器；</w:t>
      </w:r>
      <w:r>
        <w:rPr>
          <w:rFonts w:ascii="黑体" w:hAnsi="黑体" w:eastAsia="黑体" w:cs="宋体"/>
          <w:bCs/>
          <w:sz w:val="18"/>
          <w:szCs w:val="18"/>
        </w:rPr>
        <w:t>2</w:t>
      </w:r>
      <w:r>
        <w:rPr>
          <w:rFonts w:hint="eastAsia" w:ascii="黑体" w:hAnsi="黑体" w:eastAsia="黑体" w:cs="宋体"/>
          <w:sz w:val="18"/>
          <w:szCs w:val="18"/>
        </w:rPr>
        <w:t>—</w:t>
      </w:r>
      <w:r>
        <w:rPr>
          <w:rFonts w:hint="eastAsia" w:ascii="黑体" w:hAnsi="黑体" w:eastAsia="黑体" w:cs="宋体"/>
          <w:bCs/>
          <w:sz w:val="18"/>
          <w:szCs w:val="18"/>
        </w:rPr>
        <w:t>卸扣</w:t>
      </w:r>
      <w:r>
        <w:rPr>
          <w:rFonts w:ascii="黑体" w:hAnsi="黑体" w:eastAsia="黑体" w:cs="宋体"/>
          <w:bCs/>
          <w:sz w:val="18"/>
          <w:szCs w:val="18"/>
        </w:rPr>
        <w:t>T-DW2</w:t>
      </w:r>
      <w:r>
        <w:rPr>
          <w:rFonts w:hint="eastAsia" w:ascii="黑体" w:hAnsi="黑体" w:eastAsia="黑体" w:cs="宋体"/>
          <w:bCs/>
          <w:sz w:val="18"/>
          <w:szCs w:val="18"/>
        </w:rPr>
        <w:t>；</w:t>
      </w:r>
      <w:r>
        <w:rPr>
          <w:rFonts w:ascii="黑体" w:hAnsi="黑体" w:eastAsia="黑体" w:cs="宋体"/>
          <w:bCs/>
          <w:sz w:val="18"/>
          <w:szCs w:val="18"/>
        </w:rPr>
        <w:t>3</w:t>
      </w:r>
      <w:r>
        <w:rPr>
          <w:rFonts w:hint="eastAsia" w:ascii="黑体" w:hAnsi="黑体" w:eastAsia="黑体" w:cs="宋体"/>
          <w:sz w:val="18"/>
          <w:szCs w:val="18"/>
        </w:rPr>
        <w:t>—</w:t>
      </w:r>
      <w:r>
        <w:rPr>
          <w:rFonts w:hint="eastAsia" w:ascii="黑体" w:hAnsi="黑体" w:eastAsia="黑体" w:cs="宋体"/>
          <w:bCs/>
          <w:sz w:val="18"/>
          <w:szCs w:val="18"/>
        </w:rPr>
        <w:t>套环；</w:t>
      </w:r>
      <w:r>
        <w:rPr>
          <w:rFonts w:ascii="黑体" w:hAnsi="黑体" w:eastAsia="黑体" w:cs="宋体"/>
          <w:bCs/>
          <w:sz w:val="18"/>
          <w:szCs w:val="18"/>
        </w:rPr>
        <w:t>4</w:t>
      </w:r>
      <w:r>
        <w:rPr>
          <w:rFonts w:hint="eastAsia" w:ascii="黑体" w:hAnsi="黑体" w:eastAsia="黑体" w:cs="宋体"/>
          <w:sz w:val="18"/>
          <w:szCs w:val="18"/>
        </w:rPr>
        <w:t>—</w:t>
      </w:r>
      <w:r>
        <w:rPr>
          <w:rFonts w:hint="eastAsia" w:ascii="黑体" w:hAnsi="黑体" w:eastAsia="黑体" w:cs="宋体"/>
          <w:bCs/>
          <w:sz w:val="18"/>
          <w:szCs w:val="18"/>
        </w:rPr>
        <w:t>绳夹；</w:t>
      </w:r>
      <w:r>
        <w:rPr>
          <w:rFonts w:ascii="黑体" w:hAnsi="黑体" w:eastAsia="黑体" w:cs="宋体"/>
          <w:bCs/>
          <w:sz w:val="18"/>
          <w:szCs w:val="18"/>
        </w:rPr>
        <w:t>5</w:t>
      </w:r>
      <w:r>
        <w:rPr>
          <w:rFonts w:hint="eastAsia" w:ascii="黑体" w:hAnsi="黑体" w:eastAsia="黑体" w:cs="宋体"/>
          <w:sz w:val="18"/>
          <w:szCs w:val="18"/>
        </w:rPr>
        <w:t>—</w:t>
      </w:r>
      <w:r>
        <w:rPr>
          <w:rFonts w:hint="eastAsia" w:ascii="黑体" w:hAnsi="黑体" w:eastAsia="黑体" w:cs="宋体"/>
          <w:bCs/>
          <w:sz w:val="18"/>
          <w:szCs w:val="18"/>
        </w:rPr>
        <w:t>钢丝绳；</w:t>
      </w:r>
    </w:p>
    <w:p>
      <w:pPr>
        <w:spacing w:line="360" w:lineRule="auto"/>
        <w:jc w:val="center"/>
        <w:rPr>
          <w:bCs/>
          <w:szCs w:val="21"/>
        </w:rPr>
      </w:pPr>
      <w:r>
        <w:rPr>
          <w:rFonts w:ascii="黑体" w:hAnsi="黑体" w:eastAsia="黑体" w:cs="宋体"/>
          <w:bCs/>
          <w:sz w:val="18"/>
          <w:szCs w:val="18"/>
        </w:rPr>
        <w:t>6</w:t>
      </w:r>
      <w:r>
        <w:rPr>
          <w:rFonts w:hint="eastAsia" w:ascii="黑体" w:hAnsi="黑体" w:eastAsia="黑体" w:cs="宋体"/>
          <w:sz w:val="18"/>
          <w:szCs w:val="18"/>
        </w:rPr>
        <w:t>—</w:t>
      </w:r>
      <w:r>
        <w:rPr>
          <w:rFonts w:hint="eastAsia" w:ascii="黑体" w:hAnsi="黑体" w:eastAsia="黑体" w:cs="宋体"/>
          <w:bCs/>
          <w:sz w:val="18"/>
          <w:szCs w:val="18"/>
        </w:rPr>
        <w:t>花篮螺栓</w:t>
      </w:r>
      <w:r>
        <w:rPr>
          <w:rFonts w:ascii="黑体" w:hAnsi="黑体" w:eastAsia="黑体" w:cs="宋体"/>
          <w:bCs/>
          <w:sz w:val="18"/>
          <w:szCs w:val="18"/>
        </w:rPr>
        <w:t>K00D</w:t>
      </w:r>
      <w:r>
        <w:rPr>
          <w:rFonts w:hint="eastAsia" w:ascii="黑体" w:hAnsi="黑体" w:eastAsia="黑体" w:cs="宋体"/>
          <w:bCs/>
          <w:sz w:val="18"/>
          <w:szCs w:val="18"/>
        </w:rPr>
        <w:t>型</w:t>
      </w:r>
      <w:r>
        <w:rPr>
          <w:rFonts w:ascii="黑体" w:hAnsi="黑体" w:eastAsia="黑体" w:cs="宋体"/>
          <w:bCs/>
          <w:sz w:val="18"/>
          <w:szCs w:val="18"/>
        </w:rPr>
        <w:t>M16</w:t>
      </w:r>
    </w:p>
    <w:p>
      <w:pPr>
        <w:pStyle w:val="3"/>
        <w:rPr>
          <w:rFonts w:ascii="Times New Roman" w:hAnsi="Times New Roman" w:cs="Times New Roman" w:eastAsiaTheme="minorEastAsia"/>
          <w:color w:val="auto"/>
        </w:rPr>
      </w:pPr>
      <w:bookmarkStart w:id="84" w:name="_Toc10822"/>
      <w:r>
        <w:rPr>
          <w:rFonts w:ascii="Times New Roman" w:hAnsi="Times New Roman" w:cs="Times New Roman" w:eastAsiaTheme="minorEastAsia"/>
          <w:color w:val="auto"/>
        </w:rPr>
        <w:t>4.3  工具式脚手架作业防护</w:t>
      </w:r>
      <w:bookmarkEnd w:id="84"/>
    </w:p>
    <w:p>
      <w:pPr>
        <w:spacing w:line="360" w:lineRule="auto"/>
        <w:rPr>
          <w:szCs w:val="21"/>
        </w:rPr>
      </w:pPr>
      <w:r>
        <w:rPr>
          <w:rFonts w:hint="eastAsia"/>
          <w:b/>
          <w:bCs/>
          <w:szCs w:val="21"/>
        </w:rPr>
        <w:t xml:space="preserve">4.3.1 </w:t>
      </w:r>
      <w:r>
        <w:rPr>
          <w:b/>
          <w:bCs/>
          <w:szCs w:val="21"/>
        </w:rPr>
        <w:t xml:space="preserve"> </w:t>
      </w:r>
      <w:r>
        <w:rPr>
          <w:szCs w:val="21"/>
        </w:rPr>
        <w:t>高处作业吊篮应符合现行国家标准《高处作业吊篮》GB/T 19155和现行行业标准《建筑施工工具式脚手架安全技术规范》JGJ 202的规定。</w:t>
      </w:r>
    </w:p>
    <w:p>
      <w:pPr>
        <w:spacing w:line="360" w:lineRule="auto"/>
        <w:rPr>
          <w:szCs w:val="21"/>
        </w:rPr>
      </w:pPr>
      <w:r>
        <w:rPr>
          <w:rFonts w:hint="eastAsia"/>
          <w:b/>
          <w:bCs/>
          <w:szCs w:val="21"/>
        </w:rPr>
        <w:t xml:space="preserve">4.3.2 </w:t>
      </w:r>
      <w:r>
        <w:rPr>
          <w:b/>
          <w:bCs/>
          <w:szCs w:val="21"/>
        </w:rPr>
        <w:t xml:space="preserve"> </w:t>
      </w:r>
      <w:r>
        <w:rPr>
          <w:szCs w:val="21"/>
        </w:rPr>
        <w:t>高处作业吊篮应设置作业人员专用的挂设安全带的安全绳及安全锁扣。安全绳应固定在建筑物可靠位置上，且不得与吊篮上任何部位有连接。安全绳应符合现行国家标准《安全带》GB 6095的规定，直径应与安全锁扣的规格相一致。</w:t>
      </w:r>
    </w:p>
    <w:p>
      <w:pPr>
        <w:spacing w:line="360" w:lineRule="auto"/>
        <w:rPr>
          <w:szCs w:val="21"/>
        </w:rPr>
      </w:pPr>
      <w:r>
        <w:rPr>
          <w:rFonts w:hint="eastAsia"/>
          <w:b/>
          <w:bCs/>
          <w:szCs w:val="21"/>
        </w:rPr>
        <w:t>4.3.3</w:t>
      </w:r>
      <w:r>
        <w:rPr>
          <w:szCs w:val="21"/>
        </w:rPr>
        <w:t xml:space="preserve">  吊篮内的作业人员应2人，操作人员应正确佩带安全带，安全带与安全绳应通过安全锁扣连接。安全绳应与吊篮垂直设置，安全绳宜每人一绳。</w:t>
      </w:r>
    </w:p>
    <w:p>
      <w:pPr>
        <w:spacing w:line="360" w:lineRule="auto"/>
        <w:rPr>
          <w:szCs w:val="21"/>
        </w:rPr>
      </w:pPr>
      <w:r>
        <w:rPr>
          <w:rFonts w:hint="eastAsia"/>
          <w:b/>
          <w:bCs/>
          <w:szCs w:val="21"/>
        </w:rPr>
        <w:t>4.3.4</w:t>
      </w:r>
      <w:r>
        <w:rPr>
          <w:szCs w:val="21"/>
        </w:rPr>
        <w:t xml:space="preserve">  不得将高处作业吊篮用作垂直运输设备，人员、物料进出吊篮应在地面或安全层面进行。</w:t>
      </w:r>
      <w:r>
        <w:rPr>
          <w:b/>
          <w:szCs w:val="21"/>
        </w:rPr>
        <w:t xml:space="preserve"> </w:t>
      </w:r>
    </w:p>
    <w:p>
      <w:pPr>
        <w:spacing w:line="360" w:lineRule="auto"/>
        <w:rPr>
          <w:szCs w:val="21"/>
        </w:rPr>
      </w:pPr>
      <w:r>
        <w:rPr>
          <w:rFonts w:hint="eastAsia"/>
          <w:b/>
          <w:bCs/>
          <w:szCs w:val="21"/>
        </w:rPr>
        <w:t>4.3.5</w:t>
      </w:r>
      <w:r>
        <w:rPr>
          <w:szCs w:val="21"/>
        </w:rPr>
        <w:t xml:space="preserve">  吊篮平台尺寸应满足所搭载的操作者人数和其携带工具与物料的需要。在不计控制箱的影响时，平台内部宽度不应小于500mm。每个人员的工作面积不应小于0.25m²。</w:t>
      </w:r>
    </w:p>
    <w:p>
      <w:pPr>
        <w:spacing w:line="360" w:lineRule="auto"/>
        <w:rPr>
          <w:szCs w:val="21"/>
        </w:rPr>
      </w:pPr>
      <w:r>
        <w:rPr>
          <w:rFonts w:hint="eastAsia"/>
          <w:b/>
          <w:bCs/>
          <w:szCs w:val="21"/>
        </w:rPr>
        <w:t>4.3.6</w:t>
      </w:r>
      <w:r>
        <w:rPr>
          <w:szCs w:val="21"/>
        </w:rPr>
        <w:t xml:space="preserve">  吊篮平台底板应为坚固、防滑的格形板或网纹板等,并固定可靠。底板上的任何开孔应设计成能防止直径为15mm的球体通过，并有足够的排水措施。</w:t>
      </w:r>
    </w:p>
    <w:p>
      <w:pPr>
        <w:spacing w:line="360" w:lineRule="auto"/>
        <w:rPr>
          <w:szCs w:val="21"/>
        </w:rPr>
      </w:pPr>
      <w:r>
        <w:rPr>
          <w:rFonts w:hint="eastAsia"/>
          <w:b/>
          <w:bCs/>
          <w:szCs w:val="21"/>
        </w:rPr>
        <w:t xml:space="preserve">4.3.7 </w:t>
      </w:r>
      <w:r>
        <w:rPr>
          <w:b/>
          <w:bCs/>
          <w:szCs w:val="21"/>
        </w:rPr>
        <w:t xml:space="preserve"> </w:t>
      </w:r>
      <w:r>
        <w:rPr>
          <w:szCs w:val="21"/>
        </w:rPr>
        <w:t>吊篮平台四周应安装护栏、中间护栏和踢脚板。护栏高度不应小于1000 mm，测量值为护栏上部至平台底板表面的距离。中间护栏与护栏和踢脚板间的距离不应大于500 mm。平台外部有包板时，可不设中间护栏，</w:t>
      </w:r>
      <w:r>
        <w:rPr>
          <w:bCs/>
          <w:szCs w:val="21"/>
        </w:rPr>
        <w:t>吊篮基本构造</w:t>
      </w:r>
      <w:r>
        <w:rPr>
          <w:szCs w:val="21"/>
        </w:rPr>
        <w:t>见图4.3.7 所示。</w:t>
      </w:r>
    </w:p>
    <w:p>
      <w:pPr>
        <w:spacing w:line="360" w:lineRule="auto"/>
        <w:jc w:val="center"/>
        <w:rPr>
          <w:szCs w:val="21"/>
        </w:rPr>
      </w:pPr>
      <w:r>
        <w:rPr>
          <w:szCs w:val="21"/>
        </w:rPr>
        <w:drawing>
          <wp:inline distT="0" distB="0" distL="114300" distR="114300">
            <wp:extent cx="5270500" cy="2282825"/>
            <wp:effectExtent l="0" t="0" r="6350" b="3175"/>
            <wp:docPr id="3" name="图片 3" descr="1e9570f39b2820d7acdda1dbc0d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e9570f39b2820d7acdda1dbc0d6411"/>
                    <pic:cNvPicPr>
                      <a:picLocks noChangeAspect="1"/>
                    </pic:cNvPicPr>
                  </pic:nvPicPr>
                  <pic:blipFill>
                    <a:blip r:embed="rId13"/>
                    <a:stretch>
                      <a:fillRect/>
                    </a:stretch>
                  </pic:blipFill>
                  <pic:spPr>
                    <a:xfrm>
                      <a:off x="0" y="0"/>
                      <a:ext cx="5270500" cy="2282825"/>
                    </a:xfrm>
                    <a:prstGeom prst="rect">
                      <a:avLst/>
                    </a:prstGeom>
                  </pic:spPr>
                </pic:pic>
              </a:graphicData>
            </a:graphic>
          </wp:inline>
        </w:drawing>
      </w:r>
    </w:p>
    <w:p>
      <w:pPr>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4.3.7  </w:t>
      </w:r>
      <w:r>
        <w:rPr>
          <w:rFonts w:hint="eastAsia" w:ascii="黑体" w:hAnsi="黑体" w:eastAsia="黑体"/>
          <w:sz w:val="18"/>
          <w:szCs w:val="18"/>
        </w:rPr>
        <w:t>吊篮基本构造</w:t>
      </w:r>
    </w:p>
    <w:p>
      <w:pPr>
        <w:jc w:val="center"/>
        <w:rPr>
          <w:rFonts w:ascii="黑体" w:hAnsi="黑体" w:eastAsia="黑体" w:cs="宋体"/>
          <w:sz w:val="18"/>
          <w:szCs w:val="18"/>
        </w:rPr>
      </w:pPr>
      <w:r>
        <w:rPr>
          <w:rFonts w:ascii="黑体" w:hAnsi="黑体" w:eastAsia="黑体" w:cs="宋体"/>
          <w:bCs/>
          <w:sz w:val="18"/>
          <w:szCs w:val="18"/>
        </w:rPr>
        <w:t>1</w:t>
      </w:r>
      <w:r>
        <w:rPr>
          <w:rFonts w:hint="eastAsia" w:ascii="黑体" w:hAnsi="黑体" w:eastAsia="黑体" w:cs="宋体"/>
          <w:sz w:val="18"/>
          <w:szCs w:val="18"/>
        </w:rPr>
        <w:t>—</w:t>
      </w:r>
      <w:r>
        <w:rPr>
          <w:rFonts w:hint="eastAsia" w:ascii="黑体" w:hAnsi="黑体" w:eastAsia="黑体" w:cs="宋体"/>
          <w:bCs/>
          <w:sz w:val="18"/>
          <w:szCs w:val="18"/>
        </w:rPr>
        <w:t>护栏；</w:t>
      </w:r>
      <w:r>
        <w:rPr>
          <w:rFonts w:ascii="黑体" w:hAnsi="黑体" w:eastAsia="黑体" w:cs="宋体"/>
          <w:bCs/>
          <w:sz w:val="18"/>
          <w:szCs w:val="18"/>
        </w:rPr>
        <w:t>2</w:t>
      </w:r>
      <w:r>
        <w:rPr>
          <w:rFonts w:hint="eastAsia" w:ascii="黑体" w:hAnsi="黑体" w:eastAsia="黑体" w:cs="宋体"/>
          <w:sz w:val="18"/>
          <w:szCs w:val="18"/>
        </w:rPr>
        <w:t>—</w:t>
      </w:r>
      <w:r>
        <w:rPr>
          <w:rFonts w:hint="eastAsia" w:ascii="黑体" w:hAnsi="黑体" w:eastAsia="黑体" w:cs="宋体"/>
          <w:bCs/>
          <w:sz w:val="18"/>
          <w:szCs w:val="18"/>
        </w:rPr>
        <w:t>中间护栏；</w:t>
      </w:r>
      <w:r>
        <w:rPr>
          <w:rFonts w:ascii="黑体" w:hAnsi="黑体" w:eastAsia="黑体" w:cs="宋体"/>
          <w:bCs/>
          <w:sz w:val="18"/>
          <w:szCs w:val="18"/>
        </w:rPr>
        <w:t>3</w:t>
      </w:r>
      <w:r>
        <w:rPr>
          <w:rFonts w:hint="eastAsia" w:ascii="黑体" w:hAnsi="黑体" w:eastAsia="黑体" w:cs="宋体"/>
          <w:sz w:val="18"/>
          <w:szCs w:val="18"/>
        </w:rPr>
        <w:t>—</w:t>
      </w:r>
      <w:r>
        <w:rPr>
          <w:rFonts w:hint="eastAsia" w:ascii="黑体" w:hAnsi="黑体" w:eastAsia="黑体" w:cs="宋体"/>
          <w:bCs/>
          <w:sz w:val="18"/>
          <w:szCs w:val="18"/>
        </w:rPr>
        <w:t>踢脚板；</w:t>
      </w:r>
      <w:r>
        <w:rPr>
          <w:rFonts w:ascii="黑体" w:hAnsi="黑体" w:eastAsia="黑体" w:cs="宋体"/>
          <w:bCs/>
          <w:sz w:val="18"/>
          <w:szCs w:val="18"/>
        </w:rPr>
        <w:t>4</w:t>
      </w:r>
      <w:r>
        <w:rPr>
          <w:rFonts w:hint="eastAsia" w:ascii="黑体" w:hAnsi="黑体" w:eastAsia="黑体" w:cs="宋体"/>
          <w:sz w:val="18"/>
          <w:szCs w:val="18"/>
        </w:rPr>
        <w:t>—</w:t>
      </w:r>
      <w:r>
        <w:rPr>
          <w:rFonts w:hint="eastAsia" w:ascii="黑体" w:hAnsi="黑体" w:eastAsia="黑体" w:cs="宋体"/>
          <w:bCs/>
          <w:sz w:val="18"/>
          <w:szCs w:val="18"/>
        </w:rPr>
        <w:t>平台底板</w:t>
      </w:r>
    </w:p>
    <w:p>
      <w:pPr>
        <w:spacing w:line="360" w:lineRule="auto"/>
        <w:rPr>
          <w:szCs w:val="21"/>
        </w:rPr>
      </w:pPr>
      <w:r>
        <w:rPr>
          <w:rFonts w:hint="eastAsia"/>
          <w:b/>
          <w:bCs/>
          <w:szCs w:val="21"/>
        </w:rPr>
        <w:t>4.3.8</w:t>
      </w:r>
      <w:r>
        <w:rPr>
          <w:szCs w:val="21"/>
        </w:rPr>
        <w:t xml:space="preserve">  吊篮踢脚板应高于平台底板表面150mm。平台包板可不装踢脚板。</w:t>
      </w:r>
    </w:p>
    <w:p>
      <w:pPr>
        <w:spacing w:line="360" w:lineRule="auto"/>
        <w:rPr>
          <w:szCs w:val="21"/>
        </w:rPr>
      </w:pPr>
      <w:r>
        <w:rPr>
          <w:rFonts w:hint="eastAsia"/>
          <w:b/>
          <w:bCs/>
          <w:szCs w:val="21"/>
        </w:rPr>
        <w:t xml:space="preserve">4.3.9 </w:t>
      </w:r>
      <w:r>
        <w:rPr>
          <w:b/>
          <w:bCs/>
          <w:szCs w:val="21"/>
        </w:rPr>
        <w:t xml:space="preserve"> </w:t>
      </w:r>
      <w:r>
        <w:rPr>
          <w:szCs w:val="21"/>
        </w:rPr>
        <w:t>附着式升降脚手架在进行升降操作时，架体上不应站人，下方应设警示区域，不得有人进入，并应设专人负责看护。</w:t>
      </w:r>
    </w:p>
    <w:p>
      <w:pPr>
        <w:spacing w:line="360" w:lineRule="auto"/>
      </w:pPr>
      <w:r>
        <w:rPr>
          <w:rFonts w:hint="eastAsia"/>
          <w:b/>
        </w:rPr>
        <w:t xml:space="preserve">4.3.10  </w:t>
      </w:r>
      <w:r>
        <w:rPr>
          <w:rFonts w:hint="eastAsia"/>
        </w:rPr>
        <w:t>当附着式升降脚手架架体遇到塔吊、施工电梯、物料平台需断开或开洞时，断开处应加设栏杆和封闭，开口处应有可靠的防止人员及物料坠落的措施。</w:t>
      </w:r>
    </w:p>
    <w:p>
      <w:pPr>
        <w:spacing w:line="360" w:lineRule="auto"/>
      </w:pPr>
      <w:r>
        <w:rPr>
          <w:rFonts w:hint="eastAsia"/>
          <w:b/>
        </w:rPr>
        <w:t xml:space="preserve">4.3.11  </w:t>
      </w:r>
      <w:r>
        <w:rPr>
          <w:rFonts w:hint="eastAsia"/>
        </w:rPr>
        <w:t>附着式升降脚手架架体外侧应采用密目式安全立网或钢板网封闭严密，且应可靠固定在架体上；作业层外侧应设置1200mm高的防护栏杆和180mm高的挡脚板。</w:t>
      </w:r>
    </w:p>
    <w:p>
      <w:pPr>
        <w:spacing w:line="360" w:lineRule="auto"/>
      </w:pPr>
      <w:r>
        <w:rPr>
          <w:rFonts w:hint="eastAsia"/>
          <w:b/>
        </w:rPr>
        <w:t xml:space="preserve">4.3.12  </w:t>
      </w:r>
      <w:r>
        <w:rPr>
          <w:rFonts w:hint="eastAsia"/>
        </w:rPr>
        <w:t>附着式升降脚手架水平支承桁架的最底层及作业层应设置脚手板，并应铺满、铺牢，与建筑物墙面之间也应设置脚手板全封闭。</w:t>
      </w:r>
    </w:p>
    <w:p>
      <w:pPr>
        <w:spacing w:line="360" w:lineRule="auto"/>
        <w:rPr>
          <w:szCs w:val="21"/>
        </w:rPr>
      </w:pPr>
      <w:r>
        <w:rPr>
          <w:rFonts w:hint="eastAsia"/>
          <w:b/>
          <w:bCs/>
          <w:szCs w:val="21"/>
        </w:rPr>
        <w:t xml:space="preserve">4.3.13  </w:t>
      </w:r>
      <w:r>
        <w:rPr>
          <w:szCs w:val="21"/>
        </w:rPr>
        <w:t>附着式升降脚手架附墙支座数量和卸荷措施应具有可靠的防倾覆、防坠落和同步升降控制的安全装置，并应符合现行行业标准《建筑施工工具式脚手架安全技术规范》JGJ 202及相关要求。</w:t>
      </w:r>
    </w:p>
    <w:p>
      <w:pPr>
        <w:spacing w:line="360" w:lineRule="auto"/>
        <w:jc w:val="center"/>
        <w:outlineLvl w:val="1"/>
        <w:rPr>
          <w:rFonts w:eastAsiaTheme="minorEastAsia"/>
          <w:b/>
          <w:bCs/>
          <w:szCs w:val="21"/>
        </w:rPr>
      </w:pPr>
      <w:bookmarkStart w:id="85" w:name="_Toc1422"/>
      <w:r>
        <w:rPr>
          <w:rFonts w:eastAsiaTheme="minorEastAsia"/>
          <w:b/>
          <w:bCs/>
          <w:szCs w:val="21"/>
        </w:rPr>
        <w:t>4.4  拉杆式悬挑脚手架</w:t>
      </w:r>
      <w:bookmarkEnd w:id="85"/>
    </w:p>
    <w:p>
      <w:pPr>
        <w:spacing w:line="360" w:lineRule="auto"/>
        <w:rPr>
          <w:rFonts w:cs="黑体" w:asciiTheme="minorEastAsia" w:hAnsiTheme="minorEastAsia" w:eastAsiaTheme="minorEastAsia"/>
          <w:b/>
          <w:bCs/>
          <w:szCs w:val="21"/>
        </w:rPr>
      </w:pPr>
      <w:bookmarkStart w:id="86" w:name="_Toc29645"/>
      <w:r>
        <w:rPr>
          <w:rFonts w:hint="eastAsia"/>
          <w:b/>
          <w:bCs/>
          <w:szCs w:val="21"/>
        </w:rPr>
        <w:t xml:space="preserve">4.4.1 </w:t>
      </w:r>
      <w:r>
        <w:rPr>
          <w:b/>
          <w:bCs/>
          <w:szCs w:val="21"/>
        </w:rPr>
        <w:t xml:space="preserve"> </w:t>
      </w:r>
      <w:r>
        <w:rPr>
          <w:rFonts w:hint="eastAsia" w:ascii="宋体" w:hAnsi="宋体" w:cs="宋体"/>
          <w:bCs/>
          <w:szCs w:val="21"/>
        </w:rPr>
        <w:t>拉杆式悬挑脚手架</w:t>
      </w:r>
      <w:r>
        <w:rPr>
          <w:rFonts w:hint="eastAsia"/>
        </w:rPr>
        <w:t>施工方案应经过专家论证，且一次悬挑高度不宜大于20m。</w:t>
      </w:r>
      <w:bookmarkEnd w:id="86"/>
    </w:p>
    <w:p>
      <w:pPr>
        <w:spacing w:line="360" w:lineRule="auto"/>
        <w:jc w:val="left"/>
        <w:rPr>
          <w:rFonts w:ascii="宋体" w:hAnsi="宋体" w:cs="宋体"/>
          <w:bCs/>
          <w:szCs w:val="21"/>
        </w:rPr>
      </w:pPr>
      <w:r>
        <w:rPr>
          <w:rFonts w:hint="eastAsia"/>
          <w:b/>
          <w:bCs/>
          <w:szCs w:val="21"/>
        </w:rPr>
        <w:t xml:space="preserve">4.4.2 </w:t>
      </w:r>
      <w:r>
        <w:rPr>
          <w:b/>
          <w:bCs/>
          <w:szCs w:val="21"/>
        </w:rPr>
        <w:t xml:space="preserve"> </w:t>
      </w:r>
      <w:r>
        <w:rPr>
          <w:rFonts w:hint="eastAsia" w:ascii="宋体" w:hAnsi="宋体" w:cs="宋体"/>
          <w:bCs/>
          <w:szCs w:val="21"/>
        </w:rPr>
        <w:t>拉杆式悬挑脚手架设置见图4.4.1，搭设和拆除应符合下列规定：</w:t>
      </w:r>
    </w:p>
    <w:p>
      <w:pPr>
        <w:pStyle w:val="13"/>
        <w:widowControl/>
        <w:shd w:val="clear" w:color="auto" w:fill="FFFFFF"/>
        <w:spacing w:beforeAutospacing="0" w:afterAutospacing="0" w:line="360" w:lineRule="auto"/>
        <w:ind w:firstLine="340"/>
        <w:jc w:val="both"/>
        <w:rPr>
          <w:kern w:val="2"/>
          <w:sz w:val="21"/>
        </w:rPr>
      </w:pPr>
      <w:r>
        <w:rPr>
          <w:rFonts w:hint="eastAsia"/>
          <w:b/>
          <w:bCs/>
          <w:kern w:val="2"/>
          <w:sz w:val="21"/>
        </w:rPr>
        <w:t>1</w:t>
      </w:r>
      <w:r>
        <w:rPr>
          <w:rFonts w:hint="eastAsia"/>
          <w:kern w:val="2"/>
          <w:sz w:val="21"/>
        </w:rPr>
        <w:t xml:space="preserve">  脚手架搭设、拆除应符合脚手架安全技术规范及专项施工方案要求；</w:t>
      </w:r>
    </w:p>
    <w:p>
      <w:pPr>
        <w:pStyle w:val="13"/>
        <w:widowControl/>
        <w:shd w:val="clear" w:color="auto" w:fill="FFFFFF"/>
        <w:spacing w:beforeAutospacing="0" w:afterAutospacing="0" w:line="360" w:lineRule="auto"/>
        <w:ind w:firstLine="340"/>
        <w:jc w:val="both"/>
        <w:rPr>
          <w:kern w:val="2"/>
          <w:sz w:val="21"/>
        </w:rPr>
      </w:pPr>
      <w:r>
        <w:rPr>
          <w:rFonts w:hint="eastAsia"/>
          <w:b/>
          <w:bCs/>
          <w:kern w:val="2"/>
          <w:sz w:val="21"/>
        </w:rPr>
        <w:t>2</w:t>
      </w:r>
      <w:r>
        <w:rPr>
          <w:rFonts w:hint="eastAsia"/>
          <w:kern w:val="2"/>
          <w:sz w:val="21"/>
        </w:rPr>
        <w:t xml:space="preserve">  进行脚手架安装、拆除作业前应根据专项施工方案要求，对作业人员进行安全技术交底，作业人员应持有效特种作业人员证书；</w:t>
      </w:r>
    </w:p>
    <w:p>
      <w:pPr>
        <w:pStyle w:val="13"/>
        <w:widowControl/>
        <w:shd w:val="clear" w:color="auto" w:fill="FFFFFF"/>
        <w:spacing w:beforeAutospacing="0" w:afterAutospacing="0" w:line="360" w:lineRule="auto"/>
        <w:ind w:firstLine="340"/>
        <w:jc w:val="both"/>
        <w:rPr>
          <w:kern w:val="2"/>
          <w:sz w:val="21"/>
        </w:rPr>
      </w:pPr>
      <w:r>
        <w:rPr>
          <w:rFonts w:hint="eastAsia"/>
          <w:b/>
          <w:bCs/>
          <w:kern w:val="2"/>
          <w:sz w:val="21"/>
        </w:rPr>
        <w:t>3</w:t>
      </w:r>
      <w:r>
        <w:rPr>
          <w:rFonts w:hint="eastAsia"/>
          <w:kern w:val="2"/>
          <w:sz w:val="21"/>
        </w:rPr>
        <w:t xml:space="preserve">  承力钢梁搭设前，应在下方脚手架设置符合规范要求的水平挑网；脚手架搭设拆除中，应在作业层设置用于张挂安全带的钢丝绳，在地面设置临时围护和警戒标志，并安排专人监护；</w:t>
      </w:r>
    </w:p>
    <w:p>
      <w:pPr>
        <w:pStyle w:val="13"/>
        <w:widowControl/>
        <w:shd w:val="clear" w:color="auto" w:fill="FFFFFF"/>
        <w:spacing w:beforeAutospacing="0" w:afterAutospacing="0" w:line="360" w:lineRule="auto"/>
        <w:ind w:firstLine="340"/>
        <w:jc w:val="both"/>
        <w:rPr>
          <w:kern w:val="2"/>
          <w:sz w:val="21"/>
        </w:rPr>
      </w:pPr>
      <w:r>
        <w:rPr>
          <w:rFonts w:hint="eastAsia"/>
          <w:b/>
          <w:bCs/>
          <w:kern w:val="2"/>
          <w:sz w:val="21"/>
        </w:rPr>
        <w:t>4</w:t>
      </w:r>
      <w:r>
        <w:rPr>
          <w:rFonts w:hint="eastAsia"/>
          <w:kern w:val="2"/>
          <w:sz w:val="21"/>
        </w:rPr>
        <w:t xml:space="preserve">  脚手架搭设过程中应按照施工进度分阶段进行验收，验收合格后方可使用；</w:t>
      </w:r>
    </w:p>
    <w:p>
      <w:pPr>
        <w:pStyle w:val="13"/>
        <w:widowControl/>
        <w:shd w:val="clear" w:color="auto" w:fill="FFFFFF"/>
        <w:spacing w:beforeAutospacing="0" w:afterAutospacing="0" w:line="360" w:lineRule="auto"/>
        <w:ind w:firstLine="340"/>
        <w:jc w:val="both"/>
        <w:rPr>
          <w:rFonts w:ascii="宋体" w:hAnsi="宋体" w:cs="宋体"/>
          <w:bCs/>
          <w:szCs w:val="21"/>
        </w:rPr>
      </w:pPr>
      <w:r>
        <w:rPr>
          <w:rFonts w:hint="eastAsia"/>
          <w:b/>
          <w:bCs/>
          <w:kern w:val="2"/>
          <w:sz w:val="21"/>
        </w:rPr>
        <w:t>5</w:t>
      </w:r>
      <w:r>
        <w:rPr>
          <w:rFonts w:hint="eastAsia"/>
          <w:kern w:val="2"/>
          <w:sz w:val="21"/>
        </w:rPr>
        <w:t xml:space="preserve">  脚手架使用期间不得拆除主节点处纵横向水平杆、连墙件、钢拉杆、承力钢梁等。</w:t>
      </w:r>
    </w:p>
    <w:p>
      <w:pPr>
        <w:pStyle w:val="4"/>
        <w:numPr>
          <w:ilvl w:val="2"/>
          <w:numId w:val="0"/>
        </w:numPr>
        <w:tabs>
          <w:tab w:val="clear" w:pos="1128"/>
        </w:tabs>
        <w:jc w:val="center"/>
        <w:rPr>
          <w:b/>
          <w:bCs w:val="0"/>
        </w:rPr>
      </w:pPr>
      <w:r>
        <w:drawing>
          <wp:inline distT="0" distB="0" distL="114300" distR="114300">
            <wp:extent cx="2629535" cy="2962910"/>
            <wp:effectExtent l="0" t="0" r="18415" b="889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4"/>
                    <a:stretch>
                      <a:fillRect/>
                    </a:stretch>
                  </pic:blipFill>
                  <pic:spPr>
                    <a:xfrm>
                      <a:off x="0" y="0"/>
                      <a:ext cx="2629535" cy="2962910"/>
                    </a:xfrm>
                    <a:prstGeom prst="rect">
                      <a:avLst/>
                    </a:prstGeom>
                  </pic:spPr>
                </pic:pic>
              </a:graphicData>
            </a:graphic>
          </wp:inline>
        </w:drawing>
      </w:r>
    </w:p>
    <w:p>
      <w:pPr>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4.4.1  </w:t>
      </w:r>
      <w:r>
        <w:rPr>
          <w:rFonts w:hint="eastAsia" w:ascii="黑体" w:hAnsi="黑体" w:eastAsia="黑体"/>
          <w:sz w:val="18"/>
          <w:szCs w:val="18"/>
        </w:rPr>
        <w:t>拉杆式悬挑脚手架构造图</w:t>
      </w:r>
    </w:p>
    <w:p>
      <w:pPr>
        <w:jc w:val="center"/>
        <w:rPr>
          <w:rFonts w:ascii="黑体" w:hAnsi="黑体" w:eastAsia="黑体" w:cs="宋体"/>
          <w:sz w:val="18"/>
          <w:szCs w:val="18"/>
        </w:rPr>
      </w:pPr>
      <w:r>
        <w:rPr>
          <w:rFonts w:ascii="黑体" w:hAnsi="黑体" w:eastAsia="黑体" w:cs="宋体"/>
          <w:bCs/>
          <w:sz w:val="18"/>
          <w:szCs w:val="18"/>
        </w:rPr>
        <w:t>1</w:t>
      </w:r>
      <w:r>
        <w:rPr>
          <w:rFonts w:hint="eastAsia" w:ascii="黑体" w:hAnsi="黑体" w:eastAsia="黑体" w:cs="宋体"/>
          <w:sz w:val="18"/>
          <w:szCs w:val="18"/>
        </w:rPr>
        <w:t>—螺栓预埋点；</w:t>
      </w:r>
      <w:r>
        <w:rPr>
          <w:rFonts w:ascii="黑体" w:hAnsi="黑体" w:eastAsia="黑体" w:cs="宋体"/>
          <w:sz w:val="18"/>
          <w:szCs w:val="18"/>
        </w:rPr>
        <w:t>2</w:t>
      </w:r>
      <w:r>
        <w:rPr>
          <w:rFonts w:hint="eastAsia" w:ascii="黑体" w:hAnsi="黑体" w:eastAsia="黑体" w:cs="宋体"/>
          <w:sz w:val="18"/>
          <w:szCs w:val="18"/>
        </w:rPr>
        <w:t>—</w:t>
      </w:r>
      <w:r>
        <w:rPr>
          <w:rFonts w:ascii="黑体" w:hAnsi="黑体" w:eastAsia="黑体" w:cs="宋体"/>
          <w:sz w:val="18"/>
          <w:szCs w:val="18"/>
        </w:rPr>
        <w:t>1500mm</w:t>
      </w:r>
      <w:r>
        <w:rPr>
          <w:rFonts w:hint="eastAsia" w:ascii="黑体" w:hAnsi="黑体" w:eastAsia="黑体" w:cs="宋体"/>
          <w:sz w:val="18"/>
          <w:szCs w:val="18"/>
        </w:rPr>
        <w:t>上拉杆；</w:t>
      </w:r>
      <w:r>
        <w:rPr>
          <w:rFonts w:ascii="黑体" w:hAnsi="黑体" w:eastAsia="黑体" w:cs="宋体"/>
          <w:sz w:val="18"/>
          <w:szCs w:val="18"/>
        </w:rPr>
        <w:t>3</w:t>
      </w:r>
      <w:r>
        <w:rPr>
          <w:rFonts w:hint="eastAsia" w:ascii="黑体" w:hAnsi="黑体" w:eastAsia="黑体" w:cs="宋体"/>
          <w:sz w:val="18"/>
          <w:szCs w:val="18"/>
        </w:rPr>
        <w:t>—</w:t>
      </w:r>
      <w:r>
        <w:rPr>
          <w:rFonts w:ascii="黑体" w:hAnsi="黑体" w:eastAsia="黑体" w:cs="宋体"/>
          <w:sz w:val="18"/>
          <w:szCs w:val="18"/>
        </w:rPr>
        <w:t>600</w:t>
      </w:r>
      <w:r>
        <w:rPr>
          <w:rFonts w:hint="eastAsia" w:ascii="黑体" w:hAnsi="黑体" w:eastAsia="黑体" w:cs="宋体"/>
          <w:sz w:val="18"/>
          <w:szCs w:val="18"/>
        </w:rPr>
        <w:t>型闭式花篮；</w:t>
      </w:r>
      <w:r>
        <w:rPr>
          <w:rFonts w:ascii="黑体" w:hAnsi="黑体" w:eastAsia="黑体" w:cs="宋体"/>
          <w:sz w:val="18"/>
          <w:szCs w:val="18"/>
        </w:rPr>
        <w:t>4</w:t>
      </w:r>
      <w:r>
        <w:rPr>
          <w:rFonts w:hint="eastAsia" w:ascii="黑体" w:hAnsi="黑体" w:eastAsia="黑体" w:cs="宋体"/>
          <w:sz w:val="18"/>
          <w:szCs w:val="18"/>
        </w:rPr>
        <w:t>—</w:t>
      </w:r>
      <w:r>
        <w:rPr>
          <w:rFonts w:ascii="黑体" w:hAnsi="黑体" w:eastAsia="黑体" w:cs="宋体"/>
          <w:sz w:val="18"/>
          <w:szCs w:val="18"/>
        </w:rPr>
        <w:t>1200mm</w:t>
      </w:r>
      <w:r>
        <w:rPr>
          <w:rFonts w:hint="eastAsia" w:ascii="黑体" w:hAnsi="黑体" w:eastAsia="黑体" w:cs="宋体"/>
          <w:sz w:val="18"/>
          <w:szCs w:val="18"/>
        </w:rPr>
        <w:t>下拉杆；</w:t>
      </w:r>
    </w:p>
    <w:p>
      <w:pPr>
        <w:jc w:val="center"/>
        <w:rPr>
          <w:rFonts w:ascii="黑体" w:hAnsi="黑体" w:eastAsia="黑体" w:cs="宋体"/>
          <w:sz w:val="18"/>
          <w:szCs w:val="18"/>
        </w:rPr>
      </w:pPr>
      <w:r>
        <w:rPr>
          <w:rFonts w:ascii="黑体" w:hAnsi="黑体" w:eastAsia="黑体" w:cs="宋体"/>
          <w:sz w:val="18"/>
          <w:szCs w:val="18"/>
        </w:rPr>
        <w:t>5</w:t>
      </w:r>
      <w:r>
        <w:rPr>
          <w:rFonts w:hint="eastAsia" w:ascii="黑体" w:hAnsi="黑体" w:eastAsia="黑体" w:cs="宋体"/>
          <w:sz w:val="18"/>
          <w:szCs w:val="18"/>
        </w:rPr>
        <w:t>—</w:t>
      </w:r>
      <w:r>
        <w:rPr>
          <w:rFonts w:ascii="黑体" w:hAnsi="黑体" w:eastAsia="黑体" w:cs="宋体"/>
          <w:sz w:val="18"/>
          <w:szCs w:val="18"/>
        </w:rPr>
        <w:t>M20mm</w:t>
      </w:r>
      <w:r>
        <w:rPr>
          <w:rFonts w:hint="eastAsia" w:ascii="黑体" w:hAnsi="黑体" w:eastAsia="黑体" w:cs="宋体"/>
          <w:sz w:val="18"/>
          <w:szCs w:val="18"/>
        </w:rPr>
        <w:t>×</w:t>
      </w:r>
      <w:r>
        <w:rPr>
          <w:rFonts w:ascii="黑体" w:hAnsi="黑体" w:eastAsia="黑体" w:cs="宋体"/>
          <w:sz w:val="18"/>
          <w:szCs w:val="18"/>
        </w:rPr>
        <w:t>65mm</w:t>
      </w:r>
      <w:r>
        <w:rPr>
          <w:rFonts w:hint="eastAsia" w:ascii="黑体" w:hAnsi="黑体" w:eastAsia="黑体" w:cs="宋体"/>
          <w:sz w:val="18"/>
          <w:szCs w:val="18"/>
        </w:rPr>
        <w:t>销轴；</w:t>
      </w:r>
      <w:r>
        <w:rPr>
          <w:rFonts w:ascii="黑体" w:hAnsi="黑体" w:eastAsia="黑体" w:cs="宋体"/>
          <w:sz w:val="18"/>
          <w:szCs w:val="18"/>
        </w:rPr>
        <w:t>6</w:t>
      </w:r>
      <w:r>
        <w:rPr>
          <w:rFonts w:hint="eastAsia" w:ascii="黑体" w:hAnsi="黑体" w:eastAsia="黑体" w:cs="宋体"/>
          <w:sz w:val="18"/>
          <w:szCs w:val="18"/>
        </w:rPr>
        <w:t>—移动定位桩；</w:t>
      </w:r>
      <w:r>
        <w:rPr>
          <w:rFonts w:ascii="黑体" w:hAnsi="黑体" w:eastAsia="黑体" w:cs="宋体"/>
          <w:sz w:val="18"/>
          <w:szCs w:val="18"/>
        </w:rPr>
        <w:t>7</w:t>
      </w:r>
      <w:r>
        <w:rPr>
          <w:rFonts w:hint="eastAsia" w:ascii="黑体" w:hAnsi="黑体" w:eastAsia="黑体" w:cs="宋体"/>
          <w:sz w:val="18"/>
          <w:szCs w:val="18"/>
        </w:rPr>
        <w:t>—</w:t>
      </w:r>
      <w:r>
        <w:rPr>
          <w:rFonts w:ascii="黑体" w:hAnsi="黑体" w:eastAsia="黑体" w:cs="宋体"/>
          <w:sz w:val="18"/>
          <w:szCs w:val="18"/>
        </w:rPr>
        <w:t>16</w:t>
      </w:r>
      <w:r>
        <w:rPr>
          <w:rFonts w:hint="eastAsia" w:ascii="黑体" w:hAnsi="黑体" w:eastAsia="黑体" w:cs="宋体"/>
          <w:sz w:val="18"/>
          <w:szCs w:val="18"/>
        </w:rPr>
        <w:t>号</w:t>
      </w:r>
      <w:r>
        <w:rPr>
          <w:rFonts w:ascii="黑体" w:hAnsi="黑体" w:eastAsia="黑体" w:cs="宋体"/>
          <w:sz w:val="18"/>
          <w:szCs w:val="18"/>
        </w:rPr>
        <w:t>1800mm</w:t>
      </w:r>
      <w:r>
        <w:rPr>
          <w:rFonts w:hint="eastAsia" w:ascii="黑体" w:hAnsi="黑体" w:eastAsia="黑体" w:cs="宋体"/>
          <w:sz w:val="18"/>
          <w:szCs w:val="18"/>
        </w:rPr>
        <w:t>悬挑梁；</w:t>
      </w:r>
      <w:r>
        <w:rPr>
          <w:rFonts w:ascii="黑体" w:hAnsi="黑体" w:eastAsia="黑体" w:cs="宋体"/>
          <w:sz w:val="18"/>
          <w:szCs w:val="18"/>
        </w:rPr>
        <w:t>8</w:t>
      </w:r>
      <w:r>
        <w:rPr>
          <w:rFonts w:hint="eastAsia" w:ascii="黑体" w:hAnsi="黑体" w:eastAsia="黑体" w:cs="宋体"/>
          <w:sz w:val="18"/>
          <w:szCs w:val="18"/>
        </w:rPr>
        <w:t>—</w:t>
      </w:r>
      <w:r>
        <w:rPr>
          <w:rFonts w:ascii="黑体" w:hAnsi="黑体" w:eastAsia="黑体" w:cs="宋体"/>
          <w:sz w:val="18"/>
          <w:szCs w:val="18"/>
        </w:rPr>
        <w:t>2</w:t>
      </w:r>
      <w:r>
        <w:rPr>
          <w:rFonts w:hint="eastAsia" w:ascii="黑体" w:hAnsi="黑体" w:eastAsia="黑体" w:cs="宋体"/>
          <w:sz w:val="18"/>
          <w:szCs w:val="18"/>
        </w:rPr>
        <w:t>枚</w:t>
      </w:r>
      <w:r>
        <w:rPr>
          <w:rFonts w:ascii="黑体" w:hAnsi="黑体" w:eastAsia="黑体" w:cs="宋体"/>
          <w:sz w:val="18"/>
          <w:szCs w:val="18"/>
        </w:rPr>
        <w:t>180</w:t>
      </w:r>
      <w:r>
        <w:rPr>
          <w:rFonts w:hint="eastAsia" w:ascii="黑体" w:hAnsi="黑体" w:eastAsia="黑体" w:cs="宋体"/>
          <w:sz w:val="18"/>
          <w:szCs w:val="18"/>
        </w:rPr>
        <w:t>预埋件；</w:t>
      </w:r>
    </w:p>
    <w:p>
      <w:pPr>
        <w:jc w:val="center"/>
        <w:rPr>
          <w:rFonts w:ascii="黑体" w:hAnsi="黑体" w:eastAsia="黑体" w:cs="宋体"/>
          <w:bCs/>
          <w:sz w:val="18"/>
          <w:szCs w:val="18"/>
        </w:rPr>
      </w:pPr>
      <w:r>
        <w:rPr>
          <w:rFonts w:ascii="黑体" w:hAnsi="黑体" w:eastAsia="黑体" w:cs="宋体"/>
          <w:sz w:val="18"/>
          <w:szCs w:val="18"/>
        </w:rPr>
        <w:t>9</w:t>
      </w:r>
      <w:r>
        <w:rPr>
          <w:rFonts w:hint="eastAsia" w:ascii="黑体" w:hAnsi="黑体" w:eastAsia="黑体" w:cs="宋体"/>
          <w:sz w:val="18"/>
          <w:szCs w:val="18"/>
        </w:rPr>
        <w:t>—</w:t>
      </w:r>
      <w:r>
        <w:rPr>
          <w:rFonts w:ascii="黑体" w:hAnsi="黑体" w:eastAsia="黑体" w:cs="宋体"/>
          <w:sz w:val="18"/>
          <w:szCs w:val="18"/>
        </w:rPr>
        <w:t>8.8</w:t>
      </w:r>
      <w:r>
        <w:rPr>
          <w:rFonts w:hint="eastAsia" w:ascii="黑体" w:hAnsi="黑体" w:eastAsia="黑体" w:cs="宋体"/>
          <w:sz w:val="18"/>
          <w:szCs w:val="18"/>
        </w:rPr>
        <w:t>级</w:t>
      </w:r>
      <w:r>
        <w:rPr>
          <w:rFonts w:ascii="黑体" w:hAnsi="黑体" w:eastAsia="黑体" w:cs="宋体"/>
          <w:sz w:val="18"/>
          <w:szCs w:val="18"/>
        </w:rPr>
        <w:t>2</w:t>
      </w:r>
      <w:r>
        <w:rPr>
          <w:rFonts w:hint="eastAsia" w:ascii="黑体" w:hAnsi="黑体" w:eastAsia="黑体" w:cs="宋体"/>
          <w:sz w:val="18"/>
          <w:szCs w:val="18"/>
        </w:rPr>
        <w:t>个</w:t>
      </w:r>
      <w:r>
        <w:rPr>
          <w:rFonts w:ascii="黑体" w:hAnsi="黑体" w:eastAsia="黑体" w:cs="宋体"/>
          <w:sz w:val="18"/>
          <w:szCs w:val="18"/>
        </w:rPr>
        <w:t>20mm</w:t>
      </w:r>
      <w:r>
        <w:rPr>
          <w:rFonts w:hint="eastAsia" w:ascii="黑体" w:hAnsi="黑体" w:eastAsia="黑体" w:cs="宋体"/>
          <w:sz w:val="18"/>
          <w:szCs w:val="18"/>
        </w:rPr>
        <w:t>×</w:t>
      </w:r>
      <w:r>
        <w:rPr>
          <w:rFonts w:ascii="黑体" w:hAnsi="黑体" w:eastAsia="黑体" w:cs="宋体"/>
          <w:sz w:val="18"/>
          <w:szCs w:val="18"/>
        </w:rPr>
        <w:t>225mm</w:t>
      </w:r>
      <w:r>
        <w:rPr>
          <w:rFonts w:hint="eastAsia" w:ascii="黑体" w:hAnsi="黑体" w:eastAsia="黑体" w:cs="宋体"/>
          <w:sz w:val="18"/>
          <w:szCs w:val="18"/>
        </w:rPr>
        <w:t>高强螺栓，</w:t>
      </w:r>
      <w:r>
        <w:rPr>
          <w:rFonts w:ascii="黑体" w:hAnsi="黑体" w:eastAsia="黑体" w:cs="宋体"/>
          <w:sz w:val="18"/>
          <w:szCs w:val="18"/>
        </w:rPr>
        <w:t>50mm</w:t>
      </w:r>
      <w:r>
        <w:rPr>
          <w:rFonts w:hint="eastAsia" w:ascii="黑体" w:hAnsi="黑体" w:eastAsia="黑体" w:cs="宋体"/>
          <w:sz w:val="18"/>
          <w:szCs w:val="18"/>
        </w:rPr>
        <w:t>×</w:t>
      </w:r>
      <w:r>
        <w:rPr>
          <w:rFonts w:ascii="黑体" w:hAnsi="黑体" w:eastAsia="黑体" w:cs="宋体"/>
          <w:sz w:val="18"/>
          <w:szCs w:val="18"/>
        </w:rPr>
        <w:t>50mm</w:t>
      </w:r>
      <w:r>
        <w:rPr>
          <w:rFonts w:hint="eastAsia" w:ascii="黑体" w:hAnsi="黑体" w:eastAsia="黑体" w:cs="宋体"/>
          <w:sz w:val="18"/>
          <w:szCs w:val="18"/>
        </w:rPr>
        <w:t>×</w:t>
      </w:r>
      <w:r>
        <w:rPr>
          <w:rFonts w:ascii="黑体" w:hAnsi="黑体" w:eastAsia="黑体" w:cs="宋体"/>
          <w:sz w:val="18"/>
          <w:szCs w:val="18"/>
        </w:rPr>
        <w:t>5mm</w:t>
      </w:r>
      <w:r>
        <w:rPr>
          <w:rFonts w:hint="eastAsia" w:ascii="黑体" w:hAnsi="黑体" w:eastAsia="黑体" w:cs="宋体"/>
          <w:sz w:val="18"/>
          <w:szCs w:val="18"/>
        </w:rPr>
        <w:t>垫片；</w:t>
      </w:r>
      <w:r>
        <w:rPr>
          <w:rFonts w:ascii="黑体" w:hAnsi="黑体" w:eastAsia="黑体" w:cs="宋体"/>
          <w:sz w:val="18"/>
          <w:szCs w:val="18"/>
        </w:rPr>
        <w:t>10</w:t>
      </w:r>
      <w:r>
        <w:rPr>
          <w:rFonts w:hint="eastAsia" w:ascii="黑体" w:hAnsi="黑体" w:eastAsia="黑体" w:cs="宋体"/>
          <w:sz w:val="18"/>
          <w:szCs w:val="18"/>
        </w:rPr>
        <w:t>—标准层楼面标高</w:t>
      </w:r>
    </w:p>
    <w:p>
      <w:pPr>
        <w:pStyle w:val="3"/>
        <w:rPr>
          <w:rFonts w:ascii="Times New Roman" w:hAnsi="Times New Roman" w:cs="Times New Roman" w:eastAsiaTheme="minorEastAsia"/>
          <w:color w:val="auto"/>
        </w:rPr>
      </w:pPr>
      <w:bookmarkStart w:id="87" w:name="_Toc2236"/>
      <w:r>
        <w:rPr>
          <w:rFonts w:ascii="Times New Roman" w:hAnsi="Times New Roman" w:cs="Times New Roman" w:eastAsiaTheme="minorEastAsia"/>
          <w:color w:val="auto"/>
        </w:rPr>
        <w:t>4.5  三角桁架悬挑脚手架安全防护</w:t>
      </w:r>
      <w:bookmarkEnd w:id="87"/>
    </w:p>
    <w:p>
      <w:pPr>
        <w:spacing w:line="360" w:lineRule="auto"/>
      </w:pPr>
      <w:r>
        <w:rPr>
          <w:rFonts w:hint="eastAsia"/>
          <w:b/>
          <w:bCs/>
        </w:rPr>
        <w:t>4.5.1</w:t>
      </w:r>
      <w:r>
        <w:rPr>
          <w:rFonts w:hint="eastAsia"/>
        </w:rPr>
        <w:t xml:space="preserve"> </w:t>
      </w:r>
      <w:r>
        <w:t xml:space="preserve"> </w:t>
      </w:r>
      <w:r>
        <w:rPr>
          <w:rFonts w:hint="eastAsia"/>
        </w:rPr>
        <w:t>三角桁架悬挑脚手架架体底层应采取封闭措施。</w:t>
      </w:r>
    </w:p>
    <w:p>
      <w:pPr>
        <w:spacing w:line="360" w:lineRule="auto"/>
        <w:rPr>
          <w:szCs w:val="21"/>
        </w:rPr>
      </w:pPr>
      <w:r>
        <w:rPr>
          <w:rFonts w:hint="eastAsia"/>
          <w:b/>
          <w:bCs/>
          <w:szCs w:val="21"/>
        </w:rPr>
        <w:t>4.5.2</w:t>
      </w:r>
      <w:r>
        <w:rPr>
          <w:szCs w:val="21"/>
        </w:rPr>
        <w:t xml:space="preserve">  作业层脚手板应铺设牢靠、严实，作业层外边缘应设置1200mm高的防护栏杆和180mm高的挡脚板，安全防护网和防护栏杆等防护设施应随架体搭设同步安装到位。</w:t>
      </w:r>
    </w:p>
    <w:p>
      <w:pPr>
        <w:spacing w:line="360" w:lineRule="auto"/>
        <w:rPr>
          <w:szCs w:val="21"/>
        </w:rPr>
      </w:pPr>
      <w:r>
        <w:rPr>
          <w:rFonts w:hint="eastAsia"/>
          <w:b/>
          <w:bCs/>
          <w:szCs w:val="21"/>
        </w:rPr>
        <w:t xml:space="preserve">4.5.3 </w:t>
      </w:r>
      <w:r>
        <w:rPr>
          <w:b/>
          <w:bCs/>
          <w:szCs w:val="21"/>
        </w:rPr>
        <w:t xml:space="preserve"> </w:t>
      </w:r>
      <w:r>
        <w:rPr>
          <w:szCs w:val="21"/>
        </w:rPr>
        <w:t>当作业层边缘与结构外表面的距离大于150mm时，应设置水平安全网进行防护，作业层间防护示意图见图4.5.3。</w:t>
      </w:r>
    </w:p>
    <w:p>
      <w:pPr>
        <w:spacing w:line="360" w:lineRule="auto"/>
        <w:rPr>
          <w:szCs w:val="21"/>
        </w:rPr>
      </w:pPr>
      <w:r>
        <w:rPr>
          <w:rFonts w:hint="eastAsia"/>
          <w:b/>
          <w:bCs/>
          <w:szCs w:val="21"/>
        </w:rPr>
        <w:t>4.5.4</w:t>
      </w:r>
      <w:r>
        <w:rPr>
          <w:szCs w:val="21"/>
        </w:rPr>
        <w:t xml:space="preserve">  水平安全网的连接方式、固定形式和防护强度应符合方案要求。</w:t>
      </w:r>
    </w:p>
    <w:p>
      <w:pPr>
        <w:spacing w:line="360" w:lineRule="auto"/>
        <w:jc w:val="center"/>
        <w:rPr>
          <w:rFonts w:ascii="仿宋" w:hAnsi="仿宋" w:eastAsia="仿宋" w:cs="仿宋"/>
          <w:szCs w:val="21"/>
        </w:rPr>
      </w:pPr>
      <w:r>
        <w:rPr>
          <w:rFonts w:ascii="仿宋" w:hAnsi="仿宋" w:eastAsia="仿宋"/>
          <w:szCs w:val="21"/>
        </w:rPr>
        <w:drawing>
          <wp:inline distT="0" distB="0" distL="114300" distR="114300">
            <wp:extent cx="5263515" cy="3649345"/>
            <wp:effectExtent l="0" t="0" r="13335" b="8255"/>
            <wp:docPr id="6" name="图片 9" descr="C:\Users\DCY\AppData\Local\Microsoft\Windows\INetCache\Content.Word\27d1dac8a59e35a950fc63893318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C:\Users\DCY\AppData\Local\Microsoft\Windows\INetCache\Content.Word\27d1dac8a59e35a950fc63893318e97.jpg"/>
                    <pic:cNvPicPr>
                      <a:picLocks noChangeAspect="1"/>
                    </pic:cNvPicPr>
                  </pic:nvPicPr>
                  <pic:blipFill>
                    <a:blip r:embed="rId15"/>
                    <a:srcRect b="1297"/>
                    <a:stretch>
                      <a:fillRect/>
                    </a:stretch>
                  </pic:blipFill>
                  <pic:spPr>
                    <a:xfrm>
                      <a:off x="0" y="0"/>
                      <a:ext cx="5263515" cy="3649345"/>
                    </a:xfrm>
                    <a:prstGeom prst="rect">
                      <a:avLst/>
                    </a:prstGeom>
                    <a:noFill/>
                    <a:ln>
                      <a:noFill/>
                    </a:ln>
                  </pic:spPr>
                </pic:pic>
              </a:graphicData>
            </a:graphic>
          </wp:inline>
        </w:drawing>
      </w:r>
      <w:r>
        <w:rPr>
          <w:rFonts w:hint="eastAsia" w:ascii="仿宋" w:hAnsi="仿宋" w:eastAsia="仿宋" w:cs="仿宋"/>
          <w:szCs w:val="21"/>
        </w:rPr>
        <w:t xml:space="preserve">  </w:t>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 xml:space="preserve">4.5.3 </w:t>
      </w:r>
      <w:r>
        <w:rPr>
          <w:rFonts w:hint="eastAsia" w:ascii="黑体" w:hAnsi="黑体" w:eastAsia="黑体" w:cs="宋体"/>
          <w:sz w:val="18"/>
          <w:szCs w:val="18"/>
        </w:rPr>
        <w:t>作业层间防护示意图</w:t>
      </w:r>
    </w:p>
    <w:p>
      <w:pPr>
        <w:pStyle w:val="19"/>
        <w:spacing w:line="360" w:lineRule="auto"/>
        <w:ind w:left="360" w:firstLine="0" w:firstLineChars="0"/>
        <w:jc w:val="center"/>
        <w:rPr>
          <w:szCs w:val="21"/>
        </w:rPr>
      </w:pPr>
      <w:r>
        <w:rPr>
          <w:rFonts w:ascii="黑体" w:hAnsi="黑体" w:eastAsia="黑体" w:cs="宋体"/>
          <w:sz w:val="18"/>
          <w:szCs w:val="18"/>
        </w:rPr>
        <w:t>1-</w:t>
      </w:r>
      <w:r>
        <w:rPr>
          <w:rFonts w:hint="eastAsia" w:ascii="黑体" w:hAnsi="黑体" w:eastAsia="黑体" w:cs="宋体"/>
          <w:sz w:val="18"/>
          <w:szCs w:val="18"/>
        </w:rPr>
        <w:t>安全网固定件；</w:t>
      </w:r>
      <w:r>
        <w:rPr>
          <w:rFonts w:ascii="黑体" w:hAnsi="黑体" w:eastAsia="黑体" w:cs="宋体"/>
          <w:sz w:val="18"/>
          <w:szCs w:val="18"/>
        </w:rPr>
        <w:t>2-</w:t>
      </w:r>
      <w:r>
        <w:rPr>
          <w:rFonts w:hint="eastAsia" w:ascii="黑体" w:hAnsi="黑体" w:eastAsia="黑体" w:cs="宋体"/>
          <w:sz w:val="18"/>
          <w:szCs w:val="18"/>
        </w:rPr>
        <w:t>硬质防护；</w:t>
      </w:r>
      <w:r>
        <w:rPr>
          <w:rFonts w:ascii="黑体" w:hAnsi="黑体" w:eastAsia="黑体" w:cs="宋体"/>
          <w:sz w:val="18"/>
          <w:szCs w:val="18"/>
        </w:rPr>
        <w:t>3-</w:t>
      </w:r>
      <w:r>
        <w:rPr>
          <w:rFonts w:hint="eastAsia" w:ascii="黑体" w:hAnsi="黑体" w:eastAsia="黑体" w:cs="宋体"/>
          <w:sz w:val="18"/>
          <w:szCs w:val="18"/>
        </w:rPr>
        <w:t>防护立网；</w:t>
      </w:r>
      <w:r>
        <w:rPr>
          <w:rFonts w:ascii="黑体" w:hAnsi="黑体" w:eastAsia="黑体" w:cs="宋体"/>
          <w:sz w:val="18"/>
          <w:szCs w:val="18"/>
        </w:rPr>
        <w:t>4-</w:t>
      </w:r>
      <w:r>
        <w:rPr>
          <w:rFonts w:hint="eastAsia" w:ascii="黑体" w:hAnsi="黑体" w:eastAsia="黑体" w:cs="宋体"/>
          <w:sz w:val="18"/>
          <w:szCs w:val="18"/>
        </w:rPr>
        <w:t>水平网5-脚手板；6-挡脚板</w:t>
      </w:r>
    </w:p>
    <w:bookmarkEnd w:id="78"/>
    <w:bookmarkEnd w:id="80"/>
    <w:bookmarkEnd w:id="81"/>
    <w:p>
      <w:pPr>
        <w:jc w:val="left"/>
        <w:rPr>
          <w:rFonts w:asciiTheme="minorEastAsia" w:hAnsiTheme="minorEastAsia" w:eastAsiaTheme="minorEastAsia"/>
          <w:b/>
          <w:bCs/>
          <w:kern w:val="44"/>
          <w:sz w:val="28"/>
          <w:szCs w:val="28"/>
        </w:rPr>
      </w:pPr>
      <w:bookmarkStart w:id="88" w:name="_Toc30556"/>
      <w:bookmarkStart w:id="89" w:name="_Toc7842"/>
      <w:bookmarkStart w:id="90" w:name="_Toc19540"/>
      <w:r>
        <w:rPr>
          <w:rFonts w:asciiTheme="minorEastAsia" w:hAnsiTheme="minorEastAsia" w:eastAsiaTheme="minorEastAsia"/>
          <w:b/>
          <w:bCs/>
          <w:kern w:val="44"/>
          <w:sz w:val="28"/>
          <w:szCs w:val="28"/>
        </w:rPr>
        <w:br w:type="page"/>
      </w:r>
    </w:p>
    <w:p>
      <w:pPr>
        <w:adjustRightInd w:val="0"/>
        <w:snapToGrid w:val="0"/>
        <w:spacing w:line="360" w:lineRule="auto"/>
        <w:jc w:val="center"/>
        <w:outlineLvl w:val="0"/>
        <w:rPr>
          <w:rFonts w:eastAsiaTheme="minorEastAsia"/>
          <w:b/>
          <w:sz w:val="28"/>
          <w:szCs w:val="28"/>
        </w:rPr>
      </w:pPr>
      <w:bookmarkStart w:id="91" w:name="_Toc19232"/>
      <w:r>
        <w:rPr>
          <w:rFonts w:eastAsiaTheme="minorEastAsia"/>
          <w:b/>
          <w:bCs/>
          <w:kern w:val="44"/>
          <w:sz w:val="28"/>
          <w:szCs w:val="28"/>
        </w:rPr>
        <w:t>5  临边安全防护</w:t>
      </w:r>
      <w:bookmarkEnd w:id="91"/>
    </w:p>
    <w:p>
      <w:pPr>
        <w:pStyle w:val="3"/>
        <w:tabs>
          <w:tab w:val="left" w:pos="0"/>
          <w:tab w:val="left" w:pos="425"/>
        </w:tabs>
        <w:rPr>
          <w:rFonts w:ascii="Times New Roman" w:hAnsi="Times New Roman" w:cs="Times New Roman" w:eastAsiaTheme="minorEastAsia"/>
          <w:color w:val="auto"/>
        </w:rPr>
      </w:pPr>
      <w:bookmarkStart w:id="92" w:name="_Toc24528"/>
      <w:r>
        <w:rPr>
          <w:rFonts w:ascii="Times New Roman" w:hAnsi="Times New Roman" w:cs="Times New Roman" w:eastAsiaTheme="minorEastAsia"/>
          <w:color w:val="auto"/>
        </w:rPr>
        <w:t>5.1  一般规定</w:t>
      </w:r>
      <w:bookmarkEnd w:id="92"/>
    </w:p>
    <w:p>
      <w:pPr>
        <w:adjustRightInd w:val="0"/>
        <w:snapToGrid w:val="0"/>
        <w:spacing w:line="360" w:lineRule="auto"/>
        <w:rPr>
          <w:b/>
          <w:szCs w:val="21"/>
        </w:rPr>
      </w:pPr>
      <w:r>
        <w:rPr>
          <w:b/>
          <w:szCs w:val="21"/>
        </w:rPr>
        <w:t xml:space="preserve">5.1.1  </w:t>
      </w:r>
      <w:r>
        <w:rPr>
          <w:rFonts w:hint="eastAsia"/>
          <w:szCs w:val="21"/>
        </w:rPr>
        <w:t>施工现场的临边应按规定设置防护设施。</w:t>
      </w:r>
    </w:p>
    <w:p>
      <w:pPr>
        <w:adjustRightInd w:val="0"/>
        <w:snapToGrid w:val="0"/>
        <w:spacing w:line="360" w:lineRule="auto"/>
        <w:rPr>
          <w:b/>
          <w:szCs w:val="21"/>
        </w:rPr>
      </w:pPr>
      <w:r>
        <w:rPr>
          <w:b/>
          <w:szCs w:val="21"/>
        </w:rPr>
        <w:t xml:space="preserve">5.1.2  </w:t>
      </w:r>
      <w:r>
        <w:rPr>
          <w:szCs w:val="21"/>
        </w:rPr>
        <w:t>临边防护应优先采用</w:t>
      </w:r>
      <w:r>
        <w:rPr>
          <w:bCs/>
          <w:szCs w:val="21"/>
        </w:rPr>
        <w:t>定型防护设施。</w:t>
      </w:r>
    </w:p>
    <w:p>
      <w:pPr>
        <w:adjustRightInd w:val="0"/>
        <w:snapToGrid w:val="0"/>
        <w:spacing w:line="360" w:lineRule="auto"/>
        <w:rPr>
          <w:szCs w:val="21"/>
        </w:rPr>
      </w:pPr>
      <w:r>
        <w:rPr>
          <w:b/>
          <w:szCs w:val="21"/>
        </w:rPr>
        <w:t xml:space="preserve">5.1.3  </w:t>
      </w:r>
      <w:r>
        <w:rPr>
          <w:bCs/>
          <w:szCs w:val="21"/>
        </w:rPr>
        <w:t>临边</w:t>
      </w:r>
      <w:r>
        <w:rPr>
          <w:szCs w:val="21"/>
        </w:rPr>
        <w:t>防护设施应由立柱、横杆、竖杆、挡脚板及</w:t>
      </w:r>
      <w:r>
        <w:rPr>
          <w:rFonts w:hint="eastAsia"/>
          <w:szCs w:val="21"/>
        </w:rPr>
        <w:t>安全立网</w:t>
      </w:r>
      <w:r>
        <w:rPr>
          <w:szCs w:val="21"/>
        </w:rPr>
        <w:t>等组成，防护栏应符合下列规定：</w:t>
      </w:r>
    </w:p>
    <w:p>
      <w:pPr>
        <w:adjustRightInd w:val="0"/>
        <w:snapToGrid w:val="0"/>
        <w:spacing w:line="360" w:lineRule="auto"/>
        <w:ind w:firstLine="316" w:firstLineChars="150"/>
        <w:rPr>
          <w:szCs w:val="21"/>
        </w:rPr>
      </w:pPr>
      <w:r>
        <w:rPr>
          <w:b/>
          <w:bCs/>
          <w:szCs w:val="21"/>
        </w:rPr>
        <w:t xml:space="preserve">1  </w:t>
      </w:r>
      <w:r>
        <w:rPr>
          <w:szCs w:val="21"/>
        </w:rPr>
        <w:t>上横杆距地面高度不得低于1200mm，立柱间距不得超过2000mm。防护栏表面刷红白相间油漆，张挂安全警示标牌；防护栏底部设挡脚板，高度不</w:t>
      </w:r>
      <w:r>
        <w:rPr>
          <w:rFonts w:hint="eastAsia"/>
          <w:szCs w:val="21"/>
        </w:rPr>
        <w:t>应</w:t>
      </w:r>
      <w:r>
        <w:rPr>
          <w:szCs w:val="21"/>
        </w:rPr>
        <w:t>低于180mm，刷红白相间警示条纹</w:t>
      </w:r>
      <w:r>
        <w:rPr>
          <w:rFonts w:hint="eastAsia"/>
          <w:szCs w:val="21"/>
        </w:rPr>
        <w:t>；</w:t>
      </w:r>
    </w:p>
    <w:p>
      <w:pPr>
        <w:adjustRightInd w:val="0"/>
        <w:snapToGrid w:val="0"/>
        <w:spacing w:line="360" w:lineRule="auto"/>
        <w:ind w:firstLine="316" w:firstLineChars="150"/>
        <w:rPr>
          <w:szCs w:val="21"/>
        </w:rPr>
      </w:pPr>
      <w:r>
        <w:rPr>
          <w:b/>
          <w:bCs/>
          <w:szCs w:val="21"/>
        </w:rPr>
        <w:t xml:space="preserve">2  </w:t>
      </w:r>
      <w:r>
        <w:rPr>
          <w:szCs w:val="21"/>
        </w:rPr>
        <w:t>坡度</w:t>
      </w:r>
      <w:r>
        <w:rPr>
          <w:rFonts w:hint="eastAsia"/>
          <w:szCs w:val="21"/>
        </w:rPr>
        <w:t>大于25°</w:t>
      </w:r>
      <w:r>
        <w:rPr>
          <w:szCs w:val="21"/>
        </w:rPr>
        <w:t>的屋面临边防护，防护栏上横杆距防护面高度不</w:t>
      </w:r>
      <w:r>
        <w:rPr>
          <w:rFonts w:hint="eastAsia"/>
          <w:szCs w:val="21"/>
        </w:rPr>
        <w:t>应</w:t>
      </w:r>
      <w:r>
        <w:rPr>
          <w:szCs w:val="21"/>
        </w:rPr>
        <w:t>低于1500mm</w:t>
      </w:r>
      <w:r>
        <w:rPr>
          <w:rFonts w:hint="eastAsia"/>
          <w:szCs w:val="21"/>
        </w:rPr>
        <w:t>；当采用钢管式防护栏时应</w:t>
      </w:r>
      <w:r>
        <w:rPr>
          <w:szCs w:val="21"/>
        </w:rPr>
        <w:t>设置三道横杆，横杆间距不应大于600mm，满挂密目式安全网或钢板网</w:t>
      </w:r>
      <w:r>
        <w:rPr>
          <w:rFonts w:hint="eastAsia"/>
          <w:szCs w:val="21"/>
        </w:rPr>
        <w:t>；</w:t>
      </w:r>
    </w:p>
    <w:p>
      <w:pPr>
        <w:adjustRightInd w:val="0"/>
        <w:snapToGrid w:val="0"/>
        <w:spacing w:line="360" w:lineRule="auto"/>
        <w:ind w:firstLine="316" w:firstLineChars="150"/>
        <w:rPr>
          <w:b/>
          <w:bCs/>
          <w:szCs w:val="21"/>
        </w:rPr>
      </w:pPr>
      <w:r>
        <w:rPr>
          <w:b/>
          <w:bCs/>
          <w:szCs w:val="21"/>
        </w:rPr>
        <w:t>3</w:t>
      </w:r>
      <w:r>
        <w:rPr>
          <w:szCs w:val="21"/>
        </w:rPr>
        <w:t xml:space="preserve">  防护设施应采用预埋、扣件、焊接、定型套管、螺栓、销轴等方式进行连接和固定。</w:t>
      </w:r>
    </w:p>
    <w:p>
      <w:pPr>
        <w:adjustRightInd w:val="0"/>
        <w:snapToGrid w:val="0"/>
        <w:spacing w:line="360" w:lineRule="auto"/>
        <w:rPr>
          <w:b/>
          <w:szCs w:val="21"/>
        </w:rPr>
      </w:pPr>
      <w:r>
        <w:rPr>
          <w:b/>
          <w:bCs/>
          <w:szCs w:val="21"/>
        </w:rPr>
        <w:t>5.1.4</w:t>
      </w:r>
      <w:r>
        <w:rPr>
          <w:szCs w:val="21"/>
        </w:rPr>
        <w:t xml:space="preserve">  防护设施的立柱、竖杆和横杆的设置、固定及连接，均应</w:t>
      </w:r>
      <w:r>
        <w:rPr>
          <w:rFonts w:hint="eastAsia"/>
          <w:szCs w:val="21"/>
        </w:rPr>
        <w:t>能</w:t>
      </w:r>
      <w:r>
        <w:rPr>
          <w:szCs w:val="21"/>
        </w:rPr>
        <w:t>承受任何方向1kN的外力作用。</w:t>
      </w:r>
    </w:p>
    <w:p>
      <w:pPr>
        <w:adjustRightInd w:val="0"/>
        <w:snapToGrid w:val="0"/>
        <w:spacing w:line="360" w:lineRule="auto"/>
        <w:rPr>
          <w:szCs w:val="21"/>
        </w:rPr>
      </w:pPr>
      <w:r>
        <w:rPr>
          <w:b/>
          <w:szCs w:val="21"/>
        </w:rPr>
        <w:t xml:space="preserve">5.1.5  </w:t>
      </w:r>
      <w:r>
        <w:rPr>
          <w:szCs w:val="21"/>
        </w:rPr>
        <w:t>定型防护设施选用的型材材质应符合现行国家标准《碳素结构钢》GB/T</w:t>
      </w:r>
      <w:r>
        <w:rPr>
          <w:rFonts w:hint="eastAsia"/>
          <w:szCs w:val="21"/>
        </w:rPr>
        <w:t xml:space="preserve"> </w:t>
      </w:r>
      <w:r>
        <w:rPr>
          <w:szCs w:val="21"/>
        </w:rPr>
        <w:t>700的规定。</w:t>
      </w:r>
    </w:p>
    <w:p>
      <w:pPr>
        <w:adjustRightInd w:val="0"/>
        <w:snapToGrid w:val="0"/>
        <w:spacing w:line="360" w:lineRule="auto"/>
        <w:rPr>
          <w:szCs w:val="21"/>
        </w:rPr>
      </w:pPr>
      <w:r>
        <w:rPr>
          <w:b/>
          <w:szCs w:val="21"/>
        </w:rPr>
        <w:t xml:space="preserve">5.1.6  </w:t>
      </w:r>
      <w:r>
        <w:rPr>
          <w:szCs w:val="21"/>
        </w:rPr>
        <w:t>定型防护设施连接焊缝应符合现行国家标准《钢结构焊接规范》GB</w:t>
      </w:r>
      <w:r>
        <w:rPr>
          <w:rFonts w:hint="eastAsia"/>
          <w:szCs w:val="21"/>
        </w:rPr>
        <w:t xml:space="preserve"> </w:t>
      </w:r>
      <w:r>
        <w:rPr>
          <w:szCs w:val="21"/>
        </w:rPr>
        <w:t>50661的规定。</w:t>
      </w:r>
    </w:p>
    <w:p>
      <w:pPr>
        <w:adjustRightInd w:val="0"/>
        <w:snapToGrid w:val="0"/>
        <w:spacing w:line="360" w:lineRule="auto"/>
        <w:rPr>
          <w:szCs w:val="21"/>
        </w:rPr>
      </w:pPr>
      <w:r>
        <w:rPr>
          <w:b/>
          <w:bCs/>
          <w:szCs w:val="21"/>
        </w:rPr>
        <w:t>5.1.7</w:t>
      </w:r>
      <w:r>
        <w:rPr>
          <w:szCs w:val="21"/>
        </w:rPr>
        <w:t xml:space="preserve">  定型防护设施连接和固定用的普通螺栓应符合现行国家标准《六角头螺栓》GB/T</w:t>
      </w:r>
      <w:r>
        <w:rPr>
          <w:rFonts w:hint="eastAsia"/>
          <w:szCs w:val="21"/>
        </w:rPr>
        <w:t xml:space="preserve"> </w:t>
      </w:r>
      <w:r>
        <w:rPr>
          <w:szCs w:val="21"/>
        </w:rPr>
        <w:t>5782的规定，机械性能</w:t>
      </w:r>
      <w:r>
        <w:rPr>
          <w:rFonts w:hint="eastAsia"/>
          <w:szCs w:val="21"/>
        </w:rPr>
        <w:t>尚</w:t>
      </w:r>
      <w:r>
        <w:rPr>
          <w:szCs w:val="21"/>
        </w:rPr>
        <w:t>应符合现行国家标准《紧固件机械性能螺栓、螺钉和螺柱》GB/T</w:t>
      </w:r>
      <w:r>
        <w:rPr>
          <w:rFonts w:hint="eastAsia"/>
          <w:szCs w:val="21"/>
        </w:rPr>
        <w:t xml:space="preserve"> </w:t>
      </w:r>
      <w:r>
        <w:rPr>
          <w:szCs w:val="21"/>
        </w:rPr>
        <w:t>3098.1和《紧固件机械性能紧定螺钉》GB/T</w:t>
      </w:r>
      <w:r>
        <w:rPr>
          <w:rFonts w:hint="eastAsia"/>
          <w:szCs w:val="21"/>
        </w:rPr>
        <w:t xml:space="preserve"> </w:t>
      </w:r>
      <w:r>
        <w:rPr>
          <w:szCs w:val="21"/>
        </w:rPr>
        <w:t>3098.3的规定。</w:t>
      </w:r>
    </w:p>
    <w:p>
      <w:pPr>
        <w:adjustRightInd w:val="0"/>
        <w:snapToGrid w:val="0"/>
        <w:spacing w:line="360" w:lineRule="auto"/>
        <w:jc w:val="center"/>
        <w:outlineLvl w:val="1"/>
        <w:rPr>
          <w:rFonts w:eastAsiaTheme="minorEastAsia"/>
          <w:b/>
          <w:szCs w:val="21"/>
        </w:rPr>
      </w:pPr>
      <w:bookmarkStart w:id="93" w:name="_Toc12249"/>
      <w:r>
        <w:rPr>
          <w:rFonts w:eastAsiaTheme="minorEastAsia"/>
          <w:b/>
          <w:szCs w:val="21"/>
        </w:rPr>
        <w:t>5.2  防护设施</w:t>
      </w:r>
      <w:bookmarkEnd w:id="93"/>
    </w:p>
    <w:p>
      <w:pPr>
        <w:adjustRightInd w:val="0"/>
        <w:snapToGrid w:val="0"/>
        <w:spacing w:line="360" w:lineRule="auto"/>
        <w:rPr>
          <w:szCs w:val="21"/>
        </w:rPr>
      </w:pPr>
      <w:r>
        <w:rPr>
          <w:rFonts w:hint="eastAsia"/>
          <w:b/>
          <w:bCs/>
          <w:szCs w:val="21"/>
        </w:rPr>
        <w:t>5</w:t>
      </w:r>
      <w:r>
        <w:rPr>
          <w:b/>
          <w:bCs/>
          <w:szCs w:val="21"/>
        </w:rPr>
        <w:t>.2.1</w:t>
      </w:r>
      <w:r>
        <w:rPr>
          <w:rFonts w:hint="eastAsia"/>
          <w:b/>
          <w:bCs/>
          <w:szCs w:val="21"/>
        </w:rPr>
        <w:t xml:space="preserve"> </w:t>
      </w:r>
      <w:r>
        <w:rPr>
          <w:b/>
          <w:bCs/>
          <w:szCs w:val="21"/>
        </w:rPr>
        <w:t xml:space="preserve"> </w:t>
      </w:r>
      <w:r>
        <w:rPr>
          <w:szCs w:val="21"/>
        </w:rPr>
        <w:t>防护栏主要包括网片式、格栅式、组装式（承插式）</w:t>
      </w:r>
      <w:r>
        <w:rPr>
          <w:rFonts w:hint="eastAsia"/>
          <w:szCs w:val="21"/>
        </w:rPr>
        <w:t>、钢管式</w:t>
      </w:r>
      <w:r>
        <w:rPr>
          <w:szCs w:val="21"/>
        </w:rPr>
        <w:t>防护栏</w:t>
      </w:r>
      <w:r>
        <w:rPr>
          <w:rFonts w:hint="eastAsia"/>
          <w:szCs w:val="21"/>
        </w:rPr>
        <w:t>四</w:t>
      </w:r>
      <w:r>
        <w:rPr>
          <w:szCs w:val="21"/>
        </w:rPr>
        <w:t>种形式。</w:t>
      </w:r>
    </w:p>
    <w:p>
      <w:pPr>
        <w:adjustRightInd w:val="0"/>
        <w:snapToGrid w:val="0"/>
        <w:spacing w:line="360" w:lineRule="auto"/>
        <w:rPr>
          <w:szCs w:val="21"/>
        </w:rPr>
      </w:pPr>
      <w:r>
        <w:rPr>
          <w:rFonts w:hint="eastAsia"/>
          <w:b/>
          <w:bCs/>
          <w:szCs w:val="21"/>
        </w:rPr>
        <w:t>5</w:t>
      </w:r>
      <w:r>
        <w:rPr>
          <w:b/>
          <w:bCs/>
          <w:szCs w:val="21"/>
        </w:rPr>
        <w:t>.2.2</w:t>
      </w:r>
      <w:r>
        <w:rPr>
          <w:rFonts w:hint="eastAsia"/>
          <w:b/>
          <w:bCs/>
          <w:szCs w:val="21"/>
        </w:rPr>
        <w:t xml:space="preserve"> </w:t>
      </w:r>
      <w:r>
        <w:rPr>
          <w:b/>
          <w:bCs/>
          <w:szCs w:val="21"/>
        </w:rPr>
        <w:t xml:space="preserve"> </w:t>
      </w:r>
      <w:r>
        <w:rPr>
          <w:szCs w:val="21"/>
        </w:rPr>
        <w:t>网片式防护栏设置见图</w:t>
      </w:r>
      <w:r>
        <w:rPr>
          <w:rFonts w:hint="eastAsia"/>
          <w:szCs w:val="21"/>
        </w:rPr>
        <w:t>5</w:t>
      </w:r>
      <w:r>
        <w:rPr>
          <w:szCs w:val="21"/>
        </w:rPr>
        <w:t>.2.2</w:t>
      </w:r>
      <w:r>
        <w:rPr>
          <w:rFonts w:hint="eastAsia"/>
          <w:szCs w:val="21"/>
        </w:rPr>
        <w:t>，并</w:t>
      </w:r>
      <w:r>
        <w:rPr>
          <w:szCs w:val="21"/>
        </w:rPr>
        <w:t>应符合下列规定：</w:t>
      </w:r>
    </w:p>
    <w:p>
      <w:pPr>
        <w:adjustRightInd w:val="0"/>
        <w:snapToGrid w:val="0"/>
        <w:spacing w:line="360" w:lineRule="auto"/>
      </w:pPr>
      <w:r>
        <w:rPr>
          <w:rFonts w:hint="eastAsia"/>
          <w:szCs w:val="21"/>
        </w:rPr>
        <w:t xml:space="preserve"> </w:t>
      </w:r>
      <w:r>
        <w:rPr>
          <w:szCs w:val="21"/>
        </w:rPr>
        <w:t xml:space="preserve">  </w:t>
      </w:r>
      <w:r>
        <w:rPr>
          <w:b/>
          <w:bCs/>
        </w:rPr>
        <w:t>1</w:t>
      </w:r>
      <w:r>
        <w:rPr>
          <w:rFonts w:hint="eastAsia"/>
        </w:rPr>
        <w:t xml:space="preserve"> </w:t>
      </w:r>
      <w:r>
        <w:t xml:space="preserve"> 立柱</w:t>
      </w:r>
      <w:r>
        <w:rPr>
          <w:rFonts w:hint="eastAsia"/>
        </w:rPr>
        <w:t>应</w:t>
      </w:r>
      <w:r>
        <w:t>选用截面长、宽不小于40mm，厚度不小于</w:t>
      </w:r>
      <w:r>
        <w:rPr>
          <w:rFonts w:hint="eastAsia"/>
        </w:rPr>
        <w:t>2.5</w:t>
      </w:r>
      <w:r>
        <w:t>mm的方形钢管，在上下两端约250mm处焊接钢板连接外框，</w:t>
      </w:r>
      <w:r>
        <w:rPr>
          <w:rFonts w:hint="eastAsia"/>
        </w:rPr>
        <w:t>连接板</w:t>
      </w:r>
      <w:r>
        <w:t>不</w:t>
      </w:r>
      <w:r>
        <w:rPr>
          <w:rFonts w:hint="eastAsia"/>
        </w:rPr>
        <w:t>应</w:t>
      </w:r>
      <w:r>
        <w:t>小于50mm×50mm×</w:t>
      </w:r>
      <w:r>
        <w:rPr>
          <w:rFonts w:hint="eastAsia"/>
        </w:rPr>
        <w:t>6</w:t>
      </w:r>
      <w:r>
        <w:t>mm</w:t>
      </w:r>
      <w:r>
        <w:rPr>
          <w:rFonts w:hint="eastAsia"/>
        </w:rPr>
        <w:t>，立杆统一使用竖向长孔连接板，外框统一使用横向长孔连接板，</w:t>
      </w:r>
      <w:r>
        <w:t>连接板</w:t>
      </w:r>
      <w:r>
        <w:rPr>
          <w:rFonts w:hint="eastAsia"/>
        </w:rPr>
        <w:t>应</w:t>
      </w:r>
      <w:r>
        <w:t>采用不小于</w:t>
      </w:r>
      <w:r>
        <w:rPr>
          <w:rFonts w:hint="eastAsia"/>
        </w:rPr>
        <w:t>M10普</w:t>
      </w:r>
      <w:r>
        <w:t>通螺栓固定连接</w:t>
      </w:r>
      <w:r>
        <w:rPr>
          <w:rFonts w:hint="eastAsia"/>
        </w:rPr>
        <w:t>，竖向、横向连接板</w:t>
      </w:r>
      <w:r>
        <w:t>示意图</w:t>
      </w:r>
      <w:r>
        <w:rPr>
          <w:rFonts w:hint="eastAsia"/>
        </w:rPr>
        <w:t>见5</w:t>
      </w:r>
      <w:r>
        <w:t>.2.2</w:t>
      </w:r>
      <w:r>
        <w:rPr>
          <w:rFonts w:hint="eastAsia"/>
        </w:rPr>
        <w:t>-2；</w:t>
      </w:r>
    </w:p>
    <w:p>
      <w:pPr>
        <w:adjustRightInd w:val="0"/>
        <w:snapToGrid w:val="0"/>
        <w:spacing w:line="360" w:lineRule="auto"/>
      </w:pPr>
      <w:r>
        <w:t xml:space="preserve">   </w:t>
      </w:r>
      <w:r>
        <w:rPr>
          <w:b/>
          <w:bCs/>
        </w:rPr>
        <w:t>2</w:t>
      </w:r>
      <w:r>
        <w:rPr>
          <w:rFonts w:hint="eastAsia"/>
        </w:rPr>
        <w:t xml:space="preserve"> </w:t>
      </w:r>
      <w:r>
        <w:t xml:space="preserve"> 外框</w:t>
      </w:r>
      <w:r>
        <w:rPr>
          <w:rFonts w:hint="eastAsia"/>
        </w:rPr>
        <w:t>宜</w:t>
      </w:r>
      <w:r>
        <w:t>选用截面长、宽不小于30mm</w:t>
      </w:r>
      <w:r>
        <w:rPr>
          <w:rFonts w:hint="eastAsia"/>
        </w:rPr>
        <w:t>的</w:t>
      </w:r>
      <w:r>
        <w:t>方形钢管</w:t>
      </w:r>
      <w:r>
        <w:rPr>
          <w:rFonts w:hint="eastAsia"/>
        </w:rPr>
        <w:t>；</w:t>
      </w:r>
    </w:p>
    <w:p>
      <w:pPr>
        <w:adjustRightInd w:val="0"/>
        <w:snapToGrid w:val="0"/>
        <w:spacing w:line="360" w:lineRule="auto"/>
      </w:pPr>
      <w:r>
        <w:rPr>
          <w:rFonts w:hint="eastAsia"/>
        </w:rPr>
        <w:t xml:space="preserve"> </w:t>
      </w:r>
      <w:r>
        <w:t xml:space="preserve">  </w:t>
      </w:r>
      <w:r>
        <w:rPr>
          <w:b/>
          <w:bCs/>
        </w:rPr>
        <w:t>3</w:t>
      </w:r>
      <w:r>
        <w:rPr>
          <w:rFonts w:hint="eastAsia"/>
        </w:rPr>
        <w:t xml:space="preserve"> </w:t>
      </w:r>
      <w:r>
        <w:t xml:space="preserve"> 焊接钢丝网钢丝直径不</w:t>
      </w:r>
      <w:r>
        <w:rPr>
          <w:rFonts w:hint="eastAsia"/>
        </w:rPr>
        <w:t>应</w:t>
      </w:r>
      <w:r>
        <w:t>小于2</w:t>
      </w:r>
      <w:r>
        <w:rPr>
          <w:rFonts w:hint="eastAsia"/>
        </w:rPr>
        <w:t>.5</w:t>
      </w:r>
      <w:r>
        <w:t>mm，网孔边长不大于20mm</w:t>
      </w:r>
      <w:r>
        <w:rPr>
          <w:rFonts w:hint="eastAsia"/>
        </w:rPr>
        <w:t>；</w:t>
      </w:r>
    </w:p>
    <w:p>
      <w:pPr>
        <w:adjustRightInd w:val="0"/>
        <w:snapToGrid w:val="0"/>
        <w:spacing w:line="360" w:lineRule="auto"/>
      </w:pPr>
      <w:r>
        <w:rPr>
          <w:rFonts w:hint="eastAsia"/>
        </w:rPr>
        <w:t xml:space="preserve"> </w:t>
      </w:r>
      <w:r>
        <w:t xml:space="preserve">  </w:t>
      </w:r>
      <w:r>
        <w:rPr>
          <w:b/>
          <w:bCs/>
        </w:rPr>
        <w:t>4</w:t>
      </w:r>
      <w:r>
        <w:rPr>
          <w:rFonts w:hint="eastAsia"/>
        </w:rPr>
        <w:t xml:space="preserve"> </w:t>
      </w:r>
      <w:r>
        <w:t xml:space="preserve"> 立柱的固定应符合本标准第</w:t>
      </w:r>
      <w:r>
        <w:rPr>
          <w:rFonts w:hint="eastAsia"/>
        </w:rPr>
        <w:t>5</w:t>
      </w:r>
      <w:r>
        <w:t>.3节的</w:t>
      </w:r>
      <w:r>
        <w:rPr>
          <w:rFonts w:hint="eastAsia"/>
        </w:rPr>
        <w:t>规定</w:t>
      </w:r>
      <w:r>
        <w:t>。</w:t>
      </w:r>
    </w:p>
    <w:p>
      <w:pPr>
        <w:spacing w:line="360" w:lineRule="auto"/>
        <w:rPr>
          <w:szCs w:val="21"/>
        </w:rPr>
      </w:pPr>
      <w:r>
        <w:rPr>
          <w:szCs w:val="21"/>
        </w:rPr>
        <w:drawing>
          <wp:inline distT="0" distB="0" distL="114300" distR="114300">
            <wp:extent cx="5541645" cy="1886585"/>
            <wp:effectExtent l="0" t="0" r="1905" b="1841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6"/>
                    <a:stretch>
                      <a:fillRect/>
                    </a:stretch>
                  </pic:blipFill>
                  <pic:spPr>
                    <a:xfrm>
                      <a:off x="0" y="0"/>
                      <a:ext cx="5541645" cy="1886585"/>
                    </a:xfrm>
                    <a:prstGeom prst="rect">
                      <a:avLst/>
                    </a:prstGeom>
                    <a:noFill/>
                    <a:ln>
                      <a:noFill/>
                    </a:ln>
                  </pic:spPr>
                </pic:pic>
              </a:graphicData>
            </a:graphic>
          </wp:inline>
        </w:drawing>
      </w:r>
    </w:p>
    <w:p>
      <w:pPr>
        <w:adjustRightInd w:val="0"/>
        <w:snapToGrid w:val="0"/>
        <w:spacing w:line="360" w:lineRule="auto"/>
        <w:ind w:firstLine="180" w:firstLineChars="100"/>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5.2.2-1  </w:t>
      </w:r>
      <w:r>
        <w:rPr>
          <w:rFonts w:hint="eastAsia" w:ascii="黑体" w:hAnsi="黑体" w:eastAsia="黑体"/>
          <w:sz w:val="18"/>
          <w:szCs w:val="18"/>
        </w:rPr>
        <w:t>网片式防护栏示意图（单位：</w:t>
      </w:r>
      <w:r>
        <w:rPr>
          <w:rFonts w:ascii="黑体" w:hAnsi="黑体" w:eastAsia="黑体"/>
          <w:sz w:val="18"/>
          <w:szCs w:val="18"/>
        </w:rPr>
        <w:t>mm</w:t>
      </w:r>
      <w:r>
        <w:rPr>
          <w:rFonts w:hint="eastAsia" w:ascii="黑体" w:hAnsi="黑体" w:eastAsia="黑体"/>
          <w:sz w:val="18"/>
          <w:szCs w:val="18"/>
        </w:rPr>
        <w:t>）</w:t>
      </w:r>
    </w:p>
    <w:p>
      <w:pPr>
        <w:adjustRightInd w:val="0"/>
        <w:snapToGrid w:val="0"/>
        <w:spacing w:line="360" w:lineRule="auto"/>
        <w:ind w:firstLine="180" w:firstLineChars="100"/>
        <w:jc w:val="center"/>
        <w:rPr>
          <w:szCs w:val="21"/>
        </w:rPr>
      </w:pPr>
      <w:r>
        <w:rPr>
          <w:rFonts w:ascii="黑体" w:hAnsi="黑体" w:eastAsia="黑体"/>
          <w:sz w:val="18"/>
          <w:szCs w:val="18"/>
        </w:rPr>
        <w:t>1-</w:t>
      </w:r>
      <w:r>
        <w:rPr>
          <w:rFonts w:hint="eastAsia" w:ascii="黑体" w:hAnsi="黑体" w:eastAsia="黑体"/>
          <w:sz w:val="18"/>
          <w:szCs w:val="18"/>
        </w:rPr>
        <w:t>立柱；</w:t>
      </w:r>
      <w:r>
        <w:rPr>
          <w:rFonts w:ascii="黑体" w:hAnsi="黑体" w:eastAsia="黑体"/>
          <w:sz w:val="18"/>
          <w:szCs w:val="18"/>
        </w:rPr>
        <w:t>2-</w:t>
      </w:r>
      <w:r>
        <w:rPr>
          <w:rFonts w:hint="eastAsia" w:ascii="黑体" w:hAnsi="黑体" w:eastAsia="黑体"/>
          <w:sz w:val="18"/>
          <w:szCs w:val="18"/>
        </w:rPr>
        <w:t>外框；</w:t>
      </w:r>
      <w:r>
        <w:rPr>
          <w:rFonts w:ascii="黑体" w:hAnsi="黑体" w:eastAsia="黑体"/>
          <w:sz w:val="18"/>
          <w:szCs w:val="18"/>
        </w:rPr>
        <w:t>3-</w:t>
      </w:r>
      <w:r>
        <w:rPr>
          <w:rFonts w:hint="eastAsia" w:ascii="黑体" w:hAnsi="黑体" w:eastAsia="黑体"/>
          <w:sz w:val="18"/>
          <w:szCs w:val="18"/>
        </w:rPr>
        <w:t>焊接钢丝网；</w:t>
      </w:r>
      <w:r>
        <w:rPr>
          <w:rFonts w:ascii="黑体" w:hAnsi="黑体" w:eastAsia="黑体"/>
          <w:sz w:val="18"/>
          <w:szCs w:val="18"/>
        </w:rPr>
        <w:t>4-</w:t>
      </w:r>
      <w:r>
        <w:rPr>
          <w:rFonts w:hint="eastAsia" w:ascii="黑体" w:hAnsi="黑体" w:eastAsia="黑体"/>
          <w:sz w:val="18"/>
          <w:szCs w:val="18"/>
        </w:rPr>
        <w:t>螺栓连接；</w:t>
      </w:r>
      <w:r>
        <w:rPr>
          <w:rFonts w:ascii="黑体" w:hAnsi="黑体" w:eastAsia="黑体"/>
          <w:sz w:val="18"/>
          <w:szCs w:val="18"/>
        </w:rPr>
        <w:t>5-</w:t>
      </w:r>
      <w:r>
        <w:rPr>
          <w:rFonts w:hint="eastAsia" w:ascii="黑体" w:hAnsi="黑体" w:eastAsia="黑体"/>
          <w:sz w:val="18"/>
          <w:szCs w:val="18"/>
        </w:rPr>
        <w:t>底座；</w:t>
      </w:r>
      <w:r>
        <w:rPr>
          <w:rFonts w:ascii="黑体" w:hAnsi="黑体" w:eastAsia="黑体"/>
          <w:sz w:val="18"/>
          <w:szCs w:val="18"/>
        </w:rPr>
        <w:t>6-</w:t>
      </w:r>
      <w:r>
        <w:rPr>
          <w:rFonts w:hint="eastAsia" w:ascii="黑体" w:hAnsi="黑体" w:eastAsia="黑体"/>
          <w:sz w:val="18"/>
          <w:szCs w:val="18"/>
        </w:rPr>
        <w:t>挡脚</w:t>
      </w:r>
      <w:r>
        <w:rPr>
          <w:szCs w:val="21"/>
        </w:rPr>
        <w:t>板</w:t>
      </w:r>
    </w:p>
    <w:p>
      <w:pPr>
        <w:adjustRightInd w:val="0"/>
        <w:snapToGrid w:val="0"/>
        <w:spacing w:line="360" w:lineRule="auto"/>
        <w:jc w:val="center"/>
        <w:rPr>
          <w:szCs w:val="21"/>
        </w:rPr>
      </w:pPr>
      <w:r>
        <w:rPr>
          <w:szCs w:val="21"/>
        </w:rPr>
        <w:drawing>
          <wp:inline distT="0" distB="0" distL="114300" distR="114300">
            <wp:extent cx="2968625" cy="1259840"/>
            <wp:effectExtent l="0" t="0" r="3175"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2968625" cy="1259840"/>
                    </a:xfrm>
                    <a:prstGeom prst="rect">
                      <a:avLst/>
                    </a:prstGeom>
                    <a:noFill/>
                    <a:ln>
                      <a:noFill/>
                    </a:ln>
                  </pic:spPr>
                </pic:pic>
              </a:graphicData>
            </a:graphic>
          </wp:inline>
        </w:drawing>
      </w:r>
    </w:p>
    <w:p>
      <w:pPr>
        <w:adjustRightInd w:val="0"/>
        <w:snapToGrid w:val="0"/>
        <w:spacing w:line="360" w:lineRule="auto"/>
        <w:ind w:firstLine="180" w:firstLineChars="100"/>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5.2.2-2  </w:t>
      </w:r>
      <w:r>
        <w:rPr>
          <w:rFonts w:hint="eastAsia" w:ascii="黑体" w:hAnsi="黑体" w:eastAsia="黑体"/>
          <w:sz w:val="18"/>
          <w:szCs w:val="18"/>
        </w:rPr>
        <w:t>竖向、横向连接板示意图（单位：</w:t>
      </w:r>
      <w:r>
        <w:rPr>
          <w:rFonts w:ascii="黑体" w:hAnsi="黑体" w:eastAsia="黑体"/>
          <w:sz w:val="18"/>
          <w:szCs w:val="18"/>
        </w:rPr>
        <w:t>mm</w:t>
      </w:r>
      <w:r>
        <w:rPr>
          <w:rFonts w:hint="eastAsia" w:ascii="黑体" w:hAnsi="黑体" w:eastAsia="黑体"/>
          <w:sz w:val="18"/>
          <w:szCs w:val="18"/>
        </w:rPr>
        <w:t>）</w:t>
      </w:r>
    </w:p>
    <w:p>
      <w:pPr>
        <w:adjustRightInd w:val="0"/>
        <w:snapToGrid w:val="0"/>
        <w:spacing w:line="360" w:lineRule="auto"/>
        <w:rPr>
          <w:szCs w:val="21"/>
        </w:rPr>
      </w:pPr>
      <w:r>
        <w:rPr>
          <w:rFonts w:hint="eastAsia"/>
          <w:b/>
          <w:szCs w:val="21"/>
        </w:rPr>
        <w:t>5</w:t>
      </w:r>
      <w:r>
        <w:rPr>
          <w:b/>
          <w:szCs w:val="21"/>
        </w:rPr>
        <w:t>.2.3</w:t>
      </w:r>
      <w:r>
        <w:rPr>
          <w:rFonts w:hint="eastAsia"/>
          <w:b/>
          <w:szCs w:val="21"/>
        </w:rPr>
        <w:t xml:space="preserve"> </w:t>
      </w:r>
      <w:r>
        <w:rPr>
          <w:b/>
          <w:szCs w:val="21"/>
        </w:rPr>
        <w:t xml:space="preserve"> </w:t>
      </w:r>
      <w:r>
        <w:rPr>
          <w:szCs w:val="21"/>
        </w:rPr>
        <w:t>格栅式防护栏设置见图</w:t>
      </w:r>
      <w:r>
        <w:rPr>
          <w:rFonts w:hint="eastAsia"/>
          <w:szCs w:val="21"/>
        </w:rPr>
        <w:t>5</w:t>
      </w:r>
      <w:r>
        <w:rPr>
          <w:szCs w:val="21"/>
        </w:rPr>
        <w:t>.2.3</w:t>
      </w:r>
      <w:r>
        <w:rPr>
          <w:rFonts w:hint="eastAsia"/>
          <w:szCs w:val="21"/>
        </w:rPr>
        <w:t>，并</w:t>
      </w:r>
      <w:r>
        <w:rPr>
          <w:szCs w:val="21"/>
        </w:rPr>
        <w:t>应符合下列规定：</w:t>
      </w:r>
    </w:p>
    <w:p>
      <w:pPr>
        <w:adjustRightInd w:val="0"/>
        <w:snapToGrid w:val="0"/>
        <w:spacing w:line="360" w:lineRule="auto"/>
        <w:ind w:firstLine="316" w:firstLineChars="150"/>
        <w:rPr>
          <w:szCs w:val="21"/>
        </w:rPr>
      </w:pPr>
      <w:r>
        <w:rPr>
          <w:b/>
          <w:bCs/>
          <w:szCs w:val="21"/>
        </w:rPr>
        <w:t>1</w:t>
      </w:r>
      <w:r>
        <w:rPr>
          <w:rFonts w:hint="eastAsia"/>
          <w:b/>
          <w:szCs w:val="21"/>
        </w:rPr>
        <w:t xml:space="preserve"> </w:t>
      </w:r>
      <w:r>
        <w:rPr>
          <w:b/>
          <w:szCs w:val="21"/>
        </w:rPr>
        <w:t xml:space="preserve"> </w:t>
      </w:r>
      <w:r>
        <w:rPr>
          <w:szCs w:val="21"/>
        </w:rPr>
        <w:t>立柱</w:t>
      </w:r>
      <w:r>
        <w:rPr>
          <w:rFonts w:hint="eastAsia"/>
          <w:szCs w:val="21"/>
        </w:rPr>
        <w:t>应</w:t>
      </w:r>
      <w:r>
        <w:rPr>
          <w:szCs w:val="21"/>
        </w:rPr>
        <w:t>选用截面长、宽不小于40mm，厚度不小于</w:t>
      </w:r>
      <w:r>
        <w:rPr>
          <w:rFonts w:hint="eastAsia"/>
          <w:szCs w:val="21"/>
        </w:rPr>
        <w:t>2.5</w:t>
      </w:r>
      <w:r>
        <w:rPr>
          <w:szCs w:val="21"/>
        </w:rPr>
        <w:t>mm的方形钢管，在上下两端约250mm处焊接钢板连接外框，</w:t>
      </w:r>
      <w:r>
        <w:rPr>
          <w:rFonts w:hint="eastAsia"/>
          <w:szCs w:val="21"/>
        </w:rPr>
        <w:t>连接板</w:t>
      </w:r>
      <w:r>
        <w:rPr>
          <w:szCs w:val="21"/>
        </w:rPr>
        <w:t>不</w:t>
      </w:r>
      <w:r>
        <w:rPr>
          <w:rFonts w:hint="eastAsia"/>
          <w:szCs w:val="21"/>
        </w:rPr>
        <w:t>应</w:t>
      </w:r>
      <w:r>
        <w:rPr>
          <w:szCs w:val="21"/>
        </w:rPr>
        <w:t>小于50mm×50mm×</w:t>
      </w:r>
      <w:r>
        <w:rPr>
          <w:rFonts w:hint="eastAsia"/>
          <w:szCs w:val="21"/>
        </w:rPr>
        <w:t>6</w:t>
      </w:r>
      <w:r>
        <w:rPr>
          <w:szCs w:val="21"/>
        </w:rPr>
        <w:t>mm，</w:t>
      </w:r>
      <w:r>
        <w:rPr>
          <w:rFonts w:hint="eastAsia"/>
          <w:szCs w:val="21"/>
        </w:rPr>
        <w:t>立杆统一使用竖向长孔连接板，外框统一使用横向长孔连接板，</w:t>
      </w:r>
      <w:r>
        <w:rPr>
          <w:szCs w:val="21"/>
        </w:rPr>
        <w:t>连接板</w:t>
      </w:r>
      <w:r>
        <w:rPr>
          <w:rFonts w:hint="eastAsia"/>
          <w:szCs w:val="21"/>
        </w:rPr>
        <w:t>应</w:t>
      </w:r>
      <w:r>
        <w:rPr>
          <w:szCs w:val="21"/>
        </w:rPr>
        <w:t>采用不小于</w:t>
      </w:r>
      <w:r>
        <w:rPr>
          <w:rFonts w:hint="eastAsia"/>
          <w:szCs w:val="21"/>
        </w:rPr>
        <w:t>M10普</w:t>
      </w:r>
      <w:r>
        <w:rPr>
          <w:szCs w:val="21"/>
        </w:rPr>
        <w:t>通螺栓固定连接</w:t>
      </w:r>
      <w:r>
        <w:rPr>
          <w:rFonts w:hint="eastAsia"/>
          <w:szCs w:val="21"/>
        </w:rPr>
        <w:t>；</w:t>
      </w:r>
    </w:p>
    <w:p>
      <w:pPr>
        <w:adjustRightInd w:val="0"/>
        <w:snapToGrid w:val="0"/>
        <w:spacing w:line="360" w:lineRule="auto"/>
        <w:ind w:firstLine="316" w:firstLineChars="150"/>
        <w:rPr>
          <w:szCs w:val="21"/>
        </w:rPr>
      </w:pPr>
      <w:r>
        <w:rPr>
          <w:b/>
          <w:bCs/>
          <w:szCs w:val="21"/>
        </w:rPr>
        <w:t>2</w:t>
      </w:r>
      <w:r>
        <w:rPr>
          <w:rFonts w:hint="eastAsia"/>
          <w:b/>
          <w:szCs w:val="21"/>
        </w:rPr>
        <w:t xml:space="preserve"> </w:t>
      </w:r>
      <w:r>
        <w:rPr>
          <w:b/>
          <w:szCs w:val="21"/>
        </w:rPr>
        <w:t xml:space="preserve"> </w:t>
      </w:r>
      <w:r>
        <w:rPr>
          <w:szCs w:val="21"/>
        </w:rPr>
        <w:t>外框</w:t>
      </w:r>
      <w:r>
        <w:rPr>
          <w:rFonts w:hint="eastAsia"/>
          <w:szCs w:val="21"/>
        </w:rPr>
        <w:t>、</w:t>
      </w:r>
      <w:r>
        <w:rPr>
          <w:szCs w:val="21"/>
        </w:rPr>
        <w:t>竖杆</w:t>
      </w:r>
      <w:r>
        <w:rPr>
          <w:rFonts w:hint="eastAsia"/>
          <w:szCs w:val="21"/>
        </w:rPr>
        <w:t>宜</w:t>
      </w:r>
      <w:r>
        <w:rPr>
          <w:szCs w:val="21"/>
        </w:rPr>
        <w:t>选用截面长、宽不小于</w:t>
      </w:r>
      <w:r>
        <w:rPr>
          <w:rFonts w:hint="eastAsia"/>
          <w:szCs w:val="21"/>
        </w:rPr>
        <w:t>30</w:t>
      </w:r>
      <w:r>
        <w:rPr>
          <w:szCs w:val="21"/>
        </w:rPr>
        <w:t>mm的方形钢管</w:t>
      </w:r>
      <w:r>
        <w:rPr>
          <w:rFonts w:hint="eastAsia"/>
          <w:szCs w:val="21"/>
        </w:rPr>
        <w:t>；</w:t>
      </w:r>
    </w:p>
    <w:p>
      <w:pPr>
        <w:adjustRightInd w:val="0"/>
        <w:snapToGrid w:val="0"/>
        <w:spacing w:line="360" w:lineRule="auto"/>
        <w:ind w:firstLine="316" w:firstLineChars="150"/>
        <w:rPr>
          <w:szCs w:val="21"/>
        </w:rPr>
      </w:pPr>
      <w:r>
        <w:rPr>
          <w:b/>
          <w:bCs/>
          <w:szCs w:val="21"/>
        </w:rPr>
        <w:t>3</w:t>
      </w:r>
      <w:r>
        <w:rPr>
          <w:rFonts w:hint="eastAsia"/>
          <w:b/>
          <w:szCs w:val="21"/>
        </w:rPr>
        <w:t xml:space="preserve"> </w:t>
      </w:r>
      <w:r>
        <w:rPr>
          <w:b/>
          <w:szCs w:val="21"/>
        </w:rPr>
        <w:t xml:space="preserve"> </w:t>
      </w:r>
      <w:r>
        <w:rPr>
          <w:szCs w:val="21"/>
        </w:rPr>
        <w:t>竖杆间距不应大于200mm</w:t>
      </w:r>
      <w:r>
        <w:rPr>
          <w:rFonts w:hint="eastAsia"/>
          <w:szCs w:val="21"/>
        </w:rPr>
        <w:t>；</w:t>
      </w:r>
    </w:p>
    <w:p>
      <w:pPr>
        <w:adjustRightInd w:val="0"/>
        <w:snapToGrid w:val="0"/>
        <w:spacing w:line="360" w:lineRule="auto"/>
        <w:ind w:firstLine="316" w:firstLineChars="150"/>
        <w:rPr>
          <w:szCs w:val="21"/>
        </w:rPr>
      </w:pPr>
      <w:r>
        <w:rPr>
          <w:rFonts w:hint="eastAsia"/>
          <w:b/>
          <w:bCs/>
          <w:szCs w:val="21"/>
        </w:rPr>
        <w:t xml:space="preserve">4 </w:t>
      </w:r>
      <w:r>
        <w:rPr>
          <w:b/>
          <w:bCs/>
          <w:szCs w:val="21"/>
        </w:rPr>
        <w:t xml:space="preserve"> </w:t>
      </w:r>
      <w:r>
        <w:rPr>
          <w:szCs w:val="21"/>
        </w:rPr>
        <w:t>立柱的固定应符合本标准第</w:t>
      </w:r>
      <w:r>
        <w:rPr>
          <w:rFonts w:hint="eastAsia"/>
          <w:szCs w:val="21"/>
        </w:rPr>
        <w:t>5</w:t>
      </w:r>
      <w:r>
        <w:rPr>
          <w:szCs w:val="21"/>
        </w:rPr>
        <w:t>.3节的要求。</w:t>
      </w:r>
    </w:p>
    <w:p>
      <w:pPr>
        <w:adjustRightInd w:val="0"/>
        <w:snapToGrid w:val="0"/>
        <w:spacing w:line="360" w:lineRule="auto"/>
        <w:ind w:firstLine="210" w:firstLineChars="100"/>
        <w:jc w:val="center"/>
        <w:rPr>
          <w:rFonts w:ascii="黑体" w:hAnsi="黑体" w:eastAsia="黑体" w:cs="黑体"/>
          <w:sz w:val="18"/>
          <w:szCs w:val="18"/>
        </w:rPr>
      </w:pPr>
      <w:r>
        <w:rPr>
          <w:szCs w:val="21"/>
        </w:rPr>
        <w:drawing>
          <wp:inline distT="0" distB="0" distL="114300" distR="114300">
            <wp:extent cx="5543550" cy="2181225"/>
            <wp:effectExtent l="0" t="0" r="0" b="9525"/>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8"/>
                    <a:stretch>
                      <a:fillRect/>
                    </a:stretch>
                  </pic:blipFill>
                  <pic:spPr>
                    <a:xfrm>
                      <a:off x="0" y="0"/>
                      <a:ext cx="5543550" cy="2181225"/>
                    </a:xfrm>
                    <a:prstGeom prst="rect">
                      <a:avLst/>
                    </a:prstGeom>
                    <a:noFill/>
                    <a:ln>
                      <a:noFill/>
                    </a:ln>
                  </pic:spPr>
                </pic:pic>
              </a:graphicData>
            </a:graphic>
          </wp:inline>
        </w:drawing>
      </w:r>
      <w:r>
        <w:rPr>
          <w:rFonts w:hint="eastAsia" w:ascii="黑体" w:hAnsi="黑体" w:eastAsia="黑体" w:cs="黑体"/>
          <w:sz w:val="18"/>
          <w:szCs w:val="18"/>
        </w:rPr>
        <w:t>图5.2.3 格栅式防护栏示意图（单位：mm）</w:t>
      </w:r>
    </w:p>
    <w:p>
      <w:pPr>
        <w:adjustRightInd w:val="0"/>
        <w:snapToGrid w:val="0"/>
        <w:spacing w:line="360" w:lineRule="auto"/>
        <w:ind w:firstLine="180" w:firstLineChars="100"/>
        <w:jc w:val="center"/>
        <w:rPr>
          <w:rFonts w:ascii="黑体" w:hAnsi="黑体" w:eastAsia="黑体" w:cs="黑体"/>
          <w:sz w:val="18"/>
          <w:szCs w:val="18"/>
        </w:rPr>
      </w:pPr>
      <w:r>
        <w:rPr>
          <w:rFonts w:hint="eastAsia" w:ascii="黑体" w:hAnsi="黑体" w:eastAsia="黑体" w:cs="黑体"/>
          <w:sz w:val="18"/>
          <w:szCs w:val="18"/>
        </w:rPr>
        <w:t>1-立柱；2-外框；3-竖杆；4-螺栓连接；5-底座；6-挡脚板</w:t>
      </w:r>
    </w:p>
    <w:p>
      <w:pPr>
        <w:adjustRightInd w:val="0"/>
        <w:snapToGrid w:val="0"/>
        <w:spacing w:line="360" w:lineRule="auto"/>
        <w:rPr>
          <w:b/>
          <w:szCs w:val="21"/>
        </w:rPr>
      </w:pPr>
    </w:p>
    <w:p>
      <w:pPr>
        <w:adjustRightInd w:val="0"/>
        <w:snapToGrid w:val="0"/>
        <w:spacing w:line="360" w:lineRule="auto"/>
        <w:rPr>
          <w:szCs w:val="21"/>
        </w:rPr>
      </w:pPr>
      <w:r>
        <w:rPr>
          <w:rFonts w:hint="eastAsia"/>
          <w:b/>
          <w:szCs w:val="21"/>
        </w:rPr>
        <w:t>5</w:t>
      </w:r>
      <w:r>
        <w:rPr>
          <w:b/>
          <w:szCs w:val="21"/>
        </w:rPr>
        <w:t>.2.4</w:t>
      </w:r>
      <w:r>
        <w:rPr>
          <w:rFonts w:hint="eastAsia"/>
          <w:b/>
          <w:szCs w:val="21"/>
        </w:rPr>
        <w:t xml:space="preserve"> </w:t>
      </w:r>
      <w:r>
        <w:rPr>
          <w:b/>
          <w:szCs w:val="21"/>
        </w:rPr>
        <w:t xml:space="preserve"> </w:t>
      </w:r>
      <w:r>
        <w:rPr>
          <w:szCs w:val="21"/>
        </w:rPr>
        <w:t>组装式防护栏设置见图</w:t>
      </w:r>
      <w:r>
        <w:rPr>
          <w:rFonts w:hint="eastAsia"/>
          <w:szCs w:val="21"/>
        </w:rPr>
        <w:t>5</w:t>
      </w:r>
      <w:r>
        <w:rPr>
          <w:szCs w:val="21"/>
        </w:rPr>
        <w:t>.2.4</w:t>
      </w:r>
      <w:r>
        <w:rPr>
          <w:rFonts w:hint="eastAsia"/>
          <w:szCs w:val="21"/>
        </w:rPr>
        <w:t>-1和图5.2.4-2，并</w:t>
      </w:r>
      <w:r>
        <w:rPr>
          <w:szCs w:val="21"/>
        </w:rPr>
        <w:t>应符合下列规定：</w:t>
      </w:r>
    </w:p>
    <w:p>
      <w:pPr>
        <w:adjustRightInd w:val="0"/>
        <w:snapToGrid w:val="0"/>
        <w:spacing w:line="360" w:lineRule="auto"/>
        <w:ind w:firstLine="316" w:firstLineChars="150"/>
        <w:rPr>
          <w:szCs w:val="21"/>
        </w:rPr>
      </w:pPr>
      <w:r>
        <w:rPr>
          <w:b/>
          <w:bCs/>
          <w:szCs w:val="21"/>
        </w:rPr>
        <w:t>1</w:t>
      </w:r>
      <w:r>
        <w:rPr>
          <w:rFonts w:hint="eastAsia"/>
          <w:szCs w:val="21"/>
        </w:rPr>
        <w:t xml:space="preserve"> </w:t>
      </w:r>
      <w:r>
        <w:rPr>
          <w:szCs w:val="21"/>
        </w:rPr>
        <w:t xml:space="preserve"> 直角弯头、三通、四通套管均为等边尺寸，采用Ф57mm×3.5mm的钢管，承插连接</w:t>
      </w:r>
      <w:r>
        <w:rPr>
          <w:rFonts w:hint="eastAsia"/>
          <w:szCs w:val="21"/>
        </w:rPr>
        <w:t>宜</w:t>
      </w:r>
      <w:r>
        <w:rPr>
          <w:szCs w:val="21"/>
        </w:rPr>
        <w:t>采用M8紧定螺钉固定</w:t>
      </w:r>
      <w:r>
        <w:rPr>
          <w:rFonts w:hint="eastAsia"/>
          <w:szCs w:val="21"/>
        </w:rPr>
        <w:t>；</w:t>
      </w:r>
    </w:p>
    <w:p>
      <w:pPr>
        <w:adjustRightInd w:val="0"/>
        <w:snapToGrid w:val="0"/>
        <w:spacing w:line="360" w:lineRule="auto"/>
        <w:ind w:firstLine="316" w:firstLineChars="150"/>
        <w:rPr>
          <w:szCs w:val="21"/>
        </w:rPr>
      </w:pPr>
      <w:r>
        <w:rPr>
          <w:rFonts w:hint="eastAsia"/>
          <w:b/>
          <w:bCs/>
          <w:szCs w:val="21"/>
        </w:rPr>
        <w:t>2</w:t>
      </w:r>
      <w:r>
        <w:rPr>
          <w:rFonts w:hint="eastAsia"/>
          <w:szCs w:val="21"/>
        </w:rPr>
        <w:t xml:space="preserve"> </w:t>
      </w:r>
      <w:r>
        <w:rPr>
          <w:szCs w:val="21"/>
        </w:rPr>
        <w:t xml:space="preserve"> 立杆、水平杆</w:t>
      </w:r>
      <w:r>
        <w:rPr>
          <w:rFonts w:hint="eastAsia"/>
          <w:szCs w:val="21"/>
        </w:rPr>
        <w:t>应</w:t>
      </w:r>
      <w:r>
        <w:rPr>
          <w:szCs w:val="21"/>
        </w:rPr>
        <w:t>采用Ф48.3mm×3.6mm的钢管</w:t>
      </w:r>
      <w:r>
        <w:rPr>
          <w:rFonts w:hint="eastAsia"/>
          <w:szCs w:val="21"/>
        </w:rPr>
        <w:t>，当使用“F”型、“干”字型立杆时，宜采用直角弯头、直通套管连接；</w:t>
      </w:r>
    </w:p>
    <w:p>
      <w:pPr>
        <w:spacing w:line="360" w:lineRule="auto"/>
      </w:pPr>
      <w:r>
        <w:rPr>
          <w:b/>
          <w:bCs/>
        </w:rPr>
        <w:t>3</w:t>
      </w:r>
      <w:r>
        <w:rPr>
          <w:rFonts w:hint="eastAsia"/>
        </w:rPr>
        <w:t xml:space="preserve"> </w:t>
      </w:r>
      <w:r>
        <w:t xml:space="preserve"> 立杆的固定应符合本标准第</w:t>
      </w:r>
      <w:r>
        <w:rPr>
          <w:rFonts w:hint="eastAsia"/>
        </w:rPr>
        <w:t>5</w:t>
      </w:r>
      <w:r>
        <w:t>.3节的要求。</w:t>
      </w:r>
    </w:p>
    <w:p>
      <w:pPr>
        <w:tabs>
          <w:tab w:val="center" w:pos="4365"/>
          <w:tab w:val="left" w:pos="6706"/>
        </w:tabs>
        <w:adjustRightInd w:val="0"/>
        <w:snapToGrid w:val="0"/>
        <w:spacing w:line="360" w:lineRule="auto"/>
        <w:jc w:val="center"/>
        <w:rPr>
          <w:szCs w:val="21"/>
        </w:rPr>
      </w:pPr>
      <w:r>
        <w:rPr>
          <w:szCs w:val="21"/>
        </w:rPr>
        <w:drawing>
          <wp:inline distT="0" distB="0" distL="114300" distR="114300">
            <wp:extent cx="5253355" cy="1748790"/>
            <wp:effectExtent l="0" t="0" r="4445" b="381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19"/>
                    <a:srcRect l="3107" t="44688" r="7143" b="34180"/>
                    <a:stretch>
                      <a:fillRect/>
                    </a:stretch>
                  </pic:blipFill>
                  <pic:spPr>
                    <a:xfrm>
                      <a:off x="0" y="0"/>
                      <a:ext cx="5253355" cy="1748790"/>
                    </a:xfrm>
                    <a:prstGeom prst="rect">
                      <a:avLst/>
                    </a:prstGeom>
                    <a:noFill/>
                    <a:ln>
                      <a:noFill/>
                    </a:ln>
                  </pic:spPr>
                </pic:pic>
              </a:graphicData>
            </a:graphic>
          </wp:inline>
        </w:drawing>
      </w:r>
    </w:p>
    <w:p>
      <w:pPr>
        <w:adjustRightInd w:val="0"/>
        <w:snapToGrid w:val="0"/>
        <w:spacing w:line="360" w:lineRule="auto"/>
        <w:ind w:firstLine="180" w:firstLineChars="100"/>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5.2.4-1 </w:t>
      </w:r>
      <w:r>
        <w:rPr>
          <w:rFonts w:hint="eastAsia" w:ascii="黑体" w:hAnsi="黑体" w:eastAsia="黑体"/>
          <w:sz w:val="18"/>
          <w:szCs w:val="18"/>
        </w:rPr>
        <w:t>组装式防护栏示意图（单位：</w:t>
      </w:r>
      <w:r>
        <w:rPr>
          <w:rFonts w:ascii="黑体" w:hAnsi="黑体" w:eastAsia="黑体"/>
          <w:sz w:val="18"/>
          <w:szCs w:val="18"/>
        </w:rPr>
        <w:t>mm</w:t>
      </w:r>
      <w:r>
        <w:rPr>
          <w:rFonts w:hint="eastAsia" w:ascii="黑体" w:hAnsi="黑体" w:eastAsia="黑体"/>
          <w:sz w:val="18"/>
          <w:szCs w:val="18"/>
        </w:rPr>
        <w:t>）</w:t>
      </w:r>
    </w:p>
    <w:p>
      <w:pPr>
        <w:adjustRightInd w:val="0"/>
        <w:snapToGrid w:val="0"/>
        <w:spacing w:line="360" w:lineRule="auto"/>
        <w:ind w:firstLine="180" w:firstLineChars="100"/>
        <w:jc w:val="center"/>
        <w:rPr>
          <w:rFonts w:ascii="黑体" w:hAnsi="黑体" w:eastAsia="黑体"/>
          <w:sz w:val="18"/>
          <w:szCs w:val="18"/>
        </w:rPr>
      </w:pPr>
      <w:r>
        <w:rPr>
          <w:rFonts w:ascii="黑体" w:hAnsi="黑体" w:eastAsia="黑体"/>
          <w:sz w:val="18"/>
          <w:szCs w:val="18"/>
        </w:rPr>
        <w:t>1-90°</w:t>
      </w:r>
      <w:r>
        <w:rPr>
          <w:rFonts w:hint="eastAsia" w:ascii="黑体" w:hAnsi="黑体" w:eastAsia="黑体"/>
          <w:sz w:val="18"/>
          <w:szCs w:val="18"/>
        </w:rPr>
        <w:t>弯头；</w:t>
      </w:r>
      <w:r>
        <w:rPr>
          <w:rFonts w:ascii="黑体" w:hAnsi="黑体" w:eastAsia="黑体"/>
          <w:sz w:val="18"/>
          <w:szCs w:val="18"/>
        </w:rPr>
        <w:t>2-</w:t>
      </w:r>
      <w:r>
        <w:rPr>
          <w:rFonts w:hint="eastAsia" w:ascii="黑体" w:hAnsi="黑体" w:eastAsia="黑体"/>
          <w:sz w:val="18"/>
          <w:szCs w:val="18"/>
        </w:rPr>
        <w:t>三通；</w:t>
      </w:r>
      <w:r>
        <w:rPr>
          <w:rFonts w:ascii="黑体" w:hAnsi="黑体" w:eastAsia="黑体"/>
          <w:sz w:val="18"/>
          <w:szCs w:val="18"/>
        </w:rPr>
        <w:t>3-</w:t>
      </w:r>
      <w:r>
        <w:rPr>
          <w:rFonts w:hint="eastAsia" w:ascii="黑体" w:hAnsi="黑体" w:eastAsia="黑体"/>
          <w:sz w:val="18"/>
          <w:szCs w:val="18"/>
        </w:rPr>
        <w:t>四通；</w:t>
      </w:r>
      <w:r>
        <w:rPr>
          <w:rFonts w:ascii="黑体" w:hAnsi="黑体" w:eastAsia="黑体"/>
          <w:sz w:val="18"/>
          <w:szCs w:val="18"/>
        </w:rPr>
        <w:t>4-</w:t>
      </w:r>
      <w:r>
        <w:rPr>
          <w:rFonts w:hint="eastAsia" w:ascii="黑体" w:hAnsi="黑体" w:eastAsia="黑体"/>
          <w:sz w:val="18"/>
          <w:szCs w:val="18"/>
        </w:rPr>
        <w:t>直通；</w:t>
      </w:r>
      <w:r>
        <w:rPr>
          <w:rFonts w:ascii="黑体" w:hAnsi="黑体" w:eastAsia="黑体"/>
          <w:sz w:val="18"/>
          <w:szCs w:val="18"/>
        </w:rPr>
        <w:t>5-</w:t>
      </w:r>
      <w:r>
        <w:rPr>
          <w:rFonts w:hint="eastAsia" w:ascii="黑体" w:hAnsi="黑体" w:eastAsia="黑体"/>
          <w:sz w:val="18"/>
          <w:szCs w:val="18"/>
        </w:rPr>
        <w:t>立杆；</w:t>
      </w:r>
      <w:r>
        <w:rPr>
          <w:rFonts w:ascii="黑体" w:hAnsi="黑体" w:eastAsia="黑体"/>
          <w:sz w:val="18"/>
          <w:szCs w:val="18"/>
        </w:rPr>
        <w:t>6-</w:t>
      </w:r>
      <w:r>
        <w:rPr>
          <w:rFonts w:hint="eastAsia" w:ascii="黑体" w:hAnsi="黑体" w:eastAsia="黑体"/>
          <w:sz w:val="18"/>
          <w:szCs w:val="18"/>
        </w:rPr>
        <w:t>水平杆；</w:t>
      </w:r>
    </w:p>
    <w:p>
      <w:pPr>
        <w:adjustRightInd w:val="0"/>
        <w:snapToGrid w:val="0"/>
        <w:spacing w:line="360" w:lineRule="auto"/>
        <w:ind w:firstLine="180" w:firstLineChars="100"/>
        <w:jc w:val="center"/>
        <w:rPr>
          <w:rFonts w:ascii="黑体" w:hAnsi="黑体" w:eastAsia="黑体"/>
          <w:sz w:val="18"/>
          <w:szCs w:val="18"/>
        </w:rPr>
      </w:pPr>
      <w:r>
        <w:rPr>
          <w:rFonts w:ascii="黑体" w:hAnsi="黑体" w:eastAsia="黑体"/>
          <w:sz w:val="18"/>
          <w:szCs w:val="18"/>
        </w:rPr>
        <w:t>7-</w:t>
      </w:r>
      <w:r>
        <w:rPr>
          <w:rFonts w:hint="eastAsia" w:ascii="黑体" w:hAnsi="黑体" w:eastAsia="黑体"/>
          <w:sz w:val="18"/>
          <w:szCs w:val="18"/>
        </w:rPr>
        <w:t>底座；</w:t>
      </w:r>
      <w:r>
        <w:rPr>
          <w:rFonts w:ascii="黑体" w:hAnsi="黑体" w:eastAsia="黑体"/>
          <w:sz w:val="18"/>
          <w:szCs w:val="18"/>
        </w:rPr>
        <w:t>8-</w:t>
      </w:r>
      <w:r>
        <w:rPr>
          <w:rFonts w:hint="eastAsia" w:ascii="黑体" w:hAnsi="黑体" w:eastAsia="黑体"/>
          <w:sz w:val="18"/>
          <w:szCs w:val="18"/>
        </w:rPr>
        <w:t>挡脚板；</w:t>
      </w:r>
      <w:r>
        <w:rPr>
          <w:rFonts w:ascii="黑体" w:hAnsi="黑体" w:eastAsia="黑体"/>
          <w:sz w:val="18"/>
          <w:szCs w:val="18"/>
        </w:rPr>
        <w:t>9-</w:t>
      </w:r>
      <w:r>
        <w:rPr>
          <w:rFonts w:hint="eastAsia" w:ascii="黑体" w:hAnsi="黑体" w:eastAsia="黑体"/>
          <w:sz w:val="18"/>
          <w:szCs w:val="18"/>
        </w:rPr>
        <w:t>密目式安全网</w:t>
      </w:r>
    </w:p>
    <w:p>
      <w:pPr>
        <w:adjustRightInd w:val="0"/>
        <w:snapToGrid w:val="0"/>
        <w:spacing w:line="360" w:lineRule="auto"/>
        <w:jc w:val="center"/>
        <w:rPr>
          <w:b/>
          <w:szCs w:val="21"/>
        </w:rPr>
      </w:pPr>
      <w:r>
        <w:rPr>
          <w:szCs w:val="21"/>
        </w:rPr>
        <w:drawing>
          <wp:inline distT="0" distB="0" distL="114300" distR="114300">
            <wp:extent cx="1934210" cy="1641475"/>
            <wp:effectExtent l="0" t="0" r="8890" b="15875"/>
            <wp:docPr id="13"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2"/>
                    <pic:cNvPicPr>
                      <a:picLocks noChangeAspect="1"/>
                    </pic:cNvPicPr>
                  </pic:nvPicPr>
                  <pic:blipFill>
                    <a:blip r:embed="rId20"/>
                    <a:srcRect t="9749"/>
                    <a:stretch>
                      <a:fillRect/>
                    </a:stretch>
                  </pic:blipFill>
                  <pic:spPr>
                    <a:xfrm>
                      <a:off x="0" y="0"/>
                      <a:ext cx="1934210" cy="1641475"/>
                    </a:xfrm>
                    <a:prstGeom prst="rect">
                      <a:avLst/>
                    </a:prstGeom>
                    <a:noFill/>
                    <a:ln>
                      <a:noFill/>
                    </a:ln>
                  </pic:spPr>
                </pic:pic>
              </a:graphicData>
            </a:graphic>
          </wp:inline>
        </w:drawing>
      </w:r>
      <w:r>
        <w:rPr>
          <w:szCs w:val="21"/>
        </w:rPr>
        <mc:AlternateContent>
          <mc:Choice Requires="wpg">
            <w:drawing>
              <wp:inline distT="0" distB="0" distL="114300" distR="114300">
                <wp:extent cx="1191895" cy="1640205"/>
                <wp:effectExtent l="0" t="0" r="8255" b="17145"/>
                <wp:docPr id="14" name="组合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91895" cy="1640205"/>
                          <a:chOff x="1820" y="-1737"/>
                          <a:chExt cx="2296" cy="3120"/>
                        </a:xfrm>
                        <a:effectLst/>
                      </wpg:grpSpPr>
                      <pic:pic xmlns:pic="http://schemas.openxmlformats.org/drawingml/2006/picture">
                        <pic:nvPicPr>
                          <pic:cNvPr id="15" name="图片 8"/>
                          <pic:cNvPicPr>
                            <a:picLocks noChangeAspect="1"/>
                          </pic:cNvPicPr>
                        </pic:nvPicPr>
                        <pic:blipFill>
                          <a:blip r:embed="rId21">
                            <a:grayscl/>
                          </a:blip>
                          <a:stretch>
                            <a:fillRect/>
                          </a:stretch>
                        </pic:blipFill>
                        <pic:spPr>
                          <a:xfrm>
                            <a:off x="2886" y="-1735"/>
                            <a:ext cx="1230" cy="3118"/>
                          </a:xfrm>
                          <a:prstGeom prst="rect">
                            <a:avLst/>
                          </a:prstGeom>
                          <a:noFill/>
                          <a:ln>
                            <a:noFill/>
                          </a:ln>
                          <a:effectLst/>
                        </pic:spPr>
                      </pic:pic>
                      <pic:pic xmlns:pic="http://schemas.openxmlformats.org/drawingml/2006/picture">
                        <pic:nvPicPr>
                          <pic:cNvPr id="16" name="图片 5"/>
                          <pic:cNvPicPr>
                            <a:picLocks noChangeAspect="1"/>
                          </pic:cNvPicPr>
                        </pic:nvPicPr>
                        <pic:blipFill>
                          <a:blip r:embed="rId22">
                            <a:grayscl/>
                          </a:blip>
                          <a:stretch>
                            <a:fillRect/>
                          </a:stretch>
                        </pic:blipFill>
                        <pic:spPr>
                          <a:xfrm>
                            <a:off x="1820" y="-1737"/>
                            <a:ext cx="1071" cy="3118"/>
                          </a:xfrm>
                          <a:prstGeom prst="rect">
                            <a:avLst/>
                          </a:prstGeom>
                          <a:noFill/>
                          <a:ln>
                            <a:noFill/>
                          </a:ln>
                          <a:effectLst/>
                        </pic:spPr>
                      </pic:pic>
                    </wpg:wgp>
                  </a:graphicData>
                </a:graphic>
              </wp:inline>
            </w:drawing>
          </mc:Choice>
          <mc:Fallback>
            <w:pict>
              <v:group id="_x0000_s1026" o:spid="_x0000_s1026" o:spt="203" style="height:129.15pt;width:93.85pt;" coordorigin="1820,-1737" coordsize="2296,3120" o:gfxdata="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">
                <o:lock v:ext="edit" aspectratio="t"/>
                <v:shape id="图片 8" o:spid="_x0000_s1026" o:spt="75" type="#_x0000_t75" style="position:absolute;left:2886;top:-1735;height:3118;width:1230;" filled="f" o:preferrelative="t" stroked="f" coordsize="21600,21600" o:gfxdata="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G8E7sAAADb&#10;AAAADwAAAAAAAAABACAAAAAiAAAAZHJzL2Rvd25yZXYueG1sUEsBAhQAFAAAAAgAh07iQDMvBZ47&#10;AAAAOQAAABAAAAAAAAAAAQAgAAAACgEAAGRycy9zaGFwZXhtbC54bWxQSwUGAAAAAAYABgBbAQAA&#10;tAMAAAAA&#10;">
                  <v:fill on="f" focussize="0,0"/>
                  <v:stroke on="f"/>
                  <v:imagedata r:id="rId21" grayscale="t" o:title=""/>
                  <o:lock v:ext="edit" aspectratio="t"/>
                </v:shape>
                <v:shape id="图片 5" o:spid="_x0000_s1026" o:spt="75" type="#_x0000_t75" style="position:absolute;left:1820;top:-1737;height:3118;width:1071;" filled="f" o:preferrelative="t" stroked="f" coordsize="21600,21600" o:gfxdata="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94As25AAAA2wAA&#10;AA8AAAAAAAAAAQAgAAAAIgAAAGRycy9kb3ducmV2LnhtbFBLAQIUABQAAAAIAIdO4kAzLwWeOwAA&#10;ADkAAAAQAAAAAAAAAAEAIAAAAAgBAABkcnMvc2hhcGV4bWwueG1sUEsFBgAAAAAGAAYAWwEAALID&#10;AAAAAA==&#10;">
                  <v:fill on="f" focussize="0,0"/>
                  <v:stroke on="f"/>
                  <v:imagedata r:id="rId22" grayscale="t" o:title=""/>
                  <o:lock v:ext="edit" aspectratio="t"/>
                </v:shape>
                <w10:wrap type="none"/>
                <w10:anchorlock/>
              </v:group>
            </w:pict>
          </mc:Fallback>
        </mc:AlternateContent>
      </w:r>
    </w:p>
    <w:p>
      <w:pPr>
        <w:adjustRightInd w:val="0"/>
        <w:snapToGrid w:val="0"/>
        <w:spacing w:line="360" w:lineRule="auto"/>
        <w:ind w:firstLine="180" w:firstLineChars="100"/>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5.2.4-2  F</w:t>
      </w:r>
      <w:r>
        <w:rPr>
          <w:rFonts w:hint="eastAsia" w:ascii="黑体" w:hAnsi="黑体" w:eastAsia="黑体"/>
          <w:sz w:val="18"/>
          <w:szCs w:val="18"/>
        </w:rPr>
        <w:t>型、干型防护栏示意图（单位：</w:t>
      </w:r>
      <w:r>
        <w:rPr>
          <w:rFonts w:ascii="黑体" w:hAnsi="黑体" w:eastAsia="黑体"/>
          <w:sz w:val="18"/>
          <w:szCs w:val="18"/>
        </w:rPr>
        <w:t>mm</w:t>
      </w:r>
      <w:r>
        <w:rPr>
          <w:rFonts w:hint="eastAsia" w:ascii="黑体" w:hAnsi="黑体" w:eastAsia="黑体"/>
          <w:sz w:val="18"/>
          <w:szCs w:val="18"/>
        </w:rPr>
        <w:t>）</w:t>
      </w:r>
    </w:p>
    <w:p>
      <w:pPr>
        <w:adjustRightInd w:val="0"/>
        <w:snapToGrid w:val="0"/>
        <w:spacing w:line="360" w:lineRule="auto"/>
        <w:rPr>
          <w:szCs w:val="21"/>
        </w:rPr>
      </w:pPr>
      <w:r>
        <w:rPr>
          <w:rFonts w:hint="eastAsia"/>
          <w:b/>
          <w:szCs w:val="21"/>
        </w:rPr>
        <w:t>5</w:t>
      </w:r>
      <w:r>
        <w:rPr>
          <w:b/>
          <w:szCs w:val="21"/>
        </w:rPr>
        <w:t xml:space="preserve">.2.5  </w:t>
      </w:r>
      <w:r>
        <w:rPr>
          <w:szCs w:val="21"/>
        </w:rPr>
        <w:t>钢管式防护栏设置见图</w:t>
      </w:r>
      <w:r>
        <w:rPr>
          <w:rFonts w:hint="eastAsia"/>
          <w:szCs w:val="21"/>
        </w:rPr>
        <w:t>5</w:t>
      </w:r>
      <w:r>
        <w:rPr>
          <w:szCs w:val="21"/>
        </w:rPr>
        <w:t>.2.5</w:t>
      </w:r>
      <w:r>
        <w:rPr>
          <w:rFonts w:hint="eastAsia"/>
          <w:szCs w:val="21"/>
        </w:rPr>
        <w:t>，并</w:t>
      </w:r>
      <w:r>
        <w:rPr>
          <w:szCs w:val="21"/>
        </w:rPr>
        <w:t>应符合下列规定：</w:t>
      </w:r>
    </w:p>
    <w:p>
      <w:pPr>
        <w:adjustRightInd w:val="0"/>
        <w:snapToGrid w:val="0"/>
        <w:spacing w:line="360" w:lineRule="auto"/>
        <w:ind w:firstLine="316" w:firstLineChars="150"/>
        <w:rPr>
          <w:szCs w:val="21"/>
        </w:rPr>
      </w:pPr>
      <w:r>
        <w:rPr>
          <w:b/>
          <w:bCs/>
          <w:szCs w:val="21"/>
        </w:rPr>
        <w:t>1</w:t>
      </w:r>
      <w:r>
        <w:rPr>
          <w:b/>
          <w:szCs w:val="21"/>
        </w:rPr>
        <w:t xml:space="preserve">  </w:t>
      </w:r>
      <w:r>
        <w:rPr>
          <w:szCs w:val="21"/>
        </w:rPr>
        <w:t>立杆、横杆</w:t>
      </w:r>
      <w:r>
        <w:rPr>
          <w:rFonts w:hint="eastAsia"/>
          <w:szCs w:val="21"/>
        </w:rPr>
        <w:t>应</w:t>
      </w:r>
      <w:r>
        <w:rPr>
          <w:szCs w:val="21"/>
        </w:rPr>
        <w:t>采用Ф48.3mm×3.6mm的钢管，防护栏应搭设二道护身栏，第一道栏杆离地1200mm，第二道栏杆离地600mm，立杆高度1300mm，立杆间距不得大于2000mm</w:t>
      </w:r>
      <w:r>
        <w:rPr>
          <w:rFonts w:hint="eastAsia"/>
          <w:szCs w:val="21"/>
        </w:rPr>
        <w:t>；</w:t>
      </w:r>
    </w:p>
    <w:p>
      <w:pPr>
        <w:spacing w:line="360" w:lineRule="auto"/>
        <w:ind w:firstLine="320" w:firstLineChars="152"/>
      </w:pPr>
      <w:r>
        <w:rPr>
          <w:b/>
          <w:bCs/>
        </w:rPr>
        <w:t>2</w:t>
      </w:r>
      <w:r>
        <w:rPr>
          <w:b/>
        </w:rPr>
        <w:t xml:space="preserve">  </w:t>
      </w:r>
      <w:r>
        <w:t>立杆的固定应符合本标准第</w:t>
      </w:r>
      <w:r>
        <w:rPr>
          <w:rFonts w:hint="eastAsia"/>
        </w:rPr>
        <w:t>5</w:t>
      </w:r>
      <w:r>
        <w:t>.3节的要求。</w:t>
      </w:r>
    </w:p>
    <w:p>
      <w:pPr>
        <w:adjustRightInd w:val="0"/>
        <w:snapToGrid w:val="0"/>
        <w:spacing w:line="360" w:lineRule="auto"/>
        <w:jc w:val="center"/>
        <w:rPr>
          <w:szCs w:val="21"/>
        </w:rPr>
      </w:pPr>
      <w:r>
        <w:rPr>
          <w:szCs w:val="21"/>
        </w:rPr>
        <w:drawing>
          <wp:inline distT="0" distB="0" distL="114300" distR="114300">
            <wp:extent cx="4483735" cy="2329180"/>
            <wp:effectExtent l="0" t="0" r="1206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rcRect t="35567" b="27713"/>
                    <a:stretch>
                      <a:fillRect/>
                    </a:stretch>
                  </pic:blipFill>
                  <pic:spPr>
                    <a:xfrm>
                      <a:off x="0" y="0"/>
                      <a:ext cx="4483735" cy="2329180"/>
                    </a:xfrm>
                    <a:prstGeom prst="rect">
                      <a:avLst/>
                    </a:prstGeom>
                    <a:noFill/>
                    <a:ln>
                      <a:noFill/>
                    </a:ln>
                  </pic:spPr>
                </pic:pic>
              </a:graphicData>
            </a:graphic>
          </wp:inline>
        </w:drawing>
      </w:r>
    </w:p>
    <w:p>
      <w:pPr>
        <w:adjustRightInd w:val="0"/>
        <w:snapToGrid w:val="0"/>
        <w:spacing w:line="360" w:lineRule="auto"/>
        <w:ind w:firstLine="180" w:firstLineChars="100"/>
        <w:jc w:val="center"/>
        <w:rPr>
          <w:rFonts w:ascii="黑体" w:hAnsi="黑体" w:eastAsia="黑体" w:cs="黑体"/>
          <w:sz w:val="18"/>
          <w:szCs w:val="18"/>
        </w:rPr>
      </w:pPr>
      <w:r>
        <w:rPr>
          <w:rFonts w:hint="eastAsia" w:ascii="黑体" w:hAnsi="黑体" w:eastAsia="黑体" w:cs="黑体"/>
          <w:sz w:val="18"/>
          <w:szCs w:val="18"/>
        </w:rPr>
        <w:t>图5.2.5 钢管式防护栏示意图（单位：mm）</w:t>
      </w:r>
    </w:p>
    <w:p>
      <w:pPr>
        <w:adjustRightInd w:val="0"/>
        <w:snapToGrid w:val="0"/>
        <w:spacing w:line="360" w:lineRule="auto"/>
        <w:ind w:firstLine="180" w:firstLineChars="100"/>
        <w:jc w:val="center"/>
        <w:rPr>
          <w:rFonts w:ascii="黑体" w:hAnsi="黑体" w:eastAsia="黑体" w:cs="黑体"/>
          <w:sz w:val="18"/>
          <w:szCs w:val="18"/>
        </w:rPr>
      </w:pPr>
      <w:r>
        <w:rPr>
          <w:rFonts w:hint="eastAsia" w:ascii="黑体" w:hAnsi="黑体" w:eastAsia="黑体" w:cs="黑体"/>
          <w:sz w:val="18"/>
          <w:szCs w:val="18"/>
        </w:rPr>
        <w:t>1——-钢管；2——密目式安全网；3——底座；4——挡脚板</w:t>
      </w:r>
    </w:p>
    <w:p>
      <w:pPr>
        <w:adjustRightInd w:val="0"/>
        <w:snapToGrid w:val="0"/>
        <w:spacing w:line="360" w:lineRule="auto"/>
        <w:ind w:firstLine="210" w:firstLineChars="100"/>
        <w:jc w:val="center"/>
        <w:rPr>
          <w:szCs w:val="21"/>
        </w:rPr>
      </w:pPr>
    </w:p>
    <w:p>
      <w:pPr>
        <w:adjustRightInd w:val="0"/>
        <w:snapToGrid w:val="0"/>
        <w:spacing w:line="360" w:lineRule="auto"/>
        <w:ind w:firstLine="211" w:firstLineChars="100"/>
        <w:jc w:val="center"/>
        <w:outlineLvl w:val="1"/>
        <w:rPr>
          <w:rFonts w:eastAsiaTheme="minorEastAsia"/>
          <w:b/>
          <w:szCs w:val="21"/>
        </w:rPr>
      </w:pPr>
      <w:bookmarkStart w:id="94" w:name="_Toc28769"/>
      <w:r>
        <w:rPr>
          <w:rFonts w:eastAsiaTheme="minorEastAsia"/>
          <w:b/>
          <w:szCs w:val="21"/>
        </w:rPr>
        <w:t>5.3  防护栏杆固定</w:t>
      </w:r>
      <w:bookmarkEnd w:id="94"/>
    </w:p>
    <w:p>
      <w:pPr>
        <w:adjustRightInd w:val="0"/>
        <w:snapToGrid w:val="0"/>
        <w:spacing w:line="360" w:lineRule="auto"/>
        <w:rPr>
          <w:b/>
          <w:szCs w:val="21"/>
        </w:rPr>
      </w:pPr>
      <w:r>
        <w:rPr>
          <w:rFonts w:hint="eastAsia"/>
          <w:b/>
          <w:szCs w:val="21"/>
        </w:rPr>
        <w:t>5</w:t>
      </w:r>
      <w:r>
        <w:rPr>
          <w:b/>
          <w:szCs w:val="21"/>
        </w:rPr>
        <w:t xml:space="preserve">.3.1  </w:t>
      </w:r>
      <w:r>
        <w:rPr>
          <w:szCs w:val="21"/>
        </w:rPr>
        <w:t>防护栏杆的固定应符合下列规定：</w:t>
      </w:r>
    </w:p>
    <w:p>
      <w:pPr>
        <w:adjustRightInd w:val="0"/>
        <w:snapToGrid w:val="0"/>
        <w:spacing w:line="360" w:lineRule="auto"/>
        <w:ind w:firstLine="316" w:firstLineChars="150"/>
        <w:rPr>
          <w:szCs w:val="21"/>
        </w:rPr>
      </w:pPr>
      <w:r>
        <w:rPr>
          <w:b/>
          <w:szCs w:val="21"/>
        </w:rPr>
        <w:t xml:space="preserve">1  </w:t>
      </w:r>
      <w:r>
        <w:rPr>
          <w:szCs w:val="21"/>
        </w:rPr>
        <w:t>在混凝土结构上可采用120mm×120mm×</w:t>
      </w:r>
      <w:r>
        <w:rPr>
          <w:rFonts w:hint="eastAsia"/>
          <w:szCs w:val="21"/>
        </w:rPr>
        <w:t>6</w:t>
      </w:r>
      <w:r>
        <w:rPr>
          <w:szCs w:val="21"/>
        </w:rPr>
        <w:t>mm钢板底座用四个M</w:t>
      </w:r>
      <w:r>
        <w:rPr>
          <w:rFonts w:hint="eastAsia"/>
          <w:szCs w:val="21"/>
        </w:rPr>
        <w:t>8</w:t>
      </w:r>
      <w:r>
        <w:rPr>
          <w:szCs w:val="21"/>
        </w:rPr>
        <w:t>膨胀螺栓与地面固定</w:t>
      </w:r>
      <w:r>
        <w:rPr>
          <w:rFonts w:hint="eastAsia"/>
          <w:szCs w:val="21"/>
        </w:rPr>
        <w:t>，</w:t>
      </w:r>
      <w:r>
        <w:rPr>
          <w:szCs w:val="21"/>
        </w:rPr>
        <w:t>膨胀螺栓固定示意图见图</w:t>
      </w:r>
      <w:r>
        <w:rPr>
          <w:rFonts w:hint="eastAsia"/>
          <w:szCs w:val="21"/>
        </w:rPr>
        <w:t>5</w:t>
      </w:r>
      <w:r>
        <w:rPr>
          <w:szCs w:val="21"/>
        </w:rPr>
        <w:t>.3.1-1</w:t>
      </w:r>
      <w:r>
        <w:rPr>
          <w:rFonts w:hint="eastAsia"/>
          <w:szCs w:val="21"/>
        </w:rPr>
        <w:t>；</w:t>
      </w:r>
    </w:p>
    <w:p>
      <w:pPr>
        <w:adjustRightInd w:val="0"/>
        <w:snapToGrid w:val="0"/>
        <w:spacing w:line="360" w:lineRule="auto"/>
        <w:rPr>
          <w:szCs w:val="21"/>
        </w:rPr>
      </w:pPr>
      <w:r>
        <w:rPr>
          <w:szCs w:val="21"/>
        </w:rPr>
        <w:drawing>
          <wp:inline distT="0" distB="0" distL="114300" distR="114300">
            <wp:extent cx="5538470" cy="1997075"/>
            <wp:effectExtent l="0" t="0" r="508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538470" cy="1997075"/>
                    </a:xfrm>
                    <a:prstGeom prst="rect">
                      <a:avLst/>
                    </a:prstGeom>
                    <a:noFill/>
                    <a:ln>
                      <a:noFill/>
                    </a:ln>
                  </pic:spPr>
                </pic:pic>
              </a:graphicData>
            </a:graphic>
          </wp:inline>
        </w:drawing>
      </w:r>
    </w:p>
    <w:p>
      <w:pPr>
        <w:adjustRightInd w:val="0"/>
        <w:snapToGrid w:val="0"/>
        <w:spacing w:line="360" w:lineRule="auto"/>
        <w:ind w:firstLine="180" w:firstLineChars="100"/>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5.3.1-1 </w:t>
      </w:r>
      <w:r>
        <w:rPr>
          <w:rFonts w:hint="eastAsia" w:ascii="黑体" w:hAnsi="黑体" w:eastAsia="黑体"/>
          <w:sz w:val="18"/>
          <w:szCs w:val="18"/>
        </w:rPr>
        <w:t>膨胀螺栓固定示意图</w:t>
      </w:r>
    </w:p>
    <w:p>
      <w:pPr>
        <w:adjustRightInd w:val="0"/>
        <w:snapToGrid w:val="0"/>
        <w:spacing w:line="360" w:lineRule="auto"/>
        <w:ind w:firstLine="180" w:firstLineChars="100"/>
        <w:jc w:val="center"/>
        <w:rPr>
          <w:rFonts w:ascii="黑体" w:hAnsi="黑体" w:eastAsia="黑体"/>
          <w:sz w:val="18"/>
          <w:szCs w:val="18"/>
        </w:rPr>
      </w:pPr>
      <w:r>
        <w:rPr>
          <w:rFonts w:ascii="黑体" w:hAnsi="黑体" w:eastAsia="黑体"/>
          <w:sz w:val="18"/>
          <w:szCs w:val="18"/>
        </w:rPr>
        <w:t>1-</w:t>
      </w:r>
      <w:r>
        <w:rPr>
          <w:rFonts w:hint="eastAsia" w:ascii="黑体" w:hAnsi="黑体" w:eastAsia="黑体"/>
          <w:sz w:val="18"/>
          <w:szCs w:val="18"/>
        </w:rPr>
        <w:t>钢管；</w:t>
      </w:r>
      <w:r>
        <w:rPr>
          <w:rFonts w:ascii="黑体" w:hAnsi="黑体" w:eastAsia="黑体"/>
          <w:sz w:val="18"/>
          <w:szCs w:val="18"/>
        </w:rPr>
        <w:t>2-</w:t>
      </w:r>
      <w:r>
        <w:rPr>
          <w:rFonts w:hint="eastAsia" w:ascii="黑体" w:hAnsi="黑体" w:eastAsia="黑体"/>
          <w:sz w:val="18"/>
          <w:szCs w:val="18"/>
        </w:rPr>
        <w:t>膨胀螺栓；</w:t>
      </w:r>
      <w:r>
        <w:rPr>
          <w:rFonts w:ascii="黑体" w:hAnsi="黑体" w:eastAsia="黑体"/>
          <w:sz w:val="18"/>
          <w:szCs w:val="18"/>
        </w:rPr>
        <w:t>3-</w:t>
      </w:r>
      <w:r>
        <w:rPr>
          <w:rFonts w:hint="eastAsia" w:ascii="黑体" w:hAnsi="黑体" w:eastAsia="黑体"/>
          <w:sz w:val="18"/>
          <w:szCs w:val="18"/>
        </w:rPr>
        <w:t>混凝土结构；</w:t>
      </w:r>
      <w:r>
        <w:rPr>
          <w:rFonts w:ascii="黑体" w:hAnsi="黑体" w:eastAsia="黑体"/>
          <w:sz w:val="18"/>
          <w:szCs w:val="18"/>
        </w:rPr>
        <w:t>4-</w:t>
      </w:r>
      <w:r>
        <w:rPr>
          <w:rFonts w:hint="eastAsia" w:ascii="黑体" w:hAnsi="黑体" w:eastAsia="黑体"/>
          <w:sz w:val="18"/>
          <w:szCs w:val="18"/>
        </w:rPr>
        <w:t>钢板底座</w:t>
      </w:r>
    </w:p>
    <w:p>
      <w:pPr>
        <w:adjustRightInd w:val="0"/>
        <w:snapToGrid w:val="0"/>
        <w:spacing w:line="360" w:lineRule="auto"/>
        <w:ind w:firstLine="316" w:firstLineChars="150"/>
        <w:rPr>
          <w:szCs w:val="21"/>
        </w:rPr>
      </w:pPr>
      <w:r>
        <w:rPr>
          <w:b/>
          <w:szCs w:val="21"/>
        </w:rPr>
        <w:t xml:space="preserve">2  </w:t>
      </w:r>
      <w:r>
        <w:rPr>
          <w:szCs w:val="21"/>
        </w:rPr>
        <w:t>在混凝土结构中预埋埋件，采用预埋件与钢管焊接固定</w:t>
      </w:r>
      <w:r>
        <w:rPr>
          <w:rFonts w:hint="eastAsia"/>
          <w:szCs w:val="21"/>
        </w:rPr>
        <w:t>；</w:t>
      </w:r>
      <w:r>
        <w:rPr>
          <w:szCs w:val="21"/>
        </w:rPr>
        <w:t>采用钢套筒承插固定时，钢套筒高度不</w:t>
      </w:r>
      <w:r>
        <w:rPr>
          <w:rFonts w:hint="eastAsia"/>
          <w:szCs w:val="21"/>
        </w:rPr>
        <w:t>应</w:t>
      </w:r>
      <w:r>
        <w:rPr>
          <w:szCs w:val="21"/>
        </w:rPr>
        <w:t>小于150mm，</w:t>
      </w:r>
      <w:r>
        <w:rPr>
          <w:rFonts w:hint="eastAsia"/>
          <w:szCs w:val="21"/>
        </w:rPr>
        <w:t>可使用</w:t>
      </w:r>
      <w:r>
        <w:rPr>
          <w:szCs w:val="21"/>
        </w:rPr>
        <w:t>不小于M8紧定螺钉固定</w:t>
      </w:r>
      <w:r>
        <w:rPr>
          <w:rFonts w:hint="eastAsia"/>
          <w:szCs w:val="21"/>
        </w:rPr>
        <w:t>；</w:t>
      </w:r>
      <w:r>
        <w:rPr>
          <w:szCs w:val="21"/>
        </w:rPr>
        <w:t>焊接固定示意图见图</w:t>
      </w:r>
      <w:r>
        <w:rPr>
          <w:rFonts w:hint="eastAsia"/>
          <w:szCs w:val="21"/>
        </w:rPr>
        <w:t>5</w:t>
      </w:r>
      <w:r>
        <w:rPr>
          <w:szCs w:val="21"/>
        </w:rPr>
        <w:t>.3.1-2</w:t>
      </w:r>
      <w:r>
        <w:rPr>
          <w:rFonts w:hint="eastAsia"/>
          <w:szCs w:val="21"/>
        </w:rPr>
        <w:t>，</w:t>
      </w:r>
      <w:r>
        <w:rPr>
          <w:szCs w:val="21"/>
        </w:rPr>
        <w:t>套筒承插固定示意图</w:t>
      </w:r>
      <w:r>
        <w:rPr>
          <w:rFonts w:hint="eastAsia"/>
          <w:szCs w:val="21"/>
        </w:rPr>
        <w:t>见图5</w:t>
      </w:r>
      <w:r>
        <w:rPr>
          <w:szCs w:val="21"/>
        </w:rPr>
        <w:t>.3.1-3</w:t>
      </w:r>
      <w:r>
        <w:rPr>
          <w:rFonts w:hint="eastAsia"/>
          <w:szCs w:val="21"/>
        </w:rPr>
        <w:t>；</w:t>
      </w:r>
    </w:p>
    <w:p>
      <w:pPr>
        <w:adjustRightInd w:val="0"/>
        <w:snapToGrid w:val="0"/>
        <w:spacing w:line="360" w:lineRule="auto"/>
        <w:jc w:val="center"/>
        <w:rPr>
          <w:szCs w:val="21"/>
        </w:rPr>
      </w:pPr>
      <w:r>
        <w:rPr>
          <w:szCs w:val="21"/>
        </w:rPr>
        <w:drawing>
          <wp:inline distT="0" distB="0" distL="114300" distR="114300">
            <wp:extent cx="2924810" cy="2054225"/>
            <wp:effectExtent l="0" t="0" r="8890" b="3175"/>
            <wp:docPr id="19" name="图片 1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3"/>
                    <pic:cNvPicPr>
                      <a:picLocks noChangeAspect="1"/>
                    </pic:cNvPicPr>
                  </pic:nvPicPr>
                  <pic:blipFill>
                    <a:blip r:embed="rId25"/>
                    <a:srcRect l="4582" t="32262" r="6886" b="23831"/>
                    <a:stretch>
                      <a:fillRect/>
                    </a:stretch>
                  </pic:blipFill>
                  <pic:spPr>
                    <a:xfrm>
                      <a:off x="0" y="0"/>
                      <a:ext cx="2924810" cy="2054225"/>
                    </a:xfrm>
                    <a:prstGeom prst="rect">
                      <a:avLst/>
                    </a:prstGeom>
                    <a:noFill/>
                    <a:ln>
                      <a:noFill/>
                    </a:ln>
                  </pic:spPr>
                </pic:pic>
              </a:graphicData>
            </a:graphic>
          </wp:inline>
        </w:drawing>
      </w:r>
    </w:p>
    <w:p>
      <w:pPr>
        <w:adjustRightInd w:val="0"/>
        <w:snapToGrid w:val="0"/>
        <w:spacing w:line="360" w:lineRule="auto"/>
        <w:ind w:firstLine="180" w:firstLineChars="100"/>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5.3.1-2 </w:t>
      </w:r>
      <w:r>
        <w:rPr>
          <w:rFonts w:hint="eastAsia" w:ascii="黑体" w:hAnsi="黑体" w:eastAsia="黑体"/>
          <w:sz w:val="18"/>
          <w:szCs w:val="18"/>
        </w:rPr>
        <w:t>焊接固定示意图</w:t>
      </w:r>
    </w:p>
    <w:p>
      <w:pPr>
        <w:adjustRightInd w:val="0"/>
        <w:snapToGrid w:val="0"/>
        <w:spacing w:line="360" w:lineRule="auto"/>
        <w:ind w:firstLine="180" w:firstLineChars="100"/>
        <w:jc w:val="center"/>
        <w:rPr>
          <w:rFonts w:ascii="黑体" w:hAnsi="黑体" w:eastAsia="黑体"/>
          <w:sz w:val="18"/>
          <w:szCs w:val="18"/>
        </w:rPr>
      </w:pPr>
      <w:r>
        <w:rPr>
          <w:rFonts w:ascii="黑体" w:hAnsi="黑体" w:eastAsia="黑体"/>
          <w:sz w:val="18"/>
          <w:szCs w:val="18"/>
        </w:rPr>
        <w:t>1-</w:t>
      </w:r>
      <w:r>
        <w:rPr>
          <w:rFonts w:hint="eastAsia" w:ascii="黑体" w:hAnsi="黑体" w:eastAsia="黑体"/>
          <w:sz w:val="18"/>
          <w:szCs w:val="18"/>
        </w:rPr>
        <w:t>钢管；</w:t>
      </w:r>
      <w:r>
        <w:rPr>
          <w:rFonts w:ascii="黑体" w:hAnsi="黑体" w:eastAsia="黑体"/>
          <w:sz w:val="18"/>
          <w:szCs w:val="18"/>
        </w:rPr>
        <w:t>2-</w:t>
      </w:r>
      <w:r>
        <w:rPr>
          <w:rFonts w:hint="eastAsia" w:ascii="黑体" w:hAnsi="黑体" w:eastAsia="黑体"/>
          <w:sz w:val="18"/>
          <w:szCs w:val="18"/>
        </w:rPr>
        <w:t>预埋件；</w:t>
      </w:r>
      <w:r>
        <w:rPr>
          <w:rFonts w:ascii="黑体" w:hAnsi="黑体" w:eastAsia="黑体"/>
          <w:sz w:val="18"/>
          <w:szCs w:val="18"/>
        </w:rPr>
        <w:t>3-</w:t>
      </w:r>
      <w:r>
        <w:rPr>
          <w:rFonts w:hint="eastAsia" w:ascii="黑体" w:hAnsi="黑体" w:eastAsia="黑体"/>
          <w:sz w:val="18"/>
          <w:szCs w:val="18"/>
        </w:rPr>
        <w:t>混凝土结构</w:t>
      </w:r>
    </w:p>
    <w:p>
      <w:pPr>
        <w:adjustRightInd w:val="0"/>
        <w:snapToGrid w:val="0"/>
        <w:spacing w:line="360" w:lineRule="auto"/>
        <w:rPr>
          <w:szCs w:val="21"/>
        </w:rPr>
      </w:pPr>
    </w:p>
    <w:p>
      <w:pPr>
        <w:adjustRightInd w:val="0"/>
        <w:snapToGrid w:val="0"/>
        <w:spacing w:line="360" w:lineRule="auto"/>
        <w:jc w:val="center"/>
        <w:rPr>
          <w:szCs w:val="21"/>
        </w:rPr>
      </w:pPr>
      <w:r>
        <w:rPr>
          <w:szCs w:val="21"/>
        </w:rPr>
        <w:drawing>
          <wp:inline distT="0" distB="0" distL="114300" distR="114300">
            <wp:extent cx="2483485" cy="2051685"/>
            <wp:effectExtent l="0" t="0" r="12065" b="5715"/>
            <wp:docPr id="20" name="图片 2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5"/>
                    <pic:cNvPicPr>
                      <a:picLocks noChangeAspect="1"/>
                    </pic:cNvPicPr>
                  </pic:nvPicPr>
                  <pic:blipFill>
                    <a:blip r:embed="rId26"/>
                    <a:srcRect l="3162" t="29977" r="11491" b="20189"/>
                    <a:stretch>
                      <a:fillRect/>
                    </a:stretch>
                  </pic:blipFill>
                  <pic:spPr>
                    <a:xfrm>
                      <a:off x="0" y="0"/>
                      <a:ext cx="2483485" cy="2051685"/>
                    </a:xfrm>
                    <a:prstGeom prst="rect">
                      <a:avLst/>
                    </a:prstGeom>
                    <a:noFill/>
                    <a:ln>
                      <a:noFill/>
                    </a:ln>
                  </pic:spPr>
                </pic:pic>
              </a:graphicData>
            </a:graphic>
          </wp:inline>
        </w:drawing>
      </w:r>
    </w:p>
    <w:p>
      <w:pPr>
        <w:adjustRightInd w:val="0"/>
        <w:snapToGrid w:val="0"/>
        <w:spacing w:line="360" w:lineRule="auto"/>
        <w:ind w:firstLine="180" w:firstLineChars="100"/>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5.3.1-3 </w:t>
      </w:r>
      <w:r>
        <w:rPr>
          <w:rFonts w:hint="eastAsia" w:ascii="黑体" w:hAnsi="黑体" w:eastAsia="黑体"/>
          <w:sz w:val="18"/>
          <w:szCs w:val="18"/>
        </w:rPr>
        <w:t>套筒承插固定示意图</w:t>
      </w:r>
    </w:p>
    <w:p>
      <w:pPr>
        <w:adjustRightInd w:val="0"/>
        <w:snapToGrid w:val="0"/>
        <w:spacing w:line="360" w:lineRule="auto"/>
        <w:ind w:firstLine="180" w:firstLineChars="100"/>
        <w:jc w:val="center"/>
        <w:rPr>
          <w:rFonts w:ascii="黑体" w:hAnsi="黑体" w:eastAsia="黑体"/>
          <w:sz w:val="18"/>
          <w:szCs w:val="18"/>
        </w:rPr>
      </w:pPr>
      <w:r>
        <w:rPr>
          <w:rFonts w:ascii="黑体" w:hAnsi="黑体" w:eastAsia="黑体"/>
          <w:sz w:val="18"/>
          <w:szCs w:val="18"/>
        </w:rPr>
        <w:t>1-Ф48.3mm×3.6mm</w:t>
      </w:r>
      <w:r>
        <w:rPr>
          <w:rFonts w:hint="eastAsia" w:ascii="黑体" w:hAnsi="黑体" w:eastAsia="黑体"/>
          <w:sz w:val="18"/>
          <w:szCs w:val="18"/>
        </w:rPr>
        <w:t>钢管；</w:t>
      </w:r>
      <w:r>
        <w:rPr>
          <w:rFonts w:ascii="黑体" w:hAnsi="黑体" w:eastAsia="黑体"/>
          <w:sz w:val="18"/>
          <w:szCs w:val="18"/>
        </w:rPr>
        <w:t>2-Ф57mm×3.6mm</w:t>
      </w:r>
      <w:r>
        <w:rPr>
          <w:rFonts w:hint="eastAsia" w:ascii="黑体" w:hAnsi="黑体" w:eastAsia="黑体"/>
          <w:sz w:val="18"/>
          <w:szCs w:val="18"/>
        </w:rPr>
        <w:t>钢套筒；</w:t>
      </w:r>
      <w:r>
        <w:rPr>
          <w:rFonts w:ascii="黑体" w:hAnsi="黑体" w:eastAsia="黑体"/>
          <w:sz w:val="18"/>
          <w:szCs w:val="18"/>
        </w:rPr>
        <w:t>3-</w:t>
      </w:r>
      <w:r>
        <w:rPr>
          <w:rFonts w:hint="eastAsia" w:ascii="黑体" w:hAnsi="黑体" w:eastAsia="黑体"/>
          <w:sz w:val="18"/>
          <w:szCs w:val="18"/>
        </w:rPr>
        <w:t>紧定螺钉；</w:t>
      </w:r>
    </w:p>
    <w:p>
      <w:pPr>
        <w:adjustRightInd w:val="0"/>
        <w:snapToGrid w:val="0"/>
        <w:spacing w:line="360" w:lineRule="auto"/>
        <w:ind w:firstLine="180" w:firstLineChars="100"/>
        <w:jc w:val="center"/>
        <w:rPr>
          <w:rFonts w:ascii="黑体" w:hAnsi="黑体" w:eastAsia="黑体"/>
          <w:sz w:val="18"/>
          <w:szCs w:val="18"/>
        </w:rPr>
      </w:pPr>
      <w:r>
        <w:rPr>
          <w:rFonts w:ascii="黑体" w:hAnsi="黑体" w:eastAsia="黑体"/>
          <w:sz w:val="18"/>
          <w:szCs w:val="18"/>
        </w:rPr>
        <w:t>4-</w:t>
      </w:r>
      <w:r>
        <w:rPr>
          <w:rFonts w:hint="eastAsia" w:ascii="黑体" w:hAnsi="黑体" w:eastAsia="黑体"/>
          <w:sz w:val="18"/>
          <w:szCs w:val="18"/>
        </w:rPr>
        <w:t>预埋件；</w:t>
      </w:r>
      <w:r>
        <w:rPr>
          <w:rFonts w:ascii="黑体" w:hAnsi="黑体" w:eastAsia="黑体"/>
          <w:sz w:val="18"/>
          <w:szCs w:val="18"/>
        </w:rPr>
        <w:t>5-</w:t>
      </w:r>
      <w:r>
        <w:rPr>
          <w:rFonts w:hint="eastAsia" w:ascii="黑体" w:hAnsi="黑体" w:eastAsia="黑体"/>
          <w:sz w:val="18"/>
          <w:szCs w:val="18"/>
        </w:rPr>
        <w:t>混凝土结构</w:t>
      </w:r>
    </w:p>
    <w:p>
      <w:pPr>
        <w:adjustRightInd w:val="0"/>
        <w:snapToGrid w:val="0"/>
        <w:spacing w:line="360" w:lineRule="auto"/>
        <w:ind w:firstLine="316" w:firstLineChars="150"/>
        <w:rPr>
          <w:szCs w:val="21"/>
        </w:rPr>
      </w:pPr>
      <w:r>
        <w:rPr>
          <w:b/>
          <w:szCs w:val="21"/>
        </w:rPr>
        <w:t>3</w:t>
      </w:r>
      <w:r>
        <w:rPr>
          <w:rFonts w:hint="eastAsia"/>
          <w:b/>
          <w:szCs w:val="21"/>
        </w:rPr>
        <w:t xml:space="preserve"> </w:t>
      </w:r>
      <w:r>
        <w:rPr>
          <w:b/>
          <w:szCs w:val="21"/>
        </w:rPr>
        <w:t xml:space="preserve"> </w:t>
      </w:r>
      <w:r>
        <w:rPr>
          <w:szCs w:val="21"/>
        </w:rPr>
        <w:t>当基底为土质时，可采用插入式和预埋混凝土砌块进行固定</w:t>
      </w:r>
      <w:r>
        <w:rPr>
          <w:rFonts w:hint="eastAsia"/>
          <w:szCs w:val="21"/>
        </w:rPr>
        <w:t>；</w:t>
      </w:r>
      <w:r>
        <w:rPr>
          <w:szCs w:val="21"/>
        </w:rPr>
        <w:t>钢管插入地面固定示意图见图</w:t>
      </w:r>
      <w:r>
        <w:rPr>
          <w:rFonts w:hint="eastAsia"/>
          <w:szCs w:val="21"/>
        </w:rPr>
        <w:t>5</w:t>
      </w:r>
      <w:r>
        <w:rPr>
          <w:szCs w:val="21"/>
        </w:rPr>
        <w:t>.3.1-4</w:t>
      </w:r>
      <w:r>
        <w:rPr>
          <w:rFonts w:hint="eastAsia"/>
          <w:szCs w:val="21"/>
        </w:rPr>
        <w:t>，</w:t>
      </w:r>
      <w:r>
        <w:rPr>
          <w:szCs w:val="21"/>
        </w:rPr>
        <w:t>预埋混凝土砌块固定示意图</w:t>
      </w:r>
      <w:r>
        <w:rPr>
          <w:rFonts w:hint="eastAsia"/>
          <w:szCs w:val="21"/>
        </w:rPr>
        <w:t>见图5</w:t>
      </w:r>
      <w:r>
        <w:rPr>
          <w:szCs w:val="21"/>
        </w:rPr>
        <w:t>.3.1-5</w:t>
      </w:r>
      <w:r>
        <w:rPr>
          <w:rFonts w:hint="eastAsia"/>
          <w:szCs w:val="21"/>
        </w:rPr>
        <w:t>；</w:t>
      </w:r>
    </w:p>
    <w:p>
      <w:pPr>
        <w:adjustRightInd w:val="0"/>
        <w:snapToGrid w:val="0"/>
        <w:spacing w:line="360" w:lineRule="auto"/>
        <w:jc w:val="center"/>
        <w:rPr>
          <w:szCs w:val="21"/>
        </w:rPr>
      </w:pPr>
      <w:r>
        <w:rPr>
          <w:szCs w:val="21"/>
        </w:rPr>
        <w:drawing>
          <wp:inline distT="0" distB="0" distL="114300" distR="114300">
            <wp:extent cx="2846705" cy="2670810"/>
            <wp:effectExtent l="0" t="0" r="10795"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2846705" cy="2670810"/>
                    </a:xfrm>
                    <a:prstGeom prst="rect">
                      <a:avLst/>
                    </a:prstGeom>
                    <a:noFill/>
                    <a:ln>
                      <a:noFill/>
                    </a:ln>
                  </pic:spPr>
                </pic:pic>
              </a:graphicData>
            </a:graphic>
          </wp:inline>
        </w:drawing>
      </w:r>
    </w:p>
    <w:p>
      <w:pPr>
        <w:adjustRightInd w:val="0"/>
        <w:snapToGrid w:val="0"/>
        <w:spacing w:line="360" w:lineRule="auto"/>
        <w:ind w:firstLine="180" w:firstLineChars="100"/>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5.3.1-4 </w:t>
      </w:r>
      <w:r>
        <w:rPr>
          <w:rFonts w:hint="eastAsia" w:ascii="黑体" w:hAnsi="黑体" w:eastAsia="黑体"/>
          <w:sz w:val="18"/>
          <w:szCs w:val="18"/>
        </w:rPr>
        <w:t>钢管插入地面固定示意图</w:t>
      </w:r>
    </w:p>
    <w:p>
      <w:pPr>
        <w:adjustRightInd w:val="0"/>
        <w:snapToGrid w:val="0"/>
        <w:spacing w:line="360" w:lineRule="auto"/>
        <w:jc w:val="center"/>
        <w:rPr>
          <w:szCs w:val="21"/>
        </w:rPr>
      </w:pPr>
      <w:r>
        <w:rPr>
          <w:szCs w:val="21"/>
        </w:rPr>
        <w:drawing>
          <wp:inline distT="0" distB="0" distL="114300" distR="114300">
            <wp:extent cx="3888105" cy="1963420"/>
            <wp:effectExtent l="0" t="0" r="17145"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3888105" cy="1963420"/>
                    </a:xfrm>
                    <a:prstGeom prst="rect">
                      <a:avLst/>
                    </a:prstGeom>
                    <a:noFill/>
                    <a:ln>
                      <a:noFill/>
                    </a:ln>
                  </pic:spPr>
                </pic:pic>
              </a:graphicData>
            </a:graphic>
          </wp:inline>
        </w:drawing>
      </w:r>
    </w:p>
    <w:p>
      <w:pPr>
        <w:adjustRightInd w:val="0"/>
        <w:snapToGrid w:val="0"/>
        <w:spacing w:line="360" w:lineRule="auto"/>
        <w:ind w:firstLine="180" w:firstLineChars="100"/>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5.3.1-5 </w:t>
      </w:r>
      <w:r>
        <w:rPr>
          <w:rFonts w:hint="eastAsia" w:ascii="黑体" w:hAnsi="黑体" w:eastAsia="黑体"/>
          <w:sz w:val="18"/>
          <w:szCs w:val="18"/>
        </w:rPr>
        <w:t>预埋混凝土砌块固定示意图</w:t>
      </w:r>
    </w:p>
    <w:p>
      <w:pPr>
        <w:adjustRightInd w:val="0"/>
        <w:snapToGrid w:val="0"/>
        <w:spacing w:line="360" w:lineRule="auto"/>
        <w:ind w:firstLine="210" w:firstLineChars="100"/>
        <w:jc w:val="center"/>
        <w:rPr>
          <w:szCs w:val="21"/>
        </w:rPr>
      </w:pPr>
    </w:p>
    <w:p>
      <w:pPr>
        <w:adjustRightInd w:val="0"/>
        <w:snapToGrid w:val="0"/>
        <w:spacing w:line="360" w:lineRule="auto"/>
        <w:ind w:firstLine="211" w:firstLineChars="100"/>
        <w:jc w:val="center"/>
        <w:outlineLvl w:val="1"/>
        <w:rPr>
          <w:b/>
          <w:szCs w:val="21"/>
        </w:rPr>
      </w:pPr>
      <w:bookmarkStart w:id="95" w:name="_Toc19475"/>
      <w:r>
        <w:rPr>
          <w:b/>
          <w:szCs w:val="21"/>
        </w:rPr>
        <w:t>5.4  其他</w:t>
      </w:r>
      <w:bookmarkEnd w:id="95"/>
    </w:p>
    <w:p>
      <w:pPr>
        <w:adjustRightInd w:val="0"/>
        <w:snapToGrid w:val="0"/>
        <w:spacing w:line="360" w:lineRule="auto"/>
        <w:rPr>
          <w:szCs w:val="21"/>
        </w:rPr>
      </w:pPr>
      <w:r>
        <w:rPr>
          <w:rFonts w:hint="eastAsia"/>
          <w:b/>
          <w:bCs/>
          <w:szCs w:val="21"/>
        </w:rPr>
        <w:t>5.4.1</w:t>
      </w:r>
      <w:r>
        <w:rPr>
          <w:rFonts w:hint="eastAsia"/>
          <w:b/>
          <w:szCs w:val="21"/>
        </w:rPr>
        <w:t xml:space="preserve"> </w:t>
      </w:r>
      <w:r>
        <w:rPr>
          <w:b/>
          <w:szCs w:val="21"/>
        </w:rPr>
        <w:t xml:space="preserve"> </w:t>
      </w:r>
      <w:r>
        <w:rPr>
          <w:rFonts w:hint="eastAsia"/>
          <w:szCs w:val="21"/>
        </w:rPr>
        <w:t>无脚手架围护的作业面临边区域、高低跨区域、后甩区域等部位，应采用从下层支模架或基础面起撑支设立杆的方式搭设临边防护，安全网距离钢筋面应小于100 mm，防护设施的构造应符合本标准第5.1节的规定。</w:t>
      </w:r>
    </w:p>
    <w:p>
      <w:pPr>
        <w:adjustRightInd w:val="0"/>
        <w:snapToGrid w:val="0"/>
        <w:spacing w:line="360" w:lineRule="auto"/>
        <w:rPr>
          <w:szCs w:val="21"/>
        </w:rPr>
      </w:pPr>
      <w:r>
        <w:rPr>
          <w:rFonts w:hint="eastAsia"/>
          <w:b/>
          <w:bCs/>
          <w:szCs w:val="21"/>
        </w:rPr>
        <w:t>5.4.2</w:t>
      </w:r>
      <w:r>
        <w:rPr>
          <w:rFonts w:hint="eastAsia"/>
          <w:b/>
          <w:szCs w:val="21"/>
        </w:rPr>
        <w:t xml:space="preserve"> </w:t>
      </w:r>
      <w:r>
        <w:rPr>
          <w:b/>
          <w:szCs w:val="21"/>
        </w:rPr>
        <w:t xml:space="preserve"> </w:t>
      </w:r>
      <w:r>
        <w:rPr>
          <w:rFonts w:hint="eastAsia"/>
          <w:szCs w:val="21"/>
        </w:rPr>
        <w:t>暗挖工程竖井应设防水挡墙和防护栏杆，防水挡墙上防护栏杆距防护面高度不得低于1200 mm，防护设施的构造和固定应符合本标准第5.1节、第5.3节的规定。竖井楼梯护栏外侧应设置全封闭防护网。</w:t>
      </w:r>
    </w:p>
    <w:p>
      <w:pPr>
        <w:adjustRightInd w:val="0"/>
        <w:snapToGrid w:val="0"/>
        <w:spacing w:line="360" w:lineRule="auto"/>
        <w:rPr>
          <w:szCs w:val="21"/>
        </w:rPr>
      </w:pPr>
      <w:r>
        <w:rPr>
          <w:rFonts w:hint="eastAsia"/>
          <w:b/>
          <w:bCs/>
          <w:szCs w:val="21"/>
        </w:rPr>
        <w:t>5.4.3</w:t>
      </w:r>
      <w:r>
        <w:rPr>
          <w:rFonts w:hint="eastAsia"/>
          <w:b/>
          <w:szCs w:val="21"/>
        </w:rPr>
        <w:t xml:space="preserve"> </w:t>
      </w:r>
      <w:r>
        <w:rPr>
          <w:b/>
          <w:szCs w:val="21"/>
        </w:rPr>
        <w:t xml:space="preserve"> </w:t>
      </w:r>
      <w:r>
        <w:rPr>
          <w:rFonts w:hint="eastAsia"/>
          <w:szCs w:val="21"/>
        </w:rPr>
        <w:t>暗挖工程竖井卸渣口应设置挡堰、防护栏杆、防倾覆钢索等防护措施，挡堰应采用工字钢，且高度不应低于300mm，防护栏上横杆距防护面高度不应低于1200 mm，防倾覆钢索</w:t>
      </w:r>
      <w:r>
        <w:rPr>
          <w:szCs w:val="21"/>
        </w:rPr>
        <w:t>直径</w:t>
      </w:r>
      <w:r>
        <w:rPr>
          <w:rFonts w:hint="eastAsia"/>
          <w:szCs w:val="21"/>
        </w:rPr>
        <w:t>不应小于</w:t>
      </w:r>
      <w:r>
        <w:rPr>
          <w:rFonts w:hint="eastAsia" w:ascii="SJQY" w:hAnsi="SJQY" w:eastAsia="SJQY" w:cs="SJQY"/>
          <w:szCs w:val="21"/>
        </w:rPr>
        <w:t>A</w:t>
      </w:r>
      <w:r>
        <w:rPr>
          <w:szCs w:val="21"/>
        </w:rPr>
        <w:t>12</w:t>
      </w:r>
      <w:r>
        <w:rPr>
          <w:rFonts w:hint="eastAsia"/>
          <w:szCs w:val="21"/>
        </w:rPr>
        <w:t>。防护设施的构造应符合本标准第5.1节的规定。</w:t>
      </w:r>
    </w:p>
    <w:p>
      <w:pPr>
        <w:adjustRightInd w:val="0"/>
        <w:snapToGrid w:val="0"/>
        <w:spacing w:line="360" w:lineRule="auto"/>
        <w:rPr>
          <w:szCs w:val="21"/>
        </w:rPr>
      </w:pPr>
      <w:r>
        <w:rPr>
          <w:rFonts w:hint="eastAsia"/>
          <w:b/>
          <w:bCs/>
          <w:szCs w:val="21"/>
        </w:rPr>
        <w:t>5.4.4</w:t>
      </w:r>
      <w:r>
        <w:rPr>
          <w:rFonts w:hint="eastAsia"/>
          <w:b/>
          <w:szCs w:val="21"/>
        </w:rPr>
        <w:t xml:space="preserve"> </w:t>
      </w:r>
      <w:r>
        <w:rPr>
          <w:b/>
          <w:szCs w:val="21"/>
        </w:rPr>
        <w:t xml:space="preserve"> </w:t>
      </w:r>
      <w:r>
        <w:rPr>
          <w:rFonts w:hint="eastAsia"/>
          <w:szCs w:val="21"/>
        </w:rPr>
        <w:t>拆除原有建筑内的栏杆、楼梯等构件时，应与建筑结构整体拆除进度同步，不得先行拆除。</w:t>
      </w:r>
    </w:p>
    <w:p>
      <w:pPr>
        <w:adjustRightInd w:val="0"/>
        <w:snapToGrid w:val="0"/>
        <w:spacing w:line="360" w:lineRule="auto"/>
        <w:rPr>
          <w:szCs w:val="21"/>
        </w:rPr>
      </w:pPr>
      <w:r>
        <w:rPr>
          <w:rFonts w:hint="eastAsia"/>
          <w:b/>
          <w:bCs/>
          <w:szCs w:val="21"/>
        </w:rPr>
        <w:t>5.4.5</w:t>
      </w:r>
      <w:r>
        <w:rPr>
          <w:rFonts w:hint="eastAsia"/>
          <w:b/>
          <w:szCs w:val="21"/>
        </w:rPr>
        <w:t xml:space="preserve"> </w:t>
      </w:r>
      <w:r>
        <w:rPr>
          <w:b/>
          <w:szCs w:val="21"/>
        </w:rPr>
        <w:t xml:space="preserve"> </w:t>
      </w:r>
      <w:r>
        <w:rPr>
          <w:rFonts w:hint="eastAsia"/>
          <w:szCs w:val="21"/>
        </w:rPr>
        <w:t>老旧小区改造工程，楼层临边作业区域、楼梯口、梯段边及阳台(阳台外墙)拆除后，应设置防护设施，防护设施的构造应符合本标准第5.1节的规定。</w:t>
      </w:r>
    </w:p>
    <w:bookmarkEnd w:id="88"/>
    <w:bookmarkEnd w:id="89"/>
    <w:bookmarkEnd w:id="90"/>
    <w:p>
      <w:pPr>
        <w:jc w:val="left"/>
        <w:rPr>
          <w:rFonts w:ascii="宋体" w:hAnsi="宋体" w:cs="宋体"/>
          <w:b/>
          <w:bCs/>
          <w:sz w:val="28"/>
          <w:szCs w:val="28"/>
        </w:rPr>
      </w:pPr>
      <w:bookmarkStart w:id="96" w:name="_Toc31144"/>
      <w:r>
        <w:rPr>
          <w:rFonts w:ascii="宋体" w:hAnsi="宋体" w:cs="宋体"/>
          <w:b/>
          <w:bCs/>
          <w:sz w:val="28"/>
          <w:szCs w:val="28"/>
        </w:rPr>
        <w:br w:type="page"/>
      </w:r>
    </w:p>
    <w:p>
      <w:pPr>
        <w:spacing w:line="360" w:lineRule="auto"/>
        <w:jc w:val="center"/>
        <w:outlineLvl w:val="0"/>
        <w:rPr>
          <w:rFonts w:eastAsia="黑体"/>
          <w:sz w:val="28"/>
          <w:szCs w:val="28"/>
        </w:rPr>
      </w:pPr>
      <w:bookmarkStart w:id="97" w:name="_Toc5005"/>
      <w:bookmarkStart w:id="98" w:name="_Toc20918"/>
      <w:bookmarkStart w:id="99" w:name="_Toc28864"/>
      <w:r>
        <w:rPr>
          <w:b/>
          <w:bCs/>
          <w:sz w:val="28"/>
          <w:szCs w:val="28"/>
        </w:rPr>
        <w:t>6  洞口安全防护</w:t>
      </w:r>
      <w:bookmarkEnd w:id="97"/>
    </w:p>
    <w:p>
      <w:pPr>
        <w:spacing w:line="360" w:lineRule="auto"/>
        <w:jc w:val="center"/>
        <w:outlineLvl w:val="1"/>
        <w:rPr>
          <w:b/>
          <w:bCs/>
          <w:szCs w:val="21"/>
        </w:rPr>
      </w:pPr>
      <w:bookmarkStart w:id="100" w:name="_Toc22040"/>
      <w:bookmarkStart w:id="101" w:name="_Toc29729"/>
      <w:r>
        <w:rPr>
          <w:b/>
          <w:bCs/>
          <w:szCs w:val="21"/>
        </w:rPr>
        <w:t>6.1  一般规定</w:t>
      </w:r>
      <w:bookmarkEnd w:id="100"/>
      <w:bookmarkEnd w:id="101"/>
    </w:p>
    <w:p>
      <w:pPr>
        <w:spacing w:line="360" w:lineRule="auto"/>
        <w:rPr>
          <w:sz w:val="20"/>
        </w:rPr>
      </w:pPr>
      <w:r>
        <w:rPr>
          <w:rFonts w:hint="eastAsia"/>
          <w:b/>
          <w:bCs/>
        </w:rPr>
        <w:t xml:space="preserve">6.1.1 </w:t>
      </w:r>
      <w:r>
        <w:rPr>
          <w:b/>
          <w:bCs/>
        </w:rPr>
        <w:t xml:space="preserve"> </w:t>
      </w:r>
      <w:r>
        <w:rPr>
          <w:sz w:val="20"/>
        </w:rPr>
        <w:t>短边长度大于 25mm的施工现场洞口应设置防坠落的防护设施。</w:t>
      </w:r>
    </w:p>
    <w:p>
      <w:pPr>
        <w:spacing w:line="360" w:lineRule="auto"/>
        <w:rPr>
          <w:sz w:val="20"/>
        </w:rPr>
      </w:pPr>
      <w:r>
        <w:rPr>
          <w:rFonts w:hint="eastAsia"/>
          <w:b/>
          <w:bCs/>
        </w:rPr>
        <w:t>6.1.2</w:t>
      </w:r>
      <w:r>
        <w:rPr>
          <w:sz w:val="20"/>
        </w:rPr>
        <w:t xml:space="preserve">  洞口防护盖板应能承受不小于 1kN 的集中荷载和不小于2kN/m²的均布荷载。</w:t>
      </w:r>
    </w:p>
    <w:p>
      <w:pPr>
        <w:spacing w:line="360" w:lineRule="auto"/>
        <w:rPr>
          <w:sz w:val="20"/>
        </w:rPr>
      </w:pPr>
      <w:r>
        <w:rPr>
          <w:rFonts w:hint="eastAsia"/>
          <w:b/>
          <w:bCs/>
        </w:rPr>
        <w:t>6.1.3</w:t>
      </w:r>
      <w:r>
        <w:rPr>
          <w:sz w:val="20"/>
        </w:rPr>
        <w:t xml:space="preserve">  水平洞口的防护应符合下列规定：</w:t>
      </w:r>
    </w:p>
    <w:p>
      <w:pPr>
        <w:spacing w:line="360" w:lineRule="auto"/>
        <w:ind w:firstLine="316" w:firstLineChars="150"/>
        <w:rPr>
          <w:sz w:val="20"/>
        </w:rPr>
      </w:pPr>
      <w:r>
        <w:rPr>
          <w:rFonts w:hint="eastAsia"/>
          <w:b/>
          <w:bCs/>
        </w:rPr>
        <w:t>1</w:t>
      </w:r>
      <w:r>
        <w:rPr>
          <w:sz w:val="20"/>
        </w:rPr>
        <w:t xml:space="preserve">  短边长度大于 25mm且不大于 500mm 的洞口，采用盖板防护；</w:t>
      </w:r>
    </w:p>
    <w:p>
      <w:pPr>
        <w:spacing w:line="360" w:lineRule="auto"/>
        <w:ind w:firstLine="316" w:firstLineChars="150"/>
        <w:rPr>
          <w:sz w:val="20"/>
        </w:rPr>
      </w:pPr>
      <w:r>
        <w:rPr>
          <w:rFonts w:hint="eastAsia"/>
          <w:b/>
          <w:bCs/>
        </w:rPr>
        <w:t xml:space="preserve">2 </w:t>
      </w:r>
      <w:r>
        <w:rPr>
          <w:b/>
          <w:bCs/>
        </w:rPr>
        <w:t xml:space="preserve"> </w:t>
      </w:r>
      <w:r>
        <w:rPr>
          <w:sz w:val="20"/>
        </w:rPr>
        <w:t>短边长度大于 500mm且不大于1500mm 的洞口，采用预留钢筋网片加盖板防护，或采用扣件扣接钢管形成网格加盖板进行防护；</w:t>
      </w:r>
    </w:p>
    <w:p>
      <w:pPr>
        <w:spacing w:line="360" w:lineRule="auto"/>
        <w:ind w:firstLine="316" w:firstLineChars="150"/>
        <w:rPr>
          <w:sz w:val="20"/>
        </w:rPr>
      </w:pPr>
      <w:r>
        <w:rPr>
          <w:rFonts w:hint="eastAsia"/>
          <w:b/>
          <w:bCs/>
        </w:rPr>
        <w:t>3</w:t>
      </w:r>
      <w:r>
        <w:rPr>
          <w:sz w:val="20"/>
        </w:rPr>
        <w:t xml:space="preserve">  短边长度大于 1500mm 的洞口，应按本标准第 5 章的规定设置临边防护，洞口内应支挂水平安全网。</w:t>
      </w:r>
    </w:p>
    <w:p>
      <w:pPr>
        <w:spacing w:line="360" w:lineRule="auto"/>
        <w:rPr>
          <w:sz w:val="20"/>
        </w:rPr>
      </w:pPr>
      <w:r>
        <w:rPr>
          <w:rFonts w:hint="eastAsia"/>
          <w:b/>
          <w:bCs/>
        </w:rPr>
        <w:t xml:space="preserve">6.1.4 </w:t>
      </w:r>
      <w:r>
        <w:rPr>
          <w:b/>
          <w:bCs/>
        </w:rPr>
        <w:t xml:space="preserve"> </w:t>
      </w:r>
      <w:r>
        <w:rPr>
          <w:sz w:val="20"/>
        </w:rPr>
        <w:t>竖向洞口的防护应符合下列规定：</w:t>
      </w:r>
    </w:p>
    <w:p>
      <w:pPr>
        <w:spacing w:line="360" w:lineRule="auto"/>
        <w:ind w:firstLine="316" w:firstLineChars="150"/>
        <w:rPr>
          <w:sz w:val="20"/>
        </w:rPr>
      </w:pPr>
      <w:r>
        <w:rPr>
          <w:rFonts w:hint="eastAsia"/>
          <w:b/>
          <w:bCs/>
        </w:rPr>
        <w:t>1</w:t>
      </w:r>
      <w:r>
        <w:rPr>
          <w:sz w:val="20"/>
        </w:rPr>
        <w:t xml:space="preserve">  短边长度不大于 500mm 的，采取封堵措施，防护应牢固；</w:t>
      </w:r>
    </w:p>
    <w:p>
      <w:pPr>
        <w:spacing w:line="360" w:lineRule="auto"/>
        <w:ind w:firstLine="316" w:firstLineChars="150"/>
        <w:rPr>
          <w:sz w:val="20"/>
        </w:rPr>
      </w:pPr>
      <w:r>
        <w:rPr>
          <w:rFonts w:hint="eastAsia"/>
          <w:b/>
          <w:bCs/>
        </w:rPr>
        <w:t xml:space="preserve">2 </w:t>
      </w:r>
      <w:r>
        <w:rPr>
          <w:b/>
          <w:bCs/>
        </w:rPr>
        <w:t xml:space="preserve"> </w:t>
      </w:r>
      <w:r>
        <w:rPr>
          <w:sz w:val="20"/>
        </w:rPr>
        <w:t>短边长度大于 500mm 的，采用防护栏杆防护。</w:t>
      </w:r>
    </w:p>
    <w:p>
      <w:pPr>
        <w:spacing w:line="360" w:lineRule="auto"/>
        <w:rPr>
          <w:sz w:val="20"/>
        </w:rPr>
      </w:pPr>
      <w:r>
        <w:rPr>
          <w:rFonts w:hint="eastAsia"/>
          <w:b/>
          <w:bCs/>
        </w:rPr>
        <w:t>6.1.5</w:t>
      </w:r>
      <w:r>
        <w:rPr>
          <w:sz w:val="20"/>
        </w:rPr>
        <w:t xml:space="preserve">  盖板应完好无破损，表面刷红、白条纹安全色,并有防止挪动、位移的措施。</w:t>
      </w:r>
    </w:p>
    <w:p>
      <w:pPr>
        <w:spacing w:line="360" w:lineRule="auto"/>
        <w:rPr>
          <w:sz w:val="20"/>
        </w:rPr>
      </w:pPr>
      <w:r>
        <w:rPr>
          <w:rFonts w:hint="eastAsia"/>
          <w:b/>
          <w:bCs/>
        </w:rPr>
        <w:t>6.1.6</w:t>
      </w:r>
      <w:r>
        <w:rPr>
          <w:sz w:val="20"/>
        </w:rPr>
        <w:t xml:space="preserve">  施工现场通道附近有危险的洞口与坑槽等处，除设置防护设施与安全标志外，夜间还应设警示灯。</w:t>
      </w:r>
    </w:p>
    <w:p>
      <w:pPr>
        <w:spacing w:line="360" w:lineRule="auto"/>
        <w:jc w:val="center"/>
        <w:outlineLvl w:val="1"/>
        <w:rPr>
          <w:b/>
          <w:bCs/>
          <w:szCs w:val="21"/>
        </w:rPr>
      </w:pPr>
      <w:bookmarkStart w:id="102" w:name="_Toc2430"/>
      <w:bookmarkStart w:id="103" w:name="_Toc3112"/>
      <w:r>
        <w:rPr>
          <w:b/>
          <w:bCs/>
          <w:szCs w:val="21"/>
        </w:rPr>
        <w:t>6.2  防护设施</w:t>
      </w:r>
      <w:bookmarkEnd w:id="102"/>
      <w:bookmarkEnd w:id="103"/>
    </w:p>
    <w:p>
      <w:pPr>
        <w:spacing w:line="360" w:lineRule="auto"/>
        <w:rPr>
          <w:sz w:val="20"/>
        </w:rPr>
      </w:pPr>
      <w:r>
        <w:rPr>
          <w:b/>
          <w:bCs/>
        </w:rPr>
        <w:t>6.2.1</w:t>
      </w:r>
      <w:r>
        <w:rPr>
          <w:sz w:val="20"/>
        </w:rPr>
        <w:t xml:space="preserve">  洞口短边长度不大于500mm的防护盖板固定设置应符合下列规定：</w:t>
      </w:r>
    </w:p>
    <w:p>
      <w:pPr>
        <w:spacing w:line="360" w:lineRule="auto"/>
        <w:ind w:firstLine="316" w:firstLineChars="150"/>
        <w:rPr>
          <w:sz w:val="20"/>
        </w:rPr>
      </w:pPr>
      <w:r>
        <w:rPr>
          <w:rFonts w:hint="eastAsia"/>
          <w:b/>
          <w:bCs/>
        </w:rPr>
        <w:t>1</w:t>
      </w:r>
      <w:r>
        <w:rPr>
          <w:sz w:val="20"/>
        </w:rPr>
        <w:t xml:space="preserve">  盖板采用 15mm 厚木胶合板及 50mm×100mm 木方制盖板，每边大于洞口 100mm；</w:t>
      </w:r>
    </w:p>
    <w:p>
      <w:pPr>
        <w:spacing w:line="360" w:lineRule="auto"/>
        <w:ind w:firstLine="316" w:firstLineChars="150"/>
        <w:rPr>
          <w:sz w:val="20"/>
        </w:rPr>
      </w:pPr>
      <w:r>
        <w:rPr>
          <w:rFonts w:hint="eastAsia"/>
          <w:b/>
          <w:bCs/>
        </w:rPr>
        <w:t xml:space="preserve">2 </w:t>
      </w:r>
      <w:r>
        <w:rPr>
          <w:b/>
          <w:bCs/>
        </w:rPr>
        <w:t xml:space="preserve"> </w:t>
      </w:r>
      <w:r>
        <w:rPr>
          <w:sz w:val="20"/>
        </w:rPr>
        <w:t>盖板固定可采用盖板上打孔后穿 8 号铁丝，背面用刚性材料固定，洞口盖板防护做法剖面示意图 见图 6.2.1-1，用砂浆封边，防止挪移；当采用锯出等长木方卡固在洞口内时，应将硬质盖板用铁钉钉在木方上，钉距不大于 50mm ，洞口盖板防护做法剖面示意图见图 6.2.1-2。</w:t>
      </w:r>
    </w:p>
    <w:p>
      <w:pPr>
        <w:spacing w:line="360" w:lineRule="auto"/>
        <w:rPr>
          <w:rFonts w:ascii="宋体" w:hAnsi="宋体" w:cs="宋体"/>
          <w:sz w:val="20"/>
        </w:rPr>
      </w:pPr>
      <w:r>
        <w:rPr>
          <w:rFonts w:hint="eastAsia" w:ascii="宋体" w:hAnsi="宋体" w:cs="宋体"/>
          <w:sz w:val="20"/>
        </w:rPr>
        <w:drawing>
          <wp:inline distT="0" distB="0" distL="114300" distR="114300">
            <wp:extent cx="5010150" cy="765175"/>
            <wp:effectExtent l="0" t="0" r="0" b="1587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29"/>
                    <a:srcRect b="71713"/>
                    <a:stretch>
                      <a:fillRect/>
                    </a:stretch>
                  </pic:blipFill>
                  <pic:spPr>
                    <a:xfrm>
                      <a:off x="0" y="0"/>
                      <a:ext cx="5010150" cy="76517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 xml:space="preserve">6.2.1-1 </w:t>
      </w:r>
      <w:r>
        <w:rPr>
          <w:rFonts w:hint="eastAsia" w:ascii="黑体" w:hAnsi="黑体" w:eastAsia="黑体" w:cs="宋体"/>
          <w:sz w:val="18"/>
          <w:szCs w:val="18"/>
        </w:rPr>
        <w:t>洞口盖板防护做法剖面示意图</w:t>
      </w:r>
    </w:p>
    <w:p>
      <w:pPr>
        <w:spacing w:line="360" w:lineRule="auto"/>
        <w:jc w:val="center"/>
        <w:rPr>
          <w:rFonts w:ascii="黑体" w:hAnsi="黑体" w:eastAsia="黑体" w:cs="宋体"/>
          <w:sz w:val="18"/>
          <w:szCs w:val="18"/>
        </w:rPr>
      </w:pPr>
      <w:r>
        <w:rPr>
          <w:rFonts w:ascii="黑体" w:hAnsi="黑体" w:eastAsia="黑体" w:cs="宋体"/>
          <w:sz w:val="18"/>
          <w:szCs w:val="18"/>
        </w:rPr>
        <w:t>1-</w:t>
      </w:r>
      <w:r>
        <w:rPr>
          <w:rFonts w:hint="eastAsia" w:ascii="黑体" w:hAnsi="黑体" w:eastAsia="黑体" w:cs="宋体"/>
          <w:sz w:val="18"/>
          <w:szCs w:val="18"/>
        </w:rPr>
        <w:t>木胶合板；</w:t>
      </w:r>
      <w:r>
        <w:rPr>
          <w:rFonts w:ascii="黑体" w:hAnsi="黑体" w:eastAsia="黑体" w:cs="宋体"/>
          <w:sz w:val="18"/>
          <w:szCs w:val="18"/>
        </w:rPr>
        <w:t>2-</w:t>
      </w:r>
      <w:r>
        <w:rPr>
          <w:rFonts w:hint="eastAsia" w:ascii="黑体" w:hAnsi="黑体" w:eastAsia="黑体" w:cs="宋体"/>
          <w:sz w:val="18"/>
          <w:szCs w:val="18"/>
        </w:rPr>
        <w:t>铁丝；</w:t>
      </w:r>
      <w:r>
        <w:rPr>
          <w:rFonts w:ascii="黑体" w:hAnsi="黑体" w:eastAsia="黑体" w:cs="宋体"/>
          <w:sz w:val="18"/>
          <w:szCs w:val="18"/>
        </w:rPr>
        <w:t>3-</w:t>
      </w:r>
      <w:r>
        <w:rPr>
          <w:rFonts w:hint="eastAsia" w:ascii="黑体" w:hAnsi="黑体" w:eastAsia="黑体" w:cs="宋体"/>
          <w:sz w:val="18"/>
          <w:szCs w:val="18"/>
        </w:rPr>
        <w:t>刚性材料</w:t>
      </w:r>
    </w:p>
    <w:p>
      <w:pPr>
        <w:spacing w:line="360" w:lineRule="auto"/>
        <w:rPr>
          <w:rFonts w:ascii="宋体" w:hAnsi="宋体" w:cs="宋体"/>
          <w:sz w:val="20"/>
        </w:rPr>
      </w:pPr>
      <w:r>
        <w:rPr>
          <w:rFonts w:hint="eastAsia" w:ascii="宋体" w:hAnsi="宋体" w:cs="宋体"/>
          <w:sz w:val="20"/>
        </w:rPr>
        <w:drawing>
          <wp:inline distT="0" distB="0" distL="114300" distR="114300">
            <wp:extent cx="5010150" cy="795655"/>
            <wp:effectExtent l="0" t="0" r="0" b="444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29"/>
                    <a:srcRect t="46666" b="23920"/>
                    <a:stretch>
                      <a:fillRect/>
                    </a:stretch>
                  </pic:blipFill>
                  <pic:spPr>
                    <a:xfrm>
                      <a:off x="0" y="0"/>
                      <a:ext cx="5010150" cy="79565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 xml:space="preserve">6.2.1-2 </w:t>
      </w:r>
      <w:r>
        <w:rPr>
          <w:rFonts w:hint="eastAsia" w:ascii="黑体" w:hAnsi="黑体" w:eastAsia="黑体" w:cs="宋体"/>
          <w:sz w:val="18"/>
          <w:szCs w:val="18"/>
        </w:rPr>
        <w:t>洞口盖板防护做法剖面示意图（单位：</w:t>
      </w:r>
      <w:r>
        <w:rPr>
          <w:rFonts w:ascii="黑体" w:hAnsi="黑体" w:eastAsia="黑体" w:cs="宋体"/>
          <w:sz w:val="18"/>
          <w:szCs w:val="18"/>
        </w:rPr>
        <w:t>mm）</w:t>
      </w:r>
    </w:p>
    <w:p>
      <w:pPr>
        <w:spacing w:line="360" w:lineRule="auto"/>
        <w:jc w:val="center"/>
        <w:rPr>
          <w:rFonts w:ascii="宋体" w:hAnsi="宋体" w:cs="宋体"/>
          <w:sz w:val="20"/>
        </w:rPr>
      </w:pPr>
      <w:r>
        <w:rPr>
          <w:rFonts w:ascii="黑体" w:hAnsi="黑体" w:eastAsia="黑体" w:cs="宋体"/>
          <w:sz w:val="18"/>
          <w:szCs w:val="18"/>
        </w:rPr>
        <w:t>1-</w:t>
      </w:r>
      <w:r>
        <w:rPr>
          <w:rFonts w:hint="eastAsia" w:ascii="黑体" w:hAnsi="黑体" w:eastAsia="黑体" w:cs="宋体"/>
          <w:sz w:val="18"/>
          <w:szCs w:val="18"/>
        </w:rPr>
        <w:t>木胶合板；</w:t>
      </w:r>
      <w:r>
        <w:rPr>
          <w:rFonts w:ascii="黑体" w:hAnsi="黑体" w:eastAsia="黑体" w:cs="宋体"/>
          <w:sz w:val="18"/>
          <w:szCs w:val="18"/>
        </w:rPr>
        <w:t>2-</w:t>
      </w:r>
      <w:r>
        <w:rPr>
          <w:rFonts w:hint="eastAsia" w:ascii="黑体" w:hAnsi="黑体" w:eastAsia="黑体" w:cs="宋体"/>
          <w:sz w:val="18"/>
          <w:szCs w:val="18"/>
        </w:rPr>
        <w:t>钉子；</w:t>
      </w:r>
      <w:r>
        <w:rPr>
          <w:rFonts w:ascii="黑体" w:hAnsi="黑体" w:eastAsia="黑体" w:cs="宋体"/>
          <w:sz w:val="18"/>
          <w:szCs w:val="18"/>
        </w:rPr>
        <w:t>3-</w:t>
      </w:r>
      <w:r>
        <w:rPr>
          <w:rFonts w:hint="eastAsia" w:ascii="黑体" w:hAnsi="黑体" w:eastAsia="黑体" w:cs="宋体"/>
          <w:sz w:val="18"/>
          <w:szCs w:val="18"/>
        </w:rPr>
        <w:t>木方</w:t>
      </w:r>
    </w:p>
    <w:p>
      <w:pPr>
        <w:spacing w:line="360" w:lineRule="auto"/>
        <w:rPr>
          <w:sz w:val="20"/>
        </w:rPr>
      </w:pPr>
      <w:r>
        <w:rPr>
          <w:rFonts w:hint="eastAsia"/>
          <w:b/>
          <w:bCs/>
        </w:rPr>
        <w:t>6.2.2</w:t>
      </w:r>
      <w:r>
        <w:rPr>
          <w:sz w:val="20"/>
        </w:rPr>
        <w:t xml:space="preserve">  洞口处预留钢筋网片加盖板防护设置，有钢筋洞口防护剖面示意图见图6.2.2，并应符合下列规定：</w:t>
      </w:r>
    </w:p>
    <w:p>
      <w:pPr>
        <w:spacing w:line="360" w:lineRule="auto"/>
      </w:pPr>
      <w:bookmarkStart w:id="104" w:name="_Toc9393"/>
      <w:r>
        <w:rPr>
          <w:rFonts w:hint="eastAsia"/>
          <w:b/>
          <w:bCs/>
        </w:rPr>
        <w:t xml:space="preserve"> </w:t>
      </w:r>
      <w:r>
        <w:rPr>
          <w:b/>
          <w:bCs/>
        </w:rPr>
        <w:t xml:space="preserve">  </w:t>
      </w:r>
      <w:r>
        <w:rPr>
          <w:rFonts w:hint="eastAsia"/>
          <w:b/>
          <w:bCs/>
        </w:rPr>
        <w:t xml:space="preserve">1 </w:t>
      </w:r>
      <w:r>
        <w:rPr>
          <w:b/>
          <w:bCs/>
        </w:rPr>
        <w:t xml:space="preserve"> </w:t>
      </w:r>
      <w:r>
        <w:rPr>
          <w:rFonts w:hint="eastAsia"/>
        </w:rPr>
        <w:t>预留钢筋网片的网格间距不得大于 200mm；</w:t>
      </w:r>
      <w:bookmarkEnd w:id="104"/>
    </w:p>
    <w:p>
      <w:pPr>
        <w:spacing w:line="360" w:lineRule="auto"/>
      </w:pPr>
      <w:r>
        <w:rPr>
          <w:rFonts w:hint="eastAsia"/>
        </w:rPr>
        <w:t xml:space="preserve"> </w:t>
      </w:r>
      <w:r>
        <w:t xml:space="preserve">  </w:t>
      </w:r>
      <w:r>
        <w:rPr>
          <w:rFonts w:hint="eastAsia"/>
          <w:b/>
          <w:bCs/>
        </w:rPr>
        <w:t>2</w:t>
      </w:r>
      <w:r>
        <w:rPr>
          <w:rFonts w:hint="eastAsia"/>
        </w:rPr>
        <w:t xml:space="preserve"> </w:t>
      </w:r>
      <w:r>
        <w:t xml:space="preserve"> </w:t>
      </w:r>
      <w:r>
        <w:rPr>
          <w:rFonts w:hint="eastAsia"/>
        </w:rPr>
        <w:t>钢筋防护网上满铺木胶合板或脚手板，每边大于洞口100mm；</w:t>
      </w:r>
    </w:p>
    <w:p>
      <w:pPr>
        <w:spacing w:line="360" w:lineRule="auto"/>
      </w:pPr>
      <w:r>
        <w:rPr>
          <w:rFonts w:hint="eastAsia"/>
        </w:rPr>
        <w:t xml:space="preserve"> </w:t>
      </w:r>
      <w:r>
        <w:t xml:space="preserve">  </w:t>
      </w:r>
      <w:bookmarkStart w:id="105" w:name="_Toc5230"/>
      <w:r>
        <w:rPr>
          <w:rFonts w:hint="eastAsia"/>
          <w:b/>
          <w:bCs/>
        </w:rPr>
        <w:t>3</w:t>
      </w:r>
      <w:r>
        <w:rPr>
          <w:rFonts w:hint="eastAsia"/>
        </w:rPr>
        <w:t xml:space="preserve"> </w:t>
      </w:r>
      <w:r>
        <w:t xml:space="preserve"> </w:t>
      </w:r>
      <w:r>
        <w:rPr>
          <w:rFonts w:hint="eastAsia"/>
        </w:rPr>
        <w:t>盖板应用 8 号铁丝与钢筋网片绑扎，防止移动。</w:t>
      </w:r>
      <w:bookmarkEnd w:id="105"/>
    </w:p>
    <w:p>
      <w:pPr>
        <w:spacing w:line="360" w:lineRule="auto"/>
        <w:jc w:val="center"/>
        <w:rPr>
          <w:rFonts w:ascii="黑体" w:hAnsi="黑体" w:eastAsia="黑体" w:cs="宋体"/>
          <w:sz w:val="18"/>
          <w:szCs w:val="18"/>
        </w:rPr>
      </w:pPr>
      <w:r>
        <w:rPr>
          <w:rFonts w:hint="eastAsia" w:ascii="宋体" w:hAnsi="宋体" w:cs="宋体"/>
          <w:sz w:val="20"/>
        </w:rPr>
        <w:drawing>
          <wp:anchor distT="0" distB="0" distL="114300" distR="114300" simplePos="0" relativeHeight="251662336" behindDoc="0" locked="0" layoutInCell="1" allowOverlap="1">
            <wp:simplePos x="0" y="0"/>
            <wp:positionH relativeFrom="column">
              <wp:posOffset>412750</wp:posOffset>
            </wp:positionH>
            <wp:positionV relativeFrom="paragraph">
              <wp:posOffset>198120</wp:posOffset>
            </wp:positionV>
            <wp:extent cx="4343400" cy="2009775"/>
            <wp:effectExtent l="0" t="0" r="0" b="9525"/>
            <wp:wrapTopAndBottom/>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0"/>
                    <a:srcRect b="20378"/>
                    <a:stretch>
                      <a:fillRect/>
                    </a:stretch>
                  </pic:blipFill>
                  <pic:spPr>
                    <a:xfrm>
                      <a:off x="0" y="0"/>
                      <a:ext cx="4343400" cy="2009775"/>
                    </a:xfrm>
                    <a:prstGeom prst="rect">
                      <a:avLst/>
                    </a:prstGeom>
                    <a:noFill/>
                    <a:ln>
                      <a:noFill/>
                    </a:ln>
                  </pic:spPr>
                </pic:pic>
              </a:graphicData>
            </a:graphic>
          </wp:anchor>
        </w:drawing>
      </w:r>
      <w:r>
        <w:rPr>
          <w:rFonts w:hint="eastAsia" w:ascii="黑体" w:hAnsi="黑体" w:eastAsia="黑体" w:cs="宋体"/>
          <w:sz w:val="18"/>
          <w:szCs w:val="18"/>
        </w:rPr>
        <w:t>图</w:t>
      </w:r>
      <w:r>
        <w:rPr>
          <w:rFonts w:ascii="黑体" w:hAnsi="黑体" w:eastAsia="黑体" w:cs="宋体"/>
          <w:sz w:val="18"/>
          <w:szCs w:val="18"/>
        </w:rPr>
        <w:t xml:space="preserve">6.2.2 </w:t>
      </w:r>
      <w:r>
        <w:rPr>
          <w:rFonts w:hint="eastAsia" w:ascii="黑体" w:hAnsi="黑体" w:eastAsia="黑体" w:cs="宋体"/>
          <w:sz w:val="18"/>
          <w:szCs w:val="18"/>
        </w:rPr>
        <w:t>有钢筋洞口防护剖面示意图</w:t>
      </w:r>
    </w:p>
    <w:p>
      <w:pPr>
        <w:spacing w:line="360" w:lineRule="auto"/>
        <w:jc w:val="center"/>
        <w:rPr>
          <w:rFonts w:ascii="宋体" w:hAnsi="宋体" w:cs="宋体"/>
          <w:sz w:val="20"/>
        </w:rPr>
      </w:pPr>
      <w:r>
        <w:rPr>
          <w:rFonts w:ascii="黑体" w:hAnsi="黑体" w:eastAsia="黑体" w:cs="宋体"/>
          <w:sz w:val="18"/>
          <w:szCs w:val="18"/>
        </w:rPr>
        <w:t>1-</w:t>
      </w:r>
      <w:r>
        <w:rPr>
          <w:rFonts w:hint="eastAsia" w:ascii="黑体" w:hAnsi="黑体" w:eastAsia="黑体" w:cs="宋体"/>
          <w:sz w:val="18"/>
          <w:szCs w:val="18"/>
        </w:rPr>
        <w:t>木胶合板或脚手板；</w:t>
      </w:r>
      <w:r>
        <w:rPr>
          <w:rFonts w:ascii="黑体" w:hAnsi="黑体" w:eastAsia="黑体" w:cs="宋体"/>
          <w:sz w:val="18"/>
          <w:szCs w:val="18"/>
        </w:rPr>
        <w:t>2-</w:t>
      </w:r>
      <w:r>
        <w:rPr>
          <w:rFonts w:hint="eastAsia" w:ascii="黑体" w:hAnsi="黑体" w:eastAsia="黑体" w:cs="宋体"/>
          <w:sz w:val="18"/>
          <w:szCs w:val="18"/>
        </w:rPr>
        <w:t>钉子；</w:t>
      </w:r>
      <w:r>
        <w:rPr>
          <w:rFonts w:ascii="黑体" w:hAnsi="黑体" w:eastAsia="黑体" w:cs="宋体"/>
          <w:sz w:val="18"/>
          <w:szCs w:val="18"/>
        </w:rPr>
        <w:t>3-</w:t>
      </w:r>
      <w:r>
        <w:rPr>
          <w:rFonts w:hint="eastAsia" w:ascii="黑体" w:hAnsi="黑体" w:eastAsia="黑体" w:cs="宋体"/>
          <w:sz w:val="18"/>
          <w:szCs w:val="18"/>
        </w:rPr>
        <w:t>木方</w:t>
      </w:r>
    </w:p>
    <w:p>
      <w:pPr>
        <w:spacing w:line="360" w:lineRule="auto"/>
        <w:rPr>
          <w:sz w:val="20"/>
        </w:rPr>
      </w:pPr>
      <w:r>
        <w:rPr>
          <w:rFonts w:hint="eastAsia"/>
          <w:b/>
          <w:bCs/>
        </w:rPr>
        <w:t>6.2.3</w:t>
      </w:r>
      <w:r>
        <w:rPr>
          <w:sz w:val="20"/>
        </w:rPr>
        <w:t xml:space="preserve">  洞口处用扣件扣接钢管形成网格加盖板防护，应设置以扣件扣接钢管制作成的400mm×400mm 的网格，并在上面铺木胶合板，洞口防护示意图见图 6.2.3。</w:t>
      </w:r>
    </w:p>
    <w:p>
      <w:pPr>
        <w:spacing w:line="360" w:lineRule="auto"/>
        <w:jc w:val="center"/>
        <w:rPr>
          <w:rFonts w:ascii="宋体" w:hAnsi="宋体" w:cs="宋体"/>
          <w:sz w:val="20"/>
        </w:rPr>
      </w:pPr>
      <w:r>
        <w:drawing>
          <wp:inline distT="0" distB="0" distL="114300" distR="114300">
            <wp:extent cx="2448560" cy="2314575"/>
            <wp:effectExtent l="0" t="0" r="8890" b="952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1"/>
                    <a:stretch>
                      <a:fillRect/>
                    </a:stretch>
                  </pic:blipFill>
                  <pic:spPr>
                    <a:xfrm>
                      <a:off x="0" y="0"/>
                      <a:ext cx="2448560" cy="2314575"/>
                    </a:xfrm>
                    <a:prstGeom prst="rect">
                      <a:avLst/>
                    </a:prstGeom>
                    <a:noFill/>
                    <a:ln>
                      <a:noFill/>
                    </a:ln>
                  </pic:spPr>
                </pic:pic>
              </a:graphicData>
            </a:graphic>
          </wp:inline>
        </w:drawing>
      </w:r>
    </w:p>
    <w:p>
      <w:pPr>
        <w:spacing w:line="360" w:lineRule="auto"/>
        <w:jc w:val="center"/>
        <w:rPr>
          <w:rFonts w:ascii="宋体" w:hAnsi="宋体" w:cs="宋体"/>
          <w:sz w:val="20"/>
        </w:rPr>
      </w:pPr>
      <w:r>
        <w:drawing>
          <wp:inline distT="0" distB="0" distL="114300" distR="114300">
            <wp:extent cx="2650490" cy="956945"/>
            <wp:effectExtent l="0" t="0" r="16510" b="1460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2"/>
                    <a:stretch>
                      <a:fillRect/>
                    </a:stretch>
                  </pic:blipFill>
                  <pic:spPr>
                    <a:xfrm>
                      <a:off x="0" y="0"/>
                      <a:ext cx="2650490" cy="95694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 xml:space="preserve">6.2.3 </w:t>
      </w:r>
      <w:r>
        <w:rPr>
          <w:rFonts w:hint="eastAsia" w:ascii="黑体" w:hAnsi="黑体" w:eastAsia="黑体" w:cs="宋体"/>
          <w:sz w:val="18"/>
          <w:szCs w:val="18"/>
        </w:rPr>
        <w:t>洞口防护示意图</w:t>
      </w:r>
    </w:p>
    <w:p>
      <w:pPr>
        <w:spacing w:line="360" w:lineRule="auto"/>
        <w:jc w:val="center"/>
        <w:rPr>
          <w:rFonts w:ascii="宋体" w:hAnsi="宋体" w:cs="宋体"/>
          <w:sz w:val="20"/>
        </w:rPr>
      </w:pPr>
      <w:r>
        <w:rPr>
          <w:rFonts w:ascii="黑体" w:hAnsi="黑体" w:eastAsia="黑体" w:cs="宋体"/>
          <w:sz w:val="18"/>
          <w:szCs w:val="18"/>
        </w:rPr>
        <w:t>1-</w:t>
      </w:r>
      <w:r>
        <w:rPr>
          <w:rFonts w:hint="eastAsia" w:ascii="黑体" w:hAnsi="黑体" w:eastAsia="黑体" w:cs="宋体"/>
          <w:sz w:val="18"/>
          <w:szCs w:val="18"/>
        </w:rPr>
        <w:t>木胶合板；</w:t>
      </w:r>
      <w:r>
        <w:rPr>
          <w:rFonts w:ascii="黑体" w:hAnsi="黑体" w:eastAsia="黑体" w:cs="宋体"/>
          <w:sz w:val="18"/>
          <w:szCs w:val="18"/>
        </w:rPr>
        <w:t>2-</w:t>
      </w:r>
      <w:r>
        <w:rPr>
          <w:rFonts w:hint="eastAsia" w:ascii="黑体" w:hAnsi="黑体" w:eastAsia="黑体" w:cs="宋体"/>
          <w:sz w:val="18"/>
          <w:szCs w:val="18"/>
        </w:rPr>
        <w:t>φ</w:t>
      </w:r>
      <w:r>
        <w:rPr>
          <w:rFonts w:ascii="黑体" w:hAnsi="黑体" w:eastAsia="黑体" w:cs="宋体"/>
          <w:sz w:val="18"/>
          <w:szCs w:val="18"/>
        </w:rPr>
        <w:t>48.3mm×3.6mm钢管</w:t>
      </w:r>
    </w:p>
    <w:p>
      <w:pPr>
        <w:spacing w:line="360" w:lineRule="auto"/>
        <w:rPr>
          <w:sz w:val="20"/>
        </w:rPr>
      </w:pPr>
      <w:r>
        <w:rPr>
          <w:rFonts w:hint="eastAsia"/>
          <w:b/>
          <w:bCs/>
        </w:rPr>
        <w:t>6.2.4</w:t>
      </w:r>
      <w:r>
        <w:rPr>
          <w:sz w:val="20"/>
        </w:rPr>
        <w:t xml:space="preserve">  短边长度超过 1500mm 的水平洞口，应按本标准第5章的规定，在洞口四周设置防护栏杆，洞口内支挂水平安全网应进行全封闭。</w:t>
      </w:r>
    </w:p>
    <w:p>
      <w:pPr>
        <w:spacing w:line="360" w:lineRule="auto"/>
        <w:rPr>
          <w:sz w:val="20"/>
        </w:rPr>
      </w:pPr>
      <w:r>
        <w:rPr>
          <w:rFonts w:hint="eastAsia"/>
          <w:b/>
          <w:bCs/>
        </w:rPr>
        <w:t>6.2.5</w:t>
      </w:r>
      <w:r>
        <w:rPr>
          <w:sz w:val="20"/>
        </w:rPr>
        <w:t xml:space="preserve">  短边长度大于 500mm 的竖向洞口防护设置应符合下列规定：</w:t>
      </w:r>
    </w:p>
    <w:p>
      <w:pPr>
        <w:spacing w:line="360" w:lineRule="auto"/>
        <w:ind w:firstLine="316" w:firstLineChars="150"/>
        <w:rPr>
          <w:sz w:val="20"/>
        </w:rPr>
      </w:pPr>
      <w:r>
        <w:rPr>
          <w:rFonts w:hint="eastAsia"/>
          <w:b/>
          <w:bCs/>
        </w:rPr>
        <w:t>1</w:t>
      </w:r>
      <w:r>
        <w:rPr>
          <w:sz w:val="20"/>
        </w:rPr>
        <w:t xml:space="preserve">  洞口底部墙体高度不大于200mm时，应按本标准第5章的规定设置防护，并设挡脚板；</w:t>
      </w:r>
    </w:p>
    <w:p>
      <w:pPr>
        <w:spacing w:line="360" w:lineRule="auto"/>
        <w:ind w:firstLine="316" w:firstLineChars="150"/>
        <w:rPr>
          <w:sz w:val="20"/>
        </w:rPr>
      </w:pPr>
      <w:r>
        <w:rPr>
          <w:rFonts w:hint="eastAsia"/>
          <w:b/>
          <w:bCs/>
        </w:rPr>
        <w:t xml:space="preserve">2 </w:t>
      </w:r>
      <w:r>
        <w:rPr>
          <w:b/>
          <w:bCs/>
        </w:rPr>
        <w:t xml:space="preserve"> </w:t>
      </w:r>
      <w:r>
        <w:rPr>
          <w:sz w:val="20"/>
        </w:rPr>
        <w:t>洞口底部墙体高度大于200mm且不大于600mm时，在距离地面或楼面600mm和1200mm处各设置一道防护栏杆；</w:t>
      </w:r>
    </w:p>
    <w:p>
      <w:pPr>
        <w:spacing w:line="360" w:lineRule="auto"/>
        <w:ind w:firstLine="316" w:firstLineChars="150"/>
        <w:rPr>
          <w:sz w:val="20"/>
        </w:rPr>
      </w:pPr>
      <w:r>
        <w:rPr>
          <w:rFonts w:hint="eastAsia"/>
          <w:b/>
          <w:bCs/>
        </w:rPr>
        <w:t>3</w:t>
      </w:r>
      <w:r>
        <w:rPr>
          <w:sz w:val="20"/>
        </w:rPr>
        <w:t xml:space="preserve">  洞口底部的墙体高度大于600mm且不大于1200mm时，在距离地面或楼面1200mm处设置一道防护栏杆；</w:t>
      </w:r>
    </w:p>
    <w:p>
      <w:pPr>
        <w:spacing w:line="360" w:lineRule="auto"/>
        <w:ind w:firstLine="316" w:firstLineChars="150"/>
      </w:pPr>
      <w:bookmarkStart w:id="106" w:name="_Toc18333"/>
      <w:r>
        <w:rPr>
          <w:rFonts w:hint="eastAsia"/>
          <w:b/>
          <w:bCs/>
        </w:rPr>
        <w:t>4</w:t>
      </w:r>
      <w:r>
        <w:rPr>
          <w:rFonts w:hint="eastAsia"/>
        </w:rPr>
        <w:t xml:space="preserve"> </w:t>
      </w:r>
      <w:r>
        <w:t xml:space="preserve"> </w:t>
      </w:r>
      <w:r>
        <w:rPr>
          <w:rFonts w:hint="eastAsia"/>
        </w:rPr>
        <w:t>防护栏杆两端应与结构固定牢固。</w:t>
      </w:r>
      <w:bookmarkEnd w:id="106"/>
    </w:p>
    <w:p>
      <w:pPr>
        <w:spacing w:line="360" w:lineRule="auto"/>
      </w:pPr>
      <w:bookmarkStart w:id="107" w:name="_Toc23438"/>
      <w:r>
        <w:rPr>
          <w:rFonts w:hint="eastAsia"/>
          <w:b/>
          <w:bCs/>
        </w:rPr>
        <w:t xml:space="preserve">6.2.6 </w:t>
      </w:r>
      <w:r>
        <w:rPr>
          <w:b/>
          <w:bCs/>
        </w:rPr>
        <w:t xml:space="preserve"> </w:t>
      </w:r>
      <w:r>
        <w:rPr>
          <w:rFonts w:hint="eastAsia"/>
        </w:rPr>
        <w:t>竖向洞口防护栏杆固定方式宜符合下列规定</w:t>
      </w:r>
      <w:bookmarkEnd w:id="107"/>
      <w:r>
        <w:rPr>
          <w:rFonts w:hint="eastAsia"/>
        </w:rPr>
        <w:t>：</w:t>
      </w:r>
    </w:p>
    <w:p>
      <w:pPr>
        <w:spacing w:line="360" w:lineRule="auto"/>
        <w:ind w:firstLine="316" w:firstLineChars="150"/>
        <w:rPr>
          <w:sz w:val="20"/>
        </w:rPr>
      </w:pPr>
      <w:r>
        <w:rPr>
          <w:rFonts w:hint="eastAsia"/>
          <w:b/>
          <w:bCs/>
        </w:rPr>
        <w:t>1</w:t>
      </w:r>
      <w:r>
        <w:rPr>
          <w:sz w:val="20"/>
        </w:rPr>
        <w:t xml:space="preserve">  防护栏杆可按照本标准第5章临边防护栏杆的固定方式进行固定；</w:t>
      </w:r>
    </w:p>
    <w:p>
      <w:pPr>
        <w:spacing w:line="360" w:lineRule="auto"/>
        <w:ind w:firstLine="316" w:firstLineChars="150"/>
        <w:rPr>
          <w:sz w:val="20"/>
        </w:rPr>
      </w:pPr>
      <w:r>
        <w:rPr>
          <w:rFonts w:hint="eastAsia"/>
          <w:b/>
          <w:bCs/>
        </w:rPr>
        <w:t>2</w:t>
      </w:r>
      <w:r>
        <w:rPr>
          <w:sz w:val="20"/>
        </w:rPr>
        <w:t xml:space="preserve">  洞口位于墙角时，防护杆件一端焊接钢板，采用膨胀螺栓与结构墙体固定，另一端采用“Ω”形固定件和膨胀螺栓与结构墙体固定；</w:t>
      </w:r>
    </w:p>
    <w:p>
      <w:pPr>
        <w:spacing w:line="360" w:lineRule="auto"/>
        <w:ind w:firstLine="316" w:firstLineChars="150"/>
        <w:jc w:val="left"/>
        <w:rPr>
          <w:sz w:val="20"/>
        </w:rPr>
      </w:pPr>
      <w:r>
        <w:rPr>
          <w:rFonts w:hint="eastAsia"/>
          <w:b/>
          <w:bCs/>
        </w:rPr>
        <w:t>3</w:t>
      </w:r>
      <w:r>
        <w:rPr>
          <w:sz w:val="20"/>
        </w:rPr>
        <w:t xml:space="preserve">  洞口位于墙面时，护身栏两端均采用“Ω”形固定件和膨胀螺栓与结构墙体固定。</w:t>
      </w:r>
    </w:p>
    <w:p>
      <w:pPr>
        <w:spacing w:line="360" w:lineRule="auto"/>
        <w:jc w:val="center"/>
        <w:outlineLvl w:val="1"/>
        <w:rPr>
          <w:rFonts w:ascii="宋体" w:hAnsi="宋体" w:cs="宋体"/>
          <w:b/>
          <w:bCs/>
          <w:szCs w:val="21"/>
        </w:rPr>
      </w:pPr>
      <w:bookmarkStart w:id="108" w:name="_Toc14636"/>
      <w:bookmarkStart w:id="109" w:name="_Toc27754"/>
      <w:r>
        <w:rPr>
          <w:rFonts w:ascii="宋体" w:hAnsi="宋体" w:cs="宋体"/>
          <w:b/>
          <w:bCs/>
          <w:szCs w:val="21"/>
        </w:rPr>
        <w:t xml:space="preserve">6.3  </w:t>
      </w:r>
      <w:r>
        <w:rPr>
          <w:rFonts w:hint="eastAsia" w:ascii="宋体" w:hAnsi="宋体" w:cs="宋体"/>
          <w:b/>
          <w:bCs/>
          <w:szCs w:val="21"/>
        </w:rPr>
        <w:t>其他防护</w:t>
      </w:r>
      <w:bookmarkEnd w:id="108"/>
      <w:bookmarkEnd w:id="109"/>
    </w:p>
    <w:p>
      <w:pPr>
        <w:spacing w:line="360" w:lineRule="auto"/>
        <w:rPr>
          <w:sz w:val="20"/>
        </w:rPr>
      </w:pPr>
      <w:r>
        <w:rPr>
          <w:rFonts w:hint="eastAsia"/>
          <w:b/>
          <w:bCs/>
        </w:rPr>
        <w:t xml:space="preserve">6.3.1 </w:t>
      </w:r>
      <w:r>
        <w:rPr>
          <w:b/>
          <w:bCs/>
        </w:rPr>
        <w:t xml:space="preserve"> </w:t>
      </w:r>
      <w:r>
        <w:rPr>
          <w:sz w:val="20"/>
        </w:rPr>
        <w:t>结构墙角处水平洞口防护可采用盖板或临边防护两种形式，防护设置应符合下列规定：</w:t>
      </w:r>
    </w:p>
    <w:p>
      <w:pPr>
        <w:spacing w:line="360" w:lineRule="auto"/>
        <w:ind w:firstLine="316" w:firstLineChars="150"/>
        <w:rPr>
          <w:sz w:val="20"/>
        </w:rPr>
      </w:pPr>
      <w:r>
        <w:rPr>
          <w:rFonts w:hint="eastAsia"/>
          <w:b/>
          <w:bCs/>
        </w:rPr>
        <w:t>1</w:t>
      </w:r>
      <w:r>
        <w:rPr>
          <w:sz w:val="20"/>
        </w:rPr>
        <w:t xml:space="preserve">  短边长度不大于 300mm 的，应采用盖板防护，盖板应固定牢固；</w:t>
      </w:r>
    </w:p>
    <w:p>
      <w:pPr>
        <w:spacing w:line="360" w:lineRule="auto"/>
        <w:ind w:firstLine="316" w:firstLineChars="150"/>
        <w:rPr>
          <w:sz w:val="20"/>
        </w:rPr>
      </w:pPr>
      <w:r>
        <w:rPr>
          <w:rFonts w:hint="eastAsia"/>
          <w:b/>
          <w:bCs/>
        </w:rPr>
        <w:t xml:space="preserve">2 </w:t>
      </w:r>
      <w:r>
        <w:rPr>
          <w:b/>
          <w:bCs/>
        </w:rPr>
        <w:t xml:space="preserve"> </w:t>
      </w:r>
      <w:r>
        <w:rPr>
          <w:sz w:val="20"/>
        </w:rPr>
        <w:t>短边长度大于 300mm 且不大于 1500mm 的，应采用预留钢筋网片加盖板方式进行防护，洞口贴墙时的防护做法示意图见图 6.3.1；</w:t>
      </w:r>
    </w:p>
    <w:p>
      <w:pPr>
        <w:spacing w:line="360" w:lineRule="auto"/>
        <w:ind w:firstLine="316" w:firstLineChars="150"/>
        <w:rPr>
          <w:b/>
          <w:bCs/>
        </w:rPr>
      </w:pPr>
      <w:r>
        <w:rPr>
          <w:rFonts w:hint="eastAsia"/>
          <w:b/>
          <w:bCs/>
        </w:rPr>
        <w:t>3</w:t>
      </w:r>
      <w:r>
        <w:rPr>
          <w:sz w:val="20"/>
        </w:rPr>
        <w:t xml:space="preserve">  采用临边防护形式的，应按本标准第5章临边防护相关内容搭设，洞口内采用安全平网封闭</w:t>
      </w:r>
      <w:r>
        <w:rPr>
          <w:rFonts w:hint="eastAsia"/>
        </w:rPr>
        <w:t>。</w:t>
      </w:r>
    </w:p>
    <w:p>
      <w:pPr>
        <w:spacing w:line="360" w:lineRule="auto"/>
        <w:jc w:val="center"/>
        <w:rPr>
          <w:rFonts w:ascii="宋体" w:hAnsi="宋体" w:cs="宋体"/>
          <w:sz w:val="20"/>
        </w:rPr>
      </w:pPr>
      <w:r>
        <w:drawing>
          <wp:inline distT="0" distB="0" distL="114300" distR="114300">
            <wp:extent cx="1820545" cy="1800225"/>
            <wp:effectExtent l="0" t="0" r="8255" b="952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3"/>
                    <a:stretch>
                      <a:fillRect/>
                    </a:stretch>
                  </pic:blipFill>
                  <pic:spPr>
                    <a:xfrm>
                      <a:off x="0" y="0"/>
                      <a:ext cx="1820545" cy="1800225"/>
                    </a:xfrm>
                    <a:prstGeom prst="rect">
                      <a:avLst/>
                    </a:prstGeom>
                    <a:noFill/>
                    <a:ln>
                      <a:noFill/>
                    </a:ln>
                  </pic:spPr>
                </pic:pic>
              </a:graphicData>
            </a:graphic>
          </wp:inline>
        </w:drawing>
      </w:r>
    </w:p>
    <w:p>
      <w:pPr>
        <w:spacing w:line="360" w:lineRule="auto"/>
        <w:ind w:firstLine="420" w:firstLineChars="200"/>
        <w:jc w:val="center"/>
        <w:rPr>
          <w:rFonts w:ascii="宋体" w:hAnsi="宋体" w:cs="宋体"/>
          <w:sz w:val="20"/>
        </w:rPr>
      </w:pPr>
      <w:r>
        <w:drawing>
          <wp:inline distT="0" distB="0" distL="114300" distR="114300">
            <wp:extent cx="2388870" cy="1800225"/>
            <wp:effectExtent l="0" t="0" r="11430" b="952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4"/>
                    <a:stretch>
                      <a:fillRect/>
                    </a:stretch>
                  </pic:blipFill>
                  <pic:spPr>
                    <a:xfrm>
                      <a:off x="0" y="0"/>
                      <a:ext cx="2388870" cy="180022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 xml:space="preserve">6.3.1 </w:t>
      </w:r>
      <w:bookmarkStart w:id="110" w:name="_Hlk148012797"/>
      <w:r>
        <w:rPr>
          <w:rFonts w:hint="eastAsia" w:ascii="黑体" w:hAnsi="黑体" w:eastAsia="黑体" w:cs="宋体"/>
          <w:sz w:val="18"/>
          <w:szCs w:val="18"/>
        </w:rPr>
        <w:t>洞口贴墙时的防护做法示意图</w:t>
      </w:r>
      <w:bookmarkEnd w:id="110"/>
      <w:r>
        <w:rPr>
          <w:rFonts w:hint="eastAsia" w:ascii="黑体" w:hAnsi="黑体" w:eastAsia="黑体" w:cs="宋体"/>
          <w:sz w:val="18"/>
          <w:szCs w:val="18"/>
        </w:rPr>
        <w:t>（单位：</w:t>
      </w:r>
      <w:r>
        <w:rPr>
          <w:rFonts w:ascii="黑体" w:hAnsi="黑体" w:eastAsia="黑体" w:cs="宋体"/>
          <w:sz w:val="18"/>
          <w:szCs w:val="18"/>
        </w:rPr>
        <w:t>mm）</w:t>
      </w:r>
    </w:p>
    <w:p>
      <w:pPr>
        <w:spacing w:line="360" w:lineRule="auto"/>
        <w:jc w:val="center"/>
        <w:rPr>
          <w:rFonts w:ascii="宋体" w:hAnsi="宋体" w:cs="宋体"/>
          <w:sz w:val="20"/>
        </w:rPr>
      </w:pPr>
      <w:r>
        <w:rPr>
          <w:rFonts w:ascii="黑体" w:hAnsi="黑体" w:eastAsia="黑体" w:cs="宋体"/>
          <w:sz w:val="18"/>
          <w:szCs w:val="18"/>
        </w:rPr>
        <w:t>1-</w:t>
      </w:r>
      <w:r>
        <w:rPr>
          <w:rFonts w:hint="eastAsia" w:ascii="黑体" w:hAnsi="黑体" w:eastAsia="黑体" w:cs="宋体"/>
          <w:sz w:val="18"/>
          <w:szCs w:val="18"/>
        </w:rPr>
        <w:t>钢筋网片；</w:t>
      </w:r>
      <w:r>
        <w:rPr>
          <w:rFonts w:ascii="黑体" w:hAnsi="黑体" w:eastAsia="黑体" w:cs="宋体"/>
          <w:sz w:val="18"/>
          <w:szCs w:val="18"/>
        </w:rPr>
        <w:t>2-</w:t>
      </w:r>
      <w:r>
        <w:rPr>
          <w:rFonts w:hint="eastAsia" w:ascii="黑体" w:hAnsi="黑体" w:eastAsia="黑体" w:cs="宋体"/>
          <w:sz w:val="18"/>
          <w:szCs w:val="18"/>
        </w:rPr>
        <w:t>木防护板</w:t>
      </w:r>
    </w:p>
    <w:p>
      <w:pPr>
        <w:spacing w:line="360" w:lineRule="auto"/>
      </w:pPr>
      <w:bookmarkStart w:id="111" w:name="_Toc11825"/>
      <w:r>
        <w:rPr>
          <w:rFonts w:hint="eastAsia"/>
          <w:b/>
          <w:bCs/>
        </w:rPr>
        <w:t xml:space="preserve">6.3.2 </w:t>
      </w:r>
      <w:r>
        <w:rPr>
          <w:b/>
          <w:bCs/>
        </w:rPr>
        <w:t xml:space="preserve"> </w:t>
      </w:r>
      <w:r>
        <w:rPr>
          <w:rFonts w:hint="eastAsia"/>
        </w:rPr>
        <w:t>斜屋面洞口防护设置应符合本章6.1.3条规定。</w:t>
      </w:r>
      <w:bookmarkEnd w:id="111"/>
    </w:p>
    <w:p>
      <w:pPr>
        <w:spacing w:line="360" w:lineRule="auto"/>
        <w:rPr>
          <w:szCs w:val="21"/>
          <w:highlight w:val="yellow"/>
        </w:rPr>
      </w:pPr>
      <w:r>
        <w:rPr>
          <w:rFonts w:hint="eastAsia"/>
          <w:b/>
          <w:bCs/>
          <w:szCs w:val="21"/>
        </w:rPr>
        <w:t xml:space="preserve">6.3.3 </w:t>
      </w:r>
      <w:r>
        <w:rPr>
          <w:b/>
          <w:bCs/>
          <w:szCs w:val="21"/>
        </w:rPr>
        <w:t xml:space="preserve"> </w:t>
      </w:r>
      <w:r>
        <w:rPr>
          <w:szCs w:val="21"/>
        </w:rPr>
        <w:t>结构外采光井应设置防护措施，防护应符合下列规定：</w:t>
      </w:r>
    </w:p>
    <w:p>
      <w:pPr>
        <w:spacing w:line="360" w:lineRule="auto"/>
        <w:ind w:firstLine="315" w:firstLineChars="150"/>
        <w:rPr>
          <w:szCs w:val="21"/>
        </w:rPr>
      </w:pPr>
      <w:r>
        <w:rPr>
          <w:szCs w:val="21"/>
        </w:rPr>
        <w:t>1  采光井口四周应设置防护栏杆，栏杆设置应符合</w:t>
      </w:r>
      <w:r>
        <w:rPr>
          <w:rFonts w:hint="eastAsia"/>
          <w:szCs w:val="21"/>
        </w:rPr>
        <w:t>本标准第5章的规定；</w:t>
      </w:r>
    </w:p>
    <w:p>
      <w:pPr>
        <w:spacing w:line="360" w:lineRule="auto"/>
        <w:ind w:firstLine="316" w:firstLineChars="150"/>
        <w:rPr>
          <w:b/>
          <w:bCs/>
          <w:szCs w:val="21"/>
        </w:rPr>
      </w:pPr>
      <w:r>
        <w:rPr>
          <w:rFonts w:hint="eastAsia"/>
          <w:b/>
          <w:bCs/>
        </w:rPr>
        <w:drawing>
          <wp:anchor distT="0" distB="0" distL="114300" distR="114300" simplePos="0" relativeHeight="251663360" behindDoc="0" locked="0" layoutInCell="1" allowOverlap="1">
            <wp:simplePos x="0" y="0"/>
            <wp:positionH relativeFrom="column">
              <wp:posOffset>1598295</wp:posOffset>
            </wp:positionH>
            <wp:positionV relativeFrom="paragraph">
              <wp:posOffset>593090</wp:posOffset>
            </wp:positionV>
            <wp:extent cx="2259965" cy="2493645"/>
            <wp:effectExtent l="0" t="0" r="6985" b="1905"/>
            <wp:wrapNone/>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5"/>
                    <a:srcRect l="29333" t="12075" r="23578" b="21837"/>
                    <a:stretch>
                      <a:fillRect/>
                    </a:stretch>
                  </pic:blipFill>
                  <pic:spPr>
                    <a:xfrm>
                      <a:off x="0" y="0"/>
                      <a:ext cx="2259965" cy="2493645"/>
                    </a:xfrm>
                    <a:prstGeom prst="rect">
                      <a:avLst/>
                    </a:prstGeom>
                    <a:noFill/>
                    <a:ln>
                      <a:noFill/>
                    </a:ln>
                  </pic:spPr>
                </pic:pic>
              </a:graphicData>
            </a:graphic>
          </wp:anchor>
        </w:drawing>
      </w:r>
      <w:r>
        <w:rPr>
          <w:rFonts w:hint="eastAsia"/>
          <w:szCs w:val="21"/>
        </w:rPr>
        <w:t>2  洞口内采用安全平网封闭，</w:t>
      </w:r>
      <w:r>
        <w:rPr>
          <w:kern w:val="0"/>
          <w:szCs w:val="21"/>
        </w:rPr>
        <w:t>并采用承载力满足使用要求的盖板覆盖</w:t>
      </w:r>
      <w:r>
        <w:rPr>
          <w:rFonts w:hint="eastAsia"/>
          <w:szCs w:val="21"/>
        </w:rPr>
        <w:t>，采光井安全防护平面示意图见图 6.3.3。</w:t>
      </w: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 xml:space="preserve">6.3.3 </w:t>
      </w:r>
      <w:bookmarkStart w:id="112" w:name="_Hlk148012928"/>
      <w:r>
        <w:rPr>
          <w:rFonts w:hint="eastAsia" w:ascii="黑体" w:hAnsi="黑体" w:eastAsia="黑体" w:cs="宋体"/>
          <w:sz w:val="18"/>
          <w:szCs w:val="18"/>
        </w:rPr>
        <w:t>采光井安全防护平面示意图</w:t>
      </w:r>
      <w:bookmarkEnd w:id="112"/>
      <w:r>
        <w:rPr>
          <w:rFonts w:hint="eastAsia" w:ascii="黑体" w:hAnsi="黑体" w:eastAsia="黑体" w:cs="宋体"/>
          <w:sz w:val="18"/>
          <w:szCs w:val="18"/>
        </w:rPr>
        <w:t>（单位：</w:t>
      </w:r>
      <w:r>
        <w:rPr>
          <w:rFonts w:ascii="黑体" w:hAnsi="黑体" w:eastAsia="黑体" w:cs="宋体"/>
          <w:sz w:val="18"/>
          <w:szCs w:val="18"/>
        </w:rPr>
        <w:t>mm）</w:t>
      </w:r>
    </w:p>
    <w:p>
      <w:pPr>
        <w:spacing w:line="360" w:lineRule="auto"/>
        <w:jc w:val="center"/>
        <w:rPr>
          <w:rFonts w:ascii="黑体" w:hAnsi="黑体" w:eastAsia="黑体" w:cs="宋体"/>
          <w:sz w:val="18"/>
          <w:szCs w:val="18"/>
        </w:rPr>
      </w:pPr>
      <w:r>
        <w:rPr>
          <w:rFonts w:ascii="黑体" w:hAnsi="黑体" w:eastAsia="黑体" w:cs="宋体"/>
          <w:sz w:val="18"/>
          <w:szCs w:val="18"/>
        </w:rPr>
        <w:t>1</w:t>
      </w:r>
      <w:r>
        <w:rPr>
          <w:rFonts w:hint="eastAsia" w:ascii="黑体" w:hAnsi="黑体" w:eastAsia="黑体" w:cs="宋体"/>
          <w:sz w:val="18"/>
          <w:szCs w:val="18"/>
        </w:rPr>
        <w:t>-防护栏杆；</w:t>
      </w:r>
      <w:r>
        <w:rPr>
          <w:rFonts w:ascii="黑体" w:hAnsi="黑体" w:eastAsia="黑体" w:cs="宋体"/>
          <w:sz w:val="18"/>
          <w:szCs w:val="18"/>
        </w:rPr>
        <w:t>2-</w:t>
      </w:r>
      <w:r>
        <w:rPr>
          <w:rFonts w:hint="eastAsia" w:ascii="黑体" w:hAnsi="黑体" w:eastAsia="黑体" w:cs="宋体"/>
          <w:sz w:val="18"/>
          <w:szCs w:val="18"/>
        </w:rPr>
        <w:t>脚手板</w:t>
      </w:r>
    </w:p>
    <w:p>
      <w:pPr>
        <w:spacing w:line="360" w:lineRule="auto"/>
      </w:pPr>
      <w:bookmarkStart w:id="113" w:name="_Toc22263"/>
      <w:r>
        <w:rPr>
          <w:rFonts w:hint="eastAsia"/>
          <w:b/>
          <w:bCs/>
        </w:rPr>
        <w:t>6.3.4</w:t>
      </w:r>
      <w:r>
        <w:rPr>
          <w:rFonts w:hint="eastAsia"/>
        </w:rPr>
        <w:t xml:space="preserve"> </w:t>
      </w:r>
      <w:r>
        <w:t xml:space="preserve"> </w:t>
      </w:r>
      <w:r>
        <w:rPr>
          <w:rFonts w:hint="eastAsia"/>
        </w:rPr>
        <w:t>电梯井防护门应符合下列规定：</w:t>
      </w:r>
      <w:bookmarkEnd w:id="113"/>
    </w:p>
    <w:p>
      <w:pPr>
        <w:spacing w:line="360" w:lineRule="auto"/>
        <w:ind w:firstLine="316" w:firstLineChars="150"/>
        <w:rPr>
          <w:sz w:val="20"/>
        </w:rPr>
      </w:pPr>
      <w:r>
        <w:rPr>
          <w:rFonts w:hint="eastAsia"/>
          <w:b/>
          <w:bCs/>
        </w:rPr>
        <w:t>1</w:t>
      </w:r>
      <w:r>
        <w:rPr>
          <w:sz w:val="20"/>
        </w:rPr>
        <w:t xml:space="preserve">  防护门栏杆边框采用40mm×40mm×2.5mm 方型钢管，竖杆采用 20mm×20mm×2mm 方型钢管，防护门和挡脚板刷红、白相间条纹安全色，防护门外侧悬挂安全警示牌；</w:t>
      </w:r>
    </w:p>
    <w:p>
      <w:pPr>
        <w:spacing w:line="360" w:lineRule="auto"/>
        <w:ind w:firstLine="316" w:firstLineChars="150"/>
        <w:rPr>
          <w:sz w:val="20"/>
        </w:rPr>
      </w:pPr>
      <w:r>
        <w:rPr>
          <w:rFonts w:hint="eastAsia"/>
          <w:b/>
          <w:bCs/>
        </w:rPr>
        <w:t>2</w:t>
      </w:r>
      <w:r>
        <w:rPr>
          <w:sz w:val="20"/>
        </w:rPr>
        <w:t xml:space="preserve">  高度不得低于1500mm，底部安装高度不小于180mm 挡脚板，防护门底端距地面高度不应大于50㎜，竖向栏杆间距不大于120mm；</w:t>
      </w:r>
    </w:p>
    <w:p>
      <w:pPr>
        <w:spacing w:line="360" w:lineRule="auto"/>
        <w:jc w:val="left"/>
        <w:rPr>
          <w:sz w:val="20"/>
        </w:rPr>
      </w:pPr>
      <w:r>
        <w:rPr>
          <w:sz w:val="20"/>
        </w:rPr>
        <w:t xml:space="preserve">   </w:t>
      </w:r>
      <w:r>
        <w:rPr>
          <w:rFonts w:hint="eastAsia"/>
          <w:b/>
          <w:bCs/>
        </w:rPr>
        <w:t>3</w:t>
      </w:r>
      <w:r>
        <w:rPr>
          <w:sz w:val="20"/>
        </w:rPr>
        <w:t xml:space="preserve">  电梯井口宽度大于2000mm 时，应按本标准第 5 章要求，设置格栅式防护。</w:t>
      </w:r>
    </w:p>
    <w:p>
      <w:pPr>
        <w:spacing w:line="360" w:lineRule="auto"/>
        <w:rPr>
          <w:b/>
          <w:bCs/>
        </w:rPr>
      </w:pPr>
      <w:r>
        <w:rPr>
          <w:rFonts w:hint="eastAsia"/>
          <w:b/>
          <w:bCs/>
        </w:rPr>
        <w:t>6.3.5</w:t>
      </w:r>
      <w:r>
        <w:rPr>
          <w:rFonts w:hint="eastAsia"/>
        </w:rPr>
        <w:t xml:space="preserve"> </w:t>
      </w:r>
      <w:r>
        <w:t xml:space="preserve"> </w:t>
      </w:r>
      <w:r>
        <w:rPr>
          <w:rFonts w:hint="eastAsia"/>
        </w:rPr>
        <w:t>电梯井防护门固定应符合下列规定：</w:t>
      </w:r>
    </w:p>
    <w:p>
      <w:pPr>
        <w:spacing w:line="360" w:lineRule="auto"/>
        <w:ind w:firstLine="316" w:firstLineChars="150"/>
        <w:rPr>
          <w:sz w:val="20"/>
        </w:rPr>
      </w:pPr>
      <w:r>
        <w:rPr>
          <w:rFonts w:hint="eastAsia"/>
          <w:b/>
          <w:bCs/>
        </w:rPr>
        <w:t xml:space="preserve">1 </w:t>
      </w:r>
      <w:r>
        <w:rPr>
          <w:b/>
          <w:bCs/>
        </w:rPr>
        <w:t xml:space="preserve"> </w:t>
      </w:r>
      <w:r>
        <w:rPr>
          <w:sz w:val="20"/>
        </w:rPr>
        <w:t>防护门四角宜采用“Ω”形固定件和 M10 膨胀螺栓与结构墙体固定，落地洞口防护示意图见图 6.3.5-1，落地洞口防护示意图见图6.3.5-2；</w:t>
      </w:r>
    </w:p>
    <w:p>
      <w:pPr>
        <w:spacing w:line="360" w:lineRule="auto"/>
        <w:ind w:firstLine="316" w:firstLineChars="150"/>
        <w:jc w:val="left"/>
        <w:rPr>
          <w:sz w:val="20"/>
        </w:rPr>
      </w:pPr>
      <w:r>
        <w:rPr>
          <w:rFonts w:hint="eastAsia"/>
          <w:b/>
          <w:bCs/>
        </w:rPr>
        <w:t>2</w:t>
      </w:r>
      <w:r>
        <w:rPr>
          <w:sz w:val="20"/>
        </w:rPr>
        <w:t xml:space="preserve">  采用其他方式固定时，固定强度应不小于采用“Ω”形固定件或 M10 膨胀螺栓的固定强度。</w:t>
      </w:r>
    </w:p>
    <w:p>
      <w:pPr>
        <w:spacing w:line="360" w:lineRule="auto"/>
        <w:jc w:val="left"/>
        <w:rPr>
          <w:rFonts w:ascii="宋体" w:hAnsi="宋体" w:cs="宋体"/>
          <w:sz w:val="20"/>
        </w:rPr>
      </w:pPr>
      <w:r>
        <w:rPr>
          <w:rFonts w:hint="eastAsia" w:ascii="宋体" w:hAnsi="宋体" w:cs="宋体"/>
          <w:sz w:val="20"/>
        </w:rPr>
        <w:drawing>
          <wp:anchor distT="0" distB="0" distL="114300" distR="114300" simplePos="0" relativeHeight="251665408" behindDoc="0" locked="0" layoutInCell="1" allowOverlap="1">
            <wp:simplePos x="0" y="0"/>
            <wp:positionH relativeFrom="column">
              <wp:posOffset>462280</wp:posOffset>
            </wp:positionH>
            <wp:positionV relativeFrom="paragraph">
              <wp:posOffset>130810</wp:posOffset>
            </wp:positionV>
            <wp:extent cx="4331335" cy="2225675"/>
            <wp:effectExtent l="0" t="0" r="12065" b="3175"/>
            <wp:wrapNone/>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6"/>
                    <a:srcRect b="17198"/>
                    <a:stretch>
                      <a:fillRect/>
                    </a:stretch>
                  </pic:blipFill>
                  <pic:spPr>
                    <a:xfrm>
                      <a:off x="0" y="0"/>
                      <a:ext cx="4331335" cy="2225675"/>
                    </a:xfrm>
                    <a:prstGeom prst="rect">
                      <a:avLst/>
                    </a:prstGeom>
                    <a:noFill/>
                    <a:ln>
                      <a:noFill/>
                    </a:ln>
                  </pic:spPr>
                </pic:pic>
              </a:graphicData>
            </a:graphic>
          </wp:anchor>
        </w:drawing>
      </w: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ind w:firstLine="400" w:firstLineChars="200"/>
        <w:rPr>
          <w:rFonts w:ascii="宋体" w:hAnsi="宋体" w:cs="宋体"/>
          <w:sz w:val="20"/>
        </w:rPr>
      </w:pP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6.3.</w:t>
      </w:r>
      <w:r>
        <w:rPr>
          <w:rFonts w:hint="eastAsia" w:ascii="黑体" w:hAnsi="黑体" w:eastAsia="黑体" w:cs="宋体"/>
          <w:sz w:val="18"/>
          <w:szCs w:val="18"/>
        </w:rPr>
        <w:t>5</w:t>
      </w:r>
      <w:r>
        <w:rPr>
          <w:rFonts w:ascii="黑体" w:hAnsi="黑体" w:eastAsia="黑体" w:cs="宋体"/>
          <w:sz w:val="18"/>
          <w:szCs w:val="18"/>
        </w:rPr>
        <w:t xml:space="preserve">-1 </w:t>
      </w:r>
      <w:r>
        <w:rPr>
          <w:rFonts w:hint="eastAsia" w:ascii="黑体" w:hAnsi="黑体" w:eastAsia="黑体" w:cs="宋体"/>
          <w:sz w:val="18"/>
          <w:szCs w:val="18"/>
        </w:rPr>
        <w:t>落地洞口防护示意图（单位：</w:t>
      </w:r>
      <w:r>
        <w:rPr>
          <w:rFonts w:ascii="黑体" w:hAnsi="黑体" w:eastAsia="黑体" w:cs="宋体"/>
          <w:sz w:val="18"/>
          <w:szCs w:val="18"/>
        </w:rPr>
        <w:t>mm）</w:t>
      </w:r>
    </w:p>
    <w:p>
      <w:pPr>
        <w:spacing w:line="360" w:lineRule="auto"/>
        <w:jc w:val="center"/>
        <w:rPr>
          <w:rFonts w:ascii="宋体" w:hAnsi="宋体" w:cs="宋体"/>
          <w:sz w:val="20"/>
        </w:rPr>
      </w:pPr>
      <w:r>
        <w:rPr>
          <w:rFonts w:ascii="黑体" w:hAnsi="黑体" w:eastAsia="黑体" w:cs="宋体"/>
          <w:sz w:val="18"/>
          <w:szCs w:val="18"/>
        </w:rPr>
        <w:t>1-</w:t>
      </w:r>
      <w:r>
        <w:rPr>
          <w:rFonts w:hint="eastAsia" w:ascii="黑体" w:hAnsi="黑体" w:eastAsia="黑体" w:cs="宋体"/>
          <w:sz w:val="18"/>
          <w:szCs w:val="18"/>
        </w:rPr>
        <w:t>混凝土墙体；</w:t>
      </w:r>
      <w:r>
        <w:rPr>
          <w:rFonts w:ascii="黑体" w:hAnsi="黑体" w:eastAsia="黑体" w:cs="宋体"/>
          <w:sz w:val="18"/>
          <w:szCs w:val="18"/>
        </w:rPr>
        <w:t>2-</w:t>
      </w:r>
      <w:r>
        <w:rPr>
          <w:rFonts w:hint="eastAsia" w:ascii="黑体" w:hAnsi="黑体" w:eastAsia="黑体" w:cs="宋体"/>
          <w:sz w:val="18"/>
          <w:szCs w:val="18"/>
        </w:rPr>
        <w:t>混凝土楼板；</w:t>
      </w:r>
      <w:r>
        <w:rPr>
          <w:rFonts w:ascii="黑体" w:hAnsi="黑体" w:eastAsia="黑体" w:cs="宋体"/>
          <w:sz w:val="18"/>
          <w:szCs w:val="18"/>
        </w:rPr>
        <w:t>3-0.5厚铁皮；4-</w:t>
      </w:r>
      <w:r>
        <w:rPr>
          <w:rFonts w:hint="eastAsia" w:ascii="黑体" w:hAnsi="黑体" w:eastAsia="黑体" w:cs="宋体"/>
          <w:sz w:val="18"/>
          <w:szCs w:val="18"/>
        </w:rPr>
        <w:t>挡脚板（</w:t>
      </w:r>
      <w:r>
        <w:rPr>
          <w:rFonts w:ascii="黑体" w:hAnsi="黑体" w:eastAsia="黑体" w:cs="宋体"/>
          <w:sz w:val="18"/>
          <w:szCs w:val="18"/>
        </w:rPr>
        <w:t>0.5厚铁皮或木板）</w:t>
      </w:r>
    </w:p>
    <w:p>
      <w:pPr>
        <w:spacing w:line="360" w:lineRule="auto"/>
        <w:jc w:val="left"/>
        <w:rPr>
          <w:rFonts w:ascii="宋体" w:hAnsi="宋体" w:cs="宋体"/>
          <w:sz w:val="20"/>
        </w:rPr>
      </w:pPr>
      <w:r>
        <w:rPr>
          <w:rFonts w:hint="eastAsia" w:ascii="宋体" w:hAnsi="宋体" w:cs="宋体"/>
          <w:sz w:val="20"/>
        </w:rPr>
        <w:drawing>
          <wp:anchor distT="0" distB="0" distL="114300" distR="114300" simplePos="0" relativeHeight="251666432" behindDoc="0" locked="0" layoutInCell="1" allowOverlap="1">
            <wp:simplePos x="0" y="0"/>
            <wp:positionH relativeFrom="column">
              <wp:posOffset>751840</wp:posOffset>
            </wp:positionH>
            <wp:positionV relativeFrom="paragraph">
              <wp:posOffset>27940</wp:posOffset>
            </wp:positionV>
            <wp:extent cx="3920490" cy="2389505"/>
            <wp:effectExtent l="0" t="0" r="3810" b="10795"/>
            <wp:wrapNone/>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7"/>
                    <a:srcRect l="15759" t="13200" r="13988" b="27109"/>
                    <a:stretch>
                      <a:fillRect/>
                    </a:stretch>
                  </pic:blipFill>
                  <pic:spPr>
                    <a:xfrm>
                      <a:off x="0" y="0"/>
                      <a:ext cx="3920490" cy="2389505"/>
                    </a:xfrm>
                    <a:prstGeom prst="rect">
                      <a:avLst/>
                    </a:prstGeom>
                    <a:noFill/>
                    <a:ln>
                      <a:noFill/>
                    </a:ln>
                  </pic:spPr>
                </pic:pic>
              </a:graphicData>
            </a:graphic>
          </wp:anchor>
        </w:drawing>
      </w: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jc w:val="left"/>
        <w:rPr>
          <w:rFonts w:ascii="宋体" w:hAnsi="宋体" w:cs="宋体"/>
          <w:sz w:val="20"/>
        </w:rPr>
      </w:pP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6.3.</w:t>
      </w:r>
      <w:r>
        <w:rPr>
          <w:rFonts w:hint="eastAsia" w:ascii="黑体" w:hAnsi="黑体" w:eastAsia="黑体" w:cs="宋体"/>
          <w:sz w:val="18"/>
          <w:szCs w:val="18"/>
        </w:rPr>
        <w:t>5</w:t>
      </w:r>
      <w:r>
        <w:rPr>
          <w:rFonts w:ascii="黑体" w:hAnsi="黑体" w:eastAsia="黑体" w:cs="宋体"/>
          <w:sz w:val="18"/>
          <w:szCs w:val="18"/>
        </w:rPr>
        <w:t xml:space="preserve">-2 </w:t>
      </w:r>
      <w:r>
        <w:rPr>
          <w:rFonts w:hint="eastAsia" w:ascii="黑体" w:hAnsi="黑体" w:eastAsia="黑体" w:cs="宋体"/>
          <w:sz w:val="18"/>
          <w:szCs w:val="18"/>
        </w:rPr>
        <w:t>落地洞口防护示意图（单位：</w:t>
      </w:r>
      <w:r>
        <w:rPr>
          <w:rFonts w:ascii="黑体" w:hAnsi="黑体" w:eastAsia="黑体" w:cs="宋体"/>
          <w:sz w:val="18"/>
          <w:szCs w:val="18"/>
        </w:rPr>
        <w:t>mm）</w:t>
      </w:r>
    </w:p>
    <w:p>
      <w:pPr>
        <w:spacing w:line="360" w:lineRule="auto"/>
        <w:jc w:val="center"/>
        <w:rPr>
          <w:rFonts w:ascii="黑体" w:hAnsi="黑体" w:eastAsia="黑体" w:cs="宋体"/>
          <w:sz w:val="18"/>
          <w:szCs w:val="18"/>
        </w:rPr>
      </w:pPr>
      <w:r>
        <w:rPr>
          <w:rFonts w:ascii="黑体" w:hAnsi="黑体" w:eastAsia="黑体" w:cs="宋体"/>
          <w:sz w:val="18"/>
          <w:szCs w:val="18"/>
        </w:rPr>
        <w:t>1-</w:t>
      </w:r>
      <w:r>
        <w:rPr>
          <w:rFonts w:hint="eastAsia" w:ascii="黑体" w:hAnsi="黑体" w:eastAsia="黑体" w:cs="宋体"/>
          <w:sz w:val="18"/>
          <w:szCs w:val="18"/>
        </w:rPr>
        <w:t>混凝土墙体；</w:t>
      </w:r>
      <w:r>
        <w:rPr>
          <w:rFonts w:ascii="黑体" w:hAnsi="黑体" w:eastAsia="黑体" w:cs="宋体"/>
          <w:sz w:val="18"/>
          <w:szCs w:val="18"/>
        </w:rPr>
        <w:t>2-</w:t>
      </w:r>
      <w:r>
        <w:rPr>
          <w:rFonts w:hint="eastAsia" w:ascii="黑体" w:hAnsi="黑体" w:eastAsia="黑体" w:cs="宋体"/>
          <w:sz w:val="18"/>
          <w:szCs w:val="18"/>
        </w:rPr>
        <w:t>混凝土楼板；</w:t>
      </w:r>
      <w:r>
        <w:rPr>
          <w:rFonts w:ascii="黑体" w:hAnsi="黑体" w:eastAsia="黑体" w:cs="宋体"/>
          <w:sz w:val="18"/>
          <w:szCs w:val="18"/>
        </w:rPr>
        <w:t>3-0.5厚铁皮；4-</w:t>
      </w:r>
      <w:r>
        <w:rPr>
          <w:rFonts w:hint="eastAsia" w:ascii="黑体" w:hAnsi="黑体" w:eastAsia="黑体" w:cs="宋体"/>
          <w:sz w:val="18"/>
          <w:szCs w:val="18"/>
        </w:rPr>
        <w:t>挡脚板（</w:t>
      </w:r>
      <w:r>
        <w:rPr>
          <w:rFonts w:ascii="黑体" w:hAnsi="黑体" w:eastAsia="黑体" w:cs="宋体"/>
          <w:sz w:val="18"/>
          <w:szCs w:val="18"/>
        </w:rPr>
        <w:t>0.5厚铁皮或木板）</w:t>
      </w:r>
    </w:p>
    <w:p>
      <w:pPr>
        <w:spacing w:line="360" w:lineRule="auto"/>
      </w:pPr>
      <w:bookmarkStart w:id="114" w:name="_Toc28880"/>
      <w:r>
        <w:rPr>
          <w:rFonts w:hint="eastAsia"/>
          <w:b/>
          <w:bCs/>
        </w:rPr>
        <w:t>6.3.6</w:t>
      </w:r>
      <w:r>
        <w:rPr>
          <w:rFonts w:hint="eastAsia"/>
        </w:rPr>
        <w:t xml:space="preserve"> </w:t>
      </w:r>
      <w:r>
        <w:t xml:space="preserve"> </w:t>
      </w:r>
      <w:r>
        <w:rPr>
          <w:rFonts w:hint="eastAsia"/>
        </w:rPr>
        <w:t>电梯井内水平防护设置应符合下列规定：</w:t>
      </w:r>
      <w:bookmarkEnd w:id="114"/>
    </w:p>
    <w:p>
      <w:pPr>
        <w:spacing w:line="360" w:lineRule="auto"/>
        <w:ind w:firstLine="316" w:firstLineChars="150"/>
        <w:rPr>
          <w:sz w:val="20"/>
        </w:rPr>
      </w:pPr>
      <w:r>
        <w:rPr>
          <w:rFonts w:hint="eastAsia"/>
          <w:b/>
          <w:bCs/>
        </w:rPr>
        <w:t xml:space="preserve">1 </w:t>
      </w:r>
      <w:r>
        <w:rPr>
          <w:b/>
          <w:bCs/>
        </w:rPr>
        <w:t xml:space="preserve"> </w:t>
      </w:r>
      <w:r>
        <w:rPr>
          <w:sz w:val="20"/>
        </w:rPr>
        <w:t>电梯井首层应设置双层水平安全网，首层以上和有地下室的电梯井内，每隔两层且不大于10m设一道水平安全网，电梯井内防护示意图见图6.3.6-1；</w:t>
      </w:r>
    </w:p>
    <w:p>
      <w:pPr>
        <w:spacing w:line="360" w:lineRule="auto"/>
        <w:jc w:val="center"/>
        <w:rPr>
          <w:rFonts w:ascii="宋体" w:hAnsi="宋体" w:cs="宋体"/>
          <w:sz w:val="20"/>
        </w:rPr>
      </w:pPr>
      <w:r>
        <w:drawing>
          <wp:inline distT="0" distB="0" distL="114300" distR="114300">
            <wp:extent cx="2453005" cy="2882900"/>
            <wp:effectExtent l="0" t="0" r="4445" b="1270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8"/>
                    <a:stretch>
                      <a:fillRect/>
                    </a:stretch>
                  </pic:blipFill>
                  <pic:spPr>
                    <a:xfrm>
                      <a:off x="0" y="0"/>
                      <a:ext cx="2453005" cy="288290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6.3.</w:t>
      </w:r>
      <w:r>
        <w:rPr>
          <w:rFonts w:hint="eastAsia" w:ascii="黑体" w:hAnsi="黑体" w:eastAsia="黑体" w:cs="宋体"/>
          <w:sz w:val="18"/>
          <w:szCs w:val="18"/>
        </w:rPr>
        <w:t>6</w:t>
      </w:r>
      <w:r>
        <w:rPr>
          <w:rFonts w:ascii="黑体" w:hAnsi="黑体" w:eastAsia="黑体" w:cs="宋体"/>
          <w:sz w:val="18"/>
          <w:szCs w:val="18"/>
        </w:rPr>
        <w:t xml:space="preserve">-1 </w:t>
      </w:r>
      <w:r>
        <w:rPr>
          <w:rFonts w:hint="eastAsia" w:ascii="黑体" w:hAnsi="黑体" w:eastAsia="黑体" w:cs="宋体"/>
          <w:sz w:val="18"/>
          <w:szCs w:val="18"/>
        </w:rPr>
        <w:t>电梯井内防护示意图</w:t>
      </w:r>
    </w:p>
    <w:p>
      <w:pPr>
        <w:spacing w:line="360" w:lineRule="auto"/>
        <w:jc w:val="center"/>
        <w:rPr>
          <w:rFonts w:ascii="宋体" w:hAnsi="宋体" w:cs="宋体"/>
          <w:sz w:val="20"/>
        </w:rPr>
      </w:pPr>
      <w:r>
        <w:rPr>
          <w:rFonts w:ascii="黑体" w:hAnsi="黑体" w:eastAsia="黑体" w:cs="宋体"/>
          <w:sz w:val="18"/>
          <w:szCs w:val="18"/>
        </w:rPr>
        <w:t>1-</w:t>
      </w:r>
      <w:r>
        <w:rPr>
          <w:rFonts w:hint="eastAsia" w:ascii="黑体" w:hAnsi="黑体" w:eastAsia="黑体" w:cs="宋体"/>
          <w:sz w:val="18"/>
          <w:szCs w:val="18"/>
        </w:rPr>
        <w:t>混凝土墙体；</w:t>
      </w:r>
      <w:r>
        <w:rPr>
          <w:rFonts w:ascii="黑体" w:hAnsi="黑体" w:eastAsia="黑体" w:cs="宋体"/>
          <w:sz w:val="18"/>
          <w:szCs w:val="18"/>
        </w:rPr>
        <w:t>2-</w:t>
      </w:r>
      <w:r>
        <w:rPr>
          <w:rFonts w:hint="eastAsia" w:ascii="黑体" w:hAnsi="黑体" w:eastAsia="黑体" w:cs="宋体"/>
          <w:sz w:val="18"/>
          <w:szCs w:val="18"/>
        </w:rPr>
        <w:t>混凝土楼板</w:t>
      </w:r>
    </w:p>
    <w:p>
      <w:pPr>
        <w:spacing w:line="360" w:lineRule="auto"/>
        <w:rPr>
          <w:sz w:val="20"/>
        </w:rPr>
      </w:pPr>
      <w:r>
        <w:rPr>
          <w:rFonts w:hint="eastAsia"/>
          <w:b/>
          <w:bCs/>
        </w:rPr>
        <w:t xml:space="preserve"> </w:t>
      </w:r>
      <w:r>
        <w:rPr>
          <w:b/>
          <w:bCs/>
        </w:rPr>
        <w:t xml:space="preserve">  </w:t>
      </w:r>
      <w:r>
        <w:rPr>
          <w:rFonts w:hint="eastAsia"/>
          <w:b/>
          <w:bCs/>
        </w:rPr>
        <w:t>2</w:t>
      </w:r>
      <w:r>
        <w:rPr>
          <w:sz w:val="20"/>
        </w:rPr>
        <w:t xml:space="preserve">  电梯井内水平安全网与钢管、钢丝绳等固定件应紧密连接，固定件与井壁周边的空隙不得大于25mm，电梯井内防护示意图见图6.3.6</w:t>
      </w:r>
      <w:r>
        <w:rPr>
          <w:rFonts w:hint="eastAsia"/>
          <w:sz w:val="20"/>
        </w:rPr>
        <w:t>-</w:t>
      </w:r>
      <w:r>
        <w:rPr>
          <w:sz w:val="20"/>
        </w:rPr>
        <w:t>2和图6.3.6</w:t>
      </w:r>
      <w:r>
        <w:rPr>
          <w:rFonts w:hint="eastAsia"/>
          <w:sz w:val="20"/>
        </w:rPr>
        <w:t>-</w:t>
      </w:r>
      <w:r>
        <w:rPr>
          <w:sz w:val="20"/>
        </w:rPr>
        <w:t>3；</w:t>
      </w:r>
    </w:p>
    <w:p>
      <w:pPr>
        <w:spacing w:line="360" w:lineRule="auto"/>
        <w:ind w:firstLine="420" w:firstLineChars="200"/>
        <w:jc w:val="center"/>
        <w:rPr>
          <w:rFonts w:ascii="宋体" w:hAnsi="宋体" w:cs="宋体"/>
          <w:sz w:val="20"/>
        </w:rPr>
      </w:pPr>
      <w:r>
        <w:drawing>
          <wp:inline distT="0" distB="0" distL="114300" distR="114300">
            <wp:extent cx="4333875" cy="2865755"/>
            <wp:effectExtent l="0" t="0" r="9525" b="1079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39"/>
                    <a:stretch>
                      <a:fillRect/>
                    </a:stretch>
                  </pic:blipFill>
                  <pic:spPr>
                    <a:xfrm>
                      <a:off x="0" y="0"/>
                      <a:ext cx="4333875" cy="286575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6.3.</w:t>
      </w:r>
      <w:r>
        <w:rPr>
          <w:rFonts w:hint="eastAsia" w:ascii="黑体" w:hAnsi="黑体" w:eastAsia="黑体" w:cs="宋体"/>
          <w:sz w:val="18"/>
          <w:szCs w:val="18"/>
        </w:rPr>
        <w:t>6</w:t>
      </w:r>
      <w:r>
        <w:rPr>
          <w:rFonts w:ascii="黑体" w:hAnsi="黑体" w:eastAsia="黑体" w:cs="宋体"/>
          <w:sz w:val="18"/>
          <w:szCs w:val="18"/>
        </w:rPr>
        <w:t xml:space="preserve">-2 </w:t>
      </w:r>
      <w:r>
        <w:rPr>
          <w:rFonts w:hint="eastAsia" w:ascii="黑体" w:hAnsi="黑体" w:eastAsia="黑体" w:cs="宋体"/>
          <w:sz w:val="18"/>
          <w:szCs w:val="18"/>
        </w:rPr>
        <w:t>电梯井内防护示意图</w:t>
      </w:r>
    </w:p>
    <w:p>
      <w:pPr>
        <w:spacing w:line="360" w:lineRule="auto"/>
        <w:jc w:val="center"/>
        <w:rPr>
          <w:rFonts w:ascii="黑体" w:hAnsi="黑体" w:eastAsia="黑体" w:cs="宋体"/>
          <w:sz w:val="18"/>
          <w:szCs w:val="18"/>
        </w:rPr>
      </w:pPr>
      <w:r>
        <w:rPr>
          <w:rFonts w:ascii="黑体" w:hAnsi="黑体" w:eastAsia="黑体" w:cs="宋体"/>
          <w:sz w:val="18"/>
          <w:szCs w:val="18"/>
        </w:rPr>
        <w:t>1-</w:t>
      </w:r>
      <w:r>
        <w:rPr>
          <w:rFonts w:hint="eastAsia" w:ascii="黑体" w:hAnsi="黑体" w:eastAsia="黑体" w:cs="宋体"/>
          <w:sz w:val="18"/>
          <w:szCs w:val="18"/>
        </w:rPr>
        <w:t>φ</w:t>
      </w:r>
      <w:r>
        <w:rPr>
          <w:rFonts w:ascii="黑体" w:hAnsi="黑体" w:eastAsia="黑体" w:cs="宋体"/>
          <w:sz w:val="18"/>
          <w:szCs w:val="18"/>
        </w:rPr>
        <w:t>48.3mm×3.6mm钢管；2-</w:t>
      </w:r>
      <w:r>
        <w:rPr>
          <w:rFonts w:hint="eastAsia" w:ascii="黑体" w:hAnsi="黑体" w:eastAsia="黑体" w:cs="宋体"/>
          <w:sz w:val="18"/>
          <w:szCs w:val="18"/>
        </w:rPr>
        <w:t>安全网；</w:t>
      </w:r>
      <w:r>
        <w:rPr>
          <w:rFonts w:ascii="黑体" w:hAnsi="黑体" w:eastAsia="黑体" w:cs="宋体"/>
          <w:sz w:val="18"/>
          <w:szCs w:val="18"/>
        </w:rPr>
        <w:t>3-</w:t>
      </w:r>
      <w:r>
        <w:rPr>
          <w:rFonts w:hint="eastAsia" w:ascii="黑体" w:hAnsi="黑体" w:eastAsia="黑体" w:cs="宋体"/>
          <w:sz w:val="18"/>
          <w:szCs w:val="18"/>
        </w:rPr>
        <w:t>间隙</w:t>
      </w:r>
    </w:p>
    <w:p>
      <w:pPr>
        <w:spacing w:line="360" w:lineRule="auto"/>
        <w:rPr>
          <w:rFonts w:ascii="宋体" w:hAnsi="宋体" w:cs="宋体"/>
          <w:sz w:val="20"/>
        </w:rPr>
      </w:pPr>
      <w:r>
        <w:drawing>
          <wp:inline distT="0" distB="0" distL="114300" distR="114300">
            <wp:extent cx="4793615" cy="3060065"/>
            <wp:effectExtent l="0" t="0" r="6985" b="698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40"/>
                    <a:stretch>
                      <a:fillRect/>
                    </a:stretch>
                  </pic:blipFill>
                  <pic:spPr>
                    <a:xfrm>
                      <a:off x="0" y="0"/>
                      <a:ext cx="4793615" cy="306006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6.3.</w:t>
      </w:r>
      <w:r>
        <w:rPr>
          <w:rFonts w:hint="eastAsia" w:ascii="黑体" w:hAnsi="黑体" w:eastAsia="黑体" w:cs="宋体"/>
          <w:sz w:val="18"/>
          <w:szCs w:val="18"/>
        </w:rPr>
        <w:t>6</w:t>
      </w:r>
      <w:r>
        <w:rPr>
          <w:rFonts w:ascii="黑体" w:hAnsi="黑体" w:eastAsia="黑体" w:cs="宋体"/>
          <w:sz w:val="18"/>
          <w:szCs w:val="18"/>
        </w:rPr>
        <w:t xml:space="preserve">-3 </w:t>
      </w:r>
      <w:r>
        <w:rPr>
          <w:rFonts w:hint="eastAsia" w:ascii="黑体" w:hAnsi="黑体" w:eastAsia="黑体" w:cs="宋体"/>
          <w:sz w:val="18"/>
          <w:szCs w:val="18"/>
        </w:rPr>
        <w:t>电梯井内防护示意图</w:t>
      </w:r>
    </w:p>
    <w:p>
      <w:pPr>
        <w:spacing w:line="360" w:lineRule="auto"/>
        <w:jc w:val="center"/>
        <w:rPr>
          <w:rFonts w:ascii="宋体" w:hAnsi="宋体" w:cs="宋体"/>
          <w:sz w:val="20"/>
        </w:rPr>
      </w:pPr>
      <w:r>
        <w:rPr>
          <w:rFonts w:ascii="黑体" w:hAnsi="黑体" w:eastAsia="黑体" w:cs="宋体"/>
          <w:sz w:val="18"/>
          <w:szCs w:val="18"/>
        </w:rPr>
        <w:t>1-</w:t>
      </w:r>
      <w:r>
        <w:rPr>
          <w:rFonts w:hint="eastAsia" w:ascii="黑体" w:hAnsi="黑体" w:eastAsia="黑体" w:cs="宋体"/>
          <w:sz w:val="18"/>
          <w:szCs w:val="18"/>
        </w:rPr>
        <w:t>预埋环；</w:t>
      </w:r>
      <w:r>
        <w:rPr>
          <w:rFonts w:ascii="黑体" w:hAnsi="黑体" w:eastAsia="黑体" w:cs="宋体"/>
          <w:sz w:val="18"/>
          <w:szCs w:val="18"/>
        </w:rPr>
        <w:t>2-</w:t>
      </w:r>
      <w:r>
        <w:rPr>
          <w:rFonts w:hint="eastAsia" w:ascii="黑体" w:hAnsi="黑体" w:eastAsia="黑体" w:cs="宋体"/>
          <w:sz w:val="18"/>
          <w:szCs w:val="18"/>
        </w:rPr>
        <w:t>钢丝绳；</w:t>
      </w:r>
      <w:r>
        <w:rPr>
          <w:rFonts w:ascii="黑体" w:hAnsi="黑体" w:eastAsia="黑体" w:cs="宋体"/>
          <w:sz w:val="18"/>
          <w:szCs w:val="18"/>
        </w:rPr>
        <w:t>3-</w:t>
      </w:r>
      <w:r>
        <w:rPr>
          <w:rFonts w:hint="eastAsia" w:ascii="黑体" w:hAnsi="黑体" w:eastAsia="黑体" w:cs="宋体"/>
          <w:sz w:val="18"/>
          <w:szCs w:val="18"/>
        </w:rPr>
        <w:t>安全网；</w:t>
      </w:r>
      <w:r>
        <w:rPr>
          <w:rFonts w:ascii="黑体" w:hAnsi="黑体" w:eastAsia="黑体" w:cs="宋体"/>
          <w:sz w:val="18"/>
          <w:szCs w:val="18"/>
        </w:rPr>
        <w:t>4-</w:t>
      </w:r>
      <w:r>
        <w:rPr>
          <w:rFonts w:hint="eastAsia" w:ascii="黑体" w:hAnsi="黑体" w:eastAsia="黑体" w:cs="宋体"/>
          <w:sz w:val="18"/>
          <w:szCs w:val="18"/>
        </w:rPr>
        <w:t>间隙</w:t>
      </w:r>
    </w:p>
    <w:p>
      <w:pPr>
        <w:spacing w:line="360" w:lineRule="auto"/>
        <w:ind w:left="315" w:leftChars="150"/>
        <w:rPr>
          <w:sz w:val="20"/>
        </w:rPr>
      </w:pPr>
      <w:r>
        <w:rPr>
          <w:rFonts w:hint="eastAsia"/>
          <w:b/>
          <w:bCs/>
        </w:rPr>
        <w:t>3</w:t>
      </w:r>
      <w:r>
        <w:rPr>
          <w:sz w:val="20"/>
        </w:rPr>
        <w:t xml:space="preserve">  电梯井内采用落地或悬挑脚手架的方式设置水平安全网，防护示意图见图6.3.6－4。</w:t>
      </w:r>
    </w:p>
    <w:p>
      <w:pPr>
        <w:spacing w:line="360" w:lineRule="auto"/>
        <w:jc w:val="center"/>
        <w:rPr>
          <w:rFonts w:ascii="宋体" w:hAnsi="宋体" w:cs="宋体"/>
          <w:sz w:val="20"/>
        </w:rPr>
      </w:pPr>
      <w:r>
        <w:drawing>
          <wp:inline distT="0" distB="0" distL="114300" distR="114300">
            <wp:extent cx="4310380" cy="3177540"/>
            <wp:effectExtent l="0" t="0" r="13970" b="381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41"/>
                    <a:stretch>
                      <a:fillRect/>
                    </a:stretch>
                  </pic:blipFill>
                  <pic:spPr>
                    <a:xfrm>
                      <a:off x="0" y="0"/>
                      <a:ext cx="4310380" cy="317754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6.3.</w:t>
      </w:r>
      <w:r>
        <w:rPr>
          <w:rFonts w:hint="eastAsia" w:ascii="黑体" w:hAnsi="黑体" w:eastAsia="黑体" w:cs="宋体"/>
          <w:sz w:val="18"/>
          <w:szCs w:val="18"/>
        </w:rPr>
        <w:t>6</w:t>
      </w:r>
      <w:r>
        <w:rPr>
          <w:rFonts w:ascii="黑体" w:hAnsi="黑体" w:eastAsia="黑体" w:cs="宋体"/>
          <w:sz w:val="18"/>
          <w:szCs w:val="18"/>
        </w:rPr>
        <w:t xml:space="preserve">-4 </w:t>
      </w:r>
      <w:r>
        <w:rPr>
          <w:rFonts w:hint="eastAsia" w:ascii="黑体" w:hAnsi="黑体" w:eastAsia="黑体" w:cs="宋体"/>
          <w:sz w:val="18"/>
          <w:szCs w:val="18"/>
        </w:rPr>
        <w:t>电梯井内防护示意图</w:t>
      </w:r>
    </w:p>
    <w:p>
      <w:pPr>
        <w:spacing w:line="360" w:lineRule="auto"/>
        <w:jc w:val="center"/>
        <w:rPr>
          <w:rFonts w:ascii="宋体" w:hAnsi="宋体" w:cs="宋体"/>
          <w:sz w:val="20"/>
        </w:rPr>
      </w:pPr>
      <w:r>
        <w:rPr>
          <w:rFonts w:ascii="黑体" w:hAnsi="黑体" w:eastAsia="黑体" w:cs="宋体"/>
          <w:sz w:val="18"/>
          <w:szCs w:val="18"/>
        </w:rPr>
        <w:t>1-</w:t>
      </w:r>
      <w:r>
        <w:rPr>
          <w:rFonts w:hint="eastAsia" w:ascii="黑体" w:hAnsi="黑体" w:eastAsia="黑体" w:cs="宋体"/>
          <w:sz w:val="18"/>
          <w:szCs w:val="18"/>
        </w:rPr>
        <w:t>φ</w:t>
      </w:r>
      <w:r>
        <w:rPr>
          <w:rFonts w:ascii="黑体" w:hAnsi="黑体" w:eastAsia="黑体" w:cs="宋体"/>
          <w:sz w:val="18"/>
          <w:szCs w:val="18"/>
        </w:rPr>
        <w:t>48.3mm×3.6mm钢管；2-</w:t>
      </w:r>
      <w:r>
        <w:rPr>
          <w:rFonts w:hint="eastAsia" w:ascii="黑体" w:hAnsi="黑体" w:eastAsia="黑体" w:cs="宋体"/>
          <w:sz w:val="18"/>
          <w:szCs w:val="18"/>
        </w:rPr>
        <w:t>安全网；</w:t>
      </w:r>
      <w:r>
        <w:rPr>
          <w:rFonts w:ascii="黑体" w:hAnsi="黑体" w:eastAsia="黑体" w:cs="宋体"/>
          <w:sz w:val="18"/>
          <w:szCs w:val="18"/>
        </w:rPr>
        <w:t>3-</w:t>
      </w:r>
      <w:r>
        <w:rPr>
          <w:rFonts w:hint="eastAsia" w:ascii="黑体" w:hAnsi="黑体" w:eastAsia="黑体" w:cs="宋体"/>
          <w:sz w:val="18"/>
          <w:szCs w:val="18"/>
        </w:rPr>
        <w:t>间隙</w:t>
      </w:r>
    </w:p>
    <w:p>
      <w:pPr>
        <w:spacing w:line="360" w:lineRule="auto"/>
        <w:ind w:left="315" w:leftChars="150"/>
        <w:rPr>
          <w:sz w:val="20"/>
        </w:rPr>
      </w:pPr>
      <w:r>
        <w:rPr>
          <w:rFonts w:hint="eastAsia"/>
          <w:b/>
          <w:bCs/>
        </w:rPr>
        <w:t>4</w:t>
      </w:r>
      <w:r>
        <w:rPr>
          <w:sz w:val="20"/>
        </w:rPr>
        <w:t xml:space="preserve">  电梯井内，采用预留钢筋网片并铺设硬质防护时，在每层用贯穿于混凝土板内的直径不小于12mm的钢筋（或楼板分布筋）形成防护网钢筋间距不应小于200mm，并在其上方满铺木胶合板，防护示意图见图6.3.6</w:t>
      </w:r>
      <w:r>
        <w:rPr>
          <w:rFonts w:hint="eastAsia"/>
          <w:sz w:val="20"/>
        </w:rPr>
        <w:t>-</w:t>
      </w:r>
      <w:r>
        <w:rPr>
          <w:sz w:val="20"/>
        </w:rPr>
        <w:t>5。</w:t>
      </w:r>
    </w:p>
    <w:p>
      <w:pPr>
        <w:spacing w:line="360" w:lineRule="auto"/>
        <w:jc w:val="center"/>
        <w:rPr>
          <w:rFonts w:ascii="宋体" w:hAnsi="宋体" w:cs="宋体"/>
          <w:sz w:val="20"/>
        </w:rPr>
      </w:pPr>
      <w:r>
        <w:drawing>
          <wp:inline distT="0" distB="0" distL="114300" distR="114300">
            <wp:extent cx="3270250" cy="2657475"/>
            <wp:effectExtent l="0" t="0" r="635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2"/>
                    <a:srcRect t="13138"/>
                    <a:stretch>
                      <a:fillRect/>
                    </a:stretch>
                  </pic:blipFill>
                  <pic:spPr>
                    <a:xfrm>
                      <a:off x="0" y="0"/>
                      <a:ext cx="3270250" cy="265747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6.3.</w:t>
      </w:r>
      <w:r>
        <w:rPr>
          <w:rFonts w:hint="eastAsia" w:ascii="黑体" w:hAnsi="黑体" w:eastAsia="黑体" w:cs="宋体"/>
          <w:sz w:val="18"/>
          <w:szCs w:val="18"/>
        </w:rPr>
        <w:t>6</w:t>
      </w:r>
      <w:r>
        <w:rPr>
          <w:rFonts w:ascii="黑体" w:hAnsi="黑体" w:eastAsia="黑体" w:cs="宋体"/>
          <w:sz w:val="18"/>
          <w:szCs w:val="18"/>
        </w:rPr>
        <w:t>-</w:t>
      </w:r>
      <w:r>
        <w:rPr>
          <w:rFonts w:hint="eastAsia" w:ascii="黑体" w:hAnsi="黑体" w:eastAsia="黑体" w:cs="宋体"/>
          <w:sz w:val="18"/>
          <w:szCs w:val="18"/>
        </w:rPr>
        <w:t>5</w:t>
      </w:r>
      <w:r>
        <w:rPr>
          <w:rFonts w:ascii="黑体" w:hAnsi="黑体" w:eastAsia="黑体" w:cs="宋体"/>
          <w:sz w:val="18"/>
          <w:szCs w:val="18"/>
        </w:rPr>
        <w:t xml:space="preserve"> </w:t>
      </w:r>
      <w:r>
        <w:rPr>
          <w:rFonts w:hint="eastAsia" w:ascii="黑体" w:hAnsi="黑体" w:eastAsia="黑体" w:cs="宋体"/>
          <w:sz w:val="18"/>
          <w:szCs w:val="18"/>
        </w:rPr>
        <w:t>电梯井内防护示意图</w:t>
      </w:r>
    </w:p>
    <w:p>
      <w:pPr>
        <w:spacing w:line="360" w:lineRule="auto"/>
        <w:jc w:val="center"/>
        <w:rPr>
          <w:rFonts w:ascii="宋体" w:hAnsi="宋体" w:eastAsia="黑体" w:cs="宋体"/>
          <w:sz w:val="20"/>
        </w:rPr>
      </w:pPr>
      <w:r>
        <w:rPr>
          <w:rFonts w:ascii="黑体" w:hAnsi="黑体" w:eastAsia="黑体" w:cs="宋体"/>
          <w:sz w:val="18"/>
          <w:szCs w:val="18"/>
        </w:rPr>
        <w:t>1-</w:t>
      </w:r>
      <w:r>
        <w:rPr>
          <w:rFonts w:hint="eastAsia" w:ascii="黑体" w:hAnsi="黑体" w:eastAsia="黑体" w:cs="宋体"/>
          <w:sz w:val="18"/>
          <w:szCs w:val="18"/>
        </w:rPr>
        <w:t>钢筋</w:t>
      </w:r>
      <w:r>
        <w:rPr>
          <w:rFonts w:ascii="黑体" w:hAnsi="黑体" w:eastAsia="黑体" w:cs="宋体"/>
          <w:sz w:val="18"/>
          <w:szCs w:val="18"/>
        </w:rPr>
        <w:t>；2-</w:t>
      </w:r>
      <w:r>
        <w:rPr>
          <w:rFonts w:hint="eastAsia" w:ascii="黑体" w:hAnsi="黑体" w:eastAsia="黑体" w:cs="宋体"/>
          <w:sz w:val="18"/>
          <w:szCs w:val="18"/>
        </w:rPr>
        <w:t>钢筋结构锚固；</w:t>
      </w:r>
      <w:r>
        <w:rPr>
          <w:rFonts w:ascii="黑体" w:hAnsi="黑体" w:eastAsia="黑体" w:cs="宋体"/>
          <w:sz w:val="18"/>
          <w:szCs w:val="18"/>
        </w:rPr>
        <w:t>3-</w:t>
      </w:r>
      <w:r>
        <w:rPr>
          <w:rFonts w:hint="eastAsia" w:ascii="黑体" w:hAnsi="黑体" w:eastAsia="黑体" w:cs="宋体"/>
          <w:sz w:val="18"/>
          <w:szCs w:val="18"/>
        </w:rPr>
        <w:t>木胶合板</w:t>
      </w:r>
    </w:p>
    <w:p>
      <w:pPr>
        <w:rPr>
          <w:sz w:val="20"/>
        </w:rPr>
      </w:pPr>
      <w:r>
        <w:rPr>
          <w:rFonts w:hint="eastAsia"/>
          <w:b/>
          <w:bCs/>
        </w:rPr>
        <w:t>6.3.7</w:t>
      </w:r>
      <w:r>
        <w:rPr>
          <w:sz w:val="20"/>
        </w:rPr>
        <w:t xml:space="preserve">  井口四周应按本标准第5章的规定，设置临边防护设施，设置高度应不低于180mm的挡脚板，停止施工作业时应加设盖板，井口防护示意图见图 6.3.7。</w:t>
      </w:r>
    </w:p>
    <w:p>
      <w:pPr>
        <w:spacing w:line="360" w:lineRule="auto"/>
        <w:rPr>
          <w:rFonts w:ascii="宋体" w:hAnsi="宋体" w:cs="宋体"/>
          <w:sz w:val="20"/>
        </w:rPr>
      </w:pPr>
      <w:r>
        <w:rPr>
          <w:rFonts w:hint="eastAsia" w:ascii="宋体" w:hAnsi="宋体" w:cs="宋体"/>
          <w:sz w:val="20"/>
        </w:rPr>
        <w:drawing>
          <wp:anchor distT="0" distB="0" distL="114300" distR="114300" simplePos="0" relativeHeight="251667456" behindDoc="0" locked="0" layoutInCell="1" allowOverlap="1">
            <wp:simplePos x="0" y="0"/>
            <wp:positionH relativeFrom="column">
              <wp:posOffset>132080</wp:posOffset>
            </wp:positionH>
            <wp:positionV relativeFrom="paragraph">
              <wp:posOffset>2599690</wp:posOffset>
            </wp:positionV>
            <wp:extent cx="4939665" cy="2633345"/>
            <wp:effectExtent l="0" t="0" r="13335" b="14605"/>
            <wp:wrapNone/>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43"/>
                    <a:srcRect t="42508" r="4494" b="10698"/>
                    <a:stretch>
                      <a:fillRect/>
                    </a:stretch>
                  </pic:blipFill>
                  <pic:spPr>
                    <a:xfrm>
                      <a:off x="0" y="0"/>
                      <a:ext cx="4939665" cy="2633345"/>
                    </a:xfrm>
                    <a:prstGeom prst="rect">
                      <a:avLst/>
                    </a:prstGeom>
                    <a:noFill/>
                    <a:ln>
                      <a:noFill/>
                    </a:ln>
                  </pic:spPr>
                </pic:pic>
              </a:graphicData>
            </a:graphic>
          </wp:anchor>
        </w:drawing>
      </w:r>
      <w:r>
        <w:rPr>
          <w:rFonts w:hint="eastAsia" w:ascii="宋体" w:hAnsi="宋体" w:cs="宋体"/>
          <w:sz w:val="20"/>
        </w:rPr>
        <w:drawing>
          <wp:anchor distT="0" distB="0" distL="114300" distR="114300" simplePos="0" relativeHeight="251664384" behindDoc="0" locked="0" layoutInCell="1" allowOverlap="1">
            <wp:simplePos x="0" y="0"/>
            <wp:positionH relativeFrom="column">
              <wp:posOffset>-187960</wp:posOffset>
            </wp:positionH>
            <wp:positionV relativeFrom="paragraph">
              <wp:posOffset>5715</wp:posOffset>
            </wp:positionV>
            <wp:extent cx="5516245" cy="2451735"/>
            <wp:effectExtent l="0" t="0" r="8255" b="5715"/>
            <wp:wrapTopAndBottom/>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43"/>
                    <a:srcRect b="59152"/>
                    <a:stretch>
                      <a:fillRect/>
                    </a:stretch>
                  </pic:blipFill>
                  <pic:spPr>
                    <a:xfrm>
                      <a:off x="0" y="0"/>
                      <a:ext cx="5516245" cy="2451735"/>
                    </a:xfrm>
                    <a:prstGeom prst="rect">
                      <a:avLst/>
                    </a:prstGeom>
                    <a:noFill/>
                    <a:ln>
                      <a:noFill/>
                    </a:ln>
                  </pic:spPr>
                </pic:pic>
              </a:graphicData>
            </a:graphic>
          </wp:anchor>
        </w:drawing>
      </w: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rPr>
          <w:rFonts w:ascii="宋体" w:hAnsi="宋体" w:cs="宋体"/>
          <w:sz w:val="20"/>
        </w:rPr>
      </w:pP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6.3.</w:t>
      </w:r>
      <w:r>
        <w:rPr>
          <w:rFonts w:hint="eastAsia" w:ascii="黑体" w:hAnsi="黑体" w:eastAsia="黑体" w:cs="宋体"/>
          <w:sz w:val="18"/>
          <w:szCs w:val="18"/>
        </w:rPr>
        <w:t>7</w:t>
      </w:r>
      <w:r>
        <w:rPr>
          <w:rFonts w:ascii="黑体" w:hAnsi="黑体" w:eastAsia="黑体" w:cs="宋体"/>
          <w:sz w:val="18"/>
          <w:szCs w:val="18"/>
        </w:rPr>
        <w:t xml:space="preserve"> </w:t>
      </w:r>
      <w:r>
        <w:rPr>
          <w:rFonts w:hint="eastAsia" w:ascii="黑体" w:hAnsi="黑体" w:eastAsia="黑体" w:cs="宋体"/>
          <w:sz w:val="18"/>
          <w:szCs w:val="18"/>
        </w:rPr>
        <w:t>井口防护示意图</w:t>
      </w:r>
    </w:p>
    <w:p>
      <w:pPr>
        <w:spacing w:line="360" w:lineRule="auto"/>
        <w:jc w:val="center"/>
        <w:rPr>
          <w:rFonts w:ascii="宋体" w:hAnsi="宋体" w:cs="宋体"/>
          <w:sz w:val="20"/>
        </w:rPr>
      </w:pPr>
      <w:r>
        <w:rPr>
          <w:rFonts w:ascii="黑体" w:hAnsi="黑体" w:eastAsia="黑体" w:cs="宋体"/>
          <w:sz w:val="18"/>
          <w:szCs w:val="18"/>
        </w:rPr>
        <w:t>1-</w:t>
      </w:r>
      <w:r>
        <w:rPr>
          <w:rFonts w:hint="eastAsia" w:ascii="黑体" w:hAnsi="黑体" w:eastAsia="黑体" w:cs="宋体"/>
          <w:sz w:val="18"/>
          <w:szCs w:val="18"/>
        </w:rPr>
        <w:t>横杆；</w:t>
      </w:r>
      <w:r>
        <w:rPr>
          <w:rFonts w:ascii="黑体" w:hAnsi="黑体" w:eastAsia="黑体" w:cs="宋体"/>
          <w:sz w:val="18"/>
          <w:szCs w:val="18"/>
        </w:rPr>
        <w:t>2-</w:t>
      </w:r>
      <w:r>
        <w:rPr>
          <w:rFonts w:hint="eastAsia" w:ascii="黑体" w:hAnsi="黑体" w:eastAsia="黑体" w:cs="宋体"/>
          <w:sz w:val="18"/>
          <w:szCs w:val="18"/>
        </w:rPr>
        <w:t>立杆；</w:t>
      </w:r>
      <w:r>
        <w:rPr>
          <w:rFonts w:ascii="黑体" w:hAnsi="黑体" w:eastAsia="黑体" w:cs="宋体"/>
          <w:sz w:val="18"/>
          <w:szCs w:val="18"/>
        </w:rPr>
        <w:t>3-</w:t>
      </w:r>
      <w:r>
        <w:rPr>
          <w:rFonts w:hint="eastAsia" w:ascii="黑体" w:hAnsi="黑体" w:eastAsia="黑体" w:cs="宋体"/>
          <w:sz w:val="18"/>
          <w:szCs w:val="18"/>
        </w:rPr>
        <w:t>井口；</w:t>
      </w:r>
      <w:r>
        <w:rPr>
          <w:rFonts w:ascii="黑体" w:hAnsi="黑体" w:eastAsia="黑体" w:cs="宋体"/>
          <w:sz w:val="18"/>
          <w:szCs w:val="18"/>
        </w:rPr>
        <w:t>4-</w:t>
      </w:r>
      <w:r>
        <w:rPr>
          <w:rFonts w:hint="eastAsia" w:ascii="黑体" w:hAnsi="黑体" w:eastAsia="黑体" w:cs="宋体"/>
          <w:sz w:val="18"/>
          <w:szCs w:val="18"/>
        </w:rPr>
        <w:t>井壁；</w:t>
      </w:r>
      <w:r>
        <w:rPr>
          <w:rFonts w:ascii="黑体" w:hAnsi="黑体" w:eastAsia="黑体" w:cs="宋体"/>
          <w:sz w:val="18"/>
          <w:szCs w:val="18"/>
        </w:rPr>
        <w:t>5-</w:t>
      </w:r>
      <w:r>
        <w:rPr>
          <w:rFonts w:hint="eastAsia" w:ascii="黑体" w:hAnsi="黑体" w:eastAsia="黑体" w:cs="宋体"/>
          <w:sz w:val="18"/>
          <w:szCs w:val="18"/>
        </w:rPr>
        <w:t>盖板</w:t>
      </w:r>
    </w:p>
    <w:p>
      <w:pPr>
        <w:spacing w:line="360" w:lineRule="auto"/>
        <w:rPr>
          <w:sz w:val="20"/>
        </w:rPr>
      </w:pPr>
      <w:r>
        <w:rPr>
          <w:rFonts w:hint="eastAsia"/>
          <w:b/>
          <w:bCs/>
        </w:rPr>
        <w:t xml:space="preserve">6.3.8 </w:t>
      </w:r>
      <w:r>
        <w:rPr>
          <w:sz w:val="20"/>
        </w:rPr>
        <w:t>人工拆除工程，原有洞口应设置防护设施，拆除过程中应随拆随护。</w:t>
      </w:r>
    </w:p>
    <w:p>
      <w:pPr>
        <w:spacing w:line="360" w:lineRule="auto"/>
        <w:rPr>
          <w:sz w:val="20"/>
        </w:rPr>
      </w:pPr>
      <w:r>
        <w:rPr>
          <w:rFonts w:hint="eastAsia"/>
          <w:b/>
          <w:bCs/>
        </w:rPr>
        <w:t xml:space="preserve">6.3.9 </w:t>
      </w:r>
      <w:r>
        <w:rPr>
          <w:sz w:val="20"/>
        </w:rPr>
        <w:t>楼梯与结构施工不同步时，应设置防护设施，楼梯间整体平台防护示意图见图6.3.9-1，现浇施工楼梯间防护示意图见图6.3.9-2，并应符合以下规定：</w:t>
      </w:r>
    </w:p>
    <w:p>
      <w:pPr>
        <w:spacing w:line="360" w:lineRule="auto"/>
        <w:ind w:firstLine="316" w:firstLineChars="150"/>
        <w:rPr>
          <w:sz w:val="20"/>
        </w:rPr>
      </w:pPr>
      <w:r>
        <w:rPr>
          <w:rFonts w:hint="eastAsia"/>
          <w:b/>
          <w:bCs/>
        </w:rPr>
        <w:t>1</w:t>
      </w:r>
      <w:r>
        <w:rPr>
          <w:sz w:val="20"/>
        </w:rPr>
        <w:t xml:space="preserve">  楼梯间整体平台的框架选用方钢尺寸不应小于120mm×120mm；</w:t>
      </w:r>
    </w:p>
    <w:p>
      <w:pPr>
        <w:spacing w:line="360" w:lineRule="auto"/>
        <w:ind w:firstLine="316" w:firstLineChars="150"/>
        <w:rPr>
          <w:sz w:val="20"/>
        </w:rPr>
      </w:pPr>
      <w:r>
        <w:rPr>
          <w:rFonts w:hint="eastAsia"/>
          <w:b/>
          <w:bCs/>
        </w:rPr>
        <w:t>2</w:t>
      </w:r>
      <w:r>
        <w:rPr>
          <w:sz w:val="20"/>
        </w:rPr>
        <w:t xml:space="preserve">  楼梯间整体平台应选用可靠的固定方式与建筑结构连接；</w:t>
      </w:r>
    </w:p>
    <w:p>
      <w:pPr>
        <w:spacing w:line="360" w:lineRule="auto"/>
        <w:ind w:firstLine="316" w:firstLineChars="150"/>
        <w:jc w:val="left"/>
        <w:rPr>
          <w:sz w:val="20"/>
        </w:rPr>
      </w:pPr>
      <w:r>
        <w:rPr>
          <w:rFonts w:hint="eastAsia"/>
          <w:b/>
          <w:bCs/>
        </w:rPr>
        <w:t>3</w:t>
      </w:r>
      <w:r>
        <w:rPr>
          <w:sz w:val="20"/>
        </w:rPr>
        <w:t xml:space="preserve">  楼梯间整体平台与建筑结构间的缝隙使用翻板防护严密；</w:t>
      </w:r>
    </w:p>
    <w:p>
      <w:pPr>
        <w:spacing w:line="360" w:lineRule="auto"/>
        <w:ind w:firstLine="339" w:firstLineChars="161"/>
        <w:jc w:val="left"/>
        <w:rPr>
          <w:sz w:val="20"/>
        </w:rPr>
      </w:pPr>
      <w:r>
        <w:rPr>
          <w:rFonts w:hint="eastAsia"/>
          <w:b/>
          <w:bCs/>
        </w:rPr>
        <w:t>4</w:t>
      </w:r>
      <w:r>
        <w:rPr>
          <w:sz w:val="20"/>
        </w:rPr>
        <w:t xml:space="preserve">  楼梯间整体平台仅作为防护设施及人员上下通道，不应作为材料周转调运平台使用；</w:t>
      </w:r>
    </w:p>
    <w:p>
      <w:pPr>
        <w:spacing w:line="360" w:lineRule="auto"/>
        <w:ind w:firstLine="339" w:firstLineChars="161"/>
        <w:rPr>
          <w:sz w:val="20"/>
        </w:rPr>
      </w:pPr>
      <w:r>
        <w:rPr>
          <w:rFonts w:hint="eastAsia"/>
          <w:b/>
          <w:bCs/>
        </w:rPr>
        <w:t>5</w:t>
      </w:r>
      <w:r>
        <w:rPr>
          <w:b/>
          <w:bCs/>
          <w:sz w:val="20"/>
        </w:rPr>
        <w:t xml:space="preserve">  </w:t>
      </w:r>
      <w:r>
        <w:rPr>
          <w:sz w:val="20"/>
        </w:rPr>
        <w:t>现浇工艺施工的楼梯间应在楼梯钢筋绑扎前搭设防护栏杆，上横杆距地面高度不低于1200mm,立柱间距不超过2000mm。护栏表面刷红白相间油漆，防护栏底部设挡脚板，高度不低于180mm,刷红白相间警示条纹。</w:t>
      </w:r>
    </w:p>
    <w:p>
      <w:pPr>
        <w:spacing w:line="360" w:lineRule="auto"/>
        <w:jc w:val="center"/>
      </w:pPr>
    </w:p>
    <w:p>
      <w:pPr>
        <w:spacing w:line="360" w:lineRule="auto"/>
        <w:jc w:val="center"/>
        <w:rPr>
          <w:rFonts w:ascii="宋体" w:hAnsi="宋体" w:cs="宋体"/>
          <w:sz w:val="20"/>
        </w:rPr>
      </w:pPr>
      <w:r>
        <w:drawing>
          <wp:inline distT="0" distB="0" distL="114300" distR="114300">
            <wp:extent cx="4506595" cy="2816860"/>
            <wp:effectExtent l="0" t="0" r="8255" b="254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44"/>
                    <a:stretch>
                      <a:fillRect/>
                    </a:stretch>
                  </pic:blipFill>
                  <pic:spPr>
                    <a:xfrm>
                      <a:off x="0" y="0"/>
                      <a:ext cx="4506595" cy="281686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6.3.</w:t>
      </w:r>
      <w:r>
        <w:rPr>
          <w:rFonts w:hint="eastAsia" w:ascii="黑体" w:hAnsi="黑体" w:eastAsia="黑体" w:cs="宋体"/>
          <w:sz w:val="18"/>
          <w:szCs w:val="18"/>
        </w:rPr>
        <w:t>9</w:t>
      </w:r>
      <w:r>
        <w:rPr>
          <w:rFonts w:ascii="黑体" w:hAnsi="黑体" w:eastAsia="黑体" w:cs="宋体"/>
          <w:sz w:val="18"/>
          <w:szCs w:val="18"/>
        </w:rPr>
        <w:t xml:space="preserve">-1 </w:t>
      </w:r>
      <w:r>
        <w:rPr>
          <w:rFonts w:hint="eastAsia" w:ascii="黑体" w:hAnsi="黑体" w:eastAsia="黑体" w:cs="宋体"/>
          <w:sz w:val="18"/>
          <w:szCs w:val="18"/>
        </w:rPr>
        <w:t>楼梯间整体平台防护示意图（单位：</w:t>
      </w:r>
      <w:r>
        <w:rPr>
          <w:rFonts w:ascii="黑体" w:hAnsi="黑体" w:eastAsia="黑体" w:cs="宋体"/>
          <w:sz w:val="18"/>
          <w:szCs w:val="18"/>
        </w:rPr>
        <w:t>mm）</w:t>
      </w:r>
    </w:p>
    <w:p>
      <w:pPr>
        <w:spacing w:line="360" w:lineRule="auto"/>
        <w:jc w:val="center"/>
        <w:rPr>
          <w:rFonts w:ascii="黑体" w:hAnsi="黑体" w:eastAsia="黑体" w:cs="宋体"/>
          <w:sz w:val="18"/>
          <w:szCs w:val="18"/>
        </w:rPr>
      </w:pPr>
      <w:r>
        <w:rPr>
          <w:rFonts w:ascii="黑体" w:hAnsi="黑体" w:eastAsia="黑体" w:cs="宋体"/>
          <w:sz w:val="18"/>
          <w:szCs w:val="18"/>
        </w:rPr>
        <w:t>1-120mm×120mm方钢；2-</w:t>
      </w:r>
      <w:r>
        <w:rPr>
          <w:rFonts w:hint="eastAsia" w:ascii="黑体" w:hAnsi="黑体" w:eastAsia="黑体" w:cs="宋体"/>
          <w:sz w:val="18"/>
          <w:szCs w:val="18"/>
        </w:rPr>
        <w:t>防护栏杆；</w:t>
      </w:r>
      <w:r>
        <w:rPr>
          <w:rFonts w:ascii="黑体" w:hAnsi="黑体" w:eastAsia="黑体" w:cs="宋体"/>
          <w:sz w:val="18"/>
          <w:szCs w:val="18"/>
        </w:rPr>
        <w:t>3-100mm×100mm推拉式固定钢梁</w:t>
      </w:r>
    </w:p>
    <w:p>
      <w:pPr>
        <w:spacing w:line="360" w:lineRule="auto"/>
        <w:jc w:val="center"/>
        <w:rPr>
          <w:rFonts w:ascii="宋体" w:hAnsi="宋体" w:cs="宋体"/>
          <w:sz w:val="20"/>
        </w:rPr>
      </w:pPr>
      <w:r>
        <w:drawing>
          <wp:inline distT="0" distB="0" distL="114300" distR="114300">
            <wp:extent cx="4231005" cy="2686050"/>
            <wp:effectExtent l="0" t="0" r="1714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5"/>
                    <a:stretch>
                      <a:fillRect/>
                    </a:stretch>
                  </pic:blipFill>
                  <pic:spPr>
                    <a:xfrm>
                      <a:off x="0" y="0"/>
                      <a:ext cx="4231005" cy="268605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6.3.</w:t>
      </w:r>
      <w:r>
        <w:rPr>
          <w:rFonts w:hint="eastAsia" w:ascii="黑体" w:hAnsi="黑体" w:eastAsia="黑体" w:cs="宋体"/>
          <w:sz w:val="18"/>
          <w:szCs w:val="18"/>
        </w:rPr>
        <w:t>9</w:t>
      </w:r>
      <w:r>
        <w:rPr>
          <w:rFonts w:ascii="黑体" w:hAnsi="黑体" w:eastAsia="黑体" w:cs="宋体"/>
          <w:sz w:val="18"/>
          <w:szCs w:val="18"/>
        </w:rPr>
        <w:t xml:space="preserve">-2 </w:t>
      </w:r>
      <w:bookmarkStart w:id="115" w:name="_Hlk148014013"/>
      <w:r>
        <w:rPr>
          <w:rFonts w:hint="eastAsia" w:ascii="黑体" w:hAnsi="黑体" w:eastAsia="黑体" w:cs="宋体"/>
          <w:sz w:val="18"/>
          <w:szCs w:val="18"/>
        </w:rPr>
        <w:t>现浇施工楼梯间防护示意图</w:t>
      </w:r>
      <w:bookmarkEnd w:id="115"/>
      <w:r>
        <w:rPr>
          <w:rFonts w:hint="eastAsia" w:ascii="黑体" w:hAnsi="黑体" w:eastAsia="黑体" w:cs="宋体"/>
          <w:sz w:val="18"/>
          <w:szCs w:val="18"/>
        </w:rPr>
        <w:t>（单位：</w:t>
      </w:r>
      <w:r>
        <w:rPr>
          <w:rFonts w:ascii="黑体" w:hAnsi="黑体" w:eastAsia="黑体" w:cs="宋体"/>
          <w:sz w:val="18"/>
          <w:szCs w:val="18"/>
        </w:rPr>
        <w:t>mm）</w:t>
      </w:r>
    </w:p>
    <w:p>
      <w:pPr>
        <w:spacing w:line="360" w:lineRule="auto"/>
        <w:jc w:val="center"/>
        <w:rPr>
          <w:rFonts w:ascii="黑体" w:hAnsi="黑体" w:eastAsia="黑体" w:cs="宋体"/>
          <w:sz w:val="18"/>
          <w:szCs w:val="18"/>
        </w:rPr>
      </w:pPr>
      <w:r>
        <w:rPr>
          <w:rFonts w:ascii="黑体" w:hAnsi="黑体" w:eastAsia="黑体" w:cs="宋体"/>
          <w:sz w:val="18"/>
          <w:szCs w:val="18"/>
        </w:rPr>
        <w:t>1-</w:t>
      </w:r>
      <w:r>
        <w:rPr>
          <w:rFonts w:hint="eastAsia" w:ascii="黑体" w:hAnsi="黑体" w:eastAsia="黑体" w:cs="宋体"/>
          <w:sz w:val="18"/>
          <w:szCs w:val="18"/>
        </w:rPr>
        <w:t>立杆；</w:t>
      </w:r>
      <w:r>
        <w:rPr>
          <w:rFonts w:ascii="黑体" w:hAnsi="黑体" w:eastAsia="黑体" w:cs="宋体"/>
          <w:sz w:val="18"/>
          <w:szCs w:val="18"/>
        </w:rPr>
        <w:t>2-</w:t>
      </w:r>
      <w:r>
        <w:rPr>
          <w:rFonts w:hint="eastAsia" w:ascii="黑体" w:hAnsi="黑体" w:eastAsia="黑体" w:cs="宋体"/>
          <w:sz w:val="18"/>
          <w:szCs w:val="18"/>
        </w:rPr>
        <w:t>横杆；</w:t>
      </w:r>
      <w:r>
        <w:rPr>
          <w:rFonts w:ascii="黑体" w:hAnsi="黑体" w:eastAsia="黑体" w:cs="宋体"/>
          <w:sz w:val="18"/>
          <w:szCs w:val="18"/>
        </w:rPr>
        <w:t>3-</w:t>
      </w:r>
      <w:r>
        <w:rPr>
          <w:rFonts w:hint="eastAsia" w:ascii="黑体" w:hAnsi="黑体" w:eastAsia="黑体" w:cs="宋体"/>
          <w:sz w:val="18"/>
          <w:szCs w:val="18"/>
        </w:rPr>
        <w:t>挡脚板</w:t>
      </w:r>
    </w:p>
    <w:bookmarkEnd w:id="96"/>
    <w:bookmarkEnd w:id="98"/>
    <w:bookmarkEnd w:id="99"/>
    <w:p>
      <w:pPr>
        <w:spacing w:before="278" w:line="360" w:lineRule="auto"/>
        <w:jc w:val="center"/>
        <w:outlineLvl w:val="0"/>
        <w:rPr>
          <w:b/>
          <w:bCs/>
          <w:sz w:val="26"/>
          <w:szCs w:val="26"/>
        </w:rPr>
      </w:pPr>
      <w:bookmarkStart w:id="116" w:name="_Toc16826"/>
      <w:bookmarkStart w:id="117" w:name="_Toc28139"/>
      <w:bookmarkStart w:id="118" w:name="_Toc29704"/>
      <w:bookmarkStart w:id="119" w:name="_Toc21031"/>
      <w:r>
        <w:rPr>
          <w:b/>
          <w:bCs/>
          <w:spacing w:val="-1"/>
          <w:sz w:val="26"/>
          <w:szCs w:val="26"/>
        </w:rPr>
        <w:t>7</w:t>
      </w:r>
      <w:r>
        <w:rPr>
          <w:b/>
          <w:bCs/>
          <w:sz w:val="26"/>
          <w:szCs w:val="26"/>
        </w:rPr>
        <w:t xml:space="preserve">  操作平台安全防护</w:t>
      </w:r>
      <w:bookmarkEnd w:id="116"/>
    </w:p>
    <w:p>
      <w:pPr>
        <w:spacing w:before="268" w:line="360" w:lineRule="auto"/>
        <w:jc w:val="center"/>
        <w:outlineLvl w:val="1"/>
        <w:rPr>
          <w:b/>
          <w:bCs/>
          <w:szCs w:val="21"/>
        </w:rPr>
      </w:pPr>
      <w:bookmarkStart w:id="120" w:name="_Toc10047"/>
      <w:r>
        <w:rPr>
          <w:b/>
          <w:bCs/>
          <w:szCs w:val="21"/>
        </w:rPr>
        <w:t>7.1  一般规定</w:t>
      </w:r>
      <w:bookmarkEnd w:id="120"/>
    </w:p>
    <w:p>
      <w:pPr>
        <w:spacing w:line="360" w:lineRule="auto"/>
        <w:ind w:right="30"/>
        <w:jc w:val="left"/>
        <w:rPr>
          <w:spacing w:val="4"/>
          <w:position w:val="-2"/>
          <w:szCs w:val="21"/>
        </w:rPr>
      </w:pPr>
      <w:r>
        <w:rPr>
          <w:b/>
          <w:bCs/>
          <w:szCs w:val="21"/>
        </w:rPr>
        <w:t xml:space="preserve">7.1.1  </w:t>
      </w:r>
      <w:r>
        <w:rPr>
          <w:spacing w:val="4"/>
          <w:position w:val="-2"/>
          <w:szCs w:val="21"/>
        </w:rPr>
        <w:t>操作平台应通过设计计算，并应编制专项方案或专项技术交底，架体构造与材质应满足国家现行相关标准的规定。定型化操作平台应满足产品说明书的要求。</w:t>
      </w:r>
    </w:p>
    <w:p>
      <w:pPr>
        <w:spacing w:line="360" w:lineRule="auto"/>
        <w:jc w:val="left"/>
        <w:rPr>
          <w:szCs w:val="21"/>
        </w:rPr>
      </w:pPr>
      <w:r>
        <w:rPr>
          <w:b/>
          <w:bCs/>
          <w:szCs w:val="21"/>
        </w:rPr>
        <w:t xml:space="preserve">7.1.2  </w:t>
      </w:r>
      <w:r>
        <w:rPr>
          <w:szCs w:val="21"/>
        </w:rPr>
        <w:t>操作平台应按本标准第5章的规定设置防护设施。</w:t>
      </w:r>
    </w:p>
    <w:p>
      <w:pPr>
        <w:spacing w:line="360" w:lineRule="auto"/>
        <w:jc w:val="left"/>
        <w:rPr>
          <w:szCs w:val="21"/>
        </w:rPr>
      </w:pPr>
      <w:r>
        <w:rPr>
          <w:b/>
          <w:bCs/>
          <w:szCs w:val="21"/>
        </w:rPr>
        <w:t xml:space="preserve">7.1.3  </w:t>
      </w:r>
      <w:r>
        <w:rPr>
          <w:szCs w:val="21"/>
        </w:rPr>
        <w:t>操作平台作业层应满铺钢、木等材质的脚手板，脚手板的选取应符合下列规定：</w:t>
      </w:r>
    </w:p>
    <w:p>
      <w:pPr>
        <w:spacing w:line="360" w:lineRule="auto"/>
        <w:ind w:firstLine="320" w:firstLineChars="152"/>
        <w:jc w:val="left"/>
        <w:rPr>
          <w:bCs/>
          <w:szCs w:val="21"/>
        </w:rPr>
      </w:pPr>
      <w:r>
        <w:rPr>
          <w:b/>
          <w:bCs/>
          <w:szCs w:val="21"/>
        </w:rPr>
        <w:t>1</w:t>
      </w:r>
      <w:r>
        <w:rPr>
          <w:bCs/>
          <w:szCs w:val="21"/>
        </w:rPr>
        <w:t xml:space="preserve">  压钢脚手板的材质应符合现行国家标准《碳素结构钢》GB/T 700中Q235级钢的规定；</w:t>
      </w:r>
    </w:p>
    <w:p>
      <w:pPr>
        <w:spacing w:line="360" w:lineRule="auto"/>
        <w:ind w:firstLine="320" w:firstLineChars="152"/>
        <w:jc w:val="left"/>
        <w:rPr>
          <w:szCs w:val="21"/>
        </w:rPr>
      </w:pPr>
      <w:r>
        <w:rPr>
          <w:b/>
          <w:bCs/>
          <w:szCs w:val="21"/>
        </w:rPr>
        <w:t xml:space="preserve">2  </w:t>
      </w:r>
      <w:r>
        <w:rPr>
          <w:bCs/>
          <w:szCs w:val="21"/>
        </w:rPr>
        <w:t>木脚手板材质应符合现行国家标准《木结构设计规范》GB 50005中Ⅱa级材质的规定；脚手板</w:t>
      </w:r>
      <w:r>
        <w:rPr>
          <w:szCs w:val="21"/>
        </w:rPr>
        <w:t>厚度不应小于50mm，两端应各设置直径不小于4mm的镀锌钢丝箍两道固定在支撑杆件上；</w:t>
      </w:r>
    </w:p>
    <w:p>
      <w:pPr>
        <w:spacing w:line="360" w:lineRule="auto"/>
        <w:ind w:firstLine="320" w:firstLineChars="152"/>
        <w:jc w:val="left"/>
        <w:rPr>
          <w:szCs w:val="21"/>
        </w:rPr>
      </w:pPr>
      <w:r>
        <w:rPr>
          <w:b/>
          <w:bCs/>
          <w:szCs w:val="21"/>
        </w:rPr>
        <w:t xml:space="preserve">3  </w:t>
      </w:r>
      <w:r>
        <w:rPr>
          <w:szCs w:val="21"/>
        </w:rPr>
        <w:t>脚手板的铺设应符合现行行业标准《建筑施工扣件式钢管脚手架安全技术规范》JGJ 130的规定。</w:t>
      </w:r>
    </w:p>
    <w:p>
      <w:pPr>
        <w:spacing w:line="360" w:lineRule="auto"/>
        <w:jc w:val="left"/>
        <w:rPr>
          <w:szCs w:val="21"/>
        </w:rPr>
      </w:pPr>
      <w:r>
        <w:rPr>
          <w:b/>
          <w:bCs/>
          <w:szCs w:val="21"/>
        </w:rPr>
        <w:t xml:space="preserve">7.1.4  </w:t>
      </w:r>
      <w:r>
        <w:rPr>
          <w:szCs w:val="21"/>
        </w:rPr>
        <w:t>操作平台应设置供人上下的爬梯，爬梯应符合现行国家标准《固定式钢梯及平台安全要求第1部分：钢直梯》GB 4053.1、《固定式钢梯及平台安全要求第2部分：钢斜梯》GB 4053.2的规定。</w:t>
      </w:r>
    </w:p>
    <w:p>
      <w:pPr>
        <w:spacing w:line="360" w:lineRule="auto"/>
        <w:jc w:val="left"/>
        <w:rPr>
          <w:rFonts w:eastAsia="黑体"/>
          <w:szCs w:val="21"/>
        </w:rPr>
      </w:pPr>
      <w:r>
        <w:rPr>
          <w:b/>
          <w:bCs/>
          <w:szCs w:val="21"/>
        </w:rPr>
        <w:t xml:space="preserve">7.1.5  </w:t>
      </w:r>
      <w:r>
        <w:rPr>
          <w:bCs/>
          <w:szCs w:val="21"/>
        </w:rPr>
        <w:t>载料</w:t>
      </w:r>
      <w:r>
        <w:rPr>
          <w:szCs w:val="21"/>
        </w:rPr>
        <w:t>操作平台应设置限载标识，且应注明各种物料允许放置数量和限定允许的作业人数，物料应及时转运，不得超重、超高堆放。</w:t>
      </w:r>
    </w:p>
    <w:p>
      <w:pPr>
        <w:spacing w:before="268" w:line="360" w:lineRule="auto"/>
        <w:jc w:val="center"/>
        <w:outlineLvl w:val="1"/>
        <w:rPr>
          <w:b/>
          <w:bCs/>
          <w:szCs w:val="21"/>
        </w:rPr>
      </w:pPr>
      <w:bookmarkStart w:id="121" w:name="_Toc26437"/>
      <w:r>
        <w:rPr>
          <w:b/>
          <w:bCs/>
          <w:szCs w:val="21"/>
        </w:rPr>
        <w:t>7.2  移动（升降）式操作平台安全防护</w:t>
      </w:r>
      <w:bookmarkEnd w:id="121"/>
    </w:p>
    <w:p>
      <w:pPr>
        <w:spacing w:line="360" w:lineRule="auto"/>
        <w:jc w:val="left"/>
        <w:rPr>
          <w:szCs w:val="21"/>
        </w:rPr>
      </w:pPr>
      <w:r>
        <w:rPr>
          <w:rFonts w:hint="eastAsia"/>
          <w:b/>
          <w:bCs/>
          <w:szCs w:val="21"/>
        </w:rPr>
        <w:t>7.2.1</w:t>
      </w:r>
      <w:r>
        <w:rPr>
          <w:b/>
          <w:bCs/>
          <w:spacing w:val="10"/>
          <w:szCs w:val="21"/>
        </w:rPr>
        <w:t xml:space="preserve">  </w:t>
      </w:r>
      <w:r>
        <w:rPr>
          <w:spacing w:val="5"/>
          <w:szCs w:val="21"/>
        </w:rPr>
        <w:t>移动式操作平台、升降式操作平台临边应设置高度不低于1200mm防护栏</w:t>
      </w:r>
      <w:r>
        <w:rPr>
          <w:spacing w:val="6"/>
          <w:szCs w:val="21"/>
        </w:rPr>
        <w:t>杆，并采用密目式安全网封闭，底部设置高度不低于180</w:t>
      </w:r>
      <w:r>
        <w:rPr>
          <w:szCs w:val="21"/>
        </w:rPr>
        <w:t>mm</w:t>
      </w:r>
      <w:r>
        <w:rPr>
          <w:spacing w:val="6"/>
          <w:szCs w:val="21"/>
        </w:rPr>
        <w:t>挡脚板</w:t>
      </w:r>
      <w:r>
        <w:rPr>
          <w:spacing w:val="1"/>
          <w:szCs w:val="21"/>
        </w:rPr>
        <w:t>。</w:t>
      </w:r>
      <w:r>
        <w:rPr>
          <w:spacing w:val="8"/>
          <w:szCs w:val="21"/>
        </w:rPr>
        <w:t>平台出入口应采用硬质材料进行刚性封闭。</w:t>
      </w:r>
    </w:p>
    <w:p>
      <w:pPr>
        <w:spacing w:line="360" w:lineRule="auto"/>
        <w:jc w:val="left"/>
        <w:rPr>
          <w:szCs w:val="21"/>
        </w:rPr>
      </w:pPr>
      <w:r>
        <w:rPr>
          <w:rFonts w:hint="eastAsia"/>
          <w:b/>
          <w:bCs/>
          <w:szCs w:val="21"/>
        </w:rPr>
        <w:t>7.2.2</w:t>
      </w:r>
      <w:r>
        <w:rPr>
          <w:spacing w:val="2"/>
          <w:szCs w:val="21"/>
        </w:rPr>
        <w:t xml:space="preserve">  移动式操作平台面积不宜大于10㎡，高度不宜大于5000m</w:t>
      </w:r>
      <w:r>
        <w:rPr>
          <w:szCs w:val="21"/>
        </w:rPr>
        <w:t>m</w:t>
      </w:r>
      <w:r>
        <w:rPr>
          <w:spacing w:val="2"/>
          <w:szCs w:val="21"/>
        </w:rPr>
        <w:t>，高宽比不应大于2:</w:t>
      </w:r>
      <w:r>
        <w:rPr>
          <w:spacing w:val="1"/>
          <w:szCs w:val="21"/>
        </w:rPr>
        <w:t>1</w:t>
      </w:r>
      <w:r>
        <w:rPr>
          <w:szCs w:val="21"/>
        </w:rPr>
        <w:t>，施工</w:t>
      </w:r>
      <w:r>
        <w:rPr>
          <w:spacing w:val="-1"/>
          <w:szCs w:val="21"/>
        </w:rPr>
        <w:t>荷载不应大于1.5</w:t>
      </w:r>
      <w:r>
        <w:rPr>
          <w:szCs w:val="21"/>
        </w:rPr>
        <w:t>kN</w:t>
      </w:r>
      <w:r>
        <w:rPr>
          <w:spacing w:val="-1"/>
          <w:szCs w:val="21"/>
        </w:rPr>
        <w:t>/㎡。</w:t>
      </w:r>
    </w:p>
    <w:p>
      <w:pPr>
        <w:spacing w:line="360" w:lineRule="auto"/>
        <w:jc w:val="left"/>
        <w:rPr>
          <w:spacing w:val="5"/>
          <w:szCs w:val="21"/>
        </w:rPr>
      </w:pPr>
      <w:r>
        <w:rPr>
          <w:rFonts w:hint="eastAsia"/>
          <w:b/>
          <w:bCs/>
          <w:szCs w:val="21"/>
        </w:rPr>
        <w:t>7.2.3</w:t>
      </w:r>
      <w:r>
        <w:rPr>
          <w:spacing w:val="5"/>
          <w:szCs w:val="21"/>
        </w:rPr>
        <w:t xml:space="preserve">  操作平台防护栏杆可采用φ48.3</w:t>
      </w:r>
      <w:r>
        <w:rPr>
          <w:szCs w:val="21"/>
        </w:rPr>
        <w:t>mm</w:t>
      </w:r>
      <w:r>
        <w:rPr>
          <w:spacing w:val="5"/>
          <w:szCs w:val="21"/>
        </w:rPr>
        <w:t>×3.6</w:t>
      </w:r>
      <w:r>
        <w:rPr>
          <w:szCs w:val="21"/>
        </w:rPr>
        <w:t>mm</w:t>
      </w:r>
      <w:r>
        <w:rPr>
          <w:spacing w:val="5"/>
          <w:szCs w:val="21"/>
        </w:rPr>
        <w:t>钢管，应采用扣接或承插方式与平台连接牢固，</w:t>
      </w:r>
      <w:r>
        <w:rPr>
          <w:spacing w:val="-1"/>
          <w:szCs w:val="21"/>
        </w:rPr>
        <w:t>台面应满铺5</w:t>
      </w:r>
      <w:r>
        <w:rPr>
          <w:szCs w:val="21"/>
        </w:rPr>
        <w:t>mm</w:t>
      </w:r>
      <w:r>
        <w:rPr>
          <w:spacing w:val="-1"/>
          <w:szCs w:val="21"/>
        </w:rPr>
        <w:t>厚钢质或50</w:t>
      </w:r>
      <w:r>
        <w:rPr>
          <w:szCs w:val="21"/>
        </w:rPr>
        <w:t>mm</w:t>
      </w:r>
      <w:r>
        <w:rPr>
          <w:spacing w:val="-1"/>
          <w:szCs w:val="21"/>
        </w:rPr>
        <w:t>厚木质的脚手板，并固定牢固。移动操作平台示意图见图</w:t>
      </w:r>
      <w:r>
        <w:rPr>
          <w:rFonts w:hint="eastAsia"/>
          <w:szCs w:val="21"/>
        </w:rPr>
        <w:t>7.2.3-1、7.2.3-2、7.2.3-3、7.2.3-4、7.2.3-5、7.2.3-6</w:t>
      </w:r>
      <w:r>
        <w:rPr>
          <w:spacing w:val="5"/>
          <w:szCs w:val="21"/>
        </w:rPr>
        <w:t>)</w:t>
      </w:r>
      <w:r>
        <w:rPr>
          <w:spacing w:val="-1"/>
          <w:szCs w:val="21"/>
        </w:rPr>
        <w:t>。</w:t>
      </w:r>
    </w:p>
    <w:p>
      <w:pPr>
        <w:spacing w:before="28" w:line="360" w:lineRule="auto"/>
        <w:jc w:val="left"/>
        <w:textAlignment w:val="center"/>
        <w:rPr>
          <w:rFonts w:ascii="宋体" w:hAnsi="宋体" w:cs="宋体"/>
          <w:szCs w:val="21"/>
        </w:rPr>
      </w:pPr>
      <w:r>
        <w:rPr>
          <w:rFonts w:hint="eastAsia" w:ascii="宋体" w:hAnsi="宋体" w:cs="宋体"/>
          <w:szCs w:val="21"/>
        </w:rPr>
        <w:drawing>
          <wp:inline distT="0" distB="0" distL="114300" distR="114300">
            <wp:extent cx="5212080" cy="2720340"/>
            <wp:effectExtent l="0" t="0" r="7620" b="3810"/>
            <wp:docPr id="71" name="图片 30"/>
            <wp:cNvGraphicFramePr/>
            <a:graphic xmlns:a="http://schemas.openxmlformats.org/drawingml/2006/main">
              <a:graphicData uri="http://schemas.openxmlformats.org/drawingml/2006/picture">
                <pic:pic xmlns:pic="http://schemas.openxmlformats.org/drawingml/2006/picture">
                  <pic:nvPicPr>
                    <pic:cNvPr id="71" name="图片 30"/>
                    <pic:cNvPicPr/>
                  </pic:nvPicPr>
                  <pic:blipFill>
                    <a:blip r:embed="rId46"/>
                    <a:stretch>
                      <a:fillRect/>
                    </a:stretch>
                  </pic:blipFill>
                  <pic:spPr>
                    <a:xfrm>
                      <a:off x="0" y="0"/>
                      <a:ext cx="5212080" cy="2720340"/>
                    </a:xfrm>
                    <a:prstGeom prst="rect">
                      <a:avLst/>
                    </a:prstGeom>
                    <a:noFill/>
                    <a:ln>
                      <a:noFill/>
                    </a:ln>
                  </pic:spPr>
                </pic:pic>
              </a:graphicData>
            </a:graphic>
          </wp:inline>
        </w:drawing>
      </w:r>
    </w:p>
    <w:p>
      <w:pPr>
        <w:spacing w:line="360" w:lineRule="auto"/>
        <w:jc w:val="center"/>
        <w:rPr>
          <w:rFonts w:ascii="黑体" w:hAnsi="黑体" w:eastAsia="黑体" w:cs="宋体"/>
          <w:spacing w:val="5"/>
          <w:sz w:val="18"/>
          <w:szCs w:val="18"/>
        </w:rPr>
      </w:pPr>
      <w:r>
        <w:rPr>
          <w:rFonts w:hint="eastAsia" w:ascii="黑体" w:hAnsi="黑体" w:eastAsia="黑体" w:cs="宋体"/>
          <w:spacing w:val="10"/>
          <w:sz w:val="18"/>
          <w:szCs w:val="18"/>
        </w:rPr>
        <w:t>图</w:t>
      </w:r>
      <w:r>
        <w:rPr>
          <w:rFonts w:ascii="黑体" w:hAnsi="黑体" w:eastAsia="黑体" w:cs="宋体"/>
          <w:spacing w:val="10"/>
          <w:sz w:val="18"/>
          <w:szCs w:val="18"/>
        </w:rPr>
        <w:t>7.2.</w:t>
      </w:r>
      <w:r>
        <w:rPr>
          <w:rFonts w:ascii="黑体" w:hAnsi="黑体" w:eastAsia="黑体" w:cs="宋体"/>
          <w:spacing w:val="9"/>
          <w:sz w:val="18"/>
          <w:szCs w:val="18"/>
        </w:rPr>
        <w:t>3</w:t>
      </w:r>
      <w:r>
        <w:rPr>
          <w:rFonts w:ascii="黑体" w:hAnsi="黑体" w:eastAsia="黑体" w:cs="宋体"/>
          <w:spacing w:val="5"/>
          <w:sz w:val="18"/>
          <w:szCs w:val="18"/>
        </w:rPr>
        <w:t xml:space="preserve">-1扣件钢管移动式操作平台        </w:t>
      </w:r>
      <w:r>
        <w:rPr>
          <w:rFonts w:hint="eastAsia" w:ascii="黑体" w:hAnsi="黑体" w:eastAsia="黑体" w:cs="宋体"/>
          <w:spacing w:val="5"/>
          <w:sz w:val="18"/>
          <w:szCs w:val="18"/>
        </w:rPr>
        <w:t>图</w:t>
      </w:r>
      <w:r>
        <w:rPr>
          <w:rFonts w:ascii="黑体" w:hAnsi="黑体" w:eastAsia="黑体" w:cs="宋体"/>
          <w:spacing w:val="5"/>
          <w:sz w:val="18"/>
          <w:szCs w:val="18"/>
        </w:rPr>
        <w:t xml:space="preserve">7.2.3-2 </w:t>
      </w:r>
      <w:r>
        <w:rPr>
          <w:rFonts w:hint="eastAsia" w:ascii="黑体" w:hAnsi="黑体" w:eastAsia="黑体" w:cs="宋体"/>
          <w:spacing w:val="5"/>
          <w:sz w:val="18"/>
          <w:szCs w:val="18"/>
        </w:rPr>
        <w:t>扣件钢管移动式操作平台</w:t>
      </w:r>
    </w:p>
    <w:p>
      <w:pPr>
        <w:spacing w:line="360" w:lineRule="auto"/>
        <w:ind w:firstLine="1330" w:firstLineChars="700"/>
        <w:jc w:val="left"/>
        <w:rPr>
          <w:rFonts w:ascii="黑体" w:hAnsi="黑体" w:eastAsia="黑体" w:cs="宋体"/>
          <w:sz w:val="18"/>
          <w:szCs w:val="18"/>
        </w:rPr>
      </w:pPr>
      <w:r>
        <w:rPr>
          <w:rFonts w:hint="eastAsia" w:ascii="黑体" w:hAnsi="黑体" w:eastAsia="黑体" w:cs="宋体"/>
          <w:spacing w:val="5"/>
          <w:sz w:val="18"/>
          <w:szCs w:val="18"/>
        </w:rPr>
        <w:t>正立面示意图</w:t>
      </w:r>
      <w:r>
        <w:rPr>
          <w:rFonts w:ascii="黑体" w:hAnsi="黑体" w:eastAsia="黑体" w:cs="宋体"/>
          <w:spacing w:val="5"/>
          <w:sz w:val="18"/>
          <w:szCs w:val="18"/>
        </w:rPr>
        <w:t xml:space="preserve">                              </w:t>
      </w:r>
      <w:r>
        <w:rPr>
          <w:rFonts w:hint="eastAsia" w:ascii="黑体" w:hAnsi="黑体" w:eastAsia="黑体" w:cs="宋体"/>
          <w:spacing w:val="5"/>
          <w:sz w:val="18"/>
          <w:szCs w:val="18"/>
        </w:rPr>
        <w:t>侧立面示意图</w:t>
      </w:r>
    </w:p>
    <w:p>
      <w:pPr>
        <w:spacing w:line="360" w:lineRule="auto"/>
        <w:jc w:val="center"/>
        <w:rPr>
          <w:rFonts w:ascii="黑体" w:hAnsi="黑体" w:eastAsia="黑体" w:cs="宋体"/>
          <w:spacing w:val="-3"/>
          <w:sz w:val="18"/>
          <w:szCs w:val="18"/>
        </w:rPr>
      </w:pPr>
      <w:r>
        <w:rPr>
          <w:rFonts w:ascii="黑体" w:hAnsi="黑体" w:eastAsia="黑体" w:cs="宋体"/>
          <w:spacing w:val="-10"/>
          <w:sz w:val="18"/>
          <w:szCs w:val="18"/>
        </w:rPr>
        <w:t>1-</w:t>
      </w:r>
      <w:r>
        <w:rPr>
          <w:rFonts w:hint="eastAsia" w:ascii="黑体" w:hAnsi="黑体" w:eastAsia="黑体" w:cs="宋体"/>
          <w:spacing w:val="-10"/>
          <w:sz w:val="18"/>
          <w:szCs w:val="18"/>
        </w:rPr>
        <w:t>防护</w:t>
      </w:r>
      <w:r>
        <w:rPr>
          <w:rFonts w:hint="eastAsia" w:ascii="黑体" w:hAnsi="黑体" w:eastAsia="黑体" w:cs="宋体"/>
          <w:spacing w:val="-6"/>
          <w:sz w:val="18"/>
          <w:szCs w:val="18"/>
        </w:rPr>
        <w:t>栏</w:t>
      </w:r>
      <w:r>
        <w:rPr>
          <w:rFonts w:hint="eastAsia" w:ascii="黑体" w:hAnsi="黑体" w:eastAsia="黑体" w:cs="宋体"/>
          <w:spacing w:val="-5"/>
          <w:sz w:val="18"/>
          <w:szCs w:val="18"/>
        </w:rPr>
        <w:t>杆</w:t>
      </w:r>
      <w:r>
        <w:rPr>
          <w:rFonts w:hint="eastAsia" w:ascii="黑体" w:hAnsi="黑体" w:eastAsia="黑体" w:cs="宋体"/>
          <w:spacing w:val="-2"/>
          <w:sz w:val="18"/>
          <w:szCs w:val="18"/>
        </w:rPr>
        <w:t>；</w:t>
      </w:r>
      <w:r>
        <w:rPr>
          <w:rFonts w:ascii="黑体" w:hAnsi="黑体" w:eastAsia="黑体" w:cs="宋体"/>
          <w:spacing w:val="-5"/>
          <w:sz w:val="18"/>
          <w:szCs w:val="18"/>
        </w:rPr>
        <w:t>2-</w:t>
      </w:r>
      <w:r>
        <w:rPr>
          <w:rFonts w:hint="eastAsia" w:ascii="黑体" w:hAnsi="黑体" w:eastAsia="黑体" w:cs="宋体"/>
          <w:spacing w:val="-5"/>
          <w:sz w:val="18"/>
          <w:szCs w:val="18"/>
        </w:rPr>
        <w:t>密目式安全网</w:t>
      </w:r>
      <w:r>
        <w:rPr>
          <w:rFonts w:hint="eastAsia" w:ascii="黑体" w:hAnsi="黑体" w:eastAsia="黑体" w:cs="宋体"/>
          <w:spacing w:val="-2"/>
          <w:sz w:val="18"/>
          <w:szCs w:val="18"/>
        </w:rPr>
        <w:t>；</w:t>
      </w:r>
      <w:r>
        <w:rPr>
          <w:rFonts w:ascii="黑体" w:hAnsi="黑体" w:eastAsia="黑体" w:cs="宋体"/>
          <w:spacing w:val="-5"/>
          <w:sz w:val="18"/>
          <w:szCs w:val="18"/>
        </w:rPr>
        <w:t>3-</w:t>
      </w:r>
      <w:r>
        <w:rPr>
          <w:rFonts w:hint="eastAsia" w:ascii="黑体" w:hAnsi="黑体" w:eastAsia="黑体" w:cs="宋体"/>
          <w:spacing w:val="-5"/>
          <w:sz w:val="18"/>
          <w:szCs w:val="18"/>
        </w:rPr>
        <w:t>平台出入口封闭设施</w:t>
      </w:r>
      <w:r>
        <w:rPr>
          <w:rFonts w:hint="eastAsia" w:ascii="黑体" w:hAnsi="黑体" w:eastAsia="黑体" w:cs="宋体"/>
          <w:spacing w:val="-2"/>
          <w:sz w:val="18"/>
          <w:szCs w:val="18"/>
        </w:rPr>
        <w:t>；</w:t>
      </w:r>
      <w:r>
        <w:rPr>
          <w:rFonts w:ascii="黑体" w:hAnsi="黑体" w:eastAsia="黑体" w:cs="宋体"/>
          <w:spacing w:val="-6"/>
          <w:sz w:val="18"/>
          <w:szCs w:val="18"/>
        </w:rPr>
        <w:t>4-</w:t>
      </w:r>
      <w:r>
        <w:rPr>
          <w:rFonts w:hint="eastAsia" w:ascii="黑体" w:hAnsi="黑体" w:eastAsia="黑体" w:cs="宋体"/>
          <w:spacing w:val="-6"/>
          <w:sz w:val="18"/>
          <w:szCs w:val="18"/>
        </w:rPr>
        <w:t>挡</w:t>
      </w:r>
      <w:r>
        <w:rPr>
          <w:rFonts w:hint="eastAsia" w:ascii="黑体" w:hAnsi="黑体" w:eastAsia="黑体" w:cs="宋体"/>
          <w:spacing w:val="-4"/>
          <w:sz w:val="18"/>
          <w:szCs w:val="18"/>
        </w:rPr>
        <w:t>脚</w:t>
      </w:r>
      <w:r>
        <w:rPr>
          <w:rFonts w:hint="eastAsia" w:ascii="黑体" w:hAnsi="黑体" w:eastAsia="黑体" w:cs="宋体"/>
          <w:spacing w:val="-3"/>
          <w:sz w:val="18"/>
          <w:szCs w:val="18"/>
        </w:rPr>
        <w:t>板；</w:t>
      </w:r>
    </w:p>
    <w:p>
      <w:pPr>
        <w:spacing w:line="360" w:lineRule="auto"/>
        <w:jc w:val="center"/>
        <w:rPr>
          <w:rFonts w:ascii="黑体" w:hAnsi="黑体" w:eastAsia="黑体" w:cs="宋体"/>
          <w:spacing w:val="-3"/>
          <w:sz w:val="18"/>
          <w:szCs w:val="18"/>
        </w:rPr>
      </w:pPr>
      <w:r>
        <w:rPr>
          <w:rFonts w:ascii="黑体" w:hAnsi="黑体" w:eastAsia="黑体" w:cs="宋体"/>
          <w:spacing w:val="-3"/>
          <w:sz w:val="18"/>
          <w:szCs w:val="18"/>
        </w:rPr>
        <w:t>5-50mm厚脚手板</w:t>
      </w:r>
      <w:r>
        <w:rPr>
          <w:rFonts w:hint="eastAsia" w:ascii="黑体" w:hAnsi="黑体" w:eastAsia="黑体" w:cs="宋体"/>
          <w:spacing w:val="-2"/>
          <w:sz w:val="18"/>
          <w:szCs w:val="18"/>
        </w:rPr>
        <w:t>；</w:t>
      </w:r>
      <w:r>
        <w:rPr>
          <w:rFonts w:ascii="黑体" w:hAnsi="黑体" w:eastAsia="黑体" w:cs="宋体"/>
          <w:spacing w:val="-3"/>
          <w:sz w:val="18"/>
          <w:szCs w:val="18"/>
        </w:rPr>
        <w:t>6-</w:t>
      </w:r>
      <w:r>
        <w:rPr>
          <w:rFonts w:hint="eastAsia" w:ascii="黑体" w:hAnsi="黑体" w:eastAsia="黑体" w:cs="宋体"/>
          <w:spacing w:val="-3"/>
          <w:sz w:val="18"/>
          <w:szCs w:val="18"/>
        </w:rPr>
        <w:t>制动装置</w:t>
      </w:r>
    </w:p>
    <w:p>
      <w:pPr>
        <w:spacing w:before="50" w:line="360" w:lineRule="auto"/>
        <w:jc w:val="center"/>
        <w:textAlignment w:val="center"/>
        <w:rPr>
          <w:rFonts w:ascii="宋体" w:hAnsi="宋体" w:cs="宋体"/>
          <w:szCs w:val="21"/>
        </w:rPr>
      </w:pPr>
      <w:r>
        <w:rPr>
          <w:rFonts w:hint="eastAsia" w:ascii="宋体" w:hAnsi="宋体" w:cs="宋体"/>
          <w:szCs w:val="21"/>
        </w:rPr>
        <w:drawing>
          <wp:inline distT="0" distB="0" distL="114300" distR="114300">
            <wp:extent cx="5016500" cy="2207260"/>
            <wp:effectExtent l="0" t="0" r="12700" b="2540"/>
            <wp:docPr id="72" name="图片 31"/>
            <wp:cNvGraphicFramePr/>
            <a:graphic xmlns:a="http://schemas.openxmlformats.org/drawingml/2006/main">
              <a:graphicData uri="http://schemas.openxmlformats.org/drawingml/2006/picture">
                <pic:pic xmlns:pic="http://schemas.openxmlformats.org/drawingml/2006/picture">
                  <pic:nvPicPr>
                    <pic:cNvPr id="72" name="图片 31"/>
                    <pic:cNvPicPr/>
                  </pic:nvPicPr>
                  <pic:blipFill>
                    <a:blip r:embed="rId47"/>
                    <a:stretch>
                      <a:fillRect/>
                    </a:stretch>
                  </pic:blipFill>
                  <pic:spPr>
                    <a:xfrm>
                      <a:off x="0" y="0"/>
                      <a:ext cx="5016500" cy="2207260"/>
                    </a:xfrm>
                    <a:prstGeom prst="rect">
                      <a:avLst/>
                    </a:prstGeom>
                    <a:noFill/>
                    <a:ln>
                      <a:noFill/>
                    </a:ln>
                  </pic:spPr>
                </pic:pic>
              </a:graphicData>
            </a:graphic>
          </wp:inline>
        </w:drawing>
      </w:r>
    </w:p>
    <w:p>
      <w:pPr>
        <w:spacing w:line="360" w:lineRule="auto"/>
        <w:jc w:val="left"/>
        <w:rPr>
          <w:rFonts w:ascii="黑体" w:hAnsi="黑体" w:eastAsia="黑体" w:cs="宋体"/>
          <w:sz w:val="18"/>
          <w:szCs w:val="18"/>
        </w:rPr>
      </w:pPr>
      <w:r>
        <w:rPr>
          <w:rFonts w:hint="eastAsia" w:ascii="黑体" w:hAnsi="黑体" w:eastAsia="黑体" w:cs="宋体"/>
          <w:spacing w:val="10"/>
          <w:sz w:val="18"/>
          <w:szCs w:val="18"/>
        </w:rPr>
        <w:t>图</w:t>
      </w:r>
      <w:r>
        <w:rPr>
          <w:rFonts w:ascii="黑体" w:hAnsi="黑体" w:eastAsia="黑体" w:cs="宋体"/>
          <w:spacing w:val="10"/>
          <w:sz w:val="18"/>
          <w:szCs w:val="18"/>
        </w:rPr>
        <w:t>7.</w:t>
      </w:r>
      <w:r>
        <w:rPr>
          <w:rFonts w:ascii="黑体" w:hAnsi="黑体" w:eastAsia="黑体" w:cs="宋体"/>
          <w:spacing w:val="9"/>
          <w:sz w:val="18"/>
          <w:szCs w:val="18"/>
        </w:rPr>
        <w:t>2</w:t>
      </w:r>
      <w:r>
        <w:rPr>
          <w:rFonts w:ascii="黑体" w:hAnsi="黑体" w:eastAsia="黑体" w:cs="宋体"/>
          <w:spacing w:val="5"/>
          <w:sz w:val="18"/>
          <w:szCs w:val="18"/>
        </w:rPr>
        <w:t xml:space="preserve">.3-3门式移动操作平台正立面示意图     </w:t>
      </w:r>
      <w:r>
        <w:rPr>
          <w:rFonts w:hint="eastAsia" w:ascii="黑体" w:hAnsi="黑体" w:eastAsia="黑体" w:cs="宋体"/>
          <w:spacing w:val="5"/>
          <w:sz w:val="18"/>
          <w:szCs w:val="18"/>
        </w:rPr>
        <w:t>图</w:t>
      </w:r>
      <w:r>
        <w:rPr>
          <w:rFonts w:ascii="黑体" w:hAnsi="黑体" w:eastAsia="黑体" w:cs="宋体"/>
          <w:spacing w:val="5"/>
          <w:sz w:val="18"/>
          <w:szCs w:val="18"/>
        </w:rPr>
        <w:t>7.2.3-4门式移动操作平台侧立面示意图</w:t>
      </w:r>
    </w:p>
    <w:p>
      <w:pPr>
        <w:spacing w:line="360" w:lineRule="auto"/>
        <w:jc w:val="center"/>
        <w:rPr>
          <w:rFonts w:ascii="黑体" w:hAnsi="黑体" w:eastAsia="黑体" w:cs="宋体"/>
          <w:spacing w:val="-2"/>
          <w:sz w:val="18"/>
          <w:szCs w:val="18"/>
        </w:rPr>
      </w:pPr>
      <w:r>
        <w:rPr>
          <w:rFonts w:ascii="黑体" w:hAnsi="黑体" w:eastAsia="黑体" w:cs="宋体"/>
          <w:spacing w:val="-30"/>
          <w:sz w:val="18"/>
          <w:szCs w:val="18"/>
        </w:rPr>
        <w:t>1</w:t>
      </w:r>
      <w:r>
        <w:rPr>
          <w:rFonts w:ascii="黑体" w:hAnsi="黑体" w:eastAsia="黑体" w:cs="宋体"/>
          <w:spacing w:val="-15"/>
          <w:sz w:val="18"/>
          <w:szCs w:val="18"/>
        </w:rPr>
        <w:t>-</w:t>
      </w:r>
      <w:r>
        <w:rPr>
          <w:rFonts w:hint="eastAsia" w:ascii="黑体" w:hAnsi="黑体" w:eastAsia="黑体" w:cs="宋体"/>
          <w:spacing w:val="-15"/>
          <w:sz w:val="18"/>
          <w:szCs w:val="18"/>
        </w:rPr>
        <w:t>爬梯</w:t>
      </w:r>
      <w:r>
        <w:rPr>
          <w:rFonts w:hint="eastAsia" w:ascii="黑体" w:hAnsi="黑体" w:eastAsia="黑体" w:cs="宋体"/>
          <w:spacing w:val="-2"/>
          <w:sz w:val="18"/>
          <w:szCs w:val="18"/>
        </w:rPr>
        <w:t>；</w:t>
      </w:r>
      <w:r>
        <w:rPr>
          <w:rFonts w:ascii="黑体" w:hAnsi="黑体" w:eastAsia="黑体" w:cs="宋体"/>
          <w:spacing w:val="-15"/>
          <w:sz w:val="18"/>
          <w:szCs w:val="18"/>
        </w:rPr>
        <w:t>2-</w:t>
      </w:r>
      <w:r>
        <w:rPr>
          <w:rFonts w:hint="eastAsia" w:ascii="黑体" w:hAnsi="黑体" w:eastAsia="黑体" w:cs="宋体"/>
          <w:spacing w:val="-15"/>
          <w:sz w:val="18"/>
          <w:szCs w:val="18"/>
        </w:rPr>
        <w:t>支腿</w:t>
      </w:r>
      <w:r>
        <w:rPr>
          <w:rFonts w:hint="eastAsia" w:ascii="黑体" w:hAnsi="黑体" w:eastAsia="黑体" w:cs="宋体"/>
          <w:spacing w:val="-2"/>
          <w:sz w:val="18"/>
          <w:szCs w:val="18"/>
        </w:rPr>
        <w:t>；</w:t>
      </w:r>
      <w:r>
        <w:rPr>
          <w:rFonts w:ascii="黑体" w:hAnsi="黑体" w:eastAsia="黑体" w:cs="宋体"/>
          <w:spacing w:val="-15"/>
          <w:sz w:val="18"/>
          <w:szCs w:val="18"/>
        </w:rPr>
        <w:t>3-</w:t>
      </w:r>
      <w:r>
        <w:rPr>
          <w:rFonts w:hint="eastAsia" w:ascii="黑体" w:hAnsi="黑体" w:eastAsia="黑体" w:cs="宋体"/>
          <w:spacing w:val="-15"/>
          <w:sz w:val="18"/>
          <w:szCs w:val="18"/>
        </w:rPr>
        <w:t>制动装置</w:t>
      </w:r>
      <w:r>
        <w:rPr>
          <w:rFonts w:hint="eastAsia" w:ascii="黑体" w:hAnsi="黑体" w:eastAsia="黑体" w:cs="宋体"/>
          <w:spacing w:val="-2"/>
          <w:sz w:val="18"/>
          <w:szCs w:val="18"/>
        </w:rPr>
        <w:t>；</w:t>
      </w:r>
      <w:r>
        <w:rPr>
          <w:rFonts w:ascii="黑体" w:hAnsi="黑体" w:eastAsia="黑体" w:cs="宋体"/>
          <w:spacing w:val="-15"/>
          <w:sz w:val="18"/>
          <w:szCs w:val="18"/>
        </w:rPr>
        <w:t>4-</w:t>
      </w:r>
      <w:r>
        <w:rPr>
          <w:rFonts w:hint="eastAsia" w:ascii="黑体" w:hAnsi="黑体" w:eastAsia="黑体" w:cs="宋体"/>
          <w:spacing w:val="-15"/>
          <w:sz w:val="18"/>
          <w:szCs w:val="18"/>
        </w:rPr>
        <w:t>防护栏杆</w:t>
      </w:r>
      <w:r>
        <w:rPr>
          <w:rFonts w:hint="eastAsia" w:ascii="黑体" w:hAnsi="黑体" w:eastAsia="黑体" w:cs="宋体"/>
          <w:spacing w:val="-2"/>
          <w:sz w:val="18"/>
          <w:szCs w:val="18"/>
        </w:rPr>
        <w:t>；</w:t>
      </w:r>
      <w:r>
        <w:rPr>
          <w:rFonts w:ascii="黑体" w:hAnsi="黑体" w:eastAsia="黑体" w:cs="宋体"/>
          <w:spacing w:val="-2"/>
          <w:sz w:val="18"/>
          <w:szCs w:val="18"/>
        </w:rPr>
        <w:t>5-</w:t>
      </w:r>
      <w:r>
        <w:rPr>
          <w:rFonts w:hint="eastAsia" w:ascii="黑体" w:hAnsi="黑体" w:eastAsia="黑体" w:cs="宋体"/>
          <w:spacing w:val="-2"/>
          <w:sz w:val="18"/>
          <w:szCs w:val="18"/>
        </w:rPr>
        <w:t>踢脚板；</w:t>
      </w:r>
    </w:p>
    <w:p>
      <w:pPr>
        <w:spacing w:line="360" w:lineRule="auto"/>
        <w:jc w:val="center"/>
        <w:rPr>
          <w:rFonts w:ascii="黑体" w:hAnsi="黑体" w:eastAsia="黑体" w:cs="宋体"/>
          <w:spacing w:val="-1"/>
          <w:sz w:val="18"/>
          <w:szCs w:val="18"/>
        </w:rPr>
      </w:pPr>
      <w:r>
        <w:rPr>
          <w:rFonts w:ascii="黑体" w:hAnsi="黑体" w:eastAsia="黑体" w:cs="宋体"/>
          <w:spacing w:val="-2"/>
          <w:sz w:val="18"/>
          <w:szCs w:val="18"/>
        </w:rPr>
        <w:t>6-</w:t>
      </w:r>
      <w:r>
        <w:rPr>
          <w:rFonts w:hint="eastAsia" w:ascii="黑体" w:hAnsi="黑体" w:eastAsia="黑体" w:cs="宋体"/>
          <w:spacing w:val="-2"/>
          <w:sz w:val="18"/>
          <w:szCs w:val="18"/>
        </w:rPr>
        <w:t>密目式安全网；</w:t>
      </w:r>
      <w:r>
        <w:rPr>
          <w:rFonts w:ascii="黑体" w:hAnsi="黑体" w:eastAsia="黑体" w:cs="宋体"/>
          <w:spacing w:val="-2"/>
          <w:sz w:val="18"/>
          <w:szCs w:val="18"/>
        </w:rPr>
        <w:t>7-</w:t>
      </w:r>
      <w:r>
        <w:rPr>
          <w:rFonts w:hint="eastAsia" w:ascii="黑体" w:hAnsi="黑体" w:eastAsia="黑体" w:cs="宋体"/>
          <w:spacing w:val="-2"/>
          <w:sz w:val="18"/>
          <w:szCs w:val="18"/>
        </w:rPr>
        <w:t>平</w:t>
      </w:r>
      <w:r>
        <w:rPr>
          <w:rFonts w:hint="eastAsia" w:ascii="黑体" w:hAnsi="黑体" w:eastAsia="黑体" w:cs="宋体"/>
          <w:spacing w:val="-1"/>
          <w:sz w:val="18"/>
          <w:szCs w:val="18"/>
        </w:rPr>
        <w:t>台出入口封闭措施</w:t>
      </w:r>
    </w:p>
    <w:p>
      <w:pPr>
        <w:spacing w:line="360" w:lineRule="auto"/>
        <w:jc w:val="left"/>
        <w:rPr>
          <w:szCs w:val="21"/>
        </w:rPr>
      </w:pPr>
      <w:r>
        <w:rPr>
          <w:rFonts w:hint="eastAsia"/>
          <w:b/>
          <w:bCs/>
          <w:szCs w:val="21"/>
        </w:rPr>
        <w:t>7.2.4</w:t>
      </w:r>
      <w:r>
        <w:rPr>
          <w:spacing w:val="7"/>
          <w:szCs w:val="21"/>
        </w:rPr>
        <w:t xml:space="preserve">  移动式升降操作平台作业区域应设置警戒线，警戒线距离平台水平间距不小于2000m</w:t>
      </w:r>
      <w:r>
        <w:rPr>
          <w:szCs w:val="21"/>
        </w:rPr>
        <w:t>m，</w:t>
      </w:r>
      <w:r>
        <w:rPr>
          <w:spacing w:val="6"/>
          <w:szCs w:val="21"/>
        </w:rPr>
        <w:t>剪叉式升降操作平台提升高度不应大于5000m</w:t>
      </w:r>
      <w:r>
        <w:rPr>
          <w:szCs w:val="21"/>
        </w:rPr>
        <w:t>m</w:t>
      </w:r>
      <w:r>
        <w:rPr>
          <w:spacing w:val="5"/>
          <w:szCs w:val="21"/>
        </w:rPr>
        <w:t>。</w:t>
      </w:r>
      <w:r>
        <w:rPr>
          <w:spacing w:val="8"/>
          <w:szCs w:val="21"/>
        </w:rPr>
        <w:t>同一作业区域</w:t>
      </w:r>
      <w:r>
        <w:rPr>
          <w:spacing w:val="5"/>
          <w:szCs w:val="21"/>
        </w:rPr>
        <w:t>内</w:t>
      </w:r>
      <w:r>
        <w:rPr>
          <w:spacing w:val="4"/>
          <w:szCs w:val="21"/>
        </w:rPr>
        <w:t>，有2台及以上的移动式操作平台作业时，应保持安全距离并设置好警戒线</w:t>
      </w:r>
      <w:r>
        <w:rPr>
          <w:spacing w:val="3"/>
          <w:szCs w:val="21"/>
        </w:rPr>
        <w:t>。多台设备同步作业安全距离(曲臂式)示意图见图7.2.4-1，多台设备同步作业安全距离(剪叉式)示意图见7.2.4-2</w:t>
      </w:r>
      <w:r>
        <w:rPr>
          <w:rFonts w:hint="eastAsia"/>
          <w:spacing w:val="3"/>
          <w:szCs w:val="21"/>
        </w:rPr>
        <w:t>。</w:t>
      </w:r>
    </w:p>
    <w:p>
      <w:pPr>
        <w:spacing w:before="104" w:line="360" w:lineRule="auto"/>
        <w:jc w:val="center"/>
        <w:textAlignment w:val="center"/>
        <w:rPr>
          <w:rFonts w:ascii="宋体" w:hAnsi="宋体" w:cs="宋体"/>
          <w:szCs w:val="21"/>
        </w:rPr>
      </w:pPr>
      <w:r>
        <w:rPr>
          <w:rFonts w:hint="eastAsia" w:ascii="宋体" w:hAnsi="宋体" w:cs="宋体"/>
          <w:szCs w:val="21"/>
        </w:rPr>
        <w:drawing>
          <wp:inline distT="0" distB="0" distL="114300" distR="114300">
            <wp:extent cx="5525135" cy="2493010"/>
            <wp:effectExtent l="0" t="0" r="18415" b="2540"/>
            <wp:docPr id="7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2"/>
                    <pic:cNvPicPr>
                      <a:picLocks noChangeAspect="1"/>
                    </pic:cNvPicPr>
                  </pic:nvPicPr>
                  <pic:blipFill>
                    <a:blip r:embed="rId48"/>
                    <a:srcRect l="1711" t="3957" r="26147" b="20236"/>
                    <a:stretch>
                      <a:fillRect/>
                    </a:stretch>
                  </pic:blipFill>
                  <pic:spPr>
                    <a:xfrm>
                      <a:off x="0" y="0"/>
                      <a:ext cx="5525135" cy="249301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pacing w:val="10"/>
          <w:sz w:val="18"/>
          <w:szCs w:val="18"/>
        </w:rPr>
        <w:t>图</w:t>
      </w:r>
      <w:r>
        <w:rPr>
          <w:rFonts w:ascii="黑体" w:hAnsi="黑体" w:eastAsia="黑体" w:cs="宋体"/>
          <w:spacing w:val="5"/>
          <w:sz w:val="18"/>
          <w:szCs w:val="18"/>
        </w:rPr>
        <w:t xml:space="preserve">7.2.4—1 </w:t>
      </w:r>
      <w:r>
        <w:rPr>
          <w:rFonts w:hint="eastAsia" w:ascii="黑体" w:hAnsi="黑体" w:eastAsia="黑体" w:cs="宋体"/>
          <w:spacing w:val="5"/>
          <w:sz w:val="18"/>
          <w:szCs w:val="18"/>
        </w:rPr>
        <w:t>多台设备同步作业安全距离</w:t>
      </w:r>
      <w:r>
        <w:rPr>
          <w:rFonts w:ascii="黑体" w:hAnsi="黑体" w:eastAsia="黑体" w:cs="宋体"/>
          <w:spacing w:val="5"/>
          <w:sz w:val="18"/>
          <w:szCs w:val="18"/>
        </w:rPr>
        <w:t>(曲臂式)</w:t>
      </w:r>
      <w:r>
        <w:rPr>
          <w:rFonts w:hint="eastAsia" w:ascii="黑体" w:hAnsi="黑体" w:eastAsia="黑体" w:cs="宋体"/>
          <w:spacing w:val="5"/>
          <w:sz w:val="18"/>
          <w:szCs w:val="18"/>
        </w:rPr>
        <w:t>示意图</w:t>
      </w:r>
    </w:p>
    <w:p>
      <w:pPr>
        <w:spacing w:line="360" w:lineRule="auto"/>
        <w:jc w:val="center"/>
        <w:rPr>
          <w:rFonts w:ascii="黑体" w:hAnsi="黑体" w:eastAsia="黑体" w:cs="宋体"/>
          <w:sz w:val="18"/>
          <w:szCs w:val="18"/>
        </w:rPr>
      </w:pPr>
      <w:r>
        <w:rPr>
          <w:rFonts w:ascii="黑体" w:hAnsi="黑体" w:eastAsia="黑体" w:cs="宋体"/>
          <w:spacing w:val="-20"/>
          <w:sz w:val="18"/>
          <w:szCs w:val="18"/>
        </w:rPr>
        <w:t>1</w:t>
      </w:r>
      <w:r>
        <w:rPr>
          <w:rFonts w:ascii="黑体" w:hAnsi="黑体" w:eastAsia="黑体" w:cs="宋体"/>
          <w:spacing w:val="-10"/>
          <w:sz w:val="18"/>
          <w:szCs w:val="18"/>
        </w:rPr>
        <w:t>-</w:t>
      </w:r>
      <w:r>
        <w:rPr>
          <w:rFonts w:hint="eastAsia" w:ascii="黑体" w:hAnsi="黑体" w:eastAsia="黑体" w:cs="宋体"/>
          <w:spacing w:val="-10"/>
          <w:sz w:val="18"/>
          <w:szCs w:val="18"/>
        </w:rPr>
        <w:t>曲臂式升降操作平台；</w:t>
      </w:r>
      <w:r>
        <w:rPr>
          <w:rFonts w:ascii="黑体" w:hAnsi="黑体" w:eastAsia="黑体" w:cs="宋体"/>
          <w:spacing w:val="-10"/>
          <w:sz w:val="18"/>
          <w:szCs w:val="18"/>
        </w:rPr>
        <w:t>2-</w:t>
      </w:r>
      <w:r>
        <w:rPr>
          <w:rFonts w:hint="eastAsia" w:ascii="黑体" w:hAnsi="黑体" w:eastAsia="黑体" w:cs="宋体"/>
          <w:spacing w:val="-10"/>
          <w:sz w:val="18"/>
          <w:szCs w:val="18"/>
        </w:rPr>
        <w:t>防护栏杆；</w:t>
      </w:r>
      <w:r>
        <w:rPr>
          <w:rFonts w:ascii="黑体" w:hAnsi="黑体" w:eastAsia="黑体" w:cs="宋体"/>
          <w:spacing w:val="-10"/>
          <w:sz w:val="18"/>
          <w:szCs w:val="18"/>
        </w:rPr>
        <w:t>3-</w:t>
      </w:r>
      <w:r>
        <w:rPr>
          <w:rFonts w:hint="eastAsia" w:ascii="黑体" w:hAnsi="黑体" w:eastAsia="黑体" w:cs="宋体"/>
          <w:spacing w:val="-10"/>
          <w:sz w:val="18"/>
          <w:szCs w:val="18"/>
        </w:rPr>
        <w:t>踢脚板；</w:t>
      </w:r>
      <w:r>
        <w:rPr>
          <w:rFonts w:ascii="黑体" w:hAnsi="黑体" w:eastAsia="黑体" w:cs="宋体"/>
          <w:spacing w:val="-10"/>
          <w:sz w:val="18"/>
          <w:szCs w:val="18"/>
        </w:rPr>
        <w:t>4-</w:t>
      </w:r>
      <w:r>
        <w:rPr>
          <w:rFonts w:hint="eastAsia" w:ascii="黑体" w:hAnsi="黑体" w:eastAsia="黑体" w:cs="宋体"/>
          <w:spacing w:val="-10"/>
          <w:sz w:val="18"/>
          <w:szCs w:val="18"/>
        </w:rPr>
        <w:t>警戒线</w:t>
      </w:r>
    </w:p>
    <w:p>
      <w:pPr>
        <w:spacing w:before="68" w:line="360" w:lineRule="auto"/>
        <w:jc w:val="center"/>
        <w:textAlignment w:val="center"/>
        <w:rPr>
          <w:rFonts w:ascii="宋体" w:hAnsi="宋体" w:cs="宋体"/>
          <w:szCs w:val="21"/>
        </w:rPr>
      </w:pPr>
      <w:r>
        <w:rPr>
          <w:rFonts w:hint="eastAsia" w:ascii="宋体" w:hAnsi="宋体" w:cs="宋体"/>
          <w:szCs w:val="21"/>
        </w:rPr>
        <w:drawing>
          <wp:inline distT="0" distB="0" distL="114300" distR="114300">
            <wp:extent cx="5508625" cy="3087370"/>
            <wp:effectExtent l="0" t="0" r="15875" b="17780"/>
            <wp:docPr id="7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3"/>
                    <pic:cNvPicPr>
                      <a:picLocks noChangeAspect="1"/>
                    </pic:cNvPicPr>
                  </pic:nvPicPr>
                  <pic:blipFill>
                    <a:blip r:embed="rId49"/>
                    <a:srcRect l="2946" t="6468" r="35168" b="12750"/>
                    <a:stretch>
                      <a:fillRect/>
                    </a:stretch>
                  </pic:blipFill>
                  <pic:spPr>
                    <a:xfrm>
                      <a:off x="0" y="0"/>
                      <a:ext cx="5508625" cy="308737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pacing w:val="5"/>
          <w:sz w:val="18"/>
          <w:szCs w:val="18"/>
        </w:rPr>
        <w:t>图</w:t>
      </w:r>
      <w:r>
        <w:rPr>
          <w:rFonts w:ascii="黑体" w:hAnsi="黑体" w:eastAsia="黑体" w:cs="宋体"/>
          <w:spacing w:val="5"/>
          <w:sz w:val="18"/>
          <w:szCs w:val="18"/>
        </w:rPr>
        <w:t xml:space="preserve">7.2.4-2 </w:t>
      </w:r>
      <w:r>
        <w:rPr>
          <w:rFonts w:hint="eastAsia" w:ascii="黑体" w:hAnsi="黑体" w:eastAsia="黑体" w:cs="宋体"/>
          <w:spacing w:val="5"/>
          <w:sz w:val="18"/>
          <w:szCs w:val="18"/>
        </w:rPr>
        <w:t>多台设备同步作业安全距离</w:t>
      </w:r>
      <w:r>
        <w:rPr>
          <w:rFonts w:ascii="黑体" w:hAnsi="黑体" w:eastAsia="黑体" w:cs="宋体"/>
          <w:spacing w:val="5"/>
          <w:sz w:val="18"/>
          <w:szCs w:val="18"/>
        </w:rPr>
        <w:t>(</w:t>
      </w:r>
      <w:r>
        <w:rPr>
          <w:rFonts w:hint="eastAsia" w:ascii="黑体" w:hAnsi="黑体" w:eastAsia="黑体" w:cs="宋体"/>
          <w:spacing w:val="5"/>
          <w:sz w:val="18"/>
          <w:szCs w:val="18"/>
        </w:rPr>
        <w:t>剪叉</w:t>
      </w:r>
      <w:r>
        <w:rPr>
          <w:rFonts w:hint="eastAsia" w:ascii="黑体" w:hAnsi="黑体" w:eastAsia="黑体" w:cs="宋体"/>
          <w:spacing w:val="4"/>
          <w:sz w:val="18"/>
          <w:szCs w:val="18"/>
        </w:rPr>
        <w:t>式</w:t>
      </w:r>
      <w:r>
        <w:rPr>
          <w:rFonts w:ascii="黑体" w:hAnsi="黑体" w:eastAsia="黑体" w:cs="宋体"/>
          <w:sz w:val="18"/>
          <w:szCs w:val="18"/>
        </w:rPr>
        <w:t>)</w:t>
      </w:r>
      <w:r>
        <w:rPr>
          <w:rFonts w:hint="eastAsia" w:ascii="黑体" w:hAnsi="黑体" w:eastAsia="黑体" w:cs="宋体"/>
          <w:sz w:val="18"/>
          <w:szCs w:val="18"/>
        </w:rPr>
        <w:t>示意图</w:t>
      </w:r>
    </w:p>
    <w:p>
      <w:pPr>
        <w:spacing w:line="360" w:lineRule="auto"/>
        <w:jc w:val="center"/>
        <w:rPr>
          <w:rFonts w:ascii="黑体" w:hAnsi="黑体" w:eastAsia="黑体" w:cs="宋体"/>
          <w:spacing w:val="-8"/>
          <w:sz w:val="18"/>
          <w:szCs w:val="18"/>
        </w:rPr>
      </w:pPr>
      <w:r>
        <w:rPr>
          <w:rFonts w:ascii="黑体" w:hAnsi="黑体" w:eastAsia="黑体" w:cs="宋体"/>
          <w:spacing w:val="-16"/>
          <w:sz w:val="18"/>
          <w:szCs w:val="18"/>
        </w:rPr>
        <w:t>1</w:t>
      </w:r>
      <w:r>
        <w:rPr>
          <w:rFonts w:ascii="黑体" w:hAnsi="黑体" w:eastAsia="黑体" w:cs="宋体"/>
          <w:spacing w:val="-8"/>
          <w:sz w:val="18"/>
          <w:szCs w:val="18"/>
        </w:rPr>
        <w:t>-</w:t>
      </w:r>
      <w:r>
        <w:rPr>
          <w:rFonts w:hint="eastAsia" w:ascii="黑体" w:hAnsi="黑体" w:eastAsia="黑体" w:cs="宋体"/>
          <w:spacing w:val="-8"/>
          <w:sz w:val="18"/>
          <w:szCs w:val="18"/>
        </w:rPr>
        <w:t>剪叉式升降操作平台；</w:t>
      </w:r>
      <w:r>
        <w:rPr>
          <w:rFonts w:ascii="黑体" w:hAnsi="黑体" w:eastAsia="黑体" w:cs="宋体"/>
          <w:spacing w:val="-8"/>
          <w:sz w:val="18"/>
          <w:szCs w:val="18"/>
        </w:rPr>
        <w:t>2-</w:t>
      </w:r>
      <w:r>
        <w:rPr>
          <w:rFonts w:hint="eastAsia" w:ascii="黑体" w:hAnsi="黑体" w:eastAsia="黑体" w:cs="宋体"/>
          <w:spacing w:val="-8"/>
          <w:sz w:val="18"/>
          <w:szCs w:val="18"/>
        </w:rPr>
        <w:t>防护栏杆；</w:t>
      </w:r>
      <w:r>
        <w:rPr>
          <w:rFonts w:ascii="黑体" w:hAnsi="黑体" w:eastAsia="黑体" w:cs="宋体"/>
          <w:spacing w:val="-8"/>
          <w:sz w:val="18"/>
          <w:szCs w:val="18"/>
        </w:rPr>
        <w:t>3-</w:t>
      </w:r>
      <w:r>
        <w:rPr>
          <w:rFonts w:hint="eastAsia" w:ascii="黑体" w:hAnsi="黑体" w:eastAsia="黑体" w:cs="宋体"/>
          <w:spacing w:val="-8"/>
          <w:sz w:val="18"/>
          <w:szCs w:val="18"/>
        </w:rPr>
        <w:t>踢脚板；</w:t>
      </w:r>
      <w:r>
        <w:rPr>
          <w:rFonts w:ascii="黑体" w:hAnsi="黑体" w:eastAsia="黑体" w:cs="宋体"/>
          <w:spacing w:val="-8"/>
          <w:sz w:val="18"/>
          <w:szCs w:val="18"/>
        </w:rPr>
        <w:t>4-</w:t>
      </w:r>
      <w:r>
        <w:rPr>
          <w:rFonts w:hint="eastAsia" w:ascii="黑体" w:hAnsi="黑体" w:eastAsia="黑体" w:cs="宋体"/>
          <w:spacing w:val="-8"/>
          <w:sz w:val="18"/>
          <w:szCs w:val="18"/>
        </w:rPr>
        <w:t>警戒线</w:t>
      </w:r>
    </w:p>
    <w:p>
      <w:pPr>
        <w:spacing w:line="360" w:lineRule="auto"/>
        <w:jc w:val="left"/>
        <w:rPr>
          <w:rFonts w:ascii="宋体" w:hAnsi="宋体" w:cs="宋体"/>
          <w:color w:val="0000FF"/>
          <w:spacing w:val="7"/>
          <w:szCs w:val="21"/>
        </w:rPr>
      </w:pPr>
      <w:r>
        <w:rPr>
          <w:rFonts w:hint="eastAsia"/>
          <w:b/>
          <w:bCs/>
          <w:szCs w:val="21"/>
        </w:rPr>
        <w:t>7.2.5</w:t>
      </w:r>
      <w:r>
        <w:rPr>
          <w:rFonts w:hint="eastAsia" w:ascii="宋体" w:hAnsi="宋体" w:cs="宋体"/>
          <w:spacing w:val="7"/>
          <w:szCs w:val="21"/>
        </w:rPr>
        <w:t xml:space="preserve"> </w:t>
      </w:r>
      <w:r>
        <w:rPr>
          <w:rFonts w:ascii="宋体" w:hAnsi="宋体" w:cs="宋体"/>
          <w:spacing w:val="7"/>
          <w:szCs w:val="21"/>
        </w:rPr>
        <w:t xml:space="preserve"> </w:t>
      </w:r>
      <w:r>
        <w:rPr>
          <w:rFonts w:hint="eastAsia" w:ascii="宋体" w:hAnsi="宋体" w:cs="宋体"/>
          <w:spacing w:val="5"/>
          <w:szCs w:val="21"/>
        </w:rPr>
        <w:t>曲臂式、剪叉式操作平台作业人员安全带应系挂可靠位置</w:t>
      </w:r>
      <w:r>
        <w:rPr>
          <w:rFonts w:hint="eastAsia" w:ascii="宋体" w:hAnsi="宋体" w:cs="宋体"/>
          <w:spacing w:val="7"/>
          <w:szCs w:val="21"/>
        </w:rPr>
        <w:t>。</w:t>
      </w:r>
    </w:p>
    <w:p>
      <w:pPr>
        <w:spacing w:before="268" w:line="360" w:lineRule="auto"/>
        <w:jc w:val="center"/>
        <w:outlineLvl w:val="1"/>
        <w:rPr>
          <w:b/>
          <w:bCs/>
          <w:szCs w:val="21"/>
        </w:rPr>
      </w:pPr>
      <w:bookmarkStart w:id="122" w:name="_Toc12962"/>
      <w:r>
        <w:rPr>
          <w:b/>
          <w:bCs/>
          <w:szCs w:val="21"/>
        </w:rPr>
        <w:t>7.3  电梯井操作平台安全防护</w:t>
      </w:r>
      <w:bookmarkEnd w:id="122"/>
    </w:p>
    <w:p>
      <w:pPr>
        <w:spacing w:line="360" w:lineRule="auto"/>
        <w:jc w:val="left"/>
        <w:rPr>
          <w:szCs w:val="21"/>
        </w:rPr>
      </w:pPr>
      <w:r>
        <w:rPr>
          <w:rFonts w:hint="eastAsia"/>
          <w:b/>
          <w:bCs/>
          <w:szCs w:val="21"/>
        </w:rPr>
        <w:t>7.3.1</w:t>
      </w:r>
      <w:r>
        <w:rPr>
          <w:b/>
          <w:bCs/>
          <w:spacing w:val="2"/>
          <w:szCs w:val="21"/>
        </w:rPr>
        <w:t xml:space="preserve">  </w:t>
      </w:r>
      <w:r>
        <w:rPr>
          <w:spacing w:val="2"/>
          <w:szCs w:val="21"/>
        </w:rPr>
        <w:t>插杠式电梯井操作平台主龙骨应采用14#及以上型号工字钢、槽钢等型钢制作，吊环应采用不小于</w:t>
      </w:r>
      <w:r>
        <w:rPr>
          <w:szCs w:val="21"/>
        </w:rPr>
        <w:t>HPB</w:t>
      </w:r>
      <w:r>
        <w:rPr>
          <w:spacing w:val="2"/>
          <w:szCs w:val="21"/>
        </w:rPr>
        <w:t>300-φ1</w:t>
      </w:r>
      <w:r>
        <w:rPr>
          <w:spacing w:val="1"/>
          <w:szCs w:val="21"/>
        </w:rPr>
        <w:t>6</w:t>
      </w:r>
      <w:r>
        <w:rPr>
          <w:szCs w:val="21"/>
        </w:rPr>
        <w:t>及以</w:t>
      </w:r>
      <w:r>
        <w:rPr>
          <w:spacing w:val="2"/>
          <w:szCs w:val="21"/>
        </w:rPr>
        <w:t>上圆钢，台面应采用50</w:t>
      </w:r>
      <w:r>
        <w:rPr>
          <w:szCs w:val="21"/>
        </w:rPr>
        <w:t>mm</w:t>
      </w:r>
      <w:r>
        <w:rPr>
          <w:spacing w:val="2"/>
          <w:szCs w:val="21"/>
        </w:rPr>
        <w:t>厚脚手板或不小于3</w:t>
      </w:r>
      <w:r>
        <w:rPr>
          <w:szCs w:val="21"/>
        </w:rPr>
        <w:t>mm</w:t>
      </w:r>
      <w:r>
        <w:rPr>
          <w:spacing w:val="2"/>
          <w:szCs w:val="21"/>
        </w:rPr>
        <w:t>厚花纹钢板制作。插杠式电梯井操作平台示意图见图7.3</w:t>
      </w:r>
      <w:r>
        <w:rPr>
          <w:szCs w:val="21"/>
        </w:rPr>
        <w:t>.1。</w:t>
      </w:r>
    </w:p>
    <w:p>
      <w:pPr>
        <w:spacing w:line="360" w:lineRule="auto"/>
        <w:jc w:val="center"/>
        <w:textAlignment w:val="center"/>
        <w:rPr>
          <w:rFonts w:ascii="宋体" w:hAnsi="宋体" w:cs="宋体"/>
          <w:szCs w:val="21"/>
        </w:rPr>
      </w:pPr>
      <w:r>
        <w:rPr>
          <w:rFonts w:hint="eastAsia" w:ascii="宋体" w:hAnsi="宋体" w:cs="宋体"/>
          <w:szCs w:val="21"/>
        </w:rPr>
        <w:drawing>
          <wp:inline distT="0" distB="0" distL="114300" distR="114300">
            <wp:extent cx="2008505" cy="1844040"/>
            <wp:effectExtent l="0" t="0" r="10795" b="3810"/>
            <wp:docPr id="75" name="图片 34"/>
            <wp:cNvGraphicFramePr/>
            <a:graphic xmlns:a="http://schemas.openxmlformats.org/drawingml/2006/main">
              <a:graphicData uri="http://schemas.openxmlformats.org/drawingml/2006/picture">
                <pic:pic xmlns:pic="http://schemas.openxmlformats.org/drawingml/2006/picture">
                  <pic:nvPicPr>
                    <pic:cNvPr id="75" name="图片 34"/>
                    <pic:cNvPicPr/>
                  </pic:nvPicPr>
                  <pic:blipFill>
                    <a:blip r:embed="rId50"/>
                    <a:stretch>
                      <a:fillRect/>
                    </a:stretch>
                  </pic:blipFill>
                  <pic:spPr>
                    <a:xfrm>
                      <a:off x="0" y="0"/>
                      <a:ext cx="2008505" cy="184404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pacing w:val="4"/>
          <w:sz w:val="18"/>
          <w:szCs w:val="18"/>
        </w:rPr>
        <w:t>图</w:t>
      </w:r>
      <w:r>
        <w:rPr>
          <w:rFonts w:ascii="黑体" w:hAnsi="黑体" w:eastAsia="黑体" w:cs="宋体"/>
          <w:spacing w:val="4"/>
          <w:sz w:val="18"/>
          <w:szCs w:val="18"/>
        </w:rPr>
        <w:t xml:space="preserve">7.3.1 </w:t>
      </w:r>
      <w:r>
        <w:rPr>
          <w:rFonts w:hint="eastAsia" w:ascii="黑体" w:hAnsi="黑体" w:eastAsia="黑体" w:cs="宋体"/>
          <w:spacing w:val="4"/>
          <w:sz w:val="18"/>
          <w:szCs w:val="18"/>
        </w:rPr>
        <w:t>插杠式电梯井操作平台示意图</w:t>
      </w:r>
    </w:p>
    <w:p>
      <w:pPr>
        <w:spacing w:line="360" w:lineRule="auto"/>
        <w:jc w:val="center"/>
        <w:rPr>
          <w:rFonts w:ascii="黑体" w:hAnsi="黑体" w:eastAsia="黑体" w:cs="宋体"/>
          <w:spacing w:val="-7"/>
          <w:sz w:val="18"/>
          <w:szCs w:val="18"/>
        </w:rPr>
      </w:pPr>
      <w:r>
        <w:rPr>
          <w:rFonts w:ascii="黑体" w:hAnsi="黑体" w:eastAsia="黑体" w:cs="宋体"/>
          <w:spacing w:val="-14"/>
          <w:sz w:val="18"/>
          <w:szCs w:val="18"/>
        </w:rPr>
        <w:t>1</w:t>
      </w:r>
      <w:r>
        <w:rPr>
          <w:rFonts w:ascii="黑体" w:hAnsi="黑体" w:eastAsia="黑体" w:cs="宋体"/>
          <w:spacing w:val="-10"/>
          <w:sz w:val="18"/>
          <w:szCs w:val="18"/>
        </w:rPr>
        <w:t>-</w:t>
      </w:r>
      <w:r>
        <w:rPr>
          <w:rFonts w:ascii="黑体" w:hAnsi="黑体" w:eastAsia="黑体" w:cs="宋体"/>
          <w:spacing w:val="-7"/>
          <w:sz w:val="18"/>
          <w:szCs w:val="18"/>
        </w:rPr>
        <w:t>10#及以上工字钢、槽钢等型钢</w:t>
      </w:r>
      <w:r>
        <w:rPr>
          <w:rFonts w:hint="eastAsia" w:ascii="黑体" w:hAnsi="黑体" w:eastAsia="黑体" w:cs="宋体"/>
          <w:spacing w:val="-2"/>
          <w:sz w:val="18"/>
          <w:szCs w:val="18"/>
        </w:rPr>
        <w:t>；</w:t>
      </w:r>
      <w:r>
        <w:rPr>
          <w:rFonts w:ascii="黑体" w:hAnsi="黑体" w:eastAsia="黑体" w:cs="宋体"/>
          <w:spacing w:val="-7"/>
          <w:sz w:val="18"/>
          <w:szCs w:val="18"/>
        </w:rPr>
        <w:t>2-50mm厚脚手板或3mm厚花纹钢板</w:t>
      </w:r>
      <w:r>
        <w:rPr>
          <w:rFonts w:hint="eastAsia" w:ascii="黑体" w:hAnsi="黑体" w:eastAsia="黑体" w:cs="宋体"/>
          <w:spacing w:val="-2"/>
          <w:sz w:val="18"/>
          <w:szCs w:val="18"/>
        </w:rPr>
        <w:t>；</w:t>
      </w:r>
      <w:r>
        <w:rPr>
          <w:rFonts w:ascii="黑体" w:hAnsi="黑体" w:eastAsia="黑体" w:cs="宋体"/>
          <w:spacing w:val="-7"/>
          <w:sz w:val="18"/>
          <w:szCs w:val="18"/>
        </w:rPr>
        <w:t>3-</w:t>
      </w:r>
      <w:r>
        <w:rPr>
          <w:rFonts w:hint="eastAsia" w:ascii="黑体" w:hAnsi="黑体" w:eastAsia="黑体" w:cs="宋体"/>
          <w:spacing w:val="-7"/>
          <w:sz w:val="18"/>
          <w:szCs w:val="18"/>
        </w:rPr>
        <w:t>φ</w:t>
      </w:r>
      <w:r>
        <w:rPr>
          <w:rFonts w:ascii="黑体" w:hAnsi="黑体" w:eastAsia="黑体" w:cs="宋体"/>
          <w:spacing w:val="-7"/>
          <w:sz w:val="18"/>
          <w:szCs w:val="18"/>
        </w:rPr>
        <w:t>16及以上圆钢</w:t>
      </w:r>
    </w:p>
    <w:p>
      <w:pPr>
        <w:spacing w:line="360" w:lineRule="auto"/>
        <w:jc w:val="left"/>
        <w:rPr>
          <w:szCs w:val="21"/>
        </w:rPr>
      </w:pPr>
      <w:r>
        <w:rPr>
          <w:rFonts w:hint="eastAsia"/>
          <w:b/>
          <w:bCs/>
          <w:szCs w:val="21"/>
        </w:rPr>
        <w:t>7.3.2</w:t>
      </w:r>
      <w:r>
        <w:rPr>
          <w:spacing w:val="6"/>
          <w:szCs w:val="21"/>
        </w:rPr>
        <w:t xml:space="preserve">  插杠主龙骨应采用14#及以上型号工字钢支撑，伸出墙体长度不</w:t>
      </w:r>
      <w:r>
        <w:rPr>
          <w:spacing w:val="-1"/>
          <w:szCs w:val="21"/>
        </w:rPr>
        <w:t>小于300</w:t>
      </w:r>
      <w:r>
        <w:rPr>
          <w:szCs w:val="21"/>
        </w:rPr>
        <w:t>mm</w:t>
      </w:r>
      <w:r>
        <w:rPr>
          <w:spacing w:val="-1"/>
          <w:szCs w:val="21"/>
        </w:rPr>
        <w:t>。插杠示意图见图7.3</w:t>
      </w:r>
      <w:r>
        <w:rPr>
          <w:szCs w:val="21"/>
        </w:rPr>
        <w:t>.2-1，插杠式电梯井操作平台安装示意图见图7.3.2-2。</w:t>
      </w:r>
    </w:p>
    <w:p>
      <w:pPr>
        <w:spacing w:line="360" w:lineRule="auto"/>
        <w:jc w:val="center"/>
        <w:textAlignment w:val="center"/>
        <w:rPr>
          <w:rFonts w:ascii="宋体" w:hAnsi="宋体" w:cs="宋体"/>
          <w:szCs w:val="21"/>
        </w:rPr>
      </w:pPr>
      <w:r>
        <w:rPr>
          <w:rFonts w:hint="eastAsia" w:ascii="宋体" w:hAnsi="宋体" w:cs="宋体"/>
          <w:szCs w:val="21"/>
        </w:rPr>
        <w:drawing>
          <wp:inline distT="0" distB="0" distL="114300" distR="114300">
            <wp:extent cx="3393440" cy="1443990"/>
            <wp:effectExtent l="0" t="0" r="16510" b="3810"/>
            <wp:docPr id="7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5"/>
                    <pic:cNvPicPr>
                      <a:picLocks noChangeAspect="1"/>
                    </pic:cNvPicPr>
                  </pic:nvPicPr>
                  <pic:blipFill>
                    <a:blip r:embed="rId51"/>
                    <a:srcRect l="1976" t="7326" r="33727" b="32108"/>
                    <a:stretch>
                      <a:fillRect/>
                    </a:stretch>
                  </pic:blipFill>
                  <pic:spPr>
                    <a:xfrm>
                      <a:off x="0" y="0"/>
                      <a:ext cx="3393440" cy="144399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pacing w:val="10"/>
          <w:sz w:val="18"/>
          <w:szCs w:val="18"/>
        </w:rPr>
        <w:t>图</w:t>
      </w:r>
      <w:r>
        <w:rPr>
          <w:rFonts w:ascii="黑体" w:hAnsi="黑体" w:eastAsia="黑体" w:cs="宋体"/>
          <w:spacing w:val="10"/>
          <w:sz w:val="18"/>
          <w:szCs w:val="18"/>
        </w:rPr>
        <w:t>7</w:t>
      </w:r>
      <w:r>
        <w:rPr>
          <w:rFonts w:ascii="黑体" w:hAnsi="黑体" w:eastAsia="黑体" w:cs="宋体"/>
          <w:spacing w:val="7"/>
          <w:sz w:val="18"/>
          <w:szCs w:val="18"/>
        </w:rPr>
        <w:t>.</w:t>
      </w:r>
      <w:r>
        <w:rPr>
          <w:rFonts w:ascii="黑体" w:hAnsi="黑体" w:eastAsia="黑体" w:cs="宋体"/>
          <w:spacing w:val="5"/>
          <w:sz w:val="18"/>
          <w:szCs w:val="18"/>
        </w:rPr>
        <w:t xml:space="preserve">3.2—1 </w:t>
      </w:r>
      <w:r>
        <w:rPr>
          <w:rFonts w:hint="eastAsia" w:ascii="黑体" w:hAnsi="黑体" w:eastAsia="黑体" w:cs="宋体"/>
          <w:spacing w:val="5"/>
          <w:sz w:val="18"/>
          <w:szCs w:val="18"/>
        </w:rPr>
        <w:t>插杠示意图</w:t>
      </w:r>
    </w:p>
    <w:p>
      <w:pPr>
        <w:spacing w:line="360" w:lineRule="auto"/>
        <w:jc w:val="center"/>
        <w:rPr>
          <w:rFonts w:ascii="黑体" w:hAnsi="黑体" w:eastAsia="黑体" w:cs="宋体"/>
          <w:sz w:val="18"/>
          <w:szCs w:val="18"/>
        </w:rPr>
      </w:pPr>
      <w:r>
        <w:rPr>
          <w:rFonts w:ascii="黑体" w:hAnsi="黑体" w:eastAsia="黑体" w:cs="宋体"/>
          <w:spacing w:val="-17"/>
          <w:sz w:val="18"/>
          <w:szCs w:val="18"/>
        </w:rPr>
        <w:t>1</w:t>
      </w:r>
      <w:r>
        <w:rPr>
          <w:rFonts w:ascii="黑体" w:hAnsi="黑体" w:eastAsia="黑体" w:cs="宋体"/>
          <w:spacing w:val="-11"/>
          <w:sz w:val="18"/>
          <w:szCs w:val="18"/>
        </w:rPr>
        <w:t>-14#及以上工字钢</w:t>
      </w:r>
      <w:r>
        <w:rPr>
          <w:rFonts w:hint="eastAsia" w:ascii="黑体" w:hAnsi="黑体" w:eastAsia="黑体" w:cs="宋体"/>
          <w:spacing w:val="-2"/>
          <w:sz w:val="18"/>
          <w:szCs w:val="18"/>
        </w:rPr>
        <w:t>；</w:t>
      </w:r>
      <w:r>
        <w:rPr>
          <w:rFonts w:ascii="黑体" w:hAnsi="黑体" w:eastAsia="黑体" w:cs="宋体"/>
          <w:spacing w:val="-11"/>
          <w:sz w:val="18"/>
          <w:szCs w:val="18"/>
        </w:rPr>
        <w:t>2-</w:t>
      </w:r>
      <w:r>
        <w:rPr>
          <w:rFonts w:hint="eastAsia" w:ascii="黑体" w:hAnsi="黑体" w:eastAsia="黑体" w:cs="宋体"/>
          <w:spacing w:val="-11"/>
          <w:sz w:val="18"/>
          <w:szCs w:val="18"/>
        </w:rPr>
        <w:t>拉环</w:t>
      </w:r>
      <w:r>
        <w:rPr>
          <w:rFonts w:hint="eastAsia" w:ascii="黑体" w:hAnsi="黑体" w:eastAsia="黑体" w:cs="宋体"/>
          <w:spacing w:val="-2"/>
          <w:sz w:val="18"/>
          <w:szCs w:val="18"/>
        </w:rPr>
        <w:t>；</w:t>
      </w:r>
      <w:r>
        <w:rPr>
          <w:rFonts w:ascii="黑体" w:hAnsi="黑体" w:eastAsia="黑体" w:cs="宋体"/>
          <w:spacing w:val="-11"/>
          <w:sz w:val="18"/>
          <w:szCs w:val="18"/>
        </w:rPr>
        <w:t>3-</w:t>
      </w:r>
      <w:r>
        <w:rPr>
          <w:rFonts w:hint="eastAsia" w:ascii="黑体" w:hAnsi="黑体" w:eastAsia="黑体" w:cs="宋体"/>
          <w:spacing w:val="-11"/>
          <w:sz w:val="18"/>
          <w:szCs w:val="18"/>
        </w:rPr>
        <w:t>连接钢板</w:t>
      </w:r>
    </w:p>
    <w:p>
      <w:pPr>
        <w:spacing w:line="360" w:lineRule="auto"/>
        <w:jc w:val="center"/>
        <w:textAlignment w:val="center"/>
        <w:rPr>
          <w:rFonts w:ascii="宋体" w:hAnsi="宋体" w:cs="宋体"/>
          <w:szCs w:val="21"/>
        </w:rPr>
      </w:pPr>
      <w:r>
        <w:drawing>
          <wp:inline distT="0" distB="0" distL="114300" distR="114300">
            <wp:extent cx="3239135" cy="1592580"/>
            <wp:effectExtent l="0" t="0" r="18415" b="762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52"/>
                    <a:srcRect l="1952" t="7802" r="37776" b="23800"/>
                    <a:stretch>
                      <a:fillRect/>
                    </a:stretch>
                  </pic:blipFill>
                  <pic:spPr>
                    <a:xfrm>
                      <a:off x="0" y="0"/>
                      <a:ext cx="3239135" cy="159258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pacing w:val="10"/>
          <w:position w:val="7"/>
          <w:sz w:val="18"/>
          <w:szCs w:val="18"/>
        </w:rPr>
        <w:t>图</w:t>
      </w:r>
      <w:r>
        <w:rPr>
          <w:rFonts w:ascii="黑体" w:hAnsi="黑体" w:eastAsia="黑体" w:cs="宋体"/>
          <w:spacing w:val="10"/>
          <w:position w:val="7"/>
          <w:sz w:val="18"/>
          <w:szCs w:val="18"/>
        </w:rPr>
        <w:t>7</w:t>
      </w:r>
      <w:r>
        <w:rPr>
          <w:rFonts w:ascii="黑体" w:hAnsi="黑体" w:eastAsia="黑体" w:cs="宋体"/>
          <w:spacing w:val="7"/>
          <w:position w:val="7"/>
          <w:sz w:val="18"/>
          <w:szCs w:val="18"/>
        </w:rPr>
        <w:t>.</w:t>
      </w:r>
      <w:r>
        <w:rPr>
          <w:rFonts w:ascii="黑体" w:hAnsi="黑体" w:eastAsia="黑体" w:cs="宋体"/>
          <w:spacing w:val="5"/>
          <w:position w:val="7"/>
          <w:sz w:val="18"/>
          <w:szCs w:val="18"/>
        </w:rPr>
        <w:t xml:space="preserve">3.2—2 </w:t>
      </w:r>
      <w:r>
        <w:rPr>
          <w:rFonts w:hint="eastAsia" w:ascii="黑体" w:hAnsi="黑体" w:eastAsia="黑体" w:cs="宋体"/>
          <w:spacing w:val="5"/>
          <w:position w:val="7"/>
          <w:sz w:val="18"/>
          <w:szCs w:val="18"/>
        </w:rPr>
        <w:t>插杠式电梯井操作平台安装示意图</w:t>
      </w:r>
    </w:p>
    <w:p>
      <w:pPr>
        <w:spacing w:line="360" w:lineRule="auto"/>
        <w:jc w:val="center"/>
        <w:rPr>
          <w:rFonts w:ascii="黑体" w:hAnsi="黑体" w:eastAsia="黑体" w:cs="宋体"/>
          <w:sz w:val="18"/>
          <w:szCs w:val="18"/>
        </w:rPr>
      </w:pPr>
      <w:r>
        <w:rPr>
          <w:rFonts w:ascii="黑体" w:hAnsi="黑体" w:eastAsia="黑体" w:cs="宋体"/>
          <w:spacing w:val="-14"/>
          <w:sz w:val="18"/>
          <w:szCs w:val="18"/>
        </w:rPr>
        <w:t>1</w:t>
      </w:r>
      <w:r>
        <w:rPr>
          <w:rFonts w:ascii="黑体" w:hAnsi="黑体" w:eastAsia="黑体" w:cs="宋体"/>
          <w:spacing w:val="-7"/>
          <w:sz w:val="18"/>
          <w:szCs w:val="18"/>
        </w:rPr>
        <w:t>-</w:t>
      </w:r>
      <w:r>
        <w:rPr>
          <w:rFonts w:hint="eastAsia" w:ascii="黑体" w:hAnsi="黑体" w:eastAsia="黑体" w:cs="宋体"/>
          <w:spacing w:val="-7"/>
          <w:sz w:val="18"/>
          <w:szCs w:val="18"/>
        </w:rPr>
        <w:t>插杠；</w:t>
      </w:r>
      <w:r>
        <w:rPr>
          <w:rFonts w:ascii="黑体" w:hAnsi="黑体" w:eastAsia="黑体" w:cs="宋体"/>
          <w:spacing w:val="-7"/>
          <w:sz w:val="18"/>
          <w:szCs w:val="18"/>
        </w:rPr>
        <w:t>2-</w:t>
      </w:r>
      <w:r>
        <w:rPr>
          <w:rFonts w:hint="eastAsia" w:ascii="黑体" w:hAnsi="黑体" w:eastAsia="黑体" w:cs="宋体"/>
          <w:spacing w:val="-7"/>
          <w:sz w:val="18"/>
          <w:szCs w:val="18"/>
        </w:rPr>
        <w:t>操作平台；</w:t>
      </w:r>
      <w:r>
        <w:rPr>
          <w:rFonts w:ascii="黑体" w:hAnsi="黑体" w:eastAsia="黑体" w:cs="宋体"/>
          <w:spacing w:val="-7"/>
          <w:sz w:val="18"/>
          <w:szCs w:val="18"/>
        </w:rPr>
        <w:t>3-</w:t>
      </w:r>
      <w:r>
        <w:rPr>
          <w:rFonts w:hint="eastAsia" w:ascii="黑体" w:hAnsi="黑体" w:eastAsia="黑体" w:cs="宋体"/>
          <w:spacing w:val="-7"/>
          <w:sz w:val="18"/>
          <w:szCs w:val="18"/>
        </w:rPr>
        <w:t>墙体</w:t>
      </w:r>
    </w:p>
    <w:p>
      <w:pPr>
        <w:spacing w:line="360" w:lineRule="auto"/>
        <w:jc w:val="left"/>
        <w:rPr>
          <w:szCs w:val="21"/>
        </w:rPr>
      </w:pPr>
      <w:r>
        <w:rPr>
          <w:rFonts w:hint="eastAsia"/>
          <w:b/>
          <w:bCs/>
          <w:szCs w:val="21"/>
        </w:rPr>
        <w:t>7.3.3</w:t>
      </w:r>
      <w:r>
        <w:rPr>
          <w:b/>
          <w:bCs/>
          <w:spacing w:val="10"/>
          <w:szCs w:val="21"/>
        </w:rPr>
        <w:t xml:space="preserve">  </w:t>
      </w:r>
      <w:r>
        <w:rPr>
          <w:spacing w:val="5"/>
          <w:szCs w:val="21"/>
        </w:rPr>
        <w:t>自卡式电梯井操作平台支撑架应采用14#及以上工字钢、槽钢等型钢制作，支腿处应有加强措施。自卡式电梯井操作平台安装示意图见</w:t>
      </w:r>
      <w:r>
        <w:rPr>
          <w:spacing w:val="-8"/>
          <w:szCs w:val="21"/>
        </w:rPr>
        <w:t>图7.3.3</w:t>
      </w:r>
      <w:r>
        <w:rPr>
          <w:spacing w:val="-7"/>
          <w:szCs w:val="21"/>
        </w:rPr>
        <w:t>。</w:t>
      </w:r>
    </w:p>
    <w:p>
      <w:pPr>
        <w:spacing w:line="360" w:lineRule="auto"/>
        <w:jc w:val="center"/>
        <w:textAlignment w:val="center"/>
        <w:rPr>
          <w:rFonts w:ascii="宋体" w:hAnsi="宋体" w:cs="宋体"/>
          <w:szCs w:val="21"/>
        </w:rPr>
      </w:pPr>
      <w:r>
        <w:rPr>
          <w:rFonts w:hint="eastAsia" w:ascii="宋体" w:hAnsi="宋体" w:cs="宋体"/>
          <w:szCs w:val="21"/>
        </w:rPr>
        <w:drawing>
          <wp:inline distT="0" distB="0" distL="114300" distR="114300">
            <wp:extent cx="2498090" cy="2508250"/>
            <wp:effectExtent l="0" t="0" r="16510" b="6350"/>
            <wp:docPr id="78" name="图片 37"/>
            <wp:cNvGraphicFramePr/>
            <a:graphic xmlns:a="http://schemas.openxmlformats.org/drawingml/2006/main">
              <a:graphicData uri="http://schemas.openxmlformats.org/drawingml/2006/picture">
                <pic:pic xmlns:pic="http://schemas.openxmlformats.org/drawingml/2006/picture">
                  <pic:nvPicPr>
                    <pic:cNvPr id="78" name="图片 37"/>
                    <pic:cNvPicPr/>
                  </pic:nvPicPr>
                  <pic:blipFill>
                    <a:blip r:embed="rId53"/>
                    <a:stretch>
                      <a:fillRect/>
                    </a:stretch>
                  </pic:blipFill>
                  <pic:spPr>
                    <a:xfrm>
                      <a:off x="0" y="0"/>
                      <a:ext cx="2498090" cy="250825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pacing w:val="10"/>
          <w:sz w:val="18"/>
          <w:szCs w:val="18"/>
        </w:rPr>
        <w:t>图</w:t>
      </w:r>
      <w:r>
        <w:rPr>
          <w:rFonts w:ascii="黑体" w:hAnsi="黑体" w:eastAsia="黑体" w:cs="宋体"/>
          <w:spacing w:val="10"/>
          <w:sz w:val="18"/>
          <w:szCs w:val="18"/>
        </w:rPr>
        <w:t>7</w:t>
      </w:r>
      <w:r>
        <w:rPr>
          <w:rFonts w:ascii="黑体" w:hAnsi="黑体" w:eastAsia="黑体" w:cs="宋体"/>
          <w:spacing w:val="7"/>
          <w:sz w:val="18"/>
          <w:szCs w:val="18"/>
        </w:rPr>
        <w:t>.</w:t>
      </w:r>
      <w:r>
        <w:rPr>
          <w:rFonts w:ascii="黑体" w:hAnsi="黑体" w:eastAsia="黑体" w:cs="宋体"/>
          <w:spacing w:val="5"/>
          <w:sz w:val="18"/>
          <w:szCs w:val="18"/>
        </w:rPr>
        <w:t xml:space="preserve">3.3 </w:t>
      </w:r>
      <w:r>
        <w:rPr>
          <w:rFonts w:hint="eastAsia" w:ascii="黑体" w:hAnsi="黑体" w:eastAsia="黑体" w:cs="宋体"/>
          <w:spacing w:val="5"/>
          <w:sz w:val="18"/>
          <w:szCs w:val="18"/>
        </w:rPr>
        <w:t>自卡式电梯井操作平台安装示意图</w:t>
      </w:r>
    </w:p>
    <w:p>
      <w:pPr>
        <w:spacing w:line="360" w:lineRule="auto"/>
        <w:jc w:val="center"/>
        <w:rPr>
          <w:rFonts w:ascii="黑体" w:hAnsi="黑体" w:eastAsia="黑体" w:cs="宋体"/>
          <w:b/>
          <w:bCs/>
          <w:sz w:val="18"/>
          <w:szCs w:val="18"/>
        </w:rPr>
      </w:pPr>
      <w:r>
        <w:rPr>
          <w:rFonts w:ascii="黑体" w:hAnsi="黑体" w:eastAsia="黑体" w:cs="宋体"/>
          <w:spacing w:val="-7"/>
          <w:sz w:val="18"/>
          <w:szCs w:val="18"/>
        </w:rPr>
        <w:t>1</w:t>
      </w:r>
      <w:r>
        <w:rPr>
          <w:rFonts w:ascii="黑体" w:hAnsi="黑体" w:eastAsia="黑体" w:cs="宋体"/>
          <w:spacing w:val="-6"/>
          <w:sz w:val="18"/>
          <w:szCs w:val="18"/>
        </w:rPr>
        <w:t>-14#及以上</w:t>
      </w:r>
      <w:r>
        <w:rPr>
          <w:rFonts w:hint="eastAsia" w:ascii="黑体" w:hAnsi="黑体" w:eastAsia="黑体" w:cs="宋体"/>
          <w:spacing w:val="-7"/>
          <w:sz w:val="18"/>
          <w:szCs w:val="18"/>
        </w:rPr>
        <w:t>工字钢、槽钢等型钢</w:t>
      </w:r>
      <w:r>
        <w:rPr>
          <w:rFonts w:hint="eastAsia" w:ascii="黑体" w:hAnsi="黑体" w:eastAsia="黑体" w:cs="宋体"/>
          <w:spacing w:val="-2"/>
          <w:sz w:val="18"/>
          <w:szCs w:val="18"/>
        </w:rPr>
        <w:t>；</w:t>
      </w:r>
      <w:r>
        <w:rPr>
          <w:rFonts w:ascii="黑体" w:hAnsi="黑体" w:eastAsia="黑体" w:cs="宋体"/>
          <w:spacing w:val="-6"/>
          <w:sz w:val="18"/>
          <w:szCs w:val="18"/>
        </w:rPr>
        <w:t>2-</w:t>
      </w:r>
      <w:r>
        <w:rPr>
          <w:rFonts w:hint="eastAsia" w:ascii="黑体" w:hAnsi="黑体" w:eastAsia="黑体" w:cs="宋体"/>
          <w:spacing w:val="-6"/>
          <w:sz w:val="18"/>
          <w:szCs w:val="18"/>
        </w:rPr>
        <w:t>操作平台</w:t>
      </w:r>
      <w:r>
        <w:rPr>
          <w:rFonts w:hint="eastAsia" w:ascii="黑体" w:hAnsi="黑体" w:eastAsia="黑体" w:cs="宋体"/>
          <w:spacing w:val="-2"/>
          <w:sz w:val="18"/>
          <w:szCs w:val="18"/>
        </w:rPr>
        <w:t>；</w:t>
      </w:r>
      <w:r>
        <w:rPr>
          <w:rFonts w:ascii="黑体" w:hAnsi="黑体" w:eastAsia="黑体" w:cs="宋体"/>
          <w:spacing w:val="-6"/>
          <w:sz w:val="18"/>
          <w:szCs w:val="18"/>
        </w:rPr>
        <w:t>3-</w:t>
      </w:r>
      <w:r>
        <w:rPr>
          <w:rFonts w:hint="eastAsia" w:ascii="黑体" w:hAnsi="黑体" w:eastAsia="黑体" w:cs="宋体"/>
          <w:spacing w:val="-6"/>
          <w:sz w:val="18"/>
          <w:szCs w:val="18"/>
        </w:rPr>
        <w:t>吊环；</w:t>
      </w:r>
      <w:r>
        <w:rPr>
          <w:rFonts w:ascii="黑体" w:hAnsi="黑体" w:eastAsia="黑体" w:cs="宋体"/>
          <w:spacing w:val="-6"/>
          <w:sz w:val="18"/>
          <w:szCs w:val="18"/>
        </w:rPr>
        <w:t>4-</w:t>
      </w:r>
      <w:r>
        <w:rPr>
          <w:rFonts w:hint="eastAsia" w:ascii="黑体" w:hAnsi="黑体" w:eastAsia="黑体" w:cs="宋体"/>
          <w:spacing w:val="-6"/>
          <w:sz w:val="18"/>
          <w:szCs w:val="18"/>
        </w:rPr>
        <w:t>支腿</w:t>
      </w:r>
      <w:r>
        <w:rPr>
          <w:rFonts w:hint="eastAsia" w:ascii="黑体" w:hAnsi="黑体" w:eastAsia="黑体" w:cs="宋体"/>
          <w:spacing w:val="-2"/>
          <w:sz w:val="18"/>
          <w:szCs w:val="18"/>
        </w:rPr>
        <w:t>；</w:t>
      </w:r>
      <w:r>
        <w:rPr>
          <w:rFonts w:ascii="黑体" w:hAnsi="黑体" w:eastAsia="黑体" w:cs="宋体"/>
          <w:spacing w:val="-6"/>
          <w:sz w:val="18"/>
          <w:szCs w:val="18"/>
        </w:rPr>
        <w:t>5-</w:t>
      </w:r>
      <w:r>
        <w:rPr>
          <w:rFonts w:hint="eastAsia" w:ascii="黑体" w:hAnsi="黑体" w:eastAsia="黑体" w:cs="宋体"/>
          <w:spacing w:val="-6"/>
          <w:sz w:val="18"/>
          <w:szCs w:val="18"/>
        </w:rPr>
        <w:t>加强板</w:t>
      </w:r>
      <w:r>
        <w:rPr>
          <w:rFonts w:hint="eastAsia" w:ascii="黑体" w:hAnsi="黑体" w:eastAsia="黑体" w:cs="宋体"/>
          <w:spacing w:val="-2"/>
          <w:sz w:val="18"/>
          <w:szCs w:val="18"/>
        </w:rPr>
        <w:t>；</w:t>
      </w:r>
      <w:r>
        <w:rPr>
          <w:rFonts w:ascii="黑体" w:hAnsi="黑体" w:eastAsia="黑体" w:cs="宋体"/>
          <w:spacing w:val="-6"/>
          <w:sz w:val="18"/>
          <w:szCs w:val="18"/>
        </w:rPr>
        <w:t>6-</w:t>
      </w:r>
      <w:r>
        <w:rPr>
          <w:rFonts w:hint="eastAsia" w:ascii="黑体" w:hAnsi="黑体" w:eastAsia="黑体" w:cs="宋体"/>
          <w:spacing w:val="-6"/>
          <w:sz w:val="18"/>
          <w:szCs w:val="18"/>
        </w:rPr>
        <w:t>楼板</w:t>
      </w:r>
      <w:r>
        <w:rPr>
          <w:rFonts w:hint="eastAsia" w:ascii="黑体" w:hAnsi="黑体" w:eastAsia="黑体" w:cs="宋体"/>
          <w:spacing w:val="-2"/>
          <w:sz w:val="18"/>
          <w:szCs w:val="18"/>
        </w:rPr>
        <w:t>；</w:t>
      </w:r>
      <w:r>
        <w:rPr>
          <w:rFonts w:ascii="黑体" w:hAnsi="黑体" w:eastAsia="黑体" w:cs="宋体"/>
          <w:spacing w:val="-6"/>
          <w:sz w:val="18"/>
          <w:szCs w:val="18"/>
        </w:rPr>
        <w:t>7-</w:t>
      </w:r>
      <w:r>
        <w:rPr>
          <w:rFonts w:hint="eastAsia" w:ascii="黑体" w:hAnsi="黑体" w:eastAsia="黑体" w:cs="宋体"/>
          <w:spacing w:val="-6"/>
          <w:sz w:val="18"/>
          <w:szCs w:val="18"/>
        </w:rPr>
        <w:t>墙体</w:t>
      </w:r>
    </w:p>
    <w:p>
      <w:pPr>
        <w:spacing w:line="360" w:lineRule="auto"/>
        <w:jc w:val="left"/>
        <w:rPr>
          <w:szCs w:val="21"/>
        </w:rPr>
      </w:pPr>
      <w:r>
        <w:rPr>
          <w:rFonts w:hint="eastAsia"/>
          <w:b/>
          <w:bCs/>
          <w:szCs w:val="21"/>
        </w:rPr>
        <w:t>7.3.4</w:t>
      </w:r>
      <w:r>
        <w:rPr>
          <w:b/>
          <w:bCs/>
          <w:szCs w:val="21"/>
        </w:rPr>
        <w:t xml:space="preserve">  </w:t>
      </w:r>
      <w:r>
        <w:rPr>
          <w:szCs w:val="21"/>
        </w:rPr>
        <w:t>落地式电梯井操作平台</w:t>
      </w:r>
      <w:r>
        <w:rPr>
          <w:color w:val="000000"/>
          <w:szCs w:val="21"/>
        </w:rPr>
        <w:t>应与井壁支顶牢固作</w:t>
      </w:r>
      <w:r>
        <w:rPr>
          <w:szCs w:val="21"/>
        </w:rPr>
        <w:t>业层上应满铺脚手板。落地式电梯井操作平台布置示意图见图</w:t>
      </w:r>
      <w:r>
        <w:rPr>
          <w:spacing w:val="-8"/>
          <w:szCs w:val="21"/>
        </w:rPr>
        <w:t>7.3.4</w:t>
      </w:r>
      <w:r>
        <w:rPr>
          <w:szCs w:val="21"/>
        </w:rPr>
        <w:t>。</w:t>
      </w:r>
    </w:p>
    <w:p>
      <w:pPr>
        <w:spacing w:line="360" w:lineRule="auto"/>
        <w:jc w:val="center"/>
        <w:rPr>
          <w:rFonts w:ascii="宋体" w:hAnsi="宋体" w:cs="宋体"/>
          <w:szCs w:val="21"/>
        </w:rPr>
      </w:pPr>
      <w:r>
        <w:rPr>
          <w:rFonts w:hint="eastAsia" w:ascii="宋体" w:hAnsi="宋体" w:cs="宋体"/>
          <w:szCs w:val="21"/>
        </w:rPr>
        <w:drawing>
          <wp:inline distT="0" distB="0" distL="114300" distR="114300">
            <wp:extent cx="2977515" cy="2224405"/>
            <wp:effectExtent l="0" t="0" r="13335" b="4445"/>
            <wp:docPr id="79" name="图片 38" descr="1693979303520"/>
            <wp:cNvGraphicFramePr/>
            <a:graphic xmlns:a="http://schemas.openxmlformats.org/drawingml/2006/main">
              <a:graphicData uri="http://schemas.openxmlformats.org/drawingml/2006/picture">
                <pic:pic xmlns:pic="http://schemas.openxmlformats.org/drawingml/2006/picture">
                  <pic:nvPicPr>
                    <pic:cNvPr id="79" name="图片 38" descr="1693979303520"/>
                    <pic:cNvPicPr/>
                  </pic:nvPicPr>
                  <pic:blipFill>
                    <a:blip r:embed="rId54"/>
                    <a:stretch>
                      <a:fillRect/>
                    </a:stretch>
                  </pic:blipFill>
                  <pic:spPr>
                    <a:xfrm>
                      <a:off x="0" y="0"/>
                      <a:ext cx="2977515" cy="222440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 xml:space="preserve">7.3.4 </w:t>
      </w:r>
      <w:r>
        <w:rPr>
          <w:rFonts w:hint="eastAsia" w:ascii="黑体" w:hAnsi="黑体" w:eastAsia="黑体" w:cs="宋体"/>
          <w:sz w:val="18"/>
          <w:szCs w:val="18"/>
        </w:rPr>
        <w:t>落地式电梯井操作平台布置示意图</w:t>
      </w:r>
    </w:p>
    <w:p>
      <w:pPr>
        <w:spacing w:line="360" w:lineRule="auto"/>
        <w:jc w:val="center"/>
        <w:rPr>
          <w:rFonts w:ascii="黑体" w:hAnsi="黑体" w:eastAsia="黑体" w:cs="宋体"/>
          <w:sz w:val="18"/>
          <w:szCs w:val="18"/>
        </w:rPr>
      </w:pPr>
      <w:r>
        <w:rPr>
          <w:rFonts w:ascii="黑体" w:hAnsi="黑体" w:eastAsia="黑体" w:cs="宋体"/>
          <w:sz w:val="18"/>
          <w:szCs w:val="18"/>
        </w:rPr>
        <w:t>1-U拖</w:t>
      </w:r>
      <w:r>
        <w:rPr>
          <w:rFonts w:hint="eastAsia" w:ascii="黑体" w:hAnsi="黑体" w:eastAsia="黑体" w:cs="宋体"/>
          <w:spacing w:val="-2"/>
          <w:sz w:val="18"/>
          <w:szCs w:val="18"/>
        </w:rPr>
        <w:t>；</w:t>
      </w:r>
      <w:r>
        <w:rPr>
          <w:rFonts w:ascii="黑体" w:hAnsi="黑体" w:eastAsia="黑体" w:cs="宋体"/>
          <w:sz w:val="18"/>
          <w:szCs w:val="18"/>
        </w:rPr>
        <w:t>2-</w:t>
      </w:r>
      <w:r>
        <w:rPr>
          <w:rFonts w:hint="eastAsia" w:ascii="黑体" w:hAnsi="黑体" w:eastAsia="黑体" w:cs="宋体"/>
          <w:sz w:val="18"/>
          <w:szCs w:val="18"/>
        </w:rPr>
        <w:t>水平杆</w:t>
      </w:r>
      <w:r>
        <w:rPr>
          <w:rFonts w:hint="eastAsia" w:ascii="黑体" w:hAnsi="黑体" w:eastAsia="黑体" w:cs="宋体"/>
          <w:spacing w:val="-2"/>
          <w:sz w:val="18"/>
          <w:szCs w:val="18"/>
        </w:rPr>
        <w:t>；</w:t>
      </w:r>
      <w:r>
        <w:rPr>
          <w:rFonts w:ascii="黑体" w:hAnsi="黑体" w:eastAsia="黑体" w:cs="宋体"/>
          <w:sz w:val="18"/>
          <w:szCs w:val="18"/>
        </w:rPr>
        <w:t>3-</w:t>
      </w:r>
      <w:r>
        <w:rPr>
          <w:rFonts w:hint="eastAsia" w:ascii="黑体" w:hAnsi="黑体" w:eastAsia="黑体" w:cs="宋体"/>
          <w:sz w:val="18"/>
          <w:szCs w:val="18"/>
        </w:rPr>
        <w:t>水平斜杆</w:t>
      </w:r>
    </w:p>
    <w:p>
      <w:pPr>
        <w:spacing w:line="360" w:lineRule="auto"/>
        <w:jc w:val="left"/>
        <w:rPr>
          <w:szCs w:val="21"/>
        </w:rPr>
      </w:pPr>
      <w:r>
        <w:rPr>
          <w:rFonts w:hint="eastAsia"/>
          <w:b/>
          <w:bCs/>
          <w:szCs w:val="21"/>
        </w:rPr>
        <w:t>7.3.5</w:t>
      </w:r>
      <w:r>
        <w:rPr>
          <w:szCs w:val="21"/>
        </w:rPr>
        <w:t xml:space="preserve">  落地式操作平台的防护要求按本标准第7.2.1条、第7.2.2条、第7.2.3条执行。落地式操作平台示意图见图7.3.5-1和图7.3.5-2。</w:t>
      </w:r>
    </w:p>
    <w:p>
      <w:pPr>
        <w:spacing w:line="360" w:lineRule="auto"/>
        <w:jc w:val="center"/>
        <w:textAlignment w:val="center"/>
        <w:rPr>
          <w:rFonts w:ascii="宋体" w:hAnsi="宋体" w:cs="宋体"/>
          <w:szCs w:val="21"/>
        </w:rPr>
      </w:pPr>
      <w:r>
        <w:rPr>
          <w:rFonts w:hint="eastAsia" w:ascii="宋体" w:hAnsi="宋体" w:cs="宋体"/>
          <w:szCs w:val="21"/>
        </w:rPr>
        <w:drawing>
          <wp:inline distT="0" distB="0" distL="114300" distR="114300">
            <wp:extent cx="4815840" cy="2386330"/>
            <wp:effectExtent l="0" t="0" r="3810" b="13970"/>
            <wp:docPr id="80" name="图片 39"/>
            <wp:cNvGraphicFramePr/>
            <a:graphic xmlns:a="http://schemas.openxmlformats.org/drawingml/2006/main">
              <a:graphicData uri="http://schemas.openxmlformats.org/drawingml/2006/picture">
                <pic:pic xmlns:pic="http://schemas.openxmlformats.org/drawingml/2006/picture">
                  <pic:nvPicPr>
                    <pic:cNvPr id="80" name="图片 39"/>
                    <pic:cNvPicPr/>
                  </pic:nvPicPr>
                  <pic:blipFill>
                    <a:blip r:embed="rId55"/>
                    <a:stretch>
                      <a:fillRect/>
                    </a:stretch>
                  </pic:blipFill>
                  <pic:spPr>
                    <a:xfrm>
                      <a:off x="0" y="0"/>
                      <a:ext cx="4815840" cy="2386330"/>
                    </a:xfrm>
                    <a:prstGeom prst="rect">
                      <a:avLst/>
                    </a:prstGeom>
                    <a:noFill/>
                    <a:ln>
                      <a:noFill/>
                    </a:ln>
                  </pic:spPr>
                </pic:pic>
              </a:graphicData>
            </a:graphic>
          </wp:inline>
        </w:drawing>
      </w:r>
    </w:p>
    <w:p>
      <w:pPr>
        <w:spacing w:line="360" w:lineRule="auto"/>
        <w:jc w:val="center"/>
        <w:rPr>
          <w:rFonts w:ascii="黑体" w:hAnsi="黑体" w:eastAsia="黑体" w:cs="宋体"/>
          <w:spacing w:val="5"/>
          <w:sz w:val="18"/>
          <w:szCs w:val="18"/>
        </w:rPr>
      </w:pPr>
      <w:r>
        <w:rPr>
          <w:rFonts w:hint="eastAsia" w:ascii="黑体" w:hAnsi="黑体" w:eastAsia="黑体" w:cs="宋体"/>
          <w:spacing w:val="10"/>
          <w:sz w:val="18"/>
          <w:szCs w:val="18"/>
        </w:rPr>
        <w:t>图</w:t>
      </w:r>
      <w:r>
        <w:rPr>
          <w:rFonts w:ascii="黑体" w:hAnsi="黑体" w:eastAsia="黑体" w:cs="宋体"/>
          <w:spacing w:val="10"/>
          <w:sz w:val="18"/>
          <w:szCs w:val="18"/>
        </w:rPr>
        <w:t>7.3.</w:t>
      </w:r>
      <w:r>
        <w:rPr>
          <w:rFonts w:ascii="黑体" w:hAnsi="黑体" w:eastAsia="黑体" w:cs="宋体"/>
          <w:spacing w:val="9"/>
          <w:sz w:val="18"/>
          <w:szCs w:val="18"/>
        </w:rPr>
        <w:t>5</w:t>
      </w:r>
      <w:r>
        <w:rPr>
          <w:rFonts w:ascii="黑体" w:hAnsi="黑体" w:eastAsia="黑体" w:cs="宋体"/>
          <w:spacing w:val="5"/>
          <w:sz w:val="18"/>
          <w:szCs w:val="18"/>
        </w:rPr>
        <w:t xml:space="preserve">-1 </w:t>
      </w:r>
      <w:r>
        <w:rPr>
          <w:rFonts w:hint="eastAsia" w:ascii="黑体" w:hAnsi="黑体" w:eastAsia="黑体" w:cs="宋体"/>
          <w:spacing w:val="5"/>
          <w:sz w:val="18"/>
          <w:szCs w:val="18"/>
        </w:rPr>
        <w:t>落地式操作平台正立面示意图</w:t>
      </w:r>
      <w:r>
        <w:rPr>
          <w:rFonts w:ascii="黑体" w:hAnsi="黑体" w:eastAsia="黑体" w:cs="宋体"/>
          <w:spacing w:val="5"/>
          <w:sz w:val="18"/>
          <w:szCs w:val="18"/>
        </w:rPr>
        <w:t xml:space="preserve">   </w:t>
      </w:r>
      <w:r>
        <w:rPr>
          <w:rFonts w:hint="eastAsia" w:ascii="黑体" w:hAnsi="黑体" w:eastAsia="黑体" w:cs="宋体"/>
          <w:spacing w:val="5"/>
          <w:sz w:val="18"/>
          <w:szCs w:val="18"/>
        </w:rPr>
        <w:t>图</w:t>
      </w:r>
      <w:r>
        <w:rPr>
          <w:rFonts w:ascii="黑体" w:hAnsi="黑体" w:eastAsia="黑体" w:cs="宋体"/>
          <w:spacing w:val="5"/>
          <w:sz w:val="18"/>
          <w:szCs w:val="18"/>
        </w:rPr>
        <w:t xml:space="preserve">7.3.5-2 </w:t>
      </w:r>
      <w:r>
        <w:rPr>
          <w:rFonts w:hint="eastAsia" w:ascii="黑体" w:hAnsi="黑体" w:eastAsia="黑体" w:cs="宋体"/>
          <w:spacing w:val="5"/>
          <w:sz w:val="18"/>
          <w:szCs w:val="18"/>
        </w:rPr>
        <w:t>落地式操作平台侧立面示意</w:t>
      </w:r>
    </w:p>
    <w:p>
      <w:pPr>
        <w:spacing w:line="360" w:lineRule="auto"/>
        <w:jc w:val="center"/>
        <w:rPr>
          <w:rFonts w:ascii="宋体" w:hAnsi="宋体" w:cs="宋体"/>
          <w:spacing w:val="-7"/>
          <w:szCs w:val="21"/>
        </w:rPr>
      </w:pPr>
      <w:r>
        <w:rPr>
          <w:rFonts w:ascii="黑体" w:hAnsi="黑体" w:eastAsia="黑体" w:cs="宋体"/>
          <w:spacing w:val="-10"/>
          <w:sz w:val="18"/>
          <w:szCs w:val="18"/>
        </w:rPr>
        <w:t>1-</w:t>
      </w:r>
      <w:r>
        <w:rPr>
          <w:rFonts w:hint="eastAsia" w:ascii="黑体" w:hAnsi="黑体" w:eastAsia="黑体" w:cs="宋体"/>
          <w:spacing w:val="-10"/>
          <w:sz w:val="18"/>
          <w:szCs w:val="18"/>
        </w:rPr>
        <w:t>防护</w:t>
      </w:r>
      <w:r>
        <w:rPr>
          <w:rFonts w:hint="eastAsia" w:ascii="黑体" w:hAnsi="黑体" w:eastAsia="黑体" w:cs="宋体"/>
          <w:spacing w:val="-6"/>
          <w:sz w:val="18"/>
          <w:szCs w:val="18"/>
        </w:rPr>
        <w:t>栏</w:t>
      </w:r>
      <w:r>
        <w:rPr>
          <w:rFonts w:hint="eastAsia" w:ascii="黑体" w:hAnsi="黑体" w:eastAsia="黑体" w:cs="宋体"/>
          <w:spacing w:val="-5"/>
          <w:sz w:val="18"/>
          <w:szCs w:val="18"/>
        </w:rPr>
        <w:t>杆</w:t>
      </w:r>
      <w:r>
        <w:rPr>
          <w:rFonts w:hint="eastAsia" w:ascii="黑体" w:hAnsi="黑体" w:eastAsia="黑体" w:cs="宋体"/>
          <w:spacing w:val="-2"/>
          <w:sz w:val="18"/>
          <w:szCs w:val="18"/>
        </w:rPr>
        <w:t>；</w:t>
      </w:r>
      <w:r>
        <w:rPr>
          <w:rFonts w:ascii="黑体" w:hAnsi="黑体" w:eastAsia="黑体" w:cs="宋体"/>
          <w:spacing w:val="-5"/>
          <w:sz w:val="18"/>
          <w:szCs w:val="18"/>
        </w:rPr>
        <w:t>2-</w:t>
      </w:r>
      <w:r>
        <w:rPr>
          <w:rFonts w:hint="eastAsia" w:ascii="黑体" w:hAnsi="黑体" w:eastAsia="黑体" w:cs="宋体"/>
          <w:spacing w:val="-5"/>
          <w:sz w:val="18"/>
          <w:szCs w:val="18"/>
        </w:rPr>
        <w:t>密目式安全网</w:t>
      </w:r>
      <w:r>
        <w:rPr>
          <w:rFonts w:hint="eastAsia" w:ascii="黑体" w:hAnsi="黑体" w:eastAsia="黑体" w:cs="宋体"/>
          <w:spacing w:val="-2"/>
          <w:sz w:val="18"/>
          <w:szCs w:val="18"/>
        </w:rPr>
        <w:t>；</w:t>
      </w:r>
      <w:r>
        <w:rPr>
          <w:rFonts w:ascii="黑体" w:hAnsi="黑体" w:eastAsia="黑体" w:cs="宋体"/>
          <w:spacing w:val="-5"/>
          <w:sz w:val="18"/>
          <w:szCs w:val="18"/>
        </w:rPr>
        <w:t>3-</w:t>
      </w:r>
      <w:r>
        <w:rPr>
          <w:rFonts w:hint="eastAsia" w:ascii="黑体" w:hAnsi="黑体" w:eastAsia="黑体" w:cs="宋体"/>
          <w:spacing w:val="-5"/>
          <w:sz w:val="18"/>
          <w:szCs w:val="18"/>
        </w:rPr>
        <w:t>平台出入口封闭措施</w:t>
      </w:r>
      <w:r>
        <w:rPr>
          <w:rFonts w:hint="eastAsia" w:ascii="黑体" w:hAnsi="黑体" w:eastAsia="黑体" w:cs="宋体"/>
          <w:spacing w:val="-2"/>
          <w:sz w:val="18"/>
          <w:szCs w:val="18"/>
        </w:rPr>
        <w:t>；</w:t>
      </w:r>
      <w:r>
        <w:rPr>
          <w:rFonts w:ascii="黑体" w:hAnsi="黑体" w:eastAsia="黑体" w:cs="宋体"/>
          <w:spacing w:val="-14"/>
          <w:sz w:val="18"/>
          <w:szCs w:val="18"/>
        </w:rPr>
        <w:t>4</w:t>
      </w:r>
      <w:r>
        <w:rPr>
          <w:rFonts w:ascii="黑体" w:hAnsi="黑体" w:eastAsia="黑体" w:cs="宋体"/>
          <w:spacing w:val="-7"/>
          <w:sz w:val="18"/>
          <w:szCs w:val="18"/>
        </w:rPr>
        <w:t>-</w:t>
      </w:r>
      <w:r>
        <w:rPr>
          <w:rFonts w:hint="eastAsia" w:ascii="黑体" w:hAnsi="黑体" w:eastAsia="黑体" w:cs="宋体"/>
          <w:spacing w:val="-7"/>
          <w:sz w:val="18"/>
          <w:szCs w:val="18"/>
        </w:rPr>
        <w:t>挡脚板</w:t>
      </w:r>
      <w:r>
        <w:rPr>
          <w:rFonts w:hint="eastAsia" w:ascii="黑体" w:hAnsi="黑体" w:eastAsia="黑体" w:cs="宋体"/>
          <w:spacing w:val="-2"/>
          <w:sz w:val="18"/>
          <w:szCs w:val="18"/>
        </w:rPr>
        <w:t>；</w:t>
      </w:r>
      <w:r>
        <w:rPr>
          <w:rFonts w:ascii="黑体" w:hAnsi="黑体" w:eastAsia="黑体" w:cs="宋体"/>
          <w:spacing w:val="-7"/>
          <w:sz w:val="18"/>
          <w:szCs w:val="18"/>
        </w:rPr>
        <w:t>5-50mm厚脚手板</w:t>
      </w:r>
    </w:p>
    <w:p>
      <w:pPr>
        <w:spacing w:before="268" w:line="360" w:lineRule="auto"/>
        <w:jc w:val="center"/>
        <w:outlineLvl w:val="1"/>
        <w:rPr>
          <w:b/>
          <w:bCs/>
          <w:szCs w:val="21"/>
        </w:rPr>
      </w:pPr>
      <w:bookmarkStart w:id="123" w:name="_Toc22188"/>
      <w:r>
        <w:rPr>
          <w:b/>
          <w:bCs/>
          <w:szCs w:val="21"/>
        </w:rPr>
        <w:t>7.4  悬挑式钢平台安全防护</w:t>
      </w:r>
      <w:bookmarkEnd w:id="123"/>
    </w:p>
    <w:p>
      <w:pPr>
        <w:spacing w:line="360" w:lineRule="auto"/>
        <w:jc w:val="left"/>
        <w:rPr>
          <w:szCs w:val="21"/>
        </w:rPr>
      </w:pPr>
      <w:r>
        <w:rPr>
          <w:rFonts w:hint="eastAsia"/>
          <w:b/>
          <w:bCs/>
          <w:szCs w:val="21"/>
        </w:rPr>
        <w:t xml:space="preserve">7.4.1 </w:t>
      </w:r>
      <w:r>
        <w:rPr>
          <w:b/>
          <w:bCs/>
          <w:szCs w:val="21"/>
        </w:rPr>
        <w:t xml:space="preserve"> </w:t>
      </w:r>
      <w:r>
        <w:rPr>
          <w:spacing w:val="6"/>
          <w:szCs w:val="21"/>
        </w:rPr>
        <w:t>悬挑式钢平台的悬挑长度不宜大于5000m</w:t>
      </w:r>
      <w:r>
        <w:rPr>
          <w:szCs w:val="21"/>
        </w:rPr>
        <w:t>m</w:t>
      </w:r>
      <w:r>
        <w:rPr>
          <w:spacing w:val="6"/>
          <w:szCs w:val="21"/>
        </w:rPr>
        <w:t>，锚固长度不宜小于1500m</w:t>
      </w:r>
      <w:r>
        <w:rPr>
          <w:szCs w:val="21"/>
        </w:rPr>
        <w:t>m</w:t>
      </w:r>
      <w:r>
        <w:rPr>
          <w:spacing w:val="6"/>
          <w:szCs w:val="21"/>
        </w:rPr>
        <w:t>，承载面积应不大</w:t>
      </w:r>
      <w:r>
        <w:rPr>
          <w:spacing w:val="5"/>
          <w:szCs w:val="21"/>
        </w:rPr>
        <w:t>于</w:t>
      </w:r>
      <w:r>
        <w:rPr>
          <w:spacing w:val="-2"/>
          <w:szCs w:val="21"/>
        </w:rPr>
        <w:t>20㎡，承载面积长宽比应不大于</w:t>
      </w:r>
      <w:r>
        <w:rPr>
          <w:spacing w:val="-1"/>
          <w:szCs w:val="21"/>
        </w:rPr>
        <w:t>1.5:1。</w:t>
      </w:r>
    </w:p>
    <w:p>
      <w:pPr>
        <w:spacing w:line="360" w:lineRule="auto"/>
        <w:jc w:val="left"/>
        <w:rPr>
          <w:spacing w:val="-6"/>
          <w:szCs w:val="21"/>
        </w:rPr>
      </w:pPr>
      <w:r>
        <w:rPr>
          <w:rFonts w:hint="eastAsia"/>
          <w:b/>
          <w:bCs/>
          <w:szCs w:val="21"/>
        </w:rPr>
        <w:t>7.4.2</w:t>
      </w:r>
      <w:r>
        <w:rPr>
          <w:spacing w:val="6"/>
          <w:szCs w:val="21"/>
        </w:rPr>
        <w:t xml:space="preserve">  工具式</w:t>
      </w:r>
      <w:r>
        <w:rPr>
          <w:spacing w:val="5"/>
          <w:szCs w:val="21"/>
        </w:rPr>
        <w:t>液</w:t>
      </w:r>
      <w:r>
        <w:rPr>
          <w:spacing w:val="3"/>
          <w:szCs w:val="21"/>
        </w:rPr>
        <w:t>压爬升悬挑钢平台卸料层长度不应大于5000m</w:t>
      </w:r>
      <w:r>
        <w:rPr>
          <w:szCs w:val="21"/>
        </w:rPr>
        <w:t>m</w:t>
      </w:r>
      <w:r>
        <w:rPr>
          <w:spacing w:val="3"/>
          <w:szCs w:val="21"/>
        </w:rPr>
        <w:t>，宽度不应小于2.5</w:t>
      </w:r>
      <w:r>
        <w:rPr>
          <w:szCs w:val="21"/>
        </w:rPr>
        <w:t>m</w:t>
      </w:r>
      <w:r>
        <w:rPr>
          <w:spacing w:val="3"/>
          <w:szCs w:val="21"/>
        </w:rPr>
        <w:t>，承载面积不应大</w:t>
      </w:r>
      <w:r>
        <w:rPr>
          <w:spacing w:val="-9"/>
          <w:szCs w:val="21"/>
        </w:rPr>
        <w:t>于</w:t>
      </w:r>
      <w:r>
        <w:rPr>
          <w:spacing w:val="-6"/>
          <w:szCs w:val="21"/>
        </w:rPr>
        <w:t>20㎡。工具式液压爬升悬挑钢平台侧立面安装示意图见图7.4.2。</w:t>
      </w:r>
    </w:p>
    <w:p>
      <w:pPr>
        <w:spacing w:line="360" w:lineRule="auto"/>
        <w:jc w:val="center"/>
        <w:rPr>
          <w:rFonts w:ascii="宋体" w:hAnsi="宋体" w:cs="宋体"/>
          <w:spacing w:val="-6"/>
          <w:szCs w:val="21"/>
        </w:rPr>
      </w:pPr>
      <w:r>
        <w:rPr>
          <w:rFonts w:hint="eastAsia" w:ascii="宋体" w:hAnsi="宋体" w:cs="宋体"/>
          <w:szCs w:val="21"/>
        </w:rPr>
        <w:drawing>
          <wp:inline distT="0" distB="0" distL="114300" distR="114300">
            <wp:extent cx="4954270" cy="4016375"/>
            <wp:effectExtent l="0" t="0" r="17780" b="3175"/>
            <wp:docPr id="8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0"/>
                    <pic:cNvPicPr>
                      <a:picLocks noChangeAspect="1"/>
                    </pic:cNvPicPr>
                  </pic:nvPicPr>
                  <pic:blipFill>
                    <a:blip r:embed="rId56"/>
                    <a:srcRect l="2301" t="890" r="57689" b="23544"/>
                    <a:stretch>
                      <a:fillRect/>
                    </a:stretch>
                  </pic:blipFill>
                  <pic:spPr>
                    <a:xfrm>
                      <a:off x="0" y="0"/>
                      <a:ext cx="4954270" cy="401637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pacing w:val="12"/>
          <w:sz w:val="18"/>
          <w:szCs w:val="18"/>
        </w:rPr>
        <w:t>图</w:t>
      </w:r>
      <w:r>
        <w:rPr>
          <w:rFonts w:ascii="黑体" w:hAnsi="黑体" w:eastAsia="黑体" w:cs="宋体"/>
          <w:spacing w:val="6"/>
          <w:sz w:val="18"/>
          <w:szCs w:val="18"/>
        </w:rPr>
        <w:t xml:space="preserve">7.4.2 </w:t>
      </w:r>
      <w:r>
        <w:rPr>
          <w:rFonts w:hint="eastAsia" w:ascii="黑体" w:hAnsi="黑体" w:eastAsia="黑体" w:cs="宋体"/>
          <w:spacing w:val="6"/>
          <w:sz w:val="18"/>
          <w:szCs w:val="18"/>
        </w:rPr>
        <w:t>工具式液压爬升悬挑钢平台侧立面安装示意图</w:t>
      </w:r>
    </w:p>
    <w:p>
      <w:pPr>
        <w:spacing w:line="360" w:lineRule="auto"/>
        <w:jc w:val="center"/>
        <w:rPr>
          <w:rFonts w:ascii="黑体" w:hAnsi="黑体" w:eastAsia="黑体" w:cs="宋体"/>
          <w:sz w:val="18"/>
          <w:szCs w:val="18"/>
        </w:rPr>
      </w:pPr>
      <w:r>
        <w:rPr>
          <w:rFonts w:ascii="黑体" w:hAnsi="黑体" w:eastAsia="黑体" w:cs="宋体"/>
          <w:spacing w:val="-13"/>
          <w:sz w:val="18"/>
          <w:szCs w:val="18"/>
        </w:rPr>
        <w:t>1</w:t>
      </w:r>
      <w:r>
        <w:rPr>
          <w:rFonts w:ascii="黑体" w:hAnsi="黑体" w:eastAsia="黑体" w:cs="宋体"/>
          <w:spacing w:val="-9"/>
          <w:sz w:val="18"/>
          <w:szCs w:val="18"/>
        </w:rPr>
        <w:t>-</w:t>
      </w:r>
      <w:r>
        <w:rPr>
          <w:rFonts w:hint="eastAsia" w:ascii="黑体" w:hAnsi="黑体" w:eastAsia="黑体" w:cs="宋体"/>
          <w:spacing w:val="-9"/>
          <w:sz w:val="18"/>
          <w:szCs w:val="18"/>
        </w:rPr>
        <w:t>防滑移装置；</w:t>
      </w:r>
      <w:r>
        <w:rPr>
          <w:rFonts w:ascii="黑体" w:hAnsi="黑体" w:eastAsia="黑体" w:cs="宋体"/>
          <w:spacing w:val="-9"/>
          <w:sz w:val="18"/>
          <w:szCs w:val="18"/>
        </w:rPr>
        <w:t>2-</w:t>
      </w:r>
      <w:r>
        <w:rPr>
          <w:rFonts w:hint="eastAsia" w:ascii="黑体" w:hAnsi="黑体" w:eastAsia="黑体" w:cs="宋体"/>
          <w:spacing w:val="-9"/>
          <w:sz w:val="18"/>
          <w:szCs w:val="18"/>
        </w:rPr>
        <w:t>液压系统；</w:t>
      </w:r>
      <w:r>
        <w:rPr>
          <w:rFonts w:ascii="黑体" w:hAnsi="黑体" w:eastAsia="黑体" w:cs="宋体"/>
          <w:spacing w:val="-9"/>
          <w:sz w:val="18"/>
          <w:szCs w:val="18"/>
        </w:rPr>
        <w:t>3-</w:t>
      </w:r>
      <w:r>
        <w:rPr>
          <w:rFonts w:hint="eastAsia" w:ascii="黑体" w:hAnsi="黑体" w:eastAsia="黑体" w:cs="宋体"/>
          <w:spacing w:val="-9"/>
          <w:sz w:val="18"/>
          <w:szCs w:val="18"/>
        </w:rPr>
        <w:t>穿墙螺栓；</w:t>
      </w:r>
      <w:r>
        <w:rPr>
          <w:rFonts w:ascii="黑体" w:hAnsi="黑体" w:eastAsia="黑体" w:cs="宋体"/>
          <w:spacing w:val="-9"/>
          <w:sz w:val="18"/>
          <w:szCs w:val="18"/>
        </w:rPr>
        <w:t>4-</w:t>
      </w:r>
      <w:r>
        <w:rPr>
          <w:rFonts w:hint="eastAsia" w:ascii="黑体" w:hAnsi="黑体" w:eastAsia="黑体" w:cs="宋体"/>
          <w:spacing w:val="-9"/>
          <w:sz w:val="18"/>
          <w:szCs w:val="18"/>
        </w:rPr>
        <w:t>附板支架；</w:t>
      </w:r>
    </w:p>
    <w:p>
      <w:pPr>
        <w:spacing w:line="360" w:lineRule="auto"/>
        <w:jc w:val="center"/>
        <w:rPr>
          <w:rFonts w:ascii="黑体" w:hAnsi="黑体" w:eastAsia="黑体" w:cs="宋体"/>
          <w:spacing w:val="-2"/>
          <w:sz w:val="18"/>
          <w:szCs w:val="18"/>
        </w:rPr>
      </w:pPr>
      <w:r>
        <w:rPr>
          <w:rFonts w:ascii="黑体" w:hAnsi="黑体" w:eastAsia="黑体" w:cs="宋体"/>
          <w:spacing w:val="16"/>
          <w:position w:val="1"/>
          <w:sz w:val="18"/>
          <w:szCs w:val="18"/>
        </w:rPr>
        <w:t>5-</w:t>
      </w:r>
      <w:r>
        <w:rPr>
          <w:rFonts w:hint="eastAsia" w:ascii="黑体" w:hAnsi="黑体" w:eastAsia="黑体" w:cs="宋体"/>
          <w:spacing w:val="10"/>
          <w:position w:val="1"/>
          <w:sz w:val="18"/>
          <w:szCs w:val="18"/>
        </w:rPr>
        <w:t>卸</w:t>
      </w:r>
      <w:r>
        <w:rPr>
          <w:rFonts w:hint="eastAsia" w:ascii="黑体" w:hAnsi="黑体" w:eastAsia="黑体" w:cs="宋体"/>
          <w:spacing w:val="8"/>
          <w:position w:val="1"/>
          <w:sz w:val="18"/>
          <w:szCs w:val="18"/>
        </w:rPr>
        <w:t>料层防护围栏；</w:t>
      </w:r>
      <w:r>
        <w:rPr>
          <w:rFonts w:ascii="黑体" w:hAnsi="黑体" w:eastAsia="黑体" w:cs="宋体"/>
          <w:spacing w:val="8"/>
          <w:position w:val="1"/>
          <w:sz w:val="18"/>
          <w:szCs w:val="18"/>
        </w:rPr>
        <w:t>6-</w:t>
      </w:r>
      <w:r>
        <w:rPr>
          <w:rFonts w:hint="eastAsia" w:ascii="黑体" w:hAnsi="黑体" w:eastAsia="黑体" w:cs="宋体"/>
          <w:spacing w:val="8"/>
          <w:position w:val="1"/>
          <w:sz w:val="18"/>
          <w:szCs w:val="18"/>
        </w:rPr>
        <w:t>主受力框架；</w:t>
      </w:r>
      <w:r>
        <w:rPr>
          <w:rFonts w:ascii="黑体" w:hAnsi="黑体" w:eastAsia="黑体" w:cs="宋体"/>
          <w:spacing w:val="8"/>
          <w:position w:val="1"/>
          <w:sz w:val="18"/>
          <w:szCs w:val="18"/>
        </w:rPr>
        <w:t>7-</w:t>
      </w:r>
      <w:r>
        <w:rPr>
          <w:rFonts w:hint="eastAsia" w:ascii="黑体" w:hAnsi="黑体" w:eastAsia="黑体" w:cs="宋体"/>
          <w:spacing w:val="8"/>
          <w:position w:val="1"/>
          <w:sz w:val="18"/>
          <w:szCs w:val="18"/>
        </w:rPr>
        <w:t>操作层防护网；</w:t>
      </w:r>
      <w:r>
        <w:rPr>
          <w:rFonts w:ascii="黑体" w:hAnsi="黑体" w:eastAsia="黑体" w:cs="宋体"/>
          <w:spacing w:val="8"/>
          <w:position w:val="1"/>
          <w:sz w:val="18"/>
          <w:szCs w:val="18"/>
        </w:rPr>
        <w:t>8-</w:t>
      </w:r>
      <w:r>
        <w:rPr>
          <w:rFonts w:hint="eastAsia" w:ascii="黑体" w:hAnsi="黑体" w:eastAsia="黑体" w:cs="宋体"/>
          <w:spacing w:val="8"/>
          <w:position w:val="1"/>
          <w:sz w:val="18"/>
          <w:szCs w:val="18"/>
        </w:rPr>
        <w:t>导轨</w:t>
      </w:r>
    </w:p>
    <w:p>
      <w:pPr>
        <w:spacing w:line="360" w:lineRule="auto"/>
        <w:jc w:val="left"/>
        <w:rPr>
          <w:szCs w:val="21"/>
        </w:rPr>
      </w:pPr>
      <w:r>
        <w:rPr>
          <w:rFonts w:hint="eastAsia"/>
          <w:b/>
          <w:bCs/>
          <w:szCs w:val="21"/>
        </w:rPr>
        <w:t xml:space="preserve">7.4.3 </w:t>
      </w:r>
      <w:r>
        <w:rPr>
          <w:b/>
          <w:bCs/>
          <w:szCs w:val="21"/>
        </w:rPr>
        <w:t xml:space="preserve"> </w:t>
      </w:r>
      <w:r>
        <w:rPr>
          <w:spacing w:val="6"/>
          <w:szCs w:val="21"/>
        </w:rPr>
        <w:t>钢平台防护栏杆高度不应低于1500m</w:t>
      </w:r>
      <w:r>
        <w:rPr>
          <w:szCs w:val="21"/>
        </w:rPr>
        <w:t>m</w:t>
      </w:r>
      <w:r>
        <w:rPr>
          <w:spacing w:val="6"/>
          <w:szCs w:val="21"/>
        </w:rPr>
        <w:t>，应以硬质材料进行封闭。悬挑式钢平台应</w:t>
      </w:r>
      <w:r>
        <w:rPr>
          <w:spacing w:val="5"/>
          <w:szCs w:val="21"/>
        </w:rPr>
        <w:t>满</w:t>
      </w:r>
      <w:r>
        <w:rPr>
          <w:szCs w:val="21"/>
        </w:rPr>
        <w:t>铺</w:t>
      </w:r>
      <w:r>
        <w:rPr>
          <w:spacing w:val="12"/>
          <w:szCs w:val="21"/>
        </w:rPr>
        <w:t>50</w:t>
      </w:r>
      <w:r>
        <w:rPr>
          <w:szCs w:val="21"/>
        </w:rPr>
        <w:t>mm</w:t>
      </w:r>
      <w:r>
        <w:rPr>
          <w:spacing w:val="12"/>
          <w:szCs w:val="21"/>
        </w:rPr>
        <w:t>厚</w:t>
      </w:r>
      <w:r>
        <w:rPr>
          <w:spacing w:val="10"/>
          <w:szCs w:val="21"/>
        </w:rPr>
        <w:t>脚</w:t>
      </w:r>
      <w:r>
        <w:rPr>
          <w:spacing w:val="6"/>
          <w:szCs w:val="21"/>
        </w:rPr>
        <w:t>手板或同等强度的其他材料，工具式液压爬升悬挑钢平</w:t>
      </w:r>
      <w:r>
        <w:rPr>
          <w:spacing w:val="5"/>
          <w:szCs w:val="21"/>
        </w:rPr>
        <w:t>台应满铺厚度2.5</w:t>
      </w:r>
      <w:r>
        <w:rPr>
          <w:szCs w:val="21"/>
        </w:rPr>
        <w:t>mm</w:t>
      </w:r>
      <w:r>
        <w:rPr>
          <w:spacing w:val="5"/>
          <w:szCs w:val="21"/>
        </w:rPr>
        <w:t>以上花纹钢板。</w:t>
      </w:r>
    </w:p>
    <w:p>
      <w:pPr>
        <w:spacing w:line="360" w:lineRule="auto"/>
        <w:jc w:val="left"/>
        <w:rPr>
          <w:color w:val="000000"/>
          <w:spacing w:val="9"/>
          <w:szCs w:val="21"/>
        </w:rPr>
      </w:pPr>
      <w:r>
        <w:rPr>
          <w:rFonts w:hint="eastAsia"/>
          <w:b/>
          <w:bCs/>
          <w:szCs w:val="21"/>
        </w:rPr>
        <w:t>7.4.4</w:t>
      </w:r>
      <w:r>
        <w:rPr>
          <w:color w:val="000000"/>
          <w:spacing w:val="6"/>
          <w:szCs w:val="21"/>
        </w:rPr>
        <w:t xml:space="preserve">  钢平台安装、提升、使用和拆除时，地面垂直投影6000m</w:t>
      </w:r>
      <w:r>
        <w:rPr>
          <w:color w:val="000000"/>
          <w:szCs w:val="21"/>
        </w:rPr>
        <w:t>m</w:t>
      </w:r>
      <w:r>
        <w:rPr>
          <w:color w:val="000000"/>
          <w:spacing w:val="6"/>
          <w:szCs w:val="21"/>
        </w:rPr>
        <w:t>范围，应设置警戒区，设置警</w:t>
      </w:r>
      <w:r>
        <w:rPr>
          <w:color w:val="000000"/>
          <w:spacing w:val="18"/>
          <w:szCs w:val="21"/>
        </w:rPr>
        <w:t>示</w:t>
      </w:r>
      <w:r>
        <w:rPr>
          <w:color w:val="000000"/>
          <w:spacing w:val="11"/>
          <w:szCs w:val="21"/>
        </w:rPr>
        <w:t>标</w:t>
      </w:r>
      <w:r>
        <w:rPr>
          <w:color w:val="000000"/>
          <w:spacing w:val="9"/>
          <w:szCs w:val="21"/>
        </w:rPr>
        <w:t>识，人员不得入内。</w:t>
      </w:r>
    </w:p>
    <w:p>
      <w:pPr>
        <w:spacing w:line="360" w:lineRule="auto"/>
        <w:jc w:val="left"/>
        <w:rPr>
          <w:color w:val="0000FF"/>
          <w:spacing w:val="6"/>
          <w:szCs w:val="21"/>
        </w:rPr>
      </w:pPr>
      <w:r>
        <w:rPr>
          <w:rFonts w:hint="eastAsia"/>
          <w:b/>
          <w:bCs/>
          <w:szCs w:val="21"/>
        </w:rPr>
        <w:t>7.4.5</w:t>
      </w:r>
      <w:r>
        <w:rPr>
          <w:spacing w:val="6"/>
          <w:szCs w:val="21"/>
        </w:rPr>
        <w:t xml:space="preserve">  钢平台与脚手架交叉区域上部应设置硬质防护。</w:t>
      </w:r>
    </w:p>
    <w:p>
      <w:pPr>
        <w:spacing w:before="268" w:line="360" w:lineRule="auto"/>
        <w:ind w:left="3492"/>
        <w:jc w:val="left"/>
        <w:outlineLvl w:val="1"/>
        <w:rPr>
          <w:rFonts w:ascii="宋体" w:hAnsi="宋体" w:cs="宋体"/>
          <w:b/>
          <w:bCs/>
          <w:szCs w:val="21"/>
        </w:rPr>
      </w:pPr>
      <w:bookmarkStart w:id="124" w:name="_Toc7897"/>
      <w:r>
        <w:rPr>
          <w:rFonts w:hint="eastAsia" w:ascii="宋体" w:hAnsi="宋体" w:cs="宋体"/>
          <w:b/>
          <w:bCs/>
          <w:szCs w:val="21"/>
        </w:rPr>
        <w:t>7.5</w:t>
      </w:r>
      <w:r>
        <w:rPr>
          <w:rFonts w:ascii="宋体" w:hAnsi="宋体" w:cs="宋体"/>
          <w:b/>
          <w:bCs/>
          <w:szCs w:val="21"/>
        </w:rPr>
        <w:t xml:space="preserve">  </w:t>
      </w:r>
      <w:r>
        <w:rPr>
          <w:rFonts w:hint="eastAsia" w:ascii="宋体" w:hAnsi="宋体" w:cs="宋体"/>
          <w:b/>
          <w:bCs/>
          <w:szCs w:val="21"/>
        </w:rPr>
        <w:t>垂直运输通道平台</w:t>
      </w:r>
      <w:bookmarkEnd w:id="124"/>
      <w:r>
        <w:rPr>
          <w:rFonts w:hint="eastAsia" w:ascii="宋体" w:hAnsi="宋体" w:cs="宋体"/>
          <w:b/>
          <w:bCs/>
          <w:szCs w:val="21"/>
        </w:rPr>
        <w:t xml:space="preserve"> </w:t>
      </w:r>
    </w:p>
    <w:p>
      <w:pPr>
        <w:spacing w:line="360" w:lineRule="auto"/>
        <w:jc w:val="left"/>
        <w:rPr>
          <w:color w:val="000000"/>
          <w:szCs w:val="21"/>
        </w:rPr>
      </w:pPr>
      <w:r>
        <w:rPr>
          <w:rFonts w:hint="eastAsia"/>
          <w:b/>
          <w:bCs/>
          <w:szCs w:val="21"/>
        </w:rPr>
        <w:t>7.5.1</w:t>
      </w:r>
      <w:r>
        <w:rPr>
          <w:b/>
          <w:bCs/>
          <w:szCs w:val="21"/>
        </w:rPr>
        <w:t xml:space="preserve">  </w:t>
      </w:r>
      <w:r>
        <w:rPr>
          <w:szCs w:val="21"/>
        </w:rPr>
        <w:t>通道平台两侧应设置防护栏，栏杆高度不低于1200mm，水平杆间距不大于600mm，挡脚板高度不小于180mm，防护栏周边采用密目式安全网进行封闭；</w:t>
      </w:r>
      <w:r>
        <w:rPr>
          <w:color w:val="000000"/>
          <w:szCs w:val="21"/>
        </w:rPr>
        <w:t>通道平台底部应满铺脚手板。垂直运输通道示意图见图7.5.1。</w:t>
      </w:r>
    </w:p>
    <w:p>
      <w:pPr>
        <w:spacing w:line="360" w:lineRule="auto"/>
        <w:jc w:val="center"/>
        <w:rPr>
          <w:rFonts w:ascii="宋体" w:hAnsi="宋体" w:cs="宋体"/>
          <w:szCs w:val="21"/>
        </w:rPr>
      </w:pPr>
      <w:r>
        <w:drawing>
          <wp:inline distT="0" distB="0" distL="114300" distR="114300">
            <wp:extent cx="4653915" cy="2965450"/>
            <wp:effectExtent l="0" t="0" r="13335" b="635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57"/>
                    <a:srcRect l="5960" t="9116" r="43938" b="3448"/>
                    <a:stretch>
                      <a:fillRect/>
                    </a:stretch>
                  </pic:blipFill>
                  <pic:spPr>
                    <a:xfrm>
                      <a:off x="0" y="0"/>
                      <a:ext cx="4653915" cy="2965450"/>
                    </a:xfrm>
                    <a:prstGeom prst="rect">
                      <a:avLst/>
                    </a:prstGeom>
                    <a:noFill/>
                    <a:ln>
                      <a:noFill/>
                    </a:ln>
                  </pic:spPr>
                </pic:pic>
              </a:graphicData>
            </a:graphic>
          </wp:inline>
        </w:drawing>
      </w:r>
    </w:p>
    <w:p>
      <w:pPr>
        <w:spacing w:line="360" w:lineRule="auto"/>
        <w:jc w:val="center"/>
        <w:rPr>
          <w:rFonts w:ascii="黑体" w:hAnsi="黑体" w:eastAsia="黑体" w:cs="宋体"/>
          <w:b/>
          <w:bCs/>
          <w:sz w:val="18"/>
          <w:szCs w:val="18"/>
        </w:rPr>
      </w:pPr>
      <w:r>
        <w:rPr>
          <w:rFonts w:hint="eastAsia" w:ascii="黑体" w:hAnsi="黑体" w:eastAsia="黑体" w:cs="宋体"/>
          <w:b/>
          <w:bCs/>
          <w:sz w:val="18"/>
          <w:szCs w:val="18"/>
        </w:rPr>
        <w:t>图</w:t>
      </w:r>
      <w:r>
        <w:rPr>
          <w:rFonts w:ascii="黑体" w:hAnsi="黑体" w:eastAsia="黑体" w:cs="宋体"/>
          <w:b/>
          <w:bCs/>
          <w:sz w:val="18"/>
          <w:szCs w:val="18"/>
        </w:rPr>
        <w:t xml:space="preserve">7.5.1 </w:t>
      </w:r>
      <w:r>
        <w:rPr>
          <w:rFonts w:hint="eastAsia" w:ascii="黑体" w:hAnsi="黑体" w:eastAsia="黑体" w:cs="宋体"/>
          <w:b/>
          <w:bCs/>
          <w:sz w:val="18"/>
          <w:szCs w:val="18"/>
        </w:rPr>
        <w:t>垂直运输通道示意图</w:t>
      </w:r>
    </w:p>
    <w:p>
      <w:pPr>
        <w:spacing w:line="360" w:lineRule="auto"/>
        <w:jc w:val="center"/>
        <w:rPr>
          <w:rFonts w:ascii="黑体" w:hAnsi="黑体" w:eastAsia="黑体" w:cs="宋体"/>
          <w:sz w:val="18"/>
          <w:szCs w:val="18"/>
        </w:rPr>
      </w:pPr>
      <w:r>
        <w:rPr>
          <w:rFonts w:ascii="黑体" w:hAnsi="黑体" w:eastAsia="黑体" w:cs="宋体"/>
          <w:sz w:val="18"/>
          <w:szCs w:val="18"/>
        </w:rPr>
        <w:t>1</w:t>
      </w:r>
      <w:r>
        <w:rPr>
          <w:rFonts w:ascii="黑体" w:hAnsi="黑体" w:eastAsia="黑体" w:cs="宋体"/>
          <w:spacing w:val="-5"/>
          <w:sz w:val="18"/>
          <w:szCs w:val="18"/>
        </w:rPr>
        <w:t>-</w:t>
      </w:r>
      <w:r>
        <w:rPr>
          <w:rFonts w:hint="eastAsia" w:ascii="黑体" w:hAnsi="黑体" w:eastAsia="黑体" w:cs="宋体"/>
          <w:sz w:val="18"/>
          <w:szCs w:val="18"/>
        </w:rPr>
        <w:t>防护栏杆；</w:t>
      </w:r>
      <w:r>
        <w:rPr>
          <w:rFonts w:ascii="黑体" w:hAnsi="黑体" w:eastAsia="黑体" w:cs="宋体"/>
          <w:sz w:val="18"/>
          <w:szCs w:val="18"/>
        </w:rPr>
        <w:t>2</w:t>
      </w:r>
      <w:r>
        <w:rPr>
          <w:rFonts w:ascii="黑体" w:hAnsi="黑体" w:eastAsia="黑体" w:cs="宋体"/>
          <w:spacing w:val="-5"/>
          <w:sz w:val="18"/>
          <w:szCs w:val="18"/>
        </w:rPr>
        <w:t>-</w:t>
      </w:r>
      <w:r>
        <w:rPr>
          <w:rFonts w:hint="eastAsia" w:ascii="黑体" w:hAnsi="黑体" w:eastAsia="黑体" w:cs="宋体"/>
          <w:sz w:val="18"/>
          <w:szCs w:val="18"/>
        </w:rPr>
        <w:t>防护网；</w:t>
      </w:r>
      <w:r>
        <w:rPr>
          <w:rFonts w:ascii="黑体" w:hAnsi="黑体" w:eastAsia="黑体" w:cs="宋体"/>
          <w:sz w:val="18"/>
          <w:szCs w:val="18"/>
        </w:rPr>
        <w:t>3</w:t>
      </w:r>
      <w:r>
        <w:rPr>
          <w:rFonts w:ascii="黑体" w:hAnsi="黑体" w:eastAsia="黑体" w:cs="宋体"/>
          <w:spacing w:val="-5"/>
          <w:sz w:val="18"/>
          <w:szCs w:val="18"/>
        </w:rPr>
        <w:t>-</w:t>
      </w:r>
      <w:r>
        <w:rPr>
          <w:rFonts w:hint="eastAsia" w:ascii="黑体" w:hAnsi="黑体" w:eastAsia="黑体" w:cs="宋体"/>
          <w:sz w:val="18"/>
          <w:szCs w:val="18"/>
        </w:rPr>
        <w:t>挡脚板；</w:t>
      </w:r>
      <w:r>
        <w:rPr>
          <w:rFonts w:ascii="黑体" w:hAnsi="黑体" w:eastAsia="黑体" w:cs="宋体"/>
          <w:sz w:val="18"/>
          <w:szCs w:val="18"/>
        </w:rPr>
        <w:t>4</w:t>
      </w:r>
      <w:r>
        <w:rPr>
          <w:rFonts w:ascii="黑体" w:hAnsi="黑体" w:eastAsia="黑体" w:cs="宋体"/>
          <w:spacing w:val="-5"/>
          <w:sz w:val="18"/>
          <w:szCs w:val="18"/>
        </w:rPr>
        <w:t>-</w:t>
      </w:r>
      <w:r>
        <w:rPr>
          <w:rFonts w:ascii="黑体" w:hAnsi="黑体" w:eastAsia="黑体" w:cs="宋体"/>
          <w:sz w:val="18"/>
          <w:szCs w:val="18"/>
        </w:rPr>
        <w:t>50mm厚脚手板；5</w:t>
      </w:r>
      <w:r>
        <w:rPr>
          <w:rFonts w:ascii="黑体" w:hAnsi="黑体" w:eastAsia="黑体" w:cs="宋体"/>
          <w:spacing w:val="-5"/>
          <w:sz w:val="18"/>
          <w:szCs w:val="18"/>
        </w:rPr>
        <w:t>-</w:t>
      </w:r>
      <w:r>
        <w:rPr>
          <w:rFonts w:hint="eastAsia" w:ascii="黑体" w:hAnsi="黑体" w:eastAsia="黑体" w:cs="宋体"/>
          <w:sz w:val="18"/>
          <w:szCs w:val="18"/>
        </w:rPr>
        <w:t>防外开防护；6-之字斜撑</w:t>
      </w:r>
    </w:p>
    <w:p>
      <w:pPr>
        <w:spacing w:line="360" w:lineRule="auto"/>
        <w:jc w:val="left"/>
        <w:rPr>
          <w:szCs w:val="21"/>
        </w:rPr>
      </w:pPr>
      <w:r>
        <w:rPr>
          <w:rFonts w:hint="eastAsia"/>
          <w:b/>
          <w:bCs/>
          <w:szCs w:val="21"/>
        </w:rPr>
        <w:t>7.5.2</w:t>
      </w:r>
      <w:r>
        <w:rPr>
          <w:b/>
          <w:bCs/>
          <w:szCs w:val="21"/>
        </w:rPr>
        <w:t xml:space="preserve"> </w:t>
      </w:r>
      <w:r>
        <w:rPr>
          <w:rFonts w:hint="eastAsia"/>
          <w:b/>
          <w:bCs/>
          <w:szCs w:val="21"/>
        </w:rPr>
        <w:t xml:space="preserve"> </w:t>
      </w:r>
      <w:r>
        <w:rPr>
          <w:szCs w:val="21"/>
        </w:rPr>
        <w:t>通道平台出口外边沿处应安装高为1800mm的对开式防护门，防护门应采用钢管和钢网焊接制作；防护门的下沿距平台不应超过100mm；防护门外侧面应设置门闩或安装自动锁扣；物料提升机防护门内侧面应设置门闩或安装自动锁扣</w:t>
      </w:r>
      <w:r>
        <w:rPr>
          <w:rFonts w:hint="eastAsia"/>
          <w:szCs w:val="21"/>
        </w:rPr>
        <w:t>，示意图</w:t>
      </w:r>
      <w:r>
        <w:rPr>
          <w:szCs w:val="21"/>
        </w:rPr>
        <w:t>见图7.5.2</w:t>
      </w:r>
      <w:r>
        <w:rPr>
          <w:rFonts w:hint="eastAsia"/>
          <w:szCs w:val="21"/>
        </w:rPr>
        <w:t>。</w:t>
      </w:r>
    </w:p>
    <w:p>
      <w:pPr>
        <w:spacing w:line="360" w:lineRule="auto"/>
        <w:jc w:val="center"/>
        <w:rPr>
          <w:rFonts w:ascii="宋体" w:hAnsi="宋体" w:cs="宋体"/>
          <w:szCs w:val="21"/>
        </w:rPr>
      </w:pPr>
      <w:r>
        <w:rPr>
          <w:rFonts w:hint="eastAsia" w:ascii="宋体" w:hAnsi="宋体" w:cs="宋体"/>
          <w:szCs w:val="21"/>
        </w:rPr>
        <w:drawing>
          <wp:inline distT="0" distB="0" distL="114300" distR="114300">
            <wp:extent cx="5272405" cy="5293995"/>
            <wp:effectExtent l="0" t="0" r="4445" b="1905"/>
            <wp:docPr id="97" name="图片 42" descr="053d45a2ca55db427060c3e973b1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2" descr="053d45a2ca55db427060c3e973b1ad7"/>
                    <pic:cNvPicPr>
                      <a:picLocks noChangeAspect="1"/>
                    </pic:cNvPicPr>
                  </pic:nvPicPr>
                  <pic:blipFill>
                    <a:blip r:embed="rId58"/>
                    <a:stretch>
                      <a:fillRect/>
                    </a:stretch>
                  </pic:blipFill>
                  <pic:spPr>
                    <a:xfrm>
                      <a:off x="0" y="0"/>
                      <a:ext cx="5272405" cy="5293995"/>
                    </a:xfrm>
                    <a:prstGeom prst="rect">
                      <a:avLst/>
                    </a:prstGeom>
                    <a:noFill/>
                    <a:ln>
                      <a:noFill/>
                    </a:ln>
                  </pic:spPr>
                </pic:pic>
              </a:graphicData>
            </a:graphic>
          </wp:inline>
        </w:drawing>
      </w:r>
    </w:p>
    <w:p>
      <w:pPr>
        <w:spacing w:line="360" w:lineRule="auto"/>
        <w:jc w:val="center"/>
        <w:rPr>
          <w:rFonts w:ascii="黑体" w:hAnsi="黑体" w:eastAsia="黑体" w:cs="宋体"/>
          <w:b/>
          <w:bCs/>
          <w:sz w:val="18"/>
          <w:szCs w:val="18"/>
        </w:rPr>
      </w:pPr>
      <w:r>
        <w:rPr>
          <w:rFonts w:hint="eastAsia" w:ascii="黑体" w:hAnsi="黑体" w:eastAsia="黑体" w:cs="宋体"/>
          <w:b/>
          <w:bCs/>
          <w:sz w:val="18"/>
          <w:szCs w:val="18"/>
        </w:rPr>
        <w:t>图</w:t>
      </w:r>
      <w:r>
        <w:rPr>
          <w:rFonts w:ascii="黑体" w:hAnsi="黑体" w:eastAsia="黑体" w:cs="宋体"/>
          <w:b/>
          <w:bCs/>
          <w:sz w:val="18"/>
          <w:szCs w:val="18"/>
        </w:rPr>
        <w:t xml:space="preserve">7.5.2 </w:t>
      </w:r>
      <w:r>
        <w:rPr>
          <w:rFonts w:hint="eastAsia" w:ascii="黑体" w:hAnsi="黑体" w:eastAsia="黑体" w:cs="宋体"/>
          <w:b/>
          <w:bCs/>
          <w:sz w:val="18"/>
          <w:szCs w:val="18"/>
        </w:rPr>
        <w:t>垂直运输通道防护门示意图</w:t>
      </w:r>
      <w:r>
        <w:rPr>
          <w:rFonts w:ascii="黑体" w:hAnsi="黑体" w:eastAsia="黑体" w:cs="宋体"/>
          <w:b/>
          <w:bCs/>
          <w:sz w:val="18"/>
          <w:szCs w:val="18"/>
        </w:rPr>
        <w:t>(单位:mm)</w:t>
      </w:r>
    </w:p>
    <w:p>
      <w:pPr>
        <w:spacing w:line="360" w:lineRule="auto"/>
        <w:jc w:val="center"/>
        <w:rPr>
          <w:rFonts w:ascii="宋体" w:hAnsi="宋体" w:cs="宋体"/>
          <w:szCs w:val="21"/>
        </w:rPr>
      </w:pPr>
      <w:r>
        <w:rPr>
          <w:rFonts w:ascii="黑体" w:hAnsi="黑体" w:eastAsia="黑体" w:cs="宋体"/>
          <w:sz w:val="18"/>
          <w:szCs w:val="18"/>
        </w:rPr>
        <w:t>1</w:t>
      </w:r>
      <w:r>
        <w:rPr>
          <w:rFonts w:ascii="黑体" w:hAnsi="黑体" w:eastAsia="黑体" w:cs="宋体"/>
          <w:spacing w:val="-5"/>
          <w:sz w:val="18"/>
          <w:szCs w:val="18"/>
        </w:rPr>
        <w:t>-</w:t>
      </w:r>
      <w:r>
        <w:rPr>
          <w:rFonts w:hint="eastAsia" w:ascii="黑体" w:hAnsi="黑体" w:eastAsia="黑体" w:cs="宋体"/>
          <w:sz w:val="18"/>
          <w:szCs w:val="18"/>
        </w:rPr>
        <w:t>楼层标识；</w:t>
      </w:r>
      <w:r>
        <w:rPr>
          <w:rFonts w:ascii="黑体" w:hAnsi="黑体" w:eastAsia="黑体" w:cs="宋体"/>
          <w:sz w:val="18"/>
          <w:szCs w:val="18"/>
        </w:rPr>
        <w:t>2</w:t>
      </w:r>
      <w:r>
        <w:rPr>
          <w:rFonts w:ascii="黑体" w:hAnsi="黑体" w:eastAsia="黑体" w:cs="宋体"/>
          <w:spacing w:val="-5"/>
          <w:sz w:val="18"/>
          <w:szCs w:val="18"/>
        </w:rPr>
        <w:t>-</w:t>
      </w:r>
      <w:r>
        <w:rPr>
          <w:rFonts w:hint="eastAsia" w:ascii="黑体" w:hAnsi="黑体" w:eastAsia="黑体" w:cs="宋体"/>
          <w:sz w:val="18"/>
          <w:szCs w:val="18"/>
        </w:rPr>
        <w:t>钢板网；</w:t>
      </w:r>
      <w:r>
        <w:rPr>
          <w:rFonts w:ascii="黑体" w:hAnsi="黑体" w:eastAsia="黑体" w:cs="宋体"/>
          <w:sz w:val="18"/>
          <w:szCs w:val="18"/>
        </w:rPr>
        <w:t>3</w:t>
      </w:r>
      <w:r>
        <w:rPr>
          <w:rFonts w:ascii="黑体" w:hAnsi="黑体" w:eastAsia="黑体" w:cs="宋体"/>
          <w:spacing w:val="-5"/>
          <w:sz w:val="18"/>
          <w:szCs w:val="18"/>
        </w:rPr>
        <w:t>-</w:t>
      </w:r>
      <w:r>
        <w:rPr>
          <w:rFonts w:hint="eastAsia" w:ascii="黑体" w:hAnsi="黑体" w:eastAsia="黑体" w:cs="宋体"/>
          <w:sz w:val="18"/>
          <w:szCs w:val="18"/>
        </w:rPr>
        <w:t>立柱；</w:t>
      </w:r>
      <w:r>
        <w:rPr>
          <w:rFonts w:ascii="黑体" w:hAnsi="黑体" w:eastAsia="黑体" w:cs="宋体"/>
          <w:sz w:val="18"/>
          <w:szCs w:val="18"/>
        </w:rPr>
        <w:t>4</w:t>
      </w:r>
      <w:r>
        <w:rPr>
          <w:rFonts w:ascii="黑体" w:hAnsi="黑体" w:eastAsia="黑体" w:cs="宋体"/>
          <w:spacing w:val="-5"/>
          <w:sz w:val="18"/>
          <w:szCs w:val="18"/>
        </w:rPr>
        <w:t>-</w:t>
      </w:r>
      <w:r>
        <w:rPr>
          <w:rFonts w:hint="eastAsia" w:ascii="黑体" w:hAnsi="黑体" w:eastAsia="黑体" w:cs="宋体"/>
          <w:sz w:val="18"/>
          <w:szCs w:val="18"/>
        </w:rPr>
        <w:t>企业标识；</w:t>
      </w:r>
      <w:r>
        <w:rPr>
          <w:rFonts w:ascii="黑体" w:hAnsi="黑体" w:eastAsia="黑体" w:cs="宋体"/>
          <w:sz w:val="18"/>
          <w:szCs w:val="18"/>
        </w:rPr>
        <w:t>5</w:t>
      </w:r>
      <w:r>
        <w:rPr>
          <w:rFonts w:ascii="黑体" w:hAnsi="黑体" w:eastAsia="黑体" w:cs="宋体"/>
          <w:spacing w:val="-5"/>
          <w:sz w:val="18"/>
          <w:szCs w:val="18"/>
        </w:rPr>
        <w:t>-</w:t>
      </w:r>
      <w:r>
        <w:rPr>
          <w:rFonts w:hint="eastAsia" w:ascii="黑体" w:hAnsi="黑体" w:eastAsia="黑体" w:cs="宋体"/>
          <w:sz w:val="18"/>
          <w:szCs w:val="18"/>
        </w:rPr>
        <w:t>警示牌；</w:t>
      </w:r>
      <w:r>
        <w:rPr>
          <w:rFonts w:ascii="黑体" w:hAnsi="黑体" w:eastAsia="黑体" w:cs="宋体"/>
          <w:sz w:val="18"/>
          <w:szCs w:val="18"/>
        </w:rPr>
        <w:t>6</w:t>
      </w:r>
      <w:r>
        <w:rPr>
          <w:rFonts w:ascii="黑体" w:hAnsi="黑体" w:eastAsia="黑体" w:cs="宋体"/>
          <w:spacing w:val="-5"/>
          <w:sz w:val="18"/>
          <w:szCs w:val="18"/>
        </w:rPr>
        <w:t>-</w:t>
      </w:r>
      <w:r>
        <w:rPr>
          <w:rFonts w:hint="eastAsia" w:ascii="黑体" w:hAnsi="黑体" w:eastAsia="黑体" w:cs="宋体"/>
          <w:sz w:val="18"/>
          <w:szCs w:val="18"/>
        </w:rPr>
        <w:t>钢板</w:t>
      </w:r>
    </w:p>
    <w:p>
      <w:pPr>
        <w:spacing w:before="268" w:line="360" w:lineRule="auto"/>
        <w:jc w:val="center"/>
        <w:outlineLvl w:val="1"/>
        <w:rPr>
          <w:b/>
          <w:bCs/>
          <w:szCs w:val="21"/>
        </w:rPr>
      </w:pPr>
      <w:bookmarkStart w:id="125" w:name="_Toc5475"/>
      <w:r>
        <w:rPr>
          <w:b/>
          <w:bCs/>
          <w:szCs w:val="21"/>
        </w:rPr>
        <w:t>7.6  大模板安全防护及存放</w:t>
      </w:r>
      <w:bookmarkEnd w:id="125"/>
    </w:p>
    <w:p>
      <w:pPr>
        <w:spacing w:line="360" w:lineRule="auto"/>
        <w:jc w:val="left"/>
        <w:rPr>
          <w:szCs w:val="21"/>
        </w:rPr>
      </w:pPr>
      <w:r>
        <w:rPr>
          <w:rFonts w:hint="eastAsia"/>
          <w:b/>
          <w:bCs/>
          <w:szCs w:val="21"/>
        </w:rPr>
        <w:t>7.6.1</w:t>
      </w:r>
      <w:r>
        <w:rPr>
          <w:spacing w:val="10"/>
          <w:szCs w:val="21"/>
        </w:rPr>
        <w:t xml:space="preserve">  </w:t>
      </w:r>
      <w:r>
        <w:rPr>
          <w:spacing w:val="5"/>
          <w:szCs w:val="21"/>
        </w:rPr>
        <w:t>大模板操作平台组装示意图见图7.6.1，安全防护应符合下列规定：</w:t>
      </w:r>
    </w:p>
    <w:p>
      <w:pPr>
        <w:spacing w:line="360" w:lineRule="auto"/>
        <w:ind w:firstLine="340" w:firstLineChars="145"/>
        <w:jc w:val="left"/>
        <w:rPr>
          <w:spacing w:val="12"/>
          <w:szCs w:val="21"/>
        </w:rPr>
      </w:pPr>
      <w:r>
        <w:rPr>
          <w:b/>
          <w:bCs/>
          <w:spacing w:val="12"/>
          <w:szCs w:val="21"/>
        </w:rPr>
        <w:t>1</w:t>
      </w:r>
      <w:r>
        <w:rPr>
          <w:spacing w:val="12"/>
          <w:szCs w:val="21"/>
        </w:rPr>
        <w:t xml:space="preserve">  平台宽度不宜大于900mm；</w:t>
      </w:r>
    </w:p>
    <w:p>
      <w:pPr>
        <w:spacing w:line="360" w:lineRule="auto"/>
        <w:ind w:firstLine="340" w:firstLineChars="145"/>
        <w:jc w:val="left"/>
        <w:rPr>
          <w:szCs w:val="21"/>
        </w:rPr>
      </w:pPr>
      <w:r>
        <w:rPr>
          <w:b/>
          <w:bCs/>
          <w:spacing w:val="12"/>
          <w:szCs w:val="21"/>
        </w:rPr>
        <w:t xml:space="preserve">2  </w:t>
      </w:r>
      <w:r>
        <w:rPr>
          <w:spacing w:val="6"/>
          <w:szCs w:val="21"/>
        </w:rPr>
        <w:t>平台外围应设置高处平台板上表面不小于180</w:t>
      </w:r>
      <w:r>
        <w:rPr>
          <w:szCs w:val="21"/>
        </w:rPr>
        <w:t>mm</w:t>
      </w:r>
      <w:r>
        <w:rPr>
          <w:spacing w:val="6"/>
          <w:szCs w:val="21"/>
        </w:rPr>
        <w:t>的挡脚板；</w:t>
      </w:r>
    </w:p>
    <w:p>
      <w:pPr>
        <w:spacing w:line="360" w:lineRule="auto"/>
        <w:ind w:firstLine="335" w:firstLineChars="145"/>
        <w:jc w:val="left"/>
        <w:rPr>
          <w:bCs/>
          <w:spacing w:val="4"/>
          <w:szCs w:val="21"/>
        </w:rPr>
      </w:pPr>
      <w:r>
        <w:rPr>
          <w:b/>
          <w:bCs/>
          <w:spacing w:val="10"/>
          <w:szCs w:val="21"/>
        </w:rPr>
        <w:t xml:space="preserve">3  </w:t>
      </w:r>
      <w:r>
        <w:rPr>
          <w:spacing w:val="10"/>
          <w:szCs w:val="21"/>
        </w:rPr>
        <w:t>平</w:t>
      </w:r>
      <w:r>
        <w:rPr>
          <w:bCs/>
          <w:spacing w:val="10"/>
          <w:szCs w:val="21"/>
        </w:rPr>
        <w:t>台外围应设栏杆，栏杆上顶面高度不应小于1200</w:t>
      </w:r>
      <w:r>
        <w:rPr>
          <w:bCs/>
          <w:szCs w:val="21"/>
        </w:rPr>
        <w:t>mm</w:t>
      </w:r>
      <w:r>
        <w:rPr>
          <w:bCs/>
          <w:spacing w:val="10"/>
          <w:szCs w:val="21"/>
        </w:rPr>
        <w:t>且中间应有横杆，栏杆任</w:t>
      </w:r>
      <w:r>
        <w:rPr>
          <w:bCs/>
          <w:spacing w:val="7"/>
          <w:szCs w:val="21"/>
        </w:rPr>
        <w:t>意</w:t>
      </w:r>
      <w:r>
        <w:rPr>
          <w:bCs/>
          <w:spacing w:val="6"/>
          <w:szCs w:val="21"/>
        </w:rPr>
        <w:t>点上作用1</w:t>
      </w:r>
      <w:r>
        <w:rPr>
          <w:bCs/>
          <w:szCs w:val="21"/>
        </w:rPr>
        <w:t>kN</w:t>
      </w:r>
      <w:r>
        <w:rPr>
          <w:bCs/>
          <w:spacing w:val="6"/>
          <w:szCs w:val="21"/>
        </w:rPr>
        <w:t>任意方向力时不应有塑性变形</w:t>
      </w:r>
      <w:r>
        <w:rPr>
          <w:bCs/>
          <w:spacing w:val="4"/>
          <w:szCs w:val="21"/>
        </w:rPr>
        <w:t>；</w:t>
      </w:r>
    </w:p>
    <w:p>
      <w:pPr>
        <w:spacing w:line="360" w:lineRule="auto"/>
        <w:ind w:firstLine="340" w:firstLineChars="145"/>
        <w:jc w:val="left"/>
        <w:rPr>
          <w:spacing w:val="4"/>
          <w:szCs w:val="21"/>
        </w:rPr>
      </w:pPr>
      <w:r>
        <w:rPr>
          <w:b/>
          <w:bCs/>
          <w:spacing w:val="12"/>
          <w:szCs w:val="21"/>
        </w:rPr>
        <w:t xml:space="preserve">4  </w:t>
      </w:r>
      <w:r>
        <w:rPr>
          <w:spacing w:val="10"/>
          <w:szCs w:val="21"/>
        </w:rPr>
        <w:t>平台脚手板应符合现行行业标准《建筑施工扣件式钢管脚手架安全技术规范》JGJ 130的规定；</w:t>
      </w:r>
    </w:p>
    <w:p>
      <w:pPr>
        <w:spacing w:line="360" w:lineRule="auto"/>
        <w:ind w:firstLine="359" w:firstLineChars="153"/>
        <w:jc w:val="left"/>
        <w:rPr>
          <w:color w:val="FF0000"/>
          <w:spacing w:val="7"/>
          <w:szCs w:val="21"/>
          <w:highlight w:val="yellow"/>
        </w:rPr>
      </w:pPr>
      <w:r>
        <w:rPr>
          <w:b/>
          <w:bCs/>
          <w:spacing w:val="12"/>
          <w:szCs w:val="21"/>
        </w:rPr>
        <w:t xml:space="preserve">5  </w:t>
      </w:r>
      <w:r>
        <w:rPr>
          <w:spacing w:val="7"/>
          <w:szCs w:val="21"/>
        </w:rPr>
        <w:t>模板上应设置上下平台的</w:t>
      </w:r>
      <w:r>
        <w:rPr>
          <w:color w:val="000000"/>
          <w:spacing w:val="7"/>
          <w:szCs w:val="21"/>
        </w:rPr>
        <w:t>爬梯；</w:t>
      </w:r>
    </w:p>
    <w:p>
      <w:pPr>
        <w:spacing w:line="360" w:lineRule="auto"/>
        <w:ind w:firstLine="359" w:firstLineChars="153"/>
        <w:jc w:val="left"/>
        <w:rPr>
          <w:spacing w:val="7"/>
          <w:szCs w:val="21"/>
        </w:rPr>
      </w:pPr>
      <w:r>
        <w:rPr>
          <w:b/>
          <w:bCs/>
          <w:spacing w:val="12"/>
          <w:szCs w:val="21"/>
        </w:rPr>
        <w:t xml:space="preserve">6  </w:t>
      </w:r>
      <w:r>
        <w:rPr>
          <w:spacing w:val="7"/>
          <w:szCs w:val="21"/>
        </w:rPr>
        <w:t>操作平台系统与面板系统间的连接应可靠，便于检查与维护。</w:t>
      </w:r>
    </w:p>
    <w:p>
      <w:pPr>
        <w:spacing w:line="360" w:lineRule="auto"/>
        <w:jc w:val="center"/>
        <w:textAlignment w:val="center"/>
        <w:rPr>
          <w:rFonts w:ascii="宋体" w:hAnsi="宋体" w:cs="宋体"/>
          <w:szCs w:val="21"/>
        </w:rPr>
      </w:pPr>
      <w:r>
        <w:rPr>
          <w:rFonts w:hint="eastAsia" w:ascii="宋体" w:hAnsi="宋体" w:cs="宋体"/>
          <w:szCs w:val="21"/>
        </w:rPr>
        <w:drawing>
          <wp:inline distT="0" distB="0" distL="114300" distR="114300">
            <wp:extent cx="2475230" cy="3085465"/>
            <wp:effectExtent l="0" t="0" r="1270" b="635"/>
            <wp:docPr id="120" name="图片 43"/>
            <wp:cNvGraphicFramePr/>
            <a:graphic xmlns:a="http://schemas.openxmlformats.org/drawingml/2006/main">
              <a:graphicData uri="http://schemas.openxmlformats.org/drawingml/2006/picture">
                <pic:pic xmlns:pic="http://schemas.openxmlformats.org/drawingml/2006/picture">
                  <pic:nvPicPr>
                    <pic:cNvPr id="120" name="图片 43"/>
                    <pic:cNvPicPr/>
                  </pic:nvPicPr>
                  <pic:blipFill>
                    <a:blip r:embed="rId59"/>
                    <a:stretch>
                      <a:fillRect/>
                    </a:stretch>
                  </pic:blipFill>
                  <pic:spPr>
                    <a:xfrm>
                      <a:off x="0" y="0"/>
                      <a:ext cx="2475230" cy="308546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pacing w:val="6"/>
          <w:sz w:val="18"/>
          <w:szCs w:val="18"/>
        </w:rPr>
        <w:t>图</w:t>
      </w:r>
      <w:r>
        <w:rPr>
          <w:rFonts w:ascii="黑体" w:hAnsi="黑体" w:eastAsia="黑体" w:cs="宋体"/>
          <w:spacing w:val="6"/>
          <w:sz w:val="18"/>
          <w:szCs w:val="18"/>
        </w:rPr>
        <w:t xml:space="preserve"> </w:t>
      </w:r>
      <w:r>
        <w:rPr>
          <w:rFonts w:ascii="黑体" w:hAnsi="黑体" w:eastAsia="黑体" w:cs="宋体"/>
          <w:spacing w:val="3"/>
          <w:sz w:val="18"/>
          <w:szCs w:val="18"/>
        </w:rPr>
        <w:t xml:space="preserve">7.6.1 </w:t>
      </w:r>
      <w:r>
        <w:rPr>
          <w:rFonts w:hint="eastAsia" w:ascii="黑体" w:hAnsi="黑体" w:eastAsia="黑体" w:cs="宋体"/>
          <w:spacing w:val="3"/>
          <w:sz w:val="18"/>
          <w:szCs w:val="18"/>
        </w:rPr>
        <w:t>大模板操作平台组装示意图</w:t>
      </w:r>
    </w:p>
    <w:p>
      <w:pPr>
        <w:spacing w:line="360" w:lineRule="auto"/>
        <w:jc w:val="center"/>
        <w:rPr>
          <w:rFonts w:ascii="黑体" w:hAnsi="黑体" w:eastAsia="黑体" w:cs="宋体"/>
          <w:spacing w:val="4"/>
          <w:sz w:val="18"/>
          <w:szCs w:val="18"/>
        </w:rPr>
      </w:pPr>
      <w:r>
        <w:rPr>
          <w:rFonts w:ascii="黑体" w:hAnsi="黑体" w:eastAsia="黑体" w:cs="宋体"/>
          <w:spacing w:val="-10"/>
          <w:sz w:val="18"/>
          <w:szCs w:val="18"/>
        </w:rPr>
        <w:t>1</w:t>
      </w:r>
      <w:r>
        <w:rPr>
          <w:rFonts w:ascii="黑体" w:hAnsi="黑体" w:eastAsia="黑体" w:cs="宋体"/>
          <w:spacing w:val="-5"/>
          <w:sz w:val="18"/>
          <w:szCs w:val="18"/>
        </w:rPr>
        <w:t>-</w:t>
      </w:r>
      <w:r>
        <w:rPr>
          <w:rFonts w:hint="eastAsia" w:ascii="黑体" w:hAnsi="黑体" w:eastAsia="黑体" w:cs="宋体"/>
          <w:spacing w:val="-5"/>
          <w:sz w:val="18"/>
          <w:szCs w:val="18"/>
        </w:rPr>
        <w:t>支腿；</w:t>
      </w:r>
      <w:r>
        <w:rPr>
          <w:rFonts w:ascii="黑体" w:hAnsi="黑体" w:eastAsia="黑体" w:cs="宋体"/>
          <w:spacing w:val="-5"/>
          <w:sz w:val="18"/>
          <w:szCs w:val="18"/>
        </w:rPr>
        <w:t>2-</w:t>
      </w:r>
      <w:r>
        <w:rPr>
          <w:rFonts w:hint="eastAsia" w:ascii="黑体" w:hAnsi="黑体" w:eastAsia="黑体" w:cs="宋体"/>
          <w:spacing w:val="-5"/>
          <w:sz w:val="18"/>
          <w:szCs w:val="18"/>
        </w:rPr>
        <w:t>穿墙螺栓；</w:t>
      </w:r>
      <w:r>
        <w:rPr>
          <w:rFonts w:ascii="黑体" w:hAnsi="黑体" w:eastAsia="黑体" w:cs="宋体"/>
          <w:spacing w:val="-5"/>
          <w:sz w:val="18"/>
          <w:szCs w:val="18"/>
        </w:rPr>
        <w:t xml:space="preserve"> 3-</w:t>
      </w:r>
      <w:r>
        <w:rPr>
          <w:rFonts w:hint="eastAsia" w:ascii="黑体" w:hAnsi="黑体" w:eastAsia="黑体" w:cs="宋体"/>
          <w:spacing w:val="-5"/>
          <w:sz w:val="18"/>
          <w:szCs w:val="18"/>
        </w:rPr>
        <w:t>大模板；</w:t>
      </w:r>
      <w:r>
        <w:rPr>
          <w:rFonts w:ascii="黑体" w:hAnsi="黑体" w:eastAsia="黑体" w:cs="宋体"/>
          <w:spacing w:val="-5"/>
          <w:sz w:val="18"/>
          <w:szCs w:val="18"/>
        </w:rPr>
        <w:t>4-</w:t>
      </w:r>
      <w:r>
        <w:rPr>
          <w:rFonts w:hint="eastAsia" w:ascii="黑体" w:hAnsi="黑体" w:eastAsia="黑体" w:cs="宋体"/>
          <w:spacing w:val="-5"/>
          <w:sz w:val="18"/>
          <w:szCs w:val="18"/>
        </w:rPr>
        <w:t>爬梯；</w:t>
      </w:r>
      <w:r>
        <w:rPr>
          <w:rFonts w:ascii="黑体" w:hAnsi="黑体" w:eastAsia="黑体" w:cs="宋体"/>
          <w:spacing w:val="-5"/>
          <w:sz w:val="18"/>
          <w:szCs w:val="18"/>
        </w:rPr>
        <w:t>5-</w:t>
      </w:r>
      <w:r>
        <w:rPr>
          <w:rFonts w:hint="eastAsia" w:ascii="黑体" w:hAnsi="黑体" w:eastAsia="黑体" w:cs="宋体"/>
          <w:spacing w:val="-5"/>
          <w:sz w:val="18"/>
          <w:szCs w:val="18"/>
        </w:rPr>
        <w:t>操作平台；</w:t>
      </w:r>
      <w:r>
        <w:rPr>
          <w:rFonts w:ascii="黑体" w:hAnsi="黑体" w:eastAsia="黑体" w:cs="宋体"/>
          <w:spacing w:val="4"/>
          <w:sz w:val="18"/>
          <w:szCs w:val="18"/>
        </w:rPr>
        <w:t>6-</w:t>
      </w:r>
      <w:r>
        <w:rPr>
          <w:rFonts w:hint="eastAsia" w:ascii="黑体" w:hAnsi="黑体" w:eastAsia="黑体" w:cs="宋体"/>
          <w:spacing w:val="4"/>
          <w:sz w:val="18"/>
          <w:szCs w:val="18"/>
        </w:rPr>
        <w:t>防护栏杆</w:t>
      </w:r>
    </w:p>
    <w:p>
      <w:pPr>
        <w:spacing w:line="360" w:lineRule="auto"/>
        <w:jc w:val="center"/>
        <w:rPr>
          <w:rFonts w:ascii="黑体" w:hAnsi="黑体" w:eastAsia="黑体" w:cs="宋体"/>
          <w:spacing w:val="2"/>
          <w:sz w:val="18"/>
          <w:szCs w:val="18"/>
        </w:rPr>
      </w:pPr>
      <w:r>
        <w:rPr>
          <w:rFonts w:ascii="黑体" w:hAnsi="黑体" w:eastAsia="黑体" w:cs="宋体"/>
          <w:spacing w:val="3"/>
          <w:sz w:val="18"/>
          <w:szCs w:val="18"/>
        </w:rPr>
        <w:t>7</w:t>
      </w:r>
      <w:r>
        <w:rPr>
          <w:rFonts w:ascii="黑体" w:hAnsi="黑体" w:eastAsia="黑体" w:cs="宋体"/>
          <w:spacing w:val="2"/>
          <w:sz w:val="18"/>
          <w:szCs w:val="18"/>
        </w:rPr>
        <w:t>-</w:t>
      </w:r>
      <w:r>
        <w:rPr>
          <w:rFonts w:hint="eastAsia" w:ascii="黑体" w:hAnsi="黑体" w:eastAsia="黑体" w:cs="宋体"/>
          <w:spacing w:val="2"/>
          <w:sz w:val="18"/>
          <w:szCs w:val="18"/>
        </w:rPr>
        <w:t>横杆；</w:t>
      </w:r>
      <w:r>
        <w:rPr>
          <w:rFonts w:ascii="黑体" w:hAnsi="黑体" w:eastAsia="黑体" w:cs="宋体"/>
          <w:spacing w:val="2"/>
          <w:sz w:val="18"/>
          <w:szCs w:val="18"/>
        </w:rPr>
        <w:t>8-</w:t>
      </w:r>
      <w:r>
        <w:rPr>
          <w:rFonts w:hint="eastAsia" w:ascii="黑体" w:hAnsi="黑体" w:eastAsia="黑体" w:cs="宋体"/>
          <w:spacing w:val="2"/>
          <w:sz w:val="18"/>
          <w:szCs w:val="18"/>
        </w:rPr>
        <w:t>踢脚板；</w:t>
      </w:r>
      <w:r>
        <w:rPr>
          <w:rFonts w:ascii="黑体" w:hAnsi="黑体" w:eastAsia="黑体" w:cs="宋体"/>
          <w:spacing w:val="2"/>
          <w:sz w:val="18"/>
          <w:szCs w:val="18"/>
        </w:rPr>
        <w:t>9-50</w:t>
      </w:r>
      <w:r>
        <w:rPr>
          <w:rFonts w:ascii="黑体" w:hAnsi="黑体" w:eastAsia="黑体" w:cs="宋体"/>
          <w:sz w:val="18"/>
          <w:szCs w:val="18"/>
        </w:rPr>
        <w:t>mm</w:t>
      </w:r>
      <w:r>
        <w:rPr>
          <w:rFonts w:hint="eastAsia" w:ascii="黑体" w:hAnsi="黑体" w:eastAsia="黑体" w:cs="宋体"/>
          <w:spacing w:val="2"/>
          <w:sz w:val="18"/>
          <w:szCs w:val="18"/>
        </w:rPr>
        <w:t>厚脚手板；</w:t>
      </w:r>
      <w:r>
        <w:rPr>
          <w:rFonts w:ascii="黑体" w:hAnsi="黑体" w:eastAsia="黑体" w:cs="宋体"/>
          <w:spacing w:val="2"/>
          <w:sz w:val="18"/>
          <w:szCs w:val="18"/>
        </w:rPr>
        <w:t>10-</w:t>
      </w:r>
      <w:r>
        <w:rPr>
          <w:rFonts w:hint="eastAsia" w:ascii="黑体" w:hAnsi="黑体" w:eastAsia="黑体" w:cs="宋体"/>
          <w:spacing w:val="2"/>
          <w:sz w:val="18"/>
          <w:szCs w:val="18"/>
        </w:rPr>
        <w:t>墙体</w:t>
      </w:r>
    </w:p>
    <w:p>
      <w:pPr>
        <w:spacing w:line="360" w:lineRule="auto"/>
        <w:jc w:val="left"/>
        <w:rPr>
          <w:szCs w:val="21"/>
        </w:rPr>
      </w:pPr>
      <w:r>
        <w:rPr>
          <w:rFonts w:hint="eastAsia"/>
          <w:b/>
          <w:bCs/>
          <w:szCs w:val="21"/>
        </w:rPr>
        <w:t>7.6.2</w:t>
      </w:r>
      <w:r>
        <w:rPr>
          <w:rFonts w:hint="eastAsia"/>
          <w:szCs w:val="21"/>
        </w:rPr>
        <w:t xml:space="preserve">  大模板插放架安全防护应符合下列规定：</w:t>
      </w:r>
    </w:p>
    <w:p>
      <w:pPr>
        <w:spacing w:line="360" w:lineRule="auto"/>
        <w:ind w:firstLine="422" w:firstLineChars="200"/>
        <w:jc w:val="left"/>
        <w:rPr>
          <w:szCs w:val="21"/>
        </w:rPr>
      </w:pPr>
      <w:r>
        <w:rPr>
          <w:rFonts w:hint="eastAsia"/>
          <w:b/>
          <w:bCs/>
          <w:szCs w:val="21"/>
        </w:rPr>
        <w:t>1</w:t>
      </w:r>
      <w:r>
        <w:rPr>
          <w:rFonts w:hint="eastAsia"/>
          <w:szCs w:val="21"/>
        </w:rPr>
        <w:t xml:space="preserve">  插放架架体应封闭严密，用立网沿外立杆内侧连接牢固。</w:t>
      </w:r>
    </w:p>
    <w:p>
      <w:pPr>
        <w:spacing w:line="360" w:lineRule="auto"/>
        <w:ind w:firstLine="422" w:firstLineChars="200"/>
        <w:jc w:val="left"/>
        <w:rPr>
          <w:szCs w:val="21"/>
        </w:rPr>
      </w:pPr>
      <w:r>
        <w:rPr>
          <w:rFonts w:hint="eastAsia"/>
          <w:b/>
          <w:bCs/>
          <w:szCs w:val="21"/>
        </w:rPr>
        <w:t>2</w:t>
      </w:r>
      <w:r>
        <w:rPr>
          <w:rFonts w:hint="eastAsia"/>
          <w:szCs w:val="21"/>
        </w:rPr>
        <w:t xml:space="preserve">  平台应设置爬梯或马道，宽度不应小于1m，坡度不应大于1:3，且两侧均应设置1200mm高的防护栏杆，用安全立网封闭严密。</w:t>
      </w:r>
    </w:p>
    <w:p>
      <w:pPr>
        <w:spacing w:line="360" w:lineRule="auto"/>
        <w:jc w:val="left"/>
        <w:rPr>
          <w:szCs w:val="21"/>
        </w:rPr>
      </w:pPr>
      <w:r>
        <w:rPr>
          <w:rFonts w:hint="eastAsia"/>
          <w:b/>
          <w:bCs/>
          <w:szCs w:val="21"/>
        </w:rPr>
        <w:t xml:space="preserve">7.6.3 </w:t>
      </w:r>
      <w:r>
        <w:rPr>
          <w:rFonts w:hint="eastAsia"/>
          <w:szCs w:val="21"/>
        </w:rPr>
        <w:t xml:space="preserve"> 插放架平台作业层安全防护应符合下列规定：</w:t>
      </w:r>
    </w:p>
    <w:p>
      <w:pPr>
        <w:spacing w:line="360" w:lineRule="auto"/>
        <w:ind w:firstLine="422" w:firstLineChars="200"/>
        <w:jc w:val="left"/>
        <w:rPr>
          <w:szCs w:val="21"/>
        </w:rPr>
      </w:pPr>
      <w:r>
        <w:rPr>
          <w:rFonts w:hint="eastAsia"/>
          <w:b/>
          <w:bCs/>
          <w:szCs w:val="21"/>
        </w:rPr>
        <w:t xml:space="preserve">1  </w:t>
      </w:r>
      <w:r>
        <w:rPr>
          <w:rFonts w:hint="eastAsia"/>
          <w:szCs w:val="21"/>
        </w:rPr>
        <w:t>平台作业层脚手板应铺满、铺稳、铺实。</w:t>
      </w:r>
    </w:p>
    <w:p>
      <w:pPr>
        <w:spacing w:line="360" w:lineRule="auto"/>
        <w:ind w:firstLine="422" w:firstLineChars="200"/>
        <w:jc w:val="left"/>
        <w:rPr>
          <w:szCs w:val="21"/>
        </w:rPr>
      </w:pPr>
      <w:r>
        <w:rPr>
          <w:rFonts w:hint="eastAsia"/>
          <w:b/>
          <w:bCs/>
          <w:szCs w:val="21"/>
        </w:rPr>
        <w:t>2</w:t>
      </w:r>
      <w:r>
        <w:rPr>
          <w:rFonts w:hint="eastAsia"/>
          <w:szCs w:val="21"/>
        </w:rPr>
        <w:t xml:space="preserve">  平台作业层外侧应设两道高度不低于1200mm的防护栏杆和180mm高挡脚板，并设置立网封闭严密，见图7.6.3-1。</w:t>
      </w:r>
    </w:p>
    <w:p>
      <w:pPr>
        <w:spacing w:line="360" w:lineRule="auto"/>
        <w:ind w:firstLine="422" w:firstLineChars="200"/>
        <w:jc w:val="left"/>
        <w:rPr>
          <w:szCs w:val="21"/>
        </w:rPr>
      </w:pPr>
      <w:r>
        <w:rPr>
          <w:rFonts w:hint="eastAsia"/>
          <w:b/>
          <w:bCs/>
          <w:szCs w:val="21"/>
        </w:rPr>
        <w:t xml:space="preserve">3  </w:t>
      </w:r>
      <w:r>
        <w:rPr>
          <w:rFonts w:hint="eastAsia"/>
          <w:szCs w:val="21"/>
        </w:rPr>
        <w:t>当无法设置防护栏杆时，平台作业层上方应连续设置高度不低于1800mm的安全绳，安全绳宜采用钢丝绳，作业人员安全带系挂在安全绳上方可行走，行走时，不得搬运重物。见图7.6.3-2。</w:t>
      </w:r>
    </w:p>
    <w:p>
      <w:pPr>
        <w:jc w:val="center"/>
        <w:rPr>
          <w:rFonts w:ascii="仿宋" w:hAnsi="仿宋" w:eastAsia="仿宋"/>
          <w:sz w:val="28"/>
          <w:szCs w:val="28"/>
        </w:rPr>
      </w:pPr>
      <w:r>
        <w:rPr>
          <w:rFonts w:hint="eastAsia" w:ascii="宋体" w:hAnsi="宋体" w:cs="宋体"/>
          <w:b/>
          <w:bCs/>
          <w:sz w:val="28"/>
          <w:szCs w:val="36"/>
        </w:rPr>
        <w:br w:type="page"/>
      </w:r>
      <w:r>
        <w:rPr>
          <w:rFonts w:ascii="仿宋" w:hAnsi="仿宋" w:eastAsia="仿宋"/>
          <w:sz w:val="28"/>
          <w:szCs w:val="28"/>
        </w:rPr>
        <w:drawing>
          <wp:inline distT="0" distB="0" distL="114300" distR="114300">
            <wp:extent cx="5263515" cy="2035810"/>
            <wp:effectExtent l="0" t="0" r="13335" b="2540"/>
            <wp:docPr id="121" name="图片 3" descr="e39b72220a7150605d7ca275c88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descr="e39b72220a7150605d7ca275c887116"/>
                    <pic:cNvPicPr>
                      <a:picLocks noChangeAspect="1"/>
                    </pic:cNvPicPr>
                  </pic:nvPicPr>
                  <pic:blipFill>
                    <a:blip r:embed="rId60"/>
                    <a:stretch>
                      <a:fillRect/>
                    </a:stretch>
                  </pic:blipFill>
                  <pic:spPr>
                    <a:xfrm>
                      <a:off x="0" y="0"/>
                      <a:ext cx="5263515" cy="2035810"/>
                    </a:xfrm>
                    <a:prstGeom prst="rect">
                      <a:avLst/>
                    </a:prstGeom>
                    <a:noFill/>
                    <a:ln>
                      <a:noFill/>
                    </a:ln>
                  </pic:spPr>
                </pic:pic>
              </a:graphicData>
            </a:graphic>
          </wp:inline>
        </w:drawing>
      </w:r>
    </w:p>
    <w:p>
      <w:pPr>
        <w:jc w:val="center"/>
        <w:rPr>
          <w:rFonts w:ascii="黑体" w:hAnsi="黑体" w:eastAsia="黑体" w:cs="黑体"/>
          <w:sz w:val="18"/>
          <w:szCs w:val="18"/>
        </w:rPr>
      </w:pPr>
      <w:r>
        <w:rPr>
          <w:rFonts w:hint="eastAsia" w:ascii="黑体" w:hAnsi="黑体" w:eastAsia="黑体" w:cs="黑体"/>
          <w:sz w:val="18"/>
          <w:szCs w:val="18"/>
        </w:rPr>
        <w:t>图7.6.3-1 大模板插放架防护栏杆立面</w:t>
      </w:r>
      <w:r>
        <w:rPr>
          <w:rFonts w:hint="eastAsia" w:ascii="黑体" w:hAnsi="黑体" w:eastAsia="黑体" w:cs="黑体"/>
          <w:spacing w:val="7"/>
          <w:sz w:val="18"/>
          <w:szCs w:val="18"/>
        </w:rPr>
        <w:t>示意图</w:t>
      </w:r>
    </w:p>
    <w:p>
      <w:pPr>
        <w:spacing w:line="360" w:lineRule="auto"/>
        <w:jc w:val="center"/>
        <w:rPr>
          <w:rFonts w:ascii="黑体" w:hAnsi="黑体" w:eastAsia="黑体" w:cs="黑体"/>
          <w:sz w:val="18"/>
          <w:szCs w:val="18"/>
        </w:rPr>
      </w:pPr>
      <w:r>
        <w:rPr>
          <w:rFonts w:hint="eastAsia" w:ascii="黑体" w:hAnsi="黑体" w:eastAsia="黑体" w:cs="黑体"/>
          <w:sz w:val="18"/>
          <w:szCs w:val="18"/>
        </w:rPr>
        <w:t>1-挡脚板；2-爬梯；3-安全立网；4-护栏</w:t>
      </w:r>
    </w:p>
    <w:p>
      <w:pPr>
        <w:jc w:val="center"/>
        <w:rPr>
          <w:sz w:val="28"/>
          <w:szCs w:val="28"/>
        </w:rPr>
      </w:pPr>
      <w:r>
        <w:rPr>
          <w:sz w:val="28"/>
          <w:szCs w:val="28"/>
        </w:rPr>
        <w:drawing>
          <wp:inline distT="0" distB="0" distL="114300" distR="114300">
            <wp:extent cx="5263515" cy="2162810"/>
            <wp:effectExtent l="0" t="0" r="13335" b="8890"/>
            <wp:docPr id="122" name="图片 1" descr="4a574ea796525040791231f5e0f4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descr="4a574ea796525040791231f5e0f4ee8"/>
                    <pic:cNvPicPr>
                      <a:picLocks noChangeAspect="1"/>
                    </pic:cNvPicPr>
                  </pic:nvPicPr>
                  <pic:blipFill>
                    <a:blip r:embed="rId61"/>
                    <a:stretch>
                      <a:fillRect/>
                    </a:stretch>
                  </pic:blipFill>
                  <pic:spPr>
                    <a:xfrm>
                      <a:off x="0" y="0"/>
                      <a:ext cx="5263515" cy="2162810"/>
                    </a:xfrm>
                    <a:prstGeom prst="rect">
                      <a:avLst/>
                    </a:prstGeom>
                    <a:noFill/>
                    <a:ln>
                      <a:noFill/>
                    </a:ln>
                  </pic:spPr>
                </pic:pic>
              </a:graphicData>
            </a:graphic>
          </wp:inline>
        </w:drawing>
      </w:r>
    </w:p>
    <w:p>
      <w:pPr>
        <w:jc w:val="center"/>
        <w:rPr>
          <w:rFonts w:ascii="黑体" w:hAnsi="黑体" w:eastAsia="黑体" w:cs="黑体"/>
          <w:sz w:val="18"/>
          <w:szCs w:val="18"/>
        </w:rPr>
      </w:pPr>
      <w:r>
        <w:rPr>
          <w:rFonts w:hint="eastAsia" w:ascii="黑体" w:hAnsi="黑体" w:eastAsia="黑体" w:cs="黑体"/>
          <w:sz w:val="18"/>
          <w:szCs w:val="18"/>
        </w:rPr>
        <w:t>图7.6.3-2 大模板插放架安全绳设置立面</w:t>
      </w:r>
      <w:r>
        <w:rPr>
          <w:rFonts w:hint="eastAsia" w:ascii="黑体" w:hAnsi="黑体" w:eastAsia="黑体" w:cs="黑体"/>
          <w:spacing w:val="7"/>
          <w:sz w:val="18"/>
          <w:szCs w:val="18"/>
        </w:rPr>
        <w:t>示意图</w:t>
      </w:r>
    </w:p>
    <w:p>
      <w:pPr>
        <w:spacing w:line="360" w:lineRule="auto"/>
        <w:jc w:val="center"/>
        <w:rPr>
          <w:rFonts w:ascii="黑体" w:hAnsi="黑体" w:eastAsia="黑体" w:cs="黑体"/>
          <w:sz w:val="18"/>
          <w:szCs w:val="18"/>
        </w:rPr>
      </w:pPr>
      <w:r>
        <w:rPr>
          <w:rFonts w:hint="eastAsia" w:ascii="黑体" w:hAnsi="黑体" w:eastAsia="黑体" w:cs="黑体"/>
          <w:sz w:val="18"/>
          <w:szCs w:val="18"/>
        </w:rPr>
        <w:t>1-作业层；2-爬梯；3-安全立网；4-护栏；5-安全绳</w:t>
      </w:r>
    </w:p>
    <w:bookmarkEnd w:id="117"/>
    <w:bookmarkEnd w:id="118"/>
    <w:bookmarkEnd w:id="119"/>
    <w:p>
      <w:pPr>
        <w:jc w:val="left"/>
        <w:rPr>
          <w:rFonts w:ascii="宋体" w:hAnsi="宋体" w:cs="宋体"/>
          <w:b/>
          <w:bCs/>
          <w:sz w:val="28"/>
          <w:szCs w:val="36"/>
        </w:rPr>
      </w:pPr>
      <w:bookmarkStart w:id="126" w:name="_Toc10491"/>
      <w:r>
        <w:rPr>
          <w:rFonts w:hint="eastAsia" w:ascii="宋体" w:hAnsi="宋体" w:cs="宋体"/>
          <w:b/>
          <w:bCs/>
          <w:sz w:val="28"/>
          <w:szCs w:val="36"/>
        </w:rPr>
        <w:br w:type="page"/>
      </w:r>
    </w:p>
    <w:p>
      <w:pPr>
        <w:jc w:val="center"/>
        <w:outlineLvl w:val="0"/>
        <w:rPr>
          <w:b/>
          <w:bCs/>
          <w:sz w:val="28"/>
          <w:szCs w:val="36"/>
        </w:rPr>
      </w:pPr>
      <w:bookmarkStart w:id="127" w:name="_Toc16577"/>
      <w:bookmarkStart w:id="128" w:name="_Toc11452"/>
      <w:bookmarkStart w:id="129" w:name="_Toc14730"/>
      <w:r>
        <w:rPr>
          <w:b/>
          <w:bCs/>
          <w:sz w:val="28"/>
          <w:szCs w:val="36"/>
        </w:rPr>
        <w:t>8  装配式施工安全防护</w:t>
      </w:r>
      <w:bookmarkEnd w:id="127"/>
    </w:p>
    <w:p>
      <w:pPr>
        <w:spacing w:line="360" w:lineRule="auto"/>
        <w:jc w:val="center"/>
        <w:outlineLvl w:val="1"/>
        <w:rPr>
          <w:b/>
          <w:bCs/>
          <w:szCs w:val="21"/>
        </w:rPr>
      </w:pPr>
      <w:bookmarkStart w:id="130" w:name="_Toc23842"/>
      <w:r>
        <w:rPr>
          <w:b/>
          <w:bCs/>
          <w:szCs w:val="21"/>
        </w:rPr>
        <w:t>8.1  材料码放</w:t>
      </w:r>
      <w:bookmarkEnd w:id="130"/>
    </w:p>
    <w:p>
      <w:pPr>
        <w:spacing w:line="360" w:lineRule="auto"/>
        <w:rPr>
          <w:szCs w:val="21"/>
        </w:rPr>
      </w:pPr>
      <w:r>
        <w:rPr>
          <w:b/>
          <w:bCs/>
          <w:szCs w:val="21"/>
        </w:rPr>
        <w:t>8.1.1</w:t>
      </w:r>
      <w:r>
        <w:rPr>
          <w:szCs w:val="21"/>
        </w:rPr>
        <w:t xml:space="preserve">  装配式预制构件进场后应堆放于地面平坦处，且堆放场地应平整夯实，并设有排水措施，堆放时底板与地面之间应有一定的空隙。</w:t>
      </w:r>
    </w:p>
    <w:p>
      <w:pPr>
        <w:spacing w:line="360" w:lineRule="auto"/>
        <w:rPr>
          <w:szCs w:val="21"/>
        </w:rPr>
      </w:pPr>
      <w:r>
        <w:rPr>
          <w:b/>
          <w:bCs/>
          <w:szCs w:val="21"/>
        </w:rPr>
        <w:t>8.1.2</w:t>
      </w:r>
      <w:r>
        <w:rPr>
          <w:szCs w:val="21"/>
        </w:rPr>
        <w:t xml:space="preserve">  装配式预制构件运送到施工现场后，应按规格、品种、使用部位 和吊装顺序分别设置存放场地。存放场地四周应按本标准第5.2.5条的规定进行封闭，并悬挂安全警示标识。</w:t>
      </w:r>
    </w:p>
    <w:p>
      <w:pPr>
        <w:spacing w:line="360" w:lineRule="auto"/>
        <w:rPr>
          <w:szCs w:val="21"/>
        </w:rPr>
      </w:pPr>
      <w:r>
        <w:rPr>
          <w:b/>
          <w:bCs/>
          <w:szCs w:val="21"/>
        </w:rPr>
        <w:t>8.1.3</w:t>
      </w:r>
      <w:r>
        <w:rPr>
          <w:rFonts w:hint="eastAsia"/>
          <w:b/>
          <w:bCs/>
          <w:szCs w:val="21"/>
        </w:rPr>
        <w:t xml:space="preserve">  </w:t>
      </w:r>
      <w:r>
        <w:rPr>
          <w:szCs w:val="21"/>
        </w:rPr>
        <w:t>装配式预制构件叠放时，构件下宜采用不小于100×100木方作为垫木，保证材料堆放平稳。构件之间垫木放置在桁架侧边，板两端(至板端200mm)及跨中位置均应设置垫木且间距不大于1.6m。垫木应上下垂直对齐。不同板号构件应分别堆放，堆放高度不宜大于6层，堆放时间不宜超过两个月。</w:t>
      </w:r>
    </w:p>
    <w:p>
      <w:pPr>
        <w:spacing w:line="360" w:lineRule="auto"/>
        <w:rPr>
          <w:szCs w:val="21"/>
        </w:rPr>
      </w:pPr>
      <w:r>
        <w:rPr>
          <w:b/>
          <w:bCs/>
          <w:szCs w:val="21"/>
        </w:rPr>
        <w:t>8.1.4</w:t>
      </w:r>
      <w:r>
        <w:rPr>
          <w:szCs w:val="21"/>
        </w:rPr>
        <w:t xml:space="preserve">  所有构件下宜采用不小于100×100木方作为垫木，保证材料堆放平稳。</w:t>
      </w:r>
    </w:p>
    <w:p>
      <w:pPr>
        <w:spacing w:line="360" w:lineRule="auto"/>
      </w:pPr>
      <w:r>
        <w:rPr>
          <w:b/>
          <w:bCs/>
          <w:szCs w:val="21"/>
        </w:rPr>
        <w:t>8.1.5</w:t>
      </w:r>
      <w:r>
        <w:rPr>
          <w:szCs w:val="21"/>
        </w:rPr>
        <w:t xml:space="preserve">  各材料堆垛之间留不小于2m宽通道。</w:t>
      </w:r>
    </w:p>
    <w:p>
      <w:pPr>
        <w:spacing w:line="360" w:lineRule="auto"/>
        <w:jc w:val="left"/>
        <w:rPr>
          <w:szCs w:val="21"/>
        </w:rPr>
      </w:pPr>
      <w:r>
        <w:rPr>
          <w:rFonts w:hint="eastAsia"/>
          <w:b/>
          <w:bCs/>
          <w:szCs w:val="21"/>
        </w:rPr>
        <w:t xml:space="preserve">8.1.6 </w:t>
      </w:r>
      <w:r>
        <w:rPr>
          <w:rFonts w:hint="eastAsia"/>
          <w:szCs w:val="21"/>
        </w:rPr>
        <w:t xml:space="preserve"> 堆垛层数应根据构件与垫木或垫块的承载能力及堆垛的稳定性确定，必要时应设置防止构件倾覆的支架。</w:t>
      </w:r>
    </w:p>
    <w:p>
      <w:pPr>
        <w:spacing w:line="360" w:lineRule="auto"/>
        <w:jc w:val="left"/>
        <w:rPr>
          <w:szCs w:val="21"/>
        </w:rPr>
      </w:pPr>
      <w:r>
        <w:rPr>
          <w:rFonts w:hint="eastAsia"/>
          <w:b/>
          <w:bCs/>
          <w:szCs w:val="21"/>
        </w:rPr>
        <w:t xml:space="preserve">8.1.7  </w:t>
      </w:r>
      <w:r>
        <w:rPr>
          <w:rFonts w:hint="eastAsia"/>
          <w:szCs w:val="21"/>
        </w:rPr>
        <w:t>构件吊装区域内非作业人员不得靠近，用警戒线对存放区进行封闭管理，对长时间未使用构件进行质量措施保护。</w:t>
      </w:r>
    </w:p>
    <w:p>
      <w:pPr>
        <w:spacing w:line="360" w:lineRule="auto"/>
        <w:jc w:val="center"/>
        <w:outlineLvl w:val="1"/>
        <w:rPr>
          <w:b/>
          <w:bCs/>
          <w:szCs w:val="21"/>
        </w:rPr>
      </w:pPr>
      <w:bookmarkStart w:id="131" w:name="_Toc2620"/>
      <w:r>
        <w:rPr>
          <w:b/>
          <w:bCs/>
          <w:szCs w:val="21"/>
        </w:rPr>
        <w:t>8.2  装配式构件安装安全防护</w:t>
      </w:r>
      <w:bookmarkEnd w:id="131"/>
    </w:p>
    <w:p>
      <w:pPr>
        <w:spacing w:line="360" w:lineRule="auto"/>
      </w:pPr>
      <w:r>
        <w:rPr>
          <w:rFonts w:hint="eastAsia"/>
          <w:b/>
          <w:bCs/>
          <w:szCs w:val="21"/>
        </w:rPr>
        <w:t>8.2.1</w:t>
      </w:r>
      <w:r>
        <w:rPr>
          <w:szCs w:val="21"/>
        </w:rPr>
        <w:t xml:space="preserve">  预制墙、板构件吊装时应采用多点吊装，</w:t>
      </w:r>
      <w:r>
        <w:rPr>
          <w:rFonts w:hint="eastAsia"/>
        </w:rPr>
        <w:t>根据预制构件的吊环位置选用合理的起吊点，用卸扣将钢丝绳与预制构件的预留吊环连接。预制构件吊装示意图见图8.2.1。</w:t>
      </w:r>
    </w:p>
    <w:p>
      <w:pPr>
        <w:jc w:val="center"/>
      </w:pPr>
      <w:r>
        <w:rPr>
          <w:rFonts w:hint="eastAsia"/>
        </w:rPr>
        <w:drawing>
          <wp:inline distT="0" distB="0" distL="114300" distR="114300">
            <wp:extent cx="1927860" cy="1826260"/>
            <wp:effectExtent l="0" t="0" r="15240" b="2540"/>
            <wp:docPr id="7" name="图片 7" descr="d4dbbf331002b881961ea192fa29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4dbbf331002b881961ea192fa29a1b"/>
                    <pic:cNvPicPr>
                      <a:picLocks noChangeAspect="1"/>
                    </pic:cNvPicPr>
                  </pic:nvPicPr>
                  <pic:blipFill>
                    <a:blip r:embed="rId62"/>
                    <a:stretch>
                      <a:fillRect/>
                    </a:stretch>
                  </pic:blipFill>
                  <pic:spPr>
                    <a:xfrm>
                      <a:off x="0" y="0"/>
                      <a:ext cx="1927860" cy="1826260"/>
                    </a:xfrm>
                    <a:prstGeom prst="rect">
                      <a:avLst/>
                    </a:prstGeom>
                  </pic:spPr>
                </pic:pic>
              </a:graphicData>
            </a:graphic>
          </wp:inline>
        </w:drawing>
      </w:r>
    </w:p>
    <w:p>
      <w:pPr>
        <w:jc w:val="center"/>
        <w:rPr>
          <w:rFonts w:ascii="黑体" w:hAnsi="黑体" w:eastAsia="黑体" w:cs="宋体"/>
          <w:spacing w:val="-10"/>
          <w:sz w:val="18"/>
          <w:szCs w:val="18"/>
        </w:rPr>
      </w:pPr>
      <w:r>
        <w:rPr>
          <w:rFonts w:ascii="黑体" w:hAnsi="黑体" w:eastAsia="黑体" w:cs="宋体"/>
          <w:spacing w:val="-10"/>
          <w:sz w:val="18"/>
          <w:szCs w:val="18"/>
        </w:rPr>
        <w:t>图8.2.1</w:t>
      </w:r>
      <w:r>
        <w:rPr>
          <w:rFonts w:hint="eastAsia" w:ascii="黑体" w:hAnsi="黑体" w:eastAsia="黑体" w:cs="宋体"/>
          <w:spacing w:val="-10"/>
          <w:sz w:val="18"/>
          <w:szCs w:val="18"/>
        </w:rPr>
        <w:t xml:space="preserve"> </w:t>
      </w:r>
      <w:r>
        <w:rPr>
          <w:rFonts w:ascii="黑体" w:hAnsi="黑体" w:eastAsia="黑体" w:cs="宋体"/>
          <w:spacing w:val="-10"/>
          <w:sz w:val="18"/>
          <w:szCs w:val="18"/>
        </w:rPr>
        <w:t>预制构件吊装示意图</w:t>
      </w:r>
    </w:p>
    <w:p>
      <w:pPr>
        <w:spacing w:line="360" w:lineRule="auto"/>
        <w:jc w:val="center"/>
        <w:rPr>
          <w:rFonts w:ascii="黑体" w:hAnsi="黑体" w:eastAsia="黑体" w:cs="宋体"/>
          <w:spacing w:val="-10"/>
          <w:sz w:val="18"/>
          <w:szCs w:val="18"/>
        </w:rPr>
      </w:pPr>
      <w:r>
        <w:rPr>
          <w:rFonts w:ascii="黑体" w:hAnsi="黑体" w:eastAsia="黑体" w:cs="宋体"/>
          <w:spacing w:val="-10"/>
          <w:sz w:val="18"/>
          <w:szCs w:val="18"/>
        </w:rPr>
        <w:t>1-钢丝绳；2-卸扣；3-卸扣；4-吊装梁；5-钢丝绳；6-吊环</w:t>
      </w:r>
    </w:p>
    <w:p>
      <w:pPr>
        <w:jc w:val="center"/>
      </w:pPr>
    </w:p>
    <w:p>
      <w:pPr>
        <w:spacing w:line="360" w:lineRule="auto"/>
        <w:rPr>
          <w:szCs w:val="21"/>
        </w:rPr>
      </w:pPr>
      <w:r>
        <w:rPr>
          <w:rFonts w:hint="eastAsia"/>
          <w:b/>
          <w:bCs/>
          <w:szCs w:val="21"/>
        </w:rPr>
        <w:t xml:space="preserve">8.2.2  </w:t>
      </w:r>
      <w:r>
        <w:rPr>
          <w:szCs w:val="21"/>
        </w:rPr>
        <w:t>装配式预制构件安装就位后应采用临时支撑固定，装配式混凝土构件临时支撑示意图见图8.2.2，临时支撑安全防护应当符合下列规定：</w:t>
      </w:r>
    </w:p>
    <w:p>
      <w:pPr>
        <w:spacing w:line="360" w:lineRule="auto"/>
        <w:ind w:firstLine="299" w:firstLineChars="142"/>
      </w:pPr>
      <w:r>
        <w:rPr>
          <w:rFonts w:hint="eastAsia"/>
          <w:b/>
          <w:bCs/>
        </w:rPr>
        <w:t>1</w:t>
      </w:r>
      <w:r>
        <w:rPr>
          <w:rFonts w:hint="eastAsia"/>
        </w:rPr>
        <w:t xml:space="preserve"> </w:t>
      </w:r>
      <w:r>
        <w:t xml:space="preserve"> </w:t>
      </w:r>
      <w:r>
        <w:rPr>
          <w:rFonts w:hint="eastAsia"/>
        </w:rPr>
        <w:t>应设置不少于2道的临时支撑；</w:t>
      </w:r>
    </w:p>
    <w:p>
      <w:pPr>
        <w:spacing w:line="360" w:lineRule="auto"/>
        <w:ind w:firstLine="299" w:firstLineChars="142"/>
        <w:rPr>
          <w:szCs w:val="21"/>
        </w:rPr>
      </w:pPr>
      <w:r>
        <w:rPr>
          <w:rFonts w:hint="eastAsia"/>
          <w:b/>
          <w:bCs/>
          <w:szCs w:val="21"/>
        </w:rPr>
        <w:t>2</w:t>
      </w:r>
      <w:r>
        <w:rPr>
          <w:szCs w:val="21"/>
        </w:rPr>
        <w:t xml:space="preserve">  预制柱、墙板构件的上部斜支撑，支撑点距离板底的距离不宜小于构件高度的2/3，且不应小于构件高度的1/2；</w:t>
      </w:r>
    </w:p>
    <w:p>
      <w:pPr>
        <w:spacing w:line="360" w:lineRule="auto"/>
        <w:ind w:firstLine="299" w:firstLineChars="142"/>
        <w:rPr>
          <w:szCs w:val="21"/>
        </w:rPr>
      </w:pPr>
      <w:r>
        <w:rPr>
          <w:rFonts w:hint="eastAsia"/>
          <w:b/>
          <w:bCs/>
        </w:rPr>
        <w:t>3</w:t>
      </w:r>
      <w:r>
        <w:rPr>
          <w:szCs w:val="21"/>
        </w:rPr>
        <w:t xml:space="preserve"> </w:t>
      </w:r>
      <w:r>
        <w:t xml:space="preserve"> </w:t>
      </w:r>
      <w:r>
        <w:rPr>
          <w:rFonts w:hint="eastAsia"/>
          <w:szCs w:val="21"/>
        </w:rPr>
        <w:t>斜支撑应与构件应可靠连接；</w:t>
      </w:r>
    </w:p>
    <w:p>
      <w:pPr>
        <w:spacing w:line="360" w:lineRule="auto"/>
        <w:ind w:firstLine="299" w:firstLineChars="142"/>
        <w:rPr>
          <w:szCs w:val="21"/>
        </w:rPr>
      </w:pPr>
      <w:r>
        <w:rPr>
          <w:rFonts w:hint="eastAsia"/>
          <w:b/>
          <w:bCs/>
          <w:szCs w:val="21"/>
        </w:rPr>
        <w:t xml:space="preserve">4 </w:t>
      </w:r>
      <w:r>
        <w:rPr>
          <w:b/>
          <w:bCs/>
          <w:szCs w:val="21"/>
        </w:rPr>
        <w:t xml:space="preserve"> </w:t>
      </w:r>
      <w:r>
        <w:rPr>
          <w:szCs w:val="21"/>
        </w:rPr>
        <w:t>经方案设计计算确定临时支撑的间距及其与墙、柱、梁边的净距，竖向连续支撑层数不宜少于2层，上下层竖向支撑应垂直对应；</w:t>
      </w:r>
    </w:p>
    <w:p>
      <w:pPr>
        <w:spacing w:line="360" w:lineRule="auto"/>
        <w:ind w:firstLine="299" w:firstLineChars="142"/>
        <w:rPr>
          <w:szCs w:val="21"/>
        </w:rPr>
      </w:pPr>
      <w:r>
        <w:rPr>
          <w:rFonts w:hint="eastAsia"/>
          <w:b/>
          <w:bCs/>
          <w:szCs w:val="21"/>
        </w:rPr>
        <w:t>5</w:t>
      </w:r>
      <w:r>
        <w:rPr>
          <w:szCs w:val="21"/>
        </w:rPr>
        <w:t xml:space="preserve">  预制叠合板的底板下部支架，可选用定型独立钢支柱，应经计算确定竖向支撑间距。</w:t>
      </w:r>
    </w:p>
    <w:p>
      <w:pPr>
        <w:spacing w:line="360" w:lineRule="auto"/>
        <w:jc w:val="center"/>
        <w:rPr>
          <w:szCs w:val="21"/>
        </w:rPr>
      </w:pPr>
      <w:r>
        <w:rPr>
          <w:rFonts w:hint="eastAsia"/>
          <w:szCs w:val="21"/>
        </w:rPr>
        <w:drawing>
          <wp:inline distT="0" distB="0" distL="114300" distR="114300">
            <wp:extent cx="1895475" cy="1914525"/>
            <wp:effectExtent l="0" t="0" r="9525" b="9525"/>
            <wp:docPr id="42" name="图片 44" descr="169441646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4" descr="1694416464641"/>
                    <pic:cNvPicPr>
                      <a:picLocks noChangeAspect="1"/>
                    </pic:cNvPicPr>
                  </pic:nvPicPr>
                  <pic:blipFill>
                    <a:blip r:embed="rId63"/>
                    <a:stretch>
                      <a:fillRect/>
                    </a:stretch>
                  </pic:blipFill>
                  <pic:spPr>
                    <a:xfrm>
                      <a:off x="0" y="0"/>
                      <a:ext cx="1895475" cy="191452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8.2.</w:t>
      </w:r>
      <w:r>
        <w:rPr>
          <w:rFonts w:hint="eastAsia" w:ascii="黑体" w:hAnsi="黑体" w:eastAsia="黑体" w:cs="宋体"/>
          <w:sz w:val="18"/>
          <w:szCs w:val="18"/>
        </w:rPr>
        <w:t>2 装配式混凝土构件临时支撑示意图</w:t>
      </w:r>
    </w:p>
    <w:p>
      <w:pPr>
        <w:spacing w:line="360" w:lineRule="auto"/>
        <w:jc w:val="center"/>
        <w:rPr>
          <w:szCs w:val="21"/>
        </w:rPr>
      </w:pPr>
      <w:r>
        <w:rPr>
          <w:rFonts w:ascii="黑体" w:hAnsi="黑体" w:eastAsia="黑体" w:cs="宋体"/>
          <w:sz w:val="18"/>
          <w:szCs w:val="18"/>
        </w:rPr>
        <w:t>1-</w:t>
      </w:r>
      <w:r>
        <w:rPr>
          <w:rFonts w:hint="eastAsia" w:ascii="黑体" w:hAnsi="黑体" w:eastAsia="黑体" w:cs="宋体"/>
          <w:sz w:val="18"/>
          <w:szCs w:val="18"/>
        </w:rPr>
        <w:t>预制外墙；</w:t>
      </w:r>
      <w:r>
        <w:rPr>
          <w:rFonts w:ascii="黑体" w:hAnsi="黑体" w:eastAsia="黑体" w:cs="宋体"/>
          <w:sz w:val="18"/>
          <w:szCs w:val="18"/>
        </w:rPr>
        <w:t>2-临时支撑；3-墙底垫片</w:t>
      </w:r>
    </w:p>
    <w:p>
      <w:pPr>
        <w:spacing w:line="360" w:lineRule="auto"/>
      </w:pPr>
      <w:r>
        <w:rPr>
          <w:rFonts w:hint="eastAsia"/>
          <w:b/>
          <w:bCs/>
          <w:szCs w:val="21"/>
        </w:rPr>
        <w:t>8.2.3</w:t>
      </w:r>
      <w:r>
        <w:rPr>
          <w:szCs w:val="21"/>
        </w:rPr>
        <w:t xml:space="preserve">  </w:t>
      </w:r>
      <w:r>
        <w:rPr>
          <w:rFonts w:hint="eastAsia"/>
        </w:rPr>
        <w:t>构件吊装时，吊装区域应封闭管理。</w:t>
      </w:r>
    </w:p>
    <w:p>
      <w:pPr>
        <w:spacing w:line="360" w:lineRule="auto"/>
      </w:pPr>
      <w:r>
        <w:rPr>
          <w:rFonts w:hint="eastAsia"/>
          <w:b/>
          <w:bCs/>
          <w:szCs w:val="21"/>
        </w:rPr>
        <w:t>8.2.4</w:t>
      </w:r>
      <w:r>
        <w:rPr>
          <w:rFonts w:hint="eastAsia"/>
        </w:rPr>
        <w:t xml:space="preserve">  叠合构件装配施工前应根据现场情况设置临时支撑。常用的临时支撑见图8.2.3。</w:t>
      </w:r>
    </w:p>
    <w:p>
      <w:pPr>
        <w:spacing w:line="360" w:lineRule="auto"/>
        <w:jc w:val="center"/>
      </w:pPr>
      <w:r>
        <w:rPr>
          <w:rFonts w:hint="eastAsia"/>
        </w:rPr>
        <w:drawing>
          <wp:inline distT="0" distB="0" distL="114300" distR="114300">
            <wp:extent cx="2686050" cy="2590800"/>
            <wp:effectExtent l="0" t="0" r="0" b="0"/>
            <wp:docPr id="43" name="图片 43" descr="b5db480f1ffac5550a2b2e314711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b5db480f1ffac5550a2b2e3147118d5"/>
                    <pic:cNvPicPr>
                      <a:picLocks noChangeAspect="1"/>
                    </pic:cNvPicPr>
                  </pic:nvPicPr>
                  <pic:blipFill>
                    <a:blip r:embed="rId64"/>
                    <a:stretch>
                      <a:fillRect/>
                    </a:stretch>
                  </pic:blipFill>
                  <pic:spPr>
                    <a:xfrm>
                      <a:off x="0" y="0"/>
                      <a:ext cx="2686050" cy="2590800"/>
                    </a:xfrm>
                    <a:prstGeom prst="rect">
                      <a:avLst/>
                    </a:prstGeom>
                  </pic:spPr>
                </pic:pic>
              </a:graphicData>
            </a:graphic>
          </wp:inline>
        </w:drawing>
      </w:r>
    </w:p>
    <w:p>
      <w:pPr>
        <w:spacing w:line="360" w:lineRule="auto"/>
        <w:jc w:val="center"/>
        <w:rPr>
          <w:rFonts w:ascii="黑体" w:hAnsi="黑体" w:eastAsia="黑体" w:cs="黑体"/>
          <w:sz w:val="18"/>
          <w:szCs w:val="18"/>
        </w:rPr>
      </w:pPr>
      <w:r>
        <w:rPr>
          <w:rFonts w:hint="eastAsia" w:ascii="黑体" w:hAnsi="黑体" w:eastAsia="黑体" w:cs="黑体"/>
          <w:sz w:val="18"/>
          <w:szCs w:val="18"/>
        </w:rPr>
        <w:t>图8.2.4 叠合临时支撑</w:t>
      </w:r>
    </w:p>
    <w:p>
      <w:pPr>
        <w:spacing w:line="360" w:lineRule="auto"/>
      </w:pPr>
      <w:r>
        <w:rPr>
          <w:rFonts w:hint="eastAsia"/>
          <w:b/>
          <w:bCs/>
        </w:rPr>
        <w:t>8.2.5</w:t>
      </w:r>
      <w:r>
        <w:rPr>
          <w:rFonts w:hint="eastAsia"/>
        </w:rPr>
        <w:t xml:space="preserve"> 防护架宜符合下列规定：</w:t>
      </w:r>
    </w:p>
    <w:p>
      <w:pPr>
        <w:spacing w:line="360" w:lineRule="auto"/>
        <w:ind w:firstLine="320" w:firstLineChars="152"/>
        <w:rPr>
          <w:szCs w:val="21"/>
        </w:rPr>
      </w:pPr>
      <w:r>
        <w:rPr>
          <w:rFonts w:hint="eastAsia"/>
          <w:b/>
          <w:bCs/>
          <w:szCs w:val="21"/>
        </w:rPr>
        <w:t>1</w:t>
      </w:r>
      <w:r>
        <w:rPr>
          <w:szCs w:val="21"/>
        </w:rPr>
        <w:t xml:space="preserve">  宜采用双轴对称截面的型钢加工制作；</w:t>
      </w:r>
    </w:p>
    <w:p>
      <w:pPr>
        <w:spacing w:line="360" w:lineRule="auto"/>
        <w:ind w:firstLine="320" w:firstLineChars="152"/>
        <w:rPr>
          <w:szCs w:val="21"/>
        </w:rPr>
      </w:pPr>
      <w:r>
        <w:rPr>
          <w:rFonts w:hint="eastAsia"/>
          <w:b/>
          <w:bCs/>
          <w:szCs w:val="21"/>
        </w:rPr>
        <w:t>2</w:t>
      </w:r>
      <w:r>
        <w:rPr>
          <w:szCs w:val="21"/>
        </w:rPr>
        <w:t xml:space="preserve">  应采用螺栓进行附着固定，并设置可靠防松脱措施；</w:t>
      </w:r>
    </w:p>
    <w:p>
      <w:pPr>
        <w:spacing w:line="360" w:lineRule="auto"/>
        <w:ind w:firstLine="320" w:firstLineChars="152"/>
        <w:rPr>
          <w:szCs w:val="21"/>
        </w:rPr>
      </w:pPr>
      <w:r>
        <w:rPr>
          <w:rFonts w:hint="eastAsia"/>
          <w:b/>
          <w:bCs/>
          <w:szCs w:val="21"/>
        </w:rPr>
        <w:t>3</w:t>
      </w:r>
      <w:r>
        <w:rPr>
          <w:szCs w:val="21"/>
        </w:rPr>
        <w:t xml:space="preserve">  飘窗、阳台、洞口及阴阳角部等特殊位置应进行专项设计；</w:t>
      </w:r>
    </w:p>
    <w:p>
      <w:pPr>
        <w:spacing w:line="360" w:lineRule="auto"/>
        <w:ind w:firstLine="320" w:firstLineChars="152"/>
        <w:rPr>
          <w:szCs w:val="21"/>
        </w:rPr>
      </w:pPr>
      <w:r>
        <w:rPr>
          <w:rFonts w:hint="eastAsia"/>
          <w:b/>
          <w:bCs/>
          <w:szCs w:val="21"/>
        </w:rPr>
        <w:t xml:space="preserve">4 </w:t>
      </w:r>
      <w:r>
        <w:rPr>
          <w:b/>
          <w:bCs/>
          <w:szCs w:val="21"/>
        </w:rPr>
        <w:t xml:space="preserve"> </w:t>
      </w:r>
      <w:r>
        <w:rPr>
          <w:szCs w:val="21"/>
        </w:rPr>
        <w:t>安装、拆除时应设置可靠吊点；</w:t>
      </w:r>
    </w:p>
    <w:p>
      <w:pPr>
        <w:spacing w:line="360" w:lineRule="auto"/>
        <w:ind w:firstLine="320" w:firstLineChars="152"/>
        <w:rPr>
          <w:szCs w:val="21"/>
        </w:rPr>
      </w:pPr>
      <w:r>
        <w:rPr>
          <w:rFonts w:hint="eastAsia"/>
          <w:b/>
          <w:bCs/>
          <w:szCs w:val="21"/>
        </w:rPr>
        <w:t>5</w:t>
      </w:r>
      <w:r>
        <w:rPr>
          <w:szCs w:val="21"/>
        </w:rPr>
        <w:t xml:space="preserve">  应设置安全保护绳，垂直、平稳、缓慢拆除及吊运；</w:t>
      </w:r>
    </w:p>
    <w:p>
      <w:pPr>
        <w:tabs>
          <w:tab w:val="left" w:pos="6930"/>
        </w:tabs>
        <w:spacing w:line="360" w:lineRule="auto"/>
        <w:ind w:firstLine="320" w:firstLineChars="152"/>
        <w:rPr>
          <w:szCs w:val="21"/>
        </w:rPr>
      </w:pPr>
      <w:r>
        <w:rPr>
          <w:rFonts w:hint="eastAsia"/>
          <w:b/>
          <w:bCs/>
          <w:szCs w:val="21"/>
        </w:rPr>
        <w:t>6</w:t>
      </w:r>
      <w:r>
        <w:rPr>
          <w:szCs w:val="21"/>
        </w:rPr>
        <w:t xml:space="preserve">  单层外防护宜采用型钢式防护架，标准单架体长度宜为1m～2m，多组合使用总长度不宜超过6m，固定螺栓直径不宜小于20mm，螺栓固定点距构件边缘不应小于150mm；组合式型钢式防护架示意图见图 8.2.</w:t>
      </w:r>
      <w:r>
        <w:rPr>
          <w:rFonts w:hint="eastAsia"/>
          <w:szCs w:val="21"/>
        </w:rPr>
        <w:t>5</w:t>
      </w:r>
      <w:r>
        <w:rPr>
          <w:szCs w:val="21"/>
        </w:rPr>
        <w:t>-1；</w:t>
      </w:r>
    </w:p>
    <w:p>
      <w:pPr>
        <w:spacing w:line="360" w:lineRule="auto"/>
        <w:jc w:val="center"/>
        <w:rPr>
          <w:szCs w:val="21"/>
        </w:rPr>
      </w:pPr>
      <w:r>
        <w:rPr>
          <w:rFonts w:hint="eastAsia"/>
          <w:szCs w:val="21"/>
        </w:rPr>
        <w:drawing>
          <wp:inline distT="0" distB="0" distL="114300" distR="114300">
            <wp:extent cx="4765040" cy="2499360"/>
            <wp:effectExtent l="0" t="0" r="16510" b="15240"/>
            <wp:docPr id="44" name="图片 45" descr="169439449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descr="1694394493410"/>
                    <pic:cNvPicPr>
                      <a:picLocks noChangeAspect="1"/>
                    </pic:cNvPicPr>
                  </pic:nvPicPr>
                  <pic:blipFill>
                    <a:blip r:embed="rId65"/>
                    <a:stretch>
                      <a:fillRect/>
                    </a:stretch>
                  </pic:blipFill>
                  <pic:spPr>
                    <a:xfrm>
                      <a:off x="0" y="0"/>
                      <a:ext cx="4765040" cy="2499360"/>
                    </a:xfrm>
                    <a:prstGeom prst="rect">
                      <a:avLst/>
                    </a:prstGeom>
                    <a:noFill/>
                    <a:ln>
                      <a:noFill/>
                    </a:ln>
                  </pic:spPr>
                </pic:pic>
              </a:graphicData>
            </a:graphic>
          </wp:inline>
        </w:drawing>
      </w:r>
    </w:p>
    <w:p>
      <w:pPr>
        <w:spacing w:line="360" w:lineRule="auto"/>
        <w:jc w:val="center"/>
        <w:rPr>
          <w:rFonts w:eastAsia="黑体"/>
          <w:sz w:val="18"/>
          <w:szCs w:val="18"/>
        </w:rPr>
      </w:pPr>
      <w:r>
        <w:rPr>
          <w:rFonts w:eastAsia="黑体"/>
          <w:sz w:val="18"/>
          <w:szCs w:val="18"/>
        </w:rPr>
        <w:t>图8.2.</w:t>
      </w:r>
      <w:r>
        <w:rPr>
          <w:rFonts w:hint="eastAsia" w:eastAsia="黑体"/>
          <w:sz w:val="18"/>
          <w:szCs w:val="18"/>
        </w:rPr>
        <w:t>5</w:t>
      </w:r>
      <w:r>
        <w:rPr>
          <w:rFonts w:eastAsia="黑体"/>
          <w:sz w:val="18"/>
          <w:szCs w:val="18"/>
        </w:rPr>
        <w:t>-1 组合式型钢式防护架示意图</w:t>
      </w:r>
    </w:p>
    <w:p>
      <w:pPr>
        <w:spacing w:line="360" w:lineRule="auto"/>
        <w:jc w:val="center"/>
        <w:rPr>
          <w:rFonts w:eastAsia="黑体"/>
          <w:sz w:val="18"/>
          <w:szCs w:val="18"/>
        </w:rPr>
      </w:pPr>
      <w:r>
        <w:rPr>
          <w:rFonts w:eastAsia="黑体"/>
          <w:sz w:val="18"/>
          <w:szCs w:val="18"/>
        </w:rPr>
        <w:t>1-立网；2-踏板；3-型钢支撑（含分配梁）；4-穿墙螺栓</w:t>
      </w:r>
    </w:p>
    <w:p>
      <w:pPr>
        <w:spacing w:line="360" w:lineRule="auto"/>
        <w:ind w:firstLine="320" w:firstLineChars="152"/>
        <w:rPr>
          <w:szCs w:val="21"/>
        </w:rPr>
      </w:pPr>
      <w:r>
        <w:rPr>
          <w:rFonts w:hint="eastAsia"/>
          <w:b/>
          <w:bCs/>
          <w:szCs w:val="21"/>
        </w:rPr>
        <w:t>7</w:t>
      </w:r>
      <w:r>
        <w:rPr>
          <w:szCs w:val="21"/>
        </w:rPr>
        <w:t xml:space="preserve">  多层外防护宜采用型钢式脚手架，型钢上部脚手架搭设高度不宜超过20m，固定螺栓直径不宜小于30mm，螺栓固定点距构件边缘不应小于150mm，用于多层的组合式型钢式防护架示意图见图8.2.</w:t>
      </w:r>
      <w:r>
        <w:rPr>
          <w:rFonts w:hint="eastAsia"/>
          <w:szCs w:val="21"/>
        </w:rPr>
        <w:t>5</w:t>
      </w:r>
      <w:r>
        <w:rPr>
          <w:szCs w:val="21"/>
        </w:rPr>
        <w:t>-2。</w:t>
      </w:r>
    </w:p>
    <w:p>
      <w:pPr>
        <w:jc w:val="center"/>
        <w:rPr>
          <w:szCs w:val="21"/>
        </w:rPr>
      </w:pPr>
      <w:r>
        <w:rPr>
          <w:rFonts w:hint="eastAsia"/>
          <w:szCs w:val="21"/>
        </w:rPr>
        <w:drawing>
          <wp:inline distT="0" distB="0" distL="114300" distR="114300">
            <wp:extent cx="2462530" cy="1617980"/>
            <wp:effectExtent l="0" t="0" r="13970" b="1270"/>
            <wp:docPr id="45" name="图片 46" descr="169416977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descr="1694169777789"/>
                    <pic:cNvPicPr>
                      <a:picLocks noChangeAspect="1"/>
                    </pic:cNvPicPr>
                  </pic:nvPicPr>
                  <pic:blipFill>
                    <a:blip r:embed="rId66"/>
                    <a:stretch>
                      <a:fillRect/>
                    </a:stretch>
                  </pic:blipFill>
                  <pic:spPr>
                    <a:xfrm>
                      <a:off x="0" y="0"/>
                      <a:ext cx="2462530" cy="1617980"/>
                    </a:xfrm>
                    <a:prstGeom prst="rect">
                      <a:avLst/>
                    </a:prstGeom>
                    <a:noFill/>
                    <a:ln>
                      <a:noFill/>
                    </a:ln>
                  </pic:spPr>
                </pic:pic>
              </a:graphicData>
            </a:graphic>
          </wp:inline>
        </w:drawing>
      </w:r>
      <w:r>
        <w:rPr>
          <w:rFonts w:hint="eastAsia"/>
          <w:szCs w:val="21"/>
        </w:rPr>
        <w:t xml:space="preserve">     </w:t>
      </w:r>
      <w:r>
        <w:rPr>
          <w:szCs w:val="21"/>
        </w:rPr>
        <w:drawing>
          <wp:inline distT="0" distB="0" distL="114300" distR="114300">
            <wp:extent cx="1094105" cy="1772285"/>
            <wp:effectExtent l="0" t="0" r="10795" b="18415"/>
            <wp:docPr id="46" name="图片 47" descr="169416980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descr="1694169807876"/>
                    <pic:cNvPicPr>
                      <a:picLocks noChangeAspect="1"/>
                    </pic:cNvPicPr>
                  </pic:nvPicPr>
                  <pic:blipFill>
                    <a:blip r:embed="rId67"/>
                    <a:stretch>
                      <a:fillRect/>
                    </a:stretch>
                  </pic:blipFill>
                  <pic:spPr>
                    <a:xfrm>
                      <a:off x="0" y="0"/>
                      <a:ext cx="1094105" cy="1772285"/>
                    </a:xfrm>
                    <a:prstGeom prst="rect">
                      <a:avLst/>
                    </a:prstGeom>
                    <a:noFill/>
                    <a:ln>
                      <a:noFill/>
                    </a:ln>
                  </pic:spPr>
                </pic:pic>
              </a:graphicData>
            </a:graphic>
          </wp:inline>
        </w:drawing>
      </w:r>
      <w:r>
        <w:rPr>
          <w:rFonts w:hint="eastAsia"/>
          <w:szCs w:val="21"/>
        </w:rPr>
        <w:t xml:space="preserve">     </w:t>
      </w:r>
      <w:r>
        <w:rPr>
          <w:szCs w:val="21"/>
        </w:rPr>
        <w:drawing>
          <wp:inline distT="0" distB="0" distL="114300" distR="114300">
            <wp:extent cx="1499870" cy="1632585"/>
            <wp:effectExtent l="0" t="0" r="5080" b="5715"/>
            <wp:docPr id="47" name="图片 48" descr="1695113548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 descr="1695113548175(1)"/>
                    <pic:cNvPicPr>
                      <a:picLocks noChangeAspect="1"/>
                    </pic:cNvPicPr>
                  </pic:nvPicPr>
                  <pic:blipFill>
                    <a:blip r:embed="rId68"/>
                    <a:stretch>
                      <a:fillRect/>
                    </a:stretch>
                  </pic:blipFill>
                  <pic:spPr>
                    <a:xfrm>
                      <a:off x="0" y="0"/>
                      <a:ext cx="1499870" cy="163258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 xml:space="preserve"> 8.2.</w:t>
      </w:r>
      <w:r>
        <w:rPr>
          <w:rFonts w:hint="eastAsia" w:ascii="黑体" w:hAnsi="黑体" w:eastAsia="黑体" w:cs="宋体"/>
          <w:sz w:val="18"/>
          <w:szCs w:val="18"/>
        </w:rPr>
        <w:t>5</w:t>
      </w:r>
      <w:r>
        <w:rPr>
          <w:rFonts w:ascii="黑体" w:hAnsi="黑体" w:eastAsia="黑体" w:cs="宋体"/>
          <w:sz w:val="18"/>
          <w:szCs w:val="18"/>
        </w:rPr>
        <w:t xml:space="preserve">-2 </w:t>
      </w:r>
      <w:r>
        <w:rPr>
          <w:rFonts w:hint="eastAsia" w:ascii="黑体" w:hAnsi="黑体" w:eastAsia="黑体" w:cs="宋体"/>
          <w:sz w:val="18"/>
          <w:szCs w:val="18"/>
        </w:rPr>
        <w:t>用于多层的组合式型钢式防护架示意图</w:t>
      </w:r>
    </w:p>
    <w:p>
      <w:pPr>
        <w:spacing w:line="360" w:lineRule="auto"/>
        <w:jc w:val="center"/>
        <w:rPr>
          <w:rFonts w:ascii="黑体" w:hAnsi="黑体" w:eastAsia="黑体" w:cs="宋体"/>
          <w:sz w:val="18"/>
          <w:szCs w:val="18"/>
        </w:rPr>
      </w:pPr>
      <w:r>
        <w:rPr>
          <w:rFonts w:ascii="黑体" w:hAnsi="黑体" w:eastAsia="黑体" w:cs="宋体"/>
          <w:sz w:val="18"/>
          <w:szCs w:val="18"/>
        </w:rPr>
        <w:t>1-钢管脚手架</w:t>
      </w:r>
      <w:r>
        <w:rPr>
          <w:rFonts w:hint="eastAsia" w:ascii="黑体" w:hAnsi="黑体" w:eastAsia="黑体" w:cs="宋体"/>
          <w:sz w:val="18"/>
          <w:szCs w:val="18"/>
        </w:rPr>
        <w:t>；</w:t>
      </w:r>
      <w:r>
        <w:rPr>
          <w:rFonts w:ascii="黑体" w:hAnsi="黑体" w:eastAsia="黑体" w:cs="宋体"/>
          <w:sz w:val="18"/>
          <w:szCs w:val="18"/>
        </w:rPr>
        <w:t>2-连系梁</w:t>
      </w:r>
      <w:r>
        <w:rPr>
          <w:rFonts w:hint="eastAsia" w:ascii="黑体" w:hAnsi="黑体" w:eastAsia="黑体" w:cs="宋体"/>
          <w:sz w:val="18"/>
          <w:szCs w:val="18"/>
        </w:rPr>
        <w:t>；</w:t>
      </w:r>
      <w:r>
        <w:rPr>
          <w:rFonts w:ascii="黑体" w:hAnsi="黑体" w:eastAsia="黑体" w:cs="宋体"/>
          <w:sz w:val="18"/>
          <w:szCs w:val="18"/>
        </w:rPr>
        <w:t>3-三角架</w:t>
      </w:r>
      <w:r>
        <w:rPr>
          <w:rFonts w:hint="eastAsia" w:ascii="黑体" w:hAnsi="黑体" w:eastAsia="黑体" w:cs="宋体"/>
          <w:sz w:val="18"/>
          <w:szCs w:val="18"/>
        </w:rPr>
        <w:t>；</w:t>
      </w:r>
      <w:r>
        <w:rPr>
          <w:rFonts w:ascii="黑体" w:hAnsi="黑体" w:eastAsia="黑体" w:cs="宋体"/>
          <w:sz w:val="18"/>
          <w:szCs w:val="18"/>
        </w:rPr>
        <w:t>4-穿墙螺栓</w:t>
      </w:r>
      <w:r>
        <w:rPr>
          <w:rFonts w:hint="eastAsia" w:ascii="黑体" w:hAnsi="黑体" w:eastAsia="黑体" w:cs="宋体"/>
          <w:sz w:val="18"/>
          <w:szCs w:val="18"/>
        </w:rPr>
        <w:t>；</w:t>
      </w:r>
      <w:r>
        <w:rPr>
          <w:rFonts w:ascii="黑体" w:hAnsi="黑体" w:eastAsia="黑体" w:cs="宋体"/>
          <w:sz w:val="18"/>
          <w:szCs w:val="18"/>
        </w:rPr>
        <w:t>5-墙体</w:t>
      </w:r>
    </w:p>
    <w:p>
      <w:pPr>
        <w:spacing w:line="360" w:lineRule="auto"/>
        <w:ind w:firstLine="900" w:firstLineChars="500"/>
        <w:jc w:val="center"/>
        <w:rPr>
          <w:rFonts w:ascii="黑体" w:hAnsi="黑体" w:eastAsia="黑体" w:cs="宋体"/>
          <w:sz w:val="18"/>
          <w:szCs w:val="18"/>
        </w:rPr>
      </w:pPr>
    </w:p>
    <w:p>
      <w:pPr>
        <w:spacing w:line="360" w:lineRule="auto"/>
        <w:jc w:val="center"/>
        <w:outlineLvl w:val="1"/>
        <w:rPr>
          <w:b/>
          <w:bCs/>
          <w:szCs w:val="21"/>
        </w:rPr>
      </w:pPr>
      <w:bookmarkStart w:id="132" w:name="_Toc9000"/>
      <w:r>
        <w:rPr>
          <w:b/>
          <w:bCs/>
          <w:szCs w:val="21"/>
        </w:rPr>
        <w:t>8.3  钢结构安全防护</w:t>
      </w:r>
      <w:bookmarkEnd w:id="132"/>
    </w:p>
    <w:p>
      <w:pPr>
        <w:spacing w:line="360" w:lineRule="auto"/>
        <w:rPr>
          <w:szCs w:val="21"/>
        </w:rPr>
      </w:pPr>
      <w:r>
        <w:rPr>
          <w:rFonts w:hint="eastAsia"/>
          <w:b/>
          <w:bCs/>
          <w:szCs w:val="21"/>
        </w:rPr>
        <w:t>8.3.1</w:t>
      </w:r>
      <w:r>
        <w:rPr>
          <w:szCs w:val="21"/>
        </w:rPr>
        <w:t xml:space="preserve">  钢结构施工时，楼层钢梁吊装完毕后，应及时分区支搭或支挂水平安全网，并在施工层搭设水平通道，宽度不宜小于600mm，通道两侧应按本标准第4章的规定设置防护栏杆。</w:t>
      </w:r>
    </w:p>
    <w:p>
      <w:pPr>
        <w:spacing w:line="360" w:lineRule="auto"/>
        <w:rPr>
          <w:szCs w:val="21"/>
        </w:rPr>
      </w:pPr>
      <w:r>
        <w:rPr>
          <w:rFonts w:hint="eastAsia"/>
          <w:b/>
          <w:bCs/>
          <w:szCs w:val="21"/>
        </w:rPr>
        <w:t>8.3.2</w:t>
      </w:r>
      <w:r>
        <w:rPr>
          <w:szCs w:val="21"/>
        </w:rPr>
        <w:t xml:space="preserve">  利用钢梁作为水平通道时，应在钢梁一侧设置连续双道安全绳，安全绳应采用钢丝绳，安装方式可采用抱箍式安全绳和立杆式安全绳。立杆式安全绳的设置应符合本标准第6章的规定。</w:t>
      </w:r>
    </w:p>
    <w:p>
      <w:pPr>
        <w:spacing w:line="360" w:lineRule="auto"/>
      </w:pPr>
      <w:r>
        <w:rPr>
          <w:rFonts w:hint="eastAsia"/>
          <w:b/>
          <w:bCs/>
        </w:rPr>
        <w:t xml:space="preserve">8.3.3 </w:t>
      </w:r>
      <w:r>
        <w:rPr>
          <w:b/>
          <w:bCs/>
        </w:rPr>
        <w:t xml:space="preserve"> </w:t>
      </w:r>
      <w:r>
        <w:rPr>
          <w:rFonts w:hint="eastAsia"/>
        </w:rPr>
        <w:t>抱箍式安全绳设置，应符合下列规定：</w:t>
      </w:r>
    </w:p>
    <w:p>
      <w:pPr>
        <w:spacing w:line="360" w:lineRule="auto"/>
        <w:ind w:firstLine="339" w:firstLineChars="161"/>
        <w:rPr>
          <w:szCs w:val="21"/>
        </w:rPr>
      </w:pPr>
      <w:r>
        <w:rPr>
          <w:rFonts w:hint="eastAsia"/>
          <w:b/>
          <w:bCs/>
          <w:szCs w:val="21"/>
        </w:rPr>
        <w:t>1</w:t>
      </w:r>
      <w:r>
        <w:rPr>
          <w:szCs w:val="21"/>
        </w:rPr>
        <w:t xml:space="preserve">  抱箍应采用扁钢制作，其尺寸根据钢柱直径而定，制作完成后，喷涂红白相间防腐油漆；</w:t>
      </w:r>
    </w:p>
    <w:p>
      <w:pPr>
        <w:spacing w:line="360" w:lineRule="auto"/>
        <w:ind w:firstLine="339" w:firstLineChars="161"/>
        <w:rPr>
          <w:szCs w:val="21"/>
        </w:rPr>
      </w:pPr>
      <w:r>
        <w:rPr>
          <w:rFonts w:hint="eastAsia"/>
          <w:b/>
          <w:bCs/>
          <w:szCs w:val="21"/>
        </w:rPr>
        <w:t>2</w:t>
      </w:r>
      <w:r>
        <w:rPr>
          <w:b/>
          <w:bCs/>
          <w:szCs w:val="21"/>
        </w:rPr>
        <w:t xml:space="preserve">  </w:t>
      </w:r>
      <w:r>
        <w:rPr>
          <w:szCs w:val="21"/>
        </w:rPr>
        <w:t>安全绳采用镀锌材料，其技术性能应符合现行国家标准《圆股钢丝绳》GB 1102的规定，钢丝绳不得断开后搭接或套接重新使用；</w:t>
      </w:r>
    </w:p>
    <w:p>
      <w:pPr>
        <w:spacing w:line="360" w:lineRule="auto"/>
        <w:ind w:firstLine="339" w:firstLineChars="161"/>
        <w:rPr>
          <w:b/>
          <w:bCs/>
          <w:szCs w:val="21"/>
        </w:rPr>
      </w:pPr>
    </w:p>
    <w:p>
      <w:pPr>
        <w:spacing w:line="360" w:lineRule="auto"/>
        <w:ind w:firstLine="339" w:firstLineChars="161"/>
        <w:rPr>
          <w:szCs w:val="21"/>
        </w:rPr>
      </w:pPr>
      <w:r>
        <w:rPr>
          <w:rFonts w:hint="eastAsia"/>
          <w:b/>
          <w:bCs/>
          <w:szCs w:val="21"/>
        </w:rPr>
        <w:t>3</w:t>
      </w:r>
      <w:r>
        <w:rPr>
          <w:szCs w:val="21"/>
        </w:rPr>
        <w:t xml:space="preserve">  端部钢丝绳使用绳卡进行固定，绳卡设置应在钢丝绳长头的一端，绳卡数量应不少于3+1，安全弯绳卡间距为6～7倍钢丝绳直径，钢丝绳固定后弧垂宜为1倍钢丝绳直径；钢丝绳卡扣示意图见图8.3.3。</w:t>
      </w:r>
    </w:p>
    <w:p>
      <w:pPr>
        <w:spacing w:line="360" w:lineRule="auto"/>
        <w:rPr>
          <w:szCs w:val="21"/>
        </w:rPr>
      </w:pPr>
      <w:r>
        <w:rPr>
          <w:rFonts w:hint="eastAsia" w:ascii="黑体" w:hAnsi="黑体" w:eastAsia="黑体" w:cs="宋体"/>
          <w:sz w:val="18"/>
          <w:szCs w:val="18"/>
        </w:rPr>
        <w:drawing>
          <wp:anchor distT="0" distB="0" distL="114300" distR="114300" simplePos="0" relativeHeight="251668480" behindDoc="0" locked="0" layoutInCell="1" allowOverlap="1">
            <wp:simplePos x="0" y="0"/>
            <wp:positionH relativeFrom="column">
              <wp:posOffset>899795</wp:posOffset>
            </wp:positionH>
            <wp:positionV relativeFrom="paragraph">
              <wp:posOffset>15875</wp:posOffset>
            </wp:positionV>
            <wp:extent cx="3671570" cy="861695"/>
            <wp:effectExtent l="0" t="0" r="5080" b="14605"/>
            <wp:wrapTopAndBottom/>
            <wp:docPr id="8" name="图片 8" descr="ec7ceb712e73a8a959b354ef3e5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c7ceb712e73a8a959b354ef3e50842"/>
                    <pic:cNvPicPr>
                      <a:picLocks noChangeAspect="1"/>
                    </pic:cNvPicPr>
                  </pic:nvPicPr>
                  <pic:blipFill>
                    <a:blip r:embed="rId69"/>
                    <a:srcRect b="46902"/>
                    <a:stretch>
                      <a:fillRect/>
                    </a:stretch>
                  </pic:blipFill>
                  <pic:spPr>
                    <a:xfrm>
                      <a:off x="0" y="0"/>
                      <a:ext cx="3671570" cy="861695"/>
                    </a:xfrm>
                    <a:prstGeom prst="rect">
                      <a:avLst/>
                    </a:prstGeom>
                  </pic:spPr>
                </pic:pic>
              </a:graphicData>
            </a:graphic>
          </wp:anchor>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8.3.3</w:t>
      </w:r>
      <w:r>
        <w:rPr>
          <w:rFonts w:hint="eastAsia" w:ascii="黑体" w:hAnsi="黑体" w:eastAsia="黑体" w:cs="宋体"/>
          <w:sz w:val="18"/>
          <w:szCs w:val="18"/>
        </w:rPr>
        <w:t xml:space="preserve"> 钢丝绳卡扣示意图</w:t>
      </w:r>
    </w:p>
    <w:p>
      <w:pPr>
        <w:spacing w:line="360" w:lineRule="auto"/>
        <w:jc w:val="center"/>
        <w:rPr>
          <w:szCs w:val="21"/>
        </w:rPr>
      </w:pPr>
      <w:r>
        <w:rPr>
          <w:rFonts w:ascii="黑体" w:hAnsi="黑体" w:eastAsia="黑体" w:cs="宋体"/>
          <w:sz w:val="18"/>
          <w:szCs w:val="18"/>
        </w:rPr>
        <w:t>1-镀锌钢丝绳；2-卡扣</w:t>
      </w:r>
    </w:p>
    <w:p>
      <w:pPr>
        <w:spacing w:line="360" w:lineRule="auto"/>
        <w:rPr>
          <w:rFonts w:ascii="宋体" w:hAnsi="宋体" w:cs="宋体"/>
          <w:szCs w:val="21"/>
        </w:rPr>
      </w:pPr>
      <w:r>
        <w:rPr>
          <w:rFonts w:hint="eastAsia"/>
          <w:b/>
          <w:bCs/>
          <w:szCs w:val="21"/>
        </w:rPr>
        <w:t>8.3.4</w:t>
      </w:r>
      <w:r>
        <w:rPr>
          <w:szCs w:val="21"/>
        </w:rPr>
        <w:t xml:space="preserve">  钢梁腹板高度小于等于800mm时，应在下翼缘设下挂式水平安全网。钢梁腹板高度大于800mm 时，应在梁上翼缘挂设上挂式水平安全网。</w:t>
      </w:r>
      <w:r>
        <w:rPr>
          <w:rFonts w:hint="eastAsia"/>
          <w:szCs w:val="21"/>
        </w:rPr>
        <w:t>（示意图见图8.3.4）</w:t>
      </w:r>
      <w:r>
        <w:rPr>
          <w:rFonts w:hint="eastAsia" w:ascii="宋体" w:hAnsi="宋体" w:cs="宋体"/>
          <w:szCs w:val="21"/>
        </w:rPr>
        <w:drawing>
          <wp:inline distT="0" distB="0" distL="114300" distR="114300">
            <wp:extent cx="4886325" cy="1409700"/>
            <wp:effectExtent l="0" t="0" r="9525" b="0"/>
            <wp:docPr id="49" name="图片 49" descr="376824c0e24b789c789ca6f96dd2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76824c0e24b789c789ca6f96dd22e3"/>
                    <pic:cNvPicPr>
                      <a:picLocks noChangeAspect="1"/>
                    </pic:cNvPicPr>
                  </pic:nvPicPr>
                  <pic:blipFill>
                    <a:blip r:embed="rId70"/>
                    <a:stretch>
                      <a:fillRect/>
                    </a:stretch>
                  </pic:blipFill>
                  <pic:spPr>
                    <a:xfrm>
                      <a:off x="0" y="0"/>
                      <a:ext cx="4886325" cy="1409700"/>
                    </a:xfrm>
                    <a:prstGeom prst="rect">
                      <a:avLst/>
                    </a:prstGeom>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图8.3.4 下挂式安全网</w:t>
      </w:r>
    </w:p>
    <w:p>
      <w:pPr>
        <w:spacing w:line="360" w:lineRule="auto"/>
        <w:jc w:val="center"/>
        <w:rPr>
          <w:rFonts w:ascii="宋体" w:hAnsi="宋体" w:cs="宋体"/>
          <w:szCs w:val="21"/>
        </w:rPr>
      </w:pPr>
      <w:r>
        <w:rPr>
          <w:rFonts w:hint="eastAsia" w:ascii="黑体" w:hAnsi="黑体" w:eastAsia="黑体" w:cs="宋体"/>
          <w:sz w:val="18"/>
          <w:szCs w:val="18"/>
        </w:rPr>
        <w:t>1-吊钩；2-安全网</w:t>
      </w:r>
    </w:p>
    <w:p>
      <w:pPr>
        <w:spacing w:line="360" w:lineRule="auto"/>
        <w:rPr>
          <w:szCs w:val="21"/>
        </w:rPr>
      </w:pPr>
      <w:r>
        <w:rPr>
          <w:rFonts w:hint="eastAsia"/>
          <w:b/>
          <w:bCs/>
          <w:szCs w:val="21"/>
        </w:rPr>
        <w:t>8.3.5</w:t>
      </w:r>
      <w:r>
        <w:rPr>
          <w:szCs w:val="21"/>
        </w:rPr>
        <w:t xml:space="preserve">  钢结构焊接操作平台设置示意图见图 8.3.5，安全防护应符合下列规定：</w:t>
      </w:r>
    </w:p>
    <w:p>
      <w:pPr>
        <w:spacing w:line="360" w:lineRule="auto"/>
      </w:pPr>
      <w:r>
        <w:rPr>
          <w:szCs w:val="21"/>
        </w:rPr>
        <w:t xml:space="preserve">   </w:t>
      </w:r>
      <w:r>
        <w:rPr>
          <w:rFonts w:hint="eastAsia"/>
          <w:b/>
          <w:bCs/>
        </w:rPr>
        <w:t>1</w:t>
      </w:r>
      <w:r>
        <w:rPr>
          <w:rFonts w:hint="eastAsia"/>
        </w:rPr>
        <w:t xml:space="preserve"> </w:t>
      </w:r>
      <w:r>
        <w:t xml:space="preserve"> </w:t>
      </w:r>
      <w:r>
        <w:rPr>
          <w:rFonts w:hint="eastAsia"/>
        </w:rPr>
        <w:t>操作平台应按本标准第</w:t>
      </w:r>
      <w:r>
        <w:rPr>
          <w:szCs w:val="21"/>
        </w:rPr>
        <w:t>4</w:t>
      </w:r>
      <w:r>
        <w:rPr>
          <w:rFonts w:hint="eastAsia"/>
        </w:rPr>
        <w:t>章设置临边防护；</w:t>
      </w:r>
    </w:p>
    <w:p>
      <w:pPr>
        <w:spacing w:line="360" w:lineRule="auto"/>
        <w:ind w:firstLine="339" w:firstLineChars="161"/>
        <w:rPr>
          <w:szCs w:val="21"/>
        </w:rPr>
      </w:pPr>
      <w:r>
        <w:rPr>
          <w:rFonts w:hint="eastAsia"/>
          <w:b/>
          <w:bCs/>
          <w:szCs w:val="21"/>
        </w:rPr>
        <w:t xml:space="preserve">2 </w:t>
      </w:r>
      <w:r>
        <w:rPr>
          <w:b/>
          <w:bCs/>
          <w:szCs w:val="21"/>
        </w:rPr>
        <w:t xml:space="preserve"> </w:t>
      </w:r>
      <w:r>
        <w:rPr>
          <w:szCs w:val="21"/>
        </w:rPr>
        <w:t>操作平台临边防护高度不小于1.2m，有电焊防风要求时，其高度不小于1.8m；</w:t>
      </w:r>
    </w:p>
    <w:p>
      <w:pPr>
        <w:spacing w:line="360" w:lineRule="auto"/>
        <w:ind w:firstLine="339" w:firstLineChars="161"/>
        <w:rPr>
          <w:szCs w:val="21"/>
        </w:rPr>
      </w:pPr>
      <w:r>
        <w:rPr>
          <w:rFonts w:hint="eastAsia"/>
          <w:b/>
          <w:bCs/>
          <w:szCs w:val="21"/>
        </w:rPr>
        <w:t>3</w:t>
      </w:r>
      <w:r>
        <w:rPr>
          <w:b/>
          <w:bCs/>
          <w:szCs w:val="21"/>
        </w:rPr>
        <w:t xml:space="preserve">  </w:t>
      </w:r>
      <w:r>
        <w:rPr>
          <w:szCs w:val="21"/>
        </w:rPr>
        <w:t>有焊接防风要求时，应用防火防风布对平台顶部及四周进行封闭，并在底部铺设一层防火岩棉；</w:t>
      </w:r>
    </w:p>
    <w:p>
      <w:pPr>
        <w:spacing w:line="360" w:lineRule="auto"/>
        <w:ind w:firstLine="339" w:firstLineChars="161"/>
        <w:rPr>
          <w:szCs w:val="21"/>
        </w:rPr>
      </w:pPr>
      <w:r>
        <w:rPr>
          <w:rFonts w:hint="eastAsia"/>
          <w:b/>
          <w:bCs/>
          <w:szCs w:val="21"/>
        </w:rPr>
        <w:t>4</w:t>
      </w:r>
      <w:r>
        <w:rPr>
          <w:szCs w:val="21"/>
        </w:rPr>
        <w:t xml:space="preserve">  操作平台底部可随柱、梁等结构的不同进行针对性的制作，其他部位可不作调整；</w:t>
      </w:r>
    </w:p>
    <w:p>
      <w:pPr>
        <w:spacing w:line="360" w:lineRule="auto"/>
        <w:ind w:firstLine="339" w:firstLineChars="161"/>
        <w:rPr>
          <w:szCs w:val="21"/>
        </w:rPr>
      </w:pPr>
      <w:r>
        <w:rPr>
          <w:rFonts w:hint="eastAsia"/>
          <w:b/>
          <w:bCs/>
          <w:szCs w:val="21"/>
        </w:rPr>
        <w:t>5</w:t>
      </w:r>
      <w:r>
        <w:rPr>
          <w:szCs w:val="21"/>
        </w:rPr>
        <w:t xml:space="preserve">  操作平台应在内侧四角设置吊点，在该部位作业前安装到位，该部位作业全部完成后方可拆除。</w:t>
      </w:r>
    </w:p>
    <w:p>
      <w:pPr>
        <w:spacing w:line="360" w:lineRule="auto"/>
        <w:ind w:firstLine="210" w:firstLineChars="100"/>
        <w:jc w:val="center"/>
        <w:rPr>
          <w:szCs w:val="21"/>
        </w:rPr>
      </w:pPr>
      <w:r>
        <w:rPr>
          <w:rFonts w:hint="eastAsia"/>
          <w:szCs w:val="21"/>
        </w:rPr>
        <w:drawing>
          <wp:inline distT="0" distB="0" distL="114300" distR="114300">
            <wp:extent cx="5273040" cy="3456305"/>
            <wp:effectExtent l="0" t="0" r="3810" b="10795"/>
            <wp:docPr id="50" name="图片 50" descr="fdeac084ebd2b1bcf77bf95abee5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deac084ebd2b1bcf77bf95abee52b7"/>
                    <pic:cNvPicPr>
                      <a:picLocks noChangeAspect="1"/>
                    </pic:cNvPicPr>
                  </pic:nvPicPr>
                  <pic:blipFill>
                    <a:blip r:embed="rId71"/>
                    <a:srcRect t="6082" b="11983"/>
                    <a:stretch>
                      <a:fillRect/>
                    </a:stretch>
                  </pic:blipFill>
                  <pic:spPr>
                    <a:xfrm>
                      <a:off x="0" y="0"/>
                      <a:ext cx="5273040" cy="3456305"/>
                    </a:xfrm>
                    <a:prstGeom prst="rect">
                      <a:avLst/>
                    </a:prstGeom>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8.3.5</w:t>
      </w:r>
      <w:r>
        <w:rPr>
          <w:rFonts w:hint="eastAsia" w:ascii="黑体" w:hAnsi="黑体" w:eastAsia="黑体" w:cs="宋体"/>
          <w:sz w:val="18"/>
          <w:szCs w:val="18"/>
        </w:rPr>
        <w:t xml:space="preserve"> 钢结构固定式操作平台示意图（单位</w:t>
      </w:r>
      <w:r>
        <w:rPr>
          <w:rFonts w:ascii="黑体" w:hAnsi="黑体" w:eastAsia="黑体" w:cs="宋体"/>
          <w:sz w:val="18"/>
          <w:szCs w:val="18"/>
        </w:rPr>
        <w:t>:mm）</w:t>
      </w:r>
    </w:p>
    <w:p>
      <w:pPr>
        <w:spacing w:line="360" w:lineRule="auto"/>
        <w:jc w:val="center"/>
        <w:rPr>
          <w:rFonts w:ascii="黑体" w:hAnsi="黑体" w:eastAsia="黑体" w:cs="宋体"/>
          <w:sz w:val="18"/>
          <w:szCs w:val="18"/>
        </w:rPr>
      </w:pPr>
    </w:p>
    <w:p>
      <w:pPr>
        <w:spacing w:line="360" w:lineRule="auto"/>
      </w:pPr>
      <w:r>
        <w:rPr>
          <w:rFonts w:hint="eastAsia"/>
          <w:b/>
          <w:bCs/>
        </w:rPr>
        <w:t xml:space="preserve">8.3.6 </w:t>
      </w:r>
      <w:r>
        <w:rPr>
          <w:b/>
          <w:bCs/>
        </w:rPr>
        <w:t xml:space="preserve"> </w:t>
      </w:r>
      <w:r>
        <w:rPr>
          <w:rFonts w:hint="eastAsia"/>
        </w:rPr>
        <w:t>钢结构施工垂直登高挂梯使用应符合下列规定，见图8.3.6：</w:t>
      </w:r>
    </w:p>
    <w:p>
      <w:pPr>
        <w:spacing w:line="360" w:lineRule="auto"/>
      </w:pPr>
      <w:r>
        <w:rPr>
          <w:rFonts w:hint="eastAsia"/>
        </w:rPr>
        <w:t xml:space="preserve"> </w:t>
      </w:r>
      <w:r>
        <w:t xml:space="preserve">  </w:t>
      </w:r>
      <w:r>
        <w:rPr>
          <w:rFonts w:hint="eastAsia"/>
          <w:b/>
          <w:bCs/>
        </w:rPr>
        <w:t>1</w:t>
      </w:r>
      <w:r>
        <w:rPr>
          <w:rFonts w:hint="eastAsia"/>
        </w:rPr>
        <w:t xml:space="preserve"> </w:t>
      </w:r>
      <w:r>
        <w:t xml:space="preserve"> </w:t>
      </w:r>
      <w:r>
        <w:rPr>
          <w:rFonts w:hint="eastAsia"/>
        </w:rPr>
        <w:t>单幅挂梯长度不应超过</w:t>
      </w:r>
      <w:r>
        <w:rPr>
          <w:szCs w:val="21"/>
        </w:rPr>
        <w:t>3m</w:t>
      </w:r>
      <w:r>
        <w:rPr>
          <w:rFonts w:hint="eastAsia"/>
        </w:rPr>
        <w:t>，登挂梯内侧净宽</w:t>
      </w:r>
      <w:r>
        <w:rPr>
          <w:szCs w:val="21"/>
        </w:rPr>
        <w:t>350mm</w:t>
      </w:r>
      <w:r>
        <w:rPr>
          <w:rFonts w:hint="eastAsia"/>
        </w:rPr>
        <w:t>，踏棍间距</w:t>
      </w:r>
      <w:r>
        <w:rPr>
          <w:szCs w:val="21"/>
        </w:rPr>
        <w:t>300mm</w:t>
      </w:r>
      <w:r>
        <w:rPr>
          <w:rFonts w:hint="eastAsia"/>
        </w:rPr>
        <w:t>；</w:t>
      </w:r>
    </w:p>
    <w:p>
      <w:pPr>
        <w:spacing w:line="360" w:lineRule="auto"/>
      </w:pPr>
      <w:r>
        <w:t xml:space="preserve">   </w:t>
      </w:r>
      <w:r>
        <w:rPr>
          <w:rFonts w:hint="eastAsia"/>
          <w:b/>
          <w:bCs/>
        </w:rPr>
        <w:t>2</w:t>
      </w:r>
      <w:r>
        <w:rPr>
          <w:rFonts w:hint="eastAsia"/>
        </w:rPr>
        <w:t xml:space="preserve"> </w:t>
      </w:r>
      <w:r>
        <w:t xml:space="preserve"> </w:t>
      </w:r>
      <w:r>
        <w:rPr>
          <w:rFonts w:hint="eastAsia"/>
        </w:rPr>
        <w:t>每幅挂梯应设置不少于两道围护支撑栏杆，挂梯与钢柱之间的间距不应小于</w:t>
      </w:r>
      <w:r>
        <w:rPr>
          <w:szCs w:val="21"/>
        </w:rPr>
        <w:t>100mm</w:t>
      </w:r>
      <w:r>
        <w:rPr>
          <w:rFonts w:hint="eastAsia"/>
        </w:rPr>
        <w:t>；挂梯顶部挂件应挂靠在牢固可靠的位置；</w:t>
      </w:r>
    </w:p>
    <w:p>
      <w:pPr>
        <w:spacing w:line="360" w:lineRule="auto"/>
      </w:pPr>
      <w:r>
        <w:rPr>
          <w:rFonts w:hint="eastAsia"/>
        </w:rPr>
        <w:t xml:space="preserve"> </w:t>
      </w:r>
      <w:r>
        <w:t xml:space="preserve">  </w:t>
      </w:r>
      <w:r>
        <w:rPr>
          <w:rFonts w:hint="eastAsia"/>
          <w:b/>
          <w:bCs/>
        </w:rPr>
        <w:t>3</w:t>
      </w:r>
      <w:r>
        <w:rPr>
          <w:rFonts w:hint="eastAsia"/>
        </w:rPr>
        <w:t xml:space="preserve"> </w:t>
      </w:r>
      <w:r>
        <w:t xml:space="preserve"> </w:t>
      </w:r>
      <w:r>
        <w:rPr>
          <w:rFonts w:hint="eastAsia"/>
        </w:rPr>
        <w:t>攀爬挂梯时应使用自锁防坠器。</w:t>
      </w:r>
    </w:p>
    <w:p>
      <w:pPr>
        <w:spacing w:line="360" w:lineRule="auto"/>
        <w:jc w:val="center"/>
      </w:pPr>
      <w:r>
        <w:rPr>
          <w:rFonts w:hint="eastAsia"/>
        </w:rPr>
        <w:drawing>
          <wp:inline distT="0" distB="0" distL="114300" distR="114300">
            <wp:extent cx="3683000" cy="4218305"/>
            <wp:effectExtent l="0" t="0" r="12700" b="10795"/>
            <wp:docPr id="51" name="图片 51" descr="ec41ad37032d845d446861b72d1d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c41ad37032d845d446861b72d1d635"/>
                    <pic:cNvPicPr>
                      <a:picLocks noChangeAspect="1"/>
                    </pic:cNvPicPr>
                  </pic:nvPicPr>
                  <pic:blipFill>
                    <a:blip r:embed="rId72"/>
                    <a:srcRect r="30154"/>
                    <a:stretch>
                      <a:fillRect/>
                    </a:stretch>
                  </pic:blipFill>
                  <pic:spPr>
                    <a:xfrm>
                      <a:off x="0" y="0"/>
                      <a:ext cx="3683000" cy="4218305"/>
                    </a:xfrm>
                    <a:prstGeom prst="rect">
                      <a:avLst/>
                    </a:prstGeom>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图8.3.6 钢爬梯示意图</w:t>
      </w:r>
    </w:p>
    <w:p>
      <w:pPr>
        <w:spacing w:line="360" w:lineRule="auto"/>
      </w:pPr>
      <w:r>
        <w:rPr>
          <w:rFonts w:hint="eastAsia"/>
          <w:b/>
          <w:bCs/>
        </w:rPr>
        <w:t>8.3.7</w:t>
      </w:r>
      <w:r>
        <w:rPr>
          <w:rFonts w:hint="eastAsia"/>
        </w:rPr>
        <w:t xml:space="preserve"> </w:t>
      </w:r>
      <w:r>
        <w:t xml:space="preserve"> </w:t>
      </w:r>
      <w:r>
        <w:rPr>
          <w:rFonts w:hint="eastAsia"/>
        </w:rPr>
        <w:t>钢结构施工操作挂篮意图见图8.3.</w:t>
      </w:r>
      <w:r>
        <w:t>7</w:t>
      </w:r>
      <w:r>
        <w:rPr>
          <w:rFonts w:hint="eastAsia"/>
        </w:rPr>
        <w:t>，应符合下列规定：</w:t>
      </w:r>
    </w:p>
    <w:p>
      <w:pPr>
        <w:spacing w:line="360" w:lineRule="auto"/>
        <w:ind w:firstLine="422" w:firstLineChars="200"/>
      </w:pPr>
      <w:r>
        <w:rPr>
          <w:rFonts w:hint="eastAsia"/>
          <w:b/>
          <w:bCs/>
        </w:rPr>
        <w:t>1</w:t>
      </w:r>
      <w:r>
        <w:rPr>
          <w:rFonts w:hint="eastAsia"/>
        </w:rPr>
        <w:t xml:space="preserve"> </w:t>
      </w:r>
      <w:r>
        <w:t xml:space="preserve"> </w:t>
      </w:r>
      <w:r>
        <w:rPr>
          <w:rFonts w:hint="eastAsia"/>
        </w:rPr>
        <w:t>挂篮供钢梁焊接时人员站立使用，由挂件和操作平台两部分组成，挂篮总高度</w:t>
      </w:r>
      <w:r>
        <w:rPr>
          <w:szCs w:val="21"/>
        </w:rPr>
        <w:t>2m</w:t>
      </w:r>
      <w:r>
        <w:rPr>
          <w:rFonts w:hint="eastAsia"/>
        </w:rPr>
        <w:t>，护身栏杆高度不小于</w:t>
      </w:r>
      <w:r>
        <w:rPr>
          <w:szCs w:val="21"/>
        </w:rPr>
        <w:t>1.2m</w:t>
      </w:r>
      <w:r>
        <w:rPr>
          <w:rFonts w:hint="eastAsia"/>
        </w:rPr>
        <w:t>；</w:t>
      </w:r>
    </w:p>
    <w:p>
      <w:pPr>
        <w:spacing w:line="360" w:lineRule="auto"/>
        <w:ind w:firstLine="422" w:firstLineChars="200"/>
      </w:pPr>
      <w:r>
        <w:rPr>
          <w:rFonts w:hint="eastAsia"/>
          <w:b/>
          <w:bCs/>
        </w:rPr>
        <w:t>2</w:t>
      </w:r>
      <w:r>
        <w:rPr>
          <w:rFonts w:hint="eastAsia"/>
        </w:rPr>
        <w:t xml:space="preserve"> </w:t>
      </w:r>
      <w:r>
        <w:t xml:space="preserve"> </w:t>
      </w:r>
      <w:r>
        <w:rPr>
          <w:rFonts w:hint="eastAsia"/>
        </w:rPr>
        <w:t>挂篮应使用角钢、扁铁、圆钢等材料制作而成，扁铁与角钢、圆钢与角钢应采用搭接焊接；</w:t>
      </w:r>
    </w:p>
    <w:p>
      <w:pPr>
        <w:spacing w:line="360" w:lineRule="auto"/>
        <w:ind w:firstLine="422" w:firstLineChars="200"/>
      </w:pPr>
      <w:r>
        <w:rPr>
          <w:rFonts w:hint="eastAsia"/>
          <w:b/>
          <w:bCs/>
        </w:rPr>
        <w:t xml:space="preserve">3 </w:t>
      </w:r>
      <w:r>
        <w:rPr>
          <w:b/>
          <w:bCs/>
        </w:rPr>
        <w:t xml:space="preserve"> </w:t>
      </w:r>
      <w:r>
        <w:rPr>
          <w:rFonts w:hint="eastAsia"/>
        </w:rPr>
        <w:t>挂篮应涂刷成红白相间的颜色；</w:t>
      </w:r>
    </w:p>
    <w:p>
      <w:pPr>
        <w:spacing w:line="360" w:lineRule="auto"/>
        <w:ind w:firstLine="422" w:firstLineChars="200"/>
      </w:pPr>
      <w:r>
        <w:rPr>
          <w:rFonts w:hint="eastAsia"/>
          <w:b/>
          <w:bCs/>
        </w:rPr>
        <w:t>4</w:t>
      </w:r>
      <w:r>
        <w:rPr>
          <w:rFonts w:hint="eastAsia"/>
        </w:rPr>
        <w:t xml:space="preserve"> </w:t>
      </w:r>
      <w:r>
        <w:t xml:space="preserve"> </w:t>
      </w:r>
      <w:r>
        <w:rPr>
          <w:rFonts w:hint="eastAsia"/>
        </w:rPr>
        <w:t>挂篮使用时必须有防坠措施，人员作业时应挂好安全带，安全带高挂在挂篮以外的稳固结构上；</w:t>
      </w:r>
    </w:p>
    <w:p>
      <w:pPr>
        <w:spacing w:line="360" w:lineRule="auto"/>
        <w:ind w:firstLine="422" w:firstLineChars="200"/>
      </w:pPr>
      <w:r>
        <w:rPr>
          <w:rFonts w:hint="eastAsia"/>
          <w:b/>
          <w:bCs/>
        </w:rPr>
        <w:t>5</w:t>
      </w:r>
      <w:r>
        <w:rPr>
          <w:rFonts w:hint="eastAsia"/>
        </w:rPr>
        <w:t xml:space="preserve"> </w:t>
      </w:r>
      <w:r>
        <w:t xml:space="preserve"> </w:t>
      </w:r>
      <w:r>
        <w:rPr>
          <w:rFonts w:hint="eastAsia"/>
        </w:rPr>
        <w:t>挂篮底部可使用钢网片。</w:t>
      </w:r>
    </w:p>
    <w:p>
      <w:pPr>
        <w:spacing w:line="360" w:lineRule="auto"/>
        <w:jc w:val="center"/>
        <w:rPr>
          <w:szCs w:val="21"/>
        </w:rPr>
      </w:pPr>
      <w:r>
        <w:drawing>
          <wp:inline distT="0" distB="0" distL="114300" distR="114300">
            <wp:extent cx="5273040" cy="3837305"/>
            <wp:effectExtent l="0" t="0" r="3810" b="1079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73"/>
                    <a:srcRect b="9032"/>
                    <a:stretch>
                      <a:fillRect/>
                    </a:stretch>
                  </pic:blipFill>
                  <pic:spPr>
                    <a:xfrm>
                      <a:off x="0" y="0"/>
                      <a:ext cx="5273040" cy="3837305"/>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drawing>
          <wp:inline distT="0" distB="0" distL="114300" distR="114300">
            <wp:extent cx="2613660" cy="2120900"/>
            <wp:effectExtent l="0" t="0" r="15240" b="1270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74"/>
                    <a:stretch>
                      <a:fillRect/>
                    </a:stretch>
                  </pic:blipFill>
                  <pic:spPr>
                    <a:xfrm>
                      <a:off x="0" y="0"/>
                      <a:ext cx="2613660" cy="2120900"/>
                    </a:xfrm>
                    <a:prstGeom prst="rect">
                      <a:avLst/>
                    </a:prstGeom>
                    <a:noFill/>
                    <a:ln>
                      <a:noFill/>
                    </a:ln>
                  </pic:spPr>
                </pic:pic>
              </a:graphicData>
            </a:graphic>
          </wp:inline>
        </w:drawing>
      </w:r>
    </w:p>
    <w:p>
      <w:pPr>
        <w:spacing w:line="360" w:lineRule="auto"/>
        <w:jc w:val="center"/>
        <w:rPr>
          <w:rFonts w:ascii="黑体" w:hAnsi="黑体" w:eastAsia="黑体" w:cs="宋体"/>
          <w:sz w:val="18"/>
          <w:szCs w:val="18"/>
        </w:rPr>
      </w:pPr>
      <w:r>
        <w:rPr>
          <w:rFonts w:hint="eastAsia" w:ascii="黑体" w:hAnsi="黑体" w:eastAsia="黑体" w:cs="宋体"/>
          <w:sz w:val="18"/>
          <w:szCs w:val="18"/>
        </w:rPr>
        <w:t>图</w:t>
      </w:r>
      <w:r>
        <w:rPr>
          <w:rFonts w:ascii="黑体" w:hAnsi="黑体" w:eastAsia="黑体" w:cs="宋体"/>
          <w:sz w:val="18"/>
          <w:szCs w:val="18"/>
        </w:rPr>
        <w:t xml:space="preserve">8.3.7 </w:t>
      </w:r>
      <w:r>
        <w:rPr>
          <w:rFonts w:hint="eastAsia" w:ascii="黑体" w:hAnsi="黑体" w:eastAsia="黑体" w:cs="宋体"/>
          <w:sz w:val="18"/>
          <w:szCs w:val="18"/>
        </w:rPr>
        <w:t>钢结构操作挂篮示意图</w:t>
      </w:r>
    </w:p>
    <w:p>
      <w:pPr>
        <w:spacing w:line="360" w:lineRule="auto"/>
      </w:pPr>
      <w:r>
        <w:rPr>
          <w:rFonts w:hint="eastAsia"/>
          <w:b/>
          <w:bCs/>
        </w:rPr>
        <w:t>8.3.8</w:t>
      </w:r>
      <w:r>
        <w:rPr>
          <w:rFonts w:hint="eastAsia"/>
        </w:rPr>
        <w:t xml:space="preserve"> </w:t>
      </w:r>
      <w:r>
        <w:t xml:space="preserve"> </w:t>
      </w:r>
      <w:r>
        <w:rPr>
          <w:rFonts w:hint="eastAsia"/>
        </w:rPr>
        <w:t>钢制组装通道示意图见图</w:t>
      </w:r>
      <w:r>
        <w:rPr>
          <w:szCs w:val="21"/>
        </w:rPr>
        <w:t>8.3.8，</w:t>
      </w:r>
      <w:r>
        <w:rPr>
          <w:rFonts w:hint="eastAsia"/>
        </w:rPr>
        <w:t>制作、使用应符合下列要求：</w:t>
      </w:r>
    </w:p>
    <w:p>
      <w:pPr>
        <w:spacing w:line="360" w:lineRule="auto"/>
      </w:pPr>
      <w:r>
        <w:rPr>
          <w:rFonts w:hint="eastAsia"/>
          <w:b/>
          <w:bCs/>
        </w:rPr>
        <w:t xml:space="preserve"> </w:t>
      </w:r>
      <w:r>
        <w:rPr>
          <w:b/>
          <w:bCs/>
        </w:rPr>
        <w:t xml:space="preserve">  </w:t>
      </w:r>
      <w:r>
        <w:rPr>
          <w:rFonts w:hint="eastAsia"/>
          <w:b/>
          <w:bCs/>
        </w:rPr>
        <w:t>1</w:t>
      </w:r>
      <w:r>
        <w:rPr>
          <w:rFonts w:hint="eastAsia"/>
        </w:rPr>
        <w:t xml:space="preserve"> </w:t>
      </w:r>
      <w:r>
        <w:t xml:space="preserve"> </w:t>
      </w:r>
      <w:r>
        <w:rPr>
          <w:rFonts w:hint="eastAsia"/>
        </w:rPr>
        <w:t>钢制组装通道单元长度宜为</w:t>
      </w:r>
      <w:r>
        <w:rPr>
          <w:szCs w:val="21"/>
        </w:rPr>
        <w:t>3m</w:t>
      </w:r>
      <w:r>
        <w:rPr>
          <w:rFonts w:hint="eastAsia"/>
        </w:rPr>
        <w:t>，宽度宜为</w:t>
      </w:r>
      <w:r>
        <w:rPr>
          <w:szCs w:val="21"/>
        </w:rPr>
        <w:t>800mm</w:t>
      </w:r>
      <w:r>
        <w:rPr>
          <w:rFonts w:hint="eastAsia"/>
        </w:rPr>
        <w:t>；</w:t>
      </w:r>
    </w:p>
    <w:p>
      <w:pPr>
        <w:spacing w:line="360" w:lineRule="auto"/>
        <w:rPr>
          <w:szCs w:val="21"/>
        </w:rPr>
      </w:pPr>
      <w:r>
        <w:rPr>
          <w:rFonts w:hint="eastAsia"/>
        </w:rPr>
        <w:t xml:space="preserve"> </w:t>
      </w:r>
      <w:r>
        <w:t xml:space="preserve">  </w:t>
      </w:r>
      <w:r>
        <w:rPr>
          <w:rFonts w:hint="eastAsia"/>
          <w:b/>
          <w:bCs/>
          <w:szCs w:val="21"/>
        </w:rPr>
        <w:t>2</w:t>
      </w:r>
      <w:r>
        <w:rPr>
          <w:szCs w:val="21"/>
        </w:rPr>
        <w:t xml:space="preserve">  钢制组装通道横向受力横杆间距不宜大于1m，通道长度可根据钢梁间距做小幅调整，不应超过4m；</w:t>
      </w:r>
    </w:p>
    <w:p>
      <w:pPr>
        <w:spacing w:line="360" w:lineRule="auto"/>
        <w:rPr>
          <w:szCs w:val="21"/>
        </w:rPr>
      </w:pPr>
      <w:r>
        <w:rPr>
          <w:szCs w:val="21"/>
        </w:rPr>
        <w:t xml:space="preserve">   </w:t>
      </w:r>
      <w:r>
        <w:rPr>
          <w:rFonts w:hint="eastAsia"/>
          <w:b/>
          <w:bCs/>
          <w:szCs w:val="21"/>
        </w:rPr>
        <w:t>3</w:t>
      </w:r>
      <w:r>
        <w:rPr>
          <w:szCs w:val="21"/>
        </w:rPr>
        <w:t xml:space="preserve">  钢丝网片网眼直径不应大于50mm，并应与通道横梁焊接牢固；</w:t>
      </w:r>
    </w:p>
    <w:p>
      <w:pPr>
        <w:spacing w:line="360" w:lineRule="auto"/>
        <w:rPr>
          <w:szCs w:val="21"/>
        </w:rPr>
      </w:pPr>
      <w:r>
        <w:rPr>
          <w:szCs w:val="21"/>
        </w:rPr>
        <w:t xml:space="preserve">   </w:t>
      </w:r>
      <w:r>
        <w:rPr>
          <w:rFonts w:hint="eastAsia"/>
          <w:b/>
          <w:bCs/>
          <w:szCs w:val="21"/>
        </w:rPr>
        <w:t>4</w:t>
      </w:r>
      <w:r>
        <w:rPr>
          <w:szCs w:val="21"/>
        </w:rPr>
        <w:t xml:space="preserve">  通道防护栏杆高度不应小于1200mm，立杆间距不应大于600mm。</w:t>
      </w:r>
    </w:p>
    <w:p>
      <w:pPr>
        <w:spacing w:line="360" w:lineRule="auto"/>
        <w:rPr>
          <w:szCs w:val="21"/>
        </w:rPr>
      </w:pPr>
      <w:r>
        <w:rPr>
          <w:rFonts w:hint="eastAsia"/>
          <w:szCs w:val="21"/>
        </w:rPr>
        <w:drawing>
          <wp:inline distT="0" distB="0" distL="114300" distR="114300">
            <wp:extent cx="3257550" cy="1200150"/>
            <wp:effectExtent l="0" t="0" r="0" b="0"/>
            <wp:docPr id="54" name="图片 54" descr="37d2f510f43d4efd0da88782bd65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7d2f510f43d4efd0da88782bd65fd0"/>
                    <pic:cNvPicPr>
                      <a:picLocks noChangeAspect="1"/>
                    </pic:cNvPicPr>
                  </pic:nvPicPr>
                  <pic:blipFill>
                    <a:blip r:embed="rId75"/>
                    <a:stretch>
                      <a:fillRect/>
                    </a:stretch>
                  </pic:blipFill>
                  <pic:spPr>
                    <a:xfrm>
                      <a:off x="0" y="0"/>
                      <a:ext cx="3257550" cy="1200150"/>
                    </a:xfrm>
                    <a:prstGeom prst="rect">
                      <a:avLst/>
                    </a:prstGeom>
                  </pic:spPr>
                </pic:pic>
              </a:graphicData>
            </a:graphic>
          </wp:inline>
        </w:drawing>
      </w:r>
      <w:r>
        <w:rPr>
          <w:rFonts w:hint="eastAsia"/>
          <w:szCs w:val="21"/>
        </w:rPr>
        <w:t xml:space="preserve">          </w:t>
      </w:r>
      <w:r>
        <w:rPr>
          <w:szCs w:val="21"/>
        </w:rPr>
        <w:drawing>
          <wp:inline distT="0" distB="0" distL="114300" distR="114300">
            <wp:extent cx="1242695" cy="1426210"/>
            <wp:effectExtent l="0" t="0" r="14605" b="2540"/>
            <wp:docPr id="55" name="图片 55" descr="a9d60744376bf9e13356258dbd8b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9d60744376bf9e13356258dbd8ba2f"/>
                    <pic:cNvPicPr>
                      <a:picLocks noChangeAspect="1"/>
                    </pic:cNvPicPr>
                  </pic:nvPicPr>
                  <pic:blipFill>
                    <a:blip r:embed="rId76"/>
                    <a:stretch>
                      <a:fillRect/>
                    </a:stretch>
                  </pic:blipFill>
                  <pic:spPr>
                    <a:xfrm>
                      <a:off x="0" y="0"/>
                      <a:ext cx="1242695" cy="1426210"/>
                    </a:xfrm>
                    <a:prstGeom prst="rect">
                      <a:avLst/>
                    </a:prstGeom>
                  </pic:spPr>
                </pic:pic>
              </a:graphicData>
            </a:graphic>
          </wp:inline>
        </w:drawing>
      </w:r>
    </w:p>
    <w:p>
      <w:pPr>
        <w:spacing w:line="360" w:lineRule="auto"/>
        <w:jc w:val="center"/>
        <w:rPr>
          <w:rFonts w:ascii="黑体" w:hAnsi="黑体" w:eastAsia="黑体"/>
          <w:sz w:val="18"/>
          <w:szCs w:val="18"/>
        </w:rPr>
      </w:pPr>
      <w:r>
        <w:drawing>
          <wp:inline distT="0" distB="0" distL="114300" distR="114300">
            <wp:extent cx="3025140" cy="1630045"/>
            <wp:effectExtent l="0" t="0" r="3810" b="8255"/>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77"/>
                    <a:stretch>
                      <a:fillRect/>
                    </a:stretch>
                  </pic:blipFill>
                  <pic:spPr>
                    <a:xfrm>
                      <a:off x="0" y="0"/>
                      <a:ext cx="3025140" cy="1630045"/>
                    </a:xfrm>
                    <a:prstGeom prst="rect">
                      <a:avLst/>
                    </a:prstGeom>
                    <a:noFill/>
                    <a:ln>
                      <a:noFill/>
                    </a:ln>
                  </pic:spPr>
                </pic:pic>
              </a:graphicData>
            </a:graphic>
          </wp:inline>
        </w:drawing>
      </w:r>
    </w:p>
    <w:p>
      <w:pPr>
        <w:spacing w:line="360" w:lineRule="auto"/>
        <w:jc w:val="center"/>
        <w:rPr>
          <w:rFonts w:ascii="黑体" w:hAnsi="黑体" w:eastAsia="黑体"/>
          <w:sz w:val="18"/>
          <w:szCs w:val="18"/>
        </w:rPr>
      </w:pPr>
      <w:r>
        <w:rPr>
          <w:rFonts w:hint="eastAsia" w:ascii="黑体" w:hAnsi="黑体" w:eastAsia="黑体"/>
          <w:sz w:val="18"/>
          <w:szCs w:val="18"/>
        </w:rPr>
        <w:t>图</w:t>
      </w:r>
      <w:r>
        <w:rPr>
          <w:rFonts w:ascii="黑体" w:hAnsi="黑体" w:eastAsia="黑体"/>
          <w:sz w:val="18"/>
          <w:szCs w:val="18"/>
        </w:rPr>
        <w:t xml:space="preserve">8.3.8 </w:t>
      </w:r>
      <w:r>
        <w:rPr>
          <w:rFonts w:hint="eastAsia" w:ascii="黑体" w:hAnsi="黑体" w:eastAsia="黑体"/>
          <w:sz w:val="18"/>
          <w:szCs w:val="18"/>
        </w:rPr>
        <w:t>钢制组装通道示意图</w:t>
      </w:r>
    </w:p>
    <w:p>
      <w:pPr>
        <w:spacing w:line="360" w:lineRule="auto"/>
        <w:jc w:val="center"/>
        <w:rPr>
          <w:rFonts w:ascii="黑体" w:hAnsi="黑体" w:eastAsia="黑体" w:cs="宋体"/>
          <w:sz w:val="18"/>
          <w:szCs w:val="18"/>
        </w:rPr>
      </w:pPr>
      <w:r>
        <w:rPr>
          <w:rFonts w:ascii="黑体" w:hAnsi="黑体" w:eastAsia="黑体" w:cs="宋体"/>
          <w:sz w:val="18"/>
          <w:szCs w:val="18"/>
        </w:rPr>
        <w:t>1-镀锌钢丝绳； 2-花篮螺栓；3-踢脚板；4-绳卡；5-工字钢</w:t>
      </w:r>
    </w:p>
    <w:bookmarkEnd w:id="126"/>
    <w:bookmarkEnd w:id="128"/>
    <w:bookmarkEnd w:id="129"/>
    <w:p>
      <w:pPr>
        <w:rPr>
          <w:rFonts w:ascii="宋体" w:hAnsi="宋体" w:cs="宋体"/>
          <w:b/>
          <w:bCs/>
          <w:sz w:val="28"/>
          <w:szCs w:val="28"/>
        </w:rPr>
      </w:pPr>
      <w:bookmarkStart w:id="133" w:name="_Toc446926025"/>
      <w:bookmarkStart w:id="134" w:name="_Toc30385"/>
      <w:r>
        <w:rPr>
          <w:rFonts w:hint="eastAsia" w:ascii="宋体" w:hAnsi="宋体" w:cs="宋体"/>
          <w:b/>
          <w:bCs/>
          <w:sz w:val="28"/>
          <w:szCs w:val="28"/>
        </w:rPr>
        <w:br w:type="page"/>
      </w:r>
    </w:p>
    <w:p>
      <w:pPr>
        <w:pStyle w:val="2"/>
        <w:numPr>
          <w:ilvl w:val="0"/>
          <w:numId w:val="0"/>
        </w:numPr>
        <w:rPr>
          <w:rFonts w:ascii="Times New Roman" w:hAnsi="Times New Roman"/>
          <w:b/>
          <w:bCs/>
          <w:sz w:val="28"/>
          <w:szCs w:val="28"/>
        </w:rPr>
      </w:pPr>
      <w:bookmarkStart w:id="135" w:name="_Toc17130"/>
      <w:bookmarkStart w:id="136" w:name="_Toc19900"/>
      <w:bookmarkStart w:id="137" w:name="_Toc20767"/>
      <w:r>
        <w:rPr>
          <w:rFonts w:ascii="Times New Roman" w:hAnsi="Times New Roman" w:eastAsia="宋体"/>
          <w:b/>
          <w:bCs/>
          <w:sz w:val="28"/>
          <w:szCs w:val="28"/>
        </w:rPr>
        <w:t>9  交叉作业安全防护</w:t>
      </w:r>
      <w:bookmarkEnd w:id="135"/>
    </w:p>
    <w:p>
      <w:pPr>
        <w:tabs>
          <w:tab w:val="left" w:pos="2697"/>
          <w:tab w:val="center" w:pos="4372"/>
        </w:tabs>
        <w:adjustRightInd w:val="0"/>
        <w:snapToGrid w:val="0"/>
        <w:spacing w:before="240" w:after="240" w:line="300" w:lineRule="auto"/>
        <w:jc w:val="center"/>
        <w:outlineLvl w:val="1"/>
        <w:rPr>
          <w:b/>
          <w:szCs w:val="21"/>
        </w:rPr>
      </w:pPr>
      <w:bookmarkStart w:id="138" w:name="_Toc646"/>
      <w:r>
        <w:rPr>
          <w:b/>
          <w:szCs w:val="21"/>
        </w:rPr>
        <w:t>9.1  一般规定</w:t>
      </w:r>
      <w:bookmarkEnd w:id="138"/>
    </w:p>
    <w:p>
      <w:pPr>
        <w:adjustRightInd w:val="0"/>
        <w:snapToGrid w:val="0"/>
        <w:spacing w:line="360" w:lineRule="auto"/>
        <w:rPr>
          <w:bCs/>
          <w:strike/>
          <w:szCs w:val="21"/>
        </w:rPr>
      </w:pPr>
      <w:r>
        <w:rPr>
          <w:b/>
          <w:szCs w:val="21"/>
        </w:rPr>
        <w:t xml:space="preserve">9.1.1  </w:t>
      </w:r>
      <w:r>
        <w:rPr>
          <w:szCs w:val="21"/>
        </w:rPr>
        <w:t xml:space="preserve">处于建筑物坠落半径范围内或起重机起重臂回转半径范围内的临街通道、建筑物出入口通道、施工升降机和物料提升机首层出入口通道、物料加工区、配电箱等处应设置防护棚。 </w:t>
      </w:r>
    </w:p>
    <w:p>
      <w:pPr>
        <w:adjustRightInd w:val="0"/>
        <w:snapToGrid w:val="0"/>
        <w:spacing w:line="360" w:lineRule="auto"/>
        <w:rPr>
          <w:bCs/>
          <w:szCs w:val="21"/>
        </w:rPr>
      </w:pPr>
      <w:r>
        <w:rPr>
          <w:rFonts w:hint="eastAsia"/>
          <w:b/>
          <w:szCs w:val="21"/>
        </w:rPr>
        <w:t>9</w:t>
      </w:r>
      <w:r>
        <w:rPr>
          <w:b/>
          <w:szCs w:val="21"/>
        </w:rPr>
        <w:t xml:space="preserve">.1.2 </w:t>
      </w:r>
      <w:r>
        <w:rPr>
          <w:rFonts w:hint="eastAsia"/>
          <w:b/>
          <w:szCs w:val="21"/>
        </w:rPr>
        <w:t xml:space="preserve"> </w:t>
      </w:r>
      <w:r>
        <w:rPr>
          <w:szCs w:val="21"/>
        </w:rPr>
        <w:t>通道防护棚净空高度不应小于3000mm</w:t>
      </w:r>
      <w:r>
        <w:rPr>
          <w:rFonts w:hint="eastAsia"/>
          <w:szCs w:val="21"/>
        </w:rPr>
        <w:t>，</w:t>
      </w:r>
      <w:r>
        <w:rPr>
          <w:szCs w:val="21"/>
        </w:rPr>
        <w:t>有机械、机动车辆通行时，净宽和净空高度不应小于4000mm。</w:t>
      </w:r>
    </w:p>
    <w:p>
      <w:pPr>
        <w:adjustRightInd w:val="0"/>
        <w:snapToGrid w:val="0"/>
        <w:spacing w:line="360" w:lineRule="auto"/>
        <w:rPr>
          <w:szCs w:val="21"/>
        </w:rPr>
      </w:pPr>
      <w:r>
        <w:rPr>
          <w:rFonts w:hint="eastAsia"/>
          <w:b/>
          <w:szCs w:val="21"/>
        </w:rPr>
        <w:t>9</w:t>
      </w:r>
      <w:r>
        <w:rPr>
          <w:b/>
          <w:szCs w:val="21"/>
        </w:rPr>
        <w:t xml:space="preserve">.1.3 </w:t>
      </w:r>
      <w:r>
        <w:rPr>
          <w:rFonts w:hint="eastAsia"/>
          <w:b/>
          <w:szCs w:val="21"/>
        </w:rPr>
        <w:t xml:space="preserve"> </w:t>
      </w:r>
      <w:r>
        <w:rPr>
          <w:szCs w:val="21"/>
        </w:rPr>
        <w:t>通道防护棚宽度应大于建筑物出入口两侧各1m</w:t>
      </w:r>
      <w:r>
        <w:rPr>
          <w:rFonts w:hint="eastAsia"/>
          <w:szCs w:val="21"/>
        </w:rPr>
        <w:t>，</w:t>
      </w:r>
      <w:r>
        <w:rPr>
          <w:szCs w:val="21"/>
        </w:rPr>
        <w:t>施工升降机、物料提升机首层出入口防护棚宽度应大于梯笼（架体）两侧各1m，通道防护棚长度应符合下列规定：</w:t>
      </w:r>
    </w:p>
    <w:p>
      <w:pPr>
        <w:adjustRightInd w:val="0"/>
        <w:snapToGrid w:val="0"/>
        <w:spacing w:line="360" w:lineRule="auto"/>
        <w:ind w:firstLine="299" w:firstLineChars="142"/>
        <w:rPr>
          <w:szCs w:val="21"/>
        </w:rPr>
      </w:pPr>
      <w:r>
        <w:rPr>
          <w:rFonts w:hint="eastAsia"/>
          <w:b/>
          <w:szCs w:val="21"/>
        </w:rPr>
        <w:t>1</w:t>
      </w:r>
      <w:r>
        <w:rPr>
          <w:szCs w:val="21"/>
        </w:rPr>
        <w:t xml:space="preserve">  高度5m以下的建筑物，防护棚长度不应小于3m；</w:t>
      </w:r>
    </w:p>
    <w:p>
      <w:pPr>
        <w:adjustRightInd w:val="0"/>
        <w:snapToGrid w:val="0"/>
        <w:spacing w:line="360" w:lineRule="auto"/>
        <w:ind w:firstLine="299" w:firstLineChars="142"/>
        <w:rPr>
          <w:szCs w:val="21"/>
        </w:rPr>
      </w:pPr>
      <w:r>
        <w:rPr>
          <w:rFonts w:hint="eastAsia"/>
          <w:b/>
          <w:szCs w:val="21"/>
        </w:rPr>
        <w:t>2</w:t>
      </w:r>
      <w:r>
        <w:rPr>
          <w:szCs w:val="21"/>
        </w:rPr>
        <w:t xml:space="preserve">  高度在5m</w:t>
      </w:r>
      <w:r>
        <w:rPr>
          <w:color w:val="333333"/>
          <w:szCs w:val="21"/>
          <w:shd w:val="clear" w:color="auto" w:fill="FFFFFF"/>
        </w:rPr>
        <w:t>～</w:t>
      </w:r>
      <w:r>
        <w:rPr>
          <w:szCs w:val="21"/>
        </w:rPr>
        <w:t>15m的建筑物，防护棚长度不应小于4m；</w:t>
      </w:r>
    </w:p>
    <w:p>
      <w:pPr>
        <w:adjustRightInd w:val="0"/>
        <w:snapToGrid w:val="0"/>
        <w:spacing w:line="360" w:lineRule="auto"/>
        <w:ind w:firstLine="299" w:firstLineChars="142"/>
        <w:rPr>
          <w:szCs w:val="21"/>
        </w:rPr>
      </w:pPr>
      <w:r>
        <w:rPr>
          <w:rFonts w:hint="eastAsia"/>
          <w:b/>
          <w:szCs w:val="21"/>
        </w:rPr>
        <w:t>3</w:t>
      </w:r>
      <w:r>
        <w:rPr>
          <w:b/>
          <w:bCs/>
          <w:szCs w:val="21"/>
        </w:rPr>
        <w:t xml:space="preserve">  </w:t>
      </w:r>
      <w:r>
        <w:rPr>
          <w:szCs w:val="21"/>
        </w:rPr>
        <w:t>高度在15m</w:t>
      </w:r>
      <w:r>
        <w:rPr>
          <w:color w:val="333333"/>
          <w:szCs w:val="21"/>
          <w:shd w:val="clear" w:color="auto" w:fill="FFFFFF"/>
        </w:rPr>
        <w:t>～</w:t>
      </w:r>
      <w:r>
        <w:rPr>
          <w:szCs w:val="21"/>
        </w:rPr>
        <w:t>30m的建筑物，防护棚长度不应小于5m；</w:t>
      </w:r>
    </w:p>
    <w:p>
      <w:pPr>
        <w:adjustRightInd w:val="0"/>
        <w:snapToGrid w:val="0"/>
        <w:spacing w:line="360" w:lineRule="auto"/>
        <w:ind w:firstLine="299" w:firstLineChars="142"/>
        <w:rPr>
          <w:szCs w:val="21"/>
        </w:rPr>
      </w:pPr>
      <w:r>
        <w:rPr>
          <w:rFonts w:hint="eastAsia"/>
          <w:b/>
          <w:szCs w:val="21"/>
        </w:rPr>
        <w:t>4</w:t>
      </w:r>
      <w:r>
        <w:rPr>
          <w:szCs w:val="21"/>
        </w:rPr>
        <w:t xml:space="preserve">  高度超过30m的建筑物，防护棚长度不应小于6m。</w:t>
      </w:r>
    </w:p>
    <w:p>
      <w:pPr>
        <w:adjustRightInd w:val="0"/>
        <w:snapToGrid w:val="0"/>
        <w:spacing w:line="360" w:lineRule="auto"/>
        <w:rPr>
          <w:szCs w:val="21"/>
        </w:rPr>
      </w:pPr>
      <w:r>
        <w:rPr>
          <w:rFonts w:hint="eastAsia"/>
          <w:b/>
          <w:szCs w:val="21"/>
        </w:rPr>
        <w:t>9</w:t>
      </w:r>
      <w:r>
        <w:rPr>
          <w:b/>
          <w:szCs w:val="21"/>
        </w:rPr>
        <w:t xml:space="preserve">.1.4 </w:t>
      </w:r>
      <w:r>
        <w:rPr>
          <w:rFonts w:hint="eastAsia"/>
          <w:b/>
          <w:szCs w:val="21"/>
        </w:rPr>
        <w:t xml:space="preserve"> </w:t>
      </w:r>
      <w:r>
        <w:rPr>
          <w:szCs w:val="21"/>
        </w:rPr>
        <w:t>搭设在建筑物坠落半径范围内或起重机起重臂回转范围内的物料加工区，安全防护棚应设置双层硬质防护，间距不应小于700mm，硬质防护应具备抗高处坠物穿透的性能。</w:t>
      </w:r>
    </w:p>
    <w:p>
      <w:pPr>
        <w:adjustRightInd w:val="0"/>
        <w:snapToGrid w:val="0"/>
        <w:spacing w:line="360" w:lineRule="auto"/>
        <w:rPr>
          <w:szCs w:val="21"/>
        </w:rPr>
      </w:pPr>
      <w:r>
        <w:rPr>
          <w:rFonts w:hint="eastAsia"/>
          <w:b/>
          <w:szCs w:val="21"/>
        </w:rPr>
        <w:t>9</w:t>
      </w:r>
      <w:r>
        <w:rPr>
          <w:b/>
          <w:szCs w:val="21"/>
        </w:rPr>
        <w:t xml:space="preserve">.1.5 </w:t>
      </w:r>
      <w:r>
        <w:rPr>
          <w:rFonts w:hint="eastAsia"/>
          <w:b/>
          <w:szCs w:val="21"/>
        </w:rPr>
        <w:t xml:space="preserve"> </w:t>
      </w:r>
      <w:r>
        <w:rPr>
          <w:szCs w:val="21"/>
        </w:rPr>
        <w:t>搭设在建筑物坠落半径范围内或起重机起重臂回转范围内的配电箱，防护棚应采取防雨防砸措施。</w:t>
      </w:r>
    </w:p>
    <w:p>
      <w:pPr>
        <w:adjustRightInd w:val="0"/>
        <w:snapToGrid w:val="0"/>
        <w:spacing w:line="360" w:lineRule="auto"/>
        <w:rPr>
          <w:szCs w:val="21"/>
        </w:rPr>
      </w:pPr>
      <w:r>
        <w:rPr>
          <w:rFonts w:hint="eastAsia"/>
          <w:b/>
          <w:szCs w:val="21"/>
        </w:rPr>
        <w:t>9</w:t>
      </w:r>
      <w:r>
        <w:rPr>
          <w:b/>
          <w:szCs w:val="21"/>
        </w:rPr>
        <w:t>.1.6</w:t>
      </w:r>
      <w:r>
        <w:rPr>
          <w:szCs w:val="21"/>
        </w:rPr>
        <w:t xml:space="preserve">  防护棚应采用钢管扣件或其他型钢材料搭设。通道防护棚两侧应采用密目式安全网或钢板网封闭。</w:t>
      </w:r>
    </w:p>
    <w:p>
      <w:pPr>
        <w:tabs>
          <w:tab w:val="left" w:pos="2697"/>
          <w:tab w:val="center" w:pos="4372"/>
        </w:tabs>
        <w:adjustRightInd w:val="0"/>
        <w:snapToGrid w:val="0"/>
        <w:spacing w:before="240" w:after="240" w:line="360" w:lineRule="auto"/>
        <w:jc w:val="center"/>
        <w:outlineLvl w:val="1"/>
        <w:rPr>
          <w:b/>
          <w:szCs w:val="21"/>
        </w:rPr>
      </w:pPr>
      <w:bookmarkStart w:id="139" w:name="_Toc3004"/>
      <w:r>
        <w:rPr>
          <w:b/>
          <w:szCs w:val="21"/>
        </w:rPr>
        <w:t>9.2  防护棚的设置</w:t>
      </w:r>
      <w:bookmarkEnd w:id="139"/>
    </w:p>
    <w:p>
      <w:pPr>
        <w:adjustRightInd w:val="0"/>
        <w:snapToGrid w:val="0"/>
        <w:spacing w:line="360" w:lineRule="auto"/>
        <w:rPr>
          <w:strike/>
          <w:szCs w:val="21"/>
        </w:rPr>
      </w:pPr>
      <w:r>
        <w:rPr>
          <w:rFonts w:hint="eastAsia"/>
          <w:b/>
          <w:szCs w:val="21"/>
        </w:rPr>
        <w:t>9</w:t>
      </w:r>
      <w:r>
        <w:rPr>
          <w:b/>
          <w:szCs w:val="21"/>
        </w:rPr>
        <w:t xml:space="preserve">.2.1 </w:t>
      </w:r>
      <w:r>
        <w:rPr>
          <w:rFonts w:hint="eastAsia"/>
          <w:b/>
          <w:szCs w:val="21"/>
        </w:rPr>
        <w:t xml:space="preserve"> </w:t>
      </w:r>
      <w:r>
        <w:rPr>
          <w:szCs w:val="21"/>
        </w:rPr>
        <w:t>扣件式钢管防护棚的搭设示意图见图9.2.1，搭设应符合下列规定：</w:t>
      </w:r>
    </w:p>
    <w:p>
      <w:pPr>
        <w:adjustRightInd w:val="0"/>
        <w:snapToGrid w:val="0"/>
        <w:spacing w:line="360" w:lineRule="auto"/>
        <w:ind w:firstLine="339" w:firstLineChars="161"/>
        <w:rPr>
          <w:b/>
          <w:szCs w:val="21"/>
        </w:rPr>
      </w:pPr>
      <w:r>
        <w:rPr>
          <w:b/>
          <w:szCs w:val="21"/>
        </w:rPr>
        <w:t xml:space="preserve">1  </w:t>
      </w:r>
      <w:r>
        <w:rPr>
          <w:szCs w:val="21"/>
        </w:rPr>
        <w:t>防护棚高度应符合本标准第9.1.2条的规定；</w:t>
      </w:r>
    </w:p>
    <w:p>
      <w:pPr>
        <w:adjustRightInd w:val="0"/>
        <w:snapToGrid w:val="0"/>
        <w:spacing w:line="360" w:lineRule="auto"/>
        <w:ind w:firstLine="339" w:firstLineChars="161"/>
        <w:rPr>
          <w:szCs w:val="21"/>
        </w:rPr>
      </w:pPr>
      <w:r>
        <w:rPr>
          <w:b/>
          <w:szCs w:val="21"/>
        </w:rPr>
        <w:t xml:space="preserve">2  </w:t>
      </w:r>
      <w:r>
        <w:rPr>
          <w:szCs w:val="21"/>
        </w:rPr>
        <w:t>防护棚通道基础应进行硬化；</w:t>
      </w:r>
    </w:p>
    <w:p>
      <w:pPr>
        <w:adjustRightInd w:val="0"/>
        <w:snapToGrid w:val="0"/>
        <w:spacing w:line="360" w:lineRule="auto"/>
        <w:ind w:firstLine="339" w:firstLineChars="161"/>
        <w:rPr>
          <w:szCs w:val="21"/>
        </w:rPr>
      </w:pPr>
      <w:r>
        <w:rPr>
          <w:rFonts w:hint="eastAsia"/>
          <w:b/>
          <w:szCs w:val="21"/>
        </w:rPr>
        <w:t xml:space="preserve">3  </w:t>
      </w:r>
      <w:r>
        <w:rPr>
          <w:szCs w:val="21"/>
        </w:rPr>
        <w:t>防护棚立杆底部应垫通长垫板；应沿通道通行方向设置扫地杆和剪刀撑；立杆纵距不应大于1.8m；防护棚顶部铺板应符合现行行业标准《建筑施工高处作业安全技术规范》JGJ 80的要求；</w:t>
      </w:r>
    </w:p>
    <w:p>
      <w:pPr>
        <w:adjustRightInd w:val="0"/>
        <w:snapToGrid w:val="0"/>
        <w:spacing w:line="360" w:lineRule="auto"/>
        <w:ind w:firstLine="339" w:firstLineChars="161"/>
        <w:rPr>
          <w:szCs w:val="21"/>
        </w:rPr>
      </w:pPr>
      <w:r>
        <w:rPr>
          <w:rFonts w:hint="eastAsia"/>
          <w:b/>
          <w:szCs w:val="21"/>
        </w:rPr>
        <w:t>4</w:t>
      </w:r>
      <w:r>
        <w:rPr>
          <w:szCs w:val="21"/>
        </w:rPr>
        <w:t xml:space="preserve">  防护棚宽度超过3.5m或高度超过4m，应采取确保防护棚架体稳定性的措施；</w:t>
      </w:r>
    </w:p>
    <w:p>
      <w:pPr>
        <w:adjustRightInd w:val="0"/>
        <w:snapToGrid w:val="0"/>
        <w:spacing w:line="360" w:lineRule="auto"/>
        <w:ind w:firstLine="339" w:firstLineChars="161"/>
        <w:rPr>
          <w:szCs w:val="21"/>
        </w:rPr>
      </w:pPr>
      <w:r>
        <w:rPr>
          <w:rFonts w:hint="eastAsia"/>
          <w:b/>
          <w:szCs w:val="21"/>
        </w:rPr>
        <w:t>5</w:t>
      </w:r>
      <w:r>
        <w:rPr>
          <w:b/>
          <w:szCs w:val="21"/>
        </w:rPr>
        <w:t xml:space="preserve">  </w:t>
      </w:r>
      <w:r>
        <w:rPr>
          <w:szCs w:val="21"/>
        </w:rPr>
        <w:t>防护棚构造应符合现行国家标准《施工脚手架通用规范》GB 55023、现行行业标准《建筑施工扣件式钢管脚手架安全技术规范》JGJ 130和现行</w:t>
      </w:r>
      <w:r>
        <w:rPr>
          <w:rFonts w:hint="eastAsia"/>
          <w:szCs w:val="21"/>
        </w:rPr>
        <w:t>北京市</w:t>
      </w:r>
      <w:r>
        <w:rPr>
          <w:szCs w:val="21"/>
        </w:rPr>
        <w:t xml:space="preserve">地方标准《扣件式和碗扣式钢管脚手架安全选用技术规程》DB11/T 583的规定。 </w:t>
      </w:r>
    </w:p>
    <w:p>
      <w:pPr>
        <w:adjustRightInd w:val="0"/>
        <w:snapToGrid w:val="0"/>
        <w:spacing w:line="360" w:lineRule="auto"/>
        <w:ind w:firstLine="14" w:firstLineChars="7"/>
        <w:jc w:val="center"/>
        <w:rPr>
          <w:rFonts w:ascii="宋体" w:hAnsi="宋体"/>
          <w:szCs w:val="21"/>
        </w:rPr>
      </w:pPr>
    </w:p>
    <w:p>
      <w:pPr>
        <w:adjustRightInd w:val="0"/>
        <w:snapToGrid w:val="0"/>
        <w:spacing w:line="360" w:lineRule="auto"/>
        <w:ind w:firstLine="14" w:firstLineChars="7"/>
        <w:jc w:val="center"/>
        <w:rPr>
          <w:rFonts w:ascii="宋体" w:hAnsi="宋体"/>
          <w:szCs w:val="21"/>
        </w:rPr>
      </w:pPr>
      <w:r>
        <w:rPr>
          <w:rFonts w:hint="eastAsia"/>
        </w:rPr>
        <w:drawing>
          <wp:inline distT="0" distB="0" distL="0" distR="0">
            <wp:extent cx="5274310" cy="1909445"/>
            <wp:effectExtent l="0" t="0" r="2540" b="14605"/>
            <wp:docPr id="125" name="图片 12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图片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274310" cy="1909664"/>
                    </a:xfrm>
                    <a:prstGeom prst="rect">
                      <a:avLst/>
                    </a:prstGeom>
                    <a:noFill/>
                    <a:ln>
                      <a:noFill/>
                    </a:ln>
                  </pic:spPr>
                </pic:pic>
              </a:graphicData>
            </a:graphic>
          </wp:inline>
        </w:drawing>
      </w:r>
    </w:p>
    <w:p>
      <w:pPr>
        <w:adjustRightInd w:val="0"/>
        <w:snapToGrid w:val="0"/>
        <w:spacing w:line="360" w:lineRule="auto"/>
        <w:ind w:firstLine="12" w:firstLineChars="7"/>
        <w:jc w:val="center"/>
        <w:rPr>
          <w:rFonts w:ascii="黑体" w:hAnsi="黑体" w:eastAsia="黑体"/>
          <w:sz w:val="18"/>
          <w:szCs w:val="18"/>
        </w:rPr>
      </w:pPr>
      <w:r>
        <w:rPr>
          <w:rFonts w:ascii="黑体" w:hAnsi="黑体" w:eastAsia="黑体"/>
          <w:sz w:val="18"/>
          <w:szCs w:val="18"/>
        </w:rPr>
        <w:t>图9.2.1 3m～6m扣件式钢管防护棚示意图</w:t>
      </w:r>
    </w:p>
    <w:p>
      <w:pPr>
        <w:adjustRightInd w:val="0"/>
        <w:snapToGrid w:val="0"/>
        <w:spacing w:line="360" w:lineRule="auto"/>
        <w:ind w:firstLine="12" w:firstLineChars="7"/>
        <w:jc w:val="center"/>
        <w:rPr>
          <w:rFonts w:ascii="黑体" w:hAnsi="黑体" w:eastAsia="黑体"/>
          <w:sz w:val="18"/>
          <w:szCs w:val="18"/>
        </w:rPr>
      </w:pPr>
      <w:r>
        <w:rPr>
          <w:rFonts w:ascii="黑体" w:hAnsi="黑体" w:eastAsia="黑体"/>
          <w:sz w:val="18"/>
          <w:szCs w:val="18"/>
        </w:rPr>
        <w:t>1</w:t>
      </w:r>
      <w:r>
        <w:rPr>
          <w:rFonts w:ascii="黑体" w:hAnsi="黑体" w:eastAsia="黑体"/>
          <w:bCs/>
          <w:sz w:val="18"/>
          <w:szCs w:val="18"/>
        </w:rPr>
        <w:t>-</w:t>
      </w:r>
      <w:r>
        <w:rPr>
          <w:rFonts w:ascii="黑体" w:hAnsi="黑体" w:eastAsia="黑体"/>
          <w:sz w:val="18"/>
          <w:szCs w:val="18"/>
        </w:rPr>
        <w:t>脚手架；2</w:t>
      </w:r>
      <w:r>
        <w:rPr>
          <w:rFonts w:ascii="黑体" w:hAnsi="黑体" w:eastAsia="黑体"/>
          <w:bCs/>
          <w:sz w:val="18"/>
          <w:szCs w:val="18"/>
        </w:rPr>
        <w:t>-</w:t>
      </w:r>
      <w:r>
        <w:rPr>
          <w:rFonts w:hint="eastAsia" w:ascii="黑体" w:hAnsi="黑体" w:eastAsia="黑体"/>
          <w:sz w:val="18"/>
          <w:szCs w:val="18"/>
        </w:rPr>
        <w:t>木胶合板</w:t>
      </w:r>
      <w:r>
        <w:rPr>
          <w:rFonts w:ascii="黑体" w:hAnsi="黑体" w:eastAsia="黑体"/>
          <w:sz w:val="18"/>
          <w:szCs w:val="18"/>
        </w:rPr>
        <w:t>；3</w:t>
      </w:r>
      <w:r>
        <w:rPr>
          <w:rFonts w:ascii="黑体" w:hAnsi="黑体" w:eastAsia="黑体"/>
          <w:bCs/>
          <w:sz w:val="18"/>
          <w:szCs w:val="18"/>
        </w:rPr>
        <w:t>-</w:t>
      </w:r>
      <w:r>
        <w:rPr>
          <w:rFonts w:ascii="黑体" w:hAnsi="黑体" w:eastAsia="黑体"/>
          <w:sz w:val="18"/>
          <w:szCs w:val="18"/>
        </w:rPr>
        <w:t>剪刀撑；4</w:t>
      </w:r>
      <w:r>
        <w:rPr>
          <w:rFonts w:ascii="黑体" w:hAnsi="黑体" w:eastAsia="黑体"/>
          <w:bCs/>
          <w:sz w:val="18"/>
          <w:szCs w:val="18"/>
        </w:rPr>
        <w:t>-</w:t>
      </w:r>
      <w:r>
        <w:rPr>
          <w:rFonts w:ascii="黑体" w:hAnsi="黑体" w:eastAsia="黑体"/>
          <w:sz w:val="18"/>
          <w:szCs w:val="18"/>
        </w:rPr>
        <w:t>密目网或钢板网；5</w:t>
      </w:r>
      <w:r>
        <w:rPr>
          <w:rFonts w:ascii="黑体" w:hAnsi="黑体" w:eastAsia="黑体"/>
          <w:bCs/>
          <w:sz w:val="18"/>
          <w:szCs w:val="18"/>
        </w:rPr>
        <w:t>-</w:t>
      </w:r>
      <w:r>
        <w:rPr>
          <w:rFonts w:ascii="黑体" w:hAnsi="黑体" w:eastAsia="黑体"/>
          <w:sz w:val="18"/>
          <w:szCs w:val="18"/>
        </w:rPr>
        <w:t>立杆；</w:t>
      </w:r>
    </w:p>
    <w:p>
      <w:pPr>
        <w:adjustRightInd w:val="0"/>
        <w:snapToGrid w:val="0"/>
        <w:spacing w:line="360" w:lineRule="auto"/>
        <w:ind w:firstLine="12" w:firstLineChars="7"/>
        <w:jc w:val="center"/>
        <w:rPr>
          <w:rFonts w:ascii="黑体" w:hAnsi="黑体" w:eastAsia="黑体"/>
          <w:bCs/>
          <w:sz w:val="18"/>
          <w:szCs w:val="18"/>
        </w:rPr>
      </w:pPr>
      <w:r>
        <w:rPr>
          <w:rFonts w:ascii="黑体" w:hAnsi="黑体" w:eastAsia="黑体"/>
          <w:sz w:val="18"/>
          <w:szCs w:val="18"/>
        </w:rPr>
        <w:t>6</w:t>
      </w:r>
      <w:r>
        <w:rPr>
          <w:rFonts w:ascii="黑体" w:hAnsi="黑体" w:eastAsia="黑体"/>
          <w:bCs/>
          <w:sz w:val="18"/>
          <w:szCs w:val="18"/>
        </w:rPr>
        <w:t>-</w:t>
      </w:r>
      <w:r>
        <w:rPr>
          <w:rFonts w:hint="eastAsia" w:ascii="黑体" w:hAnsi="黑体" w:eastAsia="黑体"/>
          <w:sz w:val="18"/>
          <w:szCs w:val="18"/>
        </w:rPr>
        <w:t>5</w:t>
      </w:r>
      <w:r>
        <w:rPr>
          <w:rFonts w:ascii="黑体" w:hAnsi="黑体" w:eastAsia="黑体"/>
          <w:sz w:val="18"/>
          <w:szCs w:val="18"/>
        </w:rPr>
        <w:t>0mm厚垫板；7</w:t>
      </w:r>
      <w:r>
        <w:rPr>
          <w:rFonts w:ascii="黑体" w:hAnsi="黑体" w:eastAsia="黑体"/>
          <w:bCs/>
          <w:sz w:val="18"/>
          <w:szCs w:val="18"/>
        </w:rPr>
        <w:t>-</w:t>
      </w:r>
      <w:r>
        <w:rPr>
          <w:rFonts w:ascii="黑体" w:hAnsi="黑体" w:eastAsia="黑体"/>
          <w:sz w:val="18"/>
          <w:szCs w:val="18"/>
        </w:rPr>
        <w:t>双层</w:t>
      </w:r>
      <w:r>
        <w:rPr>
          <w:rFonts w:hint="eastAsia" w:ascii="黑体" w:hAnsi="黑体" w:eastAsia="黑体"/>
          <w:sz w:val="18"/>
          <w:szCs w:val="18"/>
        </w:rPr>
        <w:t>5</w:t>
      </w:r>
      <w:r>
        <w:rPr>
          <w:rFonts w:ascii="黑体" w:hAnsi="黑体" w:eastAsia="黑体"/>
          <w:sz w:val="18"/>
          <w:szCs w:val="18"/>
        </w:rPr>
        <w:t>0mm厚脚手板；8</w:t>
      </w:r>
      <w:r>
        <w:rPr>
          <w:rFonts w:ascii="黑体" w:hAnsi="黑体" w:eastAsia="黑体"/>
          <w:bCs/>
          <w:sz w:val="18"/>
          <w:szCs w:val="18"/>
        </w:rPr>
        <w:t>-安全标志</w:t>
      </w:r>
    </w:p>
    <w:p>
      <w:pPr>
        <w:adjustRightInd w:val="0"/>
        <w:snapToGrid w:val="0"/>
        <w:spacing w:line="360" w:lineRule="auto"/>
        <w:ind w:firstLine="15" w:firstLineChars="7"/>
        <w:rPr>
          <w:szCs w:val="21"/>
        </w:rPr>
      </w:pPr>
      <w:r>
        <w:rPr>
          <w:rFonts w:hint="eastAsia"/>
          <w:b/>
          <w:szCs w:val="21"/>
        </w:rPr>
        <w:t>9.2.2</w:t>
      </w:r>
      <w:r>
        <w:rPr>
          <w:szCs w:val="21"/>
        </w:rPr>
        <w:t xml:space="preserve">  型钢防护棚搭设应符合下列规定：</w:t>
      </w:r>
    </w:p>
    <w:p>
      <w:pPr>
        <w:adjustRightInd w:val="0"/>
        <w:snapToGrid w:val="0"/>
        <w:spacing w:line="360" w:lineRule="auto"/>
        <w:ind w:firstLine="320" w:firstLineChars="152"/>
        <w:rPr>
          <w:szCs w:val="21"/>
        </w:rPr>
      </w:pPr>
      <w:r>
        <w:rPr>
          <w:rFonts w:hint="eastAsia"/>
          <w:b/>
          <w:szCs w:val="21"/>
        </w:rPr>
        <w:t>1</w:t>
      </w:r>
      <w:r>
        <w:rPr>
          <w:szCs w:val="21"/>
        </w:rPr>
        <w:t xml:space="preserve">  型钢防护棚应根据构造型式进行设计计算，选用相应规格的构配件；</w:t>
      </w:r>
    </w:p>
    <w:p>
      <w:pPr>
        <w:adjustRightInd w:val="0"/>
        <w:snapToGrid w:val="0"/>
        <w:spacing w:line="360" w:lineRule="auto"/>
        <w:ind w:firstLine="320" w:firstLineChars="152"/>
        <w:rPr>
          <w:szCs w:val="21"/>
        </w:rPr>
      </w:pPr>
      <w:r>
        <w:rPr>
          <w:rFonts w:hint="eastAsia"/>
          <w:b/>
          <w:szCs w:val="21"/>
        </w:rPr>
        <w:t xml:space="preserve">2  </w:t>
      </w:r>
      <w:r>
        <w:rPr>
          <w:szCs w:val="21"/>
        </w:rPr>
        <w:t>立柱间距不宜大于3000mm，立柱基础应独立设置；立柱与桁架焊接耳板，根据构造选取相应型号的螺栓连接固定；</w:t>
      </w:r>
    </w:p>
    <w:p>
      <w:pPr>
        <w:adjustRightInd w:val="0"/>
        <w:snapToGrid w:val="0"/>
        <w:spacing w:line="360" w:lineRule="auto"/>
        <w:ind w:firstLine="320" w:firstLineChars="152"/>
        <w:rPr>
          <w:szCs w:val="21"/>
        </w:rPr>
      </w:pPr>
      <w:r>
        <w:rPr>
          <w:rFonts w:hint="eastAsia"/>
          <w:b/>
          <w:szCs w:val="21"/>
        </w:rPr>
        <w:t>3</w:t>
      </w:r>
      <w:r>
        <w:rPr>
          <w:b/>
          <w:szCs w:val="21"/>
        </w:rPr>
        <w:t xml:space="preserve">  </w:t>
      </w:r>
      <w:r>
        <w:rPr>
          <w:szCs w:val="21"/>
        </w:rPr>
        <w:t>檩条应根据设计选用相应规格的方钢；</w:t>
      </w:r>
    </w:p>
    <w:p>
      <w:pPr>
        <w:adjustRightInd w:val="0"/>
        <w:snapToGrid w:val="0"/>
        <w:spacing w:line="360" w:lineRule="auto"/>
        <w:ind w:firstLine="299" w:firstLineChars="142"/>
        <w:rPr>
          <w:szCs w:val="21"/>
        </w:rPr>
      </w:pPr>
      <w:r>
        <w:rPr>
          <w:rFonts w:hint="eastAsia"/>
          <w:b/>
          <w:szCs w:val="21"/>
        </w:rPr>
        <w:t>4</w:t>
      </w:r>
      <w:r>
        <w:rPr>
          <w:b/>
          <w:szCs w:val="21"/>
        </w:rPr>
        <w:t xml:space="preserve"> </w:t>
      </w:r>
      <w:r>
        <w:rPr>
          <w:rFonts w:hint="eastAsia"/>
          <w:b/>
          <w:szCs w:val="21"/>
        </w:rPr>
        <w:t xml:space="preserve"> </w:t>
      </w:r>
      <w:r>
        <w:rPr>
          <w:szCs w:val="21"/>
        </w:rPr>
        <w:t>立柱基础应符合方案要求，混凝土强度等级不应低于C20。</w:t>
      </w:r>
    </w:p>
    <w:p>
      <w:pPr>
        <w:adjustRightInd w:val="0"/>
        <w:snapToGrid w:val="0"/>
        <w:spacing w:line="360" w:lineRule="auto"/>
        <w:rPr>
          <w:szCs w:val="21"/>
        </w:rPr>
      </w:pPr>
      <w:r>
        <w:rPr>
          <w:rFonts w:hint="eastAsia"/>
          <w:b/>
          <w:szCs w:val="21"/>
        </w:rPr>
        <w:t xml:space="preserve">9.2.3  </w:t>
      </w:r>
      <w:r>
        <w:rPr>
          <w:szCs w:val="21"/>
        </w:rPr>
        <w:t>老旧小区改造工程单元门出入口部位宜采用悬挑式型钢防护棚，搭设应符合下列规定：</w:t>
      </w:r>
    </w:p>
    <w:p>
      <w:pPr>
        <w:adjustRightInd w:val="0"/>
        <w:snapToGrid w:val="0"/>
        <w:spacing w:line="360" w:lineRule="auto"/>
        <w:ind w:firstLine="299" w:firstLineChars="142"/>
        <w:rPr>
          <w:szCs w:val="21"/>
        </w:rPr>
      </w:pPr>
      <w:r>
        <w:rPr>
          <w:rFonts w:hint="eastAsia"/>
          <w:b/>
          <w:szCs w:val="21"/>
        </w:rPr>
        <w:t>1</w:t>
      </w:r>
      <w:r>
        <w:rPr>
          <w:b/>
          <w:szCs w:val="21"/>
        </w:rPr>
        <w:t xml:space="preserve"> </w:t>
      </w:r>
      <w:r>
        <w:rPr>
          <w:rFonts w:hint="eastAsia"/>
          <w:b/>
          <w:szCs w:val="21"/>
        </w:rPr>
        <w:t xml:space="preserve"> </w:t>
      </w:r>
      <w:r>
        <w:rPr>
          <w:szCs w:val="21"/>
        </w:rPr>
        <w:t>应根据构造型式进行设计计算，选用相应规格的构配件；</w:t>
      </w:r>
    </w:p>
    <w:p>
      <w:pPr>
        <w:adjustRightInd w:val="0"/>
        <w:snapToGrid w:val="0"/>
        <w:spacing w:line="360" w:lineRule="auto"/>
        <w:ind w:firstLine="299" w:firstLineChars="142"/>
        <w:rPr>
          <w:szCs w:val="21"/>
        </w:rPr>
      </w:pPr>
      <w:r>
        <w:rPr>
          <w:rFonts w:hint="eastAsia"/>
          <w:b/>
          <w:szCs w:val="21"/>
        </w:rPr>
        <w:t xml:space="preserve">2  </w:t>
      </w:r>
      <w:r>
        <w:rPr>
          <w:szCs w:val="21"/>
        </w:rPr>
        <w:t>应编制专项施工方案并按专项方案实施，搭设防护棚规格、尺寸应符合本标准第9.1节的规定；</w:t>
      </w:r>
    </w:p>
    <w:p>
      <w:pPr>
        <w:adjustRightInd w:val="0"/>
        <w:snapToGrid w:val="0"/>
        <w:spacing w:line="360" w:lineRule="auto"/>
        <w:ind w:firstLine="299" w:firstLineChars="142"/>
        <w:rPr>
          <w:b/>
          <w:szCs w:val="21"/>
        </w:rPr>
      </w:pPr>
      <w:r>
        <w:rPr>
          <w:rFonts w:hint="eastAsia"/>
          <w:b/>
          <w:szCs w:val="21"/>
        </w:rPr>
        <w:t xml:space="preserve">3  </w:t>
      </w:r>
      <w:r>
        <w:rPr>
          <w:szCs w:val="21"/>
        </w:rPr>
        <w:t>悬挑钢梁固定端宜采用螺栓锚固固定，悬挑端宜采用钢丝绳或钢拉杆进行固定，各固定点强度应符合设计计算要求，钢丝绳或钢拉杆与水平面夹角不宜小于45°。</w:t>
      </w:r>
    </w:p>
    <w:p>
      <w:pPr>
        <w:adjustRightInd w:val="0"/>
        <w:snapToGrid w:val="0"/>
        <w:spacing w:line="360" w:lineRule="auto"/>
        <w:rPr>
          <w:szCs w:val="21"/>
        </w:rPr>
      </w:pPr>
      <w:r>
        <w:rPr>
          <w:rFonts w:hint="eastAsia"/>
          <w:b/>
          <w:szCs w:val="21"/>
        </w:rPr>
        <w:t xml:space="preserve">9.2.4  </w:t>
      </w:r>
      <w:r>
        <w:rPr>
          <w:szCs w:val="21"/>
        </w:rPr>
        <w:t>老旧小区改造工程施工现场公共道路或现场外临街通道，处于立体交叉作业区域坠物范围之内的应搭设防护棚。</w:t>
      </w:r>
    </w:p>
    <w:p>
      <w:pPr>
        <w:adjustRightInd w:val="0"/>
        <w:snapToGrid w:val="0"/>
        <w:spacing w:line="360" w:lineRule="auto"/>
        <w:rPr>
          <w:szCs w:val="21"/>
        </w:rPr>
      </w:pPr>
      <w:r>
        <w:rPr>
          <w:rFonts w:hint="eastAsia"/>
          <w:b/>
          <w:szCs w:val="21"/>
        </w:rPr>
        <w:t>9.2.5</w:t>
      </w:r>
      <w:r>
        <w:rPr>
          <w:b/>
          <w:szCs w:val="21"/>
        </w:rPr>
        <w:t xml:space="preserve">  </w:t>
      </w:r>
      <w:r>
        <w:rPr>
          <w:szCs w:val="21"/>
        </w:rPr>
        <w:t>配电箱防护棚示意图见图9.2.5，搭设应符合下列规定：</w:t>
      </w:r>
    </w:p>
    <w:p>
      <w:pPr>
        <w:adjustRightInd w:val="0"/>
        <w:snapToGrid w:val="0"/>
        <w:spacing w:line="360" w:lineRule="auto"/>
        <w:ind w:firstLine="320" w:firstLineChars="152"/>
        <w:rPr>
          <w:szCs w:val="21"/>
        </w:rPr>
      </w:pPr>
      <w:r>
        <w:rPr>
          <w:rFonts w:hint="eastAsia"/>
          <w:b/>
          <w:szCs w:val="21"/>
        </w:rPr>
        <w:t>1</w:t>
      </w:r>
      <w:r>
        <w:rPr>
          <w:b/>
          <w:szCs w:val="21"/>
        </w:rPr>
        <w:t xml:space="preserve"> </w:t>
      </w:r>
      <w:r>
        <w:rPr>
          <w:szCs w:val="21"/>
        </w:rPr>
        <w:t>配电箱防护围栏主框架采用40mm×40mm×3mm方钢焊制，立柱采用20mm×20mm×2mm方钢，间距150mm。围栏固定在混凝土承台上，承台高度200mm；</w:t>
      </w:r>
    </w:p>
    <w:p>
      <w:pPr>
        <w:adjustRightInd w:val="0"/>
        <w:snapToGrid w:val="0"/>
        <w:spacing w:line="360" w:lineRule="auto"/>
        <w:ind w:firstLine="320" w:firstLineChars="152"/>
        <w:rPr>
          <w:szCs w:val="21"/>
        </w:rPr>
      </w:pPr>
      <w:r>
        <w:rPr>
          <w:rFonts w:hint="eastAsia"/>
          <w:b/>
          <w:szCs w:val="21"/>
        </w:rPr>
        <w:t xml:space="preserve">2  </w:t>
      </w:r>
      <w:r>
        <w:rPr>
          <w:szCs w:val="21"/>
        </w:rPr>
        <w:t>需采取防砸措施的防护棚顶部采用双层防护，底层为彩钢板，上层为50mm厚脚手板，并设不小于5%坡度的排水坡。</w:t>
      </w:r>
    </w:p>
    <w:p>
      <w:pPr>
        <w:adjustRightInd w:val="0"/>
        <w:snapToGrid w:val="0"/>
        <w:spacing w:line="360" w:lineRule="auto"/>
        <w:ind w:firstLine="27" w:firstLineChars="13"/>
        <w:jc w:val="center"/>
        <w:rPr>
          <w:rFonts w:ascii="宋体" w:hAnsi="宋体"/>
          <w:szCs w:val="21"/>
        </w:rPr>
      </w:pPr>
      <w:r>
        <w:rPr>
          <w:rFonts w:hint="eastAsia" w:ascii="宋体" w:hAnsi="宋体"/>
          <w:szCs w:val="21"/>
        </w:rPr>
        <w:drawing>
          <wp:inline distT="0" distB="0" distL="114300" distR="114300">
            <wp:extent cx="5270500" cy="2486025"/>
            <wp:effectExtent l="0" t="0" r="6350" b="9525"/>
            <wp:docPr id="126" name="图片 55" descr="配电箱防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5" descr="配电箱防护"/>
                    <pic:cNvPicPr>
                      <a:picLocks noChangeAspect="1"/>
                    </pic:cNvPicPr>
                  </pic:nvPicPr>
                  <pic:blipFill>
                    <a:blip r:embed="rId79"/>
                    <a:stretch>
                      <a:fillRect/>
                    </a:stretch>
                  </pic:blipFill>
                  <pic:spPr>
                    <a:xfrm>
                      <a:off x="0" y="0"/>
                      <a:ext cx="5270500" cy="2486025"/>
                    </a:xfrm>
                    <a:prstGeom prst="rect">
                      <a:avLst/>
                    </a:prstGeom>
                    <a:noFill/>
                    <a:ln>
                      <a:noFill/>
                    </a:ln>
                  </pic:spPr>
                </pic:pic>
              </a:graphicData>
            </a:graphic>
          </wp:inline>
        </w:drawing>
      </w:r>
    </w:p>
    <w:p>
      <w:pPr>
        <w:adjustRightInd w:val="0"/>
        <w:snapToGrid w:val="0"/>
        <w:spacing w:line="360" w:lineRule="auto"/>
        <w:ind w:firstLine="23" w:firstLineChars="13"/>
        <w:jc w:val="center"/>
        <w:rPr>
          <w:rFonts w:ascii="黑体" w:hAnsi="黑体" w:eastAsia="黑体"/>
          <w:sz w:val="18"/>
          <w:szCs w:val="18"/>
        </w:rPr>
      </w:pPr>
      <w:r>
        <w:rPr>
          <w:rFonts w:ascii="黑体" w:hAnsi="黑体" w:eastAsia="黑体"/>
          <w:sz w:val="18"/>
          <w:szCs w:val="18"/>
        </w:rPr>
        <w:t>图9.2.5 配电箱防护棚示意图（单位：mm）</w:t>
      </w:r>
    </w:p>
    <w:p>
      <w:pPr>
        <w:adjustRightInd w:val="0"/>
        <w:snapToGrid w:val="0"/>
        <w:spacing w:line="360" w:lineRule="auto"/>
        <w:ind w:firstLine="23" w:firstLineChars="13"/>
        <w:jc w:val="center"/>
        <w:rPr>
          <w:rFonts w:ascii="黑体" w:hAnsi="黑体" w:eastAsia="黑体"/>
          <w:sz w:val="18"/>
          <w:szCs w:val="18"/>
        </w:rPr>
      </w:pPr>
      <w:r>
        <w:rPr>
          <w:rFonts w:ascii="黑体" w:hAnsi="黑体" w:eastAsia="黑体"/>
          <w:sz w:val="18"/>
          <w:szCs w:val="18"/>
        </w:rPr>
        <w:t>1</w:t>
      </w:r>
      <w:r>
        <w:rPr>
          <w:rFonts w:ascii="黑体" w:hAnsi="黑体" w:eastAsia="黑体"/>
          <w:bCs/>
          <w:sz w:val="18"/>
          <w:szCs w:val="18"/>
        </w:rPr>
        <w:t>-</w:t>
      </w:r>
      <w:r>
        <w:rPr>
          <w:rFonts w:ascii="黑体" w:hAnsi="黑体" w:eastAsia="黑体"/>
          <w:sz w:val="18"/>
          <w:szCs w:val="18"/>
        </w:rPr>
        <w:t>螺栓；2</w:t>
      </w:r>
      <w:r>
        <w:rPr>
          <w:rFonts w:ascii="黑体" w:hAnsi="黑体" w:eastAsia="黑体"/>
          <w:bCs/>
          <w:sz w:val="18"/>
          <w:szCs w:val="18"/>
        </w:rPr>
        <w:t>-</w:t>
      </w:r>
      <w:r>
        <w:rPr>
          <w:rFonts w:ascii="黑体" w:hAnsi="黑体" w:eastAsia="黑体"/>
          <w:sz w:val="18"/>
          <w:szCs w:val="18"/>
        </w:rPr>
        <w:t>合页；3</w:t>
      </w:r>
      <w:r>
        <w:rPr>
          <w:rFonts w:ascii="黑体" w:hAnsi="黑体" w:eastAsia="黑体"/>
          <w:bCs/>
          <w:sz w:val="18"/>
          <w:szCs w:val="18"/>
        </w:rPr>
        <w:t>-主框架连接件</w:t>
      </w:r>
    </w:p>
    <w:p>
      <w:pPr>
        <w:adjustRightInd w:val="0"/>
        <w:snapToGrid w:val="0"/>
        <w:spacing w:line="360" w:lineRule="auto"/>
        <w:rPr>
          <w:bCs/>
          <w:szCs w:val="21"/>
        </w:rPr>
      </w:pPr>
      <w:r>
        <w:rPr>
          <w:b/>
          <w:szCs w:val="21"/>
        </w:rPr>
        <w:t xml:space="preserve">9.2.6  </w:t>
      </w:r>
      <w:r>
        <w:rPr>
          <w:bCs/>
          <w:szCs w:val="21"/>
        </w:rPr>
        <w:t>水平安全网防护搭设示意图</w:t>
      </w:r>
      <w:r>
        <w:rPr>
          <w:szCs w:val="21"/>
        </w:rPr>
        <w:t>见图9.2.6，</w:t>
      </w:r>
      <w:r>
        <w:rPr>
          <w:bCs/>
          <w:szCs w:val="21"/>
        </w:rPr>
        <w:t>设置应符合下列要求：</w:t>
      </w:r>
    </w:p>
    <w:p>
      <w:pPr>
        <w:adjustRightInd w:val="0"/>
        <w:snapToGrid w:val="0"/>
        <w:spacing w:line="360" w:lineRule="auto"/>
        <w:ind w:firstLine="339" w:firstLineChars="161"/>
        <w:rPr>
          <w:bCs/>
          <w:szCs w:val="21"/>
        </w:rPr>
      </w:pPr>
      <w:r>
        <w:rPr>
          <w:b/>
          <w:szCs w:val="21"/>
        </w:rPr>
        <w:t>1</w:t>
      </w:r>
      <w:r>
        <w:rPr>
          <w:bCs/>
          <w:szCs w:val="21"/>
        </w:rPr>
        <w:t xml:space="preserve">  首层四周应搭设6m宽的双层水平安全网, 网底距接触面不少于5m；</w:t>
      </w:r>
    </w:p>
    <w:p>
      <w:pPr>
        <w:adjustRightInd w:val="0"/>
        <w:snapToGrid w:val="0"/>
        <w:spacing w:line="360" w:lineRule="auto"/>
        <w:ind w:firstLine="339" w:firstLineChars="161"/>
      </w:pPr>
      <w:r>
        <w:rPr>
          <w:b/>
        </w:rPr>
        <w:t xml:space="preserve">2  </w:t>
      </w:r>
      <w:r>
        <w:t>首层水平安全网以上应不大于10m设置一道3m宽的水平安全网；</w:t>
      </w:r>
    </w:p>
    <w:p>
      <w:pPr>
        <w:adjustRightInd w:val="0"/>
        <w:snapToGrid w:val="0"/>
        <w:spacing w:line="360" w:lineRule="auto"/>
        <w:ind w:firstLine="339" w:firstLineChars="161"/>
        <w:rPr>
          <w:bCs/>
          <w:szCs w:val="21"/>
        </w:rPr>
      </w:pPr>
      <w:r>
        <w:rPr>
          <w:b/>
          <w:szCs w:val="21"/>
        </w:rPr>
        <w:t>3</w:t>
      </w:r>
      <w:r>
        <w:rPr>
          <w:b/>
          <w:bCs/>
          <w:szCs w:val="21"/>
        </w:rPr>
        <w:t xml:space="preserve">  </w:t>
      </w:r>
      <w:r>
        <w:rPr>
          <w:bCs/>
          <w:szCs w:val="21"/>
        </w:rPr>
        <w:t>水平安全网防护搭设时，支撑杆水平夹角不宜小于45︒，当在楼层设支撑杆时，应预理钢筋环或在结构内外侧各设一道横杆，安全防护网应外高里低，网与网之间应连接严密。</w:t>
      </w:r>
    </w:p>
    <w:p>
      <w:pPr>
        <w:adjustRightInd w:val="0"/>
        <w:snapToGrid w:val="0"/>
        <w:spacing w:line="360" w:lineRule="auto"/>
        <w:jc w:val="center"/>
        <w:rPr>
          <w:b/>
          <w:bCs/>
          <w:color w:val="0000FF"/>
          <w:szCs w:val="21"/>
        </w:rPr>
      </w:pPr>
      <w:r>
        <w:rPr>
          <w:szCs w:val="21"/>
        </w:rPr>
        <w:drawing>
          <wp:inline distT="0" distB="0" distL="114300" distR="114300">
            <wp:extent cx="2135505" cy="2879725"/>
            <wp:effectExtent l="0" t="0" r="17145" b="15875"/>
            <wp:docPr id="1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6"/>
                    <pic:cNvPicPr>
                      <a:picLocks noChangeAspect="1"/>
                    </pic:cNvPicPr>
                  </pic:nvPicPr>
                  <pic:blipFill>
                    <a:blip r:embed="rId80"/>
                    <a:stretch>
                      <a:fillRect/>
                    </a:stretch>
                  </pic:blipFill>
                  <pic:spPr>
                    <a:xfrm>
                      <a:off x="0" y="0"/>
                      <a:ext cx="2135505" cy="2879725"/>
                    </a:xfrm>
                    <a:prstGeom prst="rect">
                      <a:avLst/>
                    </a:prstGeom>
                    <a:noFill/>
                    <a:ln>
                      <a:noFill/>
                    </a:ln>
                  </pic:spPr>
                </pic:pic>
              </a:graphicData>
            </a:graphic>
          </wp:inline>
        </w:drawing>
      </w:r>
    </w:p>
    <w:p>
      <w:pPr>
        <w:adjustRightInd w:val="0"/>
        <w:snapToGrid w:val="0"/>
        <w:spacing w:line="360" w:lineRule="auto"/>
        <w:ind w:firstLine="23" w:firstLineChars="13"/>
        <w:jc w:val="center"/>
        <w:rPr>
          <w:rFonts w:ascii="黑体" w:hAnsi="黑体" w:eastAsia="黑体"/>
          <w:sz w:val="18"/>
          <w:szCs w:val="18"/>
        </w:rPr>
      </w:pPr>
      <w:r>
        <w:rPr>
          <w:rFonts w:ascii="黑体" w:hAnsi="黑体" w:eastAsia="黑体"/>
          <w:sz w:val="18"/>
          <w:szCs w:val="18"/>
        </w:rPr>
        <w:t>图9.2.6 水平安全网防护搭设示意图</w:t>
      </w:r>
    </w:p>
    <w:p>
      <w:pPr>
        <w:adjustRightInd w:val="0"/>
        <w:snapToGrid w:val="0"/>
        <w:spacing w:line="360" w:lineRule="auto"/>
        <w:rPr>
          <w:szCs w:val="21"/>
        </w:rPr>
      </w:pPr>
      <w:r>
        <w:rPr>
          <w:rFonts w:hint="eastAsia"/>
          <w:b/>
          <w:szCs w:val="21"/>
        </w:rPr>
        <w:t xml:space="preserve">9.2.7  </w:t>
      </w:r>
      <w:r>
        <w:rPr>
          <w:szCs w:val="21"/>
        </w:rPr>
        <w:t>外立面施工过程中存在垂直方向上的交叉作业时，应设置3m宽的硬质水平安全防护隔离层。</w:t>
      </w:r>
    </w:p>
    <w:bookmarkEnd w:id="133"/>
    <w:bookmarkEnd w:id="134"/>
    <w:bookmarkEnd w:id="136"/>
    <w:bookmarkEnd w:id="137"/>
    <w:p>
      <w:pPr>
        <w:pStyle w:val="2"/>
        <w:numPr>
          <w:ilvl w:val="0"/>
          <w:numId w:val="0"/>
        </w:numPr>
        <w:tabs>
          <w:tab w:val="left" w:pos="750"/>
          <w:tab w:val="clear" w:pos="425"/>
        </w:tabs>
        <w:spacing w:after="312" w:afterLines="100" w:line="360" w:lineRule="auto"/>
        <w:rPr>
          <w:rFonts w:ascii="宋体" w:hAnsi="宋体" w:eastAsia="宋体" w:cs="宋体"/>
          <w:b/>
          <w:bCs/>
          <w:sz w:val="28"/>
          <w:szCs w:val="28"/>
        </w:rPr>
      </w:pPr>
      <w:bookmarkStart w:id="140" w:name="_Toc14925"/>
      <w:bookmarkStart w:id="141" w:name="_Toc20087"/>
      <w:bookmarkStart w:id="142" w:name="_Toc15617"/>
      <w:bookmarkStart w:id="143" w:name="_Toc17947"/>
      <w:bookmarkStart w:id="144" w:name="_Toc11102"/>
      <w:bookmarkStart w:id="145" w:name="_Toc27112"/>
      <w:bookmarkStart w:id="146" w:name="_Toc23097"/>
      <w:bookmarkStart w:id="147" w:name="_Toc21660"/>
      <w:r>
        <w:rPr>
          <w:rFonts w:hint="eastAsia" w:ascii="宋体" w:hAnsi="宋体" w:eastAsia="宋体" w:cs="宋体"/>
          <w:b/>
          <w:bCs/>
          <w:sz w:val="28"/>
          <w:szCs w:val="28"/>
        </w:rPr>
        <w:t>本标准用词说明</w:t>
      </w:r>
      <w:bookmarkEnd w:id="140"/>
      <w:bookmarkEnd w:id="141"/>
      <w:bookmarkEnd w:id="142"/>
      <w:bookmarkEnd w:id="143"/>
      <w:bookmarkEnd w:id="144"/>
      <w:bookmarkEnd w:id="145"/>
      <w:bookmarkEnd w:id="146"/>
      <w:bookmarkEnd w:id="147"/>
    </w:p>
    <w:p>
      <w:pPr>
        <w:pStyle w:val="20"/>
        <w:spacing w:line="360" w:lineRule="auto"/>
        <w:ind w:firstLine="480"/>
        <w:rPr>
          <w:rFonts w:ascii="Times New Roman" w:hAnsi="Times New Roman"/>
          <w:sz w:val="21"/>
          <w:szCs w:val="21"/>
        </w:rPr>
      </w:pPr>
      <w:r>
        <w:rPr>
          <w:rFonts w:ascii="Times New Roman" w:hAnsi="Times New Roman"/>
          <w:b/>
          <w:bCs/>
          <w:kern w:val="0"/>
          <w:sz w:val="21"/>
          <w:szCs w:val="21"/>
        </w:rPr>
        <w:t>1</w:t>
      </w:r>
      <w:r>
        <w:rPr>
          <w:rFonts w:ascii="Times New Roman" w:hAnsi="Times New Roman"/>
          <w:sz w:val="21"/>
          <w:szCs w:val="21"/>
        </w:rPr>
        <w:t xml:space="preserve"> 为便于执行本标准条文时区别对待，对要求严格程度不同的用词说明如下：</w:t>
      </w:r>
    </w:p>
    <w:p>
      <w:pPr>
        <w:pStyle w:val="20"/>
        <w:numPr>
          <w:ilvl w:val="255"/>
          <w:numId w:val="0"/>
        </w:numPr>
        <w:spacing w:line="360" w:lineRule="auto"/>
        <w:ind w:left="498" w:leftChars="237" w:firstLine="443" w:firstLineChars="210"/>
        <w:rPr>
          <w:rFonts w:ascii="Times New Roman" w:hAnsi="Times New Roman"/>
          <w:sz w:val="21"/>
          <w:szCs w:val="21"/>
        </w:rPr>
      </w:pPr>
      <w:r>
        <w:rPr>
          <w:rFonts w:ascii="Times New Roman" w:hAnsi="Times New Roman"/>
          <w:b/>
          <w:bCs/>
          <w:sz w:val="21"/>
          <w:szCs w:val="21"/>
        </w:rPr>
        <w:t>1）</w:t>
      </w:r>
      <w:r>
        <w:rPr>
          <w:rFonts w:ascii="Times New Roman" w:hAnsi="Times New Roman"/>
          <w:sz w:val="21"/>
          <w:szCs w:val="21"/>
        </w:rPr>
        <w:t>表示很严格，非这样做不可的：</w:t>
      </w:r>
    </w:p>
    <w:p>
      <w:pPr>
        <w:pStyle w:val="20"/>
        <w:spacing w:line="360" w:lineRule="auto"/>
        <w:ind w:left="498" w:leftChars="237" w:firstLine="441" w:firstLineChars="210"/>
        <w:rPr>
          <w:rFonts w:ascii="Times New Roman" w:hAnsi="Times New Roman"/>
          <w:sz w:val="21"/>
          <w:szCs w:val="21"/>
        </w:rPr>
      </w:pPr>
      <w:r>
        <w:rPr>
          <w:rFonts w:ascii="Times New Roman" w:hAnsi="Times New Roman"/>
          <w:sz w:val="21"/>
          <w:szCs w:val="21"/>
        </w:rPr>
        <w:t>正面词采用“必须”，反面词采用“严禁”；</w:t>
      </w:r>
    </w:p>
    <w:p>
      <w:pPr>
        <w:pStyle w:val="20"/>
        <w:numPr>
          <w:ilvl w:val="255"/>
          <w:numId w:val="0"/>
        </w:numPr>
        <w:spacing w:line="360" w:lineRule="auto"/>
        <w:ind w:left="498" w:leftChars="237" w:firstLine="443" w:firstLineChars="210"/>
        <w:rPr>
          <w:rFonts w:ascii="Times New Roman" w:hAnsi="Times New Roman"/>
          <w:sz w:val="21"/>
          <w:szCs w:val="21"/>
        </w:rPr>
      </w:pPr>
      <w:r>
        <w:rPr>
          <w:rFonts w:ascii="Times New Roman" w:hAnsi="Times New Roman"/>
          <w:b/>
          <w:bCs/>
          <w:sz w:val="21"/>
          <w:szCs w:val="21"/>
        </w:rPr>
        <w:t>2）</w:t>
      </w:r>
      <w:r>
        <w:rPr>
          <w:rFonts w:ascii="Times New Roman" w:hAnsi="Times New Roman"/>
          <w:sz w:val="21"/>
          <w:szCs w:val="21"/>
        </w:rPr>
        <w:t>表示严格，在正常情况下均应这样做的：</w:t>
      </w:r>
    </w:p>
    <w:p>
      <w:pPr>
        <w:pStyle w:val="20"/>
        <w:spacing w:line="360" w:lineRule="auto"/>
        <w:ind w:left="498" w:leftChars="237" w:firstLine="441" w:firstLineChars="210"/>
        <w:rPr>
          <w:rFonts w:ascii="Times New Roman" w:hAnsi="Times New Roman"/>
          <w:sz w:val="21"/>
          <w:szCs w:val="21"/>
        </w:rPr>
      </w:pPr>
      <w:r>
        <w:rPr>
          <w:rFonts w:ascii="Times New Roman" w:hAnsi="Times New Roman"/>
          <w:sz w:val="21"/>
          <w:szCs w:val="21"/>
        </w:rPr>
        <w:t>正面词采用“应”，反面词采用“不应”或“不得”；</w:t>
      </w:r>
    </w:p>
    <w:p>
      <w:pPr>
        <w:pStyle w:val="20"/>
        <w:numPr>
          <w:ilvl w:val="255"/>
          <w:numId w:val="0"/>
        </w:numPr>
        <w:spacing w:line="360" w:lineRule="auto"/>
        <w:ind w:left="498" w:leftChars="237" w:firstLine="443" w:firstLineChars="210"/>
        <w:rPr>
          <w:rFonts w:ascii="Times New Roman" w:hAnsi="Times New Roman"/>
          <w:sz w:val="21"/>
          <w:szCs w:val="21"/>
        </w:rPr>
      </w:pPr>
      <w:r>
        <w:rPr>
          <w:rFonts w:ascii="Times New Roman" w:hAnsi="Times New Roman"/>
          <w:b/>
          <w:bCs/>
          <w:sz w:val="21"/>
          <w:szCs w:val="21"/>
        </w:rPr>
        <w:t>3）</w:t>
      </w:r>
      <w:r>
        <w:rPr>
          <w:rFonts w:ascii="Times New Roman" w:hAnsi="Times New Roman"/>
          <w:sz w:val="21"/>
          <w:szCs w:val="21"/>
        </w:rPr>
        <w:t>表示允许稍有选择，在条件许可时首先应这样做的：</w:t>
      </w:r>
    </w:p>
    <w:p>
      <w:pPr>
        <w:pStyle w:val="20"/>
        <w:spacing w:line="360" w:lineRule="auto"/>
        <w:ind w:left="498" w:leftChars="237" w:firstLine="441" w:firstLineChars="210"/>
        <w:rPr>
          <w:rFonts w:ascii="Times New Roman" w:hAnsi="Times New Roman"/>
          <w:sz w:val="21"/>
          <w:szCs w:val="21"/>
        </w:rPr>
      </w:pPr>
      <w:r>
        <w:rPr>
          <w:rFonts w:ascii="Times New Roman" w:hAnsi="Times New Roman"/>
          <w:sz w:val="21"/>
          <w:szCs w:val="21"/>
        </w:rPr>
        <w:t>正面词采用“宜”，反面词采用“不宜”；</w:t>
      </w:r>
    </w:p>
    <w:p>
      <w:pPr>
        <w:pStyle w:val="20"/>
        <w:spacing w:line="360" w:lineRule="auto"/>
        <w:ind w:left="498" w:leftChars="237" w:firstLine="443" w:firstLineChars="210"/>
        <w:rPr>
          <w:rFonts w:ascii="Times New Roman" w:hAnsi="Times New Roman"/>
          <w:sz w:val="21"/>
          <w:szCs w:val="21"/>
        </w:rPr>
      </w:pPr>
      <w:r>
        <w:rPr>
          <w:rFonts w:ascii="Times New Roman" w:hAnsi="Times New Roman"/>
          <w:b/>
          <w:bCs/>
          <w:sz w:val="21"/>
          <w:szCs w:val="21"/>
        </w:rPr>
        <w:t>4）</w:t>
      </w:r>
      <w:r>
        <w:rPr>
          <w:rFonts w:ascii="Times New Roman" w:hAnsi="Times New Roman"/>
          <w:sz w:val="21"/>
          <w:szCs w:val="21"/>
        </w:rPr>
        <w:t>表示有选择，在一定条件下可以这样做的，采用“可”。</w:t>
      </w:r>
    </w:p>
    <w:p>
      <w:pPr>
        <w:pStyle w:val="20"/>
        <w:spacing w:line="360" w:lineRule="auto"/>
        <w:ind w:firstLine="480"/>
        <w:rPr>
          <w:rFonts w:ascii="Times New Roman" w:hAnsi="Times New Roman"/>
          <w:sz w:val="21"/>
          <w:szCs w:val="21"/>
        </w:rPr>
      </w:pPr>
      <w:r>
        <w:rPr>
          <w:rFonts w:ascii="Times New Roman" w:hAnsi="Times New Roman"/>
          <w:b/>
          <w:bCs/>
          <w:kern w:val="0"/>
          <w:sz w:val="21"/>
          <w:szCs w:val="21"/>
        </w:rPr>
        <w:t>2</w:t>
      </w:r>
      <w:r>
        <w:rPr>
          <w:rFonts w:ascii="Times New Roman" w:hAnsi="Times New Roman"/>
          <w:sz w:val="21"/>
          <w:szCs w:val="21"/>
        </w:rPr>
        <w:t xml:space="preserve"> 条文中指明应按其他有关标准执行的写法为：“应符合……的规定”或“应按……执行”。</w:t>
      </w:r>
    </w:p>
    <w:p>
      <w:pPr>
        <w:widowControl/>
        <w:jc w:val="left"/>
        <w:rPr>
          <w:rFonts w:ascii="宋体" w:hAnsi="宋体" w:cs="宋体"/>
          <w:b/>
          <w:kern w:val="0"/>
          <w:sz w:val="28"/>
          <w:szCs w:val="28"/>
          <w:lang w:bidi="zh-CN"/>
        </w:rPr>
      </w:pPr>
      <w:bookmarkStart w:id="148" w:name="_Toc19634"/>
      <w:bookmarkStart w:id="149" w:name="_Toc11485"/>
      <w:bookmarkStart w:id="150" w:name="_Toc28846"/>
      <w:bookmarkStart w:id="151" w:name="_Toc22562"/>
      <w:bookmarkStart w:id="152" w:name="_Toc13036"/>
      <w:bookmarkStart w:id="153" w:name="_Toc778"/>
      <w:r>
        <w:rPr>
          <w:rFonts w:hint="eastAsia" w:ascii="宋体" w:hAnsi="宋体" w:cs="宋体"/>
          <w:b/>
          <w:kern w:val="0"/>
          <w:sz w:val="28"/>
          <w:szCs w:val="28"/>
          <w:lang w:bidi="zh-CN"/>
        </w:rPr>
        <w:br w:type="page"/>
      </w:r>
    </w:p>
    <w:p>
      <w:pPr>
        <w:widowControl/>
        <w:spacing w:line="360" w:lineRule="auto"/>
        <w:jc w:val="center"/>
        <w:outlineLvl w:val="0"/>
        <w:rPr>
          <w:rFonts w:ascii="宋体" w:hAnsi="宋体" w:cs="宋体"/>
          <w:b/>
          <w:kern w:val="0"/>
          <w:sz w:val="28"/>
          <w:szCs w:val="28"/>
          <w:lang w:bidi="zh-CN"/>
        </w:rPr>
      </w:pPr>
      <w:bookmarkStart w:id="154" w:name="_Toc13895"/>
      <w:bookmarkStart w:id="155" w:name="_Toc11309"/>
      <w:bookmarkStart w:id="156" w:name="_Toc26824"/>
      <w:r>
        <w:rPr>
          <w:rFonts w:hint="eastAsia" w:ascii="宋体" w:hAnsi="宋体" w:cs="宋体"/>
          <w:b/>
          <w:kern w:val="0"/>
          <w:sz w:val="28"/>
          <w:szCs w:val="28"/>
          <w:lang w:bidi="zh-CN"/>
        </w:rPr>
        <w:t>引用标准名录</w:t>
      </w:r>
      <w:bookmarkEnd w:id="148"/>
      <w:bookmarkEnd w:id="149"/>
      <w:bookmarkEnd w:id="150"/>
      <w:bookmarkEnd w:id="151"/>
      <w:bookmarkEnd w:id="152"/>
      <w:bookmarkEnd w:id="153"/>
      <w:bookmarkEnd w:id="154"/>
      <w:bookmarkEnd w:id="155"/>
      <w:bookmarkEnd w:id="156"/>
    </w:p>
    <w:p>
      <w:pPr>
        <w:pStyle w:val="9"/>
      </w:pPr>
    </w:p>
    <w:tbl>
      <w:tblPr>
        <w:tblStyle w:val="15"/>
        <w:tblW w:w="4998" w:type="pct"/>
        <w:tblInd w:w="0" w:type="dxa"/>
        <w:tblLayout w:type="autofit"/>
        <w:tblCellMar>
          <w:top w:w="0" w:type="dxa"/>
          <w:left w:w="108" w:type="dxa"/>
          <w:bottom w:w="0" w:type="dxa"/>
          <w:right w:w="108" w:type="dxa"/>
        </w:tblCellMar>
      </w:tblPr>
      <w:tblGrid>
        <w:gridCol w:w="426"/>
        <w:gridCol w:w="6715"/>
        <w:gridCol w:w="1378"/>
      </w:tblGrid>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《木结构设计规范》</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50005</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2</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《混凝土结构设计规范》</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50010</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3</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《钢结构焊接规范》</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50661</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4</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《建设工程施工现场消防安全技术规范》</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50720</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5</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《施工脚手架通用规范》</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55023</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6</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《碳素结构钢》</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GB/T 700</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7</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《圆股钢丝绳》</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1102</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8</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《钢筋混凝土用钢第1部分：热轧光圆钢筋》</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1499.1</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9</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《紧固件机械性能螺栓、螺钉和螺柱》</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GB/T 3098.1</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10</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《紧固件机械性能紧定螺钉》</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GB/T 3098.3</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11</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《固定式钢梯及平台安全要求第1部分：钢直梯》</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4053.1</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12</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《固定式钢梯及平台安全要求第2部分：钢斜梯》</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4053.2</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13</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《安全网》</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5725</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14</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《六角头螺栓》</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GB/T 5782</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15</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《安全带》</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 6095</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16</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《高处作业吊篮》</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GB/T 19155</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17</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《钢板网》</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GB/T 33275</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18</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《建筑施工高处作业安全技术规范》</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JGJ 80</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19</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《建筑施工门式钢管脚手架安全技术规范》</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JGJ 128</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20</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《建筑施工扣件式钢管脚手架安全技术规范》</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JGJ 130</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21</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《建筑施工碗扣式钢管脚手架安全技术规范》</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JGJ 166</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22</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《建筑施工工具式脚手架安全技术规范》</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JGJ 202</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widowControl/>
              <w:jc w:val="center"/>
              <w:textAlignment w:val="center"/>
              <w:rPr>
                <w:b/>
                <w:bCs/>
                <w:color w:val="000000"/>
                <w:kern w:val="0"/>
                <w:szCs w:val="21"/>
                <w:lang w:bidi="ar"/>
              </w:rPr>
            </w:pPr>
            <w:r>
              <w:rPr>
                <w:rFonts w:hint="eastAsia"/>
                <w:b/>
                <w:bCs/>
                <w:color w:val="000000"/>
                <w:kern w:val="0"/>
                <w:szCs w:val="21"/>
                <w:lang w:bidi="ar"/>
              </w:rPr>
              <w:t>23</w:t>
            </w:r>
          </w:p>
        </w:tc>
        <w:tc>
          <w:tcPr>
            <w:tcW w:w="4184" w:type="pct"/>
            <w:tcBorders>
              <w:top w:val="nil"/>
              <w:left w:val="nil"/>
              <w:bottom w:val="nil"/>
              <w:right w:val="nil"/>
            </w:tcBorders>
            <w:shd w:val="clear" w:color="auto" w:fill="auto"/>
            <w:noWrap/>
            <w:vAlign w:val="bottom"/>
          </w:tcPr>
          <w:p>
            <w:pPr>
              <w:widowControl/>
              <w:textAlignment w:val="center"/>
              <w:rPr>
                <w:color w:val="000000"/>
                <w:szCs w:val="21"/>
              </w:rPr>
            </w:pPr>
            <w:r>
              <w:rPr>
                <w:color w:val="000000"/>
                <w:kern w:val="0"/>
                <w:szCs w:val="21"/>
                <w:lang w:bidi="ar"/>
              </w:rPr>
              <w:t>《建筑施工承插型盘扣件钢管支架安全技术规程》</w:t>
            </w:r>
          </w:p>
        </w:tc>
        <w:tc>
          <w:tcPr>
            <w:tcW w:w="617" w:type="pct"/>
            <w:tcBorders>
              <w:top w:val="nil"/>
              <w:left w:val="nil"/>
              <w:bottom w:val="nil"/>
              <w:right w:val="nil"/>
            </w:tcBorders>
            <w:shd w:val="clear" w:color="auto" w:fill="auto"/>
            <w:noWrap/>
            <w:vAlign w:val="center"/>
          </w:tcPr>
          <w:p>
            <w:pPr>
              <w:widowControl/>
              <w:jc w:val="left"/>
              <w:textAlignment w:val="center"/>
              <w:rPr>
                <w:color w:val="000000"/>
                <w:sz w:val="22"/>
                <w:szCs w:val="22"/>
              </w:rPr>
            </w:pPr>
            <w:r>
              <w:rPr>
                <w:color w:val="000000"/>
                <w:kern w:val="0"/>
                <w:sz w:val="22"/>
                <w:szCs w:val="22"/>
                <w:lang w:bidi="ar"/>
              </w:rPr>
              <w:t>JGJ 231</w:t>
            </w:r>
          </w:p>
        </w:tc>
      </w:tr>
      <w:tr>
        <w:tblPrEx>
          <w:tblCellMar>
            <w:top w:w="0" w:type="dxa"/>
            <w:left w:w="108" w:type="dxa"/>
            <w:bottom w:w="0" w:type="dxa"/>
            <w:right w:w="108" w:type="dxa"/>
          </w:tblCellMar>
        </w:tblPrEx>
        <w:trPr>
          <w:trHeight w:val="270" w:hRule="atLeast"/>
        </w:trPr>
        <w:tc>
          <w:tcPr>
            <w:tcW w:w="197" w:type="pct"/>
            <w:tcBorders>
              <w:top w:val="nil"/>
              <w:left w:val="nil"/>
              <w:bottom w:val="nil"/>
              <w:right w:val="nil"/>
            </w:tcBorders>
            <w:shd w:val="clear" w:color="auto" w:fill="auto"/>
            <w:noWrap/>
            <w:vAlign w:val="bottom"/>
          </w:tcPr>
          <w:p>
            <w:pPr>
              <w:pStyle w:val="9"/>
              <w:spacing w:line="360" w:lineRule="auto"/>
              <w:jc w:val="center"/>
              <w:rPr>
                <w:b/>
                <w:bCs/>
                <w:sz w:val="21"/>
                <w:szCs w:val="21"/>
              </w:rPr>
            </w:pPr>
            <w:r>
              <w:rPr>
                <w:rFonts w:hint="eastAsia"/>
                <w:b/>
                <w:bCs/>
                <w:sz w:val="21"/>
                <w:szCs w:val="21"/>
              </w:rPr>
              <w:t>24</w:t>
            </w:r>
          </w:p>
        </w:tc>
        <w:tc>
          <w:tcPr>
            <w:tcW w:w="4184" w:type="pct"/>
            <w:tcBorders>
              <w:top w:val="nil"/>
              <w:left w:val="nil"/>
              <w:bottom w:val="nil"/>
              <w:right w:val="nil"/>
            </w:tcBorders>
            <w:shd w:val="clear" w:color="auto" w:fill="auto"/>
            <w:noWrap/>
            <w:vAlign w:val="bottom"/>
          </w:tcPr>
          <w:p>
            <w:pPr>
              <w:pStyle w:val="9"/>
              <w:spacing w:line="360" w:lineRule="auto"/>
              <w:jc w:val="both"/>
              <w:rPr>
                <w:color w:val="000000"/>
                <w:kern w:val="0"/>
                <w:sz w:val="21"/>
                <w:szCs w:val="21"/>
                <w:lang w:bidi="ar"/>
              </w:rPr>
            </w:pPr>
            <w:r>
              <w:rPr>
                <w:sz w:val="21"/>
                <w:szCs w:val="21"/>
              </w:rPr>
              <w:t>《扣件式和碗扣式钢管脚手架安全选用技术规程》</w:t>
            </w:r>
          </w:p>
        </w:tc>
        <w:tc>
          <w:tcPr>
            <w:tcW w:w="617" w:type="pct"/>
            <w:tcBorders>
              <w:top w:val="nil"/>
              <w:left w:val="nil"/>
              <w:bottom w:val="nil"/>
              <w:right w:val="nil"/>
            </w:tcBorders>
            <w:shd w:val="clear" w:color="auto" w:fill="auto"/>
            <w:noWrap/>
            <w:vAlign w:val="center"/>
          </w:tcPr>
          <w:p>
            <w:pPr>
              <w:widowControl/>
              <w:jc w:val="left"/>
              <w:textAlignment w:val="center"/>
              <w:rPr>
                <w:color w:val="000000"/>
                <w:kern w:val="0"/>
                <w:sz w:val="22"/>
                <w:szCs w:val="22"/>
                <w:lang w:bidi="ar"/>
              </w:rPr>
            </w:pPr>
            <w:r>
              <w:rPr>
                <w:szCs w:val="21"/>
              </w:rPr>
              <w:t>DB11/T 583</w:t>
            </w:r>
          </w:p>
        </w:tc>
      </w:tr>
    </w:tbl>
    <w:p>
      <w:r>
        <w:br w:type="page"/>
      </w:r>
    </w:p>
    <w:p>
      <w:pPr>
        <w:jc w:val="center"/>
        <w:rPr>
          <w:rFonts w:eastAsia="黑体"/>
          <w:b/>
          <w:sz w:val="32"/>
          <w:szCs w:val="32"/>
        </w:rPr>
      </w:pPr>
    </w:p>
    <w:p>
      <w:pPr>
        <w:jc w:val="center"/>
        <w:rPr>
          <w:rFonts w:eastAsia="黑体"/>
          <w:b/>
          <w:sz w:val="32"/>
          <w:szCs w:val="32"/>
        </w:rPr>
      </w:pPr>
      <w:r>
        <w:rPr>
          <w:rFonts w:eastAsia="黑体"/>
          <w:b/>
          <w:sz w:val="32"/>
          <w:szCs w:val="32"/>
        </w:rPr>
        <w:t>北京市地方标准</w:t>
      </w:r>
    </w:p>
    <w:p>
      <w:pPr>
        <w:rPr>
          <w:rFonts w:eastAsia="黑体"/>
          <w:b/>
          <w:sz w:val="32"/>
          <w:szCs w:val="32"/>
        </w:rPr>
      </w:pPr>
    </w:p>
    <w:p>
      <w:pPr>
        <w:jc w:val="center"/>
        <w:rPr>
          <w:rFonts w:eastAsia="黑体"/>
          <w:b/>
          <w:sz w:val="32"/>
          <w:szCs w:val="32"/>
        </w:rPr>
      </w:pPr>
    </w:p>
    <w:p>
      <w:pPr>
        <w:pStyle w:val="23"/>
        <w:spacing w:line="240" w:lineRule="auto"/>
        <w:rPr>
          <w:rFonts w:ascii="Times New Roman"/>
          <w:sz w:val="44"/>
          <w:szCs w:val="44"/>
        </w:rPr>
      </w:pPr>
      <w:r>
        <w:rPr>
          <w:rFonts w:ascii="Times New Roman"/>
          <w:sz w:val="44"/>
          <w:szCs w:val="44"/>
        </w:rPr>
        <w:t>建设工程施工现场安全防护、场容卫生及消防保卫标准 第2部分：防护设施</w:t>
      </w:r>
    </w:p>
    <w:p>
      <w:pPr>
        <w:pStyle w:val="23"/>
        <w:spacing w:line="240" w:lineRule="auto"/>
        <w:rPr>
          <w:rFonts w:ascii="Times New Roman"/>
          <w:sz w:val="28"/>
          <w:szCs w:val="28"/>
        </w:rPr>
      </w:pPr>
      <w:r>
        <w:rPr>
          <w:rFonts w:ascii="Times New Roman"/>
          <w:sz w:val="28"/>
          <w:szCs w:val="28"/>
        </w:rPr>
        <w:t xml:space="preserve">Technical specification of security protection facilities in construction site Second parts(Part </w:t>
      </w:r>
      <w:r>
        <w:rPr>
          <w:rFonts w:hint="eastAsia" w:hAnsi="黑体"/>
          <w:sz w:val="28"/>
          <w:szCs w:val="28"/>
        </w:rPr>
        <w:t>Ⅱ</w:t>
      </w:r>
      <w:r>
        <w:rPr>
          <w:rFonts w:ascii="Times New Roman"/>
          <w:sz w:val="28"/>
          <w:szCs w:val="28"/>
        </w:rPr>
        <w:t>): protective equipment</w:t>
      </w:r>
    </w:p>
    <w:p>
      <w:pPr>
        <w:pStyle w:val="9"/>
        <w:rPr>
          <w:rFonts w:ascii="宋体" w:hAnsi="宋体" w:cs="宋体"/>
          <w:sz w:val="40"/>
          <w:szCs w:val="22"/>
        </w:rPr>
      </w:pPr>
    </w:p>
    <w:p>
      <w:pPr>
        <w:pStyle w:val="9"/>
        <w:rPr>
          <w:rFonts w:ascii="宋体" w:hAnsi="宋体" w:cs="宋体"/>
          <w:sz w:val="40"/>
          <w:szCs w:val="22"/>
        </w:rPr>
      </w:pPr>
    </w:p>
    <w:p>
      <w:pPr>
        <w:pStyle w:val="9"/>
        <w:jc w:val="center"/>
        <w:outlineLvl w:val="0"/>
        <w:rPr>
          <w:sz w:val="32"/>
          <w:szCs w:val="32"/>
        </w:rPr>
      </w:pPr>
      <w:bookmarkStart w:id="157" w:name="_Toc12400"/>
      <w:bookmarkStart w:id="158" w:name="_Toc897"/>
      <w:bookmarkStart w:id="159" w:name="_Toc14457"/>
      <w:bookmarkStart w:id="160" w:name="_Toc24595"/>
      <w:r>
        <w:rPr>
          <w:rFonts w:hint="eastAsia"/>
          <w:sz w:val="32"/>
          <w:szCs w:val="32"/>
        </w:rPr>
        <w:t>条文说明</w:t>
      </w:r>
      <w:bookmarkEnd w:id="157"/>
      <w:bookmarkEnd w:id="158"/>
      <w:bookmarkEnd w:id="159"/>
      <w:bookmarkEnd w:id="160"/>
    </w:p>
    <w:p>
      <w:pPr>
        <w:pStyle w:val="9"/>
        <w:rPr>
          <w:sz w:val="28"/>
          <w:szCs w:val="28"/>
        </w:rPr>
      </w:pPr>
      <w:r>
        <w:rPr>
          <w:rFonts w:hint="eastAsia"/>
          <w:sz w:val="32"/>
          <w:szCs w:val="32"/>
        </w:rPr>
        <w:br w:type="page"/>
      </w:r>
    </w:p>
    <w:p>
      <w:pPr>
        <w:adjustRightInd w:val="0"/>
        <w:snapToGrid w:val="0"/>
        <w:spacing w:before="100" w:after="90" w:line="360" w:lineRule="auto"/>
        <w:jc w:val="center"/>
        <w:outlineLvl w:val="0"/>
        <w:rPr>
          <w:b/>
          <w:sz w:val="28"/>
          <w:szCs w:val="28"/>
        </w:rPr>
      </w:pPr>
      <w:bookmarkStart w:id="161" w:name="_Toc20566"/>
      <w:bookmarkStart w:id="162" w:name="_Toc19054"/>
      <w:bookmarkStart w:id="163" w:name="_Toc24094"/>
      <w:bookmarkStart w:id="164" w:name="_Toc21705"/>
      <w:r>
        <w:rPr>
          <w:b/>
          <w:sz w:val="28"/>
          <w:szCs w:val="28"/>
        </w:rPr>
        <w:t>4  脚手架作业安全防护</w:t>
      </w:r>
      <w:bookmarkEnd w:id="161"/>
      <w:bookmarkEnd w:id="162"/>
      <w:bookmarkEnd w:id="163"/>
      <w:bookmarkEnd w:id="164"/>
    </w:p>
    <w:p>
      <w:pPr>
        <w:pStyle w:val="3"/>
        <w:rPr>
          <w:rFonts w:ascii="Times New Roman" w:hAnsi="Times New Roman" w:cs="Times New Roman"/>
        </w:rPr>
      </w:pPr>
      <w:bookmarkStart w:id="165" w:name="_Toc6689"/>
      <w:bookmarkStart w:id="166" w:name="_Toc4769"/>
      <w:bookmarkStart w:id="167" w:name="_Toc3812"/>
      <w:bookmarkStart w:id="168" w:name="_Toc16262"/>
      <w:r>
        <w:rPr>
          <w:rFonts w:ascii="Times New Roman" w:hAnsi="Times New Roman" w:cs="Times New Roman"/>
          <w:color w:val="auto"/>
        </w:rPr>
        <w:t>4.1  一般规定</w:t>
      </w:r>
      <w:bookmarkEnd w:id="165"/>
      <w:bookmarkEnd w:id="166"/>
      <w:bookmarkEnd w:id="167"/>
      <w:bookmarkEnd w:id="168"/>
    </w:p>
    <w:p>
      <w:pPr>
        <w:spacing w:line="360" w:lineRule="auto"/>
        <w:rPr>
          <w:bCs/>
          <w:szCs w:val="21"/>
        </w:rPr>
      </w:pPr>
      <w:r>
        <w:rPr>
          <w:rFonts w:hint="eastAsia"/>
          <w:b/>
          <w:bCs/>
          <w:szCs w:val="21"/>
        </w:rPr>
        <w:t>4.1.2</w:t>
      </w:r>
      <w:r>
        <w:rPr>
          <w:szCs w:val="21"/>
        </w:rPr>
        <w:t xml:space="preserve">  本条明确了允许使用钢板网作为防护网，不再限定单一的密目式安全立网，钢板网应符合现行国家标准《钢板网》GB/T 33275的规定。</w:t>
      </w:r>
    </w:p>
    <w:p>
      <w:pPr>
        <w:pStyle w:val="3"/>
        <w:rPr>
          <w:rFonts w:ascii="Times New Roman" w:hAnsi="Times New Roman" w:eastAsia="黑体" w:cs="Times New Roman"/>
          <w:color w:val="auto"/>
        </w:rPr>
      </w:pPr>
      <w:bookmarkStart w:id="169" w:name="_Toc27844"/>
      <w:bookmarkStart w:id="170" w:name="_Toc1317"/>
      <w:bookmarkStart w:id="171" w:name="_Toc13731"/>
      <w:bookmarkStart w:id="172" w:name="_Toc23234"/>
      <w:r>
        <w:rPr>
          <w:rFonts w:ascii="Times New Roman" w:hAnsi="Times New Roman" w:cs="Times New Roman"/>
          <w:color w:val="auto"/>
        </w:rPr>
        <w:t>4.2  一般脚手架作业安全防护</w:t>
      </w:r>
      <w:bookmarkEnd w:id="169"/>
      <w:bookmarkEnd w:id="170"/>
      <w:bookmarkEnd w:id="171"/>
      <w:bookmarkEnd w:id="172"/>
    </w:p>
    <w:p>
      <w:pPr>
        <w:spacing w:line="360" w:lineRule="auto"/>
        <w:rPr>
          <w:szCs w:val="21"/>
        </w:rPr>
      </w:pPr>
      <w:r>
        <w:rPr>
          <w:rFonts w:hint="eastAsia"/>
          <w:b/>
          <w:bCs/>
          <w:szCs w:val="21"/>
        </w:rPr>
        <w:t>4.2.2</w:t>
      </w:r>
      <w:r>
        <w:rPr>
          <w:b/>
          <w:szCs w:val="21"/>
        </w:rPr>
        <w:t xml:space="preserve">  </w:t>
      </w:r>
      <w:r>
        <w:rPr>
          <w:szCs w:val="21"/>
        </w:rPr>
        <w:t>开口型双排脚手架的两端必须设置连墙件和横向斜撑是行业标准《建筑施工扣件式脚手架安全技术规范》JGJ 130的强制性要求。</w:t>
      </w:r>
    </w:p>
    <w:p>
      <w:pPr>
        <w:spacing w:line="360" w:lineRule="auto"/>
        <w:rPr>
          <w:szCs w:val="21"/>
        </w:rPr>
      </w:pPr>
      <w:r>
        <w:rPr>
          <w:rFonts w:hint="eastAsia"/>
          <w:b/>
          <w:bCs/>
          <w:szCs w:val="21"/>
        </w:rPr>
        <w:t>4.2.4</w:t>
      </w:r>
      <w:r>
        <w:rPr>
          <w:b/>
          <w:szCs w:val="21"/>
        </w:rPr>
        <w:t xml:space="preserve">  </w:t>
      </w:r>
      <w:r>
        <w:rPr>
          <w:szCs w:val="21"/>
        </w:rPr>
        <w:t>作业层外侧的防护栏杆应设置两道，上道栏杆安装高度为1.2m，下道栏杆居中布置。挡脚板应设在距作业层面180mm高的位置。栏杆、挡脚板应与立杆固定牢固。</w:t>
      </w:r>
    </w:p>
    <w:p>
      <w:pPr>
        <w:pStyle w:val="3"/>
        <w:rPr>
          <w:rFonts w:ascii="Times New Roman" w:hAnsi="Times New Roman" w:cs="Times New Roman"/>
          <w:color w:val="auto"/>
        </w:rPr>
      </w:pPr>
      <w:bookmarkStart w:id="173" w:name="_Toc30811"/>
      <w:bookmarkStart w:id="174" w:name="_Toc24428"/>
      <w:bookmarkStart w:id="175" w:name="_Toc11477"/>
      <w:bookmarkStart w:id="176" w:name="_Toc20770"/>
      <w:r>
        <w:rPr>
          <w:rFonts w:ascii="Times New Roman" w:hAnsi="Times New Roman" w:cs="Times New Roman"/>
          <w:color w:val="auto"/>
        </w:rPr>
        <w:t>4.3  工具式脚手架作业防护</w:t>
      </w:r>
      <w:bookmarkEnd w:id="173"/>
      <w:bookmarkEnd w:id="174"/>
      <w:bookmarkEnd w:id="175"/>
      <w:bookmarkEnd w:id="176"/>
    </w:p>
    <w:p>
      <w:pPr>
        <w:spacing w:line="360" w:lineRule="auto"/>
        <w:rPr>
          <w:szCs w:val="21"/>
        </w:rPr>
      </w:pPr>
      <w:r>
        <w:rPr>
          <w:rFonts w:hint="eastAsia"/>
          <w:b/>
          <w:bCs/>
          <w:szCs w:val="21"/>
        </w:rPr>
        <w:t xml:space="preserve">4.3.1～4.3.4 </w:t>
      </w:r>
      <w:r>
        <w:rPr>
          <w:b/>
          <w:bCs/>
          <w:szCs w:val="21"/>
        </w:rPr>
        <w:t xml:space="preserve"> </w:t>
      </w:r>
      <w:r>
        <w:rPr>
          <w:szCs w:val="21"/>
        </w:rPr>
        <w:t>这4条依据现行国家标准《高处作业吊篮》GB/T 19155</w:t>
      </w:r>
      <w:r>
        <w:rPr>
          <w:rFonts w:hint="eastAsia"/>
          <w:szCs w:val="21"/>
        </w:rPr>
        <w:t>和现行行业标准</w:t>
      </w:r>
      <w:r>
        <w:rPr>
          <w:szCs w:val="21"/>
        </w:rPr>
        <w:t>《建筑施工工具式脚手架安全技术规范》JGJ 202相关条款进行了修订。</w:t>
      </w:r>
    </w:p>
    <w:p>
      <w:pPr>
        <w:spacing w:line="360" w:lineRule="auto"/>
        <w:jc w:val="left"/>
        <w:rPr>
          <w:szCs w:val="21"/>
        </w:rPr>
      </w:pPr>
      <w:r>
        <w:rPr>
          <w:rFonts w:hint="eastAsia"/>
          <w:b/>
          <w:bCs/>
          <w:szCs w:val="21"/>
        </w:rPr>
        <w:t xml:space="preserve">4.3.5 </w:t>
      </w:r>
      <w:r>
        <w:rPr>
          <w:b/>
          <w:bCs/>
          <w:szCs w:val="21"/>
        </w:rPr>
        <w:t xml:space="preserve"> </w:t>
      </w:r>
      <w:r>
        <w:rPr>
          <w:szCs w:val="21"/>
        </w:rPr>
        <w:t>施工现场的吊篮应采用定型产品。</w:t>
      </w:r>
    </w:p>
    <w:p>
      <w:pPr>
        <w:spacing w:line="360" w:lineRule="auto"/>
        <w:jc w:val="left"/>
        <w:rPr>
          <w:szCs w:val="21"/>
        </w:rPr>
      </w:pPr>
      <w:r>
        <w:rPr>
          <w:rFonts w:hint="eastAsia"/>
          <w:b/>
          <w:bCs/>
          <w:szCs w:val="21"/>
        </w:rPr>
        <w:t xml:space="preserve">4.3.9～4.3.13 </w:t>
      </w:r>
      <w:r>
        <w:rPr>
          <w:b/>
          <w:bCs/>
          <w:szCs w:val="21"/>
        </w:rPr>
        <w:t xml:space="preserve"> </w:t>
      </w:r>
      <w:r>
        <w:rPr>
          <w:szCs w:val="21"/>
        </w:rPr>
        <w:t>依据现行国家标准《建筑施工工具式脚手架安全技术规范》JGJ 202</w:t>
      </w:r>
      <w:r>
        <w:rPr>
          <w:rFonts w:hint="eastAsia"/>
          <w:szCs w:val="21"/>
        </w:rPr>
        <w:t>和</w:t>
      </w:r>
      <w:r>
        <w:rPr>
          <w:szCs w:val="21"/>
        </w:rPr>
        <w:t>《北京市建设工程施工现场附着式升降脚手架安全使用管理办法》相关条款进行了修订。</w:t>
      </w:r>
    </w:p>
    <w:p>
      <w:pPr>
        <w:spacing w:line="360" w:lineRule="auto"/>
        <w:jc w:val="center"/>
        <w:rPr>
          <w:rFonts w:eastAsia="黑体"/>
          <w:b/>
          <w:bCs/>
          <w:szCs w:val="21"/>
        </w:rPr>
      </w:pPr>
    </w:p>
    <w:p>
      <w:pPr>
        <w:spacing w:line="360" w:lineRule="auto"/>
        <w:jc w:val="center"/>
        <w:outlineLvl w:val="1"/>
        <w:rPr>
          <w:rFonts w:eastAsia="黑体"/>
          <w:b/>
          <w:bCs/>
          <w:szCs w:val="21"/>
        </w:rPr>
      </w:pPr>
      <w:bookmarkStart w:id="177" w:name="_Toc12546"/>
      <w:bookmarkStart w:id="178" w:name="_Toc27728"/>
      <w:bookmarkStart w:id="179" w:name="_Toc18038"/>
      <w:bookmarkStart w:id="180" w:name="_Toc30177"/>
      <w:r>
        <w:rPr>
          <w:b/>
          <w:bCs/>
          <w:szCs w:val="21"/>
        </w:rPr>
        <w:t>4.4  拉杆式悬挑脚手架</w:t>
      </w:r>
      <w:bookmarkEnd w:id="177"/>
      <w:bookmarkEnd w:id="178"/>
      <w:bookmarkEnd w:id="179"/>
      <w:bookmarkEnd w:id="180"/>
    </w:p>
    <w:p>
      <w:pPr>
        <w:spacing w:line="360" w:lineRule="auto"/>
        <w:jc w:val="left"/>
        <w:rPr>
          <w:szCs w:val="21"/>
        </w:rPr>
      </w:pPr>
      <w:r>
        <w:rPr>
          <w:rFonts w:hint="eastAsia"/>
          <w:b/>
          <w:bCs/>
          <w:szCs w:val="21"/>
        </w:rPr>
        <w:t xml:space="preserve">4.4.1 </w:t>
      </w:r>
      <w:r>
        <w:rPr>
          <w:b/>
          <w:bCs/>
          <w:szCs w:val="21"/>
        </w:rPr>
        <w:t xml:space="preserve"> </w:t>
      </w:r>
      <w:r>
        <w:rPr>
          <w:szCs w:val="21"/>
        </w:rPr>
        <w:t>本条对拉杆式悬挑脚手架的搭设及拆除进行了规定。</w:t>
      </w:r>
    </w:p>
    <w:p>
      <w:pPr>
        <w:pStyle w:val="3"/>
        <w:rPr>
          <w:rFonts w:ascii="Times New Roman" w:hAnsi="Times New Roman" w:eastAsia="黑体" w:cs="Times New Roman"/>
        </w:rPr>
      </w:pPr>
      <w:bookmarkStart w:id="181" w:name="_Toc7901"/>
      <w:bookmarkStart w:id="182" w:name="_Toc2834"/>
      <w:bookmarkStart w:id="183" w:name="_Toc755"/>
      <w:bookmarkStart w:id="184" w:name="_Toc31766"/>
      <w:r>
        <w:rPr>
          <w:rFonts w:ascii="Times New Roman" w:hAnsi="Times New Roman" w:cs="Times New Roman"/>
          <w:color w:val="auto"/>
        </w:rPr>
        <w:t>4.5  三角桁架悬挑脚手架安全防护</w:t>
      </w:r>
      <w:bookmarkEnd w:id="181"/>
      <w:bookmarkEnd w:id="182"/>
      <w:bookmarkEnd w:id="183"/>
      <w:bookmarkEnd w:id="184"/>
    </w:p>
    <w:p>
      <w:pPr>
        <w:spacing w:line="360" w:lineRule="auto"/>
        <w:jc w:val="left"/>
        <w:rPr>
          <w:szCs w:val="21"/>
        </w:rPr>
      </w:pPr>
      <w:r>
        <w:rPr>
          <w:rFonts w:hint="eastAsia"/>
          <w:b/>
          <w:bCs/>
          <w:szCs w:val="21"/>
        </w:rPr>
        <w:t xml:space="preserve">4.5.3 </w:t>
      </w:r>
      <w:r>
        <w:rPr>
          <w:szCs w:val="21"/>
        </w:rPr>
        <w:t>当作业脚手架作业层边缘与结构外表面的距离大于150mm时，极易发生人员坠落安全事故，因此本规范要求采取防护措施，可在作业脚手架作业层内侧设置水平防护网、翻板等措施防护。</w:t>
      </w:r>
    </w:p>
    <w:p>
      <w:pPr>
        <w:pStyle w:val="9"/>
        <w:jc w:val="center"/>
        <w:rPr>
          <w:sz w:val="21"/>
          <w:szCs w:val="21"/>
        </w:rPr>
      </w:pPr>
    </w:p>
    <w:p>
      <w:pPr>
        <w:rPr>
          <w:szCs w:val="21"/>
        </w:rPr>
      </w:pPr>
      <w:r>
        <w:rPr>
          <w:rFonts w:hint="eastAsia"/>
          <w:szCs w:val="21"/>
        </w:rPr>
        <w:br w:type="page"/>
      </w:r>
    </w:p>
    <w:p>
      <w:pPr>
        <w:adjustRightInd w:val="0"/>
        <w:snapToGrid w:val="0"/>
        <w:spacing w:line="360" w:lineRule="auto"/>
        <w:jc w:val="center"/>
        <w:outlineLvl w:val="0"/>
        <w:rPr>
          <w:b/>
          <w:bCs/>
          <w:kern w:val="44"/>
          <w:sz w:val="28"/>
          <w:szCs w:val="28"/>
        </w:rPr>
      </w:pPr>
      <w:bookmarkStart w:id="185" w:name="_Toc17821"/>
      <w:bookmarkStart w:id="186" w:name="_Toc21435"/>
      <w:bookmarkStart w:id="187" w:name="_Toc15900"/>
      <w:bookmarkStart w:id="188" w:name="_Toc23074"/>
      <w:r>
        <w:rPr>
          <w:b/>
          <w:bCs/>
          <w:kern w:val="44"/>
          <w:sz w:val="28"/>
          <w:szCs w:val="28"/>
        </w:rPr>
        <w:t>5  临边安全防护</w:t>
      </w:r>
      <w:bookmarkEnd w:id="185"/>
      <w:bookmarkEnd w:id="186"/>
      <w:bookmarkEnd w:id="187"/>
      <w:bookmarkEnd w:id="188"/>
    </w:p>
    <w:p>
      <w:pPr>
        <w:adjustRightInd w:val="0"/>
        <w:snapToGrid w:val="0"/>
        <w:spacing w:line="360" w:lineRule="auto"/>
        <w:jc w:val="center"/>
        <w:rPr>
          <w:b/>
          <w:bCs/>
          <w:kern w:val="44"/>
          <w:sz w:val="26"/>
          <w:szCs w:val="26"/>
        </w:rPr>
      </w:pPr>
    </w:p>
    <w:p>
      <w:pPr>
        <w:adjustRightInd w:val="0"/>
        <w:snapToGrid w:val="0"/>
        <w:spacing w:line="360" w:lineRule="auto"/>
        <w:jc w:val="center"/>
        <w:outlineLvl w:val="1"/>
        <w:rPr>
          <w:b/>
          <w:szCs w:val="21"/>
        </w:rPr>
      </w:pPr>
      <w:bookmarkStart w:id="189" w:name="_Toc30627"/>
      <w:bookmarkStart w:id="190" w:name="_Toc30651"/>
      <w:bookmarkStart w:id="191" w:name="_Toc1789"/>
      <w:bookmarkStart w:id="192" w:name="_Toc29402"/>
      <w:r>
        <w:rPr>
          <w:b/>
          <w:szCs w:val="21"/>
        </w:rPr>
        <w:t>5.2  防护设施</w:t>
      </w:r>
      <w:bookmarkEnd w:id="189"/>
      <w:bookmarkEnd w:id="190"/>
      <w:bookmarkEnd w:id="191"/>
      <w:bookmarkEnd w:id="192"/>
    </w:p>
    <w:p>
      <w:pPr>
        <w:adjustRightInd w:val="0"/>
        <w:snapToGrid w:val="0"/>
        <w:spacing w:line="360" w:lineRule="auto"/>
        <w:rPr>
          <w:szCs w:val="21"/>
        </w:rPr>
      </w:pPr>
      <w:r>
        <w:rPr>
          <w:b/>
          <w:szCs w:val="21"/>
        </w:rPr>
        <w:t xml:space="preserve">5.2.2~5.2.3 </w:t>
      </w:r>
      <w:r>
        <w:rPr>
          <w:rFonts w:hint="eastAsia"/>
          <w:b/>
          <w:szCs w:val="21"/>
        </w:rPr>
        <w:t xml:space="preserve"> </w:t>
      </w:r>
      <w:r>
        <w:rPr>
          <w:rFonts w:hint="eastAsia"/>
          <w:szCs w:val="21"/>
        </w:rPr>
        <w:t>增大</w:t>
      </w:r>
      <w:r>
        <w:rPr>
          <w:szCs w:val="21"/>
        </w:rPr>
        <w:t>连接钢板尺寸</w:t>
      </w:r>
      <w:r>
        <w:rPr>
          <w:rFonts w:hint="eastAsia"/>
          <w:szCs w:val="21"/>
        </w:rPr>
        <w:t>和连接螺栓规格</w:t>
      </w:r>
      <w:r>
        <w:rPr>
          <w:szCs w:val="21"/>
        </w:rPr>
        <w:t>，</w:t>
      </w:r>
      <w:r>
        <w:rPr>
          <w:rFonts w:hint="eastAsia"/>
          <w:szCs w:val="21"/>
        </w:rPr>
        <w:t>有</w:t>
      </w:r>
      <w:r>
        <w:rPr>
          <w:szCs w:val="21"/>
        </w:rPr>
        <w:t>利于防护</w:t>
      </w:r>
      <w:r>
        <w:rPr>
          <w:rFonts w:hint="eastAsia"/>
          <w:szCs w:val="21"/>
        </w:rPr>
        <w:t>设施整体</w:t>
      </w:r>
      <w:r>
        <w:rPr>
          <w:szCs w:val="21"/>
        </w:rPr>
        <w:t>的稳定和安全。</w:t>
      </w:r>
    </w:p>
    <w:p>
      <w:pPr>
        <w:adjustRightInd w:val="0"/>
        <w:snapToGrid w:val="0"/>
        <w:spacing w:line="360" w:lineRule="auto"/>
        <w:jc w:val="center"/>
        <w:outlineLvl w:val="1"/>
        <w:rPr>
          <w:b/>
          <w:szCs w:val="21"/>
        </w:rPr>
      </w:pPr>
      <w:bookmarkStart w:id="193" w:name="_Toc4439"/>
      <w:bookmarkStart w:id="194" w:name="_Toc22199"/>
      <w:bookmarkStart w:id="195" w:name="_Toc5083"/>
      <w:bookmarkStart w:id="196" w:name="_Toc15175"/>
      <w:r>
        <w:rPr>
          <w:b/>
          <w:szCs w:val="21"/>
        </w:rPr>
        <w:t>5.4  其他</w:t>
      </w:r>
      <w:bookmarkEnd w:id="193"/>
      <w:bookmarkEnd w:id="194"/>
      <w:bookmarkEnd w:id="195"/>
      <w:bookmarkEnd w:id="196"/>
    </w:p>
    <w:p>
      <w:pPr>
        <w:adjustRightInd w:val="0"/>
        <w:snapToGrid w:val="0"/>
        <w:spacing w:line="360" w:lineRule="auto"/>
        <w:rPr>
          <w:bCs/>
          <w:szCs w:val="21"/>
        </w:rPr>
      </w:pPr>
      <w:r>
        <w:rPr>
          <w:b/>
          <w:szCs w:val="21"/>
        </w:rPr>
        <w:t xml:space="preserve">5.4.1 </w:t>
      </w:r>
      <w:r>
        <w:rPr>
          <w:rFonts w:hint="eastAsia"/>
          <w:b/>
          <w:szCs w:val="21"/>
        </w:rPr>
        <w:t xml:space="preserve"> </w:t>
      </w:r>
      <w:r>
        <w:rPr>
          <w:rFonts w:hint="eastAsia"/>
          <w:szCs w:val="21"/>
        </w:rPr>
        <w:t>无脚手架围护的作业面临边区域、高低跨区域、后甩区域等部位，存在</w:t>
      </w:r>
      <w:r>
        <w:rPr>
          <w:rFonts w:hint="eastAsia"/>
          <w:bCs/>
          <w:szCs w:val="21"/>
        </w:rPr>
        <w:t>高处坠落和物体打击风险</w:t>
      </w:r>
      <w:r>
        <w:rPr>
          <w:rFonts w:hint="eastAsia"/>
          <w:szCs w:val="21"/>
        </w:rPr>
        <w:t>，规范设置临边防护设施，</w:t>
      </w:r>
      <w:r>
        <w:rPr>
          <w:rFonts w:hint="eastAsia"/>
          <w:bCs/>
          <w:szCs w:val="21"/>
        </w:rPr>
        <w:t>能有效防止人员和材料坠落，降低安全风险。</w:t>
      </w:r>
    </w:p>
    <w:p>
      <w:pPr>
        <w:adjustRightInd w:val="0"/>
        <w:snapToGrid w:val="0"/>
        <w:spacing w:line="360" w:lineRule="auto"/>
        <w:rPr>
          <w:b/>
          <w:bCs/>
          <w:szCs w:val="21"/>
        </w:rPr>
      </w:pPr>
      <w:r>
        <w:rPr>
          <w:b/>
          <w:szCs w:val="21"/>
        </w:rPr>
        <w:t>5.4.2</w:t>
      </w:r>
      <w:r>
        <w:rPr>
          <w:rFonts w:hint="eastAsia"/>
          <w:b/>
          <w:szCs w:val="21"/>
        </w:rPr>
        <w:t>、</w:t>
      </w:r>
      <w:r>
        <w:rPr>
          <w:b/>
          <w:szCs w:val="21"/>
        </w:rPr>
        <w:t xml:space="preserve">5.4.3 </w:t>
      </w:r>
      <w:r>
        <w:rPr>
          <w:rFonts w:hint="eastAsia"/>
          <w:b/>
          <w:szCs w:val="21"/>
        </w:rPr>
        <w:t xml:space="preserve"> </w:t>
      </w:r>
      <w:r>
        <w:rPr>
          <w:rFonts w:hint="eastAsia"/>
          <w:bCs/>
          <w:szCs w:val="21"/>
        </w:rPr>
        <w:t>本条依据现行北京市地方标准《市政基础设施工程暗挖施工安全技术规程》DB11/T 1944和《城市轨道交通工程施工安全检查与评价规范》DB11/T 2098</w:t>
      </w:r>
      <w:r>
        <w:rPr>
          <w:rFonts w:hint="eastAsia"/>
          <w:szCs w:val="21"/>
        </w:rPr>
        <w:t>的相关规</w:t>
      </w:r>
      <w:r>
        <w:rPr>
          <w:rFonts w:hint="eastAsia"/>
          <w:bCs/>
          <w:szCs w:val="21"/>
        </w:rPr>
        <w:t>定，</w:t>
      </w:r>
      <w:r>
        <w:rPr>
          <w:rFonts w:hint="eastAsia"/>
          <w:szCs w:val="21"/>
        </w:rPr>
        <w:t>卸渣口底部挡堰、防倾覆钢索应固定牢固，并满足强度要求。</w:t>
      </w:r>
    </w:p>
    <w:p>
      <w:pPr>
        <w:adjustRightInd w:val="0"/>
        <w:snapToGrid w:val="0"/>
        <w:spacing w:line="360" w:lineRule="auto"/>
        <w:rPr>
          <w:szCs w:val="21"/>
        </w:rPr>
      </w:pPr>
      <w:r>
        <w:rPr>
          <w:b/>
          <w:szCs w:val="21"/>
        </w:rPr>
        <w:t>5.4.4</w:t>
      </w:r>
      <w:r>
        <w:rPr>
          <w:rFonts w:hint="eastAsia"/>
          <w:b/>
          <w:szCs w:val="21"/>
        </w:rPr>
        <w:t>、</w:t>
      </w:r>
      <w:r>
        <w:rPr>
          <w:b/>
          <w:szCs w:val="21"/>
        </w:rPr>
        <w:t xml:space="preserve">5.4.5 </w:t>
      </w:r>
      <w:r>
        <w:rPr>
          <w:rFonts w:hint="eastAsia"/>
          <w:b/>
          <w:szCs w:val="21"/>
        </w:rPr>
        <w:t xml:space="preserve"> </w:t>
      </w:r>
      <w:r>
        <w:rPr>
          <w:rFonts w:hint="eastAsia"/>
          <w:bCs/>
          <w:szCs w:val="21"/>
        </w:rPr>
        <w:t>本条依据现行行业标准</w:t>
      </w:r>
      <w:r>
        <w:rPr>
          <w:rFonts w:hint="eastAsia"/>
          <w:szCs w:val="21"/>
        </w:rPr>
        <w:t>《建筑拆除工程安全技术规范》JGJ</w:t>
      </w:r>
      <w:r>
        <w:rPr>
          <w:rFonts w:hint="eastAsia"/>
          <w:bCs/>
          <w:szCs w:val="21"/>
        </w:rPr>
        <w:t xml:space="preserve"> </w:t>
      </w:r>
      <w:r>
        <w:rPr>
          <w:rFonts w:hint="eastAsia"/>
          <w:szCs w:val="21"/>
        </w:rPr>
        <w:t>147、《北京市老旧小区改造工程施工现场安全生产标准化管理图集》的相关规定，</w:t>
      </w:r>
      <w:r>
        <w:rPr>
          <w:rFonts w:hint="eastAsia"/>
          <w:bCs/>
          <w:szCs w:val="21"/>
        </w:rPr>
        <w:t>明确了拆除工程、老旧小区改造工程中，临边防护设施拆除的顺序，以及重新搭设</w:t>
      </w:r>
      <w:r>
        <w:rPr>
          <w:rFonts w:hint="eastAsia"/>
          <w:szCs w:val="21"/>
        </w:rPr>
        <w:t>防护设施的构造要求。</w:t>
      </w:r>
    </w:p>
    <w:p>
      <w:pPr>
        <w:rPr>
          <w:sz w:val="20"/>
        </w:rPr>
      </w:pPr>
      <w:r>
        <w:rPr>
          <w:rFonts w:hint="eastAsia"/>
          <w:sz w:val="20"/>
        </w:rPr>
        <w:br w:type="page"/>
      </w:r>
    </w:p>
    <w:p>
      <w:pPr>
        <w:spacing w:line="24" w:lineRule="atLeast"/>
        <w:ind w:firstLine="640"/>
        <w:jc w:val="center"/>
        <w:outlineLvl w:val="0"/>
        <w:rPr>
          <w:sz w:val="20"/>
        </w:rPr>
      </w:pPr>
      <w:bookmarkStart w:id="197" w:name="_Toc14237"/>
      <w:bookmarkStart w:id="198" w:name="_Toc26017"/>
      <w:bookmarkStart w:id="199" w:name="_Toc30938"/>
      <w:bookmarkStart w:id="200" w:name="_Toc32545"/>
      <w:r>
        <w:rPr>
          <w:b/>
          <w:bCs/>
          <w:sz w:val="28"/>
          <w:szCs w:val="28"/>
        </w:rPr>
        <w:t>6  洞口安全防护</w:t>
      </w:r>
      <w:bookmarkEnd w:id="197"/>
      <w:bookmarkEnd w:id="198"/>
      <w:bookmarkEnd w:id="199"/>
      <w:bookmarkEnd w:id="200"/>
    </w:p>
    <w:p>
      <w:pPr>
        <w:spacing w:line="24" w:lineRule="atLeast"/>
        <w:ind w:firstLine="640"/>
        <w:jc w:val="center"/>
        <w:outlineLvl w:val="1"/>
        <w:rPr>
          <w:b/>
          <w:bCs/>
          <w:szCs w:val="21"/>
        </w:rPr>
      </w:pPr>
      <w:bookmarkStart w:id="201" w:name="_Toc5583"/>
      <w:bookmarkStart w:id="202" w:name="_Toc29939"/>
      <w:bookmarkStart w:id="203" w:name="_Toc27597"/>
      <w:bookmarkStart w:id="204" w:name="_Toc14625"/>
      <w:r>
        <w:rPr>
          <w:b/>
          <w:bCs/>
          <w:szCs w:val="21"/>
        </w:rPr>
        <w:t>6.1  一般规定</w:t>
      </w:r>
      <w:bookmarkEnd w:id="201"/>
      <w:bookmarkEnd w:id="202"/>
      <w:bookmarkEnd w:id="203"/>
      <w:bookmarkEnd w:id="204"/>
    </w:p>
    <w:p>
      <w:pPr>
        <w:spacing w:line="360" w:lineRule="auto"/>
        <w:rPr>
          <w:szCs w:val="21"/>
        </w:rPr>
      </w:pPr>
      <w:r>
        <w:rPr>
          <w:b/>
          <w:bCs/>
          <w:szCs w:val="21"/>
        </w:rPr>
        <w:t>6.1.2</w:t>
      </w:r>
      <w:r>
        <w:rPr>
          <w:szCs w:val="21"/>
        </w:rPr>
        <w:t xml:space="preserve">  对人员和物体有坠落风险的洞口采取盖板防护，能防止发生坠落、物体打击和火灾事故，盖板的主要作用是防人坠落，本条提出荷载要求，是盖板承受垂直于盖板方向的荷载标准值，对于车辆行驶道旁的洞口、深沟与管道坑、槽等部位的盖板，应能承受不小于额定卡车后轮有效承载力2倍的荷载。</w:t>
      </w:r>
    </w:p>
    <w:p>
      <w:pPr>
        <w:spacing w:line="360" w:lineRule="auto"/>
        <w:ind w:firstLine="640"/>
        <w:jc w:val="center"/>
        <w:outlineLvl w:val="1"/>
        <w:rPr>
          <w:b/>
          <w:bCs/>
          <w:szCs w:val="21"/>
        </w:rPr>
      </w:pPr>
      <w:bookmarkStart w:id="205" w:name="_Toc9113"/>
      <w:bookmarkStart w:id="206" w:name="_Toc6466"/>
      <w:bookmarkStart w:id="207" w:name="_Toc20194"/>
      <w:bookmarkStart w:id="208" w:name="_Toc4432"/>
      <w:r>
        <w:rPr>
          <w:b/>
          <w:bCs/>
          <w:szCs w:val="21"/>
        </w:rPr>
        <w:t>6.2  防护设施</w:t>
      </w:r>
      <w:bookmarkEnd w:id="205"/>
      <w:bookmarkEnd w:id="206"/>
      <w:bookmarkEnd w:id="207"/>
      <w:bookmarkEnd w:id="208"/>
    </w:p>
    <w:p>
      <w:pPr>
        <w:spacing w:line="360" w:lineRule="auto"/>
        <w:rPr>
          <w:szCs w:val="21"/>
        </w:rPr>
      </w:pPr>
      <w:r>
        <w:rPr>
          <w:b/>
          <w:bCs/>
          <w:szCs w:val="21"/>
        </w:rPr>
        <w:t>6.2.1</w:t>
      </w:r>
      <w:r>
        <w:rPr>
          <w:szCs w:val="21"/>
        </w:rPr>
        <w:t xml:space="preserve">  刚性材料是指在一定外力作用下，有良好的抵抗变形的能力的材料，这里通常采用直径小于12mm的螺纹钢、水电钢管，也可使用100mm×50mm的短木方进行固定。</w:t>
      </w:r>
    </w:p>
    <w:p>
      <w:pPr>
        <w:spacing w:line="360" w:lineRule="auto"/>
        <w:ind w:firstLine="640"/>
        <w:jc w:val="center"/>
        <w:outlineLvl w:val="1"/>
        <w:rPr>
          <w:b/>
          <w:bCs/>
          <w:szCs w:val="21"/>
        </w:rPr>
      </w:pPr>
      <w:bookmarkStart w:id="209" w:name="_Toc15596"/>
      <w:bookmarkStart w:id="210" w:name="_Toc1735"/>
      <w:bookmarkStart w:id="211" w:name="_Toc14069"/>
      <w:bookmarkStart w:id="212" w:name="_Toc5256"/>
      <w:r>
        <w:rPr>
          <w:b/>
          <w:bCs/>
          <w:szCs w:val="21"/>
        </w:rPr>
        <w:t>6.3  其他防护</w:t>
      </w:r>
      <w:bookmarkEnd w:id="209"/>
      <w:bookmarkEnd w:id="210"/>
      <w:bookmarkEnd w:id="211"/>
      <w:bookmarkEnd w:id="212"/>
    </w:p>
    <w:p>
      <w:pPr>
        <w:spacing w:line="360" w:lineRule="auto"/>
        <w:rPr>
          <w:szCs w:val="21"/>
        </w:rPr>
      </w:pPr>
      <w:r>
        <w:rPr>
          <w:b/>
          <w:bCs/>
          <w:szCs w:val="21"/>
        </w:rPr>
        <w:t>6.3.5</w:t>
      </w:r>
      <w:r>
        <w:rPr>
          <w:szCs w:val="21"/>
        </w:rPr>
        <w:t xml:space="preserve">  电梯井道内首层设置双层水平安全网，这里要求的首层防护的上层水平安全网应设置在高度低于正负零100mm的位置，防止因首层水平安全网高于地面，出现侧向空洞引发人员坠落；电梯井道内水平安全网每隔2层设置的要求包括地下室的电梯井道，但对于超过一层的地下室又达不到每隔2层或间隔10米要求的，也应在倒数第二层地下室设置水平安全网进行防护。</w:t>
      </w:r>
    </w:p>
    <w:p>
      <w:pPr>
        <w:rPr>
          <w:rFonts w:ascii="宋体" w:hAnsi="宋体" w:cs="宋体"/>
          <w:sz w:val="20"/>
        </w:rPr>
      </w:pPr>
      <w:r>
        <w:rPr>
          <w:rFonts w:hint="eastAsia" w:ascii="宋体" w:hAnsi="宋体" w:cs="宋体"/>
          <w:sz w:val="20"/>
        </w:rPr>
        <w:br w:type="page"/>
      </w:r>
    </w:p>
    <w:p>
      <w:pPr>
        <w:pStyle w:val="2"/>
        <w:numPr>
          <w:ilvl w:val="0"/>
          <w:numId w:val="0"/>
        </w:numPr>
        <w:rPr>
          <w:rFonts w:ascii="Times New Roman" w:hAnsi="Times New Roman" w:eastAsia="宋体"/>
          <w:color w:val="000000"/>
          <w:sz w:val="28"/>
          <w:szCs w:val="28"/>
        </w:rPr>
      </w:pPr>
      <w:bookmarkStart w:id="213" w:name="_Toc8381"/>
      <w:bookmarkStart w:id="214" w:name="_Toc436655223"/>
      <w:bookmarkStart w:id="215" w:name="_Toc436657084"/>
      <w:bookmarkStart w:id="216" w:name="_Toc416447192"/>
      <w:bookmarkStart w:id="217" w:name="_Toc432409030"/>
      <w:bookmarkStart w:id="218" w:name="_Toc432408920"/>
      <w:bookmarkStart w:id="219" w:name="_Toc446926044"/>
      <w:bookmarkStart w:id="220" w:name="_Toc432408834"/>
      <w:bookmarkStart w:id="221" w:name="_Toc436654303"/>
      <w:bookmarkStart w:id="222" w:name="_Toc416447265"/>
      <w:bookmarkStart w:id="223" w:name="_Toc22766"/>
      <w:bookmarkStart w:id="224" w:name="_Toc436905443"/>
      <w:bookmarkStart w:id="225" w:name="_Toc20201"/>
      <w:bookmarkStart w:id="226" w:name="_Toc443385260"/>
      <w:bookmarkStart w:id="227" w:name="_Toc28679"/>
      <w:r>
        <w:rPr>
          <w:rFonts w:ascii="Times New Roman" w:hAnsi="Times New Roman" w:eastAsia="宋体"/>
          <w:b/>
          <w:bCs/>
          <w:sz w:val="28"/>
          <w:szCs w:val="28"/>
        </w:rPr>
        <w:t>9  交叉作业安全防护</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tabs>
          <w:tab w:val="left" w:pos="2697"/>
          <w:tab w:val="center" w:pos="4372"/>
        </w:tabs>
        <w:adjustRightInd w:val="0"/>
        <w:snapToGrid w:val="0"/>
        <w:spacing w:before="240" w:after="240" w:line="300" w:lineRule="auto"/>
        <w:jc w:val="center"/>
        <w:outlineLvl w:val="1"/>
        <w:rPr>
          <w:bCs/>
          <w:szCs w:val="21"/>
        </w:rPr>
      </w:pPr>
      <w:bookmarkStart w:id="228" w:name="_Toc416447193"/>
      <w:bookmarkStart w:id="229" w:name="_Toc9211"/>
      <w:bookmarkStart w:id="230" w:name="_Toc1431"/>
      <w:bookmarkStart w:id="231" w:name="_Toc446926045"/>
      <w:bookmarkStart w:id="232" w:name="_Toc26902"/>
      <w:bookmarkStart w:id="233" w:name="_Toc443385261"/>
      <w:bookmarkStart w:id="234" w:name="_Toc7864"/>
      <w:bookmarkStart w:id="235" w:name="_Toc416447266"/>
      <w:r>
        <w:rPr>
          <w:b/>
          <w:szCs w:val="21"/>
        </w:rPr>
        <w:t>9.1  一般规定</w:t>
      </w:r>
      <w:bookmarkEnd w:id="228"/>
      <w:bookmarkEnd w:id="229"/>
      <w:bookmarkEnd w:id="230"/>
      <w:bookmarkEnd w:id="231"/>
      <w:bookmarkEnd w:id="232"/>
      <w:bookmarkEnd w:id="233"/>
      <w:bookmarkEnd w:id="234"/>
      <w:bookmarkEnd w:id="235"/>
    </w:p>
    <w:p>
      <w:pPr>
        <w:adjustRightInd w:val="0"/>
        <w:snapToGrid w:val="0"/>
        <w:spacing w:line="360" w:lineRule="auto"/>
        <w:rPr>
          <w:szCs w:val="21"/>
        </w:rPr>
      </w:pPr>
      <w:r>
        <w:rPr>
          <w:rFonts w:hint="eastAsia"/>
          <w:b/>
          <w:szCs w:val="21"/>
        </w:rPr>
        <w:t>9.1.3</w:t>
      </w:r>
      <w:r>
        <w:rPr>
          <w:b/>
          <w:color w:val="000000"/>
          <w:szCs w:val="21"/>
        </w:rPr>
        <w:t xml:space="preserve">  </w:t>
      </w:r>
      <w:r>
        <w:rPr>
          <w:rFonts w:hint="eastAsia"/>
          <w:bCs/>
          <w:color w:val="000000"/>
          <w:szCs w:val="21"/>
        </w:rPr>
        <w:t>依据现行行业标准</w:t>
      </w:r>
      <w:r>
        <w:rPr>
          <w:bCs/>
          <w:szCs w:val="21"/>
        </w:rPr>
        <w:t>《建筑施工高处作业安全技术规范》JGJ 80-2016</w:t>
      </w:r>
      <w:r>
        <w:rPr>
          <w:rFonts w:hint="eastAsia"/>
          <w:bCs/>
          <w:szCs w:val="21"/>
        </w:rPr>
        <w:t>中关于“</w:t>
      </w:r>
      <w:r>
        <w:rPr>
          <w:szCs w:val="21"/>
        </w:rPr>
        <w:t>高空作业坠落半径</w:t>
      </w:r>
      <w:r>
        <w:rPr>
          <w:rFonts w:hint="eastAsia"/>
          <w:szCs w:val="21"/>
        </w:rPr>
        <w:t>”</w:t>
      </w:r>
      <w:r>
        <w:rPr>
          <w:rFonts w:hint="eastAsia"/>
          <w:bCs/>
          <w:szCs w:val="21"/>
        </w:rPr>
        <w:t>的相关规定，对</w:t>
      </w:r>
      <w:r>
        <w:rPr>
          <w:szCs w:val="21"/>
        </w:rPr>
        <w:t>通道防护棚长度</w:t>
      </w:r>
      <w:r>
        <w:rPr>
          <w:rFonts w:hint="eastAsia"/>
          <w:szCs w:val="21"/>
        </w:rPr>
        <w:t>做出相应规定。</w:t>
      </w:r>
      <w:r>
        <w:rPr>
          <w:bCs/>
          <w:szCs w:val="21"/>
        </w:rPr>
        <w:t xml:space="preserve"> </w:t>
      </w:r>
    </w:p>
    <w:p>
      <w:pPr>
        <w:pStyle w:val="9"/>
        <w:jc w:val="both"/>
        <w:rPr>
          <w:sz w:val="21"/>
          <w:szCs w:val="21"/>
        </w:rPr>
      </w:pPr>
    </w:p>
    <w:sectPr>
      <w:footerReference r:id="rId9"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Adobe 黑体 Std R">
    <w:altName w:val="黑体"/>
    <w:panose1 w:val="00000000000000000000"/>
    <w:charset w:val="86"/>
    <w:family w:val="swiss"/>
    <w:pitch w:val="default"/>
    <w:sig w:usb0="00000000" w:usb1="00000000" w:usb2="00000016" w:usb3="00000000" w:csb0="00060007" w:csb1="00000000"/>
  </w:font>
  <w:font w:name="Plotter">
    <w:altName w:val="Lucida Console"/>
    <w:panose1 w:val="00000000000000000000"/>
    <w:charset w:val="00"/>
    <w:family w:val="moder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SJQY">
    <w:altName w:val="宋体"/>
    <w:panose1 w:val="00000000000000000000"/>
    <w:charset w:val="86"/>
    <w:family w:val="auto"/>
    <w:pitch w:val="default"/>
    <w:sig w:usb0="00000000" w:usb1="00000000" w:usb2="00000000" w:usb3="00000000" w:csb0="00040001" w:csb1="00000000"/>
  </w:font>
  <w:font w:name="Lucida Console">
    <w:panose1 w:val="020B0609040504020204"/>
    <w:charset w:val="00"/>
    <w:family w:val="auto"/>
    <w:pitch w:val="default"/>
    <w:sig w:usb0="8000028F" w:usb1="00001800" w:usb2="00000000" w:usb3="00000000" w:csb0="0000001F" w:csb1="D7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 PAGE   \* MERGEFORMAT </w:instrText>
    </w:r>
    <w:r>
      <w:fldChar w:fldCharType="separate"/>
    </w:r>
    <w:r>
      <w:rPr>
        <w:lang w:val="zh-CN"/>
      </w:rPr>
      <w:t>1</w: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859B78"/>
    <w:multiLevelType w:val="multilevel"/>
    <w:tmpl w:val="3A859B78"/>
    <w:lvl w:ilvl="0" w:tentative="0">
      <w:start w:val="1"/>
      <w:numFmt w:val="decimal"/>
      <w:pStyle w:val="21"/>
      <w:suff w:val="space"/>
      <w:lvlText w:val="%1  "/>
      <w:lvlJc w:val="left"/>
      <w:pPr>
        <w:ind w:left="3570" w:firstLine="0"/>
      </w:pPr>
      <w:rPr>
        <w:rFonts w:hint="eastAsia"/>
      </w:rPr>
    </w:lvl>
    <w:lvl w:ilvl="1" w:tentative="0">
      <w:start w:val="1"/>
      <w:numFmt w:val="decimal"/>
      <w:pStyle w:val="22"/>
      <w:suff w:val="space"/>
      <w:lvlText w:val="%1．%2　"/>
      <w:lvlJc w:val="left"/>
      <w:pPr>
        <w:ind w:left="3853" w:firstLine="0"/>
      </w:pPr>
      <w:rPr>
        <w:rFonts w:hint="default" w:ascii="Times New Roman" w:hAnsi="Times New Roman" w:cs="Times New Roman"/>
      </w:rPr>
    </w:lvl>
    <w:lvl w:ilvl="2" w:tentative="0">
      <w:start w:val="1"/>
      <w:numFmt w:val="decimal"/>
      <w:suff w:val="space"/>
      <w:lvlText w:val="%1.%2.%3  "/>
      <w:lvlJc w:val="left"/>
      <w:pPr>
        <w:ind w:left="3570" w:firstLine="0"/>
      </w:pPr>
      <w:rPr>
        <w:rFonts w:hint="default" w:ascii="Times New Roman" w:hAnsi="Times New Roman" w:cs="Times New Roman"/>
        <w:b/>
        <w:strike w:val="0"/>
        <w:color w:val="auto"/>
        <w:sz w:val="21"/>
        <w:szCs w:val="21"/>
      </w:rPr>
    </w:lvl>
    <w:lvl w:ilvl="3" w:tentative="0">
      <w:start w:val="1"/>
      <w:numFmt w:val="decimal"/>
      <w:suff w:val="space"/>
      <w:lvlText w:val="%2.%3.%4 "/>
      <w:lvlJc w:val="left"/>
      <w:pPr>
        <w:ind w:left="3570" w:firstLine="0"/>
      </w:pPr>
      <w:rPr>
        <w:rFonts w:hint="eastAsia"/>
      </w:rPr>
    </w:lvl>
    <w:lvl w:ilvl="4" w:tentative="0">
      <w:start w:val="1"/>
      <w:numFmt w:val="decimal"/>
      <w:lvlText w:val="%1.%2.%3.%4.%5."/>
      <w:lvlJc w:val="left"/>
      <w:pPr>
        <w:tabs>
          <w:tab w:val="left" w:pos="1111"/>
        </w:tabs>
        <w:ind w:left="4681" w:hanging="992"/>
      </w:pPr>
      <w:rPr>
        <w:rFonts w:hint="eastAsia"/>
      </w:rPr>
    </w:lvl>
    <w:lvl w:ilvl="5" w:tentative="0">
      <w:start w:val="1"/>
      <w:numFmt w:val="decimal"/>
      <w:lvlText w:val="%1.%2.%3.%4.%5.%6."/>
      <w:lvlJc w:val="left"/>
      <w:pPr>
        <w:tabs>
          <w:tab w:val="left" w:pos="1253"/>
        </w:tabs>
        <w:ind w:left="4823" w:hanging="1134"/>
      </w:pPr>
      <w:rPr>
        <w:rFonts w:hint="eastAsia"/>
      </w:rPr>
    </w:lvl>
    <w:lvl w:ilvl="6" w:tentative="0">
      <w:start w:val="1"/>
      <w:numFmt w:val="decimal"/>
      <w:lvlText w:val="%1.%2.%3.%4.%5.%6.%7."/>
      <w:lvlJc w:val="left"/>
      <w:pPr>
        <w:tabs>
          <w:tab w:val="left" w:pos="1395"/>
        </w:tabs>
        <w:ind w:left="4965" w:hanging="1276"/>
      </w:pPr>
      <w:rPr>
        <w:rFonts w:hint="eastAsia"/>
      </w:rPr>
    </w:lvl>
    <w:lvl w:ilvl="7" w:tentative="0">
      <w:start w:val="1"/>
      <w:numFmt w:val="decimal"/>
      <w:lvlText w:val="%1.%2.%3.%4.%5.%6.%7.%8."/>
      <w:lvlJc w:val="left"/>
      <w:pPr>
        <w:tabs>
          <w:tab w:val="left" w:pos="1537"/>
        </w:tabs>
        <w:ind w:left="5107" w:hanging="1418"/>
      </w:pPr>
      <w:rPr>
        <w:rFonts w:hint="eastAsia"/>
      </w:rPr>
    </w:lvl>
    <w:lvl w:ilvl="8" w:tentative="0">
      <w:start w:val="1"/>
      <w:numFmt w:val="decimal"/>
      <w:lvlText w:val="%1.%2.%3.%4.%5.%6.%7.%8.%9."/>
      <w:lvlJc w:val="left"/>
      <w:pPr>
        <w:tabs>
          <w:tab w:val="left" w:pos="1678"/>
        </w:tabs>
        <w:ind w:left="5248" w:hanging="1559"/>
      </w:pPr>
      <w:rPr>
        <w:rFonts w:hint="eastAsia"/>
      </w:rPr>
    </w:lvl>
  </w:abstractNum>
  <w:abstractNum w:abstractNumId="1">
    <w:nsid w:val="551B2528"/>
    <w:multiLevelType w:val="multilevel"/>
    <w:tmpl w:val="551B2528"/>
    <w:lvl w:ilvl="0" w:tentative="0">
      <w:start w:val="1"/>
      <w:numFmt w:val="decimal"/>
      <w:pStyle w:val="2"/>
      <w:suff w:val="space"/>
      <w:lvlText w:val="%1."/>
      <w:lvlJc w:val="center"/>
      <w:pPr>
        <w:tabs>
          <w:tab w:val="left" w:pos="0"/>
        </w:tabs>
        <w:ind w:left="0" w:firstLine="0"/>
      </w:pPr>
      <w:rPr>
        <w:rFonts w:hint="eastAsia" w:ascii="宋体" w:hAnsi="宋体" w:eastAsia="宋体" w:cs="Times New Roman"/>
      </w:rPr>
    </w:lvl>
    <w:lvl w:ilvl="1" w:tentative="0">
      <w:start w:val="1"/>
      <w:numFmt w:val="decimal"/>
      <w:suff w:val="space"/>
      <w:lvlText w:val="%1.%2"/>
      <w:lvlJc w:val="left"/>
      <w:pPr>
        <w:tabs>
          <w:tab w:val="left" w:pos="0"/>
        </w:tabs>
        <w:ind w:left="3119" w:firstLine="0"/>
      </w:pPr>
      <w:rPr>
        <w:rFonts w:hint="eastAsia" w:ascii="宋体" w:hAnsi="宋体" w:eastAsia="宋体" w:cs="Times New Roman"/>
      </w:rPr>
    </w:lvl>
    <w:lvl w:ilvl="2" w:tentative="0">
      <w:start w:val="1"/>
      <w:numFmt w:val="decimal"/>
      <w:suff w:val="space"/>
      <w:lvlText w:val="%1.%2.%3"/>
      <w:lvlJc w:val="center"/>
      <w:pPr>
        <w:tabs>
          <w:tab w:val="left" w:pos="0"/>
        </w:tabs>
        <w:ind w:left="0" w:firstLine="0"/>
      </w:pPr>
      <w:rPr>
        <w:rFonts w:hint="eastAsia" w:ascii="宋体" w:hAnsi="宋体" w:eastAsia="宋体" w:cs="Times New Roman"/>
      </w:rPr>
    </w:lvl>
    <w:lvl w:ilvl="3" w:tentative="0">
      <w:start w:val="1"/>
      <w:numFmt w:val="decimal"/>
      <w:lvlText w:val="%1.%2.%3.%4"/>
      <w:lvlJc w:val="left"/>
      <w:pPr>
        <w:tabs>
          <w:tab w:val="left" w:pos="0"/>
        </w:tabs>
        <w:ind w:left="0" w:firstLine="0"/>
      </w:pPr>
      <w:rPr>
        <w:rFonts w:hint="eastAsia" w:ascii="宋体" w:hAnsi="宋体" w:eastAsia="宋体" w:cs="Times New Roman"/>
      </w:rPr>
    </w:lvl>
    <w:lvl w:ilvl="4" w:tentative="0">
      <w:start w:val="1"/>
      <w:numFmt w:val="decimal"/>
      <w:lvlText w:val="%1.%2.%3.%4.%5."/>
      <w:lvlJc w:val="left"/>
      <w:pPr>
        <w:tabs>
          <w:tab w:val="left" w:pos="0"/>
        </w:tabs>
        <w:ind w:left="0" w:firstLine="0"/>
      </w:pPr>
      <w:rPr>
        <w:rFonts w:cs="Times New Roman"/>
      </w:rPr>
    </w:lvl>
    <w:lvl w:ilvl="5" w:tentative="0">
      <w:start w:val="1"/>
      <w:numFmt w:val="decimal"/>
      <w:lvlText w:val="%1.%2.%3.%4.%5.%6."/>
      <w:lvlJc w:val="left"/>
      <w:pPr>
        <w:tabs>
          <w:tab w:val="left" w:pos="0"/>
        </w:tabs>
        <w:ind w:left="0" w:firstLine="0"/>
      </w:pPr>
      <w:rPr>
        <w:rFonts w:cs="Times New Roman"/>
      </w:rPr>
    </w:lvl>
    <w:lvl w:ilvl="6" w:tentative="0">
      <w:start w:val="1"/>
      <w:numFmt w:val="decimal"/>
      <w:lvlText w:val="%1.%2.%3.%4.%5.%6.%7."/>
      <w:lvlJc w:val="left"/>
      <w:pPr>
        <w:tabs>
          <w:tab w:val="left" w:pos="0"/>
        </w:tabs>
        <w:ind w:left="0" w:firstLine="0"/>
      </w:pPr>
      <w:rPr>
        <w:rFonts w:cs="Times New Roman"/>
      </w:rPr>
    </w:lvl>
    <w:lvl w:ilvl="7" w:tentative="0">
      <w:start w:val="1"/>
      <w:numFmt w:val="decimal"/>
      <w:lvlText w:val="%1.%2.%3.%4.%5.%6.%7.%8."/>
      <w:lvlJc w:val="left"/>
      <w:pPr>
        <w:tabs>
          <w:tab w:val="left" w:pos="0"/>
        </w:tabs>
        <w:ind w:left="0" w:firstLine="0"/>
      </w:pPr>
      <w:rPr>
        <w:rFonts w:cs="Times New Roman"/>
      </w:rPr>
    </w:lvl>
    <w:lvl w:ilvl="8" w:tentative="0">
      <w:start w:val="1"/>
      <w:numFmt w:val="decimal"/>
      <w:lvlText w:val="%1.%2.%3.%4.%5.%6.%7.%8.%9."/>
      <w:lvlJc w:val="left"/>
      <w:pPr>
        <w:tabs>
          <w:tab w:val="left" w:pos="0"/>
        </w:tabs>
        <w:ind w:left="0" w:firstLine="0"/>
      </w:pPr>
      <w:rPr>
        <w:rFonts w:cs="Times New Roman"/>
      </w:rPr>
    </w:lvl>
  </w:abstractNum>
  <w:abstractNum w:abstractNumId="2">
    <w:nsid w:val="65E3F6E2"/>
    <w:multiLevelType w:val="multilevel"/>
    <w:tmpl w:val="65E3F6E2"/>
    <w:lvl w:ilvl="0" w:tentative="0">
      <w:start w:val="1"/>
      <w:numFmt w:val="none"/>
      <w:lvlText w:val="4.1.2"/>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4"/>
      <w:numFmt w:val="none"/>
      <w:pStyle w:val="4"/>
      <w:lvlText w:val="4.1.1%3"/>
      <w:lvlJc w:val="left"/>
      <w:pPr>
        <w:tabs>
          <w:tab w:val="left" w:pos="1128"/>
        </w:tabs>
        <w:ind w:left="1531" w:hanging="1531"/>
      </w:pPr>
      <w:rPr>
        <w:rFonts w:hint="default" w:ascii="宋体" w:hAnsi="宋体" w:eastAsia="宋体" w:cs="宋体"/>
        <w:b/>
        <w:sz w:val="21"/>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67155092"/>
    <w:rsid w:val="000426CE"/>
    <w:rsid w:val="00052CD7"/>
    <w:rsid w:val="000F5284"/>
    <w:rsid w:val="00125D5F"/>
    <w:rsid w:val="00146EAD"/>
    <w:rsid w:val="001472DF"/>
    <w:rsid w:val="00164553"/>
    <w:rsid w:val="00204B1D"/>
    <w:rsid w:val="00210550"/>
    <w:rsid w:val="00216EA4"/>
    <w:rsid w:val="00217592"/>
    <w:rsid w:val="00244EFE"/>
    <w:rsid w:val="00261C22"/>
    <w:rsid w:val="00287E5A"/>
    <w:rsid w:val="002A3CE4"/>
    <w:rsid w:val="0031521C"/>
    <w:rsid w:val="00315BE1"/>
    <w:rsid w:val="00386C71"/>
    <w:rsid w:val="003A7B2E"/>
    <w:rsid w:val="00435084"/>
    <w:rsid w:val="0046746B"/>
    <w:rsid w:val="004A534F"/>
    <w:rsid w:val="004E1327"/>
    <w:rsid w:val="00502483"/>
    <w:rsid w:val="00516243"/>
    <w:rsid w:val="00590BB8"/>
    <w:rsid w:val="005B0B8E"/>
    <w:rsid w:val="006335B0"/>
    <w:rsid w:val="00641CD9"/>
    <w:rsid w:val="006B0B30"/>
    <w:rsid w:val="00736F2B"/>
    <w:rsid w:val="0078752D"/>
    <w:rsid w:val="007A7FBB"/>
    <w:rsid w:val="007C544C"/>
    <w:rsid w:val="007F11C4"/>
    <w:rsid w:val="00833EF5"/>
    <w:rsid w:val="009C0ACA"/>
    <w:rsid w:val="00A13F75"/>
    <w:rsid w:val="00A37222"/>
    <w:rsid w:val="00A45298"/>
    <w:rsid w:val="00AA2B19"/>
    <w:rsid w:val="00AC2D62"/>
    <w:rsid w:val="00AE78B7"/>
    <w:rsid w:val="00B30ACA"/>
    <w:rsid w:val="00B777FB"/>
    <w:rsid w:val="00B9253E"/>
    <w:rsid w:val="00BE761E"/>
    <w:rsid w:val="00C143B1"/>
    <w:rsid w:val="00C47FD5"/>
    <w:rsid w:val="00C52F86"/>
    <w:rsid w:val="00C758BA"/>
    <w:rsid w:val="00CD54EE"/>
    <w:rsid w:val="00D6090D"/>
    <w:rsid w:val="00D740F6"/>
    <w:rsid w:val="00D74EFD"/>
    <w:rsid w:val="00D75807"/>
    <w:rsid w:val="00D76408"/>
    <w:rsid w:val="00D81F0A"/>
    <w:rsid w:val="00E224B6"/>
    <w:rsid w:val="00E84F15"/>
    <w:rsid w:val="00E9307B"/>
    <w:rsid w:val="00EB032C"/>
    <w:rsid w:val="00EC73AF"/>
    <w:rsid w:val="00F339B7"/>
    <w:rsid w:val="00F56B7A"/>
    <w:rsid w:val="00FC2789"/>
    <w:rsid w:val="00FD1067"/>
    <w:rsid w:val="00FE72EF"/>
    <w:rsid w:val="02D42C98"/>
    <w:rsid w:val="030A1984"/>
    <w:rsid w:val="04B242A1"/>
    <w:rsid w:val="05226A36"/>
    <w:rsid w:val="06692E7D"/>
    <w:rsid w:val="0713310D"/>
    <w:rsid w:val="079923C4"/>
    <w:rsid w:val="0C0E599E"/>
    <w:rsid w:val="0CE61C2D"/>
    <w:rsid w:val="0D5B5308"/>
    <w:rsid w:val="10645539"/>
    <w:rsid w:val="1339605B"/>
    <w:rsid w:val="13D55A4C"/>
    <w:rsid w:val="172012E4"/>
    <w:rsid w:val="17863B28"/>
    <w:rsid w:val="197B7B7C"/>
    <w:rsid w:val="1A797D5D"/>
    <w:rsid w:val="1BB2137E"/>
    <w:rsid w:val="1CBE2B3C"/>
    <w:rsid w:val="1F037A85"/>
    <w:rsid w:val="1F2D2B54"/>
    <w:rsid w:val="1FE54CDC"/>
    <w:rsid w:val="268D018C"/>
    <w:rsid w:val="2A35562F"/>
    <w:rsid w:val="2B6829A9"/>
    <w:rsid w:val="2CB573F1"/>
    <w:rsid w:val="2E5049D9"/>
    <w:rsid w:val="3037327E"/>
    <w:rsid w:val="307D7949"/>
    <w:rsid w:val="32A57A9A"/>
    <w:rsid w:val="32B617CD"/>
    <w:rsid w:val="32CC7242"/>
    <w:rsid w:val="339E73FB"/>
    <w:rsid w:val="340E77BF"/>
    <w:rsid w:val="3A7A7584"/>
    <w:rsid w:val="3AF568E5"/>
    <w:rsid w:val="3D2604B4"/>
    <w:rsid w:val="3F0F473E"/>
    <w:rsid w:val="412965AB"/>
    <w:rsid w:val="41F93484"/>
    <w:rsid w:val="42935AC5"/>
    <w:rsid w:val="458B6AE9"/>
    <w:rsid w:val="4675043C"/>
    <w:rsid w:val="52C22BE8"/>
    <w:rsid w:val="558A0716"/>
    <w:rsid w:val="56CD27F8"/>
    <w:rsid w:val="5B3F7D02"/>
    <w:rsid w:val="5EB9539D"/>
    <w:rsid w:val="5F9F2D75"/>
    <w:rsid w:val="61375380"/>
    <w:rsid w:val="63DA2469"/>
    <w:rsid w:val="66733025"/>
    <w:rsid w:val="67155092"/>
    <w:rsid w:val="676A417D"/>
    <w:rsid w:val="67EB36EB"/>
    <w:rsid w:val="69D83E99"/>
    <w:rsid w:val="6AB621F1"/>
    <w:rsid w:val="6BE446D9"/>
    <w:rsid w:val="6D0E5DA5"/>
    <w:rsid w:val="6DE15049"/>
    <w:rsid w:val="6E754202"/>
    <w:rsid w:val="6F394D3C"/>
    <w:rsid w:val="711E7140"/>
    <w:rsid w:val="74882621"/>
    <w:rsid w:val="74F21313"/>
    <w:rsid w:val="752247C4"/>
    <w:rsid w:val="762F4827"/>
    <w:rsid w:val="76607052"/>
    <w:rsid w:val="7739636C"/>
    <w:rsid w:val="7AFE6E22"/>
    <w:rsid w:val="7B98103C"/>
    <w:rsid w:val="7C513D73"/>
    <w:rsid w:val="BFFE155A"/>
    <w:rsid w:val="DF7F8E50"/>
    <w:rsid w:val="FFDEE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
    <w:pPr>
      <w:keepNext/>
      <w:keepLines/>
      <w:numPr>
        <w:ilvl w:val="0"/>
        <w:numId w:val="1"/>
      </w:numPr>
      <w:tabs>
        <w:tab w:val="left" w:pos="425"/>
      </w:tabs>
      <w:jc w:val="center"/>
      <w:outlineLvl w:val="0"/>
    </w:pPr>
    <w:rPr>
      <w:rFonts w:ascii="楷体" w:hAnsi="楷体" w:eastAsia="楷体"/>
      <w:kern w:val="44"/>
      <w:sz w:val="44"/>
      <w:szCs w:val="44"/>
    </w:rPr>
  </w:style>
  <w:style w:type="paragraph" w:styleId="3">
    <w:name w:val="heading 2"/>
    <w:basedOn w:val="1"/>
    <w:next w:val="1"/>
    <w:qFormat/>
    <w:uiPriority w:val="0"/>
    <w:pPr>
      <w:adjustRightInd w:val="0"/>
      <w:snapToGrid w:val="0"/>
      <w:spacing w:before="120" w:after="120" w:line="360" w:lineRule="auto"/>
      <w:contextualSpacing/>
      <w:jc w:val="center"/>
      <w:outlineLvl w:val="1"/>
    </w:pPr>
    <w:rPr>
      <w:rFonts w:ascii="黑体" w:hAnsi="黑体" w:cs="黑体"/>
      <w:b/>
      <w:bCs/>
      <w:color w:val="333333"/>
      <w:szCs w:val="21"/>
    </w:rPr>
  </w:style>
  <w:style w:type="paragraph" w:styleId="4">
    <w:name w:val="heading 3"/>
    <w:basedOn w:val="1"/>
    <w:next w:val="1"/>
    <w:qFormat/>
    <w:uiPriority w:val="0"/>
    <w:pPr>
      <w:numPr>
        <w:ilvl w:val="2"/>
        <w:numId w:val="2"/>
      </w:numPr>
      <w:tabs>
        <w:tab w:val="left" w:pos="567"/>
      </w:tabs>
      <w:adjustRightInd w:val="0"/>
      <w:spacing w:line="360" w:lineRule="auto"/>
      <w:contextualSpacing/>
      <w:outlineLvl w:val="2"/>
    </w:pPr>
    <w:rPr>
      <w:rFonts w:ascii="宋体" w:hAnsi="宋体" w:cs="宋体"/>
      <w:bCs/>
      <w:szCs w:val="21"/>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annotation text"/>
    <w:basedOn w:val="1"/>
    <w:unhideWhenUsed/>
    <w:qFormat/>
    <w:uiPriority w:val="0"/>
    <w:pPr>
      <w:jc w:val="left"/>
    </w:pPr>
  </w:style>
  <w:style w:type="paragraph" w:styleId="6">
    <w:name w:val="Body Text"/>
    <w:basedOn w:val="1"/>
    <w:qFormat/>
    <w:uiPriority w:val="99"/>
    <w:pPr>
      <w:spacing w:after="120"/>
    </w:pPr>
    <w:rPr>
      <w:lang w:val="zh-CN"/>
    </w:rPr>
  </w:style>
  <w:style w:type="paragraph" w:styleId="7">
    <w:name w:val="Body Text Indent"/>
    <w:basedOn w:val="1"/>
    <w:next w:val="8"/>
    <w:qFormat/>
    <w:uiPriority w:val="0"/>
    <w:pPr>
      <w:spacing w:line="360" w:lineRule="auto"/>
      <w:ind w:firstLine="480" w:firstLineChars="200"/>
    </w:pPr>
    <w:rPr>
      <w:rFonts w:ascii="宋体" w:hAnsi="宋体"/>
      <w:color w:val="0000FF"/>
      <w:sz w:val="24"/>
    </w:rPr>
  </w:style>
  <w:style w:type="paragraph" w:styleId="8">
    <w:name w:val="envelope return"/>
    <w:basedOn w:val="1"/>
    <w:qFormat/>
    <w:uiPriority w:val="0"/>
    <w:pPr>
      <w:snapToGrid w:val="0"/>
    </w:pPr>
    <w:rPr>
      <w:rFonts w:ascii="Arial" w:hAnsi="Arial"/>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Autospacing="1" w:afterAutospacing="1"/>
      <w:jc w:val="left"/>
    </w:pPr>
    <w:rPr>
      <w:kern w:val="0"/>
      <w:sz w:val="24"/>
    </w:rPr>
  </w:style>
  <w:style w:type="paragraph" w:styleId="14">
    <w:name w:val="Body Text First Indent 2"/>
    <w:basedOn w:val="7"/>
    <w:qFormat/>
    <w:uiPriority w:val="0"/>
    <w:pPr>
      <w:tabs>
        <w:tab w:val="left" w:pos="5580"/>
      </w:tabs>
      <w:ind w:firstLine="420"/>
    </w:pPr>
    <w:rPr>
      <w:rFonts w:ascii="Times New Roman" w:hAnsi="Times New Roman"/>
    </w:rPr>
  </w:style>
  <w:style w:type="character" w:styleId="17">
    <w:name w:val="Hyperlink"/>
    <w:basedOn w:val="16"/>
    <w:qFormat/>
    <w:uiPriority w:val="99"/>
    <w:rPr>
      <w:color w:val="0000FF"/>
      <w:u w:val="single"/>
    </w:rPr>
  </w:style>
  <w:style w:type="character" w:styleId="18">
    <w:name w:val="annotation reference"/>
    <w:basedOn w:val="16"/>
    <w:qFormat/>
    <w:uiPriority w:val="0"/>
    <w:rPr>
      <w:sz w:val="21"/>
      <w:szCs w:val="21"/>
    </w:rPr>
  </w:style>
  <w:style w:type="paragraph" w:styleId="19">
    <w:name w:val="List Paragraph"/>
    <w:basedOn w:val="1"/>
    <w:qFormat/>
    <w:uiPriority w:val="99"/>
    <w:pPr>
      <w:ind w:firstLine="420" w:firstLineChars="200"/>
    </w:pPr>
  </w:style>
  <w:style w:type="paragraph" w:customStyle="1" w:styleId="20">
    <w:name w:val="列表段落1"/>
    <w:basedOn w:val="1"/>
    <w:qFormat/>
    <w:uiPriority w:val="0"/>
    <w:pPr>
      <w:spacing w:line="400" w:lineRule="exact"/>
      <w:ind w:firstLine="420"/>
    </w:pPr>
    <w:rPr>
      <w:rFonts w:ascii="Calibri" w:hAnsi="Calibri"/>
      <w:sz w:val="24"/>
      <w:szCs w:val="22"/>
    </w:rPr>
  </w:style>
  <w:style w:type="paragraph" w:customStyle="1" w:styleId="21">
    <w:name w:val="章名"/>
    <w:basedOn w:val="2"/>
    <w:next w:val="22"/>
    <w:qFormat/>
    <w:uiPriority w:val="0"/>
    <w:pPr>
      <w:numPr>
        <w:numId w:val="3"/>
      </w:numPr>
      <w:tabs>
        <w:tab w:val="clear" w:pos="425"/>
      </w:tabs>
      <w:spacing w:before="240" w:after="240" w:line="360" w:lineRule="auto"/>
    </w:pPr>
    <w:rPr>
      <w:rFonts w:ascii="黑体" w:eastAsia="黑体"/>
      <w:sz w:val="28"/>
    </w:rPr>
  </w:style>
  <w:style w:type="paragraph" w:customStyle="1" w:styleId="22">
    <w:name w:val="节名"/>
    <w:basedOn w:val="3"/>
    <w:next w:val="1"/>
    <w:qFormat/>
    <w:uiPriority w:val="0"/>
    <w:pPr>
      <w:numPr>
        <w:ilvl w:val="1"/>
        <w:numId w:val="3"/>
      </w:numPr>
      <w:spacing w:before="240" w:after="240"/>
    </w:pPr>
    <w:rPr>
      <w:b w:val="0"/>
    </w:rPr>
  </w:style>
  <w:style w:type="paragraph" w:customStyle="1" w:styleId="23">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修订1"/>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0.png"/><Relationship Id="rId8" Type="http://schemas.openxmlformats.org/officeDocument/2006/relationships/footer" Target="footer5.xml"/><Relationship Id="rId79" Type="http://schemas.openxmlformats.org/officeDocument/2006/relationships/image" Target="media/image69.png"/><Relationship Id="rId78" Type="http://schemas.openxmlformats.org/officeDocument/2006/relationships/image" Target="media/image68.jpe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png"/><Relationship Id="rId7" Type="http://schemas.openxmlformats.org/officeDocument/2006/relationships/footer" Target="footer4.xml"/><Relationship Id="rId69" Type="http://schemas.openxmlformats.org/officeDocument/2006/relationships/image" Target="media/image59.jpe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footer" Target="footer3.xml"/><Relationship Id="rId59" Type="http://schemas.openxmlformats.org/officeDocument/2006/relationships/image" Target="media/image49.jpe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jpeg"/><Relationship Id="rId54" Type="http://schemas.openxmlformats.org/officeDocument/2006/relationships/image" Target="media/image44.png"/><Relationship Id="rId53" Type="http://schemas.openxmlformats.org/officeDocument/2006/relationships/image" Target="media/image43.jpe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jpe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4408</Words>
  <Characters>25129</Characters>
  <Lines>209</Lines>
  <Paragraphs>58</Paragraphs>
  <TotalTime>8</TotalTime>
  <ScaleCrop>false</ScaleCrop>
  <LinksUpToDate>false</LinksUpToDate>
  <CharactersWithSpaces>29479</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2023-06-27T14:42:00Z</dcterms:created>
  <dc:creator>石头</dc:creator>
  <cp:lastModifiedBy>HB</cp:lastModifiedBy>
  <cp:lastPrinted>2024-03-20T14:11:00Z</cp:lastPrinted>
  <dcterms:modified xsi:type="dcterms:W3CDTF">2024-03-30T03:28:32Z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274F492F4D8F4B7EBF28DCCD26611C2E_13</vt:lpwstr>
  </property>
</Properties>
</file>