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拟列入</w:t>
      </w:r>
      <w:r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省节能和资源循环利用专项资金</w:t>
      </w:r>
      <w:r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504"/>
        <w:gridCol w:w="2490"/>
        <w:gridCol w:w="2042"/>
        <w:gridCol w:w="987"/>
        <w:gridCol w:w="811"/>
        <w:gridCol w:w="834"/>
        <w:gridCol w:w="74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地区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申报单位名称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黑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进展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结构类型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t>(PC/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钢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面积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万㎡</w:t>
            </w: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装配率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宋体"/>
                <w:b/>
                <w:bCs/>
                <w:color w:val="000000"/>
                <w:sz w:val="18"/>
                <w:szCs w:val="18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郑州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仿宋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大都会贤悦苑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郑州吉华置业有限公司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17.60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仿宋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中原科技城人工智能科技园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河南省郑新人工智能有限公司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金地公园里小区A区项目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郑州金地拓远房地产开发有限公司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cs="仿宋"/>
                <w:bCs/>
                <w:color w:val="000000"/>
                <w:sz w:val="18"/>
                <w:szCs w:val="18"/>
              </w:rPr>
            </w:pPr>
            <w:r>
              <w:rPr>
                <w:rFonts w:cs="仿宋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泷悦华筑1-11#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郑州悦恒置业有限公司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14.88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Style w:val="6"/>
                <w:rFonts w:hint="default"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正弘新城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2号院2-3#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新郑市正弘华胥实业有限公司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宜居小乔书苑1#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郑州瑞旭置业有限公司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Style w:val="6"/>
                <w:rFonts w:hint="default"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创智天地大厦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河南汇创实业有限公司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钢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港区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河南佳港实业有限公司智园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项目（二期）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18-19#、23#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河南佳港实业有限公司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白鹭源春晓十六号院7#、9#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郑州港宏实业有限公司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开封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河南大学体育训练馆项目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河南大学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洛阳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洛阳美的君兰苑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6#、8#、12#、17#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洛阳市美熙房地产开发有限公司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居住建筑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河南洛阳工业园区标准化厂房及配套设施建设项目3#、5#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洛阳钰丰建设开发有限公司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济源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济源产教融合园区基础设施建设项目(一期)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济源市济康园区服务有限公司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eastAsia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鹤壁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鹤壁工程技术学院新校区项目-公共学习中心1-A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河南信息科技学院筹建处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eastAsia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三门峡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三门峡市湖滨区医疗卫生健康中心建设项目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三门峡市东辉建设开发有限公司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湖滨区崖底幼儿园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三门峡市湖滨建设发展有限公司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三门峡市湖滨区综合文化艺术中心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  <w:t>三门峡市湖滨建设发展有限公司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eastAsia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漯河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漯河市青少年体育训练馆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漯河市城投基础设施发展有限公司（漯河市体育运动学校）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PC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eastAsia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新乡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河南二建集团建筑产业园区研发楼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河南省第二建设集团有限公司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河南省第二建设集团有限公司工业园区办公楼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河南省第二建设集团有限公司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eastAsia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信阳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新县人民医院改扩建（医技楼）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新县人民医院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年产50m³秸秆刨花板项目办公楼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万华生态板业集成设备有限公司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竣工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信阳CAZ双创产业园A、B座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信阳双信产业园区运营管理有限公司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主体完工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钢结构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14.35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61164AC"/>
    <w:rsid w:val="2611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napToGrid w:val="0"/>
      <w:spacing w:line="360" w:lineRule="auto"/>
    </w:pPr>
    <w:rPr>
      <w:rFonts w:ascii="宋体" w:hAnsi="宋体"/>
      <w:sz w:val="28"/>
      <w:szCs w:val="20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tabs>
        <w:tab w:val="clear" w:pos="1440"/>
      </w:tabs>
      <w:spacing w:beforeLines="50" w:line="336" w:lineRule="auto"/>
      <w:ind w:left="0" w:firstLine="0"/>
    </w:pPr>
    <w:rPr>
      <w:rFonts w:ascii="Times New Roman" w:hAnsi="Times New Roman" w:eastAsia="黑体" w:cs="Times New Roman"/>
      <w:szCs w:val="20"/>
      <w:lang w:val="en-GB"/>
    </w:rPr>
  </w:style>
  <w:style w:type="character" w:customStyle="1" w:styleId="6">
    <w:name w:val="15"/>
    <w:basedOn w:val="5"/>
    <w:autoRedefine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2024-05-22T02:23:00Z</dcterms:created>
  <dc:creator>kingy</dc:creator>
  <cp:lastModifiedBy>kingy</cp:lastModifiedBy>
  <dcterms:modified xsi:type="dcterms:W3CDTF">2024-05-22T02:23:26Z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12CAAE417E774BCE8BCF1D0E45427B93_11</vt:lpwstr>
  </property>
</Properties>
</file>