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ind w:firstLine="1920" w:firstLineChars="400"/>
        <w:jc w:val="left"/>
        <w:rPr>
          <w:rFonts w:hint="default"/>
          <w:color w:val="000000" w:themeColor="text1"/>
          <w:w w:val="200"/>
          <w:sz w:val="52"/>
          <w14:textFill>
            <w14:solidFill>
              <w14:schemeClr w14:val="tx1"/>
            </w14:solidFill>
          </w14:textFill>
        </w:rPr>
      </w:pPr>
      <w:r>
        <w:rPr>
          <w:rFonts w:ascii="黑体" w:eastAsia="黑体"/>
          <w:color w:val="000000" w:themeColor="text1"/>
          <w:sz w:val="48"/>
          <w:szCs w:val="48"/>
          <w14:textFill>
            <w14:solidFill>
              <w14:schemeClr w14:val="tx1"/>
            </w14:solidFill>
          </w14:textFill>
        </w:rPr>
        <w:drawing>
          <wp:anchor distT="0" distB="0" distL="114300" distR="114300" simplePos="0" relativeHeight="251660288" behindDoc="0" locked="0" layoutInCell="1" allowOverlap="1">
            <wp:simplePos x="0" y="0"/>
            <wp:positionH relativeFrom="page">
              <wp:posOffset>5221605</wp:posOffset>
            </wp:positionH>
            <wp:positionV relativeFrom="page">
              <wp:posOffset>750570</wp:posOffset>
            </wp:positionV>
            <wp:extent cx="1078230" cy="501650"/>
            <wp:effectExtent l="0" t="0" r="0" b="0"/>
            <wp:wrapNone/>
            <wp:docPr id="11" name="图片 3" descr="说明: 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说明: 说明: G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501650"/>
                    </a:xfrm>
                    <a:prstGeom prst="rect">
                      <a:avLst/>
                    </a:prstGeom>
                    <a:noFill/>
                    <a:ln>
                      <a:noFill/>
                    </a:ln>
                  </pic:spPr>
                </pic:pic>
              </a:graphicData>
            </a:graphic>
          </wp:anchor>
        </w:drawing>
      </w:r>
      <w:r>
        <w:rPr>
          <w:rFonts w:ascii="黑体" w:eastAsia="黑体"/>
          <w:color w:val="000000" w:themeColor="text1"/>
          <w:sz w:val="48"/>
          <w:szCs w:val="48"/>
          <w14:textFill>
            <w14:solidFill>
              <w14:schemeClr w14:val="tx1"/>
            </w14:solidFill>
          </w14:textFill>
        </w:rPr>
        <w:t>广东省标准</w:t>
      </w:r>
      <w:r>
        <w:rPr>
          <w:color w:val="000000" w:themeColor="text1"/>
          <w:sz w:val="52"/>
          <w14:textFill>
            <w14:solidFill>
              <w14:schemeClr w14:val="tx1"/>
            </w14:solidFill>
          </w14:textFill>
        </w:rPr>
        <w:t xml:space="preserve">           </w:t>
      </w:r>
    </w:p>
    <w:p>
      <w:pPr>
        <w:shd w:val="clear"/>
        <w:spacing w:line="400" w:lineRule="exact"/>
        <w:jc w:val="right"/>
        <w:rPr>
          <w:rFonts w:hint="default"/>
          <w:color w:val="000000" w:themeColor="text1"/>
          <w:spacing w:val="23"/>
          <w:sz w:val="30"/>
          <w:szCs w:val="30"/>
          <w14:textFill>
            <w14:solidFill>
              <w14:schemeClr w14:val="tx1"/>
            </w14:solidFill>
          </w14:textFill>
        </w:rPr>
      </w:pPr>
      <w:r>
        <w:rPr>
          <w:rFonts w:ascii="黑体" w:hAnsi="宋体" w:eastAsia="黑体"/>
          <w:color w:val="000000" w:themeColor="text1"/>
          <w:sz w:val="24"/>
          <w14:textFill>
            <w14:solidFill>
              <w14:schemeClr w14:val="tx1"/>
            </w14:solidFill>
          </w14:textFill>
        </w:rPr>
        <w:t xml:space="preserve">  </w:t>
      </w:r>
      <w:r>
        <w:rPr>
          <w:color w:val="000000" w:themeColor="text1"/>
          <w:spacing w:val="23"/>
          <w:sz w:val="30"/>
          <w:szCs w:val="30"/>
          <w14:textFill>
            <w14:solidFill>
              <w14:schemeClr w14:val="tx1"/>
            </w14:solidFill>
          </w14:textFill>
        </w:rPr>
        <w:t xml:space="preserve">  </w:t>
      </w:r>
      <w:r>
        <w:rPr>
          <w:rFonts w:hint="default"/>
          <w:color w:val="000000" w:themeColor="text1"/>
          <w:spacing w:val="23"/>
          <w:sz w:val="30"/>
          <w:szCs w:val="30"/>
          <w14:textFill>
            <w14:solidFill>
              <w14:schemeClr w14:val="tx1"/>
            </w14:solidFill>
          </w14:textFill>
        </w:rPr>
        <w:t xml:space="preserve">DBJ/T </w:t>
      </w:r>
      <w:r>
        <w:rPr>
          <w:color w:val="000000" w:themeColor="text1"/>
          <w:spacing w:val="23"/>
          <w:sz w:val="30"/>
          <w:szCs w:val="30"/>
          <w14:textFill>
            <w14:solidFill>
              <w14:schemeClr w14:val="tx1"/>
            </w14:solidFill>
          </w14:textFill>
        </w:rPr>
        <w:t>xx</w:t>
      </w:r>
      <w:r>
        <w:rPr>
          <w:rFonts w:hint="default"/>
          <w:color w:val="000000" w:themeColor="text1"/>
          <w:spacing w:val="23"/>
          <w:sz w:val="30"/>
          <w:szCs w:val="30"/>
          <w14:textFill>
            <w14:solidFill>
              <w14:schemeClr w14:val="tx1"/>
            </w14:solidFill>
          </w14:textFill>
        </w:rPr>
        <w:t>-xxx-xxx</w:t>
      </w:r>
    </w:p>
    <w:p>
      <w:pPr>
        <w:shd w:val="clear"/>
        <w:spacing w:line="400" w:lineRule="exact"/>
        <w:jc w:val="right"/>
        <w:rPr>
          <w:rFonts w:hint="default"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pacing w:val="23"/>
          <w:sz w:val="28"/>
          <w:szCs w:val="28"/>
          <w14:textFill>
            <w14:solidFill>
              <w14:schemeClr w14:val="tx1"/>
            </w14:solidFill>
          </w14:textFill>
        </w:rPr>
        <w:t>备案号</w:t>
      </w:r>
      <w:r>
        <w:rPr>
          <w:rFonts w:hint="default" w:ascii="黑体" w:hAnsi="黑体" w:eastAsia="黑体" w:cs="黑体"/>
          <w:color w:val="000000" w:themeColor="text1"/>
          <w:spacing w:val="23"/>
          <w:sz w:val="28"/>
          <w:szCs w:val="28"/>
          <w14:textFill>
            <w14:solidFill>
              <w14:schemeClr w14:val="tx1"/>
            </w14:solidFill>
          </w14:textFill>
        </w:rPr>
        <w:t>x</w:t>
      </w:r>
      <w:r>
        <w:rPr>
          <w:rFonts w:ascii="黑体" w:hAnsi="黑体" w:eastAsia="黑体" w:cs="黑体"/>
          <w:color w:val="000000" w:themeColor="text1"/>
          <w:spacing w:val="23"/>
          <w:sz w:val="28"/>
          <w:szCs w:val="28"/>
          <w14:textFill>
            <w14:solidFill>
              <w14:schemeClr w14:val="tx1"/>
            </w14:solidFill>
          </w14:textFill>
        </w:rPr>
        <w:t xml:space="preserve"> </w:t>
      </w:r>
      <w:r>
        <w:rPr>
          <w:rFonts w:hint="default" w:ascii="黑体" w:hAnsi="黑体" w:eastAsia="黑体" w:cs="黑体"/>
          <w:color w:val="000000" w:themeColor="text1"/>
          <w:spacing w:val="23"/>
          <w:sz w:val="28"/>
          <w:szCs w:val="28"/>
          <w14:textFill>
            <w14:solidFill>
              <w14:schemeClr w14:val="tx1"/>
            </w14:solidFill>
          </w14:textFill>
        </w:rPr>
        <w:t>xxxxx</w:t>
      </w:r>
      <w:r>
        <w:rPr>
          <w:rFonts w:ascii="黑体" w:hAnsi="黑体" w:eastAsia="黑体" w:cs="黑体"/>
          <w:color w:val="000000" w:themeColor="text1"/>
          <w:spacing w:val="23"/>
          <w:sz w:val="28"/>
          <w:szCs w:val="28"/>
          <w14:textFill>
            <w14:solidFill>
              <w14:schemeClr w14:val="tx1"/>
            </w14:solidFill>
          </w14:textFill>
        </w:rPr>
        <w:t>-</w:t>
      </w:r>
      <w:r>
        <w:rPr>
          <w:rFonts w:hint="default" w:ascii="黑体" w:hAnsi="黑体" w:eastAsia="黑体" w:cs="黑体"/>
          <w:color w:val="000000" w:themeColor="text1"/>
          <w:spacing w:val="23"/>
          <w:sz w:val="28"/>
          <w:szCs w:val="28"/>
          <w14:textFill>
            <w14:solidFill>
              <w14:schemeClr w14:val="tx1"/>
            </w14:solidFill>
          </w14:textFill>
        </w:rPr>
        <w:t>xxxx</w:t>
      </w:r>
    </w:p>
    <w:p>
      <w:pPr>
        <w:shd w:val="clear"/>
        <w:spacing w:line="460" w:lineRule="exact"/>
        <w:rPr>
          <w:rFonts w:hint="default" w:eastAsia="黑体"/>
          <w:b/>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109220</wp:posOffset>
                </wp:positionV>
                <wp:extent cx="5588000" cy="0"/>
                <wp:effectExtent l="14605" t="13335" r="17145" b="15240"/>
                <wp:wrapNone/>
                <wp:docPr id="2" name="直线 3"/>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15875">
                          <a:solidFill>
                            <a:srgbClr val="000000"/>
                          </a:solidFill>
                          <a:round/>
                        </a:ln>
                      </wps:spPr>
                      <wps:bodyPr/>
                    </wps:wsp>
                  </a:graphicData>
                </a:graphic>
              </wp:anchor>
            </w:drawing>
          </mc:Choice>
          <mc:Fallback>
            <w:pict>
              <v:line id="直线 3" o:spid="_x0000_s1026" o:spt="20" style="position:absolute;left:0pt;margin-left:2.75pt;margin-top:8.6pt;height:0pt;width:440pt;z-index:251659264;mso-width-relative:page;mso-height-relative:page;" filled="f" stroked="t" coordsize="21600,21600" o:gfxdata="UEsDBAoAAAAAAIdO4kAAAAAAAAAAAAAAAAAEAAAAZHJzL1BLAwQUAAAACACHTuJAQp+O8dQAAAAH&#10;AQAADwAAAGRycy9kb3ducmV2LnhtbE2O3UrDQBCF7wXfYZmCd3bTYk2I2RQpCN5YafUBptlpEpqd&#10;DdntT/r0TvFCL+c7hzNfsby4Tp1oCK1nA7NpAoq48rbl2sD319tjBipEZIudZzIwUoBleX9XYG79&#10;mTd02sZayQiHHA00Mfa51qFqyGGY+p5Ysr0fHEY5h1rbAc8y7jo9T5Jn7bBl+dBgT6uGqsP26Axs&#10;Vn6dvvZPn+/r+LFPr9eRqno05mEyS15ARbrEvzLc9EUdSnHa+SPboDoDi4UUBadzUBJn2Q3sfoEu&#10;C/3fv/wBUEsDBBQAAAAIAIdO4kDAQ5wx1wEAAKIDAAAOAAAAZHJzL2Uyb0RvYy54bWytU0Fu2zAQ&#10;vBfoHwjea8ku3BqC5RxspJe0NZDkATRFSURJLsGlLfst/UZPvfQ5+UaXlO2m6SWH6kCQ3N3ZmVlq&#10;eXO0hh1UQA2u5tNJyZlyEhrtupo/Pty+W3CGUbhGGHCq5ieF/Gb19s1y8JWaQQ+mUYERiMNq8DXv&#10;Y/RVUaDslRU4Aa8cBVsIVkQ6hq5oghgI3ZpiVpYfigFC4wNIhUi3mzHIz4jhNYDQtlqqDci9VS6O&#10;qEEZEUkS9tojX2W2batk/Nq2qCIzNSelMa/UhPa7tBarpai6IHyv5ZmCeA2FF5qs0I6aXqE2Igq2&#10;D/ofKKtlAIQ2TiTYYhSSHSEV0/KFN/e98CprIavRX03H/wcrvxy2gemm5jPOnLA08KfvP55+/mLv&#10;kzeDx4pS1m4bkjp5dPf+DuQ3ZA7WvXCdyhwfTp4Kp6mi+KskHdBTh93wGRrKEfsI2ahjG2yCJAvY&#10;Mc/jdJ2HOkYm6XI+XyzKkkYlL7FCVJdCHzB+UmBZ2tTcaJesEpU43GFMRER1SUnXDm61MXncxrGB&#10;2M4XH+e5AsHoJkVTHoZutzaBHUR6MfnLsijyPC3A3jVjF+POqpPQ0bIdNKdtuLhBo8t0zs8svY3n&#10;51z959da/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Cn47x1AAAAAcBAAAPAAAAAAAAAAEAIAAA&#10;ACIAAABkcnMvZG93bnJldi54bWxQSwECFAAUAAAACACHTuJAwEOcMdcBAACiAwAADgAAAAAAAAAB&#10;ACAAAAAjAQAAZHJzL2Uyb0RvYy54bWxQSwUGAAAAAAYABgBZAQAAbAUAAAAA&#10;">
                <v:fill on="f" focussize="0,0"/>
                <v:stroke weight="1.25pt" color="#000000" joinstyle="round"/>
                <v:imagedata o:title=""/>
                <o:lock v:ext="edit" aspectratio="f"/>
              </v:line>
            </w:pict>
          </mc:Fallback>
        </mc:AlternateContent>
      </w:r>
    </w:p>
    <w:p>
      <w:pPr>
        <w:shd w:val="clear"/>
        <w:spacing w:before="156" w:beforeLines="50" w:after="156" w:afterLines="50" w:line="600" w:lineRule="exact"/>
        <w:jc w:val="center"/>
        <w:rPr>
          <w:rFonts w:hint="default" w:ascii="宋体" w:hAnsi="宋体"/>
          <w:b/>
          <w:color w:val="000000" w:themeColor="text1"/>
          <w:sz w:val="48"/>
          <w:szCs w:val="48"/>
          <w14:textFill>
            <w14:solidFill>
              <w14:schemeClr w14:val="tx1"/>
            </w14:solidFill>
          </w14:textFill>
        </w:rPr>
      </w:pPr>
    </w:p>
    <w:p>
      <w:pPr>
        <w:shd w:val="clear"/>
        <w:spacing w:before="156" w:beforeLines="50" w:after="156" w:afterLines="50" w:line="600" w:lineRule="exact"/>
        <w:jc w:val="center"/>
        <w:rPr>
          <w:rFonts w:hint="default" w:ascii="宋体" w:hAnsi="宋体"/>
          <w:b/>
          <w:color w:val="000000" w:themeColor="text1"/>
          <w:sz w:val="36"/>
          <w:szCs w:val="36"/>
          <w14:textFill>
            <w14:solidFill>
              <w14:schemeClr w14:val="tx1"/>
            </w14:solidFill>
          </w14:textFill>
        </w:rPr>
      </w:pPr>
      <w:r>
        <w:rPr>
          <w:rFonts w:ascii="宋体" w:hAnsi="宋体"/>
          <w:b/>
          <w:color w:val="000000" w:themeColor="text1"/>
          <w:sz w:val="48"/>
          <w:szCs w:val="48"/>
          <w14:textFill>
            <w14:solidFill>
              <w14:schemeClr w14:val="tx1"/>
            </w14:solidFill>
          </w14:textFill>
        </w:rPr>
        <w:t>绿色建筑后评估标准</w:t>
      </w:r>
    </w:p>
    <w:p>
      <w:pPr>
        <w:shd w:val="clear"/>
        <w:adjustRightInd w:val="0"/>
        <w:snapToGrid w:val="0"/>
        <w:spacing w:before="93" w:beforeLines="30" w:after="93" w:afterLines="30" w:line="360" w:lineRule="auto"/>
        <w:jc w:val="center"/>
        <w:rPr>
          <w:rFonts w:hint="default"/>
          <w:b/>
          <w:color w:val="000000" w:themeColor="text1"/>
          <w:sz w:val="28"/>
          <w:szCs w:val="28"/>
          <w14:textFill>
            <w14:solidFill>
              <w14:schemeClr w14:val="tx1"/>
            </w14:solidFill>
          </w14:textFill>
        </w:rPr>
      </w:pPr>
      <w:r>
        <w:rPr>
          <w:rFonts w:hint="default"/>
          <w:b/>
          <w:color w:val="000000" w:themeColor="text1"/>
          <w:sz w:val="28"/>
          <w:szCs w:val="28"/>
          <w14:textFill>
            <w14:solidFill>
              <w14:schemeClr w14:val="tx1"/>
            </w14:solidFill>
          </w14:textFill>
        </w:rPr>
        <w:t>Post evaluation standard for green building</w:t>
      </w: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28"/>
          <w:szCs w:val="28"/>
          <w14:textFill>
            <w14:solidFill>
              <w14:schemeClr w14:val="tx1"/>
            </w14:solidFill>
          </w14:textFill>
        </w:rPr>
      </w:pPr>
      <w:r>
        <w:rPr>
          <w:rFonts w:eastAsia="楷体_GB2312"/>
          <w:b/>
          <w:color w:val="000000" w:themeColor="text1"/>
          <w:sz w:val="28"/>
          <w:szCs w:val="28"/>
          <w14:textFill>
            <w14:solidFill>
              <w14:schemeClr w14:val="tx1"/>
            </w14:solidFill>
          </w14:textFill>
        </w:rPr>
        <w:t>（</w:t>
      </w:r>
      <w:r>
        <w:rPr>
          <w:rFonts w:hint="eastAsia" w:eastAsia="楷体_GB2312"/>
          <w:b/>
          <w:color w:val="000000" w:themeColor="text1"/>
          <w:sz w:val="28"/>
          <w:szCs w:val="28"/>
          <w:lang w:val="en-US" w:eastAsia="zh-CN"/>
          <w14:textFill>
            <w14:solidFill>
              <w14:schemeClr w14:val="tx1"/>
            </w14:solidFill>
          </w14:textFill>
        </w:rPr>
        <w:t>征求意见</w:t>
      </w:r>
      <w:r>
        <w:rPr>
          <w:rFonts w:eastAsia="楷体_GB2312"/>
          <w:b/>
          <w:color w:val="000000" w:themeColor="text1"/>
          <w:sz w:val="28"/>
          <w:szCs w:val="28"/>
          <w14:textFill>
            <w14:solidFill>
              <w14:schemeClr w14:val="tx1"/>
            </w14:solidFill>
          </w14:textFill>
        </w:rPr>
        <w:t>稿）</w:t>
      </w: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spacing w:line="600" w:lineRule="exact"/>
        <w:jc w:val="center"/>
        <w:rPr>
          <w:rFonts w:hint="default" w:eastAsia="楷体_GB2312"/>
          <w:b/>
          <w:color w:val="000000" w:themeColor="text1"/>
          <w:sz w:val="32"/>
          <w:szCs w:val="32"/>
          <w14:textFill>
            <w14:solidFill>
              <w14:schemeClr w14:val="tx1"/>
            </w14:solidFill>
          </w14:textFill>
        </w:rPr>
      </w:pPr>
    </w:p>
    <w:p>
      <w:pPr>
        <w:shd w:val="clear"/>
        <w:ind w:firstLine="840" w:firstLineChars="300"/>
        <w:rPr>
          <w:rFonts w:hint="default" w:ascii="黑体" w:eastAsia="黑体"/>
          <w:color w:val="000000" w:themeColor="text1"/>
          <w:sz w:val="28"/>
          <w:szCs w:val="28"/>
          <w14:textFill>
            <w14:solidFill>
              <w14:schemeClr w14:val="tx1"/>
            </w14:solidFill>
          </w14:textFill>
        </w:rPr>
      </w:pPr>
      <w:r>
        <w:rPr>
          <w:rFonts w:ascii="黑体" w:eastAsia="黑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314960</wp:posOffset>
                </wp:positionV>
                <wp:extent cx="5600700" cy="0"/>
                <wp:effectExtent l="11430" t="12065" r="17145" b="1651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ln>
                      </wps:spPr>
                      <wps:bodyPr/>
                    </wps:wsp>
                  </a:graphicData>
                </a:graphic>
              </wp:anchor>
            </w:drawing>
          </mc:Choice>
          <mc:Fallback>
            <w:pict>
              <v:line id="直线 4" o:spid="_x0000_s1026" o:spt="20" style="position:absolute;left:0pt;margin-left:-8pt;margin-top:24.8pt;height:0pt;width:441pt;z-index:251660288;mso-width-relative:page;mso-height-relative:page;" filled="f" stroked="t" coordsize="21600,21600" o:gfxdata="UEsDBAoAAAAAAIdO4kAAAAAAAAAAAAAAAAAEAAAAZHJzL1BLAwQUAAAACACHTuJAPsqu19cAAAAJ&#10;AQAADwAAAGRycy9kb3ducmV2LnhtbE2PzWrDMBCE74W+g9hCb4nsEpzUtRxKoNBLU5L2ATbWxja1&#10;VsZSfpyn74YemuPODjPfFMuz69SRhtB6NpBOE1DElbct1wa+v94mC1AhIlvsPJOBkQIsy/u7AnPr&#10;T7yh4zbWSkI45GigibHPtQ5VQw7D1PfE8tv7wWGUc6i1HfAk4a7TT0mSaYctS0ODPa0aqn62B2dg&#10;s/Lr+Ws/+3xfx4/9/HIZqapHYx4f0uQFVKRz/DfDFV/QoRSmnT+wDaozMEkz2RINzJ4zUGJYZFdh&#10;9yfostC3C8pfUEsDBBQAAAAIAIdO4kDOyB4y1wEAAKIDAAAOAAAAZHJzL2Uyb0RvYy54bWytU8Fu&#10;2zAMvQ/YPwi6L3aKpi2MOD0k6C7dFqDtBzCybAuVREFS4uRb9hs77bLP6W+MkpOs6y49zAdBFMlH&#10;vkd6frs3mu2kDwptzaeTkjNpBTbKdjV/erz7dMNZiGAb0GhlzQ8y8NvFxw/zwVXyAnvUjfSMQGyo&#10;BlfzPkZXFUUQvTQQJuikJWeL3kAk03dF42EgdKOLi7K8Kgb0jfMoZAj0uhqd/Ijo3wOIbauEXKHY&#10;GmnjiOqlhkiUQq9c4IvcbdtKEb+1bZCR6ZoT05hPKkL3TTqLxRyqzoPrlTi2AO9p4Q0nA8pS0TPU&#10;CiKwrVf/QBklPAZs40SgKUYiWRFiMS3faPPQg5OZC0kd3Fn08P9gxdfd2jPV0CZwZsHQwF++/3j5&#10;+YtdJm0GFyoKWdq1T+zE3j64exTPgVlc9mA7mXt8PDhKnKaM4q+UZARHFTbDF2woBrYRs1D71psE&#10;SRKwfZ7H4TwPuY9M0OPsqiyvSxqVOPkKqE6Jzof4WaJh6VJzrWySCirY3YeYGoHqFJKeLd4prfO4&#10;tWUDdTu7uZ7ljIBaNcmb4oLvNkvt2Q7SxuQv0yLP6zCPW9uMVbQ9sk5ER8k22BzW/qQGjS63c1yz&#10;tBuv7Zz959d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yq7X1wAAAAkBAAAPAAAAAAAAAAEA&#10;IAAAACIAAABkcnMvZG93bnJldi54bWxQSwECFAAUAAAACACHTuJAzsgeMtcBAACiAwAADgAAAAAA&#10;AAABACAAAAAmAQAAZHJzL2Uyb0RvYy54bWxQSwUGAAAAAAYABgBZAQAAbwUAAAAA&#10;">
                <v:fill on="f" focussize="0,0"/>
                <v:stroke weight="1.25pt" color="#000000" joinstyle="round"/>
                <v:imagedata o:title=""/>
                <o:lock v:ext="edit" aspectratio="f"/>
              </v:line>
            </w:pict>
          </mc:Fallback>
        </mc:AlternateContent>
      </w:r>
      <w:r>
        <w:rPr>
          <w:rFonts w:ascii="黑体" w:hAnsi="宋体" w:eastAsia="黑体"/>
          <w:color w:val="000000" w:themeColor="text1"/>
          <w:sz w:val="28"/>
          <w:szCs w:val="28"/>
          <w14:textFill>
            <w14:solidFill>
              <w14:schemeClr w14:val="tx1"/>
            </w14:solidFill>
          </w14:textFill>
        </w:rPr>
        <w:t>202</w:t>
      </w:r>
      <w:r>
        <w:rPr>
          <w:rFonts w:hint="default" w:ascii="黑体" w:hAnsi="宋体" w:eastAsia="黑体"/>
          <w:color w:val="000000" w:themeColor="text1"/>
          <w:sz w:val="28"/>
          <w:szCs w:val="28"/>
          <w14:textFill>
            <w14:solidFill>
              <w14:schemeClr w14:val="tx1"/>
            </w14:solidFill>
          </w14:textFill>
        </w:rPr>
        <w:t>x</w:t>
      </w:r>
      <w:r>
        <w:rPr>
          <w:rFonts w:ascii="黑体" w:hAnsi="宋体" w:eastAsia="黑体"/>
          <w:color w:val="000000" w:themeColor="text1"/>
          <w:sz w:val="28"/>
          <w:szCs w:val="28"/>
          <w14:textFill>
            <w14:solidFill>
              <w14:schemeClr w14:val="tx1"/>
            </w14:solidFill>
          </w14:textFill>
        </w:rPr>
        <w:t>-</w:t>
      </w:r>
      <w:r>
        <w:rPr>
          <w:rFonts w:hint="default" w:ascii="黑体" w:hAnsi="宋体" w:eastAsia="黑体"/>
          <w:color w:val="000000" w:themeColor="text1"/>
          <w:sz w:val="28"/>
          <w:szCs w:val="28"/>
          <w14:textFill>
            <w14:solidFill>
              <w14:schemeClr w14:val="tx1"/>
            </w14:solidFill>
          </w14:textFill>
        </w:rPr>
        <w:t>xx</w:t>
      </w:r>
      <w:r>
        <w:rPr>
          <w:rFonts w:ascii="黑体" w:hAnsi="宋体" w:eastAsia="黑体"/>
          <w:color w:val="000000" w:themeColor="text1"/>
          <w:sz w:val="28"/>
          <w:szCs w:val="28"/>
          <w14:textFill>
            <w14:solidFill>
              <w14:schemeClr w14:val="tx1"/>
            </w14:solidFill>
          </w14:textFill>
        </w:rPr>
        <w:t>-</w:t>
      </w:r>
      <w:r>
        <w:rPr>
          <w:rFonts w:hint="default" w:ascii="黑体" w:hAnsi="宋体" w:eastAsia="黑体"/>
          <w:color w:val="000000" w:themeColor="text1"/>
          <w:sz w:val="28"/>
          <w:szCs w:val="28"/>
          <w14:textFill>
            <w14:solidFill>
              <w14:schemeClr w14:val="tx1"/>
            </w14:solidFill>
          </w14:textFill>
        </w:rPr>
        <w:t>xx</w:t>
      </w:r>
      <w:r>
        <w:rPr>
          <w:rFonts w:ascii="黑体" w:hAnsi="宋体" w:eastAsia="黑体"/>
          <w:color w:val="000000" w:themeColor="text1"/>
          <w:sz w:val="28"/>
          <w:szCs w:val="28"/>
          <w14:textFill>
            <w14:solidFill>
              <w14:schemeClr w14:val="tx1"/>
            </w14:solidFill>
          </w14:textFill>
        </w:rPr>
        <w:t xml:space="preserve">发布                      </w:t>
      </w:r>
      <w:r>
        <w:rPr>
          <w:rFonts w:ascii="黑体" w:eastAsia="黑体"/>
          <w:color w:val="000000" w:themeColor="text1"/>
          <w:sz w:val="28"/>
          <w:szCs w:val="28"/>
          <w14:textFill>
            <w14:solidFill>
              <w14:schemeClr w14:val="tx1"/>
            </w14:solidFill>
          </w14:textFill>
        </w:rPr>
        <w:t>202</w:t>
      </w:r>
      <w:r>
        <w:rPr>
          <w:rFonts w:hint="default" w:ascii="黑体" w:eastAsia="黑体"/>
          <w:color w:val="000000" w:themeColor="text1"/>
          <w:sz w:val="28"/>
          <w:szCs w:val="28"/>
          <w14:textFill>
            <w14:solidFill>
              <w14:schemeClr w14:val="tx1"/>
            </w14:solidFill>
          </w14:textFill>
        </w:rPr>
        <w:t>x</w:t>
      </w:r>
      <w:r>
        <w:rPr>
          <w:rFonts w:ascii="黑体" w:eastAsia="黑体"/>
          <w:color w:val="000000" w:themeColor="text1"/>
          <w:sz w:val="28"/>
          <w:szCs w:val="28"/>
          <w14:textFill>
            <w14:solidFill>
              <w14:schemeClr w14:val="tx1"/>
            </w14:solidFill>
          </w14:textFill>
        </w:rPr>
        <w:t>-</w:t>
      </w:r>
      <w:r>
        <w:rPr>
          <w:rFonts w:hint="default" w:ascii="黑体" w:eastAsia="黑体"/>
          <w:color w:val="000000" w:themeColor="text1"/>
          <w:sz w:val="28"/>
          <w:szCs w:val="28"/>
          <w14:textFill>
            <w14:solidFill>
              <w14:schemeClr w14:val="tx1"/>
            </w14:solidFill>
          </w14:textFill>
        </w:rPr>
        <w:t>xx</w:t>
      </w:r>
      <w:r>
        <w:rPr>
          <w:rFonts w:ascii="黑体" w:eastAsia="黑体"/>
          <w:color w:val="000000" w:themeColor="text1"/>
          <w:sz w:val="28"/>
          <w:szCs w:val="28"/>
          <w14:textFill>
            <w14:solidFill>
              <w14:schemeClr w14:val="tx1"/>
            </w14:solidFill>
          </w14:textFill>
        </w:rPr>
        <w:t>-</w:t>
      </w:r>
      <w:r>
        <w:rPr>
          <w:rFonts w:hint="default" w:ascii="黑体" w:eastAsia="黑体"/>
          <w:color w:val="000000" w:themeColor="text1"/>
          <w:sz w:val="28"/>
          <w:szCs w:val="28"/>
          <w14:textFill>
            <w14:solidFill>
              <w14:schemeClr w14:val="tx1"/>
            </w14:solidFill>
          </w14:textFill>
        </w:rPr>
        <w:t>xx</w:t>
      </w:r>
      <w:r>
        <w:rPr>
          <w:rFonts w:ascii="黑体" w:eastAsia="黑体"/>
          <w:color w:val="000000" w:themeColor="text1"/>
          <w:sz w:val="28"/>
          <w:szCs w:val="28"/>
          <w14:textFill>
            <w14:solidFill>
              <w14:schemeClr w14:val="tx1"/>
            </w14:solidFill>
          </w14:textFill>
        </w:rPr>
        <w:t>实施</w:t>
      </w:r>
    </w:p>
    <w:p>
      <w:pPr>
        <w:shd w:val="clear"/>
        <w:tabs>
          <w:tab w:val="left" w:pos="8235"/>
        </w:tabs>
        <w:rPr>
          <w:rFonts w:hint="default" w:ascii="黑体" w:hAnsi="宋体" w:eastAsia="黑体"/>
          <w:b/>
          <w:color w:val="000000" w:themeColor="text1"/>
          <w:sz w:val="28"/>
          <w:szCs w:val="28"/>
          <w14:textFill>
            <w14:solidFill>
              <w14:schemeClr w14:val="tx1"/>
            </w14:solidFill>
          </w14:textFill>
        </w:rPr>
      </w:pPr>
      <w:r>
        <w:rPr>
          <w:rFonts w:ascii="黑体" w:hAnsi="宋体" w:eastAsia="黑体"/>
          <w:b/>
          <w:color w:val="000000" w:themeColor="text1"/>
          <w:sz w:val="28"/>
          <w:szCs w:val="28"/>
          <w14:textFill>
            <w14:solidFill>
              <w14:schemeClr w14:val="tx1"/>
            </w14:solidFill>
          </w14:textFill>
        </w:rPr>
        <w:tab/>
      </w:r>
    </w:p>
    <w:p>
      <w:pPr>
        <w:shd w:val="clear"/>
        <w:jc w:val="center"/>
        <w:rPr>
          <w:rFonts w:hint="default"/>
          <w:color w:val="000000" w:themeColor="text1"/>
          <w14:textFill>
            <w14:solidFill>
              <w14:schemeClr w14:val="tx1"/>
            </w14:solidFill>
          </w14:textFill>
        </w:rPr>
      </w:pPr>
      <w:r>
        <w:rPr>
          <w:rFonts w:ascii="黑体" w:eastAsia="黑体"/>
          <w:color w:val="000000" w:themeColor="text1"/>
          <w:sz w:val="32"/>
          <w:szCs w:val="32"/>
          <w14:textFill>
            <w14:solidFill>
              <w14:schemeClr w14:val="tx1"/>
            </w14:solidFill>
          </w14:textFill>
        </w:rPr>
        <w:t>广东省住房和城乡建设厅</w:t>
      </w:r>
      <w:r>
        <w:rPr>
          <w:rFonts w:ascii="黑体" w:eastAsia="黑体"/>
          <w:color w:val="000000" w:themeColor="text1"/>
          <w:spacing w:val="20"/>
          <w:sz w:val="28"/>
          <w:szCs w:val="28"/>
          <w14:textFill>
            <w14:solidFill>
              <w14:schemeClr w14:val="tx1"/>
            </w14:solidFill>
          </w14:textFill>
        </w:rPr>
        <w:t xml:space="preserve">  </w:t>
      </w:r>
      <w:r>
        <w:rPr>
          <w:rFonts w:ascii="黑体" w:eastAsia="黑体"/>
          <w:color w:val="000000" w:themeColor="text1"/>
          <w:spacing w:val="20"/>
          <w:sz w:val="32"/>
          <w:szCs w:val="32"/>
          <w14:textFill>
            <w14:solidFill>
              <w14:schemeClr w14:val="tx1"/>
            </w14:solidFill>
          </w14:textFill>
        </w:rPr>
        <w:t>发布</w:t>
      </w:r>
    </w:p>
    <w:p>
      <w:pPr>
        <w:shd w:val="clear"/>
        <w:spacing w:line="460" w:lineRule="exact"/>
        <w:jc w:val="center"/>
        <w:rPr>
          <w:rFonts w:hint="default" w:ascii="宋体" w:hAnsi="宋体"/>
          <w:color w:val="000000" w:themeColor="text1"/>
          <w:sz w:val="24"/>
          <w14:textFill>
            <w14:solidFill>
              <w14:schemeClr w14:val="tx1"/>
            </w14:solidFill>
          </w14:textFill>
        </w:rPr>
      </w:pPr>
    </w:p>
    <w:p>
      <w:pPr>
        <w:shd w:val="clear"/>
        <w:spacing w:line="460" w:lineRule="exact"/>
        <w:jc w:val="right"/>
        <w:rPr>
          <w:rFonts w:hint="default"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本标准不涉及专利</w:t>
      </w:r>
    </w:p>
    <w:p>
      <w:pPr>
        <w:shd w:val="clear"/>
        <w:spacing w:line="460" w:lineRule="exact"/>
        <w:jc w:val="center"/>
        <w:rPr>
          <w:rFonts w:hint="default"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广东省标准</w:t>
      </w:r>
    </w:p>
    <w:p>
      <w:pPr>
        <w:shd w:val="clear"/>
        <w:spacing w:line="460" w:lineRule="exact"/>
        <w:jc w:val="center"/>
        <w:rPr>
          <w:rFonts w:hint="default" w:ascii="黑体" w:hAnsi="黑体" w:eastAsia="黑体" w:cs="黑体"/>
          <w:color w:val="000000" w:themeColor="text1"/>
          <w:sz w:val="32"/>
          <w:szCs w:val="32"/>
          <w14:textFill>
            <w14:solidFill>
              <w14:schemeClr w14:val="tx1"/>
            </w14:solidFill>
          </w14:textFill>
        </w:rPr>
      </w:pPr>
    </w:p>
    <w:p>
      <w:pPr>
        <w:shd w:val="clear"/>
        <w:spacing w:before="156" w:beforeLines="50" w:after="156" w:afterLines="50" w:line="600" w:lineRule="exact"/>
        <w:jc w:val="center"/>
        <w:rPr>
          <w:rFonts w:hint="default" w:ascii="宋体" w:hAnsi="宋体"/>
          <w:b/>
          <w:color w:val="000000" w:themeColor="text1"/>
          <w:sz w:val="36"/>
          <w:szCs w:val="36"/>
          <w14:textFill>
            <w14:solidFill>
              <w14:schemeClr w14:val="tx1"/>
            </w14:solidFill>
          </w14:textFill>
        </w:rPr>
      </w:pPr>
      <w:r>
        <w:rPr>
          <w:rFonts w:ascii="宋体" w:hAnsi="宋体"/>
          <w:b/>
          <w:color w:val="000000" w:themeColor="text1"/>
          <w:sz w:val="48"/>
          <w:szCs w:val="48"/>
          <w14:textFill>
            <w14:solidFill>
              <w14:schemeClr w14:val="tx1"/>
            </w14:solidFill>
          </w14:textFill>
        </w:rPr>
        <w:t>绿色建筑后评估标准</w:t>
      </w:r>
    </w:p>
    <w:p>
      <w:pPr>
        <w:shd w:val="clear"/>
        <w:adjustRightInd w:val="0"/>
        <w:snapToGrid w:val="0"/>
        <w:spacing w:before="93" w:beforeLines="30" w:after="93" w:afterLines="30" w:line="360" w:lineRule="auto"/>
        <w:jc w:val="center"/>
        <w:rPr>
          <w:rFonts w:hint="default"/>
          <w:b/>
          <w:color w:val="000000" w:themeColor="text1"/>
          <w:sz w:val="28"/>
          <w:szCs w:val="28"/>
          <w14:textFill>
            <w14:solidFill>
              <w14:schemeClr w14:val="tx1"/>
            </w14:solidFill>
          </w14:textFill>
        </w:rPr>
      </w:pPr>
      <w:r>
        <w:rPr>
          <w:rFonts w:hint="default"/>
          <w:b/>
          <w:color w:val="000000" w:themeColor="text1"/>
          <w:sz w:val="28"/>
          <w:szCs w:val="28"/>
          <w14:textFill>
            <w14:solidFill>
              <w14:schemeClr w14:val="tx1"/>
            </w14:solidFill>
          </w14:textFill>
        </w:rPr>
        <w:t>Post evaluation standard for green building</w:t>
      </w:r>
    </w:p>
    <w:p>
      <w:pPr>
        <w:shd w:val="clear"/>
        <w:adjustRightInd w:val="0"/>
        <w:snapToGrid w:val="0"/>
        <w:spacing w:before="93" w:beforeLines="30" w:after="93" w:afterLines="30" w:line="360" w:lineRule="auto"/>
        <w:jc w:val="center"/>
        <w:rPr>
          <w:rFonts w:hint="default" w:ascii="黑体" w:hAnsi="宋体" w:eastAsia="黑体"/>
          <w:color w:val="000000" w:themeColor="text1"/>
          <w:sz w:val="24"/>
          <w14:textFill>
            <w14:solidFill>
              <w14:schemeClr w14:val="tx1"/>
            </w14:solidFill>
          </w14:textFill>
        </w:rPr>
      </w:pPr>
    </w:p>
    <w:p>
      <w:pPr>
        <w:shd w:val="clear"/>
        <w:jc w:val="center"/>
        <w:rPr>
          <w:rFonts w:hint="default" w:ascii="宋体" w:hAnsi="宋体"/>
          <w:b/>
          <w:color w:val="000000" w:themeColor="text1"/>
          <w:szCs w:val="21"/>
          <w14:textFill>
            <w14:solidFill>
              <w14:schemeClr w14:val="tx1"/>
            </w14:solidFill>
          </w14:textFill>
        </w:rPr>
      </w:pPr>
    </w:p>
    <w:p>
      <w:pPr>
        <w:shd w:val="clear"/>
        <w:autoSpaceDE w:val="0"/>
        <w:autoSpaceDN w:val="0"/>
        <w:adjustRightInd w:val="0"/>
        <w:spacing w:line="360" w:lineRule="auto"/>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DBJ/T xx-xxx-xxxx</w:t>
      </w:r>
    </w:p>
    <w:p>
      <w:pPr>
        <w:shd w:val="clear"/>
        <w:autoSpaceDE w:val="0"/>
        <w:autoSpaceDN w:val="0"/>
        <w:adjustRightInd w:val="0"/>
        <w:spacing w:line="360" w:lineRule="auto"/>
        <w:jc w:val="center"/>
        <w:rPr>
          <w:rFonts w:hint="default"/>
          <w:b/>
          <w:color w:val="000000" w:themeColor="text1"/>
          <w:kern w:val="0"/>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ind w:firstLine="1960" w:firstLineChars="700"/>
        <w:jc w:val="both"/>
        <w:textAlignment w:val="auto"/>
        <w:rPr>
          <w:rFonts w:hint="default" w:ascii="宋体" w:hAnsi="宋体" w:cs="宋体"/>
          <w:bCs/>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住房和城乡建设部</w:t>
      </w:r>
      <w:r>
        <w:rPr>
          <w:rFonts w:ascii="宋体" w:hAnsi="宋体" w:cs="宋体"/>
          <w:bCs/>
          <w:color w:val="000000" w:themeColor="text1"/>
          <w:sz w:val="28"/>
          <w:szCs w:val="28"/>
          <w14:textFill>
            <w14:solidFill>
              <w14:schemeClr w14:val="tx1"/>
            </w14:solidFill>
          </w14:textFill>
        </w:rPr>
        <w:t>备案号：</w:t>
      </w:r>
      <w:r>
        <w:rPr>
          <w:rFonts w:hint="default" w:ascii="宋体" w:hAnsi="宋体" w:cs="宋体"/>
          <w:bCs/>
          <w:color w:val="000000" w:themeColor="text1"/>
          <w:sz w:val="28"/>
          <w:szCs w:val="28"/>
          <w14:textFill>
            <w14:solidFill>
              <w14:schemeClr w14:val="tx1"/>
            </w14:solidFill>
          </w14:textFill>
        </w:rPr>
        <w:t>x</w:t>
      </w:r>
      <w:r>
        <w:rPr>
          <w:rFonts w:ascii="宋体" w:hAnsi="宋体" w:cs="宋体"/>
          <w:bCs/>
          <w:color w:val="000000" w:themeColor="text1"/>
          <w:sz w:val="28"/>
          <w:szCs w:val="28"/>
          <w14:textFill>
            <w14:solidFill>
              <w14:schemeClr w14:val="tx1"/>
            </w14:solidFill>
          </w14:textFill>
        </w:rPr>
        <w:t xml:space="preserve"> </w:t>
      </w:r>
      <w:r>
        <w:rPr>
          <w:rFonts w:hint="default" w:ascii="宋体" w:hAnsi="宋体" w:cs="宋体"/>
          <w:color w:val="000000" w:themeColor="text1"/>
          <w:sz w:val="28"/>
          <w:szCs w:val="28"/>
          <w14:textFill>
            <w14:solidFill>
              <w14:schemeClr w14:val="tx1"/>
            </w14:solidFill>
          </w14:textFill>
        </w:rPr>
        <w:t>xxxxx</w:t>
      </w:r>
      <w:r>
        <w:rPr>
          <w:rFonts w:ascii="宋体" w:hAnsi="宋体" w:cs="宋体"/>
          <w:bCs/>
          <w:color w:val="000000" w:themeColor="text1"/>
          <w:sz w:val="28"/>
          <w:szCs w:val="28"/>
          <w14:textFill>
            <w14:solidFill>
              <w14:schemeClr w14:val="tx1"/>
            </w14:solidFill>
          </w14:textFill>
        </w:rPr>
        <w:t>—</w:t>
      </w:r>
      <w:r>
        <w:rPr>
          <w:rFonts w:hint="default" w:ascii="宋体" w:hAnsi="宋体" w:cs="宋体"/>
          <w:color w:val="000000" w:themeColor="text1"/>
          <w:sz w:val="28"/>
          <w:szCs w:val="28"/>
          <w14:textFill>
            <w14:solidFill>
              <w14:schemeClr w14:val="tx1"/>
            </w14:solidFill>
          </w14:textFill>
        </w:rPr>
        <w:t>xxxx</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ind w:firstLine="1960" w:firstLineChars="700"/>
        <w:jc w:val="both"/>
        <w:textAlignment w:val="auto"/>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批准部门：广东省住房和城乡建设厅</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ind w:firstLine="1960" w:firstLineChars="700"/>
        <w:jc w:val="both"/>
        <w:textAlignment w:val="auto"/>
        <w:rPr>
          <w:rFonts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实施日期：</w:t>
      </w:r>
      <w:r>
        <w:rPr>
          <w:rFonts w:ascii="宋体" w:hAnsi="宋体" w:cs="宋体"/>
          <w:color w:val="000000" w:themeColor="text1"/>
          <w:sz w:val="28"/>
          <w:szCs w:val="28"/>
          <w14:textFill>
            <w14:solidFill>
              <w14:schemeClr w14:val="tx1"/>
            </w14:solidFill>
          </w14:textFill>
        </w:rPr>
        <w:t>202</w:t>
      </w:r>
      <w:r>
        <w:rPr>
          <w:rFonts w:hint="default" w:ascii="宋体" w:hAnsi="宋体" w:cs="宋体"/>
          <w:color w:val="000000" w:themeColor="text1"/>
          <w:sz w:val="28"/>
          <w:szCs w:val="28"/>
          <w14:textFill>
            <w14:solidFill>
              <w14:schemeClr w14:val="tx1"/>
            </w14:solidFill>
          </w14:textFill>
        </w:rPr>
        <w:t>x</w:t>
      </w:r>
      <w:r>
        <w:rPr>
          <w:rFonts w:ascii="宋体" w:hAnsi="宋体" w:cs="宋体"/>
          <w:bCs/>
          <w:color w:val="000000" w:themeColor="text1"/>
          <w:sz w:val="28"/>
          <w:szCs w:val="28"/>
          <w14:textFill>
            <w14:solidFill>
              <w14:schemeClr w14:val="tx1"/>
            </w14:solidFill>
          </w14:textFill>
        </w:rPr>
        <w:t>年</w:t>
      </w:r>
      <w:r>
        <w:rPr>
          <w:rFonts w:hint="default" w:ascii="宋体" w:hAnsi="宋体" w:cs="宋体"/>
          <w:color w:val="000000" w:themeColor="text1"/>
          <w:sz w:val="28"/>
          <w:szCs w:val="28"/>
          <w14:textFill>
            <w14:solidFill>
              <w14:schemeClr w14:val="tx1"/>
            </w14:solidFill>
          </w14:textFill>
        </w:rPr>
        <w:t>x</w:t>
      </w:r>
      <w:r>
        <w:rPr>
          <w:rFonts w:ascii="宋体" w:hAnsi="宋体" w:cs="宋体"/>
          <w:bCs/>
          <w:color w:val="000000" w:themeColor="text1"/>
          <w:sz w:val="28"/>
          <w:szCs w:val="28"/>
          <w14:textFill>
            <w14:solidFill>
              <w14:schemeClr w14:val="tx1"/>
            </w14:solidFill>
          </w14:textFill>
        </w:rPr>
        <w:t>月</w:t>
      </w:r>
      <w:r>
        <w:rPr>
          <w:rFonts w:hint="default" w:ascii="宋体" w:hAnsi="宋体" w:cs="宋体"/>
          <w:color w:val="000000" w:themeColor="text1"/>
          <w:sz w:val="28"/>
          <w:szCs w:val="28"/>
          <w14:textFill>
            <w14:solidFill>
              <w14:schemeClr w14:val="tx1"/>
            </w14:solidFill>
          </w14:textFill>
        </w:rPr>
        <w:t>x</w:t>
      </w:r>
      <w:r>
        <w:rPr>
          <w:rFonts w:ascii="宋体" w:hAnsi="宋体" w:cs="宋体"/>
          <w:bCs/>
          <w:color w:val="000000" w:themeColor="text1"/>
          <w:sz w:val="28"/>
          <w:szCs w:val="28"/>
          <w14:textFill>
            <w14:solidFill>
              <w14:schemeClr w14:val="tx1"/>
            </w14:solidFill>
          </w14:textFill>
        </w:rPr>
        <w:t>日</w:t>
      </w:r>
    </w:p>
    <w:p>
      <w:pPr>
        <w:shd w:val="clear"/>
        <w:rPr>
          <w:rFonts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br w:type="page"/>
      </w:r>
    </w:p>
    <w:p>
      <w:pPr>
        <w:shd w:val="clear"/>
        <w:spacing w:line="460" w:lineRule="exact"/>
        <w:jc w:val="center"/>
        <w:rPr>
          <w:rFonts w:hint="eastAsia" w:ascii="黑体" w:hAnsi="新宋体" w:eastAsia="黑体"/>
          <w:sz w:val="28"/>
          <w:szCs w:val="28"/>
        </w:rPr>
      </w:pPr>
      <w:r>
        <w:rPr>
          <w:rFonts w:hint="eastAsia" w:ascii="黑体" w:hAnsi="新宋体" w:eastAsia="黑体"/>
          <w:sz w:val="28"/>
          <w:szCs w:val="28"/>
        </w:rPr>
        <w:t>广东省住房和城乡建设厅关于发布广东省标准</w:t>
      </w:r>
    </w:p>
    <w:p>
      <w:pPr>
        <w:shd w:val="clear"/>
        <w:spacing w:line="460" w:lineRule="exact"/>
        <w:jc w:val="center"/>
        <w:rPr>
          <w:rFonts w:hint="eastAsia" w:ascii="黑体" w:hAnsi="新宋体" w:eastAsia="黑体"/>
          <w:sz w:val="28"/>
          <w:szCs w:val="28"/>
        </w:rPr>
      </w:pPr>
      <w:r>
        <w:rPr>
          <w:rFonts w:hint="eastAsia" w:ascii="黑体" w:hAnsi="新宋体" w:eastAsia="黑体"/>
          <w:sz w:val="28"/>
          <w:szCs w:val="28"/>
        </w:rPr>
        <w:t>《绿色建筑</w:t>
      </w:r>
      <w:r>
        <w:rPr>
          <w:rFonts w:hint="eastAsia" w:ascii="黑体" w:hAnsi="新宋体" w:eastAsia="黑体"/>
          <w:sz w:val="28"/>
          <w:szCs w:val="28"/>
          <w:lang w:val="en-US" w:eastAsia="zh-CN"/>
        </w:rPr>
        <w:t>后评估</w:t>
      </w:r>
      <w:r>
        <w:rPr>
          <w:rFonts w:hint="eastAsia" w:ascii="黑体" w:hAnsi="新宋体" w:eastAsia="黑体"/>
          <w:sz w:val="28"/>
          <w:szCs w:val="28"/>
        </w:rPr>
        <w:t>标准》的公告</w:t>
      </w:r>
    </w:p>
    <w:p>
      <w:pPr>
        <w:shd w:val="clear"/>
        <w:spacing w:before="156" w:beforeLines="50" w:line="460" w:lineRule="exact"/>
        <w:jc w:val="center"/>
        <w:rPr>
          <w:rFonts w:hint="eastAsia" w:ascii="新宋体" w:hAnsi="新宋体" w:eastAsia="新宋体"/>
          <w:szCs w:val="21"/>
        </w:rPr>
      </w:pPr>
      <w:r>
        <w:rPr>
          <w:rFonts w:hint="eastAsia" w:ascii="新宋体" w:hAnsi="新宋体" w:eastAsia="新宋体"/>
          <w:szCs w:val="21"/>
        </w:rPr>
        <w:t>粤建公告〔20××〕××号</w:t>
      </w:r>
    </w:p>
    <w:p>
      <w:pPr>
        <w:shd w:val="clear"/>
        <w:adjustRightInd w:val="0"/>
        <w:snapToGrid w:val="0"/>
        <w:spacing w:before="93" w:beforeLines="30" w:after="93" w:afterLines="30" w:line="360" w:lineRule="auto"/>
        <w:ind w:firstLine="560" w:firstLineChars="200"/>
        <w:rPr>
          <w:rFonts w:hint="eastAsia"/>
          <w:sz w:val="28"/>
        </w:rPr>
      </w:pPr>
    </w:p>
    <w:p>
      <w:pPr>
        <w:shd w:val="clear"/>
        <w:adjustRightInd w:val="0"/>
        <w:snapToGrid w:val="0"/>
        <w:spacing w:before="93" w:beforeLines="30" w:after="93" w:afterLines="30" w:line="360" w:lineRule="auto"/>
        <w:ind w:firstLine="420" w:firstLineChars="200"/>
        <w:rPr>
          <w:rFonts w:hint="eastAsia"/>
          <w:szCs w:val="21"/>
        </w:rPr>
      </w:pPr>
      <w:r>
        <w:rPr>
          <w:rFonts w:hint="eastAsia"/>
          <w:szCs w:val="21"/>
        </w:rPr>
        <w:t xml:space="preserve">现批准《广东省绿色建筑评价标准》为广东省工程建设地方标准，编号为DBJ/T </w:t>
      </w:r>
      <w:r>
        <w:rPr>
          <w:rFonts w:hint="eastAsia"/>
          <w:szCs w:val="21"/>
          <w:lang w:val="en-US" w:eastAsia="zh-CN"/>
        </w:rPr>
        <w:t>xx</w:t>
      </w:r>
      <w:r>
        <w:rPr>
          <w:rFonts w:hint="eastAsia"/>
          <w:szCs w:val="21"/>
        </w:rPr>
        <w:t>-</w:t>
      </w:r>
      <w:r>
        <w:rPr>
          <w:rFonts w:hint="eastAsia"/>
          <w:szCs w:val="21"/>
          <w:lang w:val="en-US" w:eastAsia="zh-CN"/>
        </w:rPr>
        <w:t>xx</w:t>
      </w:r>
      <w:r>
        <w:rPr>
          <w:rFonts w:hint="eastAsia"/>
          <w:szCs w:val="21"/>
        </w:rPr>
        <w:t>-</w:t>
      </w:r>
      <w:r>
        <w:rPr>
          <w:rFonts w:hint="eastAsia"/>
          <w:szCs w:val="21"/>
          <w:lang w:val="en-US" w:eastAsia="zh-CN"/>
        </w:rPr>
        <w:t>xxxx</w:t>
      </w:r>
      <w:r>
        <w:rPr>
          <w:rFonts w:hint="eastAsia"/>
          <w:szCs w:val="21"/>
        </w:rPr>
        <w:t>，自20××年××月××日起实施。</w:t>
      </w:r>
    </w:p>
    <w:p>
      <w:pPr>
        <w:shd w:val="clear"/>
        <w:adjustRightInd w:val="0"/>
        <w:snapToGrid w:val="0"/>
        <w:spacing w:before="93" w:beforeLines="30" w:after="93" w:afterLines="30" w:line="360" w:lineRule="auto"/>
        <w:ind w:firstLine="420" w:firstLineChars="200"/>
        <w:rPr>
          <w:rFonts w:hint="eastAsia"/>
          <w:szCs w:val="21"/>
        </w:rPr>
      </w:pPr>
      <w:r>
        <w:rPr>
          <w:rFonts w:hint="eastAsia"/>
          <w:szCs w:val="21"/>
        </w:rPr>
        <w:t>本标准由广东省住房和城乡建设厅负责管理，广东省建筑科学研究院集团</w:t>
      </w:r>
      <w:r>
        <w:rPr>
          <w:szCs w:val="21"/>
        </w:rPr>
        <w:t>股份有限公司</w:t>
      </w:r>
      <w:r>
        <w:rPr>
          <w:rFonts w:hint="eastAsia"/>
          <w:szCs w:val="21"/>
        </w:rPr>
        <w:t>负责具体技术内容的解释。</w:t>
      </w:r>
    </w:p>
    <w:p>
      <w:pPr>
        <w:shd w:val="clear"/>
        <w:adjustRightInd w:val="0"/>
        <w:snapToGrid w:val="0"/>
        <w:spacing w:before="93" w:beforeLines="30" w:after="93" w:afterLines="30" w:line="360" w:lineRule="auto"/>
        <w:ind w:firstLine="420" w:firstLineChars="200"/>
        <w:rPr>
          <w:rFonts w:hint="eastAsia"/>
          <w:szCs w:val="21"/>
        </w:rPr>
      </w:pPr>
    </w:p>
    <w:p>
      <w:pPr>
        <w:shd w:val="clear"/>
        <w:adjustRightInd w:val="0"/>
        <w:snapToGrid w:val="0"/>
        <w:spacing w:before="93" w:beforeLines="30" w:after="93" w:afterLines="30" w:line="360" w:lineRule="auto"/>
        <w:ind w:firstLine="420" w:firstLineChars="200"/>
        <w:rPr>
          <w:rFonts w:hint="eastAsia"/>
          <w:szCs w:val="21"/>
        </w:rPr>
      </w:pPr>
    </w:p>
    <w:p>
      <w:pPr>
        <w:shd w:val="clear"/>
        <w:adjustRightInd w:val="0"/>
        <w:snapToGrid w:val="0"/>
        <w:spacing w:before="93" w:beforeLines="30" w:after="93" w:afterLines="30" w:line="360" w:lineRule="auto"/>
        <w:ind w:firstLine="420" w:firstLineChars="200"/>
        <w:rPr>
          <w:rFonts w:hint="eastAsia"/>
          <w:szCs w:val="21"/>
        </w:rPr>
      </w:pPr>
    </w:p>
    <w:p>
      <w:pPr>
        <w:shd w:val="clear"/>
        <w:spacing w:line="460" w:lineRule="exact"/>
        <w:ind w:firstLine="420" w:firstLineChars="200"/>
        <w:jc w:val="right"/>
        <w:rPr>
          <w:rFonts w:hint="eastAsia" w:ascii="新宋体" w:hAnsi="新宋体" w:eastAsia="新宋体"/>
          <w:szCs w:val="21"/>
        </w:rPr>
      </w:pPr>
      <w:r>
        <w:rPr>
          <w:rFonts w:hint="eastAsia" w:ascii="新宋体" w:hAnsi="新宋体" w:eastAsia="新宋体"/>
          <w:szCs w:val="21"/>
        </w:rPr>
        <w:t>广东省住房和城乡建设厅</w:t>
      </w:r>
    </w:p>
    <w:p>
      <w:pPr>
        <w:shd w:val="clear"/>
        <w:jc w:val="right"/>
        <w:rPr>
          <w:rFonts w:ascii="新宋体" w:hAnsi="新宋体" w:eastAsia="新宋体"/>
          <w:szCs w:val="21"/>
        </w:rPr>
      </w:pPr>
      <w:r>
        <w:rPr>
          <w:rFonts w:hint="eastAsia" w:ascii="新宋体" w:hAnsi="新宋体" w:eastAsia="新宋体"/>
          <w:szCs w:val="21"/>
        </w:rPr>
        <w:t xml:space="preserve">                                       二〇</w:t>
      </w:r>
      <w:r>
        <w:rPr>
          <w:rFonts w:hint="eastAsia"/>
          <w:szCs w:val="21"/>
        </w:rPr>
        <w:t>××</w:t>
      </w:r>
      <w:r>
        <w:rPr>
          <w:rFonts w:hint="eastAsia" w:ascii="新宋体" w:hAnsi="新宋体" w:eastAsia="新宋体"/>
          <w:szCs w:val="21"/>
        </w:rPr>
        <w:t>年××月××日</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ind w:firstLine="1960" w:firstLineChars="700"/>
        <w:jc w:val="both"/>
        <w:textAlignment w:val="auto"/>
        <w:rPr>
          <w:rFonts w:hint="default" w:ascii="宋体" w:hAnsi="宋体" w:cs="宋体"/>
          <w:bCs/>
          <w:color w:val="000000" w:themeColor="text1"/>
          <w:sz w:val="28"/>
          <w:szCs w:val="28"/>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jc w:val="center"/>
        <w:rPr>
          <w:rFonts w:hint="default"/>
          <w:bCs/>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rPr>
          <w:rFonts w:hint="default" w:eastAsia="黑体"/>
          <w:b/>
          <w:color w:val="000000" w:themeColor="text1"/>
          <w:sz w:val="36"/>
          <w:szCs w:val="36"/>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br w:type="page"/>
      </w:r>
    </w:p>
    <w:p>
      <w:pPr>
        <w:shd w:val="clear"/>
        <w:adjustRightInd w:val="0"/>
        <w:snapToGrid w:val="0"/>
        <w:spacing w:before="93" w:beforeLines="30" w:after="93" w:afterLines="30" w:line="312" w:lineRule="auto"/>
        <w:jc w:val="center"/>
        <w:rPr>
          <w:rFonts w:eastAsia="黑体"/>
          <w:b/>
          <w:color w:val="000000" w:themeColor="text1"/>
          <w:sz w:val="36"/>
          <w:szCs w:val="36"/>
          <w14:textFill>
            <w14:solidFill>
              <w14:schemeClr w14:val="tx1"/>
            </w14:solidFill>
          </w14:textFill>
        </w:rPr>
        <w:sectPr>
          <w:footerReference r:id="rId3" w:type="even"/>
          <w:pgSz w:w="11906" w:h="16838"/>
          <w:pgMar w:top="1440" w:right="1588" w:bottom="1440" w:left="1588" w:header="851" w:footer="992" w:gutter="0"/>
          <w:cols w:space="720" w:num="1"/>
          <w:titlePg/>
          <w:docGrid w:type="lines" w:linePitch="312" w:charSpace="0"/>
        </w:sectPr>
      </w:pPr>
    </w:p>
    <w:p>
      <w:pPr>
        <w:shd w:val="clear"/>
        <w:adjustRightInd w:val="0"/>
        <w:snapToGrid w:val="0"/>
        <w:spacing w:before="93" w:beforeLines="30" w:after="93" w:afterLines="30" w:line="312" w:lineRule="auto"/>
        <w:jc w:val="center"/>
        <w:rPr>
          <w:rFonts w:hint="default" w:eastAsia="黑体"/>
          <w:b/>
          <w:color w:val="000000" w:themeColor="text1"/>
          <w:sz w:val="36"/>
          <w:szCs w:val="36"/>
          <w14:textFill>
            <w14:solidFill>
              <w14:schemeClr w14:val="tx1"/>
            </w14:solidFill>
          </w14:textFill>
        </w:rPr>
      </w:pPr>
      <w:r>
        <w:rPr>
          <w:rFonts w:eastAsia="黑体"/>
          <w:b/>
          <w:color w:val="000000" w:themeColor="text1"/>
          <w:sz w:val="36"/>
          <w:szCs w:val="36"/>
          <w14:textFill>
            <w14:solidFill>
              <w14:schemeClr w14:val="tx1"/>
            </w14:solidFill>
          </w14:textFill>
        </w:rPr>
        <w:t>前  言</w:t>
      </w:r>
    </w:p>
    <w:p>
      <w:pPr>
        <w:shd w:val="clear"/>
        <w:adjustRightInd w:val="0"/>
        <w:snapToGrid w:val="0"/>
        <w:spacing w:before="93" w:beforeLines="30" w:after="93" w:afterLines="30" w:line="312" w:lineRule="auto"/>
        <w:jc w:val="center"/>
        <w:rPr>
          <w:rFonts w:hint="default"/>
          <w:b/>
          <w:color w:val="000000" w:themeColor="text1"/>
          <w:sz w:val="28"/>
          <w:szCs w:val="36"/>
          <w14:textFill>
            <w14:solidFill>
              <w14:schemeClr w14:val="tx1"/>
            </w14:solidFill>
          </w14:textFill>
        </w:rPr>
      </w:pPr>
    </w:p>
    <w:p>
      <w:pPr>
        <w:shd w:val="clear"/>
        <w:adjustRightInd w:val="0"/>
        <w:snapToGrid w:val="0"/>
        <w:spacing w:before="93" w:beforeLines="30" w:after="93" w:afterLines="30" w:line="360" w:lineRule="auto"/>
        <w:ind w:firstLine="420" w:firstLineChars="2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本标准是根据</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广东省市场监督管理局关于批准下达住房城乡建设类地方标准制修订计划项目的通知</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（粤市监标准〔20</w:t>
      </w:r>
      <w:r>
        <w:rPr>
          <w:rFonts w:hint="default"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w:t>
      </w:r>
      <w:r>
        <w:rPr>
          <w:rFonts w:hint="default"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7号）、</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广东省住房和城乡建设厅关于下达广东省标准</w:t>
      </w:r>
      <w:r>
        <w:rPr>
          <w:rFonts w:hint="eastAsia" w:ascii="宋体" w:hAnsi="宋体" w:cs="宋体"/>
          <w:color w:val="000000" w:themeColor="text1"/>
          <w:szCs w:val="21"/>
          <w:lang w:val="en-US" w:eastAsia="zh-CN"/>
          <w14:textFill>
            <w14:solidFill>
              <w14:schemeClr w14:val="tx1"/>
            </w14:solidFill>
          </w14:textFill>
        </w:rPr>
        <w:t>&lt;</w:t>
      </w:r>
      <w:r>
        <w:rPr>
          <w:rFonts w:ascii="宋体" w:hAnsi="宋体" w:cs="宋体"/>
          <w:color w:val="000000" w:themeColor="text1"/>
          <w:szCs w:val="21"/>
          <w14:textFill>
            <w14:solidFill>
              <w14:schemeClr w14:val="tx1"/>
            </w14:solidFill>
          </w14:textFill>
        </w:rPr>
        <w:t>绿色建筑后评估标准</w:t>
      </w:r>
      <w:r>
        <w:rPr>
          <w:rFonts w:hint="eastAsia" w:ascii="宋体" w:hAnsi="宋体" w:cs="宋体"/>
          <w:color w:val="000000" w:themeColor="text1"/>
          <w:szCs w:val="21"/>
          <w:lang w:val="en-US" w:eastAsia="zh-CN"/>
          <w14:textFill>
            <w14:solidFill>
              <w14:schemeClr w14:val="tx1"/>
            </w14:solidFill>
          </w14:textFill>
        </w:rPr>
        <w:t>&gt;</w:t>
      </w:r>
      <w:r>
        <w:rPr>
          <w:rFonts w:ascii="宋体" w:hAnsi="宋体" w:cs="宋体"/>
          <w:color w:val="000000" w:themeColor="text1"/>
          <w:szCs w:val="21"/>
          <w14:textFill>
            <w14:solidFill>
              <w14:schemeClr w14:val="tx1"/>
            </w14:solidFill>
          </w14:textFill>
        </w:rPr>
        <w:t>编制任务的通知</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的要求，规范编制组以国家标准《绿色建筑评价标准》GB/T 50378-2019基础，认真总结近年来广东省绿色建筑方面的实践和研究成果，借鉴国内、国际先进经验并在广泛征求意见的基础上对具体内容进行了反复讨论、协调和修改，最后经审查定稿。</w:t>
      </w:r>
    </w:p>
    <w:p>
      <w:pPr>
        <w:shd w:val="clear"/>
        <w:adjustRightInd w:val="0"/>
        <w:snapToGrid w:val="0"/>
        <w:spacing w:before="93" w:beforeLines="30" w:after="93" w:afterLines="30" w:line="360" w:lineRule="auto"/>
        <w:ind w:firstLine="420" w:firstLineChars="2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本</w:t>
      </w:r>
      <w:r>
        <w:rPr>
          <w:rFonts w:hint="eastAsia" w:ascii="宋体" w:hAnsi="宋体" w:cs="宋体"/>
          <w:color w:val="000000" w:themeColor="text1"/>
          <w:szCs w:val="21"/>
          <w:lang w:val="en-US" w:eastAsia="zh-CN"/>
          <w14:textFill>
            <w14:solidFill>
              <w14:schemeClr w14:val="tx1"/>
            </w14:solidFill>
          </w14:textFill>
        </w:rPr>
        <w:t>标准</w:t>
      </w:r>
      <w:r>
        <w:rPr>
          <w:rFonts w:ascii="宋体" w:hAnsi="宋体" w:cs="宋体"/>
          <w:color w:val="000000" w:themeColor="text1"/>
          <w:szCs w:val="21"/>
          <w14:textFill>
            <w14:solidFill>
              <w14:schemeClr w14:val="tx1"/>
            </w14:solidFill>
          </w14:textFill>
        </w:rPr>
        <w:t>的主要内容是：总则、术语、基本规定、评估指标。</w:t>
      </w:r>
    </w:p>
    <w:p>
      <w:pPr>
        <w:shd w:val="clear"/>
        <w:adjustRightInd w:val="0"/>
        <w:snapToGrid w:val="0"/>
        <w:spacing w:before="93" w:beforeLines="30" w:after="93" w:afterLines="30" w:line="360" w:lineRule="auto"/>
        <w:ind w:firstLine="420" w:firstLineChars="2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本</w:t>
      </w:r>
      <w:r>
        <w:rPr>
          <w:rFonts w:hint="eastAsia" w:ascii="宋体" w:hAnsi="宋体" w:cs="宋体"/>
          <w:color w:val="000000" w:themeColor="text1"/>
          <w:szCs w:val="21"/>
          <w:lang w:val="en-US" w:eastAsia="zh-CN"/>
          <w14:textFill>
            <w14:solidFill>
              <w14:schemeClr w14:val="tx1"/>
            </w14:solidFill>
          </w14:textFill>
        </w:rPr>
        <w:t>标准</w:t>
      </w:r>
      <w:r>
        <w:rPr>
          <w:rFonts w:ascii="宋体" w:hAnsi="宋体" w:cs="宋体"/>
          <w:color w:val="000000" w:themeColor="text1"/>
          <w:szCs w:val="21"/>
          <w14:textFill>
            <w14:solidFill>
              <w14:schemeClr w14:val="tx1"/>
            </w14:solidFill>
          </w14:textFill>
        </w:rPr>
        <w:t>由广东省住房和城乡建设厅负责管理，由主编单位负责具体技术内容的解释。执行过程中如有意见或建议，请寄送广东省建筑科学研究院集团股份有限公司（地址：广州市先烈东路121号；邮政编码：510500）。</w:t>
      </w:r>
    </w:p>
    <w:p>
      <w:pPr>
        <w:shd w:val="clear"/>
        <w:adjustRightInd w:val="0"/>
        <w:snapToGrid w:val="0"/>
        <w:spacing w:before="93" w:beforeLines="30" w:after="93" w:afterLines="30" w:line="360" w:lineRule="auto"/>
        <w:ind w:firstLine="420" w:firstLineChars="2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本</w:t>
      </w:r>
      <w:r>
        <w:rPr>
          <w:rFonts w:hint="eastAsia" w:ascii="宋体" w:hAnsi="宋体" w:cs="宋体"/>
          <w:color w:val="000000" w:themeColor="text1"/>
          <w:szCs w:val="21"/>
          <w:lang w:val="en-US" w:eastAsia="zh-CN"/>
          <w14:textFill>
            <w14:solidFill>
              <w14:schemeClr w14:val="tx1"/>
            </w14:solidFill>
          </w14:textFill>
        </w:rPr>
        <w:t>标准</w:t>
      </w:r>
      <w:r>
        <w:rPr>
          <w:rFonts w:ascii="宋体" w:hAnsi="宋体" w:cs="宋体"/>
          <w:color w:val="000000" w:themeColor="text1"/>
          <w:szCs w:val="21"/>
          <w14:textFill>
            <w14:solidFill>
              <w14:schemeClr w14:val="tx1"/>
            </w14:solidFill>
          </w14:textFill>
        </w:rPr>
        <w:t>主编单位：广东省建筑科学研究院集团股份有限公司</w:t>
      </w:r>
    </w:p>
    <w:p>
      <w:pPr>
        <w:shd w:val="clear"/>
        <w:adjustRightInd w:val="0"/>
        <w:snapToGrid w:val="0"/>
        <w:spacing w:before="93" w:beforeLines="30" w:after="93" w:afterLines="30" w:line="360" w:lineRule="auto"/>
        <w:ind w:firstLine="420" w:firstLineChars="2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本</w:t>
      </w:r>
      <w:r>
        <w:rPr>
          <w:rFonts w:hint="eastAsia" w:ascii="宋体" w:hAnsi="宋体" w:cs="宋体"/>
          <w:color w:val="000000" w:themeColor="text1"/>
          <w:szCs w:val="21"/>
          <w:lang w:val="en-US" w:eastAsia="zh-CN"/>
          <w14:textFill>
            <w14:solidFill>
              <w14:schemeClr w14:val="tx1"/>
            </w14:solidFill>
          </w14:textFill>
        </w:rPr>
        <w:t>标准</w:t>
      </w:r>
      <w:r>
        <w:rPr>
          <w:rFonts w:ascii="宋体" w:hAnsi="宋体" w:cs="宋体"/>
          <w:color w:val="000000" w:themeColor="text1"/>
          <w:szCs w:val="21"/>
          <w14:textFill>
            <w14:solidFill>
              <w14:schemeClr w14:val="tx1"/>
            </w14:solidFill>
          </w14:textFill>
        </w:rPr>
        <w:t>参编单位：华南理工大学</w:t>
      </w:r>
    </w:p>
    <w:p>
      <w:pPr>
        <w:shd w:val="clear"/>
        <w:adjustRightInd w:val="0"/>
        <w:snapToGrid w:val="0"/>
        <w:spacing w:before="93" w:beforeLines="30" w:after="93" w:afterLines="30" w:line="360" w:lineRule="auto"/>
        <w:ind w:firstLine="2100" w:firstLineChars="10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广东省建筑设计研究院有限公司</w:t>
      </w:r>
    </w:p>
    <w:p>
      <w:pPr>
        <w:shd w:val="clear"/>
        <w:adjustRightInd w:val="0"/>
        <w:snapToGrid w:val="0"/>
        <w:spacing w:before="93" w:beforeLines="30" w:after="93" w:afterLines="30" w:line="360" w:lineRule="auto"/>
        <w:ind w:firstLine="2100" w:firstLineChars="10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广州市散装水泥与建筑节能管理中心</w:t>
      </w:r>
    </w:p>
    <w:p>
      <w:pPr>
        <w:shd w:val="clear"/>
        <w:adjustRightInd w:val="0"/>
        <w:snapToGrid w:val="0"/>
        <w:spacing w:before="93" w:beforeLines="30" w:after="93" w:afterLines="30" w:line="360" w:lineRule="auto"/>
        <w:ind w:firstLine="2100" w:firstLineChars="10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深圳证券交易所营运服务与物业管理有限公司</w:t>
      </w:r>
    </w:p>
    <w:p>
      <w:pPr>
        <w:shd w:val="clear"/>
        <w:adjustRightInd w:val="0"/>
        <w:snapToGrid w:val="0"/>
        <w:spacing w:before="93" w:beforeLines="30" w:after="93" w:afterLines="30" w:line="360" w:lineRule="auto"/>
        <w:ind w:firstLine="2100" w:firstLineChars="10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珠海华发实业股份有限公司</w:t>
      </w:r>
    </w:p>
    <w:p>
      <w:pPr>
        <w:shd w:val="clear"/>
        <w:adjustRightInd w:val="0"/>
        <w:snapToGrid w:val="0"/>
        <w:spacing w:before="93" w:beforeLines="30" w:after="93" w:afterLines="30" w:line="360" w:lineRule="auto"/>
        <w:ind w:firstLine="2100" w:firstLineChars="10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广州市万溪企业管理有限公司</w:t>
      </w:r>
    </w:p>
    <w:p>
      <w:pPr>
        <w:shd w:val="clear"/>
        <w:adjustRightInd w:val="0"/>
        <w:snapToGrid w:val="0"/>
        <w:spacing w:before="93" w:beforeLines="30" w:after="93" w:afterLines="30" w:line="360" w:lineRule="auto"/>
        <w:ind w:firstLine="420" w:firstLineChars="200"/>
        <w:jc w:val="left"/>
        <w:rPr>
          <w:rFonts w:hint="eastAsia" w:ascii="宋体" w:hAnsi="宋体" w:cs="宋体"/>
          <w:color w:val="000000" w:themeColor="text1"/>
          <w:szCs w:val="21"/>
          <w:lang w:val="en-US" w:eastAsia="zh-CN"/>
          <w14:textFill>
            <w14:solidFill>
              <w14:schemeClr w14:val="tx1"/>
            </w14:solidFill>
          </w14:textFill>
        </w:rPr>
      </w:pPr>
      <w:r>
        <w:rPr>
          <w:rFonts w:ascii="宋体" w:hAnsi="宋体" w:cs="宋体"/>
          <w:color w:val="000000" w:themeColor="text1"/>
          <w:szCs w:val="21"/>
          <w14:textFill>
            <w14:solidFill>
              <w14:schemeClr w14:val="tx1"/>
            </w14:solidFill>
          </w14:textFill>
        </w:rPr>
        <w:t>本标准主要起草人员：</w:t>
      </w:r>
      <w:r>
        <w:rPr>
          <w:rFonts w:hint="default"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杨仕超  周  荃  孟庆林  黄  翼  谢士涛  丁  可  江  刚  </w:t>
      </w:r>
    </w:p>
    <w:p>
      <w:pPr>
        <w:shd w:val="clear"/>
        <w:adjustRightInd w:val="0"/>
        <w:snapToGrid w:val="0"/>
        <w:spacing w:before="93" w:beforeLines="30" w:after="93" w:afterLines="30" w:line="360" w:lineRule="auto"/>
        <w:ind w:left="0" w:leftChars="0" w:firstLine="2639" w:firstLineChars="1257"/>
        <w:jc w:val="lef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姚  铭  雷  琳  李  明  马文宇  黄志锋  张广铭</w:t>
      </w:r>
    </w:p>
    <w:p>
      <w:pPr>
        <w:shd w:val="clear"/>
        <w:adjustRightInd w:val="0"/>
        <w:snapToGrid w:val="0"/>
        <w:spacing w:before="93" w:beforeLines="30" w:after="93" w:afterLines="30" w:line="360" w:lineRule="auto"/>
        <w:ind w:firstLine="2520" w:firstLineChars="1200"/>
        <w:jc w:val="left"/>
        <w:rPr>
          <w:rFonts w:hint="default" w:ascii="宋体" w:hAnsi="宋体" w:cs="宋体"/>
          <w:color w:val="000000" w:themeColor="text1"/>
          <w:szCs w:val="21"/>
          <w14:textFill>
            <w14:solidFill>
              <w14:schemeClr w14:val="tx1"/>
            </w14:solidFill>
          </w14:textFill>
        </w:rPr>
      </w:pPr>
    </w:p>
    <w:p>
      <w:pPr>
        <w:shd w:val="clear"/>
        <w:adjustRightInd w:val="0"/>
        <w:snapToGrid w:val="0"/>
        <w:spacing w:before="93" w:beforeLines="30" w:after="93" w:afterLines="30" w:line="360" w:lineRule="auto"/>
        <w:ind w:firstLine="420" w:firstLineChars="200"/>
        <w:rPr>
          <w:rFonts w:hint="default"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本标准主要审查人员： </w:t>
      </w:r>
    </w:p>
    <w:p>
      <w:pPr>
        <w:shd w:val="clear"/>
        <w:adjustRightInd w:val="0"/>
        <w:snapToGrid w:val="0"/>
        <w:spacing w:before="93" w:beforeLines="30" w:after="93" w:afterLines="30" w:line="360" w:lineRule="auto"/>
        <w:ind w:firstLine="420" w:firstLineChars="200"/>
        <w:rPr>
          <w:rFonts w:hint="default"/>
          <w:color w:val="000000" w:themeColor="text1"/>
          <w:szCs w:val="21"/>
          <w14:textFill>
            <w14:solidFill>
              <w14:schemeClr w14:val="tx1"/>
            </w14:solidFill>
          </w14:textFill>
        </w:rPr>
      </w:pPr>
    </w:p>
    <w:p>
      <w:pPr>
        <w:shd w:val="clear"/>
        <w:adjustRightInd w:val="0"/>
        <w:snapToGrid w:val="0"/>
        <w:spacing w:before="93" w:beforeLines="30" w:after="93" w:afterLines="30" w:line="360" w:lineRule="auto"/>
        <w:ind w:left="2520" w:leftChars="200" w:hanging="2100" w:hangingChars="1000"/>
        <w:rPr>
          <w:rFonts w:hint="default"/>
          <w:color w:val="000000" w:themeColor="text1"/>
          <w:szCs w:val="21"/>
          <w14:textFill>
            <w14:solidFill>
              <w14:schemeClr w14:val="tx1"/>
            </w14:solidFill>
          </w14:textFill>
        </w:rPr>
        <w:sectPr>
          <w:pgSz w:w="11906" w:h="16838"/>
          <w:pgMar w:top="1440" w:right="1588" w:bottom="1440" w:left="1588" w:header="851" w:footer="992" w:gutter="0"/>
          <w:cols w:space="720" w:num="1"/>
          <w:titlePg/>
          <w:docGrid w:type="lines" w:linePitch="312" w:charSpace="0"/>
        </w:sectPr>
      </w:pPr>
    </w:p>
    <w:p>
      <w:pPr>
        <w:shd w:val="clear"/>
        <w:adjustRightInd w:val="0"/>
        <w:snapToGrid w:val="0"/>
        <w:spacing w:before="93" w:beforeLines="30" w:after="93" w:afterLines="30" w:line="360" w:lineRule="auto"/>
        <w:jc w:val="center"/>
        <w:rPr>
          <w:rFonts w:hint="default"/>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目   次</w:t>
      </w:r>
    </w:p>
    <w:p>
      <w:pPr>
        <w:shd w:val="clear"/>
        <w:adjustRightInd w:val="0"/>
        <w:snapToGrid w:val="0"/>
        <w:spacing w:before="93" w:beforeLines="30" w:after="93" w:afterLines="30" w:line="360" w:lineRule="auto"/>
        <w:jc w:val="center"/>
        <w:rPr>
          <w:rFonts w:hint="default"/>
          <w:bCs/>
          <w:color w:val="000000" w:themeColor="text1"/>
          <w:sz w:val="24"/>
          <w:szCs w:val="28"/>
          <w14:textFill>
            <w14:solidFill>
              <w14:schemeClr w14:val="tx1"/>
            </w14:solidFill>
          </w14:textFill>
        </w:rPr>
      </w:pPr>
      <w:bookmarkStart w:id="0" w:name="_Hlk50646813"/>
    </w:p>
    <w:p>
      <w:pPr>
        <w:pStyle w:val="22"/>
        <w:shd w:val="clear"/>
        <w:tabs>
          <w:tab w:val="right" w:leader="dot" w:pos="8312"/>
        </w:tabs>
        <w:spacing w:line="360" w:lineRule="auto"/>
        <w:rPr>
          <w:sz w:val="24"/>
          <w:szCs w:val="24"/>
        </w:rPr>
      </w:pPr>
      <w:bookmarkStart w:id="1" w:name="OLE_LINK3"/>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color w:val="000000" w:themeColor="text1"/>
          <w:sz w:val="24"/>
          <w:szCs w:val="24"/>
          <w:highlight w:val="yellow"/>
          <w14:textFill>
            <w14:solidFill>
              <w14:schemeClr w14:val="tx1"/>
            </w14:solidFill>
          </w14:textFill>
        </w:rPr>
        <w:instrText xml:space="preserve"> TOC \o "1-3" \h \z \u </w:instrText>
      </w:r>
      <w:r>
        <w:rPr>
          <w:rFonts w:ascii="宋体" w:hAnsi="宋体" w:cs="宋体"/>
          <w:color w:val="000000" w:themeColor="text1"/>
          <w:sz w:val="24"/>
          <w:szCs w:val="24"/>
          <w:highlight w:val="yellow"/>
          <w14:textFill>
            <w14:solidFill>
              <w14:schemeClr w14:val="tx1"/>
            </w14:solidFill>
          </w14:textFill>
        </w:rPr>
        <w:fldChar w:fldCharType="separate"/>
      </w: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_Toc25225 </w:instrText>
      </w:r>
      <w:r>
        <w:rPr>
          <w:rFonts w:ascii="宋体" w:hAnsi="宋体" w:cs="宋体"/>
          <w:sz w:val="24"/>
          <w:szCs w:val="24"/>
          <w:highlight w:val="yellow"/>
        </w:rPr>
        <w:fldChar w:fldCharType="separate"/>
      </w:r>
      <w:r>
        <w:rPr>
          <w:sz w:val="24"/>
          <w:szCs w:val="24"/>
        </w:rPr>
        <w:t>1 总  则</w:t>
      </w:r>
      <w:r>
        <w:rPr>
          <w:sz w:val="24"/>
          <w:szCs w:val="24"/>
        </w:rPr>
        <w:tab/>
      </w:r>
      <w:r>
        <w:rPr>
          <w:sz w:val="24"/>
          <w:szCs w:val="24"/>
        </w:rPr>
        <w:fldChar w:fldCharType="begin"/>
      </w:r>
      <w:r>
        <w:rPr>
          <w:sz w:val="24"/>
          <w:szCs w:val="24"/>
        </w:rPr>
        <w:instrText xml:space="preserve"> PAGEREF _Toc25225 \h </w:instrText>
      </w:r>
      <w:r>
        <w:rPr>
          <w:sz w:val="24"/>
          <w:szCs w:val="24"/>
        </w:rPr>
        <w:fldChar w:fldCharType="separate"/>
      </w:r>
      <w:r>
        <w:rPr>
          <w:sz w:val="24"/>
          <w:szCs w:val="24"/>
        </w:rPr>
        <w:t>1</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_Toc9358 </w:instrText>
      </w:r>
      <w:r>
        <w:rPr>
          <w:rFonts w:ascii="宋体" w:hAnsi="宋体" w:cs="宋体"/>
          <w:sz w:val="24"/>
          <w:szCs w:val="24"/>
          <w:highlight w:val="yellow"/>
        </w:rPr>
        <w:fldChar w:fldCharType="separate"/>
      </w:r>
      <w:r>
        <w:rPr>
          <w:sz w:val="24"/>
          <w:szCs w:val="24"/>
        </w:rPr>
        <w:t>2 术  语</w:t>
      </w:r>
      <w:r>
        <w:rPr>
          <w:sz w:val="24"/>
          <w:szCs w:val="24"/>
        </w:rPr>
        <w:tab/>
      </w:r>
      <w:r>
        <w:rPr>
          <w:sz w:val="24"/>
          <w:szCs w:val="24"/>
        </w:rPr>
        <w:fldChar w:fldCharType="begin"/>
      </w:r>
      <w:r>
        <w:rPr>
          <w:sz w:val="24"/>
          <w:szCs w:val="24"/>
        </w:rPr>
        <w:instrText xml:space="preserve"> PAGEREF _Toc9358 \h </w:instrText>
      </w:r>
      <w:r>
        <w:rPr>
          <w:sz w:val="24"/>
          <w:szCs w:val="24"/>
        </w:rPr>
        <w:fldChar w:fldCharType="separate"/>
      </w:r>
      <w:r>
        <w:rPr>
          <w:sz w:val="24"/>
          <w:szCs w:val="24"/>
        </w:rPr>
        <w:t>2</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_Toc11759 </w:instrText>
      </w:r>
      <w:r>
        <w:rPr>
          <w:rFonts w:ascii="宋体" w:hAnsi="宋体" w:cs="宋体"/>
          <w:sz w:val="24"/>
          <w:szCs w:val="24"/>
          <w:highlight w:val="yellow"/>
        </w:rPr>
        <w:fldChar w:fldCharType="separate"/>
      </w:r>
      <w:r>
        <w:rPr>
          <w:sz w:val="24"/>
          <w:szCs w:val="24"/>
        </w:rPr>
        <w:t>3 基本规定</w:t>
      </w:r>
      <w:r>
        <w:rPr>
          <w:sz w:val="24"/>
          <w:szCs w:val="24"/>
        </w:rPr>
        <w:tab/>
      </w:r>
      <w:r>
        <w:rPr>
          <w:sz w:val="24"/>
          <w:szCs w:val="24"/>
        </w:rPr>
        <w:fldChar w:fldCharType="begin"/>
      </w:r>
      <w:r>
        <w:rPr>
          <w:sz w:val="24"/>
          <w:szCs w:val="24"/>
        </w:rPr>
        <w:instrText xml:space="preserve"> PAGEREF _Toc11759 \h </w:instrText>
      </w:r>
      <w:r>
        <w:rPr>
          <w:sz w:val="24"/>
          <w:szCs w:val="24"/>
        </w:rPr>
        <w:fldChar w:fldCharType="separate"/>
      </w:r>
      <w:r>
        <w:rPr>
          <w:sz w:val="24"/>
          <w:szCs w:val="24"/>
        </w:rPr>
        <w:t>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_Toc18795 </w:instrText>
      </w:r>
      <w:r>
        <w:rPr>
          <w:rFonts w:ascii="宋体" w:hAnsi="宋体" w:cs="宋体"/>
          <w:sz w:val="24"/>
          <w:szCs w:val="24"/>
          <w:highlight w:val="yellow"/>
        </w:rPr>
        <w:fldChar w:fldCharType="separate"/>
      </w:r>
      <w:r>
        <w:rPr>
          <w:sz w:val="24"/>
          <w:szCs w:val="24"/>
        </w:rPr>
        <w:t>3.1 一般规定</w:t>
      </w:r>
      <w:r>
        <w:rPr>
          <w:sz w:val="24"/>
          <w:szCs w:val="24"/>
        </w:rPr>
        <w:tab/>
      </w:r>
      <w:r>
        <w:rPr>
          <w:sz w:val="24"/>
          <w:szCs w:val="24"/>
        </w:rPr>
        <w:fldChar w:fldCharType="begin"/>
      </w:r>
      <w:r>
        <w:rPr>
          <w:sz w:val="24"/>
          <w:szCs w:val="24"/>
        </w:rPr>
        <w:instrText xml:space="preserve"> PAGEREF _Toc18795 \h </w:instrText>
      </w:r>
      <w:r>
        <w:rPr>
          <w:sz w:val="24"/>
          <w:szCs w:val="24"/>
        </w:rPr>
        <w:fldChar w:fldCharType="separate"/>
      </w:r>
      <w:r>
        <w:rPr>
          <w:sz w:val="24"/>
          <w:szCs w:val="24"/>
        </w:rPr>
        <w:t>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_Toc7759 </w:instrText>
      </w:r>
      <w:r>
        <w:rPr>
          <w:rFonts w:ascii="宋体" w:hAnsi="宋体" w:cs="宋体"/>
          <w:sz w:val="24"/>
          <w:szCs w:val="24"/>
          <w:highlight w:val="yellow"/>
        </w:rPr>
        <w:fldChar w:fldCharType="separate"/>
      </w:r>
      <w:r>
        <w:rPr>
          <w:sz w:val="24"/>
          <w:szCs w:val="24"/>
        </w:rPr>
        <w:t>3.</w:t>
      </w:r>
      <w:r>
        <w:rPr>
          <w:rFonts w:hint="default"/>
          <w:sz w:val="24"/>
          <w:szCs w:val="24"/>
        </w:rPr>
        <w:t>2</w:t>
      </w:r>
      <w:r>
        <w:rPr>
          <w:sz w:val="24"/>
          <w:szCs w:val="24"/>
        </w:rPr>
        <w:t xml:space="preserve"> 评估与等级划分</w:t>
      </w:r>
      <w:r>
        <w:rPr>
          <w:sz w:val="24"/>
          <w:szCs w:val="24"/>
        </w:rPr>
        <w:tab/>
      </w:r>
      <w:r>
        <w:rPr>
          <w:sz w:val="24"/>
          <w:szCs w:val="24"/>
        </w:rPr>
        <w:fldChar w:fldCharType="begin"/>
      </w:r>
      <w:r>
        <w:rPr>
          <w:sz w:val="24"/>
          <w:szCs w:val="24"/>
        </w:rPr>
        <w:instrText xml:space="preserve"> PAGEREF _Toc7759 \h </w:instrText>
      </w:r>
      <w:r>
        <w:rPr>
          <w:sz w:val="24"/>
          <w:szCs w:val="24"/>
        </w:rPr>
        <w:fldChar w:fldCharType="separate"/>
      </w:r>
      <w:r>
        <w:rPr>
          <w:sz w:val="24"/>
          <w:szCs w:val="24"/>
        </w:rPr>
        <w:t>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_Toc32525 </w:instrText>
      </w:r>
      <w:r>
        <w:rPr>
          <w:rFonts w:ascii="宋体" w:hAnsi="宋体" w:cs="宋体"/>
          <w:sz w:val="24"/>
          <w:szCs w:val="24"/>
          <w:highlight w:val="yellow"/>
        </w:rPr>
        <w:fldChar w:fldCharType="separate"/>
      </w:r>
      <w:r>
        <w:rPr>
          <w:rFonts w:hint="eastAsia"/>
          <w:sz w:val="24"/>
          <w:szCs w:val="24"/>
          <w:lang w:val="en-US" w:eastAsia="zh-CN"/>
        </w:rPr>
        <w:t>4</w:t>
      </w:r>
      <w:r>
        <w:rPr>
          <w:sz w:val="24"/>
          <w:szCs w:val="24"/>
        </w:rPr>
        <w:t xml:space="preserve"> </w:t>
      </w:r>
      <w:r>
        <w:rPr>
          <w:rFonts w:hint="eastAsia"/>
          <w:sz w:val="24"/>
          <w:szCs w:val="24"/>
          <w:lang w:val="en-US" w:eastAsia="zh-CN"/>
        </w:rPr>
        <w:t>评估指标</w:t>
      </w:r>
      <w:r>
        <w:rPr>
          <w:sz w:val="24"/>
          <w:szCs w:val="24"/>
        </w:rPr>
        <w:tab/>
      </w:r>
      <w:r>
        <w:rPr>
          <w:sz w:val="24"/>
          <w:szCs w:val="24"/>
        </w:rPr>
        <w:fldChar w:fldCharType="begin"/>
      </w:r>
      <w:r>
        <w:rPr>
          <w:sz w:val="24"/>
          <w:szCs w:val="24"/>
        </w:rPr>
        <w:instrText xml:space="preserve"> PAGEREF _Toc32525 \h </w:instrText>
      </w:r>
      <w:r>
        <w:rPr>
          <w:sz w:val="24"/>
          <w:szCs w:val="24"/>
        </w:rPr>
        <w:fldChar w:fldCharType="separate"/>
      </w:r>
      <w:r>
        <w:rPr>
          <w:sz w:val="24"/>
          <w:szCs w:val="24"/>
        </w:rPr>
        <w:t>5</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_Toc32319 </w:instrText>
      </w:r>
      <w:r>
        <w:rPr>
          <w:rFonts w:ascii="宋体" w:hAnsi="宋体" w:cs="宋体"/>
          <w:sz w:val="24"/>
          <w:szCs w:val="24"/>
          <w:highlight w:val="yellow"/>
        </w:rPr>
        <w:fldChar w:fldCharType="separate"/>
      </w:r>
      <w:r>
        <w:rPr>
          <w:sz w:val="24"/>
          <w:szCs w:val="24"/>
        </w:rPr>
        <w:t xml:space="preserve">4.1 </w:t>
      </w:r>
      <w:r>
        <w:rPr>
          <w:rFonts w:hint="eastAsia"/>
          <w:bCs/>
          <w:sz w:val="24"/>
          <w:szCs w:val="24"/>
          <w:lang w:val="en-US" w:eastAsia="zh-CN"/>
        </w:rPr>
        <w:t>绿色建筑技术</w:t>
      </w:r>
      <w:r>
        <w:rPr>
          <w:sz w:val="24"/>
          <w:szCs w:val="24"/>
        </w:rPr>
        <w:t>措施落实</w:t>
      </w:r>
      <w:r>
        <w:rPr>
          <w:sz w:val="24"/>
          <w:szCs w:val="24"/>
        </w:rPr>
        <w:tab/>
      </w:r>
      <w:r>
        <w:rPr>
          <w:sz w:val="24"/>
          <w:szCs w:val="24"/>
        </w:rPr>
        <w:fldChar w:fldCharType="begin"/>
      </w:r>
      <w:r>
        <w:rPr>
          <w:sz w:val="24"/>
          <w:szCs w:val="24"/>
        </w:rPr>
        <w:instrText xml:space="preserve"> PAGEREF _Toc32319 \h </w:instrText>
      </w:r>
      <w:r>
        <w:rPr>
          <w:sz w:val="24"/>
          <w:szCs w:val="24"/>
        </w:rPr>
        <w:fldChar w:fldCharType="separate"/>
      </w:r>
      <w:r>
        <w:rPr>
          <w:sz w:val="24"/>
          <w:szCs w:val="24"/>
        </w:rPr>
        <w:t>5</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_Toc7512 </w:instrText>
      </w:r>
      <w:r>
        <w:rPr>
          <w:rFonts w:ascii="宋体" w:hAnsi="宋体" w:cs="宋体"/>
          <w:sz w:val="24"/>
          <w:szCs w:val="24"/>
          <w:highlight w:val="yellow"/>
        </w:rPr>
        <w:fldChar w:fldCharType="separate"/>
      </w:r>
      <w:r>
        <w:rPr>
          <w:rFonts w:hint="default"/>
          <w:sz w:val="24"/>
          <w:szCs w:val="24"/>
        </w:rPr>
        <w:t>4.2</w:t>
      </w:r>
      <w:r>
        <w:rPr>
          <w:sz w:val="24"/>
          <w:szCs w:val="24"/>
        </w:rPr>
        <w:t xml:space="preserve"> </w:t>
      </w:r>
      <w:r>
        <w:rPr>
          <w:rFonts w:hint="eastAsia"/>
          <w:sz w:val="24"/>
          <w:szCs w:val="24"/>
          <w:lang w:val="en-US" w:eastAsia="zh-CN"/>
        </w:rPr>
        <w:t>关键评估指标</w:t>
      </w:r>
      <w:r>
        <w:rPr>
          <w:sz w:val="24"/>
          <w:szCs w:val="24"/>
        </w:rPr>
        <w:tab/>
      </w:r>
      <w:r>
        <w:rPr>
          <w:sz w:val="24"/>
          <w:szCs w:val="24"/>
        </w:rPr>
        <w:fldChar w:fldCharType="begin"/>
      </w:r>
      <w:r>
        <w:rPr>
          <w:sz w:val="24"/>
          <w:szCs w:val="24"/>
        </w:rPr>
        <w:instrText xml:space="preserve"> PAGEREF _Toc7512 \h </w:instrText>
      </w:r>
      <w:r>
        <w:rPr>
          <w:sz w:val="24"/>
          <w:szCs w:val="24"/>
        </w:rPr>
        <w:fldChar w:fldCharType="separate"/>
      </w:r>
      <w:r>
        <w:rPr>
          <w:sz w:val="24"/>
          <w:szCs w:val="24"/>
        </w:rPr>
        <w:t>5</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_Toc10035 </w:instrText>
      </w:r>
      <w:r>
        <w:rPr>
          <w:rFonts w:ascii="宋体" w:hAnsi="宋体" w:cs="宋体"/>
          <w:sz w:val="24"/>
          <w:szCs w:val="24"/>
          <w:highlight w:val="yellow"/>
        </w:rPr>
        <w:fldChar w:fldCharType="separate"/>
      </w:r>
      <w:r>
        <w:rPr>
          <w:rFonts w:hint="default"/>
          <w:sz w:val="24"/>
          <w:szCs w:val="24"/>
        </w:rPr>
        <w:t>4.3</w:t>
      </w:r>
      <w:r>
        <w:rPr>
          <w:sz w:val="24"/>
          <w:szCs w:val="24"/>
        </w:rPr>
        <w:t xml:space="preserve"> </w:t>
      </w:r>
      <w:r>
        <w:rPr>
          <w:rFonts w:hint="eastAsia"/>
          <w:sz w:val="24"/>
          <w:szCs w:val="24"/>
          <w:lang w:val="en-US" w:eastAsia="zh-CN"/>
        </w:rPr>
        <w:t>一般评估指标</w:t>
      </w:r>
      <w:r>
        <w:rPr>
          <w:sz w:val="24"/>
          <w:szCs w:val="24"/>
        </w:rPr>
        <w:tab/>
      </w:r>
      <w:r>
        <w:rPr>
          <w:sz w:val="24"/>
          <w:szCs w:val="24"/>
        </w:rPr>
        <w:fldChar w:fldCharType="begin"/>
      </w:r>
      <w:r>
        <w:rPr>
          <w:sz w:val="24"/>
          <w:szCs w:val="24"/>
        </w:rPr>
        <w:instrText xml:space="preserve"> PAGEREF _Toc10035 \h </w:instrText>
      </w:r>
      <w:r>
        <w:rPr>
          <w:sz w:val="24"/>
          <w:szCs w:val="24"/>
        </w:rPr>
        <w:fldChar w:fldCharType="separate"/>
      </w:r>
      <w:r>
        <w:rPr>
          <w:sz w:val="24"/>
          <w:szCs w:val="24"/>
        </w:rPr>
        <w:t>8</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_Toc23709 </w:instrText>
      </w:r>
      <w:r>
        <w:rPr>
          <w:rFonts w:ascii="宋体" w:hAnsi="宋体" w:cs="宋体"/>
          <w:sz w:val="24"/>
          <w:szCs w:val="24"/>
          <w:highlight w:val="yellow"/>
        </w:rPr>
        <w:fldChar w:fldCharType="separate"/>
      </w:r>
      <w:r>
        <w:rPr>
          <w:rFonts w:hint="default"/>
          <w:sz w:val="24"/>
          <w:szCs w:val="24"/>
        </w:rPr>
        <w:t>4.</w:t>
      </w:r>
      <w:r>
        <w:rPr>
          <w:rFonts w:hint="eastAsia"/>
          <w:sz w:val="24"/>
          <w:szCs w:val="24"/>
          <w:lang w:val="en-US" w:eastAsia="zh-CN"/>
        </w:rPr>
        <w:t>4</w:t>
      </w:r>
      <w:r>
        <w:rPr>
          <w:rFonts w:hint="default"/>
          <w:sz w:val="24"/>
          <w:szCs w:val="24"/>
        </w:rPr>
        <w:t xml:space="preserve"> </w:t>
      </w:r>
      <w:r>
        <w:rPr>
          <w:sz w:val="24"/>
          <w:szCs w:val="24"/>
        </w:rPr>
        <w:t>用户满意度</w:t>
      </w:r>
      <w:r>
        <w:rPr>
          <w:sz w:val="24"/>
          <w:szCs w:val="24"/>
        </w:rPr>
        <w:tab/>
      </w:r>
      <w:r>
        <w:rPr>
          <w:sz w:val="24"/>
          <w:szCs w:val="24"/>
        </w:rPr>
        <w:fldChar w:fldCharType="begin"/>
      </w:r>
      <w:r>
        <w:rPr>
          <w:sz w:val="24"/>
          <w:szCs w:val="24"/>
        </w:rPr>
        <w:instrText xml:space="preserve"> PAGEREF _Toc23709 \h </w:instrText>
      </w:r>
      <w:r>
        <w:rPr>
          <w:sz w:val="24"/>
          <w:szCs w:val="24"/>
        </w:rPr>
        <w:fldChar w:fldCharType="separate"/>
      </w:r>
      <w:r>
        <w:rPr>
          <w:sz w:val="24"/>
          <w:szCs w:val="24"/>
        </w:rPr>
        <w:t>16</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_Toc27170 </w:instrText>
      </w:r>
      <w:r>
        <w:rPr>
          <w:rFonts w:ascii="宋体" w:hAnsi="宋体" w:cs="宋体"/>
          <w:sz w:val="24"/>
          <w:szCs w:val="24"/>
          <w:highlight w:val="yellow"/>
        </w:rPr>
        <w:fldChar w:fldCharType="separate"/>
      </w:r>
      <w:r>
        <w:rPr>
          <w:sz w:val="24"/>
          <w:szCs w:val="24"/>
        </w:rPr>
        <w:t>本标准用词说明</w:t>
      </w:r>
      <w:r>
        <w:rPr>
          <w:sz w:val="24"/>
          <w:szCs w:val="24"/>
        </w:rPr>
        <w:tab/>
      </w:r>
      <w:r>
        <w:rPr>
          <w:sz w:val="24"/>
          <w:szCs w:val="24"/>
        </w:rPr>
        <w:fldChar w:fldCharType="begin"/>
      </w:r>
      <w:r>
        <w:rPr>
          <w:sz w:val="24"/>
          <w:szCs w:val="24"/>
        </w:rPr>
        <w:instrText xml:space="preserve"> PAGEREF _Toc27170 \h </w:instrText>
      </w:r>
      <w:r>
        <w:rPr>
          <w:sz w:val="24"/>
          <w:szCs w:val="24"/>
        </w:rPr>
        <w:fldChar w:fldCharType="separate"/>
      </w:r>
      <w:r>
        <w:rPr>
          <w:sz w:val="24"/>
          <w:szCs w:val="24"/>
        </w:rPr>
        <w:t>17</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_Toc1084 </w:instrText>
      </w:r>
      <w:r>
        <w:rPr>
          <w:rFonts w:ascii="宋体" w:hAnsi="宋体" w:cs="宋体"/>
          <w:sz w:val="24"/>
          <w:szCs w:val="24"/>
          <w:highlight w:val="yellow"/>
        </w:rPr>
        <w:fldChar w:fldCharType="separate"/>
      </w:r>
      <w:r>
        <w:rPr>
          <w:sz w:val="24"/>
          <w:szCs w:val="24"/>
        </w:rPr>
        <w:t>引用标准名录</w:t>
      </w:r>
      <w:r>
        <w:rPr>
          <w:sz w:val="24"/>
          <w:szCs w:val="24"/>
        </w:rPr>
        <w:tab/>
      </w:r>
      <w:r>
        <w:rPr>
          <w:sz w:val="24"/>
          <w:szCs w:val="24"/>
        </w:rPr>
        <w:fldChar w:fldCharType="begin"/>
      </w:r>
      <w:r>
        <w:rPr>
          <w:sz w:val="24"/>
          <w:szCs w:val="24"/>
        </w:rPr>
        <w:instrText xml:space="preserve"> PAGEREF _Toc1084 \h </w:instrText>
      </w:r>
      <w:r>
        <w:rPr>
          <w:sz w:val="24"/>
          <w:szCs w:val="24"/>
        </w:rPr>
        <w:fldChar w:fldCharType="separate"/>
      </w:r>
      <w:r>
        <w:rPr>
          <w:sz w:val="24"/>
          <w:szCs w:val="24"/>
        </w:rPr>
        <w:t>18</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_Toc18978 </w:instrText>
      </w:r>
      <w:r>
        <w:rPr>
          <w:rFonts w:ascii="宋体" w:hAnsi="宋体" w:cs="宋体"/>
          <w:sz w:val="24"/>
          <w:szCs w:val="24"/>
          <w:highlight w:val="yellow"/>
        </w:rPr>
        <w:fldChar w:fldCharType="separate"/>
      </w:r>
      <w:r>
        <w:rPr>
          <w:rFonts w:ascii="宋体" w:hAnsi="宋体"/>
          <w:sz w:val="24"/>
          <w:szCs w:val="24"/>
        </w:rPr>
        <w:t>附录A</w:t>
      </w:r>
      <w:r>
        <w:rPr>
          <w:sz w:val="24"/>
          <w:szCs w:val="24"/>
        </w:rPr>
        <w:tab/>
      </w:r>
      <w:r>
        <w:rPr>
          <w:sz w:val="24"/>
          <w:szCs w:val="24"/>
        </w:rPr>
        <w:fldChar w:fldCharType="begin"/>
      </w:r>
      <w:r>
        <w:rPr>
          <w:sz w:val="24"/>
          <w:szCs w:val="24"/>
        </w:rPr>
        <w:instrText xml:space="preserve"> PAGEREF _Toc18978 \h </w:instrText>
      </w:r>
      <w:r>
        <w:rPr>
          <w:sz w:val="24"/>
          <w:szCs w:val="24"/>
        </w:rPr>
        <w:fldChar w:fldCharType="separate"/>
      </w:r>
      <w:r>
        <w:rPr>
          <w:sz w:val="24"/>
          <w:szCs w:val="24"/>
        </w:rPr>
        <w:t>19</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_Toc26434 </w:instrText>
      </w:r>
      <w:r>
        <w:rPr>
          <w:rFonts w:ascii="宋体" w:hAnsi="宋体" w:cs="宋体"/>
          <w:sz w:val="24"/>
          <w:szCs w:val="24"/>
          <w:highlight w:val="yellow"/>
        </w:rPr>
        <w:fldChar w:fldCharType="separate"/>
      </w:r>
      <w:r>
        <w:rPr>
          <w:rFonts w:ascii="宋体" w:hAnsi="宋体"/>
          <w:sz w:val="24"/>
          <w:szCs w:val="24"/>
        </w:rPr>
        <w:t>附录B</w:t>
      </w:r>
      <w:r>
        <w:rPr>
          <w:sz w:val="24"/>
          <w:szCs w:val="24"/>
        </w:rPr>
        <w:tab/>
      </w:r>
      <w:r>
        <w:rPr>
          <w:sz w:val="24"/>
          <w:szCs w:val="24"/>
        </w:rPr>
        <w:fldChar w:fldCharType="begin"/>
      </w:r>
      <w:r>
        <w:rPr>
          <w:sz w:val="24"/>
          <w:szCs w:val="24"/>
        </w:rPr>
        <w:instrText xml:space="preserve"> PAGEREF _Toc26434 \h </w:instrText>
      </w:r>
      <w:r>
        <w:rPr>
          <w:sz w:val="24"/>
          <w:szCs w:val="24"/>
        </w:rPr>
        <w:fldChar w:fldCharType="separate"/>
      </w:r>
      <w:r>
        <w:rPr>
          <w:sz w:val="24"/>
          <w:szCs w:val="24"/>
        </w:rPr>
        <w:t>31</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_Toc278 </w:instrText>
      </w:r>
      <w:r>
        <w:rPr>
          <w:rFonts w:ascii="宋体" w:hAnsi="宋体" w:cs="宋体"/>
          <w:sz w:val="24"/>
          <w:szCs w:val="24"/>
          <w:highlight w:val="yellow"/>
        </w:rPr>
        <w:fldChar w:fldCharType="separate"/>
      </w:r>
      <w:r>
        <w:rPr>
          <w:rFonts w:hint="eastAsia"/>
          <w:sz w:val="24"/>
          <w:szCs w:val="24"/>
        </w:rPr>
        <w:t>条文</w:t>
      </w:r>
      <w:r>
        <w:rPr>
          <w:sz w:val="24"/>
          <w:szCs w:val="24"/>
        </w:rPr>
        <w:t>说明</w:t>
      </w:r>
      <w:r>
        <w:rPr>
          <w:sz w:val="24"/>
          <w:szCs w:val="24"/>
        </w:rPr>
        <w:tab/>
      </w:r>
      <w:r>
        <w:rPr>
          <w:sz w:val="24"/>
          <w:szCs w:val="24"/>
        </w:rPr>
        <w:fldChar w:fldCharType="begin"/>
      </w:r>
      <w:r>
        <w:rPr>
          <w:sz w:val="24"/>
          <w:szCs w:val="24"/>
        </w:rPr>
        <w:instrText xml:space="preserve"> PAGEREF _Toc278 \h </w:instrText>
      </w:r>
      <w:r>
        <w:rPr>
          <w:sz w:val="24"/>
          <w:szCs w:val="24"/>
        </w:rPr>
        <w:fldChar w:fldCharType="separate"/>
      </w:r>
      <w:r>
        <w:rPr>
          <w:sz w:val="24"/>
          <w:szCs w:val="24"/>
        </w:rPr>
        <w:t>33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shd w:val="clear"/>
        <w:adjustRightInd w:val="0"/>
        <w:snapToGrid w:val="0"/>
        <w:spacing w:before="95" w:beforeLines="30" w:after="95" w:afterLines="30" w:line="360" w:lineRule="auto"/>
        <w:rPr>
          <w:rFonts w:ascii="宋体" w:hAnsi="宋体" w:cs="宋体"/>
          <w:color w:val="000000" w:themeColor="text1"/>
          <w:sz w:val="24"/>
          <w:szCs w:val="24"/>
          <w:highlight w:val="yellow"/>
          <w14:textFill>
            <w14:solidFill>
              <w14:schemeClr w14:val="tx1"/>
            </w14:solidFill>
          </w14:textFill>
        </w:rPr>
        <w:sectPr>
          <w:footerReference r:id="rId4" w:type="first"/>
          <w:pgSz w:w="11906" w:h="16838"/>
          <w:pgMar w:top="1440" w:right="1797" w:bottom="1440" w:left="1797" w:header="851" w:footer="992" w:gutter="0"/>
          <w:pgNumType w:start="1"/>
          <w:cols w:space="720" w:num="1"/>
          <w:titlePg/>
          <w:docGrid w:type="lines" w:linePitch="312" w:charSpace="0"/>
        </w:sectPr>
      </w:pPr>
      <w:r>
        <w:rPr>
          <w:rFonts w:ascii="宋体" w:hAnsi="宋体" w:cs="宋体"/>
          <w:color w:val="000000" w:themeColor="text1"/>
          <w:sz w:val="24"/>
          <w:szCs w:val="24"/>
          <w:highlight w:val="yellow"/>
          <w14:textFill>
            <w14:solidFill>
              <w14:schemeClr w14:val="tx1"/>
            </w14:solidFill>
          </w14:textFill>
        </w:rPr>
        <w:fldChar w:fldCharType="end"/>
      </w:r>
      <w:bookmarkEnd w:id="0"/>
      <w:bookmarkEnd w:id="1"/>
    </w:p>
    <w:p>
      <w:pPr>
        <w:shd w:val="clear"/>
        <w:adjustRightInd w:val="0"/>
        <w:snapToGrid w:val="0"/>
        <w:spacing w:before="93" w:beforeLines="30" w:after="93" w:afterLines="30" w:line="360" w:lineRule="auto"/>
        <w:jc w:val="center"/>
        <w:rPr>
          <w:rFonts w:hint="default"/>
          <w:bCs/>
          <w:color w:val="000000" w:themeColor="text1"/>
          <w:sz w:val="28"/>
          <w:szCs w:val="28"/>
          <w14:textFill>
            <w14:solidFill>
              <w14:schemeClr w14:val="tx1"/>
            </w14:solidFill>
          </w14:textFill>
        </w:rPr>
      </w:pPr>
      <w:r>
        <w:rPr>
          <w:rStyle w:val="36"/>
          <w:b w:val="0"/>
          <w:bCs/>
          <w:color w:val="auto"/>
          <w:sz w:val="28"/>
          <w:szCs w:val="28"/>
          <w:u w:val="none"/>
        </w:rPr>
        <w:t>Contents</w:t>
      </w:r>
    </w:p>
    <w:p>
      <w:pPr>
        <w:shd w:val="clear"/>
        <w:adjustRightInd w:val="0"/>
        <w:snapToGrid w:val="0"/>
        <w:spacing w:before="93" w:beforeLines="30" w:after="93" w:afterLines="30" w:line="360" w:lineRule="auto"/>
        <w:jc w:val="center"/>
        <w:rPr>
          <w:rFonts w:hint="default"/>
          <w:bCs/>
          <w:color w:val="000000" w:themeColor="text1"/>
          <w:sz w:val="24"/>
          <w:szCs w:val="28"/>
          <w14:textFill>
            <w14:solidFill>
              <w14:schemeClr w14:val="tx1"/>
            </w14:solidFill>
          </w14:textFill>
        </w:rPr>
      </w:pP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color w:val="000000" w:themeColor="text1"/>
          <w:sz w:val="24"/>
          <w:szCs w:val="24"/>
          <w:highlight w:val="yellow"/>
          <w14:textFill>
            <w14:solidFill>
              <w14:schemeClr w14:val="tx1"/>
            </w14:solidFill>
          </w14:textFill>
        </w:rPr>
        <w:instrText xml:space="preserve"> TOC \o "1-3" \h \z \u </w:instrText>
      </w:r>
      <w:r>
        <w:rPr>
          <w:rFonts w:ascii="宋体" w:hAnsi="宋体" w:cs="宋体"/>
          <w:color w:val="000000" w:themeColor="text1"/>
          <w:sz w:val="24"/>
          <w:szCs w:val="24"/>
          <w:highlight w:val="yellow"/>
          <w14:textFill>
            <w14:solidFill>
              <w14:schemeClr w14:val="tx1"/>
            </w14:solidFill>
          </w14:textFill>
        </w:rPr>
        <w:fldChar w:fldCharType="separate"/>
      </w: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_Toc25225 </w:instrText>
      </w:r>
      <w:r>
        <w:rPr>
          <w:rFonts w:ascii="宋体" w:hAnsi="宋体" w:cs="宋体"/>
          <w:sz w:val="24"/>
          <w:szCs w:val="24"/>
          <w:highlight w:val="yellow"/>
        </w:rPr>
        <w:fldChar w:fldCharType="separate"/>
      </w:r>
      <w:r>
        <w:rPr>
          <w:sz w:val="24"/>
          <w:szCs w:val="24"/>
        </w:rPr>
        <w:t xml:space="preserve">1 </w:t>
      </w:r>
      <w:r>
        <w:rPr>
          <w:rFonts w:hint="eastAsia"/>
          <w:sz w:val="24"/>
          <w:szCs w:val="24"/>
        </w:rPr>
        <w:t xml:space="preserve">General </w:t>
      </w:r>
      <w:r>
        <w:rPr>
          <w:rFonts w:hint="eastAsia"/>
          <w:sz w:val="24"/>
          <w:szCs w:val="24"/>
          <w:lang w:val="en-US" w:eastAsia="zh-CN"/>
        </w:rPr>
        <w:t>P</w:t>
      </w:r>
      <w:r>
        <w:rPr>
          <w:rFonts w:hint="eastAsia"/>
          <w:sz w:val="24"/>
          <w:szCs w:val="24"/>
        </w:rPr>
        <w:t>rovisions</w:t>
      </w:r>
      <w:r>
        <w:rPr>
          <w:sz w:val="24"/>
          <w:szCs w:val="24"/>
        </w:rPr>
        <w:tab/>
      </w:r>
      <w:r>
        <w:rPr>
          <w:sz w:val="24"/>
          <w:szCs w:val="24"/>
        </w:rPr>
        <w:fldChar w:fldCharType="begin"/>
      </w:r>
      <w:r>
        <w:rPr>
          <w:sz w:val="24"/>
          <w:szCs w:val="24"/>
        </w:rPr>
        <w:instrText xml:space="preserve"> PAGEREF _Toc25225 \h </w:instrText>
      </w:r>
      <w:r>
        <w:rPr>
          <w:sz w:val="24"/>
          <w:szCs w:val="24"/>
        </w:rPr>
        <w:fldChar w:fldCharType="separate"/>
      </w:r>
      <w:r>
        <w:rPr>
          <w:sz w:val="24"/>
          <w:szCs w:val="24"/>
        </w:rPr>
        <w:t>1</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_Toc9358 </w:instrText>
      </w:r>
      <w:r>
        <w:rPr>
          <w:rFonts w:ascii="宋体" w:hAnsi="宋体" w:cs="宋体"/>
          <w:sz w:val="24"/>
          <w:szCs w:val="24"/>
          <w:highlight w:val="yellow"/>
        </w:rPr>
        <w:fldChar w:fldCharType="separate"/>
      </w:r>
      <w:r>
        <w:rPr>
          <w:sz w:val="24"/>
          <w:szCs w:val="24"/>
        </w:rPr>
        <w:t xml:space="preserve">2 </w:t>
      </w:r>
      <w:r>
        <w:rPr>
          <w:rFonts w:hint="eastAsia"/>
          <w:sz w:val="24"/>
          <w:szCs w:val="24"/>
        </w:rPr>
        <w:t>Terms</w:t>
      </w:r>
      <w:r>
        <w:rPr>
          <w:sz w:val="24"/>
          <w:szCs w:val="24"/>
        </w:rPr>
        <w:tab/>
      </w:r>
      <w:r>
        <w:rPr>
          <w:sz w:val="24"/>
          <w:szCs w:val="24"/>
        </w:rPr>
        <w:fldChar w:fldCharType="begin"/>
      </w:r>
      <w:r>
        <w:rPr>
          <w:sz w:val="24"/>
          <w:szCs w:val="24"/>
        </w:rPr>
        <w:instrText xml:space="preserve"> PAGEREF _Toc9358 \h </w:instrText>
      </w:r>
      <w:r>
        <w:rPr>
          <w:sz w:val="24"/>
          <w:szCs w:val="24"/>
        </w:rPr>
        <w:fldChar w:fldCharType="separate"/>
      </w:r>
      <w:r>
        <w:rPr>
          <w:sz w:val="24"/>
          <w:szCs w:val="24"/>
        </w:rPr>
        <w:t>2</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_Toc11759 </w:instrText>
      </w:r>
      <w:r>
        <w:rPr>
          <w:rFonts w:ascii="宋体" w:hAnsi="宋体" w:cs="宋体"/>
          <w:sz w:val="24"/>
          <w:szCs w:val="24"/>
          <w:highlight w:val="yellow"/>
        </w:rPr>
        <w:fldChar w:fldCharType="separate"/>
      </w:r>
      <w:r>
        <w:rPr>
          <w:sz w:val="24"/>
          <w:szCs w:val="24"/>
        </w:rPr>
        <w:t xml:space="preserve">3 </w:t>
      </w:r>
      <w:r>
        <w:rPr>
          <w:rFonts w:hint="eastAsia"/>
          <w:sz w:val="24"/>
          <w:szCs w:val="24"/>
        </w:rPr>
        <w:t xml:space="preserve">Basic </w:t>
      </w:r>
      <w:r>
        <w:rPr>
          <w:rFonts w:hint="eastAsia"/>
          <w:sz w:val="24"/>
          <w:szCs w:val="24"/>
          <w:lang w:val="en-US" w:eastAsia="zh-CN"/>
        </w:rPr>
        <w:t>R</w:t>
      </w:r>
      <w:r>
        <w:rPr>
          <w:rFonts w:hint="eastAsia"/>
          <w:sz w:val="24"/>
          <w:szCs w:val="24"/>
        </w:rPr>
        <w:t>equirements</w:t>
      </w:r>
      <w:r>
        <w:rPr>
          <w:sz w:val="24"/>
          <w:szCs w:val="24"/>
        </w:rPr>
        <w:tab/>
      </w:r>
      <w:r>
        <w:rPr>
          <w:sz w:val="24"/>
          <w:szCs w:val="24"/>
        </w:rPr>
        <w:fldChar w:fldCharType="begin"/>
      </w:r>
      <w:r>
        <w:rPr>
          <w:sz w:val="24"/>
          <w:szCs w:val="24"/>
        </w:rPr>
        <w:instrText xml:space="preserve"> PAGEREF _Toc11759 \h </w:instrText>
      </w:r>
      <w:r>
        <w:rPr>
          <w:sz w:val="24"/>
          <w:szCs w:val="24"/>
        </w:rPr>
        <w:fldChar w:fldCharType="separate"/>
      </w:r>
      <w:r>
        <w:rPr>
          <w:sz w:val="24"/>
          <w:szCs w:val="24"/>
        </w:rPr>
        <w:t>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_Toc18795 </w:instrText>
      </w:r>
      <w:r>
        <w:rPr>
          <w:rFonts w:ascii="宋体" w:hAnsi="宋体" w:cs="宋体"/>
          <w:sz w:val="24"/>
          <w:szCs w:val="24"/>
          <w:highlight w:val="yellow"/>
        </w:rPr>
        <w:fldChar w:fldCharType="separate"/>
      </w:r>
      <w:r>
        <w:rPr>
          <w:sz w:val="24"/>
          <w:szCs w:val="24"/>
        </w:rPr>
        <w:t xml:space="preserve">3.1 </w:t>
      </w:r>
      <w:r>
        <w:rPr>
          <w:rFonts w:hint="eastAsia"/>
          <w:sz w:val="24"/>
          <w:szCs w:val="24"/>
        </w:rPr>
        <w:t>General requirements</w:t>
      </w:r>
      <w:r>
        <w:rPr>
          <w:sz w:val="24"/>
          <w:szCs w:val="24"/>
        </w:rPr>
        <w:tab/>
      </w:r>
      <w:r>
        <w:rPr>
          <w:sz w:val="24"/>
          <w:szCs w:val="24"/>
        </w:rPr>
        <w:fldChar w:fldCharType="begin"/>
      </w:r>
      <w:r>
        <w:rPr>
          <w:sz w:val="24"/>
          <w:szCs w:val="24"/>
        </w:rPr>
        <w:instrText xml:space="preserve"> PAGEREF _Toc18795 \h </w:instrText>
      </w:r>
      <w:r>
        <w:rPr>
          <w:sz w:val="24"/>
          <w:szCs w:val="24"/>
        </w:rPr>
        <w:fldChar w:fldCharType="separate"/>
      </w:r>
      <w:r>
        <w:rPr>
          <w:sz w:val="24"/>
          <w:szCs w:val="24"/>
        </w:rPr>
        <w:t>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_Toc7759 </w:instrText>
      </w:r>
      <w:r>
        <w:rPr>
          <w:rFonts w:ascii="宋体" w:hAnsi="宋体" w:cs="宋体"/>
          <w:sz w:val="24"/>
          <w:szCs w:val="24"/>
          <w:highlight w:val="yellow"/>
        </w:rPr>
        <w:fldChar w:fldCharType="separate"/>
      </w:r>
      <w:r>
        <w:rPr>
          <w:sz w:val="24"/>
          <w:szCs w:val="24"/>
        </w:rPr>
        <w:t>3.</w:t>
      </w:r>
      <w:r>
        <w:rPr>
          <w:rFonts w:hint="default"/>
          <w:sz w:val="24"/>
          <w:szCs w:val="24"/>
        </w:rPr>
        <w:t>2</w:t>
      </w:r>
      <w:r>
        <w:rPr>
          <w:sz w:val="24"/>
          <w:szCs w:val="24"/>
        </w:rPr>
        <w:t xml:space="preserve"> </w:t>
      </w:r>
      <w:r>
        <w:rPr>
          <w:rFonts w:hint="eastAsia"/>
          <w:sz w:val="24"/>
          <w:szCs w:val="24"/>
          <w:lang w:val="en-US" w:eastAsia="zh-CN"/>
        </w:rPr>
        <w:t>Assessment and Rating</w:t>
      </w:r>
      <w:r>
        <w:rPr>
          <w:sz w:val="24"/>
          <w:szCs w:val="24"/>
        </w:rPr>
        <w:tab/>
      </w:r>
      <w:r>
        <w:rPr>
          <w:sz w:val="24"/>
          <w:szCs w:val="24"/>
        </w:rPr>
        <w:fldChar w:fldCharType="begin"/>
      </w:r>
      <w:r>
        <w:rPr>
          <w:sz w:val="24"/>
          <w:szCs w:val="24"/>
        </w:rPr>
        <w:instrText xml:space="preserve"> PAGEREF _Toc7759 \h </w:instrText>
      </w:r>
      <w:r>
        <w:rPr>
          <w:sz w:val="24"/>
          <w:szCs w:val="24"/>
        </w:rPr>
        <w:fldChar w:fldCharType="separate"/>
      </w:r>
      <w:r>
        <w:rPr>
          <w:sz w:val="24"/>
          <w:szCs w:val="24"/>
        </w:rPr>
        <w:t>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_Toc32525 </w:instrText>
      </w:r>
      <w:r>
        <w:rPr>
          <w:rFonts w:ascii="宋体" w:hAnsi="宋体" w:cs="宋体"/>
          <w:sz w:val="24"/>
          <w:szCs w:val="24"/>
          <w:highlight w:val="yellow"/>
        </w:rPr>
        <w:fldChar w:fldCharType="separate"/>
      </w:r>
      <w:r>
        <w:rPr>
          <w:rFonts w:hint="eastAsia"/>
          <w:sz w:val="24"/>
          <w:szCs w:val="24"/>
          <w:lang w:val="en-US" w:eastAsia="zh-CN"/>
        </w:rPr>
        <w:t>4</w:t>
      </w:r>
      <w:r>
        <w:rPr>
          <w:sz w:val="24"/>
          <w:szCs w:val="24"/>
        </w:rPr>
        <w:t xml:space="preserve"> </w:t>
      </w:r>
      <w:r>
        <w:rPr>
          <w:rFonts w:hint="eastAsia"/>
          <w:sz w:val="24"/>
          <w:szCs w:val="24"/>
        </w:rPr>
        <w:t>Assessment indexes</w:t>
      </w:r>
      <w:r>
        <w:rPr>
          <w:sz w:val="24"/>
          <w:szCs w:val="24"/>
        </w:rPr>
        <w:tab/>
      </w:r>
      <w:r>
        <w:rPr>
          <w:sz w:val="24"/>
          <w:szCs w:val="24"/>
        </w:rPr>
        <w:fldChar w:fldCharType="begin"/>
      </w:r>
      <w:r>
        <w:rPr>
          <w:sz w:val="24"/>
          <w:szCs w:val="24"/>
        </w:rPr>
        <w:instrText xml:space="preserve"> PAGEREF _Toc32525 \h </w:instrText>
      </w:r>
      <w:r>
        <w:rPr>
          <w:sz w:val="24"/>
          <w:szCs w:val="24"/>
        </w:rPr>
        <w:fldChar w:fldCharType="separate"/>
      </w:r>
      <w:r>
        <w:rPr>
          <w:sz w:val="24"/>
          <w:szCs w:val="24"/>
        </w:rPr>
        <w:t>5</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_Toc32319 </w:instrText>
      </w:r>
      <w:r>
        <w:rPr>
          <w:rFonts w:ascii="宋体" w:hAnsi="宋体" w:cs="宋体"/>
          <w:sz w:val="24"/>
          <w:szCs w:val="24"/>
          <w:highlight w:val="yellow"/>
        </w:rPr>
        <w:fldChar w:fldCharType="separate"/>
      </w:r>
      <w:r>
        <w:rPr>
          <w:sz w:val="24"/>
          <w:szCs w:val="24"/>
        </w:rPr>
        <w:t xml:space="preserve">4.1 </w:t>
      </w:r>
      <w:r>
        <w:rPr>
          <w:rFonts w:hint="eastAsia"/>
          <w:bCs/>
          <w:sz w:val="24"/>
          <w:szCs w:val="24"/>
          <w:lang w:val="en-US" w:eastAsia="zh-CN"/>
        </w:rPr>
        <w:t>Implementation of Green Building Technology Measures</w:t>
      </w:r>
      <w:r>
        <w:rPr>
          <w:sz w:val="24"/>
          <w:szCs w:val="24"/>
        </w:rPr>
        <w:tab/>
      </w:r>
      <w:r>
        <w:rPr>
          <w:sz w:val="24"/>
          <w:szCs w:val="24"/>
        </w:rPr>
        <w:fldChar w:fldCharType="begin"/>
      </w:r>
      <w:r>
        <w:rPr>
          <w:sz w:val="24"/>
          <w:szCs w:val="24"/>
        </w:rPr>
        <w:instrText xml:space="preserve"> PAGEREF _Toc32319 \h </w:instrText>
      </w:r>
      <w:r>
        <w:rPr>
          <w:sz w:val="24"/>
          <w:szCs w:val="24"/>
        </w:rPr>
        <w:fldChar w:fldCharType="separate"/>
      </w:r>
      <w:r>
        <w:rPr>
          <w:sz w:val="24"/>
          <w:szCs w:val="24"/>
        </w:rPr>
        <w:t>5</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_Toc7512 </w:instrText>
      </w:r>
      <w:r>
        <w:rPr>
          <w:rFonts w:ascii="宋体" w:hAnsi="宋体" w:cs="宋体"/>
          <w:sz w:val="24"/>
          <w:szCs w:val="24"/>
          <w:highlight w:val="yellow"/>
        </w:rPr>
        <w:fldChar w:fldCharType="separate"/>
      </w:r>
      <w:r>
        <w:rPr>
          <w:rFonts w:hint="default"/>
          <w:sz w:val="24"/>
          <w:szCs w:val="24"/>
        </w:rPr>
        <w:t>4.2</w:t>
      </w:r>
      <w:r>
        <w:rPr>
          <w:sz w:val="24"/>
          <w:szCs w:val="24"/>
        </w:rPr>
        <w:t xml:space="preserve"> </w:t>
      </w:r>
      <w:r>
        <w:rPr>
          <w:rFonts w:hint="eastAsia"/>
          <w:sz w:val="24"/>
          <w:szCs w:val="24"/>
        </w:rPr>
        <w:t xml:space="preserve">Critical </w:t>
      </w:r>
      <w:r>
        <w:rPr>
          <w:rFonts w:hint="eastAsia"/>
          <w:sz w:val="24"/>
          <w:szCs w:val="24"/>
          <w:lang w:val="en-US" w:eastAsia="zh-CN"/>
        </w:rPr>
        <w:t>A</w:t>
      </w:r>
      <w:r>
        <w:rPr>
          <w:rFonts w:hint="eastAsia"/>
          <w:sz w:val="24"/>
          <w:szCs w:val="24"/>
        </w:rPr>
        <w:t xml:space="preserve">ssessment </w:t>
      </w:r>
      <w:r>
        <w:rPr>
          <w:rFonts w:hint="eastAsia"/>
          <w:sz w:val="24"/>
          <w:szCs w:val="24"/>
          <w:lang w:val="en-US" w:eastAsia="zh-CN"/>
        </w:rPr>
        <w:t>I</w:t>
      </w:r>
      <w:r>
        <w:rPr>
          <w:rFonts w:hint="eastAsia"/>
          <w:sz w:val="24"/>
          <w:szCs w:val="24"/>
        </w:rPr>
        <w:t>ndexes</w:t>
      </w:r>
      <w:r>
        <w:rPr>
          <w:sz w:val="24"/>
          <w:szCs w:val="24"/>
        </w:rPr>
        <w:tab/>
      </w:r>
      <w:r>
        <w:rPr>
          <w:sz w:val="24"/>
          <w:szCs w:val="24"/>
        </w:rPr>
        <w:fldChar w:fldCharType="begin"/>
      </w:r>
      <w:r>
        <w:rPr>
          <w:sz w:val="24"/>
          <w:szCs w:val="24"/>
        </w:rPr>
        <w:instrText xml:space="preserve"> PAGEREF _Toc7512 \h </w:instrText>
      </w:r>
      <w:r>
        <w:rPr>
          <w:sz w:val="24"/>
          <w:szCs w:val="24"/>
        </w:rPr>
        <w:fldChar w:fldCharType="separate"/>
      </w:r>
      <w:r>
        <w:rPr>
          <w:sz w:val="24"/>
          <w:szCs w:val="24"/>
        </w:rPr>
        <w:t>5</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_Toc10035 </w:instrText>
      </w:r>
      <w:r>
        <w:rPr>
          <w:rFonts w:ascii="宋体" w:hAnsi="宋体" w:cs="宋体"/>
          <w:sz w:val="24"/>
          <w:szCs w:val="24"/>
          <w:highlight w:val="yellow"/>
        </w:rPr>
        <w:fldChar w:fldCharType="separate"/>
      </w:r>
      <w:r>
        <w:rPr>
          <w:rFonts w:hint="default"/>
          <w:sz w:val="24"/>
          <w:szCs w:val="24"/>
        </w:rPr>
        <w:t>4.3</w:t>
      </w:r>
      <w:r>
        <w:rPr>
          <w:sz w:val="24"/>
          <w:szCs w:val="24"/>
        </w:rPr>
        <w:t xml:space="preserve"> </w:t>
      </w:r>
      <w:r>
        <w:rPr>
          <w:rFonts w:hint="eastAsia"/>
          <w:sz w:val="24"/>
          <w:szCs w:val="24"/>
        </w:rPr>
        <w:t>Genera</w:t>
      </w:r>
      <w:r>
        <w:rPr>
          <w:rFonts w:hint="eastAsia"/>
          <w:sz w:val="24"/>
          <w:szCs w:val="24"/>
          <w:lang w:val="en-US" w:eastAsia="zh-CN"/>
        </w:rPr>
        <w:t>l Assessment Indexes</w:t>
      </w:r>
      <w:r>
        <w:rPr>
          <w:sz w:val="24"/>
          <w:szCs w:val="24"/>
        </w:rPr>
        <w:tab/>
      </w:r>
      <w:r>
        <w:rPr>
          <w:sz w:val="24"/>
          <w:szCs w:val="24"/>
        </w:rPr>
        <w:fldChar w:fldCharType="begin"/>
      </w:r>
      <w:r>
        <w:rPr>
          <w:sz w:val="24"/>
          <w:szCs w:val="24"/>
        </w:rPr>
        <w:instrText xml:space="preserve"> PAGEREF _Toc10035 \h </w:instrText>
      </w:r>
      <w:r>
        <w:rPr>
          <w:sz w:val="24"/>
          <w:szCs w:val="24"/>
        </w:rPr>
        <w:fldChar w:fldCharType="separate"/>
      </w:r>
      <w:r>
        <w:rPr>
          <w:sz w:val="24"/>
          <w:szCs w:val="24"/>
        </w:rPr>
        <w:t>8</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5"/>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_Toc23709 </w:instrText>
      </w:r>
      <w:r>
        <w:rPr>
          <w:rFonts w:ascii="宋体" w:hAnsi="宋体" w:cs="宋体"/>
          <w:sz w:val="24"/>
          <w:szCs w:val="24"/>
          <w:highlight w:val="yellow"/>
        </w:rPr>
        <w:fldChar w:fldCharType="separate"/>
      </w:r>
      <w:r>
        <w:rPr>
          <w:rFonts w:hint="default"/>
          <w:sz w:val="24"/>
          <w:szCs w:val="24"/>
        </w:rPr>
        <w:t>4.</w:t>
      </w:r>
      <w:r>
        <w:rPr>
          <w:rFonts w:hint="eastAsia"/>
          <w:sz w:val="24"/>
          <w:szCs w:val="24"/>
          <w:lang w:val="en-US" w:eastAsia="zh-CN"/>
        </w:rPr>
        <w:t>4</w:t>
      </w:r>
      <w:r>
        <w:rPr>
          <w:rFonts w:hint="default"/>
          <w:sz w:val="24"/>
          <w:szCs w:val="24"/>
        </w:rPr>
        <w:t xml:space="preserve"> </w:t>
      </w:r>
      <w:r>
        <w:rPr>
          <w:rFonts w:hint="eastAsia"/>
          <w:sz w:val="24"/>
          <w:szCs w:val="24"/>
        </w:rPr>
        <w:t xml:space="preserve">User </w:t>
      </w:r>
      <w:r>
        <w:rPr>
          <w:rFonts w:hint="eastAsia"/>
          <w:sz w:val="24"/>
          <w:szCs w:val="24"/>
          <w:lang w:val="en-US" w:eastAsia="zh-CN"/>
        </w:rPr>
        <w:t>S</w:t>
      </w:r>
      <w:r>
        <w:rPr>
          <w:rFonts w:hint="eastAsia"/>
          <w:sz w:val="24"/>
          <w:szCs w:val="24"/>
        </w:rPr>
        <w:t>atisfaction</w:t>
      </w:r>
      <w:r>
        <w:rPr>
          <w:sz w:val="24"/>
          <w:szCs w:val="24"/>
        </w:rPr>
        <w:tab/>
      </w:r>
      <w:r>
        <w:rPr>
          <w:sz w:val="24"/>
          <w:szCs w:val="24"/>
        </w:rPr>
        <w:fldChar w:fldCharType="begin"/>
      </w:r>
      <w:r>
        <w:rPr>
          <w:sz w:val="24"/>
          <w:szCs w:val="24"/>
        </w:rPr>
        <w:instrText xml:space="preserve"> PAGEREF _Toc23709 \h </w:instrText>
      </w:r>
      <w:r>
        <w:rPr>
          <w:sz w:val="24"/>
          <w:szCs w:val="24"/>
        </w:rPr>
        <w:fldChar w:fldCharType="separate"/>
      </w:r>
      <w:r>
        <w:rPr>
          <w:sz w:val="24"/>
          <w:szCs w:val="24"/>
        </w:rPr>
        <w:t>16</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_Toc27170 </w:instrText>
      </w:r>
      <w:r>
        <w:rPr>
          <w:rFonts w:ascii="宋体" w:hAnsi="宋体" w:cs="宋体"/>
          <w:sz w:val="24"/>
          <w:szCs w:val="24"/>
          <w:highlight w:val="yellow"/>
        </w:rPr>
        <w:fldChar w:fldCharType="separate"/>
      </w:r>
      <w:r>
        <w:rPr>
          <w:rFonts w:hint="eastAsia"/>
          <w:sz w:val="24"/>
          <w:szCs w:val="24"/>
          <w:lang w:val="en-US" w:eastAsia="zh-CN"/>
        </w:rPr>
        <w:t>Explanation of Wording in This Standard</w:t>
      </w:r>
      <w:r>
        <w:rPr>
          <w:sz w:val="24"/>
          <w:szCs w:val="24"/>
        </w:rPr>
        <w:tab/>
      </w:r>
      <w:r>
        <w:rPr>
          <w:sz w:val="24"/>
          <w:szCs w:val="24"/>
        </w:rPr>
        <w:fldChar w:fldCharType="begin"/>
      </w:r>
      <w:r>
        <w:rPr>
          <w:sz w:val="24"/>
          <w:szCs w:val="24"/>
        </w:rPr>
        <w:instrText xml:space="preserve"> PAGEREF _Toc27170 \h </w:instrText>
      </w:r>
      <w:r>
        <w:rPr>
          <w:sz w:val="24"/>
          <w:szCs w:val="24"/>
        </w:rPr>
        <w:fldChar w:fldCharType="separate"/>
      </w:r>
      <w:r>
        <w:rPr>
          <w:sz w:val="24"/>
          <w:szCs w:val="24"/>
        </w:rPr>
        <w:t>17</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_Toc1084 </w:instrText>
      </w:r>
      <w:r>
        <w:rPr>
          <w:rFonts w:ascii="宋体" w:hAnsi="宋体" w:cs="宋体"/>
          <w:sz w:val="24"/>
          <w:szCs w:val="24"/>
          <w:highlight w:val="yellow"/>
        </w:rPr>
        <w:fldChar w:fldCharType="separate"/>
      </w:r>
      <w:r>
        <w:rPr>
          <w:rFonts w:hint="default" w:ascii="Times New Roman" w:hAnsi="Times New Roman" w:cs="Times New Roman"/>
          <w:sz w:val="24"/>
          <w:szCs w:val="24"/>
          <w:highlight w:val="none"/>
        </w:rPr>
        <w:t xml:space="preserve">List of </w:t>
      </w:r>
      <w:r>
        <w:rPr>
          <w:rFonts w:hint="default" w:ascii="Times New Roman" w:hAnsi="Times New Roman" w:cs="Times New Roman"/>
          <w:sz w:val="24"/>
          <w:szCs w:val="24"/>
          <w:highlight w:val="none"/>
          <w:lang w:val="en-US" w:eastAsia="zh-CN"/>
        </w:rPr>
        <w:t>Q</w:t>
      </w:r>
      <w:r>
        <w:rPr>
          <w:rFonts w:hint="default" w:ascii="Times New Roman" w:hAnsi="Times New Roman" w:cs="Times New Roman"/>
          <w:sz w:val="24"/>
          <w:szCs w:val="24"/>
          <w:highlight w:val="none"/>
        </w:rPr>
        <w:t>uoted standards</w:t>
      </w:r>
      <w:r>
        <w:rPr>
          <w:sz w:val="24"/>
          <w:szCs w:val="24"/>
        </w:rPr>
        <w:tab/>
      </w:r>
      <w:r>
        <w:rPr>
          <w:sz w:val="24"/>
          <w:szCs w:val="24"/>
        </w:rPr>
        <w:fldChar w:fldCharType="begin"/>
      </w:r>
      <w:r>
        <w:rPr>
          <w:sz w:val="24"/>
          <w:szCs w:val="24"/>
        </w:rPr>
        <w:instrText xml:space="preserve"> PAGEREF _Toc1084 \h </w:instrText>
      </w:r>
      <w:r>
        <w:rPr>
          <w:sz w:val="24"/>
          <w:szCs w:val="24"/>
        </w:rPr>
        <w:fldChar w:fldCharType="separate"/>
      </w:r>
      <w:r>
        <w:rPr>
          <w:sz w:val="24"/>
          <w:szCs w:val="24"/>
        </w:rPr>
        <w:t>18</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_Toc18978 </w:instrText>
      </w:r>
      <w:r>
        <w:rPr>
          <w:rFonts w:ascii="宋体" w:hAnsi="宋体" w:cs="宋体"/>
          <w:sz w:val="24"/>
          <w:szCs w:val="24"/>
          <w:highlight w:val="yellow"/>
        </w:rPr>
        <w:fldChar w:fldCharType="separate"/>
      </w:r>
      <w:r>
        <w:rPr>
          <w:rFonts w:hint="default" w:ascii="Times New Roman" w:hAnsi="Times New Roman" w:cs="Times New Roman"/>
          <w:sz w:val="24"/>
          <w:szCs w:val="24"/>
          <w:highlight w:val="none"/>
        </w:rPr>
        <w:t>Appendix A</w:t>
      </w:r>
      <w:r>
        <w:rPr>
          <w:sz w:val="24"/>
          <w:szCs w:val="24"/>
        </w:rPr>
        <w:tab/>
      </w:r>
      <w:r>
        <w:rPr>
          <w:sz w:val="24"/>
          <w:szCs w:val="24"/>
        </w:rPr>
        <w:fldChar w:fldCharType="begin"/>
      </w:r>
      <w:r>
        <w:rPr>
          <w:sz w:val="24"/>
          <w:szCs w:val="24"/>
        </w:rPr>
        <w:instrText xml:space="preserve"> PAGEREF _Toc18978 \h </w:instrText>
      </w:r>
      <w:r>
        <w:rPr>
          <w:sz w:val="24"/>
          <w:szCs w:val="24"/>
        </w:rPr>
        <w:fldChar w:fldCharType="separate"/>
      </w:r>
      <w:r>
        <w:rPr>
          <w:sz w:val="24"/>
          <w:szCs w:val="24"/>
        </w:rPr>
        <w:t>19</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_Toc26434 </w:instrText>
      </w:r>
      <w:r>
        <w:rPr>
          <w:rFonts w:ascii="宋体" w:hAnsi="宋体" w:cs="宋体"/>
          <w:sz w:val="24"/>
          <w:szCs w:val="24"/>
          <w:highlight w:val="yellow"/>
        </w:rPr>
        <w:fldChar w:fldCharType="separate"/>
      </w:r>
      <w:r>
        <w:rPr>
          <w:rFonts w:hint="default" w:ascii="Times New Roman" w:hAnsi="Times New Roman" w:cs="Times New Roman"/>
          <w:sz w:val="24"/>
          <w:szCs w:val="24"/>
          <w:highlight w:val="none"/>
        </w:rPr>
        <w:t xml:space="preserve">Appendix </w:t>
      </w:r>
      <w:r>
        <w:rPr>
          <w:rFonts w:hint="default" w:ascii="Times New Roman" w:hAnsi="Times New Roman" w:cs="Times New Roman"/>
          <w:sz w:val="24"/>
          <w:szCs w:val="24"/>
          <w:highlight w:val="none"/>
          <w:lang w:val="en-US" w:eastAsia="zh-CN"/>
        </w:rPr>
        <w:t>B</w:t>
      </w:r>
      <w:r>
        <w:rPr>
          <w:sz w:val="24"/>
          <w:szCs w:val="24"/>
        </w:rPr>
        <w:tab/>
      </w:r>
      <w:r>
        <w:rPr>
          <w:sz w:val="24"/>
          <w:szCs w:val="24"/>
        </w:rPr>
        <w:fldChar w:fldCharType="begin"/>
      </w:r>
      <w:r>
        <w:rPr>
          <w:sz w:val="24"/>
          <w:szCs w:val="24"/>
        </w:rPr>
        <w:instrText xml:space="preserve"> PAGEREF _Toc26434 \h </w:instrText>
      </w:r>
      <w:r>
        <w:rPr>
          <w:sz w:val="24"/>
          <w:szCs w:val="24"/>
        </w:rPr>
        <w:fldChar w:fldCharType="separate"/>
      </w:r>
      <w:r>
        <w:rPr>
          <w:sz w:val="24"/>
          <w:szCs w:val="24"/>
        </w:rPr>
        <w:t>31</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pStyle w:val="22"/>
        <w:shd w:val="clear"/>
        <w:tabs>
          <w:tab w:val="right" w:leader="dot" w:pos="8312"/>
        </w:tabs>
        <w:spacing w:line="360" w:lineRule="auto"/>
        <w:rPr>
          <w:sz w:val="24"/>
          <w:szCs w:val="24"/>
        </w:rPr>
      </w:pPr>
      <w:r>
        <w:rPr>
          <w:rFonts w:ascii="宋体" w:hAnsi="宋体" w:cs="宋体"/>
          <w:color w:val="000000" w:themeColor="text1"/>
          <w:sz w:val="24"/>
          <w:szCs w:val="24"/>
          <w:highlight w:val="yellow"/>
          <w14:textFill>
            <w14:solidFill>
              <w14:schemeClr w14:val="tx1"/>
            </w14:solidFill>
          </w14:textFill>
        </w:rPr>
        <w:fldChar w:fldCharType="begin"/>
      </w:r>
      <w:r>
        <w:rPr>
          <w:rFonts w:ascii="宋体" w:hAnsi="宋体" w:cs="宋体"/>
          <w:sz w:val="24"/>
          <w:szCs w:val="24"/>
          <w:highlight w:val="yellow"/>
        </w:rPr>
        <w:instrText xml:space="preserve"> HYPERLINK \l _Toc278 </w:instrText>
      </w:r>
      <w:r>
        <w:rPr>
          <w:rFonts w:ascii="宋体" w:hAnsi="宋体" w:cs="宋体"/>
          <w:sz w:val="24"/>
          <w:szCs w:val="24"/>
          <w:highlight w:val="yellow"/>
        </w:rPr>
        <w:fldChar w:fldCharType="separate"/>
      </w:r>
      <w:r>
        <w:rPr>
          <w:rFonts w:hint="default" w:ascii="Times New Roman" w:hAnsi="Times New Roman" w:cs="Times New Roman"/>
          <w:sz w:val="24"/>
          <w:szCs w:val="24"/>
          <w:highlight w:val="none"/>
        </w:rPr>
        <w:t>Explanation of provisions</w:t>
      </w:r>
      <w:r>
        <w:rPr>
          <w:sz w:val="24"/>
          <w:szCs w:val="24"/>
        </w:rPr>
        <w:tab/>
      </w:r>
      <w:r>
        <w:rPr>
          <w:sz w:val="24"/>
          <w:szCs w:val="24"/>
        </w:rPr>
        <w:fldChar w:fldCharType="begin"/>
      </w:r>
      <w:r>
        <w:rPr>
          <w:sz w:val="24"/>
          <w:szCs w:val="24"/>
        </w:rPr>
        <w:instrText xml:space="preserve"> PAGEREF _Toc278 \h </w:instrText>
      </w:r>
      <w:r>
        <w:rPr>
          <w:sz w:val="24"/>
          <w:szCs w:val="24"/>
        </w:rPr>
        <w:fldChar w:fldCharType="separate"/>
      </w:r>
      <w:r>
        <w:rPr>
          <w:sz w:val="24"/>
          <w:szCs w:val="24"/>
        </w:rPr>
        <w:t>33</w:t>
      </w:r>
      <w:r>
        <w:rPr>
          <w:sz w:val="24"/>
          <w:szCs w:val="24"/>
        </w:rPr>
        <w:fldChar w:fldCharType="end"/>
      </w:r>
      <w:r>
        <w:rPr>
          <w:rFonts w:ascii="宋体" w:hAnsi="宋体" w:cs="宋体"/>
          <w:color w:val="000000" w:themeColor="text1"/>
          <w:sz w:val="24"/>
          <w:szCs w:val="24"/>
          <w:highlight w:val="yellow"/>
          <w14:textFill>
            <w14:solidFill>
              <w14:schemeClr w14:val="tx1"/>
            </w14:solidFill>
          </w14:textFill>
        </w:rPr>
        <w:fldChar w:fldCharType="end"/>
      </w:r>
    </w:p>
    <w:p>
      <w:pPr>
        <w:shd w:val="clear"/>
        <w:adjustRightInd w:val="0"/>
        <w:snapToGrid w:val="0"/>
        <w:spacing w:before="95" w:beforeLines="30" w:after="95" w:afterLines="30" w:line="360" w:lineRule="auto"/>
        <w:rPr>
          <w:rFonts w:ascii="宋体" w:hAnsi="宋体" w:cs="宋体"/>
          <w:color w:val="000000" w:themeColor="text1"/>
          <w:sz w:val="24"/>
          <w:szCs w:val="24"/>
          <w:highlight w:val="yellow"/>
          <w14:textFill>
            <w14:solidFill>
              <w14:schemeClr w14:val="tx1"/>
            </w14:solidFill>
          </w14:textFill>
        </w:rPr>
      </w:pPr>
      <w:r>
        <w:rPr>
          <w:rFonts w:ascii="宋体" w:hAnsi="宋体" w:cs="宋体"/>
          <w:color w:val="000000" w:themeColor="text1"/>
          <w:sz w:val="24"/>
          <w:szCs w:val="24"/>
          <w:highlight w:val="yellow"/>
          <w14:textFill>
            <w14:solidFill>
              <w14:schemeClr w14:val="tx1"/>
            </w14:solidFill>
          </w14:textFill>
        </w:rPr>
        <w:fldChar w:fldCharType="end"/>
      </w:r>
    </w:p>
    <w:p>
      <w:pPr>
        <w:shd w:val="clear"/>
        <w:rPr>
          <w:rFonts w:ascii="宋体" w:hAnsi="宋体" w:cs="宋体"/>
          <w:color w:val="000000" w:themeColor="text1"/>
          <w:sz w:val="24"/>
          <w:szCs w:val="24"/>
          <w:highlight w:val="yellow"/>
          <w14:textFill>
            <w14:solidFill>
              <w14:schemeClr w14:val="tx1"/>
            </w14:solidFill>
          </w14:textFill>
        </w:rPr>
      </w:pPr>
      <w:r>
        <w:rPr>
          <w:rFonts w:ascii="宋体" w:hAnsi="宋体" w:cs="宋体"/>
          <w:color w:val="000000" w:themeColor="text1"/>
          <w:sz w:val="24"/>
          <w:szCs w:val="24"/>
          <w:highlight w:val="yellow"/>
          <w14:textFill>
            <w14:solidFill>
              <w14:schemeClr w14:val="tx1"/>
            </w14:solidFill>
          </w14:textFill>
        </w:rPr>
        <w:br w:type="page"/>
      </w:r>
    </w:p>
    <w:p>
      <w:pPr>
        <w:shd w:val="clear"/>
        <w:rPr>
          <w:rFonts w:hint="default" w:ascii="宋体" w:hAnsi="宋体" w:cs="宋体"/>
          <w:color w:val="000000" w:themeColor="text1"/>
          <w:sz w:val="24"/>
          <w:szCs w:val="24"/>
          <w:highlight w:val="yellow"/>
          <w14:textFill>
            <w14:solidFill>
              <w14:schemeClr w14:val="tx1"/>
            </w14:solidFill>
          </w14:textFill>
        </w:rPr>
        <w:sectPr>
          <w:pgSz w:w="11906" w:h="16838"/>
          <w:pgMar w:top="1440" w:right="1797" w:bottom="1440" w:left="1797" w:header="851" w:footer="992" w:gutter="0"/>
          <w:pgNumType w:start="1"/>
          <w:cols w:space="720" w:num="1"/>
          <w:titlePg/>
          <w:docGrid w:type="lines" w:linePitch="312" w:charSpace="0"/>
        </w:sectPr>
      </w:pPr>
    </w:p>
    <w:p>
      <w:pPr>
        <w:shd w:val="clear"/>
        <w:adjustRightInd w:val="0"/>
        <w:snapToGrid w:val="0"/>
        <w:spacing w:before="93" w:beforeLines="30" w:after="93" w:afterLines="30" w:line="312" w:lineRule="auto"/>
        <w:jc w:val="center"/>
        <w:outlineLvl w:val="0"/>
        <w:rPr>
          <w:rFonts w:hint="default"/>
          <w:b/>
          <w:color w:val="000000" w:themeColor="text1"/>
          <w:sz w:val="36"/>
          <w14:textFill>
            <w14:solidFill>
              <w14:schemeClr w14:val="tx1"/>
            </w14:solidFill>
          </w14:textFill>
        </w:rPr>
      </w:pPr>
      <w:bookmarkStart w:id="2" w:name="_Toc11908"/>
      <w:bookmarkStart w:id="3" w:name="_Toc3747"/>
      <w:bookmarkStart w:id="4" w:name="_Toc50534595"/>
      <w:bookmarkStart w:id="5" w:name="_Toc22887465"/>
      <w:bookmarkStart w:id="6" w:name="_Toc482107707"/>
      <w:bookmarkStart w:id="7" w:name="_Toc519677368"/>
      <w:bookmarkStart w:id="8" w:name="_Toc527729580"/>
      <w:bookmarkStart w:id="9" w:name="_Toc20181"/>
      <w:bookmarkStart w:id="10" w:name="_Toc15632"/>
      <w:bookmarkStart w:id="11" w:name="_Toc27237"/>
      <w:bookmarkStart w:id="12" w:name="_Toc20705"/>
      <w:bookmarkStart w:id="13" w:name="_Toc438204137"/>
      <w:bookmarkStart w:id="14" w:name="_Toc41918644"/>
      <w:bookmarkStart w:id="15" w:name="_Toc9981"/>
      <w:bookmarkStart w:id="16" w:name="_Toc19061"/>
      <w:bookmarkStart w:id="17" w:name="_Toc25225"/>
      <w:bookmarkStart w:id="18" w:name="_Toc529350888"/>
      <w:bookmarkStart w:id="19" w:name="_Toc13513"/>
      <w:bookmarkStart w:id="20" w:name="_Toc7908"/>
      <w:bookmarkStart w:id="21" w:name="_Toc50647800"/>
      <w:bookmarkStart w:id="22" w:name="_Toc438459486"/>
      <w:bookmarkStart w:id="23" w:name="_Toc517961427"/>
      <w:bookmarkStart w:id="24" w:name="_Toc119755492"/>
      <w:r>
        <w:rPr>
          <w:b/>
          <w:color w:val="000000" w:themeColor="text1"/>
          <w:sz w:val="36"/>
          <w14:textFill>
            <w14:solidFill>
              <w14:schemeClr w14:val="tx1"/>
            </w14:solidFill>
          </w14:textFill>
        </w:rPr>
        <w:t>1 总  则</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shd w:val="clear"/>
        <w:adjustRightInd w:val="0"/>
        <w:snapToGrid w:val="0"/>
        <w:spacing w:before="93" w:beforeLines="30" w:after="93" w:afterLines="30" w:line="312" w:lineRule="auto"/>
        <w:rPr>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1.0.1  为贯彻国家</w:t>
      </w:r>
      <w:r>
        <w:rPr>
          <w:rFonts w:hint="eastAsia"/>
          <w:color w:val="000000" w:themeColor="text1"/>
          <w:sz w:val="24"/>
          <w:lang w:val="en-US" w:eastAsia="zh-CN"/>
          <w14:textFill>
            <w14:solidFill>
              <w14:schemeClr w14:val="tx1"/>
            </w14:solidFill>
          </w14:textFill>
        </w:rPr>
        <w:t>和广东省碳达峰、碳中和发展战略</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落实</w:t>
      </w:r>
      <w:r>
        <w:rPr>
          <w:color w:val="000000" w:themeColor="text1"/>
          <w:sz w:val="24"/>
          <w14:textFill>
            <w14:solidFill>
              <w14:schemeClr w14:val="tx1"/>
            </w14:solidFill>
          </w14:textFill>
        </w:rPr>
        <w:t>《广东省绿色建筑条例》</w:t>
      </w:r>
      <w:r>
        <w:rPr>
          <w:rFonts w:hint="eastAsia"/>
          <w:color w:val="000000" w:themeColor="text1"/>
          <w:sz w:val="24"/>
          <w:lang w:val="en-US" w:eastAsia="zh-CN"/>
          <w14:textFill>
            <w14:solidFill>
              <w14:schemeClr w14:val="tx1"/>
            </w14:solidFill>
          </w14:textFill>
        </w:rPr>
        <w:t>相关规定，</w:t>
      </w:r>
      <w:r>
        <w:rPr>
          <w:color w:val="000000" w:themeColor="text1"/>
          <w:sz w:val="24"/>
          <w14:textFill>
            <w14:solidFill>
              <w14:schemeClr w14:val="tx1"/>
            </w14:solidFill>
          </w14:textFill>
        </w:rPr>
        <w:t>进一步推进绿色建筑发展，提高绿色建筑运行管理水平，指导开展基于</w:t>
      </w:r>
      <w:r>
        <w:rPr>
          <w:rFonts w:hint="eastAsia"/>
          <w:color w:val="000000" w:themeColor="text1"/>
          <w:sz w:val="24"/>
          <w:lang w:val="en-US" w:eastAsia="zh-CN"/>
          <w14:textFill>
            <w14:solidFill>
              <w14:schemeClr w14:val="tx1"/>
            </w14:solidFill>
          </w14:textFill>
        </w:rPr>
        <w:t>绿色</w:t>
      </w:r>
      <w:r>
        <w:rPr>
          <w:color w:val="000000" w:themeColor="text1"/>
          <w:sz w:val="24"/>
          <w14:textFill>
            <w14:solidFill>
              <w14:schemeClr w14:val="tx1"/>
            </w14:solidFill>
          </w14:textFill>
        </w:rPr>
        <w:t>建筑实际运行效果的事后评估，结合广东省具体情况，制定本标准。</w:t>
      </w:r>
    </w:p>
    <w:p>
      <w:pPr>
        <w:shd w:val="clear"/>
        <w:adjustRightInd w:val="0"/>
        <w:snapToGrid w:val="0"/>
        <w:spacing w:before="93" w:beforeLines="30" w:after="93" w:afterLines="30" w:line="312" w:lineRule="auto"/>
        <w:rPr>
          <w:rFonts w:hint="default"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1.0.2  本标准适用于</w:t>
      </w:r>
      <w:r>
        <w:rPr>
          <w:rFonts w:hint="eastAsia"/>
          <w:color w:val="000000" w:themeColor="text1"/>
          <w:sz w:val="24"/>
          <w:lang w:val="en-US" w:eastAsia="zh-CN"/>
          <w14:textFill>
            <w14:solidFill>
              <w14:schemeClr w14:val="tx1"/>
            </w14:solidFill>
          </w14:textFill>
        </w:rPr>
        <w:t>持续运行</w:t>
      </w:r>
      <w:r>
        <w:rPr>
          <w:color w:val="000000" w:themeColor="text1"/>
          <w:sz w:val="24"/>
          <w14:textFill>
            <w14:solidFill>
              <w14:schemeClr w14:val="tx1"/>
            </w14:solidFill>
          </w14:textFill>
        </w:rPr>
        <w:t>1年以上的绿色民用建筑后评估。</w:t>
      </w:r>
      <w:r>
        <w:rPr>
          <w:rFonts w:hint="eastAsia"/>
          <w:color w:val="000000" w:themeColor="text1"/>
          <w:sz w:val="24"/>
          <w:lang w:val="en-US" w:eastAsia="zh-CN"/>
          <w14:textFill>
            <w14:solidFill>
              <w14:schemeClr w14:val="tx1"/>
            </w14:solidFill>
          </w14:textFill>
        </w:rPr>
        <w:t>评估周期为工程竣工验收并投入运行后至评估节点。</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1.0.3  绿色建筑后评估是对绿色建筑投入使用后的效果评价，包括建筑运行中的能耗、水耗、材料消耗水平评价，建筑提供的室内外声环境、光环境、热环境、空气品质、交通组织、功能配套、场地生态的评价</w:t>
      </w:r>
      <w:r>
        <w:rPr>
          <w:rFonts w:hint="eastAsia"/>
          <w:color w:val="000000" w:themeColor="text1"/>
          <w:sz w:val="24"/>
          <w:lang w:val="en-US" w:eastAsia="zh-CN"/>
          <w14:textFill>
            <w14:solidFill>
              <w14:schemeClr w14:val="tx1"/>
            </w14:solidFill>
          </w14:textFill>
        </w:rPr>
        <w:t>和</w:t>
      </w:r>
      <w:r>
        <w:rPr>
          <w:color w:val="000000" w:themeColor="text1"/>
          <w:sz w:val="24"/>
          <w14:textFill>
            <w14:solidFill>
              <w14:schemeClr w14:val="tx1"/>
            </w14:solidFill>
          </w14:textFill>
        </w:rPr>
        <w:t>建筑使用者干扰与反馈的评价。</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1.0.4  本标准</w:t>
      </w:r>
      <w:r>
        <w:rPr>
          <w:rFonts w:hint="eastAsia"/>
          <w:color w:val="000000" w:themeColor="text1"/>
          <w:sz w:val="24"/>
          <w:lang w:val="en-US" w:eastAsia="zh-CN"/>
          <w14:textFill>
            <w14:solidFill>
              <w14:schemeClr w14:val="tx1"/>
            </w14:solidFill>
          </w14:textFill>
        </w:rPr>
        <w:t>为</w:t>
      </w:r>
      <w:r>
        <w:rPr>
          <w:color w:val="000000" w:themeColor="text1"/>
          <w:sz w:val="24"/>
          <w14:textFill>
            <w14:solidFill>
              <w14:schemeClr w14:val="tx1"/>
            </w14:solidFill>
          </w14:textFill>
        </w:rPr>
        <w:t>指导绿色建筑后评估的技术文件。被评估的绿色建筑应符合国家省市现行有关标准的规定。</w:t>
      </w:r>
    </w:p>
    <w:p>
      <w:pPr>
        <w:shd w:val="clear"/>
        <w:adjustRightInd w:val="0"/>
        <w:snapToGrid w:val="0"/>
        <w:spacing w:before="93" w:beforeLines="30" w:after="93" w:afterLines="30" w:line="312" w:lineRule="auto"/>
        <w:rPr>
          <w:rFonts w:hint="default"/>
          <w:lang w:val="en-US" w:eastAsia="zh-CN"/>
        </w:rPr>
      </w:pPr>
      <w:r>
        <w:rPr>
          <w:rFonts w:hint="eastAsia" w:ascii="Times New Roman" w:hAnsi="Times New Roman" w:cs="Times New Roman"/>
          <w:color w:val="000000" w:themeColor="text1"/>
          <w:sz w:val="24"/>
          <w:lang w:val="en-US" w:eastAsia="zh-CN"/>
          <w14:textFill>
            <w14:solidFill>
              <w14:schemeClr w14:val="tx1"/>
            </w14:solidFill>
          </w14:textFill>
        </w:rPr>
        <w:t>1.0.</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eastAsia" w:ascii="Times New Roman" w:hAnsi="Times New Roman" w:cs="Times New Roman"/>
          <w:color w:val="000000" w:themeColor="text1"/>
          <w:sz w:val="24"/>
          <w:lang w:val="en-US" w:eastAsia="zh-CN"/>
          <w14:textFill>
            <w14:solidFill>
              <w14:schemeClr w14:val="tx1"/>
            </w14:solidFill>
          </w14:textFill>
        </w:rPr>
        <w:t xml:space="preserve">  本标准既用于住房城乡建设主管部门依据《广东省绿色建筑条例》对绿色建筑的运行使用情况进行后评估，也可供绿色建筑业主/物业管理单位、政府主管部门认可的第三方机构在运行期间为诊断和提升建筑性能和品质开展的绿色建筑运行效果的评估。</w:t>
      </w:r>
    </w:p>
    <w:p>
      <w:pPr>
        <w:pStyle w:val="5"/>
        <w:shd w:val="clear"/>
        <w:ind w:left="0" w:leftChars="0" w:firstLine="0" w:firstLineChars="0"/>
        <w:rPr>
          <w:rFonts w:hint="default"/>
        </w:rPr>
      </w:pPr>
    </w:p>
    <w:p>
      <w:pPr>
        <w:shd w:val="clear"/>
        <w:adjustRightInd w:val="0"/>
        <w:snapToGrid w:val="0"/>
        <w:spacing w:before="93" w:beforeLines="30" w:after="93" w:afterLines="30" w:line="312" w:lineRule="auto"/>
        <w:jc w:val="center"/>
        <w:outlineLvl w:val="0"/>
        <w:rPr>
          <w:rFonts w:hint="default"/>
          <w:color w:val="000000" w:themeColor="text1"/>
          <w:sz w:val="24"/>
          <w14:textFill>
            <w14:solidFill>
              <w14:schemeClr w14:val="tx1"/>
            </w14:solidFill>
          </w14:textFill>
        </w:rPr>
      </w:pPr>
      <w:r>
        <w:rPr>
          <w:color w:val="000000" w:themeColor="text1"/>
          <w14:textFill>
            <w14:solidFill>
              <w14:schemeClr w14:val="tx1"/>
            </w14:solidFill>
          </w14:textFill>
        </w:rPr>
        <w:br w:type="page"/>
      </w:r>
      <w:bookmarkStart w:id="25" w:name="_Toc50534596"/>
      <w:bookmarkStart w:id="26" w:name="_Toc2620"/>
      <w:bookmarkStart w:id="27" w:name="_Toc527729581"/>
      <w:bookmarkStart w:id="28" w:name="_Toc529350889"/>
      <w:bookmarkStart w:id="29" w:name="_Toc10997"/>
      <w:bookmarkStart w:id="30" w:name="_Toc517961428"/>
      <w:bookmarkStart w:id="31" w:name="_Toc15707"/>
      <w:bookmarkStart w:id="32" w:name="_Toc519677369"/>
      <w:bookmarkStart w:id="33" w:name="_Toc20167"/>
      <w:bookmarkStart w:id="34" w:name="_Toc22887466"/>
      <w:bookmarkStart w:id="35" w:name="_Toc41918645"/>
      <w:bookmarkStart w:id="36" w:name="_Toc119755493"/>
      <w:bookmarkStart w:id="37" w:name="_Toc18952"/>
      <w:bookmarkStart w:id="38" w:name="_Toc27699"/>
      <w:bookmarkStart w:id="39" w:name="_Toc438459487"/>
      <w:bookmarkStart w:id="40" w:name="_Toc17393"/>
      <w:bookmarkStart w:id="41" w:name="_Toc27223"/>
      <w:bookmarkStart w:id="42" w:name="_Toc9358"/>
      <w:bookmarkStart w:id="43" w:name="_Toc24548"/>
      <w:bookmarkStart w:id="44" w:name="_Toc50647801"/>
      <w:bookmarkStart w:id="45" w:name="_Toc482107708"/>
      <w:bookmarkStart w:id="46" w:name="_Toc438204138"/>
      <w:bookmarkStart w:id="47" w:name="_Toc28562"/>
      <w:r>
        <w:rPr>
          <w:b/>
          <w:color w:val="000000" w:themeColor="text1"/>
          <w:sz w:val="36"/>
          <w14:textFill>
            <w14:solidFill>
              <w14:schemeClr w14:val="tx1"/>
            </w14:solidFill>
          </w14:textFill>
        </w:rPr>
        <w:t>2 术  语</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rFonts w:hint="default"/>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2.0.1  绿色建筑  green building</w:t>
      </w:r>
    </w:p>
    <w:p>
      <w:pPr>
        <w:shd w:val="clear"/>
        <w:adjustRightInd w:val="0"/>
        <w:snapToGrid w:val="0"/>
        <w:spacing w:before="93" w:beforeLines="30" w:after="93" w:afterLines="30" w:line="312" w:lineRule="auto"/>
        <w:ind w:firstLine="480" w:firstLineChars="200"/>
        <w:rPr>
          <w:rFonts w:hint="default"/>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在全寿命期内，节约资源、保护环境、减少污染，为人们提供健康、适用、高效的使用空间，最大限度地实现人与自然和谐共生的高质量建筑。</w:t>
      </w:r>
    </w:p>
    <w:p>
      <w:pPr>
        <w:shd w:val="clear"/>
        <w:adjustRightInd w:val="0"/>
        <w:snapToGrid w:val="0"/>
        <w:spacing w:before="93" w:beforeLines="30" w:after="93" w:afterLines="30" w:line="312" w:lineRule="auto"/>
        <w:rPr>
          <w:rFonts w:hint="default"/>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2.0.</w:t>
      </w:r>
      <w:r>
        <w:rPr>
          <w:rFonts w:hint="default"/>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xml:space="preserve">  绿色性能  green performance</w:t>
      </w:r>
    </w:p>
    <w:p>
      <w:pPr>
        <w:shd w:val="clear"/>
        <w:adjustRightInd w:val="0"/>
        <w:snapToGrid w:val="0"/>
        <w:spacing w:before="93" w:beforeLines="30" w:after="93" w:afterLines="30" w:line="312"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涉及建筑安全耐久、健康舒适、生活便利、资源节约（节地、节能、节水、节材）和环境宜居等方面的综合性能。</w:t>
      </w:r>
    </w:p>
    <w:p>
      <w:pPr>
        <w:pStyle w:val="5"/>
        <w:shd w:val="clear"/>
        <w:ind w:left="0" w:leftChars="0" w:firstLine="0" w:firstLineChars="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2.0.3  用户满意度  user satisfaction</w:t>
      </w:r>
    </w:p>
    <w:p>
      <w:pPr>
        <w:shd w:val="clear"/>
        <w:adjustRightInd w:val="0"/>
        <w:snapToGrid w:val="0"/>
        <w:spacing w:before="93" w:beforeLines="30" w:after="93" w:afterLines="30" w:line="312" w:lineRule="auto"/>
        <w:ind w:firstLine="480" w:firstLineChars="200"/>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是指建筑的使用者通过对建筑绿色性能可感知的效果（或结果）与期望值相比较后，所形成的愉悦或失望的感觉状态。是一个可感知效果和期望值之间的差异。</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jc w:val="center"/>
        <w:textAlignment w:val="auto"/>
        <w:outlineLvl w:val="0"/>
        <w:rPr>
          <w:rFonts w:hint="default"/>
          <w:color w:val="000000" w:themeColor="text1"/>
          <w:sz w:val="24"/>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br w:type="page"/>
      </w:r>
      <w:bookmarkStart w:id="48" w:name="_Toc10234"/>
      <w:bookmarkStart w:id="49" w:name="_Toc6049"/>
      <w:bookmarkStart w:id="50" w:name="_Toc4807"/>
      <w:bookmarkStart w:id="51" w:name="_Toc19443"/>
      <w:bookmarkStart w:id="52" w:name="_Toc527729582"/>
      <w:bookmarkStart w:id="53" w:name="_Toc438204139"/>
      <w:bookmarkStart w:id="54" w:name="_Toc31728"/>
      <w:bookmarkStart w:id="55" w:name="_Toc1801"/>
      <w:bookmarkStart w:id="56" w:name="_Toc22887467"/>
      <w:bookmarkStart w:id="57" w:name="_Toc438459488"/>
      <w:bookmarkStart w:id="58" w:name="_Toc41918646"/>
      <w:bookmarkStart w:id="59" w:name="_Toc50647802"/>
      <w:bookmarkStart w:id="60" w:name="_Toc50534597"/>
      <w:bookmarkStart w:id="61" w:name="_Toc30730"/>
      <w:bookmarkStart w:id="62" w:name="_Toc519677370"/>
      <w:bookmarkStart w:id="63" w:name="_Toc482107709"/>
      <w:bookmarkStart w:id="64" w:name="_Toc517961429"/>
      <w:bookmarkStart w:id="65" w:name="_Toc11759"/>
      <w:bookmarkStart w:id="66" w:name="_Toc15259"/>
      <w:bookmarkStart w:id="67" w:name="_Toc119755494"/>
      <w:bookmarkStart w:id="68" w:name="_Toc5414"/>
      <w:bookmarkStart w:id="69" w:name="_Toc529350890"/>
      <w:bookmarkStart w:id="70" w:name="_Toc18877"/>
      <w:r>
        <w:rPr>
          <w:b/>
          <w:color w:val="000000" w:themeColor="text1"/>
          <w:sz w:val="36"/>
          <w14:textFill>
            <w14:solidFill>
              <w14:schemeClr w14:val="tx1"/>
            </w14:solidFill>
          </w14:textFill>
        </w:rPr>
        <w:t>3 基本规定</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hd w:val="clear"/>
        <w:adjustRightInd w:val="0"/>
        <w:snapToGrid w:val="0"/>
        <w:spacing w:before="93" w:beforeLines="30" w:after="93" w:afterLines="30" w:line="312" w:lineRule="auto"/>
        <w:jc w:val="center"/>
        <w:outlineLvl w:val="1"/>
        <w:rPr>
          <w:rFonts w:hint="default"/>
          <w:b/>
          <w:color w:val="000000" w:themeColor="text1"/>
          <w:sz w:val="24"/>
          <w14:textFill>
            <w14:solidFill>
              <w14:schemeClr w14:val="tx1"/>
            </w14:solidFill>
          </w14:textFill>
        </w:rPr>
      </w:pPr>
      <w:bookmarkStart w:id="71" w:name="_Toc18795"/>
      <w:bookmarkStart w:id="72" w:name="_Toc31840"/>
      <w:bookmarkStart w:id="73" w:name="_Toc119755495"/>
      <w:bookmarkStart w:id="74" w:name="_Toc8581"/>
      <w:bookmarkStart w:id="75" w:name="_Toc21999"/>
      <w:bookmarkStart w:id="76" w:name="_Toc529350891"/>
      <w:bookmarkStart w:id="77" w:name="_Toc519677371"/>
      <w:bookmarkStart w:id="78" w:name="_Toc26506"/>
      <w:bookmarkStart w:id="79" w:name="_Toc517961430"/>
      <w:bookmarkStart w:id="80" w:name="_Toc41918647"/>
      <w:bookmarkStart w:id="81" w:name="_Toc17266"/>
      <w:bookmarkStart w:id="82" w:name="_Toc482107710"/>
      <w:bookmarkStart w:id="83" w:name="_Toc24426"/>
      <w:bookmarkStart w:id="84" w:name="_Toc50647803"/>
      <w:bookmarkStart w:id="85" w:name="_Toc527729583"/>
      <w:bookmarkStart w:id="86" w:name="_Toc50534598"/>
      <w:bookmarkStart w:id="87" w:name="_Toc19955"/>
      <w:bookmarkStart w:id="88" w:name="_Toc29649"/>
      <w:bookmarkStart w:id="89" w:name="_Toc1255"/>
      <w:bookmarkStart w:id="90" w:name="_Toc2457"/>
      <w:bookmarkStart w:id="91" w:name="_Toc22887468"/>
      <w:r>
        <w:rPr>
          <w:b/>
          <w:color w:val="000000" w:themeColor="text1"/>
          <w:sz w:val="24"/>
          <w14:textFill>
            <w14:solidFill>
              <w14:schemeClr w14:val="tx1"/>
            </w14:solidFill>
          </w14:textFill>
        </w:rPr>
        <w:t>3.1 一般规定</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3.1.</w:t>
      </w:r>
      <w:r>
        <w:rPr>
          <w:rFonts w:hint="default"/>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评估应遵循因地制宜、鼓励创新的基本原则。</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  参评</w:t>
      </w:r>
      <w:r>
        <w:rPr>
          <w:rFonts w:hint="eastAsia" w:cs="Times New Roman"/>
          <w:color w:val="000000" w:themeColor="text1"/>
          <w:sz w:val="24"/>
          <w:lang w:val="en-US" w:eastAsia="zh-CN"/>
          <w14:textFill>
            <w14:solidFill>
              <w14:schemeClr w14:val="tx1"/>
            </w14:solidFill>
          </w14:textFill>
        </w:rPr>
        <w:t>建筑</w:t>
      </w:r>
      <w:r>
        <w:rPr>
          <w:rFonts w:ascii="Times New Roman" w:hAnsi="Times New Roman" w:cs="Times New Roman"/>
          <w:color w:val="000000" w:themeColor="text1"/>
          <w:sz w:val="24"/>
          <w14:textFill>
            <w14:solidFill>
              <w14:schemeClr w14:val="tx1"/>
            </w14:solidFill>
          </w14:textFill>
        </w:rPr>
        <w:t>应提供</w:t>
      </w:r>
      <w:r>
        <w:rPr>
          <w:rFonts w:hint="eastAsia" w:cs="Times New Roman"/>
          <w:color w:val="000000" w:themeColor="text1"/>
          <w:sz w:val="24"/>
          <w:highlight w:val="none"/>
          <w:lang w:val="en-US" w:eastAsia="zh-CN"/>
          <w14:textFill>
            <w14:solidFill>
              <w14:schemeClr w14:val="tx1"/>
            </w14:solidFill>
          </w14:textFill>
        </w:rPr>
        <w:t>涉及</w:t>
      </w:r>
      <w:r>
        <w:rPr>
          <w:rFonts w:ascii="Times New Roman" w:hAnsi="Times New Roman" w:cs="Times New Roman"/>
          <w:color w:val="000000" w:themeColor="text1"/>
          <w:sz w:val="24"/>
          <w:highlight w:val="none"/>
          <w14:textFill>
            <w14:solidFill>
              <w14:schemeClr w14:val="tx1"/>
            </w14:solidFill>
          </w14:textFill>
        </w:rPr>
        <w:t>结构安全</w:t>
      </w:r>
      <w:r>
        <w:rPr>
          <w:rFonts w:hint="eastAsia" w:cs="Times New Roman"/>
          <w:color w:val="000000" w:themeColor="text1"/>
          <w:sz w:val="24"/>
          <w:highlight w:val="none"/>
          <w:lang w:val="en-US" w:eastAsia="zh-CN"/>
          <w14:textFill>
            <w14:solidFill>
              <w14:schemeClr w14:val="tx1"/>
            </w14:solidFill>
          </w14:textFill>
        </w:rPr>
        <w:t>管理的相关制度和制度执行的档案记录、</w:t>
      </w:r>
      <w:r>
        <w:rPr>
          <w:rFonts w:ascii="Times New Roman" w:hAnsi="Times New Roman" w:cs="Times New Roman"/>
          <w:color w:val="000000" w:themeColor="text1"/>
          <w:sz w:val="24"/>
          <w14:textFill>
            <w14:solidFill>
              <w14:schemeClr w14:val="tx1"/>
            </w14:solidFill>
          </w14:textFill>
        </w:rPr>
        <w:t>结构安全承诺书以及相关证明文件，证明建筑在运行阶段满足</w:t>
      </w:r>
      <w:r>
        <w:rPr>
          <w:rFonts w:hint="eastAsia" w:cs="Times New Roman"/>
          <w:color w:val="000000" w:themeColor="text1"/>
          <w:sz w:val="24"/>
          <w:lang w:val="en-US" w:eastAsia="zh-CN"/>
          <w14:textFill>
            <w14:solidFill>
              <w14:schemeClr w14:val="tx1"/>
            </w14:solidFill>
          </w14:textFill>
        </w:rPr>
        <w:t>原结构设计的安全</w:t>
      </w:r>
      <w:r>
        <w:rPr>
          <w:rFonts w:ascii="Times New Roman" w:hAnsi="Times New Roman" w:cs="Times New Roman"/>
          <w:color w:val="000000" w:themeColor="text1"/>
          <w:sz w:val="24"/>
          <w14:textFill>
            <w14:solidFill>
              <w14:schemeClr w14:val="tx1"/>
            </w14:solidFill>
          </w14:textFill>
        </w:rPr>
        <w:t>要求。</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 xml:space="preserve">.1.3  </w:t>
      </w:r>
      <w:r>
        <w:rPr>
          <w:rFonts w:ascii="Times New Roman" w:hAnsi="Times New Roman" w:cs="Times New Roman"/>
          <w:color w:val="000000" w:themeColor="text1"/>
          <w:sz w:val="24"/>
          <w:highlight w:val="none"/>
          <w14:textFill>
            <w14:solidFill>
              <w14:schemeClr w14:val="tx1"/>
            </w14:solidFill>
          </w14:textFill>
        </w:rPr>
        <w:t>参评</w:t>
      </w:r>
      <w:r>
        <w:rPr>
          <w:rFonts w:hint="eastAsia" w:cs="Times New Roman"/>
          <w:color w:val="000000" w:themeColor="text1"/>
          <w:sz w:val="24"/>
          <w:lang w:val="en-US" w:eastAsia="zh-CN"/>
          <w14:textFill>
            <w14:solidFill>
              <w14:schemeClr w14:val="tx1"/>
            </w14:solidFill>
          </w14:textFill>
        </w:rPr>
        <w:t>建筑</w:t>
      </w:r>
      <w:r>
        <w:rPr>
          <w:rFonts w:ascii="Times New Roman" w:hAnsi="Times New Roman" w:cs="Times New Roman"/>
          <w:color w:val="000000" w:themeColor="text1"/>
          <w:sz w:val="24"/>
          <w:highlight w:val="none"/>
          <w14:textFill>
            <w14:solidFill>
              <w14:schemeClr w14:val="tx1"/>
            </w14:solidFill>
          </w14:textFill>
        </w:rPr>
        <w:t>应有</w:t>
      </w:r>
      <w:r>
        <w:rPr>
          <w:rFonts w:hint="eastAsia" w:cs="Times New Roman"/>
          <w:color w:val="000000" w:themeColor="text1"/>
          <w:sz w:val="24"/>
          <w:highlight w:val="none"/>
          <w:lang w:val="en-US" w:eastAsia="zh-CN"/>
          <w14:textFill>
            <w14:solidFill>
              <w14:schemeClr w14:val="tx1"/>
            </w14:solidFill>
          </w14:textFill>
        </w:rPr>
        <w:t>针对绿色建筑技术措施</w:t>
      </w:r>
      <w:r>
        <w:rPr>
          <w:rFonts w:ascii="Times New Roman" w:hAnsi="Times New Roman" w:cs="Times New Roman"/>
          <w:color w:val="000000" w:themeColor="text1"/>
          <w:sz w:val="24"/>
          <w:highlight w:val="none"/>
          <w14:textFill>
            <w14:solidFill>
              <w14:schemeClr w14:val="tx1"/>
            </w14:solidFill>
          </w14:textFill>
        </w:rPr>
        <w:t>完整</w:t>
      </w:r>
      <w:r>
        <w:rPr>
          <w:rFonts w:hint="eastAsia" w:cs="Times New Roman"/>
          <w:color w:val="000000" w:themeColor="text1"/>
          <w:sz w:val="24"/>
          <w:highlight w:val="none"/>
          <w:lang w:val="en-US" w:eastAsia="zh-CN"/>
          <w14:textFill>
            <w14:solidFill>
              <w14:schemeClr w14:val="tx1"/>
            </w14:solidFill>
          </w14:textFill>
        </w:rPr>
        <w:t>的运行管理制度、运行记录、总结分析等。包括但不限于</w:t>
      </w:r>
      <w:r>
        <w:rPr>
          <w:rFonts w:ascii="Times New Roman" w:hAnsi="Times New Roman" w:cs="Times New Roman"/>
          <w:color w:val="000000" w:themeColor="text1"/>
          <w:sz w:val="24"/>
          <w:highlight w:val="none"/>
          <w14:textFill>
            <w14:solidFill>
              <w14:schemeClr w14:val="tx1"/>
            </w14:solidFill>
          </w14:textFill>
        </w:rPr>
        <w:t>能源、资源消耗量、室内外环境、空气质量参数记录台账</w:t>
      </w:r>
      <w:r>
        <w:rPr>
          <w:rFonts w:hint="eastAsia" w:cs="Times New Roman"/>
          <w:color w:val="000000" w:themeColor="text1"/>
          <w:sz w:val="24"/>
          <w:highlight w:val="none"/>
          <w:lang w:val="en-US" w:eastAsia="zh-CN"/>
          <w14:textFill>
            <w14:solidFill>
              <w14:schemeClr w14:val="tx1"/>
            </w14:solidFill>
          </w14:textFill>
        </w:rPr>
        <w:t>等</w:t>
      </w:r>
      <w:r>
        <w:rPr>
          <w:rFonts w:ascii="Times New Roman" w:hAnsi="Times New Roman" w:cs="Times New Roman"/>
          <w:color w:val="000000" w:themeColor="text1"/>
          <w:sz w:val="24"/>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r>
        <w:rPr>
          <w:rFonts w:hint="default" w:ascii="Times New Roman" w:hAnsi="Times New Roman" w:cs="Times New Roman"/>
          <w:color w:val="000000" w:themeColor="text1"/>
          <w:sz w:val="24"/>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 xml:space="preserve">  绿色建筑后评估应以建筑单体或建筑群为对象，评估时凡涉及系统性、整体性的指标，应基于参评建筑单体或建筑群所属工程项目的总体进行评价。</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r>
        <w:rPr>
          <w:rFonts w:hint="eastAsia" w:cs="Times New Roman"/>
          <w:color w:val="000000" w:themeColor="text1"/>
          <w:sz w:val="24"/>
          <w:lang w:val="en-US" w:eastAsia="zh-CN"/>
          <w14:textFill>
            <w14:solidFill>
              <w14:schemeClr w14:val="tx1"/>
            </w14:solidFill>
          </w14:textFill>
        </w:rPr>
        <w:t>5</w:t>
      </w:r>
      <w:r>
        <w:rPr>
          <w:rFonts w:ascii="Times New Roman" w:hAnsi="Times New Roman" w:cs="Times New Roman"/>
          <w:color w:val="000000" w:themeColor="text1"/>
          <w:sz w:val="24"/>
          <w14:textFill>
            <w14:solidFill>
              <w14:schemeClr w14:val="tx1"/>
            </w14:solidFill>
          </w14:textFill>
        </w:rPr>
        <w:t xml:space="preserve">  </w:t>
      </w:r>
      <w:r>
        <w:rPr>
          <w:rFonts w:hint="eastAsia" w:cs="Times New Roman"/>
          <w:color w:val="000000" w:themeColor="text1"/>
          <w:sz w:val="24"/>
          <w:lang w:val="en-US" w:eastAsia="zh-CN"/>
          <w14:textFill>
            <w14:solidFill>
              <w14:schemeClr w14:val="tx1"/>
            </w14:solidFill>
          </w14:textFill>
        </w:rPr>
        <w:t>参评建筑相关运行效果检测报告的检测时间与后评估时间不应超过三个月。</w:t>
      </w:r>
    </w:p>
    <w:p>
      <w:pPr>
        <w:shd w:val="clear"/>
        <w:adjustRightInd w:val="0"/>
        <w:snapToGrid w:val="0"/>
        <w:spacing w:before="93" w:beforeLines="30" w:after="93" w:afterLines="30" w:line="312" w:lineRule="auto"/>
        <w:ind w:firstLine="0" w:firstLineChars="0"/>
        <w:rPr>
          <w:rFonts w:hint="eastAsia" w:cs="Times New Roman"/>
          <w:color w:val="000000" w:themeColor="text1"/>
          <w:sz w:val="24"/>
          <w:lang w:eastAsia="zh-CN"/>
          <w14:textFill>
            <w14:solidFill>
              <w14:schemeClr w14:val="tx1"/>
            </w14:solidFill>
          </w14:textFill>
        </w:rPr>
      </w:pPr>
    </w:p>
    <w:p>
      <w:pPr>
        <w:shd w:val="clear"/>
        <w:adjustRightInd w:val="0"/>
        <w:snapToGrid w:val="0"/>
        <w:spacing w:before="93" w:beforeLines="30" w:after="93" w:afterLines="30" w:line="312" w:lineRule="auto"/>
        <w:jc w:val="center"/>
        <w:outlineLvl w:val="1"/>
        <w:rPr>
          <w:rFonts w:hint="default"/>
          <w:b/>
          <w:color w:val="000000" w:themeColor="text1"/>
          <w:sz w:val="24"/>
          <w14:textFill>
            <w14:solidFill>
              <w14:schemeClr w14:val="tx1"/>
            </w14:solidFill>
          </w14:textFill>
        </w:rPr>
      </w:pPr>
      <w:bookmarkStart w:id="92" w:name="_Toc517961432"/>
      <w:bookmarkStart w:id="93" w:name="_Toc529350893"/>
      <w:bookmarkStart w:id="94" w:name="_Toc22887470"/>
      <w:bookmarkStart w:id="95" w:name="_Toc50647804"/>
      <w:bookmarkStart w:id="96" w:name="_Toc482107712"/>
      <w:bookmarkStart w:id="97" w:name="_Toc41918649"/>
      <w:bookmarkStart w:id="98" w:name="_Toc527729585"/>
      <w:bookmarkStart w:id="99" w:name="_Toc519677373"/>
      <w:bookmarkStart w:id="100" w:name="_Toc50534599"/>
      <w:bookmarkStart w:id="101" w:name="_Toc7759"/>
      <w:bookmarkStart w:id="102" w:name="_Toc119755496"/>
      <w:bookmarkStart w:id="103" w:name="_Toc16689"/>
      <w:bookmarkStart w:id="104" w:name="_Toc23809"/>
      <w:bookmarkStart w:id="105" w:name="_Toc21684"/>
      <w:bookmarkStart w:id="106" w:name="_Toc13469"/>
      <w:bookmarkStart w:id="107" w:name="_Toc22342"/>
      <w:bookmarkStart w:id="108" w:name="_Toc20571"/>
      <w:bookmarkStart w:id="109" w:name="_Toc21768"/>
      <w:bookmarkStart w:id="110" w:name="_Toc25333"/>
      <w:bookmarkStart w:id="111" w:name="_Toc8937"/>
      <w:bookmarkStart w:id="112" w:name="_Toc31696"/>
      <w:r>
        <w:rPr>
          <w:b/>
          <w:color w:val="000000" w:themeColor="text1"/>
          <w:sz w:val="24"/>
          <w14:textFill>
            <w14:solidFill>
              <w14:schemeClr w14:val="tx1"/>
            </w14:solidFill>
          </w14:textFill>
        </w:rPr>
        <w:t>3.</w:t>
      </w:r>
      <w:r>
        <w:rPr>
          <w:rFonts w:hint="default"/>
          <w:b/>
          <w:color w:val="000000" w:themeColor="text1"/>
          <w:sz w:val="24"/>
          <w14:textFill>
            <w14:solidFill>
              <w14:schemeClr w14:val="tx1"/>
            </w14:solidFill>
          </w14:textFill>
        </w:rPr>
        <w:t>2</w:t>
      </w:r>
      <w:r>
        <w:rPr>
          <w:b/>
          <w:color w:val="000000" w:themeColor="text1"/>
          <w:sz w:val="24"/>
          <w14:textFill>
            <w14:solidFill>
              <w14:schemeClr w14:val="tx1"/>
            </w14:solidFill>
          </w14:textFill>
        </w:rPr>
        <w:t xml:space="preserve"> </w:t>
      </w:r>
      <w:bookmarkEnd w:id="92"/>
      <w:bookmarkEnd w:id="93"/>
      <w:bookmarkEnd w:id="94"/>
      <w:bookmarkEnd w:id="95"/>
      <w:bookmarkEnd w:id="96"/>
      <w:bookmarkEnd w:id="97"/>
      <w:bookmarkEnd w:id="98"/>
      <w:bookmarkEnd w:id="99"/>
      <w:bookmarkEnd w:id="100"/>
      <w:r>
        <w:rPr>
          <w:b/>
          <w:color w:val="000000" w:themeColor="text1"/>
          <w:sz w:val="24"/>
          <w14:textFill>
            <w14:solidFill>
              <w14:schemeClr w14:val="tx1"/>
            </w14:solidFill>
          </w14:textFill>
        </w:rPr>
        <w:t>评估与等级划分</w:t>
      </w:r>
      <w:bookmarkEnd w:id="101"/>
      <w:bookmarkEnd w:id="102"/>
      <w:bookmarkEnd w:id="103"/>
      <w:bookmarkEnd w:id="104"/>
      <w:bookmarkEnd w:id="105"/>
      <w:bookmarkEnd w:id="106"/>
      <w:bookmarkEnd w:id="107"/>
      <w:bookmarkEnd w:id="108"/>
      <w:bookmarkEnd w:id="109"/>
      <w:bookmarkEnd w:id="110"/>
      <w:bookmarkEnd w:id="111"/>
      <w:bookmarkEnd w:id="112"/>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.1  绿色建筑后评估指标体系由设计措施落实、</w:t>
      </w:r>
      <w:r>
        <w:rPr>
          <w:rFonts w:hint="eastAsia" w:cs="Times New Roman"/>
          <w:color w:val="000000" w:themeColor="text1"/>
          <w:sz w:val="24"/>
          <w:lang w:val="en-US" w:eastAsia="zh-CN"/>
          <w14:textFill>
            <w14:solidFill>
              <w14:schemeClr w14:val="tx1"/>
            </w14:solidFill>
          </w14:textFill>
        </w:rPr>
        <w:t>关键评估指标、一般评估指标、</w:t>
      </w:r>
      <w:r>
        <w:rPr>
          <w:rFonts w:ascii="Times New Roman" w:hAnsi="Times New Roman" w:cs="Times New Roman"/>
          <w:color w:val="000000" w:themeColor="text1"/>
          <w:sz w:val="24"/>
          <w14:textFill>
            <w14:solidFill>
              <w14:schemeClr w14:val="tx1"/>
            </w14:solidFill>
          </w14:textFill>
        </w:rPr>
        <w:t>用户满意度</w:t>
      </w:r>
      <w:r>
        <w:rPr>
          <w:rFonts w:hint="eastAsia" w:cs="Times New Roman"/>
          <w:color w:val="000000" w:themeColor="text1"/>
          <w:sz w:val="24"/>
          <w:lang w:val="en-US" w:eastAsia="zh-CN"/>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类指标组成。每类指标包含分值不等的评分项。</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  绿色建筑后评估的分值设定如下：</w:t>
      </w:r>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表3</w:t>
      </w:r>
      <w:r>
        <w:rPr>
          <w:rFonts w:hint="default"/>
          <w:color w:val="000000" w:themeColor="text1"/>
          <w:sz w:val="24"/>
          <w14:textFill>
            <w14:solidFill>
              <w14:schemeClr w14:val="tx1"/>
            </w14:solidFill>
          </w14:textFill>
        </w:rPr>
        <w:t xml:space="preserve">.2.2 </w:t>
      </w:r>
      <w:r>
        <w:rPr>
          <w:color w:val="000000" w:themeColor="text1"/>
          <w:sz w:val="24"/>
          <w14:textFill>
            <w14:solidFill>
              <w14:schemeClr w14:val="tx1"/>
            </w14:solidFill>
          </w14:textFill>
        </w:rPr>
        <w:t>绿色建筑后评估评价分值</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796"/>
        <w:gridCol w:w="1725"/>
        <w:gridCol w:w="192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vMerge w:val="restart"/>
            <w:shd w:val="clear" w:color="auto" w:fill="auto"/>
          </w:tcPr>
          <w:p>
            <w:pPr>
              <w:shd w:val="clear"/>
              <w:rPr>
                <w:rFonts w:hint="default"/>
                <w:color w:val="000000" w:themeColor="text1"/>
                <w14:textFill>
                  <w14:solidFill>
                    <w14:schemeClr w14:val="tx1"/>
                  </w14:solidFill>
                </w14:textFill>
              </w:rPr>
            </w:pPr>
          </w:p>
        </w:tc>
        <w:tc>
          <w:tcPr>
            <w:tcW w:w="1053"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控制性指标</w:t>
            </w:r>
          </w:p>
        </w:tc>
        <w:tc>
          <w:tcPr>
            <w:tcW w:w="3268" w:type="pct"/>
            <w:gridSpan w:val="3"/>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评估性指标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Merge w:val="continue"/>
            <w:shd w:val="clear" w:color="auto" w:fill="auto"/>
          </w:tcPr>
          <w:p>
            <w:pPr>
              <w:shd w:val="clear"/>
              <w:rPr>
                <w:rFonts w:hint="default"/>
                <w:color w:val="000000" w:themeColor="text1"/>
                <w14:textFill>
                  <w14:solidFill>
                    <w14:schemeClr w14:val="tx1"/>
                  </w14:solidFill>
                </w14:textFill>
              </w:rPr>
            </w:pPr>
          </w:p>
        </w:tc>
        <w:tc>
          <w:tcPr>
            <w:tcW w:w="1053" w:type="pct"/>
            <w:shd w:val="clear" w:color="auto" w:fill="auto"/>
            <w:vAlign w:val="center"/>
          </w:tcPr>
          <w:p>
            <w:pPr>
              <w:shd w:val="clear"/>
              <w:adjustRightInd w:val="0"/>
              <w:snapToGrid w:val="0"/>
              <w:spacing w:line="280" w:lineRule="exact"/>
              <w:jc w:val="center"/>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绿色建筑技术</w:t>
            </w:r>
            <w:r>
              <w:rPr>
                <w:rFonts w:hint="default"/>
                <w:color w:val="000000" w:themeColor="text1"/>
                <w:sz w:val="24"/>
                <w14:textFill>
                  <w14:solidFill>
                    <w14:schemeClr w14:val="tx1"/>
                  </w14:solidFill>
                </w14:textFill>
              </w:rPr>
              <w:t>措施落实</w:t>
            </w:r>
          </w:p>
          <w:p>
            <w:pPr>
              <w:shd w:val="clear"/>
              <w:adjustRightInd w:val="0"/>
              <w:snapToGrid w:val="0"/>
              <w:spacing w:line="280" w:lineRule="exact"/>
              <w:jc w:val="center"/>
              <w:rPr>
                <w:rFonts w:hint="default"/>
                <w:i/>
                <w:iCs/>
                <w:color w:val="000000" w:themeColor="text1"/>
                <w:sz w:val="24"/>
                <w14:textFill>
                  <w14:solidFill>
                    <w14:schemeClr w14:val="tx1"/>
                  </w14:solidFill>
                </w14:textFill>
              </w:rPr>
            </w:pPr>
            <w:r>
              <w:rPr>
                <w:rFonts w:hint="default"/>
                <w:i/>
                <w:iCs/>
                <w:color w:val="000000" w:themeColor="text1"/>
                <w:sz w:val="24"/>
                <w14:textFill>
                  <w14:solidFill>
                    <w14:schemeClr w14:val="tx1"/>
                  </w14:solidFill>
                </w14:textFill>
              </w:rPr>
              <w:t>Q</w:t>
            </w:r>
            <w:r>
              <w:rPr>
                <w:rFonts w:hint="default"/>
                <w:i/>
                <w:iCs/>
                <w:color w:val="000000" w:themeColor="text1"/>
                <w:sz w:val="24"/>
                <w:vertAlign w:val="subscript"/>
                <w14:textFill>
                  <w14:solidFill>
                    <w14:schemeClr w14:val="tx1"/>
                  </w14:solidFill>
                </w14:textFill>
              </w:rPr>
              <w:t>0</w:t>
            </w:r>
          </w:p>
        </w:tc>
        <w:tc>
          <w:tcPr>
            <w:tcW w:w="1011" w:type="pct"/>
            <w:shd w:val="clear" w:color="auto" w:fill="auto"/>
            <w:vAlign w:val="center"/>
          </w:tcPr>
          <w:p>
            <w:pPr>
              <w:shd w:val="clear"/>
              <w:adjustRightInd w:val="0"/>
              <w:snapToGrid w:val="0"/>
              <w:spacing w:line="280" w:lineRule="exact"/>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关键评估指标</w:t>
            </w:r>
          </w:p>
          <w:p>
            <w:pPr>
              <w:shd w:val="clear"/>
              <w:adjustRightInd w:val="0"/>
              <w:snapToGrid w:val="0"/>
              <w:spacing w:line="280" w:lineRule="exact"/>
              <w:jc w:val="center"/>
              <w:rPr>
                <w:rFonts w:hint="default"/>
                <w:i/>
                <w:iCs/>
                <w:color w:val="000000" w:themeColor="text1"/>
                <w:sz w:val="24"/>
                <w14:textFill>
                  <w14:solidFill>
                    <w14:schemeClr w14:val="tx1"/>
                  </w14:solidFill>
                </w14:textFill>
              </w:rPr>
            </w:pPr>
            <w:r>
              <w:rPr>
                <w:rFonts w:hint="default"/>
                <w:i/>
                <w:iCs/>
                <w:color w:val="000000" w:themeColor="text1"/>
                <w:sz w:val="24"/>
                <w14:textFill>
                  <w14:solidFill>
                    <w14:schemeClr w14:val="tx1"/>
                  </w14:solidFill>
                </w14:textFill>
              </w:rPr>
              <w:t>Q</w:t>
            </w:r>
            <w:r>
              <w:rPr>
                <w:rFonts w:hint="default"/>
                <w:i/>
                <w:iCs/>
                <w:color w:val="000000" w:themeColor="text1"/>
                <w:sz w:val="24"/>
                <w:vertAlign w:val="subscript"/>
                <w14:textFill>
                  <w14:solidFill>
                    <w14:schemeClr w14:val="tx1"/>
                  </w14:solidFill>
                </w14:textFill>
              </w:rPr>
              <w:t>1</w:t>
            </w:r>
          </w:p>
        </w:tc>
        <w:tc>
          <w:tcPr>
            <w:tcW w:w="1127" w:type="pct"/>
            <w:shd w:val="clear" w:color="auto" w:fill="auto"/>
            <w:vAlign w:val="center"/>
          </w:tcPr>
          <w:p>
            <w:pPr>
              <w:shd w:val="clear"/>
              <w:adjustRightInd w:val="0"/>
              <w:snapToGrid w:val="0"/>
              <w:spacing w:line="280" w:lineRule="exact"/>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一般评估指标</w:t>
            </w:r>
          </w:p>
          <w:p>
            <w:pPr>
              <w:shd w:val="clear"/>
              <w:adjustRightInd w:val="0"/>
              <w:snapToGrid w:val="0"/>
              <w:spacing w:line="280" w:lineRule="exact"/>
              <w:jc w:val="center"/>
              <w:rPr>
                <w:rFonts w:hint="default"/>
                <w:i/>
                <w:iCs/>
                <w:color w:val="000000" w:themeColor="text1"/>
                <w:sz w:val="24"/>
                <w14:textFill>
                  <w14:solidFill>
                    <w14:schemeClr w14:val="tx1"/>
                  </w14:solidFill>
                </w14:textFill>
              </w:rPr>
            </w:pPr>
            <w:r>
              <w:rPr>
                <w:rFonts w:hint="default"/>
                <w:i/>
                <w:iCs/>
                <w:color w:val="000000" w:themeColor="text1"/>
                <w:sz w:val="24"/>
                <w14:textFill>
                  <w14:solidFill>
                    <w14:schemeClr w14:val="tx1"/>
                  </w14:solidFill>
                </w14:textFill>
              </w:rPr>
              <w:t>Q</w:t>
            </w:r>
            <w:r>
              <w:rPr>
                <w:rFonts w:hint="default"/>
                <w:i/>
                <w:iCs/>
                <w:color w:val="000000" w:themeColor="text1"/>
                <w:sz w:val="24"/>
                <w:vertAlign w:val="subscript"/>
                <w14:textFill>
                  <w14:solidFill>
                    <w14:schemeClr w14:val="tx1"/>
                  </w14:solidFill>
                </w14:textFill>
              </w:rPr>
              <w:t>2</w:t>
            </w:r>
          </w:p>
        </w:tc>
        <w:tc>
          <w:tcPr>
            <w:tcW w:w="1129" w:type="pct"/>
            <w:vAlign w:val="center"/>
          </w:tcPr>
          <w:p>
            <w:pPr>
              <w:shd w:val="clear"/>
              <w:adjustRightInd w:val="0"/>
              <w:snapToGrid w:val="0"/>
              <w:spacing w:line="280" w:lineRule="exact"/>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用户满意度</w:t>
            </w:r>
          </w:p>
          <w:p>
            <w:pPr>
              <w:shd w:val="clear"/>
              <w:adjustRightInd w:val="0"/>
              <w:snapToGrid w:val="0"/>
              <w:spacing w:line="280" w:lineRule="exact"/>
              <w:jc w:val="center"/>
              <w:rPr>
                <w:rFonts w:hint="eastAsia" w:eastAsia="宋体"/>
                <w:i/>
                <w:iCs/>
                <w:color w:val="000000" w:themeColor="text1"/>
                <w:sz w:val="24"/>
                <w:lang w:eastAsia="zh-CN"/>
                <w14:textFill>
                  <w14:solidFill>
                    <w14:schemeClr w14:val="tx1"/>
                  </w14:solidFill>
                </w14:textFill>
              </w:rPr>
            </w:pPr>
            <w:r>
              <w:rPr>
                <w:rFonts w:hint="default"/>
                <w:i/>
                <w:iCs/>
                <w:color w:val="000000" w:themeColor="text1"/>
                <w:sz w:val="24"/>
                <w14:textFill>
                  <w14:solidFill>
                    <w14:schemeClr w14:val="tx1"/>
                  </w14:solidFill>
                </w14:textFill>
              </w:rPr>
              <w:t>Q</w:t>
            </w:r>
            <w:r>
              <w:rPr>
                <w:rFonts w:hint="eastAsia"/>
                <w:i/>
                <w:iCs/>
                <w:color w:val="000000" w:themeColor="text1"/>
                <w:sz w:val="24"/>
                <w:vertAlign w:val="sub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shd w:val="clear" w:color="auto" w:fill="auto"/>
            <w:vAlign w:val="center"/>
          </w:tcPr>
          <w:p>
            <w:pPr>
              <w:shd w:val="clear"/>
              <w:adjustRightInd w:val="0"/>
              <w:snapToGrid w:val="0"/>
              <w:spacing w:line="240" w:lineRule="exact"/>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满分值</w:t>
            </w:r>
          </w:p>
        </w:tc>
        <w:tc>
          <w:tcPr>
            <w:tcW w:w="1053" w:type="pct"/>
            <w:shd w:val="clear" w:color="auto" w:fill="auto"/>
            <w:vAlign w:val="center"/>
          </w:tcPr>
          <w:p>
            <w:pPr>
              <w:shd w:val="clear"/>
              <w:adjustRightInd w:val="0"/>
              <w:snapToGrid w:val="0"/>
              <w:spacing w:line="240" w:lineRule="exact"/>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400</w:t>
            </w:r>
          </w:p>
        </w:tc>
        <w:tc>
          <w:tcPr>
            <w:tcW w:w="1011" w:type="pct"/>
            <w:shd w:val="clear" w:color="auto" w:fill="auto"/>
            <w:vAlign w:val="center"/>
          </w:tcPr>
          <w:p>
            <w:pPr>
              <w:shd w:val="clear"/>
              <w:adjustRightInd w:val="0"/>
              <w:snapToGrid w:val="0"/>
              <w:spacing w:line="240" w:lineRule="exact"/>
              <w:jc w:val="center"/>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35</w:t>
            </w:r>
            <w:r>
              <w:rPr>
                <w:rFonts w:hint="default"/>
                <w:color w:val="000000" w:themeColor="text1"/>
                <w:sz w:val="24"/>
                <w14:textFill>
                  <w14:solidFill>
                    <w14:schemeClr w14:val="tx1"/>
                  </w14:solidFill>
                </w14:textFill>
              </w:rPr>
              <w:t>0</w:t>
            </w:r>
          </w:p>
        </w:tc>
        <w:tc>
          <w:tcPr>
            <w:tcW w:w="1127" w:type="pct"/>
            <w:shd w:val="clear" w:color="auto" w:fill="auto"/>
            <w:vAlign w:val="center"/>
          </w:tcPr>
          <w:p>
            <w:pPr>
              <w:shd w:val="clear"/>
              <w:adjustRightInd w:val="0"/>
              <w:snapToGrid w:val="0"/>
              <w:spacing w:line="240" w:lineRule="exact"/>
              <w:jc w:val="center"/>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15</w:t>
            </w:r>
            <w:r>
              <w:rPr>
                <w:rFonts w:hint="default"/>
                <w:color w:val="000000" w:themeColor="text1"/>
                <w:sz w:val="24"/>
                <w14:textFill>
                  <w14:solidFill>
                    <w14:schemeClr w14:val="tx1"/>
                  </w14:solidFill>
                </w14:textFill>
              </w:rPr>
              <w:t>0</w:t>
            </w:r>
          </w:p>
        </w:tc>
        <w:tc>
          <w:tcPr>
            <w:tcW w:w="1129" w:type="pct"/>
            <w:vAlign w:val="center"/>
          </w:tcPr>
          <w:p>
            <w:pPr>
              <w:shd w:val="clear"/>
              <w:adjustRightInd w:val="0"/>
              <w:snapToGrid w:val="0"/>
              <w:spacing w:line="240" w:lineRule="exact"/>
              <w:jc w:val="center"/>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20</w:t>
            </w:r>
            <w:r>
              <w:rPr>
                <w:rFonts w:hint="default"/>
                <w:color w:val="000000" w:themeColor="text1"/>
                <w:sz w:val="24"/>
                <w14:textFill>
                  <w14:solidFill>
                    <w14:schemeClr w14:val="tx1"/>
                  </w14:solidFill>
                </w14:textFill>
              </w:rPr>
              <w:t>0</w:t>
            </w:r>
          </w:p>
        </w:tc>
      </w:tr>
    </w:tbl>
    <w:p>
      <w:pPr>
        <w:shd w:val="clear"/>
        <w:adjustRightInd w:val="0"/>
        <w:snapToGrid w:val="0"/>
        <w:spacing w:before="93" w:beforeLines="30" w:after="93" w:afterLines="30" w:line="312" w:lineRule="auto"/>
        <w:rPr>
          <w:rFonts w:hint="default" w:ascii="Times New Roman" w:hAnsi="Times New Roman" w:cs="Times New Roman"/>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绿色建筑后评估的总分按应下式进行计算：</w:t>
      </w:r>
    </w:p>
    <w:p>
      <w:pPr>
        <w:shd w:val="clear"/>
        <w:adjustRightInd w:val="0"/>
        <w:snapToGrid w:val="0"/>
        <w:spacing w:before="93" w:beforeLines="30" w:after="93" w:afterLines="30" w:line="312" w:lineRule="auto"/>
        <w:ind w:firstLine="2400" w:firstLineChars="1000"/>
        <w:jc w:val="left"/>
        <w:rPr>
          <w:rFonts w:hint="default"/>
          <w:color w:val="000000" w:themeColor="text1"/>
          <w:sz w:val="24"/>
          <w14:textFill>
            <w14:solidFill>
              <w14:schemeClr w14:val="tx1"/>
            </w14:solidFill>
          </w14:textFill>
        </w:rPr>
      </w:pPr>
      <w:r>
        <w:rPr>
          <w:i/>
          <w:iCs/>
          <w:color w:val="000000" w:themeColor="text1"/>
          <w:sz w:val="24"/>
          <w14:textFill>
            <w14:solidFill>
              <w14:schemeClr w14:val="tx1"/>
            </w14:solidFill>
          </w14:textFill>
        </w:rPr>
        <w:t>Q</w:t>
      </w:r>
      <w:r>
        <w:rPr>
          <w:color w:val="000000" w:themeColor="text1"/>
          <w:sz w:val="24"/>
          <w14:textFill>
            <w14:solidFill>
              <w14:schemeClr w14:val="tx1"/>
            </w14:solidFill>
          </w14:textFill>
        </w:rPr>
        <w:t>=（</w:t>
      </w:r>
      <w:r>
        <w:rPr>
          <w:i/>
          <w:iCs/>
          <w:color w:val="000000" w:themeColor="text1"/>
          <w:sz w:val="24"/>
          <w14:textFill>
            <w14:solidFill>
              <w14:schemeClr w14:val="tx1"/>
            </w14:solidFill>
          </w14:textFill>
        </w:rPr>
        <w:t>Q</w:t>
      </w:r>
      <w:r>
        <w:rPr>
          <w:rFonts w:hint="default"/>
          <w:i/>
          <w:iCs/>
          <w:color w:val="000000" w:themeColor="text1"/>
          <w:sz w:val="24"/>
          <w:vertAlign w:val="subscript"/>
          <w14:textFill>
            <w14:solidFill>
              <w14:schemeClr w14:val="tx1"/>
            </w14:solidFill>
          </w14:textFill>
        </w:rPr>
        <w:t>0</w:t>
      </w:r>
      <w:r>
        <w:rPr>
          <w:rFonts w:hint="default"/>
          <w:i/>
          <w:iCs/>
          <w:color w:val="000000" w:themeColor="text1"/>
          <w:sz w:val="24"/>
          <w14:textFill>
            <w14:solidFill>
              <w14:schemeClr w14:val="tx1"/>
            </w14:solidFill>
          </w14:textFill>
        </w:rPr>
        <w:t>+</w:t>
      </w:r>
      <w:r>
        <w:rPr>
          <w:i/>
          <w:iCs/>
          <w:color w:val="000000" w:themeColor="text1"/>
          <w:sz w:val="24"/>
          <w14:textFill>
            <w14:solidFill>
              <w14:schemeClr w14:val="tx1"/>
            </w14:solidFill>
          </w14:textFill>
        </w:rPr>
        <w:t>Q</w:t>
      </w:r>
      <w:r>
        <w:rPr>
          <w:i/>
          <w:iCs/>
          <w:color w:val="000000" w:themeColor="text1"/>
          <w:sz w:val="24"/>
          <w:vertAlign w:val="subscript"/>
          <w14:textFill>
            <w14:solidFill>
              <w14:schemeClr w14:val="tx1"/>
            </w14:solidFill>
          </w14:textFill>
        </w:rPr>
        <w:t>1</w:t>
      </w:r>
      <w:r>
        <w:rPr>
          <w:rFonts w:hint="default"/>
          <w:i/>
          <w:iCs/>
          <w:color w:val="000000" w:themeColor="text1"/>
          <w:sz w:val="24"/>
          <w14:textFill>
            <w14:solidFill>
              <w14:schemeClr w14:val="tx1"/>
            </w14:solidFill>
          </w14:textFill>
        </w:rPr>
        <w:t>+</w:t>
      </w:r>
      <w:r>
        <w:rPr>
          <w:i/>
          <w:iCs/>
          <w:color w:val="000000" w:themeColor="text1"/>
          <w:sz w:val="24"/>
          <w14:textFill>
            <w14:solidFill>
              <w14:schemeClr w14:val="tx1"/>
            </w14:solidFill>
          </w14:textFill>
        </w:rPr>
        <w:t>Q</w:t>
      </w:r>
      <w:r>
        <w:rPr>
          <w:i/>
          <w:iCs/>
          <w:color w:val="000000" w:themeColor="text1"/>
          <w:sz w:val="24"/>
          <w:vertAlign w:val="subscript"/>
          <w14:textFill>
            <w14:solidFill>
              <w14:schemeClr w14:val="tx1"/>
            </w14:solidFill>
          </w14:textFill>
        </w:rPr>
        <w:t>2</w:t>
      </w:r>
      <w:r>
        <w:rPr>
          <w:rFonts w:hint="default"/>
          <w:i/>
          <w:iCs/>
          <w:color w:val="000000" w:themeColor="text1"/>
          <w:sz w:val="24"/>
          <w14:textFill>
            <w14:solidFill>
              <w14:schemeClr w14:val="tx1"/>
            </w14:solidFill>
          </w14:textFill>
        </w:rPr>
        <w:t>+</w:t>
      </w:r>
      <w:r>
        <w:rPr>
          <w:i/>
          <w:iCs/>
          <w:color w:val="000000" w:themeColor="text1"/>
          <w:sz w:val="24"/>
          <w14:textFill>
            <w14:solidFill>
              <w14:schemeClr w14:val="tx1"/>
            </w14:solidFill>
          </w14:textFill>
        </w:rPr>
        <w:t>Q</w:t>
      </w:r>
      <w:r>
        <w:rPr>
          <w:rFonts w:hint="default"/>
          <w:i/>
          <w:iCs/>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 xml:space="preserve">10        </w:t>
      </w:r>
      <w:r>
        <w:rPr>
          <w:color w:val="000000" w:themeColor="text1"/>
          <w:sz w:val="24"/>
          <w14:textFill>
            <w14:solidFill>
              <w14:schemeClr w14:val="tx1"/>
            </w14:solidFill>
          </w14:textFill>
        </w:rPr>
        <w:t>（3</w:t>
      </w:r>
      <w:r>
        <w:rPr>
          <w:rFonts w:hint="default"/>
          <w:color w:val="000000" w:themeColor="text1"/>
          <w:sz w:val="24"/>
          <w14:textFill>
            <w14:solidFill>
              <w14:schemeClr w14:val="tx1"/>
            </w14:solidFill>
          </w14:textFill>
        </w:rPr>
        <w:t>.2.3</w:t>
      </w:r>
      <w:r>
        <w:rPr>
          <w:color w:val="000000" w:themeColor="text1"/>
          <w:sz w:val="24"/>
          <w14:textFill>
            <w14:solidFill>
              <w14:schemeClr w14:val="tx1"/>
            </w14:solidFill>
          </w14:textFill>
        </w:rPr>
        <w:t>）</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式中：</w:t>
      </w:r>
      <w:r>
        <w:rPr>
          <w:i/>
          <w:iCs/>
          <w:color w:val="000000" w:themeColor="text1"/>
          <w:sz w:val="24"/>
          <w14:textFill>
            <w14:solidFill>
              <w14:schemeClr w14:val="tx1"/>
            </w14:solidFill>
          </w14:textFill>
        </w:rPr>
        <w:t>Q</w:t>
      </w:r>
      <w:r>
        <w:rPr>
          <w:color w:val="000000" w:themeColor="text1"/>
          <w:sz w:val="24"/>
          <w14:textFill>
            <w14:solidFill>
              <w14:schemeClr w14:val="tx1"/>
            </w14:solidFill>
          </w14:textFill>
        </w:rPr>
        <w:t>——总得分；</w:t>
      </w:r>
    </w:p>
    <w:p>
      <w:pPr>
        <w:shd w:val="clear"/>
        <w:adjustRightInd w:val="0"/>
        <w:snapToGrid w:val="0"/>
        <w:spacing w:before="93" w:beforeLines="30" w:after="93" w:afterLines="30" w:line="312" w:lineRule="auto"/>
        <w:ind w:firstLine="720" w:firstLineChars="300"/>
        <w:rPr>
          <w:rFonts w:hint="default"/>
          <w:color w:val="000000" w:themeColor="text1"/>
          <w:sz w:val="24"/>
          <w14:textFill>
            <w14:solidFill>
              <w14:schemeClr w14:val="tx1"/>
            </w14:solidFill>
          </w14:textFill>
        </w:rPr>
      </w:pPr>
      <w:r>
        <w:rPr>
          <w:i/>
          <w:iCs/>
          <w:color w:val="000000" w:themeColor="text1"/>
          <w:sz w:val="24"/>
          <w14:textFill>
            <w14:solidFill>
              <w14:schemeClr w14:val="tx1"/>
            </w14:solidFill>
          </w14:textFill>
        </w:rPr>
        <w:t>Q</w:t>
      </w:r>
      <w:r>
        <w:rPr>
          <w:rFonts w:hint="default"/>
          <w:i/>
          <w:iCs/>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——控制性指标基础分值，当满足控制性指标的要求时，取</w:t>
      </w:r>
      <w:r>
        <w:rPr>
          <w:rFonts w:hint="default"/>
          <w:color w:val="000000" w:themeColor="text1"/>
          <w:sz w:val="24"/>
          <w14:textFill>
            <w14:solidFill>
              <w14:schemeClr w14:val="tx1"/>
            </w14:solidFill>
          </w14:textFill>
        </w:rPr>
        <w:t>400</w:t>
      </w:r>
      <w:r>
        <w:rPr>
          <w:color w:val="000000" w:themeColor="text1"/>
          <w:sz w:val="24"/>
          <w14:textFill>
            <w14:solidFill>
              <w14:schemeClr w14:val="tx1"/>
            </w14:solidFill>
          </w14:textFill>
        </w:rPr>
        <w:t>分；</w:t>
      </w:r>
    </w:p>
    <w:p>
      <w:pPr>
        <w:shd w:val="clear"/>
        <w:adjustRightInd w:val="0"/>
        <w:snapToGrid w:val="0"/>
        <w:spacing w:before="93" w:beforeLines="30" w:after="93" w:afterLines="30" w:line="312" w:lineRule="auto"/>
        <w:ind w:firstLine="362" w:firstLineChars="151"/>
        <w:rPr>
          <w:rFonts w:hint="default"/>
          <w:color w:val="000000" w:themeColor="text1"/>
          <w:sz w:val="24"/>
          <w14:textFill>
            <w14:solidFill>
              <w14:schemeClr w14:val="tx1"/>
            </w14:solidFill>
          </w14:textFill>
        </w:rPr>
      </w:pPr>
      <w:r>
        <w:rPr>
          <w:i/>
          <w:iCs/>
          <w:color w:val="000000" w:themeColor="text1"/>
          <w:sz w:val="24"/>
          <w14:textFill>
            <w14:solidFill>
              <w14:schemeClr w14:val="tx1"/>
            </w14:solidFill>
          </w14:textFill>
        </w:rPr>
        <w:t>Q</w:t>
      </w:r>
      <w:r>
        <w:rPr>
          <w:rFonts w:hint="default"/>
          <w:i/>
          <w:iCs/>
          <w:color w:val="000000" w:themeColor="text1"/>
          <w:sz w:val="24"/>
          <w:vertAlign w:val="subscript"/>
          <w14:textFill>
            <w14:solidFill>
              <w14:schemeClr w14:val="tx1"/>
            </w14:solidFill>
          </w14:textFill>
        </w:rPr>
        <w:t>1</w:t>
      </w:r>
      <w:r>
        <w:rPr>
          <w:color w:val="000000" w:themeColor="text1"/>
          <w:sz w:val="24"/>
          <w14:textFill>
            <w14:solidFill>
              <w14:schemeClr w14:val="tx1"/>
            </w14:solidFill>
          </w14:textFill>
        </w:rPr>
        <w:t>-</w:t>
      </w:r>
      <w:r>
        <w:rPr>
          <w:i/>
          <w:iCs/>
          <w:color w:val="000000" w:themeColor="text1"/>
          <w:sz w:val="24"/>
          <w14:textFill>
            <w14:solidFill>
              <w14:schemeClr w14:val="tx1"/>
            </w14:solidFill>
          </w14:textFill>
        </w:rPr>
        <w:t>Q</w:t>
      </w:r>
      <w:r>
        <w:rPr>
          <w:rFonts w:hint="eastAsia"/>
          <w:i/>
          <w:iCs/>
          <w:color w:val="000000" w:themeColor="text1"/>
          <w:sz w:val="24"/>
          <w:vertAlign w:val="subscript"/>
          <w:lang w:val="en-US" w:eastAsia="zh-CN"/>
          <w14:textFill>
            <w14:solidFill>
              <w14:schemeClr w14:val="tx1"/>
            </w14:solidFill>
          </w14:textFill>
        </w:rPr>
        <w:t>3</w:t>
      </w:r>
      <w:r>
        <w:rPr>
          <w:color w:val="000000" w:themeColor="text1"/>
          <w:sz w:val="24"/>
          <w14:textFill>
            <w14:solidFill>
              <w14:schemeClr w14:val="tx1"/>
            </w14:solidFill>
          </w14:textFill>
        </w:rPr>
        <w:t>——分别为评估性指标</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类指标（</w:t>
      </w:r>
      <w:r>
        <w:rPr>
          <w:rFonts w:hint="eastAsia"/>
          <w:color w:val="000000" w:themeColor="text1"/>
          <w:sz w:val="24"/>
          <w:lang w:val="en-US" w:eastAsia="zh-CN"/>
          <w14:textFill>
            <w14:solidFill>
              <w14:schemeClr w14:val="tx1"/>
            </w14:solidFill>
          </w14:textFill>
        </w:rPr>
        <w:t>关键评估指标、一般评估指标、</w:t>
      </w:r>
      <w:r>
        <w:rPr>
          <w:color w:val="000000" w:themeColor="text1"/>
          <w:sz w:val="24"/>
          <w14:textFill>
            <w14:solidFill>
              <w14:schemeClr w14:val="tx1"/>
            </w14:solidFill>
          </w14:textFill>
        </w:rPr>
        <w:t>用户满意度）的评分项得分。</w:t>
      </w:r>
    </w:p>
    <w:p>
      <w:pPr>
        <w:shd w:val="clear"/>
        <w:adjustRightInd w:val="0"/>
        <w:snapToGrid w:val="0"/>
        <w:spacing w:before="93" w:beforeLines="30" w:after="93" w:afterLines="30" w:line="312" w:lineRule="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 xml:space="preserve">  绿色建筑后评估分为</w:t>
      </w:r>
      <w:r>
        <w:rPr>
          <w:rFonts w:hint="eastAsia" w:ascii="Times New Roman" w:hAnsi="Times New Roman" w:cs="Times New Roman"/>
          <w:color w:val="000000" w:themeColor="text1"/>
          <w:sz w:val="24"/>
          <w:lang w:val="en-US" w:eastAsia="zh-CN"/>
          <w14:textFill>
            <w14:solidFill>
              <w14:schemeClr w14:val="tx1"/>
            </w14:solidFill>
          </w14:textFill>
        </w:rPr>
        <w:t>基本级、</w:t>
      </w:r>
      <w:r>
        <w:rPr>
          <w:rFonts w:ascii="Times New Roman" w:hAnsi="Times New Roman" w:cs="Times New Roman"/>
          <w:color w:val="000000" w:themeColor="text1"/>
          <w:sz w:val="24"/>
          <w14:textFill>
            <w14:solidFill>
              <w14:schemeClr w14:val="tx1"/>
            </w14:solidFill>
          </w14:textFill>
        </w:rPr>
        <w:t>一星级、二星级、三星级</w:t>
      </w:r>
      <w:r>
        <w:rPr>
          <w:rFonts w:hint="eastAsia" w:ascii="Times New Roman" w:hAnsi="Times New Roman" w:cs="Times New Roman"/>
          <w:color w:val="000000" w:themeColor="text1"/>
          <w:sz w:val="24"/>
          <w:lang w:val="en-US" w:eastAsia="zh-CN"/>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个等级。</w:t>
      </w:r>
    </w:p>
    <w:p>
      <w:pPr>
        <w:shd w:val="clear"/>
        <w:adjustRightInd w:val="0"/>
        <w:snapToGrid w:val="0"/>
        <w:spacing w:before="93" w:beforeLines="30" w:after="93" w:afterLines="30" w:line="312" w:lineRule="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 xml:space="preserve">3.2.5  </w:t>
      </w:r>
      <w:r>
        <w:rPr>
          <w:rFonts w:hint="eastAsia" w:ascii="Times New Roman" w:hAnsi="Times New Roman" w:cs="Times New Roman"/>
          <w:color w:val="000000" w:themeColor="text1"/>
          <w:sz w:val="24"/>
          <w:lang w:val="en-US" w:eastAsia="zh-CN"/>
          <w14:textFill>
            <w14:solidFill>
              <w14:schemeClr w14:val="tx1"/>
            </w14:solidFill>
          </w14:textFill>
        </w:rPr>
        <w:t>绿色建筑后评估等级应按下列规定确定</w:t>
      </w:r>
      <w:r>
        <w:rPr>
          <w:rFonts w:hint="eastAsia" w:cs="Times New Roman"/>
          <w:color w:val="000000" w:themeColor="text1"/>
          <w:sz w:val="24"/>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1  当满足</w:t>
      </w:r>
      <w:r>
        <w:rPr>
          <w:color w:val="000000" w:themeColor="text1"/>
          <w:sz w:val="24"/>
          <w14:textFill>
            <w14:solidFill>
              <w14:schemeClr w14:val="tx1"/>
            </w14:solidFill>
          </w14:textFill>
        </w:rPr>
        <w:t>控制性指标</w:t>
      </w:r>
      <w:r>
        <w:rPr>
          <w:rFonts w:hint="eastAsia"/>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 xml:space="preserve">4.1 </w:t>
      </w:r>
      <w:r>
        <w:rPr>
          <w:rFonts w:hint="eastAsia"/>
          <w:color w:val="000000" w:themeColor="text1"/>
          <w:sz w:val="24"/>
          <w:lang w:val="en-US" w:eastAsia="zh-CN"/>
          <w14:textFill>
            <w14:solidFill>
              <w14:schemeClr w14:val="tx1"/>
            </w14:solidFill>
          </w14:textFill>
        </w:rPr>
        <w:t>绿色建筑技术</w:t>
      </w:r>
      <w:r>
        <w:rPr>
          <w:rFonts w:hint="eastAsia" w:ascii="Times New Roman" w:hAnsi="Times New Roman" w:cs="Times New Roman"/>
          <w:color w:val="000000" w:themeColor="text1"/>
          <w:sz w:val="24"/>
          <w:lang w:val="en-US" w:eastAsia="zh-CN"/>
          <w14:textFill>
            <w14:solidFill>
              <w14:schemeClr w14:val="tx1"/>
            </w14:solidFill>
          </w14:textFill>
        </w:rPr>
        <w:t>措施落实”相关要求时，绿色建筑后评估等级为基本级</w:t>
      </w:r>
      <w:r>
        <w:rPr>
          <w:rFonts w:hint="eastAsia" w:cs="Times New Roman"/>
          <w:color w:val="000000" w:themeColor="text1"/>
          <w:sz w:val="24"/>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一星级、二星级、三星级3个等级的后评估绿色建筑应满足本标准4</w:t>
      </w:r>
      <w:r>
        <w:rPr>
          <w:rFonts w:hint="default" w:ascii="Times New Roman" w:hAnsi="Times New Roman" w:cs="Times New Roman"/>
          <w:color w:val="000000" w:themeColor="text1"/>
          <w:sz w:val="24"/>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的要求</w:t>
      </w:r>
      <w:r>
        <w:rPr>
          <w:rFonts w:hint="eastAsia" w:cs="Times New Roman"/>
          <w:color w:val="000000" w:themeColor="text1"/>
          <w:sz w:val="24"/>
          <w:lang w:val="en-US" w:eastAsia="zh-CN"/>
          <w14:textFill>
            <w14:solidFill>
              <w14:schemeClr w14:val="tx1"/>
            </w14:solidFill>
          </w14:textFill>
        </w:rPr>
        <w:t>且</w:t>
      </w:r>
      <w:r>
        <w:rPr>
          <w:rFonts w:ascii="Times New Roman" w:hAnsi="Times New Roman" w:cs="Times New Roman"/>
          <w:color w:val="000000" w:themeColor="text1"/>
          <w:sz w:val="24"/>
          <w14:textFill>
            <w14:solidFill>
              <w14:schemeClr w14:val="tx1"/>
            </w14:solidFill>
          </w14:textFill>
        </w:rPr>
        <w:t>每类评估性指标评分项得分不应小于其满分值的3</w:t>
      </w:r>
      <w:r>
        <w:rPr>
          <w:rFonts w:hint="default" w:ascii="Times New Roman" w:hAnsi="Times New Roman" w:cs="Times New Roman"/>
          <w:color w:val="000000" w:themeColor="text1"/>
          <w:sz w:val="24"/>
          <w14:textFill>
            <w14:solidFill>
              <w14:schemeClr w14:val="tx1"/>
            </w14:solidFill>
          </w14:textFill>
        </w:rPr>
        <w:t>0</w:t>
      </w:r>
      <w:r>
        <w:rPr>
          <w:rFonts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jc w:val="left"/>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当绿色建筑后评估总得分分别达到6</w:t>
      </w:r>
      <w:r>
        <w:rPr>
          <w:rFonts w:hint="default" w:ascii="Times New Roman" w:hAnsi="Times New Roman" w:cs="Times New Roman"/>
          <w:color w:val="000000" w:themeColor="text1"/>
          <w:sz w:val="24"/>
          <w14:textFill>
            <w14:solidFill>
              <w14:schemeClr w14:val="tx1"/>
            </w14:solidFill>
          </w14:textFill>
        </w:rPr>
        <w:t>0</w:t>
      </w:r>
      <w:r>
        <w:rPr>
          <w:rFonts w:ascii="Times New Roman" w:hAnsi="Times New Roman" w:cs="Times New Roman"/>
          <w:color w:val="000000" w:themeColor="text1"/>
          <w:sz w:val="24"/>
          <w14:textFill>
            <w14:solidFill>
              <w14:schemeClr w14:val="tx1"/>
            </w14:solidFill>
          </w14:textFill>
        </w:rPr>
        <w:t>分、7</w:t>
      </w:r>
      <w:r>
        <w:rPr>
          <w:rFonts w:hint="default" w:ascii="Times New Roman" w:hAnsi="Times New Roman" w:cs="Times New Roman"/>
          <w:color w:val="000000" w:themeColor="text1"/>
          <w:sz w:val="24"/>
          <w14:textFill>
            <w14:solidFill>
              <w14:schemeClr w14:val="tx1"/>
            </w14:solidFill>
          </w14:textFill>
        </w:rPr>
        <w:t>0</w:t>
      </w:r>
      <w:r>
        <w:rPr>
          <w:rFonts w:ascii="Times New Roman" w:hAnsi="Times New Roman" w:cs="Times New Roman"/>
          <w:color w:val="000000" w:themeColor="text1"/>
          <w:sz w:val="24"/>
          <w14:textFill>
            <w14:solidFill>
              <w14:schemeClr w14:val="tx1"/>
            </w14:solidFill>
          </w14:textFill>
        </w:rPr>
        <w:t>分、8</w:t>
      </w:r>
      <w:r>
        <w:rPr>
          <w:rFonts w:hint="default" w:ascii="Times New Roman" w:hAnsi="Times New Roman" w:cs="Times New Roman"/>
          <w:color w:val="000000" w:themeColor="text1"/>
          <w:sz w:val="24"/>
          <w14:textFill>
            <w14:solidFill>
              <w14:schemeClr w14:val="tx1"/>
            </w14:solidFill>
          </w14:textFill>
        </w:rPr>
        <w:t>5</w:t>
      </w:r>
      <w:r>
        <w:rPr>
          <w:rFonts w:ascii="Times New Roman" w:hAnsi="Times New Roman" w:cs="Times New Roman"/>
          <w:color w:val="000000" w:themeColor="text1"/>
          <w:sz w:val="24"/>
          <w14:textFill>
            <w14:solidFill>
              <w14:schemeClr w14:val="tx1"/>
            </w14:solidFill>
          </w14:textFill>
        </w:rPr>
        <w:t>分时，绿色建筑后评估等级分别为一星级、二星级、三星级。</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jc w:val="center"/>
        <w:textAlignment w:val="auto"/>
        <w:outlineLvl w:val="0"/>
        <w:rPr>
          <w:rFonts w:hint="default"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br w:type="page"/>
      </w:r>
      <w:bookmarkStart w:id="113" w:name="_Toc32525"/>
      <w:bookmarkStart w:id="114" w:name="_Toc482107715"/>
      <w:bookmarkStart w:id="115" w:name="_Toc519677376"/>
      <w:bookmarkStart w:id="116" w:name="_Toc517961435"/>
      <w:r>
        <w:rPr>
          <w:rFonts w:hint="eastAsia"/>
          <w:b/>
          <w:color w:val="000000" w:themeColor="text1"/>
          <w:sz w:val="36"/>
          <w:lang w:val="en-US" w:eastAsia="zh-CN"/>
          <w14:textFill>
            <w14:solidFill>
              <w14:schemeClr w14:val="tx1"/>
            </w14:solidFill>
          </w14:textFill>
        </w:rPr>
        <w:t>4</w:t>
      </w:r>
      <w:r>
        <w:rPr>
          <w:b/>
          <w:color w:val="000000" w:themeColor="text1"/>
          <w:sz w:val="36"/>
          <w14:textFill>
            <w14:solidFill>
              <w14:schemeClr w14:val="tx1"/>
            </w14:solidFill>
          </w14:textFill>
        </w:rPr>
        <w:t xml:space="preserve"> </w:t>
      </w:r>
      <w:r>
        <w:rPr>
          <w:rFonts w:hint="eastAsia"/>
          <w:b/>
          <w:color w:val="000000" w:themeColor="text1"/>
          <w:sz w:val="36"/>
          <w:lang w:val="en-US" w:eastAsia="zh-CN"/>
          <w14:textFill>
            <w14:solidFill>
              <w14:schemeClr w14:val="tx1"/>
            </w14:solidFill>
          </w14:textFill>
        </w:rPr>
        <w:t>评估指标</w:t>
      </w:r>
      <w:bookmarkEnd w:id="113"/>
    </w:p>
    <w:p>
      <w:pPr>
        <w:shd w:val="clear"/>
        <w:adjustRightInd w:val="0"/>
        <w:snapToGrid w:val="0"/>
        <w:spacing w:before="93" w:beforeLines="30" w:after="93" w:afterLines="30" w:line="312" w:lineRule="auto"/>
        <w:jc w:val="center"/>
        <w:outlineLvl w:val="1"/>
        <w:rPr>
          <w:rFonts w:hint="default"/>
          <w:b/>
          <w:color w:val="000000" w:themeColor="text1"/>
          <w:sz w:val="24"/>
          <w14:textFill>
            <w14:solidFill>
              <w14:schemeClr w14:val="tx1"/>
            </w14:solidFill>
          </w14:textFill>
        </w:rPr>
      </w:pPr>
      <w:bookmarkStart w:id="117" w:name="_Toc41918651"/>
      <w:bookmarkStart w:id="118" w:name="_Toc50534601"/>
      <w:bookmarkStart w:id="119" w:name="_Toc22887472"/>
      <w:bookmarkStart w:id="120" w:name="_Toc50647806"/>
      <w:bookmarkStart w:id="121" w:name="_Toc24588"/>
      <w:bookmarkStart w:id="122" w:name="_Toc25563"/>
      <w:bookmarkStart w:id="123" w:name="_Toc8078"/>
      <w:bookmarkStart w:id="124" w:name="_Toc15891"/>
      <w:bookmarkStart w:id="125" w:name="_Toc24524"/>
      <w:bookmarkStart w:id="126" w:name="_Toc30674"/>
      <w:bookmarkStart w:id="127" w:name="_Toc32319"/>
      <w:bookmarkStart w:id="128" w:name="_Toc8668"/>
      <w:bookmarkStart w:id="129" w:name="_Toc119755498"/>
      <w:bookmarkStart w:id="130" w:name="_Toc9789"/>
      <w:bookmarkStart w:id="131" w:name="_Toc26450"/>
      <w:bookmarkStart w:id="132" w:name="_Toc19041"/>
      <w:bookmarkStart w:id="133" w:name="_Toc438459492"/>
      <w:bookmarkStart w:id="134" w:name="_Toc482107714"/>
      <w:bookmarkStart w:id="135" w:name="_Toc438204143"/>
      <w:bookmarkStart w:id="136" w:name="_Toc517961434"/>
      <w:bookmarkStart w:id="137" w:name="_Toc519677375"/>
      <w:bookmarkStart w:id="138" w:name="_Toc527729587"/>
      <w:bookmarkStart w:id="139" w:name="_Toc529350895"/>
      <w:r>
        <w:rPr>
          <w:b/>
          <w:color w:val="000000" w:themeColor="text1"/>
          <w:sz w:val="24"/>
          <w14:textFill>
            <w14:solidFill>
              <w14:schemeClr w14:val="tx1"/>
            </w14:solidFill>
          </w14:textFill>
        </w:rPr>
        <w:t xml:space="preserve">4.1 </w:t>
      </w:r>
      <w:bookmarkEnd w:id="117"/>
      <w:bookmarkEnd w:id="118"/>
      <w:bookmarkEnd w:id="119"/>
      <w:bookmarkEnd w:id="120"/>
      <w:r>
        <w:rPr>
          <w:rFonts w:hint="eastAsia"/>
          <w:b/>
          <w:bCs/>
          <w:color w:val="000000" w:themeColor="text1"/>
          <w:sz w:val="24"/>
          <w:lang w:val="en-US" w:eastAsia="zh-CN"/>
          <w14:textFill>
            <w14:solidFill>
              <w14:schemeClr w14:val="tx1"/>
            </w14:solidFill>
          </w14:textFill>
        </w:rPr>
        <w:t>绿色建筑技术</w:t>
      </w:r>
      <w:r>
        <w:rPr>
          <w:b/>
          <w:color w:val="000000" w:themeColor="text1"/>
          <w:sz w:val="24"/>
          <w14:textFill>
            <w14:solidFill>
              <w14:schemeClr w14:val="tx1"/>
            </w14:solidFill>
          </w14:textFill>
        </w:rPr>
        <w:t>措施落实</w:t>
      </w:r>
      <w:bookmarkEnd w:id="121"/>
      <w:bookmarkEnd w:id="122"/>
      <w:bookmarkEnd w:id="123"/>
      <w:bookmarkEnd w:id="124"/>
      <w:bookmarkEnd w:id="125"/>
      <w:bookmarkEnd w:id="126"/>
      <w:bookmarkEnd w:id="127"/>
      <w:bookmarkEnd w:id="128"/>
      <w:bookmarkEnd w:id="129"/>
      <w:bookmarkEnd w:id="130"/>
      <w:bookmarkEnd w:id="131"/>
      <w:bookmarkEnd w:id="132"/>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default"/>
          <w:b/>
          <w:bCs/>
          <w:color w:val="000000" w:themeColor="text1"/>
          <w:sz w:val="24"/>
          <w14:textFill>
            <w14:solidFill>
              <w14:schemeClr w14:val="tx1"/>
            </w14:solidFill>
          </w14:textFill>
        </w:rPr>
        <w:t>.1.1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参评</w:t>
      </w:r>
      <w:r>
        <w:rPr>
          <w:rFonts w:hint="eastAsia"/>
          <w:color w:val="000000" w:themeColor="text1"/>
          <w:sz w:val="24"/>
          <w:lang w:val="en-US" w:eastAsia="zh-CN"/>
          <w14:textFill>
            <w14:solidFill>
              <w14:schemeClr w14:val="tx1"/>
            </w14:solidFill>
          </w14:textFill>
        </w:rPr>
        <w:t>建筑</w:t>
      </w:r>
      <w:r>
        <w:rPr>
          <w:color w:val="000000" w:themeColor="text1"/>
          <w:sz w:val="24"/>
          <w14:textFill>
            <w14:solidFill>
              <w14:schemeClr w14:val="tx1"/>
            </w14:solidFill>
          </w14:textFill>
        </w:rPr>
        <w:t>应按施工图设计文件要求落实各项绿色建筑措施，</w:t>
      </w:r>
      <w:r>
        <w:rPr>
          <w:rFonts w:hint="eastAsia"/>
          <w:color w:val="000000" w:themeColor="text1"/>
          <w:sz w:val="24"/>
          <w:lang w:val="en-US" w:eastAsia="zh-CN"/>
          <w14:textFill>
            <w14:solidFill>
              <w14:schemeClr w14:val="tx1"/>
            </w14:solidFill>
          </w14:textFill>
        </w:rPr>
        <w:t>依据</w:t>
      </w:r>
      <w:r>
        <w:rPr>
          <w:color w:val="000000" w:themeColor="text1"/>
          <w:sz w:val="24"/>
          <w14:textFill>
            <w14:solidFill>
              <w14:schemeClr w14:val="tx1"/>
            </w14:solidFill>
          </w14:textFill>
        </w:rPr>
        <w:t>《广东省建筑节能与绿色建筑工程施工质量验收规范》D</w:t>
      </w:r>
      <w:r>
        <w:rPr>
          <w:rFonts w:hint="eastAsia"/>
          <w:color w:val="000000" w:themeColor="text1"/>
          <w:sz w:val="24"/>
          <w:lang w:val="en-US" w:eastAsia="zh-CN"/>
          <w14:textFill>
            <w14:solidFill>
              <w14:schemeClr w14:val="tx1"/>
            </w14:solidFill>
          </w14:textFill>
        </w:rPr>
        <w:t>BJ</w:t>
      </w:r>
      <w:r>
        <w:rPr>
          <w:color w:val="000000" w:themeColor="text1"/>
          <w:sz w:val="24"/>
          <w14:textFill>
            <w14:solidFill>
              <w14:schemeClr w14:val="tx1"/>
            </w14:solidFill>
          </w14:textFill>
        </w:rPr>
        <w:t xml:space="preserve"> 15-65进行节能绿建分部验收。</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eastAsia"/>
          <w:color w:val="000000" w:themeColor="text1"/>
          <w:sz w:val="24"/>
          <w:lang w:val="en-US" w:eastAsia="zh-CN"/>
          <w14:textFill>
            <w14:solidFill>
              <w14:schemeClr w14:val="tx1"/>
            </w14:solidFill>
          </w14:textFill>
        </w:rPr>
      </w:pPr>
      <w:r>
        <w:rPr>
          <w:b/>
          <w:bCs/>
          <w:color w:val="000000" w:themeColor="text1"/>
          <w:sz w:val="24"/>
          <w14:textFill>
            <w14:solidFill>
              <w14:schemeClr w14:val="tx1"/>
            </w14:solidFill>
          </w14:textFill>
        </w:rPr>
        <w:t>4</w:t>
      </w:r>
      <w:r>
        <w:rPr>
          <w:rFonts w:hint="default"/>
          <w:b/>
          <w:bCs/>
          <w:color w:val="000000" w:themeColor="text1"/>
          <w:sz w:val="24"/>
          <w14:textFill>
            <w14:solidFill>
              <w14:schemeClr w14:val="tx1"/>
            </w14:solidFill>
          </w14:textFill>
        </w:rPr>
        <w:t>.1.2</w:t>
      </w:r>
      <w:r>
        <w:rPr>
          <w:rFonts w:hint="default"/>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由于客观原因</w:t>
      </w:r>
      <w:r>
        <w:rPr>
          <w:color w:val="000000" w:themeColor="text1"/>
          <w:sz w:val="24"/>
          <w14:textFill>
            <w14:solidFill>
              <w14:schemeClr w14:val="tx1"/>
            </w14:solidFill>
          </w14:textFill>
        </w:rPr>
        <w:t>未按《广东省建筑节能与绿色建筑工程施工质量验收规范》D</w:t>
      </w:r>
      <w:r>
        <w:rPr>
          <w:rFonts w:hint="eastAsia"/>
          <w:color w:val="000000" w:themeColor="text1"/>
          <w:sz w:val="24"/>
          <w:lang w:val="en-US" w:eastAsia="zh-CN"/>
          <w14:textFill>
            <w14:solidFill>
              <w14:schemeClr w14:val="tx1"/>
            </w14:solidFill>
          </w14:textFill>
        </w:rPr>
        <w:t>BJ</w:t>
      </w:r>
      <w:r>
        <w:rPr>
          <w:color w:val="000000" w:themeColor="text1"/>
          <w:sz w:val="24"/>
          <w14:textFill>
            <w14:solidFill>
              <w14:schemeClr w14:val="tx1"/>
            </w14:solidFill>
          </w14:textFill>
        </w:rPr>
        <w:t xml:space="preserve"> 15-65进行节能绿建分部验收的</w:t>
      </w:r>
      <w:r>
        <w:rPr>
          <w:rFonts w:hint="eastAsia"/>
          <w:color w:val="000000" w:themeColor="text1"/>
          <w:sz w:val="24"/>
          <w:lang w:val="en-US" w:eastAsia="zh-CN"/>
          <w14:textFill>
            <w14:solidFill>
              <w14:schemeClr w14:val="tx1"/>
            </w14:solidFill>
          </w14:textFill>
        </w:rPr>
        <w:t>建筑</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按照下列规则评估：</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  参评建筑应满足施工图设计所依据相应绿色建筑评价标准的所有控制项要求；</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2  </w:t>
      </w:r>
      <w:r>
        <w:rPr>
          <w:color w:val="000000" w:themeColor="text1"/>
          <w:sz w:val="24"/>
          <w14:textFill>
            <w14:solidFill>
              <w14:schemeClr w14:val="tx1"/>
            </w14:solidFill>
          </w14:textFill>
        </w:rPr>
        <w:t>按照附录A表格所列</w:t>
      </w:r>
      <w:r>
        <w:rPr>
          <w:rFonts w:hint="eastAsia"/>
          <w:color w:val="000000" w:themeColor="text1"/>
          <w:sz w:val="24"/>
          <w:lang w:val="en-US" w:eastAsia="zh-CN"/>
          <w14:textFill>
            <w14:solidFill>
              <w14:schemeClr w14:val="tx1"/>
            </w14:solidFill>
          </w14:textFill>
        </w:rPr>
        <w:t>清单</w:t>
      </w:r>
      <w:r>
        <w:rPr>
          <w:color w:val="000000" w:themeColor="text1"/>
          <w:sz w:val="24"/>
          <w14:textFill>
            <w14:solidFill>
              <w14:schemeClr w14:val="tx1"/>
            </w14:solidFill>
          </w14:textFill>
        </w:rPr>
        <w:t>评估绿建措施落实情况，所有技术措施均应</w:t>
      </w:r>
      <w:r>
        <w:rPr>
          <w:rFonts w:hint="eastAsia"/>
          <w:color w:val="000000" w:themeColor="text1"/>
          <w:sz w:val="24"/>
          <w:lang w:val="en-US" w:eastAsia="zh-CN"/>
          <w14:textFill>
            <w14:solidFill>
              <w14:schemeClr w14:val="tx1"/>
            </w14:solidFill>
          </w14:textFill>
        </w:rPr>
        <w:t>按照施工图</w:t>
      </w:r>
      <w:r>
        <w:rPr>
          <w:color w:val="000000" w:themeColor="text1"/>
          <w:sz w:val="24"/>
          <w14:textFill>
            <w14:solidFill>
              <w14:schemeClr w14:val="tx1"/>
            </w14:solidFill>
          </w14:textFill>
        </w:rPr>
        <w:t>落实到位。</w:t>
      </w:r>
    </w:p>
    <w:p>
      <w:pPr>
        <w:shd w:val="clear"/>
        <w:adjustRightInd w:val="0"/>
        <w:snapToGrid w:val="0"/>
        <w:spacing w:before="93" w:beforeLines="30" w:after="93" w:afterLines="30" w:line="312" w:lineRule="auto"/>
        <w:jc w:val="center"/>
        <w:outlineLvl w:val="1"/>
        <w:rPr>
          <w:rFonts w:hint="default" w:eastAsia="宋体"/>
          <w:b/>
          <w:color w:val="000000" w:themeColor="text1"/>
          <w:sz w:val="24"/>
          <w:lang w:val="en-US" w:eastAsia="zh-CN"/>
          <w14:textFill>
            <w14:solidFill>
              <w14:schemeClr w14:val="tx1"/>
            </w14:solidFill>
          </w14:textFill>
        </w:rPr>
      </w:pPr>
      <w:bookmarkStart w:id="140" w:name="_Toc16972"/>
      <w:bookmarkStart w:id="141" w:name="_Toc7512"/>
      <w:bookmarkStart w:id="142" w:name="_Toc212"/>
      <w:bookmarkStart w:id="143" w:name="_Toc26517"/>
      <w:bookmarkStart w:id="144" w:name="_Toc15928"/>
      <w:bookmarkStart w:id="145" w:name="_Toc30810"/>
      <w:bookmarkStart w:id="146" w:name="_Toc8272"/>
      <w:bookmarkStart w:id="147" w:name="_Toc8555"/>
      <w:bookmarkStart w:id="148" w:name="_Toc4937"/>
      <w:bookmarkStart w:id="149" w:name="_Toc26438"/>
      <w:bookmarkStart w:id="150" w:name="_Toc1228"/>
      <w:r>
        <w:rPr>
          <w:rFonts w:hint="default"/>
          <w:b/>
          <w:color w:val="000000" w:themeColor="text1"/>
          <w:sz w:val="24"/>
          <w14:textFill>
            <w14:solidFill>
              <w14:schemeClr w14:val="tx1"/>
            </w14:solidFill>
          </w14:textFill>
        </w:rPr>
        <w:t>4.2</w:t>
      </w:r>
      <w:r>
        <w:rPr>
          <w:b/>
          <w:color w:val="000000" w:themeColor="text1"/>
          <w:sz w:val="24"/>
          <w14:textFill>
            <w14:solidFill>
              <w14:schemeClr w14:val="tx1"/>
            </w14:solidFill>
          </w14:textFill>
        </w:rPr>
        <w:t xml:space="preserve"> </w:t>
      </w:r>
      <w:r>
        <w:rPr>
          <w:rFonts w:hint="eastAsia"/>
          <w:b/>
          <w:color w:val="000000" w:themeColor="text1"/>
          <w:sz w:val="24"/>
          <w:lang w:val="en-US" w:eastAsia="zh-CN"/>
          <w14:textFill>
            <w14:solidFill>
              <w14:schemeClr w14:val="tx1"/>
            </w14:solidFill>
          </w14:textFill>
        </w:rPr>
        <w:t>关键评估指标</w:t>
      </w:r>
      <w:bookmarkEnd w:id="140"/>
      <w:bookmarkEnd w:id="141"/>
      <w:bookmarkEnd w:id="142"/>
      <w:bookmarkEnd w:id="143"/>
      <w:bookmarkEnd w:id="144"/>
      <w:bookmarkEnd w:id="145"/>
      <w:bookmarkEnd w:id="146"/>
      <w:bookmarkEnd w:id="147"/>
      <w:bookmarkEnd w:id="148"/>
      <w:bookmarkEnd w:id="149"/>
      <w:bookmarkEnd w:id="150"/>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Ⅰ</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碳排放控制</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ascii="Times New Roman" w:hAnsi="Times New Roman" w:eastAsia="宋体"/>
          <w:b/>
          <w:bCs/>
          <w:color w:val="000000" w:themeColor="text1"/>
          <w:sz w:val="24"/>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 xml:space="preserve">  建筑在运营过程中进行建筑碳排放计算分析及展示优化，碳排放控制指标评价总分为</w:t>
      </w:r>
      <w:r>
        <w:rPr>
          <w:rFonts w:hint="eastAsia"/>
          <w:color w:val="000000" w:themeColor="text1"/>
          <w:sz w:val="24"/>
          <w:lang w:val="en-US" w:eastAsia="zh-CN"/>
          <w14:textFill>
            <w14:solidFill>
              <w14:schemeClr w14:val="tx1"/>
            </w14:solidFill>
          </w14:textFill>
        </w:rPr>
        <w:t>40</w:t>
      </w:r>
      <w:r>
        <w:rPr>
          <w:rFonts w:ascii="Times New Roman" w:hAnsi="Times New Roman" w:eastAsia="宋体"/>
          <w:color w:val="000000" w:themeColor="text1"/>
          <w:sz w:val="24"/>
          <w14:textFill>
            <w14:solidFill>
              <w14:schemeClr w14:val="tx1"/>
            </w14:solidFill>
          </w14:textFill>
        </w:rPr>
        <w:t>分，按标4.</w:t>
      </w:r>
      <w:r>
        <w:rPr>
          <w:rFonts w:hint="eastAsia"/>
          <w:color w:val="000000" w:themeColor="text1"/>
          <w:sz w:val="24"/>
          <w:lang w:val="en-US" w:eastAsia="zh-CN"/>
          <w14:textFill>
            <w14:solidFill>
              <w14:schemeClr w14:val="tx1"/>
            </w14:solidFill>
          </w14:textFill>
        </w:rPr>
        <w:t>2</w:t>
      </w:r>
      <w:r>
        <w:rPr>
          <w:rFonts w:hint="default" w:ascii="Times New Roman" w:hAnsi="Times New Roman" w:eastAsia="宋体"/>
          <w:color w:val="000000" w:themeColor="text1"/>
          <w:sz w:val="24"/>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的规则评分。</w:t>
      </w:r>
    </w:p>
    <w:p>
      <w:pPr>
        <w:pStyle w:val="9"/>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表</w:t>
      </w:r>
      <w:r>
        <w:rPr>
          <w:rFonts w:hint="default" w:ascii="Times New Roman" w:hAnsi="Times New Roman" w:eastAsia="宋体"/>
          <w:color w:val="000000" w:themeColor="text1"/>
          <w:sz w:val="24"/>
          <w14:textFill>
            <w14:solidFill>
              <w14:schemeClr w14:val="tx1"/>
            </w14:solidFill>
          </w14:textFill>
        </w:rPr>
        <w:t>4.</w:t>
      </w:r>
      <w:r>
        <w:rPr>
          <w:rFonts w:hint="eastAsia" w:ascii="Times New Roman" w:hAnsi="Times New Roman" w:eastAsia="宋体"/>
          <w:color w:val="000000" w:themeColor="text1"/>
          <w:sz w:val="24"/>
          <w:lang w:val="en-US" w:eastAsia="zh-CN"/>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w:t>
      </w:r>
      <w:r>
        <w:rPr>
          <w:rFonts w:hint="default" w:ascii="Times New Roman" w:hAnsi="Times New Roman" w:eastAsia="宋体"/>
          <w:color w:val="000000" w:themeColor="text1"/>
          <w:sz w:val="24"/>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建筑碳排放控制评分规则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984"/>
        <w:gridCol w:w="448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建筑碳排放控制</w:t>
            </w:r>
          </w:p>
        </w:tc>
        <w:tc>
          <w:tcPr>
            <w:tcW w:w="11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评价指标</w:t>
            </w:r>
          </w:p>
        </w:tc>
        <w:tc>
          <w:tcPr>
            <w:tcW w:w="2630" w:type="pct"/>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评价内容</w:t>
            </w: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8" w:type="pct"/>
            <w:vMerge w:val="continue"/>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p>
        </w:tc>
        <w:tc>
          <w:tcPr>
            <w:tcW w:w="11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建筑运营阶段</w:t>
            </w:r>
            <w:r>
              <w:rPr>
                <w:rFonts w:hint="eastAsia" w:ascii="Times New Roman" w:hAnsi="Times New Roman" w:eastAsia="宋体"/>
                <w:color w:val="000000" w:themeColor="text1"/>
                <w:sz w:val="24"/>
                <w:lang w:val="en-US" w:eastAsia="zh-CN"/>
                <w14:textFill>
                  <w14:solidFill>
                    <w14:schemeClr w14:val="tx1"/>
                  </w14:solidFill>
                </w14:textFill>
              </w:rPr>
              <w:t>碳</w:t>
            </w:r>
            <w:r>
              <w:rPr>
                <w:rFonts w:ascii="Times New Roman" w:hAnsi="Times New Roman" w:eastAsia="宋体"/>
                <w:color w:val="000000" w:themeColor="text1"/>
                <w:sz w:val="24"/>
                <w14:textFill>
                  <w14:solidFill>
                    <w14:schemeClr w14:val="tx1"/>
                  </w14:solidFill>
                </w14:textFill>
              </w:rPr>
              <w:t>排放量</w:t>
            </w:r>
            <w:r>
              <w:rPr>
                <w:rFonts w:hint="eastAsia" w:ascii="Times New Roman" w:hAnsi="Times New Roman" w:eastAsia="宋体"/>
                <w:color w:val="000000" w:themeColor="text1"/>
                <w:sz w:val="24"/>
                <w:lang w:val="en-US" w:eastAsia="zh-CN"/>
                <w14:textFill>
                  <w14:solidFill>
                    <w14:schemeClr w14:val="tx1"/>
                  </w14:solidFill>
                </w14:textFill>
              </w:rPr>
              <w:t>逐年统计</w:t>
            </w:r>
          </w:p>
        </w:tc>
        <w:tc>
          <w:tcPr>
            <w:tcW w:w="2630" w:type="pct"/>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统计计算并展示建筑使用期内</w:t>
            </w:r>
            <w:r>
              <w:rPr>
                <w:rFonts w:hint="eastAsia" w:ascii="Times New Roman" w:hAnsi="Times New Roman" w:eastAsia="宋体"/>
                <w:color w:val="000000" w:themeColor="text1"/>
                <w:sz w:val="24"/>
                <w:lang w:val="en-US" w:eastAsia="zh-CN"/>
                <w14:textFill>
                  <w14:solidFill>
                    <w14:schemeClr w14:val="tx1"/>
                  </w14:solidFill>
                </w14:textFill>
              </w:rPr>
              <w:t>每个年度的各类能源消耗产生的碳排放总量</w:t>
            </w:r>
            <w:r>
              <w:rPr>
                <w:rFonts w:hint="eastAsia"/>
                <w:color w:val="000000" w:themeColor="text1"/>
                <w:sz w:val="24"/>
                <w:lang w:val="en-US" w:eastAsia="zh-CN"/>
                <w14:textFill>
                  <w14:solidFill>
                    <w14:schemeClr w14:val="tx1"/>
                  </w14:solidFill>
                </w14:textFill>
              </w:rPr>
              <w:t>和</w:t>
            </w:r>
            <w:r>
              <w:rPr>
                <w:rFonts w:ascii="Times New Roman" w:hAnsi="Times New Roman" w:eastAsia="宋体"/>
                <w:color w:val="000000" w:themeColor="text1"/>
                <w:sz w:val="24"/>
                <w14:textFill>
                  <w14:solidFill>
                    <w14:schemeClr w14:val="tx1"/>
                  </w14:solidFill>
                </w14:textFill>
              </w:rPr>
              <w:t>单位建筑面积碳排放量</w:t>
            </w: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rFonts w:hint="eastAsia" w:ascii="Times New Roman" w:hAnsi="Times New Roman" w:eastAsia="宋体"/>
                <w:color w:val="000000" w:themeColor="text1"/>
                <w:sz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8" w:type="pct"/>
            <w:vMerge w:val="continue"/>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p>
        </w:tc>
        <w:tc>
          <w:tcPr>
            <w:tcW w:w="11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建筑碳排放量分析及优化</w:t>
            </w:r>
          </w:p>
        </w:tc>
        <w:tc>
          <w:tcPr>
            <w:tcW w:w="2630" w:type="pct"/>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对逐年统计的建筑碳排放量进行</w:t>
            </w:r>
            <w:r>
              <w:rPr>
                <w:rFonts w:ascii="Times New Roman" w:hAnsi="Times New Roman" w:eastAsia="宋体"/>
                <w:color w:val="000000" w:themeColor="text1"/>
                <w:sz w:val="24"/>
                <w14:textFill>
                  <w14:solidFill>
                    <w14:schemeClr w14:val="tx1"/>
                  </w14:solidFill>
                </w14:textFill>
              </w:rPr>
              <w:t>分析</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体现建筑碳排放构成及逐年变化情况，</w:t>
            </w:r>
            <w:r>
              <w:rPr>
                <w:rFonts w:ascii="Times New Roman" w:hAnsi="Times New Roman" w:eastAsia="宋体"/>
                <w:color w:val="000000" w:themeColor="text1"/>
                <w:sz w:val="24"/>
                <w14:textFill>
                  <w14:solidFill>
                    <w14:schemeClr w14:val="tx1"/>
                  </w14:solidFill>
                </w14:textFill>
              </w:rPr>
              <w:t>提出</w:t>
            </w:r>
            <w:r>
              <w:rPr>
                <w:rFonts w:hint="eastAsia" w:ascii="Times New Roman" w:hAnsi="Times New Roman" w:eastAsia="宋体"/>
                <w:color w:val="000000" w:themeColor="text1"/>
                <w:sz w:val="24"/>
                <w:lang w:val="en-US" w:eastAsia="zh-CN"/>
                <w14:textFill>
                  <w14:solidFill>
                    <w14:schemeClr w14:val="tx1"/>
                  </w14:solidFill>
                </w14:textFill>
              </w:rPr>
              <w:t>改进优化措施并付诸实施</w:t>
            </w: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8" w:type="pct"/>
            <w:vMerge w:val="continue"/>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p>
        </w:tc>
        <w:tc>
          <w:tcPr>
            <w:tcW w:w="11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建筑建造阶段碳排放量</w:t>
            </w:r>
          </w:p>
        </w:tc>
        <w:tc>
          <w:tcPr>
            <w:tcW w:w="2630" w:type="pct"/>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统计计算</w:t>
            </w:r>
            <w:r>
              <w:rPr>
                <w:rFonts w:hint="eastAsia" w:ascii="Times New Roman" w:hAnsi="Times New Roman" w:eastAsia="宋体"/>
                <w:color w:val="000000" w:themeColor="text1"/>
                <w:sz w:val="24"/>
                <w:lang w:val="en-US" w:eastAsia="zh-CN"/>
                <w14:textFill>
                  <w14:solidFill>
                    <w14:schemeClr w14:val="tx1"/>
                  </w14:solidFill>
                </w14:textFill>
              </w:rPr>
              <w:t>建筑在施工建造过程中</w:t>
            </w:r>
            <w:r>
              <w:rPr>
                <w:rFonts w:ascii="Times New Roman" w:hAnsi="Times New Roman" w:eastAsia="宋体"/>
                <w:color w:val="000000" w:themeColor="text1"/>
                <w:sz w:val="24"/>
                <w14:textFill>
                  <w14:solidFill>
                    <w14:schemeClr w14:val="tx1"/>
                  </w14:solidFill>
                </w14:textFill>
              </w:rPr>
              <w:t>各分部分项工程施工产生的碳排放量和各项措施项目实施过程产生的碳排放量</w:t>
            </w: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28" w:type="pct"/>
            <w:vMerge w:val="continue"/>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p>
        </w:tc>
        <w:tc>
          <w:tcPr>
            <w:tcW w:w="11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建材生产及运输阶段碳排放量</w:t>
            </w:r>
          </w:p>
        </w:tc>
        <w:tc>
          <w:tcPr>
            <w:tcW w:w="2630" w:type="pct"/>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统计计算建筑主体结构材料、建筑围护结构材料、建筑构件和部品等主要建筑材料在生产和运输阶段的碳排放量</w:t>
            </w: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eastAsia" w:ascii="Times New Roman" w:hAnsi="Times New Roman" w:eastAsia="宋体"/>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w:t>
            </w:r>
          </w:p>
        </w:tc>
      </w:tr>
    </w:tbl>
    <w:p>
      <w:pPr>
        <w:shd w:val="clea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br w:type="page"/>
      </w:r>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Ⅱ </w:t>
      </w:r>
      <w:r>
        <w:rPr>
          <w:color w:val="000000" w:themeColor="text1"/>
          <w:sz w:val="24"/>
          <w14:textFill>
            <w14:solidFill>
              <w14:schemeClr w14:val="tx1"/>
            </w14:solidFill>
          </w14:textFill>
        </w:rPr>
        <w:t>能耗</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hint="default"/>
          <w:b/>
          <w:bCs/>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建筑运营过程中采取措施降低建筑能耗，建筑能耗强度达到现行国家标准《民用建筑能耗标准》GB</w:t>
      </w:r>
      <w:r>
        <w:rPr>
          <w:rFonts w:hint="default"/>
          <w:color w:val="000000" w:themeColor="text1"/>
          <w:sz w:val="24"/>
          <w14:textFill>
            <w14:solidFill>
              <w14:schemeClr w14:val="tx1"/>
            </w14:solidFill>
          </w14:textFill>
        </w:rPr>
        <w:t>/</w:t>
      </w:r>
      <w:r>
        <w:rPr>
          <w:color w:val="000000" w:themeColor="text1"/>
          <w:sz w:val="24"/>
          <w14:textFill>
            <w14:solidFill>
              <w14:schemeClr w14:val="tx1"/>
            </w14:solidFill>
          </w14:textFill>
        </w:rPr>
        <w:t>T</w:t>
      </w:r>
      <w:r>
        <w:rPr>
          <w:rFonts w:hint="default"/>
          <w:color w:val="000000" w:themeColor="text1"/>
          <w:sz w:val="24"/>
          <w14:textFill>
            <w14:solidFill>
              <w14:schemeClr w14:val="tx1"/>
            </w14:solidFill>
          </w14:textFill>
        </w:rPr>
        <w:t xml:space="preserve"> 51161</w:t>
      </w:r>
      <w:r>
        <w:rPr>
          <w:color w:val="000000" w:themeColor="text1"/>
          <w:sz w:val="24"/>
          <w14:textFill>
            <w14:solidFill>
              <w14:schemeClr w14:val="tx1"/>
            </w14:solidFill>
          </w14:textFill>
        </w:rPr>
        <w:t>的有关规定，能耗指标评价总分值为</w:t>
      </w:r>
      <w:r>
        <w:rPr>
          <w:rFonts w:hint="eastAsia"/>
          <w:color w:val="000000" w:themeColor="text1"/>
          <w:sz w:val="24"/>
          <w:lang w:val="en-US" w:eastAsia="zh-CN"/>
          <w14:textFill>
            <w14:solidFill>
              <w14:schemeClr w14:val="tx1"/>
            </w14:solidFill>
          </w14:textFill>
        </w:rPr>
        <w:t>18</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分，按标</w:t>
      </w:r>
      <w:r>
        <w:rPr>
          <w:rFonts w:hint="default"/>
          <w:color w:val="000000" w:themeColor="text1"/>
          <w:sz w:val="24"/>
          <w14:textFill>
            <w14:solidFill>
              <w14:schemeClr w14:val="tx1"/>
            </w14:solidFill>
          </w14:textFill>
        </w:rPr>
        <w:t>4.</w:t>
      </w:r>
      <w:r>
        <w:rPr>
          <w:rFonts w:hint="eastAsia"/>
          <w:color w:val="000000" w:themeColor="text1"/>
          <w:sz w:val="24"/>
          <w:lang w:val="en-US" w:eastAsia="zh-CN"/>
          <w14:textFill>
            <w14:solidFill>
              <w14:schemeClr w14:val="tx1"/>
            </w14:solidFill>
          </w14:textFill>
        </w:rPr>
        <w:t>2</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的规则评分。</w:t>
      </w:r>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表</w:t>
      </w:r>
      <w:r>
        <w:rPr>
          <w:rFonts w:hint="default"/>
          <w:color w:val="000000" w:themeColor="text1"/>
          <w:sz w:val="24"/>
          <w14:textFill>
            <w14:solidFill>
              <w14:schemeClr w14:val="tx1"/>
            </w14:solidFill>
          </w14:textFill>
        </w:rPr>
        <w:t>4.</w:t>
      </w:r>
      <w:r>
        <w:rPr>
          <w:rFonts w:hint="eastAsia"/>
          <w:color w:val="000000" w:themeColor="text1"/>
          <w:sz w:val="24"/>
          <w:lang w:val="en-US" w:eastAsia="zh-CN"/>
          <w14:textFill>
            <w14:solidFill>
              <w14:schemeClr w14:val="tx1"/>
            </w14:solidFill>
          </w14:textFill>
        </w:rPr>
        <w:t>2</w:t>
      </w:r>
      <w:r>
        <w:rPr>
          <w:rFonts w:hint="default"/>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建筑</w:t>
      </w:r>
      <w:r>
        <w:rPr>
          <w:rFonts w:hint="eastAsia"/>
          <w:color w:val="000000" w:themeColor="text1"/>
          <w:sz w:val="24"/>
          <w:lang w:val="en-US" w:eastAsia="zh-CN"/>
          <w14:textFill>
            <w14:solidFill>
              <w14:schemeClr w14:val="tx1"/>
            </w14:solidFill>
          </w14:textFill>
        </w:rPr>
        <w:t>能耗强度</w:t>
      </w:r>
      <w:r>
        <w:rPr>
          <w:color w:val="000000" w:themeColor="text1"/>
          <w:sz w:val="24"/>
          <w14:textFill>
            <w14:solidFill>
              <w14:schemeClr w14:val="tx1"/>
            </w14:solidFill>
          </w14:textFill>
        </w:rPr>
        <w:t>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666"/>
        <w:gridCol w:w="320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建筑能耗强度</w:t>
            </w:r>
          </w:p>
        </w:tc>
        <w:tc>
          <w:tcPr>
            <w:tcW w:w="97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评价指标</w:t>
            </w: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评价内容</w:t>
            </w:r>
          </w:p>
        </w:tc>
        <w:tc>
          <w:tcPr>
            <w:tcW w:w="141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continue"/>
            <w:shd w:val="clear" w:color="auto" w:fill="auto"/>
            <w:vAlign w:val="center"/>
          </w:tcPr>
          <w:p>
            <w:pPr>
              <w:shd w:val="clear"/>
              <w:adjustRightInd w:val="0"/>
              <w:snapToGrid w:val="0"/>
              <w:jc w:val="center"/>
              <w:rPr>
                <w:color w:val="000000" w:themeColor="text1"/>
                <w:sz w:val="24"/>
                <w14:textFill>
                  <w14:solidFill>
                    <w14:schemeClr w14:val="tx1"/>
                  </w14:solidFill>
                </w14:textFill>
              </w:rPr>
            </w:pPr>
          </w:p>
        </w:tc>
        <w:tc>
          <w:tcPr>
            <w:tcW w:w="977"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提供运营能耗强度统计分析报告</w:t>
            </w:r>
          </w:p>
        </w:tc>
        <w:tc>
          <w:tcPr>
            <w:tcW w:w="1878" w:type="pct"/>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提供近期完整年（连续12个月）建筑运营能耗记录和分析报告</w:t>
            </w:r>
          </w:p>
        </w:tc>
        <w:tc>
          <w:tcPr>
            <w:tcW w:w="1417"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977"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能耗指标实测修正值E</w:t>
            </w:r>
            <w:r>
              <w:rPr>
                <w:rFonts w:hint="default"/>
                <w:color w:val="000000" w:themeColor="text1"/>
                <w:sz w:val="24"/>
                <w:vertAlign w:val="subscript"/>
                <w14:textFill>
                  <w14:solidFill>
                    <w14:schemeClr w14:val="tx1"/>
                  </w14:solidFill>
                </w14:textFill>
              </w:rPr>
              <w:t>0</w:t>
            </w: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达到能耗指标约束值E</w:t>
            </w:r>
            <w:r>
              <w:rPr>
                <w:rFonts w:hint="default"/>
                <w:color w:val="000000" w:themeColor="text1"/>
                <w:sz w:val="24"/>
                <w:vertAlign w:val="subscript"/>
                <w14:textFill>
                  <w14:solidFill>
                    <w14:schemeClr w14:val="tx1"/>
                  </w14:solidFill>
                </w14:textFill>
              </w:rPr>
              <w:t>1</w:t>
            </w:r>
          </w:p>
        </w:tc>
        <w:tc>
          <w:tcPr>
            <w:tcW w:w="141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977"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介于能耗指标约束值E</w:t>
            </w:r>
            <w:r>
              <w:rPr>
                <w:rFonts w:hint="default"/>
                <w:color w:val="000000" w:themeColor="text1"/>
                <w:sz w:val="24"/>
                <w:vertAlign w:val="subscript"/>
                <w14:textFill>
                  <w14:solidFill>
                    <w14:schemeClr w14:val="tx1"/>
                  </w14:solidFill>
                </w14:textFill>
              </w:rPr>
              <w:t>1</w:t>
            </w:r>
            <w:r>
              <w:rPr>
                <w:color w:val="000000" w:themeColor="text1"/>
                <w:sz w:val="24"/>
                <w14:textFill>
                  <w14:solidFill>
                    <w14:schemeClr w14:val="tx1"/>
                  </w14:solidFill>
                </w14:textFill>
              </w:rPr>
              <w:t>和引导值E</w:t>
            </w:r>
            <w:r>
              <w:rPr>
                <w:rFonts w:hint="default"/>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之间</w:t>
            </w:r>
          </w:p>
        </w:tc>
        <w:tc>
          <w:tcPr>
            <w:tcW w:w="141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m:oMathPara>
              <m:oMath>
                <m:d>
                  <m:dPr>
                    <m:ctrlPr>
                      <w:rPr>
                        <w:rFonts w:hint="default" w:ascii="Cambria Math" w:hAnsi="Cambria Math"/>
                        <w:color w:val="000000" w:themeColor="text1"/>
                        <w:sz w:val="24"/>
                        <w14:textFill>
                          <w14:solidFill>
                            <w14:schemeClr w14:val="tx1"/>
                          </w14:solidFill>
                        </w14:textFill>
                      </w:rPr>
                    </m:ctrlPr>
                  </m:dPr>
                  <m:e>
                    <m:r>
                      <m:rPr/>
                      <w:rPr>
                        <w:rFonts w:hint="default" w:ascii="Cambria Math" w:hAnsi="Cambria Math"/>
                        <w:color w:val="000000" w:themeColor="text1"/>
                        <w:sz w:val="24"/>
                        <w14:textFill>
                          <w14:solidFill>
                            <w14:schemeClr w14:val="tx1"/>
                          </w14:solidFill>
                        </w14:textFill>
                      </w:rPr>
                      <m:t>1+</m:t>
                    </m:r>
                    <m:r>
                      <m:rPr/>
                      <w:rPr>
                        <w:rFonts w:hint="default" w:ascii="Cambria Math" w:hAnsi="Cambria Math"/>
                        <w:color w:val="000000" w:themeColor="text1"/>
                        <w:sz w:val="24"/>
                        <w:lang w:val="en-US" w:eastAsia="zh-CN"/>
                        <w14:textFill>
                          <w14:solidFill>
                            <w14:schemeClr w14:val="tx1"/>
                          </w14:solidFill>
                        </w14:textFill>
                      </w:rPr>
                      <m:t>139</m:t>
                    </m:r>
                    <m:r>
                      <m:rPr/>
                      <w:rPr>
                        <w:rFonts w:hint="default" w:ascii="Cambria Math" w:hAnsi="Cambria Math"/>
                        <w:color w:val="000000" w:themeColor="text1"/>
                        <w:sz w:val="24"/>
                        <w14:textFill>
                          <w14:solidFill>
                            <w14:schemeClr w14:val="tx1"/>
                          </w14:solidFill>
                        </w14:textFill>
                      </w:rPr>
                      <m:t>×</m:t>
                    </m:r>
                    <m:f>
                      <m:fPr>
                        <m:ctrlPr>
                          <w:rPr>
                            <w:rFonts w:hint="default" w:ascii="Cambria Math" w:hAnsi="Cambria Math"/>
                            <w:i/>
                            <w:color w:val="000000" w:themeColor="text1"/>
                            <w:sz w:val="24"/>
                            <w14:textFill>
                              <w14:solidFill>
                                <w14:schemeClr w14:val="tx1"/>
                              </w14:solidFill>
                            </w14:textFill>
                          </w:rPr>
                        </m:ctrlPr>
                      </m:fPr>
                      <m:num>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E</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1</m:t>
                            </m:r>
                            <m:ctrlPr>
                              <w:rPr>
                                <w:rFonts w:hint="default" w:ascii="Cambria Math" w:hAnsi="Cambria Math"/>
                                <w:i/>
                                <w:color w:val="000000" w:themeColor="text1"/>
                                <w:sz w:val="24"/>
                                <w14:textFill>
                                  <w14:solidFill>
                                    <w14:schemeClr w14:val="tx1"/>
                                  </w14:solidFill>
                                </w14:textFill>
                              </w:rPr>
                            </m:ctrlPr>
                          </m:sub>
                        </m:sSub>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E</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0</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num>
                      <m:den>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E</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1</m:t>
                            </m:r>
                            <m:ctrlPr>
                              <w:rPr>
                                <w:rFonts w:hint="default" w:ascii="Cambria Math" w:hAnsi="Cambria Math"/>
                                <w:i/>
                                <w:color w:val="000000" w:themeColor="text1"/>
                                <w:sz w:val="24"/>
                                <w14:textFill>
                                  <w14:solidFill>
                                    <w14:schemeClr w14:val="tx1"/>
                                  </w14:solidFill>
                                </w14:textFill>
                              </w:rPr>
                            </m:ctrlPr>
                          </m:sub>
                        </m:sSub>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E</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2</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den>
                    </m:f>
                    <m:ctrlPr>
                      <w:rPr>
                        <w:rFonts w:hint="default" w:ascii="Cambria Math" w:hAnsi="Cambria Math"/>
                        <w:color w:val="000000" w:themeColor="text1"/>
                        <w:sz w:val="24"/>
                        <w14:textFill>
                          <w14:solidFill>
                            <w14:schemeClr w14:val="tx1"/>
                          </w14:solidFill>
                        </w14:textFill>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977"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达到能耗指标引导值E</w:t>
            </w:r>
            <w:r>
              <w:rPr>
                <w:rFonts w:hint="default"/>
                <w:color w:val="000000" w:themeColor="text1"/>
                <w:sz w:val="24"/>
                <w:vertAlign w:val="subscript"/>
                <w14:textFill>
                  <w14:solidFill>
                    <w14:schemeClr w14:val="tx1"/>
                  </w14:solidFill>
                </w14:textFill>
              </w:rPr>
              <w:t>2</w:t>
            </w:r>
          </w:p>
        </w:tc>
        <w:tc>
          <w:tcPr>
            <w:tcW w:w="1417"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140</w:t>
            </w:r>
          </w:p>
        </w:tc>
      </w:tr>
    </w:tbl>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Ⅲ </w:t>
      </w:r>
      <w:r>
        <w:rPr>
          <w:color w:val="000000" w:themeColor="text1"/>
          <w:sz w:val="24"/>
          <w14:textFill>
            <w14:solidFill>
              <w14:schemeClr w14:val="tx1"/>
            </w14:solidFill>
          </w14:textFill>
        </w:rPr>
        <w:t>水耗</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hint="default"/>
          <w:b/>
          <w:bCs/>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建筑运营过程中采取有效节水，加强水资源循环利用，减少水资源消耗量，实际建筑平均日用水量满足现行国家标准《民用建筑节水设计标准》GB</w:t>
      </w:r>
      <w:r>
        <w:rPr>
          <w:rFonts w:hint="default"/>
          <w:color w:val="000000" w:themeColor="text1"/>
          <w:sz w:val="24"/>
          <w14:textFill>
            <w14:solidFill>
              <w14:schemeClr w14:val="tx1"/>
            </w14:solidFill>
          </w14:textFill>
        </w:rPr>
        <w:t xml:space="preserve"> 50555</w:t>
      </w:r>
      <w:r>
        <w:rPr>
          <w:color w:val="000000" w:themeColor="text1"/>
          <w:sz w:val="24"/>
          <w14:textFill>
            <w14:solidFill>
              <w14:schemeClr w14:val="tx1"/>
            </w14:solidFill>
          </w14:textFill>
        </w:rPr>
        <w:t>的有关规定，水耗指标评价总分值为</w:t>
      </w:r>
      <w:r>
        <w:rPr>
          <w:rFonts w:hint="eastAsia"/>
          <w:color w:val="000000" w:themeColor="text1"/>
          <w:sz w:val="24"/>
          <w:lang w:val="en-US" w:eastAsia="zh-CN"/>
          <w14:textFill>
            <w14:solidFill>
              <w14:schemeClr w14:val="tx1"/>
            </w14:solidFill>
          </w14:textFill>
        </w:rPr>
        <w:t>9</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分，按</w:t>
      </w:r>
      <w:r>
        <w:rPr>
          <w:rFonts w:hint="eastAsia"/>
          <w:color w:val="000000" w:themeColor="text1"/>
          <w:sz w:val="24"/>
          <w:lang w:val="en-US" w:eastAsia="zh-CN"/>
          <w14:textFill>
            <w14:solidFill>
              <w14:schemeClr w14:val="tx1"/>
            </w14:solidFill>
          </w14:textFill>
        </w:rPr>
        <w:t>表</w:t>
      </w:r>
      <w:r>
        <w:rPr>
          <w:rFonts w:hint="default"/>
          <w:color w:val="000000" w:themeColor="text1"/>
          <w:sz w:val="24"/>
          <w14:textFill>
            <w14:solidFill>
              <w14:schemeClr w14:val="tx1"/>
            </w14:solidFill>
          </w14:textFill>
        </w:rPr>
        <w:t>4.</w:t>
      </w:r>
      <w:r>
        <w:rPr>
          <w:rFonts w:hint="eastAsia"/>
          <w:color w:val="000000" w:themeColor="text1"/>
          <w:sz w:val="24"/>
          <w:lang w:val="en-US" w:eastAsia="zh-CN"/>
          <w14:textFill>
            <w14:solidFill>
              <w14:schemeClr w14:val="tx1"/>
            </w14:solidFill>
          </w14:textFill>
        </w:rPr>
        <w:t>2</w:t>
      </w: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的规则评分。</w:t>
      </w:r>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表</w:t>
      </w:r>
      <w:r>
        <w:rPr>
          <w:rFonts w:hint="eastAsia"/>
          <w:color w:val="000000" w:themeColor="text1"/>
          <w:sz w:val="24"/>
          <w:lang w:val="en-US" w:eastAsia="zh-CN"/>
          <w14:textFill>
            <w14:solidFill>
              <w14:schemeClr w14:val="tx1"/>
            </w14:solidFill>
          </w14:textFill>
        </w:rPr>
        <w:t xml:space="preserve">4.2.3 </w:t>
      </w:r>
      <w:r>
        <w:rPr>
          <w:color w:val="000000" w:themeColor="text1"/>
          <w:sz w:val="24"/>
          <w14:textFill>
            <w14:solidFill>
              <w14:schemeClr w14:val="tx1"/>
            </w14:solidFill>
          </w14:textFill>
        </w:rPr>
        <w:t>建筑</w:t>
      </w:r>
      <w:r>
        <w:rPr>
          <w:rFonts w:hint="eastAsia"/>
          <w:color w:val="000000" w:themeColor="text1"/>
          <w:sz w:val="24"/>
          <w:lang w:val="en-US" w:eastAsia="zh-CN"/>
          <w14:textFill>
            <w14:solidFill>
              <w14:schemeClr w14:val="tx1"/>
            </w14:solidFill>
          </w14:textFill>
        </w:rPr>
        <w:t>水耗指标</w:t>
      </w:r>
      <w:r>
        <w:rPr>
          <w:color w:val="000000" w:themeColor="text1"/>
          <w:sz w:val="24"/>
          <w14:textFill>
            <w14:solidFill>
              <w14:schemeClr w14:val="tx1"/>
            </w14:solidFill>
          </w14:textFill>
        </w:rPr>
        <w:t>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666"/>
        <w:gridCol w:w="320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建筑平均日用水量</w:t>
            </w:r>
          </w:p>
        </w:tc>
        <w:tc>
          <w:tcPr>
            <w:tcW w:w="97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评价指标</w:t>
            </w: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评价内容</w:t>
            </w:r>
          </w:p>
        </w:tc>
        <w:tc>
          <w:tcPr>
            <w:tcW w:w="141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8" w:type="pct"/>
            <w:vMerge w:val="continue"/>
            <w:shd w:val="clear" w:color="auto" w:fill="auto"/>
            <w:vAlign w:val="center"/>
          </w:tcPr>
          <w:p>
            <w:pPr>
              <w:shd w:val="clear"/>
              <w:adjustRightInd w:val="0"/>
              <w:snapToGrid w:val="0"/>
              <w:jc w:val="center"/>
              <w:rPr>
                <w:color w:val="000000" w:themeColor="text1"/>
                <w:sz w:val="24"/>
                <w14:textFill>
                  <w14:solidFill>
                    <w14:schemeClr w14:val="tx1"/>
                  </w14:solidFill>
                </w14:textFill>
              </w:rPr>
            </w:pPr>
          </w:p>
        </w:tc>
        <w:tc>
          <w:tcPr>
            <w:tcW w:w="1666" w:type="dxa"/>
            <w:shd w:val="clear" w:color="auto" w:fill="auto"/>
            <w:vAlign w:val="center"/>
          </w:tcPr>
          <w:p>
            <w:pPr>
              <w:shd w:val="clear"/>
              <w:adjustRightInd w:val="0"/>
              <w:snapToGrid w:val="0"/>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提供运营水耗强度统计分析报告</w:t>
            </w:r>
          </w:p>
        </w:tc>
        <w:tc>
          <w:tcPr>
            <w:tcW w:w="3203" w:type="dxa"/>
            <w:vAlign w:val="center"/>
          </w:tcPr>
          <w:p>
            <w:pPr>
              <w:shd w:val="clear"/>
              <w:adjustRightInd w:val="0"/>
              <w:snapToGrid w:val="0"/>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提供近期完整年（连续12个月）建筑运营水耗记录和分析报告</w:t>
            </w:r>
          </w:p>
        </w:tc>
        <w:tc>
          <w:tcPr>
            <w:tcW w:w="2417" w:type="dxa"/>
            <w:shd w:val="clear" w:color="auto" w:fill="auto"/>
            <w:vAlign w:val="center"/>
          </w:tcPr>
          <w:p>
            <w:pPr>
              <w:shd w:val="clear"/>
              <w:adjustRightInd w:val="0"/>
              <w:snapToGrid w:val="0"/>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977"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建筑平均日用水量W</w:t>
            </w:r>
            <w:r>
              <w:rPr>
                <w:rFonts w:hint="default"/>
                <w:color w:val="000000" w:themeColor="text1"/>
                <w:sz w:val="24"/>
                <w:vertAlign w:val="subscript"/>
                <w14:textFill>
                  <w14:solidFill>
                    <w14:schemeClr w14:val="tx1"/>
                  </w14:solidFill>
                </w14:textFill>
              </w:rPr>
              <w:t>0</w:t>
            </w: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达到节水定额上限值W</w:t>
            </w:r>
            <w:r>
              <w:rPr>
                <w:rFonts w:hint="default"/>
                <w:color w:val="000000" w:themeColor="text1"/>
                <w:sz w:val="24"/>
                <w:vertAlign w:val="subscript"/>
                <w14:textFill>
                  <w14:solidFill>
                    <w14:schemeClr w14:val="tx1"/>
                  </w14:solidFill>
                </w14:textFill>
              </w:rPr>
              <w:t>1</w:t>
            </w:r>
          </w:p>
        </w:tc>
        <w:tc>
          <w:tcPr>
            <w:tcW w:w="141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977"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介于节水定额上限值W</w:t>
            </w:r>
            <w:r>
              <w:rPr>
                <w:rFonts w:hint="default"/>
                <w:color w:val="000000" w:themeColor="text1"/>
                <w:sz w:val="24"/>
                <w:vertAlign w:val="subscript"/>
                <w14:textFill>
                  <w14:solidFill>
                    <w14:schemeClr w14:val="tx1"/>
                  </w14:solidFill>
                </w14:textFill>
              </w:rPr>
              <w:t>1</w:t>
            </w:r>
            <w:r>
              <w:rPr>
                <w:color w:val="000000" w:themeColor="text1"/>
                <w:sz w:val="24"/>
                <w14:textFill>
                  <w14:solidFill>
                    <w14:schemeClr w14:val="tx1"/>
                  </w14:solidFill>
                </w14:textFill>
              </w:rPr>
              <w:t>和下限值W</w:t>
            </w:r>
            <w:r>
              <w:rPr>
                <w:rFonts w:hint="default"/>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之间</w:t>
            </w:r>
          </w:p>
        </w:tc>
        <w:tc>
          <w:tcPr>
            <w:tcW w:w="141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m:oMathPara>
              <m:oMath>
                <m:d>
                  <m:dPr>
                    <m:ctrlPr>
                      <w:rPr>
                        <w:rFonts w:hint="default" w:ascii="Cambria Math" w:hAnsi="Cambria Math"/>
                        <w:color w:val="000000" w:themeColor="text1"/>
                        <w:sz w:val="24"/>
                        <w14:textFill>
                          <w14:solidFill>
                            <w14:schemeClr w14:val="tx1"/>
                          </w14:solidFill>
                        </w14:textFill>
                      </w:rPr>
                    </m:ctrlPr>
                  </m:dPr>
                  <m:e>
                    <m:r>
                      <m:rPr/>
                      <w:rPr>
                        <w:rFonts w:hint="default" w:ascii="Cambria Math" w:hAnsi="Cambria Math"/>
                        <w:color w:val="000000" w:themeColor="text1"/>
                        <w:sz w:val="24"/>
                        <w14:textFill>
                          <w14:solidFill>
                            <w14:schemeClr w14:val="tx1"/>
                          </w14:solidFill>
                        </w14:textFill>
                      </w:rPr>
                      <m:t>1+</m:t>
                    </m:r>
                    <m:r>
                      <m:rPr/>
                      <w:rPr>
                        <w:rFonts w:hint="default" w:ascii="Cambria Math" w:hAnsi="Cambria Math"/>
                        <w:color w:val="000000" w:themeColor="text1"/>
                        <w:sz w:val="24"/>
                        <w:lang w:val="en-US" w:eastAsia="zh-CN"/>
                        <w14:textFill>
                          <w14:solidFill>
                            <w14:schemeClr w14:val="tx1"/>
                          </w14:solidFill>
                        </w14:textFill>
                      </w:rPr>
                      <m:t>5</m:t>
                    </m:r>
                    <m:r>
                      <m:rPr/>
                      <w:rPr>
                        <w:rFonts w:hint="default" w:ascii="Cambria Math" w:hAnsi="Cambria Math"/>
                        <w:color w:val="000000" w:themeColor="text1"/>
                        <w:sz w:val="24"/>
                        <w14:textFill>
                          <w14:solidFill>
                            <w14:schemeClr w14:val="tx1"/>
                          </w14:solidFill>
                        </w14:textFill>
                      </w:rPr>
                      <m:t>9×</m:t>
                    </m:r>
                    <m:f>
                      <m:fPr>
                        <m:ctrlPr>
                          <w:rPr>
                            <w:rFonts w:hint="default" w:ascii="Cambria Math" w:hAnsi="Cambria Math"/>
                            <w:i/>
                            <w:color w:val="000000" w:themeColor="text1"/>
                            <w:sz w:val="24"/>
                            <w14:textFill>
                              <w14:solidFill>
                                <w14:schemeClr w14:val="tx1"/>
                              </w14:solidFill>
                            </w14:textFill>
                          </w:rPr>
                        </m:ctrlPr>
                      </m:fPr>
                      <m:num>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W</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1</m:t>
                            </m:r>
                            <m:ctrlPr>
                              <w:rPr>
                                <w:rFonts w:hint="default" w:ascii="Cambria Math" w:hAnsi="Cambria Math"/>
                                <w:i/>
                                <w:color w:val="000000" w:themeColor="text1"/>
                                <w:sz w:val="24"/>
                                <w14:textFill>
                                  <w14:solidFill>
                                    <w14:schemeClr w14:val="tx1"/>
                                  </w14:solidFill>
                                </w14:textFill>
                              </w:rPr>
                            </m:ctrlPr>
                          </m:sub>
                        </m:sSub>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W</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0</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num>
                      <m:den>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W</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1</m:t>
                            </m:r>
                            <m:ctrlPr>
                              <w:rPr>
                                <w:rFonts w:hint="default" w:ascii="Cambria Math" w:hAnsi="Cambria Math"/>
                                <w:i/>
                                <w:color w:val="000000" w:themeColor="text1"/>
                                <w:sz w:val="24"/>
                                <w14:textFill>
                                  <w14:solidFill>
                                    <w14:schemeClr w14:val="tx1"/>
                                  </w14:solidFill>
                                </w14:textFill>
                              </w:rPr>
                            </m:ctrlPr>
                          </m:sub>
                        </m:sSub>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W</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2</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den>
                    </m:f>
                    <m:ctrlPr>
                      <w:rPr>
                        <w:rFonts w:hint="default" w:ascii="Cambria Math" w:hAnsi="Cambria Math"/>
                        <w:color w:val="000000" w:themeColor="text1"/>
                        <w:sz w:val="24"/>
                        <w14:textFill>
                          <w14:solidFill>
                            <w14:schemeClr w14:val="tx1"/>
                          </w14:solidFill>
                        </w14:textFill>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977"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878"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达到节水定额下限值W</w:t>
            </w:r>
            <w:r>
              <w:rPr>
                <w:rFonts w:hint="default"/>
                <w:color w:val="000000" w:themeColor="text1"/>
                <w:sz w:val="24"/>
                <w:vertAlign w:val="subscript"/>
                <w14:textFill>
                  <w14:solidFill>
                    <w14:schemeClr w14:val="tx1"/>
                  </w14:solidFill>
                </w14:textFill>
              </w:rPr>
              <w:t>2</w:t>
            </w:r>
          </w:p>
        </w:tc>
        <w:tc>
          <w:tcPr>
            <w:tcW w:w="1417"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6</w:t>
            </w:r>
            <w:r>
              <w:rPr>
                <w:rFonts w:hint="default"/>
                <w:color w:val="000000" w:themeColor="text1"/>
                <w:sz w:val="24"/>
                <w14:textFill>
                  <w14:solidFill>
                    <w14:schemeClr w14:val="tx1"/>
                  </w14:solidFill>
                </w14:textFill>
              </w:rPr>
              <w:t>0</w:t>
            </w:r>
          </w:p>
        </w:tc>
      </w:tr>
    </w:tbl>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rPr>
          <w:rFonts w:hint="default" w:eastAsia="宋体"/>
          <w:color w:val="000000" w:themeColor="text1"/>
          <w:sz w:val="24"/>
          <w:lang w:val="en-US" w:eastAsia="zh-CN"/>
          <w14:textFill>
            <w14:solidFill>
              <w14:schemeClr w14:val="tx1"/>
            </w14:solidFill>
          </w14:textFill>
        </w:rPr>
      </w:pPr>
      <w:r>
        <w:rPr>
          <w:rFonts w:hint="default"/>
          <w:color w:val="000000" w:themeColor="text1"/>
          <w:sz w:val="24"/>
          <w14:textFill>
            <w14:solidFill>
              <w14:schemeClr w14:val="tx1"/>
            </w14:solidFill>
          </w14:textFill>
        </w:rPr>
        <w:t xml:space="preserve">Ⅳ </w:t>
      </w:r>
      <w:r>
        <w:rPr>
          <w:rFonts w:hint="eastAsia"/>
          <w:color w:val="000000" w:themeColor="text1"/>
          <w:sz w:val="24"/>
          <w:lang w:val="en-US" w:eastAsia="zh-CN"/>
          <w14:textFill>
            <w14:solidFill>
              <w14:schemeClr w14:val="tx1"/>
            </w14:solidFill>
          </w14:textFill>
        </w:rPr>
        <w:t>室内污染物</w:t>
      </w:r>
    </w:p>
    <w:bookmarkEnd w:id="114"/>
    <w:bookmarkEnd w:id="115"/>
    <w:bookmarkEnd w:id="116"/>
    <w:bookmarkEnd w:id="133"/>
    <w:bookmarkEnd w:id="134"/>
    <w:bookmarkEnd w:id="135"/>
    <w:bookmarkEnd w:id="136"/>
    <w:bookmarkEnd w:id="137"/>
    <w:bookmarkEnd w:id="138"/>
    <w:bookmarkEnd w:id="139"/>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室内主要空气污染物的浓度处于较低水平，评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20</w:t>
      </w:r>
      <w:r>
        <w:rPr>
          <w:color w:val="000000" w:themeColor="text1"/>
          <w:sz w:val="24"/>
          <w14:textFill>
            <w14:solidFill>
              <w14:schemeClr w14:val="tx1"/>
            </w14:solidFill>
          </w14:textFill>
        </w:rPr>
        <w:t>分，按下列规则评分：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rFonts w:hint="default"/>
          <w:color w:val="000000" w:themeColor="text1"/>
          <w:sz w:val="24"/>
          <w14:textFill>
            <w14:solidFill>
              <w14:schemeClr w14:val="tx1"/>
            </w14:solidFill>
          </w14:textFill>
        </w:rPr>
        <w:t xml:space="preserve"> 氨、甲醛、苯、总挥发性有机物、氡等污染物浓度低于现行国家标准《室内空气质量标准》GB/T 18883规定限值的10%</w:t>
      </w:r>
      <w:r>
        <w:rPr>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10</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 </w:t>
      </w:r>
      <w:r>
        <w:rPr>
          <w:rFonts w:hint="default"/>
          <w:color w:val="000000" w:themeColor="text1"/>
          <w:sz w:val="24"/>
          <w14:textFill>
            <w14:solidFill>
              <w14:schemeClr w14:val="tx1"/>
            </w14:solidFill>
          </w14:textFill>
        </w:rPr>
        <w:t xml:space="preserve"> 氨、甲醛、苯、总挥发性有机物、氡等污染物浓度低于现行国家标准《室内空气质量标准》GB/T 18883规定限值的</w:t>
      </w:r>
      <w:r>
        <w:rPr>
          <w:rFonts w:hint="eastAsia"/>
          <w:color w:val="000000" w:themeColor="text1"/>
          <w:sz w:val="24"/>
          <w:lang w:val="en-US" w:eastAsia="zh-CN"/>
          <w14:textFill>
            <w14:solidFill>
              <w14:schemeClr w14:val="tx1"/>
            </w14:solidFill>
          </w14:textFill>
        </w:rPr>
        <w:t>2</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20</w:t>
      </w:r>
      <w:r>
        <w:rPr>
          <w:color w:val="000000" w:themeColor="text1"/>
          <w:sz w:val="24"/>
          <w14:textFill>
            <w14:solidFill>
              <w14:schemeClr w14:val="tx1"/>
            </w14:solidFill>
          </w14:textFill>
        </w:rPr>
        <w:t>分。</w:t>
      </w:r>
    </w:p>
    <w:p>
      <w:pPr>
        <w:pStyle w:val="5"/>
        <w:shd w:val="clear"/>
        <w:spacing w:before="95" w:beforeLines="30" w:after="95" w:afterLines="30" w:line="312" w:lineRule="auto"/>
        <w:rPr>
          <w:rFonts w:hint="default"/>
          <w:lang w:val="en-US" w:eastAsia="zh-CN"/>
        </w:rPr>
      </w:pPr>
    </w:p>
    <w:p>
      <w:pPr>
        <w:shd w:val="clear"/>
        <w:adjustRightInd w:val="0"/>
        <w:snapToGrid w:val="0"/>
        <w:spacing w:before="93" w:beforeLines="30" w:after="93" w:afterLines="30" w:line="312" w:lineRule="auto"/>
        <w:jc w:val="center"/>
        <w:rPr>
          <w:rFonts w:hint="default" w:eastAsia="宋体"/>
          <w:color w:val="000000" w:themeColor="text1"/>
          <w:sz w:val="24"/>
          <w:lang w:val="en-US" w:eastAsia="zh-CN"/>
          <w14:textFill>
            <w14:solidFill>
              <w14:schemeClr w14:val="tx1"/>
            </w14:solidFill>
          </w14:textFill>
        </w:rPr>
      </w:pPr>
      <w:r>
        <w:rPr>
          <w:rFonts w:hint="default"/>
          <w:color w:val="000000" w:themeColor="text1"/>
          <w:sz w:val="24"/>
          <w14:textFill>
            <w14:solidFill>
              <w14:schemeClr w14:val="tx1"/>
            </w14:solidFill>
          </w14:textFill>
        </w:rPr>
        <w:t xml:space="preserve">Ⅴ </w:t>
      </w:r>
      <w:r>
        <w:rPr>
          <w:rFonts w:hint="eastAsia"/>
          <w:color w:val="000000" w:themeColor="text1"/>
          <w:sz w:val="24"/>
          <w:lang w:val="en-US" w:eastAsia="zh-CN"/>
          <w14:textFill>
            <w14:solidFill>
              <w14:schemeClr w14:val="tx1"/>
            </w14:solidFill>
          </w14:textFill>
        </w:rPr>
        <w:t>声环境</w:t>
      </w:r>
    </w:p>
    <w:p>
      <w:pPr>
        <w:shd w:val="clear"/>
        <w:adjustRightInd w:val="0"/>
        <w:snapToGrid w:val="0"/>
        <w:spacing w:before="93" w:beforeLines="30" w:after="93" w:afterLines="30" w:line="312" w:lineRule="auto"/>
        <w:jc w:val="left"/>
        <w:rPr>
          <w:rFonts w:hint="default" w:ascii="Times New Roman" w:hAnsi="Times New Roman"/>
          <w:color w:val="000000" w:themeColor="text1"/>
          <w:sz w:val="24"/>
          <w14:textFill>
            <w14:solidFill>
              <w14:schemeClr w14:val="tx1"/>
            </w14:solidFill>
          </w14:textFill>
        </w:rPr>
      </w:pPr>
      <w:r>
        <w:rPr>
          <w:rFonts w:hint="default"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hint="default" w:ascii="Times New Roman" w:hAnsi="Times New Roman"/>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5</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lang w:val="en-US" w:eastAsia="zh-CN"/>
          <w14:textFill>
            <w14:solidFill>
              <w14:schemeClr w14:val="tx1"/>
            </w14:solidFill>
          </w14:textFill>
        </w:rPr>
        <w:t>建筑</w:t>
      </w:r>
      <w:r>
        <w:rPr>
          <w:rFonts w:ascii="Times New Roman" w:hAnsi="Times New Roman"/>
          <w:color w:val="000000" w:themeColor="text1"/>
          <w:sz w:val="24"/>
          <w14:textFill>
            <w14:solidFill>
              <w14:schemeClr w14:val="tx1"/>
            </w14:solidFill>
          </w14:textFill>
        </w:rPr>
        <w:t>室内</w:t>
      </w:r>
      <w:r>
        <w:rPr>
          <w:rFonts w:hint="eastAsia"/>
          <w:color w:val="000000" w:themeColor="text1"/>
          <w:sz w:val="24"/>
          <w:lang w:val="en-US" w:eastAsia="zh-CN"/>
          <w14:textFill>
            <w14:solidFill>
              <w14:schemeClr w14:val="tx1"/>
            </w14:solidFill>
          </w14:textFill>
        </w:rPr>
        <w:t>声环境</w:t>
      </w:r>
      <w:r>
        <w:rPr>
          <w:rFonts w:ascii="Times New Roman" w:hAnsi="Times New Roman"/>
          <w:color w:val="000000" w:themeColor="text1"/>
          <w:sz w:val="24"/>
          <w14:textFill>
            <w14:solidFill>
              <w14:schemeClr w14:val="tx1"/>
            </w14:solidFill>
          </w14:textFill>
        </w:rPr>
        <w:t>良好，</w:t>
      </w:r>
      <w:r>
        <w:rPr>
          <w:rFonts w:ascii="Times New Roman" w:hAnsi="Times New Roman" w:cs="Times New Roman"/>
          <w:sz w:val="24"/>
          <w:szCs w:val="24"/>
        </w:rPr>
        <w:t>评</w:t>
      </w:r>
      <w:r>
        <w:rPr>
          <w:rFonts w:hint="eastAsia" w:ascii="Times New Roman" w:hAnsi="Times New Roman" w:cs="Times New Roman"/>
          <w:sz w:val="24"/>
          <w:szCs w:val="24"/>
          <w:lang w:val="en-US" w:eastAsia="zh-CN"/>
        </w:rPr>
        <w:t>估</w:t>
      </w:r>
      <w:r>
        <w:rPr>
          <w:rFonts w:ascii="Times New Roman" w:hAnsi="Times New Roman" w:cs="Times New Roman"/>
          <w:sz w:val="24"/>
          <w:szCs w:val="24"/>
        </w:rPr>
        <w:t>总分值为</w:t>
      </w:r>
      <w:r>
        <w:rPr>
          <w:rFonts w:hint="eastAsia" w:cs="Times New Roman"/>
          <w:sz w:val="24"/>
          <w:szCs w:val="24"/>
          <w:lang w:val="en-US" w:eastAsia="zh-CN"/>
        </w:rPr>
        <w:t>20</w:t>
      </w:r>
      <w:r>
        <w:rPr>
          <w:rFonts w:ascii="Times New Roman" w:hAnsi="Times New Roman" w:cs="Times New Roman"/>
          <w:sz w:val="24"/>
          <w:szCs w:val="24"/>
        </w:rPr>
        <w:t>分。</w:t>
      </w:r>
      <w:r>
        <w:rPr>
          <w:rFonts w:ascii="Times New Roman" w:hAnsi="Times New Roman"/>
          <w:color w:val="000000" w:themeColor="text1"/>
          <w:sz w:val="24"/>
          <w14:textFill>
            <w14:solidFill>
              <w14:schemeClr w14:val="tx1"/>
            </w14:solidFill>
          </w14:textFill>
        </w:rPr>
        <w:t>主要功能房间的</w:t>
      </w:r>
      <w:r>
        <w:rPr>
          <w:rFonts w:hint="eastAsia"/>
          <w:color w:val="000000" w:themeColor="text1"/>
          <w:sz w:val="24"/>
          <w:lang w:val="en-US" w:eastAsia="zh-CN"/>
          <w14:textFill>
            <w14:solidFill>
              <w14:schemeClr w14:val="tx1"/>
            </w14:solidFill>
          </w14:textFill>
        </w:rPr>
        <w:t>室内</w:t>
      </w:r>
      <w:r>
        <w:rPr>
          <w:rFonts w:ascii="Times New Roman" w:hAnsi="Times New Roman" w:cs="Times New Roman"/>
          <w:bCs/>
          <w:sz w:val="24"/>
          <w:szCs w:val="24"/>
        </w:rPr>
        <w:t>噪声级</w:t>
      </w:r>
      <w:r>
        <w:rPr>
          <w:rFonts w:hint="eastAsia" w:ascii="Times New Roman" w:hAnsi="Times New Roman" w:cs="Times New Roman"/>
          <w:bCs/>
          <w:sz w:val="24"/>
          <w:szCs w:val="24"/>
        </w:rPr>
        <w:t>满足《建筑环境通用规范》的限值规定</w:t>
      </w:r>
      <w:r>
        <w:rPr>
          <w:rFonts w:hint="eastAsia" w:cs="Times New Roman"/>
          <w:bCs/>
          <w:sz w:val="24"/>
          <w:szCs w:val="24"/>
          <w:lang w:eastAsia="zh-CN"/>
        </w:rPr>
        <w:t>，</w:t>
      </w:r>
      <w:r>
        <w:rPr>
          <w:rFonts w:ascii="Times New Roman" w:hAnsi="Times New Roman" w:cs="Times New Roman"/>
          <w:bCs/>
          <w:sz w:val="24"/>
          <w:szCs w:val="24"/>
        </w:rPr>
        <w:t>达到现行国家标准《民用建筑隔声设计规范》GB50118中的低限标准限值和高要求标准限值的平均值，得</w:t>
      </w:r>
      <w:r>
        <w:rPr>
          <w:rFonts w:hint="eastAsia" w:cs="Times New Roman"/>
          <w:bCs/>
          <w:sz w:val="24"/>
          <w:szCs w:val="24"/>
          <w:lang w:val="en-US" w:eastAsia="zh-CN"/>
        </w:rPr>
        <w:t>10</w:t>
      </w:r>
      <w:r>
        <w:rPr>
          <w:rFonts w:ascii="Times New Roman" w:hAnsi="Times New Roman" w:cs="Times New Roman"/>
          <w:bCs/>
          <w:sz w:val="24"/>
          <w:szCs w:val="24"/>
        </w:rPr>
        <w:t>分；达到高要求标准限值，得</w:t>
      </w:r>
      <w:r>
        <w:rPr>
          <w:rFonts w:hint="eastAsia" w:cs="Times New Roman"/>
          <w:bCs/>
          <w:sz w:val="24"/>
          <w:szCs w:val="24"/>
          <w:lang w:val="en-US" w:eastAsia="zh-CN"/>
        </w:rPr>
        <w:t>20</w:t>
      </w:r>
      <w:r>
        <w:rPr>
          <w:rFonts w:ascii="Times New Roman" w:hAnsi="Times New Roman" w:cs="Times New Roman"/>
          <w:bCs/>
          <w:sz w:val="24"/>
          <w:szCs w:val="24"/>
        </w:rPr>
        <w:t>分。</w:t>
      </w:r>
    </w:p>
    <w:p>
      <w:pPr>
        <w:pStyle w:val="5"/>
        <w:shd w:val="clear"/>
        <w:ind w:firstLine="0"/>
        <w:rPr>
          <w:rFonts w:hint="default"/>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240" w:firstLineChars="100"/>
        <w:jc w:val="both"/>
        <w:textAlignment w:val="auto"/>
        <w:rPr>
          <w:rFonts w:hint="default"/>
          <w:color w:val="000000" w:themeColor="text1"/>
          <w:sz w:val="24"/>
          <w14:textFill>
            <w14:solidFill>
              <w14:schemeClr w14:val="tx1"/>
            </w14:solidFill>
          </w14:textFill>
        </w:rPr>
      </w:pPr>
    </w:p>
    <w:p>
      <w:pPr>
        <w:widowControl/>
        <w:shd w:val="clear"/>
        <w:jc w:val="left"/>
        <w:rPr>
          <w:rFonts w:hint="default"/>
          <w:b/>
          <w:color w:val="000000" w:themeColor="text1"/>
          <w:sz w:val="24"/>
          <w14:textFill>
            <w14:solidFill>
              <w14:schemeClr w14:val="tx1"/>
            </w14:solidFill>
          </w14:textFill>
        </w:rPr>
      </w:pPr>
      <w:bookmarkStart w:id="151" w:name="_Toc527729596"/>
      <w:bookmarkStart w:id="152" w:name="_Toc50647813"/>
      <w:bookmarkStart w:id="153" w:name="_Toc50534608"/>
      <w:bookmarkStart w:id="154" w:name="_Toc22887479"/>
      <w:bookmarkStart w:id="155" w:name="_Toc529350904"/>
      <w:bookmarkStart w:id="156" w:name="_Toc41918658"/>
      <w:bookmarkStart w:id="157" w:name="_Toc119755500"/>
      <w:bookmarkStart w:id="158" w:name="_Toc482107716"/>
      <w:bookmarkStart w:id="159" w:name="_Toc519677377"/>
      <w:bookmarkStart w:id="160" w:name="_Toc517961436"/>
      <w:r>
        <w:rPr>
          <w:rFonts w:hint="default"/>
          <w:b/>
          <w:color w:val="000000" w:themeColor="text1"/>
          <w:sz w:val="24"/>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val="0"/>
        <w:snapToGrid w:val="0"/>
        <w:spacing w:before="95" w:beforeLines="30" w:after="93" w:afterLines="30" w:line="312" w:lineRule="auto"/>
        <w:jc w:val="center"/>
        <w:textAlignment w:val="auto"/>
        <w:outlineLvl w:val="1"/>
        <w:rPr>
          <w:rFonts w:hint="default"/>
          <w:b/>
          <w:color w:val="000000" w:themeColor="text1"/>
          <w:sz w:val="24"/>
          <w14:textFill>
            <w14:solidFill>
              <w14:schemeClr w14:val="tx1"/>
            </w14:solidFill>
          </w14:textFill>
        </w:rPr>
      </w:pPr>
      <w:bookmarkStart w:id="161" w:name="_Toc29218"/>
      <w:bookmarkStart w:id="162" w:name="_Toc11243"/>
      <w:bookmarkStart w:id="163" w:name="_Toc10035"/>
      <w:bookmarkStart w:id="164" w:name="_Toc25578"/>
      <w:bookmarkStart w:id="165" w:name="_Toc6556"/>
      <w:bookmarkStart w:id="166" w:name="_Toc12485"/>
      <w:bookmarkStart w:id="167" w:name="_Toc27776"/>
      <w:bookmarkStart w:id="168" w:name="_Toc17097"/>
      <w:bookmarkStart w:id="169" w:name="_Toc9604"/>
      <w:bookmarkStart w:id="170" w:name="_Toc441"/>
      <w:bookmarkStart w:id="171" w:name="_Toc13133"/>
      <w:r>
        <w:rPr>
          <w:rFonts w:hint="default"/>
          <w:b/>
          <w:color w:val="000000" w:themeColor="text1"/>
          <w:sz w:val="24"/>
          <w14:textFill>
            <w14:solidFill>
              <w14:schemeClr w14:val="tx1"/>
            </w14:solidFill>
          </w14:textFill>
        </w:rPr>
        <w:t>4.3</w:t>
      </w:r>
      <w:r>
        <w:rPr>
          <w:b/>
          <w:color w:val="000000" w:themeColor="text1"/>
          <w:sz w:val="24"/>
          <w14:textFill>
            <w14:solidFill>
              <w14:schemeClr w14:val="tx1"/>
            </w14:solidFill>
          </w14:textFill>
        </w:rPr>
        <w:t xml:space="preserve"> </w:t>
      </w:r>
      <w:r>
        <w:rPr>
          <w:rFonts w:hint="eastAsia"/>
          <w:b/>
          <w:color w:val="000000" w:themeColor="text1"/>
          <w:sz w:val="24"/>
          <w:lang w:val="en-US" w:eastAsia="zh-CN"/>
          <w14:textFill>
            <w14:solidFill>
              <w14:schemeClr w14:val="tx1"/>
            </w14:solidFill>
          </w14:textFill>
        </w:rPr>
        <w:t>一般评估指标</w:t>
      </w:r>
      <w:bookmarkEnd w:id="161"/>
      <w:bookmarkEnd w:id="162"/>
      <w:bookmarkEnd w:id="163"/>
      <w:bookmarkEnd w:id="164"/>
      <w:bookmarkEnd w:id="165"/>
      <w:bookmarkEnd w:id="166"/>
      <w:bookmarkEnd w:id="167"/>
      <w:bookmarkEnd w:id="168"/>
      <w:bookmarkEnd w:id="169"/>
      <w:bookmarkEnd w:id="170"/>
      <w:bookmarkEnd w:id="171"/>
    </w:p>
    <w:p>
      <w:pPr>
        <w:shd w:val="clear"/>
        <w:adjustRightInd w:val="0"/>
        <w:snapToGrid w:val="0"/>
        <w:spacing w:before="93" w:beforeLines="30" w:after="93" w:afterLines="30" w:line="312" w:lineRule="auto"/>
        <w:jc w:val="center"/>
        <w:outlineLvl w:val="9"/>
        <w:rPr>
          <w:rFonts w:hint="default"/>
          <w:b w:val="0"/>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Ⅰ</w:t>
      </w:r>
      <w:r>
        <w:rPr>
          <w:rFonts w:hint="default"/>
          <w:b w:val="0"/>
          <w:color w:val="000000" w:themeColor="text1"/>
          <w:sz w:val="24"/>
          <w14:textFill>
            <w14:solidFill>
              <w14:schemeClr w14:val="tx1"/>
            </w14:solidFill>
          </w14:textFill>
        </w:rPr>
        <w:t xml:space="preserve"> </w:t>
      </w:r>
      <w:r>
        <w:rPr>
          <w:b w:val="0"/>
          <w:color w:val="000000" w:themeColor="text1"/>
          <w:sz w:val="24"/>
          <w14:textFill>
            <w14:solidFill>
              <w14:schemeClr w14:val="tx1"/>
            </w14:solidFill>
          </w14:textFill>
        </w:rPr>
        <w:t>安全耐久</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val="0"/>
          <w:bCs w:val="0"/>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ascii="Times New Roman" w:hAnsi="Times New Roman"/>
          <w:b/>
          <w:bCs/>
          <w:color w:val="000000" w:themeColor="text1"/>
          <w:sz w:val="24"/>
          <w14:textFill>
            <w14:solidFill>
              <w14:schemeClr w14:val="tx1"/>
            </w14:solidFill>
          </w14:textFill>
        </w:rPr>
        <w:t>.</w:t>
      </w:r>
      <w:r>
        <w:rPr>
          <w:rFonts w:hint="default" w:ascii="Times New Roman" w:hAnsi="Times New Roman"/>
          <w:b/>
          <w:bCs/>
          <w:color w:val="000000" w:themeColor="text1"/>
          <w:sz w:val="24"/>
          <w14:textFill>
            <w14:solidFill>
              <w14:schemeClr w14:val="tx1"/>
            </w14:solidFill>
          </w14:textFill>
        </w:rPr>
        <w:t>1</w:t>
      </w:r>
      <w:r>
        <w:rPr>
          <w:rFonts w:ascii="Times New Roman" w:hAnsi="Times New Roman"/>
          <w:b w:val="0"/>
          <w:bCs w:val="0"/>
          <w:color w:val="000000" w:themeColor="text1"/>
          <w:sz w:val="24"/>
          <w14:textFill>
            <w14:solidFill>
              <w14:schemeClr w14:val="tx1"/>
            </w14:solidFill>
          </w14:textFill>
        </w:rPr>
        <w:t xml:space="preserve">  建筑结构完整，结构构件无开裂、地基基础无沉降，</w:t>
      </w:r>
      <w:r>
        <w:rPr>
          <w:rFonts w:hint="eastAsia" w:ascii="Times New Roman" w:hAnsi="Times New Roman"/>
          <w:b w:val="0"/>
          <w:bCs w:val="0"/>
          <w:color w:val="000000" w:themeColor="text1"/>
          <w:sz w:val="24"/>
          <w:lang w:val="en-US" w:eastAsia="zh-CN"/>
          <w14:textFill>
            <w14:solidFill>
              <w14:schemeClr w14:val="tx1"/>
            </w14:solidFill>
          </w14:textFill>
        </w:rPr>
        <w:t>评估分值为</w:t>
      </w:r>
      <w:r>
        <w:rPr>
          <w:rFonts w:hint="eastAsia"/>
          <w:b w:val="0"/>
          <w:bCs w:val="0"/>
          <w:color w:val="000000" w:themeColor="text1"/>
          <w:sz w:val="24"/>
          <w:lang w:val="en-US" w:eastAsia="zh-CN"/>
          <w14:textFill>
            <w14:solidFill>
              <w14:schemeClr w14:val="tx1"/>
            </w14:solidFill>
          </w14:textFill>
        </w:rPr>
        <w:t>4</w:t>
      </w:r>
      <w:r>
        <w:rPr>
          <w:rFonts w:ascii="Times New Roman" w:hAnsi="Times New Roman"/>
          <w:b w:val="0"/>
          <w:bCs w:val="0"/>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.2</w:t>
      </w:r>
      <w:r>
        <w:rPr>
          <w:rFonts w:hint="default" w:ascii="Times New Roman" w:hAnsi="Times New Roman"/>
          <w:color w:val="000000" w:themeColor="text1"/>
          <w:sz w:val="24"/>
          <w14:textFill>
            <w14:solidFill>
              <w14:schemeClr w14:val="tx1"/>
            </w14:solidFill>
          </w14:textFill>
        </w:rPr>
        <w:t xml:space="preserve">  外遮阳、太阳能设施、空调室外机位、外墙花池等外部设施应</w:t>
      </w:r>
      <w:r>
        <w:rPr>
          <w:rFonts w:ascii="Times New Roman" w:hAnsi="Times New Roman"/>
          <w:color w:val="000000" w:themeColor="text1"/>
          <w:sz w:val="24"/>
          <w14:textFill>
            <w14:solidFill>
              <w14:schemeClr w14:val="tx1"/>
            </w14:solidFill>
          </w14:textFill>
        </w:rPr>
        <w:t>与建筑</w:t>
      </w:r>
      <w:r>
        <w:rPr>
          <w:rFonts w:hint="eastAsia" w:ascii="Times New Roman" w:hAnsi="Times New Roman"/>
          <w:color w:val="000000" w:themeColor="text1"/>
          <w:sz w:val="24"/>
          <w:lang w:val="en-US" w:eastAsia="zh-CN"/>
          <w14:textFill>
            <w14:solidFill>
              <w14:schemeClr w14:val="tx1"/>
            </w14:solidFill>
          </w14:textFill>
        </w:rPr>
        <w:t>主体</w:t>
      </w:r>
      <w:r>
        <w:rPr>
          <w:rFonts w:ascii="Times New Roman" w:hAnsi="Times New Roman"/>
          <w:color w:val="000000" w:themeColor="text1"/>
          <w:sz w:val="24"/>
          <w14:textFill>
            <w14:solidFill>
              <w14:schemeClr w14:val="tx1"/>
            </w14:solidFill>
          </w14:textFill>
        </w:rPr>
        <w:t>连接紧密，无脱落并应具备安装、检修与维护</w:t>
      </w:r>
      <w:r>
        <w:rPr>
          <w:rFonts w:hint="eastAsia" w:ascii="Times New Roman" w:hAnsi="Times New Roman"/>
          <w:color w:val="000000" w:themeColor="text1"/>
          <w:sz w:val="24"/>
          <w:lang w:val="en-US" w:eastAsia="zh-CN"/>
          <w14:textFill>
            <w14:solidFill>
              <w14:schemeClr w14:val="tx1"/>
            </w14:solidFill>
          </w14:textFill>
        </w:rPr>
        <w:t>通道或空间</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评估分值为</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rPr>
      </w:pPr>
      <w:r>
        <w:rPr>
          <w:rFonts w:hint="default" w:ascii="Times New Roman" w:hAnsi="Times New Roman"/>
          <w:b/>
          <w:bCs/>
          <w:color w:val="auto"/>
          <w:sz w:val="24"/>
        </w:rPr>
        <w:t>4.</w:t>
      </w:r>
      <w:r>
        <w:rPr>
          <w:rFonts w:hint="eastAsia"/>
          <w:b/>
          <w:bCs/>
          <w:color w:val="auto"/>
          <w:sz w:val="24"/>
          <w:lang w:val="en-US" w:eastAsia="zh-CN"/>
        </w:rPr>
        <w:t>3</w:t>
      </w:r>
      <w:r>
        <w:rPr>
          <w:rFonts w:hint="default" w:ascii="Times New Roman" w:hAnsi="Times New Roman"/>
          <w:b/>
          <w:bCs/>
          <w:color w:val="auto"/>
          <w:sz w:val="24"/>
        </w:rPr>
        <w:t>.3</w:t>
      </w:r>
      <w:r>
        <w:rPr>
          <w:rFonts w:hint="default" w:ascii="Times New Roman" w:hAnsi="Times New Roman"/>
          <w:color w:val="auto"/>
          <w:sz w:val="24"/>
        </w:rPr>
        <w:t xml:space="preserve">  建筑外门窗安装牢固无脱落，其抗风压性能和水密性能应符合国家现行有关标准的规定</w:t>
      </w:r>
      <w:r>
        <w:rPr>
          <w:rFonts w:hint="eastAsia" w:ascii="Times New Roman" w:hAnsi="Times New Roman"/>
          <w:color w:val="auto"/>
          <w:sz w:val="24"/>
          <w:lang w:eastAsia="zh-CN"/>
        </w:rPr>
        <w:t>，</w:t>
      </w:r>
      <w:r>
        <w:rPr>
          <w:rFonts w:hint="eastAsia" w:ascii="Times New Roman" w:hAnsi="Times New Roman"/>
          <w:color w:val="auto"/>
          <w:sz w:val="24"/>
          <w:lang w:val="en-US" w:eastAsia="zh-CN"/>
        </w:rPr>
        <w:t>无渗水漏水现象，评估分值为</w:t>
      </w:r>
      <w:r>
        <w:rPr>
          <w:rFonts w:hint="eastAsia"/>
          <w:color w:val="auto"/>
          <w:sz w:val="24"/>
          <w:lang w:val="en-US" w:eastAsia="zh-CN"/>
        </w:rPr>
        <w:t>4</w:t>
      </w:r>
      <w:r>
        <w:rPr>
          <w:rFonts w:hint="default" w:ascii="Times New Roman" w:hAnsi="Times New Roman"/>
          <w:color w:val="auto"/>
          <w:sz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.4</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卫生间</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浴室的</w:t>
      </w:r>
      <w:r>
        <w:rPr>
          <w:rFonts w:ascii="Times New Roman" w:hAnsi="Times New Roman"/>
          <w:color w:val="000000" w:themeColor="text1"/>
          <w:sz w:val="24"/>
          <w14:textFill>
            <w14:solidFill>
              <w14:schemeClr w14:val="tx1"/>
            </w14:solidFill>
          </w14:textFill>
        </w:rPr>
        <w:t>墙面、顶棚无发霉</w:t>
      </w:r>
      <w:r>
        <w:rPr>
          <w:rFonts w:hint="eastAsia" w:ascii="Times New Roman" w:hAnsi="Times New Roman"/>
          <w:color w:val="000000" w:themeColor="text1"/>
          <w:sz w:val="24"/>
          <w:lang w:val="en-US" w:eastAsia="zh-CN"/>
          <w14:textFill>
            <w14:solidFill>
              <w14:schemeClr w14:val="tx1"/>
            </w14:solidFill>
          </w14:textFill>
        </w:rPr>
        <w:t>和</w:t>
      </w:r>
      <w:r>
        <w:rPr>
          <w:rFonts w:ascii="Times New Roman" w:hAnsi="Times New Roman"/>
          <w:color w:val="000000" w:themeColor="text1"/>
          <w:sz w:val="24"/>
          <w14:textFill>
            <w14:solidFill>
              <w14:schemeClr w14:val="tx1"/>
            </w14:solidFill>
          </w14:textFill>
        </w:rPr>
        <w:t>渗水，</w:t>
      </w:r>
      <w:r>
        <w:rPr>
          <w:rFonts w:hint="eastAsia" w:ascii="Times New Roman" w:hAnsi="Times New Roman"/>
          <w:b w:val="0"/>
          <w:bCs w:val="0"/>
          <w:color w:val="000000" w:themeColor="text1"/>
          <w:sz w:val="24"/>
          <w:lang w:val="en-US" w:eastAsia="zh-CN"/>
          <w14:textFill>
            <w14:solidFill>
              <w14:schemeClr w14:val="tx1"/>
            </w14:solidFill>
          </w14:textFill>
        </w:rPr>
        <w:t>评估分值为</w:t>
      </w:r>
      <w:r>
        <w:rPr>
          <w:rFonts w:hint="eastAsia"/>
          <w:b w:val="0"/>
          <w:bCs w:val="0"/>
          <w:color w:val="000000" w:themeColor="text1"/>
          <w:sz w:val="24"/>
          <w:lang w:val="en-US" w:eastAsia="zh-CN"/>
          <w14:textFill>
            <w14:solidFill>
              <w14:schemeClr w14:val="tx1"/>
            </w14:solidFill>
          </w14:textFill>
        </w:rPr>
        <w:t>4</w:t>
      </w:r>
      <w:r>
        <w:rPr>
          <w:rFonts w:ascii="Times New Roman" w:hAnsi="Times New Roman"/>
          <w:b w:val="0"/>
          <w:bCs w:val="0"/>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.5</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场地内及建筑公共区域安全警示标志、安全引导标志齐全，</w:t>
      </w:r>
      <w:r>
        <w:rPr>
          <w:rFonts w:hint="eastAsia" w:ascii="Times New Roman" w:hAnsi="Times New Roman"/>
          <w:b w:val="0"/>
          <w:bCs w:val="0"/>
          <w:color w:val="000000" w:themeColor="text1"/>
          <w:sz w:val="24"/>
          <w:lang w:val="en-US" w:eastAsia="zh-CN"/>
          <w14:textFill>
            <w14:solidFill>
              <w14:schemeClr w14:val="tx1"/>
            </w14:solidFill>
          </w14:textFill>
        </w:rPr>
        <w:t>评估分值为</w:t>
      </w:r>
      <w:r>
        <w:rPr>
          <w:rFonts w:hint="eastAsia"/>
          <w:b w:val="0"/>
          <w:bCs w:val="0"/>
          <w:color w:val="000000" w:themeColor="text1"/>
          <w:sz w:val="24"/>
          <w:lang w:val="en-US" w:eastAsia="zh-CN"/>
          <w14:textFill>
            <w14:solidFill>
              <w14:schemeClr w14:val="tx1"/>
            </w14:solidFill>
          </w14:textFill>
        </w:rPr>
        <w:t>2</w:t>
      </w:r>
      <w:r>
        <w:rPr>
          <w:rFonts w:ascii="Times New Roman" w:hAnsi="Times New Roman"/>
          <w:b w:val="0"/>
          <w:bCs w:val="0"/>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ascii="Times New Roman" w:hAnsi="Times New Roman"/>
          <w:b/>
          <w:bCs/>
          <w:color w:val="000000" w:themeColor="text1"/>
          <w:sz w:val="24"/>
          <w14:textFill>
            <w14:solidFill>
              <w14:schemeClr w14:val="tx1"/>
            </w14:solidFill>
          </w14:textFill>
        </w:rPr>
        <w:t>.</w:t>
      </w:r>
      <w:r>
        <w:rPr>
          <w:rFonts w:hint="default" w:ascii="Times New Roman" w:hAnsi="Times New Roman"/>
          <w:b/>
          <w:bCs/>
          <w:color w:val="000000" w:themeColor="text1"/>
          <w:sz w:val="24"/>
          <w14:textFill>
            <w14:solidFill>
              <w14:schemeClr w14:val="tx1"/>
            </w14:solidFill>
          </w14:textFill>
        </w:rPr>
        <w:t>6</w:t>
      </w:r>
      <w:r>
        <w:rPr>
          <w:rFonts w:ascii="Times New Roman" w:hAnsi="Times New Roman"/>
          <w:color w:val="000000" w:themeColor="text1"/>
          <w:sz w:val="24"/>
          <w14:textFill>
            <w14:solidFill>
              <w14:schemeClr w14:val="tx1"/>
            </w14:solidFill>
          </w14:textFill>
        </w:rPr>
        <w:t xml:space="preserve">  人员安全保障</w:t>
      </w:r>
      <w:r>
        <w:rPr>
          <w:rFonts w:hint="eastAsia" w:ascii="Times New Roman" w:hAnsi="Times New Roman"/>
          <w:color w:val="000000" w:themeColor="text1"/>
          <w:sz w:val="24"/>
          <w:lang w:val="en-US" w:eastAsia="zh-CN"/>
          <w14:textFill>
            <w14:solidFill>
              <w14:schemeClr w14:val="tx1"/>
            </w14:solidFill>
          </w14:textFill>
        </w:rPr>
        <w:t>防护</w:t>
      </w:r>
      <w:r>
        <w:rPr>
          <w:rFonts w:ascii="Times New Roman" w:hAnsi="Times New Roman"/>
          <w:color w:val="000000" w:themeColor="text1"/>
          <w:sz w:val="24"/>
          <w14:textFill>
            <w14:solidFill>
              <w14:schemeClr w14:val="tx1"/>
            </w14:solidFill>
          </w14:textFill>
        </w:rPr>
        <w:t>措施完善，</w:t>
      </w:r>
      <w:r>
        <w:rPr>
          <w:rFonts w:hint="eastAsia" w:ascii="Times New Roman" w:hAnsi="Times New Roman"/>
          <w:b w:val="0"/>
          <w:bCs w:val="0"/>
          <w:color w:val="000000" w:themeColor="text1"/>
          <w:sz w:val="24"/>
          <w:lang w:val="en-US" w:eastAsia="zh-CN"/>
          <w14:textFill>
            <w14:solidFill>
              <w14:schemeClr w14:val="tx1"/>
            </w14:solidFill>
          </w14:textFill>
        </w:rPr>
        <w:t>评估总分值为</w:t>
      </w:r>
      <w:r>
        <w:rPr>
          <w:rFonts w:hint="eastAsia"/>
          <w:b w:val="0"/>
          <w:bCs w:val="0"/>
          <w:color w:val="000000" w:themeColor="text1"/>
          <w:sz w:val="24"/>
          <w:lang w:val="en-US" w:eastAsia="zh-CN"/>
          <w14:textFill>
            <w14:solidFill>
              <w14:schemeClr w14:val="tx1"/>
            </w14:solidFill>
          </w14:textFill>
        </w:rPr>
        <w:t>4</w:t>
      </w:r>
      <w:r>
        <w:rPr>
          <w:rFonts w:ascii="Times New Roman" w:hAnsi="Times New Roman"/>
          <w:b w:val="0"/>
          <w:bCs w:val="0"/>
          <w:color w:val="000000" w:themeColor="text1"/>
          <w:sz w:val="24"/>
          <w14:textFill>
            <w14:solidFill>
              <w14:schemeClr w14:val="tx1"/>
            </w14:solidFill>
          </w14:textFill>
        </w:rPr>
        <w:t>分</w:t>
      </w:r>
      <w:r>
        <w:rPr>
          <w:rFonts w:ascii="Times New Roman" w:hAnsi="Times New Roman"/>
          <w:color w:val="000000" w:themeColor="text1"/>
          <w:sz w:val="24"/>
          <w14:textFill>
            <w14:solidFill>
              <w14:schemeClr w14:val="tx1"/>
            </w14:solidFill>
          </w14:textFill>
        </w:rPr>
        <w:t>，按下列规则评分：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r>
        <w:rPr>
          <w:rFonts w:hint="default" w:ascii="Times New Roman" w:hAnsi="Times New Roman"/>
          <w:color w:val="000000" w:themeColor="text1"/>
          <w:sz w:val="24"/>
          <w14:textFill>
            <w14:solidFill>
              <w14:schemeClr w14:val="tx1"/>
            </w14:solidFill>
          </w14:textFill>
        </w:rPr>
        <w:t xml:space="preserve">  采取措施提高阳台、外窗、窗台、防护栏杆等安全防护水平</w:t>
      </w:r>
      <w:r>
        <w:rPr>
          <w:rFonts w:ascii="Times New Roman" w:hAnsi="Times New Roman"/>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1</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 xml:space="preserve">2 </w:t>
      </w:r>
      <w:r>
        <w:rPr>
          <w:rFonts w:hint="eastAsia" w:ascii="Times New Roman" w:hAnsi="Times New Roman"/>
          <w:color w:val="000000" w:themeColor="text1"/>
          <w:sz w:val="24"/>
          <w:lang w:val="en-US" w:eastAsia="zh-CN"/>
          <w14:textFill>
            <w14:solidFill>
              <w14:schemeClr w14:val="tx1"/>
            </w14:solidFill>
          </w14:textFill>
        </w:rPr>
        <w:t xml:space="preserve"> </w:t>
      </w:r>
      <w:r>
        <w:rPr>
          <w:rFonts w:hint="default" w:ascii="Times New Roman" w:hAnsi="Times New Roman"/>
          <w:color w:val="000000" w:themeColor="text1"/>
          <w:sz w:val="24"/>
          <w14:textFill>
            <w14:solidFill>
              <w14:schemeClr w14:val="tx1"/>
            </w14:solidFill>
          </w14:textFill>
        </w:rPr>
        <w:t>建筑物出入口均设外墙饰面、门窗玻璃意外脱落的防护措施并与人员通行区域的遮阳、遮风或挡雨措施结合</w:t>
      </w:r>
      <w:r>
        <w:rPr>
          <w:rFonts w:ascii="Times New Roman" w:hAnsi="Times New Roman"/>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1</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3</w:t>
      </w:r>
      <w:r>
        <w:rPr>
          <w:rFonts w:hint="default" w:ascii="Times New Roman" w:hAnsi="Times New Roman"/>
          <w:color w:val="000000" w:themeColor="text1"/>
          <w:sz w:val="24"/>
          <w14:textFill>
            <w14:solidFill>
              <w14:schemeClr w14:val="tx1"/>
            </w14:solidFill>
          </w14:textFill>
        </w:rPr>
        <w:t xml:space="preserve">  利用场地或景观形成可降低坠物风险的缓冲区、隔离带</w:t>
      </w:r>
      <w:r>
        <w:rPr>
          <w:rFonts w:ascii="Times New Roman" w:hAnsi="Times New Roman"/>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.7</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建筑公共区域的门窗具有防夹功能，</w:t>
      </w:r>
      <w:r>
        <w:rPr>
          <w:rFonts w:hint="eastAsia" w:ascii="Times New Roman" w:hAnsi="Times New Roman"/>
          <w:b w:val="0"/>
          <w:bCs w:val="0"/>
          <w:color w:val="000000" w:themeColor="text1"/>
          <w:sz w:val="24"/>
          <w:lang w:val="en-US" w:eastAsia="zh-CN"/>
          <w14:textFill>
            <w14:solidFill>
              <w14:schemeClr w14:val="tx1"/>
            </w14:solidFill>
          </w14:textFill>
        </w:rPr>
        <w:t>评估分值为</w:t>
      </w:r>
      <w:r>
        <w:rPr>
          <w:rFonts w:hint="eastAsia"/>
          <w:b w:val="0"/>
          <w:bCs w:val="0"/>
          <w:color w:val="000000" w:themeColor="text1"/>
          <w:sz w:val="24"/>
          <w:lang w:val="en-US" w:eastAsia="zh-CN"/>
          <w14:textFill>
            <w14:solidFill>
              <w14:schemeClr w14:val="tx1"/>
            </w14:solidFill>
          </w14:textFill>
        </w:rPr>
        <w:t>2</w:t>
      </w:r>
      <w:r>
        <w:rPr>
          <w:rFonts w:ascii="Times New Roman" w:hAnsi="Times New Roman"/>
          <w:b w:val="0"/>
          <w:bCs w:val="0"/>
          <w:color w:val="000000" w:themeColor="text1"/>
          <w:sz w:val="24"/>
          <w14:textFill>
            <w14:solidFill>
              <w14:schemeClr w14:val="tx1"/>
            </w14:solidFill>
          </w14:textFill>
        </w:rPr>
        <w:t>分</w:t>
      </w:r>
      <w:r>
        <w:rPr>
          <w:rFonts w:ascii="Times New Roman" w:hAnsi="Times New Roman"/>
          <w:color w:val="000000" w:themeColor="text1"/>
          <w:sz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.8</w:t>
      </w:r>
      <w:r>
        <w:rPr>
          <w:rFonts w:hint="default" w:ascii="Times New Roman" w:hAnsi="Times New Roman"/>
          <w:color w:val="000000" w:themeColor="text1"/>
          <w:sz w:val="24"/>
          <w14:textFill>
            <w14:solidFill>
              <w14:schemeClr w14:val="tx1"/>
            </w14:solidFill>
          </w14:textFill>
        </w:rPr>
        <w:t xml:space="preserve">  室内外地面或路面设置防滑措施</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评估总分值为</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分，按下列规则评分：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1　建筑出入口及平台、公共走廊、电梯门厅、厨房、浴室、卫生间等设置防滑措施，防滑等级不低于现行行业标准《建筑地面工程防滑技术规程》JGJ/T 331规定的B</w:t>
      </w:r>
      <w:r>
        <w:rPr>
          <w:rFonts w:hint="default" w:ascii="Times New Roman" w:hAnsi="Times New Roman"/>
          <w:color w:val="000000" w:themeColor="text1"/>
          <w:sz w:val="24"/>
          <w:vertAlign w:val="subscript"/>
          <w14:textFill>
            <w14:solidFill>
              <w14:schemeClr w14:val="tx1"/>
            </w14:solidFill>
          </w14:textFill>
        </w:rPr>
        <w:t>d</w:t>
      </w:r>
      <w:r>
        <w:rPr>
          <w:rFonts w:hint="default" w:ascii="Times New Roman" w:hAnsi="Times New Roman"/>
          <w:color w:val="000000" w:themeColor="text1"/>
          <w:sz w:val="24"/>
          <w14:textFill>
            <w14:solidFill>
              <w14:schemeClr w14:val="tx1"/>
            </w14:solidFill>
          </w14:textFill>
        </w:rPr>
        <w:t>、B</w:t>
      </w:r>
      <w:r>
        <w:rPr>
          <w:rFonts w:hint="default" w:ascii="Times New Roman" w:hAnsi="Times New Roman"/>
          <w:color w:val="000000" w:themeColor="text1"/>
          <w:sz w:val="24"/>
          <w:vertAlign w:val="subscript"/>
          <w14:textFill>
            <w14:solidFill>
              <w14:schemeClr w14:val="tx1"/>
            </w14:solidFill>
          </w14:textFill>
        </w:rPr>
        <w:t>W</w:t>
      </w:r>
      <w:r>
        <w:rPr>
          <w:rFonts w:hint="default" w:ascii="Times New Roman" w:hAnsi="Times New Roman"/>
          <w:color w:val="000000" w:themeColor="text1"/>
          <w:sz w:val="24"/>
          <w14:textFill>
            <w14:solidFill>
              <w14:schemeClr w14:val="tx1"/>
            </w14:solidFill>
          </w14:textFill>
        </w:rPr>
        <w:t>级，得</w:t>
      </w:r>
      <w:r>
        <w:rPr>
          <w:rFonts w:hint="eastAsia"/>
          <w:color w:val="000000" w:themeColor="text1"/>
          <w:sz w:val="24"/>
          <w:lang w:val="en-US" w:eastAsia="zh-CN"/>
          <w14:textFill>
            <w14:solidFill>
              <w14:schemeClr w14:val="tx1"/>
            </w14:solidFill>
          </w14:textFill>
        </w:rPr>
        <w:t>1</w:t>
      </w:r>
      <w:r>
        <w:rPr>
          <w:rFonts w:hint="default"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2　建筑室内外活动场所采用防滑地面，防滑等级达到现行行业标准《建筑地面工程防滑技术规程》JGJ/T 331规定的A</w:t>
      </w:r>
      <w:r>
        <w:rPr>
          <w:rFonts w:hint="default" w:ascii="Times New Roman" w:hAnsi="Times New Roman"/>
          <w:color w:val="000000" w:themeColor="text1"/>
          <w:sz w:val="24"/>
          <w:vertAlign w:val="subscript"/>
          <w14:textFill>
            <w14:solidFill>
              <w14:schemeClr w14:val="tx1"/>
            </w14:solidFill>
          </w14:textFill>
        </w:rPr>
        <w:t>d</w:t>
      </w:r>
      <w:r>
        <w:rPr>
          <w:rFonts w:hint="default" w:ascii="Times New Roman" w:hAnsi="Times New Roman"/>
          <w:color w:val="000000" w:themeColor="text1"/>
          <w:sz w:val="24"/>
          <w14:textFill>
            <w14:solidFill>
              <w14:schemeClr w14:val="tx1"/>
            </w14:solidFill>
          </w14:textFill>
        </w:rPr>
        <w:t>、A</w:t>
      </w:r>
      <w:r>
        <w:rPr>
          <w:rFonts w:hint="default" w:ascii="Times New Roman" w:hAnsi="Times New Roman"/>
          <w:color w:val="000000" w:themeColor="text1"/>
          <w:sz w:val="24"/>
          <w:vertAlign w:val="subscript"/>
          <w14:textFill>
            <w14:solidFill>
              <w14:schemeClr w14:val="tx1"/>
            </w14:solidFill>
          </w14:textFill>
        </w:rPr>
        <w:t>W</w:t>
      </w:r>
      <w:r>
        <w:rPr>
          <w:rFonts w:hint="default" w:ascii="Times New Roman" w:hAnsi="Times New Roman"/>
          <w:color w:val="000000" w:themeColor="text1"/>
          <w:sz w:val="24"/>
          <w14:textFill>
            <w14:solidFill>
              <w14:schemeClr w14:val="tx1"/>
            </w14:solidFill>
          </w14:textFill>
        </w:rPr>
        <w:t>级，得</w:t>
      </w:r>
      <w:r>
        <w:rPr>
          <w:rFonts w:hint="eastAsia"/>
          <w:color w:val="000000" w:themeColor="text1"/>
          <w:sz w:val="24"/>
          <w:lang w:val="en-US" w:eastAsia="zh-CN"/>
          <w14:textFill>
            <w14:solidFill>
              <w14:schemeClr w14:val="tx1"/>
            </w14:solidFill>
          </w14:textFill>
        </w:rPr>
        <w:t>2</w:t>
      </w:r>
      <w:r>
        <w:rPr>
          <w:rFonts w:hint="default"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3　建筑坡道、楼梯踏步防滑等级达到现行行业标准《建筑地面工程防滑技术规程》JGJ/T 331规定的A</w:t>
      </w:r>
      <w:r>
        <w:rPr>
          <w:rFonts w:hint="default" w:ascii="Times New Roman" w:hAnsi="Times New Roman"/>
          <w:color w:val="000000" w:themeColor="text1"/>
          <w:sz w:val="24"/>
          <w:vertAlign w:val="subscript"/>
          <w14:textFill>
            <w14:solidFill>
              <w14:schemeClr w14:val="tx1"/>
            </w14:solidFill>
          </w14:textFill>
        </w:rPr>
        <w:t>d</w:t>
      </w:r>
      <w:r>
        <w:rPr>
          <w:rFonts w:hint="default" w:ascii="Times New Roman" w:hAnsi="Times New Roman"/>
          <w:color w:val="000000" w:themeColor="text1"/>
          <w:sz w:val="24"/>
          <w14:textFill>
            <w14:solidFill>
              <w14:schemeClr w14:val="tx1"/>
            </w14:solidFill>
          </w14:textFill>
        </w:rPr>
        <w:t>、A</w:t>
      </w:r>
      <w:r>
        <w:rPr>
          <w:rFonts w:hint="default" w:ascii="Times New Roman" w:hAnsi="Times New Roman"/>
          <w:color w:val="000000" w:themeColor="text1"/>
          <w:sz w:val="24"/>
          <w:vertAlign w:val="subscript"/>
          <w14:textFill>
            <w14:solidFill>
              <w14:schemeClr w14:val="tx1"/>
            </w14:solidFill>
          </w14:textFill>
        </w:rPr>
        <w:t>W</w:t>
      </w:r>
      <w:r>
        <w:rPr>
          <w:rFonts w:hint="default" w:ascii="Times New Roman" w:hAnsi="Times New Roman"/>
          <w:color w:val="000000" w:themeColor="text1"/>
          <w:sz w:val="24"/>
          <w14:textFill>
            <w14:solidFill>
              <w14:schemeClr w14:val="tx1"/>
            </w14:solidFill>
          </w14:textFill>
        </w:rPr>
        <w:t>级或按水平地面等级提高一级并采用防滑条等防滑构造技术措施，得</w:t>
      </w:r>
      <w:r>
        <w:rPr>
          <w:rFonts w:hint="eastAsia"/>
          <w:color w:val="000000" w:themeColor="text1"/>
          <w:sz w:val="24"/>
          <w:lang w:val="en-US" w:eastAsia="zh-CN"/>
          <w14:textFill>
            <w14:solidFill>
              <w14:schemeClr w14:val="tx1"/>
            </w14:solidFill>
          </w14:textFill>
        </w:rPr>
        <w:t>1</w:t>
      </w:r>
      <w:r>
        <w:rPr>
          <w:rFonts w:hint="default"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.9</w:t>
      </w:r>
      <w:r>
        <w:rPr>
          <w:rFonts w:hint="default" w:ascii="Times New Roman" w:hAnsi="Times New Roman"/>
          <w:color w:val="000000" w:themeColor="text1"/>
          <w:sz w:val="24"/>
          <w14:textFill>
            <w14:solidFill>
              <w14:schemeClr w14:val="tx1"/>
            </w14:solidFill>
          </w14:textFill>
        </w:rPr>
        <w:t xml:space="preserve">  采取人车分流措施</w:t>
      </w:r>
      <w:r>
        <w:rPr>
          <w:rFonts w:hint="eastAsia"/>
          <w:color w:val="000000" w:themeColor="text1"/>
          <w:sz w:val="24"/>
          <w:lang w:val="en-US" w:eastAsia="zh-CN"/>
          <w14:textFill>
            <w14:solidFill>
              <w14:schemeClr w14:val="tx1"/>
            </w14:solidFill>
          </w14:textFill>
        </w:rPr>
        <w:t>且</w:t>
      </w:r>
      <w:r>
        <w:rPr>
          <w:rFonts w:hint="default" w:ascii="Times New Roman" w:hAnsi="Times New Roman"/>
          <w:color w:val="000000" w:themeColor="text1"/>
          <w:sz w:val="24"/>
          <w14:textFill>
            <w14:solidFill>
              <w14:schemeClr w14:val="tx1"/>
            </w14:solidFill>
          </w14:textFill>
        </w:rPr>
        <w:t>步行和自行车交通系统有充足照明</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评估分值为</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.10</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建筑部品部件耐久性良好，评</w:t>
      </w:r>
      <w:r>
        <w:rPr>
          <w:rFonts w:hint="eastAsia" w:ascii="Times New Roman" w:hAnsi="Times New Roman"/>
          <w:color w:val="000000" w:themeColor="text1"/>
          <w:sz w:val="24"/>
          <w:lang w:val="en-US" w:eastAsia="zh-CN"/>
          <w14:textFill>
            <w14:solidFill>
              <w14:schemeClr w14:val="tx1"/>
            </w14:solidFill>
          </w14:textFill>
        </w:rPr>
        <w:t>估</w:t>
      </w:r>
      <w:r>
        <w:rPr>
          <w:rFonts w:ascii="Times New Roman" w:hAnsi="Times New Roman"/>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分，按下列规则评分：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管材、管线、管件为耐腐蚀、抗老化产品，得</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活动配件为长寿命产品且便于拆换、更新和升级</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.11</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装饰装修建筑材料为耐久性好、易维护的材料，评</w:t>
      </w:r>
      <w:r>
        <w:rPr>
          <w:rFonts w:hint="eastAsia" w:ascii="Times New Roman" w:hAnsi="Times New Roman"/>
          <w:color w:val="000000" w:themeColor="text1"/>
          <w:sz w:val="24"/>
          <w:lang w:val="en-US" w:eastAsia="zh-CN"/>
          <w14:textFill>
            <w14:solidFill>
              <w14:schemeClr w14:val="tx1"/>
            </w14:solidFill>
          </w14:textFill>
        </w:rPr>
        <w:t>估</w:t>
      </w:r>
      <w:r>
        <w:rPr>
          <w:rFonts w:ascii="Times New Roman" w:hAnsi="Times New Roman"/>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6</w:t>
      </w:r>
      <w:r>
        <w:rPr>
          <w:rFonts w:ascii="Times New Roman" w:hAnsi="Times New Roman"/>
          <w:color w:val="000000" w:themeColor="text1"/>
          <w:sz w:val="24"/>
          <w14:textFill>
            <w14:solidFill>
              <w14:schemeClr w14:val="tx1"/>
            </w14:solidFill>
          </w14:textFill>
        </w:rPr>
        <w:t>分，按下列规则分别评分并累计：</w:t>
      </w:r>
      <w:r>
        <w:rPr>
          <w:rFonts w:hint="default" w:ascii="Times New Roman" w:hAnsi="Times New Roman"/>
          <w:color w:val="000000" w:themeColor="text1"/>
          <w:sz w:val="24"/>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 xml:space="preserve">1  </w:t>
      </w:r>
      <w:r>
        <w:rPr>
          <w:rFonts w:ascii="Times New Roman" w:hAnsi="Times New Roman"/>
          <w:color w:val="000000" w:themeColor="text1"/>
          <w:sz w:val="24"/>
          <w14:textFill>
            <w14:solidFill>
              <w14:schemeClr w14:val="tx1"/>
            </w14:solidFill>
          </w14:textFill>
        </w:rPr>
        <w:t>采用耐久性好的外饰面材料，得</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 xml:space="preserve">2  </w:t>
      </w:r>
      <w:r>
        <w:rPr>
          <w:rFonts w:ascii="Times New Roman" w:hAnsi="Times New Roman"/>
          <w:color w:val="000000" w:themeColor="text1"/>
          <w:sz w:val="24"/>
          <w14:textFill>
            <w14:solidFill>
              <w14:schemeClr w14:val="tx1"/>
            </w14:solidFill>
          </w14:textFill>
        </w:rPr>
        <w:t>采用耐久性好的防水和密封材料，得</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 xml:space="preserve">3  </w:t>
      </w:r>
      <w:r>
        <w:rPr>
          <w:rFonts w:ascii="Times New Roman" w:hAnsi="Times New Roman"/>
          <w:color w:val="000000" w:themeColor="text1"/>
          <w:sz w:val="24"/>
          <w14:textFill>
            <w14:solidFill>
              <w14:schemeClr w14:val="tx1"/>
            </w14:solidFill>
          </w14:textFill>
        </w:rPr>
        <w:t>采用耐久性好、易维护的室内装饰装修材料，得</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shd w:val="clear"/>
        <w:kinsoku/>
        <w:wordWrap/>
        <w:overflowPunct/>
        <w:topLinePunct w:val="0"/>
        <w:autoSpaceDE/>
        <w:autoSpaceDN/>
        <w:bidi w:val="0"/>
        <w:adjustRightInd w:val="0"/>
        <w:snapToGrid w:val="0"/>
        <w:spacing w:before="93" w:beforeLines="30" w:after="93" w:afterLines="30" w:line="312" w:lineRule="auto"/>
        <w:jc w:val="center"/>
        <w:textAlignment w:val="auto"/>
        <w:outlineLvl w:val="9"/>
        <w:rPr>
          <w:rFonts w:hint="default"/>
          <w:b w:val="0"/>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Ⅱ</w:t>
      </w:r>
      <w:r>
        <w:rPr>
          <w:rFonts w:hint="default"/>
          <w:b w:val="0"/>
          <w:color w:val="000000" w:themeColor="text1"/>
          <w:sz w:val="24"/>
          <w14:textFill>
            <w14:solidFill>
              <w14:schemeClr w14:val="tx1"/>
            </w14:solidFill>
          </w14:textFill>
        </w:rPr>
        <w:t xml:space="preserve"> </w:t>
      </w:r>
      <w:bookmarkEnd w:id="151"/>
      <w:bookmarkEnd w:id="152"/>
      <w:bookmarkEnd w:id="153"/>
      <w:bookmarkEnd w:id="154"/>
      <w:bookmarkEnd w:id="155"/>
      <w:bookmarkEnd w:id="156"/>
      <w:r>
        <w:rPr>
          <w:rFonts w:hint="default"/>
          <w:b w:val="0"/>
          <w:color w:val="000000" w:themeColor="text1"/>
          <w:sz w:val="24"/>
          <w14:textFill>
            <w14:solidFill>
              <w14:schemeClr w14:val="tx1"/>
            </w14:solidFill>
          </w14:textFill>
        </w:rPr>
        <w:t>健康舒适</w:t>
      </w:r>
      <w:bookmarkEnd w:id="157"/>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bookmarkStart w:id="172" w:name="_Toc529350905"/>
      <w:bookmarkStart w:id="173" w:name="_Toc527729597"/>
      <w:r>
        <w:rPr>
          <w:b/>
          <w:bCs/>
          <w:color w:val="000000" w:themeColor="text1"/>
          <w:sz w:val="24"/>
          <w14:textFill>
            <w14:solidFill>
              <w14:schemeClr w14:val="tx1"/>
            </w14:solidFill>
          </w14:textFill>
        </w:rPr>
        <w:t>4.3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12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室内空气中PM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和PM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的浓度处于较低水平，评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年均浓度≤</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5</w:t>
      </w:r>
      <w:r>
        <w:rPr>
          <w:rFonts w:hint="default"/>
          <w:color w:val="000000" w:themeColor="text1"/>
          <w:sz w:val="24"/>
          <w14:textFill>
            <w14:solidFill>
              <w14:schemeClr w14:val="tx1"/>
            </w14:solidFill>
          </w14:textFill>
        </w:rPr>
        <w:t>μ</w:t>
      </w:r>
      <w:r>
        <w:rPr>
          <w:color w:val="000000" w:themeColor="text1"/>
          <w:sz w:val="24"/>
          <w14:textFill>
            <w14:solidFill>
              <w14:schemeClr w14:val="tx1"/>
            </w14:solidFill>
          </w14:textFill>
        </w:rPr>
        <w:t>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年均浓度≤</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0</w:t>
      </w:r>
      <w:r>
        <w:rPr>
          <w:rFonts w:hint="default"/>
          <w:color w:val="000000" w:themeColor="text1"/>
          <w:sz w:val="24"/>
          <w14:textFill>
            <w14:solidFill>
              <w14:schemeClr w14:val="tx1"/>
            </w14:solidFill>
          </w14:textFill>
        </w:rPr>
        <w:t>μ</w:t>
      </w:r>
      <w:r>
        <w:rPr>
          <w:color w:val="000000" w:themeColor="text1"/>
          <w:sz w:val="24"/>
          <w14:textFill>
            <w14:solidFill>
              <w14:schemeClr w14:val="tx1"/>
            </w14:solidFill>
          </w14:textFill>
        </w:rPr>
        <w:t>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年均浓度≤</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5</w:t>
      </w:r>
      <w:r>
        <w:rPr>
          <w:rFonts w:hint="default"/>
          <w:color w:val="000000" w:themeColor="text1"/>
          <w:sz w:val="24"/>
          <w14:textFill>
            <w14:solidFill>
              <w14:schemeClr w14:val="tx1"/>
            </w14:solidFill>
          </w14:textFill>
        </w:rPr>
        <w:t>μ</w:t>
      </w:r>
      <w:r>
        <w:rPr>
          <w:color w:val="000000" w:themeColor="text1"/>
          <w:sz w:val="24"/>
          <w14:textFill>
            <w14:solidFill>
              <w14:schemeClr w14:val="tx1"/>
            </w14:solidFill>
          </w14:textFill>
        </w:rPr>
        <w:t>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年均浓度≤</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0</w:t>
      </w:r>
      <w:r>
        <w:rPr>
          <w:rFonts w:hint="default"/>
          <w:color w:val="000000" w:themeColor="text1"/>
          <w:sz w:val="24"/>
          <w14:textFill>
            <w14:solidFill>
              <w14:schemeClr w14:val="tx1"/>
            </w14:solidFill>
          </w14:textFill>
        </w:rPr>
        <w:t>μ</w:t>
      </w:r>
      <w:r>
        <w:rPr>
          <w:color w:val="000000" w:themeColor="text1"/>
          <w:sz w:val="24"/>
          <w14:textFill>
            <w14:solidFill>
              <w14:schemeClr w14:val="tx1"/>
            </w14:solidFill>
          </w14:textFill>
        </w:rPr>
        <w:t>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eastAsia" w:eastAsia="宋体"/>
          <w:color w:val="000000" w:themeColor="text1"/>
          <w:sz w:val="24"/>
          <w:lang w:eastAsia="zh-CN"/>
          <w14:textFill>
            <w14:solidFill>
              <w14:schemeClr w14:val="tx1"/>
            </w14:solidFill>
          </w14:textFill>
        </w:rPr>
      </w:pPr>
      <w:r>
        <w:rPr>
          <w:b/>
          <w:bCs/>
          <w:color w:val="000000" w:themeColor="text1"/>
          <w:sz w:val="24"/>
          <w14:textFill>
            <w14:solidFill>
              <w14:schemeClr w14:val="tx1"/>
            </w14:solidFill>
          </w14:textFill>
        </w:rPr>
        <w:t>4.3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13</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室内设有空气质量监测联动系统、实时信息发布平台，评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分，按下列规则分别评分并累计</w:t>
      </w:r>
      <w:r>
        <w:rPr>
          <w:rFonts w:hint="eastAsia"/>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能监测并实时显示室内PM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、CO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浓度</w:t>
      </w:r>
      <w:r>
        <w:rPr>
          <w:rFonts w:hint="eastAsia"/>
          <w:color w:val="000000" w:themeColor="text1"/>
          <w:sz w:val="24"/>
          <w:lang w:val="en-US" w:eastAsia="zh-CN"/>
          <w14:textFill>
            <w14:solidFill>
              <w14:schemeClr w14:val="tx1"/>
            </w14:solidFill>
          </w14:textFill>
        </w:rPr>
        <w:t>且</w:t>
      </w:r>
      <w:r>
        <w:rPr>
          <w:color w:val="000000" w:themeColor="text1"/>
          <w:sz w:val="24"/>
          <w14:textFill>
            <w14:solidFill>
              <w14:schemeClr w14:val="tx1"/>
            </w14:solidFill>
          </w14:textFill>
        </w:rPr>
        <w:t>有参数越限报警、事故报警及报警记录功能并设有系统或设备故障诊断功能，其存储介质和数据库能记录连续一年以上的运行参数，得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2  </w:t>
      </w:r>
      <w:r>
        <w:rPr>
          <w:color w:val="000000" w:themeColor="text1"/>
          <w:sz w:val="24"/>
          <w14:textFill>
            <w14:solidFill>
              <w14:schemeClr w14:val="tx1"/>
            </w14:solidFill>
          </w14:textFill>
        </w:rPr>
        <w:t>空气质量监测系统与所有室内空气质量调控设备组成自动控制系统，得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3  </w:t>
      </w:r>
      <w:r>
        <w:rPr>
          <w:color w:val="000000" w:themeColor="text1"/>
          <w:sz w:val="24"/>
          <w14:textFill>
            <w14:solidFill>
              <w14:schemeClr w14:val="tx1"/>
            </w14:solidFill>
          </w14:textFill>
        </w:rPr>
        <w:t>对室内空气质量表观指数进行显示，得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bookmarkEnd w:id="172"/>
    <w:bookmarkEnd w:id="173"/>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14</w:t>
      </w:r>
      <w:r>
        <w:rPr>
          <w:color w:val="000000" w:themeColor="text1"/>
          <w:sz w:val="24"/>
          <w14:textFill>
            <w14:solidFill>
              <w14:schemeClr w14:val="tx1"/>
            </w14:solidFill>
          </w14:textFill>
        </w:rPr>
        <w:t xml:space="preserve">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制定并执行水质检测的送检制度，定期检测各类用水的水质</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将检测结果公示</w:t>
      </w:r>
      <w:r>
        <w:rPr>
          <w:color w:val="000000" w:themeColor="text1"/>
          <w:sz w:val="24"/>
          <w14:textFill>
            <w14:solidFill>
              <w14:schemeClr w14:val="tx1"/>
            </w14:solidFill>
          </w14:textFill>
        </w:rPr>
        <w:t>，评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分，按下列规则分别评分并累计：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1  </w:t>
      </w:r>
      <w:r>
        <w:rPr>
          <w:color w:val="000000" w:themeColor="text1"/>
          <w:sz w:val="24"/>
          <w14:textFill>
            <w14:solidFill>
              <w14:schemeClr w14:val="tx1"/>
            </w14:solidFill>
          </w14:textFill>
        </w:rPr>
        <w:t>生活饮用水、直饮水水质每季度检测1次且检测结果合格，得</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2  </w:t>
      </w:r>
      <w:r>
        <w:rPr>
          <w:color w:val="000000" w:themeColor="text1"/>
          <w:sz w:val="24"/>
          <w14:textFill>
            <w14:solidFill>
              <w14:schemeClr w14:val="tx1"/>
            </w14:solidFill>
          </w14:textFill>
        </w:rPr>
        <w:t>室内游泳池池水、生活热水水质每季度检测1次且检测结果合格，得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eastAsia="宋体"/>
          <w:color w:val="000000" w:themeColor="text1"/>
          <w:sz w:val="24"/>
          <w:lang w:eastAsia="zh-CN"/>
          <w14:textFill>
            <w14:solidFill>
              <w14:schemeClr w14:val="tx1"/>
            </w14:solidFill>
          </w14:textFill>
        </w:rPr>
      </w:pPr>
      <w:r>
        <w:rPr>
          <w:rFonts w:hint="default"/>
          <w:color w:val="000000" w:themeColor="text1"/>
          <w:sz w:val="24"/>
          <w14:textFill>
            <w14:solidFill>
              <w14:schemeClr w14:val="tx1"/>
            </w14:solidFill>
          </w14:textFill>
        </w:rPr>
        <w:t xml:space="preserve">3  </w:t>
      </w:r>
      <w:r>
        <w:rPr>
          <w:color w:val="000000" w:themeColor="text1"/>
          <w:sz w:val="24"/>
          <w14:textFill>
            <w14:solidFill>
              <w14:schemeClr w14:val="tx1"/>
            </w14:solidFill>
          </w14:textFill>
        </w:rPr>
        <w:t>非传统水源、采暖空调系统</w:t>
      </w:r>
      <w:r>
        <w:rPr>
          <w:rFonts w:hint="eastAsia"/>
          <w:color w:val="000000" w:themeColor="text1"/>
          <w:sz w:val="24"/>
          <w:lang w:val="en-US" w:eastAsia="zh-CN"/>
          <w14:textFill>
            <w14:solidFill>
              <w14:schemeClr w14:val="tx1"/>
            </w14:solidFill>
          </w14:textFill>
        </w:rPr>
        <w:t>循环水系统</w:t>
      </w:r>
      <w:r>
        <w:rPr>
          <w:color w:val="000000" w:themeColor="text1"/>
          <w:sz w:val="24"/>
          <w14:textFill>
            <w14:solidFill>
              <w14:schemeClr w14:val="tx1"/>
            </w14:solidFill>
          </w14:textFill>
        </w:rPr>
        <w:t>水质每</w:t>
      </w:r>
      <w:r>
        <w:rPr>
          <w:rFonts w:hint="eastAsia"/>
          <w:color w:val="000000" w:themeColor="text1"/>
          <w:sz w:val="24"/>
          <w:lang w:val="en-US" w:eastAsia="zh-CN"/>
          <w14:textFill>
            <w14:solidFill>
              <w14:schemeClr w14:val="tx1"/>
            </w14:solidFill>
          </w14:textFill>
        </w:rPr>
        <w:t>季度</w:t>
      </w:r>
      <w:r>
        <w:rPr>
          <w:color w:val="000000" w:themeColor="text1"/>
          <w:sz w:val="24"/>
          <w14:textFill>
            <w14:solidFill>
              <w14:schemeClr w14:val="tx1"/>
            </w14:solidFill>
          </w14:textFill>
        </w:rPr>
        <w:t>检测1次且检测结果合格，得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r>
        <w:rPr>
          <w:rFonts w:hint="eastAsia"/>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4</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定期公示各类水质的检测结果，得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r>
        <w:rPr>
          <w:rFonts w:hint="eastAsia"/>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eastAsia" w:eastAsia="宋体"/>
          <w:color w:val="000000" w:themeColor="text1"/>
          <w:sz w:val="24"/>
          <w:lang w:eastAsia="zh-CN"/>
          <w14:textFill>
            <w14:solidFill>
              <w14:schemeClr w14:val="tx1"/>
            </w14:solidFill>
          </w14:textFill>
        </w:rPr>
      </w:pPr>
      <w:r>
        <w:rPr>
          <w:rFonts w:hint="default"/>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15</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设置水质在线监测系统，监测生活饮用水、管道直饮水、游泳池水、非传统水源、空调冷却水的水质指标，记录并保存水质监测结果且能随时供用户查询</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r>
        <w:rPr>
          <w:rFonts w:hint="eastAsia"/>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sz w:val="24"/>
          <w:szCs w:val="24"/>
        </w:rPr>
      </w:pPr>
      <w:r>
        <w:rPr>
          <w:rFonts w:hint="default" w:ascii="Times New Roman" w:hAnsi="Times New Roman"/>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16</w:t>
      </w:r>
      <w:r>
        <w:rPr>
          <w:rFonts w:hint="default" w:ascii="Times New Roman" w:hAnsi="Times New Roman"/>
          <w:b/>
          <w:bCs/>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lang w:val="en-US" w:eastAsia="zh-CN"/>
          <w14:textFill>
            <w14:solidFill>
              <w14:schemeClr w14:val="tx1"/>
            </w14:solidFill>
          </w14:textFill>
        </w:rPr>
        <w:t>建筑</w:t>
      </w:r>
      <w:r>
        <w:rPr>
          <w:rFonts w:ascii="Times New Roman" w:hAnsi="Times New Roman" w:cs="Times New Roman"/>
          <w:sz w:val="24"/>
          <w:szCs w:val="24"/>
        </w:rPr>
        <w:t>主要功能房间的隔声性能良好，评</w:t>
      </w:r>
      <w:r>
        <w:rPr>
          <w:rFonts w:hint="eastAsia" w:ascii="Times New Roman" w:hAnsi="Times New Roman" w:cs="Times New Roman"/>
          <w:sz w:val="24"/>
          <w:szCs w:val="24"/>
          <w:lang w:val="en-US" w:eastAsia="zh-CN"/>
        </w:rPr>
        <w:t>估</w:t>
      </w:r>
      <w:r>
        <w:rPr>
          <w:rFonts w:ascii="Times New Roman" w:hAnsi="Times New Roman" w:cs="Times New Roman"/>
          <w:sz w:val="24"/>
          <w:szCs w:val="24"/>
        </w:rPr>
        <w:t>总分值为</w:t>
      </w:r>
      <w:r>
        <w:rPr>
          <w:rFonts w:hint="eastAsia" w:cs="Times New Roman"/>
          <w:sz w:val="24"/>
          <w:szCs w:val="24"/>
          <w:lang w:val="en-US" w:eastAsia="zh-CN"/>
        </w:rPr>
        <w:t>4</w:t>
      </w:r>
      <w:r>
        <w:rPr>
          <w:rFonts w:ascii="Times New Roman" w:hAnsi="Times New Roman" w:cs="Times New Roman"/>
          <w:sz w:val="24"/>
          <w:szCs w:val="24"/>
        </w:rPr>
        <w:t>分，按下列规则分别评分并累计：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sz w:val="24"/>
          <w:szCs w:val="24"/>
        </w:rPr>
      </w:pPr>
      <w:r>
        <w:rPr>
          <w:rFonts w:ascii="Times New Roman" w:hAnsi="Times New Roman" w:cs="Times New Roman"/>
          <w:b/>
          <w:sz w:val="24"/>
          <w:szCs w:val="24"/>
        </w:rPr>
        <w:t xml:space="preserve">1 </w:t>
      </w:r>
      <w:r>
        <w:rPr>
          <w:rFonts w:hint="eastAsia" w:ascii="Times New Roman" w:hAnsi="Times New Roman" w:cs="Times New Roman"/>
          <w:b/>
          <w:sz w:val="24"/>
          <w:szCs w:val="24"/>
          <w:lang w:val="en-US" w:eastAsia="zh-CN"/>
        </w:rPr>
        <w:t xml:space="preserve"> </w:t>
      </w:r>
      <w:r>
        <w:rPr>
          <w:rFonts w:ascii="Times New Roman" w:hAnsi="Times New Roman" w:cs="Times New Roman"/>
          <w:sz w:val="24"/>
          <w:szCs w:val="24"/>
        </w:rPr>
        <w:t>构件及相邻房间之间的空气声隔声性能达到现行国家标准《民用建筑隔声设计规范》GB 50118中的低限标准限值和高要求标准限值的平均值，得</w:t>
      </w:r>
      <w:r>
        <w:rPr>
          <w:rFonts w:hint="eastAsia" w:cs="Times New Roman"/>
          <w:bCs/>
          <w:sz w:val="24"/>
          <w:szCs w:val="24"/>
          <w:lang w:val="en-US" w:eastAsia="zh-CN"/>
        </w:rPr>
        <w:t>1</w:t>
      </w:r>
      <w:r>
        <w:rPr>
          <w:rFonts w:ascii="Times New Roman" w:hAnsi="Times New Roman" w:cs="Times New Roman"/>
          <w:sz w:val="24"/>
          <w:szCs w:val="24"/>
        </w:rPr>
        <w:t>分；达到高要求标准限值，得</w:t>
      </w:r>
      <w:r>
        <w:rPr>
          <w:rFonts w:hint="eastAsia" w:cs="Times New Roman"/>
          <w:bCs/>
          <w:sz w:val="24"/>
          <w:szCs w:val="24"/>
          <w:lang w:val="en-US" w:eastAsia="zh-CN"/>
        </w:rPr>
        <w:t>2</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bCs/>
          <w:sz w:val="24"/>
          <w:szCs w:val="24"/>
        </w:rPr>
      </w:pPr>
      <w:r>
        <w:rPr>
          <w:rFonts w:ascii="Times New Roman" w:hAnsi="Times New Roman" w:cs="Times New Roman"/>
          <w:b/>
          <w:sz w:val="24"/>
          <w:szCs w:val="24"/>
        </w:rPr>
        <w:t>2</w:t>
      </w:r>
      <w:bookmarkStart w:id="174" w:name="_Hlk523171523"/>
      <w:r>
        <w:rPr>
          <w:rFonts w:hint="eastAsia" w:ascii="Times New Roman" w:hAnsi="Times New Roman" w:cs="Times New Roman"/>
          <w:b/>
          <w:sz w:val="24"/>
          <w:szCs w:val="24"/>
          <w:lang w:val="en-US" w:eastAsia="zh-CN"/>
        </w:rPr>
        <w:t xml:space="preserve">  </w:t>
      </w:r>
      <w:r>
        <w:rPr>
          <w:rFonts w:ascii="Times New Roman" w:hAnsi="Times New Roman" w:cs="Times New Roman"/>
          <w:sz w:val="24"/>
          <w:szCs w:val="24"/>
        </w:rPr>
        <w:t>楼板的撞击声隔声性能达到现行国家标准《民用建筑隔声设计规范》GB 50118中的低限标准限值和高要求标准限值的平均值，得</w:t>
      </w:r>
      <w:r>
        <w:rPr>
          <w:rFonts w:hint="eastAsia" w:cs="Times New Roman"/>
          <w:bCs/>
          <w:sz w:val="24"/>
          <w:szCs w:val="24"/>
          <w:lang w:val="en-US" w:eastAsia="zh-CN"/>
        </w:rPr>
        <w:t>1</w:t>
      </w:r>
      <w:r>
        <w:rPr>
          <w:rFonts w:ascii="Times New Roman" w:hAnsi="Times New Roman" w:cs="Times New Roman"/>
          <w:sz w:val="24"/>
          <w:szCs w:val="24"/>
        </w:rPr>
        <w:t>分；达到高要求标准限值，得</w:t>
      </w:r>
      <w:r>
        <w:rPr>
          <w:rFonts w:hint="eastAsia" w:cs="Times New Roman"/>
          <w:bCs/>
          <w:sz w:val="24"/>
          <w:szCs w:val="24"/>
          <w:lang w:val="en-US" w:eastAsia="zh-CN"/>
        </w:rPr>
        <w:t>2</w:t>
      </w:r>
      <w:r>
        <w:rPr>
          <w:rFonts w:ascii="Times New Roman" w:hAnsi="Times New Roman" w:cs="Times New Roman"/>
          <w:sz w:val="24"/>
          <w:szCs w:val="24"/>
        </w:rPr>
        <w:t>分</w:t>
      </w:r>
      <w:bookmarkEnd w:id="174"/>
      <w:r>
        <w:rPr>
          <w:rFonts w:ascii="Times New Roman" w:hAnsi="Times New Roman" w:cs="Times New Roman"/>
          <w:bCs/>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000000" w:themeColor="text1"/>
          <w:sz w:val="24"/>
          <w14:textFill>
            <w14:solidFill>
              <w14:schemeClr w14:val="tx1"/>
            </w14:solidFill>
          </w14:textFill>
        </w:rPr>
      </w:pPr>
      <w:bookmarkStart w:id="175" w:name="_Toc10660327"/>
      <w:r>
        <w:rPr>
          <w:rFonts w:hint="eastAsia" w:ascii="Times New Roman" w:hAnsi="Times New Roman" w:eastAsia="宋体"/>
          <w:b/>
          <w:bCs/>
          <w:color w:val="000000" w:themeColor="text1"/>
          <w:sz w:val="24"/>
          <w:lang w:val="en-US" w:eastAsia="zh-CN"/>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17</w:t>
      </w:r>
      <w:r>
        <w:rPr>
          <w:rFonts w:hint="default" w:ascii="Times New Roman" w:hAnsi="Times New Roman" w:eastAsia="宋体"/>
          <w:color w:val="000000" w:themeColor="text1"/>
          <w:sz w:val="24"/>
          <w14:textFill>
            <w14:solidFill>
              <w14:schemeClr w14:val="tx1"/>
            </w14:solidFill>
          </w14:textFill>
        </w:rPr>
        <w:t>　充分利用天然光，评</w:t>
      </w:r>
      <w:r>
        <w:rPr>
          <w:rFonts w:hint="eastAsia" w:ascii="Times New Roman" w:hAnsi="Times New Roman" w:eastAsia="宋体"/>
          <w:color w:val="000000" w:themeColor="text1"/>
          <w:sz w:val="24"/>
          <w:lang w:val="en-US" w:eastAsia="zh-CN"/>
          <w14:textFill>
            <w14:solidFill>
              <w14:schemeClr w14:val="tx1"/>
            </w14:solidFill>
          </w14:textFill>
        </w:rPr>
        <w:t>估</w:t>
      </w:r>
      <w:r>
        <w:rPr>
          <w:rFonts w:hint="default" w:ascii="Times New Roman" w:hAnsi="Times New Roman" w:eastAsia="宋体"/>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5</w:t>
      </w:r>
      <w:r>
        <w:rPr>
          <w:rFonts w:hint="default" w:ascii="Times New Roman" w:hAnsi="Times New Roman" w:eastAsia="宋体"/>
          <w:color w:val="000000" w:themeColor="text1"/>
          <w:sz w:val="24"/>
          <w14:textFill>
            <w14:solidFill>
              <w14:schemeClr w14:val="tx1"/>
            </w14:solidFill>
          </w14:textFill>
        </w:rPr>
        <w:t>分，按下列规则分别评分并累计：</w:t>
      </w:r>
      <w:bookmarkEnd w:id="175"/>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1　住宅建筑室内主要功能空间至少60%面积比例区域，其采光照度值不低于300lx的小时数平均不少于8h/d，得</w:t>
      </w:r>
      <w:r>
        <w:rPr>
          <w:rFonts w:hint="eastAsia"/>
          <w:color w:val="000000" w:themeColor="text1"/>
          <w:sz w:val="24"/>
          <w:lang w:val="en-US" w:eastAsia="zh-CN"/>
          <w14:textFill>
            <w14:solidFill>
              <w14:schemeClr w14:val="tx1"/>
            </w14:solidFill>
          </w14:textFill>
        </w:rPr>
        <w:t>4</w:t>
      </w:r>
      <w:r>
        <w:rPr>
          <w:rFonts w:hint="default" w:ascii="Times New Roman" w:hAnsi="Times New Roman" w:eastAsia="宋体"/>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2　公共建筑按下列规则分别评分并累计：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1）内区采光系数满足采光要求的面积比例达到60%，得</w:t>
      </w:r>
      <w:r>
        <w:rPr>
          <w:rFonts w:hint="eastAsia"/>
          <w:color w:val="000000" w:themeColor="text1"/>
          <w:sz w:val="24"/>
          <w:lang w:val="en-US" w:eastAsia="zh-CN"/>
          <w14:textFill>
            <w14:solidFill>
              <w14:schemeClr w14:val="tx1"/>
            </w14:solidFill>
          </w14:textFill>
        </w:rPr>
        <w:t>2</w:t>
      </w:r>
      <w:r>
        <w:rPr>
          <w:rFonts w:hint="default" w:ascii="Times New Roman" w:hAnsi="Times New Roman" w:eastAsia="宋体"/>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2）地下空间平均采光系数不小于0.5%的面积与地下室首层面积的比例达到10%以上，得</w:t>
      </w:r>
      <w:r>
        <w:rPr>
          <w:rFonts w:hint="eastAsia"/>
          <w:color w:val="000000" w:themeColor="text1"/>
          <w:sz w:val="24"/>
          <w:lang w:val="en-US" w:eastAsia="zh-CN"/>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3）室内主要功能空间至少60%面积比例区域的采光照度值不低于采光要求的小时数平均不少于4h/d，得</w:t>
      </w:r>
      <w:r>
        <w:rPr>
          <w:rFonts w:hint="eastAsia"/>
          <w:color w:val="000000" w:themeColor="text1"/>
          <w:sz w:val="24"/>
          <w:lang w:val="en-US" w:eastAsia="zh-CN"/>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3　主要功能房间有眩光控制措施，得</w:t>
      </w:r>
      <w:r>
        <w:rPr>
          <w:rFonts w:hint="eastAsia"/>
          <w:color w:val="000000" w:themeColor="text1"/>
          <w:sz w:val="24"/>
          <w:lang w:val="en-US" w:eastAsia="zh-CN"/>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18</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照明系统具有良好的控制性，评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分，按下列规则分别评分并累计：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rFonts w:hint="default"/>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住宅</w:t>
      </w:r>
      <w:r>
        <w:rPr>
          <w:color w:val="000000" w:themeColor="text1"/>
          <w:sz w:val="24"/>
          <w14:textFill>
            <w14:solidFill>
              <w14:schemeClr w14:val="tx1"/>
            </w14:solidFill>
          </w14:textFill>
        </w:rPr>
        <w:t>建筑按下列规则分别评分并累计：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1）走廊、楼梯间、电梯厅、停车库等公共区域照明根据人员活动及天然光水平，自动感应开关或调光，得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2）室外广告和标识表面亮度能够根据环境亮度自动调节，得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3）熄灯时段自动关闭装饰性照明，得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公共建筑按下列规则分别评分并累计：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1）可自动调节照度，调节后的天然采光和人工照明的总照度不低于各采光等级所规定的室内天然光照度值，得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）照明控制系统与遮阳装置联动，得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）人员长时间工作的场所，能够在工作区域实现个性化控制，得</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hint="default" w:ascii="Times New Roman" w:hAnsi="Times New Roman" w:cs="Times New Roman"/>
          <w:b w:val="0"/>
          <w:bCs w:val="0"/>
          <w:color w:val="000000" w:themeColor="text1"/>
          <w:sz w:val="24"/>
          <w:szCs w:val="24"/>
          <w14:textFill>
            <w14:solidFill>
              <w14:schemeClr w14:val="tx1"/>
            </w14:solidFill>
          </w14:textFill>
        </w:rPr>
      </w:pPr>
      <w:bookmarkStart w:id="176" w:name="_Toc10660329"/>
      <w:bookmarkStart w:id="177" w:name="_Toc4252"/>
      <w:bookmarkStart w:id="178" w:name="_Toc15823"/>
      <w:bookmarkStart w:id="179" w:name="_Toc25953"/>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19</w:t>
      </w:r>
      <w:r>
        <w:rPr>
          <w:rFonts w:hint="default" w:ascii="Times New Roman" w:hAnsi="Times New Roman" w:cs="Times New Roman"/>
          <w:b w:val="0"/>
          <w:bCs w:val="0"/>
          <w:color w:val="000000" w:themeColor="text1"/>
          <w:sz w:val="24"/>
          <w:szCs w:val="24"/>
          <w14:textFill>
            <w14:solidFill>
              <w14:schemeClr w14:val="tx1"/>
            </w14:solidFill>
          </w14:textFill>
        </w:rPr>
        <w:t>　具有良好的室内热湿环境，评</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估</w:t>
      </w:r>
      <w:r>
        <w:rPr>
          <w:rFonts w:hint="default" w:ascii="Times New Roman" w:hAnsi="Times New Roman" w:cs="Times New Roman"/>
          <w:b w:val="0"/>
          <w:bCs w:val="0"/>
          <w:color w:val="000000" w:themeColor="text1"/>
          <w:sz w:val="24"/>
          <w:szCs w:val="24"/>
          <w14:textFill>
            <w14:solidFill>
              <w14:schemeClr w14:val="tx1"/>
            </w14:solidFill>
          </w14:textFill>
        </w:rPr>
        <w:t>总分值为</w:t>
      </w:r>
      <w:r>
        <w:rPr>
          <w:rFonts w:hint="default"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14:textFill>
            <w14:solidFill>
              <w14:schemeClr w14:val="tx1"/>
            </w14:solidFill>
          </w14:textFill>
        </w:rPr>
        <w:t>分，按下列规则评分：</w:t>
      </w:r>
      <w:bookmarkEnd w:id="176"/>
      <w:bookmarkEnd w:id="177"/>
      <w:bookmarkEnd w:id="178"/>
      <w:bookmarkEnd w:id="179"/>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bCs/>
          <w:sz w:val="24"/>
          <w:szCs w:val="24"/>
        </w:rPr>
        <w:t>　</w:t>
      </w:r>
      <w:r>
        <w:rPr>
          <w:rFonts w:ascii="Times New Roman" w:hAnsi="Times New Roman" w:cs="Times New Roman"/>
          <w:sz w:val="24"/>
          <w:szCs w:val="24"/>
        </w:rPr>
        <w:t>采用自然通风或复合通风的建筑，建筑主要功能房间室内热环境参数在适应性热舒适区域的时间比例，达到30%，得</w:t>
      </w:r>
      <w:r>
        <w:rPr>
          <w:rFonts w:hint="eastAsia" w:cs="Times New Roman"/>
          <w:sz w:val="24"/>
          <w:szCs w:val="24"/>
          <w:lang w:val="en-US" w:eastAsia="zh-CN"/>
        </w:rPr>
        <w:t>1</w:t>
      </w:r>
      <w:r>
        <w:rPr>
          <w:rFonts w:ascii="Times New Roman" w:hAnsi="Times New Roman" w:cs="Times New Roman"/>
          <w:sz w:val="24"/>
          <w:szCs w:val="24"/>
        </w:rPr>
        <w:t>分；每再增加10%，再得</w:t>
      </w:r>
      <w:r>
        <w:rPr>
          <w:rFonts w:hint="eastAsia" w:cs="Times New Roman"/>
          <w:sz w:val="24"/>
          <w:szCs w:val="24"/>
          <w:lang w:val="en-US" w:eastAsia="zh-CN"/>
        </w:rPr>
        <w:t>0.5</w:t>
      </w:r>
      <w:r>
        <w:rPr>
          <w:rFonts w:ascii="Times New Roman" w:hAnsi="Times New Roman" w:cs="Times New Roman"/>
          <w:sz w:val="24"/>
          <w:szCs w:val="24"/>
        </w:rPr>
        <w:t>分，最高得</w:t>
      </w:r>
      <w:r>
        <w:rPr>
          <w:rFonts w:hint="eastAsia" w:cs="Times New Roman"/>
          <w:sz w:val="24"/>
          <w:szCs w:val="24"/>
          <w:lang w:val="en-US" w:eastAsia="zh-CN"/>
        </w:rPr>
        <w:t>3</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w:t>
      </w:r>
      <w:r>
        <w:rPr>
          <w:rFonts w:ascii="Times New Roman" w:hAnsi="Times New Roman" w:cs="Times New Roman"/>
          <w:sz w:val="24"/>
          <w:szCs w:val="24"/>
        </w:rPr>
        <w:t>采用人工冷热源的建筑，主要功能房间达到现行国家标准《民用建筑室内热湿环境评价标准》GB/T 50785规定的室内人工冷热源热湿环境整体评价Ⅱ级及以上的面积比例，达到60%，得</w:t>
      </w:r>
      <w:r>
        <w:rPr>
          <w:rFonts w:hint="eastAsia" w:cs="Times New Roman"/>
          <w:sz w:val="24"/>
          <w:szCs w:val="24"/>
          <w:lang w:val="en-US" w:eastAsia="zh-CN"/>
        </w:rPr>
        <w:t>1</w:t>
      </w:r>
      <w:r>
        <w:rPr>
          <w:rFonts w:ascii="Times New Roman" w:hAnsi="Times New Roman" w:cs="Times New Roman"/>
          <w:sz w:val="24"/>
          <w:szCs w:val="24"/>
        </w:rPr>
        <w:t>分；每再增加10%，再得</w:t>
      </w:r>
      <w:r>
        <w:rPr>
          <w:rFonts w:hint="eastAsia" w:cs="Times New Roman"/>
          <w:sz w:val="24"/>
          <w:szCs w:val="24"/>
          <w:lang w:val="en-US" w:eastAsia="zh-CN"/>
        </w:rPr>
        <w:t>0.5</w:t>
      </w:r>
      <w:r>
        <w:rPr>
          <w:rFonts w:ascii="Times New Roman" w:hAnsi="Times New Roman" w:cs="Times New Roman"/>
          <w:sz w:val="24"/>
          <w:szCs w:val="24"/>
        </w:rPr>
        <w:t>分，最高得</w:t>
      </w:r>
      <w:r>
        <w:rPr>
          <w:rFonts w:hint="eastAsia" w:cs="Times New Roman"/>
          <w:sz w:val="24"/>
          <w:szCs w:val="24"/>
          <w:lang w:val="en-US" w:eastAsia="zh-CN"/>
        </w:rPr>
        <w:t>3</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hint="default" w:ascii="Times New Roman" w:hAnsi="Times New Roman" w:cs="Times New Roman"/>
          <w:b w:val="0"/>
          <w:bCs w:val="0"/>
          <w:color w:val="000000" w:themeColor="text1"/>
          <w:sz w:val="24"/>
          <w:szCs w:val="24"/>
          <w14:textFill>
            <w14:solidFill>
              <w14:schemeClr w14:val="tx1"/>
            </w14:solidFill>
          </w14:textFill>
        </w:rPr>
      </w:pPr>
      <w:bookmarkStart w:id="180" w:name="_Toc11354"/>
      <w:bookmarkStart w:id="181" w:name="_Toc18508"/>
      <w:bookmarkStart w:id="182" w:name="_Toc24893"/>
      <w:r>
        <w:rPr>
          <w:rFonts w:hint="default" w:ascii="Times New Roman" w:hAnsi="Times New Roman" w:cs="Times New Roman"/>
          <w:b/>
          <w:bCs/>
          <w:color w:val="000000" w:themeColor="text1"/>
          <w:sz w:val="24"/>
          <w:szCs w:val="24"/>
          <w:lang w:val="en-US" w:eastAsia="zh-CN"/>
          <w14:textFill>
            <w14:solidFill>
              <w14:schemeClr w14:val="tx1"/>
            </w14:solidFill>
          </w14:textFill>
        </w:rPr>
        <w:t>4.3.</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0</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 xml:space="preserve">  建筑热舒适性可控，包括可调节遮阳设施、空调系统末端以及可开启外窗等。</w:t>
      </w:r>
      <w:r>
        <w:rPr>
          <w:rFonts w:hint="default" w:ascii="Times New Roman" w:hAnsi="Times New Roman" w:cs="Times New Roman"/>
          <w:b w:val="0"/>
          <w:bCs w:val="0"/>
          <w:color w:val="000000" w:themeColor="text1"/>
          <w:sz w:val="24"/>
          <w:szCs w:val="24"/>
          <w14:textFill>
            <w14:solidFill>
              <w14:schemeClr w14:val="tx1"/>
            </w14:solidFill>
          </w14:textFill>
        </w:rPr>
        <w:t>评</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估</w:t>
      </w:r>
      <w:r>
        <w:rPr>
          <w:rFonts w:hint="default" w:ascii="Times New Roman" w:hAnsi="Times New Roman" w:cs="Times New Roman"/>
          <w:b w:val="0"/>
          <w:bCs w:val="0"/>
          <w:color w:val="000000" w:themeColor="text1"/>
          <w:sz w:val="24"/>
          <w:szCs w:val="24"/>
          <w14:textFill>
            <w14:solidFill>
              <w14:schemeClr w14:val="tx1"/>
            </w14:solidFill>
          </w14:textFill>
        </w:rPr>
        <w:t>总分值为</w:t>
      </w:r>
      <w:r>
        <w:rPr>
          <w:rFonts w:hint="default"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14:textFill>
            <w14:solidFill>
              <w14:schemeClr w14:val="tx1"/>
            </w14:solidFill>
          </w14:textFill>
        </w:rPr>
        <w:t>分，按下列规则评分：</w:t>
      </w:r>
      <w:bookmarkEnd w:id="180"/>
      <w:bookmarkEnd w:id="181"/>
      <w:bookmarkEnd w:id="182"/>
    </w:p>
    <w:p>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sz w:val="24"/>
          <w:szCs w:val="24"/>
          <w:lang w:val="en-US" w:eastAsia="zh-CN"/>
        </w:rPr>
      </w:pPr>
      <w:bookmarkStart w:id="183" w:name="_Toc7037"/>
      <w:bookmarkStart w:id="184" w:name="_Toc28543"/>
      <w:bookmarkStart w:id="185" w:name="_Toc11129"/>
      <w:bookmarkStart w:id="186" w:name="_Toc11705"/>
      <w:r>
        <w:rPr>
          <w:rFonts w:hint="eastAsia" w:cs="Times New Roman"/>
          <w:sz w:val="24"/>
          <w:szCs w:val="24"/>
          <w:lang w:val="en-US" w:eastAsia="zh-CN"/>
        </w:rPr>
        <w:t>1  空调末端可控性：主要功能房间均设置可独立控制的空调末端并运行正常，得1分；</w:t>
      </w:r>
      <w:bookmarkEnd w:id="183"/>
      <w:bookmarkEnd w:id="184"/>
      <w:bookmarkEnd w:id="185"/>
      <w:bookmarkEnd w:id="186"/>
    </w:p>
    <w:p>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sz w:val="24"/>
          <w:szCs w:val="24"/>
          <w:lang w:val="en-US" w:eastAsia="zh-CN"/>
        </w:rPr>
      </w:pPr>
      <w:bookmarkStart w:id="187" w:name="_Toc4125"/>
      <w:bookmarkStart w:id="188" w:name="_Toc9717"/>
      <w:bookmarkStart w:id="189" w:name="_Toc30968"/>
      <w:bookmarkStart w:id="190" w:name="_Toc32540"/>
      <w:r>
        <w:rPr>
          <w:rFonts w:hint="eastAsia" w:cs="Times New Roman"/>
          <w:sz w:val="24"/>
          <w:szCs w:val="24"/>
          <w:lang w:val="en-US" w:eastAsia="zh-CN"/>
        </w:rPr>
        <w:t>2  外窗可开启率：</w:t>
      </w:r>
      <w:bookmarkEnd w:id="187"/>
      <w:bookmarkEnd w:id="188"/>
      <w:bookmarkEnd w:id="189"/>
      <w:bookmarkEnd w:id="190"/>
    </w:p>
    <w:p>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sz w:val="24"/>
          <w:szCs w:val="24"/>
          <w:lang w:val="en-US" w:eastAsia="zh-CN"/>
        </w:rPr>
      </w:pPr>
      <w:bookmarkStart w:id="191" w:name="_Toc409"/>
      <w:bookmarkStart w:id="192" w:name="_Toc25022"/>
      <w:bookmarkStart w:id="193" w:name="_Toc24101"/>
      <w:bookmarkStart w:id="194" w:name="_Toc20207"/>
      <w:r>
        <w:rPr>
          <w:rFonts w:hint="eastAsia" w:cs="Times New Roman"/>
          <w:sz w:val="24"/>
          <w:szCs w:val="24"/>
          <w:lang w:val="en-US" w:eastAsia="zh-CN"/>
        </w:rPr>
        <w:t>1）对于住宅建筑，通风开口面积与房间地板面积的比例达到12%，得1分；</w:t>
      </w:r>
      <w:bookmarkEnd w:id="191"/>
      <w:bookmarkEnd w:id="192"/>
      <w:bookmarkEnd w:id="193"/>
      <w:bookmarkEnd w:id="194"/>
    </w:p>
    <w:p>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sz w:val="24"/>
          <w:szCs w:val="24"/>
          <w:lang w:val="en-US" w:eastAsia="zh-CN"/>
        </w:rPr>
      </w:pPr>
      <w:bookmarkStart w:id="195" w:name="_Toc25139"/>
      <w:bookmarkStart w:id="196" w:name="_Toc16063"/>
      <w:bookmarkStart w:id="197" w:name="_Toc29195"/>
      <w:bookmarkStart w:id="198" w:name="_Toc17304"/>
      <w:r>
        <w:rPr>
          <w:rFonts w:hint="eastAsia" w:cs="Times New Roman"/>
          <w:sz w:val="24"/>
          <w:szCs w:val="24"/>
          <w:lang w:val="en-US" w:eastAsia="zh-CN"/>
        </w:rPr>
        <w:t>2）对于公共建筑，50%的工作人员距离4米之内有可开启外窗或幕墙，得1分；</w:t>
      </w:r>
      <w:bookmarkEnd w:id="195"/>
      <w:bookmarkEnd w:id="196"/>
      <w:bookmarkEnd w:id="197"/>
      <w:bookmarkEnd w:id="198"/>
    </w:p>
    <w:p>
      <w:pPr>
        <w:keepNext w:val="0"/>
        <w:keepLines w:val="0"/>
        <w:pageBreakBefore w:val="0"/>
        <w:widowControl w:val="0"/>
        <w:numPr>
          <w:ilvl w:val="0"/>
          <w:numId w:val="0"/>
        </w:numPr>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hint="eastAsia" w:cs="Times New Roman"/>
          <w:sz w:val="24"/>
          <w:szCs w:val="24"/>
          <w:lang w:val="en-US" w:eastAsia="zh-CN"/>
        </w:rPr>
      </w:pPr>
      <w:bookmarkStart w:id="199" w:name="_Toc14178"/>
      <w:bookmarkStart w:id="200" w:name="_Toc4794"/>
      <w:bookmarkStart w:id="201" w:name="_Toc4970"/>
      <w:bookmarkStart w:id="202" w:name="_Toc22310"/>
      <w:r>
        <w:rPr>
          <w:rFonts w:hint="eastAsia" w:cs="Times New Roman"/>
          <w:sz w:val="24"/>
          <w:szCs w:val="24"/>
          <w:lang w:val="en-US" w:eastAsia="zh-CN"/>
        </w:rPr>
        <w:t>3  主要功能房间设置可调节遮阳设施并运行正常，得1分。</w:t>
      </w:r>
      <w:bookmarkEnd w:id="199"/>
      <w:bookmarkEnd w:id="200"/>
      <w:bookmarkEnd w:id="201"/>
      <w:bookmarkEnd w:id="202"/>
    </w:p>
    <w:bookmarkEnd w:id="158"/>
    <w:bookmarkEnd w:id="159"/>
    <w:bookmarkEnd w:id="160"/>
    <w:p>
      <w:pPr>
        <w:shd w:val="clear"/>
        <w:adjustRightInd w:val="0"/>
        <w:snapToGrid w:val="0"/>
        <w:spacing w:before="93" w:beforeLines="30" w:after="93" w:afterLines="30" w:line="312" w:lineRule="auto"/>
        <w:jc w:val="center"/>
        <w:outlineLvl w:val="9"/>
        <w:rPr>
          <w:rFonts w:hint="default"/>
          <w:b w:val="0"/>
          <w:color w:val="000000" w:themeColor="text1"/>
          <w:sz w:val="24"/>
          <w14:textFill>
            <w14:solidFill>
              <w14:schemeClr w14:val="tx1"/>
            </w14:solidFill>
          </w14:textFill>
        </w:rPr>
      </w:pPr>
      <w:bookmarkStart w:id="203" w:name="_Toc527729601"/>
      <w:bookmarkStart w:id="204" w:name="_Toc22887483"/>
      <w:bookmarkStart w:id="205" w:name="_Toc50534612"/>
      <w:bookmarkStart w:id="206" w:name="_Toc41918662"/>
      <w:bookmarkStart w:id="207" w:name="_Toc529350909"/>
      <w:bookmarkStart w:id="208" w:name="_Toc50647817"/>
      <w:bookmarkStart w:id="209" w:name="_Toc119755501"/>
      <w:bookmarkStart w:id="210" w:name="_Toc517961437"/>
      <w:bookmarkStart w:id="211" w:name="_Toc519677378"/>
      <w:bookmarkStart w:id="212" w:name="_Toc482107717"/>
      <w:r>
        <w:rPr>
          <w:rFonts w:hint="default"/>
          <w:b w:val="0"/>
          <w:color w:val="000000" w:themeColor="text1"/>
          <w:sz w:val="24"/>
          <w14:textFill>
            <w14:solidFill>
              <w14:schemeClr w14:val="tx1"/>
            </w14:solidFill>
          </w14:textFill>
        </w:rPr>
        <w:t xml:space="preserve">Ⅲ </w:t>
      </w:r>
      <w:bookmarkEnd w:id="203"/>
      <w:bookmarkEnd w:id="204"/>
      <w:bookmarkEnd w:id="205"/>
      <w:bookmarkEnd w:id="206"/>
      <w:bookmarkEnd w:id="207"/>
      <w:bookmarkEnd w:id="208"/>
      <w:r>
        <w:rPr>
          <w:rFonts w:hint="default"/>
          <w:b w:val="0"/>
          <w:color w:val="000000" w:themeColor="text1"/>
          <w:sz w:val="24"/>
          <w14:textFill>
            <w14:solidFill>
              <w14:schemeClr w14:val="tx1"/>
            </w14:solidFill>
          </w14:textFill>
        </w:rPr>
        <w:t>生活便利</w:t>
      </w:r>
      <w:bookmarkEnd w:id="209"/>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hint="default" w:ascii="Times New Roman" w:hAnsi="Times New Roman" w:cs="Times New Roman"/>
          <w:b w:val="0"/>
          <w:bCs w:val="0"/>
          <w:color w:val="000000" w:themeColor="text1"/>
          <w:sz w:val="24"/>
          <w:szCs w:val="24"/>
          <w14:textFill>
            <w14:solidFill>
              <w14:schemeClr w14:val="tx1"/>
            </w14:solidFill>
          </w14:textFill>
        </w:rPr>
      </w:pPr>
      <w:bookmarkStart w:id="213" w:name="_Toc6288"/>
      <w:bookmarkStart w:id="214" w:name="_Toc2515"/>
      <w:bookmarkStart w:id="215" w:name="_Toc2372"/>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val="0"/>
          <w:bCs w:val="0"/>
          <w:color w:val="000000" w:themeColor="text1"/>
          <w:sz w:val="24"/>
          <w:szCs w:val="24"/>
          <w14:textFill>
            <w14:solidFill>
              <w14:schemeClr w14:val="tx1"/>
            </w14:solidFill>
          </w14:textFill>
        </w:rPr>
        <w:t>　场地与公共交通站点联系便捷，评</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估</w:t>
      </w:r>
      <w:r>
        <w:rPr>
          <w:rFonts w:hint="default" w:ascii="Times New Roman" w:hAnsi="Times New Roman" w:cs="Times New Roman"/>
          <w:b w:val="0"/>
          <w:bCs w:val="0"/>
          <w:color w:val="000000" w:themeColor="text1"/>
          <w:sz w:val="24"/>
          <w:szCs w:val="24"/>
          <w14:textFill>
            <w14:solidFill>
              <w14:schemeClr w14:val="tx1"/>
            </w14:solidFill>
          </w14:textFill>
        </w:rPr>
        <w:t>总分值为</w:t>
      </w:r>
      <w:r>
        <w:rPr>
          <w:rFonts w:hint="default"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14:textFill>
            <w14:solidFill>
              <w14:schemeClr w14:val="tx1"/>
            </w14:solidFill>
          </w14:textFill>
        </w:rPr>
        <w:t>分，按下列规则分别评分并累计：</w:t>
      </w:r>
      <w:bookmarkEnd w:id="213"/>
      <w:bookmarkEnd w:id="214"/>
      <w:bookmarkEnd w:id="215"/>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bCs/>
          <w:sz w:val="24"/>
          <w:szCs w:val="24"/>
        </w:rPr>
      </w:pPr>
      <w:r>
        <w:rPr>
          <w:rFonts w:ascii="Times New Roman" w:hAnsi="Times New Roman" w:cs="Times New Roman"/>
          <w:b/>
          <w:bCs/>
          <w:sz w:val="24"/>
          <w:szCs w:val="24"/>
        </w:rPr>
        <w:t>1　</w:t>
      </w:r>
      <w:r>
        <w:rPr>
          <w:rFonts w:ascii="Times New Roman" w:hAnsi="Times New Roman" w:cs="Times New Roman"/>
          <w:sz w:val="24"/>
          <w:szCs w:val="24"/>
        </w:rPr>
        <w:t>场地出入口到达公共交通站点的步行距离不超过500m</w:t>
      </w:r>
      <w:r>
        <w:rPr>
          <w:rFonts w:ascii="Times New Roman" w:hAnsi="Times New Roman" w:cs="Times New Roman"/>
          <w:bCs/>
          <w:sz w:val="24"/>
          <w:szCs w:val="24"/>
        </w:rPr>
        <w:t>或到达轨道交通站的步行距离不大于800m，得</w:t>
      </w:r>
      <w:r>
        <w:rPr>
          <w:rFonts w:hint="eastAsia" w:cs="Times New Roman"/>
          <w:bCs/>
          <w:sz w:val="24"/>
          <w:szCs w:val="24"/>
          <w:lang w:val="en-US" w:eastAsia="zh-CN"/>
        </w:rPr>
        <w:t>1</w:t>
      </w:r>
      <w:r>
        <w:rPr>
          <w:rFonts w:ascii="Times New Roman" w:hAnsi="Times New Roman" w:cs="Times New Roman"/>
          <w:bCs/>
          <w:sz w:val="24"/>
          <w:szCs w:val="24"/>
        </w:rPr>
        <w:t>分；</w:t>
      </w:r>
      <w:r>
        <w:rPr>
          <w:rFonts w:ascii="Times New Roman" w:hAnsi="Times New Roman" w:cs="Times New Roman"/>
          <w:sz w:val="24"/>
          <w:szCs w:val="24"/>
        </w:rPr>
        <w:t>场地出入口到达公共交通站点的步行距离不超过300m</w:t>
      </w:r>
      <w:r>
        <w:rPr>
          <w:rFonts w:ascii="Times New Roman" w:hAnsi="Times New Roman" w:cs="Times New Roman"/>
          <w:bCs/>
          <w:sz w:val="24"/>
          <w:szCs w:val="24"/>
        </w:rPr>
        <w:t>或到达轨道交通站的步行距离不大于500m，得</w:t>
      </w:r>
      <w:r>
        <w:rPr>
          <w:rFonts w:hint="eastAsia" w:cs="Times New Roman"/>
          <w:bCs/>
          <w:sz w:val="24"/>
          <w:szCs w:val="24"/>
          <w:lang w:val="en-US" w:eastAsia="zh-CN"/>
        </w:rPr>
        <w:t>2</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textAlignment w:val="auto"/>
        <w:outlineLvl w:val="9"/>
        <w:rPr>
          <w:rFonts w:ascii="Times New Roman" w:hAnsi="Times New Roman" w:cs="Times New Roman"/>
          <w:sz w:val="24"/>
          <w:szCs w:val="24"/>
        </w:rPr>
      </w:pPr>
      <w:r>
        <w:rPr>
          <w:rFonts w:ascii="Times New Roman" w:hAnsi="Times New Roman" w:cs="Times New Roman"/>
          <w:b/>
          <w:bCs/>
          <w:sz w:val="24"/>
          <w:szCs w:val="24"/>
        </w:rPr>
        <w:t>2　</w:t>
      </w:r>
      <w:r>
        <w:rPr>
          <w:rFonts w:ascii="Times New Roman" w:hAnsi="Times New Roman" w:cs="Times New Roman"/>
          <w:sz w:val="24"/>
          <w:szCs w:val="24"/>
        </w:rPr>
        <w:t>场地出入口步行距离800m范围内设有不少于2条线路的公共交通站点，得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hint="default" w:ascii="Times New Roman" w:hAnsi="Times New Roman" w:cs="Times New Roman"/>
          <w:b w:val="0"/>
          <w:bCs w:val="0"/>
          <w:color w:val="000000" w:themeColor="text1"/>
          <w:sz w:val="24"/>
          <w:szCs w:val="24"/>
          <w14:textFill>
            <w14:solidFill>
              <w14:schemeClr w14:val="tx1"/>
            </w14:solidFill>
          </w14:textFill>
        </w:rPr>
      </w:pPr>
      <w:bookmarkStart w:id="216" w:name="_Toc10660342"/>
      <w:bookmarkStart w:id="217" w:name="_Toc27597"/>
      <w:bookmarkStart w:id="218" w:name="_Toc31214"/>
      <w:bookmarkStart w:id="219" w:name="_Toc24103"/>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　建筑室内外公共区域满足全龄化设计要求，评</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估</w:t>
      </w:r>
      <w:r>
        <w:rPr>
          <w:rFonts w:hint="default" w:ascii="Times New Roman" w:hAnsi="Times New Roman" w:cs="Times New Roman"/>
          <w:b w:val="0"/>
          <w:bCs w:val="0"/>
          <w:color w:val="000000" w:themeColor="text1"/>
          <w:sz w:val="24"/>
          <w:szCs w:val="24"/>
          <w14:textFill>
            <w14:solidFill>
              <w14:schemeClr w14:val="tx1"/>
            </w14:solidFill>
          </w14:textFill>
        </w:rPr>
        <w:t>总分值为</w:t>
      </w:r>
      <w:r>
        <w:rPr>
          <w:rFonts w:hint="default"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14:textFill>
            <w14:solidFill>
              <w14:schemeClr w14:val="tx1"/>
            </w14:solidFill>
          </w14:textFill>
        </w:rPr>
        <w:t>分，按下列规则分别评分并累计：</w:t>
      </w:r>
      <w:bookmarkEnd w:id="216"/>
      <w:bookmarkEnd w:id="217"/>
      <w:bookmarkEnd w:id="218"/>
      <w:bookmarkEnd w:id="219"/>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1　</w:t>
      </w:r>
      <w:r>
        <w:rPr>
          <w:rFonts w:ascii="Times New Roman" w:hAnsi="Times New Roman" w:cs="Times New Roman"/>
          <w:bCs/>
          <w:sz w:val="24"/>
          <w:szCs w:val="24"/>
        </w:rPr>
        <w:t>建筑室内公共区域、室外公共活动场地及道路均满足无障碍设计要求，得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2　</w:t>
      </w:r>
      <w:r>
        <w:rPr>
          <w:rFonts w:ascii="Times New Roman" w:hAnsi="Times New Roman"/>
          <w:color w:val="000000" w:themeColor="text1"/>
          <w:sz w:val="24"/>
          <w14:textFill>
            <w14:solidFill>
              <w14:schemeClr w14:val="tx1"/>
            </w14:solidFill>
          </w14:textFill>
        </w:rPr>
        <w:t>无障碍停车位位置设置合理，方便出入</w:t>
      </w:r>
      <w:r>
        <w:rPr>
          <w:rFonts w:ascii="Times New Roman" w:hAnsi="Times New Roman" w:cs="Times New Roman"/>
          <w:bCs/>
          <w:sz w:val="24"/>
          <w:szCs w:val="24"/>
        </w:rPr>
        <w:t>，得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3　</w:t>
      </w:r>
      <w:r>
        <w:rPr>
          <w:rFonts w:ascii="Times New Roman" w:hAnsi="Times New Roman" w:cs="Times New Roman"/>
          <w:bCs/>
          <w:sz w:val="24"/>
          <w:szCs w:val="24"/>
        </w:rPr>
        <w:t>设有可容纳担架的无障碍电梯，得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hint="default" w:ascii="Times New Roman" w:hAnsi="Times New Roman" w:cs="Times New Roman"/>
          <w:b w:val="0"/>
          <w:bCs w:val="0"/>
          <w:color w:val="000000" w:themeColor="text1"/>
          <w:sz w:val="24"/>
          <w:szCs w:val="24"/>
          <w14:textFill>
            <w14:solidFill>
              <w14:schemeClr w14:val="tx1"/>
            </w14:solidFill>
          </w14:textFill>
        </w:rPr>
      </w:pPr>
      <w:bookmarkStart w:id="220" w:name="_Toc30905"/>
      <w:bookmarkStart w:id="221" w:name="_Toc4181"/>
      <w:bookmarkStart w:id="222" w:name="_Toc10397"/>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14:textFill>
            <w14:solidFill>
              <w14:schemeClr w14:val="tx1"/>
            </w14:solidFill>
          </w14:textFill>
        </w:rPr>
        <w:t>　提供便利的公共服务，评</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估</w:t>
      </w:r>
      <w:r>
        <w:rPr>
          <w:rFonts w:hint="default" w:ascii="Times New Roman" w:hAnsi="Times New Roman" w:cs="Times New Roman"/>
          <w:b w:val="0"/>
          <w:bCs w:val="0"/>
          <w:color w:val="000000" w:themeColor="text1"/>
          <w:sz w:val="24"/>
          <w:szCs w:val="24"/>
          <w14:textFill>
            <w14:solidFill>
              <w14:schemeClr w14:val="tx1"/>
            </w14:solidFill>
          </w14:textFill>
        </w:rPr>
        <w:t>总分值为</w:t>
      </w:r>
      <w:r>
        <w:rPr>
          <w:rFonts w:hint="default"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cs="Times New Roman"/>
          <w:b w:val="0"/>
          <w:bCs w:val="0"/>
          <w:color w:val="000000" w:themeColor="text1"/>
          <w:sz w:val="24"/>
          <w:szCs w:val="24"/>
          <w14:textFill>
            <w14:solidFill>
              <w14:schemeClr w14:val="tx1"/>
            </w14:solidFill>
          </w14:textFill>
        </w:rPr>
        <w:t>分，按下列规则评分：</w:t>
      </w:r>
      <w:bookmarkEnd w:id="220"/>
      <w:bookmarkEnd w:id="221"/>
      <w:bookmarkEnd w:id="222"/>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bCs/>
          <w:sz w:val="24"/>
          <w:szCs w:val="24"/>
        </w:rPr>
        <w:t>　</w:t>
      </w:r>
      <w:r>
        <w:rPr>
          <w:rFonts w:ascii="Times New Roman" w:hAnsi="Times New Roman" w:cs="Times New Roman"/>
          <w:sz w:val="24"/>
          <w:szCs w:val="24"/>
        </w:rPr>
        <w:t>住宅建筑，满足下列要求中的4项，得</w:t>
      </w:r>
      <w:r>
        <w:rPr>
          <w:rFonts w:hint="eastAsia" w:cs="Times New Roman"/>
          <w:sz w:val="24"/>
          <w:szCs w:val="24"/>
          <w:lang w:val="en-US" w:eastAsia="zh-CN"/>
        </w:rPr>
        <w:t>2</w:t>
      </w:r>
      <w:r>
        <w:rPr>
          <w:rFonts w:ascii="Times New Roman" w:hAnsi="Times New Roman" w:cs="Times New Roman"/>
          <w:sz w:val="24"/>
          <w:szCs w:val="24"/>
        </w:rPr>
        <w:t>分；满足6项及以上，得</w:t>
      </w:r>
      <w:r>
        <w:rPr>
          <w:rFonts w:hint="eastAsia" w:cs="Times New Roman"/>
          <w:sz w:val="24"/>
          <w:szCs w:val="24"/>
          <w:lang w:val="en-US" w:eastAsia="zh-CN"/>
        </w:rPr>
        <w:t>4</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1）场地出入口到达幼儿园的步行距离不大于300m；</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2）场地出入口到达小学的步行距离不大于500m；</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3）场地出入口到达中学的步行距离不大于1000m；</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4）场地出入口到达医院的步行距离不大于1000m；</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5）场地出入口到达群众文化活动设施的步行距离不大于800m；</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bCs/>
          <w:sz w:val="24"/>
          <w:szCs w:val="24"/>
        </w:rPr>
        <w:t>场地出入口到达老年人日间照料设施的步行距离不大于5</w:t>
      </w:r>
      <w:r>
        <w:rPr>
          <w:rFonts w:ascii="Times New Roman" w:hAnsi="Times New Roman" w:cs="Times New Roman"/>
          <w:sz w:val="24"/>
          <w:szCs w:val="24"/>
        </w:rPr>
        <w:t>00m；</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bCs/>
          <w:sz w:val="24"/>
          <w:szCs w:val="24"/>
        </w:rPr>
        <w:t>场地周边500m范围内具有不少于3种商业服务设施。</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w:t>
      </w:r>
      <w:r>
        <w:rPr>
          <w:rFonts w:ascii="Times New Roman" w:hAnsi="Times New Roman" w:cs="Times New Roman"/>
          <w:sz w:val="24"/>
          <w:szCs w:val="24"/>
        </w:rPr>
        <w:t>公共建筑，满足下列要求中的3项，得</w:t>
      </w:r>
      <w:r>
        <w:rPr>
          <w:rFonts w:hint="eastAsia" w:cs="Times New Roman"/>
          <w:sz w:val="24"/>
          <w:szCs w:val="24"/>
          <w:lang w:val="en-US" w:eastAsia="zh-CN"/>
        </w:rPr>
        <w:t>2</w:t>
      </w:r>
      <w:r>
        <w:rPr>
          <w:rFonts w:ascii="Times New Roman" w:hAnsi="Times New Roman" w:cs="Times New Roman"/>
          <w:sz w:val="24"/>
          <w:szCs w:val="24"/>
        </w:rPr>
        <w:t>分；满足5项，得</w:t>
      </w:r>
      <w:r>
        <w:rPr>
          <w:rFonts w:hint="eastAsia" w:cs="Times New Roman"/>
          <w:sz w:val="24"/>
          <w:szCs w:val="24"/>
          <w:lang w:val="en-US" w:eastAsia="zh-CN"/>
        </w:rPr>
        <w:t>4</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1）建筑内至少兼容2种面向社会的公共服务功能；</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2）建筑向社会公众提供开放的公共活动空间；</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3）电动汽车充电桩的车位数占总车位数的比例不低于10%；</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4）周边500m范围内设有社会公共停车场（库）；</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sz w:val="24"/>
          <w:szCs w:val="24"/>
        </w:rPr>
      </w:pPr>
      <w:r>
        <w:rPr>
          <w:rFonts w:ascii="Times New Roman" w:hAnsi="Times New Roman" w:cs="Times New Roman"/>
          <w:bCs/>
          <w:sz w:val="24"/>
          <w:szCs w:val="24"/>
        </w:rPr>
        <w:t>5）场地不封闭或场地内步行公共通道向社会开放。</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eastAsia" w:eastAsia="宋体"/>
          <w:color w:val="000000" w:themeColor="text1"/>
          <w:sz w:val="24"/>
          <w:lang w:eastAsia="zh-CN"/>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24</w:t>
      </w:r>
      <w:r>
        <w:rPr>
          <w:rFonts w:hint="default"/>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合理设置</w:t>
      </w:r>
      <w:r>
        <w:rPr>
          <w:color w:val="000000" w:themeColor="text1"/>
          <w:sz w:val="24"/>
          <w14:textFill>
            <w14:solidFill>
              <w14:schemeClr w14:val="tx1"/>
            </w14:solidFill>
          </w14:textFill>
        </w:rPr>
        <w:t>自行车停</w:t>
      </w:r>
      <w:r>
        <w:rPr>
          <w:rFonts w:hint="eastAsia"/>
          <w:color w:val="000000" w:themeColor="text1"/>
          <w:sz w:val="24"/>
          <w:lang w:val="en-US" w:eastAsia="zh-CN"/>
          <w14:textFill>
            <w14:solidFill>
              <w14:schemeClr w14:val="tx1"/>
            </w14:solidFill>
          </w14:textFill>
        </w:rPr>
        <w:t>车设施</w:t>
      </w:r>
      <w:r>
        <w:rPr>
          <w:color w:val="000000" w:themeColor="text1"/>
          <w:sz w:val="24"/>
          <w14:textFill>
            <w14:solidFill>
              <w14:schemeClr w14:val="tx1"/>
            </w14:solidFill>
          </w14:textFill>
        </w:rPr>
        <w:t>，电动自动车集中充电设施，有遮阳挡雨设施，评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分值为</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分</w:t>
      </w:r>
      <w:r>
        <w:rPr>
          <w:rFonts w:hint="eastAsia"/>
          <w:color w:val="000000" w:themeColor="text1"/>
          <w:sz w:val="24"/>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ascii="Times New Roman" w:hAnsi="Times New Roman" w:cs="Times New Roman"/>
          <w:b w:val="0"/>
          <w:bCs w:val="0"/>
          <w:color w:val="000000" w:themeColor="text1"/>
          <w:sz w:val="24"/>
          <w:szCs w:val="24"/>
          <w14:textFill>
            <w14:solidFill>
              <w14:schemeClr w14:val="tx1"/>
            </w14:solidFill>
          </w14:textFill>
        </w:rPr>
      </w:pPr>
      <w:bookmarkStart w:id="223" w:name="_Toc25772"/>
      <w:bookmarkStart w:id="224" w:name="_Toc9422"/>
      <w:bookmarkStart w:id="225" w:name="_Toc32224"/>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25</w:t>
      </w:r>
      <w:r>
        <w:rPr>
          <w:rFonts w:ascii="Times New Roman" w:hAnsi="Times New Roman" w:cs="Times New Roman"/>
          <w:b w:val="0"/>
          <w:bCs w:val="0"/>
          <w:color w:val="000000" w:themeColor="text1"/>
          <w:sz w:val="24"/>
          <w:szCs w:val="24"/>
          <w14:textFill>
            <w14:solidFill>
              <w14:schemeClr w14:val="tx1"/>
            </w14:solidFill>
          </w14:textFill>
        </w:rPr>
        <w:t>　城市绿地、广场及公共运动场地等开敞空间，步行可达，评</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估</w:t>
      </w:r>
      <w:r>
        <w:rPr>
          <w:rFonts w:ascii="Times New Roman" w:hAnsi="Times New Roman" w:cs="Times New Roman"/>
          <w:b w:val="0"/>
          <w:bCs w:val="0"/>
          <w:color w:val="000000" w:themeColor="text1"/>
          <w:sz w:val="24"/>
          <w:szCs w:val="24"/>
          <w14:textFill>
            <w14:solidFill>
              <w14:schemeClr w14:val="tx1"/>
            </w14:solidFill>
          </w14:textFill>
        </w:rPr>
        <w:t>总分值为</w:t>
      </w:r>
      <w:r>
        <w:rPr>
          <w:rFonts w:hint="eastAsia" w:cs="Times New Roman"/>
          <w:b w:val="0"/>
          <w:bCs w:val="0"/>
          <w:color w:val="000000" w:themeColor="text1"/>
          <w:sz w:val="24"/>
          <w:szCs w:val="24"/>
          <w:lang w:val="en-US" w:eastAsia="zh-CN"/>
          <w14:textFill>
            <w14:solidFill>
              <w14:schemeClr w14:val="tx1"/>
            </w14:solidFill>
          </w14:textFill>
        </w:rPr>
        <w:t>2</w:t>
      </w:r>
      <w:r>
        <w:rPr>
          <w:rFonts w:ascii="Times New Roman" w:hAnsi="Times New Roman" w:cs="Times New Roman"/>
          <w:b w:val="0"/>
          <w:bCs w:val="0"/>
          <w:color w:val="000000" w:themeColor="text1"/>
          <w:sz w:val="24"/>
          <w:szCs w:val="24"/>
          <w14:textFill>
            <w14:solidFill>
              <w14:schemeClr w14:val="tx1"/>
            </w14:solidFill>
          </w14:textFill>
        </w:rPr>
        <w:t>分，按下列规则分别评分并累计：</w:t>
      </w:r>
      <w:bookmarkEnd w:id="223"/>
      <w:bookmarkEnd w:id="224"/>
      <w:bookmarkEnd w:id="225"/>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1　</w:t>
      </w:r>
      <w:r>
        <w:rPr>
          <w:rFonts w:ascii="Times New Roman" w:hAnsi="Times New Roman" w:cs="Times New Roman"/>
          <w:bCs/>
          <w:sz w:val="24"/>
          <w:szCs w:val="24"/>
        </w:rPr>
        <w:t>场地出入口到达城市公园绿地、居住区公园、广场的步行距离不大于300m，得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2　</w:t>
      </w:r>
      <w:r>
        <w:rPr>
          <w:rFonts w:ascii="Times New Roman" w:hAnsi="Times New Roman" w:cs="Times New Roman"/>
          <w:bCs/>
          <w:sz w:val="24"/>
          <w:szCs w:val="24"/>
        </w:rPr>
        <w:t>到达中型多功能运动场地的步行距离不大于500m，得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ascii="Times New Roman" w:hAnsi="Times New Roman" w:cs="Times New Roman"/>
          <w:b w:val="0"/>
          <w:bCs w:val="0"/>
          <w:color w:val="000000" w:themeColor="text1"/>
          <w:sz w:val="24"/>
          <w:szCs w:val="24"/>
          <w14:textFill>
            <w14:solidFill>
              <w14:schemeClr w14:val="tx1"/>
            </w14:solidFill>
          </w14:textFill>
        </w:rPr>
      </w:pPr>
      <w:bookmarkStart w:id="226" w:name="_Toc10660346"/>
      <w:bookmarkStart w:id="227" w:name="_Toc1545"/>
      <w:bookmarkStart w:id="228" w:name="_Toc12935"/>
      <w:bookmarkStart w:id="229" w:name="_Toc21036"/>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26</w:t>
      </w:r>
      <w:r>
        <w:rPr>
          <w:rFonts w:ascii="Times New Roman" w:hAnsi="Times New Roman" w:cs="Times New Roman"/>
          <w:b w:val="0"/>
          <w:bCs w:val="0"/>
          <w:color w:val="000000" w:themeColor="text1"/>
          <w:sz w:val="24"/>
          <w:szCs w:val="24"/>
          <w14:textFill>
            <w14:solidFill>
              <w14:schemeClr w14:val="tx1"/>
            </w14:solidFill>
          </w14:textFill>
        </w:rPr>
        <w:t>　合理设置健身场地和空间，评</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估</w:t>
      </w:r>
      <w:r>
        <w:rPr>
          <w:rFonts w:ascii="Times New Roman" w:hAnsi="Times New Roman" w:cs="Times New Roman"/>
          <w:b w:val="0"/>
          <w:bCs w:val="0"/>
          <w:color w:val="000000" w:themeColor="text1"/>
          <w:sz w:val="24"/>
          <w:szCs w:val="24"/>
          <w14:textFill>
            <w14:solidFill>
              <w14:schemeClr w14:val="tx1"/>
            </w14:solidFill>
          </w14:textFill>
        </w:rPr>
        <w:t>总分值为</w:t>
      </w:r>
      <w:r>
        <w:rPr>
          <w:rFonts w:hint="eastAsia" w:cs="Times New Roman"/>
          <w:b w:val="0"/>
          <w:bCs w:val="0"/>
          <w:color w:val="000000" w:themeColor="text1"/>
          <w:sz w:val="24"/>
          <w:szCs w:val="24"/>
          <w:lang w:val="en-US" w:eastAsia="zh-CN"/>
          <w14:textFill>
            <w14:solidFill>
              <w14:schemeClr w14:val="tx1"/>
            </w14:solidFill>
          </w14:textFill>
        </w:rPr>
        <w:t>4</w:t>
      </w:r>
      <w:r>
        <w:rPr>
          <w:rFonts w:ascii="Times New Roman" w:hAnsi="Times New Roman" w:cs="Times New Roman"/>
          <w:b w:val="0"/>
          <w:bCs w:val="0"/>
          <w:color w:val="000000" w:themeColor="text1"/>
          <w:sz w:val="24"/>
          <w:szCs w:val="24"/>
          <w14:textFill>
            <w14:solidFill>
              <w14:schemeClr w14:val="tx1"/>
            </w14:solidFill>
          </w14:textFill>
        </w:rPr>
        <w:t>分，按下列规则分别评分并累计：</w:t>
      </w:r>
      <w:bookmarkEnd w:id="226"/>
      <w:bookmarkEnd w:id="227"/>
      <w:bookmarkEnd w:id="228"/>
      <w:bookmarkEnd w:id="229"/>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bCs/>
          <w:sz w:val="24"/>
          <w:szCs w:val="24"/>
        </w:rPr>
        <w:t>　</w:t>
      </w:r>
      <w:r>
        <w:rPr>
          <w:rFonts w:ascii="Times New Roman" w:hAnsi="Times New Roman" w:cs="Times New Roman"/>
          <w:sz w:val="24"/>
          <w:szCs w:val="24"/>
        </w:rPr>
        <w:t>室外健身场地面积不少于总用地面积的0.5%，得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w:t>
      </w:r>
      <w:r>
        <w:rPr>
          <w:rFonts w:ascii="Times New Roman" w:hAnsi="Times New Roman" w:cs="Times New Roman"/>
          <w:sz w:val="24"/>
          <w:szCs w:val="24"/>
        </w:rPr>
        <w:t>设置宽度不少于1.25m的专用健身慢行道，健身慢行道长度不少于用地红线周长的1/4且不少于100m，得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bCs/>
          <w:sz w:val="24"/>
          <w:szCs w:val="24"/>
        </w:rPr>
        <w:t>　</w:t>
      </w:r>
      <w:r>
        <w:rPr>
          <w:rFonts w:ascii="Times New Roman" w:hAnsi="Times New Roman" w:cs="Times New Roman"/>
          <w:sz w:val="24"/>
          <w:szCs w:val="24"/>
        </w:rPr>
        <w:t>室内健身空间的面积不少于地上建筑面积的0.3%且不少于60m</w:t>
      </w:r>
      <w:r>
        <w:rPr>
          <w:rFonts w:ascii="Times New Roman" w:hAnsi="Times New Roman" w:cs="Times New Roman"/>
          <w:sz w:val="24"/>
          <w:szCs w:val="24"/>
          <w:vertAlign w:val="superscript"/>
        </w:rPr>
        <w:t>2</w:t>
      </w:r>
      <w:r>
        <w:rPr>
          <w:rFonts w:ascii="Times New Roman" w:hAnsi="Times New Roman" w:cs="Times New Roman"/>
          <w:sz w:val="24"/>
          <w:szCs w:val="24"/>
        </w:rPr>
        <w:t>，得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bCs/>
          <w:sz w:val="24"/>
          <w:szCs w:val="24"/>
        </w:rPr>
        <w:t>　</w:t>
      </w:r>
      <w:r>
        <w:rPr>
          <w:rFonts w:ascii="Times New Roman" w:hAnsi="Times New Roman" w:cs="Times New Roman"/>
          <w:sz w:val="24"/>
          <w:szCs w:val="24"/>
        </w:rPr>
        <w:t>楼梯间具有天然采光和良好的视野</w:t>
      </w:r>
      <w:r>
        <w:rPr>
          <w:rFonts w:hint="eastAsia" w:cs="Times New Roman"/>
          <w:sz w:val="24"/>
          <w:szCs w:val="24"/>
          <w:lang w:val="en-US" w:eastAsia="zh-CN"/>
        </w:rPr>
        <w:t>且</w:t>
      </w:r>
      <w:r>
        <w:rPr>
          <w:rFonts w:ascii="Times New Roman" w:hAnsi="Times New Roman" w:cs="Times New Roman"/>
          <w:sz w:val="24"/>
          <w:szCs w:val="24"/>
        </w:rPr>
        <w:t>距离主入口的距离不大于15m，得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ascii="Times New Roman" w:hAnsi="Times New Roman" w:cs="Times New Roman"/>
          <w:b w:val="0"/>
          <w:bCs w:val="0"/>
          <w:color w:val="000000" w:themeColor="text1"/>
          <w:sz w:val="24"/>
          <w:szCs w:val="24"/>
          <w14:textFill>
            <w14:solidFill>
              <w14:schemeClr w14:val="tx1"/>
            </w14:solidFill>
          </w14:textFill>
        </w:rPr>
      </w:pPr>
      <w:bookmarkStart w:id="230" w:name="_Toc1484"/>
      <w:bookmarkStart w:id="231" w:name="_Toc21842"/>
      <w:bookmarkStart w:id="232" w:name="_Toc10660348"/>
      <w:bookmarkStart w:id="233" w:name="_Toc13182"/>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27</w:t>
      </w:r>
      <w:r>
        <w:rPr>
          <w:rFonts w:ascii="Times New Roman" w:hAnsi="Times New Roman" w:cs="Times New Roman"/>
          <w:b w:val="0"/>
          <w:bCs w:val="0"/>
          <w:color w:val="000000" w:themeColor="text1"/>
          <w:sz w:val="24"/>
          <w:szCs w:val="24"/>
          <w14:textFill>
            <w14:solidFill>
              <w14:schemeClr w14:val="tx1"/>
            </w14:solidFill>
          </w14:textFill>
        </w:rPr>
        <w:t>　设置分类、分级用能自动远传计量系统</w:t>
      </w:r>
      <w:r>
        <w:rPr>
          <w:rFonts w:hint="eastAsia" w:cs="Times New Roman"/>
          <w:b w:val="0"/>
          <w:bCs w:val="0"/>
          <w:color w:val="000000" w:themeColor="text1"/>
          <w:sz w:val="24"/>
          <w:szCs w:val="24"/>
          <w:lang w:val="en-US" w:eastAsia="zh-CN"/>
          <w14:textFill>
            <w14:solidFill>
              <w14:schemeClr w14:val="tx1"/>
            </w14:solidFill>
          </w14:textFill>
        </w:rPr>
        <w:t>且</w:t>
      </w:r>
      <w:r>
        <w:rPr>
          <w:rFonts w:ascii="Times New Roman" w:hAnsi="Times New Roman" w:cs="Times New Roman"/>
          <w:b w:val="0"/>
          <w:bCs w:val="0"/>
          <w:color w:val="000000" w:themeColor="text1"/>
          <w:sz w:val="24"/>
          <w:szCs w:val="24"/>
          <w14:textFill>
            <w14:solidFill>
              <w14:schemeClr w14:val="tx1"/>
            </w14:solidFill>
          </w14:textFill>
        </w:rPr>
        <w:t>设置能源管理系统实现对建筑能耗的监测、数据分析和管理，评</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估</w:t>
      </w:r>
      <w:r>
        <w:rPr>
          <w:rFonts w:ascii="Times New Roman" w:hAnsi="Times New Roman" w:cs="Times New Roman"/>
          <w:b w:val="0"/>
          <w:bCs w:val="0"/>
          <w:color w:val="000000" w:themeColor="text1"/>
          <w:sz w:val="24"/>
          <w:szCs w:val="24"/>
          <w14:textFill>
            <w14:solidFill>
              <w14:schemeClr w14:val="tx1"/>
            </w14:solidFill>
          </w14:textFill>
        </w:rPr>
        <w:t>分值为</w:t>
      </w:r>
      <w:r>
        <w:rPr>
          <w:rFonts w:hint="eastAsia" w:cs="Times New Roman"/>
          <w:b w:val="0"/>
          <w:bCs w:val="0"/>
          <w:color w:val="000000" w:themeColor="text1"/>
          <w:sz w:val="24"/>
          <w:szCs w:val="24"/>
          <w:lang w:val="en-US" w:eastAsia="zh-CN"/>
          <w14:textFill>
            <w14:solidFill>
              <w14:schemeClr w14:val="tx1"/>
            </w14:solidFill>
          </w14:textFill>
        </w:rPr>
        <w:t>3</w:t>
      </w:r>
      <w:r>
        <w:rPr>
          <w:rFonts w:ascii="Times New Roman" w:hAnsi="Times New Roman" w:cs="Times New Roman"/>
          <w:b w:val="0"/>
          <w:bCs w:val="0"/>
          <w:color w:val="000000" w:themeColor="text1"/>
          <w:sz w:val="24"/>
          <w:szCs w:val="24"/>
          <w14:textFill>
            <w14:solidFill>
              <w14:schemeClr w14:val="tx1"/>
            </w14:solidFill>
          </w14:textFill>
        </w:rPr>
        <w:t>分。</w:t>
      </w:r>
      <w:bookmarkEnd w:id="230"/>
      <w:bookmarkEnd w:id="231"/>
      <w:bookmarkEnd w:id="232"/>
      <w:bookmarkEnd w:id="233"/>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ascii="Times New Roman" w:hAnsi="Times New Roman" w:cs="Times New Roman"/>
          <w:b w:val="0"/>
          <w:bCs w:val="0"/>
          <w:color w:val="000000" w:themeColor="text1"/>
          <w:sz w:val="24"/>
          <w:szCs w:val="24"/>
          <w14:textFill>
            <w14:solidFill>
              <w14:schemeClr w14:val="tx1"/>
            </w14:solidFill>
          </w14:textFill>
        </w:rPr>
      </w:pPr>
      <w:bookmarkStart w:id="234" w:name="_Toc25015"/>
      <w:bookmarkStart w:id="235" w:name="_Toc16303"/>
      <w:bookmarkStart w:id="236" w:name="_Toc9625"/>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28</w:t>
      </w:r>
      <w:r>
        <w:rPr>
          <w:rFonts w:ascii="Times New Roman" w:hAnsi="Times New Roman" w:cs="Times New Roman"/>
          <w:b w:val="0"/>
          <w:bCs w:val="0"/>
          <w:color w:val="000000" w:themeColor="text1"/>
          <w:sz w:val="24"/>
          <w:szCs w:val="24"/>
          <w14:textFill>
            <w14:solidFill>
              <w14:schemeClr w14:val="tx1"/>
            </w14:solidFill>
          </w14:textFill>
        </w:rPr>
        <w:t>　设置用水远传计量系统，评</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估</w:t>
      </w:r>
      <w:r>
        <w:rPr>
          <w:rFonts w:ascii="Times New Roman" w:hAnsi="Times New Roman" w:cs="Times New Roman"/>
          <w:b w:val="0"/>
          <w:bCs w:val="0"/>
          <w:color w:val="000000" w:themeColor="text1"/>
          <w:sz w:val="24"/>
          <w:szCs w:val="24"/>
          <w14:textFill>
            <w14:solidFill>
              <w14:schemeClr w14:val="tx1"/>
            </w14:solidFill>
          </w14:textFill>
        </w:rPr>
        <w:t>总分值为</w:t>
      </w:r>
      <w:r>
        <w:rPr>
          <w:rFonts w:hint="eastAsia" w:cs="Times New Roman"/>
          <w:b w:val="0"/>
          <w:bCs w:val="0"/>
          <w:color w:val="000000" w:themeColor="text1"/>
          <w:sz w:val="24"/>
          <w:szCs w:val="24"/>
          <w:lang w:val="en-US" w:eastAsia="zh-CN"/>
          <w14:textFill>
            <w14:solidFill>
              <w14:schemeClr w14:val="tx1"/>
            </w14:solidFill>
          </w14:textFill>
        </w:rPr>
        <w:t>2</w:t>
      </w:r>
      <w:r>
        <w:rPr>
          <w:rFonts w:ascii="Times New Roman" w:hAnsi="Times New Roman" w:cs="Times New Roman"/>
          <w:b w:val="0"/>
          <w:bCs w:val="0"/>
          <w:color w:val="000000" w:themeColor="text1"/>
          <w:sz w:val="24"/>
          <w:szCs w:val="24"/>
          <w14:textFill>
            <w14:solidFill>
              <w14:schemeClr w14:val="tx1"/>
            </w14:solidFill>
          </w14:textFill>
        </w:rPr>
        <w:t>分，按下列规则评分并累计：</w:t>
      </w:r>
      <w:bookmarkEnd w:id="234"/>
      <w:bookmarkEnd w:id="235"/>
      <w:bookmarkEnd w:id="236"/>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1　</w:t>
      </w:r>
      <w:r>
        <w:rPr>
          <w:rFonts w:ascii="Times New Roman" w:hAnsi="Times New Roman" w:cs="Times New Roman"/>
          <w:bCs/>
          <w:sz w:val="24"/>
          <w:szCs w:val="24"/>
        </w:rPr>
        <w:t>设置用水量远传计量系统，能分类、分级记录、统计分析各种用水情况，得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sz w:val="24"/>
          <w:szCs w:val="24"/>
        </w:rPr>
        <w:t>2</w:t>
      </w:r>
      <w:r>
        <w:rPr>
          <w:rFonts w:ascii="Times New Roman" w:hAnsi="Times New Roman" w:cs="Times New Roman"/>
          <w:b/>
          <w:bCs/>
          <w:sz w:val="24"/>
          <w:szCs w:val="24"/>
        </w:rPr>
        <w:t>　</w:t>
      </w:r>
      <w:r>
        <w:rPr>
          <w:rFonts w:ascii="Times New Roman" w:hAnsi="Times New Roman" w:cs="Times New Roman"/>
          <w:sz w:val="24"/>
          <w:szCs w:val="24"/>
        </w:rPr>
        <w:t>利用计量数据进行管网漏损自动检测、分析与整改，管道漏损率低于5%，得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ascii="Times New Roman" w:hAnsi="Times New Roman" w:cs="Times New Roman"/>
          <w:b w:val="0"/>
          <w:bCs w:val="0"/>
          <w:color w:val="000000" w:themeColor="text1"/>
          <w:sz w:val="24"/>
          <w:szCs w:val="24"/>
          <w14:textFill>
            <w14:solidFill>
              <w14:schemeClr w14:val="tx1"/>
            </w14:solidFill>
          </w14:textFill>
        </w:rPr>
      </w:pPr>
      <w:bookmarkStart w:id="237" w:name="_Toc15104"/>
      <w:bookmarkStart w:id="238" w:name="_Toc30816"/>
      <w:bookmarkStart w:id="239" w:name="_Toc5178"/>
      <w:bookmarkStart w:id="240" w:name="_Toc10660351"/>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29</w:t>
      </w:r>
      <w:r>
        <w:rPr>
          <w:rFonts w:ascii="Times New Roman" w:hAnsi="Times New Roman" w:cs="Times New Roman"/>
          <w:b w:val="0"/>
          <w:bCs w:val="0"/>
          <w:color w:val="000000" w:themeColor="text1"/>
          <w:sz w:val="24"/>
          <w:szCs w:val="24"/>
          <w14:textFill>
            <w14:solidFill>
              <w14:schemeClr w14:val="tx1"/>
            </w14:solidFill>
          </w14:textFill>
        </w:rPr>
        <w:t>　具有智能化服务系统，评</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估</w:t>
      </w:r>
      <w:r>
        <w:rPr>
          <w:rFonts w:ascii="Times New Roman" w:hAnsi="Times New Roman" w:cs="Times New Roman"/>
          <w:b w:val="0"/>
          <w:bCs w:val="0"/>
          <w:color w:val="000000" w:themeColor="text1"/>
          <w:sz w:val="24"/>
          <w:szCs w:val="24"/>
          <w14:textFill>
            <w14:solidFill>
              <w14:schemeClr w14:val="tx1"/>
            </w14:solidFill>
          </w14:textFill>
        </w:rPr>
        <w:t>总分值为</w:t>
      </w:r>
      <w:r>
        <w:rPr>
          <w:rFonts w:hint="eastAsia" w:cs="Times New Roman"/>
          <w:b w:val="0"/>
          <w:bCs w:val="0"/>
          <w:color w:val="000000" w:themeColor="text1"/>
          <w:sz w:val="24"/>
          <w:szCs w:val="24"/>
          <w:lang w:val="en-US" w:eastAsia="zh-CN"/>
          <w14:textFill>
            <w14:solidFill>
              <w14:schemeClr w14:val="tx1"/>
            </w14:solidFill>
          </w14:textFill>
        </w:rPr>
        <w:t>3</w:t>
      </w:r>
      <w:r>
        <w:rPr>
          <w:rFonts w:ascii="Times New Roman" w:hAnsi="Times New Roman" w:cs="Times New Roman"/>
          <w:b w:val="0"/>
          <w:bCs w:val="0"/>
          <w:color w:val="000000" w:themeColor="text1"/>
          <w:sz w:val="24"/>
          <w:szCs w:val="24"/>
          <w14:textFill>
            <w14:solidFill>
              <w14:schemeClr w14:val="tx1"/>
            </w14:solidFill>
          </w14:textFill>
        </w:rPr>
        <w:t>分，按下列规则分别评分并累计：</w:t>
      </w:r>
      <w:bookmarkEnd w:id="237"/>
      <w:bookmarkEnd w:id="238"/>
      <w:bookmarkEnd w:id="239"/>
      <w:bookmarkEnd w:id="240"/>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kern w:val="0"/>
          <w:sz w:val="24"/>
          <w:szCs w:val="24"/>
        </w:rPr>
      </w:pPr>
      <w:r>
        <w:rPr>
          <w:rFonts w:ascii="Times New Roman" w:hAnsi="Times New Roman" w:cs="Times New Roman"/>
          <w:b/>
          <w:bCs/>
          <w:kern w:val="0"/>
          <w:sz w:val="24"/>
          <w:szCs w:val="24"/>
        </w:rPr>
        <w:t>1</w:t>
      </w:r>
      <w:r>
        <w:rPr>
          <w:rFonts w:ascii="Times New Roman" w:hAnsi="Times New Roman" w:cs="Times New Roman"/>
          <w:b/>
          <w:bCs/>
          <w:sz w:val="24"/>
          <w:szCs w:val="24"/>
        </w:rPr>
        <w:t>　</w:t>
      </w:r>
      <w:r>
        <w:rPr>
          <w:rFonts w:ascii="Times New Roman" w:hAnsi="Times New Roman" w:cs="Times New Roman"/>
          <w:bCs/>
          <w:kern w:val="0"/>
          <w:sz w:val="24"/>
          <w:szCs w:val="24"/>
        </w:rPr>
        <w:t>具有家电控制、照明控制、安全报警、环境监测、建筑设备控制、工作生活服务等至少3种类型的服务功能，得</w:t>
      </w:r>
      <w:r>
        <w:rPr>
          <w:rFonts w:hint="eastAsia" w:cs="Times New Roman"/>
          <w:bCs/>
          <w:kern w:val="0"/>
          <w:sz w:val="24"/>
          <w:szCs w:val="24"/>
          <w:lang w:val="en-US" w:eastAsia="zh-CN"/>
        </w:rPr>
        <w:t>1</w:t>
      </w:r>
      <w:r>
        <w:rPr>
          <w:rFonts w:ascii="Times New Roman" w:hAnsi="Times New Roman" w:cs="Times New Roman"/>
          <w:bCs/>
          <w:kern w:val="0"/>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kern w:val="0"/>
          <w:sz w:val="24"/>
          <w:szCs w:val="24"/>
        </w:rPr>
      </w:pPr>
      <w:r>
        <w:rPr>
          <w:rFonts w:ascii="Times New Roman" w:hAnsi="Times New Roman" w:cs="Times New Roman"/>
          <w:b/>
          <w:bCs/>
          <w:kern w:val="0"/>
          <w:sz w:val="24"/>
          <w:szCs w:val="24"/>
        </w:rPr>
        <w:t>2</w:t>
      </w:r>
      <w:r>
        <w:rPr>
          <w:rFonts w:ascii="Times New Roman" w:hAnsi="Times New Roman" w:cs="Times New Roman"/>
          <w:b/>
          <w:bCs/>
          <w:sz w:val="24"/>
          <w:szCs w:val="24"/>
        </w:rPr>
        <w:t>　</w:t>
      </w:r>
      <w:r>
        <w:rPr>
          <w:rFonts w:ascii="Times New Roman" w:hAnsi="Times New Roman" w:cs="Times New Roman"/>
          <w:bCs/>
          <w:kern w:val="0"/>
          <w:sz w:val="24"/>
          <w:szCs w:val="24"/>
        </w:rPr>
        <w:t>具有远程监控的功能，得</w:t>
      </w:r>
      <w:r>
        <w:rPr>
          <w:rFonts w:hint="eastAsia" w:cs="Times New Roman"/>
          <w:bCs/>
          <w:kern w:val="0"/>
          <w:sz w:val="24"/>
          <w:szCs w:val="24"/>
          <w:lang w:val="en-US" w:eastAsia="zh-CN"/>
        </w:rPr>
        <w:t>1</w:t>
      </w:r>
      <w:r>
        <w:rPr>
          <w:rFonts w:ascii="Times New Roman" w:hAnsi="Times New Roman" w:cs="Times New Roman"/>
          <w:bCs/>
          <w:kern w:val="0"/>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3　</w:t>
      </w:r>
      <w:r>
        <w:rPr>
          <w:rFonts w:ascii="Times New Roman" w:hAnsi="Times New Roman" w:cs="Times New Roman"/>
          <w:bCs/>
          <w:sz w:val="24"/>
          <w:szCs w:val="24"/>
        </w:rPr>
        <w:t>具有接入智慧城市（城区、社区）的功能，得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textAlignment w:val="auto"/>
        <w:outlineLvl w:val="9"/>
        <w:rPr>
          <w:rFonts w:ascii="Times New Roman" w:hAnsi="Times New Roman" w:cs="Times New Roman"/>
          <w:b w:val="0"/>
          <w:bCs w:val="0"/>
          <w:color w:val="000000" w:themeColor="text1"/>
          <w:sz w:val="24"/>
          <w:szCs w:val="24"/>
          <w14:textFill>
            <w14:solidFill>
              <w14:schemeClr w14:val="tx1"/>
            </w14:solidFill>
          </w14:textFill>
        </w:rPr>
      </w:pPr>
      <w:bookmarkStart w:id="241" w:name="_Toc25160"/>
      <w:bookmarkStart w:id="242" w:name="_Toc22253"/>
      <w:bookmarkStart w:id="243" w:name="_Toc28117"/>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30</w:t>
      </w:r>
      <w:r>
        <w:rPr>
          <w:rFonts w:ascii="Times New Roman" w:hAnsi="Times New Roman" w:cs="Times New Roman"/>
          <w:b w:val="0"/>
          <w:bCs w:val="0"/>
          <w:color w:val="000000" w:themeColor="text1"/>
          <w:sz w:val="24"/>
          <w:szCs w:val="24"/>
          <w14:textFill>
            <w14:solidFill>
              <w14:schemeClr w14:val="tx1"/>
            </w14:solidFill>
          </w14:textFill>
        </w:rPr>
        <w:t>　制定完善的节能、节水、节材、绿化的操作规程、应急预案，有效实施能源资源管理激励机制，评</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估</w:t>
      </w:r>
      <w:r>
        <w:rPr>
          <w:rFonts w:ascii="Times New Roman" w:hAnsi="Times New Roman" w:cs="Times New Roman"/>
          <w:b w:val="0"/>
          <w:bCs w:val="0"/>
          <w:color w:val="000000" w:themeColor="text1"/>
          <w:sz w:val="24"/>
          <w:szCs w:val="24"/>
          <w14:textFill>
            <w14:solidFill>
              <w14:schemeClr w14:val="tx1"/>
            </w14:solidFill>
          </w14:textFill>
        </w:rPr>
        <w:t>总分值为</w:t>
      </w:r>
      <w:r>
        <w:rPr>
          <w:rFonts w:hint="eastAsia" w:cs="Times New Roman"/>
          <w:b w:val="0"/>
          <w:bCs w:val="0"/>
          <w:color w:val="000000" w:themeColor="text1"/>
          <w:sz w:val="24"/>
          <w:szCs w:val="24"/>
          <w:lang w:val="en-US" w:eastAsia="zh-CN"/>
          <w14:textFill>
            <w14:solidFill>
              <w14:schemeClr w14:val="tx1"/>
            </w14:solidFill>
          </w14:textFill>
        </w:rPr>
        <w:t>3</w:t>
      </w:r>
      <w:r>
        <w:rPr>
          <w:rFonts w:ascii="Times New Roman" w:hAnsi="Times New Roman" w:cs="Times New Roman"/>
          <w:b w:val="0"/>
          <w:bCs w:val="0"/>
          <w:color w:val="000000" w:themeColor="text1"/>
          <w:sz w:val="24"/>
          <w:szCs w:val="24"/>
          <w14:textFill>
            <w14:solidFill>
              <w14:schemeClr w14:val="tx1"/>
            </w14:solidFill>
          </w14:textFill>
        </w:rPr>
        <w:t>分，按下列规则分别评分并累计：</w:t>
      </w:r>
      <w:bookmarkEnd w:id="241"/>
      <w:bookmarkEnd w:id="242"/>
      <w:bookmarkEnd w:id="243"/>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1</w:t>
      </w:r>
      <w:r>
        <w:rPr>
          <w:rFonts w:ascii="Times New Roman" w:hAnsi="Times New Roman" w:cs="Times New Roman"/>
          <w:bCs/>
          <w:sz w:val="24"/>
          <w:szCs w:val="24"/>
        </w:rPr>
        <w:t>　相关设施具有完善的操作规程和应急预案，得</w:t>
      </w:r>
      <w:r>
        <w:rPr>
          <w:rFonts w:hint="eastAsia" w:cs="Times New Roman"/>
          <w:bCs/>
          <w:sz w:val="24"/>
          <w:szCs w:val="24"/>
          <w:lang w:val="en-US" w:eastAsia="zh-CN"/>
        </w:rPr>
        <w:t>2</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bCs/>
          <w:sz w:val="24"/>
          <w:szCs w:val="24"/>
        </w:rPr>
      </w:pPr>
      <w:r>
        <w:rPr>
          <w:rFonts w:ascii="Times New Roman" w:hAnsi="Times New Roman" w:cs="Times New Roman"/>
          <w:b/>
          <w:bCs/>
          <w:sz w:val="24"/>
          <w:szCs w:val="24"/>
        </w:rPr>
        <w:t>2</w:t>
      </w:r>
      <w:r>
        <w:rPr>
          <w:rFonts w:ascii="Times New Roman" w:hAnsi="Times New Roman" w:cs="Times New Roman"/>
          <w:bCs/>
          <w:sz w:val="24"/>
          <w:szCs w:val="24"/>
        </w:rPr>
        <w:t>　物业管理机构的工作考核体系中包含节能和节水绩效考核激励机制，得</w:t>
      </w:r>
      <w:r>
        <w:rPr>
          <w:rFonts w:hint="eastAsia" w:cs="Times New Roman"/>
          <w:bCs/>
          <w:sz w:val="24"/>
          <w:szCs w:val="24"/>
          <w:lang w:val="en-US" w:eastAsia="zh-CN"/>
        </w:rPr>
        <w:t>1</w:t>
      </w:r>
      <w:r>
        <w:rPr>
          <w:rFonts w:ascii="Times New Roman" w:hAnsi="Times New Roman" w:cs="Times New Roman"/>
          <w:bCs/>
          <w:sz w:val="24"/>
          <w:szCs w:val="24"/>
        </w:rPr>
        <w:t>分。</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ascii="Times New Roman" w:hAnsi="Times New Roman" w:cs="Times New Roman"/>
          <w:b w:val="0"/>
          <w:bCs w:val="0"/>
          <w:color w:val="000000" w:themeColor="text1"/>
          <w:sz w:val="24"/>
          <w:szCs w:val="24"/>
          <w14:textFill>
            <w14:solidFill>
              <w14:schemeClr w14:val="tx1"/>
            </w14:solidFill>
          </w14:textFill>
        </w:rPr>
      </w:pPr>
      <w:bookmarkStart w:id="244" w:name="_Toc11865"/>
      <w:bookmarkStart w:id="245" w:name="_Toc16717"/>
      <w:bookmarkStart w:id="246" w:name="_Toc6572"/>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31</w:t>
      </w:r>
      <w:r>
        <w:rPr>
          <w:rFonts w:ascii="Times New Roman" w:hAnsi="Times New Roman" w:cs="Times New Roman"/>
          <w:b w:val="0"/>
          <w:bCs w:val="0"/>
          <w:color w:val="000000" w:themeColor="text1"/>
          <w:sz w:val="24"/>
          <w:szCs w:val="24"/>
          <w14:textFill>
            <w14:solidFill>
              <w14:schemeClr w14:val="tx1"/>
            </w14:solidFill>
          </w14:textFill>
        </w:rPr>
        <w:t>　定期对绿色运营效果进行评估并根据结果进行运行优化，评</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估</w:t>
      </w:r>
      <w:r>
        <w:rPr>
          <w:rFonts w:ascii="Times New Roman" w:hAnsi="Times New Roman" w:cs="Times New Roman"/>
          <w:b w:val="0"/>
          <w:bCs w:val="0"/>
          <w:color w:val="000000" w:themeColor="text1"/>
          <w:sz w:val="24"/>
          <w:szCs w:val="24"/>
          <w14:textFill>
            <w14:solidFill>
              <w14:schemeClr w14:val="tx1"/>
            </w14:solidFill>
          </w14:textFill>
        </w:rPr>
        <w:t>总分值为</w:t>
      </w:r>
      <w:r>
        <w:rPr>
          <w:rFonts w:hint="eastAsia" w:cs="Times New Roman"/>
          <w:b w:val="0"/>
          <w:bCs w:val="0"/>
          <w:color w:val="000000" w:themeColor="text1"/>
          <w:sz w:val="24"/>
          <w:szCs w:val="24"/>
          <w:lang w:val="en-US" w:eastAsia="zh-CN"/>
          <w14:textFill>
            <w14:solidFill>
              <w14:schemeClr w14:val="tx1"/>
            </w14:solidFill>
          </w14:textFill>
        </w:rPr>
        <w:t>4</w:t>
      </w:r>
      <w:r>
        <w:rPr>
          <w:rFonts w:ascii="Times New Roman" w:hAnsi="Times New Roman" w:cs="Times New Roman"/>
          <w:b w:val="0"/>
          <w:bCs w:val="0"/>
          <w:color w:val="000000" w:themeColor="text1"/>
          <w:sz w:val="24"/>
          <w:szCs w:val="24"/>
          <w14:textFill>
            <w14:solidFill>
              <w14:schemeClr w14:val="tx1"/>
            </w14:solidFill>
          </w14:textFill>
        </w:rPr>
        <w:t>分，按下列规则分别评分并累计：</w:t>
      </w:r>
      <w:bookmarkEnd w:id="244"/>
      <w:bookmarkEnd w:id="245"/>
      <w:bookmarkEnd w:id="246"/>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bCs/>
          <w:sz w:val="24"/>
          <w:szCs w:val="24"/>
        </w:rPr>
        <w:t>　</w:t>
      </w:r>
      <w:r>
        <w:rPr>
          <w:rFonts w:ascii="Times New Roman" w:hAnsi="Times New Roman" w:cs="Times New Roman"/>
          <w:sz w:val="24"/>
          <w:szCs w:val="24"/>
        </w:rPr>
        <w:t>制定绿色建筑运营效果评估的技术方案和计划，得</w:t>
      </w:r>
      <w:r>
        <w:rPr>
          <w:rFonts w:hint="eastAsia" w:cs="Times New Roman"/>
          <w:sz w:val="24"/>
          <w:szCs w:val="24"/>
          <w:lang w:val="en-US" w:eastAsia="zh-CN"/>
        </w:rPr>
        <w:t>2</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w:t>
      </w:r>
      <w:r>
        <w:rPr>
          <w:rFonts w:ascii="Times New Roman" w:hAnsi="Times New Roman" w:cs="Times New Roman"/>
          <w:sz w:val="24"/>
          <w:szCs w:val="24"/>
        </w:rPr>
        <w:t>定期检查、调适公共设施设备，具有检查、调适、运行、标定记录且记录完整，得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hint="eastAsia" w:ascii="Times New Roman" w:hAnsi="Times New Roman" w:eastAsia="宋体" w:cs="Times New Roman"/>
          <w:sz w:val="24"/>
          <w:szCs w:val="24"/>
          <w:lang w:eastAsia="zh-CN"/>
        </w:rPr>
      </w:pPr>
      <w:r>
        <w:rPr>
          <w:rFonts w:ascii="Times New Roman" w:hAnsi="Times New Roman" w:cs="Times New Roman"/>
          <w:b/>
          <w:sz w:val="24"/>
          <w:szCs w:val="24"/>
        </w:rPr>
        <w:t>3</w:t>
      </w:r>
      <w:r>
        <w:rPr>
          <w:rFonts w:ascii="Times New Roman" w:hAnsi="Times New Roman" w:cs="Times New Roman"/>
          <w:b/>
          <w:bCs/>
          <w:sz w:val="24"/>
          <w:szCs w:val="24"/>
        </w:rPr>
        <w:t>　</w:t>
      </w:r>
      <w:r>
        <w:rPr>
          <w:rFonts w:ascii="Times New Roman" w:hAnsi="Times New Roman" w:cs="Times New Roman"/>
          <w:sz w:val="24"/>
          <w:szCs w:val="24"/>
        </w:rPr>
        <w:t>定期开展节能诊断评估并根据评估结果制定优化方案并实施，得</w:t>
      </w:r>
      <w:r>
        <w:rPr>
          <w:rFonts w:hint="eastAsia" w:cs="Times New Roman"/>
          <w:sz w:val="24"/>
          <w:szCs w:val="24"/>
          <w:lang w:val="en-US" w:eastAsia="zh-CN"/>
        </w:rPr>
        <w:t>1</w:t>
      </w:r>
      <w:r>
        <w:rPr>
          <w:rFonts w:ascii="Times New Roman" w:hAnsi="Times New Roman" w:cs="Times New Roman"/>
          <w:sz w:val="24"/>
          <w:szCs w:val="24"/>
        </w:rPr>
        <w:t>分</w:t>
      </w:r>
      <w:r>
        <w:rPr>
          <w:rFonts w:hint="eastAsia" w:ascii="Times New Roman" w:hAnsi="Times New Roman" w:cs="Times New Roman"/>
          <w:sz w:val="24"/>
          <w:szCs w:val="24"/>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bCs/>
          <w:sz w:val="24"/>
          <w:szCs w:val="24"/>
        </w:rPr>
      </w:pPr>
      <w:r>
        <w:rPr>
          <w:rFonts w:hint="eastAsia" w:cs="Times New Roman"/>
          <w:b/>
          <w:bCs/>
          <w:sz w:val="24"/>
          <w:szCs w:val="24"/>
          <w:lang w:val="en-US" w:eastAsia="zh-CN"/>
        </w:rPr>
        <w:t>4</w:t>
      </w:r>
      <w:r>
        <w:rPr>
          <w:rFonts w:ascii="Times New Roman" w:hAnsi="Times New Roman" w:cs="Times New Roman"/>
          <w:b/>
          <w:bCs/>
          <w:sz w:val="24"/>
          <w:szCs w:val="24"/>
        </w:rPr>
        <w:t>.</w:t>
      </w:r>
      <w:r>
        <w:rPr>
          <w:rFonts w:hint="eastAsia" w:cs="Times New Roman"/>
          <w:b/>
          <w:bCs/>
          <w:sz w:val="24"/>
          <w:szCs w:val="24"/>
          <w:lang w:val="en-US" w:eastAsia="zh-CN"/>
        </w:rPr>
        <w:t>3</w:t>
      </w:r>
      <w:r>
        <w:rPr>
          <w:rFonts w:ascii="Times New Roman" w:hAnsi="Times New Roman" w:cs="Times New Roman"/>
          <w:b/>
          <w:bCs/>
          <w:sz w:val="24"/>
          <w:szCs w:val="24"/>
        </w:rPr>
        <w:t>.</w:t>
      </w:r>
      <w:r>
        <w:rPr>
          <w:rFonts w:hint="eastAsia" w:cs="Times New Roman"/>
          <w:b/>
          <w:bCs/>
          <w:sz w:val="24"/>
          <w:szCs w:val="24"/>
          <w:lang w:val="en-US" w:eastAsia="zh-CN"/>
        </w:rPr>
        <w:t>32</w:t>
      </w:r>
      <w:r>
        <w:rPr>
          <w:rFonts w:ascii="Times New Roman" w:hAnsi="Times New Roman" w:cs="Times New Roman"/>
          <w:b/>
          <w:bCs/>
          <w:sz w:val="24"/>
          <w:szCs w:val="24"/>
        </w:rPr>
        <w:t>　</w:t>
      </w:r>
      <w:r>
        <w:rPr>
          <w:rFonts w:ascii="Times New Roman" w:hAnsi="Times New Roman" w:cs="Times New Roman"/>
          <w:bCs/>
          <w:sz w:val="24"/>
          <w:szCs w:val="24"/>
        </w:rPr>
        <w:t>建立绿色教育宣传和实践机制，编制绿色设施使用手册，形成良好的绿色氛围并定期开展使用者满意度调查，评</w:t>
      </w:r>
      <w:r>
        <w:rPr>
          <w:rFonts w:hint="eastAsia" w:ascii="Times New Roman" w:hAnsi="Times New Roman" w:cs="Times New Roman"/>
          <w:bCs/>
          <w:sz w:val="24"/>
          <w:szCs w:val="24"/>
          <w:lang w:val="en-US" w:eastAsia="zh-CN"/>
        </w:rPr>
        <w:t>估</w:t>
      </w:r>
      <w:r>
        <w:rPr>
          <w:rFonts w:ascii="Times New Roman" w:hAnsi="Times New Roman" w:cs="Times New Roman"/>
          <w:bCs/>
          <w:sz w:val="24"/>
          <w:szCs w:val="24"/>
        </w:rPr>
        <w:t>总分值为</w:t>
      </w:r>
      <w:r>
        <w:rPr>
          <w:rFonts w:hint="eastAsia" w:cs="Times New Roman"/>
          <w:bCs/>
          <w:sz w:val="24"/>
          <w:szCs w:val="24"/>
          <w:lang w:val="en-US" w:eastAsia="zh-CN"/>
        </w:rPr>
        <w:t>3</w:t>
      </w:r>
      <w:r>
        <w:rPr>
          <w:rFonts w:ascii="Times New Roman" w:hAnsi="Times New Roman" w:cs="Times New Roman"/>
          <w:bCs/>
          <w:sz w:val="24"/>
          <w:szCs w:val="24"/>
        </w:rPr>
        <w:t>分，按下列规则分别评分并累计：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bCs/>
          <w:sz w:val="24"/>
          <w:szCs w:val="24"/>
        </w:rPr>
        <w:t>1　</w:t>
      </w:r>
      <w:r>
        <w:rPr>
          <w:rFonts w:ascii="Times New Roman" w:hAnsi="Times New Roman" w:cs="Times New Roman"/>
          <w:bCs/>
          <w:sz w:val="24"/>
          <w:szCs w:val="24"/>
        </w:rPr>
        <w:t>每年组织不少于2次的绿色建筑技术宣传、绿色生活引导、灾害应急演练等绿色教育宣传和实践活动并有活动记录，得</w:t>
      </w:r>
      <w:r>
        <w:rPr>
          <w:rFonts w:hint="eastAsia" w:cs="Times New Roman"/>
          <w:bCs/>
          <w:sz w:val="24"/>
          <w:szCs w:val="24"/>
          <w:lang w:val="en-US" w:eastAsia="zh-CN"/>
        </w:rPr>
        <w:t>1</w:t>
      </w:r>
      <w:r>
        <w:rPr>
          <w:rFonts w:ascii="Times New Roman" w:hAnsi="Times New Roman" w:cs="Times New Roman"/>
          <w:bCs/>
          <w:sz w:val="24"/>
          <w:szCs w:val="24"/>
        </w:rPr>
        <w:t>分</w:t>
      </w:r>
      <w:r>
        <w:rPr>
          <w:rFonts w:ascii="Times New Roman" w:hAnsi="Times New Roman" w:cs="Times New Roman"/>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w:t>
      </w:r>
      <w:r>
        <w:rPr>
          <w:rFonts w:ascii="Times New Roman" w:hAnsi="Times New Roman" w:cs="Times New Roman"/>
          <w:sz w:val="24"/>
          <w:szCs w:val="24"/>
        </w:rPr>
        <w:t>具有绿色生活展示、体验或交流分享的平台并</w:t>
      </w:r>
      <w:r>
        <w:rPr>
          <w:rFonts w:ascii="Times New Roman" w:hAnsi="Times New Roman" w:cs="Times New Roman"/>
          <w:bCs/>
          <w:sz w:val="24"/>
          <w:szCs w:val="24"/>
        </w:rPr>
        <w:t>向使用者提供绿色设施使用手册，</w:t>
      </w:r>
      <w:r>
        <w:rPr>
          <w:rFonts w:ascii="Times New Roman" w:hAnsi="Times New Roman" w:cs="Times New Roman"/>
          <w:sz w:val="24"/>
          <w:szCs w:val="24"/>
        </w:rPr>
        <w:t>得</w:t>
      </w:r>
      <w:r>
        <w:rPr>
          <w:rFonts w:hint="eastAsia" w:cs="Times New Roman"/>
          <w:sz w:val="24"/>
          <w:szCs w:val="24"/>
          <w:lang w:val="en-US" w:eastAsia="zh-CN"/>
        </w:rPr>
        <w:t>1</w:t>
      </w:r>
      <w:r>
        <w:rPr>
          <w:rFonts w:ascii="Times New Roman" w:hAnsi="Times New Roman" w:cs="Times New Roman"/>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hint="default"/>
          <w:b w:val="0"/>
          <w:color w:val="000000" w:themeColor="text1"/>
          <w:sz w:val="24"/>
          <w14:textFill>
            <w14:solidFill>
              <w14:schemeClr w14:val="tx1"/>
            </w14:solidFill>
          </w14:textFill>
        </w:rPr>
      </w:pPr>
      <w:r>
        <w:rPr>
          <w:rFonts w:ascii="Times New Roman" w:hAnsi="Times New Roman" w:cs="Times New Roman"/>
          <w:b/>
          <w:sz w:val="24"/>
          <w:szCs w:val="24"/>
        </w:rPr>
        <w:t>3</w:t>
      </w:r>
      <w:r>
        <w:rPr>
          <w:rFonts w:ascii="Times New Roman" w:hAnsi="Times New Roman" w:cs="Times New Roman"/>
          <w:b/>
          <w:bCs/>
          <w:sz w:val="24"/>
          <w:szCs w:val="24"/>
        </w:rPr>
        <w:t>　</w:t>
      </w:r>
      <w:r>
        <w:rPr>
          <w:rFonts w:ascii="Times New Roman" w:hAnsi="Times New Roman" w:cs="Times New Roman"/>
          <w:sz w:val="24"/>
          <w:szCs w:val="24"/>
        </w:rPr>
        <w:t>每年开展1次针对建筑绿色性能的使用者满意度调查</w:t>
      </w:r>
      <w:r>
        <w:rPr>
          <w:rFonts w:hint="eastAsia" w:cs="Times New Roman"/>
          <w:sz w:val="24"/>
          <w:szCs w:val="24"/>
          <w:lang w:val="en-US" w:eastAsia="zh-CN"/>
        </w:rPr>
        <w:t>且</w:t>
      </w:r>
      <w:r>
        <w:rPr>
          <w:rFonts w:ascii="Times New Roman" w:hAnsi="Times New Roman" w:cs="Times New Roman"/>
          <w:sz w:val="24"/>
          <w:szCs w:val="24"/>
        </w:rPr>
        <w:t>根据调查结果制定改进措施并实施、公示，得</w:t>
      </w:r>
      <w:r>
        <w:rPr>
          <w:rFonts w:hint="eastAsia" w:cs="Times New Roman"/>
          <w:sz w:val="24"/>
          <w:szCs w:val="24"/>
          <w:lang w:val="en-US" w:eastAsia="zh-CN"/>
        </w:rPr>
        <w:t>1</w:t>
      </w:r>
      <w:r>
        <w:rPr>
          <w:rFonts w:ascii="Times New Roman" w:hAnsi="Times New Roman" w:cs="Times New Roman"/>
          <w:sz w:val="24"/>
          <w:szCs w:val="24"/>
        </w:rPr>
        <w:t>分。</w:t>
      </w:r>
      <w:bookmarkStart w:id="247" w:name="_Toc22887491"/>
      <w:bookmarkStart w:id="248" w:name="_Toc41918670"/>
      <w:bookmarkStart w:id="249" w:name="_Toc50647825"/>
      <w:bookmarkStart w:id="250" w:name="_Toc50534620"/>
      <w:bookmarkStart w:id="251" w:name="_Toc119755503"/>
    </w:p>
    <w:p>
      <w:pPr>
        <w:shd w:val="clear"/>
        <w:adjustRightInd w:val="0"/>
        <w:snapToGrid w:val="0"/>
        <w:spacing w:before="93" w:beforeLines="30" w:after="93" w:afterLines="30" w:line="312" w:lineRule="auto"/>
        <w:jc w:val="center"/>
        <w:outlineLvl w:val="9"/>
        <w:rPr>
          <w:rFonts w:hint="default"/>
          <w:b w:val="0"/>
          <w:color w:val="000000" w:themeColor="text1"/>
          <w:sz w:val="24"/>
          <w14:textFill>
            <w14:solidFill>
              <w14:schemeClr w14:val="tx1"/>
            </w14:solidFill>
          </w14:textFill>
        </w:rPr>
      </w:pPr>
      <w:r>
        <w:rPr>
          <w:rFonts w:hint="default"/>
          <w:b w:val="0"/>
          <w:color w:val="000000" w:themeColor="text1"/>
          <w:sz w:val="24"/>
          <w14:textFill>
            <w14:solidFill>
              <w14:schemeClr w14:val="tx1"/>
            </w14:solidFill>
          </w14:textFill>
        </w:rPr>
        <w:t xml:space="preserve">Ⅳ </w:t>
      </w:r>
      <w:bookmarkEnd w:id="247"/>
      <w:bookmarkEnd w:id="248"/>
      <w:bookmarkEnd w:id="249"/>
      <w:bookmarkEnd w:id="250"/>
      <w:r>
        <w:rPr>
          <w:rFonts w:hint="default"/>
          <w:b w:val="0"/>
          <w:color w:val="000000" w:themeColor="text1"/>
          <w:sz w:val="24"/>
          <w14:textFill>
            <w14:solidFill>
              <w14:schemeClr w14:val="tx1"/>
            </w14:solidFill>
          </w14:textFill>
        </w:rPr>
        <w:t>环境宜居</w:t>
      </w:r>
      <w:bookmarkEnd w:id="251"/>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eastAsia"/>
          <w:color w:val="000000" w:themeColor="text1"/>
          <w:sz w:val="24"/>
          <w:lang w:val="en-US" w:eastAsia="zh-CN"/>
          <w14:textFill>
            <w14:solidFill>
              <w14:schemeClr w14:val="tx1"/>
            </w14:solidFill>
          </w14:textFill>
        </w:rPr>
      </w:pPr>
      <w:bookmarkStart w:id="252" w:name="_Toc50647826"/>
      <w:bookmarkStart w:id="253" w:name="_Toc22887492"/>
      <w:bookmarkStart w:id="254" w:name="_Toc41918671"/>
      <w:bookmarkStart w:id="255" w:name="_Toc50534621"/>
      <w:bookmarkStart w:id="256" w:name="_Toc529350920"/>
      <w:bookmarkStart w:id="257" w:name="_Toc527729612"/>
      <w:r>
        <w:rPr>
          <w:rFonts w:hint="eastAsia"/>
          <w:b/>
          <w:bCs/>
          <w:color w:val="000000" w:themeColor="text1"/>
          <w:sz w:val="24"/>
          <w:lang w:val="en-US" w:eastAsia="zh-CN"/>
          <w14:textFill>
            <w14:solidFill>
              <w14:schemeClr w14:val="tx1"/>
            </w14:solidFill>
          </w14:textFill>
        </w:rPr>
        <w:t>4.3.33</w:t>
      </w:r>
      <w:r>
        <w:rPr>
          <w:rFonts w:hint="eastAsia"/>
          <w:color w:val="000000" w:themeColor="text1"/>
          <w:sz w:val="24"/>
          <w:lang w:val="en-US" w:eastAsia="zh-CN"/>
          <w14:textFill>
            <w14:solidFill>
              <w14:schemeClr w14:val="tx1"/>
            </w14:solidFill>
          </w14:textFill>
        </w:rPr>
        <w:t xml:space="preserve">  规划场地地表和屋面雨水径流，对场地雨水实施外排总量控制，评估总分值为 4 分。场地年径流总量控制率达到55%，2分；达到 70%，4 分。</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34</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场地空间绿化植被</w:t>
      </w:r>
      <w:r>
        <w:rPr>
          <w:color w:val="000000" w:themeColor="text1"/>
          <w:sz w:val="24"/>
          <w14:textFill>
            <w14:solidFill>
              <w14:schemeClr w14:val="tx1"/>
            </w14:solidFill>
          </w14:textFill>
        </w:rPr>
        <w:t>成活率大于9</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%，植物生长状态良好，评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8</w:t>
      </w:r>
      <w:r>
        <w:rPr>
          <w:color w:val="000000" w:themeColor="text1"/>
          <w:sz w:val="24"/>
          <w14:textFill>
            <w14:solidFill>
              <w14:schemeClr w14:val="tx1"/>
            </w14:solidFill>
          </w14:textFill>
        </w:rPr>
        <w:t>分，按下列规则评分并累计：</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2" w:firstLineChars="200"/>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绿化</w:t>
      </w:r>
      <w:r>
        <w:rPr>
          <w:rFonts w:hint="eastAsia"/>
          <w:color w:val="000000" w:themeColor="text1"/>
          <w:sz w:val="24"/>
          <w:lang w:val="en-US" w:eastAsia="zh-CN"/>
          <w14:textFill>
            <w14:solidFill>
              <w14:schemeClr w14:val="tx1"/>
            </w14:solidFill>
          </w14:textFill>
        </w:rPr>
        <w:t>保养</w:t>
      </w:r>
      <w:r>
        <w:rPr>
          <w:color w:val="000000" w:themeColor="text1"/>
          <w:sz w:val="24"/>
          <w14:textFill>
            <w14:solidFill>
              <w14:schemeClr w14:val="tx1"/>
            </w14:solidFill>
          </w14:textFill>
        </w:rPr>
        <w:t>工作记录完整，得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2" w:firstLineChars="200"/>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场地绿化现场观感良好，无枯死植物，得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2" w:firstLineChars="200"/>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3</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有制定并执行绿化操作规程，记录齐备，得</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35</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室外吸烟区位置布局合理，评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分，按下列规则分别评分并累计：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室外吸烟区布置在建筑主出入口的主导风向的下风向，与所有建筑出入口、新风进气口和可开启扇的距离不少于8m，得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室外吸烟区与绿植结合布置并合理配置座椅和带验收收集的垃圾</w:t>
      </w:r>
      <w:r>
        <w:rPr>
          <w:rFonts w:hint="eastAsia"/>
          <w:color w:val="000000" w:themeColor="text1"/>
          <w:sz w:val="24"/>
          <w:lang w:val="en-US" w:eastAsia="zh-CN"/>
          <w14:textFill>
            <w14:solidFill>
              <w14:schemeClr w14:val="tx1"/>
            </w14:solidFill>
          </w14:textFill>
        </w:rPr>
        <w:t>桶</w:t>
      </w:r>
      <w:r>
        <w:rPr>
          <w:color w:val="000000" w:themeColor="text1"/>
          <w:sz w:val="24"/>
          <w14:textFill>
            <w14:solidFill>
              <w14:schemeClr w14:val="tx1"/>
            </w14:solidFill>
          </w14:textFill>
        </w:rPr>
        <w:t>，从建筑主出入口</w:t>
      </w:r>
      <w:r>
        <w:rPr>
          <w:rFonts w:hint="eastAsia"/>
          <w:color w:val="000000" w:themeColor="text1"/>
          <w:sz w:val="24"/>
          <w:lang w:val="en-US" w:eastAsia="zh-CN"/>
          <w14:textFill>
            <w14:solidFill>
              <w14:schemeClr w14:val="tx1"/>
            </w14:solidFill>
          </w14:textFill>
        </w:rPr>
        <w:t>至</w:t>
      </w:r>
      <w:r>
        <w:rPr>
          <w:color w:val="000000" w:themeColor="text1"/>
          <w:sz w:val="24"/>
          <w14:textFill>
            <w14:solidFill>
              <w14:schemeClr w14:val="tx1"/>
            </w14:solidFill>
          </w14:textFill>
        </w:rPr>
        <w:t>室外吸烟区的导向标识完整、定位标识醒目，吸烟区设置吸烟有害健康的警示标识，得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ascii="Times New Roman" w:hAnsi="Times New Roman"/>
          <w:color w:val="000000" w:themeColor="text1"/>
          <w:sz w:val="24"/>
          <w14:textFill>
            <w14:solidFill>
              <w14:schemeClr w14:val="tx1"/>
            </w14:solidFill>
          </w14:textFill>
        </w:rPr>
      </w:pPr>
      <w:r>
        <w:rPr>
          <w:rFonts w:hint="default"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36</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结合海绵城市要求，利用场地空间设置绿色雨水基础设施，评</w:t>
      </w:r>
      <w:r>
        <w:rPr>
          <w:rFonts w:hint="eastAsia" w:ascii="Times New Roman" w:hAnsi="Times New Roman"/>
          <w:color w:val="000000" w:themeColor="text1"/>
          <w:sz w:val="24"/>
          <w:lang w:val="en-US" w:eastAsia="zh-CN"/>
          <w14:textFill>
            <w14:solidFill>
              <w14:schemeClr w14:val="tx1"/>
            </w14:solidFill>
          </w14:textFill>
        </w:rPr>
        <w:t>估</w:t>
      </w:r>
      <w:r>
        <w:rPr>
          <w:rFonts w:ascii="Times New Roman" w:hAnsi="Times New Roman"/>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6</w:t>
      </w:r>
      <w:r>
        <w:rPr>
          <w:rFonts w:ascii="Times New Roman" w:hAnsi="Times New Roman"/>
          <w:color w:val="000000" w:themeColor="text1"/>
          <w:sz w:val="24"/>
          <w14:textFill>
            <w14:solidFill>
              <w14:schemeClr w14:val="tx1"/>
            </w14:solidFill>
          </w14:textFill>
        </w:rPr>
        <w:t>分，按下列规则分别评分并累计：</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bookmarkStart w:id="258" w:name="_Toc8844"/>
      <w:bookmarkStart w:id="259" w:name="_Toc12499"/>
      <w:bookmarkStart w:id="260" w:name="_Toc26633"/>
      <w:bookmarkStart w:id="261" w:name="_Toc6635"/>
      <w:bookmarkStart w:id="262" w:name="_Toc25256"/>
      <w:bookmarkStart w:id="263" w:name="_Toc25905"/>
      <w:bookmarkStart w:id="264" w:name="_Toc30720"/>
      <w:bookmarkStart w:id="265" w:name="_Toc6882"/>
      <w:r>
        <w:rPr>
          <w:rFonts w:ascii="Times New Roman" w:hAnsi="Times New Roman" w:cs="Times New Roman"/>
          <w:b w:val="0"/>
          <w:bCs w:val="0"/>
          <w:color w:val="000000" w:themeColor="text1"/>
          <w:sz w:val="24"/>
          <w:szCs w:val="24"/>
          <w14:textFill>
            <w14:solidFill>
              <w14:schemeClr w14:val="tx1"/>
            </w14:solidFill>
          </w14:textFill>
        </w:rPr>
        <w:t>1　</w:t>
      </w:r>
      <w:r>
        <w:rPr>
          <w:rFonts w:ascii="Times New Roman" w:hAnsi="Times New Roman" w:cs="Times New Roman"/>
          <w:bCs w:val="0"/>
          <w:color w:val="000000" w:themeColor="text1"/>
          <w:sz w:val="24"/>
          <w:szCs w:val="24"/>
          <w14:textFill>
            <w14:solidFill>
              <w14:schemeClr w14:val="tx1"/>
            </w14:solidFill>
          </w14:textFill>
        </w:rPr>
        <w:t>下凹式绿地、雨水花园等有调蓄雨水功能的绿地和水体的面积之和占绿地面积的比例达到40%，得3分；达到60%，得</w:t>
      </w:r>
      <w:r>
        <w:rPr>
          <w:rFonts w:hint="eastAsia" w:cs="Times New Roman"/>
          <w:bCs w:val="0"/>
          <w:color w:val="000000" w:themeColor="text1"/>
          <w:sz w:val="24"/>
          <w:szCs w:val="24"/>
          <w:lang w:val="en-US" w:eastAsia="zh-CN"/>
          <w14:textFill>
            <w14:solidFill>
              <w14:schemeClr w14:val="tx1"/>
            </w14:solidFill>
          </w14:textFill>
        </w:rPr>
        <w:t>2</w:t>
      </w:r>
      <w:r>
        <w:rPr>
          <w:rFonts w:ascii="Times New Roman" w:hAnsi="Times New Roman" w:cs="Times New Roman"/>
          <w:bCs w:val="0"/>
          <w:color w:val="000000" w:themeColor="text1"/>
          <w:sz w:val="24"/>
          <w:szCs w:val="24"/>
          <w14:textFill>
            <w14:solidFill>
              <w14:schemeClr w14:val="tx1"/>
            </w14:solidFill>
          </w14:textFill>
        </w:rPr>
        <w:t>分；</w:t>
      </w:r>
      <w:bookmarkEnd w:id="258"/>
      <w:bookmarkEnd w:id="259"/>
      <w:bookmarkEnd w:id="260"/>
      <w:bookmarkEnd w:id="261"/>
      <w:bookmarkEnd w:id="262"/>
      <w:bookmarkEnd w:id="263"/>
      <w:bookmarkEnd w:id="264"/>
      <w:bookmarkEnd w:id="265"/>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bookmarkStart w:id="266" w:name="_Toc30247"/>
      <w:bookmarkStart w:id="267" w:name="_Toc32140"/>
      <w:bookmarkStart w:id="268" w:name="_Toc2051"/>
      <w:bookmarkStart w:id="269" w:name="_Toc25032"/>
      <w:bookmarkStart w:id="270" w:name="_Toc29607"/>
      <w:bookmarkStart w:id="271" w:name="_Toc9286"/>
      <w:bookmarkStart w:id="272" w:name="_Toc32332"/>
      <w:bookmarkStart w:id="273" w:name="_Toc28560"/>
      <w:r>
        <w:rPr>
          <w:rFonts w:ascii="Times New Roman" w:hAnsi="Times New Roman" w:cs="Times New Roman"/>
          <w:b w:val="0"/>
          <w:bCs w:val="0"/>
          <w:color w:val="000000" w:themeColor="text1"/>
          <w:sz w:val="24"/>
          <w:szCs w:val="24"/>
          <w14:textFill>
            <w14:solidFill>
              <w14:schemeClr w14:val="tx1"/>
            </w14:solidFill>
          </w14:textFill>
        </w:rPr>
        <w:t>2　</w:t>
      </w:r>
      <w:r>
        <w:rPr>
          <w:rFonts w:ascii="Times New Roman" w:hAnsi="Times New Roman" w:cs="Times New Roman"/>
          <w:bCs w:val="0"/>
          <w:color w:val="000000" w:themeColor="text1"/>
          <w:sz w:val="24"/>
          <w:szCs w:val="24"/>
          <w14:textFill>
            <w14:solidFill>
              <w14:schemeClr w14:val="tx1"/>
            </w14:solidFill>
          </w14:textFill>
        </w:rPr>
        <w:t>衔接和引导不少于80%的屋面雨水进入地面生态设施，得</w:t>
      </w:r>
      <w:r>
        <w:rPr>
          <w:rFonts w:hint="eastAsia" w:cs="Times New Roman"/>
          <w:bCs w:val="0"/>
          <w:color w:val="000000" w:themeColor="text1"/>
          <w:sz w:val="24"/>
          <w:szCs w:val="24"/>
          <w:lang w:val="en-US" w:eastAsia="zh-CN"/>
          <w14:textFill>
            <w14:solidFill>
              <w14:schemeClr w14:val="tx1"/>
            </w14:solidFill>
          </w14:textFill>
        </w:rPr>
        <w:t>1</w:t>
      </w:r>
      <w:r>
        <w:rPr>
          <w:rFonts w:ascii="Times New Roman" w:hAnsi="Times New Roman" w:cs="Times New Roman"/>
          <w:bCs w:val="0"/>
          <w:color w:val="000000" w:themeColor="text1"/>
          <w:sz w:val="24"/>
          <w:szCs w:val="24"/>
          <w14:textFill>
            <w14:solidFill>
              <w14:schemeClr w14:val="tx1"/>
            </w14:solidFill>
          </w14:textFill>
        </w:rPr>
        <w:t>分；</w:t>
      </w:r>
      <w:bookmarkEnd w:id="266"/>
      <w:bookmarkEnd w:id="267"/>
      <w:bookmarkEnd w:id="268"/>
      <w:bookmarkEnd w:id="269"/>
      <w:bookmarkEnd w:id="270"/>
      <w:bookmarkEnd w:id="271"/>
      <w:bookmarkEnd w:id="272"/>
      <w:bookmarkEnd w:id="273"/>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bookmarkStart w:id="274" w:name="_Toc7648"/>
      <w:bookmarkStart w:id="275" w:name="_Toc6772"/>
      <w:bookmarkStart w:id="276" w:name="_Toc7289"/>
      <w:bookmarkStart w:id="277" w:name="_Toc7844"/>
      <w:bookmarkStart w:id="278" w:name="_Toc8789"/>
      <w:bookmarkStart w:id="279" w:name="_Toc17512"/>
      <w:bookmarkStart w:id="280" w:name="_Toc28267"/>
      <w:bookmarkStart w:id="281" w:name="_Toc24830"/>
      <w:r>
        <w:rPr>
          <w:rFonts w:ascii="Times New Roman" w:hAnsi="Times New Roman" w:cs="Times New Roman"/>
          <w:b w:val="0"/>
          <w:bCs w:val="0"/>
          <w:color w:val="000000" w:themeColor="text1"/>
          <w:sz w:val="24"/>
          <w:szCs w:val="24"/>
          <w14:textFill>
            <w14:solidFill>
              <w14:schemeClr w14:val="tx1"/>
            </w14:solidFill>
          </w14:textFill>
        </w:rPr>
        <w:t>3　</w:t>
      </w:r>
      <w:r>
        <w:rPr>
          <w:rFonts w:ascii="Times New Roman" w:hAnsi="Times New Roman" w:cs="Times New Roman"/>
          <w:bCs w:val="0"/>
          <w:color w:val="000000" w:themeColor="text1"/>
          <w:sz w:val="24"/>
          <w:szCs w:val="24"/>
          <w14:textFill>
            <w14:solidFill>
              <w14:schemeClr w14:val="tx1"/>
            </w14:solidFill>
          </w14:textFill>
        </w:rPr>
        <w:t>衔接和引导不少于80%的道路雨水进入地面生态设施，得</w:t>
      </w:r>
      <w:r>
        <w:rPr>
          <w:rFonts w:hint="eastAsia" w:cs="Times New Roman"/>
          <w:bCs w:val="0"/>
          <w:color w:val="000000" w:themeColor="text1"/>
          <w:sz w:val="24"/>
          <w:szCs w:val="24"/>
          <w:lang w:val="en-US" w:eastAsia="zh-CN"/>
          <w14:textFill>
            <w14:solidFill>
              <w14:schemeClr w14:val="tx1"/>
            </w14:solidFill>
          </w14:textFill>
        </w:rPr>
        <w:t>2</w:t>
      </w:r>
      <w:r>
        <w:rPr>
          <w:rFonts w:ascii="Times New Roman" w:hAnsi="Times New Roman" w:cs="Times New Roman"/>
          <w:bCs w:val="0"/>
          <w:color w:val="000000" w:themeColor="text1"/>
          <w:sz w:val="24"/>
          <w:szCs w:val="24"/>
          <w14:textFill>
            <w14:solidFill>
              <w14:schemeClr w14:val="tx1"/>
            </w14:solidFill>
          </w14:textFill>
        </w:rPr>
        <w:t>分；</w:t>
      </w:r>
      <w:bookmarkEnd w:id="274"/>
      <w:bookmarkEnd w:id="275"/>
      <w:bookmarkEnd w:id="276"/>
      <w:bookmarkEnd w:id="277"/>
      <w:bookmarkEnd w:id="278"/>
      <w:bookmarkEnd w:id="279"/>
      <w:bookmarkEnd w:id="280"/>
      <w:bookmarkEnd w:id="281"/>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bookmarkStart w:id="282" w:name="_Toc375"/>
      <w:bookmarkStart w:id="283" w:name="_Toc23601"/>
      <w:bookmarkStart w:id="284" w:name="_Toc24390"/>
      <w:bookmarkStart w:id="285" w:name="_Toc19627"/>
      <w:bookmarkStart w:id="286" w:name="_Toc7489"/>
      <w:bookmarkStart w:id="287" w:name="_Toc17668"/>
      <w:bookmarkStart w:id="288" w:name="_Toc26773"/>
      <w:bookmarkStart w:id="289" w:name="_Toc7570"/>
      <w:r>
        <w:rPr>
          <w:rFonts w:ascii="Times New Roman" w:hAnsi="Times New Roman" w:cs="Times New Roman"/>
          <w:b w:val="0"/>
          <w:bCs w:val="0"/>
          <w:color w:val="000000" w:themeColor="text1"/>
          <w:sz w:val="24"/>
          <w:szCs w:val="24"/>
          <w14:textFill>
            <w14:solidFill>
              <w14:schemeClr w14:val="tx1"/>
            </w14:solidFill>
          </w14:textFill>
        </w:rPr>
        <w:t>4　</w:t>
      </w:r>
      <w:r>
        <w:rPr>
          <w:rFonts w:ascii="Times New Roman" w:hAnsi="Times New Roman" w:cs="Times New Roman"/>
          <w:bCs w:val="0"/>
          <w:color w:val="000000" w:themeColor="text1"/>
          <w:sz w:val="24"/>
          <w:szCs w:val="24"/>
          <w14:textFill>
            <w14:solidFill>
              <w14:schemeClr w14:val="tx1"/>
            </w14:solidFill>
          </w14:textFill>
        </w:rPr>
        <w:t>硬质铺装地面中透水铺装面积的比例达到50%，得</w:t>
      </w:r>
      <w:r>
        <w:rPr>
          <w:rFonts w:hint="eastAsia" w:cs="Times New Roman"/>
          <w:bCs w:val="0"/>
          <w:color w:val="000000" w:themeColor="text1"/>
          <w:sz w:val="24"/>
          <w:szCs w:val="24"/>
          <w:lang w:val="en-US" w:eastAsia="zh-CN"/>
          <w14:textFill>
            <w14:solidFill>
              <w14:schemeClr w14:val="tx1"/>
            </w14:solidFill>
          </w14:textFill>
        </w:rPr>
        <w:t>1</w:t>
      </w:r>
      <w:r>
        <w:rPr>
          <w:rFonts w:ascii="Times New Roman" w:hAnsi="Times New Roman" w:cs="Times New Roman"/>
          <w:bCs w:val="0"/>
          <w:color w:val="000000" w:themeColor="text1"/>
          <w:sz w:val="24"/>
          <w:szCs w:val="24"/>
          <w14:textFill>
            <w14:solidFill>
              <w14:schemeClr w14:val="tx1"/>
            </w14:solidFill>
          </w14:textFill>
        </w:rPr>
        <w:t>分。</w:t>
      </w:r>
      <w:bookmarkEnd w:id="282"/>
      <w:bookmarkEnd w:id="283"/>
      <w:bookmarkEnd w:id="284"/>
      <w:bookmarkEnd w:id="285"/>
      <w:bookmarkEnd w:id="286"/>
      <w:bookmarkEnd w:id="287"/>
      <w:bookmarkEnd w:id="288"/>
      <w:bookmarkEnd w:id="289"/>
    </w:p>
    <w:bookmarkEnd w:id="252"/>
    <w:bookmarkEnd w:id="253"/>
    <w:bookmarkEnd w:id="254"/>
    <w:bookmarkEnd w:id="255"/>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000000" w:themeColor="text1"/>
          <w:sz w:val="24"/>
          <w14:textFill>
            <w14:solidFill>
              <w14:schemeClr w14:val="tx1"/>
            </w14:solidFill>
          </w14:textFill>
        </w:rPr>
      </w:pPr>
      <w:bookmarkStart w:id="290" w:name="_Toc22887493"/>
      <w:bookmarkStart w:id="291" w:name="_Toc50534622"/>
      <w:bookmarkStart w:id="292" w:name="_Toc50647827"/>
      <w:bookmarkStart w:id="293" w:name="_Toc41918672"/>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37</w:t>
      </w:r>
      <w:r>
        <w:rPr>
          <w:color w:val="000000" w:themeColor="text1"/>
          <w:sz w:val="24"/>
          <w14:textFill>
            <w14:solidFill>
              <w14:schemeClr w14:val="tx1"/>
            </w14:solidFill>
          </w14:textFill>
        </w:rPr>
        <w:t xml:space="preserve">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场地</w:t>
      </w:r>
      <w:r>
        <w:rPr>
          <w:rFonts w:hint="eastAsia"/>
          <w:color w:val="000000" w:themeColor="text1"/>
          <w:sz w:val="24"/>
          <w:lang w:val="en-US" w:eastAsia="zh-CN"/>
          <w14:textFill>
            <w14:solidFill>
              <w14:schemeClr w14:val="tx1"/>
            </w14:solidFill>
          </w14:textFill>
        </w:rPr>
        <w:t>内</w:t>
      </w:r>
      <w:r>
        <w:rPr>
          <w:color w:val="000000" w:themeColor="text1"/>
          <w:sz w:val="24"/>
          <w14:textFill>
            <w14:solidFill>
              <w14:schemeClr w14:val="tx1"/>
            </w14:solidFill>
          </w14:textFill>
        </w:rPr>
        <w:t>环境噪声优于现行国家标准《声环境质量标准》GB 3096的要求，评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总分值为</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 xml:space="preserve">分，按下列规则评分： </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环境噪声值大于</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类声环境功能区标准限值且小于等于3类声环境功能区标准限值，得</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环境噪声值不大于</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类声环境功能区标准限值，得</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eastAsia" w:eastAsia="宋体"/>
          <w:color w:val="000000" w:themeColor="text1"/>
          <w:sz w:val="24"/>
          <w:lang w:eastAsia="zh-CN"/>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38</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室外夜景照明光污染的限值符合现行国家标准《室外照明干扰光限制规范》GB</w:t>
      </w:r>
      <w:r>
        <w:rPr>
          <w:rFonts w:hint="default"/>
          <w:color w:val="000000" w:themeColor="text1"/>
          <w:sz w:val="24"/>
          <w14:textFill>
            <w14:solidFill>
              <w14:schemeClr w14:val="tx1"/>
            </w14:solidFill>
          </w14:textFill>
        </w:rPr>
        <w:t>/</w:t>
      </w:r>
      <w:r>
        <w:rPr>
          <w:color w:val="000000" w:themeColor="text1"/>
          <w:sz w:val="24"/>
          <w14:textFill>
            <w14:solidFill>
              <w14:schemeClr w14:val="tx1"/>
            </w14:solidFill>
          </w14:textFill>
        </w:rPr>
        <w:t>T</w:t>
      </w:r>
      <w:r>
        <w:rPr>
          <w:rFonts w:hint="default"/>
          <w:color w:val="000000" w:themeColor="text1"/>
          <w:sz w:val="24"/>
          <w14:textFill>
            <w14:solidFill>
              <w14:schemeClr w14:val="tx1"/>
            </w14:solidFill>
          </w14:textFill>
        </w:rPr>
        <w:t xml:space="preserve"> 35626</w:t>
      </w:r>
      <w:r>
        <w:rPr>
          <w:color w:val="000000" w:themeColor="text1"/>
          <w:sz w:val="24"/>
          <w14:textFill>
            <w14:solidFill>
              <w14:schemeClr w14:val="tx1"/>
            </w14:solidFill>
          </w14:textFill>
        </w:rPr>
        <w:t>和现行行业标准《城市夜景照明设计规范》JGJ</w:t>
      </w:r>
      <w:r>
        <w:rPr>
          <w:rFonts w:hint="default"/>
          <w:color w:val="000000" w:themeColor="text1"/>
          <w:sz w:val="24"/>
          <w14:textFill>
            <w14:solidFill>
              <w14:schemeClr w14:val="tx1"/>
            </w14:solidFill>
          </w14:textFill>
        </w:rPr>
        <w:t>/</w:t>
      </w:r>
      <w:r>
        <w:rPr>
          <w:color w:val="000000" w:themeColor="text1"/>
          <w:sz w:val="24"/>
          <w14:textFill>
            <w14:solidFill>
              <w14:schemeClr w14:val="tx1"/>
            </w14:solidFill>
          </w14:textFill>
        </w:rPr>
        <w:t>T</w:t>
      </w:r>
      <w:r>
        <w:rPr>
          <w:rFonts w:hint="default"/>
          <w:color w:val="000000" w:themeColor="text1"/>
          <w:sz w:val="24"/>
          <w14:textFill>
            <w14:solidFill>
              <w14:schemeClr w14:val="tx1"/>
            </w14:solidFill>
          </w14:textFill>
        </w:rPr>
        <w:t xml:space="preserve"> 163</w:t>
      </w:r>
      <w:r>
        <w:rPr>
          <w:color w:val="000000" w:themeColor="text1"/>
          <w:sz w:val="24"/>
          <w14:textFill>
            <w14:solidFill>
              <w14:schemeClr w14:val="tx1"/>
            </w14:solidFill>
          </w14:textFill>
        </w:rPr>
        <w:t>的规定，评</w:t>
      </w:r>
      <w:r>
        <w:rPr>
          <w:rFonts w:hint="eastAsia"/>
          <w:color w:val="000000" w:themeColor="text1"/>
          <w:sz w:val="24"/>
          <w:lang w:val="en-US" w:eastAsia="zh-CN"/>
          <w14:textFill>
            <w14:solidFill>
              <w14:schemeClr w14:val="tx1"/>
            </w14:solidFill>
          </w14:textFill>
        </w:rPr>
        <w:t>估</w:t>
      </w:r>
      <w:r>
        <w:rPr>
          <w:color w:val="000000" w:themeColor="text1"/>
          <w:sz w:val="24"/>
          <w14:textFill>
            <w14:solidFill>
              <w14:schemeClr w14:val="tx1"/>
            </w14:solidFill>
          </w14:textFill>
        </w:rPr>
        <w:t>分值为</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分</w:t>
      </w:r>
      <w:r>
        <w:rPr>
          <w:rFonts w:hint="eastAsia"/>
          <w:color w:val="000000" w:themeColor="text1"/>
          <w:sz w:val="24"/>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before="95" w:beforeLines="30" w:after="95" w:afterLines="30" w:line="312" w:lineRule="auto"/>
        <w:ind w:firstLine="0" w:firstLineChars="0"/>
        <w:textAlignment w:val="auto"/>
        <w:outlineLvl w:val="9"/>
        <w:rPr>
          <w:rFonts w:ascii="宋体" w:hAnsi="宋体" w:cs="宋体"/>
          <w:b w:val="0"/>
          <w:bCs w:val="0"/>
          <w:color w:val="000000" w:themeColor="text1"/>
          <w:sz w:val="24"/>
          <w:szCs w:val="24"/>
          <w14:textFill>
            <w14:solidFill>
              <w14:schemeClr w14:val="tx1"/>
            </w14:solidFill>
          </w14:textFill>
        </w:rPr>
      </w:pPr>
      <w:bookmarkStart w:id="294" w:name="_Toc28373"/>
      <w:bookmarkStart w:id="295" w:name="_Toc10660403"/>
      <w:bookmarkStart w:id="296" w:name="_Toc15790"/>
      <w:r>
        <w:rPr>
          <w:b/>
          <w:bCs/>
          <w:color w:val="000000" w:themeColor="text1"/>
          <w:sz w:val="24"/>
          <w14:textFill>
            <w14:solidFill>
              <w14:schemeClr w14:val="tx1"/>
            </w14:solidFill>
          </w14:textFill>
        </w:rPr>
        <w:t>4</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39</w:t>
      </w:r>
      <w:r>
        <w:rPr>
          <w:rFonts w:hint="default"/>
          <w:color w:val="000000" w:themeColor="text1"/>
          <w:sz w:val="24"/>
          <w14:textFill>
            <w14:solidFill>
              <w14:schemeClr w14:val="tx1"/>
            </w14:solidFill>
          </w14:textFill>
        </w:rPr>
        <w:t xml:space="preserve">  </w:t>
      </w:r>
      <w:r>
        <w:rPr>
          <w:rFonts w:ascii="宋体" w:hAnsi="宋体" w:cs="宋体"/>
          <w:b w:val="0"/>
          <w:bCs w:val="0"/>
          <w:color w:val="000000" w:themeColor="text1"/>
          <w:sz w:val="24"/>
          <w:szCs w:val="24"/>
          <w14:textFill>
            <w14:solidFill>
              <w14:schemeClr w14:val="tx1"/>
            </w14:solidFill>
          </w14:textFill>
        </w:rPr>
        <w:t>采取措施降低热岛强度，评</w:t>
      </w:r>
      <w:r>
        <w:rPr>
          <w:rFonts w:hint="eastAsia" w:ascii="宋体" w:hAnsi="宋体" w:cs="宋体"/>
          <w:b w:val="0"/>
          <w:bCs w:val="0"/>
          <w:color w:val="000000" w:themeColor="text1"/>
          <w:sz w:val="24"/>
          <w:szCs w:val="24"/>
          <w:lang w:val="en-US" w:eastAsia="zh-CN"/>
          <w14:textFill>
            <w14:solidFill>
              <w14:schemeClr w14:val="tx1"/>
            </w14:solidFill>
          </w14:textFill>
        </w:rPr>
        <w:t>估</w:t>
      </w:r>
      <w:r>
        <w:rPr>
          <w:rFonts w:ascii="宋体" w:hAnsi="宋体" w:cs="宋体"/>
          <w:b w:val="0"/>
          <w:bCs w:val="0"/>
          <w:color w:val="000000" w:themeColor="text1"/>
          <w:sz w:val="24"/>
          <w:szCs w:val="24"/>
          <w14:textFill>
            <w14:solidFill>
              <w14:schemeClr w14:val="tx1"/>
            </w14:solidFill>
          </w14:textFill>
        </w:rPr>
        <w:t>总分值为</w:t>
      </w:r>
      <w:r>
        <w:rPr>
          <w:rFonts w:hint="eastAsia" w:ascii="宋体" w:hAnsi="宋体" w:cs="宋体"/>
          <w:b w:val="0"/>
          <w:bCs w:val="0"/>
          <w:color w:val="000000" w:themeColor="text1"/>
          <w:sz w:val="24"/>
          <w:szCs w:val="24"/>
          <w:lang w:val="en-US" w:eastAsia="zh-CN"/>
          <w14:textFill>
            <w14:solidFill>
              <w14:schemeClr w14:val="tx1"/>
            </w14:solidFill>
          </w14:textFill>
        </w:rPr>
        <w:t>10</w:t>
      </w:r>
      <w:r>
        <w:rPr>
          <w:rFonts w:ascii="宋体" w:hAnsi="宋体" w:cs="宋体"/>
          <w:b w:val="0"/>
          <w:bCs w:val="0"/>
          <w:color w:val="000000" w:themeColor="text1"/>
          <w:sz w:val="24"/>
          <w:szCs w:val="24"/>
          <w14:textFill>
            <w14:solidFill>
              <w14:schemeClr w14:val="tx1"/>
            </w14:solidFill>
          </w14:textFill>
        </w:rPr>
        <w:t>分，按下列规则分别评分并累计：</w:t>
      </w:r>
      <w:bookmarkEnd w:id="294"/>
      <w:bookmarkEnd w:id="295"/>
      <w:bookmarkEnd w:id="296"/>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s="Times New Roman"/>
          <w:kern w:val="0"/>
          <w:sz w:val="24"/>
          <w:szCs w:val="24"/>
        </w:rPr>
      </w:pPr>
      <w:r>
        <w:rPr>
          <w:rFonts w:ascii="Times New Roman" w:hAnsi="Times New Roman" w:cs="Times New Roman"/>
          <w:b/>
          <w:kern w:val="0"/>
          <w:sz w:val="24"/>
          <w:szCs w:val="24"/>
        </w:rPr>
        <w:t>1　</w:t>
      </w:r>
      <w:r>
        <w:rPr>
          <w:rFonts w:ascii="Times New Roman" w:hAnsi="Times New Roman" w:cs="Times New Roman"/>
          <w:kern w:val="0"/>
          <w:sz w:val="24"/>
          <w:szCs w:val="24"/>
        </w:rPr>
        <w:t>场地中处于建筑阴影区外的步道、游憩场、庭院、广场等室外活动场地设有乔木、花架等遮阴措施的面积比例，住宅建筑达到30%，公共建筑达到10％，得</w:t>
      </w:r>
      <w:r>
        <w:rPr>
          <w:rFonts w:hint="eastAsia" w:cs="Times New Roman"/>
          <w:kern w:val="0"/>
          <w:sz w:val="24"/>
          <w:szCs w:val="24"/>
          <w:lang w:val="en-US" w:eastAsia="zh-CN"/>
        </w:rPr>
        <w:t>4</w:t>
      </w:r>
      <w:r>
        <w:rPr>
          <w:rFonts w:ascii="Times New Roman" w:hAnsi="Times New Roman" w:cs="Times New Roman"/>
          <w:kern w:val="0"/>
          <w:sz w:val="24"/>
          <w:szCs w:val="24"/>
        </w:rPr>
        <w:t>分；住宅建筑达到50％，公共建筑达到20％，得</w:t>
      </w:r>
      <w:r>
        <w:rPr>
          <w:rFonts w:hint="eastAsia" w:cs="Times New Roman"/>
          <w:kern w:val="0"/>
          <w:sz w:val="24"/>
          <w:szCs w:val="24"/>
          <w:lang w:val="en-US" w:eastAsia="zh-CN"/>
        </w:rPr>
        <w:t>6</w:t>
      </w:r>
      <w:r>
        <w:rPr>
          <w:rFonts w:ascii="Times New Roman" w:hAnsi="Times New Roman" w:cs="Times New Roman"/>
          <w:kern w:val="0"/>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outlineLvl w:val="9"/>
        <w:rPr>
          <w:rFonts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2</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s="Times New Roman"/>
          <w:kern w:val="0"/>
          <w:sz w:val="24"/>
          <w:szCs w:val="24"/>
        </w:rPr>
        <w:t>场地中处于建筑阴影区外的机动车道，</w:t>
      </w:r>
      <w:r>
        <w:rPr>
          <w:rFonts w:ascii="Times New Roman" w:hAnsi="Times New Roman"/>
          <w:color w:val="000000" w:themeColor="text1"/>
          <w:sz w:val="24"/>
          <w14:textFill>
            <w14:solidFill>
              <w14:schemeClr w14:val="tx1"/>
            </w14:solidFill>
          </w14:textFill>
        </w:rPr>
        <w:t>设有遮阴面积较大行道树的路段超过7</w:t>
      </w:r>
      <w:r>
        <w:rPr>
          <w:rFonts w:hint="default" w:ascii="Times New Roman" w:hAnsi="Times New Roman"/>
          <w:color w:val="000000" w:themeColor="text1"/>
          <w:sz w:val="24"/>
          <w14:textFill>
            <w14:solidFill>
              <w14:schemeClr w14:val="tx1"/>
            </w14:solidFill>
          </w14:textFill>
        </w:rPr>
        <w:t>0</w:t>
      </w:r>
      <w:r>
        <w:rPr>
          <w:rFonts w:ascii="Times New Roman" w:hAnsi="Times New Roman"/>
          <w:color w:val="000000" w:themeColor="text1"/>
          <w:sz w:val="24"/>
          <w14:textFill>
            <w14:solidFill>
              <w14:schemeClr w14:val="tx1"/>
            </w14:solidFill>
          </w14:textFill>
        </w:rPr>
        <w:t>%，得</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ascii="Times New Roman" w:hAnsi="Times New Roman"/>
          <w:sz w:val="24"/>
        </w:rPr>
      </w:pPr>
      <w:r>
        <w:rPr>
          <w:rFonts w:ascii="Times New Roman" w:hAnsi="Times New Roman" w:cs="Times New Roman"/>
          <w:b/>
          <w:kern w:val="0"/>
          <w:sz w:val="24"/>
          <w:szCs w:val="24"/>
        </w:rPr>
        <w:t>3　</w:t>
      </w:r>
      <w:r>
        <w:rPr>
          <w:rFonts w:ascii="Times New Roman" w:hAnsi="Times New Roman" w:cs="Times New Roman"/>
          <w:kern w:val="0"/>
          <w:sz w:val="24"/>
          <w:szCs w:val="24"/>
        </w:rPr>
        <w:t>屋顶的绿化面积、太阳能板水平投影面积以及太阳辐射反射系数不小于0.4的屋面面积合计达到75%，得</w:t>
      </w:r>
      <w:r>
        <w:rPr>
          <w:rFonts w:hint="eastAsia" w:cs="Times New Roman"/>
          <w:kern w:val="0"/>
          <w:sz w:val="24"/>
          <w:szCs w:val="24"/>
          <w:lang w:val="en-US" w:eastAsia="zh-CN"/>
        </w:rPr>
        <w:t>2</w:t>
      </w:r>
      <w:r>
        <w:rPr>
          <w:rFonts w:ascii="Times New Roman" w:hAnsi="Times New Roman" w:cs="Times New Roman"/>
          <w:kern w:val="0"/>
          <w:sz w:val="24"/>
          <w:szCs w:val="24"/>
        </w:rPr>
        <w:t>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000000" w:themeColor="text1"/>
          <w:sz w:val="24"/>
          <w14:textFill>
            <w14:solidFill>
              <w14:schemeClr w14:val="tx1"/>
            </w14:solidFill>
          </w14:textFill>
        </w:rPr>
      </w:pPr>
    </w:p>
    <w:bookmarkEnd w:id="210"/>
    <w:bookmarkEnd w:id="211"/>
    <w:bookmarkEnd w:id="212"/>
    <w:bookmarkEnd w:id="256"/>
    <w:bookmarkEnd w:id="257"/>
    <w:bookmarkEnd w:id="290"/>
    <w:bookmarkEnd w:id="291"/>
    <w:bookmarkEnd w:id="292"/>
    <w:bookmarkEnd w:id="293"/>
    <w:p>
      <w:pPr>
        <w:widowControl/>
        <w:shd w:val="clear"/>
        <w:jc w:val="left"/>
        <w:rPr>
          <w:rFonts w:hint="default"/>
          <w:b/>
          <w:color w:val="000000" w:themeColor="text1"/>
          <w:sz w:val="24"/>
          <w14:textFill>
            <w14:solidFill>
              <w14:schemeClr w14:val="tx1"/>
            </w14:solidFill>
          </w14:textFill>
        </w:rPr>
      </w:pPr>
      <w:bookmarkStart w:id="297" w:name="_Toc119755504"/>
      <w:r>
        <w:rPr>
          <w:rFonts w:hint="default"/>
          <w:b/>
          <w:color w:val="000000" w:themeColor="text1"/>
          <w:sz w:val="24"/>
          <w14:textFill>
            <w14:solidFill>
              <w14:schemeClr w14:val="tx1"/>
            </w14:solidFill>
          </w14:textFill>
        </w:rPr>
        <w:br w:type="page"/>
      </w:r>
    </w:p>
    <w:p>
      <w:pPr>
        <w:shd w:val="clear"/>
        <w:adjustRightInd w:val="0"/>
        <w:snapToGrid w:val="0"/>
        <w:spacing w:before="312" w:beforeLines="100" w:after="93" w:afterLines="30" w:line="312" w:lineRule="auto"/>
        <w:jc w:val="center"/>
        <w:outlineLvl w:val="1"/>
        <w:rPr>
          <w:rFonts w:hint="default"/>
          <w:b/>
          <w:color w:val="000000" w:themeColor="text1"/>
          <w:sz w:val="24"/>
          <w14:textFill>
            <w14:solidFill>
              <w14:schemeClr w14:val="tx1"/>
            </w14:solidFill>
          </w14:textFill>
        </w:rPr>
      </w:pPr>
      <w:bookmarkStart w:id="298" w:name="_Toc7159"/>
      <w:bookmarkStart w:id="299" w:name="_Toc10183"/>
      <w:bookmarkStart w:id="300" w:name="_Toc23709"/>
      <w:bookmarkStart w:id="301" w:name="_Toc32482"/>
      <w:bookmarkStart w:id="302" w:name="_Toc4299"/>
      <w:bookmarkStart w:id="303" w:name="_Toc16997"/>
      <w:bookmarkStart w:id="304" w:name="_Toc4"/>
      <w:bookmarkStart w:id="305" w:name="_Toc31978"/>
      <w:bookmarkStart w:id="306" w:name="_Toc7002"/>
      <w:bookmarkStart w:id="307" w:name="_Toc10421"/>
      <w:bookmarkStart w:id="308" w:name="_Toc10442"/>
      <w:r>
        <w:rPr>
          <w:rFonts w:hint="default"/>
          <w:b/>
          <w:color w:val="000000" w:themeColor="text1"/>
          <w:sz w:val="24"/>
          <w14:textFill>
            <w14:solidFill>
              <w14:schemeClr w14:val="tx1"/>
            </w14:solidFill>
          </w14:textFill>
        </w:rPr>
        <w:t>4.</w:t>
      </w:r>
      <w:r>
        <w:rPr>
          <w:rFonts w:hint="eastAsia"/>
          <w:b/>
          <w:color w:val="000000" w:themeColor="text1"/>
          <w:sz w:val="24"/>
          <w:lang w:val="en-US" w:eastAsia="zh-CN"/>
          <w14:textFill>
            <w14:solidFill>
              <w14:schemeClr w14:val="tx1"/>
            </w14:solidFill>
          </w14:textFill>
        </w:rPr>
        <w:t>4</w:t>
      </w:r>
      <w:r>
        <w:rPr>
          <w:rFonts w:hint="default"/>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用户满意度</w:t>
      </w:r>
      <w:bookmarkEnd w:id="297"/>
      <w:bookmarkEnd w:id="298"/>
      <w:bookmarkEnd w:id="299"/>
      <w:bookmarkEnd w:id="300"/>
      <w:bookmarkEnd w:id="301"/>
      <w:bookmarkEnd w:id="302"/>
      <w:bookmarkEnd w:id="303"/>
      <w:bookmarkEnd w:id="304"/>
      <w:bookmarkEnd w:id="305"/>
      <w:bookmarkEnd w:id="306"/>
      <w:bookmarkEnd w:id="307"/>
      <w:bookmarkEnd w:id="308"/>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4</w:t>
      </w:r>
      <w:r>
        <w:rPr>
          <w:rFonts w:hint="default"/>
          <w:b/>
          <w:bCs/>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建筑</w:t>
      </w:r>
      <w:r>
        <w:rPr>
          <w:rFonts w:hint="eastAsia"/>
          <w:color w:val="000000" w:themeColor="text1"/>
          <w:sz w:val="24"/>
          <w:lang w:val="en-US" w:eastAsia="zh-CN"/>
          <w14:textFill>
            <w14:solidFill>
              <w14:schemeClr w14:val="tx1"/>
            </w14:solidFill>
          </w14:textFill>
        </w:rPr>
        <w:t>运行</w:t>
      </w:r>
      <w:r>
        <w:rPr>
          <w:color w:val="000000" w:themeColor="text1"/>
          <w:sz w:val="24"/>
          <w14:textFill>
            <w14:solidFill>
              <w14:schemeClr w14:val="tx1"/>
            </w14:solidFill>
          </w14:textFill>
        </w:rPr>
        <w:t>过程中应按附录B对用户满意度进行调查，用户满意度指标评价总分值为</w:t>
      </w:r>
      <w:r>
        <w:rPr>
          <w:rFonts w:hint="eastAsia"/>
          <w:color w:val="000000" w:themeColor="text1"/>
          <w:sz w:val="24"/>
          <w:lang w:val="en-US" w:eastAsia="zh-CN"/>
          <w14:textFill>
            <w14:solidFill>
              <w14:schemeClr w14:val="tx1"/>
            </w14:solidFill>
          </w14:textFill>
        </w:rPr>
        <w:t>20</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分，按表</w:t>
      </w:r>
      <w:r>
        <w:rPr>
          <w:rFonts w:hint="default"/>
          <w:color w:val="000000" w:themeColor="text1"/>
          <w:sz w:val="24"/>
          <w14:textFill>
            <w14:solidFill>
              <w14:schemeClr w14:val="tx1"/>
            </w14:solidFill>
          </w14:textFill>
        </w:rPr>
        <w:t>4.</w:t>
      </w:r>
      <w:r>
        <w:rPr>
          <w:rFonts w:hint="eastAsia"/>
          <w:color w:val="000000" w:themeColor="text1"/>
          <w:sz w:val="24"/>
          <w:lang w:val="en-US" w:eastAsia="zh-CN"/>
          <w14:textFill>
            <w14:solidFill>
              <w14:schemeClr w14:val="tx1"/>
            </w14:solidFill>
          </w14:textFill>
        </w:rPr>
        <w:t>4</w:t>
      </w:r>
      <w:r>
        <w:rPr>
          <w:rFonts w:hint="default"/>
          <w:color w:val="000000" w:themeColor="text1"/>
          <w:sz w:val="24"/>
          <w14:textFill>
            <w14:solidFill>
              <w14:schemeClr w14:val="tx1"/>
            </w14:solidFill>
          </w14:textFill>
        </w:rPr>
        <w:t>.1</w:t>
      </w:r>
      <w:r>
        <w:rPr>
          <w:color w:val="000000" w:themeColor="text1"/>
          <w:sz w:val="24"/>
          <w14:textFill>
            <w14:solidFill>
              <w14:schemeClr w14:val="tx1"/>
            </w14:solidFill>
          </w14:textFill>
        </w:rPr>
        <w:t>的规则评分并累计。</w:t>
      </w:r>
    </w:p>
    <w:p>
      <w:pPr>
        <w:pStyle w:val="9"/>
        <w:shd w:val="clear"/>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t>表</w:t>
      </w:r>
      <w:r>
        <w:rPr>
          <w:rFonts w:hint="default"/>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default"/>
          <w:color w:val="000000" w:themeColor="text1"/>
          <w14:textFill>
            <w14:solidFill>
              <w14:schemeClr w14:val="tx1"/>
            </w14:solidFill>
          </w14:textFill>
        </w:rPr>
        <w:t>1</w:t>
      </w:r>
      <w:r>
        <w:rPr>
          <w:color w:val="000000" w:themeColor="text1"/>
          <w14:textFill>
            <w14:solidFill>
              <w14:schemeClr w14:val="tx1"/>
            </w14:solidFill>
          </w14:textFill>
        </w:rPr>
        <w:t>用户使用感受评分规则</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2386"/>
        <w:gridCol w:w="2802"/>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24"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用户使用感受</w:t>
            </w:r>
          </w:p>
        </w:tc>
        <w:tc>
          <w:tcPr>
            <w:tcW w:w="1399"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评价指标</w:t>
            </w: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评价内容</w:t>
            </w:r>
          </w:p>
        </w:tc>
        <w:tc>
          <w:tcPr>
            <w:tcW w:w="634"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室外环境质量</w:t>
            </w:r>
          </w:p>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满意度</w:t>
            </w: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1≤平均评价分≤</w:t>
            </w:r>
            <w:r>
              <w:rPr>
                <w:rFonts w:hint="default"/>
                <w:color w:val="000000" w:themeColor="text1"/>
                <w:sz w:val="24"/>
                <w14:textFill>
                  <w14:solidFill>
                    <w14:schemeClr w14:val="tx1"/>
                  </w14:solidFill>
                </w14:textFill>
              </w:rPr>
              <w:t>3</w:t>
            </w:r>
          </w:p>
        </w:tc>
        <w:tc>
          <w:tcPr>
            <w:tcW w:w="634"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室内环境质量</w:t>
            </w:r>
          </w:p>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满意度</w:t>
            </w: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1≤平均评价分≤</w:t>
            </w:r>
            <w:r>
              <w:rPr>
                <w:rFonts w:hint="default"/>
                <w:color w:val="000000" w:themeColor="text1"/>
                <w:sz w:val="24"/>
                <w14:textFill>
                  <w14:solidFill>
                    <w14:schemeClr w14:val="tx1"/>
                  </w14:solidFill>
                </w14:textFill>
              </w:rPr>
              <w:t>3</w:t>
            </w:r>
          </w:p>
        </w:tc>
        <w:tc>
          <w:tcPr>
            <w:tcW w:w="634"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公共服务设施</w:t>
            </w:r>
          </w:p>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满意度</w:t>
            </w: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1≤平均评价分≤</w:t>
            </w:r>
            <w:r>
              <w:rPr>
                <w:rFonts w:hint="default"/>
                <w:color w:val="000000" w:themeColor="text1"/>
                <w:sz w:val="24"/>
                <w14:textFill>
                  <w14:solidFill>
                    <w14:schemeClr w14:val="tx1"/>
                  </w14:solidFill>
                </w14:textFill>
              </w:rPr>
              <w:t>3</w:t>
            </w:r>
          </w:p>
        </w:tc>
        <w:tc>
          <w:tcPr>
            <w:tcW w:w="634"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restar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绿色低碳管理水平</w:t>
            </w: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1≤平均评价分≤</w:t>
            </w:r>
            <w:r>
              <w:rPr>
                <w:rFonts w:hint="default"/>
                <w:color w:val="000000" w:themeColor="text1"/>
                <w:sz w:val="24"/>
                <w14:textFill>
                  <w14:solidFill>
                    <w14:schemeClr w14:val="tx1"/>
                  </w14:solidFill>
                </w14:textFill>
              </w:rPr>
              <w:t>3</w:t>
            </w:r>
          </w:p>
        </w:tc>
        <w:tc>
          <w:tcPr>
            <w:tcW w:w="634" w:type="pct"/>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24"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399" w:type="pct"/>
            <w:vMerge w:val="continue"/>
            <w:shd w:val="clear" w:color="auto" w:fill="auto"/>
            <w:vAlign w:val="center"/>
          </w:tcPr>
          <w:p>
            <w:pPr>
              <w:shd w:val="clear"/>
              <w:adjustRightInd w:val="0"/>
              <w:snapToGrid w:val="0"/>
              <w:jc w:val="center"/>
              <w:rPr>
                <w:rFonts w:hint="default"/>
                <w:color w:val="000000" w:themeColor="text1"/>
                <w:sz w:val="24"/>
                <w14:textFill>
                  <w14:solidFill>
                    <w14:schemeClr w14:val="tx1"/>
                  </w14:solidFill>
                </w14:textFill>
              </w:rPr>
            </w:pPr>
          </w:p>
        </w:tc>
        <w:tc>
          <w:tcPr>
            <w:tcW w:w="1643" w:type="pct"/>
            <w:vAlign w:val="center"/>
          </w:tcPr>
          <w:p>
            <w:pPr>
              <w:shd w:val="clear"/>
              <w:adjustRightInd w:val="0"/>
              <w:snapToGrid w:val="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平均评价分≥</w:t>
            </w:r>
            <w:r>
              <w:rPr>
                <w:rFonts w:hint="default"/>
                <w:color w:val="000000" w:themeColor="text1"/>
                <w:sz w:val="24"/>
                <w14:textFill>
                  <w14:solidFill>
                    <w14:schemeClr w14:val="tx1"/>
                  </w14:solidFill>
                </w14:textFill>
              </w:rPr>
              <w:t>5</w:t>
            </w:r>
          </w:p>
        </w:tc>
        <w:tc>
          <w:tcPr>
            <w:tcW w:w="634" w:type="pct"/>
            <w:shd w:val="clear" w:color="auto" w:fill="auto"/>
            <w:vAlign w:val="center"/>
          </w:tcPr>
          <w:p>
            <w:pPr>
              <w:shd w:val="clea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50</w:t>
            </w:r>
          </w:p>
        </w:tc>
      </w:tr>
    </w:tbl>
    <w:p>
      <w:pPr>
        <w:shd w:val="clear"/>
        <w:jc w:val="center"/>
        <w:outlineLvl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br w:type="page"/>
      </w:r>
      <w:bookmarkStart w:id="309" w:name="_Toc517961449"/>
      <w:bookmarkStart w:id="310" w:name="_Toc4172"/>
      <w:bookmarkStart w:id="311" w:name="_Toc527729625"/>
      <w:bookmarkStart w:id="312" w:name="_Toc22887507"/>
      <w:bookmarkStart w:id="313" w:name="_Toc529350933"/>
      <w:bookmarkStart w:id="314" w:name="_Toc27170"/>
      <w:bookmarkStart w:id="315" w:name="_Toc16186"/>
      <w:bookmarkStart w:id="316" w:name="_Toc19330"/>
      <w:bookmarkStart w:id="317" w:name="_Toc13726"/>
      <w:bookmarkStart w:id="318" w:name="_Toc9076"/>
      <w:bookmarkStart w:id="319" w:name="_Toc6362"/>
      <w:bookmarkStart w:id="320" w:name="_Toc438459515"/>
      <w:bookmarkStart w:id="321" w:name="_Toc438204166"/>
      <w:bookmarkStart w:id="322" w:name="_Toc6151"/>
      <w:bookmarkStart w:id="323" w:name="_Toc519677391"/>
      <w:bookmarkStart w:id="324" w:name="_Toc13570"/>
      <w:bookmarkStart w:id="325" w:name="_Toc482107729"/>
      <w:bookmarkStart w:id="326" w:name="_Toc8996"/>
      <w:bookmarkStart w:id="327" w:name="_Toc4862"/>
      <w:r>
        <w:rPr>
          <w:b/>
          <w:color w:val="000000" w:themeColor="text1"/>
          <w:sz w:val="36"/>
          <w14:textFill>
            <w14:solidFill>
              <w14:schemeClr w14:val="tx1"/>
            </w14:solidFill>
          </w14:textFill>
        </w:rPr>
        <w:t>本标准用词说明</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  为便于在执行本标准条文时区别对待，对要求严格程度不同的用词说明如下：</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bookmarkStart w:id="328" w:name="_Toc7715"/>
      <w:bookmarkStart w:id="329" w:name="_Toc31955"/>
      <w:bookmarkStart w:id="330" w:name="_Toc24553"/>
      <w:bookmarkStart w:id="331" w:name="_Toc25065"/>
      <w:bookmarkStart w:id="332" w:name="_Toc8790"/>
      <w:bookmarkStart w:id="333" w:name="_Toc16226"/>
      <w:bookmarkStart w:id="334" w:name="_Toc26563"/>
      <w:bookmarkStart w:id="335" w:name="_Toc14043"/>
      <w:bookmarkStart w:id="336" w:name="_Toc5498"/>
      <w:bookmarkStart w:id="337" w:name="_Toc16537"/>
      <w:bookmarkStart w:id="338" w:name="_Toc20806"/>
      <w:r>
        <w:rPr>
          <w:color w:val="000000" w:themeColor="text1"/>
          <w:sz w:val="24"/>
          <w14:textFill>
            <w14:solidFill>
              <w14:schemeClr w14:val="tx1"/>
            </w14:solidFill>
          </w14:textFill>
        </w:rPr>
        <w:t>（1） 表示很严格，非这样做不可的：</w:t>
      </w:r>
      <w:bookmarkEnd w:id="328"/>
      <w:bookmarkEnd w:id="329"/>
      <w:bookmarkEnd w:id="330"/>
      <w:bookmarkEnd w:id="331"/>
      <w:bookmarkEnd w:id="332"/>
      <w:bookmarkEnd w:id="333"/>
      <w:bookmarkEnd w:id="334"/>
      <w:bookmarkEnd w:id="335"/>
      <w:bookmarkEnd w:id="336"/>
      <w:bookmarkEnd w:id="337"/>
      <w:bookmarkEnd w:id="338"/>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正面词采用“必须”，反面词采用“严禁”。</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bookmarkStart w:id="339" w:name="_Toc20456"/>
      <w:bookmarkStart w:id="340" w:name="_Toc13396"/>
      <w:bookmarkStart w:id="341" w:name="_Toc18205"/>
      <w:bookmarkStart w:id="342" w:name="_Toc26233"/>
      <w:bookmarkStart w:id="343" w:name="_Toc1362"/>
      <w:bookmarkStart w:id="344" w:name="_Toc16348"/>
      <w:bookmarkStart w:id="345" w:name="_Toc6980"/>
      <w:bookmarkStart w:id="346" w:name="_Toc31985"/>
      <w:bookmarkStart w:id="347" w:name="_Toc4545"/>
      <w:bookmarkStart w:id="348" w:name="_Toc4148"/>
      <w:bookmarkStart w:id="349" w:name="_Toc14066"/>
      <w:r>
        <w:rPr>
          <w:color w:val="000000" w:themeColor="text1"/>
          <w:sz w:val="24"/>
          <w14:textFill>
            <w14:solidFill>
              <w14:schemeClr w14:val="tx1"/>
            </w14:solidFill>
          </w14:textFill>
        </w:rPr>
        <w:t>（2） 表示严格，在正常情况下均应这样做的：</w:t>
      </w:r>
      <w:bookmarkEnd w:id="339"/>
      <w:bookmarkEnd w:id="340"/>
      <w:bookmarkEnd w:id="341"/>
      <w:bookmarkEnd w:id="342"/>
      <w:bookmarkEnd w:id="343"/>
      <w:bookmarkEnd w:id="344"/>
      <w:bookmarkEnd w:id="345"/>
      <w:bookmarkEnd w:id="346"/>
      <w:bookmarkEnd w:id="347"/>
      <w:bookmarkEnd w:id="348"/>
      <w:bookmarkEnd w:id="349"/>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正面词采用“应”，反面词采用“不应”或“不得”；</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bookmarkStart w:id="350" w:name="_Toc5013"/>
      <w:bookmarkStart w:id="351" w:name="_Toc5992"/>
      <w:bookmarkStart w:id="352" w:name="_Toc26037"/>
      <w:bookmarkStart w:id="353" w:name="_Toc31890"/>
      <w:bookmarkStart w:id="354" w:name="_Toc24367"/>
      <w:bookmarkStart w:id="355" w:name="_Toc18715"/>
      <w:bookmarkStart w:id="356" w:name="_Toc16107"/>
      <w:bookmarkStart w:id="357" w:name="_Toc23784"/>
      <w:bookmarkStart w:id="358" w:name="_Toc3243"/>
      <w:bookmarkStart w:id="359" w:name="_Toc13109"/>
      <w:bookmarkStart w:id="360" w:name="_Toc3337"/>
      <w:r>
        <w:rPr>
          <w:color w:val="000000" w:themeColor="text1"/>
          <w:sz w:val="24"/>
          <w14:textFill>
            <w14:solidFill>
              <w14:schemeClr w14:val="tx1"/>
            </w14:solidFill>
          </w14:textFill>
        </w:rPr>
        <w:t>（3） 表示允许稍有选择，在条件许可时首先应这样做的：</w:t>
      </w:r>
      <w:bookmarkEnd w:id="350"/>
      <w:bookmarkEnd w:id="351"/>
      <w:bookmarkEnd w:id="352"/>
      <w:bookmarkEnd w:id="353"/>
      <w:bookmarkEnd w:id="354"/>
      <w:bookmarkEnd w:id="355"/>
      <w:bookmarkEnd w:id="356"/>
      <w:bookmarkEnd w:id="357"/>
      <w:bookmarkEnd w:id="358"/>
      <w:bookmarkEnd w:id="359"/>
      <w:bookmarkEnd w:id="360"/>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正面词采用“宜”，反面词采用“不宜”。</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表示有选择，在一定条件下可以应这样做的，采用“可”。</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2  本标准条文中指明应按其他有关标准、规范执行的写法为：“应符合……的规定”或“应按……执行”。</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outlineLvl w:val="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bookmarkStart w:id="361" w:name="_Toc482107730"/>
      <w:bookmarkStart w:id="362" w:name="_Toc14900"/>
      <w:bookmarkStart w:id="363" w:name="_Toc178"/>
      <w:bookmarkStart w:id="364" w:name="_Toc41918687"/>
      <w:bookmarkStart w:id="365" w:name="_Toc529350934"/>
      <w:bookmarkStart w:id="366" w:name="_Toc517961450"/>
      <w:bookmarkStart w:id="367" w:name="_Toc519677392"/>
      <w:bookmarkStart w:id="368" w:name="_Toc25243"/>
      <w:bookmarkStart w:id="369" w:name="_Toc438459516"/>
      <w:bookmarkStart w:id="370" w:name="_Toc527729626"/>
      <w:bookmarkStart w:id="371" w:name="_Toc32367"/>
      <w:bookmarkStart w:id="372" w:name="_Toc50534637"/>
      <w:bookmarkStart w:id="373" w:name="_Toc23842"/>
      <w:bookmarkStart w:id="374" w:name="_Toc438204167"/>
      <w:bookmarkStart w:id="375" w:name="_Toc7415"/>
      <w:bookmarkStart w:id="376" w:name="_Toc119755505"/>
      <w:bookmarkStart w:id="377" w:name="_Toc5411"/>
      <w:bookmarkStart w:id="378" w:name="_Toc29501"/>
      <w:bookmarkStart w:id="379" w:name="_Toc1084"/>
      <w:bookmarkStart w:id="380" w:name="_Toc50647842"/>
      <w:bookmarkStart w:id="381" w:name="_Toc22887508"/>
      <w:bookmarkStart w:id="382" w:name="_Toc11240"/>
      <w:bookmarkStart w:id="383" w:name="_Toc12381"/>
      <w:r>
        <w:rPr>
          <w:b/>
          <w:color w:val="000000" w:themeColor="text1"/>
          <w:sz w:val="36"/>
          <w14:textFill>
            <w14:solidFill>
              <w14:schemeClr w14:val="tx1"/>
            </w14:solidFill>
          </w14:textFill>
        </w:rPr>
        <w:t>引用标准名录</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《无障碍设计规范》GB 50763</w:t>
      </w:r>
      <w:r>
        <w:rPr>
          <w:rFonts w:hint="default"/>
          <w:color w:val="000000" w:themeColor="text1"/>
          <w:sz w:val="24"/>
          <w14:textFill>
            <w14:solidFill>
              <w14:schemeClr w14:val="tx1"/>
            </w14:solidFill>
          </w14:textFill>
        </w:rPr>
        <w:t>-2012</w:t>
      </w:r>
    </w:p>
    <w:p>
      <w:pPr>
        <w:shd w:val="clear"/>
        <w:adjustRightInd w:val="0"/>
        <w:snapToGrid w:val="0"/>
        <w:spacing w:before="93" w:beforeLines="30" w:after="93" w:afterLines="30" w:line="312"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《建筑与市政工程无障碍通用规范》GB 55019-2021</w:t>
      </w:r>
    </w:p>
    <w:p>
      <w:pPr>
        <w:shd w:val="clear"/>
        <w:adjustRightInd w:val="0"/>
        <w:snapToGrid w:val="0"/>
        <w:spacing w:before="93" w:beforeLines="30" w:after="93" w:afterLines="30" w:line="31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《绿色建筑评价标准》GB/T 50378-2019</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《广东省建筑节能与绿色建筑工程施工质量验收规范》DBJ 15-65-2021</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《广东省绿色建筑评价标准》DBJ/T 15-83-2017</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《广东省绿色建筑检测标准》DBJ/T 15-234-2021</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《绿色建筑评价技术细则》（2019）</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sectPr>
          <w:footerReference r:id="rId5" w:type="default"/>
          <w:pgSz w:w="11906" w:h="16838"/>
          <w:pgMar w:top="1440" w:right="1797" w:bottom="1440" w:left="1797" w:header="851" w:footer="992" w:gutter="0"/>
          <w:pgNumType w:start="1"/>
          <w:cols w:space="720" w:num="1"/>
          <w:docGrid w:type="lines" w:linePitch="312" w:charSpace="0"/>
        </w:sectPr>
      </w:pPr>
    </w:p>
    <w:p>
      <w:pPr>
        <w:shd w:val="clear"/>
        <w:adjustRightInd w:val="0"/>
        <w:snapToGrid w:val="0"/>
        <w:spacing w:before="312" w:beforeLines="100" w:line="360" w:lineRule="auto"/>
        <w:outlineLvl w:val="0"/>
        <w:rPr>
          <w:rFonts w:hint="default" w:ascii="宋体" w:hAnsi="宋体"/>
          <w:b/>
          <w:color w:val="000000" w:themeColor="text1"/>
          <w:sz w:val="30"/>
          <w:szCs w:val="30"/>
          <w14:textFill>
            <w14:solidFill>
              <w14:schemeClr w14:val="tx1"/>
            </w14:solidFill>
          </w14:textFill>
        </w:rPr>
      </w:pPr>
      <w:bookmarkStart w:id="384" w:name="_Toc18978"/>
      <w:bookmarkStart w:id="385" w:name="_Toc4811"/>
      <w:bookmarkStart w:id="386" w:name="_Toc32060"/>
      <w:bookmarkStart w:id="387" w:name="_Toc18858"/>
      <w:bookmarkStart w:id="388" w:name="_Toc18221"/>
      <w:bookmarkStart w:id="389" w:name="_Toc2184"/>
      <w:bookmarkStart w:id="390" w:name="_Toc31415"/>
      <w:bookmarkStart w:id="391" w:name="_Toc119755506"/>
      <w:bookmarkStart w:id="392" w:name="_Toc11162"/>
      <w:bookmarkStart w:id="393" w:name="_Toc27715"/>
      <w:bookmarkStart w:id="394" w:name="_Toc3725"/>
      <w:bookmarkStart w:id="395" w:name="_Toc4628"/>
      <w:r>
        <w:rPr>
          <w:rFonts w:ascii="宋体" w:hAnsi="宋体"/>
          <w:b/>
          <w:color w:val="000000" w:themeColor="text1"/>
          <w:sz w:val="30"/>
          <w:szCs w:val="30"/>
          <w14:textFill>
            <w14:solidFill>
              <w14:schemeClr w14:val="tx1"/>
            </w14:solidFill>
          </w14:textFill>
        </w:rPr>
        <w:t>附录A</w:t>
      </w:r>
      <w:bookmarkEnd w:id="384"/>
      <w:bookmarkEnd w:id="385"/>
      <w:bookmarkEnd w:id="386"/>
      <w:bookmarkEnd w:id="387"/>
      <w:bookmarkEnd w:id="388"/>
      <w:bookmarkEnd w:id="389"/>
      <w:bookmarkEnd w:id="390"/>
      <w:bookmarkEnd w:id="391"/>
      <w:bookmarkEnd w:id="392"/>
      <w:bookmarkEnd w:id="393"/>
      <w:bookmarkEnd w:id="394"/>
      <w:bookmarkEnd w:id="395"/>
    </w:p>
    <w:p>
      <w:pPr>
        <w:shd w:val="clear"/>
        <w:jc w:val="center"/>
        <w:rPr>
          <w:rFonts w:hint="default"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t>绿色建筑技术措施落实评价表</w:t>
      </w:r>
    </w:p>
    <w:p>
      <w:pPr>
        <w:shd w:val="clear"/>
        <w:spacing w:after="156" w:afterLines="50"/>
        <w:rPr>
          <w:rFonts w:hint="default"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（1）《绿色建筑评价标准》</w:t>
      </w:r>
      <w:r>
        <w:rPr>
          <w:rFonts w:hint="default" w:ascii="宋体" w:hAnsi="宋体"/>
          <w:color w:val="000000" w:themeColor="text1"/>
          <w:sz w:val="24"/>
          <w14:textFill>
            <w14:solidFill>
              <w14:schemeClr w14:val="tx1"/>
            </w14:solidFill>
          </w14:textFill>
        </w:rPr>
        <w:t>GB/T 50378-2006</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179"/>
        <w:gridCol w:w="7097"/>
        <w:gridCol w:w="1507"/>
        <w:gridCol w:w="1737"/>
        <w:gridCol w:w="147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510" w:hRule="atLeast"/>
          <w:tblHeader/>
        </w:trPr>
        <w:tc>
          <w:tcPr>
            <w:tcW w:w="409" w:type="pct"/>
            <w:shd w:val="clear" w:color="auto" w:fill="D8D8D8" w:themeFill="background1" w:themeFillShade="D9"/>
            <w:vAlign w:val="center"/>
          </w:tcPr>
          <w:p>
            <w:pPr>
              <w:shd w:val="clear"/>
              <w:jc w:val="center"/>
              <w:rPr>
                <w:rFonts w:hint="eastAsia" w:eastAsia="宋体"/>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区域</w:t>
            </w:r>
          </w:p>
        </w:tc>
        <w:tc>
          <w:tcPr>
            <w:tcW w:w="416"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条文号</w:t>
            </w:r>
          </w:p>
        </w:tc>
        <w:tc>
          <w:tcPr>
            <w:tcW w:w="2505"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条文内容</w:t>
            </w:r>
          </w:p>
        </w:tc>
        <w:tc>
          <w:tcPr>
            <w:tcW w:w="532"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设计采用情况</w:t>
            </w:r>
          </w:p>
        </w:tc>
        <w:tc>
          <w:tcPr>
            <w:tcW w:w="613"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落实情况（自评）</w:t>
            </w:r>
          </w:p>
        </w:tc>
        <w:tc>
          <w:tcPr>
            <w:tcW w:w="521"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997" w:type="pct"/>
            <w:gridSpan w:val="6"/>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住宅部分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4.1.15</w:t>
            </w:r>
          </w:p>
        </w:tc>
        <w:tc>
          <w:tcPr>
            <w:tcW w:w="2505" w:type="pct"/>
            <w:shd w:val="clear" w:color="auto" w:fill="auto"/>
            <w:vAlign w:val="center"/>
          </w:tcPr>
          <w:p>
            <w:pPr>
              <w:shd w:val="clear"/>
              <w:jc w:val="left"/>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选址和住区出入口的设置方便居民充分利用公共交通网络。</w:t>
            </w:r>
            <w:r>
              <w:rPr>
                <w:rFonts w:hint="eastAsia" w:ascii="宋体" w:hAnsi="宋体"/>
                <w:color w:val="000000" w:themeColor="text1"/>
                <w:szCs w:val="21"/>
                <w:lang w:val="en-US" w:eastAsia="zh-CN"/>
                <w14:textFill>
                  <w14:solidFill>
                    <w14:schemeClr w14:val="tx1"/>
                  </w14:solidFill>
                </w14:textFill>
              </w:rPr>
              <w:t>住区出入口到达公共交通站点的步行距离不超过500m。</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3"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周边</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4.1.9</w:t>
            </w:r>
          </w:p>
        </w:tc>
        <w:tc>
          <w:tcPr>
            <w:tcW w:w="2505" w:type="pct"/>
            <w:shd w:val="clear" w:color="auto" w:fill="auto"/>
            <w:vAlign w:val="center"/>
          </w:tcPr>
          <w:p>
            <w:pPr>
              <w:shd w:val="clear"/>
              <w:jc w:val="left"/>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住区公共服务设施按规划配建，合理采用综合建筑并与周边地区共享</w:t>
            </w:r>
            <w:r>
              <w:rPr>
                <w:rFonts w:hint="eastAsia" w:ascii="宋体" w:hAnsi="宋体"/>
                <w:color w:val="000000" w:themeColor="text1"/>
                <w:szCs w:val="21"/>
                <w:lang w:eastAsia="zh-CN"/>
                <w14:textFill>
                  <w14:solidFill>
                    <w14:schemeClr w14:val="tx1"/>
                  </w14:solidFill>
                </w14:textFill>
              </w:rPr>
              <w:t>。</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9" w:type="pct"/>
            <w:vMerge w:val="restar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住区/园区内部</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4.1.14</w:t>
            </w:r>
          </w:p>
        </w:tc>
        <w:tc>
          <w:tcPr>
            <w:tcW w:w="2505" w:type="pct"/>
            <w:shd w:val="clear" w:color="auto" w:fill="auto"/>
            <w:vAlign w:val="center"/>
          </w:tcPr>
          <w:p>
            <w:pPr>
              <w:shd w:val="clear"/>
              <w:jc w:val="left"/>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根据当地的气候条件和植物自然分布特点，栽植多种类型植物，乔、灌、草结合构成多层次的植物群落</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每100m</w:t>
            </w:r>
            <w:r>
              <w:rPr>
                <w:rFonts w:hint="eastAsia" w:ascii="宋体" w:hAnsi="宋体"/>
                <w:color w:val="000000" w:themeColor="text1"/>
                <w:szCs w:val="21"/>
                <w:vertAlign w:val="superscript"/>
                <w:lang w:val="en-US" w:eastAsia="zh-CN"/>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绿地上不少于3株乔木。</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9"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4.1.16</w:t>
            </w:r>
          </w:p>
        </w:tc>
        <w:tc>
          <w:tcPr>
            <w:tcW w:w="2505" w:type="pct"/>
            <w:shd w:val="clear" w:color="auto" w:fill="auto"/>
            <w:vAlign w:val="center"/>
          </w:tcPr>
          <w:p>
            <w:pPr>
              <w:shd w:val="clear"/>
              <w:jc w:val="left"/>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住区非机动车道路、地面停车场和其他硬质铺地采用透水地面，并利用园林绿化提供遮阳。</w:t>
            </w:r>
            <w:r>
              <w:rPr>
                <w:rFonts w:hint="eastAsia" w:ascii="宋体" w:hAnsi="宋体"/>
                <w:color w:val="000000" w:themeColor="text1"/>
                <w:szCs w:val="21"/>
                <w:lang w:val="en-US" w:eastAsia="zh-CN"/>
                <w14:textFill>
                  <w14:solidFill>
                    <w14:schemeClr w14:val="tx1"/>
                  </w14:solidFill>
                </w14:textFill>
              </w:rPr>
              <w:t>室外透水地面面积比不小于45%。</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4.3.8</w:t>
            </w:r>
          </w:p>
        </w:tc>
        <w:tc>
          <w:tcPr>
            <w:tcW w:w="2505" w:type="pct"/>
            <w:shd w:val="clear" w:color="auto" w:fill="auto"/>
            <w:vAlign w:val="center"/>
          </w:tcPr>
          <w:p>
            <w:pPr>
              <w:shd w:val="clear"/>
              <w:jc w:val="left"/>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绿化灌溉采用喷灌、微灌等高效节水灌溉方式。</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9" w:type="pct"/>
            <w:shd w:val="clear" w:color="auto" w:fill="auto"/>
            <w:vAlign w:val="center"/>
          </w:tcPr>
          <w:p>
            <w:pPr>
              <w:shd w:val="clear"/>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公共照明</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4.2.7</w:t>
            </w:r>
          </w:p>
        </w:tc>
        <w:tc>
          <w:tcPr>
            <w:tcW w:w="2505" w:type="pct"/>
            <w:shd w:val="clear" w:color="auto" w:fill="auto"/>
            <w:vAlign w:val="center"/>
          </w:tcPr>
          <w:p>
            <w:pPr>
              <w:shd w:val="clear"/>
              <w:jc w:val="left"/>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公共场所和部位的照明采用高效光源、高效灯具和低损耗镇流器等附件，并采取其他节能控制措施，在有自然光的区域设定或光电控制</w:t>
            </w:r>
            <w:r>
              <w:rPr>
                <w:rFonts w:ascii="宋体" w:hAnsi="宋体"/>
                <w:color w:val="000000" w:themeColor="text1"/>
                <w:szCs w:val="21"/>
                <w14:textFill>
                  <w14:solidFill>
                    <w14:schemeClr w14:val="tx1"/>
                  </w14:solidFill>
                </w14:textFill>
              </w:rPr>
              <w:t>。</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9" w:type="pct"/>
            <w:vMerge w:val="restar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4.5.6</w:t>
            </w:r>
          </w:p>
        </w:tc>
        <w:tc>
          <w:tcPr>
            <w:tcW w:w="2505" w:type="pct"/>
            <w:shd w:val="clear" w:color="auto" w:fill="auto"/>
            <w:vAlign w:val="center"/>
          </w:tcPr>
          <w:p>
            <w:pPr>
              <w:shd w:val="clear"/>
              <w:jc w:val="left"/>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居住空间开窗具有良好的视野，</w:t>
            </w:r>
            <w:r>
              <w:rPr>
                <w:rFonts w:hint="eastAsia" w:ascii="宋体" w:hAnsi="宋体"/>
                <w:color w:val="000000" w:themeColor="text1"/>
                <w:szCs w:val="21"/>
                <w:lang w:val="en-US" w:eastAsia="zh-CN"/>
                <w14:textFill>
                  <w14:solidFill>
                    <w14:schemeClr w14:val="tx1"/>
                  </w14:solidFill>
                </w14:textFill>
              </w:rPr>
              <w:t>能</w:t>
            </w:r>
            <w:r>
              <w:rPr>
                <w:rFonts w:ascii="宋体" w:hAnsi="宋体"/>
                <w:color w:val="000000" w:themeColor="text1"/>
                <w:szCs w:val="21"/>
                <w14:textFill>
                  <w14:solidFill>
                    <w14:schemeClr w14:val="tx1"/>
                  </w14:solidFill>
                </w14:textFill>
              </w:rPr>
              <w:t>避免户间居住空间的视线干扰。当1套住宅设有2个及2个以上卫生间时，至少有1个卫生间设有外窗。</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4.5.9</w:t>
            </w:r>
          </w:p>
        </w:tc>
        <w:tc>
          <w:tcPr>
            <w:tcW w:w="2505" w:type="pct"/>
            <w:shd w:val="clear" w:color="auto" w:fill="auto"/>
            <w:vAlign w:val="center"/>
          </w:tcPr>
          <w:p>
            <w:pPr>
              <w:shd w:val="clear"/>
              <w:jc w:val="left"/>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设采暖或空调系统（设备）的住宅，运行时用户可根据需要对室温进行调控</w:t>
            </w:r>
            <w:r>
              <w:rPr>
                <w:rFonts w:hint="eastAsia" w:ascii="宋体" w:hAnsi="宋体"/>
                <w:color w:val="000000" w:themeColor="text1"/>
                <w:szCs w:val="21"/>
                <w:lang w:eastAsia="zh-CN"/>
                <w14:textFill>
                  <w14:solidFill>
                    <w14:schemeClr w14:val="tx1"/>
                  </w14:solidFill>
                </w14:textFill>
              </w:rPr>
              <w:t>。</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9" w:type="pc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建筑外部</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4.2.9</w:t>
            </w:r>
          </w:p>
        </w:tc>
        <w:tc>
          <w:tcPr>
            <w:tcW w:w="2505" w:type="pct"/>
            <w:shd w:val="clear" w:color="auto" w:fill="auto"/>
            <w:vAlign w:val="center"/>
          </w:tcPr>
          <w:p>
            <w:pPr>
              <w:shd w:val="clear"/>
              <w:jc w:val="left"/>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根据当地气候和自然资源条件，充分利用太阳能、地热能等可再生能源。</w:t>
            </w:r>
            <w:r>
              <w:rPr>
                <w:rFonts w:hint="eastAsia" w:ascii="宋体" w:hAnsi="宋体"/>
                <w:color w:val="000000" w:themeColor="text1"/>
                <w:szCs w:val="21"/>
                <w:lang w:val="en-US" w:eastAsia="zh-CN"/>
                <w14:textFill>
                  <w14:solidFill>
                    <w14:schemeClr w14:val="tx1"/>
                  </w14:solidFill>
                </w14:textFill>
              </w:rPr>
              <w:t>可再生能源的使用量占建筑总能耗的比例大于5%。</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vMerge w:val="restar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4.5.10</w:t>
            </w:r>
          </w:p>
        </w:tc>
        <w:tc>
          <w:tcPr>
            <w:tcW w:w="2505" w:type="pct"/>
            <w:shd w:val="clear" w:color="auto" w:fill="auto"/>
            <w:vAlign w:val="center"/>
          </w:tcPr>
          <w:p>
            <w:pPr>
              <w:shd w:val="clear"/>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采用可调节外遮阳装置，防止夏季太阳辐射透过窗户玻璃直接进入室内。</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4.5.11</w:t>
            </w:r>
          </w:p>
        </w:tc>
        <w:tc>
          <w:tcPr>
            <w:tcW w:w="2505" w:type="pct"/>
            <w:shd w:val="clear" w:color="auto" w:fill="auto"/>
            <w:vAlign w:val="center"/>
          </w:tcPr>
          <w:p>
            <w:pPr>
              <w:shd w:val="clear"/>
              <w:jc w:val="left"/>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设置通风换气装置或室内空气质量监测装置</w:t>
            </w:r>
            <w:r>
              <w:rPr>
                <w:rFonts w:hint="eastAsia" w:ascii="宋体" w:hAnsi="宋体"/>
                <w:color w:val="000000" w:themeColor="text1"/>
                <w:szCs w:val="21"/>
                <w:lang w:eastAsia="zh-CN"/>
                <w14:textFill>
                  <w14:solidFill>
                    <w14:schemeClr w14:val="tx1"/>
                  </w14:solidFill>
                </w14:textFill>
              </w:rPr>
              <w:t>。</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90" w:hRule="atLeast"/>
        </w:trPr>
        <w:tc>
          <w:tcPr>
            <w:tcW w:w="409" w:type="pct"/>
            <w:vMerge w:val="restar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w:t>
            </w:r>
          </w:p>
        </w:tc>
        <w:tc>
          <w:tcPr>
            <w:tcW w:w="416" w:type="pc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4.6.5</w:t>
            </w:r>
          </w:p>
        </w:tc>
        <w:tc>
          <w:tcPr>
            <w:tcW w:w="2505" w:type="pct"/>
            <w:shd w:val="clear" w:color="auto" w:fill="auto"/>
            <w:vAlign w:val="center"/>
          </w:tcPr>
          <w:p>
            <w:pPr>
              <w:shd w:val="clear"/>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垃圾站（间）设冲洗和排水设施。存放垃圾及时清运，不污染环境，不散发臭味。</w:t>
            </w:r>
          </w:p>
        </w:tc>
        <w:tc>
          <w:tcPr>
            <w:tcW w:w="532"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4.6.8</w:t>
            </w:r>
          </w:p>
        </w:tc>
        <w:tc>
          <w:tcPr>
            <w:tcW w:w="2505" w:type="pct"/>
            <w:shd w:val="clear" w:color="auto" w:fill="auto"/>
            <w:vAlign w:val="center"/>
          </w:tcPr>
          <w:p>
            <w:pPr>
              <w:shd w:val="clear"/>
              <w:jc w:val="left"/>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栽种和移植的树木成活率大于90%，植物生长状态良好。</w:t>
            </w:r>
          </w:p>
        </w:tc>
        <w:tc>
          <w:tcPr>
            <w:tcW w:w="532"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4.6.11</w:t>
            </w:r>
          </w:p>
        </w:tc>
        <w:tc>
          <w:tcPr>
            <w:tcW w:w="2505" w:type="pct"/>
            <w:shd w:val="clear" w:color="auto" w:fill="auto"/>
            <w:vAlign w:val="center"/>
          </w:tcPr>
          <w:p>
            <w:pPr>
              <w:shd w:val="clear"/>
              <w:jc w:val="left"/>
              <w:rPr>
                <w:rFonts w:hint="eastAsia"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设备、管道的设置便于维护、改造和更换</w:t>
            </w:r>
            <w:r>
              <w:rPr>
                <w:rFonts w:hint="eastAsia" w:ascii="宋体" w:hAnsi="宋体"/>
                <w:color w:val="000000" w:themeColor="text1"/>
                <w:szCs w:val="21"/>
                <w:lang w:eastAsia="zh-CN"/>
                <w14:textFill>
                  <w14:solidFill>
                    <w14:schemeClr w14:val="tx1"/>
                  </w14:solidFill>
                </w14:textFill>
              </w:rPr>
              <w:t>。</w:t>
            </w:r>
          </w:p>
        </w:tc>
        <w:tc>
          <w:tcPr>
            <w:tcW w:w="532"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613"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521"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997" w:type="pct"/>
            <w:gridSpan w:val="6"/>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公建部分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出入口</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5.5.12</w:t>
            </w:r>
          </w:p>
        </w:tc>
        <w:tc>
          <w:tcPr>
            <w:tcW w:w="250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建筑入口和主要活动空间</w:t>
            </w:r>
            <w:r>
              <w:rPr>
                <w:rFonts w:hint="eastAsia" w:ascii="宋体" w:hAnsi="宋体"/>
                <w:color w:val="000000" w:themeColor="text1"/>
                <w:szCs w:val="21"/>
                <w:lang w:val="en-US" w:eastAsia="zh-CN"/>
                <w14:textFill>
                  <w14:solidFill>
                    <w14:schemeClr w14:val="tx1"/>
                  </w14:solidFill>
                </w14:textFill>
              </w:rPr>
              <w:t>设有无障碍设施。</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Pr>
        <w:tc>
          <w:tcPr>
            <w:tcW w:w="409" w:type="pct"/>
            <w:vMerge w:val="restar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园区内部</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5.1.9</w:t>
            </w:r>
          </w:p>
        </w:tc>
        <w:tc>
          <w:tcPr>
            <w:tcW w:w="2505" w:type="pct"/>
            <w:shd w:val="clear" w:color="auto" w:fill="auto"/>
            <w:vAlign w:val="bottom"/>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绿化物种选择适宜当地气候和土壤条件的乡土植物，且采用包含乔、灌木的复层绿化。</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Pr>
        <w:tc>
          <w:tcPr>
            <w:tcW w:w="409" w:type="pct"/>
            <w:vMerge w:val="continue"/>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5.2.18</w:t>
            </w:r>
          </w:p>
        </w:tc>
        <w:tc>
          <w:tcPr>
            <w:tcW w:w="2505" w:type="pct"/>
            <w:shd w:val="clear" w:color="auto" w:fill="auto"/>
            <w:vAlign w:val="bottom"/>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根据当地气候和自然资源条件，充分利用太阳能、地热能等可再生能源</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可再生能源产生的热水量不低于建筑生活热水消耗量的10%，或可再生能源发电量不低于建筑用电量的2%。</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vMerge w:val="continue"/>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5.3.8</w:t>
            </w:r>
          </w:p>
        </w:tc>
        <w:tc>
          <w:tcPr>
            <w:tcW w:w="250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绿化灌溉采用喷灌、微灌等高效节水灌溉方式</w:t>
            </w:r>
            <w:r>
              <w:rPr>
                <w:rFonts w:hint="eastAsia" w:ascii="宋体" w:hAnsi="宋体"/>
                <w:color w:val="000000" w:themeColor="text1"/>
                <w:szCs w:val="21"/>
                <w:lang w:eastAsia="zh-CN"/>
                <w14:textFill>
                  <w14:solidFill>
                    <w14:schemeClr w14:val="tx1"/>
                  </w14:solidFill>
                </w14:textFill>
              </w:rPr>
              <w:t>。</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建筑外部</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5.1.8</w:t>
            </w:r>
          </w:p>
        </w:tc>
        <w:tc>
          <w:tcPr>
            <w:tcW w:w="2505" w:type="pct"/>
            <w:shd w:val="clear" w:color="auto" w:fill="auto"/>
            <w:vAlign w:val="center"/>
          </w:tcPr>
          <w:p>
            <w:pPr>
              <w:shd w:val="clear"/>
              <w:jc w:val="both"/>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合理采用屋顶绿化、垂直绿化等方式。</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5.5.8</w:t>
            </w:r>
          </w:p>
        </w:tc>
        <w:tc>
          <w:tcPr>
            <w:tcW w:w="250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室内采用调节方便、可提高人员舒适性的空调末端</w:t>
            </w:r>
            <w:r>
              <w:rPr>
                <w:rFonts w:hint="eastAsia" w:ascii="宋体" w:hAnsi="宋体"/>
                <w:color w:val="000000" w:themeColor="text1"/>
                <w:szCs w:val="21"/>
                <w:lang w:eastAsia="zh-CN"/>
                <w14:textFill>
                  <w14:solidFill>
                    <w14:schemeClr w14:val="tx1"/>
                  </w14:solidFill>
                </w14:textFill>
              </w:rPr>
              <w:t>。</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w:t>
            </w:r>
          </w:p>
        </w:tc>
        <w:tc>
          <w:tcPr>
            <w:tcW w:w="41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5.6.6</w:t>
            </w:r>
          </w:p>
        </w:tc>
        <w:tc>
          <w:tcPr>
            <w:tcW w:w="250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设备、管道的设置便于维护、改造和更换</w:t>
            </w:r>
            <w:r>
              <w:rPr>
                <w:rFonts w:hint="eastAsia" w:ascii="宋体" w:hAnsi="宋体"/>
                <w:color w:val="000000" w:themeColor="text1"/>
                <w:szCs w:val="21"/>
                <w:lang w:eastAsia="zh-CN"/>
                <w14:textFill>
                  <w14:solidFill>
                    <w14:schemeClr w14:val="tx1"/>
                  </w14:solidFill>
                </w14:textFill>
              </w:rPr>
              <w:t>。</w:t>
            </w:r>
          </w:p>
        </w:tc>
        <w:tc>
          <w:tcPr>
            <w:tcW w:w="53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3"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1"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bl>
    <w:p>
      <w:pPr>
        <w:widowControl/>
        <w:shd w:val="clear"/>
        <w:jc w:val="left"/>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br w:type="page"/>
      </w:r>
    </w:p>
    <w:p>
      <w:pPr>
        <w:shd w:val="clear"/>
        <w:spacing w:after="156" w:afterLines="50"/>
        <w:rPr>
          <w:rFonts w:hint="default"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）《广东省绿色建筑评价标准》</w:t>
      </w:r>
      <w:r>
        <w:rPr>
          <w:rFonts w:hint="default" w:ascii="宋体" w:hAnsi="宋体"/>
          <w:color w:val="000000" w:themeColor="text1"/>
          <w:sz w:val="24"/>
          <w14:textFill>
            <w14:solidFill>
              <w14:schemeClr w14:val="tx1"/>
            </w14:solidFill>
          </w14:textFill>
        </w:rPr>
        <w:t>DBJ/T 15-83-2011</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173"/>
        <w:gridCol w:w="7125"/>
        <w:gridCol w:w="1496"/>
        <w:gridCol w:w="1734"/>
        <w:gridCol w:w="149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 w:type="pct"/>
          <w:cantSplit/>
          <w:trHeight w:val="510" w:hRule="atLeast"/>
          <w:tblHeader/>
        </w:trPr>
        <w:tc>
          <w:tcPr>
            <w:tcW w:w="402" w:type="pct"/>
            <w:shd w:val="clear" w:color="auto" w:fill="D8D8D8" w:themeFill="background1" w:themeFillShade="D9"/>
            <w:vAlign w:val="center"/>
          </w:tcPr>
          <w:p>
            <w:pPr>
              <w:shd w:val="clear"/>
              <w:jc w:val="center"/>
              <w:rPr>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区域</w:t>
            </w:r>
          </w:p>
        </w:tc>
        <w:tc>
          <w:tcPr>
            <w:tcW w:w="414"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条文号</w:t>
            </w:r>
          </w:p>
        </w:tc>
        <w:tc>
          <w:tcPr>
            <w:tcW w:w="2515"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条文内容</w:t>
            </w:r>
          </w:p>
        </w:tc>
        <w:tc>
          <w:tcPr>
            <w:tcW w:w="528"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设计采用情况</w:t>
            </w:r>
          </w:p>
        </w:tc>
        <w:tc>
          <w:tcPr>
            <w:tcW w:w="612"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落实情况（自评）</w:t>
            </w:r>
          </w:p>
        </w:tc>
        <w:tc>
          <w:tcPr>
            <w:tcW w:w="526"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997" w:type="pct"/>
            <w:gridSpan w:val="6"/>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住宅部分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2"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4.1.16</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场地规划依据人车分行原则，合理组织交通系统。住区出入口到达公共交通站点的步行最短距离不超过500m。</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8"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restar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住区/园区内部</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4.1.15</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根据本地的气候条件和植物自然分布特点，栽植多种类型植物，乔、灌、草、习荫植物结合构成多层次的植物群落。</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4.3.10</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绿化灌溉采用喷灌、微灌等高效节水灌溉方式。</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4.6.9</w:t>
            </w:r>
          </w:p>
        </w:tc>
        <w:tc>
          <w:tcPr>
            <w:tcW w:w="2515" w:type="pct"/>
            <w:shd w:val="clear" w:color="auto" w:fill="auto"/>
            <w:vAlign w:val="center"/>
          </w:tcPr>
          <w:p>
            <w:pPr>
              <w:shd w:val="clea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保证树木有较高的成活率，植物生长状态良好。</w:t>
            </w:r>
          </w:p>
        </w:tc>
        <w:tc>
          <w:tcPr>
            <w:tcW w:w="52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4.2.10</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住宅的屋顶采用绿化隔热措施的面积达到可再用面积的40%以上，或者东西外墙采用绿化隔热措施的面积达到可采用面积的30%以上。</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4.2.11</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住宅墙面采用浅色外饰面（太阳辐射吸收系数ρ小于0.4）的面积达到墙面面积的80%以上，或者75%以上的窗户进行有效的外遮阳。</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1020" w:hRule="atLeast"/>
        </w:trPr>
        <w:tc>
          <w:tcPr>
            <w:tcW w:w="402" w:type="pc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建筑外部</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4.2.9</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根据当地气候和自然资源条件，充分利用太阳能、地热能等可再生能源。</w:t>
            </w:r>
            <w:r>
              <w:rPr>
                <w:rFonts w:hint="eastAsia" w:ascii="宋体" w:hAnsi="宋体"/>
                <w:color w:val="000000" w:themeColor="text1"/>
                <w:szCs w:val="21"/>
                <w:lang w:val="en-US" w:eastAsia="zh-CN"/>
                <w14:textFill>
                  <w14:solidFill>
                    <w14:schemeClr w14:val="tx1"/>
                  </w14:solidFill>
                </w14:textFill>
              </w:rPr>
              <w:t>可再生能源的使用量占建筑总能耗的比例大于5%，或50%以上的生活热水由可再生能源提供。</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1077" w:hRule="atLeast"/>
        </w:trPr>
        <w:tc>
          <w:tcPr>
            <w:tcW w:w="402" w:type="pct"/>
            <w:vMerge w:val="restar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4.2.7</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公共场所和部位的照明</w:t>
            </w:r>
            <w:r>
              <w:rPr>
                <w:rFonts w:hint="eastAsia" w:ascii="宋体" w:hAnsi="宋体"/>
                <w:color w:val="000000" w:themeColor="text1"/>
                <w:szCs w:val="21"/>
                <w:lang w:val="en-US" w:eastAsia="zh-CN"/>
                <w14:textFill>
                  <w14:solidFill>
                    <w14:schemeClr w14:val="tx1"/>
                  </w14:solidFill>
                </w14:textFill>
              </w:rPr>
              <w:t>采用高效光源、高效灯具和低损耗镇流器等附件，并</w:t>
            </w:r>
            <w:r>
              <w:rPr>
                <w:rFonts w:ascii="宋体" w:hAnsi="宋体"/>
                <w:color w:val="000000" w:themeColor="text1"/>
                <w:szCs w:val="21"/>
                <w14:textFill>
                  <w14:solidFill>
                    <w14:schemeClr w14:val="tx1"/>
                  </w14:solidFill>
                </w14:textFill>
              </w:rPr>
              <w:t>采取</w:t>
            </w:r>
            <w:r>
              <w:rPr>
                <w:rFonts w:hint="eastAsia" w:ascii="宋体" w:hAnsi="宋体"/>
                <w:color w:val="000000" w:themeColor="text1"/>
                <w:szCs w:val="21"/>
                <w:lang w:val="en-US" w:eastAsia="zh-CN"/>
                <w14:textFill>
                  <w14:solidFill>
                    <w14:schemeClr w14:val="tx1"/>
                  </w14:solidFill>
                </w14:textFill>
              </w:rPr>
              <w:t>其他</w:t>
            </w:r>
            <w:r>
              <w:rPr>
                <w:rFonts w:ascii="宋体" w:hAnsi="宋体"/>
                <w:color w:val="000000" w:themeColor="text1"/>
                <w:szCs w:val="21"/>
                <w14:textFill>
                  <w14:solidFill>
                    <w14:schemeClr w14:val="tx1"/>
                  </w14:solidFill>
                </w14:textFill>
              </w:rPr>
              <w:t>节能控制措施，在有自然采光的区域设定时或光电控制。</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continue"/>
            <w:shd w:val="clear" w:color="auto" w:fill="auto"/>
            <w:vAlign w:val="center"/>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4.5.7</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居住空间开窗具有良好的视野，且避免户间居住空间的视线干扰。当1套住宅设有2个及2个以上卫生间时，至少有1个卫生间设有外窗。</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1077" w:hRule="atLeast"/>
        </w:trPr>
        <w:tc>
          <w:tcPr>
            <w:tcW w:w="402" w:type="pct"/>
            <w:vMerge w:val="continue"/>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4.5.10</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住宅的卧室、起居室外窗均采用可调节外遮阳或中间遮阳设施，防止夏季太阳辐射透过窗户玻璃直接进入室内。</w:t>
            </w:r>
            <w:r>
              <w:rPr>
                <w:rFonts w:hint="eastAsia" w:ascii="宋体" w:hAnsi="宋体"/>
                <w:color w:val="000000" w:themeColor="text1"/>
                <w:szCs w:val="21"/>
                <w:lang w:val="en-US" w:eastAsia="zh-CN"/>
                <w14:textFill>
                  <w14:solidFill>
                    <w14:schemeClr w14:val="tx1"/>
                  </w14:solidFill>
                </w14:textFill>
              </w:rPr>
              <w:t>可调节遮阳充分考虑遮阳效果、自然采光和视觉影响等因素。</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4.5.13</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设置通风换气装置或室内空气质量监测装置。</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4.6.6</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垃圾站（间）设冲洗和排水设施，能及时（至少每天一次）清运存放垃圾、不污染环境、不散发臭味。</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4.6.12</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设备、管道的设置方便维修、改造和更换。</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997" w:type="pct"/>
            <w:gridSpan w:val="6"/>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公建部分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737" w:hRule="atLeast"/>
        </w:trPr>
        <w:tc>
          <w:tcPr>
            <w:tcW w:w="402"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5.1.13</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场地规划依据人车分行原则，合理组织交通系统。主要出入口距公共交通站点的最短距离不超过500m</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出入口</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5.5.13</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建筑入口和主要活动空间有无障碍设施，并满足《城市道路和建筑物无障碍设计规范》JGJ 50中规定的设计部位均设有无障碍设施的相关要求</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5.6.10</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建筑车辆、人流交通组织合理</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公共区域</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5.2.17</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应用非空调公共空间（大堂、走廊、休闲区等）</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非空调公共空间占公共空间面积的50%以上。</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737" w:hRule="atLeast"/>
        </w:trPr>
        <w:tc>
          <w:tcPr>
            <w:tcW w:w="402"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园区内部</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5.1.12</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绿化物种选择适宜当地气候和土壤条件的物种，且采用包含乔木、灌木、草、习荫植物的复层绿化</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植物成活率95%以上。</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510" w:hRule="atLeast"/>
        </w:trPr>
        <w:tc>
          <w:tcPr>
            <w:tcW w:w="402"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5.1.15</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充分利用园林绿化提供夏季遮阳，设置遮阳、避雨的走廊、雨棚等。</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5.3.10</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绿化灌溉采用喷灌、微灌等高效节水灌溉方式</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Pr>
        <w:tc>
          <w:tcPr>
            <w:tcW w:w="402" w:type="pct"/>
            <w:vMerge w:val="restar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建筑外部</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5.1.11</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合理采用屋顶绿化形式，屋顶绿化面积占屋顶可绿化总面积的比例达到30%。合理采用垂直绿化等方式。</w:t>
            </w:r>
          </w:p>
        </w:tc>
        <w:tc>
          <w:tcPr>
            <w:tcW w:w="52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top"/>
          </w:tcPr>
          <w:p>
            <w:pPr>
              <w:shd w:val="clear"/>
              <w:jc w:val="center"/>
              <w:rPr>
                <w:rFonts w:hint="default" w:ascii="宋体" w:hAnsi="宋体" w:eastAsia="宋体"/>
                <w:color w:val="000000" w:themeColor="text1"/>
                <w:szCs w:val="21"/>
                <w:lang w:val="en-US" w:eastAsia="zh-CN"/>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5.2.20</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根据当地气候和自然资源条件，充分利用太阳能、地热能等可再生能源</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可再生能源产生的热水量不低于建筑生活热水消耗量的10%，或可再生能源发电量不低于建筑用电量的2%。</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restar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14"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5.2.8</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建筑外窗有可开启扇</w:t>
            </w:r>
            <w:r>
              <w:rPr>
                <w:rFonts w:hint="eastAsia" w:ascii="宋体" w:hAnsi="宋体"/>
                <w:color w:val="000000" w:themeColor="text1"/>
                <w:szCs w:val="21"/>
                <w:lang w:val="en-US" w:eastAsia="zh-CN"/>
                <w14:textFill>
                  <w14:solidFill>
                    <w14:schemeClr w14:val="tx1"/>
                  </w14:solidFill>
                </w14:textFill>
              </w:rPr>
              <w:t>不小于外窗总面积的30%</w:t>
            </w:r>
            <w:r>
              <w:rPr>
                <w:rFonts w:ascii="宋体" w:hAnsi="宋体"/>
                <w:color w:val="000000" w:themeColor="text1"/>
                <w:szCs w:val="21"/>
                <w14:textFill>
                  <w14:solidFill>
                    <w14:schemeClr w14:val="tx1"/>
                  </w14:solidFill>
                </w14:textFill>
              </w:rPr>
              <w:t>，建筑幕墙在人员常驻房间具有可开启部分或设有房间独立的通风换气装置</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continue"/>
            <w:vAlign w:val="center"/>
          </w:tcPr>
          <w:p>
            <w:pPr>
              <w:shd w:val="clear"/>
              <w:jc w:val="center"/>
              <w:rPr>
                <w:rFonts w:hint="eastAsia" w:ascii="宋体" w:hAnsi="宋体"/>
                <w:color w:val="000000" w:themeColor="text1"/>
                <w:szCs w:val="21"/>
                <w:lang w:val="en-US" w:eastAsia="zh-CN"/>
                <w14:textFill>
                  <w14:solidFill>
                    <w14:schemeClr w14:val="tx1"/>
                  </w14:solidFill>
                </w14:textFill>
              </w:rPr>
            </w:pPr>
          </w:p>
        </w:tc>
        <w:tc>
          <w:tcPr>
            <w:tcW w:w="414"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5.2.18</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建筑东、西面外窗均采取外遮阳设施。玻璃幕墙、采光顶采用外遮阳或智能控制的中间遮阳、内遮阳措施</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continue"/>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5.5.7</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建筑设计和构造设计有促进自然通风的措施</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在自然通风条件下，保证主要功能房间换气次数不低于2次/h。</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5.5.8</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室内采用调节方便、可提高人员舒适度的空调末端</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680" w:hRule="atLeast"/>
        </w:trPr>
        <w:tc>
          <w:tcPr>
            <w:tcW w:w="402"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5.5.14</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外窗采用可调节外遮阳、中间遮阳，玻璃幕墙、采光顶采用外遮阳、中间遮阳或智能控制内遮阳系统，改善室内热环境，调节自然采光</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5.5.15</w:t>
            </w:r>
          </w:p>
        </w:tc>
        <w:tc>
          <w:tcPr>
            <w:tcW w:w="2515"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设置室内空气质量监控系统，保证健康舒适的室内环境</w:t>
            </w:r>
            <w:r>
              <w:rPr>
                <w:rFonts w:hint="eastAsia" w:ascii="宋体" w:hAnsi="宋体"/>
                <w:color w:val="000000" w:themeColor="text1"/>
                <w:szCs w:val="21"/>
                <w:lang w:eastAsia="zh-CN"/>
                <w14:textFill>
                  <w14:solidFill>
                    <w14:schemeClr w14:val="tx1"/>
                  </w14:solidFill>
                </w14:textFill>
              </w:rPr>
              <w:t>。</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5.5.16</w:t>
            </w:r>
          </w:p>
        </w:tc>
        <w:tc>
          <w:tcPr>
            <w:tcW w:w="2515"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采用措施改善建筑室内空间自然采光效果</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75%的室内空间采光系数不低于2%，或地下空间昼间采用自然光采光（采光系数0.5%以上）的面积超过地下一层面积的20%。</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cantSplit/>
          <w:trHeight w:val="454" w:hRule="atLeast"/>
        </w:trPr>
        <w:tc>
          <w:tcPr>
            <w:tcW w:w="402" w:type="pc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w:t>
            </w:r>
          </w:p>
        </w:tc>
        <w:tc>
          <w:tcPr>
            <w:tcW w:w="414"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5.6.6</w:t>
            </w:r>
          </w:p>
        </w:tc>
        <w:tc>
          <w:tcPr>
            <w:tcW w:w="2515"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设备、管道的设置便于维护、改造和更换</w:t>
            </w:r>
          </w:p>
        </w:tc>
        <w:tc>
          <w:tcPr>
            <w:tcW w:w="52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2"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bl>
    <w:p>
      <w:pPr>
        <w:widowControl/>
        <w:shd w:val="clear"/>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br w:type="page"/>
      </w:r>
    </w:p>
    <w:p>
      <w:pPr>
        <w:shd w:val="clear"/>
        <w:spacing w:after="156" w:afterLines="50"/>
        <w:rPr>
          <w:rFonts w:hint="default"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）《绿色建筑评价标准》</w:t>
      </w:r>
      <w:r>
        <w:rPr>
          <w:rFonts w:hint="default" w:ascii="宋体" w:hAnsi="宋体"/>
          <w:color w:val="000000" w:themeColor="text1"/>
          <w:sz w:val="24"/>
          <w14:textFill>
            <w14:solidFill>
              <w14:schemeClr w14:val="tx1"/>
            </w14:solidFill>
          </w14:textFill>
        </w:rPr>
        <w:t>GB/T 50378-2014</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292"/>
        <w:gridCol w:w="6863"/>
        <w:gridCol w:w="1499"/>
        <w:gridCol w:w="1723"/>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454" w:type="pct"/>
            <w:shd w:val="clear" w:color="auto" w:fill="D8D8D8" w:themeFill="background1" w:themeFillShade="D9"/>
            <w:vAlign w:val="center"/>
          </w:tcPr>
          <w:p>
            <w:pPr>
              <w:shd w:val="clear"/>
              <w:jc w:val="center"/>
              <w:rPr>
                <w:rFonts w:hint="default" w:eastAsia="宋体"/>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区域</w:t>
            </w:r>
          </w:p>
        </w:tc>
        <w:tc>
          <w:tcPr>
            <w:tcW w:w="456"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条文号</w:t>
            </w:r>
          </w:p>
        </w:tc>
        <w:tc>
          <w:tcPr>
            <w:tcW w:w="2422"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条文内容</w:t>
            </w:r>
          </w:p>
        </w:tc>
        <w:tc>
          <w:tcPr>
            <w:tcW w:w="529"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设计采用情况</w:t>
            </w:r>
          </w:p>
        </w:tc>
        <w:tc>
          <w:tcPr>
            <w:tcW w:w="608"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落实情况（自评）</w:t>
            </w:r>
          </w:p>
        </w:tc>
        <w:tc>
          <w:tcPr>
            <w:tcW w:w="529"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w:t>
            </w: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4.2.8</w:t>
            </w:r>
          </w:p>
        </w:tc>
        <w:tc>
          <w:tcPr>
            <w:tcW w:w="2422"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场地与公共交通设施具有便捷的联系：</w:t>
            </w:r>
          </w:p>
          <w:p>
            <w:pPr>
              <w:shd w:val="clea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  有便捷的人行通道联系公共交通站点。</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454"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地下空间</w:t>
            </w: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8.2.7</w:t>
            </w:r>
          </w:p>
        </w:tc>
        <w:tc>
          <w:tcPr>
            <w:tcW w:w="2422"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改善建筑室内天然采光效果：</w:t>
            </w:r>
          </w:p>
          <w:p>
            <w:pPr>
              <w:shd w:val="clea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  根据地下空间平均采光系数不小于0.5%的面积与首层地下室面积的比例评分。</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8.2.13</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地下车库设置</w:t>
            </w:r>
            <w:r>
              <w:rPr>
                <w:rFonts w:hint="eastAsia" w:ascii="宋体" w:hAnsi="宋体"/>
                <w:color w:val="000000" w:themeColor="text1"/>
                <w:szCs w:val="21"/>
                <w:lang w:val="en-US" w:eastAsia="zh-CN"/>
                <w14:textFill>
                  <w14:solidFill>
                    <w14:schemeClr w14:val="tx1"/>
                  </w14:solidFill>
                </w14:textFill>
              </w:rPr>
              <w:t>与</w:t>
            </w:r>
            <w:r>
              <w:rPr>
                <w:rFonts w:ascii="宋体" w:hAnsi="宋体"/>
                <w:color w:val="000000" w:themeColor="text1"/>
                <w:szCs w:val="21"/>
                <w14:textFill>
                  <w14:solidFill>
                    <w14:schemeClr w14:val="tx1"/>
                  </w14:solidFill>
                </w14:textFill>
              </w:rPr>
              <w:t>排风设备联动的一氧化碳浓度</w:t>
            </w:r>
            <w:r>
              <w:rPr>
                <w:rFonts w:hint="eastAsia" w:ascii="宋体" w:hAnsi="宋体"/>
                <w:color w:val="000000" w:themeColor="text1"/>
                <w:szCs w:val="21"/>
                <w:lang w:val="en-US" w:eastAsia="zh-CN"/>
                <w14:textFill>
                  <w14:solidFill>
                    <w14:schemeClr w14:val="tx1"/>
                  </w14:solidFill>
                </w14:textFill>
              </w:rPr>
              <w:t>监测</w:t>
            </w:r>
            <w:r>
              <w:rPr>
                <w:rFonts w:ascii="宋体" w:hAnsi="宋体"/>
                <w:color w:val="000000" w:themeColor="text1"/>
                <w:szCs w:val="21"/>
                <w14:textFill>
                  <w14:solidFill>
                    <w14:schemeClr w14:val="tx1"/>
                  </w14:solidFill>
                </w14:textFill>
              </w:rPr>
              <w:t>装置。</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4.2.10</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合理设置停车场所。</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 w:type="pct"/>
            <w:vMerge w:val="restar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公共照明及电梯</w:t>
            </w:r>
          </w:p>
        </w:tc>
        <w:tc>
          <w:tcPr>
            <w:tcW w:w="456"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5.2.9</w:t>
            </w:r>
          </w:p>
        </w:tc>
        <w:tc>
          <w:tcPr>
            <w:tcW w:w="2422" w:type="pct"/>
            <w:shd w:val="clear" w:color="auto" w:fill="auto"/>
            <w:vAlign w:val="center"/>
          </w:tcPr>
          <w:p>
            <w:pPr>
              <w:shd w:val="clea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走廊、楼梯间、门厅、大堂、大空间、地下停车场等场所的照明系统采用分区、定时、感应等节能控制措施。</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5.2.11</w:t>
            </w:r>
          </w:p>
        </w:tc>
        <w:tc>
          <w:tcPr>
            <w:tcW w:w="2422" w:type="pct"/>
            <w:shd w:val="clear" w:color="auto" w:fill="auto"/>
            <w:vAlign w:val="center"/>
          </w:tcPr>
          <w:p>
            <w:pPr>
              <w:shd w:val="clea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合理选用电梯和自动扶梯，并采取电梯群控、扶梯自动启动等节能控制措施</w:t>
            </w:r>
            <w:r>
              <w:rPr>
                <w:rFonts w:ascii="宋体" w:hAnsi="宋体"/>
                <w:color w:val="000000" w:themeColor="text1"/>
                <w:szCs w:val="21"/>
                <w14:textFill>
                  <w14:solidFill>
                    <w14:schemeClr w14:val="tx1"/>
                  </w14:solidFill>
                </w14:textFill>
              </w:rPr>
              <w:t>。</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住区/园区内部</w:t>
            </w: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4.2.2</w:t>
            </w:r>
          </w:p>
        </w:tc>
        <w:tc>
          <w:tcPr>
            <w:tcW w:w="2422"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场地内合理设置绿化用地</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  2）</w:t>
            </w:r>
            <w:r>
              <w:rPr>
                <w:rFonts w:ascii="宋体" w:hAnsi="宋体"/>
                <w:color w:val="000000" w:themeColor="text1"/>
                <w:szCs w:val="21"/>
                <w14:textFill>
                  <w14:solidFill>
                    <w14:schemeClr w14:val="tx1"/>
                  </w14:solidFill>
                </w14:textFill>
              </w:rPr>
              <w:t>绿地向社会公众开放。</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4.2.7</w:t>
            </w:r>
          </w:p>
        </w:tc>
        <w:tc>
          <w:tcPr>
            <w:tcW w:w="2422"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采取措施降低热岛强度：</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1  </w:t>
            </w:r>
            <w:r>
              <w:rPr>
                <w:rFonts w:ascii="宋体" w:hAnsi="宋体"/>
                <w:color w:val="000000" w:themeColor="text1"/>
                <w:szCs w:val="21"/>
                <w14:textFill>
                  <w14:solidFill>
                    <w14:schemeClr w14:val="tx1"/>
                  </w14:solidFill>
                </w14:textFill>
              </w:rPr>
              <w:t>红线范围内户外活动场地有乔木、构筑物等遮阴措施</w:t>
            </w:r>
            <w:r>
              <w:rPr>
                <w:rFonts w:hint="eastAsia" w:ascii="宋体" w:hAnsi="宋体"/>
                <w:color w:val="000000" w:themeColor="text1"/>
                <w:szCs w:val="21"/>
                <w:lang w:val="en-US" w:eastAsia="zh-CN"/>
                <w14:textFill>
                  <w14:solidFill>
                    <w14:schemeClr w14:val="tx1"/>
                  </w14:solidFill>
                </w14:textFill>
              </w:rPr>
              <w:t>的面积达到10%</w:t>
            </w:r>
            <w:r>
              <w:rPr>
                <w:rFonts w:ascii="宋体" w:hAnsi="宋体"/>
                <w:color w:val="000000" w:themeColor="text1"/>
                <w:szCs w:val="21"/>
                <w14:textFill>
                  <w14:solidFill>
                    <w14:schemeClr w14:val="tx1"/>
                  </w14:solidFill>
                </w14:textFill>
              </w:rPr>
              <w:t>。</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4.2.9</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场地内人行通道采用无障碍设计。</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6.2.7</w:t>
            </w:r>
          </w:p>
        </w:tc>
        <w:tc>
          <w:tcPr>
            <w:tcW w:w="2422" w:type="pct"/>
            <w:shd w:val="clear" w:color="auto" w:fill="auto"/>
            <w:vAlign w:val="center"/>
          </w:tcPr>
          <w:p>
            <w:pPr>
              <w:shd w:val="clear"/>
              <w:rPr>
                <w:rFonts w:hint="eastAsia" w:ascii="宋体" w:hAnsi="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绿色灌溉采用节水灌溉方式</w:t>
            </w:r>
            <w:r>
              <w:rPr>
                <w:rFonts w:hint="eastAsia" w:ascii="宋体" w:hAnsi="宋体"/>
                <w:color w:val="000000" w:themeColor="text1"/>
                <w:szCs w:val="21"/>
                <w:lang w:eastAsia="zh-CN"/>
                <w14:textFill>
                  <w14:solidFill>
                    <w14:schemeClr w14:val="tx1"/>
                  </w14:solidFill>
                </w14:textFill>
              </w:rPr>
              <w:t>：</w:t>
            </w:r>
          </w:p>
          <w:p>
            <w:pPr>
              <w:shd w:val="clea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  采用节水灌溉系统；在此基础上设施土壤湿度感应器，雨天关闭装置等节水控制措施。</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4.2.13</w:t>
            </w:r>
          </w:p>
        </w:tc>
        <w:tc>
          <w:tcPr>
            <w:tcW w:w="2422"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充分利用场地空间设置绿色雨水基础设施，对大于100hm2的场地进行雨水专项规划设计：</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1  </w:t>
            </w:r>
            <w:r>
              <w:rPr>
                <w:rFonts w:ascii="宋体" w:hAnsi="宋体"/>
                <w:color w:val="000000" w:themeColor="text1"/>
                <w:szCs w:val="21"/>
                <w14:textFill>
                  <w14:solidFill>
                    <w14:schemeClr w14:val="tx1"/>
                  </w14:solidFill>
                </w14:textFill>
              </w:rPr>
              <w:t>设有下凹式绿地、雨水花园</w:t>
            </w:r>
            <w:r>
              <w:rPr>
                <w:rFonts w:hint="eastAsia" w:ascii="宋体" w:hAnsi="宋体"/>
                <w:color w:val="000000" w:themeColor="text1"/>
                <w:szCs w:val="21"/>
                <w:lang w:val="en-US" w:eastAsia="zh-CN"/>
                <w14:textFill>
                  <w14:solidFill>
                    <w14:schemeClr w14:val="tx1"/>
                  </w14:solidFill>
                </w14:textFill>
              </w:rPr>
              <w:t>等有调蓄雨水功能的绿地和水体的面积之和占绿地面积的比例达到30%</w:t>
            </w:r>
            <w:r>
              <w:rPr>
                <w:rFonts w:ascii="宋体" w:hAnsi="宋体"/>
                <w:color w:val="000000" w:themeColor="text1"/>
                <w:szCs w:val="21"/>
                <w14:textFill>
                  <w14:solidFill>
                    <w14:schemeClr w14:val="tx1"/>
                  </w14:solidFill>
                </w14:textFill>
              </w:rPr>
              <w:t>。</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4.2.15</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合理选择绿化方式，科学配置绿化植物</w:t>
            </w:r>
            <w:r>
              <w:rPr>
                <w:rFonts w:ascii="宋体" w:hAnsi="宋体"/>
                <w:color w:val="000000" w:themeColor="text1"/>
                <w:szCs w:val="21"/>
                <w14:textFill>
                  <w14:solidFill>
                    <w14:schemeClr w14:val="tx1"/>
                  </w14:solidFill>
                </w14:textFill>
              </w:rPr>
              <w:t>。</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6.2.12</w:t>
            </w:r>
          </w:p>
        </w:tc>
        <w:tc>
          <w:tcPr>
            <w:tcW w:w="2422"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结合雨水利用设施进行景观水体设计，景观水体利用雨水的补水量大于其水体蒸发量的60%，且采用生态水处理技术保障水体水质。【无</w:t>
            </w:r>
            <w:r>
              <w:rPr>
                <w:rFonts w:ascii="宋体" w:hAnsi="宋体"/>
                <w:color w:val="000000" w:themeColor="text1"/>
                <w:szCs w:val="21"/>
                <w14:textFill>
                  <w14:solidFill>
                    <w14:schemeClr w14:val="tx1"/>
                  </w14:solidFill>
                </w14:textFill>
              </w:rPr>
              <w:t>景观水体</w:t>
            </w:r>
            <w:r>
              <w:rPr>
                <w:rFonts w:hint="eastAsia" w:ascii="宋体" w:hAnsi="宋体"/>
                <w:color w:val="000000" w:themeColor="text1"/>
                <w:szCs w:val="21"/>
                <w:lang w:eastAsia="zh-CN"/>
                <w14:textFill>
                  <w14:solidFill>
                    <w14:schemeClr w14:val="tx1"/>
                  </w14:solidFill>
                </w14:textFill>
              </w:rPr>
              <w:t>】</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建筑外部</w:t>
            </w: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5.2.16</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根据当地气候和自然资源条件、合理利用可再生能源。</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6.2.5</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公共浴室采取节水措施</w:t>
            </w:r>
            <w:r>
              <w:rPr>
                <w:rFonts w:ascii="宋体" w:hAnsi="宋体"/>
                <w:color w:val="000000" w:themeColor="text1"/>
                <w:szCs w:val="21"/>
                <w14:textFill>
                  <w14:solidFill>
                    <w14:schemeClr w14:val="tx1"/>
                  </w14:solidFill>
                </w14:textFill>
              </w:rPr>
              <w:t>。</w:t>
            </w:r>
          </w:p>
        </w:tc>
        <w:tc>
          <w:tcPr>
            <w:tcW w:w="529"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center"/>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8.2.3</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采取减少噪声干扰的措施</w:t>
            </w:r>
            <w:r>
              <w:rPr>
                <w:rFonts w:ascii="宋体" w:hAnsi="宋体"/>
                <w:color w:val="000000" w:themeColor="text1"/>
                <w:szCs w:val="21"/>
                <w14:textFill>
                  <w14:solidFill>
                    <w14:schemeClr w14:val="tx1"/>
                  </w14:solidFill>
                </w14:textFill>
              </w:rPr>
              <w:t>。</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8.2.5</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建筑主要功能房间具有良好的户外视野，对于公共建筑，其</w:t>
            </w:r>
            <w:r>
              <w:rPr>
                <w:rFonts w:ascii="宋体" w:hAnsi="宋体"/>
                <w:color w:val="000000" w:themeColor="text1"/>
                <w:szCs w:val="21"/>
                <w14:textFill>
                  <w14:solidFill>
                    <w14:schemeClr w14:val="tx1"/>
                  </w14:solidFill>
                </w14:textFill>
              </w:rPr>
              <w:t>主要功能房间能通过外窗看到室外自然景观，无明显</w:t>
            </w:r>
            <w:r>
              <w:rPr>
                <w:rFonts w:hint="eastAsia" w:ascii="宋体" w:hAnsi="宋体"/>
                <w:color w:val="000000" w:themeColor="text1"/>
                <w:szCs w:val="21"/>
                <w:lang w:val="en-US" w:eastAsia="zh-CN"/>
                <w14:textFill>
                  <w14:solidFill>
                    <w14:schemeClr w14:val="tx1"/>
                  </w14:solidFill>
                </w14:textFill>
              </w:rPr>
              <w:t>视线</w:t>
            </w:r>
            <w:r>
              <w:rPr>
                <w:rFonts w:ascii="宋体" w:hAnsi="宋体"/>
                <w:color w:val="000000" w:themeColor="text1"/>
                <w:szCs w:val="21"/>
                <w14:textFill>
                  <w14:solidFill>
                    <w14:schemeClr w14:val="tx1"/>
                  </w14:solidFill>
                </w14:textFill>
              </w:rPr>
              <w:t>干扰。</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8.2.8</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采取可调节遮阳措施，降低夏季太阳辐射得热</w:t>
            </w:r>
            <w:r>
              <w:rPr>
                <w:rFonts w:ascii="宋体" w:hAnsi="宋体"/>
                <w:color w:val="000000" w:themeColor="text1"/>
                <w:szCs w:val="21"/>
                <w14:textFill>
                  <w14:solidFill>
                    <w14:schemeClr w14:val="tx1"/>
                  </w14:solidFill>
                </w14:textFill>
              </w:rPr>
              <w:t>。</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8.2.10</w:t>
            </w:r>
          </w:p>
        </w:tc>
        <w:tc>
          <w:tcPr>
            <w:tcW w:w="2422"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优化建筑空间、平面布局和结构设计，改善自然通风效果：</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  2）</w:t>
            </w:r>
            <w:r>
              <w:rPr>
                <w:rFonts w:ascii="宋体" w:hAnsi="宋体"/>
                <w:color w:val="000000" w:themeColor="text1"/>
                <w:szCs w:val="21"/>
                <w14:textFill>
                  <w14:solidFill>
                    <w14:schemeClr w14:val="tx1"/>
                  </w14:solidFill>
                </w14:textFill>
              </w:rPr>
              <w:t>设有明卫。</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8.2.12</w:t>
            </w:r>
          </w:p>
        </w:tc>
        <w:tc>
          <w:tcPr>
            <w:tcW w:w="2422"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主要功能房间中人员密度较高且</w:t>
            </w:r>
            <w:r>
              <w:rPr>
                <w:rFonts w:hint="eastAsia" w:ascii="宋体" w:hAnsi="宋体"/>
                <w:color w:val="000000" w:themeColor="text1"/>
                <w:szCs w:val="21"/>
                <w:lang w:val="en-US" w:eastAsia="zh-CN"/>
                <w14:textFill>
                  <w14:solidFill>
                    <w14:schemeClr w14:val="tx1"/>
                  </w14:solidFill>
                </w14:textFill>
              </w:rPr>
              <w:t>随</w:t>
            </w:r>
            <w:r>
              <w:rPr>
                <w:rFonts w:ascii="宋体" w:hAnsi="宋体"/>
                <w:color w:val="000000" w:themeColor="text1"/>
                <w:szCs w:val="21"/>
                <w14:textFill>
                  <w14:solidFill>
                    <w14:schemeClr w14:val="tx1"/>
                  </w14:solidFill>
                </w14:textFill>
              </w:rPr>
              <w:t>时间变化大的区域设置室内空气质量监控系统。</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w:t>
            </w:r>
          </w:p>
        </w:tc>
        <w:tc>
          <w:tcPr>
            <w:tcW w:w="456" w:type="pc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10.2.1</w:t>
            </w:r>
          </w:p>
        </w:tc>
        <w:tc>
          <w:tcPr>
            <w:tcW w:w="2422" w:type="pct"/>
            <w:shd w:val="clear" w:color="auto" w:fill="auto"/>
            <w:vAlign w:val="center"/>
          </w:tcPr>
          <w:p>
            <w:pPr>
              <w:shd w:val="clea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物业管理机构获得有关管理体系认证。</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10.2.2</w:t>
            </w:r>
          </w:p>
        </w:tc>
        <w:tc>
          <w:tcPr>
            <w:tcW w:w="2422" w:type="pct"/>
            <w:shd w:val="clear" w:color="auto" w:fill="auto"/>
            <w:vAlign w:val="center"/>
          </w:tcPr>
          <w:p>
            <w:pPr>
              <w:shd w:val="clea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节能、节水、节材、绿化的操作规程、应急预案完善，且有效实施。</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4"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56" w:type="pct"/>
            <w:shd w:val="clear" w:color="auto" w:fill="auto"/>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10.2.4</w:t>
            </w:r>
          </w:p>
        </w:tc>
        <w:tc>
          <w:tcPr>
            <w:tcW w:w="2422" w:type="pct"/>
            <w:shd w:val="clear" w:color="auto" w:fill="auto"/>
            <w:vAlign w:val="center"/>
          </w:tcPr>
          <w:p>
            <w:pPr>
              <w:shd w:val="clea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建立绿色教育宣传机制，编制绿色设施使用手册，形成良好的绿色氛围。</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08"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529" w:type="pct"/>
            <w:shd w:val="clear" w:color="auto" w:fill="auto"/>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bl>
    <w:p>
      <w:pPr>
        <w:widowControl/>
        <w:shd w:val="clear"/>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br w:type="page"/>
      </w:r>
    </w:p>
    <w:p>
      <w:pPr>
        <w:shd w:val="clear"/>
        <w:spacing w:after="156" w:afterLines="50"/>
        <w:rPr>
          <w:rFonts w:hint="default"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）《广东省绿色建筑评价标准》</w:t>
      </w:r>
      <w:r>
        <w:rPr>
          <w:rFonts w:hint="default" w:ascii="宋体" w:hAnsi="宋体"/>
          <w:color w:val="000000" w:themeColor="text1"/>
          <w:sz w:val="24"/>
          <w14:textFill>
            <w14:solidFill>
              <w14:schemeClr w14:val="tx1"/>
            </w14:solidFill>
          </w14:textFill>
        </w:rPr>
        <w:t>DBJ/T 15-83-2017</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261"/>
        <w:gridCol w:w="3"/>
        <w:gridCol w:w="6606"/>
        <w:gridCol w:w="1502"/>
        <w:gridCol w:w="1831"/>
        <w:gridCol w:w="1754"/>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trHeight w:val="510" w:hRule="atLeast"/>
          <w:tblHeader/>
        </w:trPr>
        <w:tc>
          <w:tcPr>
            <w:tcW w:w="425" w:type="pct"/>
            <w:shd w:val="clear" w:color="auto" w:fill="D8D8D8" w:themeFill="background1" w:themeFillShade="D9"/>
            <w:vAlign w:val="center"/>
          </w:tcPr>
          <w:p>
            <w:pPr>
              <w:shd w:val="clear"/>
              <w:jc w:val="center"/>
              <w:rPr>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区域</w:t>
            </w:r>
          </w:p>
        </w:tc>
        <w:tc>
          <w:tcPr>
            <w:tcW w:w="446" w:type="pct"/>
            <w:gridSpan w:val="2"/>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条文号</w:t>
            </w:r>
          </w:p>
        </w:tc>
        <w:tc>
          <w:tcPr>
            <w:tcW w:w="2331"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条文内容</w:t>
            </w:r>
          </w:p>
        </w:tc>
        <w:tc>
          <w:tcPr>
            <w:tcW w:w="530"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设计采用情况</w:t>
            </w:r>
          </w:p>
        </w:tc>
        <w:tc>
          <w:tcPr>
            <w:tcW w:w="646"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落实情况（自评）</w:t>
            </w:r>
          </w:p>
        </w:tc>
        <w:tc>
          <w:tcPr>
            <w:tcW w:w="619"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w:t>
            </w: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4.2.8</w:t>
            </w:r>
          </w:p>
        </w:tc>
        <w:tc>
          <w:tcPr>
            <w:tcW w:w="2331"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场地与公共交通设施具有便捷的联系：</w:t>
            </w:r>
          </w:p>
          <w:p>
            <w:pPr>
              <w:shd w:val="clea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3  </w:t>
            </w:r>
            <w:r>
              <w:rPr>
                <w:rFonts w:ascii="宋体" w:hAnsi="宋体"/>
                <w:color w:val="000000" w:themeColor="text1"/>
                <w:szCs w:val="21"/>
                <w14:textFill>
                  <w14:solidFill>
                    <w14:schemeClr w14:val="tx1"/>
                  </w14:solidFill>
                </w14:textFill>
              </w:rPr>
              <w:t>有便捷的人行通道联系公共交通站点</w:t>
            </w:r>
            <w:r>
              <w:rPr>
                <w:rFonts w:hint="eastAsia" w:ascii="宋体" w:hAnsi="宋体"/>
                <w:color w:val="000000" w:themeColor="text1"/>
                <w:szCs w:val="21"/>
                <w:lang w:eastAsia="zh-CN"/>
                <w14:textFill>
                  <w14:solidFill>
                    <w14:schemeClr w14:val="tx1"/>
                  </w14:solidFill>
                </w14:textFill>
              </w:rPr>
              <w:t>。</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20" w:type="pct"/>
            <w:gridSpan w:val="2"/>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restar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地下空间</w:t>
            </w: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8.2.7</w:t>
            </w:r>
          </w:p>
        </w:tc>
        <w:tc>
          <w:tcPr>
            <w:tcW w:w="2332" w:type="pct"/>
            <w:gridSpan w:val="2"/>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改善建筑室内天然采光效果：</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  根据地下空间平均采光系数不小于0.5%的面积与首层地下室面积的比例评分。</w:t>
            </w:r>
          </w:p>
        </w:tc>
        <w:tc>
          <w:tcPr>
            <w:tcW w:w="530"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等线" w:hAnsi="等线" w:eastAsia="等线"/>
                <w:color w:val="000000" w:themeColor="text1"/>
                <w:sz w:val="22"/>
                <w:szCs w:val="22"/>
                <w14:textFill>
                  <w14:solidFill>
                    <w14:schemeClr w14:val="tx1"/>
                  </w14:solidFill>
                </w14:textFill>
              </w:rPr>
            </w:pP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8.2.13</w:t>
            </w:r>
          </w:p>
        </w:tc>
        <w:tc>
          <w:tcPr>
            <w:tcW w:w="2332" w:type="pct"/>
            <w:gridSpan w:val="2"/>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地下车库设置</w:t>
            </w:r>
            <w:r>
              <w:rPr>
                <w:rFonts w:hint="eastAsia" w:ascii="宋体" w:hAnsi="宋体"/>
                <w:color w:val="000000" w:themeColor="text1"/>
                <w:szCs w:val="21"/>
                <w:lang w:val="en-US" w:eastAsia="zh-CN"/>
                <w14:textFill>
                  <w14:solidFill>
                    <w14:schemeClr w14:val="tx1"/>
                  </w14:solidFill>
                </w14:textFill>
              </w:rPr>
              <w:t>与</w:t>
            </w:r>
            <w:r>
              <w:rPr>
                <w:rFonts w:ascii="宋体" w:hAnsi="宋体"/>
                <w:color w:val="000000" w:themeColor="text1"/>
                <w:szCs w:val="21"/>
                <w14:textFill>
                  <w14:solidFill>
                    <w14:schemeClr w14:val="tx1"/>
                  </w14:solidFill>
                </w14:textFill>
              </w:rPr>
              <w:t>排风设备联动的一氧化碳浓度</w:t>
            </w:r>
            <w:r>
              <w:rPr>
                <w:rFonts w:hint="eastAsia" w:ascii="宋体" w:hAnsi="宋体"/>
                <w:color w:val="000000" w:themeColor="text1"/>
                <w:szCs w:val="21"/>
                <w:lang w:val="en-US" w:eastAsia="zh-CN"/>
                <w14:textFill>
                  <w14:solidFill>
                    <w14:schemeClr w14:val="tx1"/>
                  </w14:solidFill>
                </w14:textFill>
              </w:rPr>
              <w:t>监测</w:t>
            </w:r>
            <w:r>
              <w:rPr>
                <w:rFonts w:ascii="宋体" w:hAnsi="宋体"/>
                <w:color w:val="000000" w:themeColor="text1"/>
                <w:szCs w:val="21"/>
                <w14:textFill>
                  <w14:solidFill>
                    <w14:schemeClr w14:val="tx1"/>
                  </w14:solidFill>
                </w14:textFill>
              </w:rPr>
              <w:t>装置</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传感器位置合理设置</w:t>
            </w:r>
            <w:r>
              <w:rPr>
                <w:rFonts w:ascii="宋体" w:hAnsi="宋体"/>
                <w:color w:val="000000" w:themeColor="text1"/>
                <w:szCs w:val="21"/>
                <w14:textFill>
                  <w14:solidFill>
                    <w14:schemeClr w14:val="tx1"/>
                  </w14:solidFill>
                </w14:textFill>
              </w:rPr>
              <w:t>。</w:t>
            </w:r>
          </w:p>
        </w:tc>
        <w:tc>
          <w:tcPr>
            <w:tcW w:w="530"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等线" w:hAnsi="等线" w:eastAsia="等线"/>
                <w:color w:val="000000" w:themeColor="text1"/>
                <w:sz w:val="22"/>
                <w:szCs w:val="22"/>
                <w14:textFill>
                  <w14:solidFill>
                    <w14:schemeClr w14:val="tx1"/>
                  </w14:solidFill>
                </w14:textFill>
              </w:rPr>
            </w:pP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11.2.8</w:t>
            </w:r>
          </w:p>
        </w:tc>
        <w:tc>
          <w:tcPr>
            <w:tcW w:w="2332" w:type="pct"/>
            <w:gridSpan w:val="2"/>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新建住宅停车位全部建设充电设施或预留暗装该充电设施接口，新建办公楼、商场、酒店等公共建筑类项目，要按不低于停车位总数的一定比例配建充换电桩或预留充换电设施接口，且不低于项目坐在地政策规定所要求的比例</w:t>
            </w:r>
            <w:r>
              <w:rPr>
                <w:rFonts w:ascii="宋体" w:hAnsi="宋体"/>
                <w:color w:val="000000" w:themeColor="text1"/>
                <w:szCs w:val="21"/>
                <w14:textFill>
                  <w14:solidFill>
                    <w14:schemeClr w14:val="tx1"/>
                  </w14:solidFill>
                </w14:textFill>
              </w:rPr>
              <w:t>。</w:t>
            </w:r>
          </w:p>
        </w:tc>
        <w:tc>
          <w:tcPr>
            <w:tcW w:w="530"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restar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公共照明及电梯</w:t>
            </w: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5.2.9</w:t>
            </w:r>
          </w:p>
        </w:tc>
        <w:tc>
          <w:tcPr>
            <w:tcW w:w="2332" w:type="pct"/>
            <w:gridSpan w:val="2"/>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走廊、楼梯间、门厅、大堂、大空间、地下停车场等场所的照明系统采用分区、定时、感应等节能控制措施。</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5.2.11</w:t>
            </w:r>
          </w:p>
        </w:tc>
        <w:tc>
          <w:tcPr>
            <w:tcW w:w="2332" w:type="pct"/>
            <w:gridSpan w:val="2"/>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合理选用电梯和自动扶梯，并采取电梯群控、扶梯自动启停等节能控制措施</w:t>
            </w:r>
            <w:r>
              <w:rPr>
                <w:rFonts w:ascii="宋体" w:hAnsi="宋体"/>
                <w:color w:val="000000" w:themeColor="text1"/>
                <w:szCs w:val="21"/>
                <w14:textFill>
                  <w14:solidFill>
                    <w14:schemeClr w14:val="tx1"/>
                  </w14:solidFill>
                </w14:textFill>
              </w:rPr>
              <w:t>。</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公共区域</w:t>
            </w: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default" w:ascii="宋体" w:hAnsi="宋体"/>
                <w:color w:val="000000" w:themeColor="text1"/>
                <w:szCs w:val="21"/>
                <w14:textFill>
                  <w14:solidFill>
                    <w14:schemeClr w14:val="tx1"/>
                  </w14:solidFill>
                </w14:textFill>
              </w:rPr>
              <w:t>.2.4</w:t>
            </w:r>
          </w:p>
        </w:tc>
        <w:tc>
          <w:tcPr>
            <w:tcW w:w="2332" w:type="pct"/>
            <w:gridSpan w:val="2"/>
            <w:shd w:val="clear" w:color="auto" w:fill="auto"/>
            <w:vAlign w:val="center"/>
          </w:tcPr>
          <w:p>
            <w:pPr>
              <w:shd w:val="clear"/>
              <w:rPr>
                <w:rFonts w:hint="default" w:ascii="等线" w:hAnsi="等线" w:eastAsia="等线"/>
                <w:color w:val="000000" w:themeColor="text1"/>
                <w:kern w:val="0"/>
                <w:sz w:val="22"/>
                <w:szCs w:val="22"/>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采取措施增强建筑通风、隔热效果。</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住区/园区内部</w:t>
            </w: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4.2.2</w:t>
            </w:r>
          </w:p>
        </w:tc>
        <w:tc>
          <w:tcPr>
            <w:tcW w:w="2331"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场地内合理设置绿化用地：</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  2）</w:t>
            </w:r>
            <w:r>
              <w:rPr>
                <w:rFonts w:ascii="宋体" w:hAnsi="宋体"/>
                <w:color w:val="000000" w:themeColor="text1"/>
                <w:szCs w:val="21"/>
                <w14:textFill>
                  <w14:solidFill>
                    <w14:schemeClr w14:val="tx1"/>
                  </w14:solidFill>
                </w14:textFill>
              </w:rPr>
              <w:t>绿地向社会公众开放</w:t>
            </w: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【公建】</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4.2.7</w:t>
            </w:r>
          </w:p>
        </w:tc>
        <w:tc>
          <w:tcPr>
            <w:tcW w:w="2331" w:type="pct"/>
            <w:shd w:val="clear" w:color="auto" w:fill="auto"/>
            <w:vAlign w:val="center"/>
          </w:tcPr>
          <w:p>
            <w:pPr>
              <w:shd w:val="clea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采取措施降低热岛强度：</w:t>
            </w:r>
          </w:p>
          <w:p>
            <w:pPr>
              <w:shd w:val="clea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1  </w:t>
            </w:r>
            <w:r>
              <w:rPr>
                <w:rFonts w:ascii="宋体" w:hAnsi="宋体"/>
                <w:color w:val="000000" w:themeColor="text1"/>
                <w:szCs w:val="21"/>
                <w14:textFill>
                  <w14:solidFill>
                    <w14:schemeClr w14:val="tx1"/>
                  </w14:solidFill>
                </w14:textFill>
              </w:rPr>
              <w:t>红线范围内户外活动场地有乔木、构筑物等遮阴措施</w:t>
            </w:r>
            <w:r>
              <w:rPr>
                <w:rFonts w:hint="eastAsia" w:ascii="宋体" w:hAnsi="宋体"/>
                <w:color w:val="000000" w:themeColor="text1"/>
                <w:szCs w:val="21"/>
                <w:lang w:val="en-US" w:eastAsia="zh-CN"/>
                <w14:textFill>
                  <w14:solidFill>
                    <w14:schemeClr w14:val="tx1"/>
                  </w14:solidFill>
                </w14:textFill>
              </w:rPr>
              <w:t>的面积达到10%/20%/30%。</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4.2.9</w:t>
            </w:r>
          </w:p>
        </w:tc>
        <w:tc>
          <w:tcPr>
            <w:tcW w:w="2331" w:type="pct"/>
            <w:shd w:val="clear" w:color="auto" w:fill="auto"/>
            <w:vAlign w:val="center"/>
          </w:tcPr>
          <w:p>
            <w:pPr>
              <w:shd w:val="clear"/>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场地</w:t>
            </w:r>
            <w:r>
              <w:rPr>
                <w:rFonts w:hint="eastAsia" w:ascii="宋体" w:hAnsi="宋体"/>
                <w:color w:val="000000" w:themeColor="text1"/>
                <w:szCs w:val="21"/>
                <w:lang w:val="en-US" w:eastAsia="zh-CN"/>
                <w14:textFill>
                  <w14:solidFill>
                    <w14:schemeClr w14:val="tx1"/>
                  </w14:solidFill>
                </w14:textFill>
              </w:rPr>
              <w:t>设置避雨防晒的走廊、雨棚。</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4.2.15</w:t>
            </w:r>
          </w:p>
        </w:tc>
        <w:tc>
          <w:tcPr>
            <w:tcW w:w="2331"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合理选择绿化方式，科学配置绿化植物：</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  居住建筑绿地每配植100m</w:t>
            </w:r>
            <w:r>
              <w:rPr>
                <w:rFonts w:hint="eastAsia" w:ascii="宋体" w:hAnsi="宋体"/>
                <w:color w:val="000000" w:themeColor="text1"/>
                <w:szCs w:val="21"/>
                <w:vertAlign w:val="superscript"/>
                <w:lang w:val="en-US" w:eastAsia="zh-CN"/>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乔木不少于3株或不少于1株榕树类树木，公共建筑采用垂直绿化、屋顶绿化等方式</w:t>
            </w:r>
            <w:r>
              <w:rPr>
                <w:rFonts w:ascii="宋体" w:hAnsi="宋体"/>
                <w:color w:val="000000" w:themeColor="text1"/>
                <w:szCs w:val="21"/>
                <w14:textFill>
                  <w14:solidFill>
                    <w14:schemeClr w14:val="tx1"/>
                  </w14:solidFill>
                </w14:textFill>
              </w:rPr>
              <w:t>。</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6.2.7</w:t>
            </w:r>
          </w:p>
        </w:tc>
        <w:tc>
          <w:tcPr>
            <w:tcW w:w="2332" w:type="pct"/>
            <w:gridSpan w:val="2"/>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绿色灌溉采用节水灌溉方式。</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6.2.12</w:t>
            </w:r>
          </w:p>
        </w:tc>
        <w:tc>
          <w:tcPr>
            <w:tcW w:w="2332" w:type="pct"/>
            <w:gridSpan w:val="2"/>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结合雨水利用设施进行景观水体设计，景观水体利用雨水的补水量大于其水体蒸发量的60%，且采用生态水处理技术保障水体水质。【无</w:t>
            </w:r>
            <w:r>
              <w:rPr>
                <w:rFonts w:ascii="宋体" w:hAnsi="宋体"/>
                <w:color w:val="000000" w:themeColor="text1"/>
                <w:szCs w:val="21"/>
                <w14:textFill>
                  <w14:solidFill>
                    <w14:schemeClr w14:val="tx1"/>
                  </w14:solidFill>
                </w14:textFill>
              </w:rPr>
              <w:t>景观水体</w:t>
            </w:r>
            <w:r>
              <w:rPr>
                <w:rFonts w:hint="eastAsia" w:ascii="宋体" w:hAnsi="宋体"/>
                <w:color w:val="000000" w:themeColor="text1"/>
                <w:szCs w:val="21"/>
                <w:lang w:eastAsia="zh-CN"/>
                <w14:textFill>
                  <w14:solidFill>
                    <w14:schemeClr w14:val="tx1"/>
                  </w14:solidFill>
                </w14:textFill>
              </w:rPr>
              <w:t>】</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建筑外部</w:t>
            </w: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5.2.16</w:t>
            </w:r>
          </w:p>
        </w:tc>
        <w:tc>
          <w:tcPr>
            <w:tcW w:w="2331"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根据当地气候和自然资源条件、合理利用可再生能源。</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restart"/>
            <w:vAlign w:val="center"/>
          </w:tcPr>
          <w:p>
            <w:pPr>
              <w:shd w:val="clear"/>
              <w:jc w:val="center"/>
              <w:rPr>
                <w:rFonts w:hint="default" w:ascii="等线" w:hAnsi="等线" w:eastAsia="等线"/>
                <w:color w:val="000000" w:themeColor="text1"/>
                <w:sz w:val="22"/>
                <w:szCs w:val="22"/>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8.2.3</w:t>
            </w:r>
          </w:p>
        </w:tc>
        <w:tc>
          <w:tcPr>
            <w:tcW w:w="2331"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采取减少噪声干扰的措施</w:t>
            </w:r>
            <w:r>
              <w:rPr>
                <w:rFonts w:ascii="宋体" w:hAnsi="宋体"/>
                <w:color w:val="000000" w:themeColor="text1"/>
                <w:szCs w:val="21"/>
                <w14:textFill>
                  <w14:solidFill>
                    <w14:schemeClr w14:val="tx1"/>
                  </w14:solidFill>
                </w14:textFill>
              </w:rPr>
              <w:t>。</w:t>
            </w:r>
          </w:p>
        </w:tc>
        <w:tc>
          <w:tcPr>
            <w:tcW w:w="530"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8.2.5</w:t>
            </w:r>
          </w:p>
        </w:tc>
        <w:tc>
          <w:tcPr>
            <w:tcW w:w="2331"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建筑主要功能房间具有良好的户外视野，对于公共建筑，其</w:t>
            </w:r>
            <w:r>
              <w:rPr>
                <w:rFonts w:ascii="宋体" w:hAnsi="宋体"/>
                <w:color w:val="000000" w:themeColor="text1"/>
                <w:szCs w:val="21"/>
                <w14:textFill>
                  <w14:solidFill>
                    <w14:schemeClr w14:val="tx1"/>
                  </w14:solidFill>
                </w14:textFill>
              </w:rPr>
              <w:t>主要功能房间能通过外窗看到室外自然景观或城市景观。</w:t>
            </w:r>
          </w:p>
        </w:tc>
        <w:tc>
          <w:tcPr>
            <w:tcW w:w="530"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8.2.8</w:t>
            </w:r>
          </w:p>
        </w:tc>
        <w:tc>
          <w:tcPr>
            <w:tcW w:w="2331"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采取可调节遮阳措施，降低夏季太阳辐射得热</w:t>
            </w:r>
            <w:r>
              <w:rPr>
                <w:rFonts w:ascii="宋体" w:hAnsi="宋体"/>
                <w:color w:val="000000" w:themeColor="text1"/>
                <w:szCs w:val="21"/>
                <w14:textFill>
                  <w14:solidFill>
                    <w14:schemeClr w14:val="tx1"/>
                  </w14:solidFill>
                </w14:textFill>
              </w:rPr>
              <w:t>。</w:t>
            </w:r>
          </w:p>
        </w:tc>
        <w:tc>
          <w:tcPr>
            <w:tcW w:w="530"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8.2.10</w:t>
            </w:r>
          </w:p>
        </w:tc>
        <w:tc>
          <w:tcPr>
            <w:tcW w:w="2331"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优化建筑空间、平面布局和结构设计，改善自然通风效果【居住建筑】</w:t>
            </w:r>
            <w:r>
              <w:rPr>
                <w:rFonts w:ascii="宋体" w:hAnsi="宋体"/>
                <w:color w:val="000000" w:themeColor="text1"/>
                <w:szCs w:val="21"/>
                <w14:textFill>
                  <w14:solidFill>
                    <w14:schemeClr w14:val="tx1"/>
                  </w14:solidFill>
                </w14:textFill>
              </w:rPr>
              <w:t>。</w:t>
            </w:r>
          </w:p>
        </w:tc>
        <w:tc>
          <w:tcPr>
            <w:tcW w:w="530"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等线" w:hAnsi="等线" w:eastAsia="等线"/>
                <w:color w:val="000000" w:themeColor="text1"/>
                <w:sz w:val="22"/>
                <w:szCs w:val="22"/>
                <w14:textFill>
                  <w14:solidFill>
                    <w14:schemeClr w14:val="tx1"/>
                  </w14:solidFill>
                </w14:textFill>
              </w:rPr>
            </w:pPr>
          </w:p>
        </w:tc>
        <w:tc>
          <w:tcPr>
            <w:tcW w:w="446" w:type="pct"/>
            <w:gridSpan w:val="2"/>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8.2.12</w:t>
            </w:r>
          </w:p>
        </w:tc>
        <w:tc>
          <w:tcPr>
            <w:tcW w:w="2331"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主要功能房间中人员密度较高且</w:t>
            </w:r>
            <w:r>
              <w:rPr>
                <w:rFonts w:hint="eastAsia" w:ascii="宋体" w:hAnsi="宋体"/>
                <w:color w:val="000000" w:themeColor="text1"/>
                <w:szCs w:val="21"/>
                <w:lang w:val="en-US" w:eastAsia="zh-CN"/>
                <w14:textFill>
                  <w14:solidFill>
                    <w14:schemeClr w14:val="tx1"/>
                  </w14:solidFill>
                </w14:textFill>
              </w:rPr>
              <w:t>随</w:t>
            </w:r>
            <w:r>
              <w:rPr>
                <w:rFonts w:ascii="宋体" w:hAnsi="宋体"/>
                <w:color w:val="000000" w:themeColor="text1"/>
                <w:szCs w:val="21"/>
                <w14:textFill>
                  <w14:solidFill>
                    <w14:schemeClr w14:val="tx1"/>
                  </w14:solidFill>
                </w14:textFill>
              </w:rPr>
              <w:t>时间变化大的区域设置室内空气质量监控系统。</w:t>
            </w:r>
          </w:p>
        </w:tc>
        <w:tc>
          <w:tcPr>
            <w:tcW w:w="530"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restart"/>
            <w:vAlign w:val="center"/>
          </w:tcPr>
          <w:p>
            <w:pPr>
              <w:shd w:val="clear"/>
              <w:jc w:val="center"/>
              <w:rPr>
                <w:rFonts w:ascii="等线" w:hAnsi="等线" w:eastAsia="等线"/>
                <w:color w:val="000000" w:themeColor="text1"/>
                <w:sz w:val="22"/>
                <w:szCs w:val="22"/>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w:t>
            </w:r>
          </w:p>
        </w:tc>
        <w:tc>
          <w:tcPr>
            <w:tcW w:w="446" w:type="pct"/>
            <w:gridSpan w:val="2"/>
            <w:shd w:val="clear" w:color="auto" w:fill="auto"/>
            <w:vAlign w:val="center"/>
          </w:tcPr>
          <w:p>
            <w:pPr>
              <w:shd w:val="clear"/>
              <w:jc w:val="center"/>
              <w:rPr>
                <w:rFonts w:ascii="等线" w:hAnsi="等线" w:eastAsia="等线"/>
                <w:color w:val="000000" w:themeColor="text1"/>
                <w:sz w:val="22"/>
                <w:szCs w:val="22"/>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10.2.1</w:t>
            </w:r>
          </w:p>
        </w:tc>
        <w:tc>
          <w:tcPr>
            <w:tcW w:w="2331" w:type="pct"/>
            <w:shd w:val="clear" w:color="auto" w:fill="auto"/>
            <w:vAlign w:val="center"/>
          </w:tcPr>
          <w:p>
            <w:pPr>
              <w:shd w:val="clea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物业管理机构获得有关管理体系认证</w:t>
            </w:r>
          </w:p>
        </w:tc>
        <w:tc>
          <w:tcPr>
            <w:tcW w:w="530"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等线" w:hAnsi="等线" w:eastAsia="等线"/>
                <w:color w:val="000000" w:themeColor="text1"/>
                <w:sz w:val="22"/>
                <w:szCs w:val="22"/>
                <w14:textFill>
                  <w14:solidFill>
                    <w14:schemeClr w14:val="tx1"/>
                  </w14:solidFill>
                </w14:textFill>
              </w:rPr>
            </w:pPr>
          </w:p>
        </w:tc>
        <w:tc>
          <w:tcPr>
            <w:tcW w:w="446" w:type="pct"/>
            <w:gridSpan w:val="2"/>
            <w:shd w:val="clear" w:color="auto" w:fill="auto"/>
            <w:vAlign w:val="center"/>
          </w:tcPr>
          <w:p>
            <w:pPr>
              <w:shd w:val="clear"/>
              <w:jc w:val="center"/>
              <w:rPr>
                <w:rFonts w:ascii="等线" w:hAnsi="等线" w:eastAsia="等线"/>
                <w:color w:val="000000" w:themeColor="text1"/>
                <w:sz w:val="22"/>
                <w:szCs w:val="22"/>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10.2.2</w:t>
            </w:r>
          </w:p>
        </w:tc>
        <w:tc>
          <w:tcPr>
            <w:tcW w:w="2331" w:type="pct"/>
            <w:shd w:val="clear" w:color="auto" w:fill="auto"/>
            <w:vAlign w:val="center"/>
          </w:tcPr>
          <w:p>
            <w:pPr>
              <w:shd w:val="clea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节能、节水、节材、绿化的操作规程、应急预案完善，且有效实施。</w:t>
            </w:r>
          </w:p>
        </w:tc>
        <w:tc>
          <w:tcPr>
            <w:tcW w:w="530"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4" w:hRule="atLeast"/>
        </w:trPr>
        <w:tc>
          <w:tcPr>
            <w:tcW w:w="425" w:type="pct"/>
            <w:vMerge w:val="continue"/>
            <w:vAlign w:val="top"/>
          </w:tcPr>
          <w:p>
            <w:pPr>
              <w:shd w:val="clear"/>
              <w:jc w:val="center"/>
              <w:rPr>
                <w:rFonts w:ascii="等线" w:hAnsi="等线" w:eastAsia="等线"/>
                <w:color w:val="000000" w:themeColor="text1"/>
                <w:sz w:val="22"/>
                <w:szCs w:val="22"/>
                <w14:textFill>
                  <w14:solidFill>
                    <w14:schemeClr w14:val="tx1"/>
                  </w14:solidFill>
                </w14:textFill>
              </w:rPr>
            </w:pPr>
          </w:p>
        </w:tc>
        <w:tc>
          <w:tcPr>
            <w:tcW w:w="446" w:type="pct"/>
            <w:gridSpan w:val="2"/>
            <w:shd w:val="clear" w:color="auto" w:fill="auto"/>
            <w:vAlign w:val="center"/>
          </w:tcPr>
          <w:p>
            <w:pPr>
              <w:shd w:val="clear"/>
              <w:jc w:val="center"/>
              <w:rPr>
                <w:rFonts w:ascii="等线" w:hAnsi="等线" w:eastAsia="等线"/>
                <w:color w:val="000000" w:themeColor="text1"/>
                <w:sz w:val="22"/>
                <w:szCs w:val="22"/>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10.2.4</w:t>
            </w:r>
          </w:p>
        </w:tc>
        <w:tc>
          <w:tcPr>
            <w:tcW w:w="2331" w:type="pct"/>
            <w:shd w:val="clear" w:color="auto" w:fill="auto"/>
            <w:vAlign w:val="center"/>
          </w:tcPr>
          <w:p>
            <w:pPr>
              <w:shd w:val="clea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建立绿色教育宣传机制，编制绿色设施使用手册，形成良好的绿色氛围。</w:t>
            </w:r>
          </w:p>
        </w:tc>
        <w:tc>
          <w:tcPr>
            <w:tcW w:w="530"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bl>
    <w:p>
      <w:pPr>
        <w:shd w:val="clear"/>
        <w:rPr>
          <w:rFonts w:hint="default"/>
          <w:color w:val="000000" w:themeColor="text1"/>
          <w14:textFill>
            <w14:solidFill>
              <w14:schemeClr w14:val="tx1"/>
            </w14:solidFill>
          </w14:textFill>
        </w:rPr>
      </w:pPr>
    </w:p>
    <w:p>
      <w:pPr>
        <w:widowControl/>
        <w:shd w:val="clear"/>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br w:type="page"/>
      </w:r>
    </w:p>
    <w:p>
      <w:pPr>
        <w:shd w:val="clear"/>
        <w:spacing w:after="156" w:afterLines="50"/>
        <w:rPr>
          <w:rFonts w:hint="default"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）《绿色建筑评价标准》</w:t>
      </w:r>
      <w:r>
        <w:rPr>
          <w:rFonts w:hint="default" w:ascii="宋体" w:hAnsi="宋体"/>
          <w:color w:val="000000" w:themeColor="text1"/>
          <w:sz w:val="24"/>
          <w14:textFill>
            <w14:solidFill>
              <w14:schemeClr w14:val="tx1"/>
            </w14:solidFill>
          </w14:textFill>
        </w:rPr>
        <w:t>GB/T 50378-2019</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346"/>
        <w:gridCol w:w="6583"/>
        <w:gridCol w:w="1440"/>
        <w:gridCol w:w="1831"/>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427" w:type="pct"/>
            <w:shd w:val="clear" w:color="auto" w:fill="D8D8D8" w:themeFill="background1" w:themeFillShade="D9"/>
            <w:vAlign w:val="center"/>
          </w:tcPr>
          <w:p>
            <w:pPr>
              <w:shd w:val="clear"/>
              <w:jc w:val="center"/>
              <w:rPr>
                <w:rFonts w:hint="eastAsia" w:eastAsia="宋体"/>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区域</w:t>
            </w:r>
          </w:p>
        </w:tc>
        <w:tc>
          <w:tcPr>
            <w:tcW w:w="475"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条文号</w:t>
            </w:r>
          </w:p>
        </w:tc>
        <w:tc>
          <w:tcPr>
            <w:tcW w:w="2323"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条文内容</w:t>
            </w:r>
          </w:p>
        </w:tc>
        <w:tc>
          <w:tcPr>
            <w:tcW w:w="508"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设计采用情况</w:t>
            </w:r>
          </w:p>
        </w:tc>
        <w:tc>
          <w:tcPr>
            <w:tcW w:w="646"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落实情况（自评）</w:t>
            </w:r>
          </w:p>
        </w:tc>
        <w:tc>
          <w:tcPr>
            <w:tcW w:w="619" w:type="pct"/>
            <w:shd w:val="clear" w:color="auto" w:fill="D8D8D8" w:themeFill="background1" w:themeFillShade="D9"/>
            <w:vAlign w:val="center"/>
          </w:tcPr>
          <w:p>
            <w:pPr>
              <w:shd w:val="clear"/>
              <w:jc w:val="center"/>
              <w:rPr>
                <w:rFonts w:hint="default"/>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w:t>
            </w: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6.2.1</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场地与公共交通站点联系便捷。</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restart"/>
            <w:vAlign w:val="center"/>
          </w:tcPr>
          <w:p>
            <w:pPr>
              <w:shd w:val="clear"/>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周边</w:t>
            </w: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6.2.2</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建筑室内外公共区域满足全龄化设计要求。</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6.2.3</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提供便利的公共服务。</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shd w:val="clea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出入口</w:t>
            </w: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4.2.5</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采取人车分流措施，且步行和自行车交通系统有充足照明</w:t>
            </w:r>
            <w:r>
              <w:rPr>
                <w:rFonts w:ascii="宋体" w:hAnsi="宋体"/>
                <w:color w:val="000000" w:themeColor="text1"/>
                <w:szCs w:val="21"/>
                <w14:textFill>
                  <w14:solidFill>
                    <w14:schemeClr w14:val="tx1"/>
                  </w14:solidFill>
                </w14:textFill>
              </w:rPr>
              <w:t>。</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住区/园区内部</w:t>
            </w: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4.2.2</w:t>
            </w:r>
          </w:p>
        </w:tc>
        <w:tc>
          <w:tcPr>
            <w:tcW w:w="2323" w:type="pct"/>
            <w:shd w:val="clear" w:color="auto" w:fill="auto"/>
            <w:vAlign w:val="center"/>
          </w:tcPr>
          <w:p>
            <w:pPr>
              <w:shd w:val="clea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采取保障人员安全的防护措施</w:t>
            </w:r>
          </w:p>
          <w:p>
            <w:pPr>
              <w:shd w:val="clea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  建筑物出入口均设外墙饰面、门窗玻璃意外脱落的防护措施，并与人员通行区域的遮阳、遮风或挡雨措施结合</w:t>
            </w:r>
            <w:r>
              <w:rPr>
                <w:rFonts w:hint="eastAsia" w:ascii="宋体" w:hAnsi="宋体"/>
                <w:color w:val="000000" w:themeColor="text1"/>
                <w:szCs w:val="21"/>
                <w:lang w:eastAsia="zh-CN"/>
                <w14:textFill>
                  <w14:solidFill>
                    <w14:schemeClr w14:val="tx1"/>
                  </w14:solidFill>
                </w14:textFill>
              </w:rPr>
              <w:t>；</w:t>
            </w:r>
          </w:p>
          <w:p>
            <w:pPr>
              <w:shd w:val="clea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  利用场地或景观形成可降低坠物风险的缓冲区、隔离带。</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6.2.5</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合理设置健身场地和空间。</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7.2.11</w:t>
            </w:r>
          </w:p>
        </w:tc>
        <w:tc>
          <w:tcPr>
            <w:tcW w:w="2323" w:type="pct"/>
            <w:shd w:val="clear" w:color="auto" w:fill="auto"/>
            <w:vAlign w:val="center"/>
          </w:tcPr>
          <w:p>
            <w:pPr>
              <w:shd w:val="clea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绿化灌溉及空调冷却水系统采用节水设备或技术</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  绿化灌溉采用节水设备或技术</w:t>
            </w:r>
            <w:r>
              <w:rPr>
                <w:rFonts w:ascii="宋体" w:hAnsi="宋体"/>
                <w:color w:val="000000" w:themeColor="text1"/>
                <w:szCs w:val="21"/>
                <w14:textFill>
                  <w14:solidFill>
                    <w14:schemeClr w14:val="tx1"/>
                  </w14:solidFill>
                </w14:textFill>
              </w:rPr>
              <w:t>。</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7.2.12</w:t>
            </w:r>
          </w:p>
        </w:tc>
        <w:tc>
          <w:tcPr>
            <w:tcW w:w="2323"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结合雨水综合利用设施营造室外景观水体，室外景观水体利用雨水的补水量大于水体蒸发量的60％，且采用保障水体水质的生态水处理技术</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无景观水体</w:t>
            </w:r>
            <w:r>
              <w:rPr>
                <w:rFonts w:hint="eastAsia" w:ascii="宋体" w:hAnsi="宋体"/>
                <w:color w:val="000000" w:themeColor="text1"/>
                <w:szCs w:val="21"/>
                <w:lang w:eastAsia="zh-CN"/>
                <w14:textFill>
                  <w14:solidFill>
                    <w14:schemeClr w14:val="tx1"/>
                  </w14:solidFill>
                </w14:textFill>
              </w:rPr>
              <w:t>】</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8.2.3</w:t>
            </w:r>
          </w:p>
        </w:tc>
        <w:tc>
          <w:tcPr>
            <w:tcW w:w="2323" w:type="pct"/>
            <w:shd w:val="clear" w:color="auto" w:fill="auto"/>
            <w:vAlign w:val="center"/>
          </w:tcPr>
          <w:p>
            <w:pPr>
              <w:shd w:val="clea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充分利用场地空间设置绿化用地</w:t>
            </w:r>
            <w:r>
              <w:rPr>
                <w:rFonts w:hint="eastAsia" w:ascii="宋体" w:hAnsi="宋体"/>
                <w:color w:val="000000" w:themeColor="text1"/>
                <w:szCs w:val="21"/>
                <w:lang w:eastAsia="zh-CN"/>
                <w14:textFill>
                  <w14:solidFill>
                    <w14:schemeClr w14:val="tx1"/>
                  </w14:solidFill>
                </w14:textFill>
              </w:rPr>
              <w:t>：</w:t>
            </w:r>
          </w:p>
          <w:p>
            <w:pPr>
              <w:shd w:val="clea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  2）绿地向公众开放</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公共建筑</w:t>
            </w:r>
            <w:r>
              <w:rPr>
                <w:rFonts w:hint="eastAsia" w:ascii="宋体" w:hAnsi="宋体"/>
                <w:color w:val="000000" w:themeColor="text1"/>
                <w:szCs w:val="21"/>
                <w:lang w:eastAsia="zh-CN"/>
                <w14:textFill>
                  <w14:solidFill>
                    <w14:schemeClr w14:val="tx1"/>
                  </w14:solidFill>
                </w14:textFill>
              </w:rPr>
              <w:t>】</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8.2.4</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室外吸烟区位置布局合理。</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8.2.5</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利用场地空间设置绿色雨水基础设施</w:t>
            </w:r>
            <w:r>
              <w:rPr>
                <w:rFonts w:ascii="宋体" w:hAnsi="宋体"/>
                <w:color w:val="000000" w:themeColor="text1"/>
                <w:szCs w:val="21"/>
                <w14:textFill>
                  <w14:solidFill>
                    <w14:schemeClr w14:val="tx1"/>
                  </w14:solidFill>
                </w14:textFill>
              </w:rPr>
              <w:t>。</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8.2.9</w:t>
            </w:r>
          </w:p>
        </w:tc>
        <w:tc>
          <w:tcPr>
            <w:tcW w:w="2323"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采取措施降低热岛强度</w:t>
            </w:r>
            <w:r>
              <w:rPr>
                <w:rFonts w:hint="eastAsia" w:ascii="宋体" w:hAnsi="宋体"/>
                <w:color w:val="000000" w:themeColor="text1"/>
                <w:szCs w:val="21"/>
                <w:lang w:eastAsia="zh-CN"/>
                <w14:textFill>
                  <w14:solidFill>
                    <w14:schemeClr w14:val="tx1"/>
                  </w14:solidFill>
                </w14:textFill>
              </w:rPr>
              <w:t>。</w:t>
            </w:r>
          </w:p>
        </w:tc>
        <w:tc>
          <w:tcPr>
            <w:tcW w:w="508"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公共区域</w:t>
            </w: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4.2.3</w:t>
            </w:r>
          </w:p>
        </w:tc>
        <w:tc>
          <w:tcPr>
            <w:tcW w:w="2323" w:type="pct"/>
            <w:shd w:val="clear" w:color="auto" w:fill="auto"/>
            <w:vAlign w:val="center"/>
          </w:tcPr>
          <w:p>
            <w:pPr>
              <w:shd w:val="clea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采用具有安全防护功能的产品或配件</w:t>
            </w:r>
            <w:r>
              <w:rPr>
                <w:rFonts w:hint="eastAsia" w:ascii="宋体" w:hAnsi="宋体"/>
                <w:color w:val="000000" w:themeColor="text1"/>
                <w:szCs w:val="21"/>
                <w:lang w:eastAsia="zh-CN"/>
                <w14:textFill>
                  <w14:solidFill>
                    <w14:schemeClr w14:val="tx1"/>
                  </w14:solidFill>
                </w14:textFill>
              </w:rPr>
              <w:t>：</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2  </w:t>
            </w:r>
            <w:r>
              <w:rPr>
                <w:rFonts w:ascii="宋体" w:hAnsi="宋体"/>
                <w:color w:val="000000" w:themeColor="text1"/>
                <w:szCs w:val="21"/>
                <w14:textFill>
                  <w14:solidFill>
                    <w14:schemeClr w14:val="tx1"/>
                  </w14:solidFill>
                </w14:textFill>
              </w:rPr>
              <w:t>采用具有防夹功能的门窗。</w:t>
            </w:r>
          </w:p>
        </w:tc>
        <w:tc>
          <w:tcPr>
            <w:tcW w:w="5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pPr>
              <w:shd w:val="clea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建筑外部</w:t>
            </w: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7.2.9</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结合当地气候和自然资源条件合理利用可再生能源。</w:t>
            </w:r>
          </w:p>
        </w:tc>
        <w:tc>
          <w:tcPr>
            <w:tcW w:w="5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restart"/>
            <w:vAlign w:val="center"/>
          </w:tcPr>
          <w:p>
            <w:pPr>
              <w:shd w:val="clea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主要功能房间</w:t>
            </w: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7.2.14</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建筑所有区域实施土建工程与装修工程一体化设计及施工。</w:t>
            </w:r>
          </w:p>
        </w:tc>
        <w:tc>
          <w:tcPr>
            <w:tcW w:w="5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5.2.8</w:t>
            </w:r>
          </w:p>
        </w:tc>
        <w:tc>
          <w:tcPr>
            <w:tcW w:w="2323" w:type="pct"/>
            <w:shd w:val="clear" w:color="auto" w:fill="auto"/>
            <w:vAlign w:val="center"/>
          </w:tcPr>
          <w:p>
            <w:pPr>
              <w:shd w:val="clea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充分利用天然光</w:t>
            </w:r>
            <w:r>
              <w:rPr>
                <w:rFonts w:hint="eastAsia" w:ascii="宋体" w:hAnsi="宋体"/>
                <w:color w:val="000000" w:themeColor="text1"/>
                <w:szCs w:val="21"/>
                <w:lang w:eastAsia="zh-CN"/>
                <w14:textFill>
                  <w14:solidFill>
                    <w14:schemeClr w14:val="tx1"/>
                  </w14:solidFill>
                </w14:textFill>
              </w:rPr>
              <w:t>：</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3  </w:t>
            </w:r>
            <w:r>
              <w:rPr>
                <w:rFonts w:ascii="宋体" w:hAnsi="宋体"/>
                <w:color w:val="000000" w:themeColor="text1"/>
                <w:szCs w:val="21"/>
                <w14:textFill>
                  <w14:solidFill>
                    <w14:schemeClr w14:val="tx1"/>
                  </w14:solidFill>
                </w14:textFill>
              </w:rPr>
              <w:t>主要功能房间有眩光控制措施。</w:t>
            </w:r>
          </w:p>
        </w:tc>
        <w:tc>
          <w:tcPr>
            <w:tcW w:w="5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5.2.11</w:t>
            </w:r>
          </w:p>
        </w:tc>
        <w:tc>
          <w:tcPr>
            <w:tcW w:w="2323" w:type="pct"/>
            <w:shd w:val="clear" w:color="auto" w:fill="auto"/>
            <w:vAlign w:val="center"/>
          </w:tcPr>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设置可调节遮阳设施，改善室内热舒适</w:t>
            </w:r>
            <w:r>
              <w:rPr>
                <w:rFonts w:ascii="宋体" w:hAnsi="宋体"/>
                <w:color w:val="000000" w:themeColor="text1"/>
                <w:szCs w:val="21"/>
                <w14:textFill>
                  <w14:solidFill>
                    <w14:schemeClr w14:val="tx1"/>
                  </w14:solidFill>
                </w14:textFill>
              </w:rPr>
              <w:t>。</w:t>
            </w:r>
          </w:p>
        </w:tc>
        <w:tc>
          <w:tcPr>
            <w:tcW w:w="5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Merge w:val="continue"/>
            <w:vAlign w:val="top"/>
          </w:tcPr>
          <w:p>
            <w:pPr>
              <w:shd w:val="clear"/>
              <w:jc w:val="center"/>
              <w:rPr>
                <w:rFonts w:ascii="宋体" w:hAnsi="宋体"/>
                <w:color w:val="000000" w:themeColor="text1"/>
                <w:szCs w:val="21"/>
                <w14:textFill>
                  <w14:solidFill>
                    <w14:schemeClr w14:val="tx1"/>
                  </w14:solidFill>
                </w14:textFill>
              </w:rPr>
            </w:pPr>
          </w:p>
        </w:tc>
        <w:tc>
          <w:tcPr>
            <w:tcW w:w="475"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7.2.7</w:t>
            </w:r>
          </w:p>
        </w:tc>
        <w:tc>
          <w:tcPr>
            <w:tcW w:w="2323" w:type="pct"/>
            <w:shd w:val="clear" w:color="auto" w:fill="auto"/>
            <w:vAlign w:val="center"/>
          </w:tcPr>
          <w:p>
            <w:pPr>
              <w:shd w:val="clea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采用节能型电气设备及节能控制措施</w:t>
            </w:r>
            <w:r>
              <w:rPr>
                <w:rFonts w:hint="eastAsia" w:ascii="宋体" w:hAnsi="宋体"/>
                <w:color w:val="000000" w:themeColor="text1"/>
                <w:szCs w:val="21"/>
                <w:lang w:eastAsia="zh-CN"/>
                <w14:textFill>
                  <w14:solidFill>
                    <w14:schemeClr w14:val="tx1"/>
                  </w14:solidFill>
                </w14:textFill>
              </w:rPr>
              <w:t>：</w:t>
            </w:r>
          </w:p>
          <w:p>
            <w:pPr>
              <w:shd w:val="clea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  采光区域的人工照明随天然光照度变化自动调节</w:t>
            </w:r>
            <w:r>
              <w:rPr>
                <w:rFonts w:ascii="宋体" w:hAnsi="宋体"/>
                <w:color w:val="000000" w:themeColor="text1"/>
                <w:szCs w:val="21"/>
                <w14:textFill>
                  <w14:solidFill>
                    <w14:schemeClr w14:val="tx1"/>
                  </w14:solidFill>
                </w14:textFill>
              </w:rPr>
              <w:t>。</w:t>
            </w:r>
          </w:p>
        </w:tc>
        <w:tc>
          <w:tcPr>
            <w:tcW w:w="508"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46"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c>
          <w:tcPr>
            <w:tcW w:w="619" w:type="pct"/>
            <w:shd w:val="clear" w:color="auto" w:fill="auto"/>
            <w:vAlign w:val="center"/>
          </w:tcPr>
          <w:p>
            <w:pPr>
              <w:shd w:val="clear"/>
              <w:jc w:val="center"/>
              <w:rPr>
                <w:rFonts w:hint="default"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是 </w:t>
            </w:r>
            <w:r>
              <w:rPr>
                <w:rFonts w:hint="default"/>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否</w:t>
            </w:r>
          </w:p>
        </w:tc>
      </w:tr>
    </w:tbl>
    <w:p>
      <w:pPr>
        <w:shd w:val="clear"/>
        <w:rPr>
          <w:rFonts w:hint="default"/>
          <w:color w:val="000000" w:themeColor="text1"/>
          <w14:textFill>
            <w14:solidFill>
              <w14:schemeClr w14:val="tx1"/>
            </w14:solidFill>
          </w14:textFill>
        </w:rPr>
      </w:pPr>
    </w:p>
    <w:p>
      <w:pPr>
        <w:shd w:val="clear"/>
        <w:rPr>
          <w:rFonts w:hint="default"/>
          <w:color w:val="000000" w:themeColor="text1"/>
          <w14:textFill>
            <w14:solidFill>
              <w14:schemeClr w14:val="tx1"/>
            </w14:solidFill>
          </w14:textFill>
        </w:rPr>
        <w:sectPr>
          <w:footerReference r:id="rId6" w:type="default"/>
          <w:pgSz w:w="16838" w:h="11906" w:orient="landscape"/>
          <w:pgMar w:top="1797" w:right="1440" w:bottom="1797" w:left="1440" w:header="851" w:footer="992" w:gutter="0"/>
          <w:pgNumType w:start="19"/>
          <w:cols w:space="720" w:num="1"/>
          <w:docGrid w:type="lines" w:linePitch="312" w:charSpace="0"/>
        </w:sectPr>
      </w:pPr>
    </w:p>
    <w:p>
      <w:pPr>
        <w:shd w:val="clear"/>
        <w:adjustRightInd w:val="0"/>
        <w:snapToGrid w:val="0"/>
        <w:spacing w:before="312" w:beforeLines="100" w:line="360" w:lineRule="auto"/>
        <w:outlineLvl w:val="0"/>
        <w:rPr>
          <w:rFonts w:hint="default" w:ascii="宋体" w:hAnsi="宋体"/>
          <w:b/>
          <w:color w:val="000000" w:themeColor="text1"/>
          <w:sz w:val="30"/>
          <w:szCs w:val="30"/>
          <w14:textFill>
            <w14:solidFill>
              <w14:schemeClr w14:val="tx1"/>
            </w14:solidFill>
          </w14:textFill>
        </w:rPr>
      </w:pPr>
      <w:bookmarkStart w:id="396" w:name="_Toc28416"/>
      <w:bookmarkStart w:id="397" w:name="_Toc32612"/>
      <w:bookmarkStart w:id="398" w:name="_Toc4884"/>
      <w:bookmarkStart w:id="399" w:name="_Toc2149"/>
      <w:bookmarkStart w:id="400" w:name="_Toc27500"/>
      <w:bookmarkStart w:id="401" w:name="_Toc18867"/>
      <w:bookmarkStart w:id="402" w:name="_Toc596"/>
      <w:bookmarkStart w:id="403" w:name="_Toc119755507"/>
      <w:bookmarkStart w:id="404" w:name="_Toc27740"/>
      <w:bookmarkStart w:id="405" w:name="_Toc26434"/>
      <w:bookmarkStart w:id="406" w:name="_Toc19298"/>
      <w:bookmarkStart w:id="407" w:name="_Toc4468"/>
      <w:bookmarkStart w:id="408" w:name="_Toc9046"/>
      <w:r>
        <w:rPr>
          <w:rFonts w:ascii="宋体" w:hAnsi="宋体"/>
          <w:b/>
          <w:color w:val="000000" w:themeColor="text1"/>
          <w:sz w:val="30"/>
          <w:szCs w:val="30"/>
          <w14:textFill>
            <w14:solidFill>
              <w14:schemeClr w14:val="tx1"/>
            </w14:solidFill>
          </w14:textFill>
        </w:rPr>
        <w:t>附录</w:t>
      </w:r>
      <w:bookmarkEnd w:id="396"/>
      <w:r>
        <w:rPr>
          <w:rFonts w:ascii="宋体" w:hAnsi="宋体"/>
          <w:b/>
          <w:color w:val="000000" w:themeColor="text1"/>
          <w:sz w:val="30"/>
          <w:szCs w:val="30"/>
          <w14:textFill>
            <w14:solidFill>
              <w14:schemeClr w14:val="tx1"/>
            </w14:solidFill>
          </w14:textFill>
        </w:rPr>
        <w:t>B</w:t>
      </w:r>
      <w:bookmarkEnd w:id="397"/>
      <w:bookmarkEnd w:id="398"/>
      <w:bookmarkEnd w:id="399"/>
      <w:bookmarkEnd w:id="400"/>
      <w:bookmarkEnd w:id="401"/>
      <w:bookmarkEnd w:id="402"/>
      <w:bookmarkEnd w:id="403"/>
      <w:bookmarkEnd w:id="404"/>
      <w:bookmarkEnd w:id="405"/>
      <w:bookmarkEnd w:id="406"/>
      <w:bookmarkEnd w:id="407"/>
      <w:bookmarkEnd w:id="408"/>
    </w:p>
    <w:p>
      <w:pPr>
        <w:shd w:val="clear"/>
        <w:jc w:val="center"/>
        <w:outlineLvl w:val="9"/>
        <w:rPr>
          <w:rFonts w:hint="eastAsia" w:ascii="Times New Roman" w:hAnsi="Times New Roman"/>
          <w:color w:val="auto"/>
          <w:sz w:val="28"/>
          <w:szCs w:val="28"/>
        </w:rPr>
      </w:pPr>
      <w:bookmarkStart w:id="409" w:name="_Toc28455"/>
      <w:bookmarkStart w:id="410" w:name="_Toc22188"/>
      <w:bookmarkStart w:id="411" w:name="_Toc6095"/>
      <w:bookmarkStart w:id="412" w:name="_Toc4518"/>
      <w:bookmarkStart w:id="413" w:name="_Toc4159"/>
      <w:bookmarkStart w:id="414" w:name="_Toc18173"/>
      <w:bookmarkStart w:id="415" w:name="_Toc15374"/>
      <w:bookmarkStart w:id="416" w:name="_Toc14387"/>
      <w:bookmarkStart w:id="417" w:name="_Toc29263"/>
      <w:bookmarkStart w:id="418" w:name="_Toc26606"/>
      <w:r>
        <w:rPr>
          <w:rFonts w:ascii="Times New Roman" w:hAnsi="Times New Roman"/>
          <w:color w:val="auto"/>
          <w:sz w:val="28"/>
          <w:szCs w:val="28"/>
        </w:rPr>
        <w:t>建筑环境质量与服务性能问卷</w:t>
      </w:r>
      <w:bookmarkEnd w:id="409"/>
      <w:bookmarkEnd w:id="410"/>
      <w:bookmarkEnd w:id="411"/>
      <w:bookmarkEnd w:id="412"/>
      <w:bookmarkEnd w:id="413"/>
      <w:bookmarkEnd w:id="414"/>
      <w:bookmarkEnd w:id="415"/>
      <w:bookmarkEnd w:id="416"/>
      <w:bookmarkEnd w:id="417"/>
      <w:bookmarkEnd w:id="418"/>
    </w:p>
    <w:p>
      <w:pPr>
        <w:shd w:val="clear"/>
        <w:ind w:firstLine="420"/>
        <w:jc w:val="left"/>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感谢您参与此次建筑性能调查，用于绿色建筑整体性能的后评估。您的反馈意见对我们正确评价和改进本建筑的各项性能十分宝贵。本调查</w:t>
      </w:r>
      <w:r>
        <w:rPr>
          <w:rFonts w:ascii="宋体" w:hAnsi="宋体"/>
          <w:b/>
          <w:color w:val="000000" w:themeColor="text1"/>
          <w14:textFill>
            <w14:solidFill>
              <w14:schemeClr w14:val="tx1"/>
            </w14:solidFill>
          </w14:textFill>
        </w:rPr>
        <w:t>完全匿名</w:t>
      </w:r>
      <w:r>
        <w:rPr>
          <w:rFonts w:ascii="宋体" w:hAnsi="宋体"/>
          <w:color w:val="000000" w:themeColor="text1"/>
          <w14:textFill>
            <w14:solidFill>
              <w14:schemeClr w14:val="tx1"/>
            </w14:solidFill>
          </w14:textFill>
        </w:rPr>
        <w:t>并且所有我们调研的数据只用于科学研究，我们对您所填写的全部个人信息将严格保密。</w:t>
      </w:r>
      <w:r>
        <w:rPr>
          <w:rFonts w:ascii="宋体" w:hAnsi="宋体"/>
          <w:b/>
          <w:color w:val="000000" w:themeColor="text1"/>
          <w14:textFill>
            <w14:solidFill>
              <w14:schemeClr w14:val="tx1"/>
            </w14:solidFill>
          </w14:textFill>
        </w:rPr>
        <w:t>再次感谢您的积极配合！</w:t>
      </w:r>
      <w:r>
        <w:rPr>
          <w:rFonts w:ascii="宋体" w:hAnsi="宋体"/>
          <w:color w:val="000000" w:themeColor="text1"/>
          <w14:textFill>
            <w14:solidFill>
              <w14:schemeClr w14:val="tx1"/>
            </w14:solidFill>
          </w14:textFill>
        </w:rPr>
        <w:t xml:space="preserve"> </w:t>
      </w:r>
    </w:p>
    <w:p>
      <w:pPr>
        <w:shd w:val="clear"/>
        <w:spacing w:before="156" w:beforeLines="50"/>
        <w:rPr>
          <w:rFonts w:hint="default" w:ascii="宋体" w:hAnsi="宋体"/>
          <w:color w:val="000000" w:themeColor="text1"/>
          <w:u w:val="single"/>
          <w14:textFill>
            <w14:solidFill>
              <w14:schemeClr w14:val="tx1"/>
            </w14:solidFill>
          </w14:textFill>
        </w:rPr>
      </w:pPr>
      <w:r>
        <w:rPr>
          <w:rFonts w:ascii="宋体" w:hAnsi="宋体"/>
          <w:color w:val="000000" w:themeColor="text1"/>
          <w14:textFill>
            <w14:solidFill>
              <w14:schemeClr w14:val="tx1"/>
            </w14:solidFill>
          </w14:textFill>
        </w:rPr>
        <w:t>问卷调查地点信息描述：</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填表日期：</w:t>
      </w:r>
      <w:r>
        <w:rPr>
          <w:rFonts w:ascii="宋体" w:hAnsi="宋体"/>
          <w:color w:val="000000" w:themeColor="text1"/>
          <w:u w:val="single"/>
          <w14:textFill>
            <w14:solidFill>
              <w14:schemeClr w14:val="tx1"/>
            </w14:solidFill>
          </w14:textFill>
        </w:rPr>
        <w:t xml:space="preserve">     </w:t>
      </w:r>
      <w:r>
        <w:rPr>
          <w:rFonts w:hint="default"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p>
    <w:p>
      <w:pPr>
        <w:shd w:val="clear"/>
        <w:spacing w:before="120" w:after="120"/>
        <w:jc w:val="left"/>
        <w:outlineLvl w:val="9"/>
        <w:rPr>
          <w:rFonts w:hint="eastAsia" w:ascii="Times New Roman" w:hAnsi="Times New Roman"/>
          <w:b/>
          <w:bCs/>
          <w:color w:val="auto"/>
          <w:sz w:val="22"/>
          <w:szCs w:val="22"/>
          <w:u w:val="single"/>
        </w:rPr>
      </w:pPr>
      <w:bookmarkStart w:id="419" w:name="_Toc25824"/>
      <w:bookmarkStart w:id="420" w:name="_Toc573"/>
      <w:bookmarkStart w:id="421" w:name="_Toc22726"/>
      <w:bookmarkStart w:id="422" w:name="_Toc25308"/>
      <w:bookmarkStart w:id="423" w:name="_Toc14833"/>
      <w:bookmarkStart w:id="424" w:name="_Toc27711"/>
      <w:bookmarkStart w:id="425" w:name="_Toc6648"/>
      <w:bookmarkStart w:id="426" w:name="_Toc25903"/>
      <w:bookmarkStart w:id="427" w:name="_Toc19644"/>
      <w:bookmarkStart w:id="428" w:name="_Toc18538"/>
      <w:r>
        <w:rPr>
          <w:rFonts w:ascii="Times New Roman" w:hAnsi="Times New Roman"/>
          <w:b/>
          <w:bCs/>
          <w:color w:val="auto"/>
          <w:sz w:val="22"/>
          <w:szCs w:val="22"/>
          <w:u w:val="single"/>
        </w:rPr>
        <w:t>（一）基本信息</w:t>
      </w:r>
      <w:bookmarkEnd w:id="419"/>
      <w:bookmarkEnd w:id="420"/>
      <w:bookmarkEnd w:id="421"/>
      <w:bookmarkEnd w:id="422"/>
      <w:bookmarkEnd w:id="423"/>
      <w:bookmarkEnd w:id="424"/>
      <w:bookmarkEnd w:id="425"/>
      <w:bookmarkEnd w:id="426"/>
      <w:bookmarkEnd w:id="427"/>
      <w:bookmarkEnd w:id="428"/>
    </w:p>
    <w:p>
      <w:pPr>
        <w:widowControl/>
        <w:numPr>
          <w:ilvl w:val="0"/>
          <w:numId w:val="2"/>
        </w:numPr>
        <w:shd w:val="clear"/>
        <w:adjustRightInd w:val="0"/>
        <w:snapToGrid w:val="0"/>
        <w:jc w:val="left"/>
        <w:rPr>
          <w:rFonts w:hint="default"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您的性别</w:t>
      </w:r>
      <w:r>
        <w:rPr>
          <w:rFonts w:ascii="宋体" w:hAnsi="宋体"/>
          <w:color w:val="000000" w:themeColor="text1"/>
          <w14:textFill>
            <w14:solidFill>
              <w14:schemeClr w14:val="tx1"/>
            </w14:solidFill>
          </w14:textFill>
        </w:rPr>
        <w:t>：□男    □女</w:t>
      </w:r>
    </w:p>
    <w:p>
      <w:pPr>
        <w:widowControl/>
        <w:numPr>
          <w:ilvl w:val="0"/>
          <w:numId w:val="2"/>
        </w:numPr>
        <w:shd w:val="clear"/>
        <w:adjustRightInd w:val="0"/>
        <w:snapToGrid w:val="0"/>
        <w:spacing w:before="157" w:beforeLines="50"/>
        <w:ind w:left="0" w:hanging="422" w:hangingChars="200"/>
        <w:jc w:val="left"/>
        <w:rPr>
          <w:rFonts w:hint="default"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您的年龄</w:t>
      </w:r>
      <w:r>
        <w:rPr>
          <w:rFonts w:ascii="宋体" w:hAnsi="宋体"/>
          <w:color w:val="000000" w:themeColor="text1"/>
          <w14:textFill>
            <w14:solidFill>
              <w14:schemeClr w14:val="tx1"/>
            </w14:solidFill>
          </w14:textFill>
        </w:rPr>
        <w:t>：□&lt;20   □20-30   □31-40   □41-50   □51-60   □&gt;60</w:t>
      </w:r>
    </w:p>
    <w:p>
      <w:pPr>
        <w:shd w:val="clear"/>
        <w:spacing w:before="156" w:beforeLines="50"/>
        <w:jc w:val="left"/>
        <w:rPr>
          <w:rFonts w:hint="default" w:ascii="宋体" w:hAnsi="宋体"/>
          <w:b/>
          <w:color w:val="000000" w:themeColor="text1"/>
          <w:sz w:val="22"/>
          <w:u w:val="single"/>
          <w14:textFill>
            <w14:solidFill>
              <w14:schemeClr w14:val="tx1"/>
            </w14:solidFill>
          </w14:textFill>
        </w:rPr>
      </w:pPr>
    </w:p>
    <w:p>
      <w:pPr>
        <w:shd w:val="clear"/>
        <w:spacing w:before="120" w:beforeLines="-2147483648" w:after="120"/>
        <w:jc w:val="left"/>
        <w:outlineLvl w:val="9"/>
        <w:rPr>
          <w:rFonts w:hint="eastAsia" w:ascii="Times New Roman" w:hAnsi="Times New Roman"/>
          <w:b/>
          <w:bCs/>
          <w:color w:val="auto"/>
          <w:sz w:val="22"/>
          <w:szCs w:val="22"/>
          <w:u w:val="single"/>
        </w:rPr>
      </w:pPr>
      <w:bookmarkStart w:id="429" w:name="_Toc12071"/>
      <w:bookmarkStart w:id="430" w:name="_Toc5511"/>
      <w:bookmarkStart w:id="431" w:name="_Toc14028"/>
      <w:bookmarkStart w:id="432" w:name="_Toc11223"/>
      <w:bookmarkStart w:id="433" w:name="_Toc20179"/>
      <w:bookmarkStart w:id="434" w:name="_Toc1644"/>
      <w:bookmarkStart w:id="435" w:name="_Toc21654"/>
      <w:bookmarkStart w:id="436" w:name="_Toc5156"/>
      <w:bookmarkStart w:id="437" w:name="_Toc30736"/>
      <w:bookmarkStart w:id="438" w:name="_Toc731"/>
      <w:r>
        <w:rPr>
          <w:rFonts w:ascii="Times New Roman" w:hAnsi="Times New Roman"/>
          <w:b/>
          <w:bCs/>
          <w:color w:val="auto"/>
          <w:sz w:val="22"/>
          <w:szCs w:val="22"/>
          <w:u w:val="single"/>
        </w:rPr>
        <w:t>（二）建筑室外环境质量评价问卷</w:t>
      </w:r>
      <w:bookmarkEnd w:id="429"/>
      <w:bookmarkEnd w:id="430"/>
      <w:bookmarkEnd w:id="431"/>
      <w:bookmarkEnd w:id="432"/>
      <w:bookmarkEnd w:id="433"/>
      <w:bookmarkEnd w:id="434"/>
      <w:bookmarkEnd w:id="435"/>
      <w:bookmarkEnd w:id="436"/>
      <w:bookmarkEnd w:id="437"/>
      <w:bookmarkEnd w:id="438"/>
    </w:p>
    <w:p>
      <w:pPr>
        <w:shd w:val="clear"/>
        <w:spacing w:before="156" w:beforeLines="50"/>
        <w:jc w:val="left"/>
        <w:rPr>
          <w:rFonts w:hint="default" w:ascii="宋体" w:hAnsi="宋体"/>
          <w:b/>
          <w:color w:val="000000" w:themeColor="text1"/>
          <w14:textFill>
            <w14:solidFill>
              <w14:schemeClr w14:val="tx1"/>
            </w14:solidFill>
          </w14:textFill>
        </w:rPr>
      </w:pPr>
      <w:r>
        <w:rPr>
          <w:rFonts w:ascii="宋体" w:hAnsi="宋体"/>
          <w:b/>
          <w:color w:val="000000" w:themeColor="text1"/>
          <w:sz w:val="22"/>
          <w14:textFill>
            <w14:solidFill>
              <w14:schemeClr w14:val="tx1"/>
            </w14:solidFill>
          </w14:textFill>
        </w:rPr>
        <w:t>1</w:t>
      </w:r>
      <w:r>
        <w:rPr>
          <w:rFonts w:hint="default" w:ascii="宋体" w:hAnsi="宋体"/>
          <w:b/>
          <w:color w:val="000000" w:themeColor="text1"/>
          <w:sz w:val="22"/>
          <w14:textFill>
            <w14:solidFill>
              <w14:schemeClr w14:val="tx1"/>
            </w14:solidFill>
          </w14:textFill>
        </w:rPr>
        <w:t>.</w:t>
      </w:r>
      <w:r>
        <w:rPr>
          <w:rFonts w:ascii="宋体" w:hAnsi="宋体"/>
          <w:b/>
          <w:color w:val="000000" w:themeColor="text1"/>
          <w14:textFill>
            <w14:solidFill>
              <w14:schemeClr w14:val="tx1"/>
            </w14:solidFill>
          </w14:textFill>
        </w:rPr>
        <w:t xml:space="preserve"> 对于建筑所在场地的噪声，您的评价是：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2</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对于场地整体绿化情况（包括成活率、美观度等），您的评价是：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hint="default" w:ascii="宋体" w:hAnsi="宋体"/>
          <w:b/>
          <w:color w:val="000000" w:themeColor="text1"/>
          <w:sz w:val="22"/>
          <w14:textFill>
            <w14:solidFill>
              <w14:schemeClr w14:val="tx1"/>
            </w14:solidFill>
          </w14:textFill>
        </w:rPr>
        <w:t xml:space="preserve">3. </w:t>
      </w:r>
      <w:r>
        <w:rPr>
          <w:rFonts w:ascii="宋体" w:hAnsi="宋体"/>
          <w:b/>
          <w:color w:val="000000" w:themeColor="text1"/>
          <w:sz w:val="22"/>
          <w14:textFill>
            <w14:solidFill>
              <w14:schemeClr w14:val="tx1"/>
            </w14:solidFill>
          </w14:textFill>
        </w:rPr>
        <w:t>对于建筑夜间照明、玻璃幕墙、广告灯箱等所造成的光反射，您的评价是：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ind w:left="336" w:hanging="336" w:hangingChars="152"/>
        <w:jc w:val="left"/>
        <w:rPr>
          <w:rFonts w:hint="default" w:ascii="宋体" w:hAnsi="宋体"/>
          <w:b/>
          <w:color w:val="000000" w:themeColor="text1"/>
          <w:sz w:val="22"/>
          <w14:textFill>
            <w14:solidFill>
              <w14:schemeClr w14:val="tx1"/>
            </w14:solidFill>
          </w14:textFill>
        </w:rPr>
      </w:pPr>
      <w:r>
        <w:rPr>
          <w:rFonts w:hint="default" w:ascii="宋体" w:hAnsi="宋体"/>
          <w:b/>
          <w:color w:val="000000" w:themeColor="text1"/>
          <w:sz w:val="22"/>
          <w14:textFill>
            <w14:solidFill>
              <w14:schemeClr w14:val="tx1"/>
            </w14:solidFill>
          </w14:textFill>
        </w:rPr>
        <w:t xml:space="preserve">4. </w:t>
      </w:r>
      <w:r>
        <w:rPr>
          <w:rFonts w:ascii="宋体" w:hAnsi="宋体"/>
          <w:b/>
          <w:color w:val="000000" w:themeColor="text1"/>
          <w:sz w:val="22"/>
          <w14:textFill>
            <w14:solidFill>
              <w14:schemeClr w14:val="tx1"/>
            </w14:solidFill>
          </w14:textFill>
        </w:rPr>
        <w:t>对于建筑室外空气品质（包括垃圾散发的异味、污水异味、烟味等），您的评价是：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ind w:left="336" w:hanging="336" w:hangingChars="152"/>
        <w:jc w:val="left"/>
        <w:rPr>
          <w:rFonts w:hint="default" w:ascii="宋体" w:hAnsi="宋体"/>
          <w:b/>
          <w:color w:val="000000" w:themeColor="text1"/>
          <w:sz w:val="22"/>
          <w14:textFill>
            <w14:solidFill>
              <w14:schemeClr w14:val="tx1"/>
            </w14:solidFill>
          </w14:textFill>
        </w:rPr>
      </w:pPr>
      <w:r>
        <w:rPr>
          <w:rFonts w:hint="default" w:ascii="宋体" w:hAnsi="宋体"/>
          <w:b/>
          <w:color w:val="000000" w:themeColor="text1"/>
          <w:sz w:val="22"/>
          <w14:textFill>
            <w14:solidFill>
              <w14:schemeClr w14:val="tx1"/>
            </w14:solidFill>
          </w14:textFill>
        </w:rPr>
        <w:t xml:space="preserve">5. </w:t>
      </w:r>
      <w:r>
        <w:rPr>
          <w:rFonts w:ascii="宋体" w:hAnsi="宋体"/>
          <w:b/>
          <w:color w:val="000000" w:themeColor="text1"/>
          <w:sz w:val="22"/>
          <w14:textFill>
            <w14:solidFill>
              <w14:schemeClr w14:val="tx1"/>
            </w14:solidFill>
          </w14:textFill>
        </w:rPr>
        <w:t>对于建筑室外活动空间（包括遮阴设施、挡风设施、日照情况等），您的评价是：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widowControl/>
        <w:shd w:val="clear"/>
        <w:adjustRightInd w:val="0"/>
        <w:snapToGrid w:val="0"/>
        <w:spacing w:before="156" w:beforeLines="50" w:line="276" w:lineRule="auto"/>
        <w:ind w:left="336" w:hanging="336" w:hangingChars="152"/>
        <w:rPr>
          <w:rFonts w:hint="default" w:ascii="宋体" w:hAnsi="宋体"/>
          <w:b/>
          <w:color w:val="000000" w:themeColor="text1"/>
          <w14:textFill>
            <w14:solidFill>
              <w14:schemeClr w14:val="tx1"/>
            </w14:solidFill>
          </w14:textFill>
        </w:rPr>
      </w:pPr>
      <w:r>
        <w:rPr>
          <w:rFonts w:hint="default" w:ascii="宋体" w:hAnsi="宋体"/>
          <w:b/>
          <w:color w:val="000000" w:themeColor="text1"/>
          <w:sz w:val="22"/>
          <w14:textFill>
            <w14:solidFill>
              <w14:schemeClr w14:val="tx1"/>
            </w14:solidFill>
          </w14:textFill>
        </w:rPr>
        <w:t xml:space="preserve">6. </w:t>
      </w:r>
      <w:r>
        <w:rPr>
          <w:rFonts w:ascii="宋体" w:hAnsi="宋体"/>
          <w:b/>
          <w:color w:val="000000" w:themeColor="text1"/>
          <w14:textFill>
            <w14:solidFill>
              <w14:schemeClr w14:val="tx1"/>
            </w14:solidFill>
          </w14:textFill>
        </w:rPr>
        <w:t>如果将室外环境质量按照从低到高分为7档，分别以1</w:t>
      </w:r>
      <w:r>
        <w:rPr>
          <w:rFonts w:hint="eastAsia" w:ascii="宋体" w:hAnsi="宋体"/>
          <w:b/>
          <w:color w:val="000000" w:themeColor="text1"/>
          <w:lang w:val="en-US" w:eastAsia="zh-CN"/>
          <w14:textFill>
            <w14:solidFill>
              <w14:schemeClr w14:val="tx1"/>
            </w14:solidFill>
          </w14:textFill>
        </w:rPr>
        <w:t>-</w:t>
      </w:r>
      <w:r>
        <w:rPr>
          <w:rFonts w:ascii="宋体" w:hAnsi="宋体"/>
          <w:b/>
          <w:color w:val="000000" w:themeColor="text1"/>
          <w14:textFill>
            <w14:solidFill>
              <w14:schemeClr w14:val="tx1"/>
            </w14:solidFill>
          </w14:textFill>
        </w:rPr>
        <w:t>7分表示（7分为满分，即表示非常好或非常舒适），您对建筑的室外环境质量打几分?</w:t>
      </w:r>
    </w:p>
    <w:p>
      <w:pPr>
        <w:shd w:val="clear"/>
        <w:spacing w:line="276" w:lineRule="auto"/>
        <w:ind w:left="391" w:leftChars="186"/>
        <w:rPr>
          <w:rFonts w:hint="default"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□1分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□2分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□3分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□4分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□5分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□6分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□7分</w:t>
      </w:r>
    </w:p>
    <w:p>
      <w:pPr>
        <w:shd w:val="clear"/>
        <w:spacing w:before="156" w:beforeLines="50"/>
        <w:ind w:left="336" w:hanging="336" w:hangingChars="152"/>
        <w:jc w:val="left"/>
        <w:rPr>
          <w:rFonts w:hint="default" w:ascii="宋体" w:hAnsi="宋体"/>
          <w:b/>
          <w:color w:val="000000" w:themeColor="text1"/>
          <w:sz w:val="22"/>
          <w14:textFill>
            <w14:solidFill>
              <w14:schemeClr w14:val="tx1"/>
            </w14:solidFill>
          </w14:textFill>
        </w:rPr>
      </w:pPr>
    </w:p>
    <w:p>
      <w:pPr>
        <w:shd w:val="clear"/>
        <w:spacing w:before="120" w:beforeLines="-2147483648" w:after="120"/>
        <w:jc w:val="left"/>
        <w:outlineLvl w:val="9"/>
        <w:rPr>
          <w:rFonts w:hint="eastAsia" w:ascii="Times New Roman" w:hAnsi="Times New Roman"/>
          <w:b/>
          <w:bCs/>
          <w:color w:val="auto"/>
          <w:sz w:val="22"/>
          <w:szCs w:val="22"/>
          <w:u w:val="single"/>
        </w:rPr>
      </w:pPr>
      <w:bookmarkStart w:id="439" w:name="_Toc6917"/>
      <w:bookmarkStart w:id="440" w:name="_Toc24534"/>
      <w:bookmarkStart w:id="441" w:name="_Toc23874"/>
      <w:bookmarkStart w:id="442" w:name="_Toc8063"/>
      <w:bookmarkStart w:id="443" w:name="_Toc2233"/>
      <w:bookmarkStart w:id="444" w:name="_Toc12530"/>
      <w:bookmarkStart w:id="445" w:name="_Toc6214"/>
      <w:bookmarkStart w:id="446" w:name="_Toc1705"/>
      <w:bookmarkStart w:id="447" w:name="_Toc832"/>
      <w:bookmarkStart w:id="448" w:name="_Toc15674"/>
      <w:r>
        <w:rPr>
          <w:rFonts w:ascii="Times New Roman" w:hAnsi="Times New Roman"/>
          <w:b/>
          <w:bCs/>
          <w:color w:val="auto"/>
          <w:sz w:val="22"/>
          <w:szCs w:val="22"/>
          <w:u w:val="single"/>
        </w:rPr>
        <w:t>（</w:t>
      </w:r>
      <w:r>
        <w:rPr>
          <w:rFonts w:hint="eastAsia"/>
          <w:b/>
          <w:bCs/>
          <w:sz w:val="22"/>
          <w:szCs w:val="22"/>
          <w:u w:val="single"/>
          <w:lang w:val="en-US" w:eastAsia="zh-CN"/>
        </w:rPr>
        <w:t>三</w:t>
      </w:r>
      <w:r>
        <w:rPr>
          <w:rFonts w:ascii="Times New Roman" w:hAnsi="Times New Roman"/>
          <w:b/>
          <w:bCs/>
          <w:color w:val="auto"/>
          <w:sz w:val="22"/>
          <w:szCs w:val="22"/>
          <w:u w:val="single"/>
        </w:rPr>
        <w:t>）建筑室内环境质量评价问卷</w:t>
      </w:r>
      <w:bookmarkEnd w:id="439"/>
      <w:bookmarkEnd w:id="440"/>
      <w:bookmarkEnd w:id="441"/>
      <w:bookmarkEnd w:id="442"/>
      <w:bookmarkEnd w:id="443"/>
      <w:bookmarkEnd w:id="444"/>
      <w:bookmarkEnd w:id="445"/>
      <w:bookmarkEnd w:id="446"/>
      <w:bookmarkEnd w:id="447"/>
      <w:bookmarkEnd w:id="448"/>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1</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对于室内温度，您的评价是：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2</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对于室内湿度，您的评价是：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3</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对于室内光照情况，您的评价是：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4</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对于室内声音环境（隔音效果、噪音程度等），您的评价是：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5</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对于室内空气品质（空气新鲜度、气味、灰尘等），您的评价是：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widowControl/>
        <w:shd w:val="clear"/>
        <w:adjustRightInd w:val="0"/>
        <w:snapToGrid w:val="0"/>
        <w:spacing w:before="156" w:beforeLines="50" w:line="276" w:lineRule="auto"/>
        <w:ind w:left="320" w:hanging="320" w:hangingChars="152"/>
        <w:rPr>
          <w:rFonts w:hint="default"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6</w:t>
      </w:r>
      <w:r>
        <w:rPr>
          <w:rFonts w:hint="default" w:ascii="宋体" w:hAnsi="宋体"/>
          <w:b/>
          <w:color w:val="000000" w:themeColor="text1"/>
          <w14:textFill>
            <w14:solidFill>
              <w14:schemeClr w14:val="tx1"/>
            </w14:solidFill>
          </w14:textFill>
        </w:rPr>
        <w:t xml:space="preserve">. </w:t>
      </w:r>
      <w:r>
        <w:rPr>
          <w:rFonts w:ascii="宋体" w:hAnsi="宋体"/>
          <w:b/>
          <w:color w:val="000000" w:themeColor="text1"/>
          <w14:textFill>
            <w14:solidFill>
              <w14:schemeClr w14:val="tx1"/>
            </w14:solidFill>
          </w14:textFill>
        </w:rPr>
        <w:t>如果将室内环境质量按照从低到高分为7档，分别以1~7分表示（7分为满分，即表示非常好或非常舒适），您对建筑的室内环境质量打几分?</w:t>
      </w:r>
    </w:p>
    <w:p>
      <w:pPr>
        <w:shd w:val="clear"/>
        <w:spacing w:line="276" w:lineRule="auto"/>
        <w:ind w:left="391" w:leftChars="186"/>
        <w:rPr>
          <w:rFonts w:hint="default"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□1分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□2分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□3分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□4分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□5分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□6分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□7分</w:t>
      </w:r>
    </w:p>
    <w:p>
      <w:pPr>
        <w:shd w:val="clear"/>
        <w:jc w:val="left"/>
        <w:rPr>
          <w:rFonts w:hint="default" w:ascii="宋体" w:hAnsi="宋体"/>
          <w:b/>
          <w:color w:val="000000" w:themeColor="text1"/>
          <w:sz w:val="18"/>
          <w:szCs w:val="20"/>
          <w:u w:val="single"/>
          <w14:textFill>
            <w14:solidFill>
              <w14:schemeClr w14:val="tx1"/>
            </w14:solidFill>
          </w14:textFill>
        </w:rPr>
      </w:pPr>
    </w:p>
    <w:p>
      <w:pPr>
        <w:shd w:val="clear"/>
        <w:spacing w:before="120" w:beforeLines="-2147483648" w:after="120"/>
        <w:jc w:val="left"/>
        <w:outlineLvl w:val="9"/>
        <w:rPr>
          <w:rFonts w:hint="eastAsia" w:ascii="Times New Roman" w:hAnsi="Times New Roman"/>
          <w:b/>
          <w:bCs/>
          <w:color w:val="auto"/>
          <w:sz w:val="22"/>
          <w:szCs w:val="22"/>
          <w:u w:val="single"/>
        </w:rPr>
      </w:pPr>
      <w:bookmarkStart w:id="449" w:name="_Toc20334"/>
      <w:bookmarkStart w:id="450" w:name="_Toc23829"/>
      <w:bookmarkStart w:id="451" w:name="_Toc15687"/>
      <w:bookmarkStart w:id="452" w:name="_Toc13924"/>
      <w:bookmarkStart w:id="453" w:name="_Toc12714"/>
      <w:bookmarkStart w:id="454" w:name="_Toc3743"/>
      <w:bookmarkStart w:id="455" w:name="_Toc6911"/>
      <w:bookmarkStart w:id="456" w:name="_Toc10585"/>
      <w:bookmarkStart w:id="457" w:name="_Toc8760"/>
      <w:bookmarkStart w:id="458" w:name="_Toc9949"/>
      <w:r>
        <w:rPr>
          <w:rFonts w:ascii="Times New Roman" w:hAnsi="Times New Roman"/>
          <w:b/>
          <w:bCs/>
          <w:color w:val="auto"/>
          <w:sz w:val="22"/>
          <w:szCs w:val="22"/>
          <w:u w:val="single"/>
        </w:rPr>
        <w:t>（</w:t>
      </w:r>
      <w:r>
        <w:rPr>
          <w:rFonts w:hint="eastAsia"/>
          <w:b/>
          <w:bCs/>
          <w:sz w:val="22"/>
          <w:szCs w:val="22"/>
          <w:u w:val="single"/>
          <w:lang w:eastAsia="zh-CN"/>
        </w:rPr>
        <w:t>四</w:t>
      </w:r>
      <w:r>
        <w:rPr>
          <w:rFonts w:ascii="Times New Roman" w:hAnsi="Times New Roman"/>
          <w:b/>
          <w:bCs/>
          <w:color w:val="auto"/>
          <w:sz w:val="22"/>
          <w:szCs w:val="22"/>
          <w:u w:val="single"/>
        </w:rPr>
        <w:t>）建筑公共服务设施满意程度评价问卷</w:t>
      </w:r>
      <w:bookmarkEnd w:id="449"/>
      <w:bookmarkEnd w:id="450"/>
      <w:bookmarkEnd w:id="451"/>
      <w:bookmarkEnd w:id="452"/>
      <w:bookmarkEnd w:id="453"/>
      <w:bookmarkEnd w:id="454"/>
      <w:bookmarkEnd w:id="455"/>
      <w:bookmarkEnd w:id="456"/>
      <w:bookmarkEnd w:id="457"/>
      <w:bookmarkEnd w:id="458"/>
    </w:p>
    <w:p>
      <w:pPr>
        <w:shd w:val="clear"/>
        <w:spacing w:before="156" w:beforeLines="50"/>
        <w:ind w:left="336" w:hanging="336" w:hangingChars="152"/>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1</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对于建筑场地内（包括室外及室内）所设置的机动车停车位数量及停车难易度，您的评价是：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2</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对于搭乘公共交通工具达到此建筑的方便程度，您的评价是：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3</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对于自动车及电动自行车在本建筑内停车、充电的难易度，您的评价是：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ind w:left="336" w:hanging="336" w:hangingChars="152"/>
        <w:jc w:val="left"/>
        <w:rPr>
          <w:rFonts w:hint="default"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4</w:t>
      </w:r>
      <w:r>
        <w:rPr>
          <w:rFonts w:hint="default" w:ascii="宋体" w:hAnsi="宋体"/>
          <w:b/>
          <w:color w:val="000000" w:themeColor="text1"/>
          <w:sz w:val="22"/>
          <w14:textFill>
            <w14:solidFill>
              <w14:schemeClr w14:val="tx1"/>
            </w14:solidFill>
          </w14:textFill>
        </w:rPr>
        <w:t xml:space="preserve">. </w:t>
      </w:r>
      <w:r>
        <w:rPr>
          <w:rFonts w:ascii="宋体" w:hAnsi="宋体"/>
          <w:b/>
          <w:color w:val="000000" w:themeColor="text1"/>
          <w:sz w:val="22"/>
          <w14:textFill>
            <w14:solidFill>
              <w14:schemeClr w14:val="tx1"/>
            </w14:solidFill>
          </w14:textFill>
        </w:rPr>
        <w:t>对于建筑内的垂直交通设施（电梯、扶梯），在高峰期内的搭乘难易度，您的评价是：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shd w:val="clear"/>
        <w:spacing w:before="156" w:beforeLines="50"/>
        <w:ind w:left="336" w:hanging="336" w:hangingChars="152"/>
        <w:jc w:val="left"/>
        <w:rPr>
          <w:rFonts w:hint="default" w:ascii="宋体" w:hAnsi="宋体"/>
          <w:b/>
          <w:color w:val="000000" w:themeColor="text1"/>
          <w:sz w:val="22"/>
          <w14:textFill>
            <w14:solidFill>
              <w14:schemeClr w14:val="tx1"/>
            </w14:solidFill>
          </w14:textFill>
        </w:rPr>
      </w:pPr>
      <w:r>
        <w:rPr>
          <w:rFonts w:hint="default" w:ascii="宋体" w:hAnsi="宋体"/>
          <w:b/>
          <w:color w:val="000000" w:themeColor="text1"/>
          <w:sz w:val="22"/>
          <w14:textFill>
            <w14:solidFill>
              <w14:schemeClr w14:val="tx1"/>
            </w14:solidFill>
          </w14:textFill>
        </w:rPr>
        <w:t xml:space="preserve">5. </w:t>
      </w:r>
      <w:r>
        <w:rPr>
          <w:rFonts w:ascii="宋体" w:hAnsi="宋体"/>
          <w:b/>
          <w:color w:val="000000" w:themeColor="text1"/>
          <w:sz w:val="22"/>
          <w14:textFill>
            <w14:solidFill>
              <w14:schemeClr w14:val="tx1"/>
            </w14:solidFill>
          </w14:textFill>
        </w:rPr>
        <w:t>对于建筑无障碍设施（包括无障碍坡道、无障碍停车位、无障碍卫生间等）的设置情况，您的评价是：</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widowControl/>
        <w:shd w:val="clear"/>
        <w:adjustRightInd w:val="0"/>
        <w:snapToGrid w:val="0"/>
        <w:spacing w:before="156" w:beforeLines="50" w:line="276" w:lineRule="auto"/>
        <w:ind w:left="320" w:hanging="320" w:hangingChars="152"/>
        <w:rPr>
          <w:rFonts w:hint="default"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6</w:t>
      </w:r>
      <w:r>
        <w:rPr>
          <w:rFonts w:hint="default" w:ascii="宋体" w:hAnsi="宋体"/>
          <w:b/>
          <w:color w:val="000000" w:themeColor="text1"/>
          <w14:textFill>
            <w14:solidFill>
              <w14:schemeClr w14:val="tx1"/>
            </w14:solidFill>
          </w14:textFill>
        </w:rPr>
        <w:t xml:space="preserve">. </w:t>
      </w:r>
      <w:r>
        <w:rPr>
          <w:rFonts w:ascii="宋体" w:hAnsi="宋体"/>
          <w:b/>
          <w:color w:val="000000" w:themeColor="text1"/>
          <w14:textFill>
            <w14:solidFill>
              <w14:schemeClr w14:val="tx1"/>
            </w14:solidFill>
          </w14:textFill>
        </w:rPr>
        <w:t>如果将公共服务设施使用便捷度按照从低到高分为7档，分别以1~7分表示（7分为满分，即表示非常好或非常舒适），您对建筑的公共服务设施使用便捷度打几分?</w:t>
      </w:r>
    </w:p>
    <w:p>
      <w:pPr>
        <w:shd w:val="clear"/>
        <w:spacing w:line="276" w:lineRule="auto"/>
        <w:ind w:left="391" w:leftChars="186"/>
        <w:rPr>
          <w:rFonts w:hint="default"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□1分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□2分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□3分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□4分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□5分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□6分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□7分</w:t>
      </w:r>
    </w:p>
    <w:p>
      <w:pPr>
        <w:shd w:val="clear"/>
        <w:jc w:val="left"/>
        <w:rPr>
          <w:rFonts w:hint="default" w:ascii="宋体" w:hAnsi="宋体"/>
          <w:color w:val="000000" w:themeColor="text1"/>
          <w14:textFill>
            <w14:solidFill>
              <w14:schemeClr w14:val="tx1"/>
            </w14:solidFill>
          </w14:textFill>
        </w:rPr>
      </w:pPr>
    </w:p>
    <w:p>
      <w:pPr>
        <w:shd w:val="clear"/>
        <w:spacing w:before="120" w:beforeLines="-2147483648" w:after="120"/>
        <w:jc w:val="left"/>
        <w:outlineLvl w:val="9"/>
        <w:rPr>
          <w:rFonts w:hint="eastAsia" w:ascii="Times New Roman" w:hAnsi="Times New Roman"/>
          <w:b/>
          <w:bCs/>
          <w:color w:val="auto"/>
          <w:sz w:val="22"/>
          <w:szCs w:val="22"/>
          <w:u w:val="single"/>
        </w:rPr>
      </w:pPr>
      <w:bookmarkStart w:id="459" w:name="_Toc9707"/>
      <w:bookmarkStart w:id="460" w:name="_Toc5056"/>
      <w:bookmarkStart w:id="461" w:name="_Toc15725"/>
      <w:bookmarkStart w:id="462" w:name="_Toc27647"/>
      <w:bookmarkStart w:id="463" w:name="_Toc8976"/>
      <w:bookmarkStart w:id="464" w:name="_Toc882"/>
      <w:bookmarkStart w:id="465" w:name="_Toc24090"/>
      <w:bookmarkStart w:id="466" w:name="_Toc24863"/>
      <w:bookmarkStart w:id="467" w:name="_Toc16390"/>
      <w:bookmarkStart w:id="468" w:name="_Toc12516"/>
      <w:r>
        <w:rPr>
          <w:rFonts w:ascii="Times New Roman" w:hAnsi="Times New Roman"/>
          <w:b/>
          <w:bCs/>
          <w:color w:val="auto"/>
          <w:sz w:val="22"/>
          <w:szCs w:val="22"/>
          <w:u w:val="single"/>
        </w:rPr>
        <w:t>（</w:t>
      </w:r>
      <w:r>
        <w:rPr>
          <w:rFonts w:hint="eastAsia"/>
          <w:b/>
          <w:bCs/>
          <w:sz w:val="22"/>
          <w:szCs w:val="22"/>
          <w:u w:val="single"/>
          <w:lang w:eastAsia="zh-CN"/>
        </w:rPr>
        <w:t>五</w:t>
      </w:r>
      <w:r>
        <w:rPr>
          <w:rFonts w:ascii="Times New Roman" w:hAnsi="Times New Roman"/>
          <w:b/>
          <w:bCs/>
          <w:color w:val="auto"/>
          <w:sz w:val="22"/>
          <w:szCs w:val="22"/>
          <w:u w:val="single"/>
        </w:rPr>
        <w:t>）建筑</w:t>
      </w:r>
      <w:r>
        <w:rPr>
          <w:rFonts w:hint="eastAsia" w:ascii="Times New Roman" w:hAnsi="Times New Roman"/>
          <w:b/>
          <w:bCs/>
          <w:color w:val="auto"/>
          <w:sz w:val="22"/>
          <w:szCs w:val="22"/>
          <w:u w:val="single"/>
        </w:rPr>
        <w:t>绿色低碳管理水平</w:t>
      </w:r>
      <w:r>
        <w:rPr>
          <w:rFonts w:ascii="Times New Roman" w:hAnsi="Times New Roman"/>
          <w:b/>
          <w:bCs/>
          <w:color w:val="auto"/>
          <w:sz w:val="22"/>
          <w:szCs w:val="22"/>
          <w:u w:val="single"/>
        </w:rPr>
        <w:t>问卷</w:t>
      </w:r>
      <w:bookmarkEnd w:id="459"/>
      <w:bookmarkEnd w:id="460"/>
      <w:bookmarkEnd w:id="461"/>
      <w:bookmarkEnd w:id="462"/>
      <w:bookmarkEnd w:id="463"/>
      <w:bookmarkEnd w:id="464"/>
      <w:bookmarkEnd w:id="465"/>
      <w:bookmarkEnd w:id="466"/>
      <w:bookmarkEnd w:id="467"/>
      <w:bookmarkEnd w:id="468"/>
    </w:p>
    <w:p>
      <w:pPr>
        <w:widowControl/>
        <w:shd w:val="clear"/>
        <w:adjustRightInd w:val="0"/>
        <w:snapToGrid w:val="0"/>
        <w:jc w:val="left"/>
        <w:rPr>
          <w:rFonts w:hint="default" w:ascii="宋体" w:hAnsi="宋体"/>
          <w:b/>
          <w:color w:val="000000" w:themeColor="text1"/>
          <w14:textFill>
            <w14:solidFill>
              <w14:schemeClr w14:val="tx1"/>
            </w14:solidFill>
          </w14:textFill>
        </w:rPr>
      </w:pPr>
      <w:r>
        <w:rPr>
          <w:rFonts w:hint="default" w:ascii="宋体" w:hAnsi="宋体"/>
          <w:b/>
          <w:color w:val="000000" w:themeColor="text1"/>
          <w14:textFill>
            <w14:solidFill>
              <w14:schemeClr w14:val="tx1"/>
            </w14:solidFill>
          </w14:textFill>
        </w:rPr>
        <w:t xml:space="preserve">1. </w:t>
      </w:r>
      <w:r>
        <w:rPr>
          <w:rFonts w:ascii="宋体" w:hAnsi="宋体"/>
          <w:b/>
          <w:color w:val="000000" w:themeColor="text1"/>
          <w14:textFill>
            <w14:solidFill>
              <w14:schemeClr w14:val="tx1"/>
            </w14:solidFill>
          </w14:textFill>
        </w:rPr>
        <w:t>您对整栋大楼的总体运行维护情况是否满意？</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widowControl/>
        <w:shd w:val="clear"/>
        <w:adjustRightInd w:val="0"/>
        <w:snapToGrid w:val="0"/>
        <w:spacing w:before="156" w:beforeLines="50"/>
        <w:jc w:val="left"/>
        <w:rPr>
          <w:rFonts w:hint="default"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2</w:t>
      </w:r>
      <w:r>
        <w:rPr>
          <w:rFonts w:hint="default" w:ascii="宋体" w:hAnsi="宋体"/>
          <w:b/>
          <w:color w:val="000000" w:themeColor="text1"/>
          <w14:textFill>
            <w14:solidFill>
              <w14:schemeClr w14:val="tx1"/>
            </w14:solidFill>
          </w14:textFill>
        </w:rPr>
        <w:t xml:space="preserve">. </w:t>
      </w:r>
      <w:r>
        <w:rPr>
          <w:rFonts w:ascii="宋体" w:hAnsi="宋体"/>
          <w:b/>
          <w:color w:val="000000" w:themeColor="text1"/>
          <w14:textFill>
            <w14:solidFill>
              <w14:schemeClr w14:val="tx1"/>
            </w14:solidFill>
          </w14:textFill>
        </w:rPr>
        <w:t>您对建筑的物业管理服务是否满意？</w:t>
      </w:r>
    </w:p>
    <w:p>
      <w:pPr>
        <w:shd w:val="clear"/>
        <w:spacing w:line="276" w:lineRule="auto"/>
        <w:ind w:left="360"/>
        <w:rPr>
          <w:rFonts w:hint="default"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□非常不满意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□较不满意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□一般 </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□较满意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□满意</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□非常满意</w:t>
      </w:r>
    </w:p>
    <w:p>
      <w:pPr>
        <w:widowControl/>
        <w:shd w:val="clear"/>
        <w:adjustRightInd w:val="0"/>
        <w:snapToGrid w:val="0"/>
        <w:spacing w:before="156" w:beforeLines="50" w:line="276" w:lineRule="auto"/>
        <w:ind w:left="336" w:hanging="336" w:hangingChars="152"/>
        <w:rPr>
          <w:rFonts w:hint="default" w:ascii="宋体" w:hAnsi="宋体"/>
          <w:b/>
          <w:color w:val="000000" w:themeColor="text1"/>
          <w14:textFill>
            <w14:solidFill>
              <w14:schemeClr w14:val="tx1"/>
            </w14:solidFill>
          </w14:textFill>
        </w:rPr>
      </w:pPr>
      <w:r>
        <w:rPr>
          <w:rFonts w:hint="default" w:ascii="宋体" w:hAnsi="宋体"/>
          <w:b/>
          <w:color w:val="000000" w:themeColor="text1"/>
          <w:sz w:val="22"/>
          <w14:textFill>
            <w14:solidFill>
              <w14:schemeClr w14:val="tx1"/>
            </w14:solidFill>
          </w14:textFill>
        </w:rPr>
        <w:t xml:space="preserve">3. </w:t>
      </w:r>
      <w:r>
        <w:rPr>
          <w:rFonts w:ascii="宋体" w:hAnsi="宋体"/>
          <w:b/>
          <w:color w:val="000000" w:themeColor="text1"/>
          <w14:textFill>
            <w14:solidFill>
              <w14:schemeClr w14:val="tx1"/>
            </w14:solidFill>
          </w14:textFill>
        </w:rPr>
        <w:t>如果将建筑总体服务质量按照从低到高分为7档，分别以1~7分表示（7分为满分，即表示非常好或非常舒适），您对建筑总体的综合满意程度打几分?</w:t>
      </w:r>
    </w:p>
    <w:p>
      <w:pPr>
        <w:shd w:val="clear"/>
        <w:spacing w:line="276" w:lineRule="auto"/>
        <w:ind w:left="391" w:leftChars="18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□2分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□3分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□4分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□5分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□6分</w:t>
      </w:r>
      <w:r>
        <w:rPr>
          <w:rFonts w:hint="default"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□7分</w:t>
      </w:r>
    </w:p>
    <w:p>
      <w:pPr>
        <w:shd w:val="clea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shd w:val="clear"/>
        <w:adjustRightInd w:val="0"/>
        <w:snapToGrid w:val="0"/>
        <w:spacing w:before="93" w:beforeLines="30" w:after="93" w:afterLines="30" w:line="312" w:lineRule="auto"/>
        <w:jc w:val="center"/>
        <w:rPr>
          <w:sz w:val="24"/>
        </w:rPr>
      </w:pPr>
    </w:p>
    <w:p>
      <w:pPr>
        <w:shd w:val="clear"/>
        <w:adjustRightInd w:val="0"/>
        <w:snapToGrid w:val="0"/>
        <w:spacing w:before="93" w:beforeLines="30" w:after="93" w:afterLines="30" w:line="312" w:lineRule="auto"/>
        <w:jc w:val="center"/>
        <w:rPr>
          <w:rFonts w:hint="eastAsia"/>
          <w:sz w:val="24"/>
        </w:rPr>
      </w:pPr>
      <w:r>
        <w:rPr>
          <w:rFonts w:hint="eastAsia"/>
          <w:sz w:val="24"/>
        </w:rPr>
        <w:t>广东</w:t>
      </w:r>
      <w:r>
        <w:rPr>
          <w:sz w:val="24"/>
        </w:rPr>
        <w:t>省标准</w:t>
      </w:r>
    </w:p>
    <w:p>
      <w:pPr>
        <w:shd w:val="clear"/>
        <w:adjustRightInd w:val="0"/>
        <w:snapToGrid w:val="0"/>
        <w:spacing w:before="93" w:beforeLines="30" w:after="93" w:afterLines="30" w:line="312" w:lineRule="auto"/>
        <w:jc w:val="center"/>
        <w:rPr>
          <w:sz w:val="36"/>
        </w:rPr>
      </w:pPr>
      <w:r>
        <w:rPr>
          <w:rFonts w:hint="eastAsia"/>
          <w:sz w:val="36"/>
        </w:rPr>
        <w:t>绿色建筑</w:t>
      </w:r>
      <w:r>
        <w:rPr>
          <w:rFonts w:hint="eastAsia"/>
          <w:sz w:val="36"/>
          <w:lang w:val="en-US" w:eastAsia="zh-CN"/>
        </w:rPr>
        <w:t>后评估</w:t>
      </w:r>
      <w:r>
        <w:rPr>
          <w:rFonts w:hint="eastAsia"/>
          <w:sz w:val="36"/>
        </w:rPr>
        <w:t>标准</w:t>
      </w:r>
    </w:p>
    <w:p>
      <w:pPr>
        <w:shd w:val="clear"/>
        <w:adjustRightInd w:val="0"/>
        <w:snapToGrid w:val="0"/>
        <w:spacing w:before="93" w:beforeLines="30" w:after="93" w:afterLines="30" w:line="312" w:lineRule="auto"/>
        <w:jc w:val="center"/>
        <w:rPr>
          <w:rFonts w:hint="default" w:eastAsia="宋体"/>
          <w:sz w:val="36"/>
          <w:lang w:val="en-US" w:eastAsia="zh-CN"/>
        </w:rPr>
      </w:pPr>
      <w:r>
        <w:rPr>
          <w:sz w:val="36"/>
        </w:rPr>
        <w:t xml:space="preserve">DBJ/T </w:t>
      </w:r>
      <w:r>
        <w:rPr>
          <w:rFonts w:hint="eastAsia"/>
          <w:sz w:val="36"/>
          <w:lang w:val="en-US" w:eastAsia="zh-CN"/>
        </w:rPr>
        <w:t>xx</w:t>
      </w:r>
      <w:r>
        <w:rPr>
          <w:sz w:val="36"/>
        </w:rPr>
        <w:t>-</w:t>
      </w:r>
      <w:r>
        <w:rPr>
          <w:rFonts w:hint="eastAsia"/>
          <w:sz w:val="36"/>
          <w:lang w:val="en-US" w:eastAsia="zh-CN"/>
        </w:rPr>
        <w:t>xx</w:t>
      </w:r>
      <w:r>
        <w:rPr>
          <w:sz w:val="36"/>
        </w:rPr>
        <w:t>-</w:t>
      </w:r>
      <w:r>
        <w:rPr>
          <w:rFonts w:hint="eastAsia"/>
          <w:sz w:val="36"/>
          <w:lang w:val="en-US" w:eastAsia="zh-CN"/>
        </w:rPr>
        <w:t>xxxx</w:t>
      </w:r>
    </w:p>
    <w:p>
      <w:pPr>
        <w:shd w:val="clear"/>
        <w:adjustRightInd w:val="0"/>
        <w:snapToGrid w:val="0"/>
        <w:spacing w:before="93" w:beforeLines="30" w:after="93" w:afterLines="30" w:line="312" w:lineRule="auto"/>
        <w:jc w:val="center"/>
        <w:outlineLvl w:val="0"/>
        <w:rPr>
          <w:b/>
          <w:sz w:val="36"/>
        </w:rPr>
      </w:pPr>
      <w:bookmarkStart w:id="469" w:name="_Toc438459517"/>
      <w:bookmarkStart w:id="470" w:name="_Toc438203928"/>
      <w:bookmarkStart w:id="471" w:name="_Toc278"/>
      <w:bookmarkStart w:id="472" w:name="_Toc438204168"/>
      <w:r>
        <w:rPr>
          <w:rFonts w:hint="eastAsia"/>
          <w:b/>
          <w:sz w:val="36"/>
        </w:rPr>
        <w:t>条文</w:t>
      </w:r>
      <w:r>
        <w:rPr>
          <w:b/>
          <w:sz w:val="36"/>
        </w:rPr>
        <w:t>说明</w:t>
      </w:r>
      <w:bookmarkEnd w:id="469"/>
      <w:bookmarkEnd w:id="470"/>
      <w:bookmarkEnd w:id="471"/>
      <w:bookmarkEnd w:id="472"/>
    </w:p>
    <w:p>
      <w:pPr>
        <w:shd w:val="clear"/>
        <w:rPr>
          <w:b/>
          <w:sz w:val="36"/>
        </w:rPr>
      </w:pPr>
      <w:r>
        <w:rPr>
          <w:b/>
          <w:sz w:val="36"/>
        </w:rPr>
        <w:br w:type="page"/>
      </w:r>
    </w:p>
    <w:p>
      <w:pPr>
        <w:shd w:val="clear"/>
        <w:adjustRightInd w:val="0"/>
        <w:snapToGrid w:val="0"/>
        <w:spacing w:before="93" w:beforeLines="30" w:after="93" w:afterLines="30" w:line="312" w:lineRule="auto"/>
        <w:jc w:val="center"/>
        <w:rPr>
          <w:sz w:val="24"/>
        </w:rPr>
      </w:pPr>
      <w:r>
        <w:rPr>
          <w:sz w:val="36"/>
        </w:rPr>
        <w:t>制定说明</w:t>
      </w:r>
    </w:p>
    <w:p>
      <w:pPr>
        <w:shd w:val="clear"/>
        <w:adjustRightInd w:val="0"/>
        <w:snapToGrid w:val="0"/>
        <w:spacing w:before="93" w:beforeLines="30" w:after="93" w:afterLines="30" w:line="312" w:lineRule="auto"/>
        <w:ind w:firstLine="480" w:firstLineChars="200"/>
        <w:rPr>
          <w:sz w:val="24"/>
        </w:rPr>
      </w:pPr>
    </w:p>
    <w:p>
      <w:pPr>
        <w:shd w:val="clear"/>
        <w:adjustRightInd w:val="0"/>
        <w:snapToGrid w:val="0"/>
        <w:spacing w:before="93" w:beforeLines="30" w:after="93" w:afterLines="30" w:line="312" w:lineRule="auto"/>
        <w:ind w:firstLine="480" w:firstLineChars="200"/>
        <w:rPr>
          <w:sz w:val="24"/>
        </w:rPr>
      </w:pPr>
      <w:r>
        <w:rPr>
          <w:sz w:val="24"/>
        </w:rPr>
        <w:t>《</w:t>
      </w:r>
      <w:r>
        <w:rPr>
          <w:rFonts w:hint="eastAsia"/>
          <w:sz w:val="24"/>
          <w:lang w:val="en-US" w:eastAsia="zh-CN"/>
        </w:rPr>
        <w:t>绿色建筑后评估标准</w:t>
      </w:r>
      <w:r>
        <w:rPr>
          <w:sz w:val="24"/>
        </w:rPr>
        <w:t xml:space="preserve">》DBJ/T </w:t>
      </w:r>
      <w:r>
        <w:rPr>
          <w:rFonts w:hint="eastAsia"/>
          <w:sz w:val="24"/>
          <w:lang w:val="en-US" w:eastAsia="zh-CN"/>
        </w:rPr>
        <w:t>xx</w:t>
      </w:r>
      <w:r>
        <w:rPr>
          <w:sz w:val="24"/>
        </w:rPr>
        <w:t>-</w:t>
      </w:r>
      <w:r>
        <w:rPr>
          <w:rFonts w:hint="eastAsia"/>
          <w:sz w:val="24"/>
          <w:lang w:val="en-US" w:eastAsia="zh-CN"/>
        </w:rPr>
        <w:t>xxx</w:t>
      </w:r>
      <w:r>
        <w:rPr>
          <w:sz w:val="24"/>
        </w:rPr>
        <w:t>-</w:t>
      </w:r>
      <w:r>
        <w:rPr>
          <w:rFonts w:hint="eastAsia"/>
          <w:sz w:val="24"/>
          <w:lang w:val="en-US" w:eastAsia="zh-CN"/>
        </w:rPr>
        <w:t>xxxx</w:t>
      </w:r>
      <w:r>
        <w:rPr>
          <w:sz w:val="24"/>
        </w:rPr>
        <w:t>，经广东省住房和城乡建设厅20</w:t>
      </w:r>
      <w:r>
        <w:rPr>
          <w:rFonts w:hint="eastAsia"/>
          <w:sz w:val="24"/>
          <w:lang w:val="en-US" w:eastAsia="zh-CN"/>
        </w:rPr>
        <w:t>xx</w:t>
      </w:r>
      <w:r>
        <w:rPr>
          <w:sz w:val="24"/>
        </w:rPr>
        <w:t>年</w:t>
      </w:r>
      <w:r>
        <w:rPr>
          <w:rFonts w:hint="eastAsia"/>
          <w:sz w:val="24"/>
          <w:lang w:val="en-US" w:eastAsia="zh-CN"/>
        </w:rPr>
        <w:t>xx</w:t>
      </w:r>
      <w:r>
        <w:rPr>
          <w:sz w:val="24"/>
        </w:rPr>
        <w:t>月</w:t>
      </w:r>
      <w:r>
        <w:rPr>
          <w:rFonts w:hint="eastAsia"/>
          <w:sz w:val="24"/>
          <w:lang w:val="en-US" w:eastAsia="zh-CN"/>
        </w:rPr>
        <w:t>xx</w:t>
      </w:r>
      <w:r>
        <w:rPr>
          <w:sz w:val="24"/>
        </w:rPr>
        <w:t>日以粤建公告〔20</w:t>
      </w:r>
      <w:r>
        <w:rPr>
          <w:rFonts w:hint="eastAsia"/>
          <w:sz w:val="24"/>
          <w:lang w:val="en-US" w:eastAsia="zh-CN"/>
        </w:rPr>
        <w:t>xx</w:t>
      </w:r>
      <w:r>
        <w:rPr>
          <w:sz w:val="24"/>
        </w:rPr>
        <w:t>〕</w:t>
      </w:r>
      <w:r>
        <w:rPr>
          <w:rFonts w:hint="eastAsia"/>
          <w:sz w:val="24"/>
          <w:lang w:val="en-US" w:eastAsia="zh-CN"/>
        </w:rPr>
        <w:t>xx</w:t>
      </w:r>
      <w:r>
        <w:rPr>
          <w:sz w:val="24"/>
        </w:rPr>
        <w:t>号发布。</w:t>
      </w:r>
    </w:p>
    <w:p>
      <w:pPr>
        <w:shd w:val="clear"/>
        <w:adjustRightInd w:val="0"/>
        <w:snapToGrid w:val="0"/>
        <w:spacing w:before="93" w:beforeLines="30" w:after="93" w:afterLines="30" w:line="312" w:lineRule="auto"/>
        <w:ind w:firstLine="480" w:firstLineChars="200"/>
        <w:rPr>
          <w:sz w:val="24"/>
        </w:rPr>
      </w:pPr>
      <w:r>
        <w:rPr>
          <w:sz w:val="24"/>
        </w:rPr>
        <w:t>规范编制组以国家标准《绿色建筑评价标准》GB/T 50378和广东省标准《广东省绿色建筑评价标准》DBJ/T 15-83为</w:t>
      </w:r>
      <w:r>
        <w:rPr>
          <w:rFonts w:hint="eastAsia"/>
          <w:sz w:val="24"/>
          <w:lang w:val="en-US" w:eastAsia="zh-CN"/>
        </w:rPr>
        <w:t>主要参考依据</w:t>
      </w:r>
      <w:r>
        <w:rPr>
          <w:sz w:val="24"/>
        </w:rPr>
        <w:t>，认真总结近年来广东省绿色建筑方面的实践和研究成果，借鉴国内、国际先进经验并在广泛征求意见的基础上对具体内容进行了反复讨论、协调和修改，最后经审查定稿。</w:t>
      </w:r>
    </w:p>
    <w:p>
      <w:pPr>
        <w:shd w:val="clear"/>
        <w:adjustRightInd w:val="0"/>
        <w:snapToGrid w:val="0"/>
        <w:spacing w:before="93" w:beforeLines="30" w:after="93" w:afterLines="30" w:line="312" w:lineRule="auto"/>
        <w:ind w:firstLine="480" w:firstLineChars="200"/>
        <w:rPr>
          <w:sz w:val="24"/>
        </w:rPr>
      </w:pPr>
      <w:r>
        <w:rPr>
          <w:sz w:val="24"/>
        </w:rPr>
        <w:t>为便于广大设计、科研、学校等单位有关人员在使用本规范时能正确理解和执行条文规定，规范编制组按章、节、条顺序编制了本规范的条文说明，对条文规定的目的、依据以及执行中需要注意的有关事项进行了说明。但是，本条文说明不具备与规范正文同等的法律效力，仅供使用者作为理解和把握规范规定的参考。</w:t>
      </w:r>
    </w:p>
    <w:p>
      <w:pPr>
        <w:shd w:val="clear"/>
        <w:rPr>
          <w:sz w:val="24"/>
        </w:rPr>
      </w:pPr>
      <w:r>
        <w:rPr>
          <w:sz w:val="24"/>
        </w:rPr>
        <w:br w:type="page"/>
      </w:r>
    </w:p>
    <w:p>
      <w:pPr>
        <w:shd w:val="clear"/>
        <w:adjustRightInd w:val="0"/>
        <w:snapToGrid w:val="0"/>
        <w:spacing w:before="93" w:beforeLines="30" w:after="93" w:afterLines="30" w:line="312" w:lineRule="auto"/>
        <w:ind w:firstLine="480" w:firstLineChars="200"/>
        <w:rPr>
          <w:sz w:val="24"/>
        </w:rPr>
      </w:pPr>
    </w:p>
    <w:p>
      <w:pPr>
        <w:shd w:val="clear"/>
        <w:adjustRightInd w:val="0"/>
        <w:snapToGrid w:val="0"/>
        <w:spacing w:before="93" w:beforeLines="30" w:after="93" w:afterLines="30" w:line="312" w:lineRule="auto"/>
        <w:jc w:val="center"/>
        <w:outlineLvl w:val="0"/>
        <w:rPr>
          <w:rFonts w:hint="default"/>
          <w:b/>
          <w:color w:val="000000" w:themeColor="text1"/>
          <w:sz w:val="36"/>
          <w14:textFill>
            <w14:solidFill>
              <w14:schemeClr w14:val="tx1"/>
            </w14:solidFill>
          </w14:textFill>
        </w:rPr>
      </w:pPr>
      <w:bookmarkStart w:id="473" w:name="_Toc19063"/>
      <w:bookmarkStart w:id="474" w:name="_Toc26348"/>
      <w:r>
        <w:rPr>
          <w:b/>
          <w:color w:val="000000" w:themeColor="text1"/>
          <w:sz w:val="36"/>
          <w14:textFill>
            <w14:solidFill>
              <w14:schemeClr w14:val="tx1"/>
            </w14:solidFill>
          </w14:textFill>
        </w:rPr>
        <w:t>1 总  则</w:t>
      </w:r>
      <w:bookmarkEnd w:id="473"/>
      <w:bookmarkEnd w:id="474"/>
    </w:p>
    <w:p>
      <w:pPr>
        <w:shd w:val="clear"/>
        <w:adjustRightInd w:val="0"/>
        <w:snapToGrid w:val="0"/>
        <w:spacing w:before="93" w:beforeLines="30" w:after="93" w:afterLines="30" w:line="312" w:lineRule="auto"/>
        <w:rPr>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1.0.1  </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十三五</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期间广东省</w:t>
      </w:r>
      <w:r>
        <w:rPr>
          <w:rFonts w:hint="eastAsia"/>
          <w:color w:val="000000" w:themeColor="text1"/>
          <w:sz w:val="24"/>
          <w14:textFill>
            <w14:solidFill>
              <w14:schemeClr w14:val="tx1"/>
            </w14:solidFill>
          </w14:textFill>
        </w:rPr>
        <w:t>绿色建筑政策法规和技术标准不断完善，出台</w:t>
      </w:r>
      <w:r>
        <w:rPr>
          <w:rFonts w:hint="eastAsia"/>
          <w:color w:val="000000" w:themeColor="text1"/>
          <w:sz w:val="24"/>
          <w:lang w:val="en-US" w:eastAsia="zh-CN"/>
          <w14:textFill>
            <w14:solidFill>
              <w14:schemeClr w14:val="tx1"/>
            </w14:solidFill>
          </w14:textFill>
        </w:rPr>
        <w:t>了</w:t>
      </w:r>
      <w:r>
        <w:rPr>
          <w:rFonts w:hint="eastAsia"/>
          <w:color w:val="000000" w:themeColor="text1"/>
          <w:sz w:val="24"/>
          <w14:textFill>
            <w14:solidFill>
              <w14:schemeClr w14:val="tx1"/>
            </w14:solidFill>
          </w14:textFill>
        </w:rPr>
        <w:t>《广东省绿色建筑条例》，发布实施广东省绿色建筑评价标准、设计规范等。深入开展绿色建筑量质齐升三年行动，加强绿色建筑全过程监管。取消设计标识，开展</w:t>
      </w:r>
      <w:r>
        <w:rPr>
          <w:rFonts w:hint="eastAsia"/>
          <w:color w:val="000000" w:themeColor="text1"/>
          <w:sz w:val="24"/>
          <w:lang w:val="en-US" w:eastAsia="zh-CN"/>
          <w14:textFill>
            <w14:solidFill>
              <w14:schemeClr w14:val="tx1"/>
            </w14:solidFill>
          </w14:textFill>
        </w:rPr>
        <w:t>了</w:t>
      </w:r>
      <w:r>
        <w:rPr>
          <w:rFonts w:hint="eastAsia"/>
          <w:color w:val="000000" w:themeColor="text1"/>
          <w:sz w:val="24"/>
          <w14:textFill>
            <w14:solidFill>
              <w14:schemeClr w14:val="tx1"/>
            </w14:solidFill>
          </w14:textFill>
        </w:rPr>
        <w:t>绿色建筑评价标识工作质量评估。“十三五”时期，绿色建筑总面积超过5亿平方米</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城镇绿色建筑占新建建筑比例逐年递增，二星级及以上绿色建筑评价标识面积1.15亿平方米，连续三年保持60%以上的增长速度。</w:t>
      </w:r>
      <w:r>
        <w:rPr>
          <w:rFonts w:hint="eastAsia"/>
          <w:color w:val="000000" w:themeColor="text1"/>
          <w:sz w:val="24"/>
          <w:lang w:val="en-US" w:eastAsia="zh-CN"/>
          <w14:textFill>
            <w14:solidFill>
              <w14:schemeClr w14:val="tx1"/>
            </w14:solidFill>
          </w14:textFill>
        </w:rPr>
        <w:t>创建</w:t>
      </w:r>
      <w:r>
        <w:rPr>
          <w:rFonts w:hint="eastAsia"/>
          <w:color w:val="000000" w:themeColor="text1"/>
          <w:sz w:val="24"/>
          <w14:textFill>
            <w14:solidFill>
              <w14:schemeClr w14:val="tx1"/>
            </w14:solidFill>
          </w14:textFill>
        </w:rPr>
        <w:t>了深圳证券交易所营运中心</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广州白云国际机场扩建工程二号航站楼等一批国家绿色建筑创新奖项目，广州、深圳、佛山、珠海等地已建成多个高星级绿色建筑发展聚集区。</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虽然，绿色建筑工作在“十三五”时期取得重大进展，但仍在一些问题亟待解决。</w:t>
      </w:r>
      <w:r>
        <w:rPr>
          <w:rFonts w:hint="eastAsia"/>
          <w:color w:val="000000" w:themeColor="text1"/>
          <w:sz w:val="24"/>
          <w:lang w:val="en-US" w:eastAsia="zh-CN"/>
          <w14:textFill>
            <w14:solidFill>
              <w14:schemeClr w14:val="tx1"/>
            </w14:solidFill>
          </w14:textFill>
        </w:rPr>
        <w:t>建筑节能与绿色建筑的全过程监管仍需强化，人民群众获得感不强。绿色建筑体验感较弱，存在重新建轻既改、重设计轻运行、重技术轻体验等现象，无法满足居民群众对美好生活品质的需要。</w:t>
      </w:r>
      <w:r>
        <w:rPr>
          <w:color w:val="000000" w:themeColor="text1"/>
          <w:sz w:val="24"/>
          <w14:textFill>
            <w14:solidFill>
              <w14:schemeClr w14:val="tx1"/>
            </w14:solidFill>
          </w14:textFill>
        </w:rPr>
        <w:t>为解决我省绿色建筑实施效果</w:t>
      </w:r>
      <w:r>
        <w:rPr>
          <w:rFonts w:hint="eastAsia"/>
          <w:color w:val="000000" w:themeColor="text1"/>
          <w:sz w:val="24"/>
          <w:lang w:val="en-US" w:eastAsia="zh-CN"/>
          <w14:textFill>
            <w14:solidFill>
              <w14:schemeClr w14:val="tx1"/>
            </w14:solidFill>
          </w14:textFill>
        </w:rPr>
        <w:t>获得感</w:t>
      </w:r>
      <w:r>
        <w:rPr>
          <w:color w:val="000000" w:themeColor="text1"/>
          <w:sz w:val="24"/>
          <w14:textFill>
            <w14:solidFill>
              <w14:schemeClr w14:val="tx1"/>
            </w14:solidFill>
          </w14:textFill>
        </w:rPr>
        <w:t>不够的问题，针对绿色建筑投入</w:t>
      </w:r>
      <w:r>
        <w:rPr>
          <w:rFonts w:hint="eastAsia"/>
          <w:color w:val="000000" w:themeColor="text1"/>
          <w:sz w:val="24"/>
          <w:lang w:val="en-US" w:eastAsia="zh-CN"/>
          <w14:textFill>
            <w14:solidFill>
              <w14:schemeClr w14:val="tx1"/>
            </w14:solidFill>
          </w14:textFill>
        </w:rPr>
        <w:t>运行后</w:t>
      </w:r>
      <w:r>
        <w:rPr>
          <w:color w:val="000000" w:themeColor="text1"/>
          <w:sz w:val="24"/>
          <w14:textFill>
            <w14:solidFill>
              <w14:schemeClr w14:val="tx1"/>
            </w14:solidFill>
          </w14:textFill>
        </w:rPr>
        <w:t>后缺乏长期、系统评价的现象，编制本标准。</w:t>
      </w:r>
      <w:r>
        <w:rPr>
          <w:rFonts w:hint="eastAsia"/>
          <w:color w:val="000000" w:themeColor="text1"/>
          <w:sz w:val="24"/>
          <w:lang w:val="en-US" w:eastAsia="zh-CN"/>
          <w14:textFill>
            <w14:solidFill>
              <w14:schemeClr w14:val="tx1"/>
            </w14:solidFill>
          </w14:textFill>
        </w:rPr>
        <w:t>同时，也是广东省城乡建设领域贯彻落实国家</w:t>
      </w:r>
      <w:r>
        <w:rPr>
          <w:rFonts w:ascii="宋体" w:hAnsi="宋体" w:cs="仿宋_GB2312"/>
          <w:sz w:val="24"/>
          <w:szCs w:val="24"/>
        </w:rPr>
        <w:t>《民用</w:t>
      </w:r>
      <w:r>
        <w:rPr>
          <w:rFonts w:hint="eastAsia" w:ascii="宋体" w:hAnsi="宋体" w:cs="仿宋_GB2312"/>
          <w:sz w:val="24"/>
          <w:szCs w:val="24"/>
        </w:rPr>
        <w:t>建筑节能条例》第五条</w:t>
      </w:r>
      <w:r>
        <w:rPr>
          <w:rFonts w:hint="eastAsia" w:ascii="宋体" w:hAnsi="宋体" w:cs="仿宋_GB2312"/>
          <w:sz w:val="24"/>
          <w:szCs w:val="24"/>
          <w:lang w:val="en-US" w:eastAsia="zh-CN"/>
        </w:rPr>
        <w:t>和</w:t>
      </w:r>
      <w:r>
        <w:rPr>
          <w:color w:val="000000" w:themeColor="text1"/>
          <w:sz w:val="24"/>
          <w14:textFill>
            <w14:solidFill>
              <w14:schemeClr w14:val="tx1"/>
            </w14:solidFill>
          </w14:textFill>
        </w:rPr>
        <w:t>《广东省绿色建筑条例》</w:t>
      </w:r>
      <w:r>
        <w:rPr>
          <w:rFonts w:hint="eastAsia"/>
          <w:color w:val="000000" w:themeColor="text1"/>
          <w:sz w:val="24"/>
          <w:lang w:val="en-US" w:eastAsia="zh-CN"/>
          <w14:textFill>
            <w14:solidFill>
              <w14:schemeClr w14:val="tx1"/>
            </w14:solidFill>
          </w14:textFill>
        </w:rPr>
        <w:t>第二十六条的重要举措。</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本标准用于</w:t>
      </w:r>
      <w:r>
        <w:rPr>
          <w:rFonts w:hint="default"/>
          <w:color w:val="000000" w:themeColor="text1"/>
          <w:sz w:val="24"/>
          <w:lang w:val="en-US" w:eastAsia="zh-CN"/>
          <w14:textFill>
            <w14:solidFill>
              <w14:schemeClr w14:val="tx1"/>
            </w14:solidFill>
          </w14:textFill>
        </w:rPr>
        <w:t>对绿色建筑投入使用后的效果评价，例如建筑运行中的能耗、水耗、材料消耗水平评价，室内外声环境、光环境、热环境、空气品质、交通组织、功能配套、场地生态的评价</w:t>
      </w:r>
      <w:r>
        <w:rPr>
          <w:rFonts w:hint="eastAsia"/>
          <w:color w:val="000000" w:themeColor="text1"/>
          <w:sz w:val="24"/>
          <w:lang w:val="en-US" w:eastAsia="zh-CN"/>
          <w14:textFill>
            <w14:solidFill>
              <w14:schemeClr w14:val="tx1"/>
            </w14:solidFill>
          </w14:textFill>
        </w:rPr>
        <w:t>和</w:t>
      </w:r>
      <w:r>
        <w:rPr>
          <w:rFonts w:hint="default"/>
          <w:color w:val="000000" w:themeColor="text1"/>
          <w:sz w:val="24"/>
          <w:lang w:val="en-US" w:eastAsia="zh-CN"/>
          <w14:textFill>
            <w14:solidFill>
              <w14:schemeClr w14:val="tx1"/>
            </w14:solidFill>
          </w14:textFill>
        </w:rPr>
        <w:t>建筑使用者干扰与反馈的评价等。建筑的运行使用和维护阶段在建筑全寿命期中所占时间最长，对绿色建筑的运行使用情况进行后评估，既可查验绿色建筑实际落实情况，展现绿色建筑实施效果，又可为绿色建筑业主、物业单位和开发单位在运行期间诊断和提升建筑性能和品质提供依据并指导同类新建建筑在规划、设计方面的持续优化改进。因此，推广绿色建筑后评估具有十分重要的意义。</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rFonts w:hint="default"/>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 xml:space="preserve">1.0.2  </w:t>
      </w:r>
      <w:r>
        <w:rPr>
          <w:rFonts w:hint="default"/>
          <w:color w:val="000000" w:themeColor="text1"/>
          <w:sz w:val="24"/>
          <w:lang w:val="en-US" w:eastAsia="zh-CN"/>
          <w14:textFill>
            <w14:solidFill>
              <w14:schemeClr w14:val="tx1"/>
            </w14:solidFill>
          </w14:textFill>
        </w:rPr>
        <w:t>本条明确本标准的适用范围。本标准用以</w:t>
      </w:r>
      <w:r>
        <w:rPr>
          <w:rFonts w:hint="eastAsia"/>
          <w:color w:val="000000" w:themeColor="text1"/>
          <w:sz w:val="24"/>
          <w:lang w:val="en-US" w:eastAsia="zh-CN"/>
          <w14:textFill>
            <w14:solidFill>
              <w14:schemeClr w14:val="tx1"/>
            </w14:solidFill>
          </w14:textFill>
        </w:rPr>
        <w:t>评价</w:t>
      </w:r>
      <w:r>
        <w:rPr>
          <w:rFonts w:hint="default"/>
          <w:color w:val="000000" w:themeColor="text1"/>
          <w:sz w:val="24"/>
          <w:lang w:val="en-US" w:eastAsia="zh-CN"/>
          <w14:textFill>
            <w14:solidFill>
              <w14:schemeClr w14:val="tx1"/>
            </w14:solidFill>
          </w14:textFill>
        </w:rPr>
        <w:t>绿色建筑投入</w:t>
      </w:r>
      <w:r>
        <w:rPr>
          <w:rFonts w:hint="eastAsia"/>
          <w:color w:val="000000" w:themeColor="text1"/>
          <w:sz w:val="24"/>
          <w:lang w:val="en-US" w:eastAsia="zh-CN"/>
          <w14:textFill>
            <w14:solidFill>
              <w14:schemeClr w14:val="tx1"/>
            </w14:solidFill>
          </w14:textFill>
        </w:rPr>
        <w:t>运行</w:t>
      </w:r>
      <w:r>
        <w:rPr>
          <w:rFonts w:hint="default"/>
          <w:color w:val="000000" w:themeColor="text1"/>
          <w:sz w:val="24"/>
          <w:lang w:val="en-US" w:eastAsia="zh-CN"/>
          <w14:textFill>
            <w14:solidFill>
              <w14:schemeClr w14:val="tx1"/>
            </w14:solidFill>
          </w14:textFill>
        </w:rPr>
        <w:t>后的实际效果，故参评</w:t>
      </w:r>
      <w:r>
        <w:rPr>
          <w:rFonts w:hint="eastAsia"/>
          <w:color w:val="000000" w:themeColor="text1"/>
          <w:sz w:val="24"/>
          <w:lang w:val="en-US" w:eastAsia="zh-CN"/>
          <w14:textFill>
            <w14:solidFill>
              <w14:schemeClr w14:val="tx1"/>
            </w14:solidFill>
          </w14:textFill>
        </w:rPr>
        <w:t>建筑</w:t>
      </w:r>
      <w:r>
        <w:rPr>
          <w:rFonts w:hint="default"/>
          <w:color w:val="000000" w:themeColor="text1"/>
          <w:sz w:val="24"/>
          <w:lang w:val="en-US" w:eastAsia="zh-CN"/>
          <w14:textFill>
            <w14:solidFill>
              <w14:schemeClr w14:val="tx1"/>
            </w14:solidFill>
          </w14:textFill>
        </w:rPr>
        <w:t>需投入</w:t>
      </w:r>
      <w:r>
        <w:rPr>
          <w:rFonts w:hint="eastAsia"/>
          <w:color w:val="000000" w:themeColor="text1"/>
          <w:sz w:val="24"/>
          <w:lang w:val="en-US" w:eastAsia="zh-CN"/>
          <w14:textFill>
            <w14:solidFill>
              <w14:schemeClr w14:val="tx1"/>
            </w14:solidFill>
          </w14:textFill>
        </w:rPr>
        <w:t>运行</w:t>
      </w:r>
      <w:r>
        <w:rPr>
          <w:rFonts w:hint="default"/>
          <w:color w:val="000000" w:themeColor="text1"/>
          <w:sz w:val="24"/>
          <w:lang w:val="en-US" w:eastAsia="zh-CN"/>
          <w14:textFill>
            <w14:solidFill>
              <w14:schemeClr w14:val="tx1"/>
            </w14:solidFill>
          </w14:textFill>
        </w:rPr>
        <w:t>使用、有连续1年以上</w:t>
      </w:r>
      <w:r>
        <w:rPr>
          <w:rFonts w:hint="eastAsia"/>
          <w:color w:val="000000" w:themeColor="text1"/>
          <w:sz w:val="24"/>
          <w:lang w:val="en-US" w:eastAsia="zh-CN"/>
          <w14:textFill>
            <w14:solidFill>
              <w14:schemeClr w14:val="tx1"/>
            </w14:solidFill>
          </w14:textFill>
        </w:rPr>
        <w:t>运行</w:t>
      </w:r>
      <w:r>
        <w:rPr>
          <w:rFonts w:hint="default"/>
          <w:color w:val="000000" w:themeColor="text1"/>
          <w:sz w:val="24"/>
          <w:lang w:val="en-US" w:eastAsia="zh-CN"/>
          <w14:textFill>
            <w14:solidFill>
              <w14:schemeClr w14:val="tx1"/>
            </w14:solidFill>
          </w14:textFill>
        </w:rPr>
        <w:t>数据</w:t>
      </w:r>
      <w:r>
        <w:rPr>
          <w:rFonts w:hint="eastAsia"/>
          <w:color w:val="000000" w:themeColor="text1"/>
          <w:sz w:val="24"/>
          <w:lang w:val="en-US" w:eastAsia="zh-CN"/>
          <w14:textFill>
            <w14:solidFill>
              <w14:schemeClr w14:val="tx1"/>
            </w14:solidFill>
          </w14:textFill>
        </w:rPr>
        <w:t>。为保证运行数据更贴合建筑实际运行使用情况，参评建筑的使用率或入住率不低于75%时方可进行评估</w:t>
      </w:r>
      <w:r>
        <w:rPr>
          <w:rFonts w:hint="default"/>
          <w:color w:val="000000" w:themeColor="text1"/>
          <w:sz w:val="24"/>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本标准主要用于民用建筑，其他类型建筑可参考使用。物业单位、政府管理部门、</w:t>
      </w:r>
      <w:r>
        <w:rPr>
          <w:rFonts w:hint="eastAsia"/>
          <w:color w:val="000000" w:themeColor="text1"/>
          <w:sz w:val="24"/>
          <w:lang w:val="en-US" w:eastAsia="zh-CN"/>
          <w14:textFill>
            <w14:solidFill>
              <w14:schemeClr w14:val="tx1"/>
            </w14:solidFill>
          </w14:textFill>
        </w:rPr>
        <w:t>建设单位</w:t>
      </w:r>
      <w:r>
        <w:rPr>
          <w:rFonts w:hint="default"/>
          <w:color w:val="000000" w:themeColor="text1"/>
          <w:sz w:val="24"/>
          <w:lang w:val="en-US" w:eastAsia="zh-CN"/>
          <w14:textFill>
            <w14:solidFill>
              <w14:schemeClr w14:val="tx1"/>
            </w14:solidFill>
          </w14:textFill>
        </w:rPr>
        <w:t>和用户均可使用本标准，以进一步明确绿色建筑对资源节约、环境友好及改善民生的效果并通过后评估发现可提升空间，以促进绿色建筑的设计和</w:t>
      </w:r>
      <w:r>
        <w:rPr>
          <w:rFonts w:hint="eastAsia"/>
          <w:color w:val="000000" w:themeColor="text1"/>
          <w:sz w:val="24"/>
          <w:lang w:val="en-US" w:eastAsia="zh-CN"/>
          <w14:textFill>
            <w14:solidFill>
              <w14:schemeClr w14:val="tx1"/>
            </w14:solidFill>
          </w14:textFill>
        </w:rPr>
        <w:t>运行</w:t>
      </w:r>
      <w:r>
        <w:rPr>
          <w:rFonts w:hint="default"/>
          <w:color w:val="000000" w:themeColor="text1"/>
          <w:sz w:val="24"/>
          <w:lang w:val="en-US" w:eastAsia="zh-CN"/>
          <w14:textFill>
            <w14:solidFill>
              <w14:schemeClr w14:val="tx1"/>
            </w14:solidFill>
          </w14:textFill>
        </w:rPr>
        <w:t>水平的不断优化。</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b w:val="0"/>
          <w:bCs w:val="0"/>
          <w:color w:val="000000" w:themeColor="text1"/>
          <w:sz w:val="24"/>
          <w:lang w:val="en-US" w:eastAsia="zh-CN"/>
          <w14:textFill>
            <w14:solidFill>
              <w14:schemeClr w14:val="tx1"/>
            </w14:solidFill>
          </w14:textFill>
        </w:rPr>
      </w:pPr>
      <w:r>
        <w:rPr>
          <w:rFonts w:hint="default"/>
          <w:b w:val="0"/>
          <w:bCs w:val="0"/>
          <w:color w:val="000000" w:themeColor="text1"/>
          <w:sz w:val="24"/>
          <w:lang w:val="en-US" w:eastAsia="zh-CN"/>
          <w14:textFill>
            <w14:solidFill>
              <w14:schemeClr w14:val="tx1"/>
            </w14:solidFill>
          </w14:textFill>
        </w:rPr>
        <w:t>本</w:t>
      </w:r>
      <w:r>
        <w:rPr>
          <w:rFonts w:hint="default"/>
          <w:color w:val="000000" w:themeColor="text1"/>
          <w:sz w:val="24"/>
          <w:lang w:val="en-US" w:eastAsia="zh-CN"/>
          <w14:textFill>
            <w14:solidFill>
              <w14:schemeClr w14:val="tx1"/>
            </w14:solidFill>
          </w14:textFill>
        </w:rPr>
        <w:t>标准</w:t>
      </w:r>
      <w:r>
        <w:rPr>
          <w:rFonts w:hint="default"/>
          <w:b w:val="0"/>
          <w:bCs w:val="0"/>
          <w:color w:val="000000" w:themeColor="text1"/>
          <w:sz w:val="24"/>
          <w:lang w:val="en-US" w:eastAsia="zh-CN"/>
          <w14:textFill>
            <w14:solidFill>
              <w14:schemeClr w14:val="tx1"/>
            </w14:solidFill>
          </w14:textFill>
        </w:rPr>
        <w:t>不适用</w:t>
      </w:r>
      <w:r>
        <w:rPr>
          <w:rFonts w:hint="eastAsia"/>
          <w:b w:val="0"/>
          <w:bCs w:val="0"/>
          <w:color w:val="000000" w:themeColor="text1"/>
          <w:sz w:val="24"/>
          <w:lang w:val="en-US" w:eastAsia="zh-CN"/>
          <w14:textFill>
            <w14:solidFill>
              <w14:schemeClr w14:val="tx1"/>
            </w14:solidFill>
          </w14:textFill>
        </w:rPr>
        <w:t>于</w:t>
      </w:r>
      <w:r>
        <w:rPr>
          <w:rFonts w:hint="default"/>
          <w:b w:val="0"/>
          <w:bCs w:val="0"/>
          <w:color w:val="000000" w:themeColor="text1"/>
          <w:sz w:val="24"/>
          <w:lang w:val="en-US" w:eastAsia="zh-CN"/>
          <w14:textFill>
            <w14:solidFill>
              <w14:schemeClr w14:val="tx1"/>
            </w14:solidFill>
          </w14:textFill>
        </w:rPr>
        <w:t>既有建筑绿色化改造的项目及对应评价标准后评估</w:t>
      </w:r>
      <w:r>
        <w:rPr>
          <w:rFonts w:hint="eastAsia"/>
          <w:b w:val="0"/>
          <w:bCs w:val="0"/>
          <w:color w:val="000000" w:themeColor="text1"/>
          <w:sz w:val="24"/>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lang w:val="en-US" w:eastAsia="zh-CN"/>
          <w14:textFill>
            <w14:solidFill>
              <w14:schemeClr w14:val="tx1"/>
            </w14:solidFill>
          </w14:textFill>
        </w:rPr>
      </w:pP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1.0.3  绿色建筑从规划设计、建造竣工，随即进入了建筑全寿命期中所占时间最长的运行使用和维护阶段。绿色建筑后评估即对绿色建筑运维阶段的实施效果、建成使用满意度及人行为影响因素进行主客观的综合评估。与《绿色建筑评价标准》不同的是，本</w:t>
      </w:r>
      <w:r>
        <w:rPr>
          <w:rFonts w:hint="eastAsia"/>
          <w:color w:val="000000" w:themeColor="text1"/>
          <w:sz w:val="24"/>
          <w:lang w:val="en-US" w:eastAsia="zh-CN"/>
          <w14:textFill>
            <w14:solidFill>
              <w14:schemeClr w14:val="tx1"/>
            </w14:solidFill>
          </w14:textFill>
        </w:rPr>
        <w:t>标准更注</w:t>
      </w:r>
      <w:r>
        <w:rPr>
          <w:color w:val="000000" w:themeColor="text1"/>
          <w:sz w:val="24"/>
          <w14:textFill>
            <w14:solidFill>
              <w14:schemeClr w14:val="tx1"/>
            </w14:solidFill>
          </w14:textFill>
        </w:rPr>
        <w:t>重评价各项绿色技术与措施的综合实施效果，如能耗、水耗、建筑使用者反馈等评价指标，而非单项技术的落实评价，更好地体现了建筑作为一个有机集成系统在</w:t>
      </w:r>
      <w:r>
        <w:rPr>
          <w:rFonts w:hint="eastAsia"/>
          <w:color w:val="000000" w:themeColor="text1"/>
          <w:sz w:val="24"/>
          <w:lang w:val="en-US" w:eastAsia="zh-CN"/>
          <w14:textFill>
            <w14:solidFill>
              <w14:schemeClr w14:val="tx1"/>
            </w14:solidFill>
          </w14:textFill>
        </w:rPr>
        <w:t>绿色低碳</w:t>
      </w:r>
      <w:r>
        <w:rPr>
          <w:color w:val="000000" w:themeColor="text1"/>
          <w:sz w:val="24"/>
          <w14:textFill>
            <w14:solidFill>
              <w14:schemeClr w14:val="tx1"/>
            </w14:solidFill>
          </w14:textFill>
        </w:rPr>
        <w:t>方面的作用。</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1.0.4  《广东省绿色建筑条例》第二十六条</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县级以上人民政府住房城乡建设主管部门应当对绿色建筑的运行使用情况进行后评估，加强对绿色建筑运行的监督管理。对不再符合相应绿色建筑等级要求的，应当按照国家和省有关规定进行处理并公布相关情况。</w:t>
      </w:r>
      <w:r>
        <w:rPr>
          <w:rFonts w:hint="eastAsia"/>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《广东省绿色建筑条例》第二十六条</w:t>
      </w:r>
      <w:r>
        <w:rPr>
          <w:rFonts w:hint="default"/>
          <w:color w:val="000000" w:themeColor="text1"/>
          <w:sz w:val="24"/>
          <w14:textFill>
            <w14:solidFill>
              <w14:schemeClr w14:val="tx1"/>
            </w14:solidFill>
          </w14:textFill>
        </w:rPr>
        <w:t>要求县级以上人民政府住房城乡建设主管部门应当建立绿色建筑运行管理及后评估</w:t>
      </w:r>
      <w:r>
        <w:rPr>
          <w:rFonts w:hint="default"/>
          <w:color w:val="000000" w:themeColor="text1"/>
          <w:sz w:val="24"/>
          <w:lang w:val="en-US" w:eastAsia="zh-CN"/>
          <w14:textFill>
            <w14:solidFill>
              <w14:schemeClr w14:val="tx1"/>
            </w14:solidFill>
          </w14:textFill>
        </w:rPr>
        <w:t>机制</w:t>
      </w:r>
      <w:r>
        <w:rPr>
          <w:rFonts w:hint="default"/>
          <w:color w:val="000000" w:themeColor="text1"/>
          <w:sz w:val="24"/>
          <w14:textFill>
            <w14:solidFill>
              <w14:schemeClr w14:val="tx1"/>
            </w14:solidFill>
          </w14:textFill>
        </w:rPr>
        <w:t>，探索</w:t>
      </w:r>
      <w:r>
        <w:rPr>
          <w:rFonts w:hint="eastAsia"/>
          <w:color w:val="000000" w:themeColor="text1"/>
          <w:sz w:val="24"/>
          <w:lang w:eastAsia="zh-CN"/>
          <w14:textFill>
            <w14:solidFill>
              <w14:schemeClr w14:val="tx1"/>
            </w14:solidFill>
          </w14:textFill>
        </w:rPr>
        <w:t>“</w:t>
      </w:r>
      <w:r>
        <w:rPr>
          <w:rFonts w:hint="default"/>
          <w:color w:val="000000" w:themeColor="text1"/>
          <w:sz w:val="24"/>
          <w14:textFill>
            <w14:solidFill>
              <w14:schemeClr w14:val="tx1"/>
            </w14:solidFill>
          </w14:textFill>
        </w:rPr>
        <w:t>一年一</w:t>
      </w:r>
      <w:r>
        <w:rPr>
          <w:rFonts w:hint="eastAsia"/>
          <w:color w:val="000000" w:themeColor="text1"/>
          <w:sz w:val="24"/>
          <w:lang w:val="en-US" w:eastAsia="zh-CN"/>
          <w14:textFill>
            <w14:solidFill>
              <w14:schemeClr w14:val="tx1"/>
            </w14:solidFill>
          </w14:textFill>
        </w:rPr>
        <w:t>抽检</w:t>
      </w:r>
      <w:r>
        <w:rPr>
          <w:rFonts w:hint="default"/>
          <w:color w:val="000000" w:themeColor="text1"/>
          <w:sz w:val="24"/>
          <w14:textFill>
            <w14:solidFill>
              <w14:schemeClr w14:val="tx1"/>
            </w14:solidFill>
          </w14:textFill>
        </w:rPr>
        <w:t>、三年一评估</w:t>
      </w:r>
      <w:r>
        <w:rPr>
          <w:rFonts w:hint="eastAsia"/>
          <w:color w:val="000000" w:themeColor="text1"/>
          <w:sz w:val="24"/>
          <w:lang w:eastAsia="zh-CN"/>
          <w14:textFill>
            <w14:solidFill>
              <w14:schemeClr w14:val="tx1"/>
            </w14:solidFill>
          </w14:textFill>
        </w:rPr>
        <w:t>”</w:t>
      </w:r>
      <w:r>
        <w:rPr>
          <w:rFonts w:hint="default"/>
          <w:color w:val="000000" w:themeColor="text1"/>
          <w:sz w:val="24"/>
          <w14:textFill>
            <w14:solidFill>
              <w14:schemeClr w14:val="tx1"/>
            </w14:solidFill>
          </w14:textFill>
        </w:rPr>
        <w:t>常态化后评估工作机制，对重点用能建筑开展建筑运行能效测评和绿色性能后评估工作</w:t>
      </w:r>
      <w:r>
        <w:rPr>
          <w:rFonts w:hint="default"/>
          <w:color w:val="000000" w:themeColor="text1"/>
          <w:sz w:val="24"/>
          <w:lang w:eastAsia="zh-CN"/>
          <w14:textFill>
            <w14:solidFill>
              <w14:schemeClr w14:val="tx1"/>
            </w14:solidFill>
          </w14:textFill>
        </w:rPr>
        <w:t>，</w:t>
      </w:r>
      <w:r>
        <w:rPr>
          <w:rFonts w:hint="default"/>
          <w:color w:val="000000" w:themeColor="text1"/>
          <w:sz w:val="24"/>
          <w14:textFill>
            <w14:solidFill>
              <w14:schemeClr w14:val="tx1"/>
            </w14:solidFill>
          </w14:textFill>
        </w:rPr>
        <w:t>对绿色建筑的运行使用情况进行动态评估，经评估达不到相应绿色建筑等级要求的，按照有关规定进行处理，例如信息公开、责令整改、撤销标识、取消奖励和荣誉等。</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符合国家法律法规和相关标准是参评绿色建筑的前提条件。本标准重点是对绿色建筑在运行使用阶段的节能、环保、健康等绿色方面的评价，</w:t>
      </w:r>
      <w:r>
        <w:rPr>
          <w:rFonts w:hint="eastAsia"/>
          <w:color w:val="000000" w:themeColor="text1"/>
          <w:sz w:val="24"/>
          <w:lang w:val="en-US" w:eastAsia="zh-CN"/>
          <w14:textFill>
            <w14:solidFill>
              <w14:schemeClr w14:val="tx1"/>
            </w14:solidFill>
          </w14:textFill>
        </w:rPr>
        <w:t>但</w:t>
      </w:r>
      <w:r>
        <w:rPr>
          <w:color w:val="000000" w:themeColor="text1"/>
          <w:sz w:val="24"/>
          <w14:textFill>
            <w14:solidFill>
              <w14:schemeClr w14:val="tx1"/>
            </w14:solidFill>
          </w14:textFill>
        </w:rPr>
        <w:t>并未涵盖通常建筑物所应具备的全部功能和性能要求，如安全、消防等要求，故参评的建筑应首先符合国家现行有关标准规定。</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1.0.</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为贯彻《广东省绿色建筑条例》，加强对绿色建筑实际落实情况的查验，本标准可为</w:t>
      </w:r>
      <w:r>
        <w:rPr>
          <w:rFonts w:hint="eastAsia" w:ascii="Times New Roman" w:hAnsi="Times New Roman" w:cs="Times New Roman"/>
          <w:color w:val="000000" w:themeColor="text1"/>
          <w:sz w:val="24"/>
          <w:lang w:val="en-US" w:eastAsia="zh-CN"/>
          <w14:textFill>
            <w14:solidFill>
              <w14:schemeClr w14:val="tx1"/>
            </w14:solidFill>
          </w14:textFill>
        </w:rPr>
        <w:t>住房城乡建设主管部门或</w:t>
      </w:r>
      <w:r>
        <w:rPr>
          <w:rFonts w:hint="eastAsia" w:cs="Times New Roman"/>
          <w:color w:val="000000" w:themeColor="text1"/>
          <w:sz w:val="24"/>
          <w:lang w:val="en-US" w:eastAsia="zh-CN"/>
          <w14:textFill>
            <w14:solidFill>
              <w14:schemeClr w14:val="tx1"/>
            </w14:solidFill>
          </w14:textFill>
        </w:rPr>
        <w:t>其认可</w:t>
      </w:r>
      <w:r>
        <w:rPr>
          <w:rFonts w:ascii="Times New Roman" w:hAnsi="Times New Roman" w:cs="Times New Roman"/>
          <w:color w:val="000000" w:themeColor="text1"/>
          <w:sz w:val="24"/>
          <w14:textFill>
            <w14:solidFill>
              <w14:schemeClr w14:val="tx1"/>
            </w14:solidFill>
          </w14:textFill>
        </w:rPr>
        <w:t>第三方机构开展绿色建筑运行效果的评价提供指导；同时，</w:t>
      </w:r>
      <w:r>
        <w:rPr>
          <w:rFonts w:hint="eastAsia" w:cs="Times New Roman"/>
          <w:color w:val="000000" w:themeColor="text1"/>
          <w:sz w:val="24"/>
          <w:lang w:val="en-US" w:eastAsia="zh-CN"/>
          <w14:textFill>
            <w14:solidFill>
              <w14:schemeClr w14:val="tx1"/>
            </w14:solidFill>
          </w14:textFill>
        </w:rPr>
        <w:t>部分</w:t>
      </w:r>
      <w:r>
        <w:rPr>
          <w:rFonts w:ascii="Times New Roman" w:hAnsi="Times New Roman" w:cs="Times New Roman"/>
          <w:color w:val="000000" w:themeColor="text1"/>
          <w:sz w:val="24"/>
          <w14:textFill>
            <w14:solidFill>
              <w14:schemeClr w14:val="tx1"/>
            </w14:solidFill>
          </w14:textFill>
        </w:rPr>
        <w:t>绿色建筑的业主已认识到绿色建筑有益于降低运维成本、提升建筑环境品质进而改善建筑内人员健康水平，</w:t>
      </w:r>
      <w:r>
        <w:rPr>
          <w:rFonts w:hint="eastAsia" w:cs="Times New Roman"/>
          <w:color w:val="000000" w:themeColor="text1"/>
          <w:sz w:val="24"/>
          <w:lang w:val="en-US" w:eastAsia="zh-CN"/>
          <w14:textFill>
            <w14:solidFill>
              <w14:schemeClr w14:val="tx1"/>
            </w14:solidFill>
          </w14:textFill>
        </w:rPr>
        <w:t>也</w:t>
      </w:r>
      <w:r>
        <w:rPr>
          <w:rFonts w:ascii="Times New Roman" w:hAnsi="Times New Roman" w:cs="Times New Roman"/>
          <w:color w:val="000000" w:themeColor="text1"/>
          <w:sz w:val="24"/>
          <w14:textFill>
            <w14:solidFill>
              <w14:schemeClr w14:val="tx1"/>
            </w14:solidFill>
          </w14:textFill>
        </w:rPr>
        <w:t>可参考本标准自行开展评估，优化绿色建筑性能。</w:t>
      </w:r>
    </w:p>
    <w:p>
      <w:pPr>
        <w:shd w:val="clear"/>
        <w:adjustRightInd w:val="0"/>
        <w:snapToGrid w:val="0"/>
        <w:spacing w:before="95" w:beforeLines="30" w:after="95" w:afterLines="30" w:line="312"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县级以上人民政府住房城乡建设主管部门组织开展绿色建筑后评估工作时，评估指标以关键评估指标、用户满意度为主，其他评估指标为辅，自行评估的应进行全项评估。</w:t>
      </w:r>
    </w:p>
    <w:p>
      <w:pPr>
        <w:pStyle w:val="5"/>
        <w:shd w:val="clear"/>
        <w:spacing w:before="95" w:beforeLines="30" w:after="95" w:afterLines="30" w:line="312" w:lineRule="auto"/>
        <w:rPr>
          <w:rFonts w:hint="default" w:cs="Times New Roman"/>
          <w:color w:val="auto"/>
          <w:sz w:val="21"/>
          <w:lang w:val="en-US" w:eastAsia="zh-CN"/>
        </w:rPr>
      </w:pPr>
      <w:r>
        <w:rPr>
          <w:rFonts w:hint="eastAsia" w:cs="Times New Roman"/>
          <w:color w:val="000000" w:themeColor="text1"/>
          <w:sz w:val="24"/>
          <w:lang w:val="en-US" w:eastAsia="zh-CN"/>
          <w14:textFill>
            <w14:solidFill>
              <w14:schemeClr w14:val="tx1"/>
            </w14:solidFill>
          </w14:textFill>
        </w:rPr>
        <w:t>绿色建筑后评估报告中应明确参评建筑所能满足的等级水平。</w:t>
      </w:r>
    </w:p>
    <w:p>
      <w:pPr>
        <w:shd w:val="clear"/>
        <w:rPr>
          <w:rFonts w:hint="default"/>
          <w:lang w:val="en-US" w:eastAsia="zh-CN"/>
        </w:rPr>
      </w:pPr>
    </w:p>
    <w:p>
      <w:pPr>
        <w:pStyle w:val="5"/>
        <w:shd w:val="clear"/>
        <w:ind w:left="0" w:leftChars="0" w:firstLine="0" w:firstLineChars="0"/>
        <w:rPr>
          <w:rFonts w:hint="default"/>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0" w:firstLineChars="0"/>
        <w:jc w:val="center"/>
        <w:textAlignment w:val="auto"/>
        <w:outlineLvl w:val="0"/>
        <w:rPr>
          <w:rFonts w:hint="default"/>
          <w:color w:val="000000" w:themeColor="text1"/>
          <w:sz w:val="24"/>
          <w14:textFill>
            <w14:solidFill>
              <w14:schemeClr w14:val="tx1"/>
            </w14:solidFill>
          </w14:textFill>
        </w:rPr>
      </w:pPr>
      <w:r>
        <w:rPr>
          <w:color w:val="000000" w:themeColor="text1"/>
          <w14:textFill>
            <w14:solidFill>
              <w14:schemeClr w14:val="tx1"/>
            </w14:solidFill>
          </w14:textFill>
        </w:rPr>
        <w:br w:type="page"/>
      </w:r>
      <w:bookmarkStart w:id="475" w:name="_Toc18087"/>
      <w:bookmarkStart w:id="476" w:name="_Toc10185"/>
      <w:r>
        <w:rPr>
          <w:b/>
          <w:color w:val="000000" w:themeColor="text1"/>
          <w:sz w:val="36"/>
          <w14:textFill>
            <w14:solidFill>
              <w14:schemeClr w14:val="tx1"/>
            </w14:solidFill>
          </w14:textFill>
        </w:rPr>
        <w:t>3 基 本 规 定</w:t>
      </w:r>
      <w:bookmarkEnd w:id="475"/>
      <w:bookmarkEnd w:id="476"/>
    </w:p>
    <w:p>
      <w:pPr>
        <w:shd w:val="clear"/>
        <w:adjustRightInd w:val="0"/>
        <w:snapToGrid w:val="0"/>
        <w:spacing w:before="93" w:beforeLines="30" w:after="93" w:afterLines="30" w:line="312" w:lineRule="auto"/>
        <w:rPr>
          <w:b/>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outlineLvl w:val="1"/>
        <w:rPr>
          <w:rFonts w:hint="default"/>
          <w:b/>
          <w:color w:val="000000" w:themeColor="text1"/>
          <w:sz w:val="24"/>
          <w14:textFill>
            <w14:solidFill>
              <w14:schemeClr w14:val="tx1"/>
            </w14:solidFill>
          </w14:textFill>
        </w:rPr>
      </w:pPr>
      <w:bookmarkStart w:id="477" w:name="_Toc12848"/>
      <w:bookmarkStart w:id="478" w:name="_Toc27570"/>
      <w:r>
        <w:rPr>
          <w:b/>
          <w:color w:val="000000" w:themeColor="text1"/>
          <w:sz w:val="24"/>
          <w14:textFill>
            <w14:solidFill>
              <w14:schemeClr w14:val="tx1"/>
            </w14:solidFill>
          </w14:textFill>
        </w:rPr>
        <w:t>3.1 一般规定</w:t>
      </w:r>
      <w:bookmarkEnd w:id="477"/>
      <w:bookmarkEnd w:id="478"/>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highlight w:val="cyan"/>
          <w14:textFill>
            <w14:solidFill>
              <w14:schemeClr w14:val="tx1"/>
            </w14:solidFill>
          </w14:textFill>
        </w:rPr>
      </w:pPr>
      <w:r>
        <w:rPr>
          <w:color w:val="000000" w:themeColor="text1"/>
          <w:sz w:val="24"/>
          <w14:textFill>
            <w14:solidFill>
              <w14:schemeClr w14:val="tx1"/>
            </w14:solidFill>
          </w14:textFill>
        </w:rPr>
        <w:t>3.1.</w:t>
      </w:r>
      <w:r>
        <w:rPr>
          <w:rFonts w:hint="default"/>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我省各地区在资源、经济社会发展水平与民俗文化等方面都存在差异，因地制宜是绿色建筑建设和评价的基本原则。对于绿色建筑后评估，也应综合考虑建筑所处地域的资源、经济及文化等条件和特点。</w:t>
      </w:r>
      <w:r>
        <w:rPr>
          <w:rFonts w:hint="eastAsia"/>
          <w:color w:val="000000" w:themeColor="text1"/>
          <w:sz w:val="24"/>
          <w14:textFill>
            <w14:solidFill>
              <w14:schemeClr w14:val="tx1"/>
            </w14:solidFill>
          </w14:textFill>
        </w:rPr>
        <w:t>评估应以绿色建筑评价为基础，以运行管理制度为依据，以绿色性能结果为导向，</w:t>
      </w:r>
      <w:r>
        <w:rPr>
          <w:color w:val="000000" w:themeColor="text1"/>
          <w:sz w:val="24"/>
          <w14:textFill>
            <w14:solidFill>
              <w14:schemeClr w14:val="tx1"/>
            </w14:solidFill>
          </w14:textFill>
        </w:rPr>
        <w:t>鼓励建筑结合地区特点进行创新和优化。</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绿色建筑后评估是从建筑运行使用阶段开始直至建筑拆除这一较长的时段。这段时间内的二次装修、系统升级改造等运维措施</w:t>
      </w:r>
      <w:r>
        <w:rPr>
          <w:rFonts w:hint="eastAsia"/>
          <w:color w:val="000000" w:themeColor="text1"/>
          <w:sz w:val="24"/>
          <w:lang w:val="en-US" w:eastAsia="zh-CN"/>
          <w14:textFill>
            <w14:solidFill>
              <w14:schemeClr w14:val="tx1"/>
            </w14:solidFill>
          </w14:textFill>
        </w:rPr>
        <w:t>存在</w:t>
      </w:r>
      <w:r>
        <w:rPr>
          <w:color w:val="000000" w:themeColor="text1"/>
          <w:sz w:val="24"/>
          <w14:textFill>
            <w14:solidFill>
              <w14:schemeClr w14:val="tx1"/>
            </w14:solidFill>
          </w14:textFill>
        </w:rPr>
        <w:t>降低建筑安全性能，缩减建筑寿命</w:t>
      </w:r>
      <w:r>
        <w:rPr>
          <w:rFonts w:hint="eastAsia"/>
          <w:color w:val="000000" w:themeColor="text1"/>
          <w:sz w:val="24"/>
          <w:lang w:val="en-US" w:eastAsia="zh-CN"/>
          <w14:textFill>
            <w14:solidFill>
              <w14:schemeClr w14:val="tx1"/>
            </w14:solidFill>
          </w14:textFill>
        </w:rPr>
        <w:t>的风险</w:t>
      </w:r>
      <w:r>
        <w:rPr>
          <w:color w:val="000000" w:themeColor="text1"/>
          <w:sz w:val="24"/>
          <w14:textFill>
            <w14:solidFill>
              <w14:schemeClr w14:val="tx1"/>
            </w14:solidFill>
          </w14:textFill>
        </w:rPr>
        <w:t>，导致浪费更多的资源能源。</w:t>
      </w:r>
      <w:r>
        <w:rPr>
          <w:rFonts w:hint="eastAsia"/>
          <w:color w:val="000000" w:themeColor="text1"/>
          <w:sz w:val="24"/>
          <w:lang w:val="en-US" w:eastAsia="zh-CN"/>
          <w14:textFill>
            <w14:solidFill>
              <w14:schemeClr w14:val="tx1"/>
            </w14:solidFill>
          </w14:textFill>
        </w:rPr>
        <w:t>物业管理单位应制定设计结构安全的相关管理制度并严格执行。如参评</w:t>
      </w:r>
      <w:r>
        <w:rPr>
          <w:color w:val="000000" w:themeColor="text1"/>
          <w:sz w:val="24"/>
          <w14:textFill>
            <w14:solidFill>
              <w14:schemeClr w14:val="tx1"/>
            </w14:solidFill>
          </w14:textFill>
        </w:rPr>
        <w:t>建筑的结构发生过较大改造或调整，申报单位应提供结构安全性鉴定报告；如果</w:t>
      </w:r>
      <w:r>
        <w:rPr>
          <w:rFonts w:hint="eastAsia"/>
          <w:color w:val="000000" w:themeColor="text1"/>
          <w:sz w:val="24"/>
          <w:lang w:val="en-US" w:eastAsia="zh-CN"/>
          <w14:textFill>
            <w14:solidFill>
              <w14:schemeClr w14:val="tx1"/>
            </w14:solidFill>
          </w14:textFill>
        </w:rPr>
        <w:t>参评</w:t>
      </w:r>
      <w:r>
        <w:rPr>
          <w:color w:val="000000" w:themeColor="text1"/>
          <w:sz w:val="24"/>
          <w14:textFill>
            <w14:solidFill>
              <w14:schemeClr w14:val="tx1"/>
            </w14:solidFill>
          </w14:textFill>
        </w:rPr>
        <w:t>建筑结构未发生过改造或调整，申报单位应提交</w:t>
      </w:r>
      <w:r>
        <w:rPr>
          <w:rFonts w:hint="eastAsia"/>
          <w:color w:val="000000" w:themeColor="text1"/>
          <w:sz w:val="24"/>
          <w:lang w:val="en-US" w:eastAsia="zh-CN"/>
          <w14:textFill>
            <w14:solidFill>
              <w14:schemeClr w14:val="tx1"/>
            </w14:solidFill>
          </w14:textFill>
        </w:rPr>
        <w:t>涉及结构安全的</w:t>
      </w:r>
      <w:r>
        <w:rPr>
          <w:rFonts w:hint="eastAsia" w:cs="Times New Roman"/>
          <w:color w:val="000000" w:themeColor="text1"/>
          <w:sz w:val="24"/>
          <w:highlight w:val="none"/>
          <w:lang w:val="en-US" w:eastAsia="zh-CN"/>
          <w14:textFill>
            <w14:solidFill>
              <w14:schemeClr w14:val="tx1"/>
            </w14:solidFill>
          </w14:textFill>
        </w:rPr>
        <w:t>日常巡查、二次装修、按规定进行的检测或鉴定报告</w:t>
      </w:r>
      <w:r>
        <w:rPr>
          <w:rFonts w:hint="eastAsia"/>
          <w:color w:val="000000" w:themeColor="text1"/>
          <w:sz w:val="24"/>
          <w:lang w:val="en-US" w:eastAsia="zh-CN"/>
          <w14:textFill>
            <w14:solidFill>
              <w14:schemeClr w14:val="tx1"/>
            </w14:solidFill>
          </w14:textFill>
        </w:rPr>
        <w:t>及</w:t>
      </w:r>
      <w:r>
        <w:rPr>
          <w:color w:val="000000" w:themeColor="text1"/>
          <w:sz w:val="24"/>
          <w14:textFill>
            <w14:solidFill>
              <w14:schemeClr w14:val="tx1"/>
            </w14:solidFill>
          </w14:textFill>
        </w:rPr>
        <w:t>结构安全承诺书，证明参评建筑在运行使用阶段满足现行结构规范的要求。承诺书中应明确被评建筑在此之前未发生任何影响结构安全的改造或损坏。</w:t>
      </w:r>
    </w:p>
    <w:p>
      <w:pPr>
        <w:shd w:val="clear"/>
        <w:adjustRightInd w:val="0"/>
        <w:snapToGrid w:val="0"/>
        <w:spacing w:before="93" w:beforeLines="30" w:after="93" w:afterLines="30" w:line="312" w:lineRule="auto"/>
        <w:rPr>
          <w:rFonts w:hint="default"/>
          <w:color w:val="000000" w:themeColor="text1"/>
          <w:sz w:val="24"/>
          <w:highlight w:val="yellow"/>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 xml:space="preserve">.1.3  </w:t>
      </w:r>
      <w:r>
        <w:rPr>
          <w:rFonts w:ascii="Times New Roman" w:hAnsi="Times New Roman" w:cs="Times New Roman"/>
          <w:color w:val="000000" w:themeColor="text1"/>
          <w:sz w:val="24"/>
          <w14:textFill>
            <w14:solidFill>
              <w14:schemeClr w14:val="tx1"/>
            </w14:solidFill>
          </w14:textFill>
        </w:rPr>
        <w:t>本标准在实际评价中，需要建筑能耗、水耗以及室内热环境、空气</w:t>
      </w:r>
      <w:r>
        <w:rPr>
          <w:rFonts w:hint="eastAsia" w:cs="Times New Roman"/>
          <w:color w:val="000000" w:themeColor="text1"/>
          <w:sz w:val="24"/>
          <w:lang w:val="en-US" w:eastAsia="zh-CN"/>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等参数的</w:t>
      </w:r>
      <w:r>
        <w:rPr>
          <w:rFonts w:hint="eastAsia" w:ascii="Times New Roman" w:hAnsi="Times New Roman" w:cs="Times New Roman"/>
          <w:color w:val="000000" w:themeColor="text1"/>
          <w:sz w:val="24"/>
          <w:lang w:val="en-US" w:eastAsia="zh-CN"/>
          <w14:textFill>
            <w14:solidFill>
              <w14:schemeClr w14:val="tx1"/>
            </w14:solidFill>
          </w14:textFill>
        </w:rPr>
        <w:t>实</w:t>
      </w:r>
      <w:r>
        <w:rPr>
          <w:rFonts w:hint="eastAsia" w:cs="Times New Roman"/>
          <w:color w:val="000000" w:themeColor="text1"/>
          <w:sz w:val="24"/>
          <w:lang w:val="en-US" w:eastAsia="zh-CN"/>
          <w14:textFill>
            <w14:solidFill>
              <w14:schemeClr w14:val="tx1"/>
            </w14:solidFill>
          </w14:textFill>
        </w:rPr>
        <w:t>测</w:t>
      </w:r>
      <w:r>
        <w:rPr>
          <w:rFonts w:ascii="Times New Roman" w:hAnsi="Times New Roman" w:cs="Times New Roman"/>
          <w:color w:val="000000" w:themeColor="text1"/>
          <w:sz w:val="24"/>
          <w14:textFill>
            <w14:solidFill>
              <w14:schemeClr w14:val="tx1"/>
            </w14:solidFill>
          </w14:textFill>
        </w:rPr>
        <w:t>记录台账</w:t>
      </w:r>
      <w:r>
        <w:rPr>
          <w:rFonts w:hint="eastAsia" w:cs="Times New Roman"/>
          <w:color w:val="000000" w:themeColor="text1"/>
          <w:sz w:val="24"/>
          <w:lang w:val="en-US" w:eastAsia="zh-CN"/>
          <w14:textFill>
            <w14:solidFill>
              <w14:schemeClr w14:val="tx1"/>
            </w14:solidFill>
          </w14:textFill>
        </w:rPr>
        <w:t>作为基础评价材料</w:t>
      </w:r>
      <w:r>
        <w:rPr>
          <w:rFonts w:ascii="Times New Roman" w:hAnsi="Times New Roman" w:cs="Times New Roman"/>
          <w:color w:val="000000" w:themeColor="text1"/>
          <w:sz w:val="24"/>
          <w14:textFill>
            <w14:solidFill>
              <w14:schemeClr w14:val="tx1"/>
            </w14:solidFill>
          </w14:textFill>
        </w:rPr>
        <w:t>，为保证</w:t>
      </w:r>
      <w:r>
        <w:rPr>
          <w:rFonts w:hint="eastAsia" w:ascii="Times New Roman" w:hAnsi="Times New Roman" w:cs="Times New Roman"/>
          <w:color w:val="000000" w:themeColor="text1"/>
          <w:sz w:val="24"/>
          <w:lang w:val="en-US" w:eastAsia="zh-CN"/>
          <w14:textFill>
            <w14:solidFill>
              <w14:schemeClr w14:val="tx1"/>
            </w14:solidFill>
          </w14:textFill>
        </w:rPr>
        <w:t>评估</w:t>
      </w:r>
      <w:r>
        <w:rPr>
          <w:rFonts w:ascii="Times New Roman" w:hAnsi="Times New Roman" w:cs="Times New Roman"/>
          <w:color w:val="000000" w:themeColor="text1"/>
          <w:sz w:val="24"/>
          <w14:textFill>
            <w14:solidFill>
              <w14:schemeClr w14:val="tx1"/>
            </w14:solidFill>
          </w14:textFill>
        </w:rPr>
        <w:t>工作的顺利实施，</w:t>
      </w:r>
      <w:r>
        <w:rPr>
          <w:rFonts w:hint="eastAsia" w:ascii="Times New Roman" w:hAnsi="Times New Roman" w:cs="Times New Roman"/>
          <w:color w:val="000000" w:themeColor="text1"/>
          <w:sz w:val="24"/>
          <w:lang w:val="en-US" w:eastAsia="zh-CN"/>
          <w14:textFill>
            <w14:solidFill>
              <w14:schemeClr w14:val="tx1"/>
            </w14:solidFill>
          </w14:textFill>
        </w:rPr>
        <w:t>评估</w:t>
      </w:r>
      <w:r>
        <w:rPr>
          <w:rFonts w:ascii="Times New Roman" w:hAnsi="Times New Roman" w:cs="Times New Roman"/>
          <w:color w:val="000000" w:themeColor="text1"/>
          <w:sz w:val="24"/>
          <w14:textFill>
            <w14:solidFill>
              <w14:schemeClr w14:val="tx1"/>
            </w14:solidFill>
          </w14:textFill>
        </w:rPr>
        <w:t>建筑</w:t>
      </w:r>
      <w:r>
        <w:rPr>
          <w:rFonts w:ascii="Times New Roman" w:hAnsi="Times New Roman" w:cs="Times New Roman"/>
          <w:color w:val="000000" w:themeColor="text1"/>
          <w:sz w:val="24"/>
          <w:highlight w:val="none"/>
          <w14:textFill>
            <w14:solidFill>
              <w14:schemeClr w14:val="tx1"/>
            </w14:solidFill>
          </w14:textFill>
        </w:rPr>
        <w:t>应有</w:t>
      </w:r>
      <w:r>
        <w:rPr>
          <w:rFonts w:hint="eastAsia" w:cs="Times New Roman"/>
          <w:color w:val="000000" w:themeColor="text1"/>
          <w:sz w:val="24"/>
          <w:highlight w:val="none"/>
          <w:lang w:val="en-US" w:eastAsia="zh-CN"/>
          <w14:textFill>
            <w14:solidFill>
              <w14:schemeClr w14:val="tx1"/>
            </w14:solidFill>
          </w14:textFill>
        </w:rPr>
        <w:t>针对绿色建筑技术措施</w:t>
      </w:r>
      <w:r>
        <w:rPr>
          <w:rFonts w:ascii="Times New Roman" w:hAnsi="Times New Roman" w:cs="Times New Roman"/>
          <w:color w:val="000000" w:themeColor="text1"/>
          <w:sz w:val="24"/>
          <w:highlight w:val="none"/>
          <w14:textFill>
            <w14:solidFill>
              <w14:schemeClr w14:val="tx1"/>
            </w14:solidFill>
          </w14:textFill>
        </w:rPr>
        <w:t>完整</w:t>
      </w:r>
      <w:r>
        <w:rPr>
          <w:rFonts w:hint="eastAsia" w:cs="Times New Roman"/>
          <w:color w:val="000000" w:themeColor="text1"/>
          <w:sz w:val="24"/>
          <w:highlight w:val="none"/>
          <w:lang w:val="en-US" w:eastAsia="zh-CN"/>
          <w14:textFill>
            <w14:solidFill>
              <w14:schemeClr w14:val="tx1"/>
            </w14:solidFill>
          </w14:textFill>
        </w:rPr>
        <w:t>的运行管理制度、运行记录、总结分析</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应有</w:t>
      </w:r>
      <w:r>
        <w:rPr>
          <w:rFonts w:ascii="Times New Roman" w:hAnsi="Times New Roman" w:cs="Times New Roman"/>
          <w:color w:val="000000" w:themeColor="text1"/>
          <w:sz w:val="24"/>
          <w14:textFill>
            <w14:solidFill>
              <w14:schemeClr w14:val="tx1"/>
            </w14:solidFill>
          </w14:textFill>
        </w:rPr>
        <w:t>完整的</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最近一个完整运行年度的</w:t>
      </w:r>
      <w:r>
        <w:rPr>
          <w:rFonts w:ascii="Times New Roman" w:hAnsi="Times New Roman" w:cs="Times New Roman"/>
          <w:color w:val="000000" w:themeColor="text1"/>
          <w:sz w:val="24"/>
          <w14:textFill>
            <w14:solidFill>
              <w14:schemeClr w14:val="tx1"/>
            </w14:solidFill>
          </w14:textFill>
        </w:rPr>
        <w:t>记录台账</w:t>
      </w:r>
      <w:r>
        <w:rPr>
          <w:rFonts w:hint="eastAsia"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建筑能耗、水耗应有每个月</w:t>
      </w:r>
      <w:r>
        <w:rPr>
          <w:rFonts w:hint="eastAsia" w:cs="Times New Roman"/>
          <w:color w:val="000000" w:themeColor="text1"/>
          <w:sz w:val="24"/>
          <w:lang w:val="en-US" w:eastAsia="zh-CN"/>
          <w14:textFill>
            <w14:solidFill>
              <w14:schemeClr w14:val="tx1"/>
            </w14:solidFill>
          </w14:textFill>
        </w:rPr>
        <w:t>实测数据，</w:t>
      </w:r>
      <w:r>
        <w:rPr>
          <w:rFonts w:hint="eastAsia" w:ascii="Times New Roman" w:hAnsi="Times New Roman" w:cs="Times New Roman"/>
          <w:color w:val="000000" w:themeColor="text1"/>
          <w:sz w:val="24"/>
          <w14:textFill>
            <w14:solidFill>
              <w14:schemeClr w14:val="tx1"/>
            </w14:solidFill>
          </w14:textFill>
        </w:rPr>
        <w:t>室内热环境</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包括但不限于温度、湿度）</w:t>
      </w:r>
      <w:r>
        <w:rPr>
          <w:rFonts w:hint="eastAsia" w:ascii="Times New Roman" w:hAnsi="Times New Roman" w:cs="Times New Roman"/>
          <w:color w:val="000000" w:themeColor="text1"/>
          <w:sz w:val="24"/>
          <w14:textFill>
            <w14:solidFill>
              <w14:schemeClr w14:val="tx1"/>
            </w14:solidFill>
          </w14:textFill>
        </w:rPr>
        <w:t>应有每</w:t>
      </w:r>
      <w:r>
        <w:rPr>
          <w:rFonts w:hint="eastAsia" w:cs="Times New Roman"/>
          <w:color w:val="000000" w:themeColor="text1"/>
          <w:sz w:val="24"/>
          <w:lang w:val="en-US" w:eastAsia="zh-CN"/>
          <w14:textFill>
            <w14:solidFill>
              <w14:schemeClr w14:val="tx1"/>
            </w14:solidFill>
          </w14:textFill>
        </w:rPr>
        <w:t>天实测数据，数据记录间隔不长于1小时，</w:t>
      </w:r>
      <w:r>
        <w:rPr>
          <w:rFonts w:hint="eastAsia" w:ascii="Times New Roman" w:hAnsi="Times New Roman" w:cs="Times New Roman"/>
          <w:color w:val="000000" w:themeColor="text1"/>
          <w:sz w:val="24"/>
          <w14:textFill>
            <w14:solidFill>
              <w14:schemeClr w14:val="tx1"/>
            </w14:solidFill>
          </w14:textFill>
        </w:rPr>
        <w:t>空气</w:t>
      </w:r>
      <w:r>
        <w:rPr>
          <w:rFonts w:hint="eastAsia" w:cs="Times New Roman"/>
          <w:color w:val="000000" w:themeColor="text1"/>
          <w:sz w:val="24"/>
          <w:lang w:val="en-US" w:eastAsia="zh-CN"/>
          <w14:textFill>
            <w14:solidFill>
              <w14:schemeClr w14:val="tx1"/>
            </w14:solidFill>
          </w14:textFill>
        </w:rPr>
        <w:t>质量</w:t>
      </w:r>
      <w:r>
        <w:rPr>
          <w:rFonts w:hint="eastAsia" w:ascii="Times New Roman" w:hAnsi="Times New Roman" w:cs="Times New Roman"/>
          <w:color w:val="000000" w:themeColor="text1"/>
          <w:sz w:val="24"/>
          <w14:textFill>
            <w14:solidFill>
              <w14:schemeClr w14:val="tx1"/>
            </w14:solidFill>
          </w14:textFill>
        </w:rPr>
        <w:t>参数</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包括但不限于</w:t>
      </w:r>
      <w:r>
        <w:rPr>
          <w:rFonts w:hint="default"/>
          <w:color w:val="000000" w:themeColor="text1"/>
          <w:sz w:val="24"/>
          <w14:textFill>
            <w14:solidFill>
              <w14:schemeClr w14:val="tx1"/>
            </w14:solidFill>
          </w14:textFill>
        </w:rPr>
        <w:t>氨、甲醛、苯、总挥发性有机物、氡</w:t>
      </w:r>
      <w:r>
        <w:rPr>
          <w:rFonts w:hint="eastAsia"/>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应有每</w:t>
      </w:r>
      <w:r>
        <w:rPr>
          <w:rFonts w:hint="eastAsia" w:cs="Times New Roman"/>
          <w:color w:val="000000" w:themeColor="text1"/>
          <w:sz w:val="24"/>
          <w:lang w:val="en-US" w:eastAsia="zh-CN"/>
          <w14:textFill>
            <w14:solidFill>
              <w14:schemeClr w14:val="tx1"/>
            </w14:solidFill>
          </w14:textFill>
        </w:rPr>
        <w:t>天实测数据，数据记录间隔不长于1小时。</w:t>
      </w:r>
    </w:p>
    <w:p>
      <w:pPr>
        <w:shd w:val="clear"/>
        <w:adjustRightInd w:val="0"/>
        <w:snapToGrid w:val="0"/>
        <w:spacing w:before="93" w:beforeLines="30" w:after="93" w:afterLines="30" w:line="312" w:lineRule="auto"/>
        <w:rPr>
          <w:rFonts w:hint="default" w:ascii="Times New Roman" w:hAnsi="Times New Roman" w:cs="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r>
        <w:rPr>
          <w:rFonts w:hint="default" w:ascii="Times New Roman" w:hAnsi="Times New Roman" w:cs="Times New Roman"/>
          <w:color w:val="000000" w:themeColor="text1"/>
          <w:sz w:val="24"/>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 xml:space="preserve">  建筑单体和建筑群均可以参与绿色建筑后评估。当需要对某工程项目中的单栋建筑进行评价时，由于有些评价指标是针对该工程项目设定的或该工程项目中其他建筑也采用了相同的技术方案，难以仅基于该单栋建筑进行评价，此时，应以该栋建筑所属工程项目的总体为基准进行评价。</w:t>
      </w:r>
    </w:p>
    <w:p>
      <w:pPr>
        <w:shd w:val="clear"/>
        <w:adjustRightInd w:val="0"/>
        <w:snapToGrid w:val="0"/>
        <w:spacing w:before="93" w:beforeLines="30" w:after="93" w:afterLines="30" w:line="31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建筑群是指位置毗邻、功能相同、权属相同、技术体系相同或相近的两个及以上单体建筑组成的群体。常见的建筑群有住宅建筑群、办公建筑群。当对建筑群进行评价时，可先用本标准评分项对各建筑进行评价，得到各建筑单体的总得分，再按各单体建筑的建筑面积进行加权计算得到建筑群的总得分，最后按建筑群的总得分确定建筑群的绿色建筑后评估等级。</w:t>
      </w:r>
    </w:p>
    <w:p>
      <w:pPr>
        <w:shd w:val="clear"/>
        <w:adjustRightInd w:val="0"/>
        <w:snapToGrid w:val="0"/>
        <w:spacing w:before="93" w:beforeLines="30" w:after="93" w:afterLines="30" w:line="312"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参评建筑本身不得为临时建筑且应为完整的建筑，不得从中剔除部分区域。无论评价对象为单栋建筑或建筑群，计算系统性、整体性指标时，要基于该指标所覆盖的范围或区域进行总体评价，计算区域的边界应选取合理、口径一致、能够完整围合。</w:t>
      </w:r>
    </w:p>
    <w:p>
      <w:pPr>
        <w:shd w:val="clear"/>
        <w:adjustRightInd w:val="0"/>
        <w:snapToGrid w:val="0"/>
        <w:spacing w:before="93" w:beforeLines="30" w:after="93" w:afterLines="30" w:line="312" w:lineRule="auto"/>
        <w:ind w:firstLine="480" w:firstLineChars="200"/>
        <w:rPr>
          <w:rFonts w:hint="eastAsia"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绿色建筑后评估范围与绿色建筑设计、施工、竣工和评价标识所</w:t>
      </w:r>
      <w:r>
        <w:rPr>
          <w:rFonts w:hint="eastAsia" w:cs="Times New Roman"/>
          <w:color w:val="000000" w:themeColor="text1"/>
          <w:sz w:val="24"/>
          <w:lang w:val="en-US" w:eastAsia="zh-CN"/>
          <w14:textFill>
            <w14:solidFill>
              <w14:schemeClr w14:val="tx1"/>
            </w14:solidFill>
          </w14:textFill>
        </w:rPr>
        <w:t>涵盖</w:t>
      </w:r>
      <w:r>
        <w:rPr>
          <w:rFonts w:hint="default" w:ascii="Times New Roman" w:hAnsi="Times New Roman" w:cs="Times New Roman"/>
          <w:color w:val="000000" w:themeColor="text1"/>
          <w:sz w:val="24"/>
          <w14:textFill>
            <w14:solidFill>
              <w14:schemeClr w14:val="tx1"/>
            </w14:solidFill>
          </w14:textFill>
        </w:rPr>
        <w:t>的范围保持一致</w:t>
      </w:r>
      <w:r>
        <w:rPr>
          <w:rFonts w:hint="eastAsia" w:cs="Times New Roman"/>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w:t>
      </w:r>
      <w:r>
        <w:rPr>
          <w:rFonts w:hint="eastAsia" w:cs="Times New Roman"/>
          <w:color w:val="000000" w:themeColor="text1"/>
          <w:sz w:val="24"/>
          <w:lang w:val="en-US" w:eastAsia="zh-CN"/>
          <w14:textFill>
            <w14:solidFill>
              <w14:schemeClr w14:val="tx1"/>
            </w14:solidFill>
          </w14:textFill>
        </w:rPr>
        <w:t>5</w:t>
      </w:r>
      <w:r>
        <w:rPr>
          <w:rFonts w:ascii="Times New Roman" w:hAnsi="Times New Roman" w:cs="Times New Roman"/>
          <w:color w:val="000000" w:themeColor="text1"/>
          <w:sz w:val="24"/>
          <w14:textFill>
            <w14:solidFill>
              <w14:schemeClr w14:val="tx1"/>
            </w14:solidFill>
          </w14:textFill>
        </w:rPr>
        <w:t xml:space="preserve">  </w:t>
      </w:r>
      <w:r>
        <w:rPr>
          <w:rFonts w:hint="eastAsia" w:cs="Times New Roman"/>
          <w:color w:val="000000" w:themeColor="text1"/>
          <w:sz w:val="24"/>
          <w:lang w:val="en-US" w:eastAsia="zh-CN"/>
          <w14:textFill>
            <w14:solidFill>
              <w14:schemeClr w14:val="tx1"/>
            </w14:solidFill>
          </w14:textFill>
        </w:rPr>
        <w:t>检测报告是准确评估绿色建筑实际运行效果的重要基础材料，检测时间应为建筑投入使用后至后评估前的时间内，而非竣工验收时。因此，检测时间不应与评估时间相距太长，此条明确检测时间与评估时间不应超过三个月</w:t>
      </w:r>
      <w:r>
        <w:rPr>
          <w:rFonts w:ascii="Times New Roman" w:hAnsi="Times New Roman" w:cs="Times New Roman"/>
          <w:color w:val="000000" w:themeColor="text1"/>
          <w:sz w:val="24"/>
          <w14:textFill>
            <w14:solidFill>
              <w14:schemeClr w14:val="tx1"/>
            </w14:solidFill>
          </w14:textFill>
        </w:rPr>
        <w:t>。</w:t>
      </w:r>
    </w:p>
    <w:p>
      <w:pPr>
        <w:shd w:val="clear"/>
        <w:adjustRightInd w:val="0"/>
        <w:snapToGrid w:val="0"/>
        <w:spacing w:before="93" w:beforeLines="30" w:after="93" w:afterLines="30" w:line="312" w:lineRule="auto"/>
        <w:ind w:firstLine="0" w:firstLineChars="0"/>
        <w:rPr>
          <w:rFonts w:hint="eastAsia" w:cs="Times New Roman"/>
          <w:color w:val="000000" w:themeColor="text1"/>
          <w:sz w:val="24"/>
          <w:lang w:eastAsia="zh-CN"/>
          <w14:textFill>
            <w14:solidFill>
              <w14:schemeClr w14:val="tx1"/>
            </w14:solidFill>
          </w14:textFill>
        </w:rPr>
      </w:pPr>
    </w:p>
    <w:p>
      <w:pPr>
        <w:shd w:val="clear"/>
        <w:adjustRightInd w:val="0"/>
        <w:snapToGrid w:val="0"/>
        <w:spacing w:before="93" w:beforeLines="30" w:after="93" w:afterLines="30" w:line="312" w:lineRule="auto"/>
        <w:jc w:val="center"/>
        <w:outlineLvl w:val="1"/>
        <w:rPr>
          <w:rFonts w:hint="default"/>
          <w:b/>
          <w:color w:val="000000" w:themeColor="text1"/>
          <w:sz w:val="24"/>
          <w14:textFill>
            <w14:solidFill>
              <w14:schemeClr w14:val="tx1"/>
            </w14:solidFill>
          </w14:textFill>
        </w:rPr>
      </w:pPr>
      <w:bookmarkStart w:id="479" w:name="_Toc21528"/>
      <w:bookmarkStart w:id="480" w:name="_Toc20552"/>
      <w:r>
        <w:rPr>
          <w:b/>
          <w:color w:val="000000" w:themeColor="text1"/>
          <w:sz w:val="24"/>
          <w14:textFill>
            <w14:solidFill>
              <w14:schemeClr w14:val="tx1"/>
            </w14:solidFill>
          </w14:textFill>
        </w:rPr>
        <w:t>3.</w:t>
      </w:r>
      <w:r>
        <w:rPr>
          <w:rFonts w:hint="default"/>
          <w:b/>
          <w:color w:val="000000" w:themeColor="text1"/>
          <w:sz w:val="24"/>
          <w14:textFill>
            <w14:solidFill>
              <w14:schemeClr w14:val="tx1"/>
            </w14:solidFill>
          </w14:textFill>
        </w:rPr>
        <w:t>2</w:t>
      </w:r>
      <w:r>
        <w:rPr>
          <w:b/>
          <w:color w:val="000000" w:themeColor="text1"/>
          <w:sz w:val="24"/>
          <w14:textFill>
            <w14:solidFill>
              <w14:schemeClr w14:val="tx1"/>
            </w14:solidFill>
          </w14:textFill>
        </w:rPr>
        <w:t xml:space="preserve"> 评估与等级划分</w:t>
      </w:r>
      <w:bookmarkEnd w:id="479"/>
      <w:bookmarkEnd w:id="480"/>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.1  </w:t>
      </w:r>
      <w:r>
        <w:rPr>
          <w:rFonts w:hint="eastAsia"/>
          <w:color w:val="000000" w:themeColor="text1"/>
          <w:sz w:val="24"/>
          <w:lang w:val="en-US" w:eastAsia="zh-CN"/>
          <w14:textFill>
            <w14:solidFill>
              <w14:schemeClr w14:val="tx1"/>
            </w14:solidFill>
          </w14:textFill>
        </w:rPr>
        <w:t>本标准评估指标</w:t>
      </w:r>
      <w:r>
        <w:rPr>
          <w:color w:val="000000" w:themeColor="text1"/>
          <w:sz w:val="24"/>
          <w14:textFill>
            <w14:solidFill>
              <w14:schemeClr w14:val="tx1"/>
            </w14:solidFill>
          </w14:textFill>
        </w:rPr>
        <w:t>与国标《绿色建筑评价标准》GB</w:t>
      </w:r>
      <w:r>
        <w:rPr>
          <w:rFonts w:hint="default"/>
          <w:color w:val="000000" w:themeColor="text1"/>
          <w:sz w:val="24"/>
          <w14:textFill>
            <w14:solidFill>
              <w14:schemeClr w14:val="tx1"/>
            </w14:solidFill>
          </w14:textFill>
        </w:rPr>
        <w:t>/</w:t>
      </w:r>
      <w:r>
        <w:rPr>
          <w:color w:val="000000" w:themeColor="text1"/>
          <w:sz w:val="24"/>
          <w14:textFill>
            <w14:solidFill>
              <w14:schemeClr w14:val="tx1"/>
            </w14:solidFill>
          </w14:textFill>
        </w:rPr>
        <w:t>T</w:t>
      </w:r>
      <w:r>
        <w:rPr>
          <w:rFonts w:hint="default"/>
          <w:color w:val="000000" w:themeColor="text1"/>
          <w:sz w:val="24"/>
          <w14:textFill>
            <w14:solidFill>
              <w14:schemeClr w14:val="tx1"/>
            </w14:solidFill>
          </w14:textFill>
        </w:rPr>
        <w:t xml:space="preserve"> 50378</w:t>
      </w:r>
      <w:r>
        <w:rPr>
          <w:color w:val="000000" w:themeColor="text1"/>
          <w:sz w:val="24"/>
          <w14:textFill>
            <w14:solidFill>
              <w14:schemeClr w14:val="tx1"/>
            </w14:solidFill>
          </w14:textFill>
        </w:rPr>
        <w:t>相衔接，评估指标体系包括</w:t>
      </w:r>
      <w:r>
        <w:rPr>
          <w:rFonts w:hint="eastAsia"/>
          <w:color w:val="000000" w:themeColor="text1"/>
          <w:sz w:val="24"/>
          <w:lang w:val="en-US" w:eastAsia="zh-CN"/>
          <w14:textFill>
            <w14:solidFill>
              <w14:schemeClr w14:val="tx1"/>
            </w14:solidFill>
          </w14:textFill>
        </w:rPr>
        <w:t>绿色建筑技术</w:t>
      </w:r>
      <w:r>
        <w:rPr>
          <w:color w:val="000000" w:themeColor="text1"/>
          <w:sz w:val="24"/>
          <w14:textFill>
            <w14:solidFill>
              <w14:schemeClr w14:val="tx1"/>
            </w14:solidFill>
          </w14:textFill>
        </w:rPr>
        <w:t>措施落实、</w:t>
      </w:r>
      <w:r>
        <w:rPr>
          <w:rFonts w:hint="eastAsia" w:cs="Times New Roman"/>
          <w:color w:val="000000" w:themeColor="text1"/>
          <w:sz w:val="24"/>
          <w:lang w:val="en-US" w:eastAsia="zh-CN"/>
          <w14:textFill>
            <w14:solidFill>
              <w14:schemeClr w14:val="tx1"/>
            </w14:solidFill>
          </w14:textFill>
        </w:rPr>
        <w:t>关键评估指标、一般评估指标</w:t>
      </w:r>
      <w:r>
        <w:rPr>
          <w:color w:val="000000" w:themeColor="text1"/>
          <w:sz w:val="24"/>
          <w14:textFill>
            <w14:solidFill>
              <w14:schemeClr w14:val="tx1"/>
            </w14:solidFill>
          </w14:textFill>
        </w:rPr>
        <w:t>、用户满意度</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类指标。</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设计措施落实为控制性指标，参评建筑必须满足。其余</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类为评估性指标，每类指标包含分值不等的条文。</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  绿色建筑后评估体系分为控制性指标、评估性指标。控制性指标对应分数为基础分数，获得条件为满足标准4.1</w:t>
      </w:r>
      <w:r>
        <w:rPr>
          <w:rFonts w:hint="eastAsia" w:ascii="Times New Roman" w:hAnsi="Times New Roman" w:cs="Times New Roman"/>
          <w:color w:val="000000" w:themeColor="text1"/>
          <w:sz w:val="24"/>
          <w:lang w:val="en-US" w:eastAsia="zh-CN"/>
          <w14:textFill>
            <w14:solidFill>
              <w14:schemeClr w14:val="tx1"/>
            </w14:solidFill>
          </w14:textFill>
        </w:rPr>
        <w:t>的相关</w:t>
      </w:r>
      <w:r>
        <w:rPr>
          <w:rFonts w:ascii="Times New Roman" w:hAnsi="Times New Roman" w:cs="Times New Roman"/>
          <w:color w:val="000000" w:themeColor="text1"/>
          <w:sz w:val="24"/>
          <w14:textFill>
            <w14:solidFill>
              <w14:schemeClr w14:val="tx1"/>
            </w14:solidFill>
          </w14:textFill>
        </w:rPr>
        <w:t>要求。评估性指标包含</w:t>
      </w:r>
      <w:r>
        <w:rPr>
          <w:rFonts w:hint="eastAsia" w:cs="Times New Roman"/>
          <w:color w:val="000000" w:themeColor="text1"/>
          <w:sz w:val="24"/>
          <w:lang w:val="en-US" w:eastAsia="zh-CN"/>
          <w14:textFill>
            <w14:solidFill>
              <w14:schemeClr w14:val="tx1"/>
            </w14:solidFill>
          </w14:textFill>
        </w:rPr>
        <w:t>关键评估指标</w:t>
      </w:r>
      <w:r>
        <w:rPr>
          <w:rFonts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一般评估指标</w:t>
      </w:r>
      <w:r>
        <w:rPr>
          <w:rFonts w:ascii="Times New Roman" w:hAnsi="Times New Roman" w:cs="Times New Roman"/>
          <w:color w:val="000000" w:themeColor="text1"/>
          <w:sz w:val="24"/>
          <w14:textFill>
            <w14:solidFill>
              <w14:schemeClr w14:val="tx1"/>
            </w14:solidFill>
          </w14:textFill>
        </w:rPr>
        <w:t>、用户满意度</w:t>
      </w:r>
      <w:r>
        <w:rPr>
          <w:rFonts w:hint="eastAsia" w:cs="Times New Roman"/>
          <w:color w:val="000000" w:themeColor="text1"/>
          <w:sz w:val="24"/>
          <w:lang w:val="en-US" w:eastAsia="zh-CN"/>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项指标，各项指标满分值</w:t>
      </w:r>
      <w:r>
        <w:rPr>
          <w:rFonts w:hint="eastAsia" w:ascii="Times New Roman" w:hAnsi="Times New Roman" w:cs="Times New Roman"/>
          <w:color w:val="000000" w:themeColor="text1"/>
          <w:sz w:val="24"/>
          <w:lang w:val="en-US" w:eastAsia="zh-CN"/>
          <w14:textFill>
            <w14:solidFill>
              <w14:schemeClr w14:val="tx1"/>
            </w14:solidFill>
          </w14:textFill>
        </w:rPr>
        <w:t>详见“</w:t>
      </w:r>
      <w:r>
        <w:rPr>
          <w:rFonts w:ascii="Times New Roman" w:hAnsi="Times New Roman" w:cs="Times New Roman"/>
          <w:color w:val="000000" w:themeColor="text1"/>
          <w:sz w:val="24"/>
          <w14:textFill>
            <w14:solidFill>
              <w14:schemeClr w14:val="tx1"/>
            </w14:solidFill>
          </w14:textFill>
        </w:rPr>
        <w:t>表3</w:t>
      </w:r>
      <w:r>
        <w:rPr>
          <w:rFonts w:hint="default" w:ascii="Times New Roman" w:hAnsi="Times New Roman" w:cs="Times New Roman"/>
          <w:color w:val="000000" w:themeColor="text1"/>
          <w:sz w:val="24"/>
          <w14:textFill>
            <w14:solidFill>
              <w14:schemeClr w14:val="tx1"/>
            </w14:solidFill>
          </w14:textFill>
        </w:rPr>
        <w:t xml:space="preserve">.2.2 </w:t>
      </w:r>
      <w:r>
        <w:rPr>
          <w:rFonts w:ascii="Times New Roman" w:hAnsi="Times New Roman" w:cs="Times New Roman"/>
          <w:color w:val="000000" w:themeColor="text1"/>
          <w:sz w:val="24"/>
          <w14:textFill>
            <w14:solidFill>
              <w14:schemeClr w14:val="tx1"/>
            </w14:solidFill>
          </w14:textFill>
        </w:rPr>
        <w:t>绿色建筑后评估评价分值</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w:t>
      </w:r>
    </w:p>
    <w:p>
      <w:pPr>
        <w:shd w:val="clear"/>
        <w:adjustRightInd w:val="0"/>
        <w:snapToGrid w:val="0"/>
        <w:spacing w:before="93" w:beforeLines="30" w:after="93" w:afterLines="30" w:line="312" w:lineRule="auto"/>
        <w:rPr>
          <w:rFonts w:hint="default" w:ascii="Times New Roman" w:hAnsi="Times New Roman" w:cs="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本条对绿色建筑后评估的总得分计算方法做出的规定。参评建筑的总得分有控制性指标基础分值、评估性指标得分两部分组成，总得分满分为1</w:t>
      </w:r>
      <w:r>
        <w:rPr>
          <w:rFonts w:hint="eastAsia"/>
          <w:color w:val="000000" w:themeColor="text1"/>
          <w:sz w:val="24"/>
          <w:lang w:val="en-US" w:eastAsia="zh-CN"/>
          <w14:textFill>
            <w14:solidFill>
              <w14:schemeClr w14:val="tx1"/>
            </w14:solidFill>
          </w14:textFill>
        </w:rPr>
        <w:t>1</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分。控制性指标基础分值的获得条件是满足本标准4</w:t>
      </w:r>
      <w:r>
        <w:rPr>
          <w:rFonts w:hint="default"/>
          <w:color w:val="000000" w:themeColor="text1"/>
          <w:sz w:val="24"/>
          <w14:textFill>
            <w14:solidFill>
              <w14:schemeClr w14:val="tx1"/>
            </w14:solidFill>
          </w14:textFill>
        </w:rPr>
        <w:t>.1</w:t>
      </w:r>
      <w:r>
        <w:rPr>
          <w:color w:val="000000" w:themeColor="text1"/>
          <w:sz w:val="24"/>
          <w14:textFill>
            <w14:solidFill>
              <w14:schemeClr w14:val="tx1"/>
            </w14:solidFill>
          </w14:textFill>
        </w:rPr>
        <w:t>节要求。计算分值Q的最终结果，按四舍五入取整。</w:t>
      </w:r>
    </w:p>
    <w:p>
      <w:pPr>
        <w:shd w:val="clear"/>
        <w:adjustRightInd w:val="0"/>
        <w:snapToGrid w:val="0"/>
        <w:spacing w:before="93" w:beforeLines="30" w:after="93" w:afterLines="30" w:line="312" w:lineRule="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 xml:space="preserve">  本条对绿色建筑后评估的等级做出规定，绿色建筑后评估分为</w:t>
      </w:r>
      <w:r>
        <w:rPr>
          <w:rFonts w:hint="eastAsia" w:ascii="Times New Roman" w:hAnsi="Times New Roman" w:cs="Times New Roman"/>
          <w:color w:val="000000" w:themeColor="text1"/>
          <w:sz w:val="24"/>
          <w:lang w:val="en-US" w:eastAsia="zh-CN"/>
          <w14:textFill>
            <w14:solidFill>
              <w14:schemeClr w14:val="tx1"/>
            </w14:solidFill>
          </w14:textFill>
        </w:rPr>
        <w:t>基本级、</w:t>
      </w:r>
      <w:r>
        <w:rPr>
          <w:rFonts w:ascii="Times New Roman" w:hAnsi="Times New Roman" w:cs="Times New Roman"/>
          <w:color w:val="000000" w:themeColor="text1"/>
          <w:sz w:val="24"/>
          <w14:textFill>
            <w14:solidFill>
              <w14:schemeClr w14:val="tx1"/>
            </w14:solidFill>
          </w14:textFill>
        </w:rPr>
        <w:t>一星级、二星级、三星级</w:t>
      </w:r>
      <w:r>
        <w:rPr>
          <w:rFonts w:hint="eastAsia" w:ascii="Times New Roman" w:hAnsi="Times New Roman" w:cs="Times New Roman"/>
          <w:color w:val="000000" w:themeColor="text1"/>
          <w:sz w:val="24"/>
          <w:lang w:val="en-US" w:eastAsia="zh-CN"/>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个等级。</w:t>
      </w:r>
    </w:p>
    <w:p>
      <w:pPr>
        <w:shd w:val="clear"/>
        <w:adjustRightInd w:val="0"/>
        <w:snapToGrid w:val="0"/>
        <w:spacing w:before="93" w:beforeLines="30" w:after="93" w:afterLines="30" w:line="312" w:lineRule="auto"/>
        <w:rPr>
          <w:rFonts w:hint="default" w:ascii="Times New Roman" w:hAnsi="Times New Roman" w:cs="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 xml:space="preserve">3.2.5  </w:t>
      </w:r>
      <w:r>
        <w:rPr>
          <w:color w:val="000000" w:themeColor="text1"/>
          <w:sz w:val="24"/>
          <w14:textFill>
            <w14:solidFill>
              <w14:schemeClr w14:val="tx1"/>
            </w14:solidFill>
          </w14:textFill>
        </w:rPr>
        <w:t>本条对绿色建筑后评估的等级评定做出规定。绿色建筑后评估进行等级评定时，首先应该满足本标准4</w:t>
      </w:r>
      <w:r>
        <w:rPr>
          <w:rFonts w:hint="default"/>
          <w:color w:val="000000" w:themeColor="text1"/>
          <w:sz w:val="24"/>
          <w14:textFill>
            <w14:solidFill>
              <w14:schemeClr w14:val="tx1"/>
            </w14:solidFill>
          </w14:textFill>
        </w:rPr>
        <w:t>.1</w:t>
      </w:r>
      <w:r>
        <w:rPr>
          <w:color w:val="000000" w:themeColor="text1"/>
          <w:sz w:val="24"/>
          <w14:textFill>
            <w14:solidFill>
              <w14:schemeClr w14:val="tx1"/>
            </w14:solidFill>
          </w14:textFill>
        </w:rPr>
        <w:t>节的控制性指标的要求，</w:t>
      </w: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规定了每类评估性指标的最低得分要求，</w:t>
      </w:r>
      <w:r>
        <w:rPr>
          <w:rFonts w:hint="eastAsia"/>
          <w:color w:val="000000" w:themeColor="text1"/>
          <w:sz w:val="24"/>
          <w:lang w:val="en-US" w:eastAsia="zh-CN"/>
          <w14:textFill>
            <w14:solidFill>
              <w14:schemeClr w14:val="tx1"/>
            </w14:solidFill>
          </w14:textFill>
        </w:rPr>
        <w:t>以</w:t>
      </w:r>
      <w:r>
        <w:rPr>
          <w:color w:val="000000" w:themeColor="text1"/>
          <w:sz w:val="24"/>
          <w14:textFill>
            <w14:solidFill>
              <w14:schemeClr w14:val="tx1"/>
            </w14:solidFill>
          </w14:textFill>
        </w:rPr>
        <w:t>实现绿色建筑的性能平衡。按照本标准3</w:t>
      </w:r>
      <w:r>
        <w:rPr>
          <w:rFonts w:hint="default"/>
          <w:color w:val="000000" w:themeColor="text1"/>
          <w:sz w:val="24"/>
          <w14:textFill>
            <w14:solidFill>
              <w14:schemeClr w14:val="tx1"/>
            </w14:solidFill>
          </w14:textFill>
        </w:rPr>
        <w:t>.2.3</w:t>
      </w:r>
      <w:r>
        <w:rPr>
          <w:color w:val="000000" w:themeColor="text1"/>
          <w:sz w:val="24"/>
          <w14:textFill>
            <w14:solidFill>
              <w14:schemeClr w14:val="tx1"/>
            </w14:solidFill>
          </w14:textFill>
        </w:rPr>
        <w:t>条的规定计算绿色建筑后评估总得分，当总得分分别达到6</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分、7</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分、8</w:t>
      </w:r>
      <w:r>
        <w:rPr>
          <w:rFonts w:hint="default"/>
          <w:color w:val="000000" w:themeColor="text1"/>
          <w:sz w:val="24"/>
          <w14:textFill>
            <w14:solidFill>
              <w14:schemeClr w14:val="tx1"/>
            </w14:solidFill>
          </w14:textFill>
        </w:rPr>
        <w:t>5</w:t>
      </w:r>
      <w:r>
        <w:rPr>
          <w:color w:val="000000" w:themeColor="text1"/>
          <w:sz w:val="24"/>
          <w14:textFill>
            <w14:solidFill>
              <w14:schemeClr w14:val="tx1"/>
            </w14:solidFill>
          </w14:textFill>
        </w:rPr>
        <w:t>分时，绿色建筑后评估等级分别为一星级、二星级、三星级。</w:t>
      </w:r>
    </w:p>
    <w:p>
      <w:pPr>
        <w:shd w:val="clear"/>
        <w:adjustRightInd w:val="0"/>
        <w:snapToGrid w:val="0"/>
        <w:spacing w:before="93" w:beforeLines="30" w:after="93" w:afterLines="30" w:line="312" w:lineRule="auto"/>
        <w:jc w:val="center"/>
        <w:outlineLvl w:val="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bookmarkStart w:id="481" w:name="_Toc1479"/>
      <w:bookmarkStart w:id="482" w:name="_Toc29382"/>
      <w:r>
        <w:rPr>
          <w:b/>
          <w:color w:val="000000" w:themeColor="text1"/>
          <w:sz w:val="36"/>
          <w14:textFill>
            <w14:solidFill>
              <w14:schemeClr w14:val="tx1"/>
            </w14:solidFill>
          </w14:textFill>
        </w:rPr>
        <w:t>4 评估指标</w:t>
      </w:r>
      <w:bookmarkEnd w:id="481"/>
      <w:bookmarkEnd w:id="482"/>
    </w:p>
    <w:p>
      <w:pPr>
        <w:shd w:val="clear"/>
        <w:adjustRightInd w:val="0"/>
        <w:snapToGrid w:val="0"/>
        <w:spacing w:before="93" w:beforeLines="30" w:after="93" w:afterLines="30" w:line="312" w:lineRule="auto"/>
        <w:jc w:val="center"/>
        <w:outlineLvl w:val="1"/>
        <w:rPr>
          <w:rFonts w:hint="default"/>
          <w:b/>
          <w:color w:val="000000" w:themeColor="text1"/>
          <w:sz w:val="24"/>
          <w14:textFill>
            <w14:solidFill>
              <w14:schemeClr w14:val="tx1"/>
            </w14:solidFill>
          </w14:textFill>
        </w:rPr>
      </w:pPr>
      <w:bookmarkStart w:id="483" w:name="_Toc7923"/>
      <w:bookmarkStart w:id="484" w:name="_Toc13244"/>
      <w:r>
        <w:rPr>
          <w:b/>
          <w:color w:val="000000" w:themeColor="text1"/>
          <w:sz w:val="24"/>
          <w14:textFill>
            <w14:solidFill>
              <w14:schemeClr w14:val="tx1"/>
            </w14:solidFill>
          </w14:textFill>
        </w:rPr>
        <w:t xml:space="preserve">4.1 </w:t>
      </w:r>
      <w:r>
        <w:rPr>
          <w:rFonts w:hint="eastAsia"/>
          <w:b/>
          <w:bCs/>
          <w:color w:val="000000" w:themeColor="text1"/>
          <w:sz w:val="24"/>
          <w:lang w:val="en-US" w:eastAsia="zh-CN"/>
          <w14:textFill>
            <w14:solidFill>
              <w14:schemeClr w14:val="tx1"/>
            </w14:solidFill>
          </w14:textFill>
        </w:rPr>
        <w:t>绿色建筑技术</w:t>
      </w:r>
      <w:r>
        <w:rPr>
          <w:b/>
          <w:color w:val="000000" w:themeColor="text1"/>
          <w:sz w:val="24"/>
          <w14:textFill>
            <w14:solidFill>
              <w14:schemeClr w14:val="tx1"/>
            </w14:solidFill>
          </w14:textFill>
        </w:rPr>
        <w:t>措施落实</w:t>
      </w:r>
      <w:bookmarkEnd w:id="483"/>
      <w:bookmarkEnd w:id="484"/>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default"/>
          <w:b/>
          <w:bCs/>
          <w:color w:val="000000" w:themeColor="text1"/>
          <w:sz w:val="24"/>
          <w14:textFill>
            <w14:solidFill>
              <w14:schemeClr w14:val="tx1"/>
            </w14:solidFill>
          </w14:textFill>
        </w:rPr>
        <w:t>.1.1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02</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年颁布的《广东省绿色建筑条例》，从规划、设计、施工、验收、检测、监督、运行等方面对绿色建筑工程提出了具体要求。</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《广东省建筑节能与绿色建筑工程施工质量验收规范》DB</w:t>
      </w:r>
      <w:r>
        <w:rPr>
          <w:rFonts w:hint="eastAsia"/>
          <w:color w:val="000000" w:themeColor="text1"/>
          <w:sz w:val="24"/>
          <w:lang w:val="en-US" w:eastAsia="zh-CN"/>
          <w14:textFill>
            <w14:solidFill>
              <w14:schemeClr w14:val="tx1"/>
            </w14:solidFill>
          </w14:textFill>
        </w:rPr>
        <w:t>J</w:t>
      </w:r>
      <w:r>
        <w:rPr>
          <w:color w:val="000000" w:themeColor="text1"/>
          <w:sz w:val="24"/>
          <w14:textFill>
            <w14:solidFill>
              <w14:schemeClr w14:val="tx1"/>
            </w14:solidFill>
          </w14:textFill>
        </w:rPr>
        <w:t xml:space="preserve"> 15-65</w:t>
      </w:r>
      <w:r>
        <w:rPr>
          <w:rFonts w:hint="default"/>
          <w:color w:val="000000" w:themeColor="text1"/>
          <w:sz w:val="24"/>
          <w14:textFill>
            <w14:solidFill>
              <w14:schemeClr w14:val="tx1"/>
            </w14:solidFill>
          </w14:textFill>
        </w:rPr>
        <w:t>-2021</w:t>
      </w:r>
      <w:r>
        <w:rPr>
          <w:color w:val="000000" w:themeColor="text1"/>
          <w:sz w:val="24"/>
          <w14:textFill>
            <w14:solidFill>
              <w14:schemeClr w14:val="tx1"/>
            </w14:solidFill>
          </w14:textFill>
        </w:rPr>
        <w:t>已于2</w:t>
      </w:r>
      <w:r>
        <w:rPr>
          <w:rFonts w:hint="default"/>
          <w:color w:val="000000" w:themeColor="text1"/>
          <w:sz w:val="24"/>
          <w14:textFill>
            <w14:solidFill>
              <w14:schemeClr w14:val="tx1"/>
            </w14:solidFill>
          </w14:textFill>
        </w:rPr>
        <w:t>021</w:t>
      </w:r>
      <w:r>
        <w:rPr>
          <w:color w:val="000000" w:themeColor="text1"/>
          <w:sz w:val="24"/>
          <w14:textFill>
            <w14:solidFill>
              <w14:schemeClr w14:val="tx1"/>
            </w14:solidFill>
          </w14:textFill>
        </w:rPr>
        <w:t>年8月1</w:t>
      </w: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日发布，2</w:t>
      </w:r>
      <w:r>
        <w:rPr>
          <w:rFonts w:hint="default"/>
          <w:color w:val="000000" w:themeColor="text1"/>
          <w:sz w:val="24"/>
          <w14:textFill>
            <w14:solidFill>
              <w14:schemeClr w14:val="tx1"/>
            </w14:solidFill>
          </w14:textFill>
        </w:rPr>
        <w:t>022</w:t>
      </w:r>
      <w:r>
        <w:rPr>
          <w:color w:val="000000" w:themeColor="text1"/>
          <w:sz w:val="24"/>
          <w14:textFill>
            <w14:solidFill>
              <w14:schemeClr w14:val="tx1"/>
            </w14:solidFill>
          </w14:textFill>
        </w:rPr>
        <w:t>年1月1日起实施，标准的发布实施，统一了施工质量验收标准，保证工程质量。</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不断完善的绿色建筑政策法规和技术标准，无一不在强调绿色建筑技术措施的落地实施，让建筑使用者体验到绿色建筑的性能提升，因此，作为本标准的控制性指标，绿色建筑的各项技术措施必须按图施工，落实到位，新建建筑在验收阶段，如按《广东省建筑节能与绿色建筑工程施工质量验收规范》D</w:t>
      </w:r>
      <w:r>
        <w:rPr>
          <w:rFonts w:hint="eastAsia"/>
          <w:color w:val="000000" w:themeColor="text1"/>
          <w:sz w:val="24"/>
          <w:lang w:val="en-US" w:eastAsia="zh-CN"/>
          <w14:textFill>
            <w14:solidFill>
              <w14:schemeClr w14:val="tx1"/>
            </w14:solidFill>
          </w14:textFill>
        </w:rPr>
        <w:t>BJ</w:t>
      </w:r>
      <w:r>
        <w:rPr>
          <w:color w:val="000000" w:themeColor="text1"/>
          <w:sz w:val="24"/>
          <w14:textFill>
            <w14:solidFill>
              <w14:schemeClr w14:val="tx1"/>
            </w14:solidFill>
          </w14:textFill>
        </w:rPr>
        <w:t xml:space="preserve"> 15-65进行了节能绿建分部验收，本条视为达标。</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查阅竣工验收文件中节能绿建分部验收资料并现场核查。</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default"/>
          <w:b/>
          <w:bCs/>
          <w:color w:val="000000" w:themeColor="text1"/>
          <w:sz w:val="24"/>
          <w14:textFill>
            <w14:solidFill>
              <w14:schemeClr w14:val="tx1"/>
            </w14:solidFill>
          </w14:textFill>
        </w:rPr>
        <w:t>.1.2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在《广东省建筑节能与绿色建筑工程施工质量验收规范》D</w:t>
      </w:r>
      <w:r>
        <w:rPr>
          <w:rFonts w:hint="eastAsia"/>
          <w:color w:val="000000" w:themeColor="text1"/>
          <w:sz w:val="24"/>
          <w:lang w:val="en-US" w:eastAsia="zh-CN"/>
          <w14:textFill>
            <w14:solidFill>
              <w14:schemeClr w14:val="tx1"/>
            </w14:solidFill>
          </w14:textFill>
        </w:rPr>
        <w:t>BJ</w:t>
      </w:r>
      <w:r>
        <w:rPr>
          <w:color w:val="000000" w:themeColor="text1"/>
          <w:sz w:val="24"/>
          <w14:textFill>
            <w14:solidFill>
              <w14:schemeClr w14:val="tx1"/>
            </w14:solidFill>
          </w14:textFill>
        </w:rPr>
        <w:t xml:space="preserve"> 15-65发布实施前已经竣工投入运营的绿色建筑，申报单位根据设计时所采用的绿色建筑评价标准，按照附录A</w:t>
      </w:r>
      <w:r>
        <w:rPr>
          <w:rFonts w:hint="eastAsia"/>
          <w:color w:val="000000" w:themeColor="text1"/>
          <w:sz w:val="24"/>
          <w:lang w:val="en-US" w:eastAsia="zh-CN"/>
          <w14:textFill>
            <w14:solidFill>
              <w14:schemeClr w14:val="tx1"/>
            </w14:solidFill>
          </w14:textFill>
        </w:rPr>
        <w:t>对于</w:t>
      </w:r>
      <w:r>
        <w:rPr>
          <w:color w:val="000000" w:themeColor="text1"/>
          <w:sz w:val="24"/>
          <w14:textFill>
            <w14:solidFill>
              <w14:schemeClr w14:val="tx1"/>
            </w14:solidFill>
          </w14:textFill>
        </w:rPr>
        <w:t>所列表格</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附录A所列条目是基于建筑使用者对于民用建筑的直观感受，有别于绿色建筑运行标识的评价）</w:t>
      </w:r>
      <w:r>
        <w:rPr>
          <w:color w:val="000000" w:themeColor="text1"/>
          <w:sz w:val="24"/>
          <w14:textFill>
            <w14:solidFill>
              <w14:schemeClr w14:val="tx1"/>
            </w14:solidFill>
          </w14:textFill>
        </w:rPr>
        <w:t>，逐一核对设计措施的落地情况，需要强调的是，无论采用哪版绿色建筑评价标准，</w:t>
      </w:r>
      <w:r>
        <w:rPr>
          <w:rFonts w:hint="eastAsia"/>
          <w:color w:val="000000" w:themeColor="text1"/>
          <w:sz w:val="24"/>
          <w14:textFill>
            <w14:solidFill>
              <w14:schemeClr w14:val="tx1"/>
            </w14:solidFill>
          </w14:textFill>
        </w:rPr>
        <w:t>其所有控制项和附录A表格所列清单中技术措施</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如有设计</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，均需</w:t>
      </w:r>
      <w:r>
        <w:rPr>
          <w:rFonts w:hint="eastAsia"/>
          <w:color w:val="000000" w:themeColor="text1"/>
          <w:sz w:val="24"/>
          <w:lang w:val="en-US" w:eastAsia="zh-CN"/>
          <w14:textFill>
            <w14:solidFill>
              <w14:schemeClr w14:val="tx1"/>
            </w14:solidFill>
          </w14:textFill>
        </w:rPr>
        <w:t>按照施工图</w:t>
      </w:r>
      <w:r>
        <w:rPr>
          <w:color w:val="000000" w:themeColor="text1"/>
          <w:sz w:val="24"/>
          <w14:textFill>
            <w14:solidFill>
              <w14:schemeClr w14:val="tx1"/>
            </w14:solidFill>
          </w14:textFill>
        </w:rPr>
        <w:t>落实，任一措施落实不到位的，控制性指标视为不满足。</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w:t>
      </w:r>
      <w:r>
        <w:rPr>
          <w:rFonts w:hint="eastAsia"/>
          <w:color w:val="000000" w:themeColor="text1"/>
          <w:sz w:val="24"/>
          <w:lang w:val="en-US" w:eastAsia="zh-CN"/>
          <w14:textFill>
            <w14:solidFill>
              <w14:schemeClr w14:val="tx1"/>
            </w14:solidFill>
          </w14:textFill>
        </w:rPr>
        <w:t>竣工图、</w:t>
      </w:r>
      <w:r>
        <w:rPr>
          <w:color w:val="000000" w:themeColor="text1"/>
          <w:sz w:val="24"/>
          <w14:textFill>
            <w14:solidFill>
              <w14:schemeClr w14:val="tx1"/>
            </w14:solidFill>
          </w14:textFill>
        </w:rPr>
        <w:t>竣工验收资料，包括相关图纸、计算分析文件等、</w:t>
      </w:r>
      <w:r>
        <w:rPr>
          <w:rFonts w:hint="eastAsia"/>
          <w:color w:val="000000" w:themeColor="text1"/>
          <w:sz w:val="24"/>
          <w:lang w:val="en-US" w:eastAsia="zh-CN"/>
          <w14:textFill>
            <w14:solidFill>
              <w14:schemeClr w14:val="tx1"/>
            </w14:solidFill>
          </w14:textFill>
        </w:rPr>
        <w:t>项目</w:t>
      </w:r>
      <w:r>
        <w:rPr>
          <w:color w:val="000000" w:themeColor="text1"/>
          <w:sz w:val="24"/>
          <w14:textFill>
            <w14:solidFill>
              <w14:schemeClr w14:val="tx1"/>
            </w14:solidFill>
          </w14:textFill>
        </w:rPr>
        <w:t>自评的附录A表格并现场核查。</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outlineLvl w:val="1"/>
        <w:rPr>
          <w:rFonts w:hint="default" w:eastAsia="宋体"/>
          <w:b/>
          <w:color w:val="000000" w:themeColor="text1"/>
          <w:sz w:val="24"/>
          <w:lang w:val="en-US" w:eastAsia="zh-CN"/>
          <w14:textFill>
            <w14:solidFill>
              <w14:schemeClr w14:val="tx1"/>
            </w14:solidFill>
          </w14:textFill>
        </w:rPr>
      </w:pPr>
      <w:bookmarkStart w:id="485" w:name="_Toc23367"/>
      <w:bookmarkStart w:id="486" w:name="_Toc15394"/>
      <w:r>
        <w:rPr>
          <w:rFonts w:hint="default"/>
          <w:b/>
          <w:color w:val="000000" w:themeColor="text1"/>
          <w:sz w:val="24"/>
          <w14:textFill>
            <w14:solidFill>
              <w14:schemeClr w14:val="tx1"/>
            </w14:solidFill>
          </w14:textFill>
        </w:rPr>
        <w:t>4.2</w:t>
      </w:r>
      <w:r>
        <w:rPr>
          <w:b/>
          <w:color w:val="000000" w:themeColor="text1"/>
          <w:sz w:val="24"/>
          <w14:textFill>
            <w14:solidFill>
              <w14:schemeClr w14:val="tx1"/>
            </w14:solidFill>
          </w14:textFill>
        </w:rPr>
        <w:t xml:space="preserve"> </w:t>
      </w:r>
      <w:r>
        <w:rPr>
          <w:rFonts w:hint="eastAsia"/>
          <w:b/>
          <w:color w:val="000000" w:themeColor="text1"/>
          <w:sz w:val="24"/>
          <w:lang w:val="en-US" w:eastAsia="zh-CN"/>
          <w14:textFill>
            <w14:solidFill>
              <w14:schemeClr w14:val="tx1"/>
            </w14:solidFill>
          </w14:textFill>
        </w:rPr>
        <w:t>关键评估指标</w:t>
      </w:r>
      <w:bookmarkEnd w:id="485"/>
      <w:bookmarkEnd w:id="486"/>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Ⅰ</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碳排放控制</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ascii="Times New Roman" w:hAnsi="Times New Roman" w:eastAsia="宋体"/>
          <w:b/>
          <w:bCs/>
          <w:color w:val="000000" w:themeColor="text1"/>
          <w:sz w:val="24"/>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 xml:space="preserve">  碳排放是关于温室气体（源自《京都议定书》《关于消耗臭氧层物质的蒙特利尔议定书》）排放的简称。建筑碳排放指建筑全寿命期内产生的温室气体排放的总和，一般以二氧化碳当量（在辐射强度上与某种温室气体质量相当的二氧化碳量，用于比较不同温室气体对温室效应影响的度量单位）进行表征。近年来建筑碳排放越来越受到国内外业内的关注，鉴于其对环境的影响愈加凸显，本标准也将其作为评估性指标之一。</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目前国内外对于建筑的碳排放计算方法都是将建筑视为产品，基于产品全生命周期的角度出发的，因此绿色建筑碳排放计算应覆盖建筑全寿命期，应包括建筑运行阶段、建筑施工及拆除阶段、建材生产及运输阶段。</w:t>
      </w:r>
      <w:r>
        <w:rPr>
          <w:rFonts w:hint="eastAsia" w:ascii="Times New Roman" w:hAnsi="Times New Roman" w:eastAsia="宋体"/>
          <w:color w:val="000000" w:themeColor="text1"/>
          <w:sz w:val="24"/>
          <w:lang w:val="en-US" w:eastAsia="zh-CN"/>
          <w14:textFill>
            <w14:solidFill>
              <w14:schemeClr w14:val="tx1"/>
            </w14:solidFill>
          </w14:textFill>
        </w:rPr>
        <w:t>但本标准的评估对象为处于运营状态的绿色建筑，因此碳排放的计算不涉及拆除阶段。</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建筑在运营后持续进行碳排放量统计及披露</w:t>
      </w:r>
      <w:r>
        <w:rPr>
          <w:rFonts w:hint="eastAsia"/>
          <w:color w:val="000000" w:themeColor="text1"/>
          <w:sz w:val="24"/>
          <w:lang w:val="en-US" w:eastAsia="zh-CN"/>
          <w14:textFill>
            <w14:solidFill>
              <w14:schemeClr w14:val="tx1"/>
            </w14:solidFill>
          </w14:textFill>
        </w:rPr>
        <w:t>并</w:t>
      </w:r>
      <w:r>
        <w:rPr>
          <w:rFonts w:ascii="Times New Roman" w:hAnsi="Times New Roman" w:eastAsia="宋体"/>
          <w:color w:val="000000" w:themeColor="text1"/>
          <w:sz w:val="24"/>
          <w14:textFill>
            <w14:solidFill>
              <w14:schemeClr w14:val="tx1"/>
            </w14:solidFill>
          </w14:textFill>
        </w:rPr>
        <w:t>根据建筑总体碳排放的情况提出减排措施，继而达到建筑碳减排的目标，提出本条要求。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 xml:space="preserve">经过多年的探索，我国在建筑碳排放计算方面已有不少研究成果，有了较为成熟的计算方法和一定量的案例实践，编制了有关标准。目前《建筑碳排放计算标准》GB/T 51366 </w:t>
      </w:r>
      <w:r>
        <w:rPr>
          <w:rFonts w:hint="default"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 xml:space="preserve"> 2019、《民用建筑绿色性能计算标准》JGJ/T 449 </w:t>
      </w:r>
      <w:r>
        <w:rPr>
          <w:rFonts w:hint="default"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 xml:space="preserve"> 2018以及我省住建厅发布的《建筑碳排放计算导则(试行)》对于建筑碳排放的计算进行了详细规定，可参考以上标准要求</w:t>
      </w:r>
      <w:r>
        <w:rPr>
          <w:rFonts w:hint="eastAsia"/>
          <w:color w:val="000000" w:themeColor="text1"/>
          <w:sz w:val="24"/>
          <w:lang w:val="en-US" w:eastAsia="zh-CN"/>
          <w14:textFill>
            <w14:solidFill>
              <w14:schemeClr w14:val="tx1"/>
            </w14:solidFill>
          </w14:textFill>
        </w:rPr>
        <w:t>进行碳排放量计算。</w:t>
      </w:r>
      <w:r>
        <w:rPr>
          <w:rFonts w:ascii="Times New Roman" w:hAnsi="Times New Roman" w:eastAsia="宋体"/>
          <w:color w:val="000000" w:themeColor="text1"/>
          <w:sz w:val="24"/>
          <w14:textFill>
            <w14:solidFill>
              <w14:schemeClr w14:val="tx1"/>
            </w14:solidFill>
          </w14:textFill>
        </w:rPr>
        <w:t>结合国内外研究现状，本条的绿色建筑碳排放评估指标为单位建筑面积二氧化碳当量排放量，单位为kgCOzeq/m</w:t>
      </w:r>
      <w:r>
        <w:rPr>
          <w:rFonts w:ascii="Times New Roman" w:hAnsi="Times New Roman" w:eastAsia="宋体"/>
          <w:color w:val="000000" w:themeColor="text1"/>
          <w:sz w:val="24"/>
          <w:vertAlign w:val="superscript"/>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。本条涉及的碳排放计算范围主要包括建筑运行阶段、建筑施工段和建材生产及运输阶段，碳排放量的计算结果为各阶段单位建筑面积二氧化碳当量排放量之和。</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查阅申报建筑提交的碳排放计算报告的计算过程、数据选取和计算结果，能源消耗台账、结算凭证等相关佐证资料。</w:t>
      </w:r>
      <w:r>
        <w:rPr>
          <w:rFonts w:hint="eastAsia" w:ascii="Times New Roman" w:hAnsi="Times New Roman" w:eastAsia="宋体"/>
          <w:color w:val="000000" w:themeColor="text1"/>
          <w:sz w:val="24"/>
          <w:lang w:val="en-US" w:eastAsia="zh-CN"/>
          <w14:textFill>
            <w14:solidFill>
              <w14:schemeClr w14:val="tx1"/>
            </w14:solidFill>
          </w14:textFill>
        </w:rPr>
        <w:t>对于实施了建筑碳排放改进优化措施的项目，还应查阅相关的改进优化措施报告，体现优化效果。</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Ⅱ </w:t>
      </w:r>
      <w:r>
        <w:rPr>
          <w:color w:val="000000" w:themeColor="text1"/>
          <w:sz w:val="24"/>
          <w14:textFill>
            <w14:solidFill>
              <w14:schemeClr w14:val="tx1"/>
            </w14:solidFill>
          </w14:textFill>
        </w:rPr>
        <w:t>能耗</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hint="default"/>
          <w:b/>
          <w:bCs/>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建筑运营期间的能耗强度是对建筑各类节能技术措施的综合实施效果的体现，本标准以此指标考量建筑节能水平。</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为定量化衡量绿色建筑使用阶段在建筑综合能耗方面的实际性能表现，提出本条要求。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《民用建筑能耗标准》GB/T 51161 - 2016</w:t>
      </w:r>
      <w:r>
        <w:rPr>
          <w:rFonts w:hint="eastAsia"/>
          <w:color w:val="000000" w:themeColor="text1"/>
          <w:sz w:val="24"/>
          <w:lang w:val="en-US" w:eastAsia="zh-CN"/>
          <w14:textFill>
            <w14:solidFill>
              <w14:schemeClr w14:val="tx1"/>
            </w14:solidFill>
          </w14:textFill>
        </w:rPr>
        <w:t>和广东省标准《公共建筑能耗标准》DBJ/T15-126-2017</w:t>
      </w:r>
      <w:r>
        <w:rPr>
          <w:color w:val="000000" w:themeColor="text1"/>
          <w:sz w:val="24"/>
          <w14:textFill>
            <w14:solidFill>
              <w14:schemeClr w14:val="tx1"/>
            </w14:solidFill>
          </w14:textFill>
        </w:rPr>
        <w:t>规定的各类建筑能耗指标约束值是强制性指标值，为当前民用建筑能耗标准的基准线。能耗指标引导值是非强制性指标值，反映了建筑节能技术的最大潜力，是综合高效利用各种建筑节能技术，充分实现了建筑节能效果后能达到的具有先进节能水平的建筑能耗指标值。因此，绿色建筑实际运营阶段的能耗指标应至少能够满足该标准中的能耗约束值要求并趋近或达到引导值目标。</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实施过程中，应采用实测的方法，得到被评建筑物在一个时间周期（通常为连续12个月或1个日历年）中能源实际消耗量。再按建筑能耗指标的方法与要求，针对使用人数、使用时间等进行各类修正后计算得到能耗指标实测值的修正值。其中，建筑总用能应按照实际使用的能源种类分别按照电力、燃气和标煤统计计算，不仅包括二次能源电耗，还包括煤、天然气、油等其他种类的一次能源</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集中供热、集中供冷系统输入到建筑物内的热量和冷量，均需进行相应的折算。</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本条中提及的能耗为已经抵扣可再生能源部分后的实测能耗，即安装在建筑上的太阳能光电、光热装置和风电装置向建筑提供的能源不计入建筑实测能耗中。</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查阅申报建筑提交的</w:t>
      </w:r>
      <w:r>
        <w:rPr>
          <w:rFonts w:hint="eastAsia"/>
          <w:color w:val="000000" w:themeColor="text1"/>
          <w:sz w:val="24"/>
          <w:lang w:val="en-US" w:eastAsia="zh-CN"/>
          <w14:textFill>
            <w14:solidFill>
              <w14:schemeClr w14:val="tx1"/>
            </w14:solidFill>
          </w14:textFill>
        </w:rPr>
        <w:t>实际运营能耗强度统计分析数据</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基于因地制宜原则，公共建筑依据广东省标准《公共建筑能耗标准》DBJ/T 15-126评估，住宅建筑依据</w:t>
      </w:r>
      <w:r>
        <w:rPr>
          <w:color w:val="000000" w:themeColor="text1"/>
          <w:sz w:val="24"/>
          <w14:textFill>
            <w14:solidFill>
              <w14:schemeClr w14:val="tx1"/>
            </w14:solidFill>
          </w14:textFill>
        </w:rPr>
        <w:t>《民用建筑能耗标准》GB/T 51161</w:t>
      </w:r>
      <w:r>
        <w:rPr>
          <w:rFonts w:hint="eastAsia"/>
          <w:color w:val="000000" w:themeColor="text1"/>
          <w:sz w:val="24"/>
          <w:lang w:val="en-US" w:eastAsia="zh-CN"/>
          <w14:textFill>
            <w14:solidFill>
              <w14:schemeClr w14:val="tx1"/>
            </w14:solidFill>
          </w14:textFill>
        </w:rPr>
        <w:t>评估。</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将申报建筑能耗指标实测值的修正值结果与现行国家标准《民用建筑能耗标准》GB/T 51161</w:t>
      </w:r>
      <w:r>
        <w:rPr>
          <w:rFonts w:hint="eastAsia"/>
          <w:color w:val="000000" w:themeColor="text1"/>
          <w:sz w:val="24"/>
          <w:lang w:val="en-US" w:eastAsia="zh-CN"/>
          <w14:textFill>
            <w14:solidFill>
              <w14:schemeClr w14:val="tx1"/>
            </w14:solidFill>
          </w14:textFill>
        </w:rPr>
        <w:t>和广东省标准《公共建筑能耗标准》DBJ/T15-126</w:t>
      </w:r>
      <w:r>
        <w:rPr>
          <w:color w:val="000000" w:themeColor="text1"/>
          <w:sz w:val="24"/>
          <w14:textFill>
            <w14:solidFill>
              <w14:schemeClr w14:val="tx1"/>
            </w14:solidFill>
          </w14:textFill>
        </w:rPr>
        <w:t>对应的约束值和引导值要求值进行比对，采用线性插值法，确定本条可得的分值。对于居住建筑，由于标准中仅规定了约束值，在评价时将公式中的E</w:t>
      </w:r>
      <w:r>
        <w:rPr>
          <w:rFonts w:hint="eastAsia"/>
          <w:color w:val="000000" w:themeColor="text1"/>
          <w:sz w:val="24"/>
          <w:vertAlign w:val="subscript"/>
          <w:lang w:val="en-US" w:eastAsia="zh-CN"/>
          <w14:textFill>
            <w14:solidFill>
              <w14:schemeClr w14:val="tx1"/>
            </w14:solidFill>
          </w14:textFill>
        </w:rPr>
        <w:t>2</w:t>
      </w:r>
      <w:r>
        <w:rPr>
          <w:color w:val="000000" w:themeColor="text1"/>
          <w:sz w:val="24"/>
          <w14:textFill>
            <w14:solidFill>
              <w14:schemeClr w14:val="tx1"/>
            </w14:solidFill>
          </w14:textFill>
        </w:rPr>
        <w:t>定义为比对应的约束值降低20%所得到的数值，也就是认为对于居住建筑而言，实际能耗强度达到约束值要求的80%，即可获得满分。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对于现行国家标准《民用建筑能耗标准》GB/T 51161</w:t>
      </w:r>
      <w:r>
        <w:rPr>
          <w:rFonts w:hint="eastAsia"/>
          <w:color w:val="000000" w:themeColor="text1"/>
          <w:sz w:val="24"/>
          <w:lang w:val="en-US" w:eastAsia="zh-CN"/>
          <w14:textFill>
            <w14:solidFill>
              <w14:schemeClr w14:val="tx1"/>
            </w14:solidFill>
          </w14:textFill>
        </w:rPr>
        <w:t>和广东省标准《公共建筑能耗标准》DBJ/T15-126</w:t>
      </w:r>
      <w:r>
        <w:rPr>
          <w:color w:val="000000" w:themeColor="text1"/>
          <w:sz w:val="24"/>
          <w14:textFill>
            <w14:solidFill>
              <w14:schemeClr w14:val="tx1"/>
            </w14:solidFill>
          </w14:textFill>
        </w:rPr>
        <w:t>尚未提出相应取值的其他类型建筑，可参照所在省市的相关用能指南、标准或公开发布的能耗统计数据作为基准。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p>
    <w:p>
      <w:pPr>
        <w:shd w:val="clear"/>
        <w:adjustRightInd w:val="0"/>
        <w:snapToGrid w:val="0"/>
        <w:spacing w:before="93" w:beforeLines="30" w:after="93" w:afterLines="30" w:line="312" w:lineRule="auto"/>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Ⅲ </w:t>
      </w:r>
      <w:r>
        <w:rPr>
          <w:color w:val="000000" w:themeColor="text1"/>
          <w:sz w:val="24"/>
          <w14:textFill>
            <w14:solidFill>
              <w14:schemeClr w14:val="tx1"/>
            </w14:solidFill>
          </w14:textFill>
        </w:rPr>
        <w:t>水耗</w:t>
      </w:r>
    </w:p>
    <w:p>
      <w:pPr>
        <w:shd w:val="clear"/>
        <w:adjustRightInd w:val="0"/>
        <w:snapToGrid w:val="0"/>
        <w:spacing w:before="93" w:beforeLines="30" w:after="93" w:afterLines="30"/>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hint="default"/>
          <w:b/>
          <w:bCs/>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建筑运营期间的实际用水量是对建筑各类节水技术措施的综合实施效果的体现，本标准以此指标考量建筑节水水平。</w:t>
      </w:r>
    </w:p>
    <w:p>
      <w:pPr>
        <w:shd w:val="clear"/>
        <w:spacing w:line="360"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为定量化衡量建筑水资源利用的综合性能和实施效果，提出本条要求。《民用建筑节水设计标准》GB 50555-2010第3节给出了不同类别用水的节水用水定额和年用水量计算方法要求。实际建筑平均日用水量应根据实际运行1年的水表计量数据和使用人数、用水面积等计算确定。</w:t>
      </w:r>
    </w:p>
    <w:p>
      <w:pPr>
        <w:shd w:val="clea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计算实际建筑平均日用水量时，应实事求是地确定用水的使用人数、用水面积等，使用人数在使用初期可能不会达到设计人数，如建筑的入住率在入住初期不会很快达到100%，因此对与用水人数相关的用水，如饮用、盥洗、冲厕、餐饮等，应根据用水人数来计算平均日用水量</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对使用人数相对固定的建筑，如办公可按实际人数计算；对商场、餐厅等流动人口较大且数量无法明确的场所，可按设计人数计算。对与用水人数无关的用水，如绿化灌溉、地面冲洗、水景补水等，则根据实际水表计量情况进行考核。</w:t>
      </w:r>
    </w:p>
    <w:p>
      <w:pPr>
        <w:shd w:val="clear"/>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建筑平均日用水量W</w:t>
      </w:r>
      <w:r>
        <w:rPr>
          <w:rFonts w:hint="default"/>
          <w:color w:val="000000" w:themeColor="text1"/>
          <w:sz w:val="24"/>
          <w:vertAlign w:val="subscript"/>
          <w14:textFill>
            <w14:solidFill>
              <w14:schemeClr w14:val="tx1"/>
            </w14:solidFill>
          </w14:textFill>
        </w:rPr>
        <w:t>0</w:t>
      </w:r>
      <w:r>
        <w:rPr>
          <w:rFonts w:hint="eastAsia"/>
          <w:color w:val="000000" w:themeColor="text1"/>
          <w:sz w:val="24"/>
          <w:vertAlign w:val="baseline"/>
          <w:lang w:val="en-US" w:eastAsia="zh-CN"/>
          <w14:textFill>
            <w14:solidFill>
              <w14:schemeClr w14:val="tx1"/>
            </w14:solidFill>
          </w14:textFill>
        </w:rPr>
        <w:t>应根据参评建筑的实际运行情况计算，例如，游泳馆为季节开放，计算时应按照实际使用时间，而不应为全年时间；办公建筑并非使用人数相对固定的建筑，出租率变化很大，可每月根据出租率进行计算；商场、餐厅等的设计人数与设计人数有很大差异的建筑，应统计或者估算实际人数，不应按照设计人数计算；其他以次数计算用水量的建筑，更需要说明计算方法、规则。</w:t>
      </w:r>
    </w:p>
    <w:p>
      <w:pPr>
        <w:shd w:val="clear"/>
        <w:spacing w:line="360" w:lineRule="auto"/>
        <w:ind w:firstLine="480" w:firstLineChars="200"/>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建筑平均日用水量减少不但要通过采取有效节水措施、再生水替代利用提高水资源循环利用率，更需物业管理机构根据建筑物的功能和运行特点，实施节水运行管理。注意景观水体补水严禁采用市政供水和自备地下水井供水。</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查阅申报建筑提交的实测用水量计量情况报告及建筑平均日用水量计算书。</w:t>
      </w:r>
    </w:p>
    <w:p>
      <w:pPr>
        <w:shd w:val="clear"/>
        <w:adjustRightInd w:val="0"/>
        <w:snapToGrid w:val="0"/>
        <w:spacing w:before="93" w:beforeLines="30" w:after="93" w:afterLines="30" w:line="312"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本条的实施步骤及评估方法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查阅实测用水量计量情况报告和建筑平均日用水量计算书，将被评建筑的用水量与现行国家标准《民用建筑节水设计标准》GB 50555对应的节水用水定额上限值和下限值要求进行比对，采用线性插值法，确定本条可得的分值。</w:t>
      </w:r>
    </w:p>
    <w:p>
      <w:pPr>
        <w:pStyle w:val="5"/>
        <w:shd w:val="clear"/>
        <w:spacing w:before="95" w:beforeLines="30" w:after="95" w:afterLines="30" w:line="312" w:lineRule="auto"/>
      </w:pPr>
    </w:p>
    <w:p>
      <w:pPr>
        <w:shd w:val="clear"/>
        <w:adjustRightInd w:val="0"/>
        <w:snapToGrid w:val="0"/>
        <w:spacing w:before="93" w:beforeLines="30" w:after="93" w:afterLines="30" w:line="312" w:lineRule="auto"/>
        <w:jc w:val="center"/>
        <w:rPr>
          <w:rFonts w:hint="default" w:eastAsia="宋体"/>
          <w:color w:val="000000" w:themeColor="text1"/>
          <w:sz w:val="24"/>
          <w:lang w:val="en-US" w:eastAsia="zh-CN"/>
          <w14:textFill>
            <w14:solidFill>
              <w14:schemeClr w14:val="tx1"/>
            </w14:solidFill>
          </w14:textFill>
        </w:rPr>
      </w:pPr>
      <w:r>
        <w:rPr>
          <w:rFonts w:hint="default"/>
          <w:color w:val="000000" w:themeColor="text1"/>
          <w:sz w:val="24"/>
          <w14:textFill>
            <w14:solidFill>
              <w14:schemeClr w14:val="tx1"/>
            </w14:solidFill>
          </w14:textFill>
        </w:rPr>
        <w:t xml:space="preserve">Ⅳ </w:t>
      </w:r>
      <w:r>
        <w:rPr>
          <w:rFonts w:hint="eastAsia"/>
          <w:color w:val="000000" w:themeColor="text1"/>
          <w:sz w:val="24"/>
          <w:lang w:val="en-US" w:eastAsia="zh-CN"/>
          <w14:textFill>
            <w14:solidFill>
              <w14:schemeClr w14:val="tx1"/>
            </w14:solidFill>
          </w14:textFill>
        </w:rPr>
        <w:t>室内污染物</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b w:val="0"/>
          <w:bCs w:val="0"/>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b w:val="0"/>
          <w:bCs w:val="0"/>
          <w:color w:val="000000" w:themeColor="text1"/>
          <w:sz w:val="24"/>
          <w14:textFill>
            <w14:solidFill>
              <w14:schemeClr w14:val="tx1"/>
            </w14:solidFill>
          </w14:textFill>
        </w:rPr>
        <w:t>在室内装修时，建筑材料和家具制品的使用会向室内空气释放甲醛、挥发性有机化合物（VOCs）等污染物，通常室内VOCs的浓度是室外的2~10倍。总挥发性有机化合物（TVOC）指用气相色谱非极性柱进行分析，保留时间在正已烷和正十六烷之间的挥发性有机物总称，可表征室内VOCs 总体情况。一些 VOCs 对人体健康的急性影响主要是刺激眼睛和呼吸道，导致流泪、皮肤过敏，严重者使人产生头痛、咽痛与乏力等症状。其中苯、甲苯等苯系物类对健康的影响研究较多，苯是世界卫生组织明确的人类致癌物，在我国室内装修行业中已经被禁用。甲醛对人体危害较大，也是世界卫生组织明确的人类致癌物，当空气中的甲醛浓度超过0.6mg/m</w:t>
      </w:r>
      <w:r>
        <w:rPr>
          <w:b w:val="0"/>
          <w:bCs w:val="0"/>
          <w:color w:val="000000" w:themeColor="text1"/>
          <w:sz w:val="24"/>
          <w:vertAlign w:val="superscript"/>
          <w14:textFill>
            <w14:solidFill>
              <w14:schemeClr w14:val="tx1"/>
            </w14:solidFill>
          </w14:textFill>
        </w:rPr>
        <w:t>3</w:t>
      </w:r>
      <w:r>
        <w:rPr>
          <w:b w:val="0"/>
          <w:bCs w:val="0"/>
          <w:color w:val="000000" w:themeColor="text1"/>
          <w:sz w:val="24"/>
          <w14:textFill>
            <w14:solidFill>
              <w14:schemeClr w14:val="tx1"/>
            </w14:solidFill>
          </w14:textFill>
        </w:rPr>
        <w:t>时，会使人的眼睛感到刺激，咽喉感到不适和疼痛；吸入高浓度甲醛会导致呼吸道严重刺激、水肿和头痛，可诱发过敏性鼻炎、支气管哮喘等，严重时可导致死亡。即使所使用的装修材料、制品均满足各自污染物限量控制标准，但室内装饰装修后大量材料制品释放的多种污染物产生的叠加效应，仍可能造成室内空气污染物浓度超标并危害人体健康。基于甲醛、苯系物（苯、甲苯、二甲苯）、TVOC的危害性，本条对典型空气污染物提出了更高的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b w:val="0"/>
          <w:bCs w:val="0"/>
          <w:color w:val="000000" w:themeColor="text1"/>
          <w:sz w:val="24"/>
          <w14:textFill>
            <w14:solidFill>
              <w14:schemeClr w14:val="tx1"/>
            </w14:solidFill>
          </w14:textFill>
        </w:rPr>
      </w:pPr>
      <w:r>
        <w:rPr>
          <w:b w:val="0"/>
          <w:bCs w:val="0"/>
          <w:color w:val="000000" w:themeColor="text1"/>
          <w:sz w:val="24"/>
          <w14:textFill>
            <w14:solidFill>
              <w14:schemeClr w14:val="tx1"/>
            </w14:solidFill>
          </w14:textFill>
        </w:rPr>
        <w:t>建筑可根据自身实际情况采取不同的控制策略使室内空气质量满足要求。如：对具有集中通风空调系统的建筑，通风系统用空气净化装置的合理设计和选型可有效控制室内空气污染物；对无集中通风系统的建筑，合理使用房间空气净化器或安装户式新风系统同样可以实现室内空气污染物的有效控制。</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每种典型功能房间或场所抽检不应少于2处</w:t>
      </w:r>
      <w:r>
        <w:rPr>
          <w:b w:val="0"/>
          <w:bCs w:val="0"/>
          <w:color w:val="000000" w:themeColor="text1"/>
          <w:sz w:val="24"/>
          <w14:textFill>
            <w14:solidFill>
              <w14:schemeClr w14:val="tx1"/>
            </w14:solidFill>
          </w14:textFill>
        </w:rPr>
        <w:t>，采样和检验方法应符合现行国家标准《室内空气质量标准》GB/T 18883的相关规定。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查阅竣工文件、</w:t>
      </w:r>
      <w:r>
        <w:rPr>
          <w:rFonts w:hint="eastAsia"/>
          <w:color w:val="000000" w:themeColor="text1"/>
          <w:sz w:val="24"/>
          <w:lang w:val="en-US" w:eastAsia="zh-CN"/>
          <w14:textFill>
            <w14:solidFill>
              <w14:schemeClr w14:val="tx1"/>
            </w14:solidFill>
          </w14:textFill>
        </w:rPr>
        <w:t>运行期间</w:t>
      </w:r>
      <w:r>
        <w:rPr>
          <w:color w:val="000000" w:themeColor="text1"/>
          <w:sz w:val="24"/>
          <w14:textFill>
            <w14:solidFill>
              <w14:schemeClr w14:val="tx1"/>
            </w14:solidFill>
          </w14:textFill>
        </w:rPr>
        <w:t>室内空气质量检测报告并现场核查。</w:t>
      </w:r>
      <w:r>
        <w:rPr>
          <w:rFonts w:hint="eastAsia"/>
          <w:color w:val="000000" w:themeColor="text1"/>
          <w:sz w:val="24"/>
          <w:lang w:val="en-US" w:eastAsia="zh-CN"/>
          <w14:textFill>
            <w14:solidFill>
              <w14:schemeClr w14:val="tx1"/>
            </w14:solidFill>
          </w14:textFill>
        </w:rPr>
        <w:t>本条沿用了《绿色建</w:t>
      </w:r>
      <w:r>
        <w:rPr>
          <w:rFonts w:hint="default"/>
          <w:color w:val="000000" w:themeColor="text1"/>
          <w:sz w:val="24"/>
          <w:lang w:val="en-US" w:eastAsia="zh-CN"/>
          <w14:textFill>
            <w14:solidFill>
              <w14:schemeClr w14:val="tx1"/>
            </w14:solidFill>
          </w14:textFill>
        </w:rPr>
        <w:t>筑评价标准》GB/T 50378-2019第5.2.1条第1款</w:t>
      </w:r>
      <w:r>
        <w:rPr>
          <w:rFonts w:hint="eastAsia"/>
          <w:color w:val="000000" w:themeColor="text1"/>
          <w:sz w:val="24"/>
          <w:lang w:val="en-US" w:eastAsia="zh-CN"/>
          <w14:textFill>
            <w14:solidFill>
              <w14:schemeClr w14:val="tx1"/>
            </w14:solidFill>
          </w14:textFill>
        </w:rPr>
        <w:t>的</w:t>
      </w:r>
      <w:r>
        <w:rPr>
          <w:rFonts w:hint="default"/>
          <w:color w:val="000000" w:themeColor="text1"/>
          <w:sz w:val="24"/>
          <w:lang w:val="en-US" w:eastAsia="zh-CN"/>
          <w14:textFill>
            <w14:solidFill>
              <w14:schemeClr w14:val="tx1"/>
            </w14:solidFill>
          </w14:textFill>
        </w:rPr>
        <w:t>结果性评价要求。</w:t>
      </w:r>
    </w:p>
    <w:p>
      <w:pPr>
        <w:pStyle w:val="5"/>
        <w:shd w:val="clear"/>
        <w:spacing w:before="95" w:beforeLines="30" w:after="95" w:afterLines="30" w:line="312" w:lineRule="auto"/>
        <w:rPr>
          <w:rFonts w:hint="default"/>
          <w:lang w:val="en-US" w:eastAsia="zh-CN"/>
        </w:rPr>
      </w:pPr>
    </w:p>
    <w:p>
      <w:pPr>
        <w:shd w:val="clear"/>
        <w:adjustRightInd w:val="0"/>
        <w:snapToGrid w:val="0"/>
        <w:spacing w:before="93" w:beforeLines="30" w:after="93" w:afterLines="30" w:line="312" w:lineRule="auto"/>
        <w:jc w:val="center"/>
        <w:rPr>
          <w:rFonts w:hint="default" w:eastAsia="宋体"/>
          <w:color w:val="000000" w:themeColor="text1"/>
          <w:sz w:val="24"/>
          <w:lang w:val="en-US" w:eastAsia="zh-CN"/>
          <w14:textFill>
            <w14:solidFill>
              <w14:schemeClr w14:val="tx1"/>
            </w14:solidFill>
          </w14:textFill>
        </w:rPr>
      </w:pPr>
      <w:r>
        <w:rPr>
          <w:rFonts w:hint="default"/>
          <w:color w:val="000000" w:themeColor="text1"/>
          <w:sz w:val="24"/>
          <w14:textFill>
            <w14:solidFill>
              <w14:schemeClr w14:val="tx1"/>
            </w14:solidFill>
          </w14:textFill>
        </w:rPr>
        <w:t xml:space="preserve">Ⅴ </w:t>
      </w:r>
      <w:r>
        <w:rPr>
          <w:rFonts w:hint="eastAsia"/>
          <w:color w:val="000000" w:themeColor="text1"/>
          <w:sz w:val="24"/>
          <w:lang w:val="en-US" w:eastAsia="zh-CN"/>
          <w14:textFill>
            <w14:solidFill>
              <w14:schemeClr w14:val="tx1"/>
            </w14:solidFill>
          </w14:textFill>
        </w:rPr>
        <w:t>声环境</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w:t>
      </w:r>
      <w:r>
        <w:rPr>
          <w:rFonts w:hint="default" w:ascii="Times New Roman" w:hAnsi="Times New Roman"/>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5</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噪声对人体健康的影响是多方面的，例如：容易导致心理压力增加，加重人员的忧虑、愤怒、疲劳等消极情绪；能明显损害人的认知能力，降低思维的连贯性和敏捷性，严重影响人的思维效率，降低工作效率；过高的背景噪声会妨碍人与人之间的语言交流，甚至产生“鸡尾酒会效应”。噪声对人的这些影响都不利于人们身心健康，需采取有效措施控制人所处环境的噪声级，减少噪声对人健康的影响。此外，由于房间的不同用途以及人的不同行为，对声环境安静程度的要求是不同的。人睡眠的时候对安静环境要求最高。</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影响主要功能房间室内噪声级大小的噪声源主要包括两类：一类是建筑外部的噪声源（如周边交通噪声、社会生活噪声、工业噪声等）；另一类是建筑物内部的噪声源，包括建筑内部其他空间的噪声（如电梯噪声、空调机组噪声等）和主要功能房间室内的通风空调设备、日用电器等产生的噪声。</w:t>
      </w:r>
    </w:p>
    <w:p>
      <w:pPr>
        <w:shd w:val="clear"/>
        <w:adjustRightInd w:val="0"/>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学校建筑主要功能房间的噪声级低限标准限值按《民用建筑隔声设计规范》GB 50118中的规定值选取，高要求标准限值在此基础上降低5dB（A）；对于旅馆建筑，《民用建筑隔声设计规范》GB50118室内噪声级限值有三级，一级为低限标准，特级为高要求标准。</w:t>
      </w:r>
    </w:p>
    <w:p>
      <w:pPr>
        <w:shd w:val="clear"/>
        <w:adjustRightInd w:val="0"/>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对于某些房间，由于受到诸多客观条件限制，诸如房间内设备运行噪声无法降低等，不宜对该类房间提出高要求标准限值，在表5.1中此类房间的高标准要求用“—”标注，评分项评价时可不考虑此类房间。</w:t>
      </w:r>
    </w:p>
    <w:p>
      <w:pPr>
        <w:shd w:val="clear"/>
        <w:adjustRightInd w:val="0"/>
        <w:spacing w:line="360" w:lineRule="auto"/>
        <w:ind w:firstLine="480" w:firstLineChars="200"/>
        <w:rPr>
          <w:rFonts w:hint="default"/>
        </w:rPr>
      </w:pPr>
      <w:r>
        <w:rPr>
          <w:rFonts w:ascii="Times New Roman" w:hAnsi="Times New Roman" w:cs="Times New Roman"/>
          <w:bCs/>
          <w:sz w:val="24"/>
          <w:szCs w:val="24"/>
        </w:rPr>
        <w:t>低限标准限值和高要求标准限值的平均值按四舍五入取整。</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房间使用类型和健康需求分类如下：</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以睡眠为主要功能的房间，主要包括住宅建筑中的卧室、酒店建筑中的客房、医院建筑中的病房等。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以日常生活为主要功能的房间，主要包括住宅建筑的起居室等。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以阅读、自学、思考为主要功能的房间主要包括学校建筑中的阅览室等。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以教学、医疗、办公、会议为主要功能的房间，主要包括学校建筑中的教室、医院建筑中的诊室、办公建筑中的办公室与会议室等。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需保证通过扩声系统传输语言信息的场所，主要包括：多功能厅、火车站候车大厅、机场候机大厅、医院入口大厅及候诊厅等。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室内噪声级的检测方法</w:t>
      </w:r>
      <w:r>
        <w:rPr>
          <w:rFonts w:hint="eastAsia" w:ascii="Times New Roman" w:hAnsi="Times New Roman"/>
          <w:color w:val="000000" w:themeColor="text1"/>
          <w:sz w:val="24"/>
          <w:lang w:val="en-US" w:eastAsia="zh-CN"/>
          <w14:textFill>
            <w14:solidFill>
              <w14:schemeClr w14:val="tx1"/>
            </w14:solidFill>
          </w14:textFill>
        </w:rPr>
        <w:t>和数量</w:t>
      </w:r>
      <w:r>
        <w:rPr>
          <w:rFonts w:ascii="Times New Roman" w:hAnsi="Times New Roman"/>
          <w:color w:val="000000" w:themeColor="text1"/>
          <w:sz w:val="24"/>
          <w14:textFill>
            <w14:solidFill>
              <w14:schemeClr w14:val="tx1"/>
            </w14:solidFill>
          </w14:textFill>
        </w:rPr>
        <w:t>应符合《广东省绿色建筑检测标准》DBJ/T 15-234的规定。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w:t>
      </w:r>
      <w:r>
        <w:rPr>
          <w:rFonts w:hint="eastAsia"/>
          <w:color w:val="000000" w:themeColor="text1"/>
          <w:sz w:val="24"/>
          <w:lang w:val="en-US" w:eastAsia="zh-CN"/>
          <w14:textFill>
            <w14:solidFill>
              <w14:schemeClr w14:val="tx1"/>
            </w14:solidFill>
          </w14:textFill>
        </w:rPr>
        <w:t>运行期间</w:t>
      </w:r>
      <w:r>
        <w:rPr>
          <w:rFonts w:ascii="Times New Roman" w:hAnsi="Times New Roman"/>
          <w:color w:val="000000" w:themeColor="text1"/>
          <w:sz w:val="24"/>
          <w14:textFill>
            <w14:solidFill>
              <w14:schemeClr w14:val="tx1"/>
            </w14:solidFill>
          </w14:textFill>
        </w:rPr>
        <w:t>室内噪声级检测报告并现场核查。</w:t>
      </w:r>
      <w:r>
        <w:rPr>
          <w:rFonts w:hint="eastAsia"/>
          <w:color w:val="000000" w:themeColor="text1"/>
          <w:sz w:val="24"/>
          <w:lang w:val="en-US" w:eastAsia="zh-CN"/>
          <w14:textFill>
            <w14:solidFill>
              <w14:schemeClr w14:val="tx1"/>
            </w14:solidFill>
          </w14:textFill>
        </w:rPr>
        <w:t>本条沿用了《绿色建筑评价标准》GB/T 50378-2019第5.2.6条的结果性评价要求。</w:t>
      </w:r>
    </w:p>
    <w:p>
      <w:pPr>
        <w:pStyle w:val="5"/>
        <w:shd w:val="clear"/>
        <w:ind w:firstLine="0"/>
        <w:rPr>
          <w:rFonts w:hint="default"/>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240" w:firstLineChars="100"/>
        <w:jc w:val="both"/>
        <w:textAlignment w:val="auto"/>
        <w:rPr>
          <w:rFonts w:hint="default"/>
          <w:color w:val="000000" w:themeColor="text1"/>
          <w:sz w:val="24"/>
          <w14:textFill>
            <w14:solidFill>
              <w14:schemeClr w14:val="tx1"/>
            </w14:solidFill>
          </w14:textFill>
        </w:rPr>
      </w:pPr>
    </w:p>
    <w:p>
      <w:pPr>
        <w:widowControl/>
        <w:shd w:val="clear"/>
        <w:jc w:val="left"/>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val="0"/>
        <w:snapToGrid w:val="0"/>
        <w:spacing w:before="95" w:beforeLines="30" w:after="93" w:afterLines="30" w:line="312" w:lineRule="auto"/>
        <w:jc w:val="center"/>
        <w:textAlignment w:val="auto"/>
        <w:outlineLvl w:val="1"/>
        <w:rPr>
          <w:rFonts w:hint="default"/>
          <w:b/>
          <w:color w:val="000000" w:themeColor="text1"/>
          <w:sz w:val="24"/>
          <w14:textFill>
            <w14:solidFill>
              <w14:schemeClr w14:val="tx1"/>
            </w14:solidFill>
          </w14:textFill>
        </w:rPr>
      </w:pPr>
      <w:bookmarkStart w:id="487" w:name="_Toc8468"/>
      <w:bookmarkStart w:id="488" w:name="_Toc10606"/>
      <w:r>
        <w:rPr>
          <w:rFonts w:hint="default"/>
          <w:b/>
          <w:color w:val="000000" w:themeColor="text1"/>
          <w:sz w:val="24"/>
          <w14:textFill>
            <w14:solidFill>
              <w14:schemeClr w14:val="tx1"/>
            </w14:solidFill>
          </w14:textFill>
        </w:rPr>
        <w:t>4.3</w:t>
      </w:r>
      <w:r>
        <w:rPr>
          <w:b/>
          <w:color w:val="000000" w:themeColor="text1"/>
          <w:sz w:val="24"/>
          <w14:textFill>
            <w14:solidFill>
              <w14:schemeClr w14:val="tx1"/>
            </w14:solidFill>
          </w14:textFill>
        </w:rPr>
        <w:t xml:space="preserve"> </w:t>
      </w:r>
      <w:r>
        <w:rPr>
          <w:rFonts w:hint="eastAsia"/>
          <w:b/>
          <w:color w:val="000000" w:themeColor="text1"/>
          <w:sz w:val="24"/>
          <w:lang w:val="en-US" w:eastAsia="zh-CN"/>
          <w14:textFill>
            <w14:solidFill>
              <w14:schemeClr w14:val="tx1"/>
            </w14:solidFill>
          </w14:textFill>
        </w:rPr>
        <w:t>一般评估指标</w:t>
      </w:r>
      <w:bookmarkEnd w:id="487"/>
      <w:bookmarkEnd w:id="488"/>
    </w:p>
    <w:p>
      <w:pPr>
        <w:shd w:val="clear"/>
        <w:adjustRightInd w:val="0"/>
        <w:snapToGrid w:val="0"/>
        <w:spacing w:before="93" w:beforeLines="30" w:after="93" w:afterLines="30" w:line="312" w:lineRule="auto"/>
        <w:jc w:val="center"/>
        <w:outlineLvl w:val="9"/>
        <w:rPr>
          <w:rFonts w:hint="default"/>
          <w:b w:val="0"/>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Ⅰ</w:t>
      </w:r>
      <w:r>
        <w:rPr>
          <w:rFonts w:hint="default"/>
          <w:b w:val="0"/>
          <w:color w:val="000000" w:themeColor="text1"/>
          <w:sz w:val="24"/>
          <w14:textFill>
            <w14:solidFill>
              <w14:schemeClr w14:val="tx1"/>
            </w14:solidFill>
          </w14:textFill>
        </w:rPr>
        <w:t xml:space="preserve"> </w:t>
      </w:r>
      <w:r>
        <w:rPr>
          <w:b w:val="0"/>
          <w:color w:val="000000" w:themeColor="text1"/>
          <w:sz w:val="24"/>
          <w14:textFill>
            <w14:solidFill>
              <w14:schemeClr w14:val="tx1"/>
            </w14:solidFill>
          </w14:textFill>
        </w:rPr>
        <w:t>安全耐久</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val="0"/>
          <w:bCs w:val="0"/>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ascii="Times New Roman" w:hAnsi="Times New Roman"/>
          <w:b/>
          <w:bCs/>
          <w:color w:val="000000" w:themeColor="text1"/>
          <w:sz w:val="24"/>
          <w14:textFill>
            <w14:solidFill>
              <w14:schemeClr w14:val="tx1"/>
            </w14:solidFill>
          </w14:textFill>
        </w:rPr>
        <w:t>.</w:t>
      </w:r>
      <w:r>
        <w:rPr>
          <w:rFonts w:hint="default" w:ascii="Times New Roman" w:hAnsi="Times New Roman"/>
          <w:b/>
          <w:bCs/>
          <w:color w:val="000000" w:themeColor="text1"/>
          <w:sz w:val="24"/>
          <w14:textFill>
            <w14:solidFill>
              <w14:schemeClr w14:val="tx1"/>
            </w14:solidFill>
          </w14:textFill>
        </w:rPr>
        <w:t>1</w:t>
      </w:r>
      <w:r>
        <w:rPr>
          <w:rFonts w:ascii="Times New Roman" w:hAnsi="Times New Roman"/>
          <w:b w:val="0"/>
          <w:bCs w:val="0"/>
          <w:color w:val="000000" w:themeColor="text1"/>
          <w:sz w:val="24"/>
          <w14:textFill>
            <w14:solidFill>
              <w14:schemeClr w14:val="tx1"/>
            </w14:solidFill>
          </w14:textFill>
        </w:rPr>
        <w:t xml:space="preserve">  地基沉降是指地基土层在附加应力作用下压密而引起的地基表面下沉。过大的沉降，特别是不均匀沉降，会使建筑物发生倾斜、开裂以致不能正常使用。</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b w:val="0"/>
          <w:bCs w:val="0"/>
          <w:color w:val="000000" w:themeColor="text1"/>
          <w:sz w:val="24"/>
          <w14:textFill>
            <w14:solidFill>
              <w14:schemeClr w14:val="tx1"/>
            </w14:solidFill>
          </w14:textFill>
        </w:rPr>
      </w:pPr>
      <w:r>
        <w:rPr>
          <w:rFonts w:ascii="Times New Roman" w:hAnsi="Times New Roman"/>
          <w:b w:val="0"/>
          <w:bCs w:val="0"/>
          <w:color w:val="000000" w:themeColor="text1"/>
          <w:sz w:val="24"/>
          <w14:textFill>
            <w14:solidFill>
              <w14:schemeClr w14:val="tx1"/>
            </w14:solidFill>
          </w14:textFill>
        </w:rPr>
        <w:t>物业管理单位应定期监测建筑物地基沉降情况，如出现超过安全范围的沉降，应及时委托专业单位进行修复治理。</w:t>
      </w:r>
    </w:p>
    <w:p>
      <w:pPr>
        <w:keepNext w:val="0"/>
        <w:keepLines w:val="0"/>
        <w:pageBreakBefore w:val="0"/>
        <w:widowControl/>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b w:val="0"/>
          <w:bCs w:val="0"/>
          <w:sz w:val="24"/>
        </w:rPr>
      </w:pPr>
      <w:r>
        <w:rPr>
          <w:rFonts w:ascii="Times New Roman" w:hAnsi="Times New Roman" w:cs="Times New Roman"/>
          <w:b w:val="0"/>
          <w:bCs w:val="0"/>
          <w:sz w:val="24"/>
          <w:szCs w:val="24"/>
        </w:rPr>
        <w:t>运营期内，</w:t>
      </w:r>
      <w:r>
        <w:rPr>
          <w:rFonts w:hint="eastAsia" w:ascii="Times New Roman" w:hAnsi="Times New Roman" w:cs="Times New Roman"/>
          <w:b w:val="0"/>
          <w:bCs w:val="0"/>
          <w:sz w:val="24"/>
          <w:szCs w:val="24"/>
          <w:lang w:val="en-US" w:eastAsia="zh-CN"/>
        </w:rPr>
        <w:t>应</w:t>
      </w:r>
      <w:r>
        <w:rPr>
          <w:rFonts w:ascii="Times New Roman" w:hAnsi="Times New Roman" w:cs="Times New Roman"/>
          <w:b w:val="0"/>
          <w:bCs w:val="0"/>
          <w:sz w:val="24"/>
          <w:szCs w:val="24"/>
        </w:rPr>
        <w:t>对建筑物进行可靠性管理，制定结构在使用期间的定期检修和维护制度。对可能出现的地基不均匀沉降、超载使用及使用环境影响导致的耐久性问题，包括结构构件裂缝、钢材（筋）锈蚀、混凝土剥落、化学离子腐蚀导致结构材料劣化等进行管理，使结构在设计使用年限内不因材料的劣化而影响其安全与正常使用。</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b w:val="0"/>
          <w:bCs w:val="0"/>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b w:val="0"/>
          <w:bCs w:val="0"/>
          <w:color w:val="000000" w:themeColor="text1"/>
          <w:sz w:val="24"/>
          <w14:textFill>
            <w14:solidFill>
              <w14:schemeClr w14:val="tx1"/>
            </w14:solidFill>
          </w14:textFill>
        </w:rPr>
        <w:t>查阅竣工文件</w:t>
      </w:r>
      <w:r>
        <w:rPr>
          <w:rFonts w:hint="eastAsia"/>
          <w:b w:val="0"/>
          <w:bCs w:val="0"/>
          <w:color w:val="000000" w:themeColor="text1"/>
          <w:sz w:val="24"/>
          <w:lang w:eastAsia="zh-CN"/>
          <w14:textFill>
            <w14:solidFill>
              <w14:schemeClr w14:val="tx1"/>
            </w14:solidFill>
          </w14:textFill>
        </w:rPr>
        <w:t>、</w:t>
      </w:r>
      <w:r>
        <w:rPr>
          <w:rFonts w:hint="eastAsia"/>
          <w:b w:val="0"/>
          <w:bCs w:val="0"/>
          <w:color w:val="000000" w:themeColor="text1"/>
          <w:sz w:val="24"/>
          <w:lang w:val="en-US" w:eastAsia="zh-CN"/>
          <w14:textFill>
            <w14:solidFill>
              <w14:schemeClr w14:val="tx1"/>
            </w14:solidFill>
          </w14:textFill>
        </w:rPr>
        <w:t>现场照片</w:t>
      </w:r>
      <w:r>
        <w:rPr>
          <w:rFonts w:hint="eastAsia" w:ascii="Times New Roman" w:hAnsi="Times New Roman"/>
          <w:b w:val="0"/>
          <w:bCs w:val="0"/>
          <w:color w:val="000000" w:themeColor="text1"/>
          <w:sz w:val="24"/>
          <w:lang w:eastAsia="zh-CN"/>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物业定期查验记录与维修记录等</w:t>
      </w:r>
      <w:r>
        <w:rPr>
          <w:rFonts w:ascii="Times New Roman" w:hAnsi="Times New Roman"/>
          <w:b w:val="0"/>
          <w:bCs w:val="0"/>
          <w:color w:val="000000" w:themeColor="text1"/>
          <w:sz w:val="24"/>
          <w14:textFill>
            <w14:solidFill>
              <w14:schemeClr w14:val="tx1"/>
            </w14:solidFill>
          </w14:textFill>
        </w:rPr>
        <w:t>并现场核查</w:t>
      </w:r>
      <w:r>
        <w:rPr>
          <w:rFonts w:hint="eastAsia" w:ascii="Times New Roman" w:hAnsi="Times New Roman"/>
          <w:b w:val="0"/>
          <w:bCs w:val="0"/>
          <w:color w:val="000000" w:themeColor="text1"/>
          <w:sz w:val="24"/>
          <w:lang w:eastAsia="zh-CN"/>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区别于4.1.2条之处在于现场核查</w:t>
      </w:r>
      <w:r>
        <w:rPr>
          <w:rFonts w:ascii="Times New Roman" w:hAnsi="Times New Roman"/>
          <w:b w:val="0"/>
          <w:bCs w:val="0"/>
          <w:color w:val="000000" w:themeColor="text1"/>
          <w:sz w:val="24"/>
          <w14:textFill>
            <w14:solidFill>
              <w14:schemeClr w14:val="tx1"/>
            </w14:solidFill>
          </w14:textFill>
        </w:rPr>
        <w:t>结构构件无开裂、地基基础无沉降</w:t>
      </w:r>
      <w:r>
        <w:rPr>
          <w:rFonts w:hint="eastAsia" w:ascii="Times New Roman" w:hAnsi="Times New Roman"/>
          <w:b w:val="0"/>
          <w:bCs w:val="0"/>
          <w:color w:val="000000" w:themeColor="text1"/>
          <w:sz w:val="24"/>
          <w:lang w:val="en-US" w:eastAsia="zh-CN"/>
          <w14:textFill>
            <w14:solidFill>
              <w14:schemeClr w14:val="tx1"/>
            </w14:solidFill>
          </w14:textFill>
        </w:rPr>
        <w:t>现象</w:t>
      </w:r>
      <w:r>
        <w:rPr>
          <w:rFonts w:hint="eastAsia" w:ascii="Times New Roman" w:hAnsi="Times New Roman"/>
          <w:b w:val="0"/>
          <w:bCs w:val="0"/>
          <w:color w:val="000000" w:themeColor="text1"/>
          <w:sz w:val="24"/>
          <w:lang w:eastAsia="zh-CN"/>
          <w14:textFill>
            <w14:solidFill>
              <w14:schemeClr w14:val="tx1"/>
            </w14:solidFill>
          </w14:textFill>
        </w:rPr>
        <w:t>。</w:t>
      </w:r>
      <w:r>
        <w:rPr>
          <w:rFonts w:ascii="Times New Roman" w:hAnsi="Times New Roman"/>
          <w:b w:val="0"/>
          <w:bCs w:val="0"/>
          <w:color w:val="000000" w:themeColor="text1"/>
          <w:sz w:val="24"/>
          <w14:textFill>
            <w14:solidFill>
              <w14:schemeClr w14:val="tx1"/>
            </w14:solidFill>
          </w14:textFill>
        </w:rPr>
        <w:t>如参评建筑出现过地基沉降</w:t>
      </w:r>
      <w:r>
        <w:rPr>
          <w:rFonts w:hint="eastAsia" w:ascii="Times New Roman" w:hAnsi="Times New Roman"/>
          <w:b w:val="0"/>
          <w:bCs w:val="0"/>
          <w:color w:val="000000" w:themeColor="text1"/>
          <w:sz w:val="24"/>
          <w:lang w:eastAsia="zh-CN"/>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结构开裂或拆改</w:t>
      </w:r>
      <w:r>
        <w:rPr>
          <w:rFonts w:ascii="Times New Roman" w:hAnsi="Times New Roman"/>
          <w:b w:val="0"/>
          <w:bCs w:val="0"/>
          <w:color w:val="000000" w:themeColor="text1"/>
          <w:sz w:val="24"/>
          <w14:textFill>
            <w14:solidFill>
              <w14:schemeClr w14:val="tx1"/>
            </w14:solidFill>
          </w14:textFill>
        </w:rPr>
        <w:t>且经过</w:t>
      </w:r>
      <w:r>
        <w:rPr>
          <w:rFonts w:hint="eastAsia" w:ascii="Times New Roman" w:hAnsi="Times New Roman"/>
          <w:b w:val="0"/>
          <w:bCs w:val="0"/>
          <w:color w:val="000000" w:themeColor="text1"/>
          <w:sz w:val="24"/>
          <w:lang w:val="en-US" w:eastAsia="zh-CN"/>
          <w14:textFill>
            <w14:solidFill>
              <w14:schemeClr w14:val="tx1"/>
            </w14:solidFill>
          </w14:textFill>
        </w:rPr>
        <w:t>合法合规</w:t>
      </w:r>
      <w:r>
        <w:rPr>
          <w:rFonts w:ascii="Times New Roman" w:hAnsi="Times New Roman"/>
          <w:b w:val="0"/>
          <w:bCs w:val="0"/>
          <w:color w:val="000000" w:themeColor="text1"/>
          <w:sz w:val="24"/>
          <w14:textFill>
            <w14:solidFill>
              <w14:schemeClr w14:val="tx1"/>
            </w14:solidFill>
          </w14:textFill>
        </w:rPr>
        <w:t>修复治理</w:t>
      </w:r>
      <w:r>
        <w:rPr>
          <w:rFonts w:hint="eastAsia" w:ascii="Times New Roman" w:hAnsi="Times New Roman"/>
          <w:b w:val="0"/>
          <w:bCs w:val="0"/>
          <w:color w:val="000000" w:themeColor="text1"/>
          <w:sz w:val="24"/>
          <w:lang w:val="en-US" w:eastAsia="zh-CN"/>
          <w14:textFill>
            <w14:solidFill>
              <w14:schemeClr w14:val="tx1"/>
            </w14:solidFill>
          </w14:textFill>
        </w:rPr>
        <w:t>或鉴定</w:t>
      </w:r>
      <w:r>
        <w:rPr>
          <w:rFonts w:ascii="Times New Roman" w:hAnsi="Times New Roman"/>
          <w:b w:val="0"/>
          <w:bCs w:val="0"/>
          <w:color w:val="000000" w:themeColor="text1"/>
          <w:sz w:val="24"/>
          <w14:textFill>
            <w14:solidFill>
              <w14:schemeClr w14:val="tx1"/>
            </w14:solidFill>
          </w14:textFill>
        </w:rPr>
        <w:t>的，需同时提供相关证明文件，包括但不限于原因分析报告、修复治理方案、修复后相关检测鉴定报告等，本条方可得分。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val="0"/>
          <w:bCs w:val="0"/>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.2</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外遮阳、太阳能设施、空调室外机外部设施应</w:t>
      </w:r>
      <w:r>
        <w:rPr>
          <w:rFonts w:hint="eastAsia"/>
          <w:color w:val="000000" w:themeColor="text1"/>
          <w:sz w:val="24"/>
          <w:lang w:val="en-US" w:eastAsia="zh-CN"/>
          <w14:textFill>
            <w14:solidFill>
              <w14:schemeClr w14:val="tx1"/>
            </w14:solidFill>
          </w14:textFill>
        </w:rPr>
        <w:t>与</w:t>
      </w:r>
      <w:r>
        <w:rPr>
          <w:rFonts w:ascii="Times New Roman" w:hAnsi="Times New Roman"/>
          <w:color w:val="000000" w:themeColor="text1"/>
          <w:sz w:val="24"/>
          <w14:textFill>
            <w14:solidFill>
              <w14:schemeClr w14:val="tx1"/>
            </w14:solidFill>
          </w14:textFill>
        </w:rPr>
        <w:t>建筑本体连接紧密，在运营过程中，物业管理单位应定期检查，排除脱落风险。</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外部设施需要定期检修和维护，应</w:t>
      </w:r>
      <w:r>
        <w:rPr>
          <w:rFonts w:hint="eastAsia"/>
          <w:color w:val="000000" w:themeColor="text1"/>
          <w:sz w:val="24"/>
          <w:lang w:val="en-US" w:eastAsia="zh-CN"/>
          <w14:textFill>
            <w14:solidFill>
              <w14:schemeClr w14:val="tx1"/>
            </w14:solidFill>
          </w14:textFill>
        </w:rPr>
        <w:t>设置</w:t>
      </w:r>
      <w:r>
        <w:rPr>
          <w:rFonts w:ascii="Times New Roman" w:hAnsi="Times New Roman"/>
          <w:color w:val="000000" w:themeColor="text1"/>
          <w:sz w:val="24"/>
          <w14:textFill>
            <w14:solidFill>
              <w14:schemeClr w14:val="tx1"/>
            </w14:solidFill>
          </w14:textFill>
        </w:rPr>
        <w:t>维修保养通道，预留操作空间，保障安装、检修、维护人员安全。</w:t>
      </w:r>
      <w:r>
        <w:rPr>
          <w:rFonts w:hint="eastAsia" w:ascii="Times New Roman" w:hAnsi="Times New Roman"/>
          <w:color w:val="000000" w:themeColor="text1"/>
          <w:sz w:val="24"/>
          <w14:textFill>
            <w14:solidFill>
              <w14:schemeClr w14:val="tx1"/>
            </w14:solidFill>
          </w14:textFill>
        </w:rPr>
        <w:t>例如，</w:t>
      </w:r>
      <w:r>
        <w:rPr>
          <w:rFonts w:ascii="Times New Roman" w:hAnsi="Times New Roman"/>
          <w:color w:val="000000" w:themeColor="text1"/>
          <w:sz w:val="24"/>
          <w14:textFill>
            <w14:solidFill>
              <w14:schemeClr w14:val="tx1"/>
            </w14:solidFill>
          </w14:textFill>
        </w:rPr>
        <w:t>新建或改建建筑设计时预留与主体结构连接牢固的空调外机安装位置，与拟定的机型大小匹配，预留操作空间，保障安装、检修、维护人员安全。</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w:t>
      </w:r>
      <w:r>
        <w:rPr>
          <w:rFonts w:hint="eastAsia"/>
          <w:color w:val="000000" w:themeColor="text1"/>
          <w:sz w:val="24"/>
          <w:lang w:val="en-US" w:eastAsia="zh-CN"/>
          <w14:textFill>
            <w14:solidFill>
              <w14:schemeClr w14:val="tx1"/>
            </w14:solidFill>
          </w14:textFill>
        </w:rPr>
        <w:t>现场照片、</w:t>
      </w:r>
      <w:r>
        <w:rPr>
          <w:rFonts w:ascii="Times New Roman" w:hAnsi="Times New Roman"/>
          <w:color w:val="000000" w:themeColor="text1"/>
          <w:sz w:val="24"/>
          <w14:textFill>
            <w14:solidFill>
              <w14:schemeClr w14:val="tx1"/>
            </w14:solidFill>
          </w14:textFill>
        </w:rPr>
        <w:t>还根据</w:t>
      </w:r>
      <w:r>
        <w:rPr>
          <w:rFonts w:hint="eastAsia"/>
          <w:color w:val="000000" w:themeColor="text1"/>
          <w:sz w:val="24"/>
          <w:lang w:val="en-US" w:eastAsia="zh-CN"/>
          <w14:textFill>
            <w14:solidFill>
              <w14:schemeClr w14:val="tx1"/>
            </w14:solidFill>
          </w14:textFill>
        </w:rPr>
        <w:t>竣工</w:t>
      </w:r>
      <w:r>
        <w:rPr>
          <w:rFonts w:ascii="Times New Roman" w:hAnsi="Times New Roman"/>
          <w:color w:val="000000" w:themeColor="text1"/>
          <w:sz w:val="24"/>
          <w14:textFill>
            <w14:solidFill>
              <w14:schemeClr w14:val="tx1"/>
            </w14:solidFill>
          </w14:textFill>
        </w:rPr>
        <w:t>图要求查阅检修和维护条件</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查阅外部设施相关管理与维修记录并现场核查</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区别于4.1.2条之处在于现场核查</w:t>
      </w:r>
      <w:r>
        <w:rPr>
          <w:rFonts w:ascii="Times New Roman" w:hAnsi="Times New Roman"/>
          <w:color w:val="000000" w:themeColor="text1"/>
          <w:sz w:val="24"/>
          <w14:textFill>
            <w14:solidFill>
              <w14:schemeClr w14:val="tx1"/>
            </w14:solidFill>
          </w14:textFill>
        </w:rPr>
        <w:t>应具备</w:t>
      </w:r>
      <w:r>
        <w:rPr>
          <w:rFonts w:hint="eastAsia" w:ascii="Times New Roman" w:hAnsi="Times New Roman"/>
          <w:color w:val="000000" w:themeColor="text1"/>
          <w:sz w:val="24"/>
          <w:lang w:val="en-US" w:eastAsia="zh-CN"/>
          <w14:textFill>
            <w14:solidFill>
              <w14:schemeClr w14:val="tx1"/>
            </w14:solidFill>
          </w14:textFill>
        </w:rPr>
        <w:t>具体的</w:t>
      </w:r>
      <w:r>
        <w:rPr>
          <w:rFonts w:ascii="Times New Roman" w:hAnsi="Times New Roman"/>
          <w:color w:val="000000" w:themeColor="text1"/>
          <w:sz w:val="24"/>
          <w14:textFill>
            <w14:solidFill>
              <w14:schemeClr w14:val="tx1"/>
            </w14:solidFill>
          </w14:textFill>
        </w:rPr>
        <w:t>安装、检修与维护</w:t>
      </w:r>
      <w:r>
        <w:rPr>
          <w:rFonts w:hint="eastAsia" w:ascii="Times New Roman" w:hAnsi="Times New Roman"/>
          <w:color w:val="000000" w:themeColor="text1"/>
          <w:sz w:val="24"/>
          <w:lang w:val="en-US" w:eastAsia="zh-CN"/>
          <w14:textFill>
            <w14:solidFill>
              <w14:schemeClr w14:val="tx1"/>
            </w14:solidFill>
          </w14:textFill>
        </w:rPr>
        <w:t>通道或空间</w:t>
      </w:r>
      <w:r>
        <w:rPr>
          <w:rFonts w:ascii="Times New Roman" w:hAnsi="Times New Roman"/>
          <w:color w:val="000000" w:themeColor="text1"/>
          <w:sz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rPr>
      </w:pPr>
      <w:r>
        <w:rPr>
          <w:rFonts w:hint="default" w:ascii="Times New Roman" w:hAnsi="Times New Roman"/>
          <w:b/>
          <w:bCs/>
          <w:color w:val="auto"/>
          <w:sz w:val="24"/>
        </w:rPr>
        <w:t>4.</w:t>
      </w:r>
      <w:r>
        <w:rPr>
          <w:rFonts w:hint="eastAsia"/>
          <w:b/>
          <w:bCs/>
          <w:color w:val="auto"/>
          <w:sz w:val="24"/>
          <w:lang w:val="en-US" w:eastAsia="zh-CN"/>
        </w:rPr>
        <w:t>3</w:t>
      </w:r>
      <w:r>
        <w:rPr>
          <w:rFonts w:hint="default" w:ascii="Times New Roman" w:hAnsi="Times New Roman"/>
          <w:b/>
          <w:bCs/>
          <w:color w:val="auto"/>
          <w:sz w:val="24"/>
        </w:rPr>
        <w:t>.3</w:t>
      </w:r>
      <w:r>
        <w:rPr>
          <w:rFonts w:hint="default" w:ascii="Times New Roman" w:hAnsi="Times New Roman"/>
          <w:color w:val="auto"/>
          <w:sz w:val="24"/>
        </w:rPr>
        <w:t xml:space="preserve">  </w:t>
      </w:r>
      <w:r>
        <w:rPr>
          <w:rFonts w:ascii="Times New Roman" w:hAnsi="Times New Roman"/>
          <w:color w:val="auto"/>
          <w:sz w:val="24"/>
        </w:rPr>
        <w:t>建筑外门窗各构件的连接设计及安装施工应牢固。门窗设计时，各构件及连接应具有足够的刚度、承载能力和一定的变位能力，施工</w:t>
      </w:r>
      <w:r>
        <w:rPr>
          <w:rFonts w:hint="eastAsia"/>
          <w:color w:val="auto"/>
          <w:sz w:val="24"/>
          <w:lang w:val="en-US" w:eastAsia="zh-CN"/>
        </w:rPr>
        <w:t>应</w:t>
      </w:r>
      <w:r>
        <w:rPr>
          <w:rFonts w:ascii="Times New Roman" w:hAnsi="Times New Roman"/>
          <w:color w:val="auto"/>
          <w:sz w:val="24"/>
        </w:rPr>
        <w:t>安装牢固，否则容易因抗风压变形过大导致水密性不足，引起渗水，也可能因连接失效导致窗扇脱落等问题。</w:t>
      </w:r>
      <w:r>
        <w:rPr>
          <w:rFonts w:ascii="Times New Roman" w:hAnsi="Times New Roman" w:cs="Times New Roman"/>
          <w:kern w:val="0"/>
          <w:sz w:val="24"/>
          <w:szCs w:val="24"/>
        </w:rPr>
        <w:t>门窗</w:t>
      </w:r>
      <w:r>
        <w:rPr>
          <w:rFonts w:hint="eastAsia" w:ascii="Times New Roman" w:hAnsi="Times New Roman" w:cs="Times New Roman"/>
          <w:kern w:val="0"/>
          <w:sz w:val="24"/>
          <w:szCs w:val="24"/>
        </w:rPr>
        <w:t>抗风压性能和水密性能</w:t>
      </w:r>
      <w:r>
        <w:rPr>
          <w:rFonts w:ascii="Times New Roman" w:hAnsi="Times New Roman" w:cs="Times New Roman"/>
          <w:kern w:val="0"/>
          <w:sz w:val="24"/>
          <w:szCs w:val="24"/>
        </w:rPr>
        <w:t>，应满足现行《塑料门窗工程技术规程》JGJ 103、《铝合金门窗工程技术规范》JGJ 214等的规定。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rPr>
      </w:pPr>
      <w:r>
        <w:rPr>
          <w:rFonts w:ascii="Times New Roman" w:hAnsi="Times New Roman"/>
          <w:color w:val="auto"/>
          <w:sz w:val="24"/>
        </w:rPr>
        <w:t>在门窗安装施工过程中，应严格按照设计要求、门窗施工工法和相关验收标准要求进行施工，门窗构件之间连接及门窗四周的与围护结构的连接要可靠、密封应完整、连续，确保外门窗本体及其与洞口的结合部位严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rPr>
      </w:pPr>
      <w:r>
        <w:rPr>
          <w:rFonts w:ascii="Times New Roman" w:hAnsi="Times New Roman"/>
          <w:color w:val="auto"/>
          <w:sz w:val="24"/>
        </w:rPr>
        <w:t>在运</w:t>
      </w:r>
      <w:r>
        <w:rPr>
          <w:rFonts w:hint="eastAsia"/>
          <w:color w:val="auto"/>
          <w:sz w:val="24"/>
          <w:lang w:val="en-US" w:eastAsia="zh-CN"/>
        </w:rPr>
        <w:t>行</w:t>
      </w:r>
      <w:r>
        <w:rPr>
          <w:rFonts w:ascii="Times New Roman" w:hAnsi="Times New Roman"/>
          <w:color w:val="auto"/>
          <w:sz w:val="24"/>
        </w:rPr>
        <w:t>过程中，物业管理单位应定期检查，排除脱落</w:t>
      </w:r>
      <w:r>
        <w:rPr>
          <w:rFonts w:hint="eastAsia"/>
          <w:color w:val="auto"/>
          <w:sz w:val="24"/>
          <w:lang w:eastAsia="zh-CN"/>
        </w:rPr>
        <w:t>、</w:t>
      </w:r>
      <w:r>
        <w:rPr>
          <w:rFonts w:hint="eastAsia" w:ascii="Times New Roman" w:hAnsi="Times New Roman" w:eastAsia="宋体" w:cs="Times New Roman"/>
          <w:color w:val="auto"/>
          <w:sz w:val="24"/>
        </w:rPr>
        <w:t>渗水</w:t>
      </w:r>
      <w:r>
        <w:rPr>
          <w:rFonts w:ascii="Times New Roman" w:hAnsi="Times New Roman"/>
          <w:color w:val="auto"/>
          <w:sz w:val="24"/>
        </w:rPr>
        <w:t>风险</w:t>
      </w:r>
      <w:r>
        <w:rPr>
          <w:rFonts w:hint="eastAsia"/>
          <w:color w:val="auto"/>
          <w:sz w:val="24"/>
          <w:lang w:eastAsia="zh-CN"/>
        </w:rPr>
        <w:t>，</w:t>
      </w:r>
      <w:r>
        <w:rPr>
          <w:rFonts w:hint="eastAsia" w:ascii="Times New Roman" w:hAnsi="Times New Roman" w:eastAsia="宋体" w:cs="Times New Roman"/>
          <w:color w:val="auto"/>
          <w:sz w:val="24"/>
        </w:rPr>
        <w:t>但</w:t>
      </w:r>
      <w:r>
        <w:rPr>
          <w:rFonts w:hint="eastAsia" w:cs="Times New Roman"/>
          <w:color w:val="auto"/>
          <w:sz w:val="24"/>
          <w:lang w:val="en-US" w:eastAsia="zh-CN"/>
        </w:rPr>
        <w:t>考虑</w:t>
      </w:r>
      <w:r>
        <w:rPr>
          <w:rFonts w:hint="eastAsia" w:ascii="Times New Roman" w:hAnsi="Times New Roman" w:eastAsia="宋体" w:cs="Times New Roman"/>
          <w:color w:val="auto"/>
          <w:sz w:val="24"/>
        </w:rPr>
        <w:t>住宅建筑设计私隐，对检查工作有一定影响。可通过评前公示和评审时公示</w:t>
      </w:r>
      <w:r>
        <w:rPr>
          <w:rFonts w:hint="eastAsia" w:cs="Times New Roman"/>
          <w:color w:val="auto"/>
          <w:sz w:val="24"/>
          <w:lang w:val="en-US" w:eastAsia="zh-CN"/>
        </w:rPr>
        <w:t>的方式</w:t>
      </w:r>
      <w:r>
        <w:rPr>
          <w:rFonts w:hint="eastAsia" w:ascii="Times New Roman" w:hAnsi="Times New Roman" w:eastAsia="宋体" w:cs="Times New Roman"/>
          <w:color w:val="auto"/>
          <w:sz w:val="24"/>
        </w:rPr>
        <w:t>进行处理。评前公示要求参评单位公示“无渗水漏水”现象，公示一周，提供公示记录和反馈纪录。评审时公示，要求评审前一周对外公示，公示内容包括“无渗水漏水”或“XX渗水漏水修复完成情况”，现场评审时间，评审期的反馈电话，无负面反馈</w:t>
      </w:r>
      <w:r>
        <w:rPr>
          <w:rFonts w:hint="eastAsia" w:cs="Times New Roman"/>
          <w:color w:val="auto"/>
          <w:sz w:val="24"/>
          <w:lang w:val="en-US" w:eastAsia="zh-CN"/>
        </w:rPr>
        <w:t>时可得分</w:t>
      </w:r>
      <w:r>
        <w:rPr>
          <w:rFonts w:hint="eastAsia" w:ascii="Times New Roman" w:hAnsi="Times New Roman" w:eastAsia="宋体" w:cs="Times New Roman"/>
          <w:color w:val="auto"/>
          <w:sz w:val="24"/>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auto"/>
          <w:sz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auto"/>
          <w:sz w:val="24"/>
        </w:rPr>
        <w:t>查阅</w:t>
      </w:r>
      <w:r>
        <w:rPr>
          <w:rFonts w:hint="eastAsia"/>
          <w:color w:val="000000" w:themeColor="text1"/>
          <w:sz w:val="24"/>
          <w:lang w:val="en-US" w:eastAsia="zh-CN"/>
          <w14:textFill>
            <w14:solidFill>
              <w14:schemeClr w14:val="tx1"/>
            </w14:solidFill>
          </w14:textFill>
        </w:rPr>
        <w:t>公示记录</w:t>
      </w:r>
      <w:r>
        <w:rPr>
          <w:rFonts w:hint="eastAsia" w:ascii="Times New Roman" w:hAnsi="Times New Roman" w:cs="Times New Roman"/>
          <w:sz w:val="24"/>
          <w:szCs w:val="24"/>
          <w:lang w:eastAsia="zh-CN"/>
        </w:rPr>
        <w:t>、</w:t>
      </w:r>
      <w:r>
        <w:rPr>
          <w:rFonts w:hint="eastAsia" w:ascii="Times New Roman" w:hAnsi="Times New Roman" w:cs="Times New Roman"/>
          <w:kern w:val="0"/>
          <w:sz w:val="24"/>
          <w:szCs w:val="24"/>
          <w:lang w:val="en-US" w:eastAsia="zh-CN"/>
        </w:rPr>
        <w:t>运营</w:t>
      </w:r>
      <w:r>
        <w:rPr>
          <w:rFonts w:ascii="Times New Roman" w:hAnsi="Times New Roman"/>
          <w:color w:val="000000" w:themeColor="text1"/>
          <w:sz w:val="24"/>
          <w14:textFill>
            <w14:solidFill>
              <w14:schemeClr w14:val="tx1"/>
            </w14:solidFill>
          </w14:textFill>
        </w:rPr>
        <w:t>相关管理</w:t>
      </w:r>
      <w:r>
        <w:rPr>
          <w:rFonts w:hint="eastAsia" w:ascii="Times New Roman" w:hAnsi="Times New Roman"/>
          <w:color w:val="000000" w:themeColor="text1"/>
          <w:sz w:val="24"/>
          <w:lang w:val="en-US" w:eastAsia="zh-CN"/>
          <w14:textFill>
            <w14:solidFill>
              <w14:schemeClr w14:val="tx1"/>
            </w14:solidFill>
          </w14:textFill>
        </w:rPr>
        <w:t>制度</w:t>
      </w:r>
      <w:r>
        <w:rPr>
          <w:rFonts w:ascii="Times New Roman" w:hAnsi="Times New Roman"/>
          <w:color w:val="000000" w:themeColor="text1"/>
          <w:sz w:val="24"/>
          <w14:textFill>
            <w14:solidFill>
              <w14:schemeClr w14:val="tx1"/>
            </w14:solidFill>
          </w14:textFill>
        </w:rPr>
        <w:t>与维修记录并现场核查</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区别于4.1.2条之处在于现场核查</w:t>
      </w:r>
      <w:r>
        <w:rPr>
          <w:rFonts w:ascii="Times New Roman" w:hAnsi="Times New Roman"/>
          <w:color w:val="000000" w:themeColor="text1"/>
          <w:sz w:val="24"/>
          <w14:textFill>
            <w14:solidFill>
              <w14:schemeClr w14:val="tx1"/>
            </w14:solidFill>
          </w14:textFill>
        </w:rPr>
        <w:t>应</w:t>
      </w:r>
      <w:r>
        <w:rPr>
          <w:rFonts w:hint="eastAsia" w:ascii="Times New Roman" w:hAnsi="Times New Roman"/>
          <w:color w:val="000000" w:themeColor="text1"/>
          <w:sz w:val="24"/>
          <w:lang w:val="en-US" w:eastAsia="zh-CN"/>
          <w14:textFill>
            <w14:solidFill>
              <w14:schemeClr w14:val="tx1"/>
            </w14:solidFill>
          </w14:textFill>
        </w:rPr>
        <w:t>室内外门窗周边</w:t>
      </w:r>
      <w:r>
        <w:rPr>
          <w:rFonts w:hint="eastAsia" w:ascii="Times New Roman" w:hAnsi="Times New Roman"/>
          <w:color w:val="auto"/>
          <w:sz w:val="24"/>
          <w:lang w:val="en-US" w:eastAsia="zh-CN"/>
        </w:rPr>
        <w:t>无渗水漏水现象</w:t>
      </w:r>
      <w:r>
        <w:rPr>
          <w:rFonts w:ascii="Times New Roman" w:hAnsi="Times New Roman"/>
          <w:color w:val="000000" w:themeColor="text1"/>
          <w:sz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auto"/>
          <w:sz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.4</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卫生间作为建筑物中水气较大的地方，随着建筑使用时间的增加，难免会出现渗漏水发霉等各种毛病，如果人长期接触和吸入霉菌，可能会引发呼吸道疾病和过敏性症状，例如支气管炎，哮喘病，像老人、孩子、孕妇这些免疫力低的人更可能引发头热、发烧、皮肤和粘膜发炎，严重的甚至引发肺癌。</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当卫生间出现发霉渗水时应及时诊断，找出渗漏、发霉原因，对症制定渗漏、发霉解决方案，然后运用科学合理的方法进行修复。</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卫生间</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浴室的</w:t>
      </w:r>
      <w:r>
        <w:rPr>
          <w:rFonts w:ascii="Times New Roman" w:hAnsi="Times New Roman"/>
          <w:color w:val="000000" w:themeColor="text1"/>
          <w:sz w:val="24"/>
          <w14:textFill>
            <w14:solidFill>
              <w14:schemeClr w14:val="tx1"/>
            </w14:solidFill>
          </w14:textFill>
        </w:rPr>
        <w:t>墙面、顶棚无发霉</w:t>
      </w:r>
      <w:r>
        <w:rPr>
          <w:rFonts w:hint="eastAsia" w:ascii="Times New Roman" w:hAnsi="Times New Roman"/>
          <w:color w:val="000000" w:themeColor="text1"/>
          <w:sz w:val="24"/>
          <w:lang w:val="en-US" w:eastAsia="zh-CN"/>
          <w14:textFill>
            <w14:solidFill>
              <w14:schemeClr w14:val="tx1"/>
            </w14:solidFill>
          </w14:textFill>
        </w:rPr>
        <w:t>和</w:t>
      </w:r>
      <w:r>
        <w:rPr>
          <w:rFonts w:ascii="Times New Roman" w:hAnsi="Times New Roman"/>
          <w:color w:val="000000" w:themeColor="text1"/>
          <w:sz w:val="24"/>
          <w14:textFill>
            <w14:solidFill>
              <w14:schemeClr w14:val="tx1"/>
            </w14:solidFill>
          </w14:textFill>
        </w:rPr>
        <w:t>渗水</w:t>
      </w:r>
      <w:r>
        <w:rPr>
          <w:rFonts w:hint="eastAsia"/>
          <w:color w:val="000000" w:themeColor="text1"/>
          <w:sz w:val="24"/>
          <w:lang w:val="en-US" w:eastAsia="zh-CN"/>
          <w14:textFill>
            <w14:solidFill>
              <w14:schemeClr w14:val="tx1"/>
            </w14:solidFill>
          </w14:textFill>
        </w:rPr>
        <w:t>公示记录可与4.3.3条门窗渗水漏水一同进行。</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w:t>
      </w:r>
      <w:r>
        <w:rPr>
          <w:rFonts w:hint="eastAsia"/>
          <w:color w:val="000000" w:themeColor="text1"/>
          <w:sz w:val="24"/>
          <w:lang w:val="en-US" w:eastAsia="zh-CN"/>
          <w14:textFill>
            <w14:solidFill>
              <w14:schemeClr w14:val="tx1"/>
            </w14:solidFill>
          </w14:textFill>
        </w:rPr>
        <w:t>公示记录</w:t>
      </w:r>
      <w:r>
        <w:rPr>
          <w:rFonts w:ascii="Times New Roman" w:hAnsi="Times New Roman"/>
          <w:color w:val="000000" w:themeColor="text1"/>
          <w:sz w:val="24"/>
          <w14:textFill>
            <w14:solidFill>
              <w14:schemeClr w14:val="tx1"/>
            </w14:solidFill>
          </w14:textFill>
        </w:rPr>
        <w:t>并现场核查。</w:t>
      </w:r>
      <w:r>
        <w:rPr>
          <w:rFonts w:hint="eastAsia" w:ascii="Times New Roman" w:hAnsi="Times New Roman"/>
          <w:b w:val="0"/>
          <w:bCs w:val="0"/>
          <w:color w:val="000000" w:themeColor="text1"/>
          <w:sz w:val="24"/>
          <w:lang w:val="en-US" w:eastAsia="zh-CN"/>
          <w14:textFill>
            <w14:solidFill>
              <w14:schemeClr w14:val="tx1"/>
            </w14:solidFill>
          </w14:textFill>
        </w:rPr>
        <w:t>区别于4.1.2条之处在于现场核查</w:t>
      </w:r>
      <w:r>
        <w:rPr>
          <w:rFonts w:ascii="Times New Roman" w:hAnsi="Times New Roman"/>
          <w:color w:val="000000" w:themeColor="text1"/>
          <w:sz w:val="24"/>
          <w14:textFill>
            <w14:solidFill>
              <w14:schemeClr w14:val="tx1"/>
            </w14:solidFill>
          </w14:textFill>
        </w:rPr>
        <w:t>应</w:t>
      </w:r>
      <w:r>
        <w:rPr>
          <w:rFonts w:hint="eastAsia" w:ascii="Times New Roman" w:hAnsi="Times New Roman"/>
          <w:color w:val="000000" w:themeColor="text1"/>
          <w:sz w:val="24"/>
          <w:lang w:val="en-US" w:eastAsia="zh-CN"/>
          <w14:textFill>
            <w14:solidFill>
              <w14:schemeClr w14:val="tx1"/>
            </w14:solidFill>
          </w14:textFill>
        </w:rPr>
        <w:t>室内</w:t>
      </w:r>
      <w:r>
        <w:rPr>
          <w:rFonts w:ascii="Times New Roman" w:hAnsi="Times New Roman"/>
          <w:color w:val="000000" w:themeColor="text1"/>
          <w:sz w:val="24"/>
          <w14:textFill>
            <w14:solidFill>
              <w14:schemeClr w14:val="tx1"/>
            </w14:solidFill>
          </w14:textFill>
        </w:rPr>
        <w:t>卫生间</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浴室的</w:t>
      </w:r>
      <w:r>
        <w:rPr>
          <w:rFonts w:ascii="Times New Roman" w:hAnsi="Times New Roman"/>
          <w:color w:val="000000" w:themeColor="text1"/>
          <w:sz w:val="24"/>
          <w14:textFill>
            <w14:solidFill>
              <w14:schemeClr w14:val="tx1"/>
            </w14:solidFill>
          </w14:textFill>
        </w:rPr>
        <w:t>墙面、顶棚无发霉</w:t>
      </w:r>
      <w:r>
        <w:rPr>
          <w:rFonts w:hint="eastAsia" w:ascii="Times New Roman" w:hAnsi="Times New Roman"/>
          <w:color w:val="000000" w:themeColor="text1"/>
          <w:sz w:val="24"/>
          <w:lang w:val="en-US" w:eastAsia="zh-CN"/>
          <w14:textFill>
            <w14:solidFill>
              <w14:schemeClr w14:val="tx1"/>
            </w14:solidFill>
          </w14:textFill>
        </w:rPr>
        <w:t>和</w:t>
      </w:r>
      <w:r>
        <w:rPr>
          <w:rFonts w:ascii="Times New Roman" w:hAnsi="Times New Roman"/>
          <w:color w:val="000000" w:themeColor="text1"/>
          <w:sz w:val="24"/>
          <w14:textFill>
            <w14:solidFill>
              <w14:schemeClr w14:val="tx1"/>
            </w14:solidFill>
          </w14:textFill>
        </w:rPr>
        <w:t>渗水</w:t>
      </w:r>
      <w:r>
        <w:rPr>
          <w:rFonts w:hint="eastAsia" w:ascii="Times New Roman" w:hAnsi="Times New Roman"/>
          <w:color w:val="auto"/>
          <w:sz w:val="24"/>
          <w:lang w:val="en-US" w:eastAsia="zh-CN"/>
        </w:rPr>
        <w:t>现象</w:t>
      </w:r>
      <w:r>
        <w:rPr>
          <w:rFonts w:ascii="Times New Roman" w:hAnsi="Times New Roman"/>
          <w:color w:val="000000" w:themeColor="text1"/>
          <w:sz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.5</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根据国家标准《安全标志及其使用导则》GB 2894，安全标志分为禁止标志、警告标志、指令标志和提示标志四类。本条所述是指具有警示和引导功能的安全标志，应在场地及建筑公共场所和其他有必要提醒人们注意安全的场所显著位置上设置。</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设置显著、醒目的安全警示标志，能够起到提醒建筑使用者注意安全的作用。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设置安全引导指示标志，具体包括人行导向标识，紧急出口标志、避险处标志、应急避难场所标志、急救点标志、报警点标志以及其他促进建筑安全使用的引导标志等。对地下室、停车场等还包括车行导向标识。标识设计需要结合建筑平面与建筑功能特点结合流线，合理安排位置和分布密度。在难以确定位置和方向的流线节点上，应增加标识点位以便明示和指引。如紧急出口标志，一般设置于便于安全疏散的紧急出口处，结合方向箭头设置于通向紧急出口的通道、楼梯口等处。</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现场照片</w:t>
      </w:r>
      <w:r>
        <w:rPr>
          <w:rFonts w:ascii="Times New Roman" w:hAnsi="Times New Roman"/>
          <w:color w:val="000000" w:themeColor="text1"/>
          <w:sz w:val="24"/>
          <w14:textFill>
            <w14:solidFill>
              <w14:schemeClr w14:val="tx1"/>
            </w14:solidFill>
          </w14:textFill>
        </w:rPr>
        <w:t>并现场核查</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区别于4.1.2条之处在于现场核查建筑</w:t>
      </w:r>
      <w:r>
        <w:rPr>
          <w:rFonts w:hint="eastAsia"/>
          <w:b w:val="0"/>
          <w:bCs w:val="0"/>
          <w:color w:val="000000" w:themeColor="text1"/>
          <w:sz w:val="24"/>
          <w:lang w:val="en-US" w:eastAsia="zh-CN"/>
          <w14:textFill>
            <w14:solidFill>
              <w14:schemeClr w14:val="tx1"/>
            </w14:solidFill>
          </w14:textFill>
        </w:rPr>
        <w:t>运行</w:t>
      </w:r>
      <w:r>
        <w:rPr>
          <w:rFonts w:hint="eastAsia" w:ascii="Times New Roman" w:hAnsi="Times New Roman"/>
          <w:b w:val="0"/>
          <w:bCs w:val="0"/>
          <w:color w:val="000000" w:themeColor="text1"/>
          <w:sz w:val="24"/>
          <w:lang w:val="en-US" w:eastAsia="zh-CN"/>
          <w14:textFill>
            <w14:solidFill>
              <w14:schemeClr w14:val="tx1"/>
            </w14:solidFill>
          </w14:textFill>
        </w:rPr>
        <w:t>期间各类标识标志的完整性和维护记录</w:t>
      </w:r>
      <w:r>
        <w:rPr>
          <w:rFonts w:ascii="Times New Roman" w:hAnsi="Times New Roman"/>
          <w:color w:val="000000" w:themeColor="text1"/>
          <w:sz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bCs/>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ascii="Times New Roman" w:hAnsi="Times New Roman"/>
          <w:b/>
          <w:bCs/>
          <w:color w:val="000000" w:themeColor="text1"/>
          <w:sz w:val="24"/>
          <w14:textFill>
            <w14:solidFill>
              <w14:schemeClr w14:val="tx1"/>
            </w14:solidFill>
          </w14:textFill>
        </w:rPr>
        <w:t>.</w:t>
      </w:r>
      <w:r>
        <w:rPr>
          <w:rFonts w:hint="default" w:ascii="Times New Roman" w:hAnsi="Times New Roman"/>
          <w:b/>
          <w:bCs/>
          <w:color w:val="000000" w:themeColor="text1"/>
          <w:sz w:val="24"/>
          <w14:textFill>
            <w14:solidFill>
              <w14:schemeClr w14:val="tx1"/>
            </w14:solidFill>
          </w14:textFill>
        </w:rPr>
        <w:t>6</w:t>
      </w:r>
      <w:r>
        <w:rPr>
          <w:rFonts w:ascii="Times New Roman" w:hAnsi="Times New Roman"/>
          <w:color w:val="000000" w:themeColor="text1"/>
          <w:sz w:val="24"/>
          <w14:textFill>
            <w14:solidFill>
              <w14:schemeClr w14:val="tx1"/>
            </w14:solidFill>
          </w14:textFill>
        </w:rPr>
        <w:t xml:space="preserve">  第l款主要</w:t>
      </w:r>
      <w:r>
        <w:rPr>
          <w:rFonts w:hint="eastAsia" w:ascii="Times New Roman" w:hAnsi="Times New Roman"/>
          <w:color w:val="000000" w:themeColor="text1"/>
          <w:sz w:val="24"/>
          <w:lang w:val="en-US" w:eastAsia="zh-CN"/>
          <w14:textFill>
            <w14:solidFill>
              <w14:schemeClr w14:val="tx1"/>
            </w14:solidFill>
          </w14:textFill>
        </w:rPr>
        <w:t>评估现场</w:t>
      </w:r>
      <w:r>
        <w:rPr>
          <w:rFonts w:ascii="Times New Roman" w:hAnsi="Times New Roman"/>
          <w:color w:val="000000" w:themeColor="text1"/>
          <w:sz w:val="24"/>
          <w14:textFill>
            <w14:solidFill>
              <w14:schemeClr w14:val="tx1"/>
            </w14:solidFill>
          </w14:textFill>
        </w:rPr>
        <w:t>采用主动</w:t>
      </w:r>
      <w:r>
        <w:rPr>
          <w:rFonts w:hint="eastAsia" w:ascii="Times New Roman" w:hAnsi="Times New Roman"/>
          <w:color w:val="000000" w:themeColor="text1"/>
          <w:sz w:val="24"/>
          <w:lang w:val="en-US" w:eastAsia="zh-CN"/>
          <w14:textFill>
            <w14:solidFill>
              <w14:schemeClr w14:val="tx1"/>
            </w14:solidFill>
          </w14:textFill>
        </w:rPr>
        <w:t>防坠措施方可得分</w:t>
      </w:r>
      <w:r>
        <w:rPr>
          <w:rFonts w:ascii="Times New Roman" w:hAnsi="Times New Roman"/>
          <w:color w:val="000000" w:themeColor="text1"/>
          <w:sz w:val="24"/>
          <w14:textFill>
            <w14:solidFill>
              <w14:schemeClr w14:val="tx1"/>
            </w14:solidFill>
          </w14:textFill>
        </w:rPr>
        <w:t>，包括</w:t>
      </w:r>
      <w:r>
        <w:rPr>
          <w:rFonts w:ascii="Times New Roman" w:hAnsi="Times New Roman" w:cs="Times New Roman"/>
          <w:sz w:val="24"/>
          <w:szCs w:val="24"/>
        </w:rPr>
        <w:t>阳台外窗采用高窗设计</w:t>
      </w:r>
      <w:r>
        <w:rPr>
          <w:rFonts w:hint="eastAsia" w:ascii="Times New Roman" w:hAnsi="Times New Roman" w:cs="Times New Roman"/>
          <w:sz w:val="24"/>
          <w:szCs w:val="24"/>
        </w:rPr>
        <w:t>、</w:t>
      </w:r>
      <w:r>
        <w:rPr>
          <w:rFonts w:ascii="Times New Roman" w:hAnsi="Times New Roman" w:cs="Times New Roman"/>
          <w:sz w:val="24"/>
          <w:szCs w:val="24"/>
        </w:rPr>
        <w:t>限制窗扇开启角度、</w:t>
      </w:r>
      <w:r>
        <w:rPr>
          <w:rFonts w:hint="eastAsia" w:ascii="Times New Roman" w:hAnsi="Times New Roman" w:cs="Times New Roman"/>
          <w:sz w:val="24"/>
          <w:szCs w:val="24"/>
          <w:lang w:val="en-US" w:eastAsia="zh-CN"/>
        </w:rPr>
        <w:t>增加栏板宽度、</w:t>
      </w:r>
      <w:r>
        <w:rPr>
          <w:rFonts w:ascii="Times New Roman" w:hAnsi="Times New Roman" w:cs="Times New Roman"/>
          <w:sz w:val="24"/>
          <w:szCs w:val="24"/>
        </w:rPr>
        <w:t>窗台与绿化种植整合设计、适度减少防护栏杆垂直杆件水平净距、安装隐形防盗网</w:t>
      </w:r>
      <w:r>
        <w:rPr>
          <w:rFonts w:hint="eastAsia" w:ascii="Times New Roman" w:hAnsi="Times New Roman" w:cs="Times New Roman"/>
          <w:sz w:val="24"/>
          <w:szCs w:val="24"/>
        </w:rPr>
        <w:t>、</w:t>
      </w:r>
      <w:r>
        <w:rPr>
          <w:rFonts w:ascii="Times New Roman" w:hAnsi="Times New Roman" w:cs="Times New Roman"/>
          <w:sz w:val="24"/>
          <w:szCs w:val="24"/>
        </w:rPr>
        <w:t>住宅外窗的安全防护可与纱窗等相结合等措施</w:t>
      </w:r>
      <w:r>
        <w:rPr>
          <w:rFonts w:ascii="Times New Roman" w:hAnsi="Times New Roman"/>
          <w:color w:val="000000" w:themeColor="text1"/>
          <w:sz w:val="24"/>
          <w14:textFill>
            <w14:solidFill>
              <w14:schemeClr w14:val="tx1"/>
            </w14:solidFill>
          </w14:textFill>
        </w:rPr>
        <w:t>。防护栏杆同时需要满足抗水平力验算的要求及国家规范规定的材料最小截面厚度的构造要求。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第2、3款主要是采取被动方法降低坠物风险，第2款系指建筑物出入口，第3款系指建筑物周边。</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查阅竣工文件并现场核查。</w:t>
      </w:r>
      <w:r>
        <w:rPr>
          <w:rFonts w:hint="eastAsia"/>
          <w:color w:val="000000" w:themeColor="text1"/>
          <w:sz w:val="24"/>
          <w:lang w:val="en-US" w:eastAsia="zh-CN"/>
          <w14:textFill>
            <w14:solidFill>
              <w14:schemeClr w14:val="tx1"/>
            </w14:solidFill>
          </w14:textFill>
        </w:rPr>
        <w:t>本条沿用了《绿色建筑评价标准》GB/T 50378-2019第4.2.2条的结果性评价要求。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b/>
          <w:bCs/>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.7</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对于人流量大、门窗开合频繁的民用建筑的公共区域，采用可调力度的闭门器或具有缓冲功能的延时闭门器等措施，可有效防止夹人伤人事故的发生。主要部位包括但不限于电梯门、大堂入口门、旋转门、推拉门窗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查阅竣工文件并现场核查。</w:t>
      </w:r>
      <w:r>
        <w:rPr>
          <w:rFonts w:hint="eastAsia"/>
          <w:color w:val="000000" w:themeColor="text1"/>
          <w:sz w:val="24"/>
          <w:lang w:val="en-US" w:eastAsia="zh-CN"/>
          <w14:textFill>
            <w14:solidFill>
              <w14:schemeClr w14:val="tx1"/>
            </w14:solidFill>
          </w14:textFill>
        </w:rPr>
        <w:t>本条沿用了《绿色建筑评价标准》GB/T 50378-2019第4.2.3条第2款的结果性评价要求。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.8</w:t>
      </w:r>
      <w:r>
        <w:rPr>
          <w:rFonts w:hint="default"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lang w:val="en-US" w:eastAsia="zh-CN"/>
          <w14:textFill>
            <w14:solidFill>
              <w14:schemeClr w14:val="tx1"/>
            </w14:solidFill>
          </w14:textFill>
        </w:rPr>
        <w:t>现场核查</w:t>
      </w:r>
      <w:r>
        <w:rPr>
          <w:rFonts w:ascii="Times New Roman" w:hAnsi="Times New Roman"/>
          <w:color w:val="000000" w:themeColor="text1"/>
          <w:sz w:val="24"/>
          <w14:textFill>
            <w14:solidFill>
              <w14:schemeClr w14:val="tx1"/>
            </w14:solidFill>
          </w14:textFill>
        </w:rPr>
        <w:t>设计文件中已明确的建筑出入口及平台、公共走廊、电梯门厅、厨房、浴室、卫生间、室内外活动场所、建筑坡道、楼梯踏步等防滑设计部位、防滑设计规范依据及防滑安全等级要求；物业管理单位应委托专业检测机构对设计要求进行检测验证。</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地面材料防滑性能现场的现场检测</w:t>
      </w:r>
      <w:r>
        <w:rPr>
          <w:rFonts w:hint="eastAsia" w:ascii="Times New Roman" w:hAnsi="Times New Roman"/>
          <w:color w:val="000000" w:themeColor="text1"/>
          <w:sz w:val="24"/>
          <w:lang w:val="en-US" w:eastAsia="zh-CN"/>
          <w14:textFill>
            <w14:solidFill>
              <w14:schemeClr w14:val="tx1"/>
            </w14:solidFill>
          </w14:textFill>
        </w:rPr>
        <w:t>方法和数量</w:t>
      </w:r>
      <w:r>
        <w:rPr>
          <w:rFonts w:ascii="Times New Roman" w:hAnsi="Times New Roman"/>
          <w:color w:val="000000" w:themeColor="text1"/>
          <w:sz w:val="24"/>
          <w14:textFill>
            <w14:solidFill>
              <w14:schemeClr w14:val="tx1"/>
            </w14:solidFill>
          </w14:textFill>
        </w:rPr>
        <w:t>应符合《广东省绿色建筑检测标准》DBJ/T 15-234的规定。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查阅竣工文件、防滑材料的防滑性能现场检测报告</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现场核查</w:t>
      </w:r>
      <w:r>
        <w:rPr>
          <w:rFonts w:ascii="Times New Roman" w:hAnsi="Times New Roman"/>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本条沿用了《绿色建筑评价标准》GB/T 50378-2019第4.2.4条的结果性评价要求。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.9</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人车分流将行人和机动车完全分离开，互不干扰，非紧急情况下人员主要活动区域不允许机动车进入，充分保障行人尤其是老人和儿童的安全。提供完善的人行道路网络可鼓励公众步行，也是建立以行人为本的城市的先决条件。</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夜间行人的不安全感和实际存在的危险与道路等行人设施的照度水平和照明质量密切相关。步行和自行车交通系统照明应以路面平均照度、路面最小照度和垂直照度为评价指标，其照明标准值应不低于行业标准《城市道路照明设计标准》CJJ</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45的规定。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人行及非机动车道路照明的检测方法应符合《广东省绿色建筑检测标准》DBJ/T 15-234的规定。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w:t>
      </w:r>
      <w:r>
        <w:rPr>
          <w:rFonts w:hint="eastAsia" w:ascii="Times New Roman" w:hAnsi="Times New Roman"/>
          <w:color w:val="000000" w:themeColor="text1"/>
          <w:sz w:val="24"/>
          <w:lang w:val="en-US" w:eastAsia="zh-CN"/>
          <w14:textFill>
            <w14:solidFill>
              <w14:schemeClr w14:val="tx1"/>
            </w14:solidFill>
          </w14:textFill>
        </w:rPr>
        <w:t>和夜间照明实景照片影像</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道</w:t>
      </w:r>
      <w:r>
        <w:rPr>
          <w:rFonts w:hint="eastAsia" w:ascii="Times New Roman" w:hAnsi="Times New Roman" w:cs="Times New Roman"/>
          <w:bCs/>
          <w:kern w:val="0"/>
          <w:sz w:val="24"/>
          <w:szCs w:val="24"/>
        </w:rPr>
        <w:t>路照明现场检测</w:t>
      </w:r>
      <w:r>
        <w:rPr>
          <w:rFonts w:ascii="Times New Roman" w:hAnsi="Times New Roman" w:cs="Times New Roman"/>
          <w:kern w:val="0"/>
          <w:sz w:val="24"/>
          <w:szCs w:val="24"/>
        </w:rPr>
        <w:t>报告</w:t>
      </w:r>
      <w:r>
        <w:rPr>
          <w:rFonts w:ascii="Times New Roman" w:hAnsi="Times New Roman"/>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本条沿用了《绿色建筑评价标准》GB/T 50378-2019第4.2.5条的结果性评价要求。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.10</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第1款主要是对管材、管线、管件，全数均要求耐腐蚀、抗老化、耐久性能好。室内给水系统，可采用耐腐蚀、抗老化、耐久等综合性能好的不锈钢管、铜管、塑料管道（同时应符合现行国家标准《建筑给水排水设计规范》GB 50015对给水系统管材选用规定)等；电气系统，可采用低烟低毒阻燃型线缆、矿物绝缘类不燃性电缆、耐火电缆等且导体材料采用铜芯。注意，管材、管线、管件不仅涉及给水和电气，还包括排水、暖通、燃气等。所采用的产品均应符合国家现行有关标准规范规定的参数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第2款主要是对建筑的各种五金配件、管道阀门、开关龙头等活动配件。倡导选用长寿命的优质产品且构造上易于更换，还应考虑为维护、更换操作提供方便条件。门窗，其反复启闭性能达到相应产品标准要求的2倍，其检测方法需满足现行行业标准《建筑门窗反复启闭性能检测方法》JG/T 192；遮阳产品，机械耐久性达到相应产品标准要求的最高级，其检测方法需满足现行行业标准《建筑遮阳产品机械耐久性能试验方法》JG/T241；水嘴，其寿命需超出现行国家标准《陶瓷片密封水嘴》GB 18145等相应产品标准寿命要求的1.2倍;阀门，其寿命需超出现行相应产品标准寿命要求的1.5倍。</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w:t>
      </w:r>
      <w:r>
        <w:rPr>
          <w:rFonts w:hint="eastAsia"/>
          <w:color w:val="000000" w:themeColor="text1"/>
          <w:sz w:val="24"/>
          <w:lang w:val="en-US" w:eastAsia="zh-CN"/>
          <w14:textFill>
            <w14:solidFill>
              <w14:schemeClr w14:val="tx1"/>
            </w14:solidFill>
          </w14:textFill>
        </w:rPr>
        <w:t>运行</w:t>
      </w:r>
      <w:r>
        <w:rPr>
          <w:rFonts w:ascii="Times New Roman" w:hAnsi="Times New Roman"/>
          <w:color w:val="000000" w:themeColor="text1"/>
          <w:sz w:val="24"/>
          <w14:textFill>
            <w14:solidFill>
              <w14:schemeClr w14:val="tx1"/>
            </w14:solidFill>
          </w14:textFill>
        </w:rPr>
        <w:t>管理制度及定期查验记录与维修记录等。</w:t>
      </w:r>
      <w:r>
        <w:rPr>
          <w:rFonts w:hint="eastAsia"/>
          <w:color w:val="000000" w:themeColor="text1"/>
          <w:sz w:val="24"/>
          <w:lang w:val="en-US" w:eastAsia="zh-CN"/>
          <w14:textFill>
            <w14:solidFill>
              <w14:schemeClr w14:val="tx1"/>
            </w14:solidFill>
          </w14:textFill>
        </w:rPr>
        <w:t>本条沿用了《绿色建筑评价标准》GB/T 50378-2019第4.2.7条的结果性评价要求。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both"/>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.11</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第1款主要是外饰面材料，包括水性氟涂料或耐候性相当的涂料，耐久性与建筑幕墙设计年限相匹配的饰面材料，清水混凝土等。当采用水性氟涂料或耐候性相当的涂料，耐候性应符合行业标准《建筑用水性氟涂料》HG/T 4104 --2009中优等品的要求；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1）</w:t>
      </w:r>
      <w:r>
        <w:rPr>
          <w:rFonts w:ascii="Times New Roman" w:hAnsi="Times New Roman"/>
          <w:color w:val="000000" w:themeColor="text1"/>
          <w:sz w:val="24"/>
          <w14:textFill>
            <w14:solidFill>
              <w14:schemeClr w14:val="tx1"/>
            </w14:solidFill>
          </w14:textFill>
        </w:rPr>
        <w:t>在氙灯加速老化条件下</w:t>
      </w:r>
      <w:r>
        <w:rPr>
          <w:rFonts w:hint="eastAsia" w:ascii="Times New Roman" w:hAnsi="Times New Roman"/>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白色和浅色</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500</w:t>
      </w:r>
      <w:r>
        <w:rPr>
          <w:rFonts w:hint="eastAsia" w:ascii="Times New Roman" w:hAnsi="Times New Roman"/>
          <w:color w:val="000000" w:themeColor="text1"/>
          <w:sz w:val="24"/>
          <w:lang w:val="en-US" w:eastAsia="zh-CN"/>
          <w14:textFill>
            <w14:solidFill>
              <w14:schemeClr w14:val="tx1"/>
            </w14:solidFill>
          </w14:textFill>
        </w:rPr>
        <w:t>0</w:t>
      </w:r>
      <w:r>
        <w:rPr>
          <w:rFonts w:ascii="Times New Roman" w:hAnsi="Times New Roman"/>
          <w:color w:val="000000" w:themeColor="text1"/>
          <w:sz w:val="24"/>
          <w14:textFill>
            <w14:solidFill>
              <w14:schemeClr w14:val="tx1"/>
            </w14:solidFill>
          </w14:textFill>
        </w:rPr>
        <w:t>h变色≤2级</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粉化≤l级</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其他色</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5000h变色商定</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粉化商定。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在超级荧光紫外加速老化条件下</w:t>
      </w:r>
      <w:r>
        <w:rPr>
          <w:rFonts w:hint="eastAsia" w:ascii="Times New Roman" w:hAnsi="Times New Roman"/>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白色和浅色</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1700h变色≤1级</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粉化</w:t>
      </w:r>
      <w:r>
        <w:rPr>
          <w:rFonts w:hint="eastAsia" w:ascii="Times New Roman" w:hAnsi="Times New Roman"/>
          <w:color w:val="000000" w:themeColor="text1"/>
          <w:sz w:val="24"/>
          <w:lang w:val="en-US" w:eastAsia="zh-CN"/>
          <w14:textFill>
            <w14:solidFill>
              <w14:schemeClr w14:val="tx1"/>
            </w14:solidFill>
          </w14:textFill>
        </w:rPr>
        <w:t>0</w:t>
      </w:r>
      <w:r>
        <w:rPr>
          <w:rFonts w:ascii="Times New Roman" w:hAnsi="Times New Roman"/>
          <w:color w:val="000000" w:themeColor="text1"/>
          <w:sz w:val="24"/>
          <w14:textFill>
            <w14:solidFill>
              <w14:schemeClr w14:val="tx1"/>
            </w14:solidFill>
          </w14:textFill>
        </w:rPr>
        <w:t>级</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其他色</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1700h变色商定</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粉化商定。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第2款主要是防水和密封材料，国家标准《绿色产品评价防水与密封材料》GB/T</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35609-2017对于沥青基防水卷材、高分子防水卷材、防水涂料、密封胶的耐久性提出了具体要求，可供参考。</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both"/>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第3款主要是室内装饰装修材料，包括选用耐洗刷性≥5000次的内墙涂料，选用耐磨性好的陶瓷地砖（有釉砖耐磨性不低于4级，无釉砖磨坑体积不大于127mm</w:t>
      </w:r>
      <w:r>
        <w:rPr>
          <w:rFonts w:hint="eastAsia" w:ascii="Times New Roman" w:hAnsi="Times New Roman"/>
          <w:color w:val="000000" w:themeColor="text1"/>
          <w:sz w:val="24"/>
          <w:vertAlign w:val="superscript"/>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)，采用免装饰面层的做法（如清水混凝土，免吊顶设计）等。每类材料的用量比例需不小于80%方可判定得分。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查阅竣工文件、运</w:t>
      </w:r>
      <w:r>
        <w:rPr>
          <w:rFonts w:hint="eastAsia"/>
          <w:color w:val="000000" w:themeColor="text1"/>
          <w:sz w:val="24"/>
          <w:lang w:val="en-US" w:eastAsia="zh-CN"/>
          <w14:textFill>
            <w14:solidFill>
              <w14:schemeClr w14:val="tx1"/>
            </w14:solidFill>
          </w14:textFill>
        </w:rPr>
        <w:t>行</w:t>
      </w:r>
      <w:r>
        <w:rPr>
          <w:rFonts w:ascii="Times New Roman" w:hAnsi="Times New Roman"/>
          <w:color w:val="000000" w:themeColor="text1"/>
          <w:sz w:val="24"/>
          <w14:textFill>
            <w14:solidFill>
              <w14:schemeClr w14:val="tx1"/>
            </w14:solidFill>
          </w14:textFill>
        </w:rPr>
        <w:t>管理制度及定期查验记录与维修记录。</w:t>
      </w:r>
      <w:r>
        <w:rPr>
          <w:rFonts w:hint="eastAsia"/>
          <w:color w:val="000000" w:themeColor="text1"/>
          <w:sz w:val="24"/>
          <w:lang w:val="en-US" w:eastAsia="zh-CN"/>
          <w14:textFill>
            <w14:solidFill>
              <w14:schemeClr w14:val="tx1"/>
            </w14:solidFill>
          </w14:textFill>
        </w:rPr>
        <w:t>本条沿用了《绿色建筑评价标准》GB/T 50378-2019第4.2.9条的结果性评价要求。</w:t>
      </w:r>
    </w:p>
    <w:p>
      <w:pPr>
        <w:keepNext w:val="0"/>
        <w:keepLines w:val="0"/>
        <w:pageBreakBefore w:val="0"/>
        <w:widowControl/>
        <w:shd w:val="clear"/>
        <w:kinsoku/>
        <w:wordWrap/>
        <w:overflowPunct/>
        <w:topLinePunct w:val="0"/>
        <w:autoSpaceDE/>
        <w:autoSpaceDN/>
        <w:bidi w:val="0"/>
        <w:adjustRightInd/>
        <w:snapToGrid/>
        <w:spacing w:before="95" w:beforeLines="30" w:after="95" w:afterLines="30" w:line="312" w:lineRule="auto"/>
        <w:jc w:val="left"/>
        <w:textAlignment w:val="auto"/>
        <w:outlineLvl w:val="9"/>
        <w:rPr>
          <w:rFonts w:hint="eastAsia"/>
          <w:b w:val="0"/>
          <w:color w:val="auto"/>
          <w:sz w:val="21"/>
        </w:rPr>
      </w:pPr>
    </w:p>
    <w:p>
      <w:pPr>
        <w:keepNext w:val="0"/>
        <w:keepLines w:val="0"/>
        <w:pageBreakBefore w:val="0"/>
        <w:widowControl/>
        <w:shd w:val="clear"/>
        <w:kinsoku/>
        <w:wordWrap/>
        <w:overflowPunct/>
        <w:topLinePunct w:val="0"/>
        <w:autoSpaceDE/>
        <w:autoSpaceDN/>
        <w:bidi w:val="0"/>
        <w:adjustRightInd w:val="0"/>
        <w:snapToGrid w:val="0"/>
        <w:spacing w:before="93" w:beforeLines="30" w:after="93" w:afterLines="30" w:line="312" w:lineRule="auto"/>
        <w:jc w:val="center"/>
        <w:textAlignment w:val="auto"/>
        <w:outlineLvl w:val="9"/>
        <w:rPr>
          <w:rFonts w:hint="default"/>
          <w:b w:val="0"/>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Ⅱ</w:t>
      </w:r>
      <w:r>
        <w:rPr>
          <w:rFonts w:hint="default"/>
          <w:b w:val="0"/>
          <w:color w:val="000000" w:themeColor="text1"/>
          <w:sz w:val="24"/>
          <w14:textFill>
            <w14:solidFill>
              <w14:schemeClr w14:val="tx1"/>
            </w14:solidFill>
          </w14:textFill>
        </w:rPr>
        <w:t xml:space="preserve"> 健康舒适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12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研究表明，吸入的颗粒物粒径越小，进入呼吸道的部位越深，对健康危害越大，颗粒物对易感人群（儿童、老人、体弱人群、呼吸系统疾病等人群）的健康危害更严重。粒径在2.5</w:t>
      </w:r>
      <w:r>
        <w:rPr>
          <w:rFonts w:hint="default"/>
          <w:color w:val="000000" w:themeColor="text1"/>
          <w:sz w:val="24"/>
          <w14:textFill>
            <w14:solidFill>
              <w14:schemeClr w14:val="tx1"/>
            </w14:solidFill>
          </w14:textFill>
        </w:rPr>
        <w:t>μ</w:t>
      </w:r>
      <w:r>
        <w:rPr>
          <w:color w:val="000000" w:themeColor="text1"/>
          <w:sz w:val="24"/>
          <w14:textFill>
            <w14:solidFill>
              <w14:schemeClr w14:val="tx1"/>
            </w14:solidFill>
          </w14:textFill>
        </w:rPr>
        <w:t>m~10</w:t>
      </w:r>
      <w:r>
        <w:rPr>
          <w:rFonts w:hint="default"/>
          <w:color w:val="000000" w:themeColor="text1"/>
          <w:sz w:val="24"/>
          <w14:textFill>
            <w14:solidFill>
              <w14:schemeClr w14:val="tx1"/>
            </w14:solidFill>
          </w14:textFill>
        </w:rPr>
        <w:t>μ</w:t>
      </w:r>
      <w:r>
        <w:rPr>
          <w:color w:val="000000" w:themeColor="text1"/>
          <w:sz w:val="24"/>
          <w14:textFill>
            <w14:solidFill>
              <w14:schemeClr w14:val="tx1"/>
            </w14:solidFill>
          </w14:textFill>
        </w:rPr>
        <w:t>m之间的颗粒物，能够进入上呼吸道，部分可通过痰液等排出体外。粒径在2.5</w:t>
      </w:r>
      <w:r>
        <w:rPr>
          <w:rFonts w:hint="default"/>
          <w:color w:val="000000" w:themeColor="text1"/>
          <w:sz w:val="24"/>
          <w14:textFill>
            <w14:solidFill>
              <w14:schemeClr w14:val="tx1"/>
            </w14:solidFill>
          </w14:textFill>
        </w:rPr>
        <w:t>μ</w:t>
      </w:r>
      <w:r>
        <w:rPr>
          <w:color w:val="000000" w:themeColor="text1"/>
          <w:sz w:val="24"/>
          <w14:textFill>
            <w14:solidFill>
              <w14:schemeClr w14:val="tx1"/>
            </w14:solidFill>
          </w14:textFill>
        </w:rPr>
        <w:t>m以下的颗粒物（细颗粒物），会进入支气管和肺泡，干扰肺部的气体交换，引发包括哮喘、支气管炎和心血管病等疾病甚至癌症；细颗粒物附着的VOCs、SVOCs、重金属等有害物质，可以随细颗粒物通过支气管和肺泡进入血液，对人体健康产生更大危害。</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不同建筑类型室内颗粒物控制的共性措施为科学地增强建筑围护结构气密性能，降低室外颗粒物向室内的穿透。对具有集中通风空调系统的建筑，应对通风系统及空气净化装置进行合理设计和选型，使室内具有一定的正压。对于无集中通风空调的建筑，可采用空气净化器或户式新风系统控制室内颗粒物浓度。</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参评</w:t>
      </w:r>
      <w:r>
        <w:rPr>
          <w:rFonts w:hint="eastAsia"/>
          <w:color w:val="000000" w:themeColor="text1"/>
          <w:sz w:val="24"/>
          <w14:textFill>
            <w14:solidFill>
              <w14:schemeClr w14:val="tx1"/>
            </w14:solidFill>
          </w14:textFill>
        </w:rPr>
        <w:t>建筑</w:t>
      </w:r>
      <w:r>
        <w:rPr>
          <w:color w:val="000000" w:themeColor="text1"/>
          <w:sz w:val="24"/>
          <w14:textFill>
            <w14:solidFill>
              <w14:schemeClr w14:val="tx1"/>
            </w14:solidFill>
          </w14:textFill>
        </w:rPr>
        <w:t>内应具有颗粒物浓度监测传感设备，至少每小时对建筑内颗粒物浓度进行一次记录、存储，连续监测一年后取算术平均值并出具报告。对于住宅建筑</w:t>
      </w:r>
      <w:r>
        <w:rPr>
          <w:rFonts w:hint="eastAsia"/>
          <w:color w:val="000000" w:themeColor="text1"/>
          <w:sz w:val="24"/>
          <w:lang w:val="en-US" w:eastAsia="zh-CN"/>
          <w14:textFill>
            <w14:solidFill>
              <w14:schemeClr w14:val="tx1"/>
            </w14:solidFill>
          </w14:textFill>
        </w:rPr>
        <w:t>和宿舍建筑</w:t>
      </w:r>
      <w:r>
        <w:rPr>
          <w:color w:val="000000" w:themeColor="text1"/>
          <w:sz w:val="24"/>
          <w14:textFill>
            <w14:solidFill>
              <w14:schemeClr w14:val="tx1"/>
            </w14:solidFill>
          </w14:textFill>
        </w:rPr>
        <w:t>，应对每种户型主要功能房间进行全年监测；对于公共建筑，应每层选取一个主要功能房间进行全年监测。</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查阅竣工文件、净化装置颗粒物过滤性能检测报告、</w:t>
      </w:r>
      <w:r>
        <w:rPr>
          <w:rFonts w:hint="eastAsia"/>
          <w:color w:val="000000" w:themeColor="text1"/>
          <w:sz w:val="24"/>
          <w:lang w:val="en-US" w:eastAsia="zh-CN"/>
          <w14:textFill>
            <w14:solidFill>
              <w14:schemeClr w14:val="tx1"/>
            </w14:solidFill>
          </w14:textFill>
        </w:rPr>
        <w:t>运行期间</w:t>
      </w:r>
      <w:r>
        <w:rPr>
          <w:color w:val="000000" w:themeColor="text1"/>
          <w:sz w:val="24"/>
          <w14:textFill>
            <w14:solidFill>
              <w14:schemeClr w14:val="tx1"/>
            </w14:solidFill>
          </w14:textFill>
        </w:rPr>
        <w:t>原始监测数据及计算书</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附原始监测数据）</w:t>
      </w:r>
      <w:r>
        <w:rPr>
          <w:color w:val="000000" w:themeColor="text1"/>
          <w:sz w:val="24"/>
          <w14:textFill>
            <w14:solidFill>
              <w14:schemeClr w14:val="tx1"/>
            </w14:solidFill>
          </w14:textFill>
        </w:rPr>
        <w:t>并现场核查。</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13</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建筑性能和室内空气质量是高度可变的，为了保持理想的室内空气质量指标，须不断收集建筑性能测试数据。空气污染物传感装置和智能化技术的完善普及，使对建筑内空气污染物的实时采集监控成为可能。当所监测的空气质量偏离理想阈值时，系统应做出警示，建筑管理方应对可能影响这些指标的系统做出及时的调试或调整。将监测发布系统与建筑内空气质量调控设备组成自动控制系统，可实现室内环境的智能化调控，在维持建筑室内环境健康舒适的同时减少不必要的能源消耗。考虑到部分空气质量参数指标在线监测技术准确度及经济性在现阶段无法满足实时监测应用推广要求，从而不能实现室内空气质量表观指数的发布，故现阶段选择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、CO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三个具有代表性和指示性的室内空气污染物指标进行监测并进行室内空气表观质量指数的发布。其中CO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除可以直接反映室内污染物浓度情况外，还可作为标志物间接反映建筑新风量及空气置换效果。监测系统传感器应符合相关标准要求。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本条文要求对于安装监控系统的建筑，系统应满足但不限于具有对PM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、CO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 xml:space="preserve"> 分别进行定时连续测量、显示、记录、数据传输和越限报警的功能。监测系统对污染物浓度的读数时间间隔不得长于10 min。监测室内PM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r>
        <w:rPr>
          <w:color w:val="000000" w:themeColor="text1"/>
          <w:sz w:val="24"/>
          <w14:textFill>
            <w14:solidFill>
              <w14:schemeClr w14:val="tx1"/>
            </w14:solidFill>
          </w14:textFill>
        </w:rPr>
        <w:t>、CO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 xml:space="preserve"> 浓度的传感器性能应符合表</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1的要求。</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表</w:t>
      </w:r>
      <w:r>
        <w:rPr>
          <w:rFonts w:hint="eastAsia"/>
          <w:color w:val="000000" w:themeColor="text1"/>
          <w:sz w:val="24"/>
          <w:lang w:val="en-US" w:eastAsia="zh-CN"/>
          <w14:textFill>
            <w14:solidFill>
              <w14:schemeClr w14:val="tx1"/>
            </w14:solidFill>
          </w14:textFill>
        </w:rPr>
        <w:t>4-</w:t>
      </w:r>
      <w:r>
        <w:rPr>
          <w:rFonts w:ascii="Times New Roman" w:hAnsi="Times New Roman" w:eastAsia="宋体"/>
          <w:color w:val="000000" w:themeColor="text1"/>
          <w:sz w:val="24"/>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 xml:space="preserve"> </w:t>
      </w:r>
      <w:r>
        <w:rPr>
          <w:rFonts w:ascii="Times New Roman" w:hAnsi="Times New Roman" w:eastAsia="宋体"/>
          <w:color w:val="000000" w:themeColor="text1"/>
          <w:sz w:val="24"/>
          <w14:textFill>
            <w14:solidFill>
              <w14:schemeClr w14:val="tx1"/>
            </w14:solidFill>
          </w14:textFill>
        </w:rPr>
        <w:t>室内传感器性能参数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572"/>
        <w:gridCol w:w="2441"/>
        <w:gridCol w:w="1957"/>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42" w:type="dxa"/>
            <w:tcBorders>
              <w:tl2br w:val="single" w:color="auto" w:sz="4" w:space="0"/>
            </w:tcBorders>
          </w:tcPr>
          <w:p>
            <w:pPr>
              <w:keepNext w:val="0"/>
              <w:keepLines w:val="0"/>
              <w:pageBreakBefore w:val="0"/>
              <w:widowControl w:val="0"/>
              <w:shd w:val="clear"/>
              <w:kinsoku/>
              <w:wordWrap/>
              <w:overflowPunct/>
              <w:topLinePunct w:val="0"/>
              <w:autoSpaceDE/>
              <w:autoSpaceDN/>
              <w:bidi w:val="0"/>
              <w:adjustRightInd w:val="0"/>
              <w:snapToGrid w:val="0"/>
              <w:spacing w:line="240" w:lineRule="auto"/>
              <w:jc w:val="right"/>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测量要求</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监测参数</w:t>
            </w:r>
          </w:p>
        </w:tc>
        <w:tc>
          <w:tcPr>
            <w:tcW w:w="157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最小分辨率</w:t>
            </w:r>
          </w:p>
        </w:tc>
        <w:tc>
          <w:tcPr>
            <w:tcW w:w="244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测量范围</w:t>
            </w:r>
          </w:p>
        </w:tc>
        <w:tc>
          <w:tcPr>
            <w:tcW w:w="195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示值误差</w:t>
            </w:r>
          </w:p>
        </w:tc>
        <w:tc>
          <w:tcPr>
            <w:tcW w:w="79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PM</w:t>
            </w:r>
            <w:r>
              <w:rPr>
                <w:rFonts w:hint="default" w:ascii="Times New Roman" w:hAnsi="Times New Roman" w:eastAsia="宋体"/>
                <w:color w:val="000000" w:themeColor="text1"/>
                <w:sz w:val="24"/>
                <w:vertAlign w:val="subscript"/>
                <w14:textFill>
                  <w14:solidFill>
                    <w14:schemeClr w14:val="tx1"/>
                  </w14:solidFill>
                </w14:textFill>
              </w:rPr>
              <w:t>10</w:t>
            </w:r>
          </w:p>
        </w:tc>
        <w:tc>
          <w:tcPr>
            <w:tcW w:w="157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w:t>
            </w:r>
            <w:r>
              <w:rPr>
                <w:rFonts w:hint="default"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m</w:t>
            </w:r>
            <w:r>
              <w:rPr>
                <w:rFonts w:hint="default" w:ascii="Times New Roman" w:hAnsi="Times New Roman" w:eastAsia="宋体"/>
                <w:color w:val="000000" w:themeColor="text1"/>
                <w:sz w:val="24"/>
                <w:vertAlign w:val="superscript"/>
                <w14:textFill>
                  <w14:solidFill>
                    <w14:schemeClr w14:val="tx1"/>
                  </w14:solidFill>
                </w14:textFill>
              </w:rPr>
              <w:t>3</w:t>
            </w:r>
          </w:p>
        </w:tc>
        <w:tc>
          <w:tcPr>
            <w:tcW w:w="244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vertAlign w:val="superscript"/>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w:t>
            </w:r>
            <w:r>
              <w:rPr>
                <w:rFonts w:hint="default"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t>~</w:t>
            </w:r>
            <w:r>
              <w:rPr>
                <w:rFonts w:hint="default" w:ascii="Times New Roman" w:hAnsi="Times New Roman" w:eastAsia="宋体"/>
                <w:color w:val="000000" w:themeColor="text1"/>
                <w:sz w:val="24"/>
                <w14:textFill>
                  <w14:solidFill>
                    <w14:schemeClr w14:val="tx1"/>
                  </w14:solidFill>
                </w14:textFill>
              </w:rPr>
              <w:t>8</w:t>
            </w:r>
            <w:r>
              <w:rPr>
                <w:rFonts w:hint="eastAsia"/>
                <w:color w:val="000000" w:themeColor="text1"/>
                <w:sz w:val="24"/>
                <w:lang w:val="en-US" w:eastAsia="zh-CN"/>
                <w14:textFill>
                  <w14:solidFill>
                    <w14:schemeClr w14:val="tx1"/>
                  </w14:solidFill>
                </w14:textFill>
              </w:rPr>
              <w:t>00</w:t>
            </w:r>
            <w:r>
              <w:rPr>
                <w:rFonts w:hint="default"/>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w:t>
            </w:r>
            <w:r>
              <w:rPr>
                <w:rFonts w:hint="default"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p>
        </w:tc>
        <w:tc>
          <w:tcPr>
            <w:tcW w:w="195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±2</w:t>
            </w:r>
            <w:r>
              <w:rPr>
                <w:rFonts w:hint="default"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w:t>
            </w:r>
          </w:p>
        </w:tc>
        <w:tc>
          <w:tcPr>
            <w:tcW w:w="79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≤6</w:t>
            </w:r>
            <w:r>
              <w:rPr>
                <w:rFonts w:hint="default"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PM</w:t>
            </w:r>
            <w:r>
              <w:rPr>
                <w:rFonts w:hint="default" w:ascii="Times New Roman" w:hAnsi="Times New Roman" w:eastAsia="宋体"/>
                <w:color w:val="000000" w:themeColor="text1"/>
                <w:sz w:val="24"/>
                <w:vertAlign w:val="subscript"/>
                <w14:textFill>
                  <w14:solidFill>
                    <w14:schemeClr w14:val="tx1"/>
                  </w14:solidFill>
                </w14:textFill>
              </w:rPr>
              <w:t>2.5</w:t>
            </w:r>
          </w:p>
        </w:tc>
        <w:tc>
          <w:tcPr>
            <w:tcW w:w="157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w:t>
            </w:r>
            <w:r>
              <w:rPr>
                <w:rFonts w:hint="default"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m</w:t>
            </w:r>
            <w:r>
              <w:rPr>
                <w:rFonts w:hint="default" w:ascii="Times New Roman" w:hAnsi="Times New Roman" w:eastAsia="宋体"/>
                <w:color w:val="000000" w:themeColor="text1"/>
                <w:sz w:val="24"/>
                <w:vertAlign w:val="superscript"/>
                <w14:textFill>
                  <w14:solidFill>
                    <w14:schemeClr w14:val="tx1"/>
                  </w14:solidFill>
                </w14:textFill>
              </w:rPr>
              <w:t>3</w:t>
            </w:r>
          </w:p>
        </w:tc>
        <w:tc>
          <w:tcPr>
            <w:tcW w:w="244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w:t>
            </w:r>
            <w:r>
              <w:rPr>
                <w:rFonts w:hint="default"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t>~</w:t>
            </w:r>
            <w:r>
              <w:rPr>
                <w:rFonts w:hint="default" w:ascii="Times New Roman" w:hAnsi="Times New Roman" w:eastAsia="宋体"/>
                <w:color w:val="000000" w:themeColor="text1"/>
                <w:sz w:val="24"/>
                <w14:textFill>
                  <w14:solidFill>
                    <w14:schemeClr w14:val="tx1"/>
                  </w14:solidFill>
                </w14:textFill>
              </w:rPr>
              <w:t>5</w:t>
            </w:r>
            <w:r>
              <w:rPr>
                <w:rFonts w:hint="eastAsia"/>
                <w:color w:val="000000" w:themeColor="text1"/>
                <w:sz w:val="24"/>
                <w:lang w:val="en-US" w:eastAsia="zh-CN"/>
                <w14:textFill>
                  <w14:solidFill>
                    <w14:schemeClr w14:val="tx1"/>
                  </w14:solidFill>
                </w14:textFill>
              </w:rPr>
              <w:t>00</w:t>
            </w:r>
            <w:r>
              <w:rPr>
                <w:rFonts w:hint="default"/>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w:t>
            </w:r>
            <w:r>
              <w:rPr>
                <w:rFonts w:hint="default" w:ascii="Times New Roman" w:hAnsi="Times New Roman" w:eastAsia="宋体"/>
                <w:color w:val="000000" w:themeColor="text1"/>
                <w:sz w:val="24"/>
                <w14:textFill>
                  <w14:solidFill>
                    <w14:schemeClr w14:val="tx1"/>
                  </w14:solidFill>
                </w14:textFill>
              </w:rPr>
              <w:t>/m</w:t>
            </w:r>
            <w:r>
              <w:rPr>
                <w:rFonts w:ascii="Times New Roman" w:hAnsi="Times New Roman" w:eastAsia="宋体"/>
                <w:color w:val="000000" w:themeColor="text1"/>
                <w:sz w:val="24"/>
                <w:vertAlign w:val="superscript"/>
                <w14:textFill>
                  <w14:solidFill>
                    <w14:schemeClr w14:val="tx1"/>
                  </w14:solidFill>
                </w14:textFill>
              </w:rPr>
              <w:t>3</w:t>
            </w:r>
          </w:p>
        </w:tc>
        <w:tc>
          <w:tcPr>
            <w:tcW w:w="195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±2</w:t>
            </w:r>
            <w:r>
              <w:rPr>
                <w:rFonts w:hint="default"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w:t>
            </w:r>
          </w:p>
        </w:tc>
        <w:tc>
          <w:tcPr>
            <w:tcW w:w="79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≤6</w:t>
            </w:r>
            <w:r>
              <w:rPr>
                <w:rFonts w:hint="default"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CO</w:t>
            </w:r>
            <w:r>
              <w:rPr>
                <w:rFonts w:hint="default" w:ascii="Times New Roman" w:hAnsi="Times New Roman" w:eastAsia="宋体"/>
                <w:color w:val="000000" w:themeColor="text1"/>
                <w:sz w:val="24"/>
                <w:vertAlign w:val="subscript"/>
                <w14:textFill>
                  <w14:solidFill>
                    <w14:schemeClr w14:val="tx1"/>
                  </w14:solidFill>
                </w14:textFill>
              </w:rPr>
              <w:t>2</w:t>
            </w:r>
          </w:p>
        </w:tc>
        <w:tc>
          <w:tcPr>
            <w:tcW w:w="157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ppm</w:t>
            </w:r>
          </w:p>
        </w:tc>
        <w:tc>
          <w:tcPr>
            <w:tcW w:w="244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4</w:t>
            </w:r>
            <w:r>
              <w:rPr>
                <w:rFonts w:hint="default" w:ascii="Times New Roman" w:hAnsi="Times New Roman" w:eastAsia="宋体"/>
                <w:color w:val="000000" w:themeColor="text1"/>
                <w:sz w:val="24"/>
                <w14:textFill>
                  <w14:solidFill>
                    <w14:schemeClr w14:val="tx1"/>
                  </w14:solidFill>
                </w14:textFill>
              </w:rPr>
              <w:t>00</w:t>
            </w:r>
            <w:r>
              <w:rPr>
                <w:rFonts w:ascii="Times New Roman" w:hAnsi="Times New Roman" w:eastAsia="宋体"/>
                <w:color w:val="000000" w:themeColor="text1"/>
                <w:sz w:val="24"/>
                <w14:textFill>
                  <w14:solidFill>
                    <w14:schemeClr w14:val="tx1"/>
                  </w14:solidFill>
                </w14:textFill>
              </w:rPr>
              <w:t>ppm~</w:t>
            </w:r>
            <w:r>
              <w:rPr>
                <w:rFonts w:hint="default" w:ascii="Times New Roman" w:hAnsi="Times New Roman" w:eastAsia="宋体"/>
                <w:color w:val="000000" w:themeColor="text1"/>
                <w:sz w:val="24"/>
                <w14:textFill>
                  <w14:solidFill>
                    <w14:schemeClr w14:val="tx1"/>
                  </w14:solidFill>
                </w14:textFill>
              </w:rPr>
              <w:t>5000</w:t>
            </w:r>
            <w:r>
              <w:rPr>
                <w:rFonts w:ascii="Times New Roman" w:hAnsi="Times New Roman" w:eastAsia="宋体"/>
                <w:color w:val="000000" w:themeColor="text1"/>
                <w:sz w:val="24"/>
                <w14:textFill>
                  <w14:solidFill>
                    <w14:schemeClr w14:val="tx1"/>
                  </w14:solidFill>
                </w14:textFill>
              </w:rPr>
              <w:t>ppm</w:t>
            </w:r>
          </w:p>
        </w:tc>
        <w:tc>
          <w:tcPr>
            <w:tcW w:w="195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±（5</w:t>
            </w:r>
            <w:r>
              <w:rPr>
                <w:rFonts w:hint="default"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ppm</w:t>
            </w:r>
            <w:r>
              <w:rPr>
                <w:rFonts w:hint="default" w:ascii="Times New Roman" w:hAnsi="Times New Roman" w:eastAsia="宋体"/>
                <w:color w:val="000000" w:themeColor="text1"/>
                <w:sz w:val="24"/>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hint="default" w:ascii="Times New Roman" w:hAnsi="Times New Roman" w:eastAsia="宋体"/>
                <w:color w:val="000000" w:themeColor="text1"/>
                <w:sz w:val="24"/>
                <w14:textFill>
                  <w14:solidFill>
                    <w14:schemeClr w14:val="tx1"/>
                  </w14:solidFill>
                </w14:textFill>
              </w:rPr>
              <w:t>5</w:t>
            </w:r>
            <w:r>
              <w:rPr>
                <w:rFonts w:ascii="Times New Roman" w:hAnsi="Times New Roman" w:eastAsia="宋体"/>
                <w:color w:val="000000" w:themeColor="text1"/>
                <w:sz w:val="24"/>
                <w14:textFill>
                  <w14:solidFill>
                    <w14:schemeClr w14:val="tx1"/>
                  </w14:solidFill>
                </w14:textFill>
              </w:rPr>
              <w:t>%读数值）</w:t>
            </w:r>
          </w:p>
        </w:tc>
        <w:tc>
          <w:tcPr>
            <w:tcW w:w="79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≤6</w:t>
            </w:r>
            <w:r>
              <w:rPr>
                <w:rFonts w:hint="default" w:ascii="Times New Roman" w:hAnsi="Times New Roman" w:eastAsia="宋体"/>
                <w:color w:val="000000" w:themeColor="text1"/>
                <w:sz w:val="24"/>
                <w14:textFill>
                  <w14:solidFill>
                    <w14:schemeClr w14:val="tx1"/>
                  </w14:solidFill>
                </w14:textFill>
              </w:rPr>
              <w:t>0</w:t>
            </w:r>
            <w:r>
              <w:rPr>
                <w:rFonts w:ascii="Times New Roman" w:hAnsi="Times New Roman" w:eastAsia="宋体"/>
                <w:color w:val="000000" w:themeColor="text1"/>
                <w:sz w:val="24"/>
                <w14:textFill>
                  <w14:solidFill>
                    <w14:schemeClr w14:val="tx1"/>
                  </w14:solidFill>
                </w14:textFill>
              </w:rPr>
              <w:t>s</w:t>
            </w:r>
          </w:p>
        </w:tc>
      </w:tr>
    </w:tbl>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对于公共建筑，在每层中每类典型空间（如办公室、会议室、卧室、大厅或大堂等）应至少安装一个监测点位，点位应避开通风口；对于居住建筑，每户应布置有一个监测点位，监测点位宜布置于起居室或卧室，避开厨房及空调新风口。监测点周围不应有强电磁感应干扰，应避开通风口。传感器应至少每一年进行一次检验/标定并出具报告。对于智能化监测系统，通信协议宜符合现行行业标准《污染物在线监控（监测）系统数据传输标准》HJ 212 的要求。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空气质量监测系统与所有室内空气质量调控设备（如空调、新风净化系统、智能窗等）组成自动控制系统，室内空气质量调控设备应根据空气质量检测系统反馈的参数进行调节。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室内空气表观指数是一个新概念，为定量描述室内空气质量状况的无量纲指数，其参数及计算方式如下：</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1）室内空气质量分指数及其对应的浓度限值见表</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2。</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表</w:t>
      </w:r>
      <w:r>
        <w:rPr>
          <w:rFonts w:hint="eastAsia"/>
          <w:color w:val="000000" w:themeColor="text1"/>
          <w:sz w:val="24"/>
          <w:lang w:val="en-US" w:eastAsia="zh-CN"/>
          <w14:textFill>
            <w14:solidFill>
              <w14:schemeClr w14:val="tx1"/>
            </w14:solidFill>
          </w14:textFill>
        </w:rPr>
        <w:t>4-</w:t>
      </w:r>
      <w:r>
        <w:rPr>
          <w:rFonts w:hint="default" w:ascii="Times New Roman" w:hAnsi="Times New Roman" w:eastAsia="宋体"/>
          <w:color w:val="000000" w:themeColor="text1"/>
          <w:sz w:val="24"/>
          <w14:textFill>
            <w14:solidFill>
              <w14:schemeClr w14:val="tx1"/>
            </w14:solidFill>
          </w14:textFill>
        </w:rPr>
        <w:t xml:space="preserve">2 </w:t>
      </w:r>
      <w:r>
        <w:rPr>
          <w:rFonts w:hint="eastAsia" w:ascii="Times New Roman" w:hAnsi="Times New Roman"/>
          <w:color w:val="000000" w:themeColor="text1"/>
          <w:sz w:val="24"/>
          <w:lang w:val="en-US" w:eastAsia="zh-CN"/>
          <w14:textFill>
            <w14:solidFill>
              <w14:schemeClr w14:val="tx1"/>
            </w14:solidFill>
          </w14:textFill>
        </w:rPr>
        <w:t>室内空气质量分指数及其对应的浓度限值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30"/>
        <w:gridCol w:w="1830"/>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室内空气质量分指数（IIAQI）</w:t>
            </w:r>
          </w:p>
        </w:tc>
        <w:tc>
          <w:tcPr>
            <w:tcW w:w="6937"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污染物项目浓度值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000000" w:themeColor="text1"/>
                <w:sz w:val="24"/>
                <w14:textFill>
                  <w14:solidFill>
                    <w14:schemeClr w14:val="tx1"/>
                  </w14:solidFill>
                </w14:textFill>
              </w:rPr>
            </w:pPr>
          </w:p>
        </w:tc>
        <w:tc>
          <w:tcPr>
            <w:tcW w:w="1830" w:type="dxa"/>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vertAlign w:val="subscript"/>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PM</w:t>
            </w:r>
            <w:r>
              <w:rPr>
                <w:rFonts w:hint="default" w:ascii="Times New Roman" w:hAnsi="Times New Roman" w:eastAsia="宋体"/>
                <w:color w:val="000000" w:themeColor="text1"/>
                <w:sz w:val="24"/>
                <w:vertAlign w:val="subscript"/>
                <w14:textFill>
                  <w14:solidFill>
                    <w14:schemeClr w14:val="tx1"/>
                  </w14:solidFill>
                </w14:textFill>
              </w:rPr>
              <w:t>2.5</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（2</w:t>
            </w:r>
            <w:r>
              <w:rPr>
                <w:rFonts w:hint="default" w:ascii="Times New Roman" w:hAnsi="Times New Roman" w:eastAsia="宋体"/>
                <w:color w:val="000000" w:themeColor="text1"/>
                <w:sz w:val="24"/>
                <w14:textFill>
                  <w14:solidFill>
                    <w14:schemeClr w14:val="tx1"/>
                  </w14:solidFill>
                </w14:textFill>
              </w:rPr>
              <w:t>4</w:t>
            </w:r>
            <w:r>
              <w:rPr>
                <w:rFonts w:ascii="Times New Roman" w:hAnsi="Times New Roman" w:eastAsia="宋体"/>
                <w:color w:val="000000" w:themeColor="text1"/>
                <w:sz w:val="24"/>
                <w14:textFill>
                  <w14:solidFill>
                    <w14:schemeClr w14:val="tx1"/>
                  </w14:solidFill>
                </w14:textFill>
              </w:rPr>
              <w:t>小时平均）（</w:t>
            </w:r>
            <w:r>
              <w:rPr>
                <w:rFonts w:hint="default" w:ascii="Times New Roman" w:hAnsi="Times New Roman" w:eastAsia="宋体"/>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g/m</w:t>
            </w:r>
            <w:r>
              <w:rPr>
                <w:rFonts w:ascii="Times New Roman" w:hAnsi="Times New Roman" w:eastAsia="宋体"/>
                <w:color w:val="000000" w:themeColor="text1"/>
                <w:sz w:val="24"/>
                <w:vertAlign w:val="superscript"/>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t>）</w:t>
            </w:r>
          </w:p>
        </w:tc>
        <w:tc>
          <w:tcPr>
            <w:tcW w:w="1830" w:type="dxa"/>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vertAlign w:val="subscript"/>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PM</w:t>
            </w:r>
            <w:r>
              <w:rPr>
                <w:rFonts w:hint="default" w:ascii="Times New Roman" w:hAnsi="Times New Roman" w:eastAsia="宋体"/>
                <w:color w:val="000000" w:themeColor="text1"/>
                <w:sz w:val="24"/>
                <w:vertAlign w:val="subscript"/>
                <w14:textFill>
                  <w14:solidFill>
                    <w14:schemeClr w14:val="tx1"/>
                  </w14:solidFill>
                </w14:textFill>
              </w:rPr>
              <w:t>10</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（2</w:t>
            </w:r>
            <w:r>
              <w:rPr>
                <w:rFonts w:hint="default" w:ascii="Times New Roman" w:hAnsi="Times New Roman" w:eastAsia="宋体"/>
                <w:color w:val="000000" w:themeColor="text1"/>
                <w:sz w:val="24"/>
                <w14:textFill>
                  <w14:solidFill>
                    <w14:schemeClr w14:val="tx1"/>
                  </w14:solidFill>
                </w14:textFill>
              </w:rPr>
              <w:t>4</w:t>
            </w:r>
            <w:r>
              <w:rPr>
                <w:rFonts w:ascii="Times New Roman" w:hAnsi="Times New Roman" w:eastAsia="宋体"/>
                <w:color w:val="000000" w:themeColor="text1"/>
                <w:sz w:val="24"/>
                <w14:textFill>
                  <w14:solidFill>
                    <w14:schemeClr w14:val="tx1"/>
                  </w14:solidFill>
                </w14:textFill>
              </w:rPr>
              <w:t>小时平均）（</w:t>
            </w:r>
            <w:r>
              <w:rPr>
                <w:rFonts w:hint="default" w:ascii="Times New Roman" w:hAnsi="Times New Roman" w:eastAsia="宋体"/>
                <w:color w:val="000000" w:themeColor="text1"/>
                <w:sz w:val="24"/>
                <w14:textFill>
                  <w14:solidFill>
                    <w14:schemeClr w14:val="tx1"/>
                  </w14:solidFill>
                </w14:textFill>
              </w:rPr>
              <w:t>μ</w:t>
            </w:r>
            <w:r>
              <w:rPr>
                <w:rFonts w:ascii="Times New Roman" w:hAnsi="Times New Roman" w:eastAsia="宋体"/>
                <w:color w:val="000000" w:themeColor="text1"/>
                <w:sz w:val="24"/>
                <w14:textFill>
                  <w14:solidFill>
                    <w14:schemeClr w14:val="tx1"/>
                  </w14:solidFill>
                </w14:textFill>
              </w:rPr>
              <w:t>g/m</w:t>
            </w:r>
            <w:r>
              <w:rPr>
                <w:rFonts w:ascii="Times New Roman" w:hAnsi="Times New Roman" w:eastAsia="宋体"/>
                <w:color w:val="000000" w:themeColor="text1"/>
                <w:sz w:val="24"/>
                <w:vertAlign w:val="superscript"/>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t>）</w:t>
            </w:r>
          </w:p>
        </w:tc>
        <w:tc>
          <w:tcPr>
            <w:tcW w:w="3277"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vertAlign w:val="subscript"/>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CO</w:t>
            </w:r>
            <w:r>
              <w:rPr>
                <w:rFonts w:hint="default" w:ascii="Times New Roman" w:hAnsi="Times New Roman" w:eastAsia="宋体"/>
                <w:color w:val="000000" w:themeColor="text1"/>
                <w:sz w:val="24"/>
                <w:vertAlign w:val="subscript"/>
                <w14:textFill>
                  <w14:solidFill>
                    <w14:schemeClr w14:val="tx1"/>
                  </w14:solidFill>
                </w14:textFill>
              </w:rPr>
              <w:t>2</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（1小时平均）（</w:t>
            </w:r>
            <w:r>
              <w:rPr>
                <w:rFonts w:hint="default" w:ascii="Times New Roman" w:hAnsi="Times New Roman" w:eastAsia="宋体"/>
                <w:color w:val="000000" w:themeColor="text1"/>
                <w:sz w:val="24"/>
                <w14:textFill>
                  <w14:solidFill>
                    <w14:schemeClr w14:val="tx1"/>
                  </w14:solidFill>
                </w14:textFill>
              </w:rPr>
              <w:t>mg/m</w:t>
            </w:r>
            <w:r>
              <w:rPr>
                <w:rFonts w:hint="default" w:ascii="Times New Roman" w:hAnsi="Times New Roman" w:eastAsia="宋体"/>
                <w:color w:val="000000" w:themeColor="text1"/>
                <w:sz w:val="24"/>
                <w:vertAlign w:val="superscript"/>
                <w14:textFill>
                  <w14:solidFill>
                    <w14:schemeClr w14:val="tx1"/>
                  </w14:solidFill>
                </w14:textFill>
              </w:rPr>
              <w:t>3</w:t>
            </w:r>
            <w:r>
              <w:rPr>
                <w:rFonts w:ascii="Times New Roman" w:hAnsi="Times New Roman" w:eastAsia="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0</w:t>
            </w:r>
          </w:p>
        </w:tc>
        <w:tc>
          <w:tcPr>
            <w:tcW w:w="1830"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0</w:t>
            </w:r>
          </w:p>
        </w:tc>
        <w:tc>
          <w:tcPr>
            <w:tcW w:w="1830"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0</w:t>
            </w:r>
          </w:p>
        </w:tc>
        <w:tc>
          <w:tcPr>
            <w:tcW w:w="3277"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7</w:t>
            </w:r>
            <w:r>
              <w:rPr>
                <w:rFonts w:hint="default" w:ascii="Times New Roman" w:hAnsi="Times New Roman" w:eastAsia="宋体"/>
                <w:color w:val="000000" w:themeColor="text1"/>
                <w:sz w:val="24"/>
                <w14:textFill>
                  <w14:solidFill>
                    <w14:schemeClr w14:val="tx1"/>
                  </w14:solidFill>
                </w14:textFill>
              </w:rPr>
              <w:t>86</w:t>
            </w:r>
            <w:r>
              <w:rPr>
                <w:rFonts w:ascii="Times New Roman" w:hAnsi="Times New Roman" w:eastAsia="宋体"/>
                <w:color w:val="000000" w:themeColor="text1"/>
                <w:sz w:val="24"/>
                <w14:textFill>
                  <w14:solidFill>
                    <w14:schemeClr w14:val="tx1"/>
                  </w14:solidFill>
                </w14:textFill>
              </w:rPr>
              <w:t>（约0</w:t>
            </w:r>
            <w:r>
              <w:rPr>
                <w:rFonts w:hint="default" w:ascii="Times New Roman" w:hAnsi="Times New Roman" w:eastAsia="宋体"/>
                <w:color w:val="000000" w:themeColor="text1"/>
                <w:sz w:val="24"/>
                <w14:textFill>
                  <w14:solidFill>
                    <w14:schemeClr w14:val="tx1"/>
                  </w14:solidFill>
                </w14:textFill>
              </w:rPr>
              <w:t>.04</w:t>
            </w:r>
            <w:r>
              <w:rPr>
                <w:rFonts w:ascii="Times New Roman" w:hAnsi="Times New Roman" w:eastAsia="宋体"/>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406ppm</w:t>
            </w:r>
            <w:r>
              <w:rPr>
                <w:rFonts w:ascii="Times New Roman" w:hAnsi="Times New Roman" w:eastAsia="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5</w:t>
            </w:r>
            <w:r>
              <w:rPr>
                <w:rFonts w:hint="default" w:ascii="Times New Roman" w:hAnsi="Times New Roman" w:eastAsia="宋体"/>
                <w:color w:val="000000" w:themeColor="text1"/>
                <w:sz w:val="24"/>
                <w14:textFill>
                  <w14:solidFill>
                    <w14:schemeClr w14:val="tx1"/>
                  </w14:solidFill>
                </w14:textFill>
              </w:rPr>
              <w:t>0</w:t>
            </w:r>
          </w:p>
        </w:tc>
        <w:tc>
          <w:tcPr>
            <w:tcW w:w="1830"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3</w:t>
            </w:r>
            <w:r>
              <w:rPr>
                <w:rFonts w:hint="default" w:ascii="Times New Roman" w:hAnsi="Times New Roman" w:eastAsia="宋体"/>
                <w:color w:val="000000" w:themeColor="text1"/>
                <w:sz w:val="24"/>
                <w14:textFill>
                  <w14:solidFill>
                    <w14:schemeClr w14:val="tx1"/>
                  </w14:solidFill>
                </w14:textFill>
              </w:rPr>
              <w:t>5</w:t>
            </w:r>
          </w:p>
        </w:tc>
        <w:tc>
          <w:tcPr>
            <w:tcW w:w="1830"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7</w:t>
            </w:r>
            <w:r>
              <w:rPr>
                <w:rFonts w:hint="default" w:ascii="Times New Roman" w:hAnsi="Times New Roman" w:eastAsia="宋体"/>
                <w:color w:val="000000" w:themeColor="text1"/>
                <w:sz w:val="24"/>
                <w14:textFill>
                  <w14:solidFill>
                    <w14:schemeClr w14:val="tx1"/>
                  </w14:solidFill>
                </w14:textFill>
              </w:rPr>
              <w:t>5</w:t>
            </w:r>
          </w:p>
        </w:tc>
        <w:tc>
          <w:tcPr>
            <w:tcW w:w="3277"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571</w:t>
            </w:r>
            <w:r>
              <w:rPr>
                <w:rFonts w:ascii="Times New Roman" w:hAnsi="Times New Roman" w:eastAsia="宋体"/>
                <w:color w:val="000000" w:themeColor="text1"/>
                <w:sz w:val="24"/>
                <w14:textFill>
                  <w14:solidFill>
                    <w14:schemeClr w14:val="tx1"/>
                  </w14:solidFill>
                </w14:textFill>
              </w:rPr>
              <w:t>（约0</w:t>
            </w:r>
            <w:r>
              <w:rPr>
                <w:rFonts w:hint="default" w:ascii="Times New Roman" w:hAnsi="Times New Roman" w:eastAsia="宋体"/>
                <w:color w:val="000000" w:themeColor="text1"/>
                <w:sz w:val="24"/>
                <w14:textFill>
                  <w14:solidFill>
                    <w14:schemeClr w14:val="tx1"/>
                  </w14:solidFill>
                </w14:textFill>
              </w:rPr>
              <w:t>.08</w:t>
            </w:r>
            <w:r>
              <w:rPr>
                <w:rFonts w:ascii="Times New Roman" w:hAnsi="Times New Roman" w:eastAsia="宋体"/>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810.7ppm</w:t>
            </w:r>
            <w:r>
              <w:rPr>
                <w:rFonts w:ascii="Times New Roman" w:hAnsi="Times New Roman" w:eastAsia="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00</w:t>
            </w:r>
          </w:p>
        </w:tc>
        <w:tc>
          <w:tcPr>
            <w:tcW w:w="1830"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7</w:t>
            </w:r>
            <w:r>
              <w:rPr>
                <w:rFonts w:hint="default" w:ascii="Times New Roman" w:hAnsi="Times New Roman" w:eastAsia="宋体"/>
                <w:color w:val="000000" w:themeColor="text1"/>
                <w:sz w:val="24"/>
                <w14:textFill>
                  <w14:solidFill>
                    <w14:schemeClr w14:val="tx1"/>
                  </w14:solidFill>
                </w14:textFill>
              </w:rPr>
              <w:t>5</w:t>
            </w:r>
          </w:p>
        </w:tc>
        <w:tc>
          <w:tcPr>
            <w:tcW w:w="1830"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50</w:t>
            </w:r>
          </w:p>
        </w:tc>
        <w:tc>
          <w:tcPr>
            <w:tcW w:w="3277"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964</w:t>
            </w:r>
            <w:r>
              <w:rPr>
                <w:rFonts w:ascii="Times New Roman" w:hAnsi="Times New Roman" w:eastAsia="宋体"/>
                <w:color w:val="000000" w:themeColor="text1"/>
                <w:sz w:val="24"/>
                <w14:textFill>
                  <w14:solidFill>
                    <w14:schemeClr w14:val="tx1"/>
                  </w14:solidFill>
                </w14:textFill>
              </w:rPr>
              <w:t>（约0</w:t>
            </w:r>
            <w:r>
              <w:rPr>
                <w:rFonts w:hint="default" w:ascii="Times New Roman" w:hAnsi="Times New Roman" w:eastAsia="宋体"/>
                <w:color w:val="000000" w:themeColor="text1"/>
                <w:sz w:val="24"/>
                <w14:textFill>
                  <w14:solidFill>
                    <w14:schemeClr w14:val="tx1"/>
                  </w14:solidFill>
                </w14:textFill>
              </w:rPr>
              <w:t>.10</w:t>
            </w:r>
            <w:r>
              <w:rPr>
                <w:rFonts w:ascii="Times New Roman" w:hAnsi="Times New Roman" w:eastAsia="宋体"/>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1014ppm</w:t>
            </w:r>
            <w:r>
              <w:rPr>
                <w:rFonts w:ascii="Times New Roman" w:hAnsi="Times New Roman" w:eastAsia="宋体"/>
                <w:color w:val="000000" w:themeColor="text1"/>
                <w:sz w:val="24"/>
                <w14:textFill>
                  <w14:solidFill>
                    <w14:schemeClr w14:val="tx1"/>
                  </w14:solidFill>
                </w14:textFill>
              </w:rPr>
              <w:t>）</w:t>
            </w:r>
          </w:p>
        </w:tc>
      </w:tr>
    </w:tbl>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）空气室内质量分指数计算方法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污染物指标P的室内空气质量分指数按式</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1计算：</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center"/>
        <w:textAlignment w:val="auto"/>
        <w:rPr>
          <w:rFonts w:hint="default" w:ascii="Times New Roman" w:hAnsi="Times New Roman"/>
          <w:color w:val="000000" w:themeColor="text1"/>
          <w:sz w:val="24"/>
          <w14:textFill>
            <w14:solidFill>
              <w14:schemeClr w14:val="tx1"/>
            </w14:solidFill>
          </w14:textFill>
        </w:rPr>
      </w:pP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IIAQI</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P</m:t>
            </m:r>
            <m:ctrlPr>
              <w:rPr>
                <w:rFonts w:hint="default" w:ascii="Cambria Math" w:hAnsi="Cambria Math"/>
                <w:i/>
                <w:color w:val="000000" w:themeColor="text1"/>
                <w:sz w:val="24"/>
                <w14:textFill>
                  <w14:solidFill>
                    <w14:schemeClr w14:val="tx1"/>
                  </w14:solidFill>
                </w14:textFill>
              </w:rPr>
            </m:ctrlPr>
          </m:sub>
        </m:sSub>
        <m:r>
          <m:rPr/>
          <w:rPr>
            <w:rFonts w:ascii="Cambria Math" w:hAnsi="Cambria Math"/>
            <w:color w:val="000000" w:themeColor="text1"/>
            <w:sz w:val="24"/>
            <w14:textFill>
              <w14:solidFill>
                <w14:schemeClr w14:val="tx1"/>
              </w14:solidFill>
            </w14:textFill>
          </w:rPr>
          <m:t>=</m:t>
        </m:r>
        <m:f>
          <m:fPr>
            <m:ctrlPr>
              <w:rPr>
                <w:rFonts w:hint="default" w:ascii="Cambria Math" w:hAnsi="Cambria Math"/>
                <w:i/>
                <w:color w:val="000000" w:themeColor="text1"/>
                <w:sz w:val="24"/>
                <w14:textFill>
                  <w14:solidFill>
                    <w14:schemeClr w14:val="tx1"/>
                  </w14:solidFill>
                </w14:textFill>
              </w:rPr>
            </m:ctrlPr>
          </m:fPr>
          <m:num>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IIAQI</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H</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i</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IIAQI</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L</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o</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num>
          <m:den>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BP</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H</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i</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BP</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L</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o</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den>
        </m:f>
        <m:d>
          <m:dPr>
            <m:ctrlPr>
              <w:rPr>
                <w:rFonts w:hint="default" w:ascii="Cambria Math" w:hAnsi="Cambria Math"/>
                <w:i/>
                <w:color w:val="000000" w:themeColor="text1"/>
                <w:sz w:val="24"/>
                <w14:textFill>
                  <w14:solidFill>
                    <w14:schemeClr w14:val="tx1"/>
                  </w14:solidFill>
                </w14:textFill>
              </w:rPr>
            </m:ctrlPr>
          </m:dPr>
          <m:e>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C</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p</m:t>
                </m:r>
                <m:ctrlPr>
                  <w:rPr>
                    <w:rFonts w:hint="default" w:ascii="Cambria Math" w:hAnsi="Cambria Math"/>
                    <w:i/>
                    <w:color w:val="000000" w:themeColor="text1"/>
                    <w:sz w:val="24"/>
                    <w14:textFill>
                      <w14:solidFill>
                        <w14:schemeClr w14:val="tx1"/>
                      </w14:solidFill>
                    </w14:textFill>
                  </w:rPr>
                </m:ctrlPr>
              </m:sub>
            </m:sSub>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BP</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L</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o</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e>
        </m:d>
        <m:r>
          <m:rPr/>
          <w:rPr>
            <w:rFonts w:hint="default"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IIAQI</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L</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o</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 xml:space="preserve"> </w:t>
      </w:r>
      <w:r>
        <w:rPr>
          <w:rFonts w:hint="default"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1</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式中，</w:t>
      </w: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IIAQI</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P</m:t>
            </m:r>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——污染物指标P的室内空气质量分指数；</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636" w:firstLineChars="682"/>
        <w:textAlignment w:val="auto"/>
        <w:rPr>
          <w:rFonts w:hint="default" w:ascii="Times New Roman" w:hAnsi="Times New Roman"/>
          <w:color w:val="000000" w:themeColor="text1"/>
          <w:sz w:val="24"/>
          <w14:textFill>
            <w14:solidFill>
              <w14:schemeClr w14:val="tx1"/>
            </w14:solidFill>
          </w14:textFill>
        </w:rPr>
      </w:pP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C</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p</m:t>
            </m:r>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——污染物指标P的质量浓度值；</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413" w:firstLineChars="589"/>
        <w:textAlignment w:val="auto"/>
        <w:rPr>
          <w:rFonts w:hint="default" w:ascii="Times New Roman" w:hAnsi="Times New Roman"/>
          <w:color w:val="000000" w:themeColor="text1"/>
          <w:sz w:val="24"/>
          <w14:textFill>
            <w14:solidFill>
              <w14:schemeClr w14:val="tx1"/>
            </w14:solidFill>
          </w14:textFill>
        </w:rPr>
      </w:pP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BP</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H</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i</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——表2中与</w:t>
      </w: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C</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p</m:t>
            </m:r>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相近的污染物浓度限值的高位值；</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413" w:firstLineChars="589"/>
        <w:textAlignment w:val="auto"/>
        <w:rPr>
          <w:rFonts w:hint="default" w:ascii="Times New Roman" w:hAnsi="Times New Roman"/>
          <w:color w:val="000000" w:themeColor="text1"/>
          <w:sz w:val="24"/>
          <w14:textFill>
            <w14:solidFill>
              <w14:schemeClr w14:val="tx1"/>
            </w14:solidFill>
          </w14:textFill>
        </w:rPr>
      </w:pP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BP</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L</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o</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——表2中与</w:t>
      </w: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C</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p</m:t>
            </m:r>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相近的污染物浓度限值的低位值；</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18" w:firstLineChars="466"/>
        <w:textAlignment w:val="auto"/>
        <w:rPr>
          <w:rFonts w:hint="default" w:ascii="Times New Roman" w:hAnsi="Times New Roman"/>
          <w:color w:val="000000" w:themeColor="text1"/>
          <w:sz w:val="24"/>
          <w14:textFill>
            <w14:solidFill>
              <w14:schemeClr w14:val="tx1"/>
            </w14:solidFill>
          </w14:textFill>
        </w:rPr>
      </w:pP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IIAQI</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H</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i</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——表2中与</w:t>
      </w: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BP</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H</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i</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对应的室内空气质量分指数；</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1118" w:firstLineChars="466"/>
        <w:textAlignment w:val="auto"/>
        <w:rPr>
          <w:rFonts w:hint="default" w:ascii="Times New Roman" w:hAnsi="Times New Roman"/>
          <w:color w:val="000000" w:themeColor="text1"/>
          <w:sz w:val="24"/>
          <w14:textFill>
            <w14:solidFill>
              <w14:schemeClr w14:val="tx1"/>
            </w14:solidFill>
          </w14:textFill>
        </w:rPr>
      </w:pP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IIAQI</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L</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o</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——表2中与</w:t>
      </w:r>
      <m:oMath>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BP</m:t>
            </m:r>
            <m:ctrlPr>
              <w:rPr>
                <w:rFonts w:hint="default" w:ascii="Cambria Math" w:hAnsi="Cambria Math"/>
                <w:i/>
                <w:color w:val="000000" w:themeColor="text1"/>
                <w:sz w:val="24"/>
                <w14:textFill>
                  <w14:solidFill>
                    <w14:schemeClr w14:val="tx1"/>
                  </w14:solidFill>
                </w14:textFill>
              </w:rPr>
            </m:ctrlPr>
          </m:e>
          <m:sub>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L</m:t>
                </m:r>
                <m:ctrlPr>
                  <w:rPr>
                    <w:rFonts w:hint="default" w:ascii="Cambria Math" w:hAnsi="Cambria Math"/>
                    <w:i/>
                    <w:color w:val="000000" w:themeColor="text1"/>
                    <w:sz w:val="24"/>
                    <w14:textFill>
                      <w14:solidFill>
                        <w14:schemeClr w14:val="tx1"/>
                      </w14:solidFill>
                    </w14:textFill>
                  </w:rPr>
                </m:ctrlPr>
              </m:e>
              <m:sub>
                <m:r>
                  <m:rPr/>
                  <w:rPr>
                    <w:rFonts w:ascii="Cambria Math" w:hAnsi="Cambria Math"/>
                    <w:color w:val="000000" w:themeColor="text1"/>
                    <w:sz w:val="24"/>
                    <w14:textFill>
                      <w14:solidFill>
                        <w14:schemeClr w14:val="tx1"/>
                      </w14:solidFill>
                    </w14:textFill>
                  </w:rPr>
                  <m:t>o</m:t>
                </m:r>
                <m:ctrlPr>
                  <w:rPr>
                    <w:rFonts w:hint="default" w:ascii="Cambria Math" w:hAnsi="Cambria Math"/>
                    <w:i/>
                    <w:color w:val="000000" w:themeColor="text1"/>
                    <w:sz w:val="24"/>
                    <w14:textFill>
                      <w14:solidFill>
                        <w14:schemeClr w14:val="tx1"/>
                      </w14:solidFill>
                    </w14:textFill>
                  </w:rPr>
                </m:ctrlPr>
              </m:sub>
            </m:sSub>
            <m:ctrlPr>
              <w:rPr>
                <w:rFonts w:hint="default" w:ascii="Cambria Math" w:hAnsi="Cambria Math"/>
                <w:i/>
                <w:color w:val="000000" w:themeColor="text1"/>
                <w:sz w:val="24"/>
                <w14:textFill>
                  <w14:solidFill>
                    <w14:schemeClr w14:val="tx1"/>
                  </w14:solidFill>
                </w14:textFill>
              </w:rPr>
            </m:ctrlPr>
          </m:sub>
        </m:sSub>
      </m:oMath>
      <w:r>
        <w:rPr>
          <w:rFonts w:ascii="Times New Roman" w:hAnsi="Times New Roman"/>
          <w:color w:val="000000" w:themeColor="text1"/>
          <w:sz w:val="24"/>
          <w14:textFill>
            <w14:solidFill>
              <w14:schemeClr w14:val="tx1"/>
            </w14:solidFill>
          </w14:textFill>
        </w:rPr>
        <w:t>对应的室内空气质量分指数。</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3</w:t>
      </w:r>
      <w:r>
        <w:rPr>
          <w:rFonts w:ascii="Times New Roman" w:hAnsi="Times New Roman"/>
          <w:color w:val="000000" w:themeColor="text1"/>
          <w:sz w:val="24"/>
          <w14:textFill>
            <w14:solidFill>
              <w14:schemeClr w14:val="tx1"/>
            </w14:solidFill>
          </w14:textFill>
        </w:rPr>
        <w:t>）空气室内质量表观指数按式</w:t>
      </w:r>
      <w:r>
        <w:rPr>
          <w:rFonts w:hint="eastAsia"/>
          <w:color w:val="000000" w:themeColor="text1"/>
          <w:sz w:val="24"/>
          <w:lang w:val="en-US" w:eastAsia="zh-CN"/>
          <w14:textFill>
            <w14:solidFill>
              <w14:schemeClr w14:val="tx1"/>
            </w14:solidFill>
          </w14:textFill>
        </w:rPr>
        <w:t>4-</w:t>
      </w:r>
      <w:r>
        <w:rPr>
          <w:rFonts w:ascii="Times New Roman" w:hAnsi="Times New Roman"/>
          <w:color w:val="000000" w:themeColor="text1"/>
          <w:sz w:val="24"/>
          <w14:textFill>
            <w14:solidFill>
              <w14:schemeClr w14:val="tx1"/>
            </w14:solidFill>
          </w14:textFill>
        </w:rPr>
        <w:t>2计算：</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center"/>
        <w:textAlignment w:val="auto"/>
        <w:rPr>
          <w:rFonts w:hint="default" w:ascii="Times New Roman" w:hAnsi="Times New Roman"/>
          <w:color w:val="000000" w:themeColor="text1"/>
          <w:sz w:val="24"/>
          <w14:textFill>
            <w14:solidFill>
              <w14:schemeClr w14:val="tx1"/>
            </w14:solidFill>
          </w14:textFill>
        </w:rPr>
      </w:pPr>
      <m:oMath>
        <m:r>
          <m:rPr/>
          <w:rPr>
            <w:rFonts w:ascii="Cambria Math" w:hAnsi="Cambria Math"/>
            <w:color w:val="000000" w:themeColor="text1"/>
            <w:sz w:val="24"/>
            <w14:textFill>
              <w14:solidFill>
                <w14:schemeClr w14:val="tx1"/>
              </w14:solidFill>
            </w14:textFill>
          </w:rPr>
          <m:t>IAQI=</m:t>
        </m:r>
        <m:r>
          <m:rPr>
            <m:sty m:val="p"/>
          </m:rPr>
          <w:rPr>
            <w:rFonts w:hint="default" w:ascii="Cambria Math" w:hAnsi="Cambria Math"/>
            <w:color w:val="000000" w:themeColor="text1"/>
            <w:sz w:val="24"/>
            <w14:textFill>
              <w14:solidFill>
                <w14:schemeClr w14:val="tx1"/>
              </w14:solidFill>
            </w14:textFill>
          </w:rPr>
          <m:t>max⁡</m:t>
        </m:r>
        <m:r>
          <m:rPr/>
          <w:rPr>
            <w:rFonts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IIAQL</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1</m:t>
            </m:r>
            <m:ctrlPr>
              <w:rPr>
                <w:rFonts w:hint="default" w:ascii="Cambria Math" w:hAnsi="Cambria Math"/>
                <w:i/>
                <w:color w:val="000000" w:themeColor="text1"/>
                <w:sz w:val="24"/>
                <w14:textFill>
                  <w14:solidFill>
                    <w14:schemeClr w14:val="tx1"/>
                  </w14:solidFill>
                </w14:textFill>
              </w:rPr>
            </m:ctrlPr>
          </m:sub>
        </m:sSub>
        <m:r>
          <m:rPr/>
          <w:rPr>
            <w:rFonts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IIAQL</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2</m:t>
            </m:r>
            <m:ctrlPr>
              <w:rPr>
                <w:rFonts w:hint="default" w:ascii="Cambria Math" w:hAnsi="Cambria Math"/>
                <w:i/>
                <w:color w:val="000000" w:themeColor="text1"/>
                <w:sz w:val="24"/>
                <w14:textFill>
                  <w14:solidFill>
                    <w14:schemeClr w14:val="tx1"/>
                  </w14:solidFill>
                </w14:textFill>
              </w:rPr>
            </m:ctrlPr>
          </m:sub>
        </m:sSub>
        <m:r>
          <m:rPr/>
          <w:rPr>
            <w:rFonts w:ascii="Cambria Math" w:hAnsi="Cambria Math"/>
            <w:color w:val="000000" w:themeColor="text1"/>
            <w:sz w:val="24"/>
            <w14:textFill>
              <w14:solidFill>
                <w14:schemeClr w14:val="tx1"/>
              </w14:solidFill>
            </w14:textFill>
          </w:rPr>
          <m:t>，</m:t>
        </m:r>
        <m:sSub>
          <m:sSubPr>
            <m:ctrlPr>
              <w:rPr>
                <w:rFonts w:hint="default" w:ascii="Cambria Math" w:hAnsi="Cambria Math"/>
                <w:i/>
                <w:color w:val="000000" w:themeColor="text1"/>
                <w:sz w:val="24"/>
                <w14:textFill>
                  <w14:solidFill>
                    <w14:schemeClr w14:val="tx1"/>
                  </w14:solidFill>
                </w14:textFill>
              </w:rPr>
            </m:ctrlPr>
          </m:sSubPr>
          <m:e>
            <m:r>
              <m:rPr/>
              <w:rPr>
                <w:rFonts w:ascii="Cambria Math" w:hAnsi="Cambria Math"/>
                <w:color w:val="000000" w:themeColor="text1"/>
                <w:sz w:val="24"/>
                <w14:textFill>
                  <w14:solidFill>
                    <w14:schemeClr w14:val="tx1"/>
                  </w14:solidFill>
                </w14:textFill>
              </w:rPr>
              <m:t>IIAQL</m:t>
            </m:r>
            <m:ctrlPr>
              <w:rPr>
                <w:rFonts w:hint="default" w:ascii="Cambria Math" w:hAnsi="Cambria Math"/>
                <w:i/>
                <w:color w:val="000000" w:themeColor="text1"/>
                <w:sz w:val="24"/>
                <w14:textFill>
                  <w14:solidFill>
                    <w14:schemeClr w14:val="tx1"/>
                  </w14:solidFill>
                </w14:textFill>
              </w:rPr>
            </m:ctrlPr>
          </m:e>
          <m:sub>
            <m:r>
              <m:rPr/>
              <w:rPr>
                <w:rFonts w:hint="default" w:ascii="Cambria Math" w:hAnsi="Cambria Math"/>
                <w:color w:val="000000" w:themeColor="text1"/>
                <w:sz w:val="24"/>
                <w14:textFill>
                  <w14:solidFill>
                    <w14:schemeClr w14:val="tx1"/>
                  </w14:solidFill>
                </w14:textFill>
              </w:rPr>
              <m:t>3</m:t>
            </m:r>
            <m:ctrlPr>
              <w:rPr>
                <w:rFonts w:hint="default" w:ascii="Cambria Math" w:hAnsi="Cambria Math"/>
                <w:i/>
                <w:color w:val="000000" w:themeColor="text1"/>
                <w:sz w:val="24"/>
                <w14:textFill>
                  <w14:solidFill>
                    <w14:schemeClr w14:val="tx1"/>
                  </w14:solidFill>
                </w14:textFill>
              </w:rPr>
            </m:ctrlPr>
          </m:sub>
        </m:sSub>
        <m:r>
          <m:rPr/>
          <w:rPr>
            <w:rFonts w:ascii="Cambria Math" w:hAnsi="Cambria Math"/>
            <w:color w:val="000000" w:themeColor="text1"/>
            <w:sz w:val="24"/>
            <w14:textFill>
              <w14:solidFill>
                <w14:schemeClr w14:val="tx1"/>
              </w14:solidFill>
            </w14:textFill>
          </w:rPr>
          <m:t>）</m:t>
        </m:r>
      </m:oMath>
      <w:r>
        <w:rPr>
          <w:rFonts w:ascii="Times New Roman" w:hAnsi="Times New Roman"/>
          <w:color w:val="000000" w:themeColor="text1"/>
          <w:sz w:val="24"/>
          <w14:textFill>
            <w14:solidFill>
              <w14:schemeClr w14:val="tx1"/>
            </w14:solidFill>
          </w14:textFill>
        </w:rPr>
        <w:t xml:space="preserve"> </w:t>
      </w:r>
      <w:r>
        <w:rPr>
          <w:rFonts w:hint="default" w:ascii="Times New Roman" w:hAnsi="Times New Roman"/>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4-</w:t>
      </w:r>
      <w:r>
        <w:rPr>
          <w:rFonts w:hint="default" w:ascii="Times New Roman" w:hAnsi="Times New Roman"/>
          <w:color w:val="000000" w:themeColor="text1"/>
          <w:sz w:val="24"/>
          <w14:textFill>
            <w14:solidFill>
              <w14:schemeClr w14:val="tx1"/>
            </w14:solidFill>
          </w14:textFill>
        </w:rPr>
        <w:t>2</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式中，</w:t>
      </w:r>
      <m:oMath>
        <m:r>
          <m:rPr/>
          <w:rPr>
            <w:rFonts w:ascii="Cambria Math" w:hAnsi="Cambria Math"/>
            <w:color w:val="000000" w:themeColor="text1"/>
            <w:sz w:val="24"/>
            <w14:textFill>
              <w14:solidFill>
                <w14:schemeClr w14:val="tx1"/>
              </w14:solidFill>
            </w14:textFill>
          </w:rPr>
          <m:t>IAQI</m:t>
        </m:r>
      </m:oMath>
      <w:r>
        <w:rPr>
          <w:rFonts w:ascii="Times New Roman" w:hAnsi="Times New Roman"/>
          <w:color w:val="000000" w:themeColor="text1"/>
          <w:sz w:val="24"/>
          <w14:textFill>
            <w14:solidFill>
              <w14:schemeClr w14:val="tx1"/>
            </w14:solidFill>
          </w14:textFill>
        </w:rPr>
        <w:t>——室内空气质量表观指数。</w:t>
      </w:r>
    </w:p>
    <w:p>
      <w:pPr>
        <w:keepNext w:val="0"/>
        <w:keepLines w:val="0"/>
        <w:pageBreakBefore w:val="0"/>
        <w:widowControl w:val="0"/>
        <w:numPr>
          <w:ilvl w:val="0"/>
          <w:numId w:val="3"/>
        </w:numPr>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室内空气质量表观指数按表</w:t>
      </w:r>
      <w:r>
        <w:rPr>
          <w:rFonts w:hint="eastAsia"/>
          <w:color w:val="000000" w:themeColor="text1"/>
          <w:sz w:val="24"/>
          <w:lang w:val="en-US" w:eastAsia="zh-CN"/>
          <w14:textFill>
            <w14:solidFill>
              <w14:schemeClr w14:val="tx1"/>
            </w14:solidFill>
          </w14:textFill>
        </w:rPr>
        <w:t>4-</w:t>
      </w:r>
      <w:r>
        <w:rPr>
          <w:rFonts w:hint="default" w:ascii="Times New Roman" w:hAnsi="Times New Roman"/>
          <w:color w:val="000000" w:themeColor="text1"/>
          <w:sz w:val="24"/>
          <w14:textFill>
            <w14:solidFill>
              <w14:schemeClr w14:val="tx1"/>
            </w14:solidFill>
          </w14:textFill>
        </w:rPr>
        <w:t>3</w:t>
      </w:r>
      <w:r>
        <w:rPr>
          <w:rFonts w:ascii="Times New Roman" w:hAnsi="Times New Roman"/>
          <w:color w:val="000000" w:themeColor="text1"/>
          <w:sz w:val="24"/>
          <w14:textFill>
            <w14:solidFill>
              <w14:schemeClr w14:val="tx1"/>
            </w14:solidFill>
          </w14:textFill>
        </w:rPr>
        <w:t>进行划分：</w:t>
      </w:r>
    </w:p>
    <w:p>
      <w:pPr>
        <w:pStyle w:val="5"/>
        <w:keepNext w:val="0"/>
        <w:keepLines w:val="0"/>
        <w:pageBreakBefore w:val="0"/>
        <w:widowControl w:val="0"/>
        <w:numPr>
          <w:ilvl w:val="0"/>
          <w:numId w:val="0"/>
        </w:numPr>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sz w:val="24"/>
          <w:lang w:val="en-US"/>
        </w:rPr>
      </w:pPr>
      <w:r>
        <w:rPr>
          <w:rFonts w:ascii="Times New Roman" w:hAnsi="Times New Roman" w:eastAsia="宋体"/>
          <w:color w:val="000000" w:themeColor="text1"/>
          <w:sz w:val="24"/>
          <w14:textFill>
            <w14:solidFill>
              <w14:schemeClr w14:val="tx1"/>
            </w14:solidFill>
          </w14:textFill>
        </w:rPr>
        <w:t>表</w:t>
      </w:r>
      <w:r>
        <w:rPr>
          <w:rFonts w:hint="eastAsia"/>
          <w:color w:val="000000" w:themeColor="text1"/>
          <w:sz w:val="24"/>
          <w:lang w:val="en-US" w:eastAsia="zh-CN"/>
          <w14:textFill>
            <w14:solidFill>
              <w14:schemeClr w14:val="tx1"/>
            </w14:solidFill>
          </w14:textFill>
        </w:rPr>
        <w:t>4-</w:t>
      </w:r>
      <w:r>
        <w:rPr>
          <w:rFonts w:hint="eastAsia" w:ascii="Times New Roman" w:hAnsi="Times New Roman" w:eastAsia="宋体"/>
          <w:color w:val="000000" w:themeColor="text1"/>
          <w:sz w:val="24"/>
          <w:lang w:val="en-US" w:eastAsia="zh-CN"/>
          <w14:textFill>
            <w14:solidFill>
              <w14:schemeClr w14:val="tx1"/>
            </w14:solidFill>
          </w14:textFill>
        </w:rPr>
        <w:t>3</w:t>
      </w:r>
      <w:r>
        <w:rPr>
          <w:rFonts w:hint="default" w:ascii="Times New Roman" w:hAnsi="Times New Roman" w:eastAsia="宋体"/>
          <w:color w:val="000000" w:themeColor="text1"/>
          <w:sz w:val="24"/>
          <w14:textFill>
            <w14:solidFill>
              <w14:schemeClr w14:val="tx1"/>
            </w14:solidFill>
          </w14:textFill>
        </w:rPr>
        <w:t xml:space="preserve"> </w:t>
      </w:r>
      <w:r>
        <w:rPr>
          <w:rFonts w:hint="eastAsia" w:ascii="Times New Roman" w:hAnsi="Times New Roman" w:eastAsia="宋体"/>
          <w:color w:val="000000" w:themeColor="text1"/>
          <w:sz w:val="24"/>
          <w:lang w:val="en-US" w:eastAsia="zh-CN"/>
          <w14:textFill>
            <w14:solidFill>
              <w14:schemeClr w14:val="tx1"/>
            </w14:solidFill>
          </w14:textFill>
        </w:rPr>
        <w:t>室内空气质量表观指数及相关信息</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075"/>
        <w:gridCol w:w="207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室内空气质量表观指数</w:t>
            </w:r>
          </w:p>
        </w:tc>
        <w:tc>
          <w:tcPr>
            <w:tcW w:w="2075" w:type="dxa"/>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室内空气质量表观指数等级</w:t>
            </w:r>
          </w:p>
        </w:tc>
        <w:tc>
          <w:tcPr>
            <w:tcW w:w="4152" w:type="dxa"/>
            <w:gridSpan w:val="2"/>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室内空气质量表观指数类别及</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表示颜色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0~</w:t>
            </w:r>
            <w:r>
              <w:rPr>
                <w:rFonts w:hint="default" w:ascii="Times New Roman" w:hAnsi="Times New Roman" w:eastAsia="宋体"/>
                <w:color w:val="000000" w:themeColor="text1"/>
                <w:sz w:val="24"/>
                <w14:textFill>
                  <w14:solidFill>
                    <w14:schemeClr w14:val="tx1"/>
                  </w14:solidFill>
                </w14:textFill>
              </w:rPr>
              <w:t>50</w:t>
            </w:r>
          </w:p>
        </w:tc>
        <w:tc>
          <w:tcPr>
            <w:tcW w:w="207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一级</w:t>
            </w:r>
          </w:p>
        </w:tc>
        <w:tc>
          <w:tcPr>
            <w:tcW w:w="2076"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优</w:t>
            </w:r>
          </w:p>
        </w:tc>
        <w:tc>
          <w:tcPr>
            <w:tcW w:w="2076"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5</w:t>
            </w:r>
            <w:r>
              <w:rPr>
                <w:rFonts w:hint="default" w:ascii="Times New Roman" w:hAnsi="Times New Roman" w:eastAsia="宋体"/>
                <w:color w:val="000000" w:themeColor="text1"/>
                <w:sz w:val="24"/>
                <w14:textFill>
                  <w14:solidFill>
                    <w14:schemeClr w14:val="tx1"/>
                  </w14:solidFill>
                </w14:textFill>
              </w:rPr>
              <w:t>1</w:t>
            </w:r>
            <w:r>
              <w:rPr>
                <w:rFonts w:ascii="Times New Roman" w:hAnsi="Times New Roman" w:eastAsia="宋体"/>
                <w:color w:val="000000" w:themeColor="text1"/>
                <w:sz w:val="24"/>
                <w14:textFill>
                  <w14:solidFill>
                    <w14:schemeClr w14:val="tx1"/>
                  </w14:solidFill>
                </w14:textFill>
              </w:rPr>
              <w:t>~</w:t>
            </w:r>
            <w:r>
              <w:rPr>
                <w:rFonts w:hint="default" w:ascii="Times New Roman" w:hAnsi="Times New Roman" w:eastAsia="宋体"/>
                <w:color w:val="000000" w:themeColor="text1"/>
                <w:sz w:val="24"/>
                <w14:textFill>
                  <w14:solidFill>
                    <w14:schemeClr w14:val="tx1"/>
                  </w14:solidFill>
                </w14:textFill>
              </w:rPr>
              <w:t>100</w:t>
            </w:r>
          </w:p>
        </w:tc>
        <w:tc>
          <w:tcPr>
            <w:tcW w:w="207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二级</w:t>
            </w:r>
          </w:p>
        </w:tc>
        <w:tc>
          <w:tcPr>
            <w:tcW w:w="2076"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良</w:t>
            </w:r>
          </w:p>
        </w:tc>
        <w:tc>
          <w:tcPr>
            <w:tcW w:w="2076"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＞1</w:t>
            </w:r>
            <w:r>
              <w:rPr>
                <w:rFonts w:hint="default" w:ascii="Times New Roman" w:hAnsi="Times New Roman" w:eastAsia="宋体"/>
                <w:color w:val="000000" w:themeColor="text1"/>
                <w:sz w:val="24"/>
                <w14:textFill>
                  <w14:solidFill>
                    <w14:schemeClr w14:val="tx1"/>
                  </w14:solidFill>
                </w14:textFill>
              </w:rPr>
              <w:t>00</w:t>
            </w:r>
          </w:p>
        </w:tc>
        <w:tc>
          <w:tcPr>
            <w:tcW w:w="2075"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三级</w:t>
            </w:r>
          </w:p>
        </w:tc>
        <w:tc>
          <w:tcPr>
            <w:tcW w:w="2076"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污染</w:t>
            </w:r>
          </w:p>
        </w:tc>
        <w:tc>
          <w:tcPr>
            <w:tcW w:w="2076" w:type="dxa"/>
            <w:vAlign w:val="center"/>
          </w:tcPr>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红色</w:t>
            </w:r>
          </w:p>
        </w:tc>
      </w:tr>
    </w:tbl>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室内空气质量表观指数监测与显示系统应对各项分指标浓度分别进行连续测量、显示、记录和数据传输，读数时间间隔不得长于10min；每小时对数据进行平均，核算出室内空气质量表观指数并进行持续发布更新（每小时一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highlight w:val="none"/>
          <w14:textFill>
            <w14:solidFill>
              <w14:schemeClr w14:val="tx1"/>
            </w14:solidFill>
          </w14:textFill>
        </w:rPr>
      </w:pPr>
      <w:r>
        <w:rPr>
          <w:color w:val="000000" w:themeColor="text1"/>
          <w:sz w:val="24"/>
          <w14:textFill>
            <w14:solidFill>
              <w14:schemeClr w14:val="tx1"/>
            </w14:solidFill>
          </w14:textFill>
        </w:rPr>
        <w:t>对于公共建筑，浓度参数及室内空气质量表观指数发布系统应位于公共空间显著位置，宜安装显示屏、电子布告栏等显示装置，每个典型空间（如大堂、办公室、会议室、休息室等）应至少安装一个监测点位；对于居住建筑，可运用屏幕显示、公众号发布、APP 等方式，使住户可查询获得室内空气质量信息，每户应布置有一个监测点位。监测点周围不应有强电磁感应干扰，应避开通风口，监测点不宜设置于厨房、卫生间等具有特殊散发源的空间。</w:t>
      </w:r>
      <w:r>
        <w:rPr>
          <w:rFonts w:hint="default"/>
          <w:color w:val="000000" w:themeColor="text1"/>
          <w:sz w:val="24"/>
          <w14:textFill>
            <w14:solidFill>
              <w14:schemeClr w14:val="tx1"/>
            </w14:solidFill>
          </w14:textFill>
        </w:rPr>
        <w:cr/>
      </w:r>
      <w:r>
        <w:rPr>
          <w:rFonts w:hint="eastAsia"/>
          <w:color w:val="000000" w:themeColor="text1"/>
          <w:sz w:val="24"/>
          <w:highlight w:val="none"/>
          <w:lang w:val="en-US" w:eastAsia="zh-CN"/>
          <w14:textFill>
            <w14:solidFill>
              <w14:schemeClr w14:val="tx1"/>
            </w14:solidFill>
          </w14:textFill>
        </w:rPr>
        <w:t xml:space="preserve">    本条</w:t>
      </w:r>
      <w:r>
        <w:rPr>
          <w:color w:val="000000" w:themeColor="text1"/>
          <w:sz w:val="24"/>
          <w:highlight w:val="none"/>
          <w14:textFill>
            <w14:solidFill>
              <w14:schemeClr w14:val="tx1"/>
            </w14:solidFill>
          </w14:textFill>
        </w:rPr>
        <w:t>实施步骤及评估方法</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查阅竣工文件、监测与发布系统图、传感器</w:t>
      </w:r>
      <w:r>
        <w:rPr>
          <w:rFonts w:hint="eastAsia"/>
          <w:color w:val="000000" w:themeColor="text1"/>
          <w:sz w:val="24"/>
          <w:highlight w:val="none"/>
          <w:lang w:val="en-US" w:eastAsia="zh-CN"/>
          <w14:textFill>
            <w14:solidFill>
              <w14:schemeClr w14:val="tx1"/>
            </w14:solidFill>
          </w14:textFill>
        </w:rPr>
        <w:t>定期</w:t>
      </w:r>
      <w:r>
        <w:rPr>
          <w:color w:val="000000" w:themeColor="text1"/>
          <w:sz w:val="24"/>
          <w:highlight w:val="none"/>
          <w14:textFill>
            <w14:solidFill>
              <w14:schemeClr w14:val="tx1"/>
            </w14:solidFill>
          </w14:textFill>
        </w:rPr>
        <w:t>检验/标定报告，审查一年内的建筑空气监测系统历史监测数据、运行记录并现场核查。</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2" w:firstLineChars="200"/>
        <w:textAlignment w:val="auto"/>
        <w:rPr>
          <w:rFonts w:hint="default" w:ascii="Times New Roman" w:hAnsi="Times New Roman"/>
          <w:b/>
          <w:bCs/>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14</w:t>
      </w:r>
      <w:r>
        <w:rPr>
          <w:color w:val="000000" w:themeColor="text1"/>
          <w:sz w:val="24"/>
          <w14:textFill>
            <w14:solidFill>
              <w14:schemeClr w14:val="tx1"/>
            </w14:solidFill>
          </w14:textFill>
        </w:rPr>
        <w:t xml:space="preserve"> </w:t>
      </w:r>
      <w:r>
        <w:rPr>
          <w:rFonts w:hint="default"/>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参评建筑不</w:t>
      </w:r>
      <w:r>
        <w:rPr>
          <w:color w:val="000000" w:themeColor="text1"/>
          <w:sz w:val="24"/>
          <w14:textFill>
            <w14:solidFill>
              <w14:schemeClr w14:val="tx1"/>
            </w14:solidFill>
          </w14:textFill>
        </w:rPr>
        <w:t>设置第</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款</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第3款</w:t>
      </w:r>
      <w:r>
        <w:rPr>
          <w:color w:val="000000" w:themeColor="text1"/>
          <w:sz w:val="24"/>
          <w14:textFill>
            <w14:solidFill>
              <w14:schemeClr w14:val="tx1"/>
            </w14:solidFill>
          </w14:textFill>
        </w:rPr>
        <w:t>中</w:t>
      </w:r>
      <w:r>
        <w:rPr>
          <w:rFonts w:hint="eastAsia"/>
          <w:color w:val="000000" w:themeColor="text1"/>
          <w:sz w:val="24"/>
          <w:lang w:val="en-US" w:eastAsia="zh-CN"/>
          <w14:textFill>
            <w14:solidFill>
              <w14:schemeClr w14:val="tx1"/>
            </w14:solidFill>
          </w14:textFill>
        </w:rPr>
        <w:t>所提及的</w:t>
      </w:r>
      <w:r>
        <w:rPr>
          <w:color w:val="000000" w:themeColor="text1"/>
          <w:sz w:val="24"/>
          <w14:textFill>
            <w14:solidFill>
              <w14:schemeClr w14:val="tx1"/>
            </w14:solidFill>
          </w14:textFill>
        </w:rPr>
        <w:t>用水系统的</w:t>
      </w:r>
      <w:r>
        <w:rPr>
          <w:rFonts w:hint="eastAsia"/>
          <w:color w:val="000000" w:themeColor="text1"/>
          <w:sz w:val="24"/>
          <w:lang w:val="en-US" w:eastAsia="zh-CN"/>
          <w14:textFill>
            <w14:solidFill>
              <w14:schemeClr w14:val="tx1"/>
            </w14:solidFill>
          </w14:textFill>
        </w:rPr>
        <w:t>建筑</w:t>
      </w:r>
      <w:r>
        <w:rPr>
          <w:color w:val="000000" w:themeColor="text1"/>
          <w:sz w:val="24"/>
          <w14:textFill>
            <w14:solidFill>
              <w14:schemeClr w14:val="tx1"/>
            </w14:solidFill>
          </w14:textFill>
        </w:rPr>
        <w:t>，第</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款</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第</w:t>
      </w:r>
      <w:r>
        <w:rPr>
          <w:rFonts w:hint="default"/>
          <w:color w:val="000000" w:themeColor="text1"/>
          <w:sz w:val="24"/>
          <w14:textFill>
            <w14:solidFill>
              <w14:schemeClr w14:val="tx1"/>
            </w14:solidFill>
          </w14:textFill>
        </w:rPr>
        <w:t>3</w:t>
      </w:r>
      <w:r>
        <w:rPr>
          <w:color w:val="000000" w:themeColor="text1"/>
          <w:sz w:val="24"/>
          <w14:textFill>
            <w14:solidFill>
              <w14:schemeClr w14:val="tx1"/>
            </w14:solidFill>
          </w14:textFill>
        </w:rPr>
        <w:t>款</w:t>
      </w:r>
      <w:r>
        <w:rPr>
          <w:rFonts w:hint="eastAsia"/>
          <w:color w:val="000000" w:themeColor="text1"/>
          <w:sz w:val="24"/>
          <w:lang w:val="en-US" w:eastAsia="zh-CN"/>
          <w14:textFill>
            <w14:solidFill>
              <w14:schemeClr w14:val="tx1"/>
            </w14:solidFill>
          </w14:textFill>
        </w:rPr>
        <w:t>可直接</w:t>
      </w:r>
      <w:r>
        <w:rPr>
          <w:color w:val="000000" w:themeColor="text1"/>
          <w:sz w:val="24"/>
          <w14:textFill>
            <w14:solidFill>
              <w14:schemeClr w14:val="tx1"/>
            </w14:solidFill>
          </w14:textFill>
        </w:rPr>
        <w:t>得分。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r>
        <w:rPr>
          <w:rFonts w:ascii="Times New Roman" w:hAnsi="Times New Roman" w:cs="Times New Roman"/>
          <w:bCs w:val="0"/>
          <w:color w:val="000000" w:themeColor="text1"/>
          <w:sz w:val="24"/>
          <w:szCs w:val="24"/>
          <w14:textFill>
            <w14:solidFill>
              <w14:schemeClr w14:val="tx1"/>
            </w14:solidFill>
          </w14:textFill>
        </w:rPr>
        <w:t>直饮水是以符合现行国家标准《生活饮用水卫生标准》GB 5749水质标准的自来水或水源为原水，经再净化（深度处理）后供给用户直接饮用的高品质饮用水。直饮水系统分为集中供水的管道直饮水系统和分散供水的终端直饮水处理设备。管道直饮水系统供水水质应符合现行行业标准《饮用净水水质标准》CJ 94的要求</w:t>
      </w:r>
      <w:r>
        <w:rPr>
          <w:rFonts w:hint="eastAsia" w:ascii="Times New Roman" w:hAnsi="Times New Roman" w:cs="Times New Roman"/>
          <w:bCs w:val="0"/>
          <w:color w:val="000000" w:themeColor="text1"/>
          <w:sz w:val="24"/>
          <w:szCs w:val="24"/>
          <w14:textFill>
            <w14:solidFill>
              <w14:schemeClr w14:val="tx1"/>
            </w14:solidFill>
          </w14:textFill>
        </w:rPr>
        <w:t>，</w:t>
      </w:r>
      <w:r>
        <w:rPr>
          <w:rFonts w:ascii="Times New Roman" w:hAnsi="Times New Roman" w:cs="Times New Roman"/>
          <w:bCs w:val="0"/>
          <w:color w:val="000000" w:themeColor="text1"/>
          <w:sz w:val="24"/>
          <w:szCs w:val="24"/>
          <w14:textFill>
            <w14:solidFill>
              <w14:schemeClr w14:val="tx1"/>
            </w14:solidFill>
          </w14:textFill>
        </w:rPr>
        <w:t>该标准规定了管道直饮水系统水质标准，主要包含感官性状、一般化学指标、毒理学指标和细菌学指标等项目</w:t>
      </w:r>
      <w:r>
        <w:rPr>
          <w:rFonts w:hint="eastAsia" w:ascii="Times New Roman" w:hAnsi="Times New Roman" w:cs="Times New Roman"/>
          <w:bCs w:val="0"/>
          <w:color w:val="000000" w:themeColor="text1"/>
          <w:sz w:val="24"/>
          <w:szCs w:val="24"/>
          <w14:textFill>
            <w14:solidFill>
              <w14:schemeClr w14:val="tx1"/>
            </w14:solidFill>
          </w14:textFill>
        </w:rPr>
        <w:t>。</w:t>
      </w:r>
      <w:r>
        <w:rPr>
          <w:rFonts w:ascii="Times New Roman" w:hAnsi="Times New Roman" w:cs="Times New Roman"/>
          <w:bCs w:val="0"/>
          <w:color w:val="000000" w:themeColor="text1"/>
          <w:sz w:val="24"/>
          <w:szCs w:val="24"/>
          <w14:textFill>
            <w14:solidFill>
              <w14:schemeClr w14:val="tx1"/>
            </w14:solidFill>
          </w14:textFill>
        </w:rPr>
        <w:t>终端直饮水处理设备的出水水质标准可参考现行行业标准《饮用净水水质标准》CJ 94、《全自动连续微/超滤净水装置》HG/T 4111等现行饮用净水相关水质标准和设备标准。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r>
        <w:rPr>
          <w:rFonts w:ascii="Times New Roman" w:hAnsi="Times New Roman" w:cs="Times New Roman"/>
          <w:bCs w:val="0"/>
          <w:color w:val="000000" w:themeColor="text1"/>
          <w:sz w:val="24"/>
          <w:szCs w:val="24"/>
          <w14:textFill>
            <w14:solidFill>
              <w14:schemeClr w14:val="tx1"/>
            </w14:solidFill>
          </w14:textFill>
        </w:rPr>
        <w:t>以符合现行国家标准《生活饮用水卫生标准》GB 5749要求的自来水或水源为原水的集中生活热水，其水质还应符合现行行业标准《生活热水水质标准》CJ/T 521的要求。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r>
        <w:rPr>
          <w:rFonts w:ascii="Times New Roman" w:hAnsi="Times New Roman" w:cs="Times New Roman"/>
          <w:bCs w:val="0"/>
          <w:color w:val="000000" w:themeColor="text1"/>
          <w:sz w:val="24"/>
          <w:szCs w:val="24"/>
          <w14:textFill>
            <w14:solidFill>
              <w14:schemeClr w14:val="tx1"/>
            </w14:solidFill>
          </w14:textFill>
        </w:rPr>
        <w:t>游泳池循环水处理系统水质应满足现行行业标准《游泳池水质标准》CJ 244的要求</w:t>
      </w:r>
      <w:r>
        <w:rPr>
          <w:rFonts w:hint="eastAsia" w:ascii="Times New Roman" w:hAnsi="Times New Roman" w:cs="Times New Roman"/>
          <w:bCs w:val="0"/>
          <w:color w:val="000000" w:themeColor="text1"/>
          <w:sz w:val="24"/>
          <w:szCs w:val="24"/>
          <w14:textFill>
            <w14:solidFill>
              <w14:schemeClr w14:val="tx1"/>
            </w14:solidFill>
          </w14:textFill>
        </w:rPr>
        <w:t>，</w:t>
      </w:r>
      <w:r>
        <w:rPr>
          <w:rFonts w:ascii="Times New Roman" w:hAnsi="Times New Roman" w:cs="Times New Roman"/>
          <w:bCs w:val="0"/>
          <w:color w:val="000000" w:themeColor="text1"/>
          <w:sz w:val="24"/>
          <w:szCs w:val="24"/>
          <w14:textFill>
            <w14:solidFill>
              <w14:schemeClr w14:val="tx1"/>
            </w14:solidFill>
          </w14:textFill>
        </w:rPr>
        <w:t>该标准在游泳池原水和补水水质指标、水质检验等方面做出了规定。</w:t>
      </w:r>
      <w:r>
        <w:rPr>
          <w:rFonts w:hint="eastAsia" w:ascii="Times New Roman" w:hAnsi="Times New Roman" w:cs="Times New Roman"/>
          <w:bCs w:val="0"/>
          <w:color w:val="000000" w:themeColor="text1"/>
          <w:sz w:val="24"/>
          <w:szCs w:val="24"/>
          <w14:textFill>
            <w14:solidFill>
              <w14:schemeClr w14:val="tx1"/>
            </w14:solidFill>
          </w14:textFill>
        </w:rPr>
        <w:t>游泳池给水排水技术规程》CJJ</w:t>
      </w:r>
      <w:r>
        <w:rPr>
          <w:rFonts w:hint="eastAsia" w:cs="Times New Roman"/>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Cs w:val="0"/>
          <w:color w:val="000000" w:themeColor="text1"/>
          <w:sz w:val="24"/>
          <w:szCs w:val="24"/>
          <w14:textFill>
            <w14:solidFill>
              <w14:schemeClr w14:val="tx1"/>
            </w14:solidFill>
          </w14:textFill>
        </w:rPr>
        <w:t>122-2017规定，游泳池开放期间游离性余氯每2h一次，化合性余氯和尿素每24h一次。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bCs w:val="0"/>
          <w:color w:val="000000" w:themeColor="text1"/>
          <w:sz w:val="24"/>
          <w:szCs w:val="24"/>
          <w14:textFill>
            <w14:solidFill>
              <w14:schemeClr w14:val="tx1"/>
            </w14:solidFill>
          </w14:textFill>
        </w:rPr>
      </w:pPr>
      <w:r>
        <w:rPr>
          <w:rFonts w:ascii="Times New Roman" w:hAnsi="Times New Roman" w:cs="Times New Roman"/>
          <w:bCs w:val="0"/>
          <w:color w:val="000000" w:themeColor="text1"/>
          <w:sz w:val="24"/>
          <w:szCs w:val="24"/>
          <w14:textFill>
            <w14:solidFill>
              <w14:schemeClr w14:val="tx1"/>
            </w14:solidFill>
          </w14:textFill>
        </w:rPr>
        <w:t>采暖空调循环水系统水质应满足现行国家标准《采暖空调系统水质》GB/T29044的要求</w:t>
      </w:r>
      <w:r>
        <w:rPr>
          <w:rFonts w:hint="eastAsia" w:ascii="Times New Roman" w:hAnsi="Times New Roman" w:cs="Times New Roman"/>
          <w:bCs w:val="0"/>
          <w:color w:val="000000" w:themeColor="text1"/>
          <w:sz w:val="24"/>
          <w:szCs w:val="24"/>
          <w14:textFill>
            <w14:solidFill>
              <w14:schemeClr w14:val="tx1"/>
            </w14:solidFill>
          </w14:textFill>
        </w:rPr>
        <w:t>，</w:t>
      </w:r>
      <w:r>
        <w:rPr>
          <w:rFonts w:ascii="Times New Roman" w:hAnsi="Times New Roman" w:cs="Times New Roman"/>
          <w:bCs w:val="0"/>
          <w:color w:val="000000" w:themeColor="text1"/>
          <w:sz w:val="24"/>
          <w:szCs w:val="24"/>
          <w14:textFill>
            <w14:solidFill>
              <w14:schemeClr w14:val="tx1"/>
            </w14:solidFill>
          </w14:textFill>
        </w:rPr>
        <w:t>该标准规定了采暖空调系统的水质标准、水质检测频次及检测方法。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olor w:val="000000" w:themeColor="text1"/>
          <w:sz w:val="24"/>
          <w14:textFill>
            <w14:solidFill>
              <w14:schemeClr w14:val="tx1"/>
            </w14:solidFill>
          </w14:textFill>
        </w:rPr>
      </w:pPr>
      <w:r>
        <w:rPr>
          <w:rFonts w:ascii="Times New Roman" w:hAnsi="Times New Roman" w:cs="Times New Roman"/>
          <w:bCs w:val="0"/>
          <w:color w:val="000000" w:themeColor="text1"/>
          <w:sz w:val="24"/>
          <w:szCs w:val="24"/>
          <w14:textFill>
            <w14:solidFill>
              <w14:schemeClr w14:val="tx1"/>
            </w14:solidFill>
          </w14:textFill>
        </w:rPr>
        <w:t>非传统水源供水系统水质，应根据不同用途的用水满足现行国家标准城市污水再生利用系列标准，如</w:t>
      </w:r>
      <w:r>
        <w:rPr>
          <w:rFonts w:ascii="Times New Roman" w:hAnsi="Times New Roman" w:cs="Times New Roman"/>
          <w:color w:val="000000" w:themeColor="text1"/>
          <w:sz w:val="24"/>
          <w:szCs w:val="24"/>
          <w14:textFill>
            <w14:solidFill>
              <w14:schemeClr w14:val="tx1"/>
            </w14:solidFill>
          </w14:textFill>
        </w:rPr>
        <w:t>现行国家标准《城市污水再生利用城市杂用水水质》GB/T 18920、《城市污水再生利用绿地灌溉水质》GB/T 25499、《城市污水再生利用景观环境用水水质》GB/T 18921等</w:t>
      </w:r>
      <w:r>
        <w:rPr>
          <w:rFonts w:ascii="Times New Roman" w:hAnsi="Times New Roman" w:cs="Times New Roman"/>
          <w:bCs w:val="0"/>
          <w:color w:val="000000" w:themeColor="text1"/>
          <w:sz w:val="24"/>
          <w:szCs w:val="24"/>
          <w14:textFill>
            <w14:solidFill>
              <w14:schemeClr w14:val="tx1"/>
            </w14:solidFill>
          </w14:textFill>
        </w:rPr>
        <w:t>的要求。设有模块化户内中水集成系统的项目，户内中水水质应满足现行行业标准《模块化户内中水集成系统技术规程》JGJ/T 409的要求。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对于生活饮用水水源总硬度较高的项目，可以通过设置软化水系统对生活给水进行软化处理。软化水系统包括集中式软化水系统和分散式软化水系统两种形式。集中式软化水系统集中设置软化水处理设备对生活给水进行软化处理；分散式软化水系统直接在各用水点处分别设置软化水处理器，就地对生活给水进行软化处理。应根据建筑具体用水情况，通过技术经济比较，确定软化水系统形式。分户设置分散式处理设施的建筑，必须在交房前完成处理设施安装与调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每年应对建筑内给水系统关键性位置和代表性测点的水质进行不少于一次检测。生活饮用水的检测指标</w:t>
      </w:r>
      <w:r>
        <w:rPr>
          <w:rFonts w:hint="eastAsia"/>
          <w:color w:val="000000" w:themeColor="text1"/>
          <w:sz w:val="24"/>
          <w:lang w:val="en-US" w:eastAsia="zh-CN"/>
          <w14:textFill>
            <w14:solidFill>
              <w14:schemeClr w14:val="tx1"/>
            </w14:solidFill>
          </w14:textFill>
        </w:rPr>
        <w:t>至少一年一次</w:t>
      </w:r>
      <w:r>
        <w:rPr>
          <w:rFonts w:ascii="Times New Roman" w:hAnsi="Times New Roman"/>
          <w:color w:val="000000" w:themeColor="text1"/>
          <w:sz w:val="24"/>
          <w14:textFill>
            <w14:solidFill>
              <w14:schemeClr w14:val="tx1"/>
            </w14:solidFill>
          </w14:textFill>
        </w:rPr>
        <w:t>包括所有常规指标和当地供水主管部门规定的非常规指标，直饮水包括适用标准的全部指标。水质检测的关键性位置包括：建筑接市政给水或自备水源供水总管、水处理设施出水，代表性测点包括各类用水的最不利用水点。</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建筑运行期间，各类用水的供水系统运行状态会随时间、环境、使用需求调整而发生变化，这一系列变化对各类用水的供水水质也会造成影响。建筑物业管理部门应制定水质检测制度，定期监测各类用水的供水水质，及时掌握各类用水的水质安全情况，对于水质超标状况应能及时发现并进行有效处理，避免因水质不达标对人体健康及周边环境造成危害。</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各系统水质检测应在储水设施、处理设备出水口、管网末端用水点分别取样。管网末端用水点取样时，应选取水质污染最不利的用水点，每个系统管网末端取样点的数量：当用水点小于500个时，设2个取样点；500～2000个每500个增加1个取样点，大于2000个每1000个增加1个取样点。管网末端用水点以用水单元计，如住宅每户可视为一个用水单元；每个旅馆客房、公共卫生间、餐饮厨房等分别视为1个用水单元；同一支管供水且集中设置的多个用水器具可视为1个用水单元。检测应符合国家标准和当地政府部门要求，水质的检验应按现行国家标准《生活饮用水标准检验方法》GB 5750、现行行业标准《城市供水水质测定系列标准》CJ/T 141～CJ/T 150等标准执行。</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水质的季检、年检应委托具有资质的第三方检测机构进行定期检测。</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1"/>
          <w:szCs w:val="22"/>
          <w14:textFill>
            <w14:solidFill>
              <w14:schemeClr w14:val="tx1"/>
            </w14:solidFill>
          </w14:textFill>
        </w:rPr>
      </w:pPr>
      <w:r>
        <w:rPr>
          <w:color w:val="000000" w:themeColor="text1"/>
          <w:sz w:val="24"/>
          <w14:textFill>
            <w14:solidFill>
              <w14:schemeClr w14:val="tx1"/>
            </w14:solidFill>
          </w14:textFill>
        </w:rPr>
        <w:t>物业管理部门应保存历年的水质检测记录并至少提供最近1年完整的取样、检测资料，每年至少提供1份满足年检、4份满足季检指标要求的检测报告。对水质不达标的情况应制定合理完善的整改方案、及时实施并记录。</w:t>
      </w:r>
      <w:r>
        <w:rPr>
          <w:rFonts w:hint="eastAsia"/>
          <w:color w:val="000000" w:themeColor="text1"/>
          <w:sz w:val="24"/>
          <w:lang w:val="en-US" w:eastAsia="zh-CN"/>
          <w14:textFill>
            <w14:solidFill>
              <w14:schemeClr w14:val="tx1"/>
            </w14:solidFill>
          </w14:textFill>
        </w:rPr>
        <w:t>参评建筑</w:t>
      </w:r>
      <w:r>
        <w:rPr>
          <w:color w:val="000000" w:themeColor="text1"/>
          <w:sz w:val="24"/>
          <w14:textFill>
            <w14:solidFill>
              <w14:schemeClr w14:val="tx1"/>
            </w14:solidFill>
          </w14:textFill>
        </w:rPr>
        <w:t>所在地卫生监督部门对本</w:t>
      </w:r>
      <w:r>
        <w:rPr>
          <w:rFonts w:hint="eastAsia"/>
          <w:color w:val="000000" w:themeColor="text1"/>
          <w:sz w:val="24"/>
          <w:lang w:val="en-US" w:eastAsia="zh-CN"/>
          <w14:textFill>
            <w14:solidFill>
              <w14:schemeClr w14:val="tx1"/>
            </w14:solidFill>
          </w14:textFill>
        </w:rPr>
        <w:t>建筑</w:t>
      </w:r>
      <w:r>
        <w:rPr>
          <w:color w:val="000000" w:themeColor="text1"/>
          <w:sz w:val="24"/>
          <w14:textFill>
            <w14:solidFill>
              <w14:schemeClr w14:val="tx1"/>
            </w14:solidFill>
          </w14:textFill>
        </w:rPr>
        <w:t>的水质抽查或强制检测也可计入定期检测次数中。</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此外，及时将水质在线检测情况、自检情况和第三方检测评价机构出具的水质检测报告向用户公示，可以使用户及时掌握建筑二次供水水质指标状况，一方面，用户在用水时了解水质的情况下，可以获得更好的用水心理感受；另一方面，用户在能够及时了解水质情况并获得有效反馈途径的情况下，可以有效起到水质监督的作用。</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查阅竣工文件、水质检测管理制度、连续一年以上的工作记录、水质检测档案等、水质监测点位说明、水质</w:t>
      </w:r>
      <w:r>
        <w:rPr>
          <w:rFonts w:hint="eastAsia"/>
          <w:color w:val="000000" w:themeColor="text1"/>
          <w:sz w:val="24"/>
          <w:lang w:val="en-US" w:eastAsia="zh-CN"/>
          <w14:textFill>
            <w14:solidFill>
              <w14:schemeClr w14:val="tx1"/>
            </w14:solidFill>
          </w14:textFill>
        </w:rPr>
        <w:t>检测</w:t>
      </w:r>
      <w:r>
        <w:rPr>
          <w:color w:val="000000" w:themeColor="text1"/>
          <w:sz w:val="24"/>
          <w14:textFill>
            <w14:solidFill>
              <w14:schemeClr w14:val="tx1"/>
            </w14:solidFill>
          </w14:textFill>
        </w:rPr>
        <w:t>公开材料并现场核查。</w:t>
      </w:r>
      <w:r>
        <w:rPr>
          <w:rFonts w:hint="eastAsia"/>
          <w:color w:val="000000" w:themeColor="text1"/>
          <w:sz w:val="24"/>
          <w:lang w:val="en-US" w:eastAsia="zh-CN"/>
          <w14:textFill>
            <w14:solidFill>
              <w14:schemeClr w14:val="tx1"/>
            </w14:solidFill>
          </w14:textFill>
        </w:rPr>
        <w:t>参评建筑</w:t>
      </w:r>
      <w:r>
        <w:rPr>
          <w:rFonts w:hint="eastAsia" w:ascii="Times New Roman" w:hAnsi="Times New Roman"/>
          <w:color w:val="000000" w:themeColor="text1"/>
          <w:sz w:val="24"/>
          <w14:textFill>
            <w14:solidFill>
              <w14:schemeClr w14:val="tx1"/>
            </w14:solidFill>
          </w14:textFill>
        </w:rPr>
        <w:t>按照规定检测频率并提供全部检测记录并且结果合格，</w:t>
      </w:r>
      <w:r>
        <w:rPr>
          <w:rFonts w:hint="eastAsia"/>
          <w:color w:val="000000" w:themeColor="text1"/>
          <w:sz w:val="24"/>
          <w:lang w:val="en-US" w:eastAsia="zh-CN"/>
          <w14:textFill>
            <w14:solidFill>
              <w14:schemeClr w14:val="tx1"/>
            </w14:solidFill>
          </w14:textFill>
        </w:rPr>
        <w:t>本条</w:t>
      </w:r>
      <w:r>
        <w:rPr>
          <w:rFonts w:hint="eastAsia" w:ascii="Times New Roman" w:hAnsi="Times New Roman"/>
          <w:color w:val="000000" w:themeColor="text1"/>
          <w:sz w:val="24"/>
          <w14:textFill>
            <w14:solidFill>
              <w14:schemeClr w14:val="tx1"/>
            </w14:solidFill>
          </w14:textFill>
        </w:rPr>
        <w:t>才能得分</w:t>
      </w:r>
      <w:r>
        <w:rPr>
          <w:rFonts w:hint="eastAsia"/>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15</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对建筑内各类水质实施在线监测，能够及时掌握水质指标状况，通过设置参数越限报警、事故报警，能随时提醒管理者发现水质异常变化，及时采取有效措施，避免水质污染对使用人群健康造成危害。水质在线监测系统应有报警记录功能，其存储介质和数据库能记录连续一年以上的运行数据。</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水质在线监测系统是一个以在线分析仪表为核心，以提供具有代表性、及时性和可靠性的水质指标信息为任务，运用自动测量技术、传感技术、计算机技术并配以专业软件，组成一个从取样、预处理、分析到数据处理及存贮的完整系统，从而实现对水质的在线自动监测。水质自动监测系统一般包括取样系统、预处理系统、数据采集与控制系统、在线监测分析仪表、数据处理与传输系统及远程数据管理中心，这些分系统既各成体系，又相互协作，以保证整个在线自动监测系统连续可靠运行。</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实现水质在线监测需要设计并配置在线监测仪器设备，在关键性位置和代表性测点检测水质指标，如浊度、TDS、pH值、余氯等。水质监测的关键性位置和代表性测点包括：水源、水处理设施出水及最不利用水点。水质监测设备应定期校准，校准周期符合相关现行国家标准、行业标准的具体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查阅相关竣工图、水质监测点位说明、管理制度、连续一年以上的运行数据记录并现场核查。</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ascii="Times New Roman" w:hAnsi="Times New Roman"/>
          <w:b/>
          <w:bCs/>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ascii="Times New Roman" w:hAnsi="Times New Roman"/>
          <w:color w:val="000000" w:themeColor="text1"/>
          <w:sz w:val="24"/>
          <w14:textFill>
            <w14:solidFill>
              <w14:schemeClr w14:val="tx1"/>
            </w14:solidFill>
          </w14:textFill>
        </w:rPr>
      </w:pPr>
      <w:r>
        <w:rPr>
          <w:rFonts w:hint="default" w:ascii="Times New Roman" w:hAnsi="Times New Roman"/>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16</w:t>
      </w:r>
      <w:r>
        <w:rPr>
          <w:rFonts w:hint="default" w:ascii="Times New Roman" w:hAnsi="Times New Roman"/>
          <w:b/>
          <w:bCs/>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规定噪声敏感房间的空气声隔声性能，主要是为了控制敏感房间外的噪声源对其室内的噪声干扰；规定噪声敏感房间的顶部楼板的撞击声隔声性能，主要是为了控制敏感房间免受上部楼层敲击地面或设备振动对楼下产生的噪声干扰。以保证噪声敏感房间内的室内声压级水平</w:t>
      </w:r>
      <w:r>
        <w:rPr>
          <w:rFonts w:hint="eastAsia"/>
          <w:color w:val="000000" w:themeColor="text1"/>
          <w:sz w:val="24"/>
          <w:lang w:val="en-US" w:eastAsia="zh-CN"/>
          <w14:textFill>
            <w14:solidFill>
              <w14:schemeClr w14:val="tx1"/>
            </w14:solidFill>
          </w14:textFill>
        </w:rPr>
        <w:t>和</w:t>
      </w:r>
      <w:r>
        <w:rPr>
          <w:rFonts w:ascii="Times New Roman" w:hAnsi="Times New Roman"/>
          <w:color w:val="000000" w:themeColor="text1"/>
          <w:sz w:val="24"/>
          <w14:textFill>
            <w14:solidFill>
              <w14:schemeClr w14:val="tx1"/>
            </w14:solidFill>
          </w14:textFill>
        </w:rPr>
        <w:t>居家生活和工作中声音的私密性，进而提高建筑的健康水平。</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outlineLvl w:val="9"/>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噪声敏感房间主要是指有睡眠要求的房间；有阅读、自学、思考要求的功能房间和有教学、医疗、办公、会议及日常生活要求的功能房间。产生噪声房间是指各类设备机房、健身房等。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空气声隔声性能、楼板撞击声隔声性能的检测方法</w:t>
      </w:r>
      <w:r>
        <w:rPr>
          <w:rFonts w:hint="eastAsia" w:ascii="Times New Roman" w:hAnsi="Times New Roman"/>
          <w:color w:val="000000" w:themeColor="text1"/>
          <w:sz w:val="24"/>
          <w:lang w:val="en-US" w:eastAsia="zh-CN"/>
          <w14:textFill>
            <w14:solidFill>
              <w14:schemeClr w14:val="tx1"/>
            </w14:solidFill>
          </w14:textFill>
        </w:rPr>
        <w:t>和数量</w:t>
      </w:r>
      <w:r>
        <w:rPr>
          <w:rFonts w:ascii="Times New Roman" w:hAnsi="Times New Roman"/>
          <w:color w:val="000000" w:themeColor="text1"/>
          <w:sz w:val="24"/>
          <w14:textFill>
            <w14:solidFill>
              <w14:schemeClr w14:val="tx1"/>
            </w14:solidFill>
          </w14:textFill>
        </w:rPr>
        <w:t>应符合《广东省绿色建筑检测标准》DBJ/T 15-234的规定。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查阅竣工文件、</w:t>
      </w:r>
      <w:r>
        <w:rPr>
          <w:rFonts w:hint="eastAsia"/>
          <w:color w:val="000000" w:themeColor="text1"/>
          <w:sz w:val="24"/>
          <w:lang w:val="en-US" w:eastAsia="zh-CN"/>
          <w14:textFill>
            <w14:solidFill>
              <w14:schemeClr w14:val="tx1"/>
            </w14:solidFill>
          </w14:textFill>
        </w:rPr>
        <w:t>运行期间</w:t>
      </w:r>
      <w:r>
        <w:rPr>
          <w:rFonts w:ascii="Times New Roman" w:hAnsi="Times New Roman"/>
          <w:color w:val="000000" w:themeColor="text1"/>
          <w:sz w:val="24"/>
          <w14:textFill>
            <w14:solidFill>
              <w14:schemeClr w14:val="tx1"/>
            </w14:solidFill>
          </w14:textFill>
        </w:rPr>
        <w:t>空气声隔声性能检测报告、楼板撞击声隔声性能检测报告并现场核查。</w:t>
      </w:r>
      <w:r>
        <w:rPr>
          <w:rFonts w:hint="eastAsia"/>
          <w:color w:val="000000" w:themeColor="text1"/>
          <w:sz w:val="24"/>
          <w:lang w:val="en-US" w:eastAsia="zh-CN"/>
          <w14:textFill>
            <w14:solidFill>
              <w14:schemeClr w14:val="tx1"/>
            </w14:solidFill>
          </w14:textFill>
        </w:rPr>
        <w:t>本条沿用了《绿色建筑评价标准》GB/T 50378-2019第5.2.7条的结果性评价要求。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jc w:val="left"/>
        <w:textAlignment w:val="auto"/>
        <w:outlineLvl w:val="9"/>
        <w:rPr>
          <w:rFonts w:hint="default" w:ascii="Times New Roman" w:hAnsi="Times New Roman"/>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17</w:t>
      </w:r>
      <w:r>
        <w:rPr>
          <w:rFonts w:hint="default" w:ascii="Times New Roman" w:hAnsi="Times New Roman" w:eastAsia="宋体"/>
          <w:color w:val="000000" w:themeColor="text1"/>
          <w:sz w:val="24"/>
          <w14:textFill>
            <w14:solidFill>
              <w14:schemeClr w14:val="tx1"/>
            </w14:solidFill>
          </w14:textFill>
        </w:rPr>
        <w:t>　</w:t>
      </w:r>
      <w:r>
        <w:rPr>
          <w:rFonts w:ascii="Times New Roman" w:hAnsi="Times New Roman" w:eastAsia="宋体"/>
          <w:color w:val="000000" w:themeColor="text1"/>
          <w:sz w:val="24"/>
          <w14:textFill>
            <w14:solidFill>
              <w14:schemeClr w14:val="tx1"/>
            </w14:solidFill>
          </w14:textFill>
        </w:rPr>
        <w:t>充分利用天然光，不仅可以有效降低照明能耗，更重要的是营造健康舒适的天然光光环境。</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对于居住建筑，为提升整体天然光光环境质量，各个居住空间均满足现行国家标准《建筑采光设计标准》GB 50033规定的采光系数标准要求。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室内采光系数的检测应符合《广东省绿色建筑检测标准》DBJ/T 15-234的规定。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第1款，住宅建筑的主要功能空间包括卧室、起居室（厅）等。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第2款，公共建筑主要功能空间为现行国家标准《建筑采光设计标准》GB50033中有采光标准值要求的场所，当某场所的视觉活动类型与标准中规定的场所相同或相似且未作规定时，应参照相关场所的采光标准值执行。除对主要采光场所外，对于内区和地下空间等采光难度较大的场所同样推荐增加天然光的利用，对于此类场所，依旧采用采光系数进行评价。评价时，采光要求需要根据场所的视觉活动特点及现行国家标准《建筑采光设计标准》GB 50033对于不同场所的采光标准值的规定来确定。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前</w:t>
      </w:r>
      <w:r>
        <w:rPr>
          <w:rFonts w:hint="eastAsia" w:ascii="Times New Roman" w:hAnsi="Times New Roman" w:eastAsia="宋体" w:cs="Times New Roman"/>
          <w:sz w:val="24"/>
          <w:szCs w:val="24"/>
        </w:rPr>
        <w:t>2款中，</w:t>
      </w:r>
      <w:r>
        <w:rPr>
          <w:rFonts w:ascii="Times New Roman" w:hAnsi="Times New Roman" w:eastAsia="宋体" w:cs="Times New Roman"/>
          <w:sz w:val="24"/>
          <w:szCs w:val="24"/>
        </w:rPr>
        <w:t>对于住宅和公共建筑的主要功能房间采用全年中建筑空间各位置满足采光照度要求的时长来进行采光效果评价，也称为动态采光评价，一般采用全年动态采光计算软件进行计算，计算时应采用标准年的光气候数据。对于设计阶段，计算参数按照现行行业标准《民用建筑绿色性能计算标准》JGJ/T449执行</w:t>
      </w:r>
      <w:r>
        <w:rPr>
          <w:rFonts w:hint="eastAsia" w:ascii="Times New Roman" w:hAnsi="Times New Roman" w:eastAsia="宋体" w:cs="Times New Roman"/>
          <w:sz w:val="24"/>
          <w:szCs w:val="24"/>
        </w:rPr>
        <w:t>（地面反射比0</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墙面</w:t>
      </w:r>
      <w:r>
        <w:rPr>
          <w:rFonts w:hint="eastAsia" w:ascii="Times New Roman" w:hAnsi="Times New Roman" w:eastAsia="宋体" w:cs="Times New Roman"/>
          <w:sz w:val="24"/>
          <w:szCs w:val="24"/>
        </w:rPr>
        <w:t>0</w:t>
      </w: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外表面</w:t>
      </w:r>
      <w:r>
        <w:rPr>
          <w:rFonts w:hint="eastAsia" w:ascii="Times New Roman" w:hAnsi="Times New Roman" w:eastAsia="宋体" w:cs="Times New Roman"/>
          <w:sz w:val="24"/>
          <w:szCs w:val="24"/>
        </w:rPr>
        <w:t>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顶棚</w:t>
      </w:r>
      <w:r>
        <w:rPr>
          <w:rFonts w:hint="eastAsia" w:ascii="Times New Roman" w:hAnsi="Times New Roman" w:eastAsia="宋体" w:cs="Times New Roman"/>
          <w:sz w:val="24"/>
          <w:szCs w:val="24"/>
        </w:rPr>
        <w:t>0</w:t>
      </w:r>
      <w:r>
        <w:rPr>
          <w:rFonts w:ascii="Times New Roman" w:hAnsi="Times New Roman" w:eastAsia="宋体" w:cs="Times New Roman"/>
          <w:sz w:val="24"/>
          <w:szCs w:val="24"/>
        </w:rPr>
        <w:t>.75</w:t>
      </w:r>
      <w:r>
        <w:rPr>
          <w:rFonts w:hint="eastAsia" w:ascii="Times New Roman" w:hAnsi="Times New Roman" w:eastAsia="宋体" w:cs="Times New Roman"/>
          <w:sz w:val="24"/>
          <w:szCs w:val="24"/>
        </w:rPr>
        <w:t>）</w:t>
      </w:r>
      <w:r>
        <w:rPr>
          <w:rFonts w:ascii="Times New Roman" w:hAnsi="Times New Roman" w:eastAsia="宋体" w:cs="Times New Roman"/>
          <w:sz w:val="24"/>
          <w:szCs w:val="24"/>
        </w:rPr>
        <w:t>；对于运行阶段可按照建筑实际参数进行计算，以获得准确的采光效果计算结果。</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第3款，</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充分利用天然光资源的同时</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还应采取必要的措施控制不舒适眩光</w:t>
      </w:r>
      <w:r>
        <w:rPr>
          <w:rFonts w:hint="eastAsia" w:ascii="Times New Roman" w:hAnsi="Times New Roman" w:eastAsia="宋体" w:cs="Times New Roman"/>
          <w:sz w:val="24"/>
          <w:szCs w:val="24"/>
        </w:rPr>
        <w:t>，</w:t>
      </w:r>
      <w:r>
        <w:rPr>
          <w:rFonts w:ascii="Times New Roman" w:hAnsi="Times New Roman" w:eastAsia="宋体" w:cs="Times New Roman"/>
          <w:sz w:val="24"/>
          <w:szCs w:val="24"/>
        </w:rPr>
        <w:t>包括窗帘、百叶、调光玻璃等。建议眩光控制装置能够根据太阳位置的不同进行自动调整，从而确保在限制眩光的过程中也能充分利用天然光带来的照明增益。</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查阅竣工文件、采光计算分析报告或现场检测报告并现场核查。</w:t>
      </w:r>
      <w:r>
        <w:rPr>
          <w:rFonts w:hint="eastAsia"/>
          <w:color w:val="000000" w:themeColor="text1"/>
          <w:sz w:val="24"/>
          <w:lang w:val="en-US" w:eastAsia="zh-CN"/>
          <w14:textFill>
            <w14:solidFill>
              <w14:schemeClr w14:val="tx1"/>
            </w14:solidFill>
          </w14:textFill>
        </w:rPr>
        <w:t>本条沿用了《绿色建筑评价标准》GB/T 50378-2019第5.2.8条的结果性评价要求。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ascii="Times New Roman" w:hAnsi="Times New Roman" w:eastAsia="宋体"/>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4.3.</w:t>
      </w:r>
      <w:r>
        <w:rPr>
          <w:rFonts w:hint="eastAsia"/>
          <w:b/>
          <w:bCs/>
          <w:color w:val="000000" w:themeColor="text1"/>
          <w:sz w:val="24"/>
          <w:lang w:val="en-US" w:eastAsia="zh-CN"/>
          <w14:textFill>
            <w14:solidFill>
              <w14:schemeClr w14:val="tx1"/>
            </w14:solidFill>
          </w14:textFill>
        </w:rPr>
        <w:t>18</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随着对采光与照明的重视，各种照明控制系统相继推出，控制方式多样，自动化程度高。本条是对照明控制系统功能的评价。</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 本款是对居住建筑照明控制系统的要求。对于居住建筑，重点对公共区域的照明进行评价。</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1）当仅采用传统声控开关时，本款不得分。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2）室外广告和标识牌亮度与环境亮度不匹配时，会产生明显的不舒适感，因此本条提出控制系统根据环境亮度自动进行亮度匹配调节。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3）熄灯时段关闭装饰性照明，可以有效降低居住环境的整体照度水平，从而保证人们的休息。</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2 本款是对公共建筑照明控制系统的要求。</w:t>
      </w:r>
    </w:p>
    <w:p>
      <w:pPr>
        <w:keepNext w:val="0"/>
        <w:keepLines w:val="0"/>
        <w:pageBreakBefore w:val="0"/>
        <w:widowControl w:val="0"/>
        <w:numPr>
          <w:ilvl w:val="0"/>
          <w:numId w:val="4"/>
        </w:numPr>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为保证良好的视觉舒适效果</w:t>
      </w:r>
      <w:r>
        <w:rPr>
          <w:rFonts w:hint="eastAsia"/>
          <w:color w:val="000000" w:themeColor="text1"/>
          <w:sz w:val="24"/>
          <w:lang w:val="en-US" w:eastAsia="zh-CN"/>
          <w14:textFill>
            <w14:solidFill>
              <w14:schemeClr w14:val="tx1"/>
            </w14:solidFill>
          </w14:textFill>
        </w:rPr>
        <w:t>且</w:t>
      </w:r>
      <w:r>
        <w:rPr>
          <w:color w:val="000000" w:themeColor="text1"/>
          <w:sz w:val="24"/>
          <w14:textFill>
            <w14:solidFill>
              <w14:schemeClr w14:val="tx1"/>
            </w14:solidFill>
          </w14:textFill>
        </w:rPr>
        <w:t>降低照明能耗，照明控制系统宜根据天然光照度调节人工照明的照度输出</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应保证总照度符合现行国家标准《建筑采光设计标准》GB 50033中对各类型房间所对应的采光照度标准值的规定。本项及第</w:t>
      </w:r>
      <w:r>
        <w:rPr>
          <w:rFonts w:hint="default"/>
          <w:color w:val="000000" w:themeColor="text1"/>
          <w:sz w:val="24"/>
          <w14:textFill>
            <w14:solidFill>
              <w14:schemeClr w14:val="tx1"/>
            </w14:solidFill>
          </w14:textFill>
        </w:rPr>
        <w:t>2</w:t>
      </w:r>
      <w:r>
        <w:rPr>
          <w:color w:val="000000" w:themeColor="text1"/>
          <w:sz w:val="24"/>
          <w14:textFill>
            <w14:solidFill>
              <w14:schemeClr w14:val="tx1"/>
            </w14:solidFill>
          </w14:textFill>
        </w:rPr>
        <w:t>项所指自动调节，是指根据预设要求通过系统进行自动调光，不需要人为操作。</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）遮阳装置与人工照明系统的协同控制不仅可以保证良好的光环境，避免室内产生过高的明暗亮度对比，还能在较大程度上降低照明能耗和空调能耗。</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）对于工作场所，通过在工位上实现照明的个性化控制</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如工位单独照明控制等</w:t>
      </w:r>
      <w:r>
        <w:rPr>
          <w:color w:val="000000" w:themeColor="text1"/>
          <w:sz w:val="24"/>
          <w14:textFill>
            <w14:solidFill>
              <w14:schemeClr w14:val="tx1"/>
            </w14:solidFill>
          </w14:textFill>
        </w:rPr>
        <w:t>，可以有效提升工作人员的幸福感。</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查阅竣工文件现场核查。</w:t>
      </w:r>
    </w:p>
    <w:p>
      <w:pPr>
        <w:pStyle w:val="5"/>
        <w:shd w:val="clear"/>
        <w:rPr>
          <w:rFonts w:hint="default"/>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ascii="Times New Roman" w:hAnsi="Times New Roman" w:cs="Times New Roman"/>
          <w:sz w:val="24"/>
          <w:szCs w:val="24"/>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19</w:t>
      </w:r>
      <w:r>
        <w:rPr>
          <w:rFonts w:hint="default"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第1款，对于采用</w:t>
      </w:r>
      <w:r>
        <w:rPr>
          <w:rFonts w:hint="eastAsia" w:ascii="Times New Roman" w:hAnsi="Times New Roman" w:cs="Times New Roman"/>
          <w:sz w:val="24"/>
          <w:szCs w:val="24"/>
        </w:rPr>
        <w:t>自然通风或复合通风的建筑，以建筑物内主要功能房间或区域为对象，以全年建筑运行时间为评价范围，按主要功能房间或区域的面积加权计算满足舒适性热舒适区间的时间百分比进行评分。</w:t>
      </w:r>
      <w:r>
        <w:rPr>
          <w:rFonts w:ascii="Times New Roman" w:hAnsi="Times New Roman" w:cs="Times New Roman"/>
          <w:sz w:val="24"/>
          <w:szCs w:val="24"/>
        </w:rPr>
        <w:t>建筑主要功能房间室内热环境参数在适应性热舒适区域的时间比例指，主要功能房间室内温度达到适应性舒适温度区间的小时数占建筑全年运行小时数的比例。适应性热舒适温度区间可根据室外月平均温度进行计算。当室内平均气流速度v</w:t>
      </w:r>
      <w:r>
        <w:rPr>
          <w:rFonts w:ascii="Times New Roman" w:hAnsi="Times New Roman" w:cs="Times New Roman"/>
          <w:sz w:val="24"/>
          <w:szCs w:val="24"/>
          <w:vertAlign w:val="subscript"/>
        </w:rPr>
        <w:t>a</w:t>
      </w:r>
      <w:r>
        <w:rPr>
          <w:rFonts w:ascii="Times New Roman" w:hAnsi="Times New Roman" w:cs="Times New Roman"/>
          <w:sz w:val="24"/>
          <w:szCs w:val="24"/>
        </w:rPr>
        <w:t>≤0.3m/s时，舒适温度为</w:t>
      </w:r>
      <w:r>
        <w:rPr>
          <w:rFonts w:hint="eastAsia" w:ascii="Times New Roman" w:hAnsi="Times New Roman" w:cs="Times New Roman"/>
          <w:sz w:val="24"/>
          <w:szCs w:val="24"/>
        </w:rPr>
        <w:t>下图</w:t>
      </w:r>
      <w:r>
        <w:rPr>
          <w:rFonts w:ascii="Times New Roman" w:hAnsi="Times New Roman" w:cs="Times New Roman"/>
          <w:sz w:val="24"/>
          <w:szCs w:val="24"/>
        </w:rPr>
        <w:t>中的阴影区间。当室内温度高于25℃时，允许采用提高气流速度的方式来补偿室内温度的上升，即室内舒适温度上限可进一步提高，提高幅度如下表所示。若项目设有风扇等个性化送风装置，室内气流平均速度采用个性化送风装置设计风速进行计算</w:t>
      </w:r>
      <w:r>
        <w:rPr>
          <w:rFonts w:hint="eastAsia" w:ascii="Times New Roman" w:hAnsi="Times New Roman" w:cs="Times New Roman"/>
          <w:sz w:val="24"/>
          <w:szCs w:val="24"/>
        </w:rPr>
        <w:t>；</w:t>
      </w:r>
      <w:r>
        <w:rPr>
          <w:rFonts w:ascii="Times New Roman" w:hAnsi="Times New Roman" w:cs="Times New Roman"/>
          <w:sz w:val="24"/>
          <w:szCs w:val="24"/>
        </w:rPr>
        <w:t>若没有个性化送风装置，室内气流平均速度采用0.3m/s以下进行分析计算</w:t>
      </w:r>
      <w:r>
        <w:rPr>
          <w:rFonts w:hint="eastAsia" w:ascii="Times New Roman" w:hAnsi="Times New Roman" w:cs="Times New Roman"/>
          <w:sz w:val="24"/>
          <w:szCs w:val="24"/>
        </w:rPr>
        <w:t>。</w:t>
      </w:r>
    </w:p>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drawing>
          <wp:inline distT="0" distB="0" distL="0" distR="0">
            <wp:extent cx="3434080" cy="2062480"/>
            <wp:effectExtent l="0" t="0" r="1397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34080" cy="2062480"/>
                    </a:xfrm>
                    <a:prstGeom prst="rect">
                      <a:avLst/>
                    </a:prstGeom>
                    <a:noFill/>
                    <a:ln>
                      <a:noFill/>
                    </a:ln>
                  </pic:spPr>
                </pic:pic>
              </a:graphicData>
            </a:graphic>
          </wp:inline>
        </w:drawing>
      </w:r>
    </w:p>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图</w:t>
      </w:r>
      <w:r>
        <w:rPr>
          <w:rFonts w:hint="eastAsia"/>
          <w:b w:val="0"/>
          <w:sz w:val="24"/>
          <w:szCs w:val="21"/>
          <w:lang w:val="en-US" w:eastAsia="zh-CN"/>
        </w:rPr>
        <w:t>4-</w:t>
      </w:r>
      <w:r>
        <w:rPr>
          <w:rFonts w:hint="eastAsia" w:ascii="Times New Roman" w:hAnsi="Times New Roman" w:eastAsia="宋体"/>
          <w:b w:val="0"/>
          <w:sz w:val="24"/>
          <w:szCs w:val="21"/>
          <w:lang w:val="en-US" w:eastAsia="zh-CN"/>
        </w:rPr>
        <w:t>1</w:t>
      </w:r>
      <w:r>
        <w:rPr>
          <w:rFonts w:ascii="Times New Roman" w:hAnsi="Times New Roman" w:eastAsia="宋体"/>
          <w:b w:val="0"/>
          <w:sz w:val="24"/>
          <w:szCs w:val="21"/>
        </w:rPr>
        <w:t xml:space="preserve"> 自然通风或复合通风建筑室内舒适温度范围</w:t>
      </w:r>
    </w:p>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bCs/>
          <w:sz w:val="24"/>
          <w:szCs w:val="21"/>
        </w:rPr>
        <w:t>表</w:t>
      </w:r>
      <w:r>
        <w:rPr>
          <w:rFonts w:hint="eastAsia"/>
          <w:b w:val="0"/>
          <w:bCs/>
          <w:sz w:val="24"/>
          <w:szCs w:val="21"/>
          <w:lang w:val="en-US" w:eastAsia="zh-CN"/>
        </w:rPr>
        <w:t>4-</w:t>
      </w:r>
      <w:r>
        <w:rPr>
          <w:rFonts w:hint="eastAsia" w:ascii="Times New Roman" w:hAnsi="Times New Roman" w:eastAsia="宋体"/>
          <w:b w:val="0"/>
          <w:bCs/>
          <w:sz w:val="24"/>
          <w:szCs w:val="21"/>
          <w:lang w:val="en-US" w:eastAsia="zh-CN"/>
        </w:rPr>
        <w:t>4</w:t>
      </w:r>
      <w:r>
        <w:rPr>
          <w:rFonts w:ascii="Times New Roman" w:hAnsi="Times New Roman" w:eastAsia="宋体"/>
          <w:b w:val="0"/>
          <w:sz w:val="24"/>
          <w:szCs w:val="21"/>
        </w:rPr>
        <w:t>室内平均气流速度对应的室内舒适温度上限值提高幅度</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4"/>
        <w:gridCol w:w="1718"/>
        <w:gridCol w:w="170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室内气流平均速度v</w:t>
            </w:r>
            <w:r>
              <w:rPr>
                <w:rFonts w:ascii="Times New Roman" w:hAnsi="Times New Roman" w:eastAsia="宋体"/>
                <w:b w:val="0"/>
                <w:sz w:val="24"/>
                <w:szCs w:val="21"/>
                <w:vertAlign w:val="subscript"/>
              </w:rPr>
              <w:t>a</w:t>
            </w:r>
            <w:r>
              <w:rPr>
                <w:rFonts w:ascii="Times New Roman" w:hAnsi="Times New Roman" w:eastAsia="宋体"/>
                <w:b w:val="0"/>
                <w:sz w:val="24"/>
                <w:szCs w:val="21"/>
              </w:rPr>
              <w:t>（m/s）</w:t>
            </w:r>
          </w:p>
        </w:tc>
        <w:tc>
          <w:tcPr>
            <w:tcW w:w="1718"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0.3＜v</w:t>
            </w:r>
            <w:r>
              <w:rPr>
                <w:rFonts w:ascii="Times New Roman" w:hAnsi="Times New Roman" w:eastAsia="宋体"/>
                <w:b w:val="0"/>
                <w:sz w:val="24"/>
                <w:szCs w:val="21"/>
                <w:vertAlign w:val="subscript"/>
              </w:rPr>
              <w:t>a</w:t>
            </w:r>
            <w:r>
              <w:rPr>
                <w:rFonts w:ascii="Times New Roman" w:hAnsi="Times New Roman" w:eastAsia="宋体"/>
                <w:b w:val="0"/>
                <w:sz w:val="24"/>
                <w:szCs w:val="21"/>
              </w:rPr>
              <w:t>≤0.6</w:t>
            </w:r>
          </w:p>
        </w:tc>
        <w:tc>
          <w:tcPr>
            <w:tcW w:w="1705"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0.6＜v</w:t>
            </w:r>
            <w:r>
              <w:rPr>
                <w:rFonts w:ascii="Times New Roman" w:hAnsi="Times New Roman" w:eastAsia="宋体"/>
                <w:b w:val="0"/>
                <w:sz w:val="24"/>
                <w:szCs w:val="21"/>
                <w:vertAlign w:val="subscript"/>
              </w:rPr>
              <w:t>a</w:t>
            </w:r>
            <w:r>
              <w:rPr>
                <w:rFonts w:ascii="Times New Roman" w:hAnsi="Times New Roman" w:eastAsia="宋体"/>
                <w:b w:val="0"/>
                <w:sz w:val="24"/>
                <w:szCs w:val="21"/>
              </w:rPr>
              <w:t>≤0.9</w:t>
            </w:r>
          </w:p>
        </w:tc>
        <w:tc>
          <w:tcPr>
            <w:tcW w:w="1595"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0.9＜v</w:t>
            </w:r>
            <w:r>
              <w:rPr>
                <w:rFonts w:ascii="Times New Roman" w:hAnsi="Times New Roman" w:eastAsia="宋体"/>
                <w:b w:val="0"/>
                <w:sz w:val="24"/>
                <w:szCs w:val="21"/>
                <w:vertAlign w:val="subscript"/>
              </w:rPr>
              <w:t>a</w:t>
            </w:r>
            <w:r>
              <w:rPr>
                <w:rFonts w:ascii="Times New Roman" w:hAnsi="Times New Roman" w:eastAsia="宋体"/>
                <w:b w:val="0"/>
                <w:sz w:val="24"/>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舒适温度上限提高幅度Δt（℃）</w:t>
            </w:r>
          </w:p>
        </w:tc>
        <w:tc>
          <w:tcPr>
            <w:tcW w:w="1718"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1.2</w:t>
            </w:r>
          </w:p>
        </w:tc>
        <w:tc>
          <w:tcPr>
            <w:tcW w:w="1705"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1.8</w:t>
            </w:r>
          </w:p>
        </w:tc>
        <w:tc>
          <w:tcPr>
            <w:tcW w:w="1595" w:type="dxa"/>
            <w:shd w:val="clear" w:color="auto" w:fill="auto"/>
            <w:vAlign w:val="center"/>
          </w:tcPr>
          <w:p>
            <w:pPr>
              <w:pStyle w:val="90"/>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jc w:val="center"/>
              <w:textAlignment w:val="auto"/>
              <w:outlineLvl w:val="9"/>
              <w:rPr>
                <w:rFonts w:ascii="Times New Roman" w:hAnsi="Times New Roman" w:eastAsia="宋体"/>
                <w:b w:val="0"/>
                <w:sz w:val="24"/>
                <w:szCs w:val="21"/>
              </w:rPr>
            </w:pPr>
            <w:r>
              <w:rPr>
                <w:rFonts w:ascii="Times New Roman" w:hAnsi="Times New Roman" w:eastAsia="宋体"/>
                <w:b w:val="0"/>
                <w:sz w:val="24"/>
                <w:szCs w:val="21"/>
              </w:rPr>
              <w:t>2.2</w:t>
            </w:r>
          </w:p>
        </w:tc>
      </w:tr>
    </w:tbl>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sz w:val="24"/>
        </w:rPr>
      </w:pPr>
      <w:r>
        <w:rPr>
          <w:rFonts w:hint="eastAsia" w:ascii="Times New Roman" w:hAnsi="Times New Roman"/>
          <w:sz w:val="24"/>
          <w:szCs w:val="24"/>
        </w:rPr>
        <w:t>例如，当室外月平均温度为</w:t>
      </w:r>
      <w:r>
        <w:rPr>
          <w:rFonts w:ascii="Times New Roman" w:hAnsi="Times New Roman"/>
          <w:sz w:val="24"/>
          <w:szCs w:val="24"/>
        </w:rPr>
        <w:t>20</w:t>
      </w:r>
      <w:r>
        <w:rPr>
          <w:rFonts w:hint="eastAsia" w:ascii="Times New Roman" w:hAnsi="Times New Roman"/>
          <w:sz w:val="24"/>
          <w:szCs w:val="24"/>
        </w:rPr>
        <w:t>℃且</w:t>
      </w:r>
      <w:r>
        <w:rPr>
          <w:rFonts w:ascii="Times New Roman" w:hAnsi="Times New Roman"/>
          <w:sz w:val="24"/>
          <w:szCs w:val="24"/>
        </w:rPr>
        <w:t>v</w:t>
      </w:r>
      <w:r>
        <w:rPr>
          <w:rFonts w:ascii="Times New Roman" w:hAnsi="Times New Roman"/>
          <w:sz w:val="24"/>
          <w:szCs w:val="24"/>
          <w:vertAlign w:val="subscript"/>
        </w:rPr>
        <w:t>a</w:t>
      </w:r>
      <w:r>
        <w:rPr>
          <w:rFonts w:hint="eastAsia" w:ascii="Times New Roman" w:hAnsi="Times New Roman"/>
          <w:sz w:val="24"/>
          <w:szCs w:val="24"/>
        </w:rPr>
        <w:t>≤0.3</w:t>
      </w:r>
      <w:r>
        <w:rPr>
          <w:rFonts w:ascii="Times New Roman" w:hAnsi="Times New Roman"/>
          <w:sz w:val="24"/>
          <w:szCs w:val="24"/>
        </w:rPr>
        <w:t>m/s</w:t>
      </w:r>
      <w:r>
        <w:rPr>
          <w:rFonts w:hint="eastAsia" w:ascii="Times New Roman" w:hAnsi="Times New Roman"/>
          <w:sz w:val="24"/>
          <w:szCs w:val="24"/>
        </w:rPr>
        <w:t>时</w:t>
      </w:r>
      <w:r>
        <w:rPr>
          <w:rFonts w:ascii="Times New Roman" w:hAnsi="Times New Roman"/>
          <w:sz w:val="24"/>
          <w:szCs w:val="24"/>
        </w:rPr>
        <w:t>，</w:t>
      </w:r>
      <w:r>
        <w:rPr>
          <w:rFonts w:hint="eastAsia" w:ascii="Times New Roman" w:hAnsi="Times New Roman"/>
          <w:sz w:val="24"/>
          <w:szCs w:val="24"/>
        </w:rPr>
        <w:t>室内舒适温度区间为</w:t>
      </w:r>
      <w:r>
        <w:rPr>
          <w:rFonts w:ascii="Times New Roman" w:hAnsi="Times New Roman"/>
          <w:sz w:val="24"/>
          <w:szCs w:val="24"/>
        </w:rPr>
        <w:t>20.5</w:t>
      </w:r>
      <w:r>
        <w:rPr>
          <w:rFonts w:hint="eastAsia" w:ascii="Times New Roman" w:hAnsi="Times New Roman"/>
          <w:sz w:val="24"/>
          <w:szCs w:val="24"/>
        </w:rPr>
        <w:t>℃~</w:t>
      </w:r>
      <w:r>
        <w:rPr>
          <w:rFonts w:ascii="Times New Roman" w:hAnsi="Times New Roman"/>
          <w:sz w:val="24"/>
          <w:szCs w:val="24"/>
        </w:rPr>
        <w:t>27.5</w:t>
      </w:r>
      <w:r>
        <w:rPr>
          <w:rFonts w:hint="eastAsia" w:ascii="Times New Roman" w:hAnsi="Times New Roman" w:cs="宋体"/>
          <w:sz w:val="24"/>
          <w:szCs w:val="24"/>
        </w:rPr>
        <w:t>℃，若</w:t>
      </w:r>
      <w:r>
        <w:rPr>
          <w:rFonts w:ascii="Times New Roman" w:hAnsi="Times New Roman" w:cs="宋体"/>
          <w:sz w:val="24"/>
          <w:szCs w:val="24"/>
        </w:rPr>
        <w:t>提高室内气流平均速度且</w:t>
      </w:r>
      <w:r>
        <w:rPr>
          <w:rFonts w:hint="eastAsia" w:ascii="Times New Roman" w:hAnsi="Times New Roman" w:cs="宋体"/>
          <w:sz w:val="24"/>
          <w:szCs w:val="24"/>
        </w:rPr>
        <w:t>0.</w:t>
      </w:r>
      <w:r>
        <w:rPr>
          <w:rFonts w:ascii="Times New Roman" w:hAnsi="Times New Roman" w:cs="宋体"/>
          <w:sz w:val="24"/>
          <w:szCs w:val="24"/>
        </w:rPr>
        <w:t>3m/s</w:t>
      </w:r>
      <w:r>
        <w:rPr>
          <w:rFonts w:hint="eastAsia" w:ascii="Times New Roman" w:hAnsi="Times New Roman" w:cs="宋体"/>
          <w:sz w:val="24"/>
          <w:szCs w:val="24"/>
        </w:rPr>
        <w:t>＜</w:t>
      </w:r>
      <w:r>
        <w:rPr>
          <w:rFonts w:ascii="Times New Roman" w:hAnsi="Times New Roman"/>
          <w:sz w:val="24"/>
          <w:szCs w:val="24"/>
        </w:rPr>
        <w:t>v</w:t>
      </w:r>
      <w:r>
        <w:rPr>
          <w:rFonts w:ascii="Times New Roman" w:hAnsi="Times New Roman"/>
          <w:sz w:val="24"/>
          <w:szCs w:val="24"/>
          <w:vertAlign w:val="subscript"/>
        </w:rPr>
        <w:t>a</w:t>
      </w:r>
      <w:r>
        <w:rPr>
          <w:rFonts w:hint="eastAsia" w:ascii="Times New Roman" w:hAnsi="Times New Roman"/>
          <w:sz w:val="24"/>
          <w:szCs w:val="24"/>
        </w:rPr>
        <w:t>≤0.</w:t>
      </w:r>
      <w:r>
        <w:rPr>
          <w:rFonts w:ascii="Times New Roman" w:hAnsi="Times New Roman"/>
          <w:sz w:val="24"/>
          <w:szCs w:val="24"/>
        </w:rPr>
        <w:t>6m/s</w:t>
      </w:r>
      <w:r>
        <w:rPr>
          <w:rFonts w:hint="eastAsia" w:ascii="Times New Roman" w:hAnsi="Times New Roman"/>
          <w:sz w:val="24"/>
          <w:szCs w:val="24"/>
        </w:rPr>
        <w:t>时</w:t>
      </w:r>
      <w:r>
        <w:rPr>
          <w:rFonts w:ascii="Times New Roman" w:hAnsi="Times New Roman"/>
          <w:sz w:val="24"/>
          <w:szCs w:val="24"/>
        </w:rPr>
        <w:t>，</w:t>
      </w:r>
      <w:r>
        <w:rPr>
          <w:rFonts w:hint="eastAsia" w:ascii="Times New Roman" w:hAnsi="Times New Roman"/>
          <w:sz w:val="24"/>
          <w:szCs w:val="24"/>
        </w:rPr>
        <w:t>舒适</w:t>
      </w:r>
      <w:r>
        <w:rPr>
          <w:rFonts w:ascii="Times New Roman" w:hAnsi="Times New Roman"/>
          <w:sz w:val="24"/>
          <w:szCs w:val="24"/>
        </w:rPr>
        <w:t>温度</w:t>
      </w:r>
      <w:r>
        <w:rPr>
          <w:rFonts w:hint="eastAsia" w:ascii="Times New Roman" w:hAnsi="Times New Roman"/>
          <w:sz w:val="24"/>
          <w:szCs w:val="24"/>
        </w:rPr>
        <w:t>上限</w:t>
      </w:r>
      <w:r>
        <w:rPr>
          <w:rFonts w:ascii="Times New Roman" w:hAnsi="Times New Roman"/>
          <w:sz w:val="24"/>
          <w:szCs w:val="24"/>
        </w:rPr>
        <w:t>可</w:t>
      </w:r>
      <w:r>
        <w:rPr>
          <w:rFonts w:hint="eastAsia" w:ascii="Times New Roman" w:hAnsi="Times New Roman"/>
          <w:sz w:val="24"/>
          <w:szCs w:val="24"/>
        </w:rPr>
        <w:t>提高1.2℃</w:t>
      </w:r>
      <w:r>
        <w:rPr>
          <w:rFonts w:ascii="Times New Roman" w:hAnsi="Times New Roman"/>
          <w:sz w:val="24"/>
          <w:szCs w:val="24"/>
        </w:rPr>
        <w:t>，</w:t>
      </w:r>
      <w:r>
        <w:rPr>
          <w:rFonts w:hint="eastAsia" w:ascii="Times New Roman" w:hAnsi="Times New Roman"/>
          <w:sz w:val="24"/>
          <w:szCs w:val="24"/>
        </w:rPr>
        <w:t>即</w:t>
      </w:r>
      <w:r>
        <w:rPr>
          <w:rFonts w:ascii="Times New Roman" w:hAnsi="Times New Roman"/>
          <w:sz w:val="24"/>
          <w:szCs w:val="24"/>
        </w:rPr>
        <w:t>室内</w:t>
      </w:r>
      <w:r>
        <w:rPr>
          <w:rFonts w:hint="eastAsia" w:ascii="Times New Roman" w:hAnsi="Times New Roman"/>
          <w:sz w:val="24"/>
          <w:szCs w:val="24"/>
        </w:rPr>
        <w:t>舒适</w:t>
      </w:r>
      <w:r>
        <w:rPr>
          <w:rFonts w:ascii="Times New Roman" w:hAnsi="Times New Roman"/>
          <w:sz w:val="24"/>
          <w:szCs w:val="24"/>
        </w:rPr>
        <w:t>温度</w:t>
      </w:r>
      <w:r>
        <w:rPr>
          <w:rFonts w:hint="eastAsia" w:ascii="Times New Roman" w:hAnsi="Times New Roman"/>
          <w:sz w:val="24"/>
          <w:szCs w:val="24"/>
        </w:rPr>
        <w:t>区间</w:t>
      </w:r>
      <w:r>
        <w:rPr>
          <w:rFonts w:ascii="Times New Roman" w:hAnsi="Times New Roman"/>
          <w:sz w:val="24"/>
          <w:szCs w:val="24"/>
        </w:rPr>
        <w:t>为</w:t>
      </w:r>
      <w:r>
        <w:rPr>
          <w:rFonts w:hint="eastAsia" w:ascii="Times New Roman" w:hAnsi="Times New Roman"/>
          <w:sz w:val="24"/>
          <w:szCs w:val="24"/>
        </w:rPr>
        <w:t>20</w:t>
      </w:r>
      <w:r>
        <w:rPr>
          <w:rFonts w:ascii="Times New Roman" w:hAnsi="Times New Roman"/>
          <w:sz w:val="24"/>
          <w:szCs w:val="24"/>
        </w:rPr>
        <w:t>.5-28.7</w:t>
      </w:r>
      <w:r>
        <w:rPr>
          <w:rFonts w:hint="eastAsia" w:ascii="Times New Roman" w:hAnsi="Times New Roman" w:cs="宋体"/>
          <w:sz w:val="24"/>
          <w:szCs w:val="24"/>
          <w:lang w:eastAsia="ja-JP"/>
        </w:rPr>
        <w:t>℃</w:t>
      </w:r>
      <w:r>
        <w:rPr>
          <w:rFonts w:ascii="Times New Roman" w:hAnsi="Times New Roman" w:cs="宋体"/>
          <w:sz w:val="24"/>
          <w:szCs w:val="24"/>
          <w:lang w:eastAsia="ja-JP"/>
        </w:rPr>
        <w:t>，</w:t>
      </w:r>
      <w:r>
        <w:rPr>
          <w:rFonts w:hint="eastAsia" w:ascii="Times New Roman" w:hAnsi="Times New Roman" w:cs="宋体"/>
          <w:sz w:val="24"/>
          <w:szCs w:val="24"/>
        </w:rPr>
        <w:t>若进一步提高室内</w:t>
      </w:r>
      <w:r>
        <w:rPr>
          <w:rFonts w:ascii="Times New Roman" w:hAnsi="Times New Roman" w:cs="宋体"/>
          <w:sz w:val="24"/>
          <w:szCs w:val="24"/>
        </w:rPr>
        <w:t>气流</w:t>
      </w:r>
      <w:r>
        <w:rPr>
          <w:rFonts w:hint="eastAsia" w:ascii="Times New Roman" w:hAnsi="Times New Roman" w:cs="宋体"/>
          <w:sz w:val="24"/>
          <w:szCs w:val="24"/>
        </w:rPr>
        <w:t>平均</w:t>
      </w:r>
      <w:r>
        <w:rPr>
          <w:rFonts w:ascii="Times New Roman" w:hAnsi="Times New Roman" w:cs="宋体"/>
          <w:sz w:val="24"/>
          <w:szCs w:val="24"/>
        </w:rPr>
        <w:t>速度</w:t>
      </w:r>
      <w:r>
        <w:rPr>
          <w:rFonts w:hint="eastAsia" w:ascii="Times New Roman" w:hAnsi="Times New Roman" w:cs="宋体"/>
          <w:sz w:val="24"/>
          <w:szCs w:val="24"/>
        </w:rPr>
        <w:t>且0.</w:t>
      </w:r>
      <w:r>
        <w:rPr>
          <w:rFonts w:ascii="Times New Roman" w:hAnsi="Times New Roman" w:cs="宋体"/>
          <w:sz w:val="24"/>
          <w:szCs w:val="24"/>
        </w:rPr>
        <w:t>6m/s</w:t>
      </w:r>
      <w:r>
        <w:rPr>
          <w:rFonts w:hint="eastAsia" w:ascii="Times New Roman" w:hAnsi="Times New Roman" w:cs="宋体"/>
          <w:sz w:val="24"/>
          <w:szCs w:val="24"/>
        </w:rPr>
        <w:t>＜</w:t>
      </w:r>
      <w:r>
        <w:rPr>
          <w:rFonts w:ascii="Times New Roman" w:hAnsi="Times New Roman"/>
          <w:sz w:val="24"/>
          <w:szCs w:val="24"/>
        </w:rPr>
        <w:t>v</w:t>
      </w:r>
      <w:r>
        <w:rPr>
          <w:rFonts w:ascii="Times New Roman" w:hAnsi="Times New Roman"/>
          <w:sz w:val="24"/>
          <w:szCs w:val="24"/>
          <w:vertAlign w:val="subscript"/>
        </w:rPr>
        <w:t>a</w:t>
      </w:r>
      <w:r>
        <w:rPr>
          <w:rFonts w:hint="eastAsia" w:ascii="Times New Roman" w:hAnsi="Times New Roman"/>
          <w:sz w:val="24"/>
          <w:szCs w:val="24"/>
        </w:rPr>
        <w:t>≤0.</w:t>
      </w:r>
      <w:r>
        <w:rPr>
          <w:rFonts w:ascii="Times New Roman" w:hAnsi="Times New Roman"/>
          <w:sz w:val="24"/>
          <w:szCs w:val="24"/>
        </w:rPr>
        <w:t>9m/s</w:t>
      </w:r>
      <w:r>
        <w:rPr>
          <w:rFonts w:hint="eastAsia" w:ascii="Times New Roman" w:hAnsi="Times New Roman"/>
          <w:sz w:val="24"/>
          <w:szCs w:val="24"/>
        </w:rPr>
        <w:t>时</w:t>
      </w:r>
      <w:r>
        <w:rPr>
          <w:rFonts w:ascii="Times New Roman" w:hAnsi="Times New Roman"/>
          <w:sz w:val="24"/>
          <w:szCs w:val="24"/>
        </w:rPr>
        <w:t>，</w:t>
      </w:r>
      <w:r>
        <w:rPr>
          <w:rFonts w:hint="eastAsia" w:ascii="Times New Roman" w:hAnsi="Times New Roman"/>
          <w:sz w:val="24"/>
          <w:szCs w:val="24"/>
        </w:rPr>
        <w:t>舒适</w:t>
      </w:r>
      <w:r>
        <w:rPr>
          <w:rFonts w:ascii="Times New Roman" w:hAnsi="Times New Roman"/>
          <w:sz w:val="24"/>
          <w:szCs w:val="24"/>
        </w:rPr>
        <w:t>温度</w:t>
      </w:r>
      <w:r>
        <w:rPr>
          <w:rFonts w:hint="eastAsia" w:ascii="Times New Roman" w:hAnsi="Times New Roman"/>
          <w:sz w:val="24"/>
          <w:szCs w:val="24"/>
        </w:rPr>
        <w:t>上限</w:t>
      </w:r>
      <w:r>
        <w:rPr>
          <w:rFonts w:ascii="Times New Roman" w:hAnsi="Times New Roman"/>
          <w:sz w:val="24"/>
          <w:szCs w:val="24"/>
        </w:rPr>
        <w:t>可</w:t>
      </w:r>
      <w:r>
        <w:rPr>
          <w:rFonts w:hint="eastAsia" w:ascii="Times New Roman" w:hAnsi="Times New Roman"/>
          <w:sz w:val="24"/>
          <w:szCs w:val="24"/>
        </w:rPr>
        <w:t>提高1.</w:t>
      </w:r>
      <w:r>
        <w:rPr>
          <w:rFonts w:ascii="Times New Roman" w:hAnsi="Times New Roman"/>
          <w:sz w:val="24"/>
          <w:szCs w:val="24"/>
        </w:rPr>
        <w:t>8</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即</w:t>
      </w:r>
      <w:r>
        <w:rPr>
          <w:rFonts w:ascii="Times New Roman" w:hAnsi="Times New Roman"/>
          <w:sz w:val="24"/>
          <w:szCs w:val="24"/>
        </w:rPr>
        <w:t>室内</w:t>
      </w:r>
      <w:r>
        <w:rPr>
          <w:rFonts w:hint="eastAsia" w:ascii="Times New Roman" w:hAnsi="Times New Roman"/>
          <w:sz w:val="24"/>
          <w:szCs w:val="24"/>
        </w:rPr>
        <w:t>舒适</w:t>
      </w:r>
      <w:r>
        <w:rPr>
          <w:rFonts w:ascii="Times New Roman" w:hAnsi="Times New Roman"/>
          <w:sz w:val="24"/>
          <w:szCs w:val="24"/>
        </w:rPr>
        <w:t>温度</w:t>
      </w:r>
      <w:r>
        <w:rPr>
          <w:rFonts w:hint="eastAsia" w:ascii="Times New Roman" w:hAnsi="Times New Roman"/>
          <w:sz w:val="24"/>
          <w:szCs w:val="24"/>
        </w:rPr>
        <w:t>区间</w:t>
      </w:r>
      <w:r>
        <w:rPr>
          <w:rFonts w:ascii="Times New Roman" w:hAnsi="Times New Roman"/>
          <w:sz w:val="24"/>
          <w:szCs w:val="24"/>
        </w:rPr>
        <w:t>为</w:t>
      </w:r>
      <w:r>
        <w:rPr>
          <w:rFonts w:hint="eastAsia" w:ascii="Times New Roman" w:hAnsi="Times New Roman"/>
          <w:sz w:val="24"/>
          <w:szCs w:val="24"/>
        </w:rPr>
        <w:t>20</w:t>
      </w:r>
      <w:r>
        <w:rPr>
          <w:rFonts w:ascii="Times New Roman" w:hAnsi="Times New Roman"/>
          <w:sz w:val="24"/>
          <w:szCs w:val="24"/>
        </w:rPr>
        <w:t>.5-29.3</w:t>
      </w:r>
      <w:r>
        <w:rPr>
          <w:rFonts w:hint="eastAsia" w:ascii="Times New Roman" w:hAnsi="Times New Roman" w:cs="宋体"/>
          <w:sz w:val="24"/>
          <w:szCs w:val="24"/>
          <w:lang w:eastAsia="ja-JP"/>
        </w:rPr>
        <w:t>℃</w:t>
      </w:r>
      <w:r>
        <w:rPr>
          <w:rFonts w:ascii="Times New Roman" w:hAnsi="Times New Roman" w:cs="宋体"/>
          <w:sz w:val="24"/>
          <w:szCs w:val="24"/>
          <w:lang w:eastAsia="ja-JP"/>
        </w:rPr>
        <w:t>，</w:t>
      </w:r>
      <w:r>
        <w:rPr>
          <w:rFonts w:hint="eastAsia" w:ascii="Times New Roman" w:hAnsi="Times New Roman" w:cs="宋体"/>
          <w:sz w:val="24"/>
          <w:szCs w:val="24"/>
        </w:rPr>
        <w:t>若再</w:t>
      </w:r>
      <w:r>
        <w:rPr>
          <w:rFonts w:ascii="Times New Roman" w:hAnsi="Times New Roman" w:cs="宋体"/>
          <w:sz w:val="24"/>
          <w:szCs w:val="24"/>
        </w:rPr>
        <w:t>提高</w:t>
      </w:r>
      <w:r>
        <w:rPr>
          <w:rFonts w:hint="eastAsia" w:ascii="Times New Roman" w:hAnsi="Times New Roman" w:cs="宋体"/>
          <w:sz w:val="24"/>
          <w:szCs w:val="24"/>
        </w:rPr>
        <w:t>室内</w:t>
      </w:r>
      <w:r>
        <w:rPr>
          <w:rFonts w:ascii="Times New Roman" w:hAnsi="Times New Roman" w:cs="宋体"/>
          <w:sz w:val="24"/>
          <w:szCs w:val="24"/>
        </w:rPr>
        <w:t>气流</w:t>
      </w:r>
      <w:r>
        <w:rPr>
          <w:rFonts w:hint="eastAsia" w:ascii="Times New Roman" w:hAnsi="Times New Roman" w:cs="宋体"/>
          <w:sz w:val="24"/>
          <w:szCs w:val="24"/>
        </w:rPr>
        <w:t>平均</w:t>
      </w:r>
      <w:r>
        <w:rPr>
          <w:rFonts w:ascii="Times New Roman" w:hAnsi="Times New Roman" w:cs="宋体"/>
          <w:sz w:val="24"/>
          <w:szCs w:val="24"/>
        </w:rPr>
        <w:t>速度</w:t>
      </w:r>
      <w:r>
        <w:rPr>
          <w:rFonts w:ascii="Times New Roman" w:hAnsi="Times New Roman"/>
          <w:sz w:val="24"/>
          <w:szCs w:val="24"/>
        </w:rPr>
        <w:t>v</w:t>
      </w:r>
      <w:r>
        <w:rPr>
          <w:rFonts w:ascii="Times New Roman" w:hAnsi="Times New Roman"/>
          <w:sz w:val="24"/>
          <w:szCs w:val="24"/>
          <w:vertAlign w:val="subscript"/>
        </w:rPr>
        <w:t>a</w:t>
      </w:r>
      <w:r>
        <w:rPr>
          <w:rFonts w:hint="eastAsia" w:ascii="Times New Roman" w:hAnsi="Times New Roman" w:cs="宋体"/>
          <w:sz w:val="24"/>
          <w:szCs w:val="24"/>
        </w:rPr>
        <w:t>且0.</w:t>
      </w:r>
      <w:r>
        <w:rPr>
          <w:rFonts w:ascii="Times New Roman" w:hAnsi="Times New Roman" w:cs="宋体"/>
          <w:sz w:val="24"/>
          <w:szCs w:val="24"/>
        </w:rPr>
        <w:t>9m/s</w:t>
      </w:r>
      <w:r>
        <w:rPr>
          <w:rFonts w:hint="eastAsia" w:ascii="Times New Roman" w:hAnsi="Times New Roman" w:cs="宋体"/>
          <w:sz w:val="24"/>
          <w:szCs w:val="24"/>
        </w:rPr>
        <w:t>＜</w:t>
      </w:r>
      <w:r>
        <w:rPr>
          <w:rFonts w:ascii="Times New Roman" w:hAnsi="Times New Roman"/>
          <w:sz w:val="24"/>
          <w:szCs w:val="24"/>
        </w:rPr>
        <w:t>v</w:t>
      </w:r>
      <w:r>
        <w:rPr>
          <w:rFonts w:ascii="Times New Roman" w:hAnsi="Times New Roman"/>
          <w:sz w:val="24"/>
          <w:szCs w:val="24"/>
          <w:vertAlign w:val="subscript"/>
        </w:rPr>
        <w:t>a</w:t>
      </w:r>
      <w:r>
        <w:rPr>
          <w:rFonts w:hint="eastAsia" w:ascii="Times New Roman" w:hAnsi="Times New Roman"/>
          <w:sz w:val="24"/>
          <w:szCs w:val="24"/>
        </w:rPr>
        <w:t>≤</w:t>
      </w:r>
      <w:r>
        <w:rPr>
          <w:rFonts w:ascii="Times New Roman" w:hAnsi="Times New Roman"/>
          <w:sz w:val="24"/>
          <w:szCs w:val="24"/>
        </w:rPr>
        <w:t>1.2m/s</w:t>
      </w:r>
      <w:r>
        <w:rPr>
          <w:rFonts w:hint="eastAsia" w:ascii="Times New Roman" w:hAnsi="Times New Roman"/>
          <w:sz w:val="24"/>
          <w:szCs w:val="24"/>
        </w:rPr>
        <w:t>时</w:t>
      </w:r>
      <w:r>
        <w:rPr>
          <w:rFonts w:ascii="Times New Roman" w:hAnsi="Times New Roman"/>
          <w:sz w:val="24"/>
          <w:szCs w:val="24"/>
        </w:rPr>
        <w:t>，</w:t>
      </w:r>
      <w:r>
        <w:rPr>
          <w:rFonts w:hint="eastAsia" w:ascii="Times New Roman" w:hAnsi="Times New Roman"/>
          <w:sz w:val="24"/>
          <w:szCs w:val="24"/>
        </w:rPr>
        <w:t>舒适</w:t>
      </w:r>
      <w:r>
        <w:rPr>
          <w:rFonts w:ascii="Times New Roman" w:hAnsi="Times New Roman"/>
          <w:sz w:val="24"/>
          <w:szCs w:val="24"/>
        </w:rPr>
        <w:t>温度</w:t>
      </w:r>
      <w:r>
        <w:rPr>
          <w:rFonts w:hint="eastAsia" w:ascii="Times New Roman" w:hAnsi="Times New Roman"/>
          <w:sz w:val="24"/>
          <w:szCs w:val="24"/>
        </w:rPr>
        <w:t>上限</w:t>
      </w:r>
      <w:r>
        <w:rPr>
          <w:rFonts w:ascii="Times New Roman" w:hAnsi="Times New Roman"/>
          <w:sz w:val="24"/>
          <w:szCs w:val="24"/>
        </w:rPr>
        <w:t>可</w:t>
      </w:r>
      <w:r>
        <w:rPr>
          <w:rFonts w:hint="eastAsia" w:ascii="Times New Roman" w:hAnsi="Times New Roman"/>
          <w:sz w:val="24"/>
          <w:szCs w:val="24"/>
        </w:rPr>
        <w:t>提高</w:t>
      </w:r>
      <w:r>
        <w:rPr>
          <w:rFonts w:ascii="Times New Roman" w:hAnsi="Times New Roman"/>
          <w:sz w:val="24"/>
          <w:szCs w:val="24"/>
        </w:rPr>
        <w:t>2.2</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即室内舒适</w:t>
      </w:r>
      <w:r>
        <w:rPr>
          <w:rFonts w:ascii="Times New Roman" w:hAnsi="Times New Roman"/>
          <w:sz w:val="24"/>
          <w:szCs w:val="24"/>
        </w:rPr>
        <w:t>温度</w:t>
      </w:r>
      <w:r>
        <w:rPr>
          <w:rFonts w:hint="eastAsia" w:ascii="Times New Roman" w:hAnsi="Times New Roman"/>
          <w:sz w:val="24"/>
          <w:szCs w:val="24"/>
        </w:rPr>
        <w:t>区间</w:t>
      </w:r>
      <w:r>
        <w:rPr>
          <w:rFonts w:ascii="Times New Roman" w:hAnsi="Times New Roman"/>
          <w:sz w:val="24"/>
          <w:szCs w:val="24"/>
        </w:rPr>
        <w:t>为</w:t>
      </w:r>
      <w:r>
        <w:rPr>
          <w:rFonts w:hint="eastAsia" w:ascii="Times New Roman" w:hAnsi="Times New Roman"/>
          <w:sz w:val="24"/>
          <w:szCs w:val="24"/>
        </w:rPr>
        <w:t>20</w:t>
      </w:r>
      <w:r>
        <w:rPr>
          <w:rFonts w:ascii="Times New Roman" w:hAnsi="Times New Roman"/>
          <w:sz w:val="24"/>
          <w:szCs w:val="24"/>
        </w:rPr>
        <w:t>.5-29.</w:t>
      </w:r>
      <w:r>
        <w:rPr>
          <w:rFonts w:hint="eastAsia" w:ascii="Times New Roman" w:hAnsi="Times New Roman"/>
          <w:sz w:val="24"/>
          <w:szCs w:val="24"/>
          <w:lang w:val="en-US" w:eastAsia="zh-CN"/>
        </w:rPr>
        <w:t>7</w:t>
      </w:r>
      <w:r>
        <w:rPr>
          <w:rFonts w:hint="eastAsia" w:ascii="Times New Roman" w:hAnsi="Times New Roman" w:cs="宋体"/>
          <w:sz w:val="24"/>
          <w:szCs w:val="24"/>
          <w:lang w:eastAsia="ja-JP"/>
        </w:rPr>
        <w:t>℃</w:t>
      </w:r>
      <w:r>
        <w:rPr>
          <w:rFonts w:hint="eastAsia" w:ascii="Times New Roman" w:hAnsi="Times New Roman" w:cs="宋体"/>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eastAsia" w:ascii="Times New Roman" w:hAnsi="Times New Roman" w:eastAsia="宋体" w:cs="Times New Roman"/>
          <w:sz w:val="24"/>
          <w:szCs w:val="24"/>
          <w:lang w:eastAsia="zh-CN"/>
        </w:rPr>
      </w:pPr>
      <w:r>
        <w:rPr>
          <w:rFonts w:ascii="Times New Roman" w:hAnsi="Times New Roman" w:cs="Times New Roman"/>
          <w:sz w:val="24"/>
          <w:szCs w:val="24"/>
        </w:rPr>
        <w:t>第2款，</w:t>
      </w:r>
      <w:r>
        <w:rPr>
          <w:rFonts w:hint="eastAsia" w:ascii="Times New Roman" w:hAnsi="Times New Roman" w:cs="Times New Roman"/>
          <w:sz w:val="24"/>
          <w:szCs w:val="24"/>
        </w:rPr>
        <w:t>以建筑物内主要功能房间或区域为对象，以达标面积比例为评价依据。人工冷热源热湿环境整体评价指标应包括预计平均热感觉指标（P</w:t>
      </w:r>
      <w:r>
        <w:rPr>
          <w:rFonts w:ascii="Times New Roman" w:hAnsi="Times New Roman" w:cs="Times New Roman"/>
          <w:sz w:val="24"/>
          <w:szCs w:val="24"/>
        </w:rPr>
        <w:t>MV</w:t>
      </w:r>
      <w:r>
        <w:rPr>
          <w:rFonts w:hint="eastAsia" w:ascii="Times New Roman" w:hAnsi="Times New Roman" w:cs="Times New Roman"/>
          <w:sz w:val="24"/>
          <w:szCs w:val="24"/>
        </w:rPr>
        <w:t>）和预计不满意者的百分数（P</w:t>
      </w:r>
      <w:r>
        <w:rPr>
          <w:rFonts w:ascii="Times New Roman" w:hAnsi="Times New Roman" w:cs="Times New Roman"/>
          <w:sz w:val="24"/>
          <w:szCs w:val="24"/>
        </w:rPr>
        <w:t>PD</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eastAsia="宋体" w:cs="Times New Roman"/>
          <w:sz w:val="24"/>
          <w:szCs w:val="24"/>
          <w:lang w:val="en-US" w:eastAsia="zh-CN"/>
        </w:rPr>
      </w:pPr>
      <w:r>
        <w:rPr>
          <w:rFonts w:ascii="Times New Roman" w:hAnsi="Times New Roman" w:cs="Times New Roman"/>
          <w:sz w:val="24"/>
          <w:szCs w:val="24"/>
        </w:rPr>
        <w:t>对于公共建筑，</w:t>
      </w:r>
      <w:r>
        <w:rPr>
          <w:rFonts w:hint="eastAsia" w:ascii="Times New Roman" w:hAnsi="Times New Roman" w:cs="Times New Roman"/>
          <w:sz w:val="24"/>
          <w:szCs w:val="24"/>
          <w:lang w:val="en-US" w:eastAsia="zh-CN"/>
        </w:rPr>
        <w:t>要求以标准层为基础，</w:t>
      </w:r>
      <w:r>
        <w:rPr>
          <w:rFonts w:ascii="Times New Roman" w:hAnsi="Times New Roman" w:cs="Times New Roman"/>
          <w:sz w:val="24"/>
          <w:szCs w:val="24"/>
        </w:rPr>
        <w:t>各类房间抽样数量不少于该类功能房间总数的2%且</w:t>
      </w:r>
      <w:r>
        <w:rPr>
          <w:rFonts w:hint="eastAsia" w:ascii="Times New Roman" w:hAnsi="Times New Roman" w:cs="Times New Roman"/>
          <w:sz w:val="24"/>
          <w:szCs w:val="24"/>
        </w:rPr>
        <w:t>每</w:t>
      </w:r>
      <w:r>
        <w:rPr>
          <w:rFonts w:ascii="Times New Roman" w:hAnsi="Times New Roman" w:cs="Times New Roman"/>
          <w:sz w:val="24"/>
          <w:szCs w:val="24"/>
        </w:rPr>
        <w:t>类房间抽样数量不少于</w:t>
      </w:r>
      <w:r>
        <w:rPr>
          <w:rFonts w:hint="eastAsia" w:ascii="Times New Roman" w:hAnsi="Times New Roman" w:cs="Times New Roman"/>
          <w:sz w:val="24"/>
          <w:szCs w:val="24"/>
        </w:rPr>
        <w:t>3间，</w:t>
      </w:r>
      <w:r>
        <w:rPr>
          <w:rFonts w:ascii="Times New Roman" w:hAnsi="Times New Roman" w:cs="Times New Roman"/>
          <w:sz w:val="24"/>
          <w:szCs w:val="24"/>
        </w:rPr>
        <w:t>前厅、接待台类功能间可不少于1间；对于住宅建筑，要求抽样户数不少于总户数的2%，</w:t>
      </w:r>
      <w:r>
        <w:rPr>
          <w:rFonts w:hint="eastAsia" w:ascii="Times New Roman" w:hAnsi="Times New Roman" w:cs="Times New Roman"/>
          <w:sz w:val="24"/>
          <w:szCs w:val="24"/>
          <w:lang w:val="en-US" w:eastAsia="zh-CN"/>
        </w:rPr>
        <w:t>覆盖典型户型</w:t>
      </w:r>
      <w:r>
        <w:rPr>
          <w:rFonts w:ascii="Times New Roman" w:hAnsi="Times New Roman" w:cs="Times New Roman"/>
          <w:sz w:val="24"/>
          <w:szCs w:val="24"/>
        </w:rPr>
        <w:t>且每个单体建筑不少于3户</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同户型住宅，可抽检1户。</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当同一建筑有多种功能房间时，应对各种功能房间分别计算达标百分比，然后按照功能房间面积进行加权平均值计算得分。当建筑部分房间采用自然通风或复合通风，部分房间采用人工冷热源时，按照这两款分别评分后进行面积加权平均计算作为本条得分</w:t>
      </w:r>
      <w:r>
        <w:rPr>
          <w:rFonts w:hint="eastAsia" w:ascii="Times New Roman" w:hAnsi="Times New Roman" w:cs="Times New Roman"/>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sz w:val="24"/>
          <w:szCs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s="Times New Roman"/>
          <w:sz w:val="24"/>
          <w:szCs w:val="24"/>
        </w:rPr>
        <w:t>查阅竣工文件</w:t>
      </w:r>
      <w:r>
        <w:rPr>
          <w:rFonts w:hint="eastAsia" w:cs="Times New Roman"/>
          <w:sz w:val="24"/>
          <w:szCs w:val="24"/>
          <w:lang w:eastAsia="zh-CN"/>
        </w:rPr>
        <w:t>。</w:t>
      </w:r>
      <w:r>
        <w:rPr>
          <w:rFonts w:hint="eastAsia" w:cs="Times New Roman"/>
          <w:sz w:val="24"/>
          <w:szCs w:val="24"/>
          <w:lang w:val="en-US" w:eastAsia="zh-CN"/>
        </w:rPr>
        <w:t>本条</w:t>
      </w:r>
      <w:r>
        <w:rPr>
          <w:rFonts w:ascii="Times New Roman" w:hAnsi="Times New Roman" w:cs="Times New Roman"/>
          <w:sz w:val="24"/>
          <w:szCs w:val="24"/>
        </w:rPr>
        <w:t>应以基于实测数据的达标比例分析报告替代</w:t>
      </w:r>
      <w:r>
        <w:rPr>
          <w:rFonts w:hint="eastAsia" w:ascii="Times New Roman" w:hAnsi="Times New Roman" w:cs="Times New Roman"/>
          <w:sz w:val="24"/>
          <w:szCs w:val="24"/>
          <w:lang w:val="en-US" w:eastAsia="zh-CN"/>
        </w:rPr>
        <w:t>设计阶段</w:t>
      </w:r>
      <w:r>
        <w:rPr>
          <w:rFonts w:ascii="Times New Roman" w:hAnsi="Times New Roman" w:cs="Times New Roman"/>
          <w:sz w:val="24"/>
          <w:szCs w:val="24"/>
        </w:rPr>
        <w:t>各项预计达标比例计算分析报告</w:t>
      </w:r>
      <w:r>
        <w:rPr>
          <w:rFonts w:hint="eastAsia" w:ascii="Times New Roman" w:hAnsi="Times New Roman" w:cs="Times New Roman"/>
          <w:sz w:val="24"/>
          <w:szCs w:val="24"/>
        </w:rPr>
        <w:t>并附相关实测数据。第1款要求的实测数据主要是</w:t>
      </w:r>
      <w:r>
        <w:rPr>
          <w:rFonts w:ascii="Times New Roman" w:hAnsi="Times New Roman" w:cs="Times New Roman"/>
          <w:sz w:val="24"/>
          <w:szCs w:val="24"/>
        </w:rPr>
        <w:t>室内空气温度和气流速度实测值，室内温度实测应进行连续一年的监测，监测数据宜每10分钟记录一次，最大时间间隔不超过30分钟，室内气流平均速度采用室内运行典型工况下实测值</w:t>
      </w:r>
      <w:r>
        <w:rPr>
          <w:rFonts w:hint="eastAsia" w:ascii="Times New Roman" w:hAnsi="Times New Roman" w:cs="Times New Roman"/>
          <w:sz w:val="24"/>
          <w:szCs w:val="24"/>
        </w:rPr>
        <w:t>；</w:t>
      </w:r>
      <w:r>
        <w:rPr>
          <w:rFonts w:ascii="Times New Roman" w:hAnsi="Times New Roman" w:cs="Times New Roman"/>
          <w:sz w:val="24"/>
          <w:szCs w:val="24"/>
        </w:rPr>
        <w:t>对于室外温度，可采用气象数据或实际监测数据，其中，监测数据宜每小时记录一次。第</w:t>
      </w:r>
      <w:r>
        <w:rPr>
          <w:rFonts w:hint="eastAsia" w:ascii="Times New Roman" w:hAnsi="Times New Roman" w:cs="Times New Roman"/>
          <w:sz w:val="24"/>
          <w:szCs w:val="24"/>
        </w:rPr>
        <w:t>2款要求的实测数据主要是</w:t>
      </w:r>
      <w:r>
        <w:rPr>
          <w:rFonts w:ascii="Times New Roman" w:hAnsi="Times New Roman" w:cs="Times New Roman"/>
          <w:sz w:val="24"/>
          <w:szCs w:val="24"/>
        </w:rPr>
        <w:t>包括室内温度、湿度、气流速度和辐射温度的室内热湿环境实测值，室内温度和湿度应选择空调季和采暖季典型月份为期至少两周的连续测试，监测数据宜每10分钟记录一次，最大时间间隔不超过30分钟</w:t>
      </w:r>
      <w:r>
        <w:rPr>
          <w:rFonts w:hint="eastAsia" w:ascii="Times New Roman" w:hAnsi="Times New Roman" w:cs="Times New Roman"/>
          <w:sz w:val="24"/>
          <w:szCs w:val="24"/>
        </w:rPr>
        <w:t>；</w:t>
      </w:r>
      <w:r>
        <w:rPr>
          <w:rFonts w:ascii="Times New Roman" w:hAnsi="Times New Roman" w:cs="Times New Roman"/>
          <w:sz w:val="24"/>
          <w:szCs w:val="24"/>
        </w:rPr>
        <w:t>气流速度和辐射温度采用室内运行典型工况下实测值。</w:t>
      </w:r>
      <w:r>
        <w:rPr>
          <w:rFonts w:hint="eastAsia"/>
          <w:color w:val="000000" w:themeColor="text1"/>
          <w:sz w:val="24"/>
          <w:lang w:val="en-US" w:eastAsia="zh-CN"/>
          <w14:textFill>
            <w14:solidFill>
              <w14:schemeClr w14:val="tx1"/>
            </w14:solidFill>
          </w14:textFill>
        </w:rPr>
        <w:t>本条沿用了《绿色建筑评价标准》GB/T 50378-2019第5.2.9条的结果性评价要求。</w:t>
      </w:r>
    </w:p>
    <w:p>
      <w:pPr>
        <w:pStyle w:val="5"/>
        <w:shd w:val="clear"/>
        <w:rPr>
          <w:rFonts w:ascii="Times New Roman" w:hAnsi="Times New Roman" w:cs="Times New Roman"/>
          <w:sz w:val="24"/>
          <w:szCs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hint="eastAsia" w:cs="Times New Roman"/>
          <w:sz w:val="24"/>
          <w:szCs w:val="24"/>
          <w:lang w:val="en-US" w:eastAsia="zh-CN"/>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4.3.</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0</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cs="Times New Roman"/>
          <w:sz w:val="24"/>
          <w:szCs w:val="24"/>
          <w:lang w:val="en-US" w:eastAsia="zh-CN"/>
        </w:rPr>
        <w:t>本条所述的可调节遮阳设施包括活动外遮阳设施（含电致变色玻璃）、中置可调遮阳设施（中空玻璃夹层可调内遮阳）、固定外遮阳（含建筑自遮阳）加内部高反射率（全波段太阳辐射反射率大于0.50）可调节遮阳设施、可调内遮阳设施等。</w:t>
      </w:r>
    </w:p>
    <w:p>
      <w:pPr>
        <w:shd w:val="clear"/>
        <w:adjustRightInd/>
        <w:snapToGrid/>
        <w:spacing w:before="95" w:beforeLines="30" w:after="95" w:afterLines="30" w:line="312" w:lineRule="auto"/>
        <w:ind w:firstLine="480" w:firstLineChars="200"/>
        <w:rPr>
          <w:rFonts w:hint="eastAsia"/>
          <w:sz w:val="24"/>
          <w:lang w:val="en-US" w:eastAsia="zh-CN"/>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sz w:val="24"/>
          <w:lang w:val="en-US" w:eastAsia="zh-CN"/>
        </w:rPr>
        <w:t>第1款核查主要功能房间空调系统末端控制设施的落实情况，是否可正常运行；</w:t>
      </w:r>
    </w:p>
    <w:p>
      <w:pPr>
        <w:shd w:val="clear"/>
        <w:adjustRightInd/>
        <w:snapToGrid/>
        <w:spacing w:before="95" w:beforeLines="30" w:after="95" w:afterLines="30" w:line="312" w:lineRule="auto"/>
        <w:ind w:firstLine="480" w:firstLineChars="200"/>
        <w:rPr>
          <w:rFonts w:hint="eastAsia"/>
          <w:sz w:val="24"/>
          <w:lang w:val="en-US" w:eastAsia="zh-CN"/>
        </w:rPr>
      </w:pPr>
      <w:r>
        <w:rPr>
          <w:rFonts w:hint="eastAsia"/>
          <w:sz w:val="24"/>
          <w:lang w:val="en-US" w:eastAsia="zh-CN"/>
        </w:rPr>
        <w:t>第2款住宅建筑核查设计和现场面积落实情况；公共建筑核查主要功能房间的可开启外窗或幕墙设置数量，人员数量及工位布置方式，核查可达率；</w:t>
      </w:r>
    </w:p>
    <w:p>
      <w:pPr>
        <w:shd w:val="clear"/>
        <w:adjustRightInd/>
        <w:snapToGrid/>
        <w:spacing w:before="95" w:beforeLines="30" w:after="95" w:afterLines="30" w:line="312" w:lineRule="auto"/>
        <w:ind w:firstLine="480" w:firstLineChars="200"/>
        <w:rPr>
          <w:rFonts w:hint="eastAsia"/>
          <w:sz w:val="24"/>
          <w:lang w:val="en-US" w:eastAsia="zh-CN"/>
        </w:rPr>
      </w:pPr>
      <w:r>
        <w:rPr>
          <w:rFonts w:hint="eastAsia"/>
          <w:sz w:val="24"/>
          <w:lang w:val="en-US" w:eastAsia="zh-CN"/>
        </w:rPr>
        <w:t>第3款核查建筑的</w:t>
      </w:r>
      <w:r>
        <w:rPr>
          <w:rFonts w:hint="eastAsia" w:cs="Times New Roman"/>
          <w:sz w:val="24"/>
          <w:szCs w:val="24"/>
          <w:lang w:val="en-US" w:eastAsia="zh-CN"/>
        </w:rPr>
        <w:t>可调节遮阳设施</w:t>
      </w:r>
      <w:r>
        <w:rPr>
          <w:rFonts w:hint="eastAsia"/>
          <w:sz w:val="24"/>
          <w:lang w:val="en-US" w:eastAsia="zh-CN"/>
        </w:rPr>
        <w:t>落实情况，是否可正常调节。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sz w:val="24"/>
          <w:szCs w:val="24"/>
        </w:rPr>
      </w:pPr>
    </w:p>
    <w:p>
      <w:pPr>
        <w:shd w:val="clear"/>
        <w:adjustRightInd w:val="0"/>
        <w:snapToGrid w:val="0"/>
        <w:spacing w:before="93" w:beforeLines="30" w:after="93" w:afterLines="30" w:line="312" w:lineRule="auto"/>
        <w:jc w:val="center"/>
        <w:outlineLvl w:val="9"/>
        <w:rPr>
          <w:rFonts w:hint="default"/>
          <w:b w:val="0"/>
          <w:color w:val="000000" w:themeColor="text1"/>
          <w:sz w:val="24"/>
          <w14:textFill>
            <w14:solidFill>
              <w14:schemeClr w14:val="tx1"/>
            </w14:solidFill>
          </w14:textFill>
        </w:rPr>
      </w:pPr>
      <w:r>
        <w:rPr>
          <w:rFonts w:hint="default"/>
          <w:b w:val="0"/>
          <w:color w:val="000000" w:themeColor="text1"/>
          <w:sz w:val="24"/>
          <w14:textFill>
            <w14:solidFill>
              <w14:schemeClr w14:val="tx1"/>
            </w14:solidFill>
          </w14:textFill>
        </w:rPr>
        <w:t>Ⅲ 生活便利</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bCs/>
          <w:sz w:val="24"/>
          <w:szCs w:val="24"/>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val="0"/>
          <w:bCs w:val="0"/>
          <w:color w:val="000000" w:themeColor="text1"/>
          <w:sz w:val="24"/>
          <w:szCs w:val="24"/>
          <w14:textFill>
            <w14:solidFill>
              <w14:schemeClr w14:val="tx1"/>
            </w14:solidFill>
          </w14:textFill>
        </w:rPr>
        <w:t>　</w:t>
      </w:r>
      <w:r>
        <w:rPr>
          <w:rFonts w:hint="eastAsia" w:ascii="Times New Roman" w:hAnsi="Times New Roman" w:cs="Times New Roman"/>
          <w:bCs/>
          <w:sz w:val="24"/>
          <w:szCs w:val="24"/>
        </w:rPr>
        <w:t>本条</w:t>
      </w:r>
      <w:r>
        <w:rPr>
          <w:rFonts w:ascii="Times New Roman" w:hAnsi="Times New Roman" w:cs="Times New Roman"/>
          <w:bCs/>
          <w:sz w:val="24"/>
          <w:szCs w:val="24"/>
        </w:rPr>
        <w:t>明确了对公交站点</w:t>
      </w:r>
      <w:r>
        <w:rPr>
          <w:rFonts w:hint="eastAsia" w:ascii="Times New Roman" w:hAnsi="Times New Roman" w:cs="Times New Roman"/>
          <w:bCs/>
          <w:sz w:val="24"/>
          <w:szCs w:val="24"/>
        </w:rPr>
        <w:t>、</w:t>
      </w:r>
      <w:r>
        <w:rPr>
          <w:rFonts w:ascii="Times New Roman" w:hAnsi="Times New Roman" w:cs="Times New Roman"/>
          <w:bCs/>
          <w:sz w:val="24"/>
          <w:szCs w:val="24"/>
        </w:rPr>
        <w:t>轨道交通站点以及多条公交线路站点的评</w:t>
      </w:r>
      <w:r>
        <w:rPr>
          <w:rFonts w:hint="eastAsia" w:ascii="Times New Roman" w:hAnsi="Times New Roman" w:cs="Times New Roman"/>
          <w:bCs/>
          <w:sz w:val="24"/>
          <w:szCs w:val="24"/>
          <w:lang w:val="en-US" w:eastAsia="zh-CN"/>
        </w:rPr>
        <w:t>估</w:t>
      </w:r>
      <w:r>
        <w:rPr>
          <w:rFonts w:ascii="Times New Roman" w:hAnsi="Times New Roman" w:cs="Times New Roman"/>
          <w:bCs/>
          <w:sz w:val="24"/>
          <w:szCs w:val="24"/>
        </w:rPr>
        <w:t>得分。</w:t>
      </w:r>
      <w:r>
        <w:rPr>
          <w:rFonts w:ascii="Times New Roman" w:hAnsi="Times New Roman" w:cs="Times New Roman"/>
          <w:sz w:val="24"/>
          <w:szCs w:val="24"/>
        </w:rPr>
        <w:t>本条强调了以人步行到达公共交通站点（含轨道交通站点）不超过500m作为绿色建筑与公共交通站点设置的合理距离，明确了建筑使用者应具备利用公共交通出行的便利条件。在项目规划布局时，应充分考虑场地步行出入口与公共交通站点的有机联系，创造便捷的公共交通使用条件。当有些项目确因地处新建区</w:t>
      </w:r>
      <w:r>
        <w:rPr>
          <w:rFonts w:hint="eastAsia" w:ascii="Times New Roman" w:hAnsi="Times New Roman" w:cs="Times New Roman"/>
          <w:sz w:val="24"/>
          <w:szCs w:val="24"/>
          <w:lang w:val="en-US" w:eastAsia="zh-CN"/>
        </w:rPr>
        <w:t>或偏远村镇区</w:t>
      </w:r>
      <w:r>
        <w:rPr>
          <w:rFonts w:ascii="Times New Roman" w:hAnsi="Times New Roman" w:cs="Times New Roman"/>
          <w:sz w:val="24"/>
          <w:szCs w:val="24"/>
        </w:rPr>
        <w:t>暂时无法提供公共交通服务时，应配备专用接驳车联系公共交通站点，以方便建筑使用者利用公交出行。制定了专用接驳车服务实施方案并向社会或相关受众公示、能够提供定时定点接驳服务的建设项目，视为本条达标。</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s="Times New Roman"/>
          <w:bCs/>
          <w:sz w:val="24"/>
          <w:szCs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s="Times New Roman"/>
          <w:bCs/>
          <w:sz w:val="24"/>
          <w:szCs w:val="24"/>
        </w:rPr>
        <w:t>重点审核建设项目场地出入口与公交站点的实际距离</w:t>
      </w:r>
      <w:r>
        <w:rPr>
          <w:rFonts w:hint="eastAsia" w:ascii="Times New Roman" w:hAnsi="Times New Roman" w:cs="Times New Roman"/>
          <w:bCs/>
          <w:sz w:val="24"/>
          <w:szCs w:val="24"/>
        </w:rPr>
        <w:t>、</w:t>
      </w:r>
      <w:r>
        <w:rPr>
          <w:rFonts w:ascii="Times New Roman" w:hAnsi="Times New Roman" w:cs="Times New Roman"/>
          <w:bCs/>
          <w:sz w:val="24"/>
          <w:szCs w:val="24"/>
        </w:rPr>
        <w:t>公交线路的设置情况等相关证明材料</w:t>
      </w:r>
      <w:r>
        <w:rPr>
          <w:rFonts w:hint="eastAsia" w:cs="Times New Roman"/>
          <w:bCs/>
          <w:sz w:val="24"/>
          <w:szCs w:val="24"/>
          <w:lang w:eastAsia="zh-CN"/>
        </w:rPr>
        <w:t>、</w:t>
      </w:r>
      <w:r>
        <w:rPr>
          <w:rFonts w:hint="eastAsia" w:ascii="Times New Roman" w:hAnsi="Times New Roman" w:cs="Times New Roman"/>
          <w:bCs/>
          <w:sz w:val="24"/>
          <w:szCs w:val="24"/>
        </w:rPr>
        <w:t>公共交通站点的影像资料。</w:t>
      </w:r>
      <w:r>
        <w:rPr>
          <w:rFonts w:hint="eastAsia"/>
          <w:bCs/>
          <w:color w:val="auto"/>
          <w:sz w:val="24"/>
          <w:lang w:val="en-US" w:eastAsia="zh-CN"/>
        </w:rPr>
        <w:t>本条沿用了《绿色建筑评价标准》GB/T 50378-2019第6.2.1条的结果性评价要求。</w:t>
      </w:r>
    </w:p>
    <w:p>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20" w:firstLineChars="200"/>
        <w:textAlignment w:val="auto"/>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sz w:val="24"/>
          <w:szCs w:val="24"/>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第1款，建筑的道路、绿地、停车位、出入口、门厅、走廊、楼梯、电梯、厕所等建筑室内外公共区域均应方便老年人、行动不便者及儿童等人群的通行和使用，应按照现行国家标准《无障碍设计规范》GB 50763的规定配置无障碍设施并尽可能实现场内的城市街道</w:t>
      </w:r>
      <w:r>
        <w:rPr>
          <w:rFonts w:hint="eastAsia" w:ascii="Times New Roman" w:hAnsi="Times New Roman" w:cs="Times New Roman"/>
          <w:sz w:val="24"/>
          <w:szCs w:val="24"/>
        </w:rPr>
        <w:t>、</w:t>
      </w:r>
      <w:r>
        <w:rPr>
          <w:rFonts w:ascii="Times New Roman" w:hAnsi="Times New Roman" w:cs="Times New Roman"/>
          <w:sz w:val="24"/>
          <w:szCs w:val="24"/>
        </w:rPr>
        <w:t>室外活动场所</w:t>
      </w:r>
      <w:r>
        <w:rPr>
          <w:rFonts w:hint="eastAsia" w:ascii="Times New Roman" w:hAnsi="Times New Roman" w:cs="Times New Roman"/>
          <w:sz w:val="24"/>
          <w:szCs w:val="24"/>
        </w:rPr>
        <w:t>、</w:t>
      </w:r>
      <w:r>
        <w:rPr>
          <w:rFonts w:ascii="Times New Roman" w:hAnsi="Times New Roman" w:cs="Times New Roman"/>
          <w:sz w:val="24"/>
          <w:szCs w:val="24"/>
        </w:rPr>
        <w:t>停车场所</w:t>
      </w:r>
      <w:r>
        <w:rPr>
          <w:rFonts w:hint="eastAsia" w:ascii="Times New Roman" w:hAnsi="Times New Roman" w:cs="Times New Roman"/>
          <w:sz w:val="24"/>
          <w:szCs w:val="24"/>
        </w:rPr>
        <w:t>、</w:t>
      </w:r>
      <w:r>
        <w:rPr>
          <w:rFonts w:ascii="Times New Roman" w:hAnsi="Times New Roman" w:cs="Times New Roman"/>
          <w:sz w:val="24"/>
          <w:szCs w:val="24"/>
        </w:rPr>
        <w:t>各类建筑出入口和公共交通站点之间等步行系统的无障碍联通。</w:t>
      </w:r>
      <w:r>
        <w:rPr>
          <w:rFonts w:hint="eastAsia" w:ascii="Times New Roman" w:hAnsi="Times New Roman" w:cs="Times New Roman"/>
          <w:sz w:val="24"/>
          <w:szCs w:val="24"/>
        </w:rPr>
        <w:t>无障碍设计应符合现行《建筑与市政工程无障碍通用规范》</w:t>
      </w:r>
      <w:r>
        <w:rPr>
          <w:rFonts w:hint="eastAsia" w:cs="Times New Roman"/>
          <w:sz w:val="24"/>
          <w:szCs w:val="24"/>
          <w:lang w:val="en-US" w:eastAsia="zh-CN"/>
        </w:rPr>
        <w:t>GB 55019</w:t>
      </w:r>
      <w:r>
        <w:rPr>
          <w:rFonts w:hint="eastAsia" w:ascii="Times New Roman" w:hAnsi="Times New Roman" w:cs="Times New Roman"/>
          <w:sz w:val="24"/>
          <w:szCs w:val="24"/>
        </w:rPr>
        <w:t>的规定。</w:t>
      </w:r>
      <w:r>
        <w:rPr>
          <w:rFonts w:hint="eastAsia"/>
          <w:color w:val="auto"/>
          <w:sz w:val="24"/>
        </w:rPr>
        <w:t>无障碍步行系统应保障不同人群的不同需求</w:t>
      </w:r>
      <w:r>
        <w:rPr>
          <w:rFonts w:hint="eastAsia"/>
          <w:color w:val="auto"/>
          <w:sz w:val="24"/>
          <w:lang w:eastAsia="zh-CN"/>
        </w:rPr>
        <w:t>。</w:t>
      </w:r>
      <w:r>
        <w:rPr>
          <w:rFonts w:hint="eastAsia"/>
          <w:color w:val="auto"/>
          <w:sz w:val="24"/>
        </w:rPr>
        <w:t>在道路交叉口、公交站台处设置音响提示以及警示信号等标识。</w:t>
      </w:r>
      <w:r>
        <w:rPr>
          <w:rFonts w:ascii="Times New Roman" w:hAnsi="Times New Roman" w:cs="Times New Roman"/>
          <w:sz w:val="24"/>
          <w:szCs w:val="24"/>
        </w:rPr>
        <w:t>无障碍系统应保持连续性</w:t>
      </w:r>
      <w:r>
        <w:rPr>
          <w:rFonts w:hint="eastAsia" w:ascii="Times New Roman" w:hAnsi="Times New Roman" w:cs="Times New Roman"/>
          <w:sz w:val="24"/>
          <w:szCs w:val="24"/>
        </w:rPr>
        <w:t>，</w:t>
      </w:r>
      <w:r>
        <w:rPr>
          <w:rFonts w:ascii="Times New Roman" w:hAnsi="Times New Roman" w:cs="Times New Roman"/>
          <w:sz w:val="24"/>
          <w:szCs w:val="24"/>
        </w:rPr>
        <w:t>如建筑场地的无障碍步行道应连续铺设，不同材质的无障碍步行道交接处应避免产生高差，所有存在高差的地方均应设置坡道并应与建筑场地外无障碍系统连贯连接。住宅建筑内的电梯不应平层错位。建筑室内有高差的地方，也应设置坡道方便轮椅上下。</w:t>
      </w:r>
      <w:r>
        <w:rPr>
          <w:rFonts w:hint="eastAsia"/>
          <w:color w:val="auto"/>
          <w:sz w:val="24"/>
          <w:lang w:val="en-US" w:eastAsia="zh-CN"/>
        </w:rPr>
        <w:t>室内家具布置应满足轮椅转弯半径的需求。住宅设计中卫生间及厨房应考虑防滑措施，在重要位置设置安全扶手。</w:t>
      </w:r>
    </w:p>
    <w:p>
      <w:pPr>
        <w:shd w:val="clear"/>
        <w:adjustRightInd w:val="0"/>
        <w:snapToGrid w:val="0"/>
        <w:spacing w:before="93" w:beforeLines="30" w:after="93" w:afterLines="30" w:line="312" w:lineRule="auto"/>
        <w:ind w:firstLine="480" w:firstLineChars="200"/>
        <w:rPr>
          <w:rFonts w:hint="default" w:ascii="Times New Roman" w:hAnsi="Times New Roman"/>
          <w:color w:val="000000" w:themeColor="text1"/>
          <w:sz w:val="24"/>
          <w14:textFill>
            <w14:solidFill>
              <w14:schemeClr w14:val="tx1"/>
            </w14:solidFill>
          </w14:textFill>
        </w:rPr>
      </w:pPr>
      <w:r>
        <w:rPr>
          <w:rFonts w:ascii="Times New Roman" w:hAnsi="Times New Roman" w:cs="Times New Roman"/>
          <w:sz w:val="24"/>
          <w:szCs w:val="24"/>
        </w:rPr>
        <w:t>第2款，</w:t>
      </w:r>
      <w:r>
        <w:rPr>
          <w:rFonts w:ascii="Times New Roman" w:hAnsi="Times New Roman"/>
          <w:color w:val="000000" w:themeColor="text1"/>
          <w:sz w:val="24"/>
          <w14:textFill>
            <w14:solidFill>
              <w14:schemeClr w14:val="tx1"/>
            </w14:solidFill>
          </w14:textFill>
        </w:rPr>
        <w:t>明确了无障碍汽车停车位的要求，表</w:t>
      </w:r>
      <w:r>
        <w:rPr>
          <w:rFonts w:hint="eastAsia"/>
          <w:color w:val="000000" w:themeColor="text1"/>
          <w:sz w:val="24"/>
          <w:lang w:val="en-US" w:eastAsia="zh-CN"/>
          <w14:textFill>
            <w14:solidFill>
              <w14:schemeClr w14:val="tx1"/>
            </w14:solidFill>
          </w14:textFill>
        </w:rPr>
        <w:t>4-</w:t>
      </w:r>
      <w:r>
        <w:rPr>
          <w:rFonts w:hint="eastAsia" w:ascii="Times New Roman" w:hAnsi="Times New Roman"/>
          <w:color w:val="000000" w:themeColor="text1"/>
          <w:sz w:val="24"/>
          <w:lang w:val="en-US" w:eastAsia="zh-CN"/>
          <w14:textFill>
            <w14:solidFill>
              <w14:schemeClr w14:val="tx1"/>
            </w14:solidFill>
          </w14:textFill>
        </w:rPr>
        <w:t>5</w:t>
      </w:r>
      <w:r>
        <w:rPr>
          <w:rFonts w:ascii="Times New Roman" w:hAnsi="Times New Roman"/>
          <w:color w:val="000000" w:themeColor="text1"/>
          <w:sz w:val="24"/>
          <w14:textFill>
            <w14:solidFill>
              <w14:schemeClr w14:val="tx1"/>
            </w14:solidFill>
          </w14:textFill>
        </w:rPr>
        <w:t>汇总了国家标准《无障碍设计规范》GB 50763-2012对设置无障碍机动车停车位的规定。</w:t>
      </w:r>
    </w:p>
    <w:p>
      <w:pPr>
        <w:shd w:val="clear"/>
        <w:spacing w:line="360" w:lineRule="auto"/>
        <w:ind w:firstLine="480" w:firstLineChars="200"/>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表</w:t>
      </w:r>
      <w:r>
        <w:rPr>
          <w:rFonts w:hint="eastAsia"/>
          <w:color w:val="000000" w:themeColor="text1"/>
          <w:sz w:val="24"/>
          <w:lang w:val="en-US" w:eastAsia="zh-CN"/>
          <w14:textFill>
            <w14:solidFill>
              <w14:schemeClr w14:val="tx1"/>
            </w14:solidFill>
          </w14:textFill>
        </w:rPr>
        <w:t>4-5</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无障碍停车位要求</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hd w:val="clear"/>
              <w:spacing w:line="360" w:lineRule="auto"/>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建筑类型</w:t>
            </w:r>
          </w:p>
        </w:tc>
        <w:tc>
          <w:tcPr>
            <w:tcW w:w="6889" w:type="dxa"/>
            <w:vAlign w:val="center"/>
          </w:tcPr>
          <w:p>
            <w:pPr>
              <w:shd w:val="clear"/>
              <w:spacing w:line="276" w:lineRule="auto"/>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hd w:val="clear"/>
              <w:spacing w:line="360" w:lineRule="auto"/>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居住区、居住建筑</w:t>
            </w:r>
          </w:p>
        </w:tc>
        <w:tc>
          <w:tcPr>
            <w:tcW w:w="6889" w:type="dxa"/>
            <w:vAlign w:val="center"/>
          </w:tcPr>
          <w:p>
            <w:pPr>
              <w:shd w:val="clear"/>
              <w:spacing w:line="276" w:lineRule="auto"/>
              <w:jc w:val="left"/>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居住区停车场和车库的总停车位应设置不少于0.5%的无障碍机动车停车位</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若设有多个停车场和车库，宜每处设置不少于1个无障碍机动车停车位；</w:t>
            </w:r>
          </w:p>
          <w:p>
            <w:pPr>
              <w:shd w:val="clear"/>
              <w:spacing w:line="276" w:lineRule="auto"/>
              <w:jc w:val="left"/>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地面停车场的无障碍机动车停车位宜靠近停车场的出</w:t>
            </w:r>
            <w:r>
              <w:rPr>
                <w:rFonts w:hint="eastAsia"/>
                <w:color w:val="000000" w:themeColor="text1"/>
                <w:sz w:val="24"/>
                <w:lang w:val="en-US" w:eastAsia="zh-CN"/>
                <w14:textFill>
                  <w14:solidFill>
                    <w14:schemeClr w14:val="tx1"/>
                  </w14:solidFill>
                </w14:textFill>
              </w:rPr>
              <w:t>入</w:t>
            </w:r>
            <w:r>
              <w:rPr>
                <w:color w:val="000000" w:themeColor="text1"/>
                <w:sz w:val="24"/>
                <w14:textFill>
                  <w14:solidFill>
                    <w14:schemeClr w14:val="tx1"/>
                  </w14:solidFill>
                </w14:textFill>
              </w:rPr>
              <w:t>口设置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hd w:val="clear"/>
              <w:spacing w:line="360" w:lineRule="auto"/>
              <w:jc w:val="center"/>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公共建筑</w:t>
            </w:r>
          </w:p>
        </w:tc>
        <w:tc>
          <w:tcPr>
            <w:tcW w:w="6889" w:type="dxa"/>
            <w:vAlign w:val="center"/>
          </w:tcPr>
          <w:p>
            <w:pPr>
              <w:shd w:val="clear"/>
              <w:spacing w:line="276" w:lineRule="auto"/>
              <w:jc w:val="left"/>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建筑基地内总停车数在100以下时应设置不少于1个无障碍机动车停车位，100辆以上时应设置不少于总停车数1%的无障碍机动车停车位</w:t>
            </w:r>
          </w:p>
        </w:tc>
      </w:tr>
    </w:tbl>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第3款，本款参考现行《无障碍设计规范》GB 50763、《住宅设计规范》GB 50096及《健康建筑评价标准》T/ASC 02的相关要求。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s="Times New Roman"/>
          <w:sz w:val="24"/>
          <w:szCs w:val="24"/>
          <w:lang w:val="en-US" w:eastAsia="zh-CN"/>
        </w:rPr>
        <w:t>查阅</w:t>
      </w:r>
      <w:r>
        <w:rPr>
          <w:rFonts w:ascii="Times New Roman" w:hAnsi="Times New Roman" w:cs="Times New Roman"/>
          <w:sz w:val="24"/>
          <w:szCs w:val="24"/>
        </w:rPr>
        <w:t>竣工文件</w:t>
      </w:r>
      <w:r>
        <w:rPr>
          <w:rFonts w:hint="eastAsia" w:ascii="Times New Roman" w:hAnsi="Times New Roman" w:cs="Times New Roman"/>
          <w:sz w:val="24"/>
          <w:szCs w:val="24"/>
        </w:rPr>
        <w:t>，第3款还查阅</w:t>
      </w:r>
      <w:r>
        <w:rPr>
          <w:rFonts w:ascii="Times New Roman" w:hAnsi="Times New Roman" w:cs="Times New Roman"/>
          <w:sz w:val="24"/>
          <w:szCs w:val="24"/>
        </w:rPr>
        <w:t>电梯产品说明书</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现场核查。</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6.2.2条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ascii="Times New Roman" w:hAnsi="Times New Roman" w:cs="Times New Roman"/>
          <w:sz w:val="24"/>
          <w:szCs w:val="24"/>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第1款针对住宅建筑。本款与现行国家标准《城市居住区规划设计标准》GB 50180进行了对接，居住区的配套设施是指对应居住区分级配套规划建设并与居住人口规模或住宅建筑面积规模相匹配的生活服务设施；主要包括公共管理与公共服务设施、商业服务业设施、市政公用设施、交通场站及社区服务设施、便民服务设施。本款选取了居民使用频率较高或对便利性要求较高的配套设施进行评价，突出步行可达的便利性设计原则。本次修订特别增加了医院、各类群众文化活动设施、老年人日间照料中心等公共服务设施的评价内容，强化了对公共服务水平的评价。其中医院含卫生服务中心、社区医院，群众文化活动设施含文化馆、文化宫、文化活动中心、老年人或儿童活动中心等。对于本款第</w:t>
      </w:r>
      <w:r>
        <w:rPr>
          <w:rFonts w:hint="eastAsia" w:ascii="Times New Roman" w:hAnsi="Times New Roman" w:cs="Times New Roman"/>
          <w:sz w:val="24"/>
          <w:szCs w:val="24"/>
        </w:rPr>
        <w:t>7项的商业服务设施，</w:t>
      </w:r>
      <w:r>
        <w:rPr>
          <w:rFonts w:ascii="Times New Roman" w:hAnsi="Times New Roman" w:cs="Times New Roman"/>
          <w:sz w:val="24"/>
          <w:szCs w:val="24"/>
        </w:rPr>
        <w:t>《城市居住区规划设计标准》GB 50180</w:t>
      </w:r>
      <w:r>
        <w:rPr>
          <w:rFonts w:hint="eastAsia" w:ascii="Times New Roman" w:hAnsi="Times New Roman" w:cs="Times New Roman"/>
          <w:sz w:val="24"/>
          <w:szCs w:val="24"/>
        </w:rPr>
        <w:t>-</w:t>
      </w:r>
      <w:r>
        <w:rPr>
          <w:rFonts w:ascii="Times New Roman" w:hAnsi="Times New Roman" w:cs="Times New Roman"/>
          <w:sz w:val="24"/>
          <w:szCs w:val="24"/>
        </w:rPr>
        <w:t>2018附录</w:t>
      </w:r>
      <w:r>
        <w:rPr>
          <w:rFonts w:hint="eastAsia" w:ascii="Times New Roman" w:hAnsi="Times New Roman" w:cs="Times New Roman"/>
          <w:sz w:val="24"/>
          <w:szCs w:val="24"/>
        </w:rPr>
        <w:t>B给出了商场、菜市场或生鲜超市、健身房、餐饮设施、银行营业网点、电信营业网点、邮政营业场所、其他等8项。</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第2款针对公共建筑。公共建筑兼容2种及以上主要公共服务功能是指主要服务功能在建筑内部混合布局，部分空间共享使用，如建筑中设有共用的会议设施、展览设施、健身设施、餐饮设施等以及交往空间、休息空间等空间，提供休息座位、家属室、母婴室、活动室等人员停留、沟通交流、聚集活动等与建筑主要使用功能相适应的公共空间。</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公共服务功能设施向社会开放共享的方式也具有多种形式，可以全时开放，也可根据自身使用情况错时开放。建筑向社会提供开放的公共空间和室外场地，既可增加公共活动空间提高各类设施和场地的使用效率，又可陶冶情操、增进社会交往。例如文化活动中心、图书馆、体育运动场、体育馆等，通过科学管理错时向社会公众开放；办公建筑的室外场地、或公共绿地、停车库等在非办公时间向周边居民开放，会议室等向社会开放，商业建筑的屋顶绿化或室外绿地在非营业时间提供给公众休憩等，鼓励或倡导公共建筑附属的开敞空间错时共享，尽可能提高使用效率，提高这些公共空间的社会贡献率。</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sz w:val="24"/>
          <w:szCs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s="Times New Roman"/>
          <w:sz w:val="24"/>
          <w:szCs w:val="24"/>
          <w:lang w:eastAsia="zh-CN"/>
        </w:rPr>
        <w:t>查阅</w:t>
      </w:r>
      <w:r>
        <w:rPr>
          <w:rFonts w:ascii="Times New Roman" w:hAnsi="Times New Roman" w:cs="Times New Roman"/>
          <w:sz w:val="24"/>
          <w:szCs w:val="24"/>
        </w:rPr>
        <w:t>竣工文件</w:t>
      </w:r>
      <w:r>
        <w:rPr>
          <w:rFonts w:hint="eastAsia" w:cs="Times New Roman"/>
          <w:sz w:val="24"/>
          <w:szCs w:val="24"/>
          <w:lang w:val="en-US" w:eastAsia="zh-CN"/>
        </w:rPr>
        <w:t>并现场核查</w:t>
      </w:r>
      <w:r>
        <w:rPr>
          <w:rFonts w:ascii="Times New Roman" w:hAnsi="Times New Roman" w:cs="Times New Roman"/>
          <w:sz w:val="24"/>
          <w:szCs w:val="24"/>
        </w:rPr>
        <w:t>。查阅设施向社会共享的管理办法、实施方案、使用说明、工作记录等。</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w:t>
      </w:r>
      <w:r>
        <w:rPr>
          <w:rFonts w:hint="eastAsia"/>
          <w:color w:val="000000" w:themeColor="text1"/>
          <w:sz w:val="24"/>
          <w:lang w:val="en-US" w:eastAsia="zh-CN"/>
          <w14:textFill>
            <w14:solidFill>
              <w14:schemeClr w14:val="tx1"/>
            </w14:solidFill>
          </w14:textFill>
        </w:rPr>
        <w:t>3</w:t>
      </w:r>
      <w:r>
        <w:rPr>
          <w:rFonts w:hint="eastAsia" w:ascii="Times New Roman" w:hAnsi="Times New Roman"/>
          <w:color w:val="000000" w:themeColor="text1"/>
          <w:sz w:val="24"/>
          <w:lang w:val="en-US" w:eastAsia="zh-CN"/>
          <w14:textFill>
            <w14:solidFill>
              <w14:schemeClr w14:val="tx1"/>
            </w14:solidFill>
          </w14:textFill>
        </w:rPr>
        <w:t>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rPr>
          <w:rFonts w:ascii="Times New Roman" w:hAnsi="Times New Roman"/>
          <w:b/>
          <w:bCs/>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24</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本条鼓励使用自行车等绿色环保的交通工具，绿色出行。自行车停车场所应规模适度、布局合理，符合使用者出行习惯。机动车停车应符合所在地控制性详细规划要求，地面停车位应按照国家和地方有关标准适度设置并科学管理、合理组织交通流线，不应对人行、活动场所产生干扰。</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电动自行车已逐渐成为城市出行的重要交通工具之一，为人民带来生活便利的同时也伴随着各种问题，如违反用电安全要求私拉电线和插座为电动自行车充电或者在建筑物门厅、公共走道、楼梯间等区域停放电动自行车等，因此，满足规范要求的电动车集中停车位、集中充电设施，能有效解决上述问题。</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查阅竣工文件并现场核查。</w:t>
      </w:r>
    </w:p>
    <w:p>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sz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9"/>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25</w:t>
      </w:r>
      <w:r>
        <w:rPr>
          <w:rFonts w:ascii="Times New Roman" w:hAnsi="Times New Roman" w:cs="Times New Roman"/>
          <w:b w:val="0"/>
          <w:bCs w:val="0"/>
          <w:color w:val="000000" w:themeColor="text1"/>
          <w:sz w:val="24"/>
          <w:szCs w:val="24"/>
          <w14:textFill>
            <w14:solidFill>
              <w14:schemeClr w14:val="tx1"/>
            </w14:solidFill>
          </w14:textFill>
        </w:rPr>
        <w:t>　</w:t>
      </w:r>
      <w:r>
        <w:rPr>
          <w:rFonts w:hint="eastAsia" w:ascii="Times New Roman" w:hAnsi="Times New Roman" w:cs="Times New Roman"/>
          <w:sz w:val="24"/>
          <w:szCs w:val="24"/>
        </w:rPr>
        <w:t>第1款，</w:t>
      </w:r>
      <w:r>
        <w:rPr>
          <w:rFonts w:ascii="Times New Roman" w:hAnsi="Times New Roman" w:cs="Times New Roman"/>
          <w:sz w:val="24"/>
          <w:szCs w:val="24"/>
        </w:rPr>
        <w:t>建筑以主要出入口步行300m即可到达任何1个城市公园绿地、城市广场即可得分，其中住宅建筑还包括居住区公园。居住区公园在国家标准《城市居住区规划设计标准》GB 50180-2018中有相应的要求，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第2款，到达1处中型多功能运动场地的步行距离不大于500m。依据国家标准《城市居住区规划设计标准》GB 50180-2018，中型多功能运动场地是指，用地面积在1310m</w:t>
      </w:r>
      <w:r>
        <w:rPr>
          <w:rFonts w:ascii="Times New Roman" w:hAnsi="Times New Roman" w:cs="Times New Roman"/>
          <w:sz w:val="24"/>
          <w:szCs w:val="24"/>
          <w:vertAlign w:val="superscript"/>
        </w:rPr>
        <w:t>2</w:t>
      </w:r>
      <w:r>
        <w:rPr>
          <w:rFonts w:ascii="Times New Roman" w:hAnsi="Times New Roman" w:cs="Times New Roman"/>
          <w:sz w:val="24"/>
          <w:szCs w:val="24"/>
        </w:rPr>
        <w:t>~2460m</w:t>
      </w:r>
      <w:r>
        <w:rPr>
          <w:rFonts w:ascii="Times New Roman" w:hAnsi="Times New Roman" w:cs="Times New Roman"/>
          <w:sz w:val="24"/>
          <w:szCs w:val="24"/>
          <w:vertAlign w:val="superscript"/>
        </w:rPr>
        <w:t>2</w:t>
      </w:r>
      <w:r>
        <w:rPr>
          <w:rFonts w:ascii="Times New Roman" w:hAnsi="Times New Roman" w:cs="Times New Roman"/>
          <w:sz w:val="24"/>
          <w:szCs w:val="24"/>
        </w:rPr>
        <w:t>，宜集中设置篮球、排球、5人足球的体育活动场地。</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sz w:val="24"/>
          <w:szCs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s="Times New Roman"/>
          <w:sz w:val="24"/>
          <w:szCs w:val="24"/>
          <w:lang w:val="en-US" w:eastAsia="zh-CN"/>
        </w:rPr>
        <w:t>查阅</w:t>
      </w:r>
      <w:r>
        <w:rPr>
          <w:rFonts w:ascii="Times New Roman" w:hAnsi="Times New Roman" w:cs="Times New Roman"/>
          <w:sz w:val="24"/>
          <w:szCs w:val="24"/>
        </w:rPr>
        <w:t>竣工文件，还查阅步行路线图及开敞空间出入口照片等。</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w:t>
      </w:r>
      <w:r>
        <w:rPr>
          <w:rFonts w:hint="eastAsia"/>
          <w:color w:val="000000" w:themeColor="text1"/>
          <w:sz w:val="24"/>
          <w:lang w:val="en-US" w:eastAsia="zh-CN"/>
          <w14:textFill>
            <w14:solidFill>
              <w14:schemeClr w14:val="tx1"/>
            </w14:solidFill>
          </w14:textFill>
        </w:rPr>
        <w:t>4</w:t>
      </w:r>
      <w:r>
        <w:rPr>
          <w:rFonts w:hint="eastAsia" w:ascii="Times New Roman" w:hAnsi="Times New Roman"/>
          <w:color w:val="000000" w:themeColor="text1"/>
          <w:sz w:val="24"/>
          <w:lang w:val="en-US" w:eastAsia="zh-CN"/>
          <w14:textFill>
            <w14:solidFill>
              <w14:schemeClr w14:val="tx1"/>
            </w14:solidFill>
          </w14:textFill>
        </w:rPr>
        <w:t>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sz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26</w:t>
      </w:r>
      <w:r>
        <w:rPr>
          <w:rFonts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第1款</w:t>
      </w:r>
      <w:r>
        <w:rPr>
          <w:rFonts w:hint="eastAsia" w:ascii="Times New Roman" w:hAnsi="Times New Roman" w:cs="Times New Roman"/>
          <w:sz w:val="24"/>
          <w:szCs w:val="24"/>
        </w:rPr>
        <w:t>，</w:t>
      </w:r>
      <w:r>
        <w:rPr>
          <w:rFonts w:ascii="Times New Roman" w:hAnsi="Times New Roman" w:cs="Times New Roman"/>
          <w:sz w:val="24"/>
          <w:szCs w:val="24"/>
        </w:rPr>
        <w:t>《城市社区多功能公共运动场配置要求》GB/T 34419-2017提出充分考虑社区所在地的气候、人文和民族特点，选择设置当地群众喜爱的体育项目。《城市居住区规划设计标准》GB 50180-2018提出室外综合健身场地（含老年户外活动场）的服务半径不宜大于300m。如</w:t>
      </w:r>
      <w:r>
        <w:rPr>
          <w:rFonts w:hint="default" w:ascii="Times New Roman" w:hAnsi="Times New Roman" w:cs="Times New Roman"/>
          <w:sz w:val="24"/>
          <w:szCs w:val="24"/>
          <w:lang w:val="en-US"/>
        </w:rPr>
        <w:t>项目</w:t>
      </w:r>
      <w:r>
        <w:rPr>
          <w:rFonts w:ascii="Times New Roman" w:hAnsi="Times New Roman" w:cs="Times New Roman"/>
          <w:sz w:val="24"/>
          <w:szCs w:val="24"/>
        </w:rPr>
        <w:t>本身无室外健身场地，本款不得分。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第2款，健身慢行道是指在场地内设置的供人们进行行走、慢跑的专门道路。健身慢行道应尽可能避免与场地内车行道交叉，步道宜采用弹性减振、防滑和环保的材料</w:t>
      </w:r>
      <w:r>
        <w:rPr>
          <w:rFonts w:hint="eastAsia" w:ascii="Times New Roman" w:hAnsi="Times New Roman" w:cs="Times New Roman"/>
          <w:sz w:val="24"/>
          <w:szCs w:val="24"/>
        </w:rPr>
        <w:t>（</w:t>
      </w:r>
      <w:r>
        <w:rPr>
          <w:rFonts w:ascii="Times New Roman" w:hAnsi="Times New Roman" w:cs="Times New Roman"/>
          <w:sz w:val="24"/>
          <w:szCs w:val="24"/>
        </w:rPr>
        <w:t>如塑胶、彩色陶粒等</w:t>
      </w:r>
      <w:r>
        <w:rPr>
          <w:rFonts w:hint="eastAsia" w:ascii="Times New Roman" w:hAnsi="Times New Roman" w:cs="Times New Roman"/>
          <w:sz w:val="24"/>
          <w:szCs w:val="24"/>
        </w:rPr>
        <w:t>），</w:t>
      </w:r>
      <w:r>
        <w:rPr>
          <w:rFonts w:ascii="Times New Roman" w:hAnsi="Times New Roman" w:cs="Times New Roman"/>
          <w:sz w:val="24"/>
          <w:szCs w:val="24"/>
        </w:rPr>
        <w:t>以减少对人体关节的冲击和损伤。步道宽度不少于1.25m，源自我国住房和城乡建设部以及国土资源部联合发布的《城市社区体育设施建设用地指标》的要求。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第3款，鼓励建筑或社区中合理设置健身空间，</w:t>
      </w:r>
      <w:r>
        <w:rPr>
          <w:rFonts w:hint="eastAsia" w:ascii="Times New Roman" w:hAnsi="Times New Roman" w:cs="Times New Roman"/>
          <w:sz w:val="24"/>
          <w:szCs w:val="24"/>
        </w:rPr>
        <w:t>若</w:t>
      </w:r>
      <w:r>
        <w:rPr>
          <w:rFonts w:ascii="Times New Roman" w:hAnsi="Times New Roman" w:cs="Times New Roman"/>
          <w:sz w:val="24"/>
          <w:szCs w:val="24"/>
        </w:rPr>
        <w:t>健身房设置在地下，其室内照明、排风、新风、空调等应满足使用要求。除专门的健身空间外，也可利用公共空间（如小区会所、入口大堂、休闲平台、共享空间等）设置健身区，此处所指的公共空间内设置的健身区应是在满足正常使用功能的前提下，通过空间合理布局，形成固定的、具有一定规模的健身区域方可计入面积。</w:t>
      </w:r>
      <w:r>
        <w:rPr>
          <w:rFonts w:hint="eastAsia"/>
          <w:color w:val="auto"/>
          <w:sz w:val="24"/>
          <w:highlight w:val="none"/>
          <w:lang w:val="en-US" w:eastAsia="zh-CN"/>
        </w:rPr>
        <w:t>室外健身场地的地面层材料应使用防水、防滑和防尘材料。</w:t>
      </w:r>
      <w:r>
        <w:rPr>
          <w:rFonts w:ascii="Times New Roman" w:hAnsi="Times New Roman" w:cs="Times New Roman"/>
          <w:sz w:val="24"/>
          <w:szCs w:val="24"/>
        </w:rPr>
        <w:t>健康空间内宜配置健身器材，提供给人们全天候进行健身活动的条件，鼓励积极健康的生活方式。健身空间还包括开放共享的羽毛球室、乒乓球室。如</w:t>
      </w:r>
      <w:r>
        <w:rPr>
          <w:rFonts w:hint="default" w:ascii="Times New Roman" w:hAnsi="Times New Roman" w:cs="Times New Roman"/>
          <w:sz w:val="24"/>
          <w:szCs w:val="24"/>
          <w:lang w:val="en-US"/>
        </w:rPr>
        <w:t>项目</w:t>
      </w:r>
      <w:r>
        <w:rPr>
          <w:rFonts w:ascii="Times New Roman" w:hAnsi="Times New Roman" w:cs="Times New Roman"/>
          <w:sz w:val="24"/>
          <w:szCs w:val="24"/>
        </w:rPr>
        <w:t>内设置收费健身房并可向业主提供优惠使用条件，本款也可得分。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4款，楼梯间作为日常使用和应急疏散等多功能场所，应尽量采用自然通风，以提高排除进入楼梯间内烟气的可靠性，确保楼梯间的安全；且楼梯间靠外墙设置，也有利于天然采光，本款要求每单体建筑中至少有一处楼梯间具有天然采光、良好的视野、充足的照明和人体感应装置，方便人员行走和锻炼。距离主入口的距离不大于15m是为吸引人们主动选择走楼梯的健康的出行方式。</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s="Times New Roman"/>
          <w:sz w:val="24"/>
          <w:szCs w:val="24"/>
          <w:lang w:val="en-US" w:eastAsia="zh-CN"/>
        </w:rPr>
        <w:t>查阅</w:t>
      </w:r>
      <w:r>
        <w:rPr>
          <w:rFonts w:ascii="Times New Roman" w:hAnsi="Times New Roman" w:cs="Times New Roman"/>
          <w:sz w:val="24"/>
          <w:szCs w:val="24"/>
        </w:rPr>
        <w:t>竣工文件</w:t>
      </w:r>
      <w:r>
        <w:rPr>
          <w:color w:val="000000" w:themeColor="text1"/>
          <w:sz w:val="24"/>
          <w14:textFill>
            <w14:solidFill>
              <w14:schemeClr w14:val="tx1"/>
            </w14:solidFill>
          </w14:textFill>
        </w:rPr>
        <w:t>并现场核查</w:t>
      </w:r>
      <w:r>
        <w:rPr>
          <w:rFonts w:ascii="Times New Roman" w:hAnsi="Times New Roman" w:cs="Times New Roman"/>
          <w:sz w:val="24"/>
          <w:szCs w:val="24"/>
        </w:rPr>
        <w:t>。</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w:t>
      </w:r>
      <w:r>
        <w:rPr>
          <w:rFonts w:hint="eastAsia"/>
          <w:color w:val="000000" w:themeColor="text1"/>
          <w:sz w:val="24"/>
          <w:lang w:val="en-US" w:eastAsia="zh-CN"/>
          <w14:textFill>
            <w14:solidFill>
              <w14:schemeClr w14:val="tx1"/>
            </w14:solidFill>
          </w14:textFill>
        </w:rPr>
        <w:t>5</w:t>
      </w:r>
      <w:r>
        <w:rPr>
          <w:rFonts w:hint="eastAsia" w:ascii="Times New Roman" w:hAnsi="Times New Roman"/>
          <w:color w:val="000000" w:themeColor="text1"/>
          <w:sz w:val="24"/>
          <w:lang w:val="en-US" w:eastAsia="zh-CN"/>
          <w14:textFill>
            <w14:solidFill>
              <w14:schemeClr w14:val="tx1"/>
            </w14:solidFill>
          </w14:textFill>
        </w:rPr>
        <w:t>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pStyle w:val="5"/>
        <w:shd w:val="clear"/>
        <w:rPr>
          <w:rFonts w:hint="eastAsia"/>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9"/>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27</w:t>
      </w:r>
      <w:r>
        <w:rPr>
          <w:rFonts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本条要求设置电</w:t>
      </w:r>
      <w:r>
        <w:rPr>
          <w:rFonts w:hint="eastAsia" w:ascii="Times New Roman" w:hAnsi="Times New Roman" w:cs="Times New Roman"/>
          <w:sz w:val="24"/>
          <w:szCs w:val="24"/>
        </w:rPr>
        <w:t>、</w:t>
      </w:r>
      <w:r>
        <w:rPr>
          <w:rFonts w:ascii="Times New Roman" w:hAnsi="Times New Roman" w:cs="Times New Roman"/>
          <w:sz w:val="24"/>
          <w:szCs w:val="24"/>
        </w:rPr>
        <w:t>气</w:t>
      </w:r>
      <w:r>
        <w:rPr>
          <w:rFonts w:hint="eastAsia" w:ascii="Times New Roman" w:hAnsi="Times New Roman" w:cs="Times New Roman"/>
          <w:sz w:val="24"/>
          <w:szCs w:val="24"/>
        </w:rPr>
        <w:t>、</w:t>
      </w:r>
      <w:r>
        <w:rPr>
          <w:rFonts w:ascii="Times New Roman" w:hAnsi="Times New Roman" w:cs="Times New Roman"/>
          <w:sz w:val="24"/>
          <w:szCs w:val="24"/>
        </w:rPr>
        <w:t>热的能耗计量系统和能源管理系统</w:t>
      </w:r>
      <w:r>
        <w:rPr>
          <w:rFonts w:hint="eastAsia" w:ascii="Times New Roman" w:hAnsi="Times New Roman" w:cs="Times New Roman"/>
          <w:sz w:val="24"/>
          <w:szCs w:val="24"/>
        </w:rPr>
        <w:t>。</w:t>
      </w:r>
      <w:r>
        <w:rPr>
          <w:rFonts w:ascii="Times New Roman" w:hAnsi="Times New Roman" w:cs="Times New Roman"/>
          <w:sz w:val="24"/>
          <w:szCs w:val="24"/>
        </w:rPr>
        <w:t>建筑至少应对建筑最基本的能源资源消耗量设置管理系统</w:t>
      </w:r>
      <w:r>
        <w:rPr>
          <w:rFonts w:hint="eastAsia" w:ascii="Times New Roman" w:hAnsi="Times New Roman" w:cs="Times New Roman"/>
          <w:sz w:val="24"/>
          <w:szCs w:val="24"/>
        </w:rPr>
        <w:t>。</w:t>
      </w:r>
      <w:r>
        <w:rPr>
          <w:rFonts w:ascii="Times New Roman" w:hAnsi="Times New Roman" w:cs="Times New Roman"/>
          <w:sz w:val="24"/>
          <w:szCs w:val="24"/>
        </w:rPr>
        <w:t>但不同规模、不同功能的建筑项目需设置的系统大小及是否需要设置应根据实际情况合理确定。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对于公共建筑，冷热源、输配系统和电气等各部分能源应进行独立分项计量并能实现远传，其中冷热源、输配系统的主要设备包括冷热水机组、冷热水泵、新风机组、空气处理机组、冷却塔等，电气系统包括照明、插座、动力等。对于计量数据采集频率不作强制性要求，可根据具体工作需要灵活设置，一般在10分钟/次到1小时/次之间。</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对于住宅建筑，鉴于分户之间具有相对独立性与私密性的特点，不便对每户能耗情况实行细化监测和管理，但仍应对单元或楼栋整体能耗情况有所了解以便整体统筹管理</w:t>
      </w:r>
      <w:r>
        <w:rPr>
          <w:rFonts w:hint="eastAsia" w:ascii="Times New Roman" w:hAnsi="Times New Roman" w:cs="Times New Roman"/>
          <w:sz w:val="24"/>
          <w:szCs w:val="24"/>
        </w:rPr>
        <w:t>；</w:t>
      </w:r>
      <w:r>
        <w:rPr>
          <w:rFonts w:ascii="Times New Roman" w:hAnsi="Times New Roman" w:cs="Times New Roman"/>
          <w:sz w:val="24"/>
          <w:szCs w:val="24"/>
        </w:rPr>
        <w:t>而公共区域主要由物业管理单位运行维护和管理，</w:t>
      </w:r>
      <w:r>
        <w:rPr>
          <w:rFonts w:hint="eastAsia" w:ascii="Times New Roman" w:hAnsi="Times New Roman" w:cs="Times New Roman"/>
          <w:sz w:val="24"/>
          <w:szCs w:val="24"/>
        </w:rPr>
        <w:t>故</w:t>
      </w:r>
      <w:r>
        <w:rPr>
          <w:rFonts w:ascii="Times New Roman" w:hAnsi="Times New Roman" w:cs="Times New Roman"/>
          <w:sz w:val="24"/>
          <w:szCs w:val="24"/>
        </w:rPr>
        <w:t>主要针对其公共区域提出分项计量与管理要求（如公共设备用电、动力用电、走廊和应急照明用电、室外景观照明用电等）</w:t>
      </w:r>
      <w:r>
        <w:rPr>
          <w:rFonts w:hint="eastAsia" w:ascii="Times New Roman" w:hAnsi="Times New Roman" w:cs="Times New Roman"/>
          <w:sz w:val="24"/>
          <w:szCs w:val="24"/>
        </w:rPr>
        <w:t>；</w:t>
      </w:r>
      <w:r>
        <w:rPr>
          <w:rFonts w:ascii="Times New Roman" w:hAnsi="Times New Roman" w:cs="Times New Roman"/>
          <w:sz w:val="24"/>
          <w:szCs w:val="24"/>
        </w:rPr>
        <w:t>对于住户仅要求每个单元（或楼栋）设置可远传的计量总表。</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计量器具应满足现行国家标准</w:t>
      </w:r>
      <w:r>
        <w:rPr>
          <w:rFonts w:hint="eastAsia" w:ascii="Times New Roman" w:hAnsi="Times New Roman" w:cs="Times New Roman"/>
          <w:sz w:val="24"/>
          <w:szCs w:val="24"/>
        </w:rPr>
        <w:t>《用能单位能源计量器具配备和管理通则》GB 17167要求。在计量基础上，通过能源管理系统实现数据传输、存储、分析功能，系统可存储数据均应不少于一年。</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sz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s="Times New Roman"/>
          <w:sz w:val="24"/>
          <w:szCs w:val="24"/>
          <w:lang w:val="en-US" w:eastAsia="zh-CN"/>
        </w:rPr>
        <w:t>查阅</w:t>
      </w:r>
      <w:r>
        <w:rPr>
          <w:rFonts w:ascii="Times New Roman" w:hAnsi="Times New Roman" w:cs="Times New Roman"/>
          <w:sz w:val="24"/>
          <w:szCs w:val="24"/>
        </w:rPr>
        <w:t>用能系统</w:t>
      </w:r>
      <w:r>
        <w:rPr>
          <w:rFonts w:hint="eastAsia" w:ascii="Times New Roman" w:hAnsi="Times New Roman" w:cs="Times New Roman"/>
          <w:sz w:val="24"/>
          <w:szCs w:val="24"/>
        </w:rPr>
        <w:t>、自动远传计量系统、</w:t>
      </w:r>
      <w:r>
        <w:rPr>
          <w:rFonts w:ascii="Times New Roman" w:hAnsi="Times New Roman" w:cs="Times New Roman"/>
          <w:sz w:val="24"/>
          <w:szCs w:val="24"/>
        </w:rPr>
        <w:t>能源管理系统的设计说明</w:t>
      </w:r>
      <w:r>
        <w:rPr>
          <w:rFonts w:hint="eastAsia" w:ascii="Times New Roman" w:hAnsi="Times New Roman" w:cs="Times New Roman"/>
          <w:sz w:val="24"/>
          <w:szCs w:val="24"/>
        </w:rPr>
        <w:t>、</w:t>
      </w:r>
      <w:r>
        <w:rPr>
          <w:rFonts w:ascii="Times New Roman" w:hAnsi="Times New Roman" w:cs="Times New Roman"/>
          <w:sz w:val="24"/>
          <w:szCs w:val="24"/>
        </w:rPr>
        <w:t>系统配置等</w:t>
      </w:r>
      <w:r>
        <w:rPr>
          <w:rFonts w:hint="eastAsia" w:cs="Times New Roman"/>
          <w:sz w:val="24"/>
          <w:szCs w:val="24"/>
          <w:lang w:val="en-US" w:eastAsia="zh-CN"/>
        </w:rPr>
        <w:t>竣工</w:t>
      </w:r>
      <w:r>
        <w:rPr>
          <w:rFonts w:ascii="Times New Roman" w:hAnsi="Times New Roman" w:cs="Times New Roman"/>
          <w:sz w:val="24"/>
          <w:szCs w:val="24"/>
        </w:rPr>
        <w:t>文件</w:t>
      </w:r>
      <w:r>
        <w:rPr>
          <w:rFonts w:hint="eastAsia" w:ascii="Times New Roman" w:hAnsi="Times New Roman" w:cs="Times New Roman"/>
          <w:sz w:val="24"/>
          <w:szCs w:val="24"/>
        </w:rPr>
        <w:t>，重点审核</w:t>
      </w:r>
      <w:r>
        <w:rPr>
          <w:rFonts w:ascii="Times New Roman" w:hAnsi="Times New Roman" w:cs="Times New Roman"/>
          <w:sz w:val="24"/>
          <w:szCs w:val="24"/>
        </w:rPr>
        <w:t>能源管理系统能否实现数据传输、存储（可存储数据不少于一年）、分析功能。查阅管理制度、历史监测数据、运行记录。</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w:t>
      </w:r>
      <w:r>
        <w:rPr>
          <w:rFonts w:hint="eastAsia"/>
          <w:color w:val="000000" w:themeColor="text1"/>
          <w:sz w:val="24"/>
          <w:lang w:val="en-US" w:eastAsia="zh-CN"/>
          <w14:textFill>
            <w14:solidFill>
              <w14:schemeClr w14:val="tx1"/>
            </w14:solidFill>
          </w14:textFill>
        </w:rPr>
        <w:t>6</w:t>
      </w:r>
      <w:r>
        <w:rPr>
          <w:rFonts w:hint="eastAsia" w:ascii="Times New Roman" w:hAnsi="Times New Roman"/>
          <w:color w:val="000000" w:themeColor="text1"/>
          <w:sz w:val="24"/>
          <w:lang w:val="en-US" w:eastAsia="zh-CN"/>
          <w14:textFill>
            <w14:solidFill>
              <w14:schemeClr w14:val="tx1"/>
            </w14:solidFill>
          </w14:textFill>
        </w:rPr>
        <w:t>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9"/>
        <w:rPr>
          <w:rFonts w:hint="default" w:ascii="Times New Roman" w:hAnsi="Times New Roman"/>
          <w:sz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28</w:t>
      </w:r>
      <w:r>
        <w:rPr>
          <w:rFonts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第1款，远传水表相较于传统的普通机械水表增加了信号采集、数据处理、存储及数据上传功能，可以实时的将用水量数据上传给管理系统。采用远传计量系统对各类用水进行计量，可准确掌握</w:t>
      </w:r>
      <w:r>
        <w:rPr>
          <w:rFonts w:hint="eastAsia" w:cs="Times New Roman"/>
          <w:sz w:val="24"/>
          <w:szCs w:val="24"/>
          <w:lang w:val="en-US" w:eastAsia="zh-CN"/>
        </w:rPr>
        <w:t>建筑</w:t>
      </w:r>
      <w:r>
        <w:rPr>
          <w:rFonts w:ascii="Times New Roman" w:hAnsi="Times New Roman" w:cs="Times New Roman"/>
          <w:sz w:val="24"/>
          <w:szCs w:val="24"/>
        </w:rPr>
        <w:t>用水现状，用水总量和各用水单元之间的定量关系，分析用水的合理性，发掘节水潜力，制定出切实可行的节水管理措施和</w:t>
      </w:r>
      <w:r>
        <w:rPr>
          <w:rFonts w:hint="eastAsia" w:ascii="Times New Roman" w:hAnsi="Times New Roman" w:cs="Times New Roman"/>
          <w:sz w:val="24"/>
          <w:szCs w:val="24"/>
        </w:rPr>
        <w:t>绩效考核办法</w:t>
      </w:r>
      <w:r>
        <w:rPr>
          <w:rFonts w:ascii="Times New Roman" w:hAnsi="Times New Roman" w:cs="Times New Roman"/>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远传水表应根据水平衡测试的要求分级安装，分级计量水表安装率应达100％。具体要求为下级水表的设置应覆盖上一级水表的所有出流量，不得出现无计量支路。物业管理方应通过远传水表的数据进行管道漏损情况检测，随时了解管道漏损情况，及时查找漏损点并进行整改。</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s="Times New Roman"/>
          <w:sz w:val="24"/>
          <w:szCs w:val="24"/>
          <w:lang w:val="en-US" w:eastAsia="zh-CN"/>
        </w:rPr>
        <w:t>查阅</w:t>
      </w:r>
      <w:r>
        <w:rPr>
          <w:rFonts w:hint="eastAsia" w:ascii="Times New Roman" w:hAnsi="Times New Roman" w:cs="Times New Roman"/>
          <w:sz w:val="24"/>
          <w:szCs w:val="24"/>
        </w:rPr>
        <w:t>包含</w:t>
      </w:r>
      <w:r>
        <w:rPr>
          <w:rFonts w:hint="eastAsia" w:ascii="Times New Roman" w:hAnsi="Times New Roman"/>
          <w:sz w:val="24"/>
          <w:szCs w:val="24"/>
        </w:rPr>
        <w:t>供水系统远传计量、计量点位说明或示意图、水质监测系统图、监测点位说明或示意图</w:t>
      </w:r>
      <w:r>
        <w:rPr>
          <w:rFonts w:ascii="Times New Roman" w:hAnsi="Times New Roman" w:cs="Times New Roman"/>
          <w:sz w:val="24"/>
          <w:szCs w:val="24"/>
        </w:rPr>
        <w:t>等在内的</w:t>
      </w:r>
      <w:r>
        <w:rPr>
          <w:rFonts w:hint="eastAsia" w:cs="Times New Roman"/>
          <w:sz w:val="24"/>
          <w:szCs w:val="24"/>
          <w:lang w:val="en-US" w:eastAsia="zh-CN"/>
        </w:rPr>
        <w:t>竣工</w:t>
      </w:r>
      <w:r>
        <w:rPr>
          <w:rFonts w:ascii="Times New Roman" w:hAnsi="Times New Roman" w:cs="Times New Roman"/>
          <w:sz w:val="24"/>
          <w:szCs w:val="24"/>
        </w:rPr>
        <w:t>文件</w:t>
      </w:r>
      <w:r>
        <w:rPr>
          <w:rFonts w:hint="eastAsia" w:cs="Times New Roman"/>
          <w:sz w:val="24"/>
          <w:szCs w:val="24"/>
          <w:lang w:eastAsia="zh-CN"/>
        </w:rPr>
        <w:t>，</w:t>
      </w:r>
      <w:r>
        <w:rPr>
          <w:rFonts w:ascii="Times New Roman" w:hAnsi="Times New Roman" w:cs="Times New Roman"/>
          <w:sz w:val="24"/>
          <w:szCs w:val="24"/>
        </w:rPr>
        <w:t>查阅用水量远传计量及水质在线监测的管理制度、历史监测数据、运行记录</w:t>
      </w:r>
      <w:r>
        <w:rPr>
          <w:rFonts w:hint="eastAsia" w:ascii="Times New Roman" w:hAnsi="Times New Roman" w:cs="Times New Roman"/>
          <w:sz w:val="24"/>
          <w:szCs w:val="24"/>
        </w:rPr>
        <w:t>，</w:t>
      </w:r>
      <w:r>
        <w:rPr>
          <w:rFonts w:ascii="Times New Roman" w:hAnsi="Times New Roman" w:cs="Times New Roman"/>
          <w:sz w:val="24"/>
          <w:szCs w:val="24"/>
        </w:rPr>
        <w:t>用水量分类、分项计量记录及统计分析报告</w:t>
      </w:r>
      <w:r>
        <w:rPr>
          <w:rFonts w:hint="eastAsia" w:ascii="Times New Roman" w:hAnsi="Times New Roman" w:cs="Times New Roman"/>
          <w:sz w:val="24"/>
          <w:szCs w:val="24"/>
        </w:rPr>
        <w:t>，</w:t>
      </w:r>
      <w:r>
        <w:rPr>
          <w:rFonts w:ascii="Times New Roman" w:hAnsi="Times New Roman" w:cs="Times New Roman"/>
          <w:sz w:val="24"/>
          <w:szCs w:val="24"/>
        </w:rPr>
        <w:t>管网漏损自动检测分析记录和整改报告</w:t>
      </w:r>
      <w:r>
        <w:rPr>
          <w:rFonts w:hint="eastAsia" w:ascii="Times New Roman" w:hAnsi="Times New Roman" w:cs="Times New Roman"/>
          <w:sz w:val="24"/>
          <w:szCs w:val="24"/>
        </w:rPr>
        <w:t>。</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w:t>
      </w:r>
      <w:r>
        <w:rPr>
          <w:rFonts w:hint="eastAsia"/>
          <w:color w:val="000000" w:themeColor="text1"/>
          <w:sz w:val="24"/>
          <w:lang w:val="en-US" w:eastAsia="zh-CN"/>
          <w14:textFill>
            <w14:solidFill>
              <w14:schemeClr w14:val="tx1"/>
            </w14:solidFill>
          </w14:textFill>
        </w:rPr>
        <w:t>8</w:t>
      </w:r>
      <w:r>
        <w:rPr>
          <w:rFonts w:hint="eastAsia" w:ascii="Times New Roman" w:hAnsi="Times New Roman"/>
          <w:color w:val="000000" w:themeColor="text1"/>
          <w:sz w:val="24"/>
          <w:lang w:val="en-US" w:eastAsia="zh-CN"/>
          <w14:textFill>
            <w14:solidFill>
              <w14:schemeClr w14:val="tx1"/>
            </w14:solidFill>
          </w14:textFill>
        </w:rPr>
        <w:t>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pStyle w:val="5"/>
        <w:shd w:val="clear"/>
        <w:rPr>
          <w:rFonts w:hint="default"/>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9"/>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29</w:t>
      </w:r>
      <w:r>
        <w:rPr>
          <w:rFonts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智能化服务系统，包括智能家居监控系统、智能环境设备监控系统、智能工作生活服务系统等。智能家居监控系统</w:t>
      </w:r>
      <w:r>
        <w:rPr>
          <w:rFonts w:hint="eastAsia" w:ascii="Times New Roman" w:hAnsi="Times New Roman" w:cs="Times New Roman"/>
          <w:sz w:val="24"/>
          <w:szCs w:val="24"/>
        </w:rPr>
        <w:t>或</w:t>
      </w:r>
      <w:r>
        <w:rPr>
          <w:rFonts w:ascii="Times New Roman" w:hAnsi="Times New Roman" w:cs="Times New Roman"/>
          <w:sz w:val="24"/>
          <w:szCs w:val="24"/>
        </w:rPr>
        <w:t>智能环境设备监控系统是以相对独立的使用空间为单位</w:t>
      </w:r>
      <w:r>
        <w:rPr>
          <w:rFonts w:hint="eastAsia" w:ascii="Times New Roman" w:hAnsi="Times New Roman" w:cs="Times New Roman"/>
          <w:sz w:val="24"/>
          <w:szCs w:val="24"/>
        </w:rPr>
        <w:t>，</w:t>
      </w:r>
      <w:r>
        <w:rPr>
          <w:rFonts w:ascii="Times New Roman" w:hAnsi="Times New Roman" w:cs="Times New Roman"/>
          <w:sz w:val="24"/>
          <w:szCs w:val="24"/>
        </w:rPr>
        <w:t>利用综合布线技术</w:t>
      </w:r>
      <w:r>
        <w:rPr>
          <w:rFonts w:hint="eastAsia" w:ascii="Times New Roman" w:hAnsi="Times New Roman" w:cs="Times New Roman"/>
          <w:sz w:val="24"/>
          <w:szCs w:val="24"/>
        </w:rPr>
        <w:t>、</w:t>
      </w:r>
      <w:r>
        <w:rPr>
          <w:rFonts w:ascii="Times New Roman" w:hAnsi="Times New Roman" w:cs="Times New Roman"/>
          <w:sz w:val="24"/>
          <w:szCs w:val="24"/>
        </w:rPr>
        <w:t>网络通信技术</w:t>
      </w:r>
      <w:r>
        <w:rPr>
          <w:rFonts w:hint="eastAsia" w:ascii="Times New Roman" w:hAnsi="Times New Roman" w:cs="Times New Roman"/>
          <w:sz w:val="24"/>
          <w:szCs w:val="24"/>
        </w:rPr>
        <w:t>、</w:t>
      </w:r>
      <w:r>
        <w:rPr>
          <w:rFonts w:ascii="Times New Roman" w:hAnsi="Times New Roman" w:cs="Times New Roman"/>
          <w:sz w:val="24"/>
          <w:szCs w:val="24"/>
        </w:rPr>
        <w:t>自动控制技术</w:t>
      </w:r>
      <w:r>
        <w:rPr>
          <w:rFonts w:hint="eastAsia" w:ascii="Times New Roman" w:hAnsi="Times New Roman" w:cs="Times New Roman"/>
          <w:sz w:val="24"/>
          <w:szCs w:val="24"/>
        </w:rPr>
        <w:t>、</w:t>
      </w:r>
      <w:r>
        <w:rPr>
          <w:rFonts w:ascii="Times New Roman" w:hAnsi="Times New Roman" w:cs="Times New Roman"/>
          <w:sz w:val="24"/>
          <w:szCs w:val="24"/>
        </w:rPr>
        <w:t>音视频技术等将家具生活或工作事务有关的设施进行集成</w:t>
      </w:r>
      <w:r>
        <w:rPr>
          <w:rFonts w:hint="eastAsia" w:ascii="Times New Roman" w:hAnsi="Times New Roman" w:cs="Times New Roman"/>
          <w:sz w:val="24"/>
          <w:szCs w:val="24"/>
        </w:rPr>
        <w:t>，</w:t>
      </w:r>
      <w:r>
        <w:rPr>
          <w:rFonts w:ascii="Times New Roman" w:hAnsi="Times New Roman" w:cs="Times New Roman"/>
          <w:sz w:val="24"/>
          <w:szCs w:val="24"/>
        </w:rPr>
        <w:t>构建高效的建筑设施与日常事务的管理系统</w:t>
      </w:r>
      <w:r>
        <w:rPr>
          <w:rFonts w:hint="eastAsia" w:ascii="Times New Roman" w:hAnsi="Times New Roman" w:cs="Times New Roman"/>
          <w:sz w:val="24"/>
          <w:szCs w:val="24"/>
        </w:rPr>
        <w:t>，提升家居和工作的安全性、便利性、舒适性、艺术性，实现更加便捷适用的生活和工作环境。</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第1款，智能化服务系统可能会涵盖家电控制、照明控制、安全报警、环境监测、建筑设备控制、工作生活服务（如养老服务预约、会议预约）多种功能</w:t>
      </w:r>
      <w:r>
        <w:rPr>
          <w:rFonts w:hint="eastAsia" w:ascii="Times New Roman" w:hAnsi="Times New Roman" w:cs="Times New Roman"/>
          <w:sz w:val="24"/>
          <w:szCs w:val="24"/>
        </w:rPr>
        <w:t>。</w:t>
      </w:r>
      <w:r>
        <w:rPr>
          <w:rFonts w:ascii="Times New Roman" w:hAnsi="Times New Roman" w:cs="Times New Roman"/>
          <w:sz w:val="24"/>
          <w:szCs w:val="24"/>
        </w:rPr>
        <w:t>本条要求至少实现3种类型的服务功能，以便提升用户感知度和获得感。为体现建筑使用便利性，本款要求住宅建筑每户户内均应设置智能化服务系统终端设备，公共建筑主要功能房间内应设置智能化服务系统终端设备。</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eastAsia="宋体" w:cs="Times New Roman"/>
          <w:sz w:val="24"/>
          <w:szCs w:val="24"/>
          <w:lang w:eastAsia="zh-CN"/>
        </w:rPr>
      </w:pPr>
      <w:r>
        <w:rPr>
          <w:rFonts w:ascii="Times New Roman" w:hAnsi="Times New Roman" w:cs="Times New Roman"/>
          <w:sz w:val="24"/>
          <w:szCs w:val="24"/>
        </w:rPr>
        <w:t>第2款，智能化服务系统的控制方式包括电话或网络远程控制、室内外遥控、红外转发以及可编程定时控制等，如果系统具备了远程监控功能，使用者可通过以太网、移动数据网络等，实现对建筑室内物理环境状况、设备设施状态的监测</w:t>
      </w:r>
      <w:r>
        <w:rPr>
          <w:rFonts w:hint="eastAsia" w:cs="Times New Roman"/>
          <w:sz w:val="24"/>
          <w:szCs w:val="24"/>
          <w:lang w:val="en-US" w:eastAsia="zh-CN"/>
        </w:rPr>
        <w:t>和</w:t>
      </w:r>
      <w:r>
        <w:rPr>
          <w:rFonts w:ascii="Times New Roman" w:hAnsi="Times New Roman" w:cs="Times New Roman"/>
          <w:sz w:val="24"/>
          <w:szCs w:val="24"/>
        </w:rPr>
        <w:t>对智能家居或环境设备系统的监测和控制、对工作生活服务平台的访问操作，从而可以有效提升服务便捷性。</w:t>
      </w:r>
      <w:r>
        <w:rPr>
          <w:rFonts w:hint="eastAsia"/>
          <w:color w:val="auto"/>
          <w:sz w:val="24"/>
        </w:rPr>
        <w:t>建筑智能系统集成项目在规划设计时应考虑建筑节能需求</w:t>
      </w:r>
      <w:r>
        <w:rPr>
          <w:rFonts w:hint="eastAsia"/>
          <w:color w:val="auto"/>
          <w:sz w:val="24"/>
          <w:lang w:eastAsia="zh-CN"/>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3款，智能化服务系统平台能够与所在的智慧城市（城区、社区）平台对接，则可有效实现信息和数据的共享与互通，大大提高信息更新与扩充的速度和范围，实现相关各方的互惠互利。智慧城市（城区、社区）的智能化服务系统的基本项目一般包括智慧物业管理、电子商务服务、智慧养老服务、智慧家居、智慧医院等，能够为建筑层面的智能化服务系统提供有力支撑。</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s="Times New Roman"/>
          <w:sz w:val="24"/>
          <w:szCs w:val="24"/>
          <w:lang w:val="en-US" w:eastAsia="zh-CN"/>
        </w:rPr>
        <w:t>查阅</w:t>
      </w:r>
      <w:r>
        <w:rPr>
          <w:rFonts w:ascii="Times New Roman" w:hAnsi="Times New Roman" w:cs="Times New Roman"/>
          <w:sz w:val="24"/>
          <w:szCs w:val="24"/>
        </w:rPr>
        <w:t>包含智能家居或环境设备监控系统方案、智能化服务平台方案</w:t>
      </w:r>
      <w:r>
        <w:rPr>
          <w:rFonts w:hint="eastAsia" w:ascii="Times New Roman" w:hAnsi="Times New Roman" w:cs="Times New Roman"/>
          <w:sz w:val="24"/>
          <w:szCs w:val="24"/>
        </w:rPr>
        <w:t>等在内的</w:t>
      </w:r>
      <w:r>
        <w:rPr>
          <w:rFonts w:ascii="Times New Roman" w:hAnsi="Times New Roman" w:cs="Times New Roman"/>
          <w:sz w:val="24"/>
          <w:szCs w:val="24"/>
        </w:rPr>
        <w:t>智能化及装修</w:t>
      </w:r>
      <w:r>
        <w:rPr>
          <w:rFonts w:hint="eastAsia" w:ascii="Times New Roman" w:hAnsi="Times New Roman" w:cs="Times New Roman"/>
          <w:sz w:val="24"/>
          <w:szCs w:val="24"/>
          <w:lang w:val="en-US" w:eastAsia="zh-CN"/>
        </w:rPr>
        <w:t>竣工文件，</w:t>
      </w:r>
      <w:r>
        <w:rPr>
          <w:rFonts w:ascii="Times New Roman" w:hAnsi="Times New Roman" w:cs="Times New Roman"/>
          <w:sz w:val="24"/>
          <w:szCs w:val="24"/>
        </w:rPr>
        <w:t>查阅管理制度、历史监测数据、运行记录。</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6.2.9条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pStyle w:val="5"/>
        <w:shd w:val="clear"/>
        <w:rPr>
          <w:rFonts w:hint="eastAsia"/>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30</w:t>
      </w:r>
      <w:r>
        <w:rPr>
          <w:rFonts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第1款，节能、节水、节材等资源节约与绿化的各项</w:t>
      </w:r>
      <w:r>
        <w:rPr>
          <w:rFonts w:hint="eastAsia" w:ascii="Times New Roman" w:hAnsi="Times New Roman" w:cs="Times New Roman"/>
          <w:sz w:val="24"/>
          <w:szCs w:val="24"/>
        </w:rPr>
        <w:t>操作</w:t>
      </w:r>
      <w:r>
        <w:rPr>
          <w:rFonts w:ascii="Times New Roman" w:hAnsi="Times New Roman" w:cs="Times New Roman"/>
          <w:sz w:val="24"/>
          <w:szCs w:val="24"/>
        </w:rPr>
        <w:t>规则应在各个岗位现场显著位置明示，保证工作质量和设备设施安全、高效运行。应急预案中应明确规定各种突发事故的处理流程、人员分工、严格的上报和记录程序，</w:t>
      </w:r>
      <w:r>
        <w:rPr>
          <w:rFonts w:hint="eastAsia" w:cs="Times New Roman"/>
          <w:sz w:val="24"/>
          <w:szCs w:val="24"/>
          <w:lang w:val="en-US" w:eastAsia="zh-CN"/>
        </w:rPr>
        <w:t>明确规定</w:t>
      </w:r>
      <w:r>
        <w:rPr>
          <w:rFonts w:ascii="Times New Roman" w:hAnsi="Times New Roman" w:cs="Times New Roman"/>
          <w:sz w:val="24"/>
          <w:szCs w:val="24"/>
        </w:rPr>
        <w:t>专业维修人员的安全保障措施。主要包括：</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各类设施机房（如制冷机房、空调机房、锅炉房、电梯机房、配电间、泵房、中控室等）操作规程的合理性及落实情况。在机房中明示管理制度、操作规程、交接班制度、岗位职责、应急预案。</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节能、节水设施设备应具有巡回检查制度、保养维护制度并有完善的运行记录等；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节材应具有详细、完整的购置和使用记录。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w:t>
      </w:r>
      <w:r>
        <w:rPr>
          <w:rFonts w:ascii="Times New Roman" w:hAnsi="Times New Roman" w:cs="Times New Roman"/>
          <w:sz w:val="24"/>
          <w:szCs w:val="24"/>
        </w:rPr>
        <w:t>绿化保养应具有完善的保养维护制度并有完整的养护记录、药品的购置和使用记录。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第2款，物业管理机构在保证建筑的使用性能要求</w:t>
      </w:r>
      <w:r>
        <w:rPr>
          <w:rFonts w:hint="eastAsia" w:ascii="Times New Roman" w:hAnsi="Times New Roman" w:cs="Times New Roman"/>
          <w:sz w:val="24"/>
          <w:szCs w:val="24"/>
        </w:rPr>
        <w:t>、</w:t>
      </w:r>
      <w:r>
        <w:rPr>
          <w:rFonts w:ascii="Times New Roman" w:hAnsi="Times New Roman" w:cs="Times New Roman"/>
          <w:sz w:val="24"/>
          <w:szCs w:val="24"/>
        </w:rPr>
        <w:t>投诉率低于规定值的前提下</w:t>
      </w:r>
      <w:r>
        <w:rPr>
          <w:rFonts w:hint="eastAsia" w:ascii="Times New Roman" w:hAnsi="Times New Roman" w:cs="Times New Roman"/>
          <w:sz w:val="24"/>
          <w:szCs w:val="24"/>
        </w:rPr>
        <w:t>，</w:t>
      </w:r>
      <w:r>
        <w:rPr>
          <w:rFonts w:ascii="Times New Roman" w:hAnsi="Times New Roman" w:cs="Times New Roman"/>
          <w:sz w:val="24"/>
          <w:szCs w:val="24"/>
        </w:rPr>
        <w:t>实现其经济效益与建筑用能系统的耗能状况</w:t>
      </w:r>
      <w:r>
        <w:rPr>
          <w:rFonts w:hint="eastAsia" w:ascii="Times New Roman" w:hAnsi="Times New Roman" w:cs="Times New Roman"/>
          <w:sz w:val="24"/>
          <w:szCs w:val="24"/>
        </w:rPr>
        <w:t>、</w:t>
      </w:r>
      <w:r>
        <w:rPr>
          <w:rFonts w:ascii="Times New Roman" w:hAnsi="Times New Roman" w:cs="Times New Roman"/>
          <w:sz w:val="24"/>
          <w:szCs w:val="24"/>
        </w:rPr>
        <w:t>水资源等的使用情况直接挂钩</w:t>
      </w:r>
      <w:r>
        <w:rPr>
          <w:rFonts w:hint="eastAsia" w:ascii="Times New Roman" w:hAnsi="Times New Roman" w:cs="Times New Roman"/>
          <w:sz w:val="24"/>
          <w:szCs w:val="24"/>
        </w:rPr>
        <w:t>。在运营管理中，建筑运行能耗可参考现行国家标准《民用建筑能耗标准》GB/T 51161制定激励政策，建筑水耗可参考现行国家标准《民用建筑节水设计标准》GB 50555制定激励政策。通过绩效考核，调动运营管理工作者的绿色运营意识、激发其绿色管理的积极性，提升物业管理部门的管理服务水平和效益，有效促进运行节能节水。</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s="Times New Roman"/>
          <w:sz w:val="24"/>
          <w:szCs w:val="24"/>
        </w:rPr>
        <w:t>查阅节能、节水、节材、绿化的相关管理制度</w:t>
      </w:r>
      <w:r>
        <w:rPr>
          <w:rFonts w:hint="eastAsia" w:ascii="Times New Roman" w:hAnsi="Times New Roman" w:cs="Times New Roman"/>
          <w:sz w:val="24"/>
          <w:szCs w:val="24"/>
        </w:rPr>
        <w:t>，</w:t>
      </w:r>
      <w:r>
        <w:rPr>
          <w:rFonts w:ascii="Times New Roman" w:hAnsi="Times New Roman" w:cs="Times New Roman"/>
          <w:sz w:val="24"/>
          <w:szCs w:val="24"/>
        </w:rPr>
        <w:t>包括操作规程、应急预案、操作人员的专业证书</w:t>
      </w:r>
      <w:r>
        <w:rPr>
          <w:rFonts w:hint="eastAsia" w:ascii="Times New Roman" w:hAnsi="Times New Roman" w:cs="Times New Roman"/>
          <w:sz w:val="24"/>
          <w:szCs w:val="24"/>
        </w:rPr>
        <w:t>，</w:t>
      </w:r>
      <w:r>
        <w:rPr>
          <w:rFonts w:ascii="Times New Roman" w:hAnsi="Times New Roman" w:cs="Times New Roman"/>
          <w:sz w:val="24"/>
          <w:szCs w:val="24"/>
        </w:rPr>
        <w:t>节能、节水、节材、绿化的运维管理记录</w:t>
      </w:r>
      <w:r>
        <w:rPr>
          <w:rFonts w:hint="eastAsia" w:ascii="Times New Roman" w:hAnsi="Times New Roman" w:cs="Times New Roman"/>
          <w:sz w:val="24"/>
          <w:szCs w:val="24"/>
        </w:rPr>
        <w:t>。</w:t>
      </w:r>
      <w:r>
        <w:rPr>
          <w:rFonts w:ascii="Times New Roman" w:hAnsi="Times New Roman" w:cs="Times New Roman"/>
          <w:sz w:val="24"/>
          <w:szCs w:val="24"/>
        </w:rPr>
        <w:t>查阅运行管理机构的工作考核体系文件（包括业绩考核办法）。</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第6.2.10</w:t>
      </w:r>
      <w:r>
        <w:rPr>
          <w:rFonts w:hint="eastAsia" w:ascii="Times New Roman" w:hAnsi="Times New Roman"/>
          <w:color w:val="000000" w:themeColor="text1"/>
          <w:sz w:val="24"/>
          <w:lang w:val="en-US" w:eastAsia="zh-CN"/>
          <w14:textFill>
            <w14:solidFill>
              <w14:schemeClr w14:val="tx1"/>
            </w14:solidFill>
          </w14:textFill>
        </w:rPr>
        <w:t>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sz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31</w:t>
      </w:r>
      <w:r>
        <w:rPr>
          <w:rFonts w:ascii="Times New Roman" w:hAnsi="Times New Roman" w:cs="Times New Roman"/>
          <w:b w:val="0"/>
          <w:bCs w:val="0"/>
          <w:color w:val="000000" w:themeColor="text1"/>
          <w:sz w:val="24"/>
          <w:szCs w:val="24"/>
          <w14:textFill>
            <w14:solidFill>
              <w14:schemeClr w14:val="tx1"/>
            </w14:solidFill>
          </w14:textFill>
        </w:rPr>
        <w:t>　</w:t>
      </w:r>
      <w:r>
        <w:rPr>
          <w:rFonts w:ascii="Times New Roman" w:hAnsi="Times New Roman" w:cs="Times New Roman"/>
          <w:sz w:val="24"/>
          <w:szCs w:val="24"/>
        </w:rPr>
        <w:t>第1款，对绿色建筑的运营效果进行评估是及时发现和解决建筑运营问题的重要手段，也是优化绿色建筑运行的重要途径。绿色建筑涉及的专业面广，所以制定绿色建筑运营效果评估技术方案和评估计划，是评估有序和全面开展的保障条件。根据评估结果，可发现绿色建筑是否达到预期运行目标，进而针对发现的运营问题制定绿色建筑优化运营方案，保持甚至提升绿色建筑运行效率和运营效果。</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各种公共设备的巡检，应制定设备设施的巡检制度，对日常巡检、月度巡检、季度巡检、巡检范围、巡检路线、记录表等做明确的要求和规范的管理并对应有完整的记录。定期的巡检包括：公共设施设备（管道井、绿化、路灯、外门窗等）的安全、完好程度、卫生情况等；设备间（配电室、机电系统机房、泵房）的运行参数、状态、卫生等；消防设备设施（室外消防栓、自动报警系统、灭火器）等完好程度、标识、状态等</w:t>
      </w:r>
      <w:r>
        <w:rPr>
          <w:rFonts w:hint="eastAsia" w:ascii="Times New Roman" w:hAnsi="Times New Roman" w:cs="Times New Roman"/>
          <w:sz w:val="24"/>
          <w:szCs w:val="24"/>
        </w:rPr>
        <w:t>。</w:t>
      </w:r>
      <w:r>
        <w:rPr>
          <w:rFonts w:ascii="Times New Roman" w:hAnsi="Times New Roman" w:cs="Times New Roman"/>
          <w:sz w:val="24"/>
          <w:szCs w:val="24"/>
        </w:rPr>
        <w:t>以上内容还应做好归档和记录。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系统、设备、装置的检查、调适不仅限于新建建筑的试运行和竣工验收，而应是一项持续性、长期性的工作。建筑运行期间，所有与建筑运行相关的管理、运行状态，建筑构件的耐久性、安全性等会随时间、环境、使用需求调整而发生变化，因此持续到位的维护特别重要。</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eastAsia" w:ascii="Times New Roman" w:hAnsi="Times New Roman" w:cs="Times New Roman"/>
          <w:sz w:val="24"/>
          <w:szCs w:val="24"/>
        </w:rPr>
      </w:pPr>
      <w:r>
        <w:rPr>
          <w:rFonts w:ascii="Times New Roman" w:hAnsi="Times New Roman" w:cs="Times New Roman"/>
          <w:sz w:val="24"/>
          <w:szCs w:val="24"/>
        </w:rPr>
        <w:t>第3款，物业管理机构有责任定期（每年）开展能源诊断。住宅类建筑能源诊断的内容主要包括：能耗现状调查、室内热环境和暖通空调系统等现状诊断。住宅类建筑能源诊断检测方法可参照现行行业标准《居住建筑节能检测标准》JGJ/T 132的有关规定。公共建筑能源诊断的内容主要包括：冷水机组、热泵机组的实际性能系数、锅炉运行效率、水泵效率、水系统补水率、水系统供回水温差、冷却塔冷却性能、风机单位风量耗功率、风系统平衡度等，公共建筑能源诊断检测方法可参照现行行业标准《公共建筑节能检测标准》JGJ/T 177的有关规定。</w:t>
      </w:r>
      <w:r>
        <w:rPr>
          <w:rFonts w:hint="eastAsia" w:ascii="Times New Roman" w:hAnsi="Times New Roman" w:cs="Times New Roman"/>
          <w:sz w:val="24"/>
          <w:szCs w:val="24"/>
        </w:rPr>
        <w:t>既可由物业管理部门自检，也可委托具有资质的第三方检测机构进行定期检测。</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第6.2.12</w:t>
      </w:r>
      <w:r>
        <w:rPr>
          <w:rFonts w:hint="eastAsia" w:ascii="Times New Roman" w:hAnsi="Times New Roman"/>
          <w:color w:val="000000" w:themeColor="text1"/>
          <w:sz w:val="24"/>
          <w:lang w:val="en-US" w:eastAsia="zh-CN"/>
          <w14:textFill>
            <w14:solidFill>
              <w14:schemeClr w14:val="tx1"/>
            </w14:solidFill>
          </w14:textFill>
        </w:rPr>
        <w:t>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第1款，查阅由物业管理团队制定的、与绿色建筑</w:t>
      </w:r>
      <w:r>
        <w:rPr>
          <w:rFonts w:hint="eastAsia" w:cs="Times New Roman"/>
          <w:sz w:val="24"/>
          <w:szCs w:val="24"/>
          <w:lang w:val="en-US" w:eastAsia="zh-CN"/>
        </w:rPr>
        <w:t>运行</w:t>
      </w:r>
      <w:r>
        <w:rPr>
          <w:rFonts w:ascii="Times New Roman" w:hAnsi="Times New Roman" w:cs="Times New Roman"/>
          <w:sz w:val="24"/>
          <w:szCs w:val="24"/>
        </w:rPr>
        <w:t>效果评估相关的工作制度文件</w:t>
      </w:r>
      <w:r>
        <w:rPr>
          <w:rFonts w:hint="eastAsia" w:ascii="Times New Roman" w:hAnsi="Times New Roman" w:cs="Times New Roman"/>
          <w:sz w:val="24"/>
          <w:szCs w:val="24"/>
        </w:rPr>
        <w:t>，</w:t>
      </w:r>
      <w:r>
        <w:rPr>
          <w:rFonts w:ascii="Times New Roman" w:hAnsi="Times New Roman" w:cs="Times New Roman"/>
          <w:sz w:val="24"/>
          <w:szCs w:val="24"/>
        </w:rPr>
        <w:t>重点审核工作制度是否包括开展绿色建筑</w:t>
      </w:r>
      <w:r>
        <w:rPr>
          <w:rFonts w:hint="eastAsia" w:cs="Times New Roman"/>
          <w:sz w:val="24"/>
          <w:szCs w:val="24"/>
          <w:lang w:val="en-US" w:eastAsia="zh-CN"/>
        </w:rPr>
        <w:t>运行</w:t>
      </w:r>
      <w:r>
        <w:rPr>
          <w:rFonts w:ascii="Times New Roman" w:hAnsi="Times New Roman" w:cs="Times New Roman"/>
          <w:sz w:val="24"/>
          <w:szCs w:val="24"/>
        </w:rPr>
        <w:t>效果评估工作的责任分工、时间安排和具体流程等内容。</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第2款，查阅各类公共设备设施最近一年的巡检、调适</w:t>
      </w:r>
      <w:r>
        <w:rPr>
          <w:rFonts w:hint="eastAsia" w:ascii="Times New Roman" w:hAnsi="Times New Roman" w:cs="Times New Roman"/>
          <w:sz w:val="24"/>
          <w:szCs w:val="24"/>
        </w:rPr>
        <w:t>、</w:t>
      </w:r>
      <w:r>
        <w:rPr>
          <w:rFonts w:ascii="Times New Roman" w:hAnsi="Times New Roman" w:cs="Times New Roman"/>
          <w:sz w:val="24"/>
          <w:szCs w:val="24"/>
        </w:rPr>
        <w:t>维保</w:t>
      </w:r>
      <w:r>
        <w:rPr>
          <w:rFonts w:hint="eastAsia" w:ascii="Times New Roman" w:hAnsi="Times New Roman" w:cs="Times New Roman"/>
          <w:sz w:val="24"/>
          <w:szCs w:val="24"/>
        </w:rPr>
        <w:t>、</w:t>
      </w:r>
      <w:r>
        <w:rPr>
          <w:rFonts w:ascii="Times New Roman" w:hAnsi="Times New Roman" w:cs="Times New Roman"/>
          <w:sz w:val="24"/>
          <w:szCs w:val="24"/>
        </w:rPr>
        <w:t>标定记录</w:t>
      </w:r>
      <w:r>
        <w:rPr>
          <w:rFonts w:hint="eastAsia" w:ascii="Times New Roman" w:hAnsi="Times New Roman" w:cs="Times New Roman"/>
          <w:sz w:val="24"/>
          <w:szCs w:val="24"/>
        </w:rPr>
        <w:t>，</w:t>
      </w:r>
      <w:r>
        <w:rPr>
          <w:rFonts w:ascii="Times New Roman" w:hAnsi="Times New Roman" w:cs="Times New Roman"/>
          <w:sz w:val="24"/>
          <w:szCs w:val="24"/>
        </w:rPr>
        <w:t>重点审核记录是否完整</w:t>
      </w:r>
      <w:r>
        <w:rPr>
          <w:rFonts w:hint="eastAsia" w:ascii="Times New Roman" w:hAnsi="Times New Roman" w:cs="Times New Roman"/>
          <w:sz w:val="24"/>
          <w:szCs w:val="24"/>
        </w:rPr>
        <w:t>、</w:t>
      </w:r>
      <w:r>
        <w:rPr>
          <w:rFonts w:ascii="Times New Roman" w:hAnsi="Times New Roman" w:cs="Times New Roman"/>
          <w:sz w:val="24"/>
          <w:szCs w:val="24"/>
        </w:rPr>
        <w:t>是否包括时间、巡检员和部门配合人员的签名、及发现问题后的整改情况。</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第3款，查阅能耗管理制度</w:t>
      </w:r>
      <w:r>
        <w:rPr>
          <w:rFonts w:hint="eastAsia" w:ascii="Times New Roman" w:hAnsi="Times New Roman" w:cs="Times New Roman"/>
          <w:sz w:val="24"/>
          <w:szCs w:val="24"/>
        </w:rPr>
        <w:t>、</w:t>
      </w:r>
      <w:r>
        <w:rPr>
          <w:rFonts w:ascii="Times New Roman" w:hAnsi="Times New Roman" w:cs="Times New Roman"/>
          <w:sz w:val="24"/>
          <w:szCs w:val="24"/>
        </w:rPr>
        <w:t>历年的能耗记录</w:t>
      </w:r>
      <w:r>
        <w:rPr>
          <w:rFonts w:hint="eastAsia" w:ascii="Times New Roman" w:hAnsi="Times New Roman" w:cs="Times New Roman"/>
          <w:sz w:val="24"/>
          <w:szCs w:val="24"/>
        </w:rPr>
        <w:t>、</w:t>
      </w:r>
      <w:r>
        <w:rPr>
          <w:rFonts w:ascii="Times New Roman" w:hAnsi="Times New Roman" w:cs="Times New Roman"/>
          <w:sz w:val="24"/>
          <w:szCs w:val="24"/>
        </w:rPr>
        <w:t>节能诊断评估报告</w:t>
      </w:r>
      <w:r>
        <w:rPr>
          <w:rFonts w:hint="eastAsia" w:ascii="Times New Roman" w:hAnsi="Times New Roman" w:cs="Times New Roman"/>
          <w:sz w:val="24"/>
          <w:szCs w:val="24"/>
        </w:rPr>
        <w:t>、</w:t>
      </w:r>
      <w:r>
        <w:rPr>
          <w:rFonts w:ascii="Times New Roman" w:hAnsi="Times New Roman" w:cs="Times New Roman"/>
          <w:sz w:val="24"/>
          <w:szCs w:val="24"/>
        </w:rPr>
        <w:t>优化方案，重点审核能耗记录数据是否全面</w:t>
      </w:r>
      <w:r>
        <w:rPr>
          <w:rFonts w:hint="eastAsia" w:ascii="Times New Roman" w:hAnsi="Times New Roman" w:cs="Times New Roman"/>
          <w:sz w:val="24"/>
          <w:szCs w:val="24"/>
        </w:rPr>
        <w:t>、</w:t>
      </w:r>
      <w:r>
        <w:rPr>
          <w:rFonts w:ascii="Times New Roman" w:hAnsi="Times New Roman" w:cs="Times New Roman"/>
          <w:sz w:val="24"/>
          <w:szCs w:val="24"/>
        </w:rPr>
        <w:t>报告是否明确</w:t>
      </w:r>
      <w:r>
        <w:rPr>
          <w:rFonts w:hint="eastAsia" w:cs="Times New Roman"/>
          <w:sz w:val="24"/>
          <w:szCs w:val="24"/>
          <w:lang w:val="en-US" w:eastAsia="zh-CN"/>
        </w:rPr>
        <w:t>参评建筑</w:t>
      </w:r>
      <w:r>
        <w:rPr>
          <w:rFonts w:ascii="Times New Roman" w:hAnsi="Times New Roman" w:cs="Times New Roman"/>
          <w:sz w:val="24"/>
          <w:szCs w:val="24"/>
        </w:rPr>
        <w:t>所处的节能水平及优化潜力</w:t>
      </w:r>
      <w:r>
        <w:rPr>
          <w:rFonts w:hint="eastAsia" w:ascii="Times New Roman" w:hAnsi="Times New Roman" w:cs="Times New Roman"/>
          <w:sz w:val="24"/>
          <w:szCs w:val="24"/>
        </w:rPr>
        <w:t>、</w:t>
      </w:r>
      <w:r>
        <w:rPr>
          <w:rFonts w:ascii="Times New Roman" w:hAnsi="Times New Roman" w:cs="Times New Roman"/>
          <w:sz w:val="24"/>
          <w:szCs w:val="24"/>
        </w:rPr>
        <w:t>方案是否明确了优化目标及措施。</w:t>
      </w:r>
    </w:p>
    <w:p>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ascii="Times New Roman" w:hAnsi="Times New Roman" w:cs="Times New Roman"/>
          <w:sz w:val="24"/>
          <w:szCs w:val="24"/>
        </w:rPr>
      </w:pPr>
      <w:r>
        <w:rPr>
          <w:rFonts w:hint="eastAsia" w:cs="Times New Roman"/>
          <w:b/>
          <w:bCs/>
          <w:sz w:val="24"/>
          <w:szCs w:val="24"/>
          <w:lang w:val="en-US" w:eastAsia="zh-CN"/>
        </w:rPr>
        <w:t>4</w:t>
      </w:r>
      <w:r>
        <w:rPr>
          <w:rFonts w:ascii="Times New Roman" w:hAnsi="Times New Roman" w:cs="Times New Roman"/>
          <w:b/>
          <w:bCs/>
          <w:sz w:val="24"/>
          <w:szCs w:val="24"/>
        </w:rPr>
        <w:t>.</w:t>
      </w:r>
      <w:r>
        <w:rPr>
          <w:rFonts w:hint="eastAsia" w:cs="Times New Roman"/>
          <w:b/>
          <w:bCs/>
          <w:sz w:val="24"/>
          <w:szCs w:val="24"/>
          <w:lang w:val="en-US" w:eastAsia="zh-CN"/>
        </w:rPr>
        <w:t>3</w:t>
      </w:r>
      <w:r>
        <w:rPr>
          <w:rFonts w:ascii="Times New Roman" w:hAnsi="Times New Roman" w:cs="Times New Roman"/>
          <w:b/>
          <w:bCs/>
          <w:sz w:val="24"/>
          <w:szCs w:val="24"/>
        </w:rPr>
        <w:t>.</w:t>
      </w:r>
      <w:r>
        <w:rPr>
          <w:rFonts w:hint="eastAsia" w:cs="Times New Roman"/>
          <w:b/>
          <w:bCs/>
          <w:sz w:val="24"/>
          <w:szCs w:val="24"/>
          <w:lang w:val="en-US" w:eastAsia="zh-CN"/>
        </w:rPr>
        <w:t>32</w:t>
      </w:r>
      <w:r>
        <w:rPr>
          <w:rFonts w:ascii="Times New Roman" w:hAnsi="Times New Roman" w:cs="Times New Roman"/>
          <w:b/>
          <w:bCs/>
          <w:sz w:val="24"/>
          <w:szCs w:val="24"/>
        </w:rPr>
        <w:t>　</w:t>
      </w:r>
      <w:r>
        <w:rPr>
          <w:rFonts w:ascii="Times New Roman" w:hAnsi="Times New Roman" w:cs="Times New Roman"/>
          <w:sz w:val="24"/>
          <w:szCs w:val="24"/>
        </w:rPr>
        <w:t>第1款，绿色教育宣传可通过制作宣传海报、组织培训与宣传教育会议、组织参观</w:t>
      </w:r>
      <w:r>
        <w:rPr>
          <w:rFonts w:hint="eastAsia" w:ascii="Times New Roman" w:hAnsi="Times New Roman" w:cs="Times New Roman"/>
          <w:sz w:val="24"/>
          <w:szCs w:val="24"/>
        </w:rPr>
        <w:t>、</w:t>
      </w:r>
      <w:r>
        <w:rPr>
          <w:rFonts w:ascii="Times New Roman" w:hAnsi="Times New Roman" w:cs="Times New Roman"/>
          <w:sz w:val="24"/>
          <w:szCs w:val="24"/>
        </w:rPr>
        <w:t>媒体报道等方式实现，可包括：</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1）开展绿色建筑新技术新产品展示、技术交流和教育培训，宣传绿色建筑的基础知识、设计理念和技术策略；</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2）宣传引导节约意识和行为，如纠正并杜绝开窗运行空调、无人照明、无人空调等不良习惯，促进绿色建筑的推广应用。</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3）在公共场所显示绿色建筑的节能、节水、减排成果和环境数据。</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4）对于绿色行为（如垃圾分类收集等）的奖惩办法。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第2款，利用实体平台或网络平台开展展示体验</w:t>
      </w:r>
      <w:r>
        <w:rPr>
          <w:rFonts w:hint="eastAsia" w:ascii="Times New Roman" w:hAnsi="Times New Roman" w:cs="Times New Roman"/>
          <w:sz w:val="24"/>
          <w:szCs w:val="24"/>
        </w:rPr>
        <w:t>、交流分享、</w:t>
      </w:r>
      <w:r>
        <w:rPr>
          <w:rFonts w:ascii="Times New Roman" w:hAnsi="Times New Roman" w:cs="Times New Roman"/>
          <w:sz w:val="24"/>
          <w:szCs w:val="24"/>
        </w:rPr>
        <w:t>宣传推广活动</w:t>
      </w:r>
      <w:r>
        <w:rPr>
          <w:rFonts w:hint="eastAsia" w:ascii="Times New Roman" w:hAnsi="Times New Roman" w:cs="Times New Roman"/>
          <w:sz w:val="24"/>
          <w:szCs w:val="24"/>
        </w:rPr>
        <w:t>，</w:t>
      </w:r>
      <w:r>
        <w:rPr>
          <w:rFonts w:ascii="Times New Roman" w:hAnsi="Times New Roman" w:cs="Times New Roman"/>
          <w:sz w:val="24"/>
          <w:szCs w:val="24"/>
        </w:rPr>
        <w:t>例如建立绿色生活的体验小站</w:t>
      </w:r>
      <w:r>
        <w:rPr>
          <w:rFonts w:hint="eastAsia" w:ascii="Times New Roman" w:hAnsi="Times New Roman" w:cs="Times New Roman"/>
          <w:sz w:val="24"/>
          <w:szCs w:val="24"/>
        </w:rPr>
        <w:t>、</w:t>
      </w:r>
      <w:r>
        <w:rPr>
          <w:rFonts w:ascii="Times New Roman" w:hAnsi="Times New Roman" w:cs="Times New Roman"/>
          <w:sz w:val="24"/>
          <w:szCs w:val="24"/>
        </w:rPr>
        <w:t>旧物置换</w:t>
      </w:r>
      <w:r>
        <w:rPr>
          <w:rFonts w:hint="eastAsia" w:ascii="Times New Roman" w:hAnsi="Times New Roman" w:cs="Times New Roman"/>
          <w:sz w:val="24"/>
          <w:szCs w:val="24"/>
        </w:rPr>
        <w:t>、</w:t>
      </w:r>
      <w:r>
        <w:rPr>
          <w:rFonts w:ascii="Times New Roman" w:hAnsi="Times New Roman" w:cs="Times New Roman"/>
          <w:sz w:val="24"/>
          <w:szCs w:val="24"/>
        </w:rPr>
        <w:t>步数绿色积分</w:t>
      </w:r>
      <w:r>
        <w:rPr>
          <w:rFonts w:hint="eastAsia" w:ascii="Times New Roman" w:hAnsi="Times New Roman" w:cs="Times New Roman"/>
          <w:sz w:val="24"/>
          <w:szCs w:val="24"/>
        </w:rPr>
        <w:t>、</w:t>
      </w:r>
      <w:r>
        <w:rPr>
          <w:rFonts w:ascii="Times New Roman" w:hAnsi="Times New Roman" w:cs="Times New Roman"/>
          <w:sz w:val="24"/>
          <w:szCs w:val="24"/>
        </w:rPr>
        <w:t>绿色小天使亲子活动等</w:t>
      </w:r>
      <w:r>
        <w:rPr>
          <w:rFonts w:hint="eastAsia" w:ascii="Times New Roman" w:hAnsi="Times New Roman" w:cs="Times New Roman"/>
          <w:sz w:val="24"/>
          <w:szCs w:val="24"/>
        </w:rPr>
        <w:t>。</w:t>
      </w:r>
      <w:r>
        <w:rPr>
          <w:rFonts w:ascii="Times New Roman" w:hAnsi="Times New Roman" w:cs="Times New Roman"/>
          <w:sz w:val="24"/>
          <w:szCs w:val="24"/>
        </w:rPr>
        <w:t>绿色设施使用手册是为建筑使用者及物业管理人员提供的各类设备设施的功能</w:t>
      </w:r>
      <w:r>
        <w:rPr>
          <w:rFonts w:hint="eastAsia" w:ascii="Times New Roman" w:hAnsi="Times New Roman" w:cs="Times New Roman"/>
          <w:sz w:val="24"/>
          <w:szCs w:val="24"/>
        </w:rPr>
        <w:t>、</w:t>
      </w:r>
      <w:r>
        <w:rPr>
          <w:rFonts w:ascii="Times New Roman" w:hAnsi="Times New Roman" w:cs="Times New Roman"/>
          <w:sz w:val="24"/>
          <w:szCs w:val="24"/>
        </w:rPr>
        <w:t>作用及使用说明的文件。绿色</w:t>
      </w:r>
      <w:r>
        <w:rPr>
          <w:rFonts w:hint="eastAsia" w:ascii="Times New Roman" w:hAnsi="Times New Roman" w:cs="Times New Roman"/>
          <w:sz w:val="24"/>
          <w:szCs w:val="24"/>
        </w:rPr>
        <w:t>设施</w:t>
      </w:r>
      <w:r>
        <w:rPr>
          <w:rFonts w:ascii="Times New Roman" w:hAnsi="Times New Roman" w:cs="Times New Roman"/>
          <w:sz w:val="24"/>
          <w:szCs w:val="24"/>
        </w:rPr>
        <w:t>包括建筑设备管理系统</w:t>
      </w:r>
      <w:r>
        <w:rPr>
          <w:rFonts w:hint="eastAsia" w:ascii="Times New Roman" w:hAnsi="Times New Roman" w:cs="Times New Roman"/>
          <w:sz w:val="24"/>
          <w:szCs w:val="24"/>
        </w:rPr>
        <w:t>、</w:t>
      </w:r>
      <w:r>
        <w:rPr>
          <w:rFonts w:ascii="Times New Roman" w:hAnsi="Times New Roman" w:cs="Times New Roman"/>
          <w:sz w:val="24"/>
          <w:szCs w:val="24"/>
        </w:rPr>
        <w:t>节能灯具</w:t>
      </w:r>
      <w:r>
        <w:rPr>
          <w:rFonts w:hint="eastAsia" w:ascii="Times New Roman" w:hAnsi="Times New Roman" w:cs="Times New Roman"/>
          <w:sz w:val="24"/>
          <w:szCs w:val="24"/>
        </w:rPr>
        <w:t>、</w:t>
      </w:r>
      <w:r>
        <w:rPr>
          <w:rFonts w:ascii="Times New Roman" w:hAnsi="Times New Roman" w:cs="Times New Roman"/>
          <w:sz w:val="24"/>
          <w:szCs w:val="24"/>
        </w:rPr>
        <w:t>遮阳设施</w:t>
      </w:r>
      <w:r>
        <w:rPr>
          <w:rFonts w:hint="eastAsia" w:ascii="Times New Roman" w:hAnsi="Times New Roman" w:cs="Times New Roman"/>
          <w:sz w:val="24"/>
          <w:szCs w:val="24"/>
        </w:rPr>
        <w:t>、</w:t>
      </w:r>
      <w:r>
        <w:rPr>
          <w:rFonts w:ascii="Times New Roman" w:hAnsi="Times New Roman" w:cs="Times New Roman"/>
          <w:sz w:val="24"/>
          <w:szCs w:val="24"/>
        </w:rPr>
        <w:t>可再生能源系统</w:t>
      </w:r>
      <w:r>
        <w:rPr>
          <w:rFonts w:hint="eastAsia" w:ascii="Times New Roman" w:hAnsi="Times New Roman" w:cs="Times New Roman"/>
          <w:sz w:val="24"/>
          <w:szCs w:val="24"/>
        </w:rPr>
        <w:t>、</w:t>
      </w:r>
      <w:r>
        <w:rPr>
          <w:rFonts w:ascii="Times New Roman" w:hAnsi="Times New Roman" w:cs="Times New Roman"/>
          <w:sz w:val="24"/>
          <w:szCs w:val="24"/>
        </w:rPr>
        <w:t>非传统水源系统</w:t>
      </w:r>
      <w:r>
        <w:rPr>
          <w:rFonts w:hint="eastAsia" w:ascii="Times New Roman" w:hAnsi="Times New Roman" w:cs="Times New Roman"/>
          <w:sz w:val="24"/>
          <w:szCs w:val="24"/>
        </w:rPr>
        <w:t>、</w:t>
      </w:r>
      <w:r>
        <w:rPr>
          <w:rFonts w:ascii="Times New Roman" w:hAnsi="Times New Roman" w:cs="Times New Roman"/>
          <w:sz w:val="24"/>
          <w:szCs w:val="24"/>
        </w:rPr>
        <w:t>节水器具</w:t>
      </w:r>
      <w:r>
        <w:rPr>
          <w:rFonts w:hint="eastAsia" w:ascii="Times New Roman" w:hAnsi="Times New Roman" w:cs="Times New Roman"/>
          <w:sz w:val="24"/>
          <w:szCs w:val="24"/>
        </w:rPr>
        <w:t>、</w:t>
      </w:r>
      <w:r>
        <w:rPr>
          <w:rFonts w:ascii="Times New Roman" w:hAnsi="Times New Roman" w:cs="Times New Roman"/>
          <w:sz w:val="24"/>
          <w:szCs w:val="24"/>
        </w:rPr>
        <w:t>节水绿化灌溉设施</w:t>
      </w:r>
      <w:r>
        <w:rPr>
          <w:rFonts w:hint="eastAsia" w:ascii="Times New Roman" w:hAnsi="Times New Roman" w:cs="Times New Roman"/>
          <w:sz w:val="24"/>
          <w:szCs w:val="24"/>
        </w:rPr>
        <w:t>、</w:t>
      </w:r>
      <w:r>
        <w:rPr>
          <w:rFonts w:ascii="Times New Roman" w:hAnsi="Times New Roman" w:cs="Times New Roman"/>
          <w:sz w:val="24"/>
          <w:szCs w:val="24"/>
        </w:rPr>
        <w:t>垃圾分类处理设施等。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3款，定期用户调查是了解用户满意程度的有效措施，在“调查-提升-反馈”的循环过程中不断改进。问卷调查工作一年不少于一次，调查内容至少包括下列大类中所涉及的内容：1.声环境；2.热舒适（采暖季和空调季，至少各调查一次）；3.采光与照明；4.室内空气质量（异味、不通风以及其他空气质量问题）；5.服务设施保洁和维护；6.物业服务水平。调查要着重关注节能节水</w:t>
      </w:r>
      <w:r>
        <w:rPr>
          <w:rFonts w:hint="eastAsia" w:ascii="Times New Roman" w:hAnsi="Times New Roman" w:cs="Times New Roman"/>
          <w:sz w:val="24"/>
          <w:szCs w:val="24"/>
        </w:rPr>
        <w:t>、</w:t>
      </w:r>
      <w:r>
        <w:rPr>
          <w:rFonts w:ascii="Times New Roman" w:hAnsi="Times New Roman" w:cs="Times New Roman"/>
          <w:sz w:val="24"/>
          <w:szCs w:val="24"/>
        </w:rPr>
        <w:t>物业管理</w:t>
      </w:r>
      <w:r>
        <w:rPr>
          <w:rFonts w:hint="eastAsia" w:ascii="Times New Roman" w:hAnsi="Times New Roman" w:cs="Times New Roman"/>
          <w:sz w:val="24"/>
          <w:szCs w:val="24"/>
        </w:rPr>
        <w:t>、</w:t>
      </w:r>
      <w:r>
        <w:rPr>
          <w:rFonts w:ascii="Times New Roman" w:hAnsi="Times New Roman" w:cs="Times New Roman"/>
          <w:sz w:val="24"/>
          <w:szCs w:val="24"/>
        </w:rPr>
        <w:t>秩序与安全</w:t>
      </w:r>
      <w:r>
        <w:rPr>
          <w:rFonts w:hint="eastAsia" w:ascii="Times New Roman" w:hAnsi="Times New Roman" w:cs="Times New Roman"/>
          <w:sz w:val="24"/>
          <w:szCs w:val="24"/>
        </w:rPr>
        <w:t>、</w:t>
      </w:r>
      <w:r>
        <w:rPr>
          <w:rFonts w:ascii="Times New Roman" w:hAnsi="Times New Roman" w:cs="Times New Roman"/>
          <w:sz w:val="24"/>
          <w:szCs w:val="24"/>
        </w:rPr>
        <w:t>车辆管理</w:t>
      </w:r>
      <w:r>
        <w:rPr>
          <w:rFonts w:hint="eastAsia" w:ascii="Times New Roman" w:hAnsi="Times New Roman" w:cs="Times New Roman"/>
          <w:sz w:val="24"/>
          <w:szCs w:val="24"/>
        </w:rPr>
        <w:t>、</w:t>
      </w:r>
      <w:r>
        <w:rPr>
          <w:rFonts w:ascii="Times New Roman" w:hAnsi="Times New Roman" w:cs="Times New Roman"/>
          <w:sz w:val="24"/>
          <w:szCs w:val="24"/>
        </w:rPr>
        <w:t>公共环境</w:t>
      </w:r>
      <w:r>
        <w:rPr>
          <w:rFonts w:hint="eastAsia" w:ascii="Times New Roman" w:hAnsi="Times New Roman" w:cs="Times New Roman"/>
          <w:sz w:val="24"/>
          <w:szCs w:val="24"/>
        </w:rPr>
        <w:t>、</w:t>
      </w:r>
      <w:r>
        <w:rPr>
          <w:rFonts w:ascii="Times New Roman" w:hAnsi="Times New Roman" w:cs="Times New Roman"/>
          <w:sz w:val="24"/>
          <w:szCs w:val="24"/>
        </w:rPr>
        <w:t>建筑外墙维护等</w:t>
      </w:r>
      <w:r>
        <w:rPr>
          <w:rFonts w:hint="eastAsia" w:ascii="Times New Roman" w:hAnsi="Times New Roman" w:cs="Times New Roman"/>
          <w:sz w:val="24"/>
          <w:szCs w:val="24"/>
        </w:rPr>
        <w:t>。</w:t>
      </w:r>
      <w:r>
        <w:rPr>
          <w:rFonts w:ascii="Times New Roman" w:hAnsi="Times New Roman" w:cs="Times New Roman"/>
          <w:sz w:val="24"/>
          <w:szCs w:val="24"/>
        </w:rPr>
        <w:t>根据问卷结果制定改进计划和措施，进行有针对性的改进。</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6.2.13条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第1款，查阅物业管理部门</w:t>
      </w:r>
      <w:r>
        <w:rPr>
          <w:rFonts w:hint="eastAsia" w:ascii="Times New Roman" w:hAnsi="Times New Roman" w:cs="Times New Roman"/>
          <w:sz w:val="24"/>
          <w:szCs w:val="24"/>
        </w:rPr>
        <w:t>素质</w:t>
      </w:r>
      <w:r>
        <w:rPr>
          <w:rFonts w:ascii="Times New Roman" w:hAnsi="Times New Roman" w:cs="Times New Roman"/>
          <w:sz w:val="24"/>
          <w:szCs w:val="24"/>
        </w:rPr>
        <w:t>的绿色教育宣传实践活动的内容和存档记录</w:t>
      </w:r>
      <w:r>
        <w:rPr>
          <w:rFonts w:hint="eastAsia" w:ascii="Times New Roman" w:hAnsi="Times New Roman" w:cs="Times New Roman"/>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第2款，查阅所建立的实体或网络平台及活动开展情况</w:t>
      </w:r>
      <w:r>
        <w:rPr>
          <w:rFonts w:hint="eastAsia" w:ascii="Times New Roman" w:hAnsi="Times New Roman" w:cs="Times New Roman"/>
          <w:sz w:val="24"/>
          <w:szCs w:val="24"/>
        </w:rPr>
        <w:t>，</w:t>
      </w:r>
      <w:r>
        <w:rPr>
          <w:rFonts w:ascii="Times New Roman" w:hAnsi="Times New Roman" w:cs="Times New Roman"/>
          <w:sz w:val="24"/>
          <w:szCs w:val="24"/>
        </w:rPr>
        <w:t>绿色设施使用手册及发放记录。</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s="Times New Roman"/>
          <w:sz w:val="24"/>
          <w:szCs w:val="24"/>
        </w:rPr>
      </w:pPr>
      <w:r>
        <w:rPr>
          <w:rFonts w:ascii="Times New Roman" w:hAnsi="Times New Roman" w:cs="Times New Roman"/>
          <w:sz w:val="24"/>
          <w:szCs w:val="24"/>
        </w:rPr>
        <w:t>第3款，查阅使用者满意度调查工作记录</w:t>
      </w:r>
      <w:r>
        <w:rPr>
          <w:rFonts w:hint="eastAsia" w:ascii="Times New Roman" w:hAnsi="Times New Roman" w:cs="Times New Roman"/>
          <w:sz w:val="24"/>
          <w:szCs w:val="24"/>
        </w:rPr>
        <w:t>、</w:t>
      </w:r>
      <w:r>
        <w:rPr>
          <w:rFonts w:ascii="Times New Roman" w:hAnsi="Times New Roman" w:cs="Times New Roman"/>
          <w:sz w:val="24"/>
          <w:szCs w:val="24"/>
        </w:rPr>
        <w:t>年度调查报告及整改方案等。</w:t>
      </w:r>
    </w:p>
    <w:p>
      <w:pPr>
        <w:shd w:val="clear"/>
        <w:adjustRightInd/>
        <w:snapToGrid/>
        <w:spacing w:before="0" w:beforeLines="-2147483648" w:after="0" w:afterLines="-2147483648" w:line="240" w:lineRule="auto"/>
        <w:jc w:val="left"/>
        <w:outlineLvl w:val="9"/>
        <w:rPr>
          <w:rFonts w:hint="default"/>
          <w:b w:val="0"/>
          <w:color w:val="000000" w:themeColor="text1"/>
          <w:sz w:val="24"/>
          <w14:textFill>
            <w14:solidFill>
              <w14:schemeClr w14:val="tx1"/>
            </w14:solidFill>
          </w14:textFill>
        </w:rPr>
      </w:pPr>
      <w:r>
        <w:rPr>
          <w:rFonts w:hint="default"/>
          <w:b w:val="0"/>
          <w:color w:val="000000" w:themeColor="text1"/>
          <w:sz w:val="24"/>
          <w14:textFill>
            <w14:solidFill>
              <w14:schemeClr w14:val="tx1"/>
            </w14:solidFill>
          </w14:textFill>
        </w:rPr>
        <w:br w:type="page"/>
      </w:r>
    </w:p>
    <w:p>
      <w:pPr>
        <w:shd w:val="clear"/>
        <w:adjustRightInd w:val="0"/>
        <w:snapToGrid w:val="0"/>
        <w:spacing w:before="93" w:beforeLines="30" w:after="93" w:afterLines="30" w:line="312" w:lineRule="auto"/>
        <w:jc w:val="center"/>
        <w:outlineLvl w:val="9"/>
        <w:rPr>
          <w:rFonts w:hint="default"/>
          <w:b w:val="0"/>
          <w:color w:val="000000" w:themeColor="text1"/>
          <w:sz w:val="24"/>
          <w14:textFill>
            <w14:solidFill>
              <w14:schemeClr w14:val="tx1"/>
            </w14:solidFill>
          </w14:textFill>
        </w:rPr>
      </w:pPr>
      <w:r>
        <w:rPr>
          <w:rFonts w:hint="default"/>
          <w:b w:val="0"/>
          <w:color w:val="000000" w:themeColor="text1"/>
          <w:sz w:val="24"/>
          <w14:textFill>
            <w14:solidFill>
              <w14:schemeClr w14:val="tx1"/>
            </w14:solidFill>
          </w14:textFill>
        </w:rPr>
        <w:t>Ⅳ 环境宜居</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eastAsia"/>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4.3.33</w:t>
      </w:r>
      <w:r>
        <w:rPr>
          <w:rFonts w:hint="eastAsia"/>
          <w:color w:val="000000" w:themeColor="text1"/>
          <w:sz w:val="24"/>
          <w:lang w:val="en-US" w:eastAsia="zh-CN"/>
          <w14:textFill>
            <w14:solidFill>
              <w14:schemeClr w14:val="tx1"/>
            </w14:solidFill>
          </w14:textFill>
        </w:rPr>
        <w:t xml:space="preserve">  本条评估时，以年径流总量控率及径流体积控制作为评判和得分依据。</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年径流总量控制率及径流体积控制评价方法应符合《海绵城市建设评价标准》GB/T 51345的规定。</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查阅场地年径流总量控制率及径流体积控制计算报告或海绵城市建设效果评估报告。</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34</w:t>
      </w:r>
      <w:r>
        <w:rPr>
          <w:color w:val="000000" w:themeColor="text1"/>
          <w:sz w:val="24"/>
          <w14:textFill>
            <w14:solidFill>
              <w14:schemeClr w14:val="tx1"/>
            </w14:solidFill>
          </w14:textFill>
        </w:rPr>
        <w:t xml:space="preserve">  物业管理机构应采取措施保证种植的树木有较高的成活率。</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采用耐候性强的乡土植物。建立并完善栽植树木的后期管护工作。对行道树、花灌木、绿篱定期修剪，对草坪及时修剪。及时做好树木病虫害预测、防治工作，做到树木无暴发性病虫害，保证树木有较高的成活率。发现危树、枯死树木及时处理。保持草坪、地被完整。</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政府主管部门制定的城市园林绿化养护管理标准应作为</w:t>
      </w:r>
      <w:r>
        <w:rPr>
          <w:rFonts w:hint="eastAsia"/>
          <w:color w:val="000000" w:themeColor="text1"/>
          <w:sz w:val="24"/>
          <w:lang w:val="en-US" w:eastAsia="zh-CN"/>
          <w14:textFill>
            <w14:solidFill>
              <w14:schemeClr w14:val="tx1"/>
            </w14:solidFill>
          </w14:textFill>
        </w:rPr>
        <w:t>评估</w:t>
      </w:r>
      <w:r>
        <w:rPr>
          <w:color w:val="000000" w:themeColor="text1"/>
          <w:sz w:val="24"/>
          <w14:textFill>
            <w14:solidFill>
              <w14:schemeClr w14:val="tx1"/>
            </w14:solidFill>
          </w14:textFill>
        </w:rPr>
        <w:t>的主要依据。</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物业管理机构应制定并执行绿化的操作规程。绿化的操作规程是指为保证各项设施、设备能够安全、稳定、有效运行而制定的，相关人员在操作时必须遵循的程序或步骤。重点关注各类设施的运行是否有章可依，应急预案是否完善并有效执行。</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依据建成环境实际现场考察的植物配置、生长、维护情况判断得分。绿化操作规程评估时，查阅相关管理制度、操作规程、应急预案、操作人员的专业证书、节能节水设施的运行记录并现场核查。</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本条重点关注栽种或移植树木的成活率以及生长状态。评估时，查阅绿化管理制度、绿化日常管理记录，包括树木栽种、枯死等记录</w:t>
      </w:r>
      <w:r>
        <w:rPr>
          <w:rFonts w:hint="eastAsia"/>
          <w:color w:val="000000" w:themeColor="text1"/>
          <w:sz w:val="24"/>
          <w:lang w:val="en-US" w:eastAsia="zh-CN"/>
          <w14:textFill>
            <w14:solidFill>
              <w14:schemeClr w14:val="tx1"/>
            </w14:solidFill>
          </w14:textFill>
        </w:rPr>
        <w:t>和</w:t>
      </w:r>
      <w:r>
        <w:rPr>
          <w:color w:val="000000" w:themeColor="text1"/>
          <w:sz w:val="24"/>
          <w14:textFill>
            <w14:solidFill>
              <w14:schemeClr w14:val="tx1"/>
            </w14:solidFill>
          </w14:textFill>
        </w:rPr>
        <w:t>枯死处置情况等。现场核实树木生长状态。绿化管理制度应包括树木、植物养护和补种的具体规定和目标。绿化日常管理记录应包括浇灌、施肥、剪枝以及病虫害防治等内容。</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当整个用地范围内部分建筑参评时，本条的</w:t>
      </w:r>
      <w:r>
        <w:rPr>
          <w:rFonts w:hint="eastAsia"/>
          <w:color w:val="000000" w:themeColor="text1"/>
          <w:sz w:val="24"/>
          <w:lang w:val="en-US" w:eastAsia="zh-CN"/>
          <w14:textFill>
            <w14:solidFill>
              <w14:schemeClr w14:val="tx1"/>
            </w14:solidFill>
          </w14:textFill>
        </w:rPr>
        <w:t>评估</w:t>
      </w:r>
      <w:r>
        <w:rPr>
          <w:color w:val="000000" w:themeColor="text1"/>
          <w:sz w:val="24"/>
          <w14:textFill>
            <w14:solidFill>
              <w14:schemeClr w14:val="tx1"/>
            </w14:solidFill>
          </w14:textFill>
        </w:rPr>
        <w:t>范围仍为整个用地范围。</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当</w:t>
      </w:r>
      <w:r>
        <w:rPr>
          <w:rFonts w:hint="eastAsia"/>
          <w:color w:val="000000" w:themeColor="text1"/>
          <w:sz w:val="24"/>
          <w:lang w:val="en-US" w:eastAsia="zh-CN"/>
          <w14:textFill>
            <w14:solidFill>
              <w14:schemeClr w14:val="tx1"/>
            </w14:solidFill>
          </w14:textFill>
        </w:rPr>
        <w:t>参评建筑</w:t>
      </w:r>
      <w:r>
        <w:rPr>
          <w:color w:val="000000" w:themeColor="text1"/>
          <w:sz w:val="24"/>
          <w14:textFill>
            <w14:solidFill>
              <w14:schemeClr w14:val="tx1"/>
            </w14:solidFill>
          </w14:textFill>
        </w:rPr>
        <w:t>的绿化工程委托专业机构实施养护时，应由养护机构提交本条要求的相关资料。</w:t>
      </w:r>
    </w:p>
    <w:p>
      <w:pPr>
        <w:shd w:val="clear"/>
        <w:adjustRightInd w:val="0"/>
        <w:snapToGrid w:val="0"/>
        <w:spacing w:before="93" w:beforeLines="30" w:after="93" w:afterLines="30" w:line="312" w:lineRule="auto"/>
        <w:ind w:firstLine="480" w:firstLineChars="200"/>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35</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室外吸烟区的位置应避免人员密集区、有遮阴的人员聚集区，建筑出</w:t>
      </w:r>
      <w:r>
        <w:rPr>
          <w:rFonts w:hint="eastAsia"/>
          <w:color w:val="000000" w:themeColor="text1"/>
          <w:sz w:val="24"/>
          <w:lang w:val="en-US" w:eastAsia="zh-CN"/>
          <w14:textFill>
            <w14:solidFill>
              <w14:schemeClr w14:val="tx1"/>
            </w14:solidFill>
          </w14:textFill>
        </w:rPr>
        <w:t>入</w:t>
      </w:r>
      <w:r>
        <w:rPr>
          <w:color w:val="000000" w:themeColor="text1"/>
          <w:sz w:val="24"/>
          <w14:textFill>
            <w14:solidFill>
              <w14:schemeClr w14:val="tx1"/>
            </w14:solidFill>
          </w14:textFill>
        </w:rPr>
        <w:t>口、雨棚等半开敞的空间、可开启窗户、建筑新风引人口、儿童和老年人活动区域等位置。8m指的是直线距离。吸烟区内须配置垃圾</w:t>
      </w:r>
      <w:r>
        <w:rPr>
          <w:rFonts w:hint="eastAsia"/>
          <w:color w:val="000000" w:themeColor="text1"/>
          <w:sz w:val="24"/>
          <w:lang w:val="en-US" w:eastAsia="zh-CN"/>
          <w14:textFill>
            <w14:solidFill>
              <w14:schemeClr w14:val="tx1"/>
            </w14:solidFill>
          </w14:textFill>
        </w:rPr>
        <w:t>桶</w:t>
      </w:r>
      <w:r>
        <w:rPr>
          <w:color w:val="000000" w:themeColor="text1"/>
          <w:sz w:val="24"/>
          <w14:textFill>
            <w14:solidFill>
              <w14:schemeClr w14:val="tx1"/>
            </w14:solidFill>
          </w14:textFill>
        </w:rPr>
        <w:t>和吸烟有害健康的警示标识。对于居住区、大型公共建筑群等，可以根据场地条件，设置多个室外吸烟区。</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《国务院关于实施健康中国行动的意见》（国发〔2019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13号</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提出“鼓励领导干部、医务人员和教师发挥控烟引领作用”，因此，幼儿园、中小学校等的场地内不得设置室外吸烟区并应当设置禁烟标识。</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查阅竣工文件中并现场核查，重点审查室外吸烟区在总平面图上的布置点，直线距离是否满足条文要求，不设吸烟区的场地是否设置禁烟标识。</w:t>
      </w:r>
      <w:r>
        <w:rPr>
          <w:rFonts w:hint="eastAsia"/>
          <w:color w:val="000000" w:themeColor="text1"/>
          <w:sz w:val="24"/>
          <w:lang w:val="en-US" w:eastAsia="zh-CN"/>
          <w14:textFill>
            <w14:solidFill>
              <w14:schemeClr w14:val="tx1"/>
            </w14:solidFill>
          </w14:textFill>
        </w:rPr>
        <w:t>本条沿用了《绿色建筑评价标准》GB/T 50378-2019第8.2.4条的结果性评价要求。</w:t>
      </w:r>
    </w:p>
    <w:p>
      <w:pPr>
        <w:pStyle w:val="5"/>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sz w:val="24"/>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textAlignment w:val="auto"/>
        <w:outlineLvl w:val="9"/>
        <w:rPr>
          <w:rFonts w:hint="default" w:ascii="Times New Roman" w:hAnsi="Times New Roman"/>
          <w:color w:val="000000" w:themeColor="text1"/>
          <w:sz w:val="24"/>
          <w14:textFill>
            <w14:solidFill>
              <w14:schemeClr w14:val="tx1"/>
            </w14:solidFill>
          </w14:textFill>
        </w:rPr>
      </w:pPr>
      <w:r>
        <w:rPr>
          <w:rFonts w:hint="default" w:ascii="Times New Roman" w:hAnsi="Times New Roman"/>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ascii="Times New Roman" w:hAnsi="Times New Roman"/>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36</w:t>
      </w:r>
      <w:r>
        <w:rPr>
          <w:rFonts w:hint="default"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绿色雨水基础设施通常包括雨水花园、下凹式绿地、屋顶绿化、植被浅沟、雨水塘、雨水湿地、景观水体等。绿色雨水基础设施有别于传统的灰色雨水设施（雨水口、雨水管道、调蓄池等)，能够以自然的方式削减雨水径流、控制径流污染、保护水环境。</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第1款，能调蓄雨水的景观绿地包括下凹式绿地、雨水花园、树池、干塘等。本款进行比例计算时，作为分母的“绿地面积”指计入绿地率的绿地（含水面〉的总面积。场地竖向应合理设计室外广场、道路、绿地等的标高，设计应保证周边道路和场地的雨水能重力自流进入下凹绿地、雨水花园、树池、干塘等的。</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第2、3款分别针对屋面和道路。地面生态设施是指下凹式绿地、植草沟、树池等，即在地势较低的区域种植植物，通过植物截流、土壤过滤滞留处理小流量径流雨水，达到控制径流污染的目的。要求80%的屋面和道路排放的雨水采用断接方式。通过雨水断接、场地竖向组织等措施，引导屋面雨水和道路雨水进入地面生态设施进行调蓄、下渗和利用，保证雨水在滞蓄和排放过程中有良好的衔接关系，保障排入自然水体、景观水体或市政雨水管的雨水的水质、水量安全。屋面雨水采用断接形式时，需保证雨水能够畅通地进入地面生态设施。高层建筑屋面雨水断接时应采用设置消能井、卵石沟等</w:t>
      </w:r>
      <w:r>
        <w:rPr>
          <w:rFonts w:hint="eastAsia"/>
          <w:color w:val="000000" w:themeColor="text1"/>
          <w:sz w:val="24"/>
          <w:lang w:val="en-US" w:eastAsia="zh-CN"/>
          <w14:textFill>
            <w14:solidFill>
              <w14:schemeClr w14:val="tx1"/>
            </w14:solidFill>
          </w14:textFill>
        </w:rPr>
        <w:t>溢流</w:t>
      </w:r>
      <w:r>
        <w:rPr>
          <w:rFonts w:ascii="Times New Roman" w:hAnsi="Times New Roman"/>
          <w:color w:val="000000" w:themeColor="text1"/>
          <w:sz w:val="24"/>
          <w14:textFill>
            <w14:solidFill>
              <w14:schemeClr w14:val="tx1"/>
            </w14:solidFill>
          </w14:textFill>
        </w:rPr>
        <w:t>消能措施避免对绿地等设施的冲击和破坏。住宅阳台雨水管采用断接时，设计及运行阶段应注意避免如洗衣废水等可能危害植物生长的排水接入雨水管，可将阳台雨水管接入污水管。</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第4款，“硬质铺装地面”指场地中停车场、道路和室外活动场地等，不包括建筑占地（屋面)、绿地、水面等。“透水铺装”指既能满足路用及铺地强度和耐久性要求，又能使雨水通过本身与铺装下基层相通的渗水路径直接渗</w:t>
      </w:r>
      <w:r>
        <w:rPr>
          <w:rFonts w:hint="eastAsia"/>
          <w:color w:val="000000" w:themeColor="text1"/>
          <w:sz w:val="24"/>
          <w:lang w:val="en-US" w:eastAsia="zh-CN"/>
          <w14:textFill>
            <w14:solidFill>
              <w14:schemeClr w14:val="tx1"/>
            </w14:solidFill>
          </w14:textFill>
        </w:rPr>
        <w:t>入</w:t>
      </w:r>
      <w:r>
        <w:rPr>
          <w:rFonts w:ascii="Times New Roman" w:hAnsi="Times New Roman"/>
          <w:color w:val="000000" w:themeColor="text1"/>
          <w:sz w:val="24"/>
          <w14:textFill>
            <w14:solidFill>
              <w14:schemeClr w14:val="tx1"/>
            </w14:solidFill>
          </w14:textFill>
        </w:rPr>
        <w:t>下部土壤的地面铺装系统，包括两种情况，采用透水铺装方式和采用透水铺装材料（植草砖、透水沥青、透水混凝土、透水地砖等)。</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当透水铺装下为地下室顶板时，若地下室顶板上覆土深度能满足当地园林绿化部门要求且覆土深度不小于600mm并在地下室顶板设有疏水板及导水管等可将渗透雨水导</w:t>
      </w:r>
      <w:r>
        <w:rPr>
          <w:rFonts w:hint="eastAsia"/>
          <w:color w:val="000000" w:themeColor="text1"/>
          <w:sz w:val="24"/>
          <w:lang w:val="en-US" w:eastAsia="zh-CN"/>
          <w14:textFill>
            <w14:solidFill>
              <w14:schemeClr w14:val="tx1"/>
            </w14:solidFill>
          </w14:textFill>
        </w:rPr>
        <w:t>入</w:t>
      </w:r>
      <w:r>
        <w:rPr>
          <w:rFonts w:ascii="Times New Roman" w:hAnsi="Times New Roman"/>
          <w:color w:val="000000" w:themeColor="text1"/>
          <w:sz w:val="24"/>
          <w14:textFill>
            <w14:solidFill>
              <w14:schemeClr w14:val="tx1"/>
            </w14:solidFill>
          </w14:textFill>
        </w:rPr>
        <w:t>与地下室顶板接壤的实土，方可认定其为透水铺装地面。</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sz w:val="24"/>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查阅竣工验收资料，包括相关图纸、计算分析文件等并现场核查。</w:t>
      </w:r>
      <w:r>
        <w:rPr>
          <w:rFonts w:hint="eastAsia"/>
          <w:color w:val="000000" w:themeColor="text1"/>
          <w:sz w:val="24"/>
          <w:lang w:val="en-US" w:eastAsia="zh-CN"/>
          <w14:textFill>
            <w14:solidFill>
              <w14:schemeClr w14:val="tx1"/>
            </w14:solidFill>
          </w14:textFill>
        </w:rPr>
        <w:t>本条沿用了《绿色建筑评价标准》GB/T 50378-2019的8.2.5条结果性评价要求。</w:t>
      </w:r>
    </w:p>
    <w:p>
      <w:pPr>
        <w:pStyle w:val="5"/>
        <w:shd w:val="clear"/>
        <w:rPr>
          <w:rFonts w:hint="default"/>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37</w:t>
      </w:r>
      <w:r>
        <w:rPr>
          <w:color w:val="000000" w:themeColor="text1"/>
          <w:sz w:val="24"/>
          <w14:textFill>
            <w14:solidFill>
              <w14:schemeClr w14:val="tx1"/>
            </w14:solidFill>
          </w14:textFill>
        </w:rPr>
        <w:t xml:space="preserve"> </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本条评价时，以环境噪声值作为评判和得分依据。如果环境噪声不大于昼间65dB(A)、夜间55 dB(A)，本条可得5分；如不大于昼间60dB(A)、夜间50 dB(A)，本条可得10分。因此，参评建筑应尽可能地采取措施来实现环境噪声控制，可通过设置植物防护等方式对室外场地的超标噪声进行降噪处理，降噪处理时应对各项措施作详细记录并出具室外声环境优化报告。</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场地环境噪声的检测方法应符合《广东省绿色建筑检测标准》DBJ/T 15-234的规定。</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w:t>
      </w:r>
      <w:r>
        <w:rPr>
          <w:rFonts w:hint="eastAsia"/>
          <w:color w:val="000000" w:themeColor="text1"/>
          <w:sz w:val="24"/>
          <w:lang w:val="en-US" w:eastAsia="zh-CN"/>
          <w14:textFill>
            <w14:solidFill>
              <w14:schemeClr w14:val="tx1"/>
            </w14:solidFill>
          </w14:textFill>
        </w:rPr>
        <w:t>运行期间</w:t>
      </w:r>
      <w:r>
        <w:rPr>
          <w:color w:val="000000" w:themeColor="text1"/>
          <w:sz w:val="24"/>
          <w14:textFill>
            <w14:solidFill>
              <w14:schemeClr w14:val="tx1"/>
            </w14:solidFill>
          </w14:textFill>
        </w:rPr>
        <w:t>场地环境噪声检测报告，对于有设置降噪措施的建筑，应同时查阅室外声环境优化报告。</w:t>
      </w:r>
      <w:r>
        <w:rPr>
          <w:rFonts w:hint="eastAsia"/>
          <w:color w:val="000000" w:themeColor="text1"/>
          <w:sz w:val="24"/>
          <w:lang w:val="en-US" w:eastAsia="zh-CN"/>
          <w14:textFill>
            <w14:solidFill>
              <w14:schemeClr w14:val="tx1"/>
            </w14:solidFill>
          </w14:textFill>
        </w:rPr>
        <w:t>本条沿用了《绿色建筑评价标准》GB/T 50378-2019的8.2.6条结果性评价要求。</w:t>
      </w:r>
    </w:p>
    <w:p>
      <w:pPr>
        <w:shd w:val="clear"/>
        <w:spacing w:line="360" w:lineRule="auto"/>
        <w:ind w:firstLine="480" w:firstLineChars="200"/>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rPr>
          <w:rFonts w:hint="default"/>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38</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室外夜景照明光污染是指由于室外夜景照明干扰光或过量的光辐射（含可见光、紫外和红外光辐射）对人、生态环境和天文观测等造成的负面影响。在夜景照明设计及优化中，宜采用以下的措施，避免光污染的产生：①玻璃幕墙、铝塑板墙、釉面砖墙或其他具有光滑表面的建筑物不宜采用投光照明设计；②对于住宅、宿舍、教学楼等不宜采用泛光照明；③住宅小区室外照明时尽量避免将灯具安装在邻近住宅的窗户附近；④绿化景观的投光照明尽量采用间接式投光减少光线直射形成的光；⑤在满足照明要求的前提下减小灯具功率。</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查阅室外夜景照明光污染分析报告</w:t>
      </w:r>
      <w:r>
        <w:rPr>
          <w:rFonts w:hint="eastAsia"/>
          <w:color w:val="000000" w:themeColor="text1"/>
          <w:sz w:val="24"/>
          <w:lang w:val="en-US" w:eastAsia="zh-CN"/>
          <w14:textFill>
            <w14:solidFill>
              <w14:schemeClr w14:val="tx1"/>
            </w14:solidFill>
          </w14:textFill>
        </w:rPr>
        <w:t>及夜景记录照片或影像</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现场核查。本条沿用了《绿色建筑评价标准》GB/T 50378-2019第8.2.7条第2款的结果性评价要求。</w:t>
      </w:r>
    </w:p>
    <w:p>
      <w:pPr>
        <w:shd w:val="clear"/>
        <w:spacing w:line="360" w:lineRule="auto"/>
        <w:rPr>
          <w:rFonts w:hint="default"/>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0" w:firstLineChars="0"/>
        <w:textAlignment w:val="auto"/>
        <w:outlineLvl w:val="9"/>
        <w:rPr>
          <w:rFonts w:hint="default" w:ascii="Times New Roman" w:hAnsi="Times New Roman"/>
          <w:color w:val="000000" w:themeColor="text1"/>
          <w:sz w:val="24"/>
          <w14:textFill>
            <w14:solidFill>
              <w14:schemeClr w14:val="tx1"/>
            </w14:solidFill>
          </w14:textFill>
        </w:rPr>
      </w:pPr>
      <w:r>
        <w:rPr>
          <w:b/>
          <w:bCs/>
          <w:color w:val="000000" w:themeColor="text1"/>
          <w:sz w:val="24"/>
          <w14:textFill>
            <w14:solidFill>
              <w14:schemeClr w14:val="tx1"/>
            </w14:solidFill>
          </w14:textFill>
        </w:rPr>
        <w:t>4</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w:t>
      </w:r>
      <w:r>
        <w:rPr>
          <w:rFonts w:hint="default"/>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39</w:t>
      </w:r>
      <w:r>
        <w:rPr>
          <w:rFonts w:hint="default"/>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本条旨在检验建筑实际建成后为降低热岛强度所采取措施的实际完成情况。</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户外活动场地包括：步道、庭院、广场、游憩场和停车场。遮荫措施包括绿化遮荫、构筑物遮荫、建筑自遮挡。绿化遮荫面积按照成年乔木的树冠投影面积计算；构筑物遮荫面积按照构筑物投影面积计算。</w:t>
      </w:r>
    </w:p>
    <w:p>
      <w:pPr>
        <w:keepNext w:val="0"/>
        <w:keepLines w:val="0"/>
        <w:pageBreakBefore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kern w:val="0"/>
          <w:sz w:val="24"/>
          <w:szCs w:val="24"/>
        </w:rPr>
      </w:pPr>
      <w:r>
        <w:rPr>
          <w:rFonts w:ascii="Times New Roman" w:hAnsi="Times New Roman" w:cs="Times New Roman"/>
          <w:sz w:val="24"/>
          <w:szCs w:val="24"/>
        </w:rPr>
        <w:t>第1款，建筑阴影区为</w:t>
      </w:r>
      <w:r>
        <w:rPr>
          <w:rFonts w:ascii="Times New Roman" w:hAnsi="Times New Roman" w:cs="Times New Roman"/>
          <w:kern w:val="0"/>
          <w:sz w:val="24"/>
          <w:szCs w:val="24"/>
        </w:rPr>
        <w:t>夏至日8:00～16:00时段在</w:t>
      </w:r>
      <w:r>
        <w:rPr>
          <w:rFonts w:hint="eastAsia" w:ascii="Times New Roman" w:hAnsi="Times New Roman" w:cs="Times New Roman"/>
          <w:kern w:val="0"/>
          <w:sz w:val="24"/>
          <w:szCs w:val="24"/>
        </w:rPr>
        <w:t>4h</w:t>
      </w:r>
      <w:r>
        <w:rPr>
          <w:rFonts w:ascii="Times New Roman" w:hAnsi="Times New Roman" w:cs="Times New Roman"/>
          <w:kern w:val="0"/>
          <w:sz w:val="24"/>
          <w:szCs w:val="24"/>
        </w:rPr>
        <w:t>日照等时线内的区域</w:t>
      </w:r>
      <w:r>
        <w:rPr>
          <w:rFonts w:hint="eastAsia" w:ascii="Times New Roman" w:hAnsi="Times New Roman" w:cs="Times New Roman"/>
          <w:kern w:val="0"/>
          <w:sz w:val="24"/>
          <w:szCs w:val="24"/>
        </w:rPr>
        <w:t>。</w:t>
      </w:r>
    </w:p>
    <w:p>
      <w:pPr>
        <w:keepNext w:val="0"/>
        <w:keepLines w:val="0"/>
        <w:pageBreakBefore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kern w:val="0"/>
          <w:sz w:val="24"/>
          <w:szCs w:val="24"/>
        </w:rPr>
      </w:pPr>
      <w:r>
        <w:rPr>
          <w:rFonts w:ascii="Times New Roman" w:hAnsi="Times New Roman" w:cs="Times New Roman"/>
          <w:kern w:val="0"/>
          <w:sz w:val="24"/>
          <w:szCs w:val="24"/>
        </w:rPr>
        <w:t>户外活动场地遮阳面积=建筑日照投影遮阳面积-用地红线外建筑物遮阳面积+乔木遮阳面积+构筑物遮阳面积-建筑日照投影区内乔木遮阳面积。</w:t>
      </w:r>
    </w:p>
    <w:p>
      <w:pPr>
        <w:keepNext w:val="0"/>
        <w:keepLines w:val="0"/>
        <w:pageBreakBefore w:val="0"/>
        <w:widowControl/>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kern w:val="0"/>
          <w:sz w:val="24"/>
          <w:szCs w:val="24"/>
        </w:rPr>
      </w:pPr>
      <w:r>
        <w:rPr>
          <w:rFonts w:ascii="Times New Roman" w:hAnsi="Times New Roman" w:cs="Times New Roman"/>
          <w:kern w:val="0"/>
          <w:sz w:val="24"/>
          <w:szCs w:val="24"/>
        </w:rPr>
        <w:t>建筑日照投影遮阳面积指夏至日日照分析图中，8:00～16:00内日照时数不足4h的户外活动场地面积；乔木遮</w:t>
      </w:r>
      <w:r>
        <w:rPr>
          <w:rFonts w:hint="eastAsia" w:ascii="Times New Roman" w:hAnsi="Times New Roman" w:cs="Times New Roman"/>
          <w:kern w:val="0"/>
          <w:sz w:val="24"/>
          <w:szCs w:val="24"/>
        </w:rPr>
        <w:t>阴</w:t>
      </w:r>
      <w:r>
        <w:rPr>
          <w:rFonts w:ascii="Times New Roman" w:hAnsi="Times New Roman" w:cs="Times New Roman"/>
          <w:kern w:val="0"/>
          <w:sz w:val="24"/>
          <w:szCs w:val="24"/>
        </w:rPr>
        <w:t>面积按照成年乔木的树冠正投影面积计算；构筑物遮</w:t>
      </w:r>
      <w:r>
        <w:rPr>
          <w:rFonts w:hint="eastAsia" w:ascii="Times New Roman" w:hAnsi="Times New Roman" w:cs="Times New Roman"/>
          <w:kern w:val="0"/>
          <w:sz w:val="24"/>
          <w:szCs w:val="24"/>
        </w:rPr>
        <w:t>阴</w:t>
      </w:r>
      <w:r>
        <w:rPr>
          <w:rFonts w:ascii="Times New Roman" w:hAnsi="Times New Roman" w:cs="Times New Roman"/>
          <w:kern w:val="0"/>
          <w:sz w:val="24"/>
          <w:szCs w:val="24"/>
        </w:rPr>
        <w:t>面积按照构筑物正投影面积计算。注意</w:t>
      </w:r>
      <w:r>
        <w:rPr>
          <w:rFonts w:hint="eastAsia" w:ascii="Times New Roman" w:hAnsi="Times New Roman" w:cs="Times New Roman"/>
          <w:kern w:val="0"/>
          <w:sz w:val="24"/>
          <w:szCs w:val="24"/>
        </w:rPr>
        <w:t>：</w:t>
      </w:r>
      <w:r>
        <w:rPr>
          <w:rFonts w:ascii="Times New Roman" w:hAnsi="Times New Roman" w:cs="Times New Roman"/>
          <w:kern w:val="0"/>
          <w:sz w:val="24"/>
          <w:szCs w:val="24"/>
        </w:rPr>
        <w:t>室外活动场地不应包括机动车道和机动车停车场</w:t>
      </w:r>
      <w:r>
        <w:rPr>
          <w:rFonts w:hint="eastAsia" w:ascii="Times New Roman" w:hAnsi="Times New Roman" w:cs="Times New Roman"/>
          <w:kern w:val="0"/>
          <w:sz w:val="24"/>
          <w:szCs w:val="24"/>
        </w:rPr>
        <w:t>。</w:t>
      </w:r>
    </w:p>
    <w:p>
      <w:pPr>
        <w:keepNext w:val="0"/>
        <w:keepLines w:val="0"/>
        <w:pageBreakBefore w:val="0"/>
        <w:widowControl/>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ascii="Times New Roman" w:hAnsi="Times New Roman" w:cs="Times New Roman"/>
          <w:kern w:val="0"/>
          <w:sz w:val="24"/>
          <w:szCs w:val="24"/>
        </w:rPr>
      </w:pPr>
      <w:r>
        <w:rPr>
          <w:rFonts w:ascii="Times New Roman" w:hAnsi="Times New Roman" w:cs="Times New Roman"/>
          <w:kern w:val="0"/>
          <w:sz w:val="24"/>
          <w:szCs w:val="24"/>
        </w:rPr>
        <w:t>第3款</w:t>
      </w:r>
      <w:r>
        <w:rPr>
          <w:rFonts w:hint="eastAsia" w:ascii="Times New Roman" w:hAnsi="Times New Roman" w:cs="Times New Roman"/>
          <w:kern w:val="0"/>
          <w:sz w:val="24"/>
          <w:szCs w:val="24"/>
        </w:rPr>
        <w:t>，</w:t>
      </w:r>
      <w:r>
        <w:rPr>
          <w:rFonts w:ascii="Times New Roman" w:hAnsi="Times New Roman" w:cs="Times New Roman"/>
          <w:kern w:val="0"/>
          <w:sz w:val="24"/>
          <w:szCs w:val="24"/>
        </w:rPr>
        <w:t>计算分子为绿化屋面面积</w:t>
      </w:r>
      <w:r>
        <w:rPr>
          <w:rFonts w:hint="eastAsia" w:ascii="Times New Roman" w:hAnsi="Times New Roman" w:cs="Times New Roman"/>
          <w:kern w:val="0"/>
          <w:sz w:val="24"/>
          <w:szCs w:val="24"/>
        </w:rPr>
        <w:t>、屋面上安装的太阳能集热板或光伏板的水平投影面积、</w:t>
      </w:r>
      <w:r>
        <w:rPr>
          <w:rFonts w:ascii="Times New Roman" w:hAnsi="Times New Roman" w:cs="Times New Roman"/>
          <w:kern w:val="0"/>
          <w:sz w:val="24"/>
          <w:szCs w:val="24"/>
        </w:rPr>
        <w:t>太阳辐射反射系数不小于</w:t>
      </w:r>
      <w:r>
        <w:rPr>
          <w:rFonts w:hint="eastAsia" w:ascii="Times New Roman" w:hAnsi="Times New Roman" w:cs="Times New Roman"/>
          <w:kern w:val="0"/>
          <w:sz w:val="24"/>
          <w:szCs w:val="24"/>
        </w:rPr>
        <w:t>0</w:t>
      </w:r>
      <w:r>
        <w:rPr>
          <w:rFonts w:ascii="Times New Roman" w:hAnsi="Times New Roman" w:cs="Times New Roman"/>
          <w:kern w:val="0"/>
          <w:sz w:val="24"/>
          <w:szCs w:val="24"/>
        </w:rPr>
        <w:t>.4的屋面面积</w:t>
      </w:r>
      <w:r>
        <w:rPr>
          <w:rFonts w:hint="eastAsia" w:ascii="Times New Roman" w:hAnsi="Times New Roman" w:cs="Times New Roman"/>
          <w:kern w:val="0"/>
          <w:sz w:val="24"/>
          <w:szCs w:val="24"/>
        </w:rPr>
        <w:t>3者之和；分母为屋面面积。</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rPr>
          <w:rFonts w:hint="default" w:ascii="Times New Roman" w:hAnsi="Times New Roman"/>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以现场核查为主，评估时实际考察降低热岛强度措施建设的完成情况，核实竣工图，统计、检查实际的绿化、遮阴措施及建筑材料的落实情况，相关的构筑物遮阴面积、绿化遮阴面积的核查，参考竣工文件，以实际建成情况为准。</w:t>
      </w:r>
      <w:r>
        <w:rPr>
          <w:rFonts w:hint="eastAsia" w:ascii="Times New Roman" w:hAnsi="Times New Roman"/>
          <w:color w:val="000000" w:themeColor="text1"/>
          <w:sz w:val="24"/>
          <w:lang w:val="en-US" w:eastAsia="zh-CN"/>
          <w14:textFill>
            <w14:solidFill>
              <w14:schemeClr w14:val="tx1"/>
            </w14:solidFill>
          </w14:textFill>
        </w:rPr>
        <w:t>本条</w:t>
      </w:r>
      <w:r>
        <w:rPr>
          <w:rFonts w:hint="eastAsia"/>
          <w:color w:val="000000" w:themeColor="text1"/>
          <w:sz w:val="24"/>
          <w:lang w:val="en-US" w:eastAsia="zh-CN"/>
          <w14:textFill>
            <w14:solidFill>
              <w14:schemeClr w14:val="tx1"/>
            </w14:solidFill>
          </w14:textFill>
        </w:rPr>
        <w:t>沿用</w:t>
      </w:r>
      <w:r>
        <w:rPr>
          <w:rFonts w:hint="eastAsia" w:ascii="Times New Roman" w:hAnsi="Times New Roman"/>
          <w:color w:val="000000" w:themeColor="text1"/>
          <w:sz w:val="24"/>
          <w:lang w:val="en-US" w:eastAsia="zh-CN"/>
          <w14:textFill>
            <w14:solidFill>
              <w14:schemeClr w14:val="tx1"/>
            </w14:solidFill>
          </w14:textFill>
        </w:rPr>
        <w:t>了《绿色建筑评价标准》GB/T 50378-2019</w:t>
      </w:r>
      <w:r>
        <w:rPr>
          <w:rFonts w:hint="eastAsia"/>
          <w:color w:val="000000" w:themeColor="text1"/>
          <w:sz w:val="24"/>
          <w:lang w:val="en-US" w:eastAsia="zh-CN"/>
          <w14:textFill>
            <w14:solidFill>
              <w14:schemeClr w14:val="tx1"/>
            </w14:solidFill>
          </w14:textFill>
        </w:rPr>
        <w:t>第</w:t>
      </w:r>
      <w:r>
        <w:rPr>
          <w:rFonts w:hint="eastAsia" w:ascii="Times New Roman" w:hAnsi="Times New Roman"/>
          <w:color w:val="000000" w:themeColor="text1"/>
          <w:sz w:val="24"/>
          <w:lang w:val="en-US" w:eastAsia="zh-CN"/>
          <w14:textFill>
            <w14:solidFill>
              <w14:schemeClr w14:val="tx1"/>
            </w14:solidFill>
          </w14:textFill>
        </w:rPr>
        <w:t>8.2.9条</w:t>
      </w:r>
      <w:r>
        <w:rPr>
          <w:rFonts w:hint="eastAsia"/>
          <w:color w:val="000000" w:themeColor="text1"/>
          <w:sz w:val="24"/>
          <w:lang w:val="en-US" w:eastAsia="zh-CN"/>
          <w14:textFill>
            <w14:solidFill>
              <w14:schemeClr w14:val="tx1"/>
            </w14:solidFill>
          </w14:textFill>
        </w:rPr>
        <w:t>的</w:t>
      </w:r>
      <w:r>
        <w:rPr>
          <w:rFonts w:hint="eastAsia" w:ascii="Times New Roman" w:hAnsi="Times New Roman"/>
          <w:color w:val="000000" w:themeColor="text1"/>
          <w:sz w:val="24"/>
          <w:lang w:val="en-US" w:eastAsia="zh-CN"/>
          <w14:textFill>
            <w14:solidFill>
              <w14:schemeClr w14:val="tx1"/>
            </w14:solidFill>
          </w14:textFill>
        </w:rPr>
        <w:t>结果性评价要求。</w:t>
      </w:r>
    </w:p>
    <w:p>
      <w:pPr>
        <w:keepNext w:val="0"/>
        <w:keepLines w:val="0"/>
        <w:pageBreakBefore w:val="0"/>
        <w:widowControl w:val="0"/>
        <w:shd w:val="clear"/>
        <w:kinsoku/>
        <w:wordWrap/>
        <w:overflowPunct/>
        <w:topLinePunct w:val="0"/>
        <w:autoSpaceDE/>
        <w:autoSpaceDN/>
        <w:bidi w:val="0"/>
        <w:adjustRightInd w:val="0"/>
        <w:snapToGrid w:val="0"/>
        <w:spacing w:before="95" w:beforeLines="30" w:after="95" w:afterLines="30" w:line="312" w:lineRule="auto"/>
        <w:ind w:firstLine="480" w:firstLineChars="200"/>
        <w:textAlignment w:val="auto"/>
        <w:outlineLvl w:val="9"/>
        <w:rPr>
          <w:rFonts w:hint="default" w:ascii="Times New Roman" w:hAnsi="Times New Roman"/>
          <w:color w:val="000000" w:themeColor="text1"/>
          <w:sz w:val="24"/>
          <w14:textFill>
            <w14:solidFill>
              <w14:schemeClr w14:val="tx1"/>
            </w14:solidFill>
          </w14:textFill>
        </w:rPr>
      </w:pPr>
    </w:p>
    <w:p>
      <w:pPr>
        <w:widowControl/>
        <w:shd w:val="clear"/>
        <w:jc w:val="left"/>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br w:type="page"/>
      </w:r>
    </w:p>
    <w:p>
      <w:pPr>
        <w:shd w:val="clear"/>
        <w:adjustRightInd w:val="0"/>
        <w:snapToGrid w:val="0"/>
        <w:spacing w:before="312" w:beforeLines="100" w:after="93" w:afterLines="30" w:line="312" w:lineRule="auto"/>
        <w:jc w:val="center"/>
        <w:outlineLvl w:val="1"/>
        <w:rPr>
          <w:rFonts w:hint="default"/>
          <w:b/>
          <w:color w:val="000000" w:themeColor="text1"/>
          <w:sz w:val="24"/>
          <w14:textFill>
            <w14:solidFill>
              <w14:schemeClr w14:val="tx1"/>
            </w14:solidFill>
          </w14:textFill>
        </w:rPr>
      </w:pPr>
      <w:bookmarkStart w:id="489" w:name="_Toc26448"/>
      <w:bookmarkStart w:id="490" w:name="_Toc22068"/>
      <w:r>
        <w:rPr>
          <w:rFonts w:hint="default"/>
          <w:b/>
          <w:color w:val="000000" w:themeColor="text1"/>
          <w:sz w:val="24"/>
          <w14:textFill>
            <w14:solidFill>
              <w14:schemeClr w14:val="tx1"/>
            </w14:solidFill>
          </w14:textFill>
        </w:rPr>
        <w:t>4.</w:t>
      </w:r>
      <w:r>
        <w:rPr>
          <w:rFonts w:hint="eastAsia"/>
          <w:b/>
          <w:color w:val="000000" w:themeColor="text1"/>
          <w:sz w:val="24"/>
          <w:lang w:val="en-US" w:eastAsia="zh-CN"/>
          <w14:textFill>
            <w14:solidFill>
              <w14:schemeClr w14:val="tx1"/>
            </w14:solidFill>
          </w14:textFill>
        </w:rPr>
        <w:t>4</w:t>
      </w:r>
      <w:r>
        <w:rPr>
          <w:rFonts w:hint="default"/>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用户满意度</w:t>
      </w:r>
      <w:bookmarkEnd w:id="489"/>
      <w:bookmarkEnd w:id="490"/>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textAlignment w:val="auto"/>
        <w:rPr>
          <w:rFonts w:hint="default"/>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4</w:t>
      </w:r>
      <w:r>
        <w:rPr>
          <w:rFonts w:hint="default"/>
          <w:b/>
          <w:bCs/>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建筑</w:t>
      </w:r>
      <w:r>
        <w:rPr>
          <w:rFonts w:hint="eastAsia"/>
          <w:color w:val="000000" w:themeColor="text1"/>
          <w:sz w:val="24"/>
          <w:lang w:val="en-US" w:eastAsia="zh-CN"/>
          <w14:textFill>
            <w14:solidFill>
              <w14:schemeClr w14:val="tx1"/>
            </w14:solidFill>
          </w14:textFill>
        </w:rPr>
        <w:t>运行</w:t>
      </w:r>
      <w:r>
        <w:rPr>
          <w:color w:val="000000" w:themeColor="text1"/>
          <w:sz w:val="24"/>
          <w14:textFill>
            <w14:solidFill>
              <w14:schemeClr w14:val="tx1"/>
            </w14:solidFill>
          </w14:textFill>
        </w:rPr>
        <w:t>过程中应对用户满意度进行调查并根据调查意见采取相关改进措施，提升用户满意度。用户满意度指标主要考量用户使用感受，建筑使用者的评判和满意度是绿色建筑</w:t>
      </w:r>
      <w:r>
        <w:rPr>
          <w:rFonts w:hint="eastAsia"/>
          <w:color w:val="000000" w:themeColor="text1"/>
          <w:sz w:val="24"/>
          <w:lang w:val="en-US" w:eastAsia="zh-CN"/>
          <w14:textFill>
            <w14:solidFill>
              <w14:schemeClr w14:val="tx1"/>
            </w14:solidFill>
          </w14:textFill>
        </w:rPr>
        <w:t>运行</w:t>
      </w:r>
      <w:r>
        <w:rPr>
          <w:color w:val="000000" w:themeColor="text1"/>
          <w:sz w:val="24"/>
          <w14:textFill>
            <w14:solidFill>
              <w14:schemeClr w14:val="tx1"/>
            </w14:solidFill>
          </w14:textFill>
        </w:rPr>
        <w:t>质量和效果的直接反馈和重要判据。</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通过用户满意度的评价，密切关注用户对建筑室内外环境质量、公共服务设施等方面的需求，不仅有利于建筑性能的改进提升，也能促进用户对建筑性能的直接感知并增添获得感，体现以人为本的理念。</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本条</w:t>
      </w:r>
      <w:r>
        <w:rPr>
          <w:color w:val="000000" w:themeColor="text1"/>
          <w:sz w:val="24"/>
          <w14:textFill>
            <w14:solidFill>
              <w14:schemeClr w14:val="tx1"/>
            </w14:solidFill>
          </w14:textFill>
        </w:rPr>
        <w:t>实施步骤及评估方法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以问卷调查方式对建筑场地、建筑的使用者进行主观调查（调查样表见附录B），根据调查满意度情况的统计分析报告确定本条得分。</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调查对象：建筑场地和建筑内部的使用者。</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调查形式：由第三方评估机构组织开展问卷调查，调查问卷发放者需具备相关专业知识，能对被调查者所提疑问作出讲解</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问卷可采用纸质问卷或电子问卷。</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调查样本量和工况要求：建筑使用人数少于100人时，调查样本应基本覆盖所有人员；调查对象大于100人时，调查对象大于100人时，问卷发放量不少于建筑使用人数的</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0%且总数不少于100份，调查样本应涵盖建筑具有代表性的</w:t>
      </w:r>
      <w:r>
        <w:rPr>
          <w:rFonts w:hint="eastAsia"/>
          <w:color w:val="000000" w:themeColor="text1"/>
          <w:sz w:val="24"/>
          <w:lang w:val="en-US" w:eastAsia="zh-CN"/>
          <w14:textFill>
            <w14:solidFill>
              <w14:schemeClr w14:val="tx1"/>
            </w14:solidFill>
          </w14:textFill>
        </w:rPr>
        <w:t>主要功能区以及</w:t>
      </w:r>
      <w:r>
        <w:rPr>
          <w:color w:val="000000" w:themeColor="text1"/>
          <w:sz w:val="24"/>
          <w14:textFill>
            <w14:solidFill>
              <w14:schemeClr w14:val="tx1"/>
            </w14:solidFill>
          </w14:textFill>
        </w:rPr>
        <w:t>高中低三个区域、楼层，调查人数选择应均匀，避免选择三个临近的区域。</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问卷调查所开展的时间与开展后评估时间不应超过1个月。</w:t>
      </w:r>
    </w:p>
    <w:p>
      <w:pPr>
        <w:keepNext w:val="0"/>
        <w:keepLines w:val="0"/>
        <w:pageBreakBefore w:val="0"/>
        <w:widowControl w:val="0"/>
        <w:shd w:val="clear"/>
        <w:kinsoku/>
        <w:wordWrap/>
        <w:overflowPunct/>
        <w:topLinePunct w:val="0"/>
        <w:autoSpaceDE/>
        <w:autoSpaceDN/>
        <w:bidi w:val="0"/>
        <w:adjustRightInd w:val="0"/>
        <w:snapToGrid w:val="0"/>
        <w:spacing w:before="93" w:beforeLines="30" w:after="93" w:afterLines="30" w:line="312" w:lineRule="auto"/>
        <w:ind w:firstLine="480" w:firstLineChars="200"/>
        <w:textAlignment w:val="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对于最后一项调查内容“绿色低碳管理水平”，如果物业管理单位能够提供有效材料证明用户投诉渠道畅通且近一段时间内（如半年或一年）用户投诉率为零或很低，可酌情在调查问卷平均得分基础上给予0分~2分的加分。</w:t>
      </w:r>
    </w:p>
    <w:p>
      <w:pPr>
        <w:shd w:val="clear"/>
        <w:spacing w:line="276" w:lineRule="auto"/>
        <w:ind w:left="391" w:leftChars="186"/>
        <w:rPr>
          <w:rFonts w:hint="default" w:ascii="宋体" w:hAnsi="宋体"/>
          <w:color w:val="000000" w:themeColor="text1"/>
          <w14:textFill>
            <w14:solidFill>
              <w14:schemeClr w14:val="tx1"/>
            </w14:solidFill>
          </w14:textFill>
        </w:rPr>
      </w:pPr>
    </w:p>
    <w:sectPr>
      <w:footerReference r:id="rId7" w:type="default"/>
      <w:pgSz w:w="11906" w:h="16838"/>
      <w:pgMar w:top="1440" w:right="1797" w:bottom="1440" w:left="1797" w:header="851" w:footer="992" w:gutter="0"/>
      <w:pgNumType w:start="3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42">
      <wne:acd wne:acdName="acd5"/>
    </wne:keymap>
    <wne:keymap wne:kcmPrimary="0447">
      <wne:acd wne:acdName="acd6"/>
    </wne:keymap>
    <wne:keymap wne:kcmPrimary="045A">
      <wne:acd wne:acdName="acd7"/>
    </wne:keymap>
  </wne:keymaps>
  <wne:acds>
    <wne:acd wne:argValue="AgDgeg==" wne:acdName="acd0" wne:fciIndexBasedOn="0065"/>
    <wne:acd wne:argValue="AgCCgg==" wne:acdName="acd1" wne:fciIndexBasedOn="0065"/>
    <wne:acd wne:argValue="AgBhZ4dl" wne:acdName="acd2" wne:fciIndexBasedOn="0065"/>
    <wne:acd wne:argValue="AgBoiDRZ" wne:acdName="acd3" wne:fciIndexBasedOn="0065"/>
    <wne:acd wne:argValue="AgDobA==" wne:acdName="acd4" wne:fciIndexBasedOn="0065"/>
    <wne:acd wne:argValue="AgBoiA==" wne:acdName="acd5" wne:fciIndexBasedOn="0065"/>
    <wne:acd wne:argValue="AgBsUQ9f" wne:acdName="acd6" wne:fciIndexBasedOn="0065"/>
    <wne:acd wne:argValue="AgC1az2EY2uHZQ=="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tabs>
        <w:tab w:val="center" w:pos="4153"/>
        <w:tab w:val="right" w:pos="8306"/>
        <w:tab w:val="clear" w:pos="4140"/>
        <w:tab w:val="clear" w:pos="8300"/>
      </w:tabs>
      <w:rPr>
        <w:rStyle w:val="33"/>
        <w:rFonts w:hint="default"/>
      </w:rPr>
    </w:pPr>
    <w:r>
      <w:fldChar w:fldCharType="begin"/>
    </w:r>
    <w:r>
      <w:rPr>
        <w:rStyle w:val="33"/>
      </w:rPr>
      <w:instrText xml:space="preserve">PAGE  </w:instrText>
    </w:r>
    <w:r>
      <w:fldChar w:fldCharType="separate"/>
    </w:r>
    <w:r>
      <w:rPr>
        <w:rStyle w:val="33"/>
        <w:rFonts w:hint="default"/>
      </w:rPr>
      <w:t>2</w:t>
    </w:r>
    <w:r>
      <w:fldChar w:fldCharType="end"/>
    </w:r>
  </w:p>
  <w:p>
    <w:pPr>
      <w:pStyle w:val="20"/>
      <w:tabs>
        <w:tab w:val="center" w:pos="4153"/>
        <w:tab w:val="right" w:pos="8306"/>
        <w:tab w:val="clear" w:pos="4140"/>
        <w:tab w:val="clear" w:pos="8300"/>
      </w:tabs>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3"/>
        <w:tab w:val="right" w:pos="8306"/>
        <w:tab w:val="clear" w:pos="4140"/>
        <w:tab w:val="clear" w:pos="8300"/>
      </w:tabs>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3"/>
        <w:tab w:val="right" w:pos="8306"/>
        <w:tab w:val="clear" w:pos="4140"/>
        <w:tab w:val="clear" w:pos="8300"/>
      </w:tabs>
      <w:jc w:val="center"/>
      <w:rPr>
        <w:rFonts w:hint="default"/>
      </w:rPr>
    </w:pPr>
    <w:r>
      <w:fldChar w:fldCharType="begin"/>
    </w:r>
    <w:r>
      <w:instrText xml:space="preserve">PAGE   \* MERGEFORMAT</w:instrText>
    </w:r>
    <w:r>
      <w:fldChar w:fldCharType="separate"/>
    </w:r>
    <w:r>
      <w:rPr>
        <w:rFonts w:hint="default"/>
        <w:lang w:val="zh-CN"/>
      </w:rPr>
      <w:t>123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3"/>
        <w:tab w:val="right" w:pos="8306"/>
        <w:tab w:val="clear" w:pos="4140"/>
        <w:tab w:val="clear" w:pos="8300"/>
      </w:tabs>
      <w:jc w:val="center"/>
      <w:rPr>
        <w:rFonts w:hint="default"/>
      </w:rPr>
    </w:pPr>
    <w:r>
      <w:fldChar w:fldCharType="begin"/>
    </w:r>
    <w:r>
      <w:instrText xml:space="preserve">PAGE   \* MERGEFORMAT</w:instrText>
    </w:r>
    <w:r>
      <w:fldChar w:fldCharType="separate"/>
    </w:r>
    <w:r>
      <w:rPr>
        <w:rFonts w:hint="default"/>
        <w:lang w:val="zh-CN"/>
      </w:rPr>
      <w:t>123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3"/>
        <w:tab w:val="right" w:pos="8306"/>
        <w:tab w:val="clear" w:pos="4140"/>
        <w:tab w:val="clear" w:pos="8300"/>
      </w:tabs>
      <w:jc w:val="center"/>
      <w:rPr>
        <w:rFonts w:hint="default"/>
      </w:rPr>
    </w:pPr>
    <w:r>
      <w:fldChar w:fldCharType="begin"/>
    </w:r>
    <w:r>
      <w:instrText xml:space="preserve">PAGE   \* MERGEFORMAT</w:instrText>
    </w:r>
    <w:r>
      <w:fldChar w:fldCharType="separate"/>
    </w:r>
    <w:r>
      <w:rPr>
        <w:rFonts w:hint="default"/>
        <w:lang w:val="zh-CN"/>
      </w:rPr>
      <w:t>123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D2292"/>
    <w:multiLevelType w:val="singleLevel"/>
    <w:tmpl w:val="AF6D2292"/>
    <w:lvl w:ilvl="0" w:tentative="0">
      <w:start w:val="1"/>
      <w:numFmt w:val="decimal"/>
      <w:suff w:val="nothing"/>
      <w:lvlText w:val="%1）"/>
      <w:lvlJc w:val="left"/>
    </w:lvl>
  </w:abstractNum>
  <w:abstractNum w:abstractNumId="1">
    <w:nsid w:val="2607853D"/>
    <w:multiLevelType w:val="singleLevel"/>
    <w:tmpl w:val="2607853D"/>
    <w:lvl w:ilvl="0" w:tentative="0">
      <w:start w:val="4"/>
      <w:numFmt w:val="decimal"/>
      <w:suff w:val="nothing"/>
      <w:lvlText w:val="%1）"/>
      <w:lvlJc w:val="left"/>
    </w:lvl>
  </w:abstractNum>
  <w:abstractNum w:abstractNumId="2">
    <w:nsid w:val="6CEA2025"/>
    <w:multiLevelType w:val="multilevel"/>
    <w:tmpl w:val="6CEA2025"/>
    <w:lvl w:ilvl="0" w:tentative="0">
      <w:start w:val="1"/>
      <w:numFmt w:val="none"/>
      <w:pStyle w:val="8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3EF6F38"/>
    <w:multiLevelType w:val="multilevel"/>
    <w:tmpl w:val="73EF6F38"/>
    <w:lvl w:ilvl="0" w:tentative="0">
      <w:start w:val="1"/>
      <w:numFmt w:val="decimal"/>
      <w:lvlText w:val="%1．"/>
      <w:lvlJc w:val="left"/>
      <w:pPr>
        <w:ind w:left="360" w:hanging="360"/>
      </w:pPr>
      <w:rPr>
        <w:rFonts w:hint="default" w:ascii="宋体" w:hAnsi="宋体" w:eastAsia="宋体" w:cs="Arial"/>
        <w:b/>
        <w:bCs w:val="0"/>
        <w:sz w:val="24"/>
      </w:rPr>
    </w:lvl>
    <w:lvl w:ilvl="1" w:tentative="0">
      <w:start w:val="1"/>
      <w:numFmt w:val="lowerLetter"/>
      <w:lvlText w:val="%2)"/>
      <w:lvlJc w:val="left"/>
      <w:pPr>
        <w:ind w:left="846"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00172A27"/>
    <w:rsid w:val="0000010A"/>
    <w:rsid w:val="0000016E"/>
    <w:rsid w:val="00001361"/>
    <w:rsid w:val="0000181F"/>
    <w:rsid w:val="0000190A"/>
    <w:rsid w:val="00001C99"/>
    <w:rsid w:val="00002231"/>
    <w:rsid w:val="000023F1"/>
    <w:rsid w:val="0000242E"/>
    <w:rsid w:val="00002461"/>
    <w:rsid w:val="00002492"/>
    <w:rsid w:val="00002CFA"/>
    <w:rsid w:val="00002E01"/>
    <w:rsid w:val="00003495"/>
    <w:rsid w:val="000036E1"/>
    <w:rsid w:val="0000371C"/>
    <w:rsid w:val="00003B86"/>
    <w:rsid w:val="00003C2F"/>
    <w:rsid w:val="00003D0B"/>
    <w:rsid w:val="00003E67"/>
    <w:rsid w:val="00003FDE"/>
    <w:rsid w:val="00004299"/>
    <w:rsid w:val="0000429D"/>
    <w:rsid w:val="00004878"/>
    <w:rsid w:val="00004B79"/>
    <w:rsid w:val="00004BC3"/>
    <w:rsid w:val="00004D29"/>
    <w:rsid w:val="00005088"/>
    <w:rsid w:val="00005380"/>
    <w:rsid w:val="0000577C"/>
    <w:rsid w:val="000058AE"/>
    <w:rsid w:val="00005B06"/>
    <w:rsid w:val="00005FF0"/>
    <w:rsid w:val="000060DD"/>
    <w:rsid w:val="00006363"/>
    <w:rsid w:val="0000790A"/>
    <w:rsid w:val="00007DEC"/>
    <w:rsid w:val="0001040F"/>
    <w:rsid w:val="000106B4"/>
    <w:rsid w:val="00010785"/>
    <w:rsid w:val="00010B76"/>
    <w:rsid w:val="00010C07"/>
    <w:rsid w:val="00010D30"/>
    <w:rsid w:val="00010E00"/>
    <w:rsid w:val="0001169D"/>
    <w:rsid w:val="000116F9"/>
    <w:rsid w:val="00011747"/>
    <w:rsid w:val="000119EE"/>
    <w:rsid w:val="00011A28"/>
    <w:rsid w:val="00011A34"/>
    <w:rsid w:val="00011AF0"/>
    <w:rsid w:val="00011EB4"/>
    <w:rsid w:val="0001205D"/>
    <w:rsid w:val="00012146"/>
    <w:rsid w:val="000124BE"/>
    <w:rsid w:val="000125A5"/>
    <w:rsid w:val="0001277A"/>
    <w:rsid w:val="00012932"/>
    <w:rsid w:val="00012AB4"/>
    <w:rsid w:val="00012E0D"/>
    <w:rsid w:val="00012EBB"/>
    <w:rsid w:val="000134E5"/>
    <w:rsid w:val="0001376E"/>
    <w:rsid w:val="0001397E"/>
    <w:rsid w:val="00013B57"/>
    <w:rsid w:val="00014279"/>
    <w:rsid w:val="000143A3"/>
    <w:rsid w:val="000145FA"/>
    <w:rsid w:val="00014797"/>
    <w:rsid w:val="000148D6"/>
    <w:rsid w:val="00014A3E"/>
    <w:rsid w:val="00014D77"/>
    <w:rsid w:val="00015052"/>
    <w:rsid w:val="00015420"/>
    <w:rsid w:val="00015472"/>
    <w:rsid w:val="00015A4B"/>
    <w:rsid w:val="00015C18"/>
    <w:rsid w:val="00015FE7"/>
    <w:rsid w:val="00016091"/>
    <w:rsid w:val="0001623D"/>
    <w:rsid w:val="00016F9F"/>
    <w:rsid w:val="0001719B"/>
    <w:rsid w:val="0001723E"/>
    <w:rsid w:val="00017428"/>
    <w:rsid w:val="000176F2"/>
    <w:rsid w:val="0001773F"/>
    <w:rsid w:val="00017E7C"/>
    <w:rsid w:val="00020AB9"/>
    <w:rsid w:val="00020C89"/>
    <w:rsid w:val="000212DF"/>
    <w:rsid w:val="00021AD0"/>
    <w:rsid w:val="00021CC0"/>
    <w:rsid w:val="00021F54"/>
    <w:rsid w:val="0002204E"/>
    <w:rsid w:val="000221EA"/>
    <w:rsid w:val="000226D5"/>
    <w:rsid w:val="0002280D"/>
    <w:rsid w:val="000228A2"/>
    <w:rsid w:val="000229E9"/>
    <w:rsid w:val="00022AE7"/>
    <w:rsid w:val="00022C6E"/>
    <w:rsid w:val="00022D8D"/>
    <w:rsid w:val="00022F12"/>
    <w:rsid w:val="000233CA"/>
    <w:rsid w:val="00023476"/>
    <w:rsid w:val="00023571"/>
    <w:rsid w:val="00023601"/>
    <w:rsid w:val="00023EC4"/>
    <w:rsid w:val="00023F34"/>
    <w:rsid w:val="00024537"/>
    <w:rsid w:val="00024763"/>
    <w:rsid w:val="00024963"/>
    <w:rsid w:val="000249AA"/>
    <w:rsid w:val="00024AB1"/>
    <w:rsid w:val="00024D29"/>
    <w:rsid w:val="00025431"/>
    <w:rsid w:val="000254BA"/>
    <w:rsid w:val="000256BB"/>
    <w:rsid w:val="0002596F"/>
    <w:rsid w:val="0002597A"/>
    <w:rsid w:val="00025AC3"/>
    <w:rsid w:val="00025AE1"/>
    <w:rsid w:val="00025B30"/>
    <w:rsid w:val="00025C56"/>
    <w:rsid w:val="00025CE2"/>
    <w:rsid w:val="00025F46"/>
    <w:rsid w:val="00026710"/>
    <w:rsid w:val="00026928"/>
    <w:rsid w:val="00026AE0"/>
    <w:rsid w:val="00026D4C"/>
    <w:rsid w:val="0002705C"/>
    <w:rsid w:val="000270B9"/>
    <w:rsid w:val="000270BE"/>
    <w:rsid w:val="00027424"/>
    <w:rsid w:val="000276AF"/>
    <w:rsid w:val="00027A92"/>
    <w:rsid w:val="00027F47"/>
    <w:rsid w:val="00030388"/>
    <w:rsid w:val="00030453"/>
    <w:rsid w:val="00030C0F"/>
    <w:rsid w:val="00030CBA"/>
    <w:rsid w:val="00030EBC"/>
    <w:rsid w:val="00031039"/>
    <w:rsid w:val="0003110B"/>
    <w:rsid w:val="0003129F"/>
    <w:rsid w:val="00031D30"/>
    <w:rsid w:val="00031D78"/>
    <w:rsid w:val="00031F88"/>
    <w:rsid w:val="00032062"/>
    <w:rsid w:val="00032326"/>
    <w:rsid w:val="0003242B"/>
    <w:rsid w:val="000324EB"/>
    <w:rsid w:val="000329C6"/>
    <w:rsid w:val="00032AF7"/>
    <w:rsid w:val="00032D67"/>
    <w:rsid w:val="0003373B"/>
    <w:rsid w:val="0003381D"/>
    <w:rsid w:val="00033890"/>
    <w:rsid w:val="000339AC"/>
    <w:rsid w:val="00033A4E"/>
    <w:rsid w:val="00033CB4"/>
    <w:rsid w:val="00033D27"/>
    <w:rsid w:val="00033FE0"/>
    <w:rsid w:val="00034A70"/>
    <w:rsid w:val="00034F86"/>
    <w:rsid w:val="00035039"/>
    <w:rsid w:val="00035086"/>
    <w:rsid w:val="0003527F"/>
    <w:rsid w:val="0003536B"/>
    <w:rsid w:val="00035857"/>
    <w:rsid w:val="00035BB8"/>
    <w:rsid w:val="00035C17"/>
    <w:rsid w:val="000360EF"/>
    <w:rsid w:val="00036422"/>
    <w:rsid w:val="000366DA"/>
    <w:rsid w:val="0003674F"/>
    <w:rsid w:val="00036A20"/>
    <w:rsid w:val="00037319"/>
    <w:rsid w:val="000373AD"/>
    <w:rsid w:val="00037964"/>
    <w:rsid w:val="000379DD"/>
    <w:rsid w:val="00037ADA"/>
    <w:rsid w:val="00037D91"/>
    <w:rsid w:val="00037E8E"/>
    <w:rsid w:val="00040463"/>
    <w:rsid w:val="00040469"/>
    <w:rsid w:val="000405EA"/>
    <w:rsid w:val="000406B6"/>
    <w:rsid w:val="00041262"/>
    <w:rsid w:val="00041E88"/>
    <w:rsid w:val="000421EE"/>
    <w:rsid w:val="000422A3"/>
    <w:rsid w:val="000424A9"/>
    <w:rsid w:val="00042986"/>
    <w:rsid w:val="0004364A"/>
    <w:rsid w:val="0004364B"/>
    <w:rsid w:val="00043831"/>
    <w:rsid w:val="00043868"/>
    <w:rsid w:val="000439AD"/>
    <w:rsid w:val="000440BD"/>
    <w:rsid w:val="0004441B"/>
    <w:rsid w:val="00044B5F"/>
    <w:rsid w:val="00044D5F"/>
    <w:rsid w:val="00044D95"/>
    <w:rsid w:val="00044E4F"/>
    <w:rsid w:val="00045048"/>
    <w:rsid w:val="000456C6"/>
    <w:rsid w:val="0004581C"/>
    <w:rsid w:val="0004605A"/>
    <w:rsid w:val="00046388"/>
    <w:rsid w:val="000463C2"/>
    <w:rsid w:val="00046750"/>
    <w:rsid w:val="0004677A"/>
    <w:rsid w:val="00046826"/>
    <w:rsid w:val="00046A2E"/>
    <w:rsid w:val="00047039"/>
    <w:rsid w:val="0004710A"/>
    <w:rsid w:val="0004716F"/>
    <w:rsid w:val="00047CEC"/>
    <w:rsid w:val="000507B3"/>
    <w:rsid w:val="000508CD"/>
    <w:rsid w:val="0005096B"/>
    <w:rsid w:val="00050A59"/>
    <w:rsid w:val="00050AF1"/>
    <w:rsid w:val="00050CFC"/>
    <w:rsid w:val="00051068"/>
    <w:rsid w:val="0005113D"/>
    <w:rsid w:val="00051177"/>
    <w:rsid w:val="00051338"/>
    <w:rsid w:val="000516D8"/>
    <w:rsid w:val="00051772"/>
    <w:rsid w:val="00051777"/>
    <w:rsid w:val="00051885"/>
    <w:rsid w:val="00051F49"/>
    <w:rsid w:val="0005222C"/>
    <w:rsid w:val="000524E0"/>
    <w:rsid w:val="00052FDA"/>
    <w:rsid w:val="00053584"/>
    <w:rsid w:val="00053B0B"/>
    <w:rsid w:val="0005431A"/>
    <w:rsid w:val="0005441C"/>
    <w:rsid w:val="0005468B"/>
    <w:rsid w:val="00054737"/>
    <w:rsid w:val="00054ABF"/>
    <w:rsid w:val="00054DD9"/>
    <w:rsid w:val="00054F3C"/>
    <w:rsid w:val="000561D2"/>
    <w:rsid w:val="0005644A"/>
    <w:rsid w:val="000564B3"/>
    <w:rsid w:val="00056596"/>
    <w:rsid w:val="00056E87"/>
    <w:rsid w:val="00056EF9"/>
    <w:rsid w:val="00056F8C"/>
    <w:rsid w:val="000570CC"/>
    <w:rsid w:val="0005786F"/>
    <w:rsid w:val="00057A45"/>
    <w:rsid w:val="00057F58"/>
    <w:rsid w:val="0006089D"/>
    <w:rsid w:val="00060A7D"/>
    <w:rsid w:val="00060AE2"/>
    <w:rsid w:val="00060E62"/>
    <w:rsid w:val="000610A7"/>
    <w:rsid w:val="000610F4"/>
    <w:rsid w:val="00061107"/>
    <w:rsid w:val="000611A1"/>
    <w:rsid w:val="000612D3"/>
    <w:rsid w:val="00061552"/>
    <w:rsid w:val="000616A2"/>
    <w:rsid w:val="00061B0C"/>
    <w:rsid w:val="00061B2B"/>
    <w:rsid w:val="00061E4E"/>
    <w:rsid w:val="00061EB5"/>
    <w:rsid w:val="00062294"/>
    <w:rsid w:val="00062885"/>
    <w:rsid w:val="00062DB8"/>
    <w:rsid w:val="00062F94"/>
    <w:rsid w:val="00063046"/>
    <w:rsid w:val="000633CE"/>
    <w:rsid w:val="00063AA6"/>
    <w:rsid w:val="00063FAF"/>
    <w:rsid w:val="00064035"/>
    <w:rsid w:val="0006475D"/>
    <w:rsid w:val="00064A1C"/>
    <w:rsid w:val="00064FD2"/>
    <w:rsid w:val="0006503C"/>
    <w:rsid w:val="00065554"/>
    <w:rsid w:val="000657FA"/>
    <w:rsid w:val="00065D01"/>
    <w:rsid w:val="00066060"/>
    <w:rsid w:val="000660D6"/>
    <w:rsid w:val="00066188"/>
    <w:rsid w:val="00066616"/>
    <w:rsid w:val="00066E11"/>
    <w:rsid w:val="0006702A"/>
    <w:rsid w:val="0006726D"/>
    <w:rsid w:val="000672BF"/>
    <w:rsid w:val="0006776D"/>
    <w:rsid w:val="0006782B"/>
    <w:rsid w:val="00067C15"/>
    <w:rsid w:val="0007100F"/>
    <w:rsid w:val="00071078"/>
    <w:rsid w:val="000710DA"/>
    <w:rsid w:val="00071668"/>
    <w:rsid w:val="000717B4"/>
    <w:rsid w:val="000718B2"/>
    <w:rsid w:val="00071ACE"/>
    <w:rsid w:val="00071E47"/>
    <w:rsid w:val="0007230A"/>
    <w:rsid w:val="0007251B"/>
    <w:rsid w:val="00072E2E"/>
    <w:rsid w:val="00073059"/>
    <w:rsid w:val="0007338A"/>
    <w:rsid w:val="000734FB"/>
    <w:rsid w:val="000734FE"/>
    <w:rsid w:val="000738DE"/>
    <w:rsid w:val="00073A7A"/>
    <w:rsid w:val="00073BC8"/>
    <w:rsid w:val="00073E06"/>
    <w:rsid w:val="00073F46"/>
    <w:rsid w:val="00074445"/>
    <w:rsid w:val="000745B1"/>
    <w:rsid w:val="00074D18"/>
    <w:rsid w:val="00074EE7"/>
    <w:rsid w:val="00074F66"/>
    <w:rsid w:val="000753CC"/>
    <w:rsid w:val="00075694"/>
    <w:rsid w:val="00075D5A"/>
    <w:rsid w:val="00076562"/>
    <w:rsid w:val="00076AF2"/>
    <w:rsid w:val="00076C7D"/>
    <w:rsid w:val="00076EE4"/>
    <w:rsid w:val="00077751"/>
    <w:rsid w:val="00077978"/>
    <w:rsid w:val="00077C7F"/>
    <w:rsid w:val="00077E08"/>
    <w:rsid w:val="00077FC8"/>
    <w:rsid w:val="0008064B"/>
    <w:rsid w:val="0008070F"/>
    <w:rsid w:val="000807A6"/>
    <w:rsid w:val="00080A8A"/>
    <w:rsid w:val="00080B3B"/>
    <w:rsid w:val="00080D53"/>
    <w:rsid w:val="00080EA3"/>
    <w:rsid w:val="000817CC"/>
    <w:rsid w:val="00081F7F"/>
    <w:rsid w:val="00082643"/>
    <w:rsid w:val="00082697"/>
    <w:rsid w:val="000826D3"/>
    <w:rsid w:val="00082B48"/>
    <w:rsid w:val="00082CB7"/>
    <w:rsid w:val="000831B8"/>
    <w:rsid w:val="000831CC"/>
    <w:rsid w:val="000835F7"/>
    <w:rsid w:val="000836D7"/>
    <w:rsid w:val="00083E87"/>
    <w:rsid w:val="0008400F"/>
    <w:rsid w:val="00084125"/>
    <w:rsid w:val="000844CB"/>
    <w:rsid w:val="0008495B"/>
    <w:rsid w:val="00084C53"/>
    <w:rsid w:val="00084E66"/>
    <w:rsid w:val="000852D7"/>
    <w:rsid w:val="000864F9"/>
    <w:rsid w:val="0008669F"/>
    <w:rsid w:val="00086D86"/>
    <w:rsid w:val="00087940"/>
    <w:rsid w:val="00087943"/>
    <w:rsid w:val="00087D43"/>
    <w:rsid w:val="00090B01"/>
    <w:rsid w:val="00090CD5"/>
    <w:rsid w:val="00090CED"/>
    <w:rsid w:val="00090DC6"/>
    <w:rsid w:val="00090F3A"/>
    <w:rsid w:val="00091048"/>
    <w:rsid w:val="000914DE"/>
    <w:rsid w:val="000916F8"/>
    <w:rsid w:val="00091B78"/>
    <w:rsid w:val="00091D48"/>
    <w:rsid w:val="00091EF8"/>
    <w:rsid w:val="000920EA"/>
    <w:rsid w:val="00092121"/>
    <w:rsid w:val="0009212E"/>
    <w:rsid w:val="000927CF"/>
    <w:rsid w:val="00092B45"/>
    <w:rsid w:val="00093321"/>
    <w:rsid w:val="00093577"/>
    <w:rsid w:val="000935B6"/>
    <w:rsid w:val="000937DE"/>
    <w:rsid w:val="00093E85"/>
    <w:rsid w:val="000943A4"/>
    <w:rsid w:val="00094502"/>
    <w:rsid w:val="000947DD"/>
    <w:rsid w:val="000949CF"/>
    <w:rsid w:val="00094DF2"/>
    <w:rsid w:val="0009506C"/>
    <w:rsid w:val="00095244"/>
    <w:rsid w:val="00095435"/>
    <w:rsid w:val="000954BA"/>
    <w:rsid w:val="000957F1"/>
    <w:rsid w:val="00095AD7"/>
    <w:rsid w:val="000963AB"/>
    <w:rsid w:val="00096C3D"/>
    <w:rsid w:val="00096D0A"/>
    <w:rsid w:val="00096D53"/>
    <w:rsid w:val="00096E13"/>
    <w:rsid w:val="00096F18"/>
    <w:rsid w:val="000976E5"/>
    <w:rsid w:val="000979D8"/>
    <w:rsid w:val="00097FEA"/>
    <w:rsid w:val="000A00C8"/>
    <w:rsid w:val="000A082F"/>
    <w:rsid w:val="000A0F73"/>
    <w:rsid w:val="000A10FB"/>
    <w:rsid w:val="000A11BC"/>
    <w:rsid w:val="000A12D4"/>
    <w:rsid w:val="000A1416"/>
    <w:rsid w:val="000A15FE"/>
    <w:rsid w:val="000A193F"/>
    <w:rsid w:val="000A1AE5"/>
    <w:rsid w:val="000A20D5"/>
    <w:rsid w:val="000A261C"/>
    <w:rsid w:val="000A2B17"/>
    <w:rsid w:val="000A2B84"/>
    <w:rsid w:val="000A2C2D"/>
    <w:rsid w:val="000A2D27"/>
    <w:rsid w:val="000A2E4F"/>
    <w:rsid w:val="000A2F40"/>
    <w:rsid w:val="000A340A"/>
    <w:rsid w:val="000A37B2"/>
    <w:rsid w:val="000A3A2D"/>
    <w:rsid w:val="000A3AE4"/>
    <w:rsid w:val="000A3BA2"/>
    <w:rsid w:val="000A3BF0"/>
    <w:rsid w:val="000A400C"/>
    <w:rsid w:val="000A4530"/>
    <w:rsid w:val="000A467D"/>
    <w:rsid w:val="000A4BDD"/>
    <w:rsid w:val="000A4EAB"/>
    <w:rsid w:val="000A53E3"/>
    <w:rsid w:val="000A5474"/>
    <w:rsid w:val="000A57AD"/>
    <w:rsid w:val="000A58F3"/>
    <w:rsid w:val="000A5B14"/>
    <w:rsid w:val="000A5C4B"/>
    <w:rsid w:val="000A5F13"/>
    <w:rsid w:val="000A5FDC"/>
    <w:rsid w:val="000A65C6"/>
    <w:rsid w:val="000A6775"/>
    <w:rsid w:val="000A67BC"/>
    <w:rsid w:val="000A695B"/>
    <w:rsid w:val="000A69B8"/>
    <w:rsid w:val="000A6B1D"/>
    <w:rsid w:val="000A6B78"/>
    <w:rsid w:val="000A6E10"/>
    <w:rsid w:val="000A7117"/>
    <w:rsid w:val="000B0433"/>
    <w:rsid w:val="000B06CB"/>
    <w:rsid w:val="000B08C6"/>
    <w:rsid w:val="000B098F"/>
    <w:rsid w:val="000B0B54"/>
    <w:rsid w:val="000B0F06"/>
    <w:rsid w:val="000B0F1B"/>
    <w:rsid w:val="000B11CB"/>
    <w:rsid w:val="000B11E9"/>
    <w:rsid w:val="000B136B"/>
    <w:rsid w:val="000B1426"/>
    <w:rsid w:val="000B14BD"/>
    <w:rsid w:val="000B1571"/>
    <w:rsid w:val="000B1F98"/>
    <w:rsid w:val="000B210E"/>
    <w:rsid w:val="000B2172"/>
    <w:rsid w:val="000B23A5"/>
    <w:rsid w:val="000B2593"/>
    <w:rsid w:val="000B2C54"/>
    <w:rsid w:val="000B3266"/>
    <w:rsid w:val="000B33BD"/>
    <w:rsid w:val="000B35EF"/>
    <w:rsid w:val="000B3790"/>
    <w:rsid w:val="000B3CB8"/>
    <w:rsid w:val="000B3CDB"/>
    <w:rsid w:val="000B400D"/>
    <w:rsid w:val="000B4141"/>
    <w:rsid w:val="000B4197"/>
    <w:rsid w:val="000B47BF"/>
    <w:rsid w:val="000B4A24"/>
    <w:rsid w:val="000B4C11"/>
    <w:rsid w:val="000B50B2"/>
    <w:rsid w:val="000B54B8"/>
    <w:rsid w:val="000B5A1C"/>
    <w:rsid w:val="000B5D5C"/>
    <w:rsid w:val="000B62C2"/>
    <w:rsid w:val="000B6409"/>
    <w:rsid w:val="000B6680"/>
    <w:rsid w:val="000B686D"/>
    <w:rsid w:val="000B6A17"/>
    <w:rsid w:val="000B6DD9"/>
    <w:rsid w:val="000B6F12"/>
    <w:rsid w:val="000B6F56"/>
    <w:rsid w:val="000B76A2"/>
    <w:rsid w:val="000B7721"/>
    <w:rsid w:val="000B79C7"/>
    <w:rsid w:val="000B7D00"/>
    <w:rsid w:val="000B7D79"/>
    <w:rsid w:val="000B7DA7"/>
    <w:rsid w:val="000C0525"/>
    <w:rsid w:val="000C05B4"/>
    <w:rsid w:val="000C13A7"/>
    <w:rsid w:val="000C18F6"/>
    <w:rsid w:val="000C1A54"/>
    <w:rsid w:val="000C1B95"/>
    <w:rsid w:val="000C1D49"/>
    <w:rsid w:val="000C203E"/>
    <w:rsid w:val="000C2426"/>
    <w:rsid w:val="000C2AF7"/>
    <w:rsid w:val="000C2DC5"/>
    <w:rsid w:val="000C32C1"/>
    <w:rsid w:val="000C3406"/>
    <w:rsid w:val="000C340F"/>
    <w:rsid w:val="000C37D4"/>
    <w:rsid w:val="000C3909"/>
    <w:rsid w:val="000C4552"/>
    <w:rsid w:val="000C4577"/>
    <w:rsid w:val="000C4671"/>
    <w:rsid w:val="000C4B02"/>
    <w:rsid w:val="000C4DE4"/>
    <w:rsid w:val="000C5039"/>
    <w:rsid w:val="000C52E9"/>
    <w:rsid w:val="000C5672"/>
    <w:rsid w:val="000C5905"/>
    <w:rsid w:val="000C59C4"/>
    <w:rsid w:val="000C6010"/>
    <w:rsid w:val="000C6850"/>
    <w:rsid w:val="000C7349"/>
    <w:rsid w:val="000C747F"/>
    <w:rsid w:val="000C7AC3"/>
    <w:rsid w:val="000C7E41"/>
    <w:rsid w:val="000D0993"/>
    <w:rsid w:val="000D1287"/>
    <w:rsid w:val="000D14AA"/>
    <w:rsid w:val="000D1521"/>
    <w:rsid w:val="000D1B46"/>
    <w:rsid w:val="000D2063"/>
    <w:rsid w:val="000D229A"/>
    <w:rsid w:val="000D235C"/>
    <w:rsid w:val="000D24C8"/>
    <w:rsid w:val="000D2596"/>
    <w:rsid w:val="000D2A92"/>
    <w:rsid w:val="000D2EC8"/>
    <w:rsid w:val="000D2FD0"/>
    <w:rsid w:val="000D3427"/>
    <w:rsid w:val="000D3CA7"/>
    <w:rsid w:val="000D414E"/>
    <w:rsid w:val="000D423D"/>
    <w:rsid w:val="000D445C"/>
    <w:rsid w:val="000D4580"/>
    <w:rsid w:val="000D470E"/>
    <w:rsid w:val="000D4779"/>
    <w:rsid w:val="000D4FA2"/>
    <w:rsid w:val="000D56E1"/>
    <w:rsid w:val="000D59E6"/>
    <w:rsid w:val="000D5B80"/>
    <w:rsid w:val="000D5B81"/>
    <w:rsid w:val="000D5B86"/>
    <w:rsid w:val="000D5CDA"/>
    <w:rsid w:val="000D622A"/>
    <w:rsid w:val="000D6233"/>
    <w:rsid w:val="000D6303"/>
    <w:rsid w:val="000D647D"/>
    <w:rsid w:val="000D6AE2"/>
    <w:rsid w:val="000D7160"/>
    <w:rsid w:val="000D779A"/>
    <w:rsid w:val="000D77E6"/>
    <w:rsid w:val="000D7B2F"/>
    <w:rsid w:val="000E0090"/>
    <w:rsid w:val="000E0AB4"/>
    <w:rsid w:val="000E0AE7"/>
    <w:rsid w:val="000E10B1"/>
    <w:rsid w:val="000E1428"/>
    <w:rsid w:val="000E1921"/>
    <w:rsid w:val="000E1C57"/>
    <w:rsid w:val="000E2604"/>
    <w:rsid w:val="000E29BC"/>
    <w:rsid w:val="000E2A00"/>
    <w:rsid w:val="000E2E3F"/>
    <w:rsid w:val="000E30D8"/>
    <w:rsid w:val="000E3436"/>
    <w:rsid w:val="000E376F"/>
    <w:rsid w:val="000E37EE"/>
    <w:rsid w:val="000E45D3"/>
    <w:rsid w:val="000E4EA2"/>
    <w:rsid w:val="000E5299"/>
    <w:rsid w:val="000E5818"/>
    <w:rsid w:val="000E5C6F"/>
    <w:rsid w:val="000E6014"/>
    <w:rsid w:val="000E614C"/>
    <w:rsid w:val="000E633D"/>
    <w:rsid w:val="000E63F7"/>
    <w:rsid w:val="000E66E4"/>
    <w:rsid w:val="000E692F"/>
    <w:rsid w:val="000E6ACF"/>
    <w:rsid w:val="000E77C3"/>
    <w:rsid w:val="000E7F0C"/>
    <w:rsid w:val="000F0282"/>
    <w:rsid w:val="000F029C"/>
    <w:rsid w:val="000F0323"/>
    <w:rsid w:val="000F0434"/>
    <w:rsid w:val="000F046A"/>
    <w:rsid w:val="000F07F6"/>
    <w:rsid w:val="000F09E8"/>
    <w:rsid w:val="000F0AF5"/>
    <w:rsid w:val="000F15CF"/>
    <w:rsid w:val="000F1C32"/>
    <w:rsid w:val="000F1D47"/>
    <w:rsid w:val="000F1E3E"/>
    <w:rsid w:val="000F1FEC"/>
    <w:rsid w:val="000F208C"/>
    <w:rsid w:val="000F21A1"/>
    <w:rsid w:val="000F237E"/>
    <w:rsid w:val="000F28CC"/>
    <w:rsid w:val="000F35D7"/>
    <w:rsid w:val="000F366A"/>
    <w:rsid w:val="000F39E3"/>
    <w:rsid w:val="000F3AC6"/>
    <w:rsid w:val="000F3D82"/>
    <w:rsid w:val="000F4600"/>
    <w:rsid w:val="000F46C6"/>
    <w:rsid w:val="000F471D"/>
    <w:rsid w:val="000F4ACA"/>
    <w:rsid w:val="000F4ADA"/>
    <w:rsid w:val="000F4EE9"/>
    <w:rsid w:val="000F5188"/>
    <w:rsid w:val="000F54A3"/>
    <w:rsid w:val="000F5786"/>
    <w:rsid w:val="000F58D5"/>
    <w:rsid w:val="000F5D89"/>
    <w:rsid w:val="000F6265"/>
    <w:rsid w:val="000F654B"/>
    <w:rsid w:val="000F6ECC"/>
    <w:rsid w:val="000F6EED"/>
    <w:rsid w:val="000F7432"/>
    <w:rsid w:val="000F74D3"/>
    <w:rsid w:val="000F77ED"/>
    <w:rsid w:val="000F7A2E"/>
    <w:rsid w:val="000F7A3D"/>
    <w:rsid w:val="000F7D00"/>
    <w:rsid w:val="000F7FAB"/>
    <w:rsid w:val="0010012E"/>
    <w:rsid w:val="00100B13"/>
    <w:rsid w:val="00100FA3"/>
    <w:rsid w:val="0010102D"/>
    <w:rsid w:val="00101103"/>
    <w:rsid w:val="00101900"/>
    <w:rsid w:val="00101ADC"/>
    <w:rsid w:val="0010209C"/>
    <w:rsid w:val="00102545"/>
    <w:rsid w:val="001026F4"/>
    <w:rsid w:val="001026FB"/>
    <w:rsid w:val="00102980"/>
    <w:rsid w:val="00102A90"/>
    <w:rsid w:val="00102C92"/>
    <w:rsid w:val="00102CFC"/>
    <w:rsid w:val="00102EA0"/>
    <w:rsid w:val="00103981"/>
    <w:rsid w:val="00103A89"/>
    <w:rsid w:val="001045ED"/>
    <w:rsid w:val="001046B3"/>
    <w:rsid w:val="00104712"/>
    <w:rsid w:val="00104D2D"/>
    <w:rsid w:val="0010500D"/>
    <w:rsid w:val="00105028"/>
    <w:rsid w:val="00105068"/>
    <w:rsid w:val="0010581B"/>
    <w:rsid w:val="001059BF"/>
    <w:rsid w:val="00105A42"/>
    <w:rsid w:val="0010606B"/>
    <w:rsid w:val="0010609F"/>
    <w:rsid w:val="00106EA0"/>
    <w:rsid w:val="00106ECE"/>
    <w:rsid w:val="0010717C"/>
    <w:rsid w:val="00107434"/>
    <w:rsid w:val="00107801"/>
    <w:rsid w:val="001078B7"/>
    <w:rsid w:val="00107977"/>
    <w:rsid w:val="00107C1B"/>
    <w:rsid w:val="00107DA8"/>
    <w:rsid w:val="00107ECF"/>
    <w:rsid w:val="00107F61"/>
    <w:rsid w:val="001100CC"/>
    <w:rsid w:val="001101BC"/>
    <w:rsid w:val="001101D9"/>
    <w:rsid w:val="001102D3"/>
    <w:rsid w:val="00110412"/>
    <w:rsid w:val="00110569"/>
    <w:rsid w:val="00110790"/>
    <w:rsid w:val="00110801"/>
    <w:rsid w:val="00110914"/>
    <w:rsid w:val="00110F56"/>
    <w:rsid w:val="0011105B"/>
    <w:rsid w:val="001110FA"/>
    <w:rsid w:val="0011110D"/>
    <w:rsid w:val="0011110F"/>
    <w:rsid w:val="001113FE"/>
    <w:rsid w:val="001114B9"/>
    <w:rsid w:val="00111757"/>
    <w:rsid w:val="0011179F"/>
    <w:rsid w:val="00111EA8"/>
    <w:rsid w:val="001124A0"/>
    <w:rsid w:val="00112A63"/>
    <w:rsid w:val="00112E69"/>
    <w:rsid w:val="00113243"/>
    <w:rsid w:val="001132AD"/>
    <w:rsid w:val="001136E3"/>
    <w:rsid w:val="001137FC"/>
    <w:rsid w:val="00113E1D"/>
    <w:rsid w:val="001140A5"/>
    <w:rsid w:val="001147AD"/>
    <w:rsid w:val="00114FB5"/>
    <w:rsid w:val="001151F7"/>
    <w:rsid w:val="001153A7"/>
    <w:rsid w:val="0011543D"/>
    <w:rsid w:val="0011587B"/>
    <w:rsid w:val="00115C1D"/>
    <w:rsid w:val="00115F34"/>
    <w:rsid w:val="0011603A"/>
    <w:rsid w:val="001161AB"/>
    <w:rsid w:val="0011646A"/>
    <w:rsid w:val="0011670C"/>
    <w:rsid w:val="00116AAE"/>
    <w:rsid w:val="00116BEA"/>
    <w:rsid w:val="00116C67"/>
    <w:rsid w:val="00116CD7"/>
    <w:rsid w:val="0011715D"/>
    <w:rsid w:val="0011733A"/>
    <w:rsid w:val="001178D9"/>
    <w:rsid w:val="00117BA3"/>
    <w:rsid w:val="00117C0B"/>
    <w:rsid w:val="00117F25"/>
    <w:rsid w:val="00117F56"/>
    <w:rsid w:val="00117F7D"/>
    <w:rsid w:val="00117F9C"/>
    <w:rsid w:val="00120301"/>
    <w:rsid w:val="001203A0"/>
    <w:rsid w:val="001203BE"/>
    <w:rsid w:val="00120D62"/>
    <w:rsid w:val="00120F33"/>
    <w:rsid w:val="00120FE5"/>
    <w:rsid w:val="00121148"/>
    <w:rsid w:val="00121295"/>
    <w:rsid w:val="001213B1"/>
    <w:rsid w:val="001213D0"/>
    <w:rsid w:val="00121AD5"/>
    <w:rsid w:val="00121CC4"/>
    <w:rsid w:val="00121CF6"/>
    <w:rsid w:val="00122290"/>
    <w:rsid w:val="001225E0"/>
    <w:rsid w:val="001228AA"/>
    <w:rsid w:val="00122AB7"/>
    <w:rsid w:val="00122D87"/>
    <w:rsid w:val="00122D96"/>
    <w:rsid w:val="0012319A"/>
    <w:rsid w:val="00123660"/>
    <w:rsid w:val="00123675"/>
    <w:rsid w:val="001238F0"/>
    <w:rsid w:val="00123E85"/>
    <w:rsid w:val="001240CA"/>
    <w:rsid w:val="001249B1"/>
    <w:rsid w:val="00125863"/>
    <w:rsid w:val="00125A5E"/>
    <w:rsid w:val="00125AF2"/>
    <w:rsid w:val="00125E97"/>
    <w:rsid w:val="00125F27"/>
    <w:rsid w:val="001260DE"/>
    <w:rsid w:val="00126967"/>
    <w:rsid w:val="00127003"/>
    <w:rsid w:val="0012702B"/>
    <w:rsid w:val="00127120"/>
    <w:rsid w:val="001271FA"/>
    <w:rsid w:val="0012723F"/>
    <w:rsid w:val="001272E9"/>
    <w:rsid w:val="00127375"/>
    <w:rsid w:val="00127475"/>
    <w:rsid w:val="0012795B"/>
    <w:rsid w:val="00127A14"/>
    <w:rsid w:val="00127E67"/>
    <w:rsid w:val="00127EF0"/>
    <w:rsid w:val="00127F2C"/>
    <w:rsid w:val="00130353"/>
    <w:rsid w:val="0013036A"/>
    <w:rsid w:val="00130917"/>
    <w:rsid w:val="001309E4"/>
    <w:rsid w:val="00130A7F"/>
    <w:rsid w:val="00130BC6"/>
    <w:rsid w:val="00130F46"/>
    <w:rsid w:val="00130FCB"/>
    <w:rsid w:val="00131110"/>
    <w:rsid w:val="001312CC"/>
    <w:rsid w:val="0013149C"/>
    <w:rsid w:val="001314A1"/>
    <w:rsid w:val="00131908"/>
    <w:rsid w:val="00131BBE"/>
    <w:rsid w:val="00131BEB"/>
    <w:rsid w:val="00133183"/>
    <w:rsid w:val="001338D4"/>
    <w:rsid w:val="00133BAB"/>
    <w:rsid w:val="00133D7C"/>
    <w:rsid w:val="00134169"/>
    <w:rsid w:val="00135221"/>
    <w:rsid w:val="0013527D"/>
    <w:rsid w:val="001357D7"/>
    <w:rsid w:val="00135E9B"/>
    <w:rsid w:val="00136023"/>
    <w:rsid w:val="0013633D"/>
    <w:rsid w:val="0013639C"/>
    <w:rsid w:val="00136509"/>
    <w:rsid w:val="00136536"/>
    <w:rsid w:val="0013666C"/>
    <w:rsid w:val="00136B6E"/>
    <w:rsid w:val="00136B83"/>
    <w:rsid w:val="00136BA7"/>
    <w:rsid w:val="00136F68"/>
    <w:rsid w:val="00137183"/>
    <w:rsid w:val="0013726E"/>
    <w:rsid w:val="001376C9"/>
    <w:rsid w:val="00137D2A"/>
    <w:rsid w:val="00140492"/>
    <w:rsid w:val="001406C6"/>
    <w:rsid w:val="0014092A"/>
    <w:rsid w:val="00140B26"/>
    <w:rsid w:val="00141010"/>
    <w:rsid w:val="0014135F"/>
    <w:rsid w:val="00141520"/>
    <w:rsid w:val="00141636"/>
    <w:rsid w:val="0014175B"/>
    <w:rsid w:val="00141C0B"/>
    <w:rsid w:val="00141CBB"/>
    <w:rsid w:val="00141ECC"/>
    <w:rsid w:val="00142256"/>
    <w:rsid w:val="001422FF"/>
    <w:rsid w:val="00142CF6"/>
    <w:rsid w:val="00142F56"/>
    <w:rsid w:val="00143096"/>
    <w:rsid w:val="001433DA"/>
    <w:rsid w:val="0014345E"/>
    <w:rsid w:val="00143651"/>
    <w:rsid w:val="00143B14"/>
    <w:rsid w:val="00143C20"/>
    <w:rsid w:val="001441DB"/>
    <w:rsid w:val="00144610"/>
    <w:rsid w:val="001446A9"/>
    <w:rsid w:val="00144970"/>
    <w:rsid w:val="00144A2A"/>
    <w:rsid w:val="00144C99"/>
    <w:rsid w:val="00144F5F"/>
    <w:rsid w:val="00144F7C"/>
    <w:rsid w:val="001450E2"/>
    <w:rsid w:val="0014544F"/>
    <w:rsid w:val="0014578F"/>
    <w:rsid w:val="00145C9C"/>
    <w:rsid w:val="00146505"/>
    <w:rsid w:val="00146AD2"/>
    <w:rsid w:val="0014764B"/>
    <w:rsid w:val="00147C9B"/>
    <w:rsid w:val="00150839"/>
    <w:rsid w:val="0015091E"/>
    <w:rsid w:val="0015148F"/>
    <w:rsid w:val="00151BE6"/>
    <w:rsid w:val="00151D16"/>
    <w:rsid w:val="00152070"/>
    <w:rsid w:val="00152251"/>
    <w:rsid w:val="00152724"/>
    <w:rsid w:val="0015298E"/>
    <w:rsid w:val="00152B63"/>
    <w:rsid w:val="00152BF7"/>
    <w:rsid w:val="001531DA"/>
    <w:rsid w:val="001532BD"/>
    <w:rsid w:val="0015348F"/>
    <w:rsid w:val="0015350F"/>
    <w:rsid w:val="00153527"/>
    <w:rsid w:val="001535E9"/>
    <w:rsid w:val="001536B1"/>
    <w:rsid w:val="00153908"/>
    <w:rsid w:val="00153DC4"/>
    <w:rsid w:val="001541CC"/>
    <w:rsid w:val="00154486"/>
    <w:rsid w:val="00154665"/>
    <w:rsid w:val="00154843"/>
    <w:rsid w:val="00154C17"/>
    <w:rsid w:val="00154D19"/>
    <w:rsid w:val="00154EE0"/>
    <w:rsid w:val="00154FDC"/>
    <w:rsid w:val="0015506F"/>
    <w:rsid w:val="001550CA"/>
    <w:rsid w:val="001553D1"/>
    <w:rsid w:val="0015583A"/>
    <w:rsid w:val="00156045"/>
    <w:rsid w:val="001564B5"/>
    <w:rsid w:val="001564F6"/>
    <w:rsid w:val="00156770"/>
    <w:rsid w:val="00156B4F"/>
    <w:rsid w:val="00156C8F"/>
    <w:rsid w:val="00156E87"/>
    <w:rsid w:val="00156F73"/>
    <w:rsid w:val="00157026"/>
    <w:rsid w:val="00157136"/>
    <w:rsid w:val="00157222"/>
    <w:rsid w:val="001572D7"/>
    <w:rsid w:val="00157722"/>
    <w:rsid w:val="00157A04"/>
    <w:rsid w:val="00157C62"/>
    <w:rsid w:val="001601CF"/>
    <w:rsid w:val="001602AC"/>
    <w:rsid w:val="001604E6"/>
    <w:rsid w:val="0016050D"/>
    <w:rsid w:val="0016087C"/>
    <w:rsid w:val="001609D4"/>
    <w:rsid w:val="00160A0B"/>
    <w:rsid w:val="00160C37"/>
    <w:rsid w:val="00160D8D"/>
    <w:rsid w:val="00161047"/>
    <w:rsid w:val="001611DA"/>
    <w:rsid w:val="001614F4"/>
    <w:rsid w:val="0016192D"/>
    <w:rsid w:val="00161C12"/>
    <w:rsid w:val="00162173"/>
    <w:rsid w:val="00162487"/>
    <w:rsid w:val="00162535"/>
    <w:rsid w:val="001625A4"/>
    <w:rsid w:val="00162A1D"/>
    <w:rsid w:val="00162B49"/>
    <w:rsid w:val="00162E11"/>
    <w:rsid w:val="00163263"/>
    <w:rsid w:val="0016369B"/>
    <w:rsid w:val="001638D1"/>
    <w:rsid w:val="00163AB0"/>
    <w:rsid w:val="00163CC9"/>
    <w:rsid w:val="00164308"/>
    <w:rsid w:val="00164B80"/>
    <w:rsid w:val="00164BAD"/>
    <w:rsid w:val="00164E20"/>
    <w:rsid w:val="001651BC"/>
    <w:rsid w:val="00165422"/>
    <w:rsid w:val="0016544F"/>
    <w:rsid w:val="0016580A"/>
    <w:rsid w:val="001659A9"/>
    <w:rsid w:val="00165A36"/>
    <w:rsid w:val="00165A8C"/>
    <w:rsid w:val="001671CF"/>
    <w:rsid w:val="00167544"/>
    <w:rsid w:val="00167A79"/>
    <w:rsid w:val="00167DCB"/>
    <w:rsid w:val="001705B3"/>
    <w:rsid w:val="0017067E"/>
    <w:rsid w:val="0017094B"/>
    <w:rsid w:val="001709F8"/>
    <w:rsid w:val="00170A8B"/>
    <w:rsid w:val="0017132A"/>
    <w:rsid w:val="001714B1"/>
    <w:rsid w:val="0017162F"/>
    <w:rsid w:val="001716A8"/>
    <w:rsid w:val="001718DF"/>
    <w:rsid w:val="00171979"/>
    <w:rsid w:val="0017212B"/>
    <w:rsid w:val="0017228D"/>
    <w:rsid w:val="00172625"/>
    <w:rsid w:val="0017289E"/>
    <w:rsid w:val="00172A27"/>
    <w:rsid w:val="00173080"/>
    <w:rsid w:val="00173450"/>
    <w:rsid w:val="001739B6"/>
    <w:rsid w:val="00173C45"/>
    <w:rsid w:val="001740B6"/>
    <w:rsid w:val="00174340"/>
    <w:rsid w:val="00174A95"/>
    <w:rsid w:val="00174BB6"/>
    <w:rsid w:val="00174EC7"/>
    <w:rsid w:val="001752D3"/>
    <w:rsid w:val="00175887"/>
    <w:rsid w:val="00175AD8"/>
    <w:rsid w:val="00175C00"/>
    <w:rsid w:val="00175CA0"/>
    <w:rsid w:val="00175E8B"/>
    <w:rsid w:val="00175F9A"/>
    <w:rsid w:val="0017622C"/>
    <w:rsid w:val="0017625E"/>
    <w:rsid w:val="001763E8"/>
    <w:rsid w:val="00177182"/>
    <w:rsid w:val="00177350"/>
    <w:rsid w:val="001779EA"/>
    <w:rsid w:val="00177B27"/>
    <w:rsid w:val="00177BA1"/>
    <w:rsid w:val="00177F60"/>
    <w:rsid w:val="001806FE"/>
    <w:rsid w:val="001807C0"/>
    <w:rsid w:val="00180C8A"/>
    <w:rsid w:val="00180D0C"/>
    <w:rsid w:val="00180EAE"/>
    <w:rsid w:val="00180ED1"/>
    <w:rsid w:val="0018140C"/>
    <w:rsid w:val="00181722"/>
    <w:rsid w:val="001817CB"/>
    <w:rsid w:val="00181D49"/>
    <w:rsid w:val="0018201F"/>
    <w:rsid w:val="001824B8"/>
    <w:rsid w:val="00182547"/>
    <w:rsid w:val="001825E2"/>
    <w:rsid w:val="001826AD"/>
    <w:rsid w:val="00182C82"/>
    <w:rsid w:val="00182FE9"/>
    <w:rsid w:val="00183271"/>
    <w:rsid w:val="00183BA7"/>
    <w:rsid w:val="00183F25"/>
    <w:rsid w:val="00184184"/>
    <w:rsid w:val="001842B4"/>
    <w:rsid w:val="00184374"/>
    <w:rsid w:val="001843B0"/>
    <w:rsid w:val="0018478C"/>
    <w:rsid w:val="001847CB"/>
    <w:rsid w:val="00184D94"/>
    <w:rsid w:val="00185156"/>
    <w:rsid w:val="001855BB"/>
    <w:rsid w:val="001856CC"/>
    <w:rsid w:val="0018584A"/>
    <w:rsid w:val="001858B2"/>
    <w:rsid w:val="00185CCD"/>
    <w:rsid w:val="00186632"/>
    <w:rsid w:val="00186875"/>
    <w:rsid w:val="00186972"/>
    <w:rsid w:val="00186A80"/>
    <w:rsid w:val="00186E7D"/>
    <w:rsid w:val="00187206"/>
    <w:rsid w:val="0018732C"/>
    <w:rsid w:val="00187399"/>
    <w:rsid w:val="00187865"/>
    <w:rsid w:val="00187C60"/>
    <w:rsid w:val="00187FED"/>
    <w:rsid w:val="00190853"/>
    <w:rsid w:val="001908AB"/>
    <w:rsid w:val="00190A1A"/>
    <w:rsid w:val="00190F42"/>
    <w:rsid w:val="00190FBB"/>
    <w:rsid w:val="001910C7"/>
    <w:rsid w:val="00191571"/>
    <w:rsid w:val="00191684"/>
    <w:rsid w:val="00191812"/>
    <w:rsid w:val="001918DC"/>
    <w:rsid w:val="00191D92"/>
    <w:rsid w:val="00191FEB"/>
    <w:rsid w:val="0019214E"/>
    <w:rsid w:val="00192169"/>
    <w:rsid w:val="00192249"/>
    <w:rsid w:val="00192571"/>
    <w:rsid w:val="001926CD"/>
    <w:rsid w:val="00192AE4"/>
    <w:rsid w:val="00192CF8"/>
    <w:rsid w:val="00192EAA"/>
    <w:rsid w:val="00193109"/>
    <w:rsid w:val="001931D1"/>
    <w:rsid w:val="00193373"/>
    <w:rsid w:val="001934CE"/>
    <w:rsid w:val="0019354C"/>
    <w:rsid w:val="00193768"/>
    <w:rsid w:val="00193CC7"/>
    <w:rsid w:val="00194174"/>
    <w:rsid w:val="0019419F"/>
    <w:rsid w:val="00194DBF"/>
    <w:rsid w:val="00195055"/>
    <w:rsid w:val="001951E9"/>
    <w:rsid w:val="00195361"/>
    <w:rsid w:val="00195A2D"/>
    <w:rsid w:val="00195A95"/>
    <w:rsid w:val="00195C45"/>
    <w:rsid w:val="00195ECC"/>
    <w:rsid w:val="00195EEF"/>
    <w:rsid w:val="00196AFB"/>
    <w:rsid w:val="00196BE4"/>
    <w:rsid w:val="00196D23"/>
    <w:rsid w:val="00197328"/>
    <w:rsid w:val="0019779B"/>
    <w:rsid w:val="00197A55"/>
    <w:rsid w:val="00197AC0"/>
    <w:rsid w:val="00197AF8"/>
    <w:rsid w:val="00197B15"/>
    <w:rsid w:val="00197C8F"/>
    <w:rsid w:val="00197D0C"/>
    <w:rsid w:val="001A004B"/>
    <w:rsid w:val="001A05FC"/>
    <w:rsid w:val="001A07E7"/>
    <w:rsid w:val="001A0AD3"/>
    <w:rsid w:val="001A0EB4"/>
    <w:rsid w:val="001A105B"/>
    <w:rsid w:val="001A109C"/>
    <w:rsid w:val="001A10CA"/>
    <w:rsid w:val="001A1471"/>
    <w:rsid w:val="001A1647"/>
    <w:rsid w:val="001A1DE5"/>
    <w:rsid w:val="001A1ED3"/>
    <w:rsid w:val="001A28A5"/>
    <w:rsid w:val="001A30F9"/>
    <w:rsid w:val="001A31A7"/>
    <w:rsid w:val="001A3565"/>
    <w:rsid w:val="001A36A5"/>
    <w:rsid w:val="001A38EB"/>
    <w:rsid w:val="001A3A34"/>
    <w:rsid w:val="001A3A45"/>
    <w:rsid w:val="001A3A7C"/>
    <w:rsid w:val="001A3B98"/>
    <w:rsid w:val="001A4151"/>
    <w:rsid w:val="001A415F"/>
    <w:rsid w:val="001A42E2"/>
    <w:rsid w:val="001A44D0"/>
    <w:rsid w:val="001A47DF"/>
    <w:rsid w:val="001A4812"/>
    <w:rsid w:val="001A4E7F"/>
    <w:rsid w:val="001A507D"/>
    <w:rsid w:val="001A5218"/>
    <w:rsid w:val="001A527F"/>
    <w:rsid w:val="001A5841"/>
    <w:rsid w:val="001A612D"/>
    <w:rsid w:val="001A6FE1"/>
    <w:rsid w:val="001A726A"/>
    <w:rsid w:val="001A7368"/>
    <w:rsid w:val="001A7464"/>
    <w:rsid w:val="001A759A"/>
    <w:rsid w:val="001A7793"/>
    <w:rsid w:val="001A7B4F"/>
    <w:rsid w:val="001A7FE1"/>
    <w:rsid w:val="001B0107"/>
    <w:rsid w:val="001B0747"/>
    <w:rsid w:val="001B0866"/>
    <w:rsid w:val="001B112F"/>
    <w:rsid w:val="001B146D"/>
    <w:rsid w:val="001B1500"/>
    <w:rsid w:val="001B1736"/>
    <w:rsid w:val="001B1786"/>
    <w:rsid w:val="001B1CFB"/>
    <w:rsid w:val="001B1FD7"/>
    <w:rsid w:val="001B251D"/>
    <w:rsid w:val="001B26B7"/>
    <w:rsid w:val="001B2BFB"/>
    <w:rsid w:val="001B323E"/>
    <w:rsid w:val="001B32B9"/>
    <w:rsid w:val="001B342B"/>
    <w:rsid w:val="001B3A71"/>
    <w:rsid w:val="001B3CF5"/>
    <w:rsid w:val="001B425B"/>
    <w:rsid w:val="001B4659"/>
    <w:rsid w:val="001B4671"/>
    <w:rsid w:val="001B4C79"/>
    <w:rsid w:val="001B4F57"/>
    <w:rsid w:val="001B5A0F"/>
    <w:rsid w:val="001B5B9C"/>
    <w:rsid w:val="001B5EA3"/>
    <w:rsid w:val="001B5F93"/>
    <w:rsid w:val="001B61B9"/>
    <w:rsid w:val="001B634C"/>
    <w:rsid w:val="001B63CC"/>
    <w:rsid w:val="001B677B"/>
    <w:rsid w:val="001B6903"/>
    <w:rsid w:val="001B6A92"/>
    <w:rsid w:val="001B6E4B"/>
    <w:rsid w:val="001B73BF"/>
    <w:rsid w:val="001B7852"/>
    <w:rsid w:val="001B7BCA"/>
    <w:rsid w:val="001C02AB"/>
    <w:rsid w:val="001C03A6"/>
    <w:rsid w:val="001C04D4"/>
    <w:rsid w:val="001C05C6"/>
    <w:rsid w:val="001C078A"/>
    <w:rsid w:val="001C07AF"/>
    <w:rsid w:val="001C0840"/>
    <w:rsid w:val="001C0A59"/>
    <w:rsid w:val="001C0D19"/>
    <w:rsid w:val="001C0E60"/>
    <w:rsid w:val="001C1944"/>
    <w:rsid w:val="001C1E71"/>
    <w:rsid w:val="001C2013"/>
    <w:rsid w:val="001C2285"/>
    <w:rsid w:val="001C22A6"/>
    <w:rsid w:val="001C24BE"/>
    <w:rsid w:val="001C286F"/>
    <w:rsid w:val="001C2C5E"/>
    <w:rsid w:val="001C2F60"/>
    <w:rsid w:val="001C31C8"/>
    <w:rsid w:val="001C3896"/>
    <w:rsid w:val="001C38D4"/>
    <w:rsid w:val="001C3979"/>
    <w:rsid w:val="001C4024"/>
    <w:rsid w:val="001C43C0"/>
    <w:rsid w:val="001C44AC"/>
    <w:rsid w:val="001C4615"/>
    <w:rsid w:val="001C4798"/>
    <w:rsid w:val="001C51D1"/>
    <w:rsid w:val="001C57F0"/>
    <w:rsid w:val="001C5917"/>
    <w:rsid w:val="001C598B"/>
    <w:rsid w:val="001C5C18"/>
    <w:rsid w:val="001C607B"/>
    <w:rsid w:val="001C61A4"/>
    <w:rsid w:val="001C6FE4"/>
    <w:rsid w:val="001C70EF"/>
    <w:rsid w:val="001C7162"/>
    <w:rsid w:val="001C724E"/>
    <w:rsid w:val="001C745B"/>
    <w:rsid w:val="001C746A"/>
    <w:rsid w:val="001C7510"/>
    <w:rsid w:val="001C7586"/>
    <w:rsid w:val="001C7B2A"/>
    <w:rsid w:val="001C7C2E"/>
    <w:rsid w:val="001C7FDE"/>
    <w:rsid w:val="001D0042"/>
    <w:rsid w:val="001D00AC"/>
    <w:rsid w:val="001D0297"/>
    <w:rsid w:val="001D036B"/>
    <w:rsid w:val="001D0548"/>
    <w:rsid w:val="001D0E53"/>
    <w:rsid w:val="001D0FCC"/>
    <w:rsid w:val="001D1078"/>
    <w:rsid w:val="001D138A"/>
    <w:rsid w:val="001D13E3"/>
    <w:rsid w:val="001D19CC"/>
    <w:rsid w:val="001D1BBF"/>
    <w:rsid w:val="001D1ED5"/>
    <w:rsid w:val="001D22B2"/>
    <w:rsid w:val="001D2753"/>
    <w:rsid w:val="001D27A1"/>
    <w:rsid w:val="001D2ACB"/>
    <w:rsid w:val="001D2B15"/>
    <w:rsid w:val="001D2C28"/>
    <w:rsid w:val="001D32EA"/>
    <w:rsid w:val="001D3D33"/>
    <w:rsid w:val="001D406C"/>
    <w:rsid w:val="001D41D7"/>
    <w:rsid w:val="001D4398"/>
    <w:rsid w:val="001D4895"/>
    <w:rsid w:val="001D493B"/>
    <w:rsid w:val="001D4A41"/>
    <w:rsid w:val="001D4B16"/>
    <w:rsid w:val="001D4B1E"/>
    <w:rsid w:val="001D4B22"/>
    <w:rsid w:val="001D4B4D"/>
    <w:rsid w:val="001D4B92"/>
    <w:rsid w:val="001D50F9"/>
    <w:rsid w:val="001D5437"/>
    <w:rsid w:val="001D56D6"/>
    <w:rsid w:val="001D5913"/>
    <w:rsid w:val="001D5D2F"/>
    <w:rsid w:val="001D5DD7"/>
    <w:rsid w:val="001D5F77"/>
    <w:rsid w:val="001D6113"/>
    <w:rsid w:val="001D62BB"/>
    <w:rsid w:val="001D62CD"/>
    <w:rsid w:val="001D63E5"/>
    <w:rsid w:val="001D6595"/>
    <w:rsid w:val="001D674F"/>
    <w:rsid w:val="001D67A4"/>
    <w:rsid w:val="001D6926"/>
    <w:rsid w:val="001D6B29"/>
    <w:rsid w:val="001D76ED"/>
    <w:rsid w:val="001D7843"/>
    <w:rsid w:val="001D79B1"/>
    <w:rsid w:val="001D7C0D"/>
    <w:rsid w:val="001D7CF8"/>
    <w:rsid w:val="001D7F97"/>
    <w:rsid w:val="001D7F98"/>
    <w:rsid w:val="001E0432"/>
    <w:rsid w:val="001E0875"/>
    <w:rsid w:val="001E0A06"/>
    <w:rsid w:val="001E1118"/>
    <w:rsid w:val="001E134F"/>
    <w:rsid w:val="001E17EA"/>
    <w:rsid w:val="001E18E2"/>
    <w:rsid w:val="001E193E"/>
    <w:rsid w:val="001E1D3B"/>
    <w:rsid w:val="001E1F7E"/>
    <w:rsid w:val="001E1FCE"/>
    <w:rsid w:val="001E208F"/>
    <w:rsid w:val="001E2137"/>
    <w:rsid w:val="001E226C"/>
    <w:rsid w:val="001E23BF"/>
    <w:rsid w:val="001E23FE"/>
    <w:rsid w:val="001E246E"/>
    <w:rsid w:val="001E2471"/>
    <w:rsid w:val="001E2A30"/>
    <w:rsid w:val="001E2B1D"/>
    <w:rsid w:val="001E3245"/>
    <w:rsid w:val="001E382C"/>
    <w:rsid w:val="001E3831"/>
    <w:rsid w:val="001E3A76"/>
    <w:rsid w:val="001E3EC2"/>
    <w:rsid w:val="001E41F7"/>
    <w:rsid w:val="001E42D5"/>
    <w:rsid w:val="001E46AC"/>
    <w:rsid w:val="001E490D"/>
    <w:rsid w:val="001E4F9B"/>
    <w:rsid w:val="001E5599"/>
    <w:rsid w:val="001E6898"/>
    <w:rsid w:val="001E7806"/>
    <w:rsid w:val="001E7817"/>
    <w:rsid w:val="001E7A98"/>
    <w:rsid w:val="001E7C50"/>
    <w:rsid w:val="001F022B"/>
    <w:rsid w:val="001F0274"/>
    <w:rsid w:val="001F038B"/>
    <w:rsid w:val="001F03B1"/>
    <w:rsid w:val="001F0556"/>
    <w:rsid w:val="001F09E4"/>
    <w:rsid w:val="001F0C8E"/>
    <w:rsid w:val="001F1298"/>
    <w:rsid w:val="001F1942"/>
    <w:rsid w:val="001F20CD"/>
    <w:rsid w:val="001F23DA"/>
    <w:rsid w:val="001F2839"/>
    <w:rsid w:val="001F2C33"/>
    <w:rsid w:val="001F2D57"/>
    <w:rsid w:val="001F2EE1"/>
    <w:rsid w:val="001F325E"/>
    <w:rsid w:val="001F3463"/>
    <w:rsid w:val="001F348B"/>
    <w:rsid w:val="001F3745"/>
    <w:rsid w:val="001F3BB0"/>
    <w:rsid w:val="001F49A5"/>
    <w:rsid w:val="001F4AD2"/>
    <w:rsid w:val="001F4D69"/>
    <w:rsid w:val="001F5306"/>
    <w:rsid w:val="001F5319"/>
    <w:rsid w:val="001F5AFB"/>
    <w:rsid w:val="001F5FB2"/>
    <w:rsid w:val="001F601F"/>
    <w:rsid w:val="001F61F7"/>
    <w:rsid w:val="001F6788"/>
    <w:rsid w:val="001F68F2"/>
    <w:rsid w:val="001F6AE8"/>
    <w:rsid w:val="001F6D73"/>
    <w:rsid w:val="001F7243"/>
    <w:rsid w:val="001F72E5"/>
    <w:rsid w:val="001F7317"/>
    <w:rsid w:val="001F7942"/>
    <w:rsid w:val="001F79DB"/>
    <w:rsid w:val="001F7F60"/>
    <w:rsid w:val="00200718"/>
    <w:rsid w:val="0020094D"/>
    <w:rsid w:val="00200A93"/>
    <w:rsid w:val="00200D9A"/>
    <w:rsid w:val="00201407"/>
    <w:rsid w:val="00201B81"/>
    <w:rsid w:val="00201D01"/>
    <w:rsid w:val="00202003"/>
    <w:rsid w:val="00202219"/>
    <w:rsid w:val="00202B88"/>
    <w:rsid w:val="00202E4C"/>
    <w:rsid w:val="00203281"/>
    <w:rsid w:val="00203283"/>
    <w:rsid w:val="00203662"/>
    <w:rsid w:val="00203A44"/>
    <w:rsid w:val="00203D30"/>
    <w:rsid w:val="00203E4C"/>
    <w:rsid w:val="0020466B"/>
    <w:rsid w:val="00204B66"/>
    <w:rsid w:val="00204C36"/>
    <w:rsid w:val="00205096"/>
    <w:rsid w:val="0020518B"/>
    <w:rsid w:val="0020575C"/>
    <w:rsid w:val="00205BAD"/>
    <w:rsid w:val="00205FC0"/>
    <w:rsid w:val="0020646D"/>
    <w:rsid w:val="00206672"/>
    <w:rsid w:val="00206DBB"/>
    <w:rsid w:val="002070AF"/>
    <w:rsid w:val="0020713D"/>
    <w:rsid w:val="002073A1"/>
    <w:rsid w:val="00207674"/>
    <w:rsid w:val="00207D9E"/>
    <w:rsid w:val="00207E9C"/>
    <w:rsid w:val="00207EE5"/>
    <w:rsid w:val="00210041"/>
    <w:rsid w:val="00210371"/>
    <w:rsid w:val="002106B6"/>
    <w:rsid w:val="00210A49"/>
    <w:rsid w:val="00210D3D"/>
    <w:rsid w:val="00210F5A"/>
    <w:rsid w:val="0021107F"/>
    <w:rsid w:val="0021118F"/>
    <w:rsid w:val="002119FC"/>
    <w:rsid w:val="00211B44"/>
    <w:rsid w:val="00211C6E"/>
    <w:rsid w:val="00211CB0"/>
    <w:rsid w:val="00211D90"/>
    <w:rsid w:val="0021231A"/>
    <w:rsid w:val="0021235B"/>
    <w:rsid w:val="00212771"/>
    <w:rsid w:val="00212A51"/>
    <w:rsid w:val="00213325"/>
    <w:rsid w:val="0021337B"/>
    <w:rsid w:val="00213938"/>
    <w:rsid w:val="00213CC8"/>
    <w:rsid w:val="002145E7"/>
    <w:rsid w:val="00214985"/>
    <w:rsid w:val="00214A9E"/>
    <w:rsid w:val="00214AC7"/>
    <w:rsid w:val="00214DE1"/>
    <w:rsid w:val="00214E16"/>
    <w:rsid w:val="0021502B"/>
    <w:rsid w:val="002151A3"/>
    <w:rsid w:val="002151D4"/>
    <w:rsid w:val="0021543A"/>
    <w:rsid w:val="00215678"/>
    <w:rsid w:val="00216118"/>
    <w:rsid w:val="0021623B"/>
    <w:rsid w:val="0021635F"/>
    <w:rsid w:val="002163EE"/>
    <w:rsid w:val="002168E0"/>
    <w:rsid w:val="00216971"/>
    <w:rsid w:val="00216BD3"/>
    <w:rsid w:val="00216CA4"/>
    <w:rsid w:val="00216CC0"/>
    <w:rsid w:val="0021766C"/>
    <w:rsid w:val="0021779E"/>
    <w:rsid w:val="002178CB"/>
    <w:rsid w:val="00217A55"/>
    <w:rsid w:val="00217ACD"/>
    <w:rsid w:val="00217EEF"/>
    <w:rsid w:val="002201F9"/>
    <w:rsid w:val="0022024D"/>
    <w:rsid w:val="00220354"/>
    <w:rsid w:val="00220618"/>
    <w:rsid w:val="0022089A"/>
    <w:rsid w:val="00220B43"/>
    <w:rsid w:val="00220C09"/>
    <w:rsid w:val="0022125C"/>
    <w:rsid w:val="00221264"/>
    <w:rsid w:val="002212BF"/>
    <w:rsid w:val="002213DD"/>
    <w:rsid w:val="0022148D"/>
    <w:rsid w:val="002216E5"/>
    <w:rsid w:val="002219DD"/>
    <w:rsid w:val="00221B22"/>
    <w:rsid w:val="00221DD7"/>
    <w:rsid w:val="00221F01"/>
    <w:rsid w:val="002222DD"/>
    <w:rsid w:val="00222875"/>
    <w:rsid w:val="00222AD1"/>
    <w:rsid w:val="00222BAA"/>
    <w:rsid w:val="00222D7D"/>
    <w:rsid w:val="0022369C"/>
    <w:rsid w:val="0022370E"/>
    <w:rsid w:val="0022385D"/>
    <w:rsid w:val="002238F7"/>
    <w:rsid w:val="002245AA"/>
    <w:rsid w:val="00224888"/>
    <w:rsid w:val="00224899"/>
    <w:rsid w:val="00224EA1"/>
    <w:rsid w:val="002250DD"/>
    <w:rsid w:val="0022590D"/>
    <w:rsid w:val="002259A9"/>
    <w:rsid w:val="00226939"/>
    <w:rsid w:val="00226A2E"/>
    <w:rsid w:val="00226B14"/>
    <w:rsid w:val="00227838"/>
    <w:rsid w:val="00227891"/>
    <w:rsid w:val="00227C98"/>
    <w:rsid w:val="00230084"/>
    <w:rsid w:val="002302E5"/>
    <w:rsid w:val="0023077D"/>
    <w:rsid w:val="00230864"/>
    <w:rsid w:val="00230CE3"/>
    <w:rsid w:val="0023102E"/>
    <w:rsid w:val="00231151"/>
    <w:rsid w:val="002312B6"/>
    <w:rsid w:val="002313A9"/>
    <w:rsid w:val="00231651"/>
    <w:rsid w:val="0023178D"/>
    <w:rsid w:val="0023203C"/>
    <w:rsid w:val="00232115"/>
    <w:rsid w:val="0023286C"/>
    <w:rsid w:val="00233464"/>
    <w:rsid w:val="00233550"/>
    <w:rsid w:val="002336B2"/>
    <w:rsid w:val="002338F2"/>
    <w:rsid w:val="002343A9"/>
    <w:rsid w:val="0023454F"/>
    <w:rsid w:val="0023478E"/>
    <w:rsid w:val="002350E8"/>
    <w:rsid w:val="0023553C"/>
    <w:rsid w:val="002356DE"/>
    <w:rsid w:val="00235E08"/>
    <w:rsid w:val="00236647"/>
    <w:rsid w:val="00236907"/>
    <w:rsid w:val="00236E8A"/>
    <w:rsid w:val="00236FE0"/>
    <w:rsid w:val="0023720B"/>
    <w:rsid w:val="002372D2"/>
    <w:rsid w:val="00237325"/>
    <w:rsid w:val="00237C8F"/>
    <w:rsid w:val="00240278"/>
    <w:rsid w:val="00240513"/>
    <w:rsid w:val="00240D9B"/>
    <w:rsid w:val="0024100A"/>
    <w:rsid w:val="00241943"/>
    <w:rsid w:val="00241AB9"/>
    <w:rsid w:val="00241B26"/>
    <w:rsid w:val="00241FA3"/>
    <w:rsid w:val="00241FD5"/>
    <w:rsid w:val="00242680"/>
    <w:rsid w:val="002427FD"/>
    <w:rsid w:val="0024289C"/>
    <w:rsid w:val="00242F61"/>
    <w:rsid w:val="00243349"/>
    <w:rsid w:val="002435D2"/>
    <w:rsid w:val="00243C2E"/>
    <w:rsid w:val="00243DF8"/>
    <w:rsid w:val="00244057"/>
    <w:rsid w:val="00244163"/>
    <w:rsid w:val="0024476D"/>
    <w:rsid w:val="00244E54"/>
    <w:rsid w:val="00244FA5"/>
    <w:rsid w:val="002456D6"/>
    <w:rsid w:val="00245969"/>
    <w:rsid w:val="00246153"/>
    <w:rsid w:val="002464D4"/>
    <w:rsid w:val="00246AAD"/>
    <w:rsid w:val="00246E3A"/>
    <w:rsid w:val="00246E56"/>
    <w:rsid w:val="00246FBB"/>
    <w:rsid w:val="002470CC"/>
    <w:rsid w:val="0024731D"/>
    <w:rsid w:val="00247A42"/>
    <w:rsid w:val="00247B64"/>
    <w:rsid w:val="00247C25"/>
    <w:rsid w:val="00247F0E"/>
    <w:rsid w:val="002504C5"/>
    <w:rsid w:val="00250930"/>
    <w:rsid w:val="00250A1A"/>
    <w:rsid w:val="00250BDC"/>
    <w:rsid w:val="00250CD8"/>
    <w:rsid w:val="00251398"/>
    <w:rsid w:val="00251787"/>
    <w:rsid w:val="00251824"/>
    <w:rsid w:val="00251AA8"/>
    <w:rsid w:val="00251B89"/>
    <w:rsid w:val="00251E3C"/>
    <w:rsid w:val="00252312"/>
    <w:rsid w:val="002523C9"/>
    <w:rsid w:val="002525D6"/>
    <w:rsid w:val="00252A47"/>
    <w:rsid w:val="002530D3"/>
    <w:rsid w:val="00253431"/>
    <w:rsid w:val="002539EF"/>
    <w:rsid w:val="00253A02"/>
    <w:rsid w:val="00253C39"/>
    <w:rsid w:val="00253C84"/>
    <w:rsid w:val="00253F7C"/>
    <w:rsid w:val="0025413F"/>
    <w:rsid w:val="00254763"/>
    <w:rsid w:val="00254A63"/>
    <w:rsid w:val="00254D25"/>
    <w:rsid w:val="002552C8"/>
    <w:rsid w:val="0025545D"/>
    <w:rsid w:val="00255542"/>
    <w:rsid w:val="0025573B"/>
    <w:rsid w:val="00255B5B"/>
    <w:rsid w:val="00255E21"/>
    <w:rsid w:val="00255F6E"/>
    <w:rsid w:val="00256178"/>
    <w:rsid w:val="0025665A"/>
    <w:rsid w:val="002569FA"/>
    <w:rsid w:val="00256AFC"/>
    <w:rsid w:val="00256E60"/>
    <w:rsid w:val="002571F5"/>
    <w:rsid w:val="0025765F"/>
    <w:rsid w:val="002600DE"/>
    <w:rsid w:val="002601DD"/>
    <w:rsid w:val="0026027E"/>
    <w:rsid w:val="00260541"/>
    <w:rsid w:val="00260C29"/>
    <w:rsid w:val="00260CE4"/>
    <w:rsid w:val="00261866"/>
    <w:rsid w:val="00261A4E"/>
    <w:rsid w:val="00261C85"/>
    <w:rsid w:val="002621EB"/>
    <w:rsid w:val="00262200"/>
    <w:rsid w:val="00262226"/>
    <w:rsid w:val="002627DF"/>
    <w:rsid w:val="002632BC"/>
    <w:rsid w:val="0026346B"/>
    <w:rsid w:val="00263A31"/>
    <w:rsid w:val="00263B4E"/>
    <w:rsid w:val="00263D27"/>
    <w:rsid w:val="00263DF7"/>
    <w:rsid w:val="00263E5A"/>
    <w:rsid w:val="0026434F"/>
    <w:rsid w:val="002643F2"/>
    <w:rsid w:val="0026444E"/>
    <w:rsid w:val="002644EC"/>
    <w:rsid w:val="002646D1"/>
    <w:rsid w:val="0026476D"/>
    <w:rsid w:val="00264856"/>
    <w:rsid w:val="002648C4"/>
    <w:rsid w:val="00264927"/>
    <w:rsid w:val="00264B9B"/>
    <w:rsid w:val="002650BB"/>
    <w:rsid w:val="002653FA"/>
    <w:rsid w:val="002653FD"/>
    <w:rsid w:val="00265723"/>
    <w:rsid w:val="00265B07"/>
    <w:rsid w:val="00265D59"/>
    <w:rsid w:val="00265D76"/>
    <w:rsid w:val="0026656E"/>
    <w:rsid w:val="00266582"/>
    <w:rsid w:val="002665EC"/>
    <w:rsid w:val="002667DF"/>
    <w:rsid w:val="002668A0"/>
    <w:rsid w:val="00266997"/>
    <w:rsid w:val="00266A73"/>
    <w:rsid w:val="00266B6A"/>
    <w:rsid w:val="00266BA3"/>
    <w:rsid w:val="00266CAF"/>
    <w:rsid w:val="00267030"/>
    <w:rsid w:val="00267564"/>
    <w:rsid w:val="00267A25"/>
    <w:rsid w:val="00267AAC"/>
    <w:rsid w:val="00267AD5"/>
    <w:rsid w:val="00267F41"/>
    <w:rsid w:val="00267FD0"/>
    <w:rsid w:val="00270889"/>
    <w:rsid w:val="00270DF8"/>
    <w:rsid w:val="00270FCE"/>
    <w:rsid w:val="0027101C"/>
    <w:rsid w:val="00271024"/>
    <w:rsid w:val="00271181"/>
    <w:rsid w:val="00271330"/>
    <w:rsid w:val="00271371"/>
    <w:rsid w:val="0027137C"/>
    <w:rsid w:val="002713C9"/>
    <w:rsid w:val="00271636"/>
    <w:rsid w:val="00271765"/>
    <w:rsid w:val="00272017"/>
    <w:rsid w:val="0027204D"/>
    <w:rsid w:val="00272A5E"/>
    <w:rsid w:val="00272C82"/>
    <w:rsid w:val="002732AE"/>
    <w:rsid w:val="002732DD"/>
    <w:rsid w:val="0027343C"/>
    <w:rsid w:val="00273554"/>
    <w:rsid w:val="00273B5F"/>
    <w:rsid w:val="00273D89"/>
    <w:rsid w:val="002740E0"/>
    <w:rsid w:val="002740EA"/>
    <w:rsid w:val="002742F5"/>
    <w:rsid w:val="00274317"/>
    <w:rsid w:val="00274367"/>
    <w:rsid w:val="0027480A"/>
    <w:rsid w:val="00274C2A"/>
    <w:rsid w:val="0027525C"/>
    <w:rsid w:val="00275992"/>
    <w:rsid w:val="00275A60"/>
    <w:rsid w:val="00275C2F"/>
    <w:rsid w:val="00275F14"/>
    <w:rsid w:val="0027625C"/>
    <w:rsid w:val="002764A8"/>
    <w:rsid w:val="00276505"/>
    <w:rsid w:val="002765A1"/>
    <w:rsid w:val="00276901"/>
    <w:rsid w:val="00276906"/>
    <w:rsid w:val="00276C04"/>
    <w:rsid w:val="00276FF4"/>
    <w:rsid w:val="002770F9"/>
    <w:rsid w:val="002771C0"/>
    <w:rsid w:val="0027725B"/>
    <w:rsid w:val="002777C1"/>
    <w:rsid w:val="00277B90"/>
    <w:rsid w:val="00277D17"/>
    <w:rsid w:val="00277E9D"/>
    <w:rsid w:val="00280138"/>
    <w:rsid w:val="00280495"/>
    <w:rsid w:val="002804E1"/>
    <w:rsid w:val="0028089B"/>
    <w:rsid w:val="002808A6"/>
    <w:rsid w:val="00280C45"/>
    <w:rsid w:val="00280ECE"/>
    <w:rsid w:val="0028107B"/>
    <w:rsid w:val="00281095"/>
    <w:rsid w:val="00281226"/>
    <w:rsid w:val="002813BF"/>
    <w:rsid w:val="0028190B"/>
    <w:rsid w:val="00281A5F"/>
    <w:rsid w:val="00281A64"/>
    <w:rsid w:val="00281E54"/>
    <w:rsid w:val="00281FCD"/>
    <w:rsid w:val="002822D8"/>
    <w:rsid w:val="00282947"/>
    <w:rsid w:val="00282B59"/>
    <w:rsid w:val="00282C49"/>
    <w:rsid w:val="002833D6"/>
    <w:rsid w:val="00283521"/>
    <w:rsid w:val="002835CB"/>
    <w:rsid w:val="002835D0"/>
    <w:rsid w:val="00283621"/>
    <w:rsid w:val="002836AE"/>
    <w:rsid w:val="0028386E"/>
    <w:rsid w:val="002838E3"/>
    <w:rsid w:val="00283AB1"/>
    <w:rsid w:val="00283CAF"/>
    <w:rsid w:val="00284012"/>
    <w:rsid w:val="002844F2"/>
    <w:rsid w:val="002845BD"/>
    <w:rsid w:val="00284901"/>
    <w:rsid w:val="002849D2"/>
    <w:rsid w:val="00284DB4"/>
    <w:rsid w:val="00284FDF"/>
    <w:rsid w:val="002850BF"/>
    <w:rsid w:val="00285428"/>
    <w:rsid w:val="002854C3"/>
    <w:rsid w:val="00285501"/>
    <w:rsid w:val="002857CB"/>
    <w:rsid w:val="00285B7D"/>
    <w:rsid w:val="00285CA5"/>
    <w:rsid w:val="00285D78"/>
    <w:rsid w:val="00286474"/>
    <w:rsid w:val="002866BA"/>
    <w:rsid w:val="00286A58"/>
    <w:rsid w:val="00286A5C"/>
    <w:rsid w:val="00286D49"/>
    <w:rsid w:val="00287700"/>
    <w:rsid w:val="0028774E"/>
    <w:rsid w:val="00287A64"/>
    <w:rsid w:val="00287BB4"/>
    <w:rsid w:val="00287E66"/>
    <w:rsid w:val="002905EB"/>
    <w:rsid w:val="00290CCB"/>
    <w:rsid w:val="00291006"/>
    <w:rsid w:val="0029119A"/>
    <w:rsid w:val="002911DA"/>
    <w:rsid w:val="00291387"/>
    <w:rsid w:val="002918EF"/>
    <w:rsid w:val="00292237"/>
    <w:rsid w:val="00292375"/>
    <w:rsid w:val="00292608"/>
    <w:rsid w:val="002929AA"/>
    <w:rsid w:val="00292C03"/>
    <w:rsid w:val="00292F3C"/>
    <w:rsid w:val="0029323B"/>
    <w:rsid w:val="00293A53"/>
    <w:rsid w:val="00293C5D"/>
    <w:rsid w:val="00294022"/>
    <w:rsid w:val="0029416E"/>
    <w:rsid w:val="002942E9"/>
    <w:rsid w:val="0029433B"/>
    <w:rsid w:val="002943AE"/>
    <w:rsid w:val="00294666"/>
    <w:rsid w:val="00294F43"/>
    <w:rsid w:val="00295491"/>
    <w:rsid w:val="002955F4"/>
    <w:rsid w:val="002958EA"/>
    <w:rsid w:val="002959AE"/>
    <w:rsid w:val="00295AD4"/>
    <w:rsid w:val="00295C7F"/>
    <w:rsid w:val="00295EB9"/>
    <w:rsid w:val="002960EC"/>
    <w:rsid w:val="00296925"/>
    <w:rsid w:val="00296962"/>
    <w:rsid w:val="00296A79"/>
    <w:rsid w:val="00296B42"/>
    <w:rsid w:val="00297A6C"/>
    <w:rsid w:val="00297D5B"/>
    <w:rsid w:val="002A01D3"/>
    <w:rsid w:val="002A0413"/>
    <w:rsid w:val="002A04C6"/>
    <w:rsid w:val="002A05F0"/>
    <w:rsid w:val="002A09F0"/>
    <w:rsid w:val="002A0B16"/>
    <w:rsid w:val="002A0DD7"/>
    <w:rsid w:val="002A0F3E"/>
    <w:rsid w:val="002A1191"/>
    <w:rsid w:val="002A1372"/>
    <w:rsid w:val="002A14DF"/>
    <w:rsid w:val="002A1849"/>
    <w:rsid w:val="002A1855"/>
    <w:rsid w:val="002A1BAA"/>
    <w:rsid w:val="002A1CBA"/>
    <w:rsid w:val="002A240D"/>
    <w:rsid w:val="002A2732"/>
    <w:rsid w:val="002A2828"/>
    <w:rsid w:val="002A299A"/>
    <w:rsid w:val="002A2D91"/>
    <w:rsid w:val="002A36E9"/>
    <w:rsid w:val="002A37F6"/>
    <w:rsid w:val="002A395A"/>
    <w:rsid w:val="002A3E77"/>
    <w:rsid w:val="002A4148"/>
    <w:rsid w:val="002A419F"/>
    <w:rsid w:val="002A43C7"/>
    <w:rsid w:val="002A46DB"/>
    <w:rsid w:val="002A47B0"/>
    <w:rsid w:val="002A4A56"/>
    <w:rsid w:val="002A4A8B"/>
    <w:rsid w:val="002A4ECA"/>
    <w:rsid w:val="002A516A"/>
    <w:rsid w:val="002A568E"/>
    <w:rsid w:val="002A56DA"/>
    <w:rsid w:val="002A571F"/>
    <w:rsid w:val="002A5870"/>
    <w:rsid w:val="002A61EA"/>
    <w:rsid w:val="002A7029"/>
    <w:rsid w:val="002A7298"/>
    <w:rsid w:val="002A729C"/>
    <w:rsid w:val="002A734E"/>
    <w:rsid w:val="002A74A2"/>
    <w:rsid w:val="002A7980"/>
    <w:rsid w:val="002A7D39"/>
    <w:rsid w:val="002A7F47"/>
    <w:rsid w:val="002A7F96"/>
    <w:rsid w:val="002B002B"/>
    <w:rsid w:val="002B0070"/>
    <w:rsid w:val="002B0880"/>
    <w:rsid w:val="002B0DEF"/>
    <w:rsid w:val="002B0F42"/>
    <w:rsid w:val="002B1120"/>
    <w:rsid w:val="002B12BD"/>
    <w:rsid w:val="002B143E"/>
    <w:rsid w:val="002B1469"/>
    <w:rsid w:val="002B188C"/>
    <w:rsid w:val="002B1C8A"/>
    <w:rsid w:val="002B1CE1"/>
    <w:rsid w:val="002B2414"/>
    <w:rsid w:val="002B26F7"/>
    <w:rsid w:val="002B2852"/>
    <w:rsid w:val="002B28DF"/>
    <w:rsid w:val="002B2ACA"/>
    <w:rsid w:val="002B2D93"/>
    <w:rsid w:val="002B336A"/>
    <w:rsid w:val="002B3946"/>
    <w:rsid w:val="002B39DA"/>
    <w:rsid w:val="002B3AFB"/>
    <w:rsid w:val="002B3CA1"/>
    <w:rsid w:val="002B3E93"/>
    <w:rsid w:val="002B3FA3"/>
    <w:rsid w:val="002B4319"/>
    <w:rsid w:val="002B4B1A"/>
    <w:rsid w:val="002B4F14"/>
    <w:rsid w:val="002B51A2"/>
    <w:rsid w:val="002B51EC"/>
    <w:rsid w:val="002B53A5"/>
    <w:rsid w:val="002B55C1"/>
    <w:rsid w:val="002B63CD"/>
    <w:rsid w:val="002B6E74"/>
    <w:rsid w:val="002B6E8F"/>
    <w:rsid w:val="002B6FA7"/>
    <w:rsid w:val="002B7588"/>
    <w:rsid w:val="002B773A"/>
    <w:rsid w:val="002B77E5"/>
    <w:rsid w:val="002B7A1C"/>
    <w:rsid w:val="002C0435"/>
    <w:rsid w:val="002C04EF"/>
    <w:rsid w:val="002C0B77"/>
    <w:rsid w:val="002C1169"/>
    <w:rsid w:val="002C1230"/>
    <w:rsid w:val="002C1345"/>
    <w:rsid w:val="002C1855"/>
    <w:rsid w:val="002C1865"/>
    <w:rsid w:val="002C1872"/>
    <w:rsid w:val="002C1981"/>
    <w:rsid w:val="002C1A6C"/>
    <w:rsid w:val="002C1BEF"/>
    <w:rsid w:val="002C1E16"/>
    <w:rsid w:val="002C1F06"/>
    <w:rsid w:val="002C247E"/>
    <w:rsid w:val="002C28FD"/>
    <w:rsid w:val="002C292E"/>
    <w:rsid w:val="002C29F2"/>
    <w:rsid w:val="002C2B47"/>
    <w:rsid w:val="002C2C40"/>
    <w:rsid w:val="002C2C87"/>
    <w:rsid w:val="002C2E3F"/>
    <w:rsid w:val="002C342D"/>
    <w:rsid w:val="002C352B"/>
    <w:rsid w:val="002C362C"/>
    <w:rsid w:val="002C371F"/>
    <w:rsid w:val="002C3824"/>
    <w:rsid w:val="002C38C4"/>
    <w:rsid w:val="002C3B51"/>
    <w:rsid w:val="002C3CCC"/>
    <w:rsid w:val="002C4589"/>
    <w:rsid w:val="002C4686"/>
    <w:rsid w:val="002C48A5"/>
    <w:rsid w:val="002C49A8"/>
    <w:rsid w:val="002C4B88"/>
    <w:rsid w:val="002C4BEA"/>
    <w:rsid w:val="002C4DC7"/>
    <w:rsid w:val="002C5B09"/>
    <w:rsid w:val="002C5EAF"/>
    <w:rsid w:val="002C6054"/>
    <w:rsid w:val="002C64F9"/>
    <w:rsid w:val="002C6514"/>
    <w:rsid w:val="002C65D8"/>
    <w:rsid w:val="002C6956"/>
    <w:rsid w:val="002C6B3B"/>
    <w:rsid w:val="002C6B4B"/>
    <w:rsid w:val="002C6C6D"/>
    <w:rsid w:val="002C6D7F"/>
    <w:rsid w:val="002C6E6E"/>
    <w:rsid w:val="002C7BF9"/>
    <w:rsid w:val="002C7D5E"/>
    <w:rsid w:val="002C7E33"/>
    <w:rsid w:val="002C7EFB"/>
    <w:rsid w:val="002C7F7A"/>
    <w:rsid w:val="002D0018"/>
    <w:rsid w:val="002D04C9"/>
    <w:rsid w:val="002D0D04"/>
    <w:rsid w:val="002D0E42"/>
    <w:rsid w:val="002D0F35"/>
    <w:rsid w:val="002D11B3"/>
    <w:rsid w:val="002D11C1"/>
    <w:rsid w:val="002D1421"/>
    <w:rsid w:val="002D177F"/>
    <w:rsid w:val="002D1C0D"/>
    <w:rsid w:val="002D1D73"/>
    <w:rsid w:val="002D1FC0"/>
    <w:rsid w:val="002D2492"/>
    <w:rsid w:val="002D2613"/>
    <w:rsid w:val="002D27E8"/>
    <w:rsid w:val="002D28DA"/>
    <w:rsid w:val="002D2951"/>
    <w:rsid w:val="002D2D62"/>
    <w:rsid w:val="002D331D"/>
    <w:rsid w:val="002D34CB"/>
    <w:rsid w:val="002D37D8"/>
    <w:rsid w:val="002D3A1C"/>
    <w:rsid w:val="002D3AB9"/>
    <w:rsid w:val="002D439A"/>
    <w:rsid w:val="002D43B5"/>
    <w:rsid w:val="002D4505"/>
    <w:rsid w:val="002D4692"/>
    <w:rsid w:val="002D4A11"/>
    <w:rsid w:val="002D4C8C"/>
    <w:rsid w:val="002D4E67"/>
    <w:rsid w:val="002D50EC"/>
    <w:rsid w:val="002D5105"/>
    <w:rsid w:val="002D545C"/>
    <w:rsid w:val="002D563C"/>
    <w:rsid w:val="002D5930"/>
    <w:rsid w:val="002D597D"/>
    <w:rsid w:val="002D5B20"/>
    <w:rsid w:val="002D5E79"/>
    <w:rsid w:val="002D61DE"/>
    <w:rsid w:val="002D6291"/>
    <w:rsid w:val="002D6373"/>
    <w:rsid w:val="002D67F7"/>
    <w:rsid w:val="002D6832"/>
    <w:rsid w:val="002D68D6"/>
    <w:rsid w:val="002D6ACC"/>
    <w:rsid w:val="002D6C04"/>
    <w:rsid w:val="002D6F03"/>
    <w:rsid w:val="002D6F77"/>
    <w:rsid w:val="002D76C9"/>
    <w:rsid w:val="002D7740"/>
    <w:rsid w:val="002D7C77"/>
    <w:rsid w:val="002E02D4"/>
    <w:rsid w:val="002E089D"/>
    <w:rsid w:val="002E095B"/>
    <w:rsid w:val="002E0B5D"/>
    <w:rsid w:val="002E0F29"/>
    <w:rsid w:val="002E13D2"/>
    <w:rsid w:val="002E1942"/>
    <w:rsid w:val="002E19EA"/>
    <w:rsid w:val="002E1AEE"/>
    <w:rsid w:val="002E1FFA"/>
    <w:rsid w:val="002E2600"/>
    <w:rsid w:val="002E28C6"/>
    <w:rsid w:val="002E2A0F"/>
    <w:rsid w:val="002E2A85"/>
    <w:rsid w:val="002E2C75"/>
    <w:rsid w:val="002E2CAF"/>
    <w:rsid w:val="002E2D3C"/>
    <w:rsid w:val="002E309B"/>
    <w:rsid w:val="002E33A8"/>
    <w:rsid w:val="002E35BB"/>
    <w:rsid w:val="002E3623"/>
    <w:rsid w:val="002E38F5"/>
    <w:rsid w:val="002E4064"/>
    <w:rsid w:val="002E441D"/>
    <w:rsid w:val="002E44B5"/>
    <w:rsid w:val="002E4500"/>
    <w:rsid w:val="002E461B"/>
    <w:rsid w:val="002E46FF"/>
    <w:rsid w:val="002E50E3"/>
    <w:rsid w:val="002E52B2"/>
    <w:rsid w:val="002E54F4"/>
    <w:rsid w:val="002E5D40"/>
    <w:rsid w:val="002E698A"/>
    <w:rsid w:val="002E6C4C"/>
    <w:rsid w:val="002E6C9C"/>
    <w:rsid w:val="002E6EFC"/>
    <w:rsid w:val="002E7334"/>
    <w:rsid w:val="002E737C"/>
    <w:rsid w:val="002E7666"/>
    <w:rsid w:val="002E7986"/>
    <w:rsid w:val="002E7C64"/>
    <w:rsid w:val="002E7FCD"/>
    <w:rsid w:val="002F03C6"/>
    <w:rsid w:val="002F0602"/>
    <w:rsid w:val="002F0DAA"/>
    <w:rsid w:val="002F1048"/>
    <w:rsid w:val="002F1124"/>
    <w:rsid w:val="002F1467"/>
    <w:rsid w:val="002F1583"/>
    <w:rsid w:val="002F18CD"/>
    <w:rsid w:val="002F1C50"/>
    <w:rsid w:val="002F1E73"/>
    <w:rsid w:val="002F2160"/>
    <w:rsid w:val="002F2354"/>
    <w:rsid w:val="002F2576"/>
    <w:rsid w:val="002F27D7"/>
    <w:rsid w:val="002F2D2E"/>
    <w:rsid w:val="002F2DC1"/>
    <w:rsid w:val="002F2EFC"/>
    <w:rsid w:val="002F36F1"/>
    <w:rsid w:val="002F387F"/>
    <w:rsid w:val="002F3AA4"/>
    <w:rsid w:val="002F471A"/>
    <w:rsid w:val="002F5060"/>
    <w:rsid w:val="002F5678"/>
    <w:rsid w:val="002F58B6"/>
    <w:rsid w:val="002F5B71"/>
    <w:rsid w:val="002F5DB9"/>
    <w:rsid w:val="002F5FF7"/>
    <w:rsid w:val="002F612D"/>
    <w:rsid w:val="002F6289"/>
    <w:rsid w:val="002F6479"/>
    <w:rsid w:val="002F65E5"/>
    <w:rsid w:val="002F6847"/>
    <w:rsid w:val="002F6B93"/>
    <w:rsid w:val="002F7B64"/>
    <w:rsid w:val="002F7D01"/>
    <w:rsid w:val="002F7EA1"/>
    <w:rsid w:val="002F7F73"/>
    <w:rsid w:val="003005BA"/>
    <w:rsid w:val="00300688"/>
    <w:rsid w:val="0030127A"/>
    <w:rsid w:val="003014A1"/>
    <w:rsid w:val="003014E6"/>
    <w:rsid w:val="00301523"/>
    <w:rsid w:val="003019E4"/>
    <w:rsid w:val="00301B5F"/>
    <w:rsid w:val="00301C84"/>
    <w:rsid w:val="00301D59"/>
    <w:rsid w:val="00301EA4"/>
    <w:rsid w:val="00302149"/>
    <w:rsid w:val="0030250C"/>
    <w:rsid w:val="00302AF5"/>
    <w:rsid w:val="00302CCC"/>
    <w:rsid w:val="00302DE4"/>
    <w:rsid w:val="00302E84"/>
    <w:rsid w:val="003030F6"/>
    <w:rsid w:val="0030354B"/>
    <w:rsid w:val="003035BD"/>
    <w:rsid w:val="00303AE5"/>
    <w:rsid w:val="00303C87"/>
    <w:rsid w:val="00303E28"/>
    <w:rsid w:val="00303E3D"/>
    <w:rsid w:val="00304690"/>
    <w:rsid w:val="00304FB4"/>
    <w:rsid w:val="003056B5"/>
    <w:rsid w:val="00305920"/>
    <w:rsid w:val="00305CFE"/>
    <w:rsid w:val="00305ECF"/>
    <w:rsid w:val="00305FD8"/>
    <w:rsid w:val="00306281"/>
    <w:rsid w:val="003064E0"/>
    <w:rsid w:val="00306A80"/>
    <w:rsid w:val="00306AE4"/>
    <w:rsid w:val="00306C80"/>
    <w:rsid w:val="00306EEA"/>
    <w:rsid w:val="00307012"/>
    <w:rsid w:val="00307329"/>
    <w:rsid w:val="003076D9"/>
    <w:rsid w:val="00307920"/>
    <w:rsid w:val="00307B37"/>
    <w:rsid w:val="003100C8"/>
    <w:rsid w:val="0031028A"/>
    <w:rsid w:val="003102A2"/>
    <w:rsid w:val="0031038F"/>
    <w:rsid w:val="003103A1"/>
    <w:rsid w:val="00310400"/>
    <w:rsid w:val="00310BFE"/>
    <w:rsid w:val="00310D1F"/>
    <w:rsid w:val="003110DC"/>
    <w:rsid w:val="00311169"/>
    <w:rsid w:val="003115A9"/>
    <w:rsid w:val="003118E5"/>
    <w:rsid w:val="00311BB6"/>
    <w:rsid w:val="00312048"/>
    <w:rsid w:val="00312412"/>
    <w:rsid w:val="00312833"/>
    <w:rsid w:val="003128C8"/>
    <w:rsid w:val="00312C96"/>
    <w:rsid w:val="00312E1C"/>
    <w:rsid w:val="00313271"/>
    <w:rsid w:val="00313B87"/>
    <w:rsid w:val="00313E09"/>
    <w:rsid w:val="00313FB8"/>
    <w:rsid w:val="003142B7"/>
    <w:rsid w:val="00314451"/>
    <w:rsid w:val="00314A6D"/>
    <w:rsid w:val="00314B0E"/>
    <w:rsid w:val="00314E45"/>
    <w:rsid w:val="003150A0"/>
    <w:rsid w:val="003152AD"/>
    <w:rsid w:val="003152C4"/>
    <w:rsid w:val="003157D9"/>
    <w:rsid w:val="00315C79"/>
    <w:rsid w:val="00315CB6"/>
    <w:rsid w:val="00315E7E"/>
    <w:rsid w:val="00316303"/>
    <w:rsid w:val="00316832"/>
    <w:rsid w:val="00316AE2"/>
    <w:rsid w:val="00316BD1"/>
    <w:rsid w:val="00316FE5"/>
    <w:rsid w:val="00317086"/>
    <w:rsid w:val="00317313"/>
    <w:rsid w:val="00317CD7"/>
    <w:rsid w:val="00320208"/>
    <w:rsid w:val="003202F7"/>
    <w:rsid w:val="003204EF"/>
    <w:rsid w:val="00320BD7"/>
    <w:rsid w:val="0032141A"/>
    <w:rsid w:val="00321425"/>
    <w:rsid w:val="003215D5"/>
    <w:rsid w:val="00321623"/>
    <w:rsid w:val="003216F0"/>
    <w:rsid w:val="00321E53"/>
    <w:rsid w:val="003226BE"/>
    <w:rsid w:val="00322E02"/>
    <w:rsid w:val="00322F89"/>
    <w:rsid w:val="0032317E"/>
    <w:rsid w:val="00323669"/>
    <w:rsid w:val="00323694"/>
    <w:rsid w:val="003237CE"/>
    <w:rsid w:val="00323A2C"/>
    <w:rsid w:val="00323C1A"/>
    <w:rsid w:val="00323CC8"/>
    <w:rsid w:val="00323DAE"/>
    <w:rsid w:val="0032448B"/>
    <w:rsid w:val="003246A6"/>
    <w:rsid w:val="003249DA"/>
    <w:rsid w:val="003249E7"/>
    <w:rsid w:val="00324C1E"/>
    <w:rsid w:val="003250B0"/>
    <w:rsid w:val="003252E0"/>
    <w:rsid w:val="003253A4"/>
    <w:rsid w:val="0032541A"/>
    <w:rsid w:val="00325590"/>
    <w:rsid w:val="003255AF"/>
    <w:rsid w:val="003259F7"/>
    <w:rsid w:val="00325C10"/>
    <w:rsid w:val="00325C39"/>
    <w:rsid w:val="00325EDD"/>
    <w:rsid w:val="00325F9F"/>
    <w:rsid w:val="003262B8"/>
    <w:rsid w:val="00326534"/>
    <w:rsid w:val="003266FC"/>
    <w:rsid w:val="00326981"/>
    <w:rsid w:val="003269E4"/>
    <w:rsid w:val="00326C1E"/>
    <w:rsid w:val="00326E47"/>
    <w:rsid w:val="00326F5A"/>
    <w:rsid w:val="00327047"/>
    <w:rsid w:val="003270B9"/>
    <w:rsid w:val="0032760D"/>
    <w:rsid w:val="0032778C"/>
    <w:rsid w:val="0033008A"/>
    <w:rsid w:val="00330329"/>
    <w:rsid w:val="003307AE"/>
    <w:rsid w:val="003308C9"/>
    <w:rsid w:val="00330A0D"/>
    <w:rsid w:val="00330BB7"/>
    <w:rsid w:val="00330D8B"/>
    <w:rsid w:val="00331017"/>
    <w:rsid w:val="00331089"/>
    <w:rsid w:val="0033119E"/>
    <w:rsid w:val="0033138A"/>
    <w:rsid w:val="00331B05"/>
    <w:rsid w:val="00331B6F"/>
    <w:rsid w:val="0033201D"/>
    <w:rsid w:val="0033221A"/>
    <w:rsid w:val="00332228"/>
    <w:rsid w:val="0033227F"/>
    <w:rsid w:val="00332618"/>
    <w:rsid w:val="003327C6"/>
    <w:rsid w:val="00332AB0"/>
    <w:rsid w:val="00332D71"/>
    <w:rsid w:val="00332FF3"/>
    <w:rsid w:val="0033355F"/>
    <w:rsid w:val="00333895"/>
    <w:rsid w:val="00333D05"/>
    <w:rsid w:val="00333E95"/>
    <w:rsid w:val="003340A3"/>
    <w:rsid w:val="0033426B"/>
    <w:rsid w:val="00334485"/>
    <w:rsid w:val="0033448B"/>
    <w:rsid w:val="003344A9"/>
    <w:rsid w:val="00334C51"/>
    <w:rsid w:val="00334DB3"/>
    <w:rsid w:val="00334FF4"/>
    <w:rsid w:val="00335124"/>
    <w:rsid w:val="00335160"/>
    <w:rsid w:val="00335D3D"/>
    <w:rsid w:val="00336638"/>
    <w:rsid w:val="00336DAA"/>
    <w:rsid w:val="00336E3C"/>
    <w:rsid w:val="0033712F"/>
    <w:rsid w:val="003373C4"/>
    <w:rsid w:val="003374DA"/>
    <w:rsid w:val="00337B5A"/>
    <w:rsid w:val="00337D1D"/>
    <w:rsid w:val="00340023"/>
    <w:rsid w:val="00340101"/>
    <w:rsid w:val="00340845"/>
    <w:rsid w:val="00340DF8"/>
    <w:rsid w:val="0034120F"/>
    <w:rsid w:val="003412A8"/>
    <w:rsid w:val="003412B2"/>
    <w:rsid w:val="00341602"/>
    <w:rsid w:val="00341958"/>
    <w:rsid w:val="00341D7F"/>
    <w:rsid w:val="00341F8E"/>
    <w:rsid w:val="0034200E"/>
    <w:rsid w:val="003420F6"/>
    <w:rsid w:val="00342315"/>
    <w:rsid w:val="0034236D"/>
    <w:rsid w:val="003423A8"/>
    <w:rsid w:val="0034247A"/>
    <w:rsid w:val="00342AD1"/>
    <w:rsid w:val="00342C0A"/>
    <w:rsid w:val="00342DD4"/>
    <w:rsid w:val="00342EAA"/>
    <w:rsid w:val="0034379D"/>
    <w:rsid w:val="003439E3"/>
    <w:rsid w:val="00343FA3"/>
    <w:rsid w:val="003441AB"/>
    <w:rsid w:val="003447B8"/>
    <w:rsid w:val="003447FC"/>
    <w:rsid w:val="00344BA4"/>
    <w:rsid w:val="00344C62"/>
    <w:rsid w:val="00345009"/>
    <w:rsid w:val="00345255"/>
    <w:rsid w:val="003452C0"/>
    <w:rsid w:val="00345663"/>
    <w:rsid w:val="00345881"/>
    <w:rsid w:val="00345D10"/>
    <w:rsid w:val="00346045"/>
    <w:rsid w:val="003460AB"/>
    <w:rsid w:val="003466C4"/>
    <w:rsid w:val="00346AF2"/>
    <w:rsid w:val="00346C84"/>
    <w:rsid w:val="00346CD7"/>
    <w:rsid w:val="00346FD7"/>
    <w:rsid w:val="00347609"/>
    <w:rsid w:val="00347ADA"/>
    <w:rsid w:val="00347B6F"/>
    <w:rsid w:val="00350450"/>
    <w:rsid w:val="00350B6B"/>
    <w:rsid w:val="00350F37"/>
    <w:rsid w:val="00350F92"/>
    <w:rsid w:val="00351217"/>
    <w:rsid w:val="0035159E"/>
    <w:rsid w:val="003515E1"/>
    <w:rsid w:val="0035181F"/>
    <w:rsid w:val="00351DE1"/>
    <w:rsid w:val="00351F91"/>
    <w:rsid w:val="003523F6"/>
    <w:rsid w:val="003525E2"/>
    <w:rsid w:val="00352864"/>
    <w:rsid w:val="003532FE"/>
    <w:rsid w:val="00353833"/>
    <w:rsid w:val="00353904"/>
    <w:rsid w:val="00353EB5"/>
    <w:rsid w:val="0035427B"/>
    <w:rsid w:val="0035436E"/>
    <w:rsid w:val="00354A00"/>
    <w:rsid w:val="00354B7C"/>
    <w:rsid w:val="00354D29"/>
    <w:rsid w:val="00354FEE"/>
    <w:rsid w:val="00355351"/>
    <w:rsid w:val="003557C1"/>
    <w:rsid w:val="00355EC1"/>
    <w:rsid w:val="00355F22"/>
    <w:rsid w:val="0035615C"/>
    <w:rsid w:val="003568D4"/>
    <w:rsid w:val="003568F9"/>
    <w:rsid w:val="00356922"/>
    <w:rsid w:val="00356A16"/>
    <w:rsid w:val="00356A3B"/>
    <w:rsid w:val="00356A9B"/>
    <w:rsid w:val="00356CCE"/>
    <w:rsid w:val="00356D17"/>
    <w:rsid w:val="00356D70"/>
    <w:rsid w:val="003570B8"/>
    <w:rsid w:val="003570EA"/>
    <w:rsid w:val="0035711C"/>
    <w:rsid w:val="00357217"/>
    <w:rsid w:val="003573AB"/>
    <w:rsid w:val="0035745C"/>
    <w:rsid w:val="00357819"/>
    <w:rsid w:val="00357832"/>
    <w:rsid w:val="003579CC"/>
    <w:rsid w:val="00357B16"/>
    <w:rsid w:val="00357FD6"/>
    <w:rsid w:val="00360061"/>
    <w:rsid w:val="003601D3"/>
    <w:rsid w:val="003602EB"/>
    <w:rsid w:val="003606F6"/>
    <w:rsid w:val="003608B5"/>
    <w:rsid w:val="00360BB5"/>
    <w:rsid w:val="0036172F"/>
    <w:rsid w:val="00361980"/>
    <w:rsid w:val="00361984"/>
    <w:rsid w:val="003619F3"/>
    <w:rsid w:val="00361D04"/>
    <w:rsid w:val="00361EB1"/>
    <w:rsid w:val="0036231C"/>
    <w:rsid w:val="003625F7"/>
    <w:rsid w:val="00362715"/>
    <w:rsid w:val="00363291"/>
    <w:rsid w:val="00363491"/>
    <w:rsid w:val="0036370F"/>
    <w:rsid w:val="00363D51"/>
    <w:rsid w:val="00364173"/>
    <w:rsid w:val="003643D7"/>
    <w:rsid w:val="003645F4"/>
    <w:rsid w:val="0036479A"/>
    <w:rsid w:val="00364B85"/>
    <w:rsid w:val="00365172"/>
    <w:rsid w:val="00365856"/>
    <w:rsid w:val="003658D2"/>
    <w:rsid w:val="00365B2F"/>
    <w:rsid w:val="003664CD"/>
    <w:rsid w:val="00366954"/>
    <w:rsid w:val="003669CF"/>
    <w:rsid w:val="00366A85"/>
    <w:rsid w:val="00367028"/>
    <w:rsid w:val="00367412"/>
    <w:rsid w:val="00367535"/>
    <w:rsid w:val="00367A06"/>
    <w:rsid w:val="00367A0F"/>
    <w:rsid w:val="00367FB5"/>
    <w:rsid w:val="003700B7"/>
    <w:rsid w:val="003706E8"/>
    <w:rsid w:val="003707C0"/>
    <w:rsid w:val="00370979"/>
    <w:rsid w:val="003712F5"/>
    <w:rsid w:val="00371504"/>
    <w:rsid w:val="003715C6"/>
    <w:rsid w:val="00371766"/>
    <w:rsid w:val="003722E9"/>
    <w:rsid w:val="00372535"/>
    <w:rsid w:val="00372852"/>
    <w:rsid w:val="0037292B"/>
    <w:rsid w:val="00372CE6"/>
    <w:rsid w:val="00372DA2"/>
    <w:rsid w:val="00372DC6"/>
    <w:rsid w:val="00372E40"/>
    <w:rsid w:val="00372EF2"/>
    <w:rsid w:val="00372EF9"/>
    <w:rsid w:val="00372FBC"/>
    <w:rsid w:val="0037347F"/>
    <w:rsid w:val="00373C16"/>
    <w:rsid w:val="00373C62"/>
    <w:rsid w:val="00373D01"/>
    <w:rsid w:val="00373FA5"/>
    <w:rsid w:val="00374818"/>
    <w:rsid w:val="00374973"/>
    <w:rsid w:val="00374A0C"/>
    <w:rsid w:val="00374F65"/>
    <w:rsid w:val="00375045"/>
    <w:rsid w:val="00375103"/>
    <w:rsid w:val="0037531D"/>
    <w:rsid w:val="00375440"/>
    <w:rsid w:val="0037573D"/>
    <w:rsid w:val="00375872"/>
    <w:rsid w:val="0037589F"/>
    <w:rsid w:val="0037620A"/>
    <w:rsid w:val="003762DF"/>
    <w:rsid w:val="0037670B"/>
    <w:rsid w:val="003768BA"/>
    <w:rsid w:val="003775C3"/>
    <w:rsid w:val="00377ED9"/>
    <w:rsid w:val="00380347"/>
    <w:rsid w:val="0038047B"/>
    <w:rsid w:val="003805F5"/>
    <w:rsid w:val="00380C19"/>
    <w:rsid w:val="00380E78"/>
    <w:rsid w:val="0038111C"/>
    <w:rsid w:val="003811BA"/>
    <w:rsid w:val="00381495"/>
    <w:rsid w:val="003814DD"/>
    <w:rsid w:val="003814F8"/>
    <w:rsid w:val="0038158E"/>
    <w:rsid w:val="003815CB"/>
    <w:rsid w:val="00381F61"/>
    <w:rsid w:val="003820E8"/>
    <w:rsid w:val="00382124"/>
    <w:rsid w:val="003827DB"/>
    <w:rsid w:val="0038289F"/>
    <w:rsid w:val="00383D69"/>
    <w:rsid w:val="00383EB2"/>
    <w:rsid w:val="003842A6"/>
    <w:rsid w:val="00384502"/>
    <w:rsid w:val="00384A35"/>
    <w:rsid w:val="00384ACC"/>
    <w:rsid w:val="00384CC7"/>
    <w:rsid w:val="00384D2F"/>
    <w:rsid w:val="00384D45"/>
    <w:rsid w:val="00384E3E"/>
    <w:rsid w:val="00384FA2"/>
    <w:rsid w:val="00385117"/>
    <w:rsid w:val="003855A3"/>
    <w:rsid w:val="003858F5"/>
    <w:rsid w:val="00385A49"/>
    <w:rsid w:val="00385EFF"/>
    <w:rsid w:val="0038615A"/>
    <w:rsid w:val="00386B4F"/>
    <w:rsid w:val="00386D02"/>
    <w:rsid w:val="00386ED9"/>
    <w:rsid w:val="00386FFE"/>
    <w:rsid w:val="003872C0"/>
    <w:rsid w:val="00387313"/>
    <w:rsid w:val="00387748"/>
    <w:rsid w:val="00387932"/>
    <w:rsid w:val="00387A56"/>
    <w:rsid w:val="00387EA6"/>
    <w:rsid w:val="00387F0C"/>
    <w:rsid w:val="003900DE"/>
    <w:rsid w:val="00390911"/>
    <w:rsid w:val="00390B59"/>
    <w:rsid w:val="00390BF4"/>
    <w:rsid w:val="00390EF1"/>
    <w:rsid w:val="0039198E"/>
    <w:rsid w:val="00391995"/>
    <w:rsid w:val="00391A1C"/>
    <w:rsid w:val="00391C0B"/>
    <w:rsid w:val="00391C17"/>
    <w:rsid w:val="00391DDD"/>
    <w:rsid w:val="00391E2B"/>
    <w:rsid w:val="00392146"/>
    <w:rsid w:val="0039246D"/>
    <w:rsid w:val="003925AD"/>
    <w:rsid w:val="0039260A"/>
    <w:rsid w:val="00392796"/>
    <w:rsid w:val="003927D7"/>
    <w:rsid w:val="00392A8E"/>
    <w:rsid w:val="00392AE5"/>
    <w:rsid w:val="00392D27"/>
    <w:rsid w:val="00392DDB"/>
    <w:rsid w:val="00393385"/>
    <w:rsid w:val="00393525"/>
    <w:rsid w:val="00393682"/>
    <w:rsid w:val="00393A92"/>
    <w:rsid w:val="00393CE9"/>
    <w:rsid w:val="00393F4F"/>
    <w:rsid w:val="00394017"/>
    <w:rsid w:val="003943CF"/>
    <w:rsid w:val="003949A9"/>
    <w:rsid w:val="00394FBD"/>
    <w:rsid w:val="00394FC5"/>
    <w:rsid w:val="003951E3"/>
    <w:rsid w:val="003956B9"/>
    <w:rsid w:val="003958C5"/>
    <w:rsid w:val="00395A00"/>
    <w:rsid w:val="00395A74"/>
    <w:rsid w:val="00395F7E"/>
    <w:rsid w:val="00395F88"/>
    <w:rsid w:val="003962B0"/>
    <w:rsid w:val="00396531"/>
    <w:rsid w:val="00396660"/>
    <w:rsid w:val="00396984"/>
    <w:rsid w:val="00396A29"/>
    <w:rsid w:val="00396B9D"/>
    <w:rsid w:val="00396C90"/>
    <w:rsid w:val="00396DD0"/>
    <w:rsid w:val="00397065"/>
    <w:rsid w:val="00397419"/>
    <w:rsid w:val="00397663"/>
    <w:rsid w:val="0039787A"/>
    <w:rsid w:val="0039798C"/>
    <w:rsid w:val="003979E7"/>
    <w:rsid w:val="003A027D"/>
    <w:rsid w:val="003A02D7"/>
    <w:rsid w:val="003A0485"/>
    <w:rsid w:val="003A083C"/>
    <w:rsid w:val="003A0887"/>
    <w:rsid w:val="003A0B6B"/>
    <w:rsid w:val="003A0FD5"/>
    <w:rsid w:val="003A1257"/>
    <w:rsid w:val="003A1814"/>
    <w:rsid w:val="003A1DEB"/>
    <w:rsid w:val="003A2643"/>
    <w:rsid w:val="003A2CF3"/>
    <w:rsid w:val="003A3573"/>
    <w:rsid w:val="003A36E5"/>
    <w:rsid w:val="003A386F"/>
    <w:rsid w:val="003A393C"/>
    <w:rsid w:val="003A3CF1"/>
    <w:rsid w:val="003A3E6F"/>
    <w:rsid w:val="003A4326"/>
    <w:rsid w:val="003A4609"/>
    <w:rsid w:val="003A4760"/>
    <w:rsid w:val="003A4824"/>
    <w:rsid w:val="003A4AA9"/>
    <w:rsid w:val="003A51FF"/>
    <w:rsid w:val="003A5516"/>
    <w:rsid w:val="003A5966"/>
    <w:rsid w:val="003A5A3A"/>
    <w:rsid w:val="003A5C0D"/>
    <w:rsid w:val="003A5D23"/>
    <w:rsid w:val="003A5F2B"/>
    <w:rsid w:val="003A6582"/>
    <w:rsid w:val="003A6756"/>
    <w:rsid w:val="003A7040"/>
    <w:rsid w:val="003A7339"/>
    <w:rsid w:val="003B0241"/>
    <w:rsid w:val="003B0376"/>
    <w:rsid w:val="003B067F"/>
    <w:rsid w:val="003B0A6F"/>
    <w:rsid w:val="003B0A88"/>
    <w:rsid w:val="003B0AED"/>
    <w:rsid w:val="003B0C15"/>
    <w:rsid w:val="003B13EF"/>
    <w:rsid w:val="003B143D"/>
    <w:rsid w:val="003B1445"/>
    <w:rsid w:val="003B17B1"/>
    <w:rsid w:val="003B190D"/>
    <w:rsid w:val="003B25CF"/>
    <w:rsid w:val="003B2686"/>
    <w:rsid w:val="003B279C"/>
    <w:rsid w:val="003B27D3"/>
    <w:rsid w:val="003B2932"/>
    <w:rsid w:val="003B2D7A"/>
    <w:rsid w:val="003B3133"/>
    <w:rsid w:val="003B3744"/>
    <w:rsid w:val="003B4017"/>
    <w:rsid w:val="003B4125"/>
    <w:rsid w:val="003B43CB"/>
    <w:rsid w:val="003B54D2"/>
    <w:rsid w:val="003B54E3"/>
    <w:rsid w:val="003B54FD"/>
    <w:rsid w:val="003B5C4E"/>
    <w:rsid w:val="003B603E"/>
    <w:rsid w:val="003B61DA"/>
    <w:rsid w:val="003B6405"/>
    <w:rsid w:val="003B6544"/>
    <w:rsid w:val="003B6736"/>
    <w:rsid w:val="003B67C3"/>
    <w:rsid w:val="003B6A2F"/>
    <w:rsid w:val="003B6C20"/>
    <w:rsid w:val="003B6C66"/>
    <w:rsid w:val="003B6D45"/>
    <w:rsid w:val="003B6F85"/>
    <w:rsid w:val="003B7423"/>
    <w:rsid w:val="003B748E"/>
    <w:rsid w:val="003B7543"/>
    <w:rsid w:val="003C03B8"/>
    <w:rsid w:val="003C1297"/>
    <w:rsid w:val="003C15D2"/>
    <w:rsid w:val="003C176A"/>
    <w:rsid w:val="003C1C4B"/>
    <w:rsid w:val="003C1C54"/>
    <w:rsid w:val="003C209A"/>
    <w:rsid w:val="003C2483"/>
    <w:rsid w:val="003C272C"/>
    <w:rsid w:val="003C2A80"/>
    <w:rsid w:val="003C2E6B"/>
    <w:rsid w:val="003C3029"/>
    <w:rsid w:val="003C32B4"/>
    <w:rsid w:val="003C35E0"/>
    <w:rsid w:val="003C3999"/>
    <w:rsid w:val="003C3D08"/>
    <w:rsid w:val="003C4209"/>
    <w:rsid w:val="003C462C"/>
    <w:rsid w:val="003C4867"/>
    <w:rsid w:val="003C49C9"/>
    <w:rsid w:val="003C4A35"/>
    <w:rsid w:val="003C4CC8"/>
    <w:rsid w:val="003C52B5"/>
    <w:rsid w:val="003C58F0"/>
    <w:rsid w:val="003C5C5F"/>
    <w:rsid w:val="003C5D1D"/>
    <w:rsid w:val="003C60BA"/>
    <w:rsid w:val="003C6695"/>
    <w:rsid w:val="003C6C20"/>
    <w:rsid w:val="003C6D7E"/>
    <w:rsid w:val="003C6F41"/>
    <w:rsid w:val="003C6FF4"/>
    <w:rsid w:val="003C7531"/>
    <w:rsid w:val="003C76D6"/>
    <w:rsid w:val="003C772C"/>
    <w:rsid w:val="003C7C0E"/>
    <w:rsid w:val="003C7E51"/>
    <w:rsid w:val="003D03FB"/>
    <w:rsid w:val="003D07A5"/>
    <w:rsid w:val="003D0D89"/>
    <w:rsid w:val="003D11A4"/>
    <w:rsid w:val="003D1663"/>
    <w:rsid w:val="003D1DD9"/>
    <w:rsid w:val="003D2440"/>
    <w:rsid w:val="003D253A"/>
    <w:rsid w:val="003D25D1"/>
    <w:rsid w:val="003D2643"/>
    <w:rsid w:val="003D2894"/>
    <w:rsid w:val="003D2AF8"/>
    <w:rsid w:val="003D2C7F"/>
    <w:rsid w:val="003D30E2"/>
    <w:rsid w:val="003D3133"/>
    <w:rsid w:val="003D3696"/>
    <w:rsid w:val="003D3B45"/>
    <w:rsid w:val="003D40ED"/>
    <w:rsid w:val="003D415D"/>
    <w:rsid w:val="003D41B1"/>
    <w:rsid w:val="003D43C5"/>
    <w:rsid w:val="003D487C"/>
    <w:rsid w:val="003D4D4D"/>
    <w:rsid w:val="003D5172"/>
    <w:rsid w:val="003D51F7"/>
    <w:rsid w:val="003D524A"/>
    <w:rsid w:val="003D536D"/>
    <w:rsid w:val="003D55F6"/>
    <w:rsid w:val="003D5726"/>
    <w:rsid w:val="003D5986"/>
    <w:rsid w:val="003D5A58"/>
    <w:rsid w:val="003D5B71"/>
    <w:rsid w:val="003D5C6B"/>
    <w:rsid w:val="003D5D4D"/>
    <w:rsid w:val="003D60E7"/>
    <w:rsid w:val="003D6860"/>
    <w:rsid w:val="003D6880"/>
    <w:rsid w:val="003D6ACA"/>
    <w:rsid w:val="003D6C21"/>
    <w:rsid w:val="003D6ED4"/>
    <w:rsid w:val="003D706F"/>
    <w:rsid w:val="003D718F"/>
    <w:rsid w:val="003D7716"/>
    <w:rsid w:val="003D77A0"/>
    <w:rsid w:val="003D78ED"/>
    <w:rsid w:val="003D7F0A"/>
    <w:rsid w:val="003E0174"/>
    <w:rsid w:val="003E0A88"/>
    <w:rsid w:val="003E0D2B"/>
    <w:rsid w:val="003E0FBD"/>
    <w:rsid w:val="003E17D9"/>
    <w:rsid w:val="003E1C72"/>
    <w:rsid w:val="003E1FF9"/>
    <w:rsid w:val="003E213A"/>
    <w:rsid w:val="003E244E"/>
    <w:rsid w:val="003E2691"/>
    <w:rsid w:val="003E274F"/>
    <w:rsid w:val="003E299A"/>
    <w:rsid w:val="003E2D4A"/>
    <w:rsid w:val="003E2FA7"/>
    <w:rsid w:val="003E3824"/>
    <w:rsid w:val="003E3BAC"/>
    <w:rsid w:val="003E40EF"/>
    <w:rsid w:val="003E4257"/>
    <w:rsid w:val="003E4484"/>
    <w:rsid w:val="003E4DC6"/>
    <w:rsid w:val="003E5099"/>
    <w:rsid w:val="003E50CE"/>
    <w:rsid w:val="003E5103"/>
    <w:rsid w:val="003E5193"/>
    <w:rsid w:val="003E5360"/>
    <w:rsid w:val="003E59CA"/>
    <w:rsid w:val="003E6054"/>
    <w:rsid w:val="003E625B"/>
    <w:rsid w:val="003E632E"/>
    <w:rsid w:val="003E6486"/>
    <w:rsid w:val="003E64C2"/>
    <w:rsid w:val="003E65B0"/>
    <w:rsid w:val="003E6C9F"/>
    <w:rsid w:val="003E6CB6"/>
    <w:rsid w:val="003E6D24"/>
    <w:rsid w:val="003E74A5"/>
    <w:rsid w:val="003F0675"/>
    <w:rsid w:val="003F0938"/>
    <w:rsid w:val="003F0953"/>
    <w:rsid w:val="003F0AAC"/>
    <w:rsid w:val="003F106F"/>
    <w:rsid w:val="003F10A8"/>
    <w:rsid w:val="003F16FF"/>
    <w:rsid w:val="003F1716"/>
    <w:rsid w:val="003F1755"/>
    <w:rsid w:val="003F190F"/>
    <w:rsid w:val="003F1A23"/>
    <w:rsid w:val="003F1B07"/>
    <w:rsid w:val="003F1ED2"/>
    <w:rsid w:val="003F2162"/>
    <w:rsid w:val="003F26A6"/>
    <w:rsid w:val="003F2A43"/>
    <w:rsid w:val="003F2E56"/>
    <w:rsid w:val="003F306C"/>
    <w:rsid w:val="003F3634"/>
    <w:rsid w:val="003F373E"/>
    <w:rsid w:val="003F397D"/>
    <w:rsid w:val="003F39B6"/>
    <w:rsid w:val="003F3DBD"/>
    <w:rsid w:val="003F41B3"/>
    <w:rsid w:val="003F4302"/>
    <w:rsid w:val="003F4917"/>
    <w:rsid w:val="003F4A16"/>
    <w:rsid w:val="003F509E"/>
    <w:rsid w:val="003F5252"/>
    <w:rsid w:val="003F5504"/>
    <w:rsid w:val="003F5865"/>
    <w:rsid w:val="003F610A"/>
    <w:rsid w:val="003F611F"/>
    <w:rsid w:val="003F6476"/>
    <w:rsid w:val="003F655B"/>
    <w:rsid w:val="003F700E"/>
    <w:rsid w:val="003F7849"/>
    <w:rsid w:val="003F7A25"/>
    <w:rsid w:val="003F7B4C"/>
    <w:rsid w:val="003F7C01"/>
    <w:rsid w:val="003F7C66"/>
    <w:rsid w:val="00400068"/>
    <w:rsid w:val="0040013A"/>
    <w:rsid w:val="00400221"/>
    <w:rsid w:val="00400535"/>
    <w:rsid w:val="0040095D"/>
    <w:rsid w:val="00400C0A"/>
    <w:rsid w:val="00400CBD"/>
    <w:rsid w:val="00400E8D"/>
    <w:rsid w:val="004013AD"/>
    <w:rsid w:val="00401DF1"/>
    <w:rsid w:val="00401ECA"/>
    <w:rsid w:val="00401EF9"/>
    <w:rsid w:val="00401F4E"/>
    <w:rsid w:val="00402088"/>
    <w:rsid w:val="004020FE"/>
    <w:rsid w:val="0040255C"/>
    <w:rsid w:val="004025CA"/>
    <w:rsid w:val="00402788"/>
    <w:rsid w:val="00402AB5"/>
    <w:rsid w:val="00402B97"/>
    <w:rsid w:val="00402CEA"/>
    <w:rsid w:val="00403142"/>
    <w:rsid w:val="004034FB"/>
    <w:rsid w:val="00403E6A"/>
    <w:rsid w:val="00403F9A"/>
    <w:rsid w:val="004043E6"/>
    <w:rsid w:val="0040457B"/>
    <w:rsid w:val="00404999"/>
    <w:rsid w:val="00404B5B"/>
    <w:rsid w:val="00404C62"/>
    <w:rsid w:val="00404E1C"/>
    <w:rsid w:val="00405358"/>
    <w:rsid w:val="00405D93"/>
    <w:rsid w:val="00406C0B"/>
    <w:rsid w:val="00406C18"/>
    <w:rsid w:val="00406F61"/>
    <w:rsid w:val="0040732B"/>
    <w:rsid w:val="00407AF2"/>
    <w:rsid w:val="00407B10"/>
    <w:rsid w:val="00407C41"/>
    <w:rsid w:val="00407DDF"/>
    <w:rsid w:val="00407EC3"/>
    <w:rsid w:val="00410007"/>
    <w:rsid w:val="00410055"/>
    <w:rsid w:val="00410178"/>
    <w:rsid w:val="0041031F"/>
    <w:rsid w:val="00410471"/>
    <w:rsid w:val="00410879"/>
    <w:rsid w:val="00410AED"/>
    <w:rsid w:val="00410FD0"/>
    <w:rsid w:val="0041118C"/>
    <w:rsid w:val="004111E5"/>
    <w:rsid w:val="004112B5"/>
    <w:rsid w:val="00411773"/>
    <w:rsid w:val="00411860"/>
    <w:rsid w:val="004118C0"/>
    <w:rsid w:val="00411BEE"/>
    <w:rsid w:val="004120D2"/>
    <w:rsid w:val="0041241E"/>
    <w:rsid w:val="0041293B"/>
    <w:rsid w:val="00412D52"/>
    <w:rsid w:val="00412F0E"/>
    <w:rsid w:val="00412F76"/>
    <w:rsid w:val="00413296"/>
    <w:rsid w:val="0041339D"/>
    <w:rsid w:val="00413FFC"/>
    <w:rsid w:val="00414688"/>
    <w:rsid w:val="0041476F"/>
    <w:rsid w:val="0041489B"/>
    <w:rsid w:val="0041490B"/>
    <w:rsid w:val="00415D62"/>
    <w:rsid w:val="00416044"/>
    <w:rsid w:val="004160FA"/>
    <w:rsid w:val="004164E6"/>
    <w:rsid w:val="004167F8"/>
    <w:rsid w:val="00416A90"/>
    <w:rsid w:val="00416C31"/>
    <w:rsid w:val="00416E3D"/>
    <w:rsid w:val="004175D8"/>
    <w:rsid w:val="004177CE"/>
    <w:rsid w:val="00420463"/>
    <w:rsid w:val="00420473"/>
    <w:rsid w:val="004204F9"/>
    <w:rsid w:val="0042055B"/>
    <w:rsid w:val="00420654"/>
    <w:rsid w:val="0042076D"/>
    <w:rsid w:val="004207C1"/>
    <w:rsid w:val="0042149B"/>
    <w:rsid w:val="00421CCF"/>
    <w:rsid w:val="00421DC4"/>
    <w:rsid w:val="00421E84"/>
    <w:rsid w:val="00422117"/>
    <w:rsid w:val="004223E4"/>
    <w:rsid w:val="004225D1"/>
    <w:rsid w:val="004228F6"/>
    <w:rsid w:val="00422DCF"/>
    <w:rsid w:val="00422EDD"/>
    <w:rsid w:val="00422FD9"/>
    <w:rsid w:val="00423114"/>
    <w:rsid w:val="004231E0"/>
    <w:rsid w:val="00423378"/>
    <w:rsid w:val="004235AA"/>
    <w:rsid w:val="00423C27"/>
    <w:rsid w:val="00423D42"/>
    <w:rsid w:val="0042417E"/>
    <w:rsid w:val="0042443E"/>
    <w:rsid w:val="004245AE"/>
    <w:rsid w:val="00424F79"/>
    <w:rsid w:val="00425120"/>
    <w:rsid w:val="00425720"/>
    <w:rsid w:val="004258FB"/>
    <w:rsid w:val="00425A0E"/>
    <w:rsid w:val="00425A3D"/>
    <w:rsid w:val="00425B89"/>
    <w:rsid w:val="004264EC"/>
    <w:rsid w:val="0042653B"/>
    <w:rsid w:val="004267BD"/>
    <w:rsid w:val="00426F16"/>
    <w:rsid w:val="00427170"/>
    <w:rsid w:val="00427CEA"/>
    <w:rsid w:val="00427D55"/>
    <w:rsid w:val="00430424"/>
    <w:rsid w:val="0043049C"/>
    <w:rsid w:val="004307C6"/>
    <w:rsid w:val="004308A5"/>
    <w:rsid w:val="00430C78"/>
    <w:rsid w:val="00430DED"/>
    <w:rsid w:val="00431196"/>
    <w:rsid w:val="00431FD5"/>
    <w:rsid w:val="0043288A"/>
    <w:rsid w:val="00432A72"/>
    <w:rsid w:val="00432B21"/>
    <w:rsid w:val="00432B71"/>
    <w:rsid w:val="00432CE4"/>
    <w:rsid w:val="004334B6"/>
    <w:rsid w:val="00433B02"/>
    <w:rsid w:val="00433EB2"/>
    <w:rsid w:val="004343D8"/>
    <w:rsid w:val="004348DF"/>
    <w:rsid w:val="00434E5F"/>
    <w:rsid w:val="00435169"/>
    <w:rsid w:val="00435698"/>
    <w:rsid w:val="00435856"/>
    <w:rsid w:val="00435CAE"/>
    <w:rsid w:val="00435EB4"/>
    <w:rsid w:val="00436272"/>
    <w:rsid w:val="0043684A"/>
    <w:rsid w:val="0043694C"/>
    <w:rsid w:val="00436D1E"/>
    <w:rsid w:val="00437108"/>
    <w:rsid w:val="00437948"/>
    <w:rsid w:val="00437BB0"/>
    <w:rsid w:val="00437F0F"/>
    <w:rsid w:val="0044001D"/>
    <w:rsid w:val="00440616"/>
    <w:rsid w:val="00440B87"/>
    <w:rsid w:val="00440C2B"/>
    <w:rsid w:val="00440C8A"/>
    <w:rsid w:val="00440ED1"/>
    <w:rsid w:val="00440F47"/>
    <w:rsid w:val="0044102A"/>
    <w:rsid w:val="004416C2"/>
    <w:rsid w:val="00441AD5"/>
    <w:rsid w:val="00441C26"/>
    <w:rsid w:val="0044252E"/>
    <w:rsid w:val="00442D3D"/>
    <w:rsid w:val="0044313A"/>
    <w:rsid w:val="00443819"/>
    <w:rsid w:val="00443E38"/>
    <w:rsid w:val="004440FA"/>
    <w:rsid w:val="004441FA"/>
    <w:rsid w:val="0044449B"/>
    <w:rsid w:val="00444674"/>
    <w:rsid w:val="00444ABE"/>
    <w:rsid w:val="00444B9C"/>
    <w:rsid w:val="00445001"/>
    <w:rsid w:val="0044529E"/>
    <w:rsid w:val="00445863"/>
    <w:rsid w:val="004458D0"/>
    <w:rsid w:val="004459DD"/>
    <w:rsid w:val="00445B6D"/>
    <w:rsid w:val="0044627C"/>
    <w:rsid w:val="004468D0"/>
    <w:rsid w:val="00446DC4"/>
    <w:rsid w:val="00447103"/>
    <w:rsid w:val="00447C3F"/>
    <w:rsid w:val="00447E79"/>
    <w:rsid w:val="00451DB2"/>
    <w:rsid w:val="00452080"/>
    <w:rsid w:val="00452329"/>
    <w:rsid w:val="0045260E"/>
    <w:rsid w:val="00452673"/>
    <w:rsid w:val="0045269A"/>
    <w:rsid w:val="004526DC"/>
    <w:rsid w:val="004527D1"/>
    <w:rsid w:val="00452B79"/>
    <w:rsid w:val="00452C62"/>
    <w:rsid w:val="00453254"/>
    <w:rsid w:val="00453665"/>
    <w:rsid w:val="00454343"/>
    <w:rsid w:val="00454608"/>
    <w:rsid w:val="0045525B"/>
    <w:rsid w:val="0045527C"/>
    <w:rsid w:val="00455EA8"/>
    <w:rsid w:val="00456290"/>
    <w:rsid w:val="00456B65"/>
    <w:rsid w:val="00456C96"/>
    <w:rsid w:val="00456DC2"/>
    <w:rsid w:val="0045716A"/>
    <w:rsid w:val="0045717A"/>
    <w:rsid w:val="0045767C"/>
    <w:rsid w:val="0045768E"/>
    <w:rsid w:val="0045798F"/>
    <w:rsid w:val="00457D27"/>
    <w:rsid w:val="00457E68"/>
    <w:rsid w:val="00457E9F"/>
    <w:rsid w:val="00460345"/>
    <w:rsid w:val="0046057A"/>
    <w:rsid w:val="004606DA"/>
    <w:rsid w:val="00460902"/>
    <w:rsid w:val="00460AB1"/>
    <w:rsid w:val="00460DC7"/>
    <w:rsid w:val="00460DF4"/>
    <w:rsid w:val="004610FF"/>
    <w:rsid w:val="00461132"/>
    <w:rsid w:val="00461735"/>
    <w:rsid w:val="0046194E"/>
    <w:rsid w:val="00461A90"/>
    <w:rsid w:val="00461BB0"/>
    <w:rsid w:val="00461D0D"/>
    <w:rsid w:val="00462178"/>
    <w:rsid w:val="00462257"/>
    <w:rsid w:val="004622E8"/>
    <w:rsid w:val="00462360"/>
    <w:rsid w:val="0046259F"/>
    <w:rsid w:val="004629D3"/>
    <w:rsid w:val="00462C61"/>
    <w:rsid w:val="00462D22"/>
    <w:rsid w:val="004632CC"/>
    <w:rsid w:val="004636D5"/>
    <w:rsid w:val="00463BE9"/>
    <w:rsid w:val="00463CD5"/>
    <w:rsid w:val="0046409D"/>
    <w:rsid w:val="004646AB"/>
    <w:rsid w:val="004646E2"/>
    <w:rsid w:val="00464826"/>
    <w:rsid w:val="00464827"/>
    <w:rsid w:val="00464A85"/>
    <w:rsid w:val="00464C5E"/>
    <w:rsid w:val="00464E99"/>
    <w:rsid w:val="00465054"/>
    <w:rsid w:val="00465171"/>
    <w:rsid w:val="0046536C"/>
    <w:rsid w:val="00465664"/>
    <w:rsid w:val="00465771"/>
    <w:rsid w:val="0046579E"/>
    <w:rsid w:val="004659B5"/>
    <w:rsid w:val="00465B60"/>
    <w:rsid w:val="00465D00"/>
    <w:rsid w:val="004662D3"/>
    <w:rsid w:val="004665EF"/>
    <w:rsid w:val="0046660A"/>
    <w:rsid w:val="00466697"/>
    <w:rsid w:val="00467382"/>
    <w:rsid w:val="00467E1E"/>
    <w:rsid w:val="00467ECF"/>
    <w:rsid w:val="004701E9"/>
    <w:rsid w:val="004702DF"/>
    <w:rsid w:val="004704E9"/>
    <w:rsid w:val="004706EC"/>
    <w:rsid w:val="00470876"/>
    <w:rsid w:val="00470BBE"/>
    <w:rsid w:val="00470F04"/>
    <w:rsid w:val="00471534"/>
    <w:rsid w:val="00471A40"/>
    <w:rsid w:val="00471C05"/>
    <w:rsid w:val="00471DD4"/>
    <w:rsid w:val="00471E81"/>
    <w:rsid w:val="00472B4A"/>
    <w:rsid w:val="00472D69"/>
    <w:rsid w:val="00473228"/>
    <w:rsid w:val="004734AB"/>
    <w:rsid w:val="00473728"/>
    <w:rsid w:val="0047396E"/>
    <w:rsid w:val="00473CFB"/>
    <w:rsid w:val="0047431E"/>
    <w:rsid w:val="00474B3D"/>
    <w:rsid w:val="004754D0"/>
    <w:rsid w:val="0047592E"/>
    <w:rsid w:val="00476926"/>
    <w:rsid w:val="004769EC"/>
    <w:rsid w:val="00476A77"/>
    <w:rsid w:val="00477261"/>
    <w:rsid w:val="00477A24"/>
    <w:rsid w:val="00477B51"/>
    <w:rsid w:val="00477D0E"/>
    <w:rsid w:val="00477E7F"/>
    <w:rsid w:val="004803FA"/>
    <w:rsid w:val="00480455"/>
    <w:rsid w:val="00480C8B"/>
    <w:rsid w:val="00480D4C"/>
    <w:rsid w:val="00480D79"/>
    <w:rsid w:val="004819B2"/>
    <w:rsid w:val="004821DE"/>
    <w:rsid w:val="00482286"/>
    <w:rsid w:val="0048229E"/>
    <w:rsid w:val="00482AB3"/>
    <w:rsid w:val="00482B8B"/>
    <w:rsid w:val="00482C62"/>
    <w:rsid w:val="00483105"/>
    <w:rsid w:val="00483459"/>
    <w:rsid w:val="0048374E"/>
    <w:rsid w:val="00483993"/>
    <w:rsid w:val="00483D92"/>
    <w:rsid w:val="00483F11"/>
    <w:rsid w:val="00484245"/>
    <w:rsid w:val="00484876"/>
    <w:rsid w:val="00484999"/>
    <w:rsid w:val="004849D0"/>
    <w:rsid w:val="00484CDA"/>
    <w:rsid w:val="00484EE7"/>
    <w:rsid w:val="00485077"/>
    <w:rsid w:val="00485178"/>
    <w:rsid w:val="00485329"/>
    <w:rsid w:val="00485EB6"/>
    <w:rsid w:val="00486293"/>
    <w:rsid w:val="00486647"/>
    <w:rsid w:val="00486B33"/>
    <w:rsid w:val="00486C30"/>
    <w:rsid w:val="00486C34"/>
    <w:rsid w:val="00486E47"/>
    <w:rsid w:val="0048704C"/>
    <w:rsid w:val="00487070"/>
    <w:rsid w:val="00487182"/>
    <w:rsid w:val="004873BA"/>
    <w:rsid w:val="00487800"/>
    <w:rsid w:val="00487AF8"/>
    <w:rsid w:val="00490396"/>
    <w:rsid w:val="00490902"/>
    <w:rsid w:val="00490AB7"/>
    <w:rsid w:val="00490C86"/>
    <w:rsid w:val="00490CBE"/>
    <w:rsid w:val="00490E5E"/>
    <w:rsid w:val="004913C7"/>
    <w:rsid w:val="00491568"/>
    <w:rsid w:val="00491DF4"/>
    <w:rsid w:val="00491E8B"/>
    <w:rsid w:val="004925A1"/>
    <w:rsid w:val="0049295E"/>
    <w:rsid w:val="00492A80"/>
    <w:rsid w:val="004938B7"/>
    <w:rsid w:val="004939E4"/>
    <w:rsid w:val="00493ABC"/>
    <w:rsid w:val="00493BEC"/>
    <w:rsid w:val="00493D8D"/>
    <w:rsid w:val="00493E8E"/>
    <w:rsid w:val="0049402B"/>
    <w:rsid w:val="00494386"/>
    <w:rsid w:val="00494675"/>
    <w:rsid w:val="00494712"/>
    <w:rsid w:val="0049475B"/>
    <w:rsid w:val="004947D5"/>
    <w:rsid w:val="00495BE3"/>
    <w:rsid w:val="0049600C"/>
    <w:rsid w:val="00496180"/>
    <w:rsid w:val="004966BC"/>
    <w:rsid w:val="00496D39"/>
    <w:rsid w:val="00496FBD"/>
    <w:rsid w:val="004973A2"/>
    <w:rsid w:val="00497676"/>
    <w:rsid w:val="00497EB8"/>
    <w:rsid w:val="004A0798"/>
    <w:rsid w:val="004A07B3"/>
    <w:rsid w:val="004A0CD2"/>
    <w:rsid w:val="004A0D21"/>
    <w:rsid w:val="004A0FCE"/>
    <w:rsid w:val="004A15A3"/>
    <w:rsid w:val="004A1883"/>
    <w:rsid w:val="004A1B90"/>
    <w:rsid w:val="004A1C82"/>
    <w:rsid w:val="004A1E14"/>
    <w:rsid w:val="004A1EF9"/>
    <w:rsid w:val="004A1F12"/>
    <w:rsid w:val="004A2393"/>
    <w:rsid w:val="004A2CA8"/>
    <w:rsid w:val="004A3127"/>
    <w:rsid w:val="004A332E"/>
    <w:rsid w:val="004A34BA"/>
    <w:rsid w:val="004A3F9E"/>
    <w:rsid w:val="004A4089"/>
    <w:rsid w:val="004A4581"/>
    <w:rsid w:val="004A4617"/>
    <w:rsid w:val="004A4766"/>
    <w:rsid w:val="004A4B7F"/>
    <w:rsid w:val="004A4D25"/>
    <w:rsid w:val="004A5685"/>
    <w:rsid w:val="004A5892"/>
    <w:rsid w:val="004A5E3D"/>
    <w:rsid w:val="004A5F5C"/>
    <w:rsid w:val="004A6092"/>
    <w:rsid w:val="004A6498"/>
    <w:rsid w:val="004A67F4"/>
    <w:rsid w:val="004A68E7"/>
    <w:rsid w:val="004A6E9C"/>
    <w:rsid w:val="004A70BE"/>
    <w:rsid w:val="004A715F"/>
    <w:rsid w:val="004A72B2"/>
    <w:rsid w:val="004A750C"/>
    <w:rsid w:val="004A78A4"/>
    <w:rsid w:val="004A7FCF"/>
    <w:rsid w:val="004B06A9"/>
    <w:rsid w:val="004B0787"/>
    <w:rsid w:val="004B0865"/>
    <w:rsid w:val="004B0AB7"/>
    <w:rsid w:val="004B0F28"/>
    <w:rsid w:val="004B13F5"/>
    <w:rsid w:val="004B1435"/>
    <w:rsid w:val="004B1567"/>
    <w:rsid w:val="004B17CE"/>
    <w:rsid w:val="004B1CF7"/>
    <w:rsid w:val="004B2078"/>
    <w:rsid w:val="004B21FF"/>
    <w:rsid w:val="004B26D7"/>
    <w:rsid w:val="004B2BF0"/>
    <w:rsid w:val="004B2E4D"/>
    <w:rsid w:val="004B3126"/>
    <w:rsid w:val="004B3148"/>
    <w:rsid w:val="004B39AF"/>
    <w:rsid w:val="004B3DE1"/>
    <w:rsid w:val="004B471C"/>
    <w:rsid w:val="004B507B"/>
    <w:rsid w:val="004B5AE2"/>
    <w:rsid w:val="004B5BE2"/>
    <w:rsid w:val="004B67B4"/>
    <w:rsid w:val="004B67D3"/>
    <w:rsid w:val="004B6D86"/>
    <w:rsid w:val="004B703A"/>
    <w:rsid w:val="004B7055"/>
    <w:rsid w:val="004B7DE8"/>
    <w:rsid w:val="004B7E73"/>
    <w:rsid w:val="004C0031"/>
    <w:rsid w:val="004C0289"/>
    <w:rsid w:val="004C054B"/>
    <w:rsid w:val="004C09BC"/>
    <w:rsid w:val="004C0A95"/>
    <w:rsid w:val="004C0F91"/>
    <w:rsid w:val="004C107D"/>
    <w:rsid w:val="004C1681"/>
    <w:rsid w:val="004C1C2E"/>
    <w:rsid w:val="004C1CAE"/>
    <w:rsid w:val="004C1CBC"/>
    <w:rsid w:val="004C1D6F"/>
    <w:rsid w:val="004C1D76"/>
    <w:rsid w:val="004C1F8F"/>
    <w:rsid w:val="004C23D8"/>
    <w:rsid w:val="004C26A8"/>
    <w:rsid w:val="004C33A6"/>
    <w:rsid w:val="004C34F6"/>
    <w:rsid w:val="004C36DA"/>
    <w:rsid w:val="004C3B3E"/>
    <w:rsid w:val="004C3BFA"/>
    <w:rsid w:val="004C434A"/>
    <w:rsid w:val="004C44BF"/>
    <w:rsid w:val="004C45EC"/>
    <w:rsid w:val="004C4797"/>
    <w:rsid w:val="004C483B"/>
    <w:rsid w:val="004C4AA9"/>
    <w:rsid w:val="004C56CC"/>
    <w:rsid w:val="004C5795"/>
    <w:rsid w:val="004C5A13"/>
    <w:rsid w:val="004C5F72"/>
    <w:rsid w:val="004C5FA3"/>
    <w:rsid w:val="004C60A4"/>
    <w:rsid w:val="004C6598"/>
    <w:rsid w:val="004C671C"/>
    <w:rsid w:val="004C67AB"/>
    <w:rsid w:val="004C6AE5"/>
    <w:rsid w:val="004C6B40"/>
    <w:rsid w:val="004C6E80"/>
    <w:rsid w:val="004C6F41"/>
    <w:rsid w:val="004C72D3"/>
    <w:rsid w:val="004C73E2"/>
    <w:rsid w:val="004C75B3"/>
    <w:rsid w:val="004C7988"/>
    <w:rsid w:val="004C7E34"/>
    <w:rsid w:val="004D0216"/>
    <w:rsid w:val="004D06C7"/>
    <w:rsid w:val="004D091C"/>
    <w:rsid w:val="004D0B77"/>
    <w:rsid w:val="004D132E"/>
    <w:rsid w:val="004D1391"/>
    <w:rsid w:val="004D1574"/>
    <w:rsid w:val="004D169C"/>
    <w:rsid w:val="004D198F"/>
    <w:rsid w:val="004D1A94"/>
    <w:rsid w:val="004D1DB2"/>
    <w:rsid w:val="004D1E96"/>
    <w:rsid w:val="004D21CB"/>
    <w:rsid w:val="004D2207"/>
    <w:rsid w:val="004D22DC"/>
    <w:rsid w:val="004D23E4"/>
    <w:rsid w:val="004D2830"/>
    <w:rsid w:val="004D31E5"/>
    <w:rsid w:val="004D324C"/>
    <w:rsid w:val="004D35A9"/>
    <w:rsid w:val="004D3C35"/>
    <w:rsid w:val="004D405F"/>
    <w:rsid w:val="004D4171"/>
    <w:rsid w:val="004D44DD"/>
    <w:rsid w:val="004D47AB"/>
    <w:rsid w:val="004D489A"/>
    <w:rsid w:val="004D4B17"/>
    <w:rsid w:val="004D4C46"/>
    <w:rsid w:val="004D4EF4"/>
    <w:rsid w:val="004D4F72"/>
    <w:rsid w:val="004D525E"/>
    <w:rsid w:val="004D574F"/>
    <w:rsid w:val="004D5AD3"/>
    <w:rsid w:val="004D5ADE"/>
    <w:rsid w:val="004D5E1D"/>
    <w:rsid w:val="004D6068"/>
    <w:rsid w:val="004D67BF"/>
    <w:rsid w:val="004D6CE6"/>
    <w:rsid w:val="004D7159"/>
    <w:rsid w:val="004D72F8"/>
    <w:rsid w:val="004D73B6"/>
    <w:rsid w:val="004D73D4"/>
    <w:rsid w:val="004D75D0"/>
    <w:rsid w:val="004D77F4"/>
    <w:rsid w:val="004D7DBC"/>
    <w:rsid w:val="004E0014"/>
    <w:rsid w:val="004E02A5"/>
    <w:rsid w:val="004E0300"/>
    <w:rsid w:val="004E06A2"/>
    <w:rsid w:val="004E0840"/>
    <w:rsid w:val="004E0993"/>
    <w:rsid w:val="004E0ACA"/>
    <w:rsid w:val="004E0C8B"/>
    <w:rsid w:val="004E0CAA"/>
    <w:rsid w:val="004E10CB"/>
    <w:rsid w:val="004E1166"/>
    <w:rsid w:val="004E12FD"/>
    <w:rsid w:val="004E1D16"/>
    <w:rsid w:val="004E1E0B"/>
    <w:rsid w:val="004E1E98"/>
    <w:rsid w:val="004E21D1"/>
    <w:rsid w:val="004E260C"/>
    <w:rsid w:val="004E2784"/>
    <w:rsid w:val="004E2A5C"/>
    <w:rsid w:val="004E2D16"/>
    <w:rsid w:val="004E2E73"/>
    <w:rsid w:val="004E3029"/>
    <w:rsid w:val="004E343E"/>
    <w:rsid w:val="004E3492"/>
    <w:rsid w:val="004E35C4"/>
    <w:rsid w:val="004E370B"/>
    <w:rsid w:val="004E3AC8"/>
    <w:rsid w:val="004E3C5C"/>
    <w:rsid w:val="004E40FF"/>
    <w:rsid w:val="004E41A3"/>
    <w:rsid w:val="004E42DB"/>
    <w:rsid w:val="004E4D3B"/>
    <w:rsid w:val="004E504D"/>
    <w:rsid w:val="004E5346"/>
    <w:rsid w:val="004E5428"/>
    <w:rsid w:val="004E58D4"/>
    <w:rsid w:val="004E5916"/>
    <w:rsid w:val="004E5929"/>
    <w:rsid w:val="004E5CD4"/>
    <w:rsid w:val="004E6047"/>
    <w:rsid w:val="004E65D1"/>
    <w:rsid w:val="004E6C71"/>
    <w:rsid w:val="004E6DF0"/>
    <w:rsid w:val="004E716B"/>
    <w:rsid w:val="004E7277"/>
    <w:rsid w:val="004E7373"/>
    <w:rsid w:val="004E77BF"/>
    <w:rsid w:val="004E797E"/>
    <w:rsid w:val="004E7A73"/>
    <w:rsid w:val="004E7CA9"/>
    <w:rsid w:val="004E7E43"/>
    <w:rsid w:val="004E7F41"/>
    <w:rsid w:val="004F06BE"/>
    <w:rsid w:val="004F06F9"/>
    <w:rsid w:val="004F0CC7"/>
    <w:rsid w:val="004F1698"/>
    <w:rsid w:val="004F17E6"/>
    <w:rsid w:val="004F1803"/>
    <w:rsid w:val="004F1F6D"/>
    <w:rsid w:val="004F1FC5"/>
    <w:rsid w:val="004F21DF"/>
    <w:rsid w:val="004F2BF1"/>
    <w:rsid w:val="004F2E31"/>
    <w:rsid w:val="004F3B18"/>
    <w:rsid w:val="004F3B92"/>
    <w:rsid w:val="004F3D72"/>
    <w:rsid w:val="004F3DA9"/>
    <w:rsid w:val="004F3F33"/>
    <w:rsid w:val="004F40B2"/>
    <w:rsid w:val="004F44BC"/>
    <w:rsid w:val="004F4870"/>
    <w:rsid w:val="004F4AB0"/>
    <w:rsid w:val="004F5004"/>
    <w:rsid w:val="004F58C1"/>
    <w:rsid w:val="004F5964"/>
    <w:rsid w:val="004F5BD8"/>
    <w:rsid w:val="004F5FD0"/>
    <w:rsid w:val="004F647C"/>
    <w:rsid w:val="004F64E3"/>
    <w:rsid w:val="004F68A3"/>
    <w:rsid w:val="004F69BA"/>
    <w:rsid w:val="004F6A08"/>
    <w:rsid w:val="004F6B8E"/>
    <w:rsid w:val="004F6BD9"/>
    <w:rsid w:val="004F6E5E"/>
    <w:rsid w:val="004F7072"/>
    <w:rsid w:val="004F7323"/>
    <w:rsid w:val="0050011C"/>
    <w:rsid w:val="00500B86"/>
    <w:rsid w:val="00500D1C"/>
    <w:rsid w:val="00500E91"/>
    <w:rsid w:val="00500FCA"/>
    <w:rsid w:val="005015CF"/>
    <w:rsid w:val="00501A38"/>
    <w:rsid w:val="00501E06"/>
    <w:rsid w:val="00501E08"/>
    <w:rsid w:val="005022AC"/>
    <w:rsid w:val="005022B3"/>
    <w:rsid w:val="005022E4"/>
    <w:rsid w:val="00502B87"/>
    <w:rsid w:val="00502BAE"/>
    <w:rsid w:val="00502E1A"/>
    <w:rsid w:val="00502F6F"/>
    <w:rsid w:val="005030AB"/>
    <w:rsid w:val="00503135"/>
    <w:rsid w:val="00503E51"/>
    <w:rsid w:val="00504101"/>
    <w:rsid w:val="00504173"/>
    <w:rsid w:val="0050432D"/>
    <w:rsid w:val="00504ACB"/>
    <w:rsid w:val="005050C6"/>
    <w:rsid w:val="00505188"/>
    <w:rsid w:val="0050519D"/>
    <w:rsid w:val="00505539"/>
    <w:rsid w:val="0050565F"/>
    <w:rsid w:val="00505ADF"/>
    <w:rsid w:val="00505CD4"/>
    <w:rsid w:val="00505E9F"/>
    <w:rsid w:val="005060EB"/>
    <w:rsid w:val="005062BD"/>
    <w:rsid w:val="005063A6"/>
    <w:rsid w:val="00506448"/>
    <w:rsid w:val="005067B5"/>
    <w:rsid w:val="00506BDB"/>
    <w:rsid w:val="00506C77"/>
    <w:rsid w:val="00506D55"/>
    <w:rsid w:val="00506DE0"/>
    <w:rsid w:val="00507472"/>
    <w:rsid w:val="0050786E"/>
    <w:rsid w:val="00507CD4"/>
    <w:rsid w:val="00507FDA"/>
    <w:rsid w:val="005105C0"/>
    <w:rsid w:val="00510653"/>
    <w:rsid w:val="005106CC"/>
    <w:rsid w:val="005108C7"/>
    <w:rsid w:val="00510EDD"/>
    <w:rsid w:val="005111C7"/>
    <w:rsid w:val="0051136E"/>
    <w:rsid w:val="00511A58"/>
    <w:rsid w:val="00511B17"/>
    <w:rsid w:val="00511C98"/>
    <w:rsid w:val="00511E97"/>
    <w:rsid w:val="00511F8A"/>
    <w:rsid w:val="0051206C"/>
    <w:rsid w:val="005122E5"/>
    <w:rsid w:val="00512923"/>
    <w:rsid w:val="0051297F"/>
    <w:rsid w:val="00512C55"/>
    <w:rsid w:val="00513A67"/>
    <w:rsid w:val="00514212"/>
    <w:rsid w:val="005144D4"/>
    <w:rsid w:val="00514575"/>
    <w:rsid w:val="00514587"/>
    <w:rsid w:val="00514B3A"/>
    <w:rsid w:val="005157C1"/>
    <w:rsid w:val="00515CE6"/>
    <w:rsid w:val="00515FD9"/>
    <w:rsid w:val="005160E6"/>
    <w:rsid w:val="0051624A"/>
    <w:rsid w:val="00516A5E"/>
    <w:rsid w:val="00516E4A"/>
    <w:rsid w:val="00516E5A"/>
    <w:rsid w:val="005171B4"/>
    <w:rsid w:val="00517502"/>
    <w:rsid w:val="00517552"/>
    <w:rsid w:val="005176E5"/>
    <w:rsid w:val="005177E8"/>
    <w:rsid w:val="00517A80"/>
    <w:rsid w:val="00517DDF"/>
    <w:rsid w:val="0052036E"/>
    <w:rsid w:val="00520414"/>
    <w:rsid w:val="005206F6"/>
    <w:rsid w:val="00520E01"/>
    <w:rsid w:val="00520E83"/>
    <w:rsid w:val="00520EFF"/>
    <w:rsid w:val="00520F56"/>
    <w:rsid w:val="0052142E"/>
    <w:rsid w:val="00521501"/>
    <w:rsid w:val="0052169A"/>
    <w:rsid w:val="00521E99"/>
    <w:rsid w:val="00522605"/>
    <w:rsid w:val="00522B76"/>
    <w:rsid w:val="00522C1F"/>
    <w:rsid w:val="00522C22"/>
    <w:rsid w:val="00522E5C"/>
    <w:rsid w:val="00522E86"/>
    <w:rsid w:val="00523047"/>
    <w:rsid w:val="005231FB"/>
    <w:rsid w:val="0052335F"/>
    <w:rsid w:val="00523718"/>
    <w:rsid w:val="00523BED"/>
    <w:rsid w:val="00523EB4"/>
    <w:rsid w:val="00523FD9"/>
    <w:rsid w:val="00524187"/>
    <w:rsid w:val="00524815"/>
    <w:rsid w:val="00524845"/>
    <w:rsid w:val="00525651"/>
    <w:rsid w:val="005258E4"/>
    <w:rsid w:val="00525C27"/>
    <w:rsid w:val="00525D2B"/>
    <w:rsid w:val="00526844"/>
    <w:rsid w:val="00526CF4"/>
    <w:rsid w:val="005275B1"/>
    <w:rsid w:val="0052794E"/>
    <w:rsid w:val="00527A82"/>
    <w:rsid w:val="00527D9F"/>
    <w:rsid w:val="00530161"/>
    <w:rsid w:val="0053026E"/>
    <w:rsid w:val="005302B9"/>
    <w:rsid w:val="00530A2A"/>
    <w:rsid w:val="00530A71"/>
    <w:rsid w:val="005311D7"/>
    <w:rsid w:val="00531417"/>
    <w:rsid w:val="00531A73"/>
    <w:rsid w:val="00531B45"/>
    <w:rsid w:val="00531C02"/>
    <w:rsid w:val="00531F30"/>
    <w:rsid w:val="0053227C"/>
    <w:rsid w:val="00532539"/>
    <w:rsid w:val="00532657"/>
    <w:rsid w:val="00532821"/>
    <w:rsid w:val="0053299B"/>
    <w:rsid w:val="00532BAE"/>
    <w:rsid w:val="00532DD7"/>
    <w:rsid w:val="00532F7E"/>
    <w:rsid w:val="00533957"/>
    <w:rsid w:val="00533C9E"/>
    <w:rsid w:val="00534437"/>
    <w:rsid w:val="0053474F"/>
    <w:rsid w:val="00535073"/>
    <w:rsid w:val="00535192"/>
    <w:rsid w:val="00535393"/>
    <w:rsid w:val="0053591B"/>
    <w:rsid w:val="00535F25"/>
    <w:rsid w:val="0053662C"/>
    <w:rsid w:val="0053698A"/>
    <w:rsid w:val="00536CAB"/>
    <w:rsid w:val="005379F2"/>
    <w:rsid w:val="00537A56"/>
    <w:rsid w:val="00537A99"/>
    <w:rsid w:val="00537E4D"/>
    <w:rsid w:val="005400DD"/>
    <w:rsid w:val="0054080C"/>
    <w:rsid w:val="00540855"/>
    <w:rsid w:val="00540880"/>
    <w:rsid w:val="00540986"/>
    <w:rsid w:val="00540BE4"/>
    <w:rsid w:val="00540E55"/>
    <w:rsid w:val="00540F34"/>
    <w:rsid w:val="0054149B"/>
    <w:rsid w:val="0054211F"/>
    <w:rsid w:val="005422AD"/>
    <w:rsid w:val="0054267D"/>
    <w:rsid w:val="00542FBA"/>
    <w:rsid w:val="00542FEC"/>
    <w:rsid w:val="00543562"/>
    <w:rsid w:val="00543564"/>
    <w:rsid w:val="005435F2"/>
    <w:rsid w:val="00543833"/>
    <w:rsid w:val="005439FC"/>
    <w:rsid w:val="00543B4D"/>
    <w:rsid w:val="00543B58"/>
    <w:rsid w:val="00543D05"/>
    <w:rsid w:val="0054421D"/>
    <w:rsid w:val="005443AA"/>
    <w:rsid w:val="00544A22"/>
    <w:rsid w:val="00544AB3"/>
    <w:rsid w:val="00544C8A"/>
    <w:rsid w:val="005450A3"/>
    <w:rsid w:val="00545244"/>
    <w:rsid w:val="00545365"/>
    <w:rsid w:val="0054592B"/>
    <w:rsid w:val="00545987"/>
    <w:rsid w:val="00545B9B"/>
    <w:rsid w:val="00545C38"/>
    <w:rsid w:val="00545C7F"/>
    <w:rsid w:val="00545CBC"/>
    <w:rsid w:val="00545D44"/>
    <w:rsid w:val="00547002"/>
    <w:rsid w:val="0054797F"/>
    <w:rsid w:val="005479AE"/>
    <w:rsid w:val="0055034A"/>
    <w:rsid w:val="00550502"/>
    <w:rsid w:val="005507A9"/>
    <w:rsid w:val="005512B5"/>
    <w:rsid w:val="005517B0"/>
    <w:rsid w:val="005517C4"/>
    <w:rsid w:val="00551919"/>
    <w:rsid w:val="005519E8"/>
    <w:rsid w:val="00551DBB"/>
    <w:rsid w:val="00552822"/>
    <w:rsid w:val="0055297D"/>
    <w:rsid w:val="00552CC3"/>
    <w:rsid w:val="00552D51"/>
    <w:rsid w:val="00552DA4"/>
    <w:rsid w:val="00552ED8"/>
    <w:rsid w:val="00553016"/>
    <w:rsid w:val="005532A2"/>
    <w:rsid w:val="0055337E"/>
    <w:rsid w:val="005534B3"/>
    <w:rsid w:val="005536AA"/>
    <w:rsid w:val="00553798"/>
    <w:rsid w:val="005539BD"/>
    <w:rsid w:val="00553A2E"/>
    <w:rsid w:val="00554A9D"/>
    <w:rsid w:val="00554D6D"/>
    <w:rsid w:val="00555257"/>
    <w:rsid w:val="005554A8"/>
    <w:rsid w:val="005555D4"/>
    <w:rsid w:val="005557EE"/>
    <w:rsid w:val="00555BC5"/>
    <w:rsid w:val="0055617D"/>
    <w:rsid w:val="00556B1A"/>
    <w:rsid w:val="00556F95"/>
    <w:rsid w:val="005576A4"/>
    <w:rsid w:val="005578B4"/>
    <w:rsid w:val="00557AC0"/>
    <w:rsid w:val="00557FD9"/>
    <w:rsid w:val="00560580"/>
    <w:rsid w:val="00560600"/>
    <w:rsid w:val="00560670"/>
    <w:rsid w:val="00560685"/>
    <w:rsid w:val="00561249"/>
    <w:rsid w:val="00561675"/>
    <w:rsid w:val="005619B1"/>
    <w:rsid w:val="005619D7"/>
    <w:rsid w:val="00561A89"/>
    <w:rsid w:val="00561C30"/>
    <w:rsid w:val="00561C36"/>
    <w:rsid w:val="00562084"/>
    <w:rsid w:val="00562451"/>
    <w:rsid w:val="005627B4"/>
    <w:rsid w:val="005627D0"/>
    <w:rsid w:val="00562801"/>
    <w:rsid w:val="00562C79"/>
    <w:rsid w:val="00562C8E"/>
    <w:rsid w:val="00563643"/>
    <w:rsid w:val="0056388C"/>
    <w:rsid w:val="00563F24"/>
    <w:rsid w:val="00564E7C"/>
    <w:rsid w:val="00565134"/>
    <w:rsid w:val="0056528A"/>
    <w:rsid w:val="0056547F"/>
    <w:rsid w:val="0056557A"/>
    <w:rsid w:val="005657D4"/>
    <w:rsid w:val="00565D12"/>
    <w:rsid w:val="00567412"/>
    <w:rsid w:val="00567607"/>
    <w:rsid w:val="005678C8"/>
    <w:rsid w:val="00567C0C"/>
    <w:rsid w:val="00567CDA"/>
    <w:rsid w:val="00567D45"/>
    <w:rsid w:val="00567E8E"/>
    <w:rsid w:val="00570239"/>
    <w:rsid w:val="005705CF"/>
    <w:rsid w:val="00570D5F"/>
    <w:rsid w:val="005714C8"/>
    <w:rsid w:val="00571C59"/>
    <w:rsid w:val="00571C62"/>
    <w:rsid w:val="00571CE1"/>
    <w:rsid w:val="005721A9"/>
    <w:rsid w:val="005723C1"/>
    <w:rsid w:val="0057251A"/>
    <w:rsid w:val="0057273A"/>
    <w:rsid w:val="00572FF3"/>
    <w:rsid w:val="00573456"/>
    <w:rsid w:val="00573CD5"/>
    <w:rsid w:val="00574173"/>
    <w:rsid w:val="005741CE"/>
    <w:rsid w:val="0057428E"/>
    <w:rsid w:val="00574482"/>
    <w:rsid w:val="005750FC"/>
    <w:rsid w:val="00575C05"/>
    <w:rsid w:val="00575EE2"/>
    <w:rsid w:val="00576218"/>
    <w:rsid w:val="005767BD"/>
    <w:rsid w:val="0057681D"/>
    <w:rsid w:val="00576A49"/>
    <w:rsid w:val="00576B49"/>
    <w:rsid w:val="005770E4"/>
    <w:rsid w:val="0058018C"/>
    <w:rsid w:val="00580475"/>
    <w:rsid w:val="00580478"/>
    <w:rsid w:val="005807B9"/>
    <w:rsid w:val="00580DE9"/>
    <w:rsid w:val="00580EDA"/>
    <w:rsid w:val="00580F8A"/>
    <w:rsid w:val="00581B51"/>
    <w:rsid w:val="00581B81"/>
    <w:rsid w:val="00581BC5"/>
    <w:rsid w:val="00581BD2"/>
    <w:rsid w:val="00581F69"/>
    <w:rsid w:val="00581FB1"/>
    <w:rsid w:val="0058208D"/>
    <w:rsid w:val="005822B2"/>
    <w:rsid w:val="00582812"/>
    <w:rsid w:val="005829C8"/>
    <w:rsid w:val="0058309E"/>
    <w:rsid w:val="0058325E"/>
    <w:rsid w:val="0058365C"/>
    <w:rsid w:val="005842FA"/>
    <w:rsid w:val="00584532"/>
    <w:rsid w:val="00584925"/>
    <w:rsid w:val="00584A90"/>
    <w:rsid w:val="00584D00"/>
    <w:rsid w:val="00584F2A"/>
    <w:rsid w:val="0058509E"/>
    <w:rsid w:val="00585128"/>
    <w:rsid w:val="0058518E"/>
    <w:rsid w:val="0058539A"/>
    <w:rsid w:val="005854AE"/>
    <w:rsid w:val="0058552D"/>
    <w:rsid w:val="00585AF8"/>
    <w:rsid w:val="00585B1B"/>
    <w:rsid w:val="00585C42"/>
    <w:rsid w:val="00585CC4"/>
    <w:rsid w:val="00585E07"/>
    <w:rsid w:val="00586028"/>
    <w:rsid w:val="005862C3"/>
    <w:rsid w:val="005862D9"/>
    <w:rsid w:val="005862E6"/>
    <w:rsid w:val="00586379"/>
    <w:rsid w:val="005863A0"/>
    <w:rsid w:val="00586603"/>
    <w:rsid w:val="0058670C"/>
    <w:rsid w:val="00586B2A"/>
    <w:rsid w:val="00586BBB"/>
    <w:rsid w:val="0058709A"/>
    <w:rsid w:val="00587D41"/>
    <w:rsid w:val="00587E12"/>
    <w:rsid w:val="00587E2F"/>
    <w:rsid w:val="0059065B"/>
    <w:rsid w:val="005906EC"/>
    <w:rsid w:val="005907C1"/>
    <w:rsid w:val="00590866"/>
    <w:rsid w:val="005909FA"/>
    <w:rsid w:val="00590BD6"/>
    <w:rsid w:val="00590CD1"/>
    <w:rsid w:val="00590EDA"/>
    <w:rsid w:val="00590F0C"/>
    <w:rsid w:val="00590FC1"/>
    <w:rsid w:val="00591122"/>
    <w:rsid w:val="0059113D"/>
    <w:rsid w:val="0059122B"/>
    <w:rsid w:val="00591474"/>
    <w:rsid w:val="00591CF2"/>
    <w:rsid w:val="00591D60"/>
    <w:rsid w:val="005921DE"/>
    <w:rsid w:val="0059220D"/>
    <w:rsid w:val="00592360"/>
    <w:rsid w:val="005927B9"/>
    <w:rsid w:val="00592A4B"/>
    <w:rsid w:val="00593916"/>
    <w:rsid w:val="00593C67"/>
    <w:rsid w:val="00593CD3"/>
    <w:rsid w:val="00593D20"/>
    <w:rsid w:val="00594024"/>
    <w:rsid w:val="005947ED"/>
    <w:rsid w:val="00594B04"/>
    <w:rsid w:val="005951A1"/>
    <w:rsid w:val="00595446"/>
    <w:rsid w:val="00595593"/>
    <w:rsid w:val="00595674"/>
    <w:rsid w:val="0059591A"/>
    <w:rsid w:val="005961EF"/>
    <w:rsid w:val="005961F0"/>
    <w:rsid w:val="00596A0D"/>
    <w:rsid w:val="00597014"/>
    <w:rsid w:val="00597320"/>
    <w:rsid w:val="00597537"/>
    <w:rsid w:val="0059763D"/>
    <w:rsid w:val="00597ADE"/>
    <w:rsid w:val="00597E12"/>
    <w:rsid w:val="00597FD2"/>
    <w:rsid w:val="005A092E"/>
    <w:rsid w:val="005A0DB6"/>
    <w:rsid w:val="005A0E8F"/>
    <w:rsid w:val="005A11AD"/>
    <w:rsid w:val="005A1210"/>
    <w:rsid w:val="005A13A1"/>
    <w:rsid w:val="005A1404"/>
    <w:rsid w:val="005A14E8"/>
    <w:rsid w:val="005A1CB9"/>
    <w:rsid w:val="005A2075"/>
    <w:rsid w:val="005A20C6"/>
    <w:rsid w:val="005A2198"/>
    <w:rsid w:val="005A228A"/>
    <w:rsid w:val="005A2D64"/>
    <w:rsid w:val="005A331E"/>
    <w:rsid w:val="005A3342"/>
    <w:rsid w:val="005A3A1C"/>
    <w:rsid w:val="005A3E7D"/>
    <w:rsid w:val="005A3F2C"/>
    <w:rsid w:val="005A42A7"/>
    <w:rsid w:val="005A450C"/>
    <w:rsid w:val="005A4D96"/>
    <w:rsid w:val="005A4E94"/>
    <w:rsid w:val="005A5027"/>
    <w:rsid w:val="005A5115"/>
    <w:rsid w:val="005A5680"/>
    <w:rsid w:val="005A593E"/>
    <w:rsid w:val="005A5B81"/>
    <w:rsid w:val="005A5D1D"/>
    <w:rsid w:val="005A5E15"/>
    <w:rsid w:val="005A5E6A"/>
    <w:rsid w:val="005A61F0"/>
    <w:rsid w:val="005A6225"/>
    <w:rsid w:val="005A6335"/>
    <w:rsid w:val="005A63E1"/>
    <w:rsid w:val="005A6424"/>
    <w:rsid w:val="005A6892"/>
    <w:rsid w:val="005A6C19"/>
    <w:rsid w:val="005A7185"/>
    <w:rsid w:val="005A75DA"/>
    <w:rsid w:val="005A7605"/>
    <w:rsid w:val="005A77EC"/>
    <w:rsid w:val="005A7853"/>
    <w:rsid w:val="005A7995"/>
    <w:rsid w:val="005A7C80"/>
    <w:rsid w:val="005A7DF8"/>
    <w:rsid w:val="005A7E40"/>
    <w:rsid w:val="005B0260"/>
    <w:rsid w:val="005B0482"/>
    <w:rsid w:val="005B0846"/>
    <w:rsid w:val="005B0B50"/>
    <w:rsid w:val="005B16E3"/>
    <w:rsid w:val="005B17C2"/>
    <w:rsid w:val="005B1A4D"/>
    <w:rsid w:val="005B2BB8"/>
    <w:rsid w:val="005B2CE5"/>
    <w:rsid w:val="005B2DDE"/>
    <w:rsid w:val="005B2E49"/>
    <w:rsid w:val="005B32E3"/>
    <w:rsid w:val="005B371A"/>
    <w:rsid w:val="005B3ECE"/>
    <w:rsid w:val="005B41D7"/>
    <w:rsid w:val="005B423D"/>
    <w:rsid w:val="005B4329"/>
    <w:rsid w:val="005B441C"/>
    <w:rsid w:val="005B44F9"/>
    <w:rsid w:val="005B47E4"/>
    <w:rsid w:val="005B4926"/>
    <w:rsid w:val="005B4967"/>
    <w:rsid w:val="005B525E"/>
    <w:rsid w:val="005B5A03"/>
    <w:rsid w:val="005B5A14"/>
    <w:rsid w:val="005B5B8A"/>
    <w:rsid w:val="005B60CC"/>
    <w:rsid w:val="005B6220"/>
    <w:rsid w:val="005B65B4"/>
    <w:rsid w:val="005B660D"/>
    <w:rsid w:val="005B66C6"/>
    <w:rsid w:val="005B6793"/>
    <w:rsid w:val="005B6C3A"/>
    <w:rsid w:val="005B6D77"/>
    <w:rsid w:val="005B6F0C"/>
    <w:rsid w:val="005B760B"/>
    <w:rsid w:val="005B7B31"/>
    <w:rsid w:val="005C059F"/>
    <w:rsid w:val="005C0A6F"/>
    <w:rsid w:val="005C0FEB"/>
    <w:rsid w:val="005C115E"/>
    <w:rsid w:val="005C12EC"/>
    <w:rsid w:val="005C1B70"/>
    <w:rsid w:val="005C1D7B"/>
    <w:rsid w:val="005C2135"/>
    <w:rsid w:val="005C21FF"/>
    <w:rsid w:val="005C235B"/>
    <w:rsid w:val="005C2648"/>
    <w:rsid w:val="005C2790"/>
    <w:rsid w:val="005C2899"/>
    <w:rsid w:val="005C2BC7"/>
    <w:rsid w:val="005C2F41"/>
    <w:rsid w:val="005C306E"/>
    <w:rsid w:val="005C309F"/>
    <w:rsid w:val="005C31E2"/>
    <w:rsid w:val="005C34A9"/>
    <w:rsid w:val="005C3798"/>
    <w:rsid w:val="005C38C2"/>
    <w:rsid w:val="005C3999"/>
    <w:rsid w:val="005C3B27"/>
    <w:rsid w:val="005C3D31"/>
    <w:rsid w:val="005C3FC3"/>
    <w:rsid w:val="005C400D"/>
    <w:rsid w:val="005C419A"/>
    <w:rsid w:val="005C41BA"/>
    <w:rsid w:val="005C462B"/>
    <w:rsid w:val="005C4BA8"/>
    <w:rsid w:val="005C5623"/>
    <w:rsid w:val="005C56E6"/>
    <w:rsid w:val="005C589D"/>
    <w:rsid w:val="005C5B8A"/>
    <w:rsid w:val="005C5D4B"/>
    <w:rsid w:val="005C62A0"/>
    <w:rsid w:val="005C64C9"/>
    <w:rsid w:val="005C66CF"/>
    <w:rsid w:val="005C6705"/>
    <w:rsid w:val="005C67F4"/>
    <w:rsid w:val="005C69EE"/>
    <w:rsid w:val="005C6B8A"/>
    <w:rsid w:val="005C7014"/>
    <w:rsid w:val="005C7066"/>
    <w:rsid w:val="005C78EA"/>
    <w:rsid w:val="005C7B7B"/>
    <w:rsid w:val="005C7BE3"/>
    <w:rsid w:val="005C7D31"/>
    <w:rsid w:val="005D0322"/>
    <w:rsid w:val="005D05D6"/>
    <w:rsid w:val="005D05EC"/>
    <w:rsid w:val="005D0D63"/>
    <w:rsid w:val="005D0F20"/>
    <w:rsid w:val="005D0F92"/>
    <w:rsid w:val="005D12A9"/>
    <w:rsid w:val="005D1475"/>
    <w:rsid w:val="005D18A6"/>
    <w:rsid w:val="005D19CC"/>
    <w:rsid w:val="005D1B4F"/>
    <w:rsid w:val="005D21A9"/>
    <w:rsid w:val="005D2950"/>
    <w:rsid w:val="005D2C22"/>
    <w:rsid w:val="005D314E"/>
    <w:rsid w:val="005D328B"/>
    <w:rsid w:val="005D32B7"/>
    <w:rsid w:val="005D408B"/>
    <w:rsid w:val="005D4448"/>
    <w:rsid w:val="005D5359"/>
    <w:rsid w:val="005D627C"/>
    <w:rsid w:val="005D64F7"/>
    <w:rsid w:val="005D6D09"/>
    <w:rsid w:val="005D6F51"/>
    <w:rsid w:val="005D700D"/>
    <w:rsid w:val="005D73BF"/>
    <w:rsid w:val="005D74B3"/>
    <w:rsid w:val="005D7910"/>
    <w:rsid w:val="005D791F"/>
    <w:rsid w:val="005E024C"/>
    <w:rsid w:val="005E02A3"/>
    <w:rsid w:val="005E05D4"/>
    <w:rsid w:val="005E092F"/>
    <w:rsid w:val="005E0B12"/>
    <w:rsid w:val="005E0EE7"/>
    <w:rsid w:val="005E0EFA"/>
    <w:rsid w:val="005E1251"/>
    <w:rsid w:val="005E17E1"/>
    <w:rsid w:val="005E1A35"/>
    <w:rsid w:val="005E1BA5"/>
    <w:rsid w:val="005E1DC8"/>
    <w:rsid w:val="005E1F62"/>
    <w:rsid w:val="005E2255"/>
    <w:rsid w:val="005E244B"/>
    <w:rsid w:val="005E2625"/>
    <w:rsid w:val="005E28E2"/>
    <w:rsid w:val="005E2B45"/>
    <w:rsid w:val="005E3649"/>
    <w:rsid w:val="005E3967"/>
    <w:rsid w:val="005E39AC"/>
    <w:rsid w:val="005E3D90"/>
    <w:rsid w:val="005E3DDF"/>
    <w:rsid w:val="005E3E7C"/>
    <w:rsid w:val="005E4CA3"/>
    <w:rsid w:val="005E5621"/>
    <w:rsid w:val="005E570A"/>
    <w:rsid w:val="005E5E89"/>
    <w:rsid w:val="005E609B"/>
    <w:rsid w:val="005E6256"/>
    <w:rsid w:val="005E674D"/>
    <w:rsid w:val="005E6940"/>
    <w:rsid w:val="005E6BCE"/>
    <w:rsid w:val="005E6CFE"/>
    <w:rsid w:val="005E6E29"/>
    <w:rsid w:val="005E73B9"/>
    <w:rsid w:val="005E7509"/>
    <w:rsid w:val="005E7B2F"/>
    <w:rsid w:val="005E7BA7"/>
    <w:rsid w:val="005E7D87"/>
    <w:rsid w:val="005E7D8C"/>
    <w:rsid w:val="005E7EB7"/>
    <w:rsid w:val="005F0020"/>
    <w:rsid w:val="005F0A5B"/>
    <w:rsid w:val="005F1507"/>
    <w:rsid w:val="005F15F5"/>
    <w:rsid w:val="005F1FCC"/>
    <w:rsid w:val="005F2285"/>
    <w:rsid w:val="005F26FD"/>
    <w:rsid w:val="005F2ACF"/>
    <w:rsid w:val="005F2FCE"/>
    <w:rsid w:val="005F35AF"/>
    <w:rsid w:val="005F3C9D"/>
    <w:rsid w:val="005F46ED"/>
    <w:rsid w:val="005F4813"/>
    <w:rsid w:val="005F4C64"/>
    <w:rsid w:val="005F4D06"/>
    <w:rsid w:val="005F4FC4"/>
    <w:rsid w:val="005F5170"/>
    <w:rsid w:val="005F5E0A"/>
    <w:rsid w:val="005F607B"/>
    <w:rsid w:val="005F6577"/>
    <w:rsid w:val="005F6B0C"/>
    <w:rsid w:val="005F6B8B"/>
    <w:rsid w:val="005F6D54"/>
    <w:rsid w:val="005F6D93"/>
    <w:rsid w:val="005F6F05"/>
    <w:rsid w:val="005F729E"/>
    <w:rsid w:val="005F764E"/>
    <w:rsid w:val="005F77E7"/>
    <w:rsid w:val="005F7855"/>
    <w:rsid w:val="005F7C08"/>
    <w:rsid w:val="005F7C24"/>
    <w:rsid w:val="005F7C4F"/>
    <w:rsid w:val="00600352"/>
    <w:rsid w:val="006006FE"/>
    <w:rsid w:val="00600729"/>
    <w:rsid w:val="006008AD"/>
    <w:rsid w:val="00600AC8"/>
    <w:rsid w:val="00600C92"/>
    <w:rsid w:val="00600DD6"/>
    <w:rsid w:val="00600E35"/>
    <w:rsid w:val="00600E52"/>
    <w:rsid w:val="0060106A"/>
    <w:rsid w:val="006010C9"/>
    <w:rsid w:val="006012E4"/>
    <w:rsid w:val="006012F3"/>
    <w:rsid w:val="00601891"/>
    <w:rsid w:val="00601E8A"/>
    <w:rsid w:val="00602179"/>
    <w:rsid w:val="00602410"/>
    <w:rsid w:val="006028B2"/>
    <w:rsid w:val="00602BCB"/>
    <w:rsid w:val="00602D2F"/>
    <w:rsid w:val="00602D94"/>
    <w:rsid w:val="00603004"/>
    <w:rsid w:val="00603264"/>
    <w:rsid w:val="006032E5"/>
    <w:rsid w:val="0060376D"/>
    <w:rsid w:val="00603860"/>
    <w:rsid w:val="00603B43"/>
    <w:rsid w:val="00603B76"/>
    <w:rsid w:val="00604193"/>
    <w:rsid w:val="00604447"/>
    <w:rsid w:val="00604A60"/>
    <w:rsid w:val="00604C14"/>
    <w:rsid w:val="00604FD3"/>
    <w:rsid w:val="00605320"/>
    <w:rsid w:val="00605746"/>
    <w:rsid w:val="00605B3E"/>
    <w:rsid w:val="00605BAE"/>
    <w:rsid w:val="00605BBE"/>
    <w:rsid w:val="00605D07"/>
    <w:rsid w:val="00605F07"/>
    <w:rsid w:val="00606089"/>
    <w:rsid w:val="006060A9"/>
    <w:rsid w:val="00606C83"/>
    <w:rsid w:val="00606E73"/>
    <w:rsid w:val="0060700D"/>
    <w:rsid w:val="006071A0"/>
    <w:rsid w:val="0060735D"/>
    <w:rsid w:val="0060743E"/>
    <w:rsid w:val="006076E0"/>
    <w:rsid w:val="006078B1"/>
    <w:rsid w:val="00607913"/>
    <w:rsid w:val="00607D46"/>
    <w:rsid w:val="00610085"/>
    <w:rsid w:val="006100D7"/>
    <w:rsid w:val="00610733"/>
    <w:rsid w:val="006107E6"/>
    <w:rsid w:val="00610C5C"/>
    <w:rsid w:val="00610DC8"/>
    <w:rsid w:val="00611016"/>
    <w:rsid w:val="0061115C"/>
    <w:rsid w:val="00611230"/>
    <w:rsid w:val="006114D7"/>
    <w:rsid w:val="00611E39"/>
    <w:rsid w:val="00611ED3"/>
    <w:rsid w:val="00611F3B"/>
    <w:rsid w:val="00612338"/>
    <w:rsid w:val="00612832"/>
    <w:rsid w:val="0061285C"/>
    <w:rsid w:val="00612961"/>
    <w:rsid w:val="00613347"/>
    <w:rsid w:val="00613650"/>
    <w:rsid w:val="00613712"/>
    <w:rsid w:val="006141D4"/>
    <w:rsid w:val="006142F0"/>
    <w:rsid w:val="0061440A"/>
    <w:rsid w:val="00614458"/>
    <w:rsid w:val="00614762"/>
    <w:rsid w:val="00614B57"/>
    <w:rsid w:val="006151AB"/>
    <w:rsid w:val="0061537A"/>
    <w:rsid w:val="00615897"/>
    <w:rsid w:val="00615FAB"/>
    <w:rsid w:val="00616404"/>
    <w:rsid w:val="00616528"/>
    <w:rsid w:val="00617203"/>
    <w:rsid w:val="00617265"/>
    <w:rsid w:val="00617651"/>
    <w:rsid w:val="0061779E"/>
    <w:rsid w:val="006178B4"/>
    <w:rsid w:val="006178FD"/>
    <w:rsid w:val="00617D74"/>
    <w:rsid w:val="006200BF"/>
    <w:rsid w:val="00620333"/>
    <w:rsid w:val="006207CE"/>
    <w:rsid w:val="00621527"/>
    <w:rsid w:val="00621604"/>
    <w:rsid w:val="00621B4B"/>
    <w:rsid w:val="00621ED9"/>
    <w:rsid w:val="0062213D"/>
    <w:rsid w:val="00622953"/>
    <w:rsid w:val="00622B99"/>
    <w:rsid w:val="00622D99"/>
    <w:rsid w:val="006230FD"/>
    <w:rsid w:val="006233F5"/>
    <w:rsid w:val="00623AB4"/>
    <w:rsid w:val="00624251"/>
    <w:rsid w:val="006246D4"/>
    <w:rsid w:val="00625207"/>
    <w:rsid w:val="0062559F"/>
    <w:rsid w:val="006258DE"/>
    <w:rsid w:val="006259E2"/>
    <w:rsid w:val="00625A91"/>
    <w:rsid w:val="00625FA2"/>
    <w:rsid w:val="006261C1"/>
    <w:rsid w:val="00626775"/>
    <w:rsid w:val="006267A3"/>
    <w:rsid w:val="006269D6"/>
    <w:rsid w:val="00626BB6"/>
    <w:rsid w:val="006275B9"/>
    <w:rsid w:val="00627FFD"/>
    <w:rsid w:val="00630086"/>
    <w:rsid w:val="00630454"/>
    <w:rsid w:val="006307F4"/>
    <w:rsid w:val="006308FD"/>
    <w:rsid w:val="00630A18"/>
    <w:rsid w:val="00630F3B"/>
    <w:rsid w:val="0063138B"/>
    <w:rsid w:val="006315F2"/>
    <w:rsid w:val="0063176A"/>
    <w:rsid w:val="00631D8B"/>
    <w:rsid w:val="00631FFA"/>
    <w:rsid w:val="00632469"/>
    <w:rsid w:val="0063265E"/>
    <w:rsid w:val="00632CE1"/>
    <w:rsid w:val="00632D82"/>
    <w:rsid w:val="0063318B"/>
    <w:rsid w:val="00634002"/>
    <w:rsid w:val="00634063"/>
    <w:rsid w:val="0063471E"/>
    <w:rsid w:val="0063498C"/>
    <w:rsid w:val="00634D21"/>
    <w:rsid w:val="006351C8"/>
    <w:rsid w:val="00635295"/>
    <w:rsid w:val="006353DC"/>
    <w:rsid w:val="00635DC9"/>
    <w:rsid w:val="00636920"/>
    <w:rsid w:val="00637047"/>
    <w:rsid w:val="00637773"/>
    <w:rsid w:val="00637910"/>
    <w:rsid w:val="00637DA2"/>
    <w:rsid w:val="006400EB"/>
    <w:rsid w:val="00640232"/>
    <w:rsid w:val="00640826"/>
    <w:rsid w:val="006409BC"/>
    <w:rsid w:val="00640AF1"/>
    <w:rsid w:val="00641213"/>
    <w:rsid w:val="0064164E"/>
    <w:rsid w:val="006417A9"/>
    <w:rsid w:val="00641984"/>
    <w:rsid w:val="00641CE9"/>
    <w:rsid w:val="00641FD0"/>
    <w:rsid w:val="00642329"/>
    <w:rsid w:val="006424E6"/>
    <w:rsid w:val="006424FA"/>
    <w:rsid w:val="00642848"/>
    <w:rsid w:val="0064297F"/>
    <w:rsid w:val="00642EE5"/>
    <w:rsid w:val="00642FBC"/>
    <w:rsid w:val="006439B0"/>
    <w:rsid w:val="006439C6"/>
    <w:rsid w:val="00643AF8"/>
    <w:rsid w:val="00643DC2"/>
    <w:rsid w:val="00643E2D"/>
    <w:rsid w:val="006440F1"/>
    <w:rsid w:val="00644191"/>
    <w:rsid w:val="00644288"/>
    <w:rsid w:val="00644449"/>
    <w:rsid w:val="00644768"/>
    <w:rsid w:val="00644AB4"/>
    <w:rsid w:val="006451AC"/>
    <w:rsid w:val="00645366"/>
    <w:rsid w:val="0064549A"/>
    <w:rsid w:val="006455C7"/>
    <w:rsid w:val="0064683A"/>
    <w:rsid w:val="00646C5B"/>
    <w:rsid w:val="00646C7A"/>
    <w:rsid w:val="00646F5D"/>
    <w:rsid w:val="00647541"/>
    <w:rsid w:val="006477B7"/>
    <w:rsid w:val="00647C08"/>
    <w:rsid w:val="00647CBC"/>
    <w:rsid w:val="00647ECB"/>
    <w:rsid w:val="006505F1"/>
    <w:rsid w:val="006506F1"/>
    <w:rsid w:val="00650A28"/>
    <w:rsid w:val="00650BB4"/>
    <w:rsid w:val="00650D08"/>
    <w:rsid w:val="0065108C"/>
    <w:rsid w:val="00651339"/>
    <w:rsid w:val="0065140A"/>
    <w:rsid w:val="00651B08"/>
    <w:rsid w:val="00651E0E"/>
    <w:rsid w:val="00651FC8"/>
    <w:rsid w:val="006520C3"/>
    <w:rsid w:val="006521E4"/>
    <w:rsid w:val="00652501"/>
    <w:rsid w:val="00652A29"/>
    <w:rsid w:val="00652ED1"/>
    <w:rsid w:val="00652F72"/>
    <w:rsid w:val="006534F4"/>
    <w:rsid w:val="006536A1"/>
    <w:rsid w:val="00653AC0"/>
    <w:rsid w:val="00653AEA"/>
    <w:rsid w:val="00654392"/>
    <w:rsid w:val="0065444F"/>
    <w:rsid w:val="00654458"/>
    <w:rsid w:val="0065450F"/>
    <w:rsid w:val="0065472A"/>
    <w:rsid w:val="0065491F"/>
    <w:rsid w:val="00654986"/>
    <w:rsid w:val="00654C42"/>
    <w:rsid w:val="00654C47"/>
    <w:rsid w:val="00654E21"/>
    <w:rsid w:val="00654EC4"/>
    <w:rsid w:val="006554A3"/>
    <w:rsid w:val="00655B6F"/>
    <w:rsid w:val="00655DFA"/>
    <w:rsid w:val="00656016"/>
    <w:rsid w:val="00656240"/>
    <w:rsid w:val="006563E2"/>
    <w:rsid w:val="00656B8E"/>
    <w:rsid w:val="00656DE4"/>
    <w:rsid w:val="00656FD6"/>
    <w:rsid w:val="00657194"/>
    <w:rsid w:val="006574B2"/>
    <w:rsid w:val="006575BE"/>
    <w:rsid w:val="0065782E"/>
    <w:rsid w:val="00657B10"/>
    <w:rsid w:val="00657B68"/>
    <w:rsid w:val="00660050"/>
    <w:rsid w:val="006600C2"/>
    <w:rsid w:val="00660363"/>
    <w:rsid w:val="00660661"/>
    <w:rsid w:val="00660755"/>
    <w:rsid w:val="00660834"/>
    <w:rsid w:val="00660B60"/>
    <w:rsid w:val="00660C43"/>
    <w:rsid w:val="00661215"/>
    <w:rsid w:val="0066124E"/>
    <w:rsid w:val="0066175F"/>
    <w:rsid w:val="0066206B"/>
    <w:rsid w:val="0066244B"/>
    <w:rsid w:val="00662540"/>
    <w:rsid w:val="00662578"/>
    <w:rsid w:val="006625D6"/>
    <w:rsid w:val="006626D1"/>
    <w:rsid w:val="006627AA"/>
    <w:rsid w:val="00662FE3"/>
    <w:rsid w:val="00662FE5"/>
    <w:rsid w:val="006632F0"/>
    <w:rsid w:val="006639CF"/>
    <w:rsid w:val="00663D33"/>
    <w:rsid w:val="006642A4"/>
    <w:rsid w:val="00664336"/>
    <w:rsid w:val="006645A4"/>
    <w:rsid w:val="006646E0"/>
    <w:rsid w:val="00664812"/>
    <w:rsid w:val="006648CF"/>
    <w:rsid w:val="00664AE9"/>
    <w:rsid w:val="00664DED"/>
    <w:rsid w:val="006653E8"/>
    <w:rsid w:val="00665499"/>
    <w:rsid w:val="00665F71"/>
    <w:rsid w:val="006660BF"/>
    <w:rsid w:val="006664BC"/>
    <w:rsid w:val="006665C6"/>
    <w:rsid w:val="0066665D"/>
    <w:rsid w:val="006667E9"/>
    <w:rsid w:val="006667FE"/>
    <w:rsid w:val="00666B20"/>
    <w:rsid w:val="00666CB6"/>
    <w:rsid w:val="00666F1B"/>
    <w:rsid w:val="00666FE4"/>
    <w:rsid w:val="006674A3"/>
    <w:rsid w:val="00667A2D"/>
    <w:rsid w:val="00667E86"/>
    <w:rsid w:val="00667F15"/>
    <w:rsid w:val="00667F3F"/>
    <w:rsid w:val="006700FE"/>
    <w:rsid w:val="006703D4"/>
    <w:rsid w:val="006707DB"/>
    <w:rsid w:val="0067082D"/>
    <w:rsid w:val="00670A59"/>
    <w:rsid w:val="00670F6D"/>
    <w:rsid w:val="0067108F"/>
    <w:rsid w:val="00671240"/>
    <w:rsid w:val="006712C2"/>
    <w:rsid w:val="00671590"/>
    <w:rsid w:val="006717E2"/>
    <w:rsid w:val="00671AC5"/>
    <w:rsid w:val="00671C91"/>
    <w:rsid w:val="00671D8C"/>
    <w:rsid w:val="00671D96"/>
    <w:rsid w:val="00672EA9"/>
    <w:rsid w:val="006730CF"/>
    <w:rsid w:val="00673781"/>
    <w:rsid w:val="00673CEE"/>
    <w:rsid w:val="00673F18"/>
    <w:rsid w:val="00673F7D"/>
    <w:rsid w:val="00674808"/>
    <w:rsid w:val="00674F3B"/>
    <w:rsid w:val="00675544"/>
    <w:rsid w:val="00675555"/>
    <w:rsid w:val="00675637"/>
    <w:rsid w:val="00675759"/>
    <w:rsid w:val="00676065"/>
    <w:rsid w:val="00676274"/>
    <w:rsid w:val="00676773"/>
    <w:rsid w:val="00676D71"/>
    <w:rsid w:val="00677337"/>
    <w:rsid w:val="006773B9"/>
    <w:rsid w:val="00677F84"/>
    <w:rsid w:val="006800FF"/>
    <w:rsid w:val="00680166"/>
    <w:rsid w:val="006806CB"/>
    <w:rsid w:val="00680E9F"/>
    <w:rsid w:val="00681158"/>
    <w:rsid w:val="00681A81"/>
    <w:rsid w:val="00681C1C"/>
    <w:rsid w:val="00682194"/>
    <w:rsid w:val="0068246E"/>
    <w:rsid w:val="00682480"/>
    <w:rsid w:val="006827A5"/>
    <w:rsid w:val="00682AFA"/>
    <w:rsid w:val="00682BB1"/>
    <w:rsid w:val="00682D81"/>
    <w:rsid w:val="00682D98"/>
    <w:rsid w:val="00682DC6"/>
    <w:rsid w:val="00682DF9"/>
    <w:rsid w:val="00682FC5"/>
    <w:rsid w:val="00683174"/>
    <w:rsid w:val="00683633"/>
    <w:rsid w:val="00683951"/>
    <w:rsid w:val="006843AA"/>
    <w:rsid w:val="006846AA"/>
    <w:rsid w:val="00684809"/>
    <w:rsid w:val="00684865"/>
    <w:rsid w:val="00684AF4"/>
    <w:rsid w:val="0068540F"/>
    <w:rsid w:val="00685471"/>
    <w:rsid w:val="00685576"/>
    <w:rsid w:val="006857AC"/>
    <w:rsid w:val="006859F0"/>
    <w:rsid w:val="00685B4E"/>
    <w:rsid w:val="0068604E"/>
    <w:rsid w:val="00686454"/>
    <w:rsid w:val="006865A3"/>
    <w:rsid w:val="00686E1A"/>
    <w:rsid w:val="00686FD9"/>
    <w:rsid w:val="00687117"/>
    <w:rsid w:val="00687325"/>
    <w:rsid w:val="0068743A"/>
    <w:rsid w:val="0068770E"/>
    <w:rsid w:val="00690023"/>
    <w:rsid w:val="00690070"/>
    <w:rsid w:val="00690873"/>
    <w:rsid w:val="00690B6F"/>
    <w:rsid w:val="00691068"/>
    <w:rsid w:val="00691832"/>
    <w:rsid w:val="00691F95"/>
    <w:rsid w:val="00691F98"/>
    <w:rsid w:val="006923D0"/>
    <w:rsid w:val="00692400"/>
    <w:rsid w:val="006927D4"/>
    <w:rsid w:val="00692883"/>
    <w:rsid w:val="00692ADB"/>
    <w:rsid w:val="00693023"/>
    <w:rsid w:val="006933C1"/>
    <w:rsid w:val="00693B79"/>
    <w:rsid w:val="00693C9D"/>
    <w:rsid w:val="00694218"/>
    <w:rsid w:val="00694354"/>
    <w:rsid w:val="00694510"/>
    <w:rsid w:val="006946B2"/>
    <w:rsid w:val="00694C93"/>
    <w:rsid w:val="00694E5B"/>
    <w:rsid w:val="006950EF"/>
    <w:rsid w:val="006953D9"/>
    <w:rsid w:val="006953FD"/>
    <w:rsid w:val="00695509"/>
    <w:rsid w:val="006955F3"/>
    <w:rsid w:val="00695B7B"/>
    <w:rsid w:val="00695E2D"/>
    <w:rsid w:val="0069612F"/>
    <w:rsid w:val="0069617B"/>
    <w:rsid w:val="00696230"/>
    <w:rsid w:val="0069624C"/>
    <w:rsid w:val="00696363"/>
    <w:rsid w:val="006965E9"/>
    <w:rsid w:val="0069685F"/>
    <w:rsid w:val="0069690B"/>
    <w:rsid w:val="00696FF4"/>
    <w:rsid w:val="006971D1"/>
    <w:rsid w:val="006972CA"/>
    <w:rsid w:val="006978EA"/>
    <w:rsid w:val="006979C4"/>
    <w:rsid w:val="00697BAC"/>
    <w:rsid w:val="00697CBF"/>
    <w:rsid w:val="00697F39"/>
    <w:rsid w:val="006A0110"/>
    <w:rsid w:val="006A0226"/>
    <w:rsid w:val="006A0323"/>
    <w:rsid w:val="006A0607"/>
    <w:rsid w:val="006A0AA4"/>
    <w:rsid w:val="006A14CB"/>
    <w:rsid w:val="006A175D"/>
    <w:rsid w:val="006A1C00"/>
    <w:rsid w:val="006A1C01"/>
    <w:rsid w:val="006A20B1"/>
    <w:rsid w:val="006A234C"/>
    <w:rsid w:val="006A2E30"/>
    <w:rsid w:val="006A321F"/>
    <w:rsid w:val="006A4657"/>
    <w:rsid w:val="006A46D5"/>
    <w:rsid w:val="006A4732"/>
    <w:rsid w:val="006A479A"/>
    <w:rsid w:val="006A480C"/>
    <w:rsid w:val="006A4BA2"/>
    <w:rsid w:val="006A4C92"/>
    <w:rsid w:val="006A5231"/>
    <w:rsid w:val="006A54D9"/>
    <w:rsid w:val="006A5C4F"/>
    <w:rsid w:val="006A6585"/>
    <w:rsid w:val="006A67F0"/>
    <w:rsid w:val="006A72DF"/>
    <w:rsid w:val="006A7654"/>
    <w:rsid w:val="006A79D0"/>
    <w:rsid w:val="006B0056"/>
    <w:rsid w:val="006B016E"/>
    <w:rsid w:val="006B04E0"/>
    <w:rsid w:val="006B131C"/>
    <w:rsid w:val="006B1596"/>
    <w:rsid w:val="006B1638"/>
    <w:rsid w:val="006B165E"/>
    <w:rsid w:val="006B16BD"/>
    <w:rsid w:val="006B16BF"/>
    <w:rsid w:val="006B16CC"/>
    <w:rsid w:val="006B198D"/>
    <w:rsid w:val="006B1A15"/>
    <w:rsid w:val="006B22CA"/>
    <w:rsid w:val="006B24B2"/>
    <w:rsid w:val="006B2504"/>
    <w:rsid w:val="006B264C"/>
    <w:rsid w:val="006B2BAA"/>
    <w:rsid w:val="006B2D4B"/>
    <w:rsid w:val="006B3178"/>
    <w:rsid w:val="006B31C1"/>
    <w:rsid w:val="006B3372"/>
    <w:rsid w:val="006B3425"/>
    <w:rsid w:val="006B37FD"/>
    <w:rsid w:val="006B4240"/>
    <w:rsid w:val="006B4A6D"/>
    <w:rsid w:val="006B4BFC"/>
    <w:rsid w:val="006B4DA9"/>
    <w:rsid w:val="006B4FA2"/>
    <w:rsid w:val="006B5538"/>
    <w:rsid w:val="006B5621"/>
    <w:rsid w:val="006B5DC9"/>
    <w:rsid w:val="006B611A"/>
    <w:rsid w:val="006B626E"/>
    <w:rsid w:val="006B6AEF"/>
    <w:rsid w:val="006B6C81"/>
    <w:rsid w:val="006B74F4"/>
    <w:rsid w:val="006B754D"/>
    <w:rsid w:val="006B774A"/>
    <w:rsid w:val="006B7961"/>
    <w:rsid w:val="006B7A81"/>
    <w:rsid w:val="006B7C15"/>
    <w:rsid w:val="006B7F7F"/>
    <w:rsid w:val="006C04E5"/>
    <w:rsid w:val="006C0AAB"/>
    <w:rsid w:val="006C0B12"/>
    <w:rsid w:val="006C0DBE"/>
    <w:rsid w:val="006C0F22"/>
    <w:rsid w:val="006C108B"/>
    <w:rsid w:val="006C10EE"/>
    <w:rsid w:val="006C10EF"/>
    <w:rsid w:val="006C115E"/>
    <w:rsid w:val="006C1290"/>
    <w:rsid w:val="006C1935"/>
    <w:rsid w:val="006C1A59"/>
    <w:rsid w:val="006C20E3"/>
    <w:rsid w:val="006C2381"/>
    <w:rsid w:val="006C2914"/>
    <w:rsid w:val="006C29A6"/>
    <w:rsid w:val="006C2C3B"/>
    <w:rsid w:val="006C2FA1"/>
    <w:rsid w:val="006C3304"/>
    <w:rsid w:val="006C359E"/>
    <w:rsid w:val="006C3925"/>
    <w:rsid w:val="006C3AC9"/>
    <w:rsid w:val="006C3E0F"/>
    <w:rsid w:val="006C4120"/>
    <w:rsid w:val="006C42A8"/>
    <w:rsid w:val="006C4676"/>
    <w:rsid w:val="006C46CF"/>
    <w:rsid w:val="006C4B58"/>
    <w:rsid w:val="006C56FF"/>
    <w:rsid w:val="006C5824"/>
    <w:rsid w:val="006C586E"/>
    <w:rsid w:val="006C5A1C"/>
    <w:rsid w:val="006C5B02"/>
    <w:rsid w:val="006C5E7B"/>
    <w:rsid w:val="006C5EDD"/>
    <w:rsid w:val="006C6243"/>
    <w:rsid w:val="006C63C5"/>
    <w:rsid w:val="006C658B"/>
    <w:rsid w:val="006C68A1"/>
    <w:rsid w:val="006C694E"/>
    <w:rsid w:val="006C697D"/>
    <w:rsid w:val="006C6A49"/>
    <w:rsid w:val="006C6A67"/>
    <w:rsid w:val="006C6F24"/>
    <w:rsid w:val="006C75E0"/>
    <w:rsid w:val="006C7EAA"/>
    <w:rsid w:val="006D0479"/>
    <w:rsid w:val="006D09DE"/>
    <w:rsid w:val="006D0FD7"/>
    <w:rsid w:val="006D0FE0"/>
    <w:rsid w:val="006D1006"/>
    <w:rsid w:val="006D1051"/>
    <w:rsid w:val="006D14FC"/>
    <w:rsid w:val="006D1873"/>
    <w:rsid w:val="006D18FD"/>
    <w:rsid w:val="006D1A0A"/>
    <w:rsid w:val="006D1EF7"/>
    <w:rsid w:val="006D21FC"/>
    <w:rsid w:val="006D2610"/>
    <w:rsid w:val="006D26E1"/>
    <w:rsid w:val="006D274A"/>
    <w:rsid w:val="006D2D69"/>
    <w:rsid w:val="006D2D88"/>
    <w:rsid w:val="006D2DBC"/>
    <w:rsid w:val="006D2EAC"/>
    <w:rsid w:val="006D324A"/>
    <w:rsid w:val="006D348C"/>
    <w:rsid w:val="006D36D8"/>
    <w:rsid w:val="006D388F"/>
    <w:rsid w:val="006D3F56"/>
    <w:rsid w:val="006D3F6C"/>
    <w:rsid w:val="006D4192"/>
    <w:rsid w:val="006D4509"/>
    <w:rsid w:val="006D4619"/>
    <w:rsid w:val="006D46EA"/>
    <w:rsid w:val="006D4794"/>
    <w:rsid w:val="006D47B1"/>
    <w:rsid w:val="006D47C7"/>
    <w:rsid w:val="006D4833"/>
    <w:rsid w:val="006D4C58"/>
    <w:rsid w:val="006D50D9"/>
    <w:rsid w:val="006D522D"/>
    <w:rsid w:val="006D58F5"/>
    <w:rsid w:val="006D59AC"/>
    <w:rsid w:val="006D5F41"/>
    <w:rsid w:val="006D5F59"/>
    <w:rsid w:val="006D5F6F"/>
    <w:rsid w:val="006D5FE3"/>
    <w:rsid w:val="006D60F7"/>
    <w:rsid w:val="006D61B8"/>
    <w:rsid w:val="006D61F7"/>
    <w:rsid w:val="006D63B0"/>
    <w:rsid w:val="006D6AC5"/>
    <w:rsid w:val="006D6C92"/>
    <w:rsid w:val="006D71D5"/>
    <w:rsid w:val="006D73D7"/>
    <w:rsid w:val="006D74EB"/>
    <w:rsid w:val="006D7CD5"/>
    <w:rsid w:val="006E0199"/>
    <w:rsid w:val="006E0294"/>
    <w:rsid w:val="006E0CF4"/>
    <w:rsid w:val="006E0DDF"/>
    <w:rsid w:val="006E0F94"/>
    <w:rsid w:val="006E107C"/>
    <w:rsid w:val="006E1366"/>
    <w:rsid w:val="006E13F5"/>
    <w:rsid w:val="006E195B"/>
    <w:rsid w:val="006E1A12"/>
    <w:rsid w:val="006E2283"/>
    <w:rsid w:val="006E2917"/>
    <w:rsid w:val="006E2B7F"/>
    <w:rsid w:val="006E2D19"/>
    <w:rsid w:val="006E33B3"/>
    <w:rsid w:val="006E3463"/>
    <w:rsid w:val="006E34B5"/>
    <w:rsid w:val="006E350B"/>
    <w:rsid w:val="006E351A"/>
    <w:rsid w:val="006E36F7"/>
    <w:rsid w:val="006E3700"/>
    <w:rsid w:val="006E3B6E"/>
    <w:rsid w:val="006E3D74"/>
    <w:rsid w:val="006E3E0C"/>
    <w:rsid w:val="006E405C"/>
    <w:rsid w:val="006E428C"/>
    <w:rsid w:val="006E43FC"/>
    <w:rsid w:val="006E4D2C"/>
    <w:rsid w:val="006E56CF"/>
    <w:rsid w:val="006E56D5"/>
    <w:rsid w:val="006E5786"/>
    <w:rsid w:val="006E5D6C"/>
    <w:rsid w:val="006E5DFA"/>
    <w:rsid w:val="006E60C3"/>
    <w:rsid w:val="006E629D"/>
    <w:rsid w:val="006E6719"/>
    <w:rsid w:val="006E6844"/>
    <w:rsid w:val="006E69C2"/>
    <w:rsid w:val="006E6D18"/>
    <w:rsid w:val="006E6DE8"/>
    <w:rsid w:val="006E708B"/>
    <w:rsid w:val="006E7182"/>
    <w:rsid w:val="006E72A3"/>
    <w:rsid w:val="006E7963"/>
    <w:rsid w:val="006E7B19"/>
    <w:rsid w:val="006E7B79"/>
    <w:rsid w:val="006E7C6B"/>
    <w:rsid w:val="006F0185"/>
    <w:rsid w:val="006F0201"/>
    <w:rsid w:val="006F0978"/>
    <w:rsid w:val="006F0BA8"/>
    <w:rsid w:val="006F106E"/>
    <w:rsid w:val="006F1084"/>
    <w:rsid w:val="006F10C2"/>
    <w:rsid w:val="006F114B"/>
    <w:rsid w:val="006F1182"/>
    <w:rsid w:val="006F12B0"/>
    <w:rsid w:val="006F143D"/>
    <w:rsid w:val="006F1470"/>
    <w:rsid w:val="006F15AD"/>
    <w:rsid w:val="006F197B"/>
    <w:rsid w:val="006F1B6A"/>
    <w:rsid w:val="006F1E86"/>
    <w:rsid w:val="006F23AD"/>
    <w:rsid w:val="006F286F"/>
    <w:rsid w:val="006F2BE9"/>
    <w:rsid w:val="006F2EF6"/>
    <w:rsid w:val="006F38A5"/>
    <w:rsid w:val="006F39CD"/>
    <w:rsid w:val="006F3EE7"/>
    <w:rsid w:val="006F3F4F"/>
    <w:rsid w:val="006F45D2"/>
    <w:rsid w:val="006F4B42"/>
    <w:rsid w:val="006F506A"/>
    <w:rsid w:val="006F51AB"/>
    <w:rsid w:val="006F53C8"/>
    <w:rsid w:val="006F56A7"/>
    <w:rsid w:val="006F575E"/>
    <w:rsid w:val="006F5929"/>
    <w:rsid w:val="006F5BE4"/>
    <w:rsid w:val="006F5E3D"/>
    <w:rsid w:val="006F6B0F"/>
    <w:rsid w:val="006F6E7B"/>
    <w:rsid w:val="006F70BF"/>
    <w:rsid w:val="006F7795"/>
    <w:rsid w:val="00700C33"/>
    <w:rsid w:val="00700DFA"/>
    <w:rsid w:val="007013B5"/>
    <w:rsid w:val="00701460"/>
    <w:rsid w:val="007015C2"/>
    <w:rsid w:val="007015EB"/>
    <w:rsid w:val="0070182E"/>
    <w:rsid w:val="00701BEA"/>
    <w:rsid w:val="00701CC5"/>
    <w:rsid w:val="00702289"/>
    <w:rsid w:val="0070246A"/>
    <w:rsid w:val="007024A4"/>
    <w:rsid w:val="007024F8"/>
    <w:rsid w:val="00702598"/>
    <w:rsid w:val="00702940"/>
    <w:rsid w:val="00702D57"/>
    <w:rsid w:val="00702EDD"/>
    <w:rsid w:val="00702EDF"/>
    <w:rsid w:val="007031BB"/>
    <w:rsid w:val="007035CD"/>
    <w:rsid w:val="0070360D"/>
    <w:rsid w:val="00703BAF"/>
    <w:rsid w:val="00703DD6"/>
    <w:rsid w:val="007040A1"/>
    <w:rsid w:val="007040F9"/>
    <w:rsid w:val="00704872"/>
    <w:rsid w:val="0070488E"/>
    <w:rsid w:val="00704979"/>
    <w:rsid w:val="00704F47"/>
    <w:rsid w:val="00705366"/>
    <w:rsid w:val="0070560B"/>
    <w:rsid w:val="00705E8C"/>
    <w:rsid w:val="00705EDB"/>
    <w:rsid w:val="007063B7"/>
    <w:rsid w:val="007063E5"/>
    <w:rsid w:val="007063F0"/>
    <w:rsid w:val="0070648D"/>
    <w:rsid w:val="00706B73"/>
    <w:rsid w:val="00706C04"/>
    <w:rsid w:val="00706D33"/>
    <w:rsid w:val="00706E1D"/>
    <w:rsid w:val="00706E56"/>
    <w:rsid w:val="00706F43"/>
    <w:rsid w:val="007072A3"/>
    <w:rsid w:val="00707677"/>
    <w:rsid w:val="00707724"/>
    <w:rsid w:val="007079BB"/>
    <w:rsid w:val="007100F0"/>
    <w:rsid w:val="007103B7"/>
    <w:rsid w:val="007106EC"/>
    <w:rsid w:val="00710D03"/>
    <w:rsid w:val="00710D25"/>
    <w:rsid w:val="00710E95"/>
    <w:rsid w:val="007114C2"/>
    <w:rsid w:val="00711513"/>
    <w:rsid w:val="00711773"/>
    <w:rsid w:val="0071189D"/>
    <w:rsid w:val="007121A7"/>
    <w:rsid w:val="007121E6"/>
    <w:rsid w:val="00712581"/>
    <w:rsid w:val="00712AB8"/>
    <w:rsid w:val="00712E52"/>
    <w:rsid w:val="00713998"/>
    <w:rsid w:val="00713AE0"/>
    <w:rsid w:val="00713C12"/>
    <w:rsid w:val="00714702"/>
    <w:rsid w:val="0071536A"/>
    <w:rsid w:val="0071562C"/>
    <w:rsid w:val="007156E3"/>
    <w:rsid w:val="00715AFB"/>
    <w:rsid w:val="00715B49"/>
    <w:rsid w:val="00715DBE"/>
    <w:rsid w:val="00715E6A"/>
    <w:rsid w:val="0071615E"/>
    <w:rsid w:val="00716464"/>
    <w:rsid w:val="00716548"/>
    <w:rsid w:val="00716561"/>
    <w:rsid w:val="007165EB"/>
    <w:rsid w:val="00716809"/>
    <w:rsid w:val="007169B2"/>
    <w:rsid w:val="007169CC"/>
    <w:rsid w:val="00716A51"/>
    <w:rsid w:val="00717057"/>
    <w:rsid w:val="00717088"/>
    <w:rsid w:val="00717C8B"/>
    <w:rsid w:val="00717E45"/>
    <w:rsid w:val="00717EBF"/>
    <w:rsid w:val="00717F0F"/>
    <w:rsid w:val="00717F82"/>
    <w:rsid w:val="00720014"/>
    <w:rsid w:val="007200FB"/>
    <w:rsid w:val="00720DC5"/>
    <w:rsid w:val="00720E57"/>
    <w:rsid w:val="007216BE"/>
    <w:rsid w:val="00721A90"/>
    <w:rsid w:val="0072217F"/>
    <w:rsid w:val="0072229E"/>
    <w:rsid w:val="007223AB"/>
    <w:rsid w:val="0072253C"/>
    <w:rsid w:val="00722C40"/>
    <w:rsid w:val="00722DDF"/>
    <w:rsid w:val="0072306B"/>
    <w:rsid w:val="007232E8"/>
    <w:rsid w:val="00723779"/>
    <w:rsid w:val="007238AA"/>
    <w:rsid w:val="00723C33"/>
    <w:rsid w:val="007240BF"/>
    <w:rsid w:val="00724231"/>
    <w:rsid w:val="007242D2"/>
    <w:rsid w:val="007247F4"/>
    <w:rsid w:val="00724A94"/>
    <w:rsid w:val="00724DE6"/>
    <w:rsid w:val="00725124"/>
    <w:rsid w:val="007253CD"/>
    <w:rsid w:val="0072579A"/>
    <w:rsid w:val="00725978"/>
    <w:rsid w:val="00726060"/>
    <w:rsid w:val="0072621F"/>
    <w:rsid w:val="007262A0"/>
    <w:rsid w:val="00726441"/>
    <w:rsid w:val="0072669F"/>
    <w:rsid w:val="00726DAE"/>
    <w:rsid w:val="0072709C"/>
    <w:rsid w:val="0072759F"/>
    <w:rsid w:val="00727AB7"/>
    <w:rsid w:val="00727B97"/>
    <w:rsid w:val="0073004B"/>
    <w:rsid w:val="0073005F"/>
    <w:rsid w:val="00730197"/>
    <w:rsid w:val="00730BD5"/>
    <w:rsid w:val="00730BE2"/>
    <w:rsid w:val="00730D96"/>
    <w:rsid w:val="0073101C"/>
    <w:rsid w:val="0073130A"/>
    <w:rsid w:val="00731310"/>
    <w:rsid w:val="0073134B"/>
    <w:rsid w:val="00731CC0"/>
    <w:rsid w:val="00731FE5"/>
    <w:rsid w:val="00732137"/>
    <w:rsid w:val="007321BD"/>
    <w:rsid w:val="00732224"/>
    <w:rsid w:val="00732FD6"/>
    <w:rsid w:val="0073385A"/>
    <w:rsid w:val="00733D84"/>
    <w:rsid w:val="00733EB3"/>
    <w:rsid w:val="007340DA"/>
    <w:rsid w:val="0073433B"/>
    <w:rsid w:val="00734378"/>
    <w:rsid w:val="007343A6"/>
    <w:rsid w:val="007344F1"/>
    <w:rsid w:val="00734AA0"/>
    <w:rsid w:val="00734B85"/>
    <w:rsid w:val="00734C96"/>
    <w:rsid w:val="00734E38"/>
    <w:rsid w:val="00734EF6"/>
    <w:rsid w:val="00735077"/>
    <w:rsid w:val="00735184"/>
    <w:rsid w:val="007354A3"/>
    <w:rsid w:val="007354C6"/>
    <w:rsid w:val="00735984"/>
    <w:rsid w:val="007359D2"/>
    <w:rsid w:val="00735CC1"/>
    <w:rsid w:val="0073644F"/>
    <w:rsid w:val="00736528"/>
    <w:rsid w:val="00737F4E"/>
    <w:rsid w:val="00737F77"/>
    <w:rsid w:val="00740095"/>
    <w:rsid w:val="0074024D"/>
    <w:rsid w:val="007402EA"/>
    <w:rsid w:val="00740302"/>
    <w:rsid w:val="007405B0"/>
    <w:rsid w:val="007408AE"/>
    <w:rsid w:val="007410B5"/>
    <w:rsid w:val="00741625"/>
    <w:rsid w:val="007419CC"/>
    <w:rsid w:val="00741A8F"/>
    <w:rsid w:val="00741CD3"/>
    <w:rsid w:val="00741F81"/>
    <w:rsid w:val="007424C5"/>
    <w:rsid w:val="00742FE6"/>
    <w:rsid w:val="00743460"/>
    <w:rsid w:val="00743471"/>
    <w:rsid w:val="00743475"/>
    <w:rsid w:val="0074364E"/>
    <w:rsid w:val="007436B0"/>
    <w:rsid w:val="007441AE"/>
    <w:rsid w:val="007443EE"/>
    <w:rsid w:val="00744506"/>
    <w:rsid w:val="0074465B"/>
    <w:rsid w:val="00744A70"/>
    <w:rsid w:val="007466AB"/>
    <w:rsid w:val="00746C0A"/>
    <w:rsid w:val="00746CAD"/>
    <w:rsid w:val="00746D3B"/>
    <w:rsid w:val="00747173"/>
    <w:rsid w:val="00747194"/>
    <w:rsid w:val="00747227"/>
    <w:rsid w:val="007473E5"/>
    <w:rsid w:val="00747770"/>
    <w:rsid w:val="007478FC"/>
    <w:rsid w:val="00747981"/>
    <w:rsid w:val="007479BF"/>
    <w:rsid w:val="00750072"/>
    <w:rsid w:val="0075021C"/>
    <w:rsid w:val="00750376"/>
    <w:rsid w:val="00750640"/>
    <w:rsid w:val="00750B1D"/>
    <w:rsid w:val="00750BEF"/>
    <w:rsid w:val="00750E2F"/>
    <w:rsid w:val="00751133"/>
    <w:rsid w:val="00751175"/>
    <w:rsid w:val="007512FA"/>
    <w:rsid w:val="00751327"/>
    <w:rsid w:val="007517D2"/>
    <w:rsid w:val="00751E38"/>
    <w:rsid w:val="00751F25"/>
    <w:rsid w:val="00751F3F"/>
    <w:rsid w:val="00752020"/>
    <w:rsid w:val="0075271E"/>
    <w:rsid w:val="00752D92"/>
    <w:rsid w:val="00753186"/>
    <w:rsid w:val="007533ED"/>
    <w:rsid w:val="00753515"/>
    <w:rsid w:val="0075359F"/>
    <w:rsid w:val="007545DF"/>
    <w:rsid w:val="007546B2"/>
    <w:rsid w:val="0075489D"/>
    <w:rsid w:val="00754C23"/>
    <w:rsid w:val="00754E08"/>
    <w:rsid w:val="00755040"/>
    <w:rsid w:val="00755384"/>
    <w:rsid w:val="00755475"/>
    <w:rsid w:val="007558F5"/>
    <w:rsid w:val="00755925"/>
    <w:rsid w:val="00755931"/>
    <w:rsid w:val="00755E71"/>
    <w:rsid w:val="0075609E"/>
    <w:rsid w:val="00756E36"/>
    <w:rsid w:val="0075728A"/>
    <w:rsid w:val="007572EE"/>
    <w:rsid w:val="00757413"/>
    <w:rsid w:val="00757426"/>
    <w:rsid w:val="007576C8"/>
    <w:rsid w:val="007577AF"/>
    <w:rsid w:val="00757DC0"/>
    <w:rsid w:val="00757FF0"/>
    <w:rsid w:val="007602C6"/>
    <w:rsid w:val="007605D9"/>
    <w:rsid w:val="00760CA7"/>
    <w:rsid w:val="007610C3"/>
    <w:rsid w:val="0076170F"/>
    <w:rsid w:val="00761C9B"/>
    <w:rsid w:val="00762120"/>
    <w:rsid w:val="00762152"/>
    <w:rsid w:val="00762218"/>
    <w:rsid w:val="007622F9"/>
    <w:rsid w:val="007623C8"/>
    <w:rsid w:val="007623C9"/>
    <w:rsid w:val="00762A88"/>
    <w:rsid w:val="00762C6D"/>
    <w:rsid w:val="007632EE"/>
    <w:rsid w:val="00763469"/>
    <w:rsid w:val="0076359F"/>
    <w:rsid w:val="0076367F"/>
    <w:rsid w:val="007637B2"/>
    <w:rsid w:val="007637B5"/>
    <w:rsid w:val="00763D86"/>
    <w:rsid w:val="00763DB1"/>
    <w:rsid w:val="007640AF"/>
    <w:rsid w:val="007642AF"/>
    <w:rsid w:val="007642B7"/>
    <w:rsid w:val="0076482A"/>
    <w:rsid w:val="00764FAE"/>
    <w:rsid w:val="00765100"/>
    <w:rsid w:val="007654AD"/>
    <w:rsid w:val="00765697"/>
    <w:rsid w:val="00765764"/>
    <w:rsid w:val="007658BD"/>
    <w:rsid w:val="00765950"/>
    <w:rsid w:val="00765A14"/>
    <w:rsid w:val="00765E68"/>
    <w:rsid w:val="0076611A"/>
    <w:rsid w:val="00766172"/>
    <w:rsid w:val="007664AF"/>
    <w:rsid w:val="0076685B"/>
    <w:rsid w:val="00766B03"/>
    <w:rsid w:val="00766D47"/>
    <w:rsid w:val="00766E29"/>
    <w:rsid w:val="00767552"/>
    <w:rsid w:val="00767653"/>
    <w:rsid w:val="00767A0A"/>
    <w:rsid w:val="00767CA3"/>
    <w:rsid w:val="00767E36"/>
    <w:rsid w:val="00767F44"/>
    <w:rsid w:val="00770309"/>
    <w:rsid w:val="0077061B"/>
    <w:rsid w:val="00770867"/>
    <w:rsid w:val="007709C1"/>
    <w:rsid w:val="00770BFE"/>
    <w:rsid w:val="0077140F"/>
    <w:rsid w:val="00771637"/>
    <w:rsid w:val="007716AE"/>
    <w:rsid w:val="0077177B"/>
    <w:rsid w:val="007718A4"/>
    <w:rsid w:val="00771F91"/>
    <w:rsid w:val="007720A5"/>
    <w:rsid w:val="007725AD"/>
    <w:rsid w:val="007725BE"/>
    <w:rsid w:val="007727F8"/>
    <w:rsid w:val="00772896"/>
    <w:rsid w:val="00772B3F"/>
    <w:rsid w:val="00772BB5"/>
    <w:rsid w:val="00772CAE"/>
    <w:rsid w:val="00772FBD"/>
    <w:rsid w:val="007730E1"/>
    <w:rsid w:val="007733C7"/>
    <w:rsid w:val="007733CF"/>
    <w:rsid w:val="0077356B"/>
    <w:rsid w:val="007739C1"/>
    <w:rsid w:val="00773A3A"/>
    <w:rsid w:val="00773AB9"/>
    <w:rsid w:val="00773C11"/>
    <w:rsid w:val="00773E0F"/>
    <w:rsid w:val="00774624"/>
    <w:rsid w:val="0077466D"/>
    <w:rsid w:val="00774C2A"/>
    <w:rsid w:val="00774EF6"/>
    <w:rsid w:val="007754B1"/>
    <w:rsid w:val="007756BE"/>
    <w:rsid w:val="00775B8F"/>
    <w:rsid w:val="00775CB0"/>
    <w:rsid w:val="00775CBF"/>
    <w:rsid w:val="007760AE"/>
    <w:rsid w:val="007760E3"/>
    <w:rsid w:val="007763DE"/>
    <w:rsid w:val="0077672A"/>
    <w:rsid w:val="00776AE4"/>
    <w:rsid w:val="00776CC1"/>
    <w:rsid w:val="007772A4"/>
    <w:rsid w:val="0077739F"/>
    <w:rsid w:val="007773E0"/>
    <w:rsid w:val="00777C41"/>
    <w:rsid w:val="00777D1D"/>
    <w:rsid w:val="00780965"/>
    <w:rsid w:val="00780EC2"/>
    <w:rsid w:val="00780F81"/>
    <w:rsid w:val="00780FE1"/>
    <w:rsid w:val="007810C1"/>
    <w:rsid w:val="007814EB"/>
    <w:rsid w:val="007818E7"/>
    <w:rsid w:val="0078190F"/>
    <w:rsid w:val="00781932"/>
    <w:rsid w:val="00781D48"/>
    <w:rsid w:val="00781F7A"/>
    <w:rsid w:val="00782538"/>
    <w:rsid w:val="007829D7"/>
    <w:rsid w:val="00782B30"/>
    <w:rsid w:val="00782B94"/>
    <w:rsid w:val="00782C22"/>
    <w:rsid w:val="00782CF5"/>
    <w:rsid w:val="00783297"/>
    <w:rsid w:val="00783471"/>
    <w:rsid w:val="00783782"/>
    <w:rsid w:val="007838BF"/>
    <w:rsid w:val="0078391C"/>
    <w:rsid w:val="00783B59"/>
    <w:rsid w:val="00783DB7"/>
    <w:rsid w:val="00783F0A"/>
    <w:rsid w:val="00784394"/>
    <w:rsid w:val="007843DC"/>
    <w:rsid w:val="00784587"/>
    <w:rsid w:val="0078491E"/>
    <w:rsid w:val="00784A10"/>
    <w:rsid w:val="00784D00"/>
    <w:rsid w:val="00784EAC"/>
    <w:rsid w:val="00785325"/>
    <w:rsid w:val="007853BD"/>
    <w:rsid w:val="00785B84"/>
    <w:rsid w:val="00786012"/>
    <w:rsid w:val="007864B7"/>
    <w:rsid w:val="00786875"/>
    <w:rsid w:val="00786C93"/>
    <w:rsid w:val="0078720E"/>
    <w:rsid w:val="007873BD"/>
    <w:rsid w:val="0078760B"/>
    <w:rsid w:val="007877C6"/>
    <w:rsid w:val="00787997"/>
    <w:rsid w:val="00787A04"/>
    <w:rsid w:val="007902A1"/>
    <w:rsid w:val="0079047E"/>
    <w:rsid w:val="00790D24"/>
    <w:rsid w:val="00790DAA"/>
    <w:rsid w:val="00790DB8"/>
    <w:rsid w:val="00790EBE"/>
    <w:rsid w:val="007913AB"/>
    <w:rsid w:val="0079145E"/>
    <w:rsid w:val="007914D9"/>
    <w:rsid w:val="00791708"/>
    <w:rsid w:val="00791875"/>
    <w:rsid w:val="007919DF"/>
    <w:rsid w:val="00791E01"/>
    <w:rsid w:val="007924AD"/>
    <w:rsid w:val="00792790"/>
    <w:rsid w:val="00792D0B"/>
    <w:rsid w:val="00792DBE"/>
    <w:rsid w:val="00792FA9"/>
    <w:rsid w:val="00793022"/>
    <w:rsid w:val="0079331C"/>
    <w:rsid w:val="0079351D"/>
    <w:rsid w:val="00793942"/>
    <w:rsid w:val="00793B5A"/>
    <w:rsid w:val="00793B65"/>
    <w:rsid w:val="007941CE"/>
    <w:rsid w:val="00794463"/>
    <w:rsid w:val="007946B0"/>
    <w:rsid w:val="0079496E"/>
    <w:rsid w:val="0079498B"/>
    <w:rsid w:val="00794B3E"/>
    <w:rsid w:val="007959CA"/>
    <w:rsid w:val="00795D70"/>
    <w:rsid w:val="00796148"/>
    <w:rsid w:val="007966E6"/>
    <w:rsid w:val="00797241"/>
    <w:rsid w:val="007973EC"/>
    <w:rsid w:val="007973F2"/>
    <w:rsid w:val="0079757D"/>
    <w:rsid w:val="007A01B6"/>
    <w:rsid w:val="007A01D2"/>
    <w:rsid w:val="007A0BDB"/>
    <w:rsid w:val="007A0EDC"/>
    <w:rsid w:val="007A1201"/>
    <w:rsid w:val="007A1451"/>
    <w:rsid w:val="007A16EA"/>
    <w:rsid w:val="007A1F1F"/>
    <w:rsid w:val="007A269A"/>
    <w:rsid w:val="007A2D1B"/>
    <w:rsid w:val="007A2FCD"/>
    <w:rsid w:val="007A33C1"/>
    <w:rsid w:val="007A34CA"/>
    <w:rsid w:val="007A367A"/>
    <w:rsid w:val="007A3B02"/>
    <w:rsid w:val="007A3BE6"/>
    <w:rsid w:val="007A3D2D"/>
    <w:rsid w:val="007A449B"/>
    <w:rsid w:val="007A4C79"/>
    <w:rsid w:val="007A4DFD"/>
    <w:rsid w:val="007A5278"/>
    <w:rsid w:val="007A6050"/>
    <w:rsid w:val="007A6202"/>
    <w:rsid w:val="007A64D3"/>
    <w:rsid w:val="007A6F01"/>
    <w:rsid w:val="007A738E"/>
    <w:rsid w:val="007A744A"/>
    <w:rsid w:val="007A77A5"/>
    <w:rsid w:val="007A7B22"/>
    <w:rsid w:val="007A7B64"/>
    <w:rsid w:val="007A7BD3"/>
    <w:rsid w:val="007B0382"/>
    <w:rsid w:val="007B03F3"/>
    <w:rsid w:val="007B0697"/>
    <w:rsid w:val="007B0726"/>
    <w:rsid w:val="007B0BB0"/>
    <w:rsid w:val="007B0CB0"/>
    <w:rsid w:val="007B0E26"/>
    <w:rsid w:val="007B0EC4"/>
    <w:rsid w:val="007B10C5"/>
    <w:rsid w:val="007B1242"/>
    <w:rsid w:val="007B13A7"/>
    <w:rsid w:val="007B1461"/>
    <w:rsid w:val="007B188D"/>
    <w:rsid w:val="007B1B95"/>
    <w:rsid w:val="007B2338"/>
    <w:rsid w:val="007B236A"/>
    <w:rsid w:val="007B24F1"/>
    <w:rsid w:val="007B2598"/>
    <w:rsid w:val="007B278D"/>
    <w:rsid w:val="007B27AF"/>
    <w:rsid w:val="007B29A7"/>
    <w:rsid w:val="007B2C31"/>
    <w:rsid w:val="007B2F68"/>
    <w:rsid w:val="007B3049"/>
    <w:rsid w:val="007B3384"/>
    <w:rsid w:val="007B3E21"/>
    <w:rsid w:val="007B3F39"/>
    <w:rsid w:val="007B3FE0"/>
    <w:rsid w:val="007B4303"/>
    <w:rsid w:val="007B43EA"/>
    <w:rsid w:val="007B47A2"/>
    <w:rsid w:val="007B4A8E"/>
    <w:rsid w:val="007B5A51"/>
    <w:rsid w:val="007B5E3C"/>
    <w:rsid w:val="007B5FD9"/>
    <w:rsid w:val="007B665A"/>
    <w:rsid w:val="007B66ED"/>
    <w:rsid w:val="007B68D9"/>
    <w:rsid w:val="007B6963"/>
    <w:rsid w:val="007B6C89"/>
    <w:rsid w:val="007B7131"/>
    <w:rsid w:val="007B71FA"/>
    <w:rsid w:val="007B7811"/>
    <w:rsid w:val="007B78F2"/>
    <w:rsid w:val="007B794C"/>
    <w:rsid w:val="007B7D06"/>
    <w:rsid w:val="007B7EF9"/>
    <w:rsid w:val="007C00E2"/>
    <w:rsid w:val="007C01AB"/>
    <w:rsid w:val="007C0795"/>
    <w:rsid w:val="007C12C1"/>
    <w:rsid w:val="007C12C4"/>
    <w:rsid w:val="007C157E"/>
    <w:rsid w:val="007C1606"/>
    <w:rsid w:val="007C1656"/>
    <w:rsid w:val="007C19A4"/>
    <w:rsid w:val="007C19C6"/>
    <w:rsid w:val="007C1AF6"/>
    <w:rsid w:val="007C1E19"/>
    <w:rsid w:val="007C2029"/>
    <w:rsid w:val="007C20B4"/>
    <w:rsid w:val="007C28A5"/>
    <w:rsid w:val="007C2A08"/>
    <w:rsid w:val="007C2BCE"/>
    <w:rsid w:val="007C2BD8"/>
    <w:rsid w:val="007C2C4B"/>
    <w:rsid w:val="007C3059"/>
    <w:rsid w:val="007C3116"/>
    <w:rsid w:val="007C3371"/>
    <w:rsid w:val="007C368C"/>
    <w:rsid w:val="007C3A20"/>
    <w:rsid w:val="007C3BB5"/>
    <w:rsid w:val="007C3BD8"/>
    <w:rsid w:val="007C3EF8"/>
    <w:rsid w:val="007C414A"/>
    <w:rsid w:val="007C4240"/>
    <w:rsid w:val="007C4616"/>
    <w:rsid w:val="007C51A6"/>
    <w:rsid w:val="007C5239"/>
    <w:rsid w:val="007C5867"/>
    <w:rsid w:val="007C5ACD"/>
    <w:rsid w:val="007C5C74"/>
    <w:rsid w:val="007C5DD5"/>
    <w:rsid w:val="007C69A9"/>
    <w:rsid w:val="007C6DDA"/>
    <w:rsid w:val="007C6ED3"/>
    <w:rsid w:val="007C7043"/>
    <w:rsid w:val="007C70CE"/>
    <w:rsid w:val="007C7298"/>
    <w:rsid w:val="007C72E2"/>
    <w:rsid w:val="007C7774"/>
    <w:rsid w:val="007C7BA7"/>
    <w:rsid w:val="007C7F93"/>
    <w:rsid w:val="007D0179"/>
    <w:rsid w:val="007D04E3"/>
    <w:rsid w:val="007D0694"/>
    <w:rsid w:val="007D06B5"/>
    <w:rsid w:val="007D0812"/>
    <w:rsid w:val="007D0AEA"/>
    <w:rsid w:val="007D1130"/>
    <w:rsid w:val="007D1734"/>
    <w:rsid w:val="007D1904"/>
    <w:rsid w:val="007D1928"/>
    <w:rsid w:val="007D1C42"/>
    <w:rsid w:val="007D1F0B"/>
    <w:rsid w:val="007D2021"/>
    <w:rsid w:val="007D204A"/>
    <w:rsid w:val="007D20FD"/>
    <w:rsid w:val="007D2268"/>
    <w:rsid w:val="007D2C16"/>
    <w:rsid w:val="007D2D3C"/>
    <w:rsid w:val="007D34D5"/>
    <w:rsid w:val="007D3581"/>
    <w:rsid w:val="007D519C"/>
    <w:rsid w:val="007D5487"/>
    <w:rsid w:val="007D5623"/>
    <w:rsid w:val="007D588F"/>
    <w:rsid w:val="007D58BA"/>
    <w:rsid w:val="007D5C97"/>
    <w:rsid w:val="007D60C0"/>
    <w:rsid w:val="007D65F7"/>
    <w:rsid w:val="007D66B0"/>
    <w:rsid w:val="007D6DEF"/>
    <w:rsid w:val="007D6ED0"/>
    <w:rsid w:val="007D7089"/>
    <w:rsid w:val="007D72EC"/>
    <w:rsid w:val="007D75A4"/>
    <w:rsid w:val="007D76BC"/>
    <w:rsid w:val="007D7AE1"/>
    <w:rsid w:val="007D7CB7"/>
    <w:rsid w:val="007D7F88"/>
    <w:rsid w:val="007E008E"/>
    <w:rsid w:val="007E05BA"/>
    <w:rsid w:val="007E066F"/>
    <w:rsid w:val="007E06CA"/>
    <w:rsid w:val="007E09F4"/>
    <w:rsid w:val="007E0E85"/>
    <w:rsid w:val="007E13A9"/>
    <w:rsid w:val="007E13F4"/>
    <w:rsid w:val="007E1B89"/>
    <w:rsid w:val="007E1BB0"/>
    <w:rsid w:val="007E2180"/>
    <w:rsid w:val="007E269D"/>
    <w:rsid w:val="007E2C3F"/>
    <w:rsid w:val="007E2D25"/>
    <w:rsid w:val="007E3014"/>
    <w:rsid w:val="007E30B0"/>
    <w:rsid w:val="007E318A"/>
    <w:rsid w:val="007E319B"/>
    <w:rsid w:val="007E32F2"/>
    <w:rsid w:val="007E3D52"/>
    <w:rsid w:val="007E3D8B"/>
    <w:rsid w:val="007E405E"/>
    <w:rsid w:val="007E41E6"/>
    <w:rsid w:val="007E420F"/>
    <w:rsid w:val="007E4306"/>
    <w:rsid w:val="007E4523"/>
    <w:rsid w:val="007E473D"/>
    <w:rsid w:val="007E4760"/>
    <w:rsid w:val="007E49A3"/>
    <w:rsid w:val="007E4AEA"/>
    <w:rsid w:val="007E4B97"/>
    <w:rsid w:val="007E51DD"/>
    <w:rsid w:val="007E531F"/>
    <w:rsid w:val="007E54B0"/>
    <w:rsid w:val="007E5F4A"/>
    <w:rsid w:val="007E607F"/>
    <w:rsid w:val="007E62F3"/>
    <w:rsid w:val="007E64C2"/>
    <w:rsid w:val="007E6948"/>
    <w:rsid w:val="007E69AC"/>
    <w:rsid w:val="007E6EBA"/>
    <w:rsid w:val="007E6F5A"/>
    <w:rsid w:val="007E6F8C"/>
    <w:rsid w:val="007E7500"/>
    <w:rsid w:val="007E75A6"/>
    <w:rsid w:val="007E77FC"/>
    <w:rsid w:val="007E7851"/>
    <w:rsid w:val="007E7BEB"/>
    <w:rsid w:val="007E7C3A"/>
    <w:rsid w:val="007F081B"/>
    <w:rsid w:val="007F0B8A"/>
    <w:rsid w:val="007F1103"/>
    <w:rsid w:val="007F1639"/>
    <w:rsid w:val="007F2012"/>
    <w:rsid w:val="007F2205"/>
    <w:rsid w:val="007F267B"/>
    <w:rsid w:val="007F27D4"/>
    <w:rsid w:val="007F2C8C"/>
    <w:rsid w:val="007F2DCB"/>
    <w:rsid w:val="007F3291"/>
    <w:rsid w:val="007F344B"/>
    <w:rsid w:val="007F344E"/>
    <w:rsid w:val="007F3C94"/>
    <w:rsid w:val="007F43E4"/>
    <w:rsid w:val="007F4863"/>
    <w:rsid w:val="007F4887"/>
    <w:rsid w:val="007F4890"/>
    <w:rsid w:val="007F4943"/>
    <w:rsid w:val="007F4E6C"/>
    <w:rsid w:val="007F5179"/>
    <w:rsid w:val="007F5579"/>
    <w:rsid w:val="007F5598"/>
    <w:rsid w:val="007F56B6"/>
    <w:rsid w:val="007F5A04"/>
    <w:rsid w:val="007F60AD"/>
    <w:rsid w:val="007F63B0"/>
    <w:rsid w:val="007F67F2"/>
    <w:rsid w:val="007F6940"/>
    <w:rsid w:val="007F6B87"/>
    <w:rsid w:val="007F6C59"/>
    <w:rsid w:val="007F6CA9"/>
    <w:rsid w:val="007F6DCB"/>
    <w:rsid w:val="007F6F2F"/>
    <w:rsid w:val="007F71BD"/>
    <w:rsid w:val="007F7294"/>
    <w:rsid w:val="007F78EB"/>
    <w:rsid w:val="007F7C54"/>
    <w:rsid w:val="007F7F37"/>
    <w:rsid w:val="007F7FA5"/>
    <w:rsid w:val="0080021D"/>
    <w:rsid w:val="008002FB"/>
    <w:rsid w:val="008005A1"/>
    <w:rsid w:val="008009E4"/>
    <w:rsid w:val="00800A27"/>
    <w:rsid w:val="00800E1E"/>
    <w:rsid w:val="00800E91"/>
    <w:rsid w:val="008010A7"/>
    <w:rsid w:val="00801E63"/>
    <w:rsid w:val="0080217F"/>
    <w:rsid w:val="008028AA"/>
    <w:rsid w:val="00802A83"/>
    <w:rsid w:val="0080305B"/>
    <w:rsid w:val="008031C8"/>
    <w:rsid w:val="0080335D"/>
    <w:rsid w:val="008033DD"/>
    <w:rsid w:val="00803AB2"/>
    <w:rsid w:val="00803C9F"/>
    <w:rsid w:val="00803CCE"/>
    <w:rsid w:val="00803F89"/>
    <w:rsid w:val="00804656"/>
    <w:rsid w:val="00805217"/>
    <w:rsid w:val="00805832"/>
    <w:rsid w:val="00805843"/>
    <w:rsid w:val="00805F5F"/>
    <w:rsid w:val="00805F6A"/>
    <w:rsid w:val="00805F8D"/>
    <w:rsid w:val="00806004"/>
    <w:rsid w:val="0080613C"/>
    <w:rsid w:val="00806151"/>
    <w:rsid w:val="00806523"/>
    <w:rsid w:val="00806B01"/>
    <w:rsid w:val="00806D19"/>
    <w:rsid w:val="00806F54"/>
    <w:rsid w:val="0080709B"/>
    <w:rsid w:val="008073C1"/>
    <w:rsid w:val="00807679"/>
    <w:rsid w:val="00807DA3"/>
    <w:rsid w:val="00807F99"/>
    <w:rsid w:val="0081046D"/>
    <w:rsid w:val="0081097B"/>
    <w:rsid w:val="00810DA5"/>
    <w:rsid w:val="00810E12"/>
    <w:rsid w:val="00810EBC"/>
    <w:rsid w:val="00810F89"/>
    <w:rsid w:val="008110B3"/>
    <w:rsid w:val="008114B1"/>
    <w:rsid w:val="00811749"/>
    <w:rsid w:val="0081200C"/>
    <w:rsid w:val="00812094"/>
    <w:rsid w:val="00812261"/>
    <w:rsid w:val="008123FE"/>
    <w:rsid w:val="00812729"/>
    <w:rsid w:val="00812858"/>
    <w:rsid w:val="008128C0"/>
    <w:rsid w:val="008129D9"/>
    <w:rsid w:val="00812CBF"/>
    <w:rsid w:val="00812E69"/>
    <w:rsid w:val="00813B3E"/>
    <w:rsid w:val="00813CA9"/>
    <w:rsid w:val="00813F0C"/>
    <w:rsid w:val="008141B2"/>
    <w:rsid w:val="00814247"/>
    <w:rsid w:val="0081473F"/>
    <w:rsid w:val="00814EB8"/>
    <w:rsid w:val="00815018"/>
    <w:rsid w:val="0081533E"/>
    <w:rsid w:val="00815368"/>
    <w:rsid w:val="00815585"/>
    <w:rsid w:val="00815A57"/>
    <w:rsid w:val="00815CCB"/>
    <w:rsid w:val="00816045"/>
    <w:rsid w:val="0081610D"/>
    <w:rsid w:val="008161FD"/>
    <w:rsid w:val="00816211"/>
    <w:rsid w:val="00816578"/>
    <w:rsid w:val="0081663E"/>
    <w:rsid w:val="00816AF3"/>
    <w:rsid w:val="00816D76"/>
    <w:rsid w:val="008178DC"/>
    <w:rsid w:val="00817A4F"/>
    <w:rsid w:val="00817CA1"/>
    <w:rsid w:val="00817E11"/>
    <w:rsid w:val="00820B29"/>
    <w:rsid w:val="00821061"/>
    <w:rsid w:val="00821246"/>
    <w:rsid w:val="008215CA"/>
    <w:rsid w:val="008216C3"/>
    <w:rsid w:val="008218E1"/>
    <w:rsid w:val="0082237D"/>
    <w:rsid w:val="00822B96"/>
    <w:rsid w:val="00822CBD"/>
    <w:rsid w:val="00822E9A"/>
    <w:rsid w:val="00822EE3"/>
    <w:rsid w:val="00822FED"/>
    <w:rsid w:val="008236A1"/>
    <w:rsid w:val="0082388A"/>
    <w:rsid w:val="00823DFE"/>
    <w:rsid w:val="0082422B"/>
    <w:rsid w:val="00824587"/>
    <w:rsid w:val="00824667"/>
    <w:rsid w:val="00824724"/>
    <w:rsid w:val="00824C6D"/>
    <w:rsid w:val="008252AC"/>
    <w:rsid w:val="008252F9"/>
    <w:rsid w:val="0082530E"/>
    <w:rsid w:val="008254AA"/>
    <w:rsid w:val="00825AB9"/>
    <w:rsid w:val="00825CB8"/>
    <w:rsid w:val="0082626F"/>
    <w:rsid w:val="008264F8"/>
    <w:rsid w:val="00826547"/>
    <w:rsid w:val="008267F6"/>
    <w:rsid w:val="00826DC7"/>
    <w:rsid w:val="00826E06"/>
    <w:rsid w:val="00826F3D"/>
    <w:rsid w:val="00826F67"/>
    <w:rsid w:val="00826FEA"/>
    <w:rsid w:val="00827062"/>
    <w:rsid w:val="008272A6"/>
    <w:rsid w:val="00827670"/>
    <w:rsid w:val="008276CC"/>
    <w:rsid w:val="00827717"/>
    <w:rsid w:val="0082777E"/>
    <w:rsid w:val="00830274"/>
    <w:rsid w:val="00830536"/>
    <w:rsid w:val="00830705"/>
    <w:rsid w:val="00830C97"/>
    <w:rsid w:val="00830F9B"/>
    <w:rsid w:val="0083125E"/>
    <w:rsid w:val="008314C8"/>
    <w:rsid w:val="008317F1"/>
    <w:rsid w:val="00831856"/>
    <w:rsid w:val="0083223E"/>
    <w:rsid w:val="008326DC"/>
    <w:rsid w:val="00832BFA"/>
    <w:rsid w:val="00832C1D"/>
    <w:rsid w:val="00832C25"/>
    <w:rsid w:val="0083305E"/>
    <w:rsid w:val="00833169"/>
    <w:rsid w:val="00833E5E"/>
    <w:rsid w:val="008343BD"/>
    <w:rsid w:val="00834567"/>
    <w:rsid w:val="008346CA"/>
    <w:rsid w:val="0083504A"/>
    <w:rsid w:val="008357EE"/>
    <w:rsid w:val="008358EB"/>
    <w:rsid w:val="00835D3E"/>
    <w:rsid w:val="0083621A"/>
    <w:rsid w:val="008365BF"/>
    <w:rsid w:val="0083689F"/>
    <w:rsid w:val="00836DCA"/>
    <w:rsid w:val="00836E39"/>
    <w:rsid w:val="0083719B"/>
    <w:rsid w:val="008376D1"/>
    <w:rsid w:val="008377F7"/>
    <w:rsid w:val="00837C73"/>
    <w:rsid w:val="00837E8E"/>
    <w:rsid w:val="00837FBF"/>
    <w:rsid w:val="00840102"/>
    <w:rsid w:val="00840827"/>
    <w:rsid w:val="00840B65"/>
    <w:rsid w:val="00840CC5"/>
    <w:rsid w:val="008416B9"/>
    <w:rsid w:val="0084190F"/>
    <w:rsid w:val="0084191F"/>
    <w:rsid w:val="00841AF3"/>
    <w:rsid w:val="00842374"/>
    <w:rsid w:val="008424A4"/>
    <w:rsid w:val="008425F1"/>
    <w:rsid w:val="00842CF6"/>
    <w:rsid w:val="00842DB9"/>
    <w:rsid w:val="008433A6"/>
    <w:rsid w:val="00843426"/>
    <w:rsid w:val="008435C6"/>
    <w:rsid w:val="00843678"/>
    <w:rsid w:val="00844401"/>
    <w:rsid w:val="00844A03"/>
    <w:rsid w:val="00844D5C"/>
    <w:rsid w:val="00844EDE"/>
    <w:rsid w:val="00844F26"/>
    <w:rsid w:val="00845187"/>
    <w:rsid w:val="00845332"/>
    <w:rsid w:val="0084550B"/>
    <w:rsid w:val="00845963"/>
    <w:rsid w:val="00845A8E"/>
    <w:rsid w:val="00845EDD"/>
    <w:rsid w:val="008463C2"/>
    <w:rsid w:val="008466D7"/>
    <w:rsid w:val="00846738"/>
    <w:rsid w:val="008468AF"/>
    <w:rsid w:val="008471F1"/>
    <w:rsid w:val="00847320"/>
    <w:rsid w:val="00847386"/>
    <w:rsid w:val="0084799D"/>
    <w:rsid w:val="008479B8"/>
    <w:rsid w:val="008479FB"/>
    <w:rsid w:val="00847E7F"/>
    <w:rsid w:val="008506D2"/>
    <w:rsid w:val="0085085A"/>
    <w:rsid w:val="00850A97"/>
    <w:rsid w:val="00850AEB"/>
    <w:rsid w:val="00850C76"/>
    <w:rsid w:val="008516A8"/>
    <w:rsid w:val="00851AA5"/>
    <w:rsid w:val="00851C65"/>
    <w:rsid w:val="00851D31"/>
    <w:rsid w:val="00851D7D"/>
    <w:rsid w:val="00851E9C"/>
    <w:rsid w:val="008520FE"/>
    <w:rsid w:val="00852728"/>
    <w:rsid w:val="00852C90"/>
    <w:rsid w:val="00852DE2"/>
    <w:rsid w:val="008536E1"/>
    <w:rsid w:val="0085394F"/>
    <w:rsid w:val="00853AAC"/>
    <w:rsid w:val="00853F97"/>
    <w:rsid w:val="00854505"/>
    <w:rsid w:val="00854579"/>
    <w:rsid w:val="008546DA"/>
    <w:rsid w:val="00854837"/>
    <w:rsid w:val="00854D23"/>
    <w:rsid w:val="00854D30"/>
    <w:rsid w:val="00854E6F"/>
    <w:rsid w:val="00855093"/>
    <w:rsid w:val="008552E9"/>
    <w:rsid w:val="008554F0"/>
    <w:rsid w:val="00855568"/>
    <w:rsid w:val="00855679"/>
    <w:rsid w:val="0085632C"/>
    <w:rsid w:val="008564B0"/>
    <w:rsid w:val="00856CCC"/>
    <w:rsid w:val="008571A2"/>
    <w:rsid w:val="00857486"/>
    <w:rsid w:val="00857657"/>
    <w:rsid w:val="00857819"/>
    <w:rsid w:val="0086026B"/>
    <w:rsid w:val="00860357"/>
    <w:rsid w:val="008603A6"/>
    <w:rsid w:val="008607B6"/>
    <w:rsid w:val="008609C6"/>
    <w:rsid w:val="00860F4F"/>
    <w:rsid w:val="008612B7"/>
    <w:rsid w:val="0086137E"/>
    <w:rsid w:val="008614B1"/>
    <w:rsid w:val="0086252C"/>
    <w:rsid w:val="00862A0B"/>
    <w:rsid w:val="00862BC5"/>
    <w:rsid w:val="00862CDA"/>
    <w:rsid w:val="00862E75"/>
    <w:rsid w:val="00863005"/>
    <w:rsid w:val="008633A8"/>
    <w:rsid w:val="00863B72"/>
    <w:rsid w:val="00863BDA"/>
    <w:rsid w:val="00863C1B"/>
    <w:rsid w:val="00864404"/>
    <w:rsid w:val="0086454C"/>
    <w:rsid w:val="008646A9"/>
    <w:rsid w:val="0086496C"/>
    <w:rsid w:val="00864B2B"/>
    <w:rsid w:val="00864F35"/>
    <w:rsid w:val="0086509B"/>
    <w:rsid w:val="00865989"/>
    <w:rsid w:val="0086651F"/>
    <w:rsid w:val="00866740"/>
    <w:rsid w:val="00866851"/>
    <w:rsid w:val="00866DEF"/>
    <w:rsid w:val="008671C5"/>
    <w:rsid w:val="008675F7"/>
    <w:rsid w:val="0086760F"/>
    <w:rsid w:val="00867745"/>
    <w:rsid w:val="00867B04"/>
    <w:rsid w:val="00867B85"/>
    <w:rsid w:val="00870251"/>
    <w:rsid w:val="00870356"/>
    <w:rsid w:val="00870BAF"/>
    <w:rsid w:val="008714D0"/>
    <w:rsid w:val="00871D62"/>
    <w:rsid w:val="008726A2"/>
    <w:rsid w:val="00872851"/>
    <w:rsid w:val="00872ADC"/>
    <w:rsid w:val="00872B66"/>
    <w:rsid w:val="0087300E"/>
    <w:rsid w:val="00873FC2"/>
    <w:rsid w:val="008748EB"/>
    <w:rsid w:val="008749C7"/>
    <w:rsid w:val="00874AEB"/>
    <w:rsid w:val="00874AF8"/>
    <w:rsid w:val="00874C42"/>
    <w:rsid w:val="00874FD7"/>
    <w:rsid w:val="0087514E"/>
    <w:rsid w:val="00875463"/>
    <w:rsid w:val="00875554"/>
    <w:rsid w:val="008756BA"/>
    <w:rsid w:val="00875D24"/>
    <w:rsid w:val="00876272"/>
    <w:rsid w:val="0087675F"/>
    <w:rsid w:val="00876A6E"/>
    <w:rsid w:val="00876C9C"/>
    <w:rsid w:val="00876CF0"/>
    <w:rsid w:val="00876D0F"/>
    <w:rsid w:val="00876F9A"/>
    <w:rsid w:val="00877047"/>
    <w:rsid w:val="00877180"/>
    <w:rsid w:val="00877742"/>
    <w:rsid w:val="00877EB6"/>
    <w:rsid w:val="00880610"/>
    <w:rsid w:val="00880995"/>
    <w:rsid w:val="00880BD7"/>
    <w:rsid w:val="00880D4D"/>
    <w:rsid w:val="00880DA8"/>
    <w:rsid w:val="00880F5F"/>
    <w:rsid w:val="008815BE"/>
    <w:rsid w:val="00881DD4"/>
    <w:rsid w:val="00882183"/>
    <w:rsid w:val="008826AF"/>
    <w:rsid w:val="00882AF2"/>
    <w:rsid w:val="00882BA2"/>
    <w:rsid w:val="00883A3B"/>
    <w:rsid w:val="00884030"/>
    <w:rsid w:val="00884034"/>
    <w:rsid w:val="0088414D"/>
    <w:rsid w:val="00884817"/>
    <w:rsid w:val="00884D44"/>
    <w:rsid w:val="00884DF6"/>
    <w:rsid w:val="00884E9D"/>
    <w:rsid w:val="00884EB1"/>
    <w:rsid w:val="00884EF5"/>
    <w:rsid w:val="00884F2D"/>
    <w:rsid w:val="00885093"/>
    <w:rsid w:val="00885821"/>
    <w:rsid w:val="0088583A"/>
    <w:rsid w:val="00885FF8"/>
    <w:rsid w:val="00885FFA"/>
    <w:rsid w:val="0088600E"/>
    <w:rsid w:val="0088617C"/>
    <w:rsid w:val="00886542"/>
    <w:rsid w:val="00886AAC"/>
    <w:rsid w:val="00886C02"/>
    <w:rsid w:val="00886C15"/>
    <w:rsid w:val="008870FD"/>
    <w:rsid w:val="0088742B"/>
    <w:rsid w:val="00887A95"/>
    <w:rsid w:val="00887AB7"/>
    <w:rsid w:val="00887B9F"/>
    <w:rsid w:val="0089045B"/>
    <w:rsid w:val="00890695"/>
    <w:rsid w:val="00890743"/>
    <w:rsid w:val="00890B86"/>
    <w:rsid w:val="00890FF2"/>
    <w:rsid w:val="008912F1"/>
    <w:rsid w:val="00891ACE"/>
    <w:rsid w:val="00891D81"/>
    <w:rsid w:val="00891FCF"/>
    <w:rsid w:val="0089211B"/>
    <w:rsid w:val="008923F0"/>
    <w:rsid w:val="008924CD"/>
    <w:rsid w:val="00892573"/>
    <w:rsid w:val="00892AFA"/>
    <w:rsid w:val="00892BC4"/>
    <w:rsid w:val="00893002"/>
    <w:rsid w:val="008930F4"/>
    <w:rsid w:val="008932B9"/>
    <w:rsid w:val="00893546"/>
    <w:rsid w:val="00893C56"/>
    <w:rsid w:val="0089418D"/>
    <w:rsid w:val="0089420C"/>
    <w:rsid w:val="0089436C"/>
    <w:rsid w:val="008945A9"/>
    <w:rsid w:val="0089463A"/>
    <w:rsid w:val="0089494F"/>
    <w:rsid w:val="00894BC2"/>
    <w:rsid w:val="00894D3E"/>
    <w:rsid w:val="00895259"/>
    <w:rsid w:val="0089558E"/>
    <w:rsid w:val="00895778"/>
    <w:rsid w:val="00895849"/>
    <w:rsid w:val="00895A24"/>
    <w:rsid w:val="00895D80"/>
    <w:rsid w:val="00896030"/>
    <w:rsid w:val="00896E43"/>
    <w:rsid w:val="00897059"/>
    <w:rsid w:val="008973FD"/>
    <w:rsid w:val="0089741B"/>
    <w:rsid w:val="00897823"/>
    <w:rsid w:val="00897955"/>
    <w:rsid w:val="008979EA"/>
    <w:rsid w:val="00897A11"/>
    <w:rsid w:val="00897E28"/>
    <w:rsid w:val="008A032B"/>
    <w:rsid w:val="008A0490"/>
    <w:rsid w:val="008A051A"/>
    <w:rsid w:val="008A0DFF"/>
    <w:rsid w:val="008A1457"/>
    <w:rsid w:val="008A150D"/>
    <w:rsid w:val="008A161E"/>
    <w:rsid w:val="008A164C"/>
    <w:rsid w:val="008A18CA"/>
    <w:rsid w:val="008A1E4E"/>
    <w:rsid w:val="008A22AE"/>
    <w:rsid w:val="008A2428"/>
    <w:rsid w:val="008A24DE"/>
    <w:rsid w:val="008A2917"/>
    <w:rsid w:val="008A298B"/>
    <w:rsid w:val="008A2A13"/>
    <w:rsid w:val="008A2B7F"/>
    <w:rsid w:val="008A2DF6"/>
    <w:rsid w:val="008A329A"/>
    <w:rsid w:val="008A36BF"/>
    <w:rsid w:val="008A3CD1"/>
    <w:rsid w:val="008A3D38"/>
    <w:rsid w:val="008A40E6"/>
    <w:rsid w:val="008A4244"/>
    <w:rsid w:val="008A456A"/>
    <w:rsid w:val="008A474A"/>
    <w:rsid w:val="008A4DE3"/>
    <w:rsid w:val="008A50BE"/>
    <w:rsid w:val="008A5458"/>
    <w:rsid w:val="008A5606"/>
    <w:rsid w:val="008A5659"/>
    <w:rsid w:val="008A56E8"/>
    <w:rsid w:val="008A5A10"/>
    <w:rsid w:val="008A5B83"/>
    <w:rsid w:val="008A5FC7"/>
    <w:rsid w:val="008A65D4"/>
    <w:rsid w:val="008A6627"/>
    <w:rsid w:val="008A6787"/>
    <w:rsid w:val="008A6AEE"/>
    <w:rsid w:val="008A78C5"/>
    <w:rsid w:val="008A7C8D"/>
    <w:rsid w:val="008B0687"/>
    <w:rsid w:val="008B068A"/>
    <w:rsid w:val="008B07FC"/>
    <w:rsid w:val="008B098C"/>
    <w:rsid w:val="008B0E62"/>
    <w:rsid w:val="008B153A"/>
    <w:rsid w:val="008B1AFF"/>
    <w:rsid w:val="008B1D2D"/>
    <w:rsid w:val="008B1EA3"/>
    <w:rsid w:val="008B1FDF"/>
    <w:rsid w:val="008B224D"/>
    <w:rsid w:val="008B25A9"/>
    <w:rsid w:val="008B294E"/>
    <w:rsid w:val="008B2C31"/>
    <w:rsid w:val="008B2C74"/>
    <w:rsid w:val="008B34FD"/>
    <w:rsid w:val="008B3576"/>
    <w:rsid w:val="008B37B0"/>
    <w:rsid w:val="008B3EDB"/>
    <w:rsid w:val="008B40D0"/>
    <w:rsid w:val="008B4342"/>
    <w:rsid w:val="008B4386"/>
    <w:rsid w:val="008B4C24"/>
    <w:rsid w:val="008B4EA1"/>
    <w:rsid w:val="008B50C6"/>
    <w:rsid w:val="008B52C6"/>
    <w:rsid w:val="008B5923"/>
    <w:rsid w:val="008B5DEC"/>
    <w:rsid w:val="008B64B3"/>
    <w:rsid w:val="008B6F1C"/>
    <w:rsid w:val="008B6FF9"/>
    <w:rsid w:val="008B73E8"/>
    <w:rsid w:val="008B7625"/>
    <w:rsid w:val="008B7A26"/>
    <w:rsid w:val="008B7ABE"/>
    <w:rsid w:val="008B7FD2"/>
    <w:rsid w:val="008C010F"/>
    <w:rsid w:val="008C017F"/>
    <w:rsid w:val="008C0693"/>
    <w:rsid w:val="008C08B5"/>
    <w:rsid w:val="008C0CE7"/>
    <w:rsid w:val="008C0D78"/>
    <w:rsid w:val="008C1288"/>
    <w:rsid w:val="008C14ED"/>
    <w:rsid w:val="008C18F7"/>
    <w:rsid w:val="008C1F9E"/>
    <w:rsid w:val="008C1FD1"/>
    <w:rsid w:val="008C232B"/>
    <w:rsid w:val="008C2824"/>
    <w:rsid w:val="008C2BFA"/>
    <w:rsid w:val="008C2F0B"/>
    <w:rsid w:val="008C2F78"/>
    <w:rsid w:val="008C3883"/>
    <w:rsid w:val="008C3E16"/>
    <w:rsid w:val="008C3EA1"/>
    <w:rsid w:val="008C42D8"/>
    <w:rsid w:val="008C4796"/>
    <w:rsid w:val="008C47C4"/>
    <w:rsid w:val="008C4991"/>
    <w:rsid w:val="008C5055"/>
    <w:rsid w:val="008C5118"/>
    <w:rsid w:val="008C5262"/>
    <w:rsid w:val="008C54E4"/>
    <w:rsid w:val="008C56C0"/>
    <w:rsid w:val="008C5888"/>
    <w:rsid w:val="008C5ACA"/>
    <w:rsid w:val="008C5E3D"/>
    <w:rsid w:val="008C5FE3"/>
    <w:rsid w:val="008C6621"/>
    <w:rsid w:val="008C6CE0"/>
    <w:rsid w:val="008C72D0"/>
    <w:rsid w:val="008C749D"/>
    <w:rsid w:val="008C7576"/>
    <w:rsid w:val="008C76BB"/>
    <w:rsid w:val="008C7A54"/>
    <w:rsid w:val="008C7C7B"/>
    <w:rsid w:val="008D0105"/>
    <w:rsid w:val="008D0370"/>
    <w:rsid w:val="008D059B"/>
    <w:rsid w:val="008D05D6"/>
    <w:rsid w:val="008D0628"/>
    <w:rsid w:val="008D08A4"/>
    <w:rsid w:val="008D0C26"/>
    <w:rsid w:val="008D0E03"/>
    <w:rsid w:val="008D0F73"/>
    <w:rsid w:val="008D10AF"/>
    <w:rsid w:val="008D1253"/>
    <w:rsid w:val="008D129D"/>
    <w:rsid w:val="008D1321"/>
    <w:rsid w:val="008D14C1"/>
    <w:rsid w:val="008D15E3"/>
    <w:rsid w:val="008D20B0"/>
    <w:rsid w:val="008D217E"/>
    <w:rsid w:val="008D21E1"/>
    <w:rsid w:val="008D225E"/>
    <w:rsid w:val="008D248D"/>
    <w:rsid w:val="008D25E1"/>
    <w:rsid w:val="008D2ADA"/>
    <w:rsid w:val="008D3950"/>
    <w:rsid w:val="008D3A01"/>
    <w:rsid w:val="008D3BD8"/>
    <w:rsid w:val="008D3CAE"/>
    <w:rsid w:val="008D3E36"/>
    <w:rsid w:val="008D3EE8"/>
    <w:rsid w:val="008D3FD9"/>
    <w:rsid w:val="008D4268"/>
    <w:rsid w:val="008D430D"/>
    <w:rsid w:val="008D436E"/>
    <w:rsid w:val="008D4673"/>
    <w:rsid w:val="008D4842"/>
    <w:rsid w:val="008D4A6B"/>
    <w:rsid w:val="008D4C8B"/>
    <w:rsid w:val="008D57AC"/>
    <w:rsid w:val="008D57BE"/>
    <w:rsid w:val="008D5C53"/>
    <w:rsid w:val="008D5C5A"/>
    <w:rsid w:val="008D5F06"/>
    <w:rsid w:val="008D6473"/>
    <w:rsid w:val="008D6730"/>
    <w:rsid w:val="008D6A25"/>
    <w:rsid w:val="008D726A"/>
    <w:rsid w:val="008D75FA"/>
    <w:rsid w:val="008D77F0"/>
    <w:rsid w:val="008D782C"/>
    <w:rsid w:val="008D7F7A"/>
    <w:rsid w:val="008E02EC"/>
    <w:rsid w:val="008E03A7"/>
    <w:rsid w:val="008E06D8"/>
    <w:rsid w:val="008E0840"/>
    <w:rsid w:val="008E0BB1"/>
    <w:rsid w:val="008E0CB2"/>
    <w:rsid w:val="008E1129"/>
    <w:rsid w:val="008E148E"/>
    <w:rsid w:val="008E1A93"/>
    <w:rsid w:val="008E1B4C"/>
    <w:rsid w:val="008E1CB7"/>
    <w:rsid w:val="008E1DA9"/>
    <w:rsid w:val="008E1DBE"/>
    <w:rsid w:val="008E1DFA"/>
    <w:rsid w:val="008E20B8"/>
    <w:rsid w:val="008E22AA"/>
    <w:rsid w:val="008E285C"/>
    <w:rsid w:val="008E2A26"/>
    <w:rsid w:val="008E2BA8"/>
    <w:rsid w:val="008E2D2C"/>
    <w:rsid w:val="008E3046"/>
    <w:rsid w:val="008E367E"/>
    <w:rsid w:val="008E3BB5"/>
    <w:rsid w:val="008E3D44"/>
    <w:rsid w:val="008E3FBC"/>
    <w:rsid w:val="008E42E7"/>
    <w:rsid w:val="008E4930"/>
    <w:rsid w:val="008E4CA9"/>
    <w:rsid w:val="008E4D59"/>
    <w:rsid w:val="008E6133"/>
    <w:rsid w:val="008E653E"/>
    <w:rsid w:val="008E6AA4"/>
    <w:rsid w:val="008E71EE"/>
    <w:rsid w:val="008E735F"/>
    <w:rsid w:val="008E7389"/>
    <w:rsid w:val="008F04AB"/>
    <w:rsid w:val="008F0688"/>
    <w:rsid w:val="008F06B0"/>
    <w:rsid w:val="008F0BBF"/>
    <w:rsid w:val="008F0BC1"/>
    <w:rsid w:val="008F0DE0"/>
    <w:rsid w:val="008F109F"/>
    <w:rsid w:val="008F10FE"/>
    <w:rsid w:val="008F1544"/>
    <w:rsid w:val="008F173E"/>
    <w:rsid w:val="008F1838"/>
    <w:rsid w:val="008F1B37"/>
    <w:rsid w:val="008F1BC1"/>
    <w:rsid w:val="008F2493"/>
    <w:rsid w:val="008F2675"/>
    <w:rsid w:val="008F29DA"/>
    <w:rsid w:val="008F2C67"/>
    <w:rsid w:val="008F2D27"/>
    <w:rsid w:val="008F3206"/>
    <w:rsid w:val="008F438F"/>
    <w:rsid w:val="008F46AF"/>
    <w:rsid w:val="008F48F0"/>
    <w:rsid w:val="008F4A0F"/>
    <w:rsid w:val="008F4A53"/>
    <w:rsid w:val="008F4CFA"/>
    <w:rsid w:val="008F4F83"/>
    <w:rsid w:val="008F5141"/>
    <w:rsid w:val="008F5379"/>
    <w:rsid w:val="008F57B8"/>
    <w:rsid w:val="008F5974"/>
    <w:rsid w:val="008F5A46"/>
    <w:rsid w:val="008F5B35"/>
    <w:rsid w:val="008F5E7B"/>
    <w:rsid w:val="008F656B"/>
    <w:rsid w:val="008F6A7C"/>
    <w:rsid w:val="008F6F6B"/>
    <w:rsid w:val="008F7803"/>
    <w:rsid w:val="008F7C8F"/>
    <w:rsid w:val="008F7E20"/>
    <w:rsid w:val="009002D4"/>
    <w:rsid w:val="0090036E"/>
    <w:rsid w:val="00900A6F"/>
    <w:rsid w:val="00900C2E"/>
    <w:rsid w:val="00901058"/>
    <w:rsid w:val="009017AC"/>
    <w:rsid w:val="009017B3"/>
    <w:rsid w:val="009017F1"/>
    <w:rsid w:val="00901FCF"/>
    <w:rsid w:val="009028D1"/>
    <w:rsid w:val="00902D63"/>
    <w:rsid w:val="00903055"/>
    <w:rsid w:val="009031E6"/>
    <w:rsid w:val="00903385"/>
    <w:rsid w:val="0090353B"/>
    <w:rsid w:val="00903768"/>
    <w:rsid w:val="0090392E"/>
    <w:rsid w:val="00903A1E"/>
    <w:rsid w:val="00903D9D"/>
    <w:rsid w:val="00903E35"/>
    <w:rsid w:val="0090400A"/>
    <w:rsid w:val="00904185"/>
    <w:rsid w:val="0090512B"/>
    <w:rsid w:val="0090529D"/>
    <w:rsid w:val="0090570C"/>
    <w:rsid w:val="00905DEA"/>
    <w:rsid w:val="0090636B"/>
    <w:rsid w:val="00906AEB"/>
    <w:rsid w:val="00906AF9"/>
    <w:rsid w:val="0090723D"/>
    <w:rsid w:val="0090737A"/>
    <w:rsid w:val="00907790"/>
    <w:rsid w:val="0090780D"/>
    <w:rsid w:val="00907B07"/>
    <w:rsid w:val="0091041B"/>
    <w:rsid w:val="00911317"/>
    <w:rsid w:val="009113CA"/>
    <w:rsid w:val="00911815"/>
    <w:rsid w:val="009119F5"/>
    <w:rsid w:val="00911ABA"/>
    <w:rsid w:val="00911ECB"/>
    <w:rsid w:val="00911F2D"/>
    <w:rsid w:val="0091224A"/>
    <w:rsid w:val="009123B6"/>
    <w:rsid w:val="009124EB"/>
    <w:rsid w:val="0091274B"/>
    <w:rsid w:val="00912753"/>
    <w:rsid w:val="00912F5B"/>
    <w:rsid w:val="00913504"/>
    <w:rsid w:val="0091351F"/>
    <w:rsid w:val="00913817"/>
    <w:rsid w:val="00913879"/>
    <w:rsid w:val="0091387D"/>
    <w:rsid w:val="00913D96"/>
    <w:rsid w:val="00913DE3"/>
    <w:rsid w:val="0091423F"/>
    <w:rsid w:val="009142AA"/>
    <w:rsid w:val="009146AD"/>
    <w:rsid w:val="009148C7"/>
    <w:rsid w:val="00914B51"/>
    <w:rsid w:val="00914C83"/>
    <w:rsid w:val="00914D04"/>
    <w:rsid w:val="0091510F"/>
    <w:rsid w:val="0091533B"/>
    <w:rsid w:val="00915771"/>
    <w:rsid w:val="00915A5C"/>
    <w:rsid w:val="00915C3A"/>
    <w:rsid w:val="00915DAC"/>
    <w:rsid w:val="00915EDE"/>
    <w:rsid w:val="00916354"/>
    <w:rsid w:val="009163E6"/>
    <w:rsid w:val="00916459"/>
    <w:rsid w:val="0091663F"/>
    <w:rsid w:val="00916C85"/>
    <w:rsid w:val="00917B88"/>
    <w:rsid w:val="00917D05"/>
    <w:rsid w:val="00920180"/>
    <w:rsid w:val="009205BA"/>
    <w:rsid w:val="00920D03"/>
    <w:rsid w:val="00921185"/>
    <w:rsid w:val="009212F9"/>
    <w:rsid w:val="0092167E"/>
    <w:rsid w:val="00921700"/>
    <w:rsid w:val="00921727"/>
    <w:rsid w:val="00921A6B"/>
    <w:rsid w:val="00921DF6"/>
    <w:rsid w:val="0092247F"/>
    <w:rsid w:val="00922B3D"/>
    <w:rsid w:val="00922BA4"/>
    <w:rsid w:val="00922D51"/>
    <w:rsid w:val="009231E1"/>
    <w:rsid w:val="00923241"/>
    <w:rsid w:val="00923725"/>
    <w:rsid w:val="009237DC"/>
    <w:rsid w:val="0092391D"/>
    <w:rsid w:val="00923D1D"/>
    <w:rsid w:val="00923F30"/>
    <w:rsid w:val="00924067"/>
    <w:rsid w:val="0092426C"/>
    <w:rsid w:val="009247B6"/>
    <w:rsid w:val="00924843"/>
    <w:rsid w:val="0092566B"/>
    <w:rsid w:val="00925838"/>
    <w:rsid w:val="00925AEC"/>
    <w:rsid w:val="00925BA1"/>
    <w:rsid w:val="00925DD2"/>
    <w:rsid w:val="00925E06"/>
    <w:rsid w:val="009264E4"/>
    <w:rsid w:val="00926698"/>
    <w:rsid w:val="00926DBA"/>
    <w:rsid w:val="00927005"/>
    <w:rsid w:val="0092706C"/>
    <w:rsid w:val="0092725E"/>
    <w:rsid w:val="00927264"/>
    <w:rsid w:val="009274A7"/>
    <w:rsid w:val="00927C32"/>
    <w:rsid w:val="00927D67"/>
    <w:rsid w:val="00927FF0"/>
    <w:rsid w:val="00930114"/>
    <w:rsid w:val="009306BC"/>
    <w:rsid w:val="00930A93"/>
    <w:rsid w:val="00930AB6"/>
    <w:rsid w:val="00930DDD"/>
    <w:rsid w:val="00930F39"/>
    <w:rsid w:val="00930F50"/>
    <w:rsid w:val="009311F0"/>
    <w:rsid w:val="009313E8"/>
    <w:rsid w:val="00931AC8"/>
    <w:rsid w:val="00931B9D"/>
    <w:rsid w:val="00932008"/>
    <w:rsid w:val="00932214"/>
    <w:rsid w:val="00932602"/>
    <w:rsid w:val="009327E4"/>
    <w:rsid w:val="00933026"/>
    <w:rsid w:val="0093306C"/>
    <w:rsid w:val="009331B6"/>
    <w:rsid w:val="00933209"/>
    <w:rsid w:val="009333F1"/>
    <w:rsid w:val="0093344C"/>
    <w:rsid w:val="00933559"/>
    <w:rsid w:val="00933780"/>
    <w:rsid w:val="00933803"/>
    <w:rsid w:val="00933B3A"/>
    <w:rsid w:val="00933F06"/>
    <w:rsid w:val="00934048"/>
    <w:rsid w:val="009340AB"/>
    <w:rsid w:val="00934374"/>
    <w:rsid w:val="00934665"/>
    <w:rsid w:val="009346A2"/>
    <w:rsid w:val="009346BC"/>
    <w:rsid w:val="009348C1"/>
    <w:rsid w:val="00934E5A"/>
    <w:rsid w:val="00934FCF"/>
    <w:rsid w:val="0093562B"/>
    <w:rsid w:val="00935DA7"/>
    <w:rsid w:val="00936DD0"/>
    <w:rsid w:val="00937103"/>
    <w:rsid w:val="00937115"/>
    <w:rsid w:val="00937684"/>
    <w:rsid w:val="0093771D"/>
    <w:rsid w:val="009377EA"/>
    <w:rsid w:val="009378C0"/>
    <w:rsid w:val="009379AF"/>
    <w:rsid w:val="009402E4"/>
    <w:rsid w:val="00940333"/>
    <w:rsid w:val="0094055D"/>
    <w:rsid w:val="00940703"/>
    <w:rsid w:val="0094083A"/>
    <w:rsid w:val="00940C90"/>
    <w:rsid w:val="00940D44"/>
    <w:rsid w:val="00940FD0"/>
    <w:rsid w:val="00941161"/>
    <w:rsid w:val="0094129B"/>
    <w:rsid w:val="009416F3"/>
    <w:rsid w:val="009418AE"/>
    <w:rsid w:val="00941902"/>
    <w:rsid w:val="00941E4E"/>
    <w:rsid w:val="00941E68"/>
    <w:rsid w:val="00941F57"/>
    <w:rsid w:val="00942380"/>
    <w:rsid w:val="009423E4"/>
    <w:rsid w:val="009424CB"/>
    <w:rsid w:val="0094250F"/>
    <w:rsid w:val="009427B9"/>
    <w:rsid w:val="00942968"/>
    <w:rsid w:val="009429D4"/>
    <w:rsid w:val="00942B01"/>
    <w:rsid w:val="00942BD1"/>
    <w:rsid w:val="009431B8"/>
    <w:rsid w:val="009431D9"/>
    <w:rsid w:val="00943572"/>
    <w:rsid w:val="00943717"/>
    <w:rsid w:val="00943E43"/>
    <w:rsid w:val="00943EA6"/>
    <w:rsid w:val="0094406A"/>
    <w:rsid w:val="00944213"/>
    <w:rsid w:val="00944BD4"/>
    <w:rsid w:val="00944C63"/>
    <w:rsid w:val="00944E0E"/>
    <w:rsid w:val="00944E6D"/>
    <w:rsid w:val="00945383"/>
    <w:rsid w:val="00945388"/>
    <w:rsid w:val="00945871"/>
    <w:rsid w:val="00945880"/>
    <w:rsid w:val="00945B3A"/>
    <w:rsid w:val="00945D6F"/>
    <w:rsid w:val="009466BA"/>
    <w:rsid w:val="00946905"/>
    <w:rsid w:val="00946A2E"/>
    <w:rsid w:val="00946ABE"/>
    <w:rsid w:val="00946D8B"/>
    <w:rsid w:val="00946DCD"/>
    <w:rsid w:val="009471D0"/>
    <w:rsid w:val="0094732B"/>
    <w:rsid w:val="009473A7"/>
    <w:rsid w:val="00947504"/>
    <w:rsid w:val="0094785D"/>
    <w:rsid w:val="009478DA"/>
    <w:rsid w:val="00947D9B"/>
    <w:rsid w:val="0095003F"/>
    <w:rsid w:val="00950610"/>
    <w:rsid w:val="00950703"/>
    <w:rsid w:val="00950BCF"/>
    <w:rsid w:val="00950C1B"/>
    <w:rsid w:val="00950E19"/>
    <w:rsid w:val="00951024"/>
    <w:rsid w:val="00951079"/>
    <w:rsid w:val="0095111B"/>
    <w:rsid w:val="009514A1"/>
    <w:rsid w:val="009518D7"/>
    <w:rsid w:val="00951B19"/>
    <w:rsid w:val="00951DEC"/>
    <w:rsid w:val="0095202A"/>
    <w:rsid w:val="00952480"/>
    <w:rsid w:val="009529C9"/>
    <w:rsid w:val="00952AAA"/>
    <w:rsid w:val="00952E76"/>
    <w:rsid w:val="00953097"/>
    <w:rsid w:val="00953319"/>
    <w:rsid w:val="00953375"/>
    <w:rsid w:val="009535FF"/>
    <w:rsid w:val="0095379C"/>
    <w:rsid w:val="00953B9C"/>
    <w:rsid w:val="0095460E"/>
    <w:rsid w:val="009546FE"/>
    <w:rsid w:val="00954703"/>
    <w:rsid w:val="00955452"/>
    <w:rsid w:val="00955614"/>
    <w:rsid w:val="0095577C"/>
    <w:rsid w:val="00955DB2"/>
    <w:rsid w:val="00956107"/>
    <w:rsid w:val="009568BD"/>
    <w:rsid w:val="009568CC"/>
    <w:rsid w:val="00956E77"/>
    <w:rsid w:val="0095746D"/>
    <w:rsid w:val="00957A68"/>
    <w:rsid w:val="00957AC5"/>
    <w:rsid w:val="00957B4E"/>
    <w:rsid w:val="00957FBF"/>
    <w:rsid w:val="00960061"/>
    <w:rsid w:val="009600CB"/>
    <w:rsid w:val="009601FD"/>
    <w:rsid w:val="00960AEB"/>
    <w:rsid w:val="00960D42"/>
    <w:rsid w:val="00960F50"/>
    <w:rsid w:val="00961517"/>
    <w:rsid w:val="009615AC"/>
    <w:rsid w:val="009618B3"/>
    <w:rsid w:val="009619D4"/>
    <w:rsid w:val="00961D06"/>
    <w:rsid w:val="00961E86"/>
    <w:rsid w:val="00962677"/>
    <w:rsid w:val="009626E1"/>
    <w:rsid w:val="00962E24"/>
    <w:rsid w:val="0096317F"/>
    <w:rsid w:val="00963286"/>
    <w:rsid w:val="00963565"/>
    <w:rsid w:val="009636B5"/>
    <w:rsid w:val="00963F09"/>
    <w:rsid w:val="00964362"/>
    <w:rsid w:val="009647E6"/>
    <w:rsid w:val="0096495E"/>
    <w:rsid w:val="00964D85"/>
    <w:rsid w:val="00964DF2"/>
    <w:rsid w:val="0096502D"/>
    <w:rsid w:val="00965132"/>
    <w:rsid w:val="009658E3"/>
    <w:rsid w:val="009659DF"/>
    <w:rsid w:val="00965AF1"/>
    <w:rsid w:val="00965D41"/>
    <w:rsid w:val="00966547"/>
    <w:rsid w:val="00966935"/>
    <w:rsid w:val="00966B76"/>
    <w:rsid w:val="00966F4F"/>
    <w:rsid w:val="00967BD7"/>
    <w:rsid w:val="00967EA3"/>
    <w:rsid w:val="00970348"/>
    <w:rsid w:val="0097057A"/>
    <w:rsid w:val="0097108B"/>
    <w:rsid w:val="00971637"/>
    <w:rsid w:val="0097164A"/>
    <w:rsid w:val="0097218E"/>
    <w:rsid w:val="009721CC"/>
    <w:rsid w:val="009722DA"/>
    <w:rsid w:val="009728D5"/>
    <w:rsid w:val="00972BD5"/>
    <w:rsid w:val="00972D95"/>
    <w:rsid w:val="0097318D"/>
    <w:rsid w:val="009731F8"/>
    <w:rsid w:val="00973F8F"/>
    <w:rsid w:val="00974359"/>
    <w:rsid w:val="009746AB"/>
    <w:rsid w:val="009749E9"/>
    <w:rsid w:val="0097532C"/>
    <w:rsid w:val="009754D9"/>
    <w:rsid w:val="0097561E"/>
    <w:rsid w:val="00975800"/>
    <w:rsid w:val="00975A62"/>
    <w:rsid w:val="00975E0E"/>
    <w:rsid w:val="00975F30"/>
    <w:rsid w:val="00975F4D"/>
    <w:rsid w:val="0097609A"/>
    <w:rsid w:val="00976458"/>
    <w:rsid w:val="00976767"/>
    <w:rsid w:val="00976AC7"/>
    <w:rsid w:val="00976FAE"/>
    <w:rsid w:val="00977A2D"/>
    <w:rsid w:val="00977FC3"/>
    <w:rsid w:val="00980284"/>
    <w:rsid w:val="0098030D"/>
    <w:rsid w:val="00980537"/>
    <w:rsid w:val="00980B14"/>
    <w:rsid w:val="00980B18"/>
    <w:rsid w:val="009811D9"/>
    <w:rsid w:val="009816F7"/>
    <w:rsid w:val="009817E5"/>
    <w:rsid w:val="00981DB6"/>
    <w:rsid w:val="00981DEE"/>
    <w:rsid w:val="0098225E"/>
    <w:rsid w:val="009825AD"/>
    <w:rsid w:val="009826CC"/>
    <w:rsid w:val="009826E2"/>
    <w:rsid w:val="0098282A"/>
    <w:rsid w:val="0098283A"/>
    <w:rsid w:val="00982AB6"/>
    <w:rsid w:val="00982F24"/>
    <w:rsid w:val="00982FA9"/>
    <w:rsid w:val="00983041"/>
    <w:rsid w:val="00983521"/>
    <w:rsid w:val="009836CE"/>
    <w:rsid w:val="0098442E"/>
    <w:rsid w:val="009845E4"/>
    <w:rsid w:val="009847C2"/>
    <w:rsid w:val="0098487A"/>
    <w:rsid w:val="00984B13"/>
    <w:rsid w:val="00985261"/>
    <w:rsid w:val="00985731"/>
    <w:rsid w:val="00985908"/>
    <w:rsid w:val="00985B3C"/>
    <w:rsid w:val="00985E35"/>
    <w:rsid w:val="009869B0"/>
    <w:rsid w:val="00986B77"/>
    <w:rsid w:val="00986E1C"/>
    <w:rsid w:val="00986EF5"/>
    <w:rsid w:val="009871EE"/>
    <w:rsid w:val="009872EC"/>
    <w:rsid w:val="0098732E"/>
    <w:rsid w:val="0098749A"/>
    <w:rsid w:val="00987A28"/>
    <w:rsid w:val="00987BE7"/>
    <w:rsid w:val="00990919"/>
    <w:rsid w:val="00990CBE"/>
    <w:rsid w:val="00991132"/>
    <w:rsid w:val="0099139A"/>
    <w:rsid w:val="0099231B"/>
    <w:rsid w:val="0099231E"/>
    <w:rsid w:val="009929D0"/>
    <w:rsid w:val="00992BFE"/>
    <w:rsid w:val="00992C9E"/>
    <w:rsid w:val="00992D38"/>
    <w:rsid w:val="00992FEF"/>
    <w:rsid w:val="00993274"/>
    <w:rsid w:val="0099360F"/>
    <w:rsid w:val="00993746"/>
    <w:rsid w:val="009939E7"/>
    <w:rsid w:val="00993A9F"/>
    <w:rsid w:val="00993BA6"/>
    <w:rsid w:val="00993E8E"/>
    <w:rsid w:val="00994039"/>
    <w:rsid w:val="0099425B"/>
    <w:rsid w:val="0099426E"/>
    <w:rsid w:val="009944FC"/>
    <w:rsid w:val="00994567"/>
    <w:rsid w:val="00994680"/>
    <w:rsid w:val="009946B0"/>
    <w:rsid w:val="00994A84"/>
    <w:rsid w:val="00994E46"/>
    <w:rsid w:val="00994EAA"/>
    <w:rsid w:val="009955EA"/>
    <w:rsid w:val="0099567E"/>
    <w:rsid w:val="00995682"/>
    <w:rsid w:val="00995867"/>
    <w:rsid w:val="00995885"/>
    <w:rsid w:val="009959F7"/>
    <w:rsid w:val="00995B47"/>
    <w:rsid w:val="00995B4C"/>
    <w:rsid w:val="00996136"/>
    <w:rsid w:val="0099658E"/>
    <w:rsid w:val="009969D3"/>
    <w:rsid w:val="00996A5C"/>
    <w:rsid w:val="0099723B"/>
    <w:rsid w:val="00997387"/>
    <w:rsid w:val="00997B6D"/>
    <w:rsid w:val="00997CBE"/>
    <w:rsid w:val="00997E97"/>
    <w:rsid w:val="009A0274"/>
    <w:rsid w:val="009A03ED"/>
    <w:rsid w:val="009A0418"/>
    <w:rsid w:val="009A049B"/>
    <w:rsid w:val="009A0989"/>
    <w:rsid w:val="009A0998"/>
    <w:rsid w:val="009A0A8D"/>
    <w:rsid w:val="009A0F5E"/>
    <w:rsid w:val="009A156C"/>
    <w:rsid w:val="009A1988"/>
    <w:rsid w:val="009A19A2"/>
    <w:rsid w:val="009A1E68"/>
    <w:rsid w:val="009A2173"/>
    <w:rsid w:val="009A219E"/>
    <w:rsid w:val="009A2581"/>
    <w:rsid w:val="009A266C"/>
    <w:rsid w:val="009A2922"/>
    <w:rsid w:val="009A2AB5"/>
    <w:rsid w:val="009A32A0"/>
    <w:rsid w:val="009A3435"/>
    <w:rsid w:val="009A34BC"/>
    <w:rsid w:val="009A35A2"/>
    <w:rsid w:val="009A3602"/>
    <w:rsid w:val="009A39DB"/>
    <w:rsid w:val="009A3A2E"/>
    <w:rsid w:val="009A3A2F"/>
    <w:rsid w:val="009A3DE8"/>
    <w:rsid w:val="009A3EA2"/>
    <w:rsid w:val="009A4172"/>
    <w:rsid w:val="009A451F"/>
    <w:rsid w:val="009A4530"/>
    <w:rsid w:val="009A4983"/>
    <w:rsid w:val="009A4C22"/>
    <w:rsid w:val="009A4E65"/>
    <w:rsid w:val="009A4FB5"/>
    <w:rsid w:val="009A5058"/>
    <w:rsid w:val="009A50E7"/>
    <w:rsid w:val="009A5150"/>
    <w:rsid w:val="009A540A"/>
    <w:rsid w:val="009A581E"/>
    <w:rsid w:val="009A5C70"/>
    <w:rsid w:val="009A5DF9"/>
    <w:rsid w:val="009A5EC5"/>
    <w:rsid w:val="009A6AF6"/>
    <w:rsid w:val="009A723A"/>
    <w:rsid w:val="009A760D"/>
    <w:rsid w:val="009A79AB"/>
    <w:rsid w:val="009A7AD3"/>
    <w:rsid w:val="009A7ADC"/>
    <w:rsid w:val="009A7BC5"/>
    <w:rsid w:val="009A7BD7"/>
    <w:rsid w:val="009B0238"/>
    <w:rsid w:val="009B045B"/>
    <w:rsid w:val="009B07B2"/>
    <w:rsid w:val="009B094B"/>
    <w:rsid w:val="009B1015"/>
    <w:rsid w:val="009B11C4"/>
    <w:rsid w:val="009B15E3"/>
    <w:rsid w:val="009B1C7C"/>
    <w:rsid w:val="009B207F"/>
    <w:rsid w:val="009B2850"/>
    <w:rsid w:val="009B2989"/>
    <w:rsid w:val="009B2D6B"/>
    <w:rsid w:val="009B3016"/>
    <w:rsid w:val="009B302C"/>
    <w:rsid w:val="009B37A6"/>
    <w:rsid w:val="009B3AE9"/>
    <w:rsid w:val="009B3EF7"/>
    <w:rsid w:val="009B3F16"/>
    <w:rsid w:val="009B4879"/>
    <w:rsid w:val="009B4B4F"/>
    <w:rsid w:val="009B5493"/>
    <w:rsid w:val="009B5494"/>
    <w:rsid w:val="009B6B8F"/>
    <w:rsid w:val="009B75CC"/>
    <w:rsid w:val="009B7836"/>
    <w:rsid w:val="009B7A83"/>
    <w:rsid w:val="009B7D22"/>
    <w:rsid w:val="009C04C3"/>
    <w:rsid w:val="009C0573"/>
    <w:rsid w:val="009C05A7"/>
    <w:rsid w:val="009C05B3"/>
    <w:rsid w:val="009C0767"/>
    <w:rsid w:val="009C07F2"/>
    <w:rsid w:val="009C08B1"/>
    <w:rsid w:val="009C08D5"/>
    <w:rsid w:val="009C0A4E"/>
    <w:rsid w:val="009C0D17"/>
    <w:rsid w:val="009C11C1"/>
    <w:rsid w:val="009C1964"/>
    <w:rsid w:val="009C2093"/>
    <w:rsid w:val="009C2568"/>
    <w:rsid w:val="009C2752"/>
    <w:rsid w:val="009C290F"/>
    <w:rsid w:val="009C2964"/>
    <w:rsid w:val="009C2E31"/>
    <w:rsid w:val="009C3719"/>
    <w:rsid w:val="009C392E"/>
    <w:rsid w:val="009C3BB0"/>
    <w:rsid w:val="009C3CE8"/>
    <w:rsid w:val="009C3CFC"/>
    <w:rsid w:val="009C3DF8"/>
    <w:rsid w:val="009C407D"/>
    <w:rsid w:val="009C449D"/>
    <w:rsid w:val="009C44AB"/>
    <w:rsid w:val="009C4EEC"/>
    <w:rsid w:val="009C50FE"/>
    <w:rsid w:val="009C512B"/>
    <w:rsid w:val="009C52B9"/>
    <w:rsid w:val="009C534E"/>
    <w:rsid w:val="009C55EA"/>
    <w:rsid w:val="009C5AAA"/>
    <w:rsid w:val="009C5AB3"/>
    <w:rsid w:val="009C5E6E"/>
    <w:rsid w:val="009C5EF1"/>
    <w:rsid w:val="009C62FF"/>
    <w:rsid w:val="009C64C6"/>
    <w:rsid w:val="009C7305"/>
    <w:rsid w:val="009C780A"/>
    <w:rsid w:val="009C7AE4"/>
    <w:rsid w:val="009D0ADD"/>
    <w:rsid w:val="009D10B8"/>
    <w:rsid w:val="009D1D4D"/>
    <w:rsid w:val="009D234F"/>
    <w:rsid w:val="009D2383"/>
    <w:rsid w:val="009D2A28"/>
    <w:rsid w:val="009D394B"/>
    <w:rsid w:val="009D3C8B"/>
    <w:rsid w:val="009D3CB4"/>
    <w:rsid w:val="009D3D4B"/>
    <w:rsid w:val="009D3DF4"/>
    <w:rsid w:val="009D3E4A"/>
    <w:rsid w:val="009D413D"/>
    <w:rsid w:val="009D48C2"/>
    <w:rsid w:val="009D494E"/>
    <w:rsid w:val="009D49F9"/>
    <w:rsid w:val="009D5721"/>
    <w:rsid w:val="009D58DE"/>
    <w:rsid w:val="009D5947"/>
    <w:rsid w:val="009D59F3"/>
    <w:rsid w:val="009D5B0C"/>
    <w:rsid w:val="009D6642"/>
    <w:rsid w:val="009D68E5"/>
    <w:rsid w:val="009D6B87"/>
    <w:rsid w:val="009D6DB5"/>
    <w:rsid w:val="009D6F10"/>
    <w:rsid w:val="009D6FEA"/>
    <w:rsid w:val="009D720F"/>
    <w:rsid w:val="009D729A"/>
    <w:rsid w:val="009D7814"/>
    <w:rsid w:val="009D7AC5"/>
    <w:rsid w:val="009D7AD4"/>
    <w:rsid w:val="009D7FE6"/>
    <w:rsid w:val="009E0195"/>
    <w:rsid w:val="009E073D"/>
    <w:rsid w:val="009E0C11"/>
    <w:rsid w:val="009E1347"/>
    <w:rsid w:val="009E13AB"/>
    <w:rsid w:val="009E1C50"/>
    <w:rsid w:val="009E21FC"/>
    <w:rsid w:val="009E252D"/>
    <w:rsid w:val="009E2A7E"/>
    <w:rsid w:val="009E2F9F"/>
    <w:rsid w:val="009E3287"/>
    <w:rsid w:val="009E335B"/>
    <w:rsid w:val="009E355E"/>
    <w:rsid w:val="009E35C0"/>
    <w:rsid w:val="009E35F5"/>
    <w:rsid w:val="009E3A97"/>
    <w:rsid w:val="009E3CD1"/>
    <w:rsid w:val="009E4383"/>
    <w:rsid w:val="009E4570"/>
    <w:rsid w:val="009E4640"/>
    <w:rsid w:val="009E46ED"/>
    <w:rsid w:val="009E4B63"/>
    <w:rsid w:val="009E4B90"/>
    <w:rsid w:val="009E4D59"/>
    <w:rsid w:val="009E50D4"/>
    <w:rsid w:val="009E54FE"/>
    <w:rsid w:val="009E57F1"/>
    <w:rsid w:val="009E5A8C"/>
    <w:rsid w:val="009E5B62"/>
    <w:rsid w:val="009E64C3"/>
    <w:rsid w:val="009E659E"/>
    <w:rsid w:val="009E6727"/>
    <w:rsid w:val="009E67AB"/>
    <w:rsid w:val="009E6820"/>
    <w:rsid w:val="009E6828"/>
    <w:rsid w:val="009E6A78"/>
    <w:rsid w:val="009E7078"/>
    <w:rsid w:val="009E70C8"/>
    <w:rsid w:val="009E74E1"/>
    <w:rsid w:val="009E7814"/>
    <w:rsid w:val="009E79FD"/>
    <w:rsid w:val="009E7C1C"/>
    <w:rsid w:val="009E7D2D"/>
    <w:rsid w:val="009F011B"/>
    <w:rsid w:val="009F0A66"/>
    <w:rsid w:val="009F0A97"/>
    <w:rsid w:val="009F1B5A"/>
    <w:rsid w:val="009F1B75"/>
    <w:rsid w:val="009F1F72"/>
    <w:rsid w:val="009F1F78"/>
    <w:rsid w:val="009F27A8"/>
    <w:rsid w:val="009F2976"/>
    <w:rsid w:val="009F3749"/>
    <w:rsid w:val="009F38BE"/>
    <w:rsid w:val="009F3E54"/>
    <w:rsid w:val="009F409B"/>
    <w:rsid w:val="009F4831"/>
    <w:rsid w:val="009F497F"/>
    <w:rsid w:val="009F499D"/>
    <w:rsid w:val="009F5174"/>
    <w:rsid w:val="009F51FD"/>
    <w:rsid w:val="009F534E"/>
    <w:rsid w:val="009F56B5"/>
    <w:rsid w:val="009F5770"/>
    <w:rsid w:val="009F59BB"/>
    <w:rsid w:val="009F5AA5"/>
    <w:rsid w:val="009F5CBB"/>
    <w:rsid w:val="009F64AB"/>
    <w:rsid w:val="009F6F6C"/>
    <w:rsid w:val="009F742F"/>
    <w:rsid w:val="009F7504"/>
    <w:rsid w:val="009F7544"/>
    <w:rsid w:val="009F7765"/>
    <w:rsid w:val="009F7890"/>
    <w:rsid w:val="009F7C2A"/>
    <w:rsid w:val="009F7C3F"/>
    <w:rsid w:val="009F7CEC"/>
    <w:rsid w:val="00A001B4"/>
    <w:rsid w:val="00A001C8"/>
    <w:rsid w:val="00A00212"/>
    <w:rsid w:val="00A00D4E"/>
    <w:rsid w:val="00A010C3"/>
    <w:rsid w:val="00A01425"/>
    <w:rsid w:val="00A01464"/>
    <w:rsid w:val="00A01835"/>
    <w:rsid w:val="00A018BD"/>
    <w:rsid w:val="00A01AAD"/>
    <w:rsid w:val="00A01ABD"/>
    <w:rsid w:val="00A01C37"/>
    <w:rsid w:val="00A02179"/>
    <w:rsid w:val="00A02189"/>
    <w:rsid w:val="00A02A04"/>
    <w:rsid w:val="00A02DD1"/>
    <w:rsid w:val="00A02FE9"/>
    <w:rsid w:val="00A032AC"/>
    <w:rsid w:val="00A03C48"/>
    <w:rsid w:val="00A03CF5"/>
    <w:rsid w:val="00A0460D"/>
    <w:rsid w:val="00A04641"/>
    <w:rsid w:val="00A04789"/>
    <w:rsid w:val="00A04810"/>
    <w:rsid w:val="00A0486C"/>
    <w:rsid w:val="00A04E4A"/>
    <w:rsid w:val="00A0514C"/>
    <w:rsid w:val="00A05613"/>
    <w:rsid w:val="00A05679"/>
    <w:rsid w:val="00A05732"/>
    <w:rsid w:val="00A05CE1"/>
    <w:rsid w:val="00A05F28"/>
    <w:rsid w:val="00A06083"/>
    <w:rsid w:val="00A06483"/>
    <w:rsid w:val="00A067DC"/>
    <w:rsid w:val="00A068CD"/>
    <w:rsid w:val="00A06B36"/>
    <w:rsid w:val="00A06B94"/>
    <w:rsid w:val="00A070F7"/>
    <w:rsid w:val="00A0712B"/>
    <w:rsid w:val="00A07252"/>
    <w:rsid w:val="00A07320"/>
    <w:rsid w:val="00A07575"/>
    <w:rsid w:val="00A07940"/>
    <w:rsid w:val="00A07BFC"/>
    <w:rsid w:val="00A07F03"/>
    <w:rsid w:val="00A10038"/>
    <w:rsid w:val="00A10495"/>
    <w:rsid w:val="00A10D65"/>
    <w:rsid w:val="00A11260"/>
    <w:rsid w:val="00A11B8A"/>
    <w:rsid w:val="00A11B90"/>
    <w:rsid w:val="00A11F5A"/>
    <w:rsid w:val="00A123F0"/>
    <w:rsid w:val="00A126EF"/>
    <w:rsid w:val="00A126F4"/>
    <w:rsid w:val="00A12725"/>
    <w:rsid w:val="00A12EB8"/>
    <w:rsid w:val="00A1313F"/>
    <w:rsid w:val="00A14535"/>
    <w:rsid w:val="00A145AB"/>
    <w:rsid w:val="00A14976"/>
    <w:rsid w:val="00A14C53"/>
    <w:rsid w:val="00A14E13"/>
    <w:rsid w:val="00A150BF"/>
    <w:rsid w:val="00A15399"/>
    <w:rsid w:val="00A154D4"/>
    <w:rsid w:val="00A1552E"/>
    <w:rsid w:val="00A15634"/>
    <w:rsid w:val="00A1576B"/>
    <w:rsid w:val="00A1589B"/>
    <w:rsid w:val="00A1635F"/>
    <w:rsid w:val="00A1636F"/>
    <w:rsid w:val="00A166B7"/>
    <w:rsid w:val="00A16A90"/>
    <w:rsid w:val="00A17300"/>
    <w:rsid w:val="00A17505"/>
    <w:rsid w:val="00A17794"/>
    <w:rsid w:val="00A205E9"/>
    <w:rsid w:val="00A20708"/>
    <w:rsid w:val="00A207D0"/>
    <w:rsid w:val="00A20A78"/>
    <w:rsid w:val="00A20CBA"/>
    <w:rsid w:val="00A20D65"/>
    <w:rsid w:val="00A219EF"/>
    <w:rsid w:val="00A21B70"/>
    <w:rsid w:val="00A22054"/>
    <w:rsid w:val="00A22125"/>
    <w:rsid w:val="00A222BE"/>
    <w:rsid w:val="00A225C1"/>
    <w:rsid w:val="00A225E1"/>
    <w:rsid w:val="00A22670"/>
    <w:rsid w:val="00A228AA"/>
    <w:rsid w:val="00A23069"/>
    <w:rsid w:val="00A2322E"/>
    <w:rsid w:val="00A2335F"/>
    <w:rsid w:val="00A2399A"/>
    <w:rsid w:val="00A23DEB"/>
    <w:rsid w:val="00A23DEF"/>
    <w:rsid w:val="00A23FD8"/>
    <w:rsid w:val="00A243A8"/>
    <w:rsid w:val="00A245F0"/>
    <w:rsid w:val="00A24C93"/>
    <w:rsid w:val="00A250BE"/>
    <w:rsid w:val="00A250E6"/>
    <w:rsid w:val="00A252C8"/>
    <w:rsid w:val="00A253CC"/>
    <w:rsid w:val="00A2578E"/>
    <w:rsid w:val="00A25E7C"/>
    <w:rsid w:val="00A25F66"/>
    <w:rsid w:val="00A260C8"/>
    <w:rsid w:val="00A26131"/>
    <w:rsid w:val="00A26198"/>
    <w:rsid w:val="00A26563"/>
    <w:rsid w:val="00A268E8"/>
    <w:rsid w:val="00A27726"/>
    <w:rsid w:val="00A277D1"/>
    <w:rsid w:val="00A27A76"/>
    <w:rsid w:val="00A307A6"/>
    <w:rsid w:val="00A308CA"/>
    <w:rsid w:val="00A308D2"/>
    <w:rsid w:val="00A30A5E"/>
    <w:rsid w:val="00A30E43"/>
    <w:rsid w:val="00A30FDB"/>
    <w:rsid w:val="00A3142C"/>
    <w:rsid w:val="00A318A3"/>
    <w:rsid w:val="00A31A5F"/>
    <w:rsid w:val="00A31F85"/>
    <w:rsid w:val="00A320C7"/>
    <w:rsid w:val="00A3218E"/>
    <w:rsid w:val="00A322F9"/>
    <w:rsid w:val="00A32967"/>
    <w:rsid w:val="00A32E63"/>
    <w:rsid w:val="00A3362A"/>
    <w:rsid w:val="00A33694"/>
    <w:rsid w:val="00A336F7"/>
    <w:rsid w:val="00A33AE4"/>
    <w:rsid w:val="00A33C4D"/>
    <w:rsid w:val="00A34081"/>
    <w:rsid w:val="00A3455F"/>
    <w:rsid w:val="00A345ED"/>
    <w:rsid w:val="00A347B1"/>
    <w:rsid w:val="00A3483E"/>
    <w:rsid w:val="00A34F04"/>
    <w:rsid w:val="00A35497"/>
    <w:rsid w:val="00A35666"/>
    <w:rsid w:val="00A35968"/>
    <w:rsid w:val="00A36A97"/>
    <w:rsid w:val="00A36B26"/>
    <w:rsid w:val="00A372E7"/>
    <w:rsid w:val="00A3788A"/>
    <w:rsid w:val="00A3798C"/>
    <w:rsid w:val="00A37C1E"/>
    <w:rsid w:val="00A37C8E"/>
    <w:rsid w:val="00A37CAE"/>
    <w:rsid w:val="00A37F29"/>
    <w:rsid w:val="00A37FD8"/>
    <w:rsid w:val="00A40080"/>
    <w:rsid w:val="00A403AA"/>
    <w:rsid w:val="00A403DB"/>
    <w:rsid w:val="00A4079B"/>
    <w:rsid w:val="00A40830"/>
    <w:rsid w:val="00A40A75"/>
    <w:rsid w:val="00A40C09"/>
    <w:rsid w:val="00A40E64"/>
    <w:rsid w:val="00A410AE"/>
    <w:rsid w:val="00A412E1"/>
    <w:rsid w:val="00A418A2"/>
    <w:rsid w:val="00A4194C"/>
    <w:rsid w:val="00A41C3A"/>
    <w:rsid w:val="00A41D2B"/>
    <w:rsid w:val="00A41D8D"/>
    <w:rsid w:val="00A41F6E"/>
    <w:rsid w:val="00A42770"/>
    <w:rsid w:val="00A4283A"/>
    <w:rsid w:val="00A42B8A"/>
    <w:rsid w:val="00A42E52"/>
    <w:rsid w:val="00A434A8"/>
    <w:rsid w:val="00A439F8"/>
    <w:rsid w:val="00A4408E"/>
    <w:rsid w:val="00A4409E"/>
    <w:rsid w:val="00A440DE"/>
    <w:rsid w:val="00A44519"/>
    <w:rsid w:val="00A44751"/>
    <w:rsid w:val="00A449EB"/>
    <w:rsid w:val="00A44CB9"/>
    <w:rsid w:val="00A44F44"/>
    <w:rsid w:val="00A45AE7"/>
    <w:rsid w:val="00A4610F"/>
    <w:rsid w:val="00A46143"/>
    <w:rsid w:val="00A461C6"/>
    <w:rsid w:val="00A4627B"/>
    <w:rsid w:val="00A466FC"/>
    <w:rsid w:val="00A4672C"/>
    <w:rsid w:val="00A46C83"/>
    <w:rsid w:val="00A471C0"/>
    <w:rsid w:val="00A47298"/>
    <w:rsid w:val="00A472A6"/>
    <w:rsid w:val="00A47CF7"/>
    <w:rsid w:val="00A47F0A"/>
    <w:rsid w:val="00A47F28"/>
    <w:rsid w:val="00A50BBA"/>
    <w:rsid w:val="00A50ED0"/>
    <w:rsid w:val="00A50FF9"/>
    <w:rsid w:val="00A52236"/>
    <w:rsid w:val="00A52313"/>
    <w:rsid w:val="00A52537"/>
    <w:rsid w:val="00A527FE"/>
    <w:rsid w:val="00A52A18"/>
    <w:rsid w:val="00A52EBE"/>
    <w:rsid w:val="00A53172"/>
    <w:rsid w:val="00A533D6"/>
    <w:rsid w:val="00A53712"/>
    <w:rsid w:val="00A539AA"/>
    <w:rsid w:val="00A53B8B"/>
    <w:rsid w:val="00A53F10"/>
    <w:rsid w:val="00A54080"/>
    <w:rsid w:val="00A541D3"/>
    <w:rsid w:val="00A54497"/>
    <w:rsid w:val="00A5469E"/>
    <w:rsid w:val="00A54728"/>
    <w:rsid w:val="00A54863"/>
    <w:rsid w:val="00A54968"/>
    <w:rsid w:val="00A549A5"/>
    <w:rsid w:val="00A54E40"/>
    <w:rsid w:val="00A550C2"/>
    <w:rsid w:val="00A55C0C"/>
    <w:rsid w:val="00A55CEA"/>
    <w:rsid w:val="00A55EB0"/>
    <w:rsid w:val="00A5612C"/>
    <w:rsid w:val="00A566DC"/>
    <w:rsid w:val="00A56B6E"/>
    <w:rsid w:val="00A56CCF"/>
    <w:rsid w:val="00A56F9E"/>
    <w:rsid w:val="00A576E2"/>
    <w:rsid w:val="00A57730"/>
    <w:rsid w:val="00A57933"/>
    <w:rsid w:val="00A57949"/>
    <w:rsid w:val="00A57B22"/>
    <w:rsid w:val="00A57DF7"/>
    <w:rsid w:val="00A57E3D"/>
    <w:rsid w:val="00A603F0"/>
    <w:rsid w:val="00A60B46"/>
    <w:rsid w:val="00A610C1"/>
    <w:rsid w:val="00A611E3"/>
    <w:rsid w:val="00A61CE9"/>
    <w:rsid w:val="00A61F8E"/>
    <w:rsid w:val="00A623CB"/>
    <w:rsid w:val="00A626DF"/>
    <w:rsid w:val="00A6272B"/>
    <w:rsid w:val="00A62902"/>
    <w:rsid w:val="00A629D9"/>
    <w:rsid w:val="00A62A61"/>
    <w:rsid w:val="00A62CA3"/>
    <w:rsid w:val="00A63023"/>
    <w:rsid w:val="00A63433"/>
    <w:rsid w:val="00A63A2B"/>
    <w:rsid w:val="00A63A94"/>
    <w:rsid w:val="00A63FD1"/>
    <w:rsid w:val="00A64161"/>
    <w:rsid w:val="00A64806"/>
    <w:rsid w:val="00A64E3B"/>
    <w:rsid w:val="00A64F36"/>
    <w:rsid w:val="00A64FFA"/>
    <w:rsid w:val="00A6583D"/>
    <w:rsid w:val="00A66329"/>
    <w:rsid w:val="00A663B0"/>
    <w:rsid w:val="00A66451"/>
    <w:rsid w:val="00A664FA"/>
    <w:rsid w:val="00A66559"/>
    <w:rsid w:val="00A6692B"/>
    <w:rsid w:val="00A677C2"/>
    <w:rsid w:val="00A70054"/>
    <w:rsid w:val="00A70128"/>
    <w:rsid w:val="00A703B5"/>
    <w:rsid w:val="00A706E9"/>
    <w:rsid w:val="00A70B15"/>
    <w:rsid w:val="00A70B6F"/>
    <w:rsid w:val="00A70C12"/>
    <w:rsid w:val="00A7160F"/>
    <w:rsid w:val="00A71724"/>
    <w:rsid w:val="00A717C5"/>
    <w:rsid w:val="00A71810"/>
    <w:rsid w:val="00A71B2A"/>
    <w:rsid w:val="00A71B57"/>
    <w:rsid w:val="00A71C50"/>
    <w:rsid w:val="00A71DDD"/>
    <w:rsid w:val="00A72975"/>
    <w:rsid w:val="00A72DAE"/>
    <w:rsid w:val="00A7304E"/>
    <w:rsid w:val="00A73D4C"/>
    <w:rsid w:val="00A745E3"/>
    <w:rsid w:val="00A74621"/>
    <w:rsid w:val="00A74657"/>
    <w:rsid w:val="00A746BC"/>
    <w:rsid w:val="00A74941"/>
    <w:rsid w:val="00A74B08"/>
    <w:rsid w:val="00A74B3F"/>
    <w:rsid w:val="00A74D27"/>
    <w:rsid w:val="00A74EFB"/>
    <w:rsid w:val="00A75791"/>
    <w:rsid w:val="00A757FD"/>
    <w:rsid w:val="00A75A79"/>
    <w:rsid w:val="00A75BEC"/>
    <w:rsid w:val="00A76086"/>
    <w:rsid w:val="00A761AD"/>
    <w:rsid w:val="00A76354"/>
    <w:rsid w:val="00A764DC"/>
    <w:rsid w:val="00A76511"/>
    <w:rsid w:val="00A76621"/>
    <w:rsid w:val="00A7677F"/>
    <w:rsid w:val="00A767F4"/>
    <w:rsid w:val="00A76833"/>
    <w:rsid w:val="00A76C7E"/>
    <w:rsid w:val="00A76D18"/>
    <w:rsid w:val="00A76DF4"/>
    <w:rsid w:val="00A771E2"/>
    <w:rsid w:val="00A77373"/>
    <w:rsid w:val="00A774FC"/>
    <w:rsid w:val="00A77C15"/>
    <w:rsid w:val="00A77C6C"/>
    <w:rsid w:val="00A77E4D"/>
    <w:rsid w:val="00A77F27"/>
    <w:rsid w:val="00A80768"/>
    <w:rsid w:val="00A8096F"/>
    <w:rsid w:val="00A81169"/>
    <w:rsid w:val="00A814E0"/>
    <w:rsid w:val="00A81979"/>
    <w:rsid w:val="00A81ADC"/>
    <w:rsid w:val="00A81B62"/>
    <w:rsid w:val="00A81C9A"/>
    <w:rsid w:val="00A81DDD"/>
    <w:rsid w:val="00A82E0E"/>
    <w:rsid w:val="00A83110"/>
    <w:rsid w:val="00A8327F"/>
    <w:rsid w:val="00A83551"/>
    <w:rsid w:val="00A83612"/>
    <w:rsid w:val="00A8379E"/>
    <w:rsid w:val="00A838AA"/>
    <w:rsid w:val="00A838C8"/>
    <w:rsid w:val="00A83A05"/>
    <w:rsid w:val="00A83AA5"/>
    <w:rsid w:val="00A83CD8"/>
    <w:rsid w:val="00A842E7"/>
    <w:rsid w:val="00A8432C"/>
    <w:rsid w:val="00A846E8"/>
    <w:rsid w:val="00A84780"/>
    <w:rsid w:val="00A84AC9"/>
    <w:rsid w:val="00A84EE0"/>
    <w:rsid w:val="00A851ED"/>
    <w:rsid w:val="00A854B1"/>
    <w:rsid w:val="00A85550"/>
    <w:rsid w:val="00A8585A"/>
    <w:rsid w:val="00A858ED"/>
    <w:rsid w:val="00A8593B"/>
    <w:rsid w:val="00A85B04"/>
    <w:rsid w:val="00A85E4A"/>
    <w:rsid w:val="00A85F04"/>
    <w:rsid w:val="00A86176"/>
    <w:rsid w:val="00A863B5"/>
    <w:rsid w:val="00A868AD"/>
    <w:rsid w:val="00A869AB"/>
    <w:rsid w:val="00A87552"/>
    <w:rsid w:val="00A876B8"/>
    <w:rsid w:val="00A876C0"/>
    <w:rsid w:val="00A87B37"/>
    <w:rsid w:val="00A87CFC"/>
    <w:rsid w:val="00A87E0B"/>
    <w:rsid w:val="00A901DD"/>
    <w:rsid w:val="00A90270"/>
    <w:rsid w:val="00A90318"/>
    <w:rsid w:val="00A90610"/>
    <w:rsid w:val="00A90EEE"/>
    <w:rsid w:val="00A91105"/>
    <w:rsid w:val="00A91210"/>
    <w:rsid w:val="00A91575"/>
    <w:rsid w:val="00A91639"/>
    <w:rsid w:val="00A9200F"/>
    <w:rsid w:val="00A920A9"/>
    <w:rsid w:val="00A923E3"/>
    <w:rsid w:val="00A927CA"/>
    <w:rsid w:val="00A92847"/>
    <w:rsid w:val="00A92924"/>
    <w:rsid w:val="00A92A49"/>
    <w:rsid w:val="00A92D19"/>
    <w:rsid w:val="00A92EB2"/>
    <w:rsid w:val="00A9372B"/>
    <w:rsid w:val="00A937EA"/>
    <w:rsid w:val="00A93938"/>
    <w:rsid w:val="00A93B42"/>
    <w:rsid w:val="00A93DA2"/>
    <w:rsid w:val="00A93EBE"/>
    <w:rsid w:val="00A93F43"/>
    <w:rsid w:val="00A94265"/>
    <w:rsid w:val="00A943E9"/>
    <w:rsid w:val="00A945E7"/>
    <w:rsid w:val="00A947F2"/>
    <w:rsid w:val="00A94995"/>
    <w:rsid w:val="00A94AFC"/>
    <w:rsid w:val="00A94DE1"/>
    <w:rsid w:val="00A94FD7"/>
    <w:rsid w:val="00A95426"/>
    <w:rsid w:val="00A9591B"/>
    <w:rsid w:val="00A95974"/>
    <w:rsid w:val="00A959B0"/>
    <w:rsid w:val="00A960D3"/>
    <w:rsid w:val="00A96511"/>
    <w:rsid w:val="00A965C4"/>
    <w:rsid w:val="00A96784"/>
    <w:rsid w:val="00A96A53"/>
    <w:rsid w:val="00A96B32"/>
    <w:rsid w:val="00A96B40"/>
    <w:rsid w:val="00A96DA2"/>
    <w:rsid w:val="00A96F05"/>
    <w:rsid w:val="00A96FE6"/>
    <w:rsid w:val="00A9784E"/>
    <w:rsid w:val="00A97B27"/>
    <w:rsid w:val="00AA0005"/>
    <w:rsid w:val="00AA019F"/>
    <w:rsid w:val="00AA04F3"/>
    <w:rsid w:val="00AA0811"/>
    <w:rsid w:val="00AA0BFE"/>
    <w:rsid w:val="00AA10D7"/>
    <w:rsid w:val="00AA11E8"/>
    <w:rsid w:val="00AA156E"/>
    <w:rsid w:val="00AA1753"/>
    <w:rsid w:val="00AA1A3F"/>
    <w:rsid w:val="00AA1BEC"/>
    <w:rsid w:val="00AA1C1A"/>
    <w:rsid w:val="00AA21FA"/>
    <w:rsid w:val="00AA2378"/>
    <w:rsid w:val="00AA2510"/>
    <w:rsid w:val="00AA2597"/>
    <w:rsid w:val="00AA2942"/>
    <w:rsid w:val="00AA3182"/>
    <w:rsid w:val="00AA38AE"/>
    <w:rsid w:val="00AA39FD"/>
    <w:rsid w:val="00AA432E"/>
    <w:rsid w:val="00AA447F"/>
    <w:rsid w:val="00AA51D2"/>
    <w:rsid w:val="00AA52BE"/>
    <w:rsid w:val="00AA5F1C"/>
    <w:rsid w:val="00AA61B4"/>
    <w:rsid w:val="00AA63EB"/>
    <w:rsid w:val="00AA6664"/>
    <w:rsid w:val="00AA696C"/>
    <w:rsid w:val="00AA6F7C"/>
    <w:rsid w:val="00AA71BC"/>
    <w:rsid w:val="00AA778C"/>
    <w:rsid w:val="00AA7DC4"/>
    <w:rsid w:val="00AB0419"/>
    <w:rsid w:val="00AB06C2"/>
    <w:rsid w:val="00AB0801"/>
    <w:rsid w:val="00AB096F"/>
    <w:rsid w:val="00AB09BC"/>
    <w:rsid w:val="00AB0CC7"/>
    <w:rsid w:val="00AB0EA9"/>
    <w:rsid w:val="00AB10D8"/>
    <w:rsid w:val="00AB150F"/>
    <w:rsid w:val="00AB1CB1"/>
    <w:rsid w:val="00AB1D77"/>
    <w:rsid w:val="00AB1DD1"/>
    <w:rsid w:val="00AB1E7C"/>
    <w:rsid w:val="00AB21B1"/>
    <w:rsid w:val="00AB2377"/>
    <w:rsid w:val="00AB2707"/>
    <w:rsid w:val="00AB27D7"/>
    <w:rsid w:val="00AB2ACC"/>
    <w:rsid w:val="00AB2E73"/>
    <w:rsid w:val="00AB2E90"/>
    <w:rsid w:val="00AB2F0D"/>
    <w:rsid w:val="00AB3132"/>
    <w:rsid w:val="00AB36E9"/>
    <w:rsid w:val="00AB380C"/>
    <w:rsid w:val="00AB39D8"/>
    <w:rsid w:val="00AB3BF1"/>
    <w:rsid w:val="00AB4B43"/>
    <w:rsid w:val="00AB4B8B"/>
    <w:rsid w:val="00AB4BA3"/>
    <w:rsid w:val="00AB4C41"/>
    <w:rsid w:val="00AB4C52"/>
    <w:rsid w:val="00AB4EEE"/>
    <w:rsid w:val="00AB5812"/>
    <w:rsid w:val="00AB588E"/>
    <w:rsid w:val="00AB5AB9"/>
    <w:rsid w:val="00AB5B83"/>
    <w:rsid w:val="00AB5D6A"/>
    <w:rsid w:val="00AB639E"/>
    <w:rsid w:val="00AB645F"/>
    <w:rsid w:val="00AB68DF"/>
    <w:rsid w:val="00AB6B67"/>
    <w:rsid w:val="00AB6CC6"/>
    <w:rsid w:val="00AB70F5"/>
    <w:rsid w:val="00AB71EE"/>
    <w:rsid w:val="00AB71F2"/>
    <w:rsid w:val="00AB7889"/>
    <w:rsid w:val="00AB7C96"/>
    <w:rsid w:val="00AB7FD5"/>
    <w:rsid w:val="00AC0151"/>
    <w:rsid w:val="00AC024F"/>
    <w:rsid w:val="00AC0456"/>
    <w:rsid w:val="00AC07EA"/>
    <w:rsid w:val="00AC0ED0"/>
    <w:rsid w:val="00AC199C"/>
    <w:rsid w:val="00AC1E35"/>
    <w:rsid w:val="00AC1EEC"/>
    <w:rsid w:val="00AC1F5D"/>
    <w:rsid w:val="00AC231A"/>
    <w:rsid w:val="00AC266A"/>
    <w:rsid w:val="00AC267D"/>
    <w:rsid w:val="00AC2716"/>
    <w:rsid w:val="00AC2729"/>
    <w:rsid w:val="00AC29A3"/>
    <w:rsid w:val="00AC29B6"/>
    <w:rsid w:val="00AC2A06"/>
    <w:rsid w:val="00AC35C2"/>
    <w:rsid w:val="00AC36BC"/>
    <w:rsid w:val="00AC36C6"/>
    <w:rsid w:val="00AC3BAE"/>
    <w:rsid w:val="00AC3FDB"/>
    <w:rsid w:val="00AC4053"/>
    <w:rsid w:val="00AC416E"/>
    <w:rsid w:val="00AC42B0"/>
    <w:rsid w:val="00AC459B"/>
    <w:rsid w:val="00AC45D8"/>
    <w:rsid w:val="00AC46AE"/>
    <w:rsid w:val="00AC497D"/>
    <w:rsid w:val="00AC4B64"/>
    <w:rsid w:val="00AC4FE6"/>
    <w:rsid w:val="00AC542E"/>
    <w:rsid w:val="00AC54FF"/>
    <w:rsid w:val="00AC582B"/>
    <w:rsid w:val="00AC5CDF"/>
    <w:rsid w:val="00AC5E06"/>
    <w:rsid w:val="00AC60CC"/>
    <w:rsid w:val="00AC6235"/>
    <w:rsid w:val="00AC63FC"/>
    <w:rsid w:val="00AC64F6"/>
    <w:rsid w:val="00AC6DFB"/>
    <w:rsid w:val="00AC732D"/>
    <w:rsid w:val="00AC7659"/>
    <w:rsid w:val="00AC7D97"/>
    <w:rsid w:val="00AC7F25"/>
    <w:rsid w:val="00AD00DF"/>
    <w:rsid w:val="00AD053B"/>
    <w:rsid w:val="00AD05BD"/>
    <w:rsid w:val="00AD06F5"/>
    <w:rsid w:val="00AD072E"/>
    <w:rsid w:val="00AD095E"/>
    <w:rsid w:val="00AD0E33"/>
    <w:rsid w:val="00AD133A"/>
    <w:rsid w:val="00AD1539"/>
    <w:rsid w:val="00AD1F0C"/>
    <w:rsid w:val="00AD20BB"/>
    <w:rsid w:val="00AD2216"/>
    <w:rsid w:val="00AD2472"/>
    <w:rsid w:val="00AD28CD"/>
    <w:rsid w:val="00AD2959"/>
    <w:rsid w:val="00AD2B68"/>
    <w:rsid w:val="00AD3336"/>
    <w:rsid w:val="00AD3419"/>
    <w:rsid w:val="00AD37FE"/>
    <w:rsid w:val="00AD385F"/>
    <w:rsid w:val="00AD393E"/>
    <w:rsid w:val="00AD3E09"/>
    <w:rsid w:val="00AD3EDE"/>
    <w:rsid w:val="00AD3FA8"/>
    <w:rsid w:val="00AD4116"/>
    <w:rsid w:val="00AD4413"/>
    <w:rsid w:val="00AD441E"/>
    <w:rsid w:val="00AD4456"/>
    <w:rsid w:val="00AD44E0"/>
    <w:rsid w:val="00AD4C5A"/>
    <w:rsid w:val="00AD4D6A"/>
    <w:rsid w:val="00AD4E4C"/>
    <w:rsid w:val="00AD525E"/>
    <w:rsid w:val="00AD53F4"/>
    <w:rsid w:val="00AD56E3"/>
    <w:rsid w:val="00AD5B28"/>
    <w:rsid w:val="00AD5CA7"/>
    <w:rsid w:val="00AD5CE9"/>
    <w:rsid w:val="00AD5E41"/>
    <w:rsid w:val="00AD656B"/>
    <w:rsid w:val="00AD68EB"/>
    <w:rsid w:val="00AD6CCD"/>
    <w:rsid w:val="00AD719E"/>
    <w:rsid w:val="00AD71C3"/>
    <w:rsid w:val="00AD7370"/>
    <w:rsid w:val="00AD77FF"/>
    <w:rsid w:val="00AD7E27"/>
    <w:rsid w:val="00AD7E82"/>
    <w:rsid w:val="00AD7F09"/>
    <w:rsid w:val="00AD7F9A"/>
    <w:rsid w:val="00AE01C0"/>
    <w:rsid w:val="00AE02D6"/>
    <w:rsid w:val="00AE048E"/>
    <w:rsid w:val="00AE0544"/>
    <w:rsid w:val="00AE0B77"/>
    <w:rsid w:val="00AE1410"/>
    <w:rsid w:val="00AE147C"/>
    <w:rsid w:val="00AE1603"/>
    <w:rsid w:val="00AE161D"/>
    <w:rsid w:val="00AE18DB"/>
    <w:rsid w:val="00AE1CE4"/>
    <w:rsid w:val="00AE1E36"/>
    <w:rsid w:val="00AE26A0"/>
    <w:rsid w:val="00AE2AA5"/>
    <w:rsid w:val="00AE359A"/>
    <w:rsid w:val="00AE3721"/>
    <w:rsid w:val="00AE3BB4"/>
    <w:rsid w:val="00AE3E5A"/>
    <w:rsid w:val="00AE433E"/>
    <w:rsid w:val="00AE43E7"/>
    <w:rsid w:val="00AE46AF"/>
    <w:rsid w:val="00AE4869"/>
    <w:rsid w:val="00AE48B2"/>
    <w:rsid w:val="00AE4B77"/>
    <w:rsid w:val="00AE4D7A"/>
    <w:rsid w:val="00AE4E45"/>
    <w:rsid w:val="00AE4E72"/>
    <w:rsid w:val="00AE535F"/>
    <w:rsid w:val="00AE6F24"/>
    <w:rsid w:val="00AE7775"/>
    <w:rsid w:val="00AE7A7B"/>
    <w:rsid w:val="00AE7C2E"/>
    <w:rsid w:val="00AE7CA1"/>
    <w:rsid w:val="00AE7DB0"/>
    <w:rsid w:val="00AE7FE1"/>
    <w:rsid w:val="00AF071F"/>
    <w:rsid w:val="00AF0768"/>
    <w:rsid w:val="00AF0966"/>
    <w:rsid w:val="00AF12AA"/>
    <w:rsid w:val="00AF1A74"/>
    <w:rsid w:val="00AF1F7C"/>
    <w:rsid w:val="00AF20B0"/>
    <w:rsid w:val="00AF2344"/>
    <w:rsid w:val="00AF23ED"/>
    <w:rsid w:val="00AF24BB"/>
    <w:rsid w:val="00AF27C2"/>
    <w:rsid w:val="00AF2B0E"/>
    <w:rsid w:val="00AF340D"/>
    <w:rsid w:val="00AF360A"/>
    <w:rsid w:val="00AF3644"/>
    <w:rsid w:val="00AF3F91"/>
    <w:rsid w:val="00AF427E"/>
    <w:rsid w:val="00AF44DF"/>
    <w:rsid w:val="00AF45CC"/>
    <w:rsid w:val="00AF4873"/>
    <w:rsid w:val="00AF4A2B"/>
    <w:rsid w:val="00AF4EE3"/>
    <w:rsid w:val="00AF5D4E"/>
    <w:rsid w:val="00AF5FFC"/>
    <w:rsid w:val="00AF613A"/>
    <w:rsid w:val="00AF66C4"/>
    <w:rsid w:val="00AF6764"/>
    <w:rsid w:val="00AF686A"/>
    <w:rsid w:val="00AF6D65"/>
    <w:rsid w:val="00AF6F3F"/>
    <w:rsid w:val="00AF6FA1"/>
    <w:rsid w:val="00AF72D0"/>
    <w:rsid w:val="00AF758A"/>
    <w:rsid w:val="00AF75F7"/>
    <w:rsid w:val="00AF7626"/>
    <w:rsid w:val="00AF79F6"/>
    <w:rsid w:val="00AF7C20"/>
    <w:rsid w:val="00AF7EAF"/>
    <w:rsid w:val="00B00B9B"/>
    <w:rsid w:val="00B00C49"/>
    <w:rsid w:val="00B00CAE"/>
    <w:rsid w:val="00B00DE4"/>
    <w:rsid w:val="00B01008"/>
    <w:rsid w:val="00B01782"/>
    <w:rsid w:val="00B0178D"/>
    <w:rsid w:val="00B019FF"/>
    <w:rsid w:val="00B01D60"/>
    <w:rsid w:val="00B0205B"/>
    <w:rsid w:val="00B022BA"/>
    <w:rsid w:val="00B0292B"/>
    <w:rsid w:val="00B02A13"/>
    <w:rsid w:val="00B03479"/>
    <w:rsid w:val="00B0374D"/>
    <w:rsid w:val="00B03B93"/>
    <w:rsid w:val="00B03EF9"/>
    <w:rsid w:val="00B03F2C"/>
    <w:rsid w:val="00B04247"/>
    <w:rsid w:val="00B042BD"/>
    <w:rsid w:val="00B046CD"/>
    <w:rsid w:val="00B04A50"/>
    <w:rsid w:val="00B04C02"/>
    <w:rsid w:val="00B04D62"/>
    <w:rsid w:val="00B04E79"/>
    <w:rsid w:val="00B04F9C"/>
    <w:rsid w:val="00B05028"/>
    <w:rsid w:val="00B05827"/>
    <w:rsid w:val="00B0589A"/>
    <w:rsid w:val="00B0597E"/>
    <w:rsid w:val="00B05992"/>
    <w:rsid w:val="00B05BFE"/>
    <w:rsid w:val="00B05F29"/>
    <w:rsid w:val="00B061A7"/>
    <w:rsid w:val="00B06370"/>
    <w:rsid w:val="00B06717"/>
    <w:rsid w:val="00B0699C"/>
    <w:rsid w:val="00B06D63"/>
    <w:rsid w:val="00B071DD"/>
    <w:rsid w:val="00B0758B"/>
    <w:rsid w:val="00B0759A"/>
    <w:rsid w:val="00B075BE"/>
    <w:rsid w:val="00B07864"/>
    <w:rsid w:val="00B07914"/>
    <w:rsid w:val="00B10379"/>
    <w:rsid w:val="00B10479"/>
    <w:rsid w:val="00B106B0"/>
    <w:rsid w:val="00B10CD4"/>
    <w:rsid w:val="00B10DAC"/>
    <w:rsid w:val="00B1105A"/>
    <w:rsid w:val="00B11328"/>
    <w:rsid w:val="00B11799"/>
    <w:rsid w:val="00B11AFF"/>
    <w:rsid w:val="00B11D4F"/>
    <w:rsid w:val="00B11DA6"/>
    <w:rsid w:val="00B11DCB"/>
    <w:rsid w:val="00B11E76"/>
    <w:rsid w:val="00B12214"/>
    <w:rsid w:val="00B1221A"/>
    <w:rsid w:val="00B1253E"/>
    <w:rsid w:val="00B1270F"/>
    <w:rsid w:val="00B1278D"/>
    <w:rsid w:val="00B128BB"/>
    <w:rsid w:val="00B12B43"/>
    <w:rsid w:val="00B12BD4"/>
    <w:rsid w:val="00B12D72"/>
    <w:rsid w:val="00B13437"/>
    <w:rsid w:val="00B13612"/>
    <w:rsid w:val="00B13792"/>
    <w:rsid w:val="00B13865"/>
    <w:rsid w:val="00B13A9F"/>
    <w:rsid w:val="00B14025"/>
    <w:rsid w:val="00B1416B"/>
    <w:rsid w:val="00B144D1"/>
    <w:rsid w:val="00B146AA"/>
    <w:rsid w:val="00B14AC7"/>
    <w:rsid w:val="00B14E85"/>
    <w:rsid w:val="00B15156"/>
    <w:rsid w:val="00B15289"/>
    <w:rsid w:val="00B1557E"/>
    <w:rsid w:val="00B15772"/>
    <w:rsid w:val="00B15F59"/>
    <w:rsid w:val="00B162CF"/>
    <w:rsid w:val="00B162F4"/>
    <w:rsid w:val="00B1630C"/>
    <w:rsid w:val="00B16AD6"/>
    <w:rsid w:val="00B16BDA"/>
    <w:rsid w:val="00B16FFA"/>
    <w:rsid w:val="00B16FFB"/>
    <w:rsid w:val="00B179A6"/>
    <w:rsid w:val="00B17AE0"/>
    <w:rsid w:val="00B17F10"/>
    <w:rsid w:val="00B2007D"/>
    <w:rsid w:val="00B20603"/>
    <w:rsid w:val="00B208A5"/>
    <w:rsid w:val="00B208D1"/>
    <w:rsid w:val="00B209AD"/>
    <w:rsid w:val="00B20CA5"/>
    <w:rsid w:val="00B20E51"/>
    <w:rsid w:val="00B213D1"/>
    <w:rsid w:val="00B21775"/>
    <w:rsid w:val="00B21821"/>
    <w:rsid w:val="00B21E3F"/>
    <w:rsid w:val="00B222B1"/>
    <w:rsid w:val="00B225B0"/>
    <w:rsid w:val="00B226CE"/>
    <w:rsid w:val="00B2273F"/>
    <w:rsid w:val="00B22C65"/>
    <w:rsid w:val="00B22F11"/>
    <w:rsid w:val="00B22F47"/>
    <w:rsid w:val="00B230C2"/>
    <w:rsid w:val="00B233BA"/>
    <w:rsid w:val="00B234AF"/>
    <w:rsid w:val="00B234CA"/>
    <w:rsid w:val="00B236DB"/>
    <w:rsid w:val="00B23F97"/>
    <w:rsid w:val="00B24179"/>
    <w:rsid w:val="00B24714"/>
    <w:rsid w:val="00B24B13"/>
    <w:rsid w:val="00B24DF5"/>
    <w:rsid w:val="00B24FB4"/>
    <w:rsid w:val="00B25236"/>
    <w:rsid w:val="00B2621E"/>
    <w:rsid w:val="00B262BE"/>
    <w:rsid w:val="00B2636D"/>
    <w:rsid w:val="00B26734"/>
    <w:rsid w:val="00B26D0F"/>
    <w:rsid w:val="00B26FB1"/>
    <w:rsid w:val="00B27146"/>
    <w:rsid w:val="00B27258"/>
    <w:rsid w:val="00B276BD"/>
    <w:rsid w:val="00B30256"/>
    <w:rsid w:val="00B302E5"/>
    <w:rsid w:val="00B305FA"/>
    <w:rsid w:val="00B306B8"/>
    <w:rsid w:val="00B30703"/>
    <w:rsid w:val="00B3079C"/>
    <w:rsid w:val="00B30925"/>
    <w:rsid w:val="00B30C4E"/>
    <w:rsid w:val="00B31256"/>
    <w:rsid w:val="00B313C2"/>
    <w:rsid w:val="00B3145F"/>
    <w:rsid w:val="00B314B7"/>
    <w:rsid w:val="00B31B1B"/>
    <w:rsid w:val="00B31DF8"/>
    <w:rsid w:val="00B3239B"/>
    <w:rsid w:val="00B33908"/>
    <w:rsid w:val="00B33C79"/>
    <w:rsid w:val="00B343D7"/>
    <w:rsid w:val="00B34537"/>
    <w:rsid w:val="00B3488A"/>
    <w:rsid w:val="00B348A5"/>
    <w:rsid w:val="00B349A9"/>
    <w:rsid w:val="00B34E07"/>
    <w:rsid w:val="00B35520"/>
    <w:rsid w:val="00B358A1"/>
    <w:rsid w:val="00B35AF5"/>
    <w:rsid w:val="00B35D4E"/>
    <w:rsid w:val="00B35EB7"/>
    <w:rsid w:val="00B362A5"/>
    <w:rsid w:val="00B36303"/>
    <w:rsid w:val="00B36529"/>
    <w:rsid w:val="00B36B7E"/>
    <w:rsid w:val="00B36BA0"/>
    <w:rsid w:val="00B36BC1"/>
    <w:rsid w:val="00B36C29"/>
    <w:rsid w:val="00B37073"/>
    <w:rsid w:val="00B37184"/>
    <w:rsid w:val="00B37537"/>
    <w:rsid w:val="00B376BA"/>
    <w:rsid w:val="00B37BCA"/>
    <w:rsid w:val="00B37C7C"/>
    <w:rsid w:val="00B37F04"/>
    <w:rsid w:val="00B40066"/>
    <w:rsid w:val="00B40A53"/>
    <w:rsid w:val="00B40B89"/>
    <w:rsid w:val="00B40B9B"/>
    <w:rsid w:val="00B40BEA"/>
    <w:rsid w:val="00B40BFF"/>
    <w:rsid w:val="00B40E35"/>
    <w:rsid w:val="00B412A2"/>
    <w:rsid w:val="00B41517"/>
    <w:rsid w:val="00B41844"/>
    <w:rsid w:val="00B418CA"/>
    <w:rsid w:val="00B41973"/>
    <w:rsid w:val="00B41A55"/>
    <w:rsid w:val="00B41D84"/>
    <w:rsid w:val="00B41F8B"/>
    <w:rsid w:val="00B4200B"/>
    <w:rsid w:val="00B42717"/>
    <w:rsid w:val="00B42A6F"/>
    <w:rsid w:val="00B42D68"/>
    <w:rsid w:val="00B42E95"/>
    <w:rsid w:val="00B42F10"/>
    <w:rsid w:val="00B42F53"/>
    <w:rsid w:val="00B43470"/>
    <w:rsid w:val="00B444E4"/>
    <w:rsid w:val="00B4470F"/>
    <w:rsid w:val="00B44769"/>
    <w:rsid w:val="00B448CB"/>
    <w:rsid w:val="00B44FB5"/>
    <w:rsid w:val="00B44FF5"/>
    <w:rsid w:val="00B45064"/>
    <w:rsid w:val="00B453CC"/>
    <w:rsid w:val="00B453CD"/>
    <w:rsid w:val="00B45A5C"/>
    <w:rsid w:val="00B45A8A"/>
    <w:rsid w:val="00B45D37"/>
    <w:rsid w:val="00B46264"/>
    <w:rsid w:val="00B4637F"/>
    <w:rsid w:val="00B46383"/>
    <w:rsid w:val="00B467D5"/>
    <w:rsid w:val="00B47277"/>
    <w:rsid w:val="00B4736E"/>
    <w:rsid w:val="00B47A1A"/>
    <w:rsid w:val="00B47B1F"/>
    <w:rsid w:val="00B47BEF"/>
    <w:rsid w:val="00B47F78"/>
    <w:rsid w:val="00B5005D"/>
    <w:rsid w:val="00B50150"/>
    <w:rsid w:val="00B5022F"/>
    <w:rsid w:val="00B5029A"/>
    <w:rsid w:val="00B503F6"/>
    <w:rsid w:val="00B5058D"/>
    <w:rsid w:val="00B5075E"/>
    <w:rsid w:val="00B50890"/>
    <w:rsid w:val="00B50C1D"/>
    <w:rsid w:val="00B50E8E"/>
    <w:rsid w:val="00B50F8F"/>
    <w:rsid w:val="00B5109A"/>
    <w:rsid w:val="00B51122"/>
    <w:rsid w:val="00B51546"/>
    <w:rsid w:val="00B51CBD"/>
    <w:rsid w:val="00B51DD2"/>
    <w:rsid w:val="00B51E43"/>
    <w:rsid w:val="00B51E94"/>
    <w:rsid w:val="00B520BE"/>
    <w:rsid w:val="00B521BE"/>
    <w:rsid w:val="00B52A4B"/>
    <w:rsid w:val="00B5335B"/>
    <w:rsid w:val="00B5340C"/>
    <w:rsid w:val="00B5367D"/>
    <w:rsid w:val="00B53809"/>
    <w:rsid w:val="00B53CBD"/>
    <w:rsid w:val="00B53EE3"/>
    <w:rsid w:val="00B542C7"/>
    <w:rsid w:val="00B545EE"/>
    <w:rsid w:val="00B54693"/>
    <w:rsid w:val="00B54D00"/>
    <w:rsid w:val="00B55613"/>
    <w:rsid w:val="00B558CC"/>
    <w:rsid w:val="00B55B17"/>
    <w:rsid w:val="00B55BF3"/>
    <w:rsid w:val="00B55C56"/>
    <w:rsid w:val="00B55D2F"/>
    <w:rsid w:val="00B56062"/>
    <w:rsid w:val="00B56217"/>
    <w:rsid w:val="00B5680A"/>
    <w:rsid w:val="00B56D9D"/>
    <w:rsid w:val="00B57F19"/>
    <w:rsid w:val="00B57FCE"/>
    <w:rsid w:val="00B60222"/>
    <w:rsid w:val="00B603CA"/>
    <w:rsid w:val="00B60567"/>
    <w:rsid w:val="00B60803"/>
    <w:rsid w:val="00B608CF"/>
    <w:rsid w:val="00B60C0E"/>
    <w:rsid w:val="00B60EB0"/>
    <w:rsid w:val="00B61400"/>
    <w:rsid w:val="00B615B7"/>
    <w:rsid w:val="00B6192B"/>
    <w:rsid w:val="00B61A9C"/>
    <w:rsid w:val="00B61C59"/>
    <w:rsid w:val="00B61CA1"/>
    <w:rsid w:val="00B6247C"/>
    <w:rsid w:val="00B627A8"/>
    <w:rsid w:val="00B62809"/>
    <w:rsid w:val="00B62AF3"/>
    <w:rsid w:val="00B6362F"/>
    <w:rsid w:val="00B63810"/>
    <w:rsid w:val="00B638CD"/>
    <w:rsid w:val="00B639CD"/>
    <w:rsid w:val="00B639EF"/>
    <w:rsid w:val="00B63A0A"/>
    <w:rsid w:val="00B63FDA"/>
    <w:rsid w:val="00B64108"/>
    <w:rsid w:val="00B647B3"/>
    <w:rsid w:val="00B64B0E"/>
    <w:rsid w:val="00B65262"/>
    <w:rsid w:val="00B653C3"/>
    <w:rsid w:val="00B656F1"/>
    <w:rsid w:val="00B65738"/>
    <w:rsid w:val="00B658B0"/>
    <w:rsid w:val="00B65A21"/>
    <w:rsid w:val="00B65D68"/>
    <w:rsid w:val="00B65F30"/>
    <w:rsid w:val="00B66096"/>
    <w:rsid w:val="00B661F2"/>
    <w:rsid w:val="00B6641E"/>
    <w:rsid w:val="00B666F9"/>
    <w:rsid w:val="00B6676A"/>
    <w:rsid w:val="00B668B1"/>
    <w:rsid w:val="00B668BE"/>
    <w:rsid w:val="00B66B3A"/>
    <w:rsid w:val="00B66D49"/>
    <w:rsid w:val="00B670E1"/>
    <w:rsid w:val="00B672D9"/>
    <w:rsid w:val="00B67BE1"/>
    <w:rsid w:val="00B67E6F"/>
    <w:rsid w:val="00B70341"/>
    <w:rsid w:val="00B7037A"/>
    <w:rsid w:val="00B704FF"/>
    <w:rsid w:val="00B70755"/>
    <w:rsid w:val="00B70A14"/>
    <w:rsid w:val="00B70C46"/>
    <w:rsid w:val="00B70F49"/>
    <w:rsid w:val="00B71162"/>
    <w:rsid w:val="00B7116C"/>
    <w:rsid w:val="00B718E3"/>
    <w:rsid w:val="00B719B7"/>
    <w:rsid w:val="00B71C0C"/>
    <w:rsid w:val="00B71D9A"/>
    <w:rsid w:val="00B7207A"/>
    <w:rsid w:val="00B720F4"/>
    <w:rsid w:val="00B7218A"/>
    <w:rsid w:val="00B72356"/>
    <w:rsid w:val="00B726FB"/>
    <w:rsid w:val="00B72D74"/>
    <w:rsid w:val="00B73067"/>
    <w:rsid w:val="00B730CB"/>
    <w:rsid w:val="00B73247"/>
    <w:rsid w:val="00B73512"/>
    <w:rsid w:val="00B73581"/>
    <w:rsid w:val="00B736C5"/>
    <w:rsid w:val="00B73BFF"/>
    <w:rsid w:val="00B74268"/>
    <w:rsid w:val="00B7451F"/>
    <w:rsid w:val="00B7516B"/>
    <w:rsid w:val="00B752F9"/>
    <w:rsid w:val="00B75398"/>
    <w:rsid w:val="00B756D7"/>
    <w:rsid w:val="00B757B7"/>
    <w:rsid w:val="00B75A12"/>
    <w:rsid w:val="00B75E6D"/>
    <w:rsid w:val="00B7607A"/>
    <w:rsid w:val="00B760AA"/>
    <w:rsid w:val="00B760FC"/>
    <w:rsid w:val="00B76304"/>
    <w:rsid w:val="00B7631F"/>
    <w:rsid w:val="00B7638E"/>
    <w:rsid w:val="00B76503"/>
    <w:rsid w:val="00B76939"/>
    <w:rsid w:val="00B76C8A"/>
    <w:rsid w:val="00B77340"/>
    <w:rsid w:val="00B77497"/>
    <w:rsid w:val="00B77A2E"/>
    <w:rsid w:val="00B77AA6"/>
    <w:rsid w:val="00B77DC1"/>
    <w:rsid w:val="00B800A7"/>
    <w:rsid w:val="00B80582"/>
    <w:rsid w:val="00B807C2"/>
    <w:rsid w:val="00B80D4B"/>
    <w:rsid w:val="00B81103"/>
    <w:rsid w:val="00B8112E"/>
    <w:rsid w:val="00B81230"/>
    <w:rsid w:val="00B8178B"/>
    <w:rsid w:val="00B81841"/>
    <w:rsid w:val="00B81A45"/>
    <w:rsid w:val="00B81C92"/>
    <w:rsid w:val="00B81D28"/>
    <w:rsid w:val="00B82AC2"/>
    <w:rsid w:val="00B8309F"/>
    <w:rsid w:val="00B8390E"/>
    <w:rsid w:val="00B83931"/>
    <w:rsid w:val="00B8394C"/>
    <w:rsid w:val="00B83CE1"/>
    <w:rsid w:val="00B83E8D"/>
    <w:rsid w:val="00B846D2"/>
    <w:rsid w:val="00B84E2C"/>
    <w:rsid w:val="00B85264"/>
    <w:rsid w:val="00B85820"/>
    <w:rsid w:val="00B8609D"/>
    <w:rsid w:val="00B8672B"/>
    <w:rsid w:val="00B8678F"/>
    <w:rsid w:val="00B86AB2"/>
    <w:rsid w:val="00B8715F"/>
    <w:rsid w:val="00B87A8D"/>
    <w:rsid w:val="00B87B42"/>
    <w:rsid w:val="00B87F66"/>
    <w:rsid w:val="00B900EF"/>
    <w:rsid w:val="00B9039F"/>
    <w:rsid w:val="00B908CF"/>
    <w:rsid w:val="00B90943"/>
    <w:rsid w:val="00B90F08"/>
    <w:rsid w:val="00B91568"/>
    <w:rsid w:val="00B915C2"/>
    <w:rsid w:val="00B91699"/>
    <w:rsid w:val="00B91B38"/>
    <w:rsid w:val="00B92072"/>
    <w:rsid w:val="00B922DB"/>
    <w:rsid w:val="00B927BB"/>
    <w:rsid w:val="00B92C69"/>
    <w:rsid w:val="00B931CD"/>
    <w:rsid w:val="00B9372D"/>
    <w:rsid w:val="00B93A19"/>
    <w:rsid w:val="00B93B98"/>
    <w:rsid w:val="00B93CE2"/>
    <w:rsid w:val="00B93D14"/>
    <w:rsid w:val="00B93D30"/>
    <w:rsid w:val="00B941BC"/>
    <w:rsid w:val="00B948EA"/>
    <w:rsid w:val="00B94C15"/>
    <w:rsid w:val="00B94D91"/>
    <w:rsid w:val="00B9501D"/>
    <w:rsid w:val="00B950F3"/>
    <w:rsid w:val="00B954CC"/>
    <w:rsid w:val="00B95ECF"/>
    <w:rsid w:val="00B96492"/>
    <w:rsid w:val="00B966FA"/>
    <w:rsid w:val="00B96840"/>
    <w:rsid w:val="00B9742B"/>
    <w:rsid w:val="00B977AF"/>
    <w:rsid w:val="00B979FB"/>
    <w:rsid w:val="00B97AD2"/>
    <w:rsid w:val="00B97C9E"/>
    <w:rsid w:val="00B97EA6"/>
    <w:rsid w:val="00B97FF2"/>
    <w:rsid w:val="00BA016E"/>
    <w:rsid w:val="00BA0595"/>
    <w:rsid w:val="00BA0988"/>
    <w:rsid w:val="00BA0A43"/>
    <w:rsid w:val="00BA0C40"/>
    <w:rsid w:val="00BA0D0C"/>
    <w:rsid w:val="00BA0F97"/>
    <w:rsid w:val="00BA1CEA"/>
    <w:rsid w:val="00BA1D7C"/>
    <w:rsid w:val="00BA1D9D"/>
    <w:rsid w:val="00BA1DFF"/>
    <w:rsid w:val="00BA2072"/>
    <w:rsid w:val="00BA23A9"/>
    <w:rsid w:val="00BA247B"/>
    <w:rsid w:val="00BA2775"/>
    <w:rsid w:val="00BA2D56"/>
    <w:rsid w:val="00BA2DEF"/>
    <w:rsid w:val="00BA3198"/>
    <w:rsid w:val="00BA330C"/>
    <w:rsid w:val="00BA3782"/>
    <w:rsid w:val="00BA3784"/>
    <w:rsid w:val="00BA3C66"/>
    <w:rsid w:val="00BA3EAD"/>
    <w:rsid w:val="00BA4233"/>
    <w:rsid w:val="00BA4718"/>
    <w:rsid w:val="00BA4A9F"/>
    <w:rsid w:val="00BA4AC9"/>
    <w:rsid w:val="00BA4C63"/>
    <w:rsid w:val="00BA5197"/>
    <w:rsid w:val="00BA5267"/>
    <w:rsid w:val="00BA560D"/>
    <w:rsid w:val="00BA58EF"/>
    <w:rsid w:val="00BA5AB3"/>
    <w:rsid w:val="00BA601C"/>
    <w:rsid w:val="00BA65C2"/>
    <w:rsid w:val="00BA6619"/>
    <w:rsid w:val="00BA67BE"/>
    <w:rsid w:val="00BA696C"/>
    <w:rsid w:val="00BA74CE"/>
    <w:rsid w:val="00BA75AE"/>
    <w:rsid w:val="00BA7937"/>
    <w:rsid w:val="00BB0391"/>
    <w:rsid w:val="00BB091B"/>
    <w:rsid w:val="00BB115C"/>
    <w:rsid w:val="00BB1347"/>
    <w:rsid w:val="00BB18B0"/>
    <w:rsid w:val="00BB1C7A"/>
    <w:rsid w:val="00BB1E5A"/>
    <w:rsid w:val="00BB1E7F"/>
    <w:rsid w:val="00BB1F12"/>
    <w:rsid w:val="00BB1F24"/>
    <w:rsid w:val="00BB1F7E"/>
    <w:rsid w:val="00BB20FB"/>
    <w:rsid w:val="00BB2467"/>
    <w:rsid w:val="00BB2894"/>
    <w:rsid w:val="00BB2A10"/>
    <w:rsid w:val="00BB34E9"/>
    <w:rsid w:val="00BB3AE4"/>
    <w:rsid w:val="00BB428C"/>
    <w:rsid w:val="00BB4666"/>
    <w:rsid w:val="00BB4C5B"/>
    <w:rsid w:val="00BB4CF4"/>
    <w:rsid w:val="00BB4F8F"/>
    <w:rsid w:val="00BB50CA"/>
    <w:rsid w:val="00BB552C"/>
    <w:rsid w:val="00BB5F75"/>
    <w:rsid w:val="00BB6593"/>
    <w:rsid w:val="00BB6716"/>
    <w:rsid w:val="00BB67B2"/>
    <w:rsid w:val="00BB67FF"/>
    <w:rsid w:val="00BB691B"/>
    <w:rsid w:val="00BB7390"/>
    <w:rsid w:val="00BB74B0"/>
    <w:rsid w:val="00BB76BD"/>
    <w:rsid w:val="00BB7702"/>
    <w:rsid w:val="00BB771D"/>
    <w:rsid w:val="00BB7AC7"/>
    <w:rsid w:val="00BB7CE2"/>
    <w:rsid w:val="00BC0796"/>
    <w:rsid w:val="00BC082B"/>
    <w:rsid w:val="00BC090A"/>
    <w:rsid w:val="00BC0ACD"/>
    <w:rsid w:val="00BC0CC1"/>
    <w:rsid w:val="00BC108F"/>
    <w:rsid w:val="00BC125A"/>
    <w:rsid w:val="00BC1294"/>
    <w:rsid w:val="00BC16BD"/>
    <w:rsid w:val="00BC16CF"/>
    <w:rsid w:val="00BC1F0D"/>
    <w:rsid w:val="00BC203A"/>
    <w:rsid w:val="00BC24D8"/>
    <w:rsid w:val="00BC25D6"/>
    <w:rsid w:val="00BC37BA"/>
    <w:rsid w:val="00BC385B"/>
    <w:rsid w:val="00BC3A18"/>
    <w:rsid w:val="00BC3AC3"/>
    <w:rsid w:val="00BC3F42"/>
    <w:rsid w:val="00BC3FFC"/>
    <w:rsid w:val="00BC41A7"/>
    <w:rsid w:val="00BC42A6"/>
    <w:rsid w:val="00BC4418"/>
    <w:rsid w:val="00BC46C7"/>
    <w:rsid w:val="00BC4786"/>
    <w:rsid w:val="00BC4912"/>
    <w:rsid w:val="00BC4E01"/>
    <w:rsid w:val="00BC50A0"/>
    <w:rsid w:val="00BC5237"/>
    <w:rsid w:val="00BC558D"/>
    <w:rsid w:val="00BC5604"/>
    <w:rsid w:val="00BC59E3"/>
    <w:rsid w:val="00BC5F4E"/>
    <w:rsid w:val="00BC6493"/>
    <w:rsid w:val="00BC67A3"/>
    <w:rsid w:val="00BC6A53"/>
    <w:rsid w:val="00BC6A64"/>
    <w:rsid w:val="00BC6E16"/>
    <w:rsid w:val="00BC7362"/>
    <w:rsid w:val="00BC750B"/>
    <w:rsid w:val="00BC7549"/>
    <w:rsid w:val="00BC76F4"/>
    <w:rsid w:val="00BC7809"/>
    <w:rsid w:val="00BC7C0E"/>
    <w:rsid w:val="00BC7EA7"/>
    <w:rsid w:val="00BC7EEF"/>
    <w:rsid w:val="00BC7FE3"/>
    <w:rsid w:val="00BD018E"/>
    <w:rsid w:val="00BD0257"/>
    <w:rsid w:val="00BD0679"/>
    <w:rsid w:val="00BD07B3"/>
    <w:rsid w:val="00BD0AE6"/>
    <w:rsid w:val="00BD0B72"/>
    <w:rsid w:val="00BD0FED"/>
    <w:rsid w:val="00BD1070"/>
    <w:rsid w:val="00BD1123"/>
    <w:rsid w:val="00BD11C2"/>
    <w:rsid w:val="00BD1283"/>
    <w:rsid w:val="00BD18C8"/>
    <w:rsid w:val="00BD1A9F"/>
    <w:rsid w:val="00BD1CB0"/>
    <w:rsid w:val="00BD2653"/>
    <w:rsid w:val="00BD2C19"/>
    <w:rsid w:val="00BD32FB"/>
    <w:rsid w:val="00BD331A"/>
    <w:rsid w:val="00BD3684"/>
    <w:rsid w:val="00BD3861"/>
    <w:rsid w:val="00BD3920"/>
    <w:rsid w:val="00BD3A45"/>
    <w:rsid w:val="00BD3C8A"/>
    <w:rsid w:val="00BD3F9F"/>
    <w:rsid w:val="00BD3FE4"/>
    <w:rsid w:val="00BD4259"/>
    <w:rsid w:val="00BD4477"/>
    <w:rsid w:val="00BD4489"/>
    <w:rsid w:val="00BD4512"/>
    <w:rsid w:val="00BD46E2"/>
    <w:rsid w:val="00BD485F"/>
    <w:rsid w:val="00BD4BAE"/>
    <w:rsid w:val="00BD4D22"/>
    <w:rsid w:val="00BD541D"/>
    <w:rsid w:val="00BD55CE"/>
    <w:rsid w:val="00BD58B8"/>
    <w:rsid w:val="00BD5A62"/>
    <w:rsid w:val="00BD5BEC"/>
    <w:rsid w:val="00BD5F30"/>
    <w:rsid w:val="00BD6053"/>
    <w:rsid w:val="00BD620A"/>
    <w:rsid w:val="00BD6342"/>
    <w:rsid w:val="00BD6490"/>
    <w:rsid w:val="00BD66EB"/>
    <w:rsid w:val="00BD6D30"/>
    <w:rsid w:val="00BD6ED7"/>
    <w:rsid w:val="00BD6F93"/>
    <w:rsid w:val="00BD738C"/>
    <w:rsid w:val="00BD7CEF"/>
    <w:rsid w:val="00BD7D26"/>
    <w:rsid w:val="00BE03FE"/>
    <w:rsid w:val="00BE0972"/>
    <w:rsid w:val="00BE16AA"/>
    <w:rsid w:val="00BE19AA"/>
    <w:rsid w:val="00BE208B"/>
    <w:rsid w:val="00BE20BF"/>
    <w:rsid w:val="00BE2572"/>
    <w:rsid w:val="00BE2905"/>
    <w:rsid w:val="00BE2F04"/>
    <w:rsid w:val="00BE317F"/>
    <w:rsid w:val="00BE3699"/>
    <w:rsid w:val="00BE3726"/>
    <w:rsid w:val="00BE3B86"/>
    <w:rsid w:val="00BE3D3B"/>
    <w:rsid w:val="00BE48B9"/>
    <w:rsid w:val="00BE48D6"/>
    <w:rsid w:val="00BE4BEF"/>
    <w:rsid w:val="00BE4C30"/>
    <w:rsid w:val="00BE4FFE"/>
    <w:rsid w:val="00BE569A"/>
    <w:rsid w:val="00BE5C3D"/>
    <w:rsid w:val="00BE6057"/>
    <w:rsid w:val="00BE61C9"/>
    <w:rsid w:val="00BE7241"/>
    <w:rsid w:val="00BE785F"/>
    <w:rsid w:val="00BE7A53"/>
    <w:rsid w:val="00BE7BF7"/>
    <w:rsid w:val="00BE7BFF"/>
    <w:rsid w:val="00BE7F04"/>
    <w:rsid w:val="00BF004D"/>
    <w:rsid w:val="00BF021F"/>
    <w:rsid w:val="00BF02A2"/>
    <w:rsid w:val="00BF04AB"/>
    <w:rsid w:val="00BF04BE"/>
    <w:rsid w:val="00BF068C"/>
    <w:rsid w:val="00BF0851"/>
    <w:rsid w:val="00BF0A6C"/>
    <w:rsid w:val="00BF0EA0"/>
    <w:rsid w:val="00BF0EAC"/>
    <w:rsid w:val="00BF1086"/>
    <w:rsid w:val="00BF15AD"/>
    <w:rsid w:val="00BF1A4D"/>
    <w:rsid w:val="00BF1C25"/>
    <w:rsid w:val="00BF2358"/>
    <w:rsid w:val="00BF23FE"/>
    <w:rsid w:val="00BF244E"/>
    <w:rsid w:val="00BF2485"/>
    <w:rsid w:val="00BF2CBD"/>
    <w:rsid w:val="00BF340D"/>
    <w:rsid w:val="00BF361C"/>
    <w:rsid w:val="00BF380E"/>
    <w:rsid w:val="00BF3F59"/>
    <w:rsid w:val="00BF3FCA"/>
    <w:rsid w:val="00BF418F"/>
    <w:rsid w:val="00BF46D0"/>
    <w:rsid w:val="00BF4FC8"/>
    <w:rsid w:val="00BF4FFF"/>
    <w:rsid w:val="00BF50B0"/>
    <w:rsid w:val="00BF50D5"/>
    <w:rsid w:val="00BF53C5"/>
    <w:rsid w:val="00BF5681"/>
    <w:rsid w:val="00BF56B5"/>
    <w:rsid w:val="00BF5B90"/>
    <w:rsid w:val="00BF5BF8"/>
    <w:rsid w:val="00BF5D7C"/>
    <w:rsid w:val="00BF6346"/>
    <w:rsid w:val="00BF6774"/>
    <w:rsid w:val="00BF737C"/>
    <w:rsid w:val="00BF78F5"/>
    <w:rsid w:val="00BF796E"/>
    <w:rsid w:val="00BF7A6C"/>
    <w:rsid w:val="00BF7C32"/>
    <w:rsid w:val="00BF7D39"/>
    <w:rsid w:val="00BF7EA5"/>
    <w:rsid w:val="00C004C3"/>
    <w:rsid w:val="00C00505"/>
    <w:rsid w:val="00C00877"/>
    <w:rsid w:val="00C00935"/>
    <w:rsid w:val="00C00AC6"/>
    <w:rsid w:val="00C014AB"/>
    <w:rsid w:val="00C01CC8"/>
    <w:rsid w:val="00C02483"/>
    <w:rsid w:val="00C02988"/>
    <w:rsid w:val="00C02B19"/>
    <w:rsid w:val="00C02BF2"/>
    <w:rsid w:val="00C02CD2"/>
    <w:rsid w:val="00C036B9"/>
    <w:rsid w:val="00C03DCB"/>
    <w:rsid w:val="00C0409B"/>
    <w:rsid w:val="00C04323"/>
    <w:rsid w:val="00C0466C"/>
    <w:rsid w:val="00C04BCE"/>
    <w:rsid w:val="00C04CC3"/>
    <w:rsid w:val="00C04EAF"/>
    <w:rsid w:val="00C05777"/>
    <w:rsid w:val="00C05998"/>
    <w:rsid w:val="00C059E8"/>
    <w:rsid w:val="00C05DCB"/>
    <w:rsid w:val="00C05F74"/>
    <w:rsid w:val="00C05FF4"/>
    <w:rsid w:val="00C0634D"/>
    <w:rsid w:val="00C06721"/>
    <w:rsid w:val="00C0699B"/>
    <w:rsid w:val="00C06A67"/>
    <w:rsid w:val="00C06C74"/>
    <w:rsid w:val="00C06F19"/>
    <w:rsid w:val="00C070A2"/>
    <w:rsid w:val="00C070A5"/>
    <w:rsid w:val="00C070D9"/>
    <w:rsid w:val="00C07125"/>
    <w:rsid w:val="00C074EB"/>
    <w:rsid w:val="00C07558"/>
    <w:rsid w:val="00C077F6"/>
    <w:rsid w:val="00C07A76"/>
    <w:rsid w:val="00C07BAD"/>
    <w:rsid w:val="00C07C74"/>
    <w:rsid w:val="00C07C7E"/>
    <w:rsid w:val="00C07ED3"/>
    <w:rsid w:val="00C07F0D"/>
    <w:rsid w:val="00C10094"/>
    <w:rsid w:val="00C107A1"/>
    <w:rsid w:val="00C108BF"/>
    <w:rsid w:val="00C108E2"/>
    <w:rsid w:val="00C112AD"/>
    <w:rsid w:val="00C11F1E"/>
    <w:rsid w:val="00C1270D"/>
    <w:rsid w:val="00C12B6B"/>
    <w:rsid w:val="00C13145"/>
    <w:rsid w:val="00C13203"/>
    <w:rsid w:val="00C1365E"/>
    <w:rsid w:val="00C13744"/>
    <w:rsid w:val="00C13A17"/>
    <w:rsid w:val="00C13A85"/>
    <w:rsid w:val="00C13ED9"/>
    <w:rsid w:val="00C1415A"/>
    <w:rsid w:val="00C141FB"/>
    <w:rsid w:val="00C14235"/>
    <w:rsid w:val="00C142B0"/>
    <w:rsid w:val="00C146ED"/>
    <w:rsid w:val="00C148D5"/>
    <w:rsid w:val="00C14E1A"/>
    <w:rsid w:val="00C14E3F"/>
    <w:rsid w:val="00C14F9D"/>
    <w:rsid w:val="00C15038"/>
    <w:rsid w:val="00C1504A"/>
    <w:rsid w:val="00C15327"/>
    <w:rsid w:val="00C1533E"/>
    <w:rsid w:val="00C15C41"/>
    <w:rsid w:val="00C15CB6"/>
    <w:rsid w:val="00C16006"/>
    <w:rsid w:val="00C165B6"/>
    <w:rsid w:val="00C165ED"/>
    <w:rsid w:val="00C16C89"/>
    <w:rsid w:val="00C16FBA"/>
    <w:rsid w:val="00C1740D"/>
    <w:rsid w:val="00C17610"/>
    <w:rsid w:val="00C179B7"/>
    <w:rsid w:val="00C17B27"/>
    <w:rsid w:val="00C17E6E"/>
    <w:rsid w:val="00C17F78"/>
    <w:rsid w:val="00C201BA"/>
    <w:rsid w:val="00C203A4"/>
    <w:rsid w:val="00C2079C"/>
    <w:rsid w:val="00C2091B"/>
    <w:rsid w:val="00C20D3B"/>
    <w:rsid w:val="00C213D2"/>
    <w:rsid w:val="00C21779"/>
    <w:rsid w:val="00C222FC"/>
    <w:rsid w:val="00C2235E"/>
    <w:rsid w:val="00C223B6"/>
    <w:rsid w:val="00C226B5"/>
    <w:rsid w:val="00C2286D"/>
    <w:rsid w:val="00C22A82"/>
    <w:rsid w:val="00C22AB2"/>
    <w:rsid w:val="00C22C9D"/>
    <w:rsid w:val="00C22D37"/>
    <w:rsid w:val="00C23124"/>
    <w:rsid w:val="00C231BA"/>
    <w:rsid w:val="00C23DA5"/>
    <w:rsid w:val="00C23ED5"/>
    <w:rsid w:val="00C23FBC"/>
    <w:rsid w:val="00C243C5"/>
    <w:rsid w:val="00C24583"/>
    <w:rsid w:val="00C24834"/>
    <w:rsid w:val="00C249C1"/>
    <w:rsid w:val="00C250C2"/>
    <w:rsid w:val="00C2523D"/>
    <w:rsid w:val="00C25449"/>
    <w:rsid w:val="00C256DF"/>
    <w:rsid w:val="00C259BD"/>
    <w:rsid w:val="00C25A60"/>
    <w:rsid w:val="00C261DB"/>
    <w:rsid w:val="00C2641E"/>
    <w:rsid w:val="00C26529"/>
    <w:rsid w:val="00C2658F"/>
    <w:rsid w:val="00C26B59"/>
    <w:rsid w:val="00C26E37"/>
    <w:rsid w:val="00C26EB3"/>
    <w:rsid w:val="00C27395"/>
    <w:rsid w:val="00C2746D"/>
    <w:rsid w:val="00C27E50"/>
    <w:rsid w:val="00C30049"/>
    <w:rsid w:val="00C30801"/>
    <w:rsid w:val="00C30BE7"/>
    <w:rsid w:val="00C30D57"/>
    <w:rsid w:val="00C30D9D"/>
    <w:rsid w:val="00C30EB5"/>
    <w:rsid w:val="00C3101E"/>
    <w:rsid w:val="00C312B0"/>
    <w:rsid w:val="00C31694"/>
    <w:rsid w:val="00C31B23"/>
    <w:rsid w:val="00C3268F"/>
    <w:rsid w:val="00C328B7"/>
    <w:rsid w:val="00C336D6"/>
    <w:rsid w:val="00C3375D"/>
    <w:rsid w:val="00C3391F"/>
    <w:rsid w:val="00C339EA"/>
    <w:rsid w:val="00C33FA2"/>
    <w:rsid w:val="00C344B0"/>
    <w:rsid w:val="00C34533"/>
    <w:rsid w:val="00C3458B"/>
    <w:rsid w:val="00C3463B"/>
    <w:rsid w:val="00C347B5"/>
    <w:rsid w:val="00C3481C"/>
    <w:rsid w:val="00C3485E"/>
    <w:rsid w:val="00C353A9"/>
    <w:rsid w:val="00C353D2"/>
    <w:rsid w:val="00C35992"/>
    <w:rsid w:val="00C35BE9"/>
    <w:rsid w:val="00C35C95"/>
    <w:rsid w:val="00C35D75"/>
    <w:rsid w:val="00C35E19"/>
    <w:rsid w:val="00C3617A"/>
    <w:rsid w:val="00C36BAC"/>
    <w:rsid w:val="00C36E9A"/>
    <w:rsid w:val="00C3709B"/>
    <w:rsid w:val="00C37107"/>
    <w:rsid w:val="00C3723E"/>
    <w:rsid w:val="00C375E3"/>
    <w:rsid w:val="00C37C4D"/>
    <w:rsid w:val="00C37F05"/>
    <w:rsid w:val="00C40072"/>
    <w:rsid w:val="00C4031E"/>
    <w:rsid w:val="00C40344"/>
    <w:rsid w:val="00C4051B"/>
    <w:rsid w:val="00C405B7"/>
    <w:rsid w:val="00C40918"/>
    <w:rsid w:val="00C40B09"/>
    <w:rsid w:val="00C41117"/>
    <w:rsid w:val="00C41229"/>
    <w:rsid w:val="00C41275"/>
    <w:rsid w:val="00C413B8"/>
    <w:rsid w:val="00C416E3"/>
    <w:rsid w:val="00C41865"/>
    <w:rsid w:val="00C4197B"/>
    <w:rsid w:val="00C41E4F"/>
    <w:rsid w:val="00C41E94"/>
    <w:rsid w:val="00C4204A"/>
    <w:rsid w:val="00C42832"/>
    <w:rsid w:val="00C429A6"/>
    <w:rsid w:val="00C43085"/>
    <w:rsid w:val="00C430E8"/>
    <w:rsid w:val="00C4329D"/>
    <w:rsid w:val="00C438E0"/>
    <w:rsid w:val="00C43BA7"/>
    <w:rsid w:val="00C43C99"/>
    <w:rsid w:val="00C43D99"/>
    <w:rsid w:val="00C44B5A"/>
    <w:rsid w:val="00C45128"/>
    <w:rsid w:val="00C45268"/>
    <w:rsid w:val="00C4584C"/>
    <w:rsid w:val="00C45B17"/>
    <w:rsid w:val="00C45E55"/>
    <w:rsid w:val="00C47127"/>
    <w:rsid w:val="00C47244"/>
    <w:rsid w:val="00C4770C"/>
    <w:rsid w:val="00C478A3"/>
    <w:rsid w:val="00C47998"/>
    <w:rsid w:val="00C47C22"/>
    <w:rsid w:val="00C47CBB"/>
    <w:rsid w:val="00C47FBD"/>
    <w:rsid w:val="00C5020C"/>
    <w:rsid w:val="00C5028C"/>
    <w:rsid w:val="00C50809"/>
    <w:rsid w:val="00C50A31"/>
    <w:rsid w:val="00C50BD9"/>
    <w:rsid w:val="00C50C68"/>
    <w:rsid w:val="00C50E5E"/>
    <w:rsid w:val="00C51189"/>
    <w:rsid w:val="00C5142E"/>
    <w:rsid w:val="00C51841"/>
    <w:rsid w:val="00C518C1"/>
    <w:rsid w:val="00C51F9F"/>
    <w:rsid w:val="00C523FB"/>
    <w:rsid w:val="00C529CA"/>
    <w:rsid w:val="00C52A97"/>
    <w:rsid w:val="00C52C40"/>
    <w:rsid w:val="00C52D2C"/>
    <w:rsid w:val="00C52D87"/>
    <w:rsid w:val="00C52E4F"/>
    <w:rsid w:val="00C533A6"/>
    <w:rsid w:val="00C533D8"/>
    <w:rsid w:val="00C533DD"/>
    <w:rsid w:val="00C536E8"/>
    <w:rsid w:val="00C53721"/>
    <w:rsid w:val="00C53833"/>
    <w:rsid w:val="00C54250"/>
    <w:rsid w:val="00C54315"/>
    <w:rsid w:val="00C543FC"/>
    <w:rsid w:val="00C54949"/>
    <w:rsid w:val="00C54C31"/>
    <w:rsid w:val="00C54CE0"/>
    <w:rsid w:val="00C54DCC"/>
    <w:rsid w:val="00C54F8E"/>
    <w:rsid w:val="00C54FDC"/>
    <w:rsid w:val="00C550C0"/>
    <w:rsid w:val="00C55122"/>
    <w:rsid w:val="00C55339"/>
    <w:rsid w:val="00C559A9"/>
    <w:rsid w:val="00C55D8C"/>
    <w:rsid w:val="00C55E16"/>
    <w:rsid w:val="00C563FE"/>
    <w:rsid w:val="00C56917"/>
    <w:rsid w:val="00C56B56"/>
    <w:rsid w:val="00C56DB7"/>
    <w:rsid w:val="00C56E52"/>
    <w:rsid w:val="00C57128"/>
    <w:rsid w:val="00C5759F"/>
    <w:rsid w:val="00C575C8"/>
    <w:rsid w:val="00C5771C"/>
    <w:rsid w:val="00C57E81"/>
    <w:rsid w:val="00C60259"/>
    <w:rsid w:val="00C60575"/>
    <w:rsid w:val="00C60700"/>
    <w:rsid w:val="00C60C3B"/>
    <w:rsid w:val="00C60FB1"/>
    <w:rsid w:val="00C61AF2"/>
    <w:rsid w:val="00C61DA1"/>
    <w:rsid w:val="00C61EF1"/>
    <w:rsid w:val="00C62054"/>
    <w:rsid w:val="00C629E3"/>
    <w:rsid w:val="00C6325D"/>
    <w:rsid w:val="00C6375D"/>
    <w:rsid w:val="00C63F41"/>
    <w:rsid w:val="00C6442E"/>
    <w:rsid w:val="00C6481B"/>
    <w:rsid w:val="00C64ACA"/>
    <w:rsid w:val="00C64B63"/>
    <w:rsid w:val="00C64E92"/>
    <w:rsid w:val="00C65412"/>
    <w:rsid w:val="00C65467"/>
    <w:rsid w:val="00C6550B"/>
    <w:rsid w:val="00C65EA0"/>
    <w:rsid w:val="00C65F8E"/>
    <w:rsid w:val="00C66098"/>
    <w:rsid w:val="00C6609C"/>
    <w:rsid w:val="00C662A3"/>
    <w:rsid w:val="00C66851"/>
    <w:rsid w:val="00C66B88"/>
    <w:rsid w:val="00C66D6E"/>
    <w:rsid w:val="00C67631"/>
    <w:rsid w:val="00C6795C"/>
    <w:rsid w:val="00C67AC3"/>
    <w:rsid w:val="00C67AFD"/>
    <w:rsid w:val="00C67BDE"/>
    <w:rsid w:val="00C67FAA"/>
    <w:rsid w:val="00C700C2"/>
    <w:rsid w:val="00C7011E"/>
    <w:rsid w:val="00C70123"/>
    <w:rsid w:val="00C701D5"/>
    <w:rsid w:val="00C7046C"/>
    <w:rsid w:val="00C70C9B"/>
    <w:rsid w:val="00C70E3C"/>
    <w:rsid w:val="00C710EA"/>
    <w:rsid w:val="00C711BF"/>
    <w:rsid w:val="00C715CA"/>
    <w:rsid w:val="00C7181A"/>
    <w:rsid w:val="00C7193C"/>
    <w:rsid w:val="00C719CB"/>
    <w:rsid w:val="00C72173"/>
    <w:rsid w:val="00C722A7"/>
    <w:rsid w:val="00C72B9D"/>
    <w:rsid w:val="00C72CB2"/>
    <w:rsid w:val="00C72D74"/>
    <w:rsid w:val="00C72E84"/>
    <w:rsid w:val="00C73138"/>
    <w:rsid w:val="00C7356C"/>
    <w:rsid w:val="00C73900"/>
    <w:rsid w:val="00C73B7C"/>
    <w:rsid w:val="00C748D4"/>
    <w:rsid w:val="00C749E6"/>
    <w:rsid w:val="00C74B08"/>
    <w:rsid w:val="00C74DC5"/>
    <w:rsid w:val="00C7503C"/>
    <w:rsid w:val="00C75045"/>
    <w:rsid w:val="00C75302"/>
    <w:rsid w:val="00C75508"/>
    <w:rsid w:val="00C75784"/>
    <w:rsid w:val="00C75DA9"/>
    <w:rsid w:val="00C75F04"/>
    <w:rsid w:val="00C75F3E"/>
    <w:rsid w:val="00C76374"/>
    <w:rsid w:val="00C765A6"/>
    <w:rsid w:val="00C766EA"/>
    <w:rsid w:val="00C769CC"/>
    <w:rsid w:val="00C76B23"/>
    <w:rsid w:val="00C76D96"/>
    <w:rsid w:val="00C80037"/>
    <w:rsid w:val="00C80264"/>
    <w:rsid w:val="00C80409"/>
    <w:rsid w:val="00C80D3F"/>
    <w:rsid w:val="00C811A5"/>
    <w:rsid w:val="00C8144C"/>
    <w:rsid w:val="00C8187B"/>
    <w:rsid w:val="00C81A5F"/>
    <w:rsid w:val="00C81BDA"/>
    <w:rsid w:val="00C81E5D"/>
    <w:rsid w:val="00C81EFB"/>
    <w:rsid w:val="00C81F49"/>
    <w:rsid w:val="00C8214D"/>
    <w:rsid w:val="00C823B6"/>
    <w:rsid w:val="00C8242D"/>
    <w:rsid w:val="00C82678"/>
    <w:rsid w:val="00C8267D"/>
    <w:rsid w:val="00C828DD"/>
    <w:rsid w:val="00C82C28"/>
    <w:rsid w:val="00C82E77"/>
    <w:rsid w:val="00C83044"/>
    <w:rsid w:val="00C83606"/>
    <w:rsid w:val="00C83778"/>
    <w:rsid w:val="00C837E3"/>
    <w:rsid w:val="00C839FD"/>
    <w:rsid w:val="00C83AAD"/>
    <w:rsid w:val="00C83B09"/>
    <w:rsid w:val="00C83B33"/>
    <w:rsid w:val="00C83D26"/>
    <w:rsid w:val="00C84569"/>
    <w:rsid w:val="00C84672"/>
    <w:rsid w:val="00C84740"/>
    <w:rsid w:val="00C847CB"/>
    <w:rsid w:val="00C84A24"/>
    <w:rsid w:val="00C84C74"/>
    <w:rsid w:val="00C84C7F"/>
    <w:rsid w:val="00C84FB9"/>
    <w:rsid w:val="00C85034"/>
    <w:rsid w:val="00C8507B"/>
    <w:rsid w:val="00C850D7"/>
    <w:rsid w:val="00C8517F"/>
    <w:rsid w:val="00C85922"/>
    <w:rsid w:val="00C85F12"/>
    <w:rsid w:val="00C865E0"/>
    <w:rsid w:val="00C86BD5"/>
    <w:rsid w:val="00C86DF9"/>
    <w:rsid w:val="00C86DFC"/>
    <w:rsid w:val="00C86E40"/>
    <w:rsid w:val="00C86F91"/>
    <w:rsid w:val="00C8709C"/>
    <w:rsid w:val="00C876ED"/>
    <w:rsid w:val="00C87A1A"/>
    <w:rsid w:val="00C87C4B"/>
    <w:rsid w:val="00C87CE9"/>
    <w:rsid w:val="00C87EDB"/>
    <w:rsid w:val="00C90401"/>
    <w:rsid w:val="00C904B0"/>
    <w:rsid w:val="00C90582"/>
    <w:rsid w:val="00C90F7F"/>
    <w:rsid w:val="00C91261"/>
    <w:rsid w:val="00C91602"/>
    <w:rsid w:val="00C918C9"/>
    <w:rsid w:val="00C91D59"/>
    <w:rsid w:val="00C91DCE"/>
    <w:rsid w:val="00C91E97"/>
    <w:rsid w:val="00C92034"/>
    <w:rsid w:val="00C92190"/>
    <w:rsid w:val="00C92265"/>
    <w:rsid w:val="00C9238E"/>
    <w:rsid w:val="00C926BD"/>
    <w:rsid w:val="00C92778"/>
    <w:rsid w:val="00C928E4"/>
    <w:rsid w:val="00C92DB5"/>
    <w:rsid w:val="00C9302E"/>
    <w:rsid w:val="00C931D2"/>
    <w:rsid w:val="00C934A3"/>
    <w:rsid w:val="00C93772"/>
    <w:rsid w:val="00C93AFF"/>
    <w:rsid w:val="00C93BF5"/>
    <w:rsid w:val="00C93C8B"/>
    <w:rsid w:val="00C93FFE"/>
    <w:rsid w:val="00C945A6"/>
    <w:rsid w:val="00C947D3"/>
    <w:rsid w:val="00C948C9"/>
    <w:rsid w:val="00C94F39"/>
    <w:rsid w:val="00C94F62"/>
    <w:rsid w:val="00C95050"/>
    <w:rsid w:val="00C9550C"/>
    <w:rsid w:val="00C95552"/>
    <w:rsid w:val="00C95A1A"/>
    <w:rsid w:val="00C95FDF"/>
    <w:rsid w:val="00C96773"/>
    <w:rsid w:val="00C967C4"/>
    <w:rsid w:val="00C9699D"/>
    <w:rsid w:val="00C96AD9"/>
    <w:rsid w:val="00C96ECD"/>
    <w:rsid w:val="00C97838"/>
    <w:rsid w:val="00C97E95"/>
    <w:rsid w:val="00CA0034"/>
    <w:rsid w:val="00CA06E4"/>
    <w:rsid w:val="00CA087D"/>
    <w:rsid w:val="00CA09C5"/>
    <w:rsid w:val="00CA09FA"/>
    <w:rsid w:val="00CA0FEA"/>
    <w:rsid w:val="00CA1112"/>
    <w:rsid w:val="00CA11FC"/>
    <w:rsid w:val="00CA1258"/>
    <w:rsid w:val="00CA1474"/>
    <w:rsid w:val="00CA15D3"/>
    <w:rsid w:val="00CA162C"/>
    <w:rsid w:val="00CA1642"/>
    <w:rsid w:val="00CA1AF5"/>
    <w:rsid w:val="00CA1EDF"/>
    <w:rsid w:val="00CA223A"/>
    <w:rsid w:val="00CA24DF"/>
    <w:rsid w:val="00CA259A"/>
    <w:rsid w:val="00CA2672"/>
    <w:rsid w:val="00CA2DBC"/>
    <w:rsid w:val="00CA3B46"/>
    <w:rsid w:val="00CA3DA7"/>
    <w:rsid w:val="00CA4017"/>
    <w:rsid w:val="00CA454F"/>
    <w:rsid w:val="00CA4580"/>
    <w:rsid w:val="00CA463E"/>
    <w:rsid w:val="00CA48DD"/>
    <w:rsid w:val="00CA4A7F"/>
    <w:rsid w:val="00CA4B4A"/>
    <w:rsid w:val="00CA4FAF"/>
    <w:rsid w:val="00CA4FC3"/>
    <w:rsid w:val="00CA5077"/>
    <w:rsid w:val="00CA5376"/>
    <w:rsid w:val="00CA6286"/>
    <w:rsid w:val="00CA6A0A"/>
    <w:rsid w:val="00CA6A25"/>
    <w:rsid w:val="00CA6A8F"/>
    <w:rsid w:val="00CA6D93"/>
    <w:rsid w:val="00CA6E7C"/>
    <w:rsid w:val="00CA6F76"/>
    <w:rsid w:val="00CA74B6"/>
    <w:rsid w:val="00CA7688"/>
    <w:rsid w:val="00CA784C"/>
    <w:rsid w:val="00CA7E68"/>
    <w:rsid w:val="00CB030C"/>
    <w:rsid w:val="00CB076D"/>
    <w:rsid w:val="00CB0D31"/>
    <w:rsid w:val="00CB1420"/>
    <w:rsid w:val="00CB19F5"/>
    <w:rsid w:val="00CB23C3"/>
    <w:rsid w:val="00CB2600"/>
    <w:rsid w:val="00CB2976"/>
    <w:rsid w:val="00CB29EC"/>
    <w:rsid w:val="00CB2D3A"/>
    <w:rsid w:val="00CB2D77"/>
    <w:rsid w:val="00CB2E1F"/>
    <w:rsid w:val="00CB30F2"/>
    <w:rsid w:val="00CB3133"/>
    <w:rsid w:val="00CB37CE"/>
    <w:rsid w:val="00CB3D12"/>
    <w:rsid w:val="00CB40AD"/>
    <w:rsid w:val="00CB469D"/>
    <w:rsid w:val="00CB47F9"/>
    <w:rsid w:val="00CB4CDA"/>
    <w:rsid w:val="00CB4FE1"/>
    <w:rsid w:val="00CB4FE7"/>
    <w:rsid w:val="00CB5458"/>
    <w:rsid w:val="00CB5790"/>
    <w:rsid w:val="00CB57D6"/>
    <w:rsid w:val="00CB5925"/>
    <w:rsid w:val="00CB5A80"/>
    <w:rsid w:val="00CB5AD4"/>
    <w:rsid w:val="00CB5E67"/>
    <w:rsid w:val="00CB659C"/>
    <w:rsid w:val="00CB65E2"/>
    <w:rsid w:val="00CB666A"/>
    <w:rsid w:val="00CB6689"/>
    <w:rsid w:val="00CB6ACE"/>
    <w:rsid w:val="00CB6DEE"/>
    <w:rsid w:val="00CB6FB5"/>
    <w:rsid w:val="00CB704B"/>
    <w:rsid w:val="00CB78D8"/>
    <w:rsid w:val="00CB7B52"/>
    <w:rsid w:val="00CB7E75"/>
    <w:rsid w:val="00CB7E8E"/>
    <w:rsid w:val="00CC016C"/>
    <w:rsid w:val="00CC028A"/>
    <w:rsid w:val="00CC02DF"/>
    <w:rsid w:val="00CC0313"/>
    <w:rsid w:val="00CC10F3"/>
    <w:rsid w:val="00CC16F2"/>
    <w:rsid w:val="00CC1A6D"/>
    <w:rsid w:val="00CC1BD5"/>
    <w:rsid w:val="00CC1CE6"/>
    <w:rsid w:val="00CC264E"/>
    <w:rsid w:val="00CC2A89"/>
    <w:rsid w:val="00CC2A93"/>
    <w:rsid w:val="00CC2C8C"/>
    <w:rsid w:val="00CC30A5"/>
    <w:rsid w:val="00CC3330"/>
    <w:rsid w:val="00CC382F"/>
    <w:rsid w:val="00CC39C2"/>
    <w:rsid w:val="00CC3E02"/>
    <w:rsid w:val="00CC3F86"/>
    <w:rsid w:val="00CC41E7"/>
    <w:rsid w:val="00CC466B"/>
    <w:rsid w:val="00CC4833"/>
    <w:rsid w:val="00CC49BA"/>
    <w:rsid w:val="00CC4F32"/>
    <w:rsid w:val="00CC4F9E"/>
    <w:rsid w:val="00CC53F3"/>
    <w:rsid w:val="00CC55F6"/>
    <w:rsid w:val="00CC5707"/>
    <w:rsid w:val="00CC5727"/>
    <w:rsid w:val="00CC588F"/>
    <w:rsid w:val="00CC58D7"/>
    <w:rsid w:val="00CC5D73"/>
    <w:rsid w:val="00CC5F13"/>
    <w:rsid w:val="00CC6271"/>
    <w:rsid w:val="00CC651D"/>
    <w:rsid w:val="00CC67BF"/>
    <w:rsid w:val="00CC6AA7"/>
    <w:rsid w:val="00CC6ABE"/>
    <w:rsid w:val="00CC6DA5"/>
    <w:rsid w:val="00CC7837"/>
    <w:rsid w:val="00CC785A"/>
    <w:rsid w:val="00CC7DB6"/>
    <w:rsid w:val="00CC7E1C"/>
    <w:rsid w:val="00CD03F6"/>
    <w:rsid w:val="00CD0638"/>
    <w:rsid w:val="00CD06C5"/>
    <w:rsid w:val="00CD08A4"/>
    <w:rsid w:val="00CD08C7"/>
    <w:rsid w:val="00CD09D3"/>
    <w:rsid w:val="00CD0ADB"/>
    <w:rsid w:val="00CD1279"/>
    <w:rsid w:val="00CD12AA"/>
    <w:rsid w:val="00CD15BA"/>
    <w:rsid w:val="00CD1788"/>
    <w:rsid w:val="00CD1836"/>
    <w:rsid w:val="00CD186B"/>
    <w:rsid w:val="00CD18B8"/>
    <w:rsid w:val="00CD1A75"/>
    <w:rsid w:val="00CD1B42"/>
    <w:rsid w:val="00CD1C84"/>
    <w:rsid w:val="00CD1CE6"/>
    <w:rsid w:val="00CD1D49"/>
    <w:rsid w:val="00CD2304"/>
    <w:rsid w:val="00CD2490"/>
    <w:rsid w:val="00CD2B03"/>
    <w:rsid w:val="00CD2B4E"/>
    <w:rsid w:val="00CD2D1A"/>
    <w:rsid w:val="00CD2D78"/>
    <w:rsid w:val="00CD3139"/>
    <w:rsid w:val="00CD328F"/>
    <w:rsid w:val="00CD3327"/>
    <w:rsid w:val="00CD3755"/>
    <w:rsid w:val="00CD3783"/>
    <w:rsid w:val="00CD37B3"/>
    <w:rsid w:val="00CD3C5B"/>
    <w:rsid w:val="00CD427F"/>
    <w:rsid w:val="00CD461B"/>
    <w:rsid w:val="00CD4701"/>
    <w:rsid w:val="00CD4774"/>
    <w:rsid w:val="00CD47C9"/>
    <w:rsid w:val="00CD4A11"/>
    <w:rsid w:val="00CD4BC2"/>
    <w:rsid w:val="00CD4C50"/>
    <w:rsid w:val="00CD534B"/>
    <w:rsid w:val="00CD55DE"/>
    <w:rsid w:val="00CD5797"/>
    <w:rsid w:val="00CD58C7"/>
    <w:rsid w:val="00CD6145"/>
    <w:rsid w:val="00CD623D"/>
    <w:rsid w:val="00CD63E8"/>
    <w:rsid w:val="00CD6644"/>
    <w:rsid w:val="00CD6C4D"/>
    <w:rsid w:val="00CD6C79"/>
    <w:rsid w:val="00CD7A20"/>
    <w:rsid w:val="00CD7A3F"/>
    <w:rsid w:val="00CD7EB1"/>
    <w:rsid w:val="00CD7F56"/>
    <w:rsid w:val="00CE038D"/>
    <w:rsid w:val="00CE0A4A"/>
    <w:rsid w:val="00CE0B0F"/>
    <w:rsid w:val="00CE0D60"/>
    <w:rsid w:val="00CE198B"/>
    <w:rsid w:val="00CE1BB5"/>
    <w:rsid w:val="00CE1DD5"/>
    <w:rsid w:val="00CE1EFB"/>
    <w:rsid w:val="00CE216C"/>
    <w:rsid w:val="00CE247B"/>
    <w:rsid w:val="00CE27D5"/>
    <w:rsid w:val="00CE297C"/>
    <w:rsid w:val="00CE2BF0"/>
    <w:rsid w:val="00CE2C14"/>
    <w:rsid w:val="00CE321E"/>
    <w:rsid w:val="00CE380C"/>
    <w:rsid w:val="00CE42C5"/>
    <w:rsid w:val="00CE44DA"/>
    <w:rsid w:val="00CE4995"/>
    <w:rsid w:val="00CE4CF3"/>
    <w:rsid w:val="00CE4D31"/>
    <w:rsid w:val="00CE4E12"/>
    <w:rsid w:val="00CE4F9D"/>
    <w:rsid w:val="00CE5234"/>
    <w:rsid w:val="00CE57BD"/>
    <w:rsid w:val="00CE5972"/>
    <w:rsid w:val="00CE6146"/>
    <w:rsid w:val="00CE62EA"/>
    <w:rsid w:val="00CE656B"/>
    <w:rsid w:val="00CE6674"/>
    <w:rsid w:val="00CE792A"/>
    <w:rsid w:val="00CE7C61"/>
    <w:rsid w:val="00CE7E12"/>
    <w:rsid w:val="00CF002F"/>
    <w:rsid w:val="00CF03F8"/>
    <w:rsid w:val="00CF04B1"/>
    <w:rsid w:val="00CF0CF6"/>
    <w:rsid w:val="00CF0E21"/>
    <w:rsid w:val="00CF0EF9"/>
    <w:rsid w:val="00CF13A9"/>
    <w:rsid w:val="00CF17E0"/>
    <w:rsid w:val="00CF1B7D"/>
    <w:rsid w:val="00CF1FA9"/>
    <w:rsid w:val="00CF2090"/>
    <w:rsid w:val="00CF2366"/>
    <w:rsid w:val="00CF2447"/>
    <w:rsid w:val="00CF2526"/>
    <w:rsid w:val="00CF25F2"/>
    <w:rsid w:val="00CF2696"/>
    <w:rsid w:val="00CF269D"/>
    <w:rsid w:val="00CF283E"/>
    <w:rsid w:val="00CF2A70"/>
    <w:rsid w:val="00CF2B79"/>
    <w:rsid w:val="00CF2BB9"/>
    <w:rsid w:val="00CF2F7D"/>
    <w:rsid w:val="00CF34B3"/>
    <w:rsid w:val="00CF365F"/>
    <w:rsid w:val="00CF37C1"/>
    <w:rsid w:val="00CF3D2B"/>
    <w:rsid w:val="00CF3DFB"/>
    <w:rsid w:val="00CF3E50"/>
    <w:rsid w:val="00CF3EB6"/>
    <w:rsid w:val="00CF4326"/>
    <w:rsid w:val="00CF47C9"/>
    <w:rsid w:val="00CF49F8"/>
    <w:rsid w:val="00CF4A45"/>
    <w:rsid w:val="00CF4B60"/>
    <w:rsid w:val="00CF4F8B"/>
    <w:rsid w:val="00CF5ABE"/>
    <w:rsid w:val="00CF5CC5"/>
    <w:rsid w:val="00CF606F"/>
    <w:rsid w:val="00CF6180"/>
    <w:rsid w:val="00CF630C"/>
    <w:rsid w:val="00CF6C0D"/>
    <w:rsid w:val="00CF7783"/>
    <w:rsid w:val="00CF7A29"/>
    <w:rsid w:val="00CF7BD3"/>
    <w:rsid w:val="00CF7E78"/>
    <w:rsid w:val="00D003BC"/>
    <w:rsid w:val="00D006AE"/>
    <w:rsid w:val="00D00DD6"/>
    <w:rsid w:val="00D010F6"/>
    <w:rsid w:val="00D01238"/>
    <w:rsid w:val="00D016C2"/>
    <w:rsid w:val="00D01EB7"/>
    <w:rsid w:val="00D02004"/>
    <w:rsid w:val="00D021D8"/>
    <w:rsid w:val="00D0265A"/>
    <w:rsid w:val="00D02CFF"/>
    <w:rsid w:val="00D033EF"/>
    <w:rsid w:val="00D03630"/>
    <w:rsid w:val="00D03AC9"/>
    <w:rsid w:val="00D043EB"/>
    <w:rsid w:val="00D0483C"/>
    <w:rsid w:val="00D04947"/>
    <w:rsid w:val="00D0512A"/>
    <w:rsid w:val="00D0551A"/>
    <w:rsid w:val="00D059D8"/>
    <w:rsid w:val="00D05D7B"/>
    <w:rsid w:val="00D06244"/>
    <w:rsid w:val="00D06434"/>
    <w:rsid w:val="00D06642"/>
    <w:rsid w:val="00D067D6"/>
    <w:rsid w:val="00D06D2F"/>
    <w:rsid w:val="00D06DD9"/>
    <w:rsid w:val="00D0761E"/>
    <w:rsid w:val="00D10237"/>
    <w:rsid w:val="00D10874"/>
    <w:rsid w:val="00D10B48"/>
    <w:rsid w:val="00D10BAA"/>
    <w:rsid w:val="00D116B6"/>
    <w:rsid w:val="00D116CC"/>
    <w:rsid w:val="00D11BBE"/>
    <w:rsid w:val="00D1233C"/>
    <w:rsid w:val="00D125DD"/>
    <w:rsid w:val="00D126A5"/>
    <w:rsid w:val="00D12A7C"/>
    <w:rsid w:val="00D12CD7"/>
    <w:rsid w:val="00D12FC5"/>
    <w:rsid w:val="00D13414"/>
    <w:rsid w:val="00D13563"/>
    <w:rsid w:val="00D135FB"/>
    <w:rsid w:val="00D13B65"/>
    <w:rsid w:val="00D13D9A"/>
    <w:rsid w:val="00D1416C"/>
    <w:rsid w:val="00D142CA"/>
    <w:rsid w:val="00D1469F"/>
    <w:rsid w:val="00D146CD"/>
    <w:rsid w:val="00D14912"/>
    <w:rsid w:val="00D14931"/>
    <w:rsid w:val="00D14947"/>
    <w:rsid w:val="00D14BB0"/>
    <w:rsid w:val="00D14CE5"/>
    <w:rsid w:val="00D14F39"/>
    <w:rsid w:val="00D15002"/>
    <w:rsid w:val="00D152C1"/>
    <w:rsid w:val="00D153B9"/>
    <w:rsid w:val="00D1564A"/>
    <w:rsid w:val="00D15660"/>
    <w:rsid w:val="00D15699"/>
    <w:rsid w:val="00D157D4"/>
    <w:rsid w:val="00D15BC3"/>
    <w:rsid w:val="00D15F7C"/>
    <w:rsid w:val="00D160FB"/>
    <w:rsid w:val="00D164BA"/>
    <w:rsid w:val="00D168B1"/>
    <w:rsid w:val="00D168F7"/>
    <w:rsid w:val="00D169C8"/>
    <w:rsid w:val="00D16AA3"/>
    <w:rsid w:val="00D16C94"/>
    <w:rsid w:val="00D17058"/>
    <w:rsid w:val="00D17189"/>
    <w:rsid w:val="00D172A9"/>
    <w:rsid w:val="00D177C1"/>
    <w:rsid w:val="00D17BCF"/>
    <w:rsid w:val="00D17C66"/>
    <w:rsid w:val="00D2024D"/>
    <w:rsid w:val="00D20633"/>
    <w:rsid w:val="00D2076F"/>
    <w:rsid w:val="00D209B4"/>
    <w:rsid w:val="00D20D27"/>
    <w:rsid w:val="00D20F28"/>
    <w:rsid w:val="00D21116"/>
    <w:rsid w:val="00D21127"/>
    <w:rsid w:val="00D211BD"/>
    <w:rsid w:val="00D2120B"/>
    <w:rsid w:val="00D2143C"/>
    <w:rsid w:val="00D21705"/>
    <w:rsid w:val="00D217D4"/>
    <w:rsid w:val="00D21EA7"/>
    <w:rsid w:val="00D222D9"/>
    <w:rsid w:val="00D224CE"/>
    <w:rsid w:val="00D227DC"/>
    <w:rsid w:val="00D22800"/>
    <w:rsid w:val="00D22853"/>
    <w:rsid w:val="00D23366"/>
    <w:rsid w:val="00D235B5"/>
    <w:rsid w:val="00D239B0"/>
    <w:rsid w:val="00D240CF"/>
    <w:rsid w:val="00D2418F"/>
    <w:rsid w:val="00D244BA"/>
    <w:rsid w:val="00D24650"/>
    <w:rsid w:val="00D248FD"/>
    <w:rsid w:val="00D24C71"/>
    <w:rsid w:val="00D25813"/>
    <w:rsid w:val="00D26175"/>
    <w:rsid w:val="00D26204"/>
    <w:rsid w:val="00D262DE"/>
    <w:rsid w:val="00D26332"/>
    <w:rsid w:val="00D26656"/>
    <w:rsid w:val="00D2683B"/>
    <w:rsid w:val="00D26A9E"/>
    <w:rsid w:val="00D277BA"/>
    <w:rsid w:val="00D2787C"/>
    <w:rsid w:val="00D27E01"/>
    <w:rsid w:val="00D27E6A"/>
    <w:rsid w:val="00D301A8"/>
    <w:rsid w:val="00D3063C"/>
    <w:rsid w:val="00D30685"/>
    <w:rsid w:val="00D3093B"/>
    <w:rsid w:val="00D30B0F"/>
    <w:rsid w:val="00D30ECB"/>
    <w:rsid w:val="00D310B7"/>
    <w:rsid w:val="00D31881"/>
    <w:rsid w:val="00D31A82"/>
    <w:rsid w:val="00D31B70"/>
    <w:rsid w:val="00D31FBB"/>
    <w:rsid w:val="00D32520"/>
    <w:rsid w:val="00D329B9"/>
    <w:rsid w:val="00D32DD3"/>
    <w:rsid w:val="00D32F51"/>
    <w:rsid w:val="00D32F54"/>
    <w:rsid w:val="00D33430"/>
    <w:rsid w:val="00D334B0"/>
    <w:rsid w:val="00D3376C"/>
    <w:rsid w:val="00D33829"/>
    <w:rsid w:val="00D33A8C"/>
    <w:rsid w:val="00D34106"/>
    <w:rsid w:val="00D3423A"/>
    <w:rsid w:val="00D349E2"/>
    <w:rsid w:val="00D35269"/>
    <w:rsid w:val="00D35845"/>
    <w:rsid w:val="00D35C33"/>
    <w:rsid w:val="00D368EF"/>
    <w:rsid w:val="00D36DB8"/>
    <w:rsid w:val="00D36DBC"/>
    <w:rsid w:val="00D3700F"/>
    <w:rsid w:val="00D370D3"/>
    <w:rsid w:val="00D37843"/>
    <w:rsid w:val="00D37D40"/>
    <w:rsid w:val="00D400DE"/>
    <w:rsid w:val="00D40115"/>
    <w:rsid w:val="00D408BF"/>
    <w:rsid w:val="00D40BB7"/>
    <w:rsid w:val="00D40ED4"/>
    <w:rsid w:val="00D40FB6"/>
    <w:rsid w:val="00D411AE"/>
    <w:rsid w:val="00D414F2"/>
    <w:rsid w:val="00D4163D"/>
    <w:rsid w:val="00D4188D"/>
    <w:rsid w:val="00D41B13"/>
    <w:rsid w:val="00D41B83"/>
    <w:rsid w:val="00D41C9A"/>
    <w:rsid w:val="00D41CC4"/>
    <w:rsid w:val="00D42146"/>
    <w:rsid w:val="00D422A8"/>
    <w:rsid w:val="00D42385"/>
    <w:rsid w:val="00D423CD"/>
    <w:rsid w:val="00D4275B"/>
    <w:rsid w:val="00D42AAA"/>
    <w:rsid w:val="00D42D11"/>
    <w:rsid w:val="00D42DA0"/>
    <w:rsid w:val="00D42F9D"/>
    <w:rsid w:val="00D4329B"/>
    <w:rsid w:val="00D43559"/>
    <w:rsid w:val="00D435E3"/>
    <w:rsid w:val="00D43899"/>
    <w:rsid w:val="00D43966"/>
    <w:rsid w:val="00D43FE2"/>
    <w:rsid w:val="00D4465F"/>
    <w:rsid w:val="00D4480B"/>
    <w:rsid w:val="00D450C8"/>
    <w:rsid w:val="00D4531A"/>
    <w:rsid w:val="00D45676"/>
    <w:rsid w:val="00D4572A"/>
    <w:rsid w:val="00D4584A"/>
    <w:rsid w:val="00D45967"/>
    <w:rsid w:val="00D459DD"/>
    <w:rsid w:val="00D45A0C"/>
    <w:rsid w:val="00D45C4A"/>
    <w:rsid w:val="00D45CF9"/>
    <w:rsid w:val="00D463B1"/>
    <w:rsid w:val="00D46670"/>
    <w:rsid w:val="00D468DF"/>
    <w:rsid w:val="00D46A23"/>
    <w:rsid w:val="00D46A29"/>
    <w:rsid w:val="00D46C4F"/>
    <w:rsid w:val="00D4720F"/>
    <w:rsid w:val="00D475D7"/>
    <w:rsid w:val="00D47720"/>
    <w:rsid w:val="00D47B0C"/>
    <w:rsid w:val="00D47B0F"/>
    <w:rsid w:val="00D47EED"/>
    <w:rsid w:val="00D47FE8"/>
    <w:rsid w:val="00D50074"/>
    <w:rsid w:val="00D501F4"/>
    <w:rsid w:val="00D5079B"/>
    <w:rsid w:val="00D507F4"/>
    <w:rsid w:val="00D50826"/>
    <w:rsid w:val="00D50853"/>
    <w:rsid w:val="00D50946"/>
    <w:rsid w:val="00D50CEB"/>
    <w:rsid w:val="00D50DEE"/>
    <w:rsid w:val="00D50EEB"/>
    <w:rsid w:val="00D51A2F"/>
    <w:rsid w:val="00D51AE5"/>
    <w:rsid w:val="00D51F7A"/>
    <w:rsid w:val="00D51FDB"/>
    <w:rsid w:val="00D5201C"/>
    <w:rsid w:val="00D5206C"/>
    <w:rsid w:val="00D5211E"/>
    <w:rsid w:val="00D52163"/>
    <w:rsid w:val="00D52427"/>
    <w:rsid w:val="00D52A4F"/>
    <w:rsid w:val="00D52E95"/>
    <w:rsid w:val="00D53099"/>
    <w:rsid w:val="00D533E7"/>
    <w:rsid w:val="00D535AC"/>
    <w:rsid w:val="00D536C4"/>
    <w:rsid w:val="00D53756"/>
    <w:rsid w:val="00D53905"/>
    <w:rsid w:val="00D53F33"/>
    <w:rsid w:val="00D540E4"/>
    <w:rsid w:val="00D54270"/>
    <w:rsid w:val="00D54354"/>
    <w:rsid w:val="00D549F7"/>
    <w:rsid w:val="00D54BCE"/>
    <w:rsid w:val="00D54E3C"/>
    <w:rsid w:val="00D54E47"/>
    <w:rsid w:val="00D54F55"/>
    <w:rsid w:val="00D55107"/>
    <w:rsid w:val="00D5521E"/>
    <w:rsid w:val="00D55534"/>
    <w:rsid w:val="00D55596"/>
    <w:rsid w:val="00D558A8"/>
    <w:rsid w:val="00D559A2"/>
    <w:rsid w:val="00D55AE9"/>
    <w:rsid w:val="00D55B72"/>
    <w:rsid w:val="00D561BA"/>
    <w:rsid w:val="00D564F4"/>
    <w:rsid w:val="00D567B9"/>
    <w:rsid w:val="00D567BC"/>
    <w:rsid w:val="00D5693A"/>
    <w:rsid w:val="00D56BDF"/>
    <w:rsid w:val="00D56C12"/>
    <w:rsid w:val="00D56C4E"/>
    <w:rsid w:val="00D573ED"/>
    <w:rsid w:val="00D57658"/>
    <w:rsid w:val="00D576D6"/>
    <w:rsid w:val="00D578B8"/>
    <w:rsid w:val="00D57946"/>
    <w:rsid w:val="00D57A20"/>
    <w:rsid w:val="00D57E37"/>
    <w:rsid w:val="00D57F5A"/>
    <w:rsid w:val="00D5ED4C"/>
    <w:rsid w:val="00D600BB"/>
    <w:rsid w:val="00D605B9"/>
    <w:rsid w:val="00D60662"/>
    <w:rsid w:val="00D60AAA"/>
    <w:rsid w:val="00D60E4C"/>
    <w:rsid w:val="00D6122D"/>
    <w:rsid w:val="00D61972"/>
    <w:rsid w:val="00D61EB8"/>
    <w:rsid w:val="00D62164"/>
    <w:rsid w:val="00D62211"/>
    <w:rsid w:val="00D623E2"/>
    <w:rsid w:val="00D626A2"/>
    <w:rsid w:val="00D62A1D"/>
    <w:rsid w:val="00D636A8"/>
    <w:rsid w:val="00D6384E"/>
    <w:rsid w:val="00D63A15"/>
    <w:rsid w:val="00D644BC"/>
    <w:rsid w:val="00D647F1"/>
    <w:rsid w:val="00D64981"/>
    <w:rsid w:val="00D64989"/>
    <w:rsid w:val="00D64BD0"/>
    <w:rsid w:val="00D64E51"/>
    <w:rsid w:val="00D651B9"/>
    <w:rsid w:val="00D658B8"/>
    <w:rsid w:val="00D65C36"/>
    <w:rsid w:val="00D65ECD"/>
    <w:rsid w:val="00D660BA"/>
    <w:rsid w:val="00D66229"/>
    <w:rsid w:val="00D66739"/>
    <w:rsid w:val="00D66EDF"/>
    <w:rsid w:val="00D670F5"/>
    <w:rsid w:val="00D672AB"/>
    <w:rsid w:val="00D674BF"/>
    <w:rsid w:val="00D67962"/>
    <w:rsid w:val="00D67BCC"/>
    <w:rsid w:val="00D67CF9"/>
    <w:rsid w:val="00D67FCA"/>
    <w:rsid w:val="00D705CE"/>
    <w:rsid w:val="00D70BBE"/>
    <w:rsid w:val="00D70FA0"/>
    <w:rsid w:val="00D70FB8"/>
    <w:rsid w:val="00D70FEF"/>
    <w:rsid w:val="00D711E0"/>
    <w:rsid w:val="00D714B5"/>
    <w:rsid w:val="00D714CA"/>
    <w:rsid w:val="00D71909"/>
    <w:rsid w:val="00D71DA8"/>
    <w:rsid w:val="00D71E45"/>
    <w:rsid w:val="00D71E6A"/>
    <w:rsid w:val="00D72276"/>
    <w:rsid w:val="00D723AA"/>
    <w:rsid w:val="00D723DF"/>
    <w:rsid w:val="00D72BC4"/>
    <w:rsid w:val="00D72C75"/>
    <w:rsid w:val="00D72CCF"/>
    <w:rsid w:val="00D730A9"/>
    <w:rsid w:val="00D734D0"/>
    <w:rsid w:val="00D738C4"/>
    <w:rsid w:val="00D73D1B"/>
    <w:rsid w:val="00D73E65"/>
    <w:rsid w:val="00D74021"/>
    <w:rsid w:val="00D74042"/>
    <w:rsid w:val="00D741B1"/>
    <w:rsid w:val="00D74410"/>
    <w:rsid w:val="00D74DB7"/>
    <w:rsid w:val="00D74DCC"/>
    <w:rsid w:val="00D753D0"/>
    <w:rsid w:val="00D75522"/>
    <w:rsid w:val="00D75706"/>
    <w:rsid w:val="00D75822"/>
    <w:rsid w:val="00D7588E"/>
    <w:rsid w:val="00D7590D"/>
    <w:rsid w:val="00D75B02"/>
    <w:rsid w:val="00D75F00"/>
    <w:rsid w:val="00D760DA"/>
    <w:rsid w:val="00D760E2"/>
    <w:rsid w:val="00D7655B"/>
    <w:rsid w:val="00D769BB"/>
    <w:rsid w:val="00D76B9C"/>
    <w:rsid w:val="00D76CEC"/>
    <w:rsid w:val="00D7746D"/>
    <w:rsid w:val="00D7770A"/>
    <w:rsid w:val="00D7783E"/>
    <w:rsid w:val="00D77C77"/>
    <w:rsid w:val="00D77DA6"/>
    <w:rsid w:val="00D77E13"/>
    <w:rsid w:val="00D800C0"/>
    <w:rsid w:val="00D807E3"/>
    <w:rsid w:val="00D80A0A"/>
    <w:rsid w:val="00D80A40"/>
    <w:rsid w:val="00D80E91"/>
    <w:rsid w:val="00D811CD"/>
    <w:rsid w:val="00D812A9"/>
    <w:rsid w:val="00D81363"/>
    <w:rsid w:val="00D81A20"/>
    <w:rsid w:val="00D81AED"/>
    <w:rsid w:val="00D81D1A"/>
    <w:rsid w:val="00D82461"/>
    <w:rsid w:val="00D82893"/>
    <w:rsid w:val="00D82C65"/>
    <w:rsid w:val="00D83094"/>
    <w:rsid w:val="00D834D8"/>
    <w:rsid w:val="00D83618"/>
    <w:rsid w:val="00D836E3"/>
    <w:rsid w:val="00D837C2"/>
    <w:rsid w:val="00D83D07"/>
    <w:rsid w:val="00D84309"/>
    <w:rsid w:val="00D84511"/>
    <w:rsid w:val="00D847A6"/>
    <w:rsid w:val="00D84DC5"/>
    <w:rsid w:val="00D84E40"/>
    <w:rsid w:val="00D84EAC"/>
    <w:rsid w:val="00D84EE5"/>
    <w:rsid w:val="00D8519A"/>
    <w:rsid w:val="00D852E0"/>
    <w:rsid w:val="00D8583A"/>
    <w:rsid w:val="00D8596A"/>
    <w:rsid w:val="00D86015"/>
    <w:rsid w:val="00D86413"/>
    <w:rsid w:val="00D864A2"/>
    <w:rsid w:val="00D868DF"/>
    <w:rsid w:val="00D874D7"/>
    <w:rsid w:val="00D8778C"/>
    <w:rsid w:val="00D878A7"/>
    <w:rsid w:val="00D87CAF"/>
    <w:rsid w:val="00D87EC9"/>
    <w:rsid w:val="00D90442"/>
    <w:rsid w:val="00D905F7"/>
    <w:rsid w:val="00D90CA6"/>
    <w:rsid w:val="00D911C2"/>
    <w:rsid w:val="00D913AB"/>
    <w:rsid w:val="00D91523"/>
    <w:rsid w:val="00D916B8"/>
    <w:rsid w:val="00D918E5"/>
    <w:rsid w:val="00D91901"/>
    <w:rsid w:val="00D91ABA"/>
    <w:rsid w:val="00D91C27"/>
    <w:rsid w:val="00D91D3E"/>
    <w:rsid w:val="00D91F80"/>
    <w:rsid w:val="00D920DC"/>
    <w:rsid w:val="00D9269E"/>
    <w:rsid w:val="00D93A38"/>
    <w:rsid w:val="00D93A6E"/>
    <w:rsid w:val="00D93CA5"/>
    <w:rsid w:val="00D93F67"/>
    <w:rsid w:val="00D93F99"/>
    <w:rsid w:val="00D9400F"/>
    <w:rsid w:val="00D9407B"/>
    <w:rsid w:val="00D941C1"/>
    <w:rsid w:val="00D94242"/>
    <w:rsid w:val="00D94417"/>
    <w:rsid w:val="00D94840"/>
    <w:rsid w:val="00D94855"/>
    <w:rsid w:val="00D94B06"/>
    <w:rsid w:val="00D94F64"/>
    <w:rsid w:val="00D95071"/>
    <w:rsid w:val="00D95148"/>
    <w:rsid w:val="00D956C5"/>
    <w:rsid w:val="00D95812"/>
    <w:rsid w:val="00D95885"/>
    <w:rsid w:val="00D95B98"/>
    <w:rsid w:val="00D95D5F"/>
    <w:rsid w:val="00D96580"/>
    <w:rsid w:val="00D969F3"/>
    <w:rsid w:val="00D96A1E"/>
    <w:rsid w:val="00D96D12"/>
    <w:rsid w:val="00D96F90"/>
    <w:rsid w:val="00D9703E"/>
    <w:rsid w:val="00D975ED"/>
    <w:rsid w:val="00D97DD2"/>
    <w:rsid w:val="00DA0875"/>
    <w:rsid w:val="00DA0A25"/>
    <w:rsid w:val="00DA0B3F"/>
    <w:rsid w:val="00DA0C54"/>
    <w:rsid w:val="00DA12CE"/>
    <w:rsid w:val="00DA13AB"/>
    <w:rsid w:val="00DA197D"/>
    <w:rsid w:val="00DA1E01"/>
    <w:rsid w:val="00DA1F45"/>
    <w:rsid w:val="00DA2443"/>
    <w:rsid w:val="00DA280D"/>
    <w:rsid w:val="00DA2962"/>
    <w:rsid w:val="00DA3177"/>
    <w:rsid w:val="00DA3184"/>
    <w:rsid w:val="00DA3525"/>
    <w:rsid w:val="00DA37D9"/>
    <w:rsid w:val="00DA385F"/>
    <w:rsid w:val="00DA39AE"/>
    <w:rsid w:val="00DA3DE4"/>
    <w:rsid w:val="00DA3EE8"/>
    <w:rsid w:val="00DA4328"/>
    <w:rsid w:val="00DA441C"/>
    <w:rsid w:val="00DA4606"/>
    <w:rsid w:val="00DA47BA"/>
    <w:rsid w:val="00DA5225"/>
    <w:rsid w:val="00DA522F"/>
    <w:rsid w:val="00DA528B"/>
    <w:rsid w:val="00DA5464"/>
    <w:rsid w:val="00DA589C"/>
    <w:rsid w:val="00DA5912"/>
    <w:rsid w:val="00DA59BF"/>
    <w:rsid w:val="00DA5B07"/>
    <w:rsid w:val="00DA5F95"/>
    <w:rsid w:val="00DA6017"/>
    <w:rsid w:val="00DA6C75"/>
    <w:rsid w:val="00DA6C83"/>
    <w:rsid w:val="00DA7305"/>
    <w:rsid w:val="00DA735B"/>
    <w:rsid w:val="00DA7595"/>
    <w:rsid w:val="00DB019A"/>
    <w:rsid w:val="00DB03AE"/>
    <w:rsid w:val="00DB05A5"/>
    <w:rsid w:val="00DB0F8D"/>
    <w:rsid w:val="00DB16D7"/>
    <w:rsid w:val="00DB17F1"/>
    <w:rsid w:val="00DB1BC2"/>
    <w:rsid w:val="00DB1E38"/>
    <w:rsid w:val="00DB1FF4"/>
    <w:rsid w:val="00DB202B"/>
    <w:rsid w:val="00DB20CE"/>
    <w:rsid w:val="00DB2346"/>
    <w:rsid w:val="00DB298D"/>
    <w:rsid w:val="00DB29E7"/>
    <w:rsid w:val="00DB2BC9"/>
    <w:rsid w:val="00DB2E53"/>
    <w:rsid w:val="00DB2F2F"/>
    <w:rsid w:val="00DB323A"/>
    <w:rsid w:val="00DB3261"/>
    <w:rsid w:val="00DB331D"/>
    <w:rsid w:val="00DB33EF"/>
    <w:rsid w:val="00DB4C7D"/>
    <w:rsid w:val="00DB50C8"/>
    <w:rsid w:val="00DB50FD"/>
    <w:rsid w:val="00DB57A3"/>
    <w:rsid w:val="00DB5AAD"/>
    <w:rsid w:val="00DB5FBC"/>
    <w:rsid w:val="00DB6495"/>
    <w:rsid w:val="00DB6ADC"/>
    <w:rsid w:val="00DB6F00"/>
    <w:rsid w:val="00DB7B4D"/>
    <w:rsid w:val="00DB7C09"/>
    <w:rsid w:val="00DB7C4C"/>
    <w:rsid w:val="00DC0115"/>
    <w:rsid w:val="00DC0131"/>
    <w:rsid w:val="00DC058D"/>
    <w:rsid w:val="00DC06A6"/>
    <w:rsid w:val="00DC0CEF"/>
    <w:rsid w:val="00DC12BC"/>
    <w:rsid w:val="00DC1C2A"/>
    <w:rsid w:val="00DC1EB5"/>
    <w:rsid w:val="00DC1F91"/>
    <w:rsid w:val="00DC21DE"/>
    <w:rsid w:val="00DC23D7"/>
    <w:rsid w:val="00DC2FE7"/>
    <w:rsid w:val="00DC38CD"/>
    <w:rsid w:val="00DC3BC8"/>
    <w:rsid w:val="00DC3F4F"/>
    <w:rsid w:val="00DC3FA9"/>
    <w:rsid w:val="00DC42B0"/>
    <w:rsid w:val="00DC42DE"/>
    <w:rsid w:val="00DC4881"/>
    <w:rsid w:val="00DC4FEF"/>
    <w:rsid w:val="00DC506A"/>
    <w:rsid w:val="00DC5A0D"/>
    <w:rsid w:val="00DC5A8B"/>
    <w:rsid w:val="00DC5B40"/>
    <w:rsid w:val="00DC5BC1"/>
    <w:rsid w:val="00DC65A7"/>
    <w:rsid w:val="00DC698E"/>
    <w:rsid w:val="00DC6AD9"/>
    <w:rsid w:val="00DC6EBE"/>
    <w:rsid w:val="00DC70EE"/>
    <w:rsid w:val="00DC7291"/>
    <w:rsid w:val="00DC73D2"/>
    <w:rsid w:val="00DC7537"/>
    <w:rsid w:val="00DD00AA"/>
    <w:rsid w:val="00DD02D9"/>
    <w:rsid w:val="00DD03F4"/>
    <w:rsid w:val="00DD0407"/>
    <w:rsid w:val="00DD0BEF"/>
    <w:rsid w:val="00DD0EC1"/>
    <w:rsid w:val="00DD10A6"/>
    <w:rsid w:val="00DD11D0"/>
    <w:rsid w:val="00DD12FA"/>
    <w:rsid w:val="00DD1DA2"/>
    <w:rsid w:val="00DD1FBD"/>
    <w:rsid w:val="00DD2542"/>
    <w:rsid w:val="00DD2588"/>
    <w:rsid w:val="00DD2777"/>
    <w:rsid w:val="00DD2B76"/>
    <w:rsid w:val="00DD2E99"/>
    <w:rsid w:val="00DD345C"/>
    <w:rsid w:val="00DD3679"/>
    <w:rsid w:val="00DD3932"/>
    <w:rsid w:val="00DD3B31"/>
    <w:rsid w:val="00DD3CCE"/>
    <w:rsid w:val="00DD3DE9"/>
    <w:rsid w:val="00DD41EF"/>
    <w:rsid w:val="00DD51F2"/>
    <w:rsid w:val="00DD5468"/>
    <w:rsid w:val="00DD5694"/>
    <w:rsid w:val="00DD582A"/>
    <w:rsid w:val="00DD5B0F"/>
    <w:rsid w:val="00DD5D4C"/>
    <w:rsid w:val="00DD6190"/>
    <w:rsid w:val="00DD68B9"/>
    <w:rsid w:val="00DD6917"/>
    <w:rsid w:val="00DD6DCE"/>
    <w:rsid w:val="00DD70D4"/>
    <w:rsid w:val="00DD7132"/>
    <w:rsid w:val="00DD74C2"/>
    <w:rsid w:val="00DD7590"/>
    <w:rsid w:val="00DD75A1"/>
    <w:rsid w:val="00DD768B"/>
    <w:rsid w:val="00DD77E0"/>
    <w:rsid w:val="00DD79DE"/>
    <w:rsid w:val="00DD7D03"/>
    <w:rsid w:val="00DE0725"/>
    <w:rsid w:val="00DE0A7E"/>
    <w:rsid w:val="00DE0BD9"/>
    <w:rsid w:val="00DE0F0B"/>
    <w:rsid w:val="00DE0F1C"/>
    <w:rsid w:val="00DE1F3A"/>
    <w:rsid w:val="00DE239F"/>
    <w:rsid w:val="00DE256D"/>
    <w:rsid w:val="00DE25E0"/>
    <w:rsid w:val="00DE2AAF"/>
    <w:rsid w:val="00DE3153"/>
    <w:rsid w:val="00DE355B"/>
    <w:rsid w:val="00DE3FDC"/>
    <w:rsid w:val="00DE4563"/>
    <w:rsid w:val="00DE4A69"/>
    <w:rsid w:val="00DE4F81"/>
    <w:rsid w:val="00DE54DD"/>
    <w:rsid w:val="00DE5796"/>
    <w:rsid w:val="00DE5A12"/>
    <w:rsid w:val="00DE5DD4"/>
    <w:rsid w:val="00DE5F51"/>
    <w:rsid w:val="00DE6C1E"/>
    <w:rsid w:val="00DE6F4D"/>
    <w:rsid w:val="00DE719E"/>
    <w:rsid w:val="00DE72B2"/>
    <w:rsid w:val="00DE763C"/>
    <w:rsid w:val="00DE76B1"/>
    <w:rsid w:val="00DE7715"/>
    <w:rsid w:val="00DE793F"/>
    <w:rsid w:val="00DE7BBC"/>
    <w:rsid w:val="00DE7C56"/>
    <w:rsid w:val="00DE7CAE"/>
    <w:rsid w:val="00DF0189"/>
    <w:rsid w:val="00DF01BB"/>
    <w:rsid w:val="00DF057A"/>
    <w:rsid w:val="00DF0610"/>
    <w:rsid w:val="00DF0654"/>
    <w:rsid w:val="00DF06B6"/>
    <w:rsid w:val="00DF095D"/>
    <w:rsid w:val="00DF1378"/>
    <w:rsid w:val="00DF1402"/>
    <w:rsid w:val="00DF1585"/>
    <w:rsid w:val="00DF1FBE"/>
    <w:rsid w:val="00DF298F"/>
    <w:rsid w:val="00DF2C03"/>
    <w:rsid w:val="00DF2DA1"/>
    <w:rsid w:val="00DF319E"/>
    <w:rsid w:val="00DF39F7"/>
    <w:rsid w:val="00DF3ADB"/>
    <w:rsid w:val="00DF413E"/>
    <w:rsid w:val="00DF437B"/>
    <w:rsid w:val="00DF444E"/>
    <w:rsid w:val="00DF5583"/>
    <w:rsid w:val="00DF5781"/>
    <w:rsid w:val="00DF5789"/>
    <w:rsid w:val="00DF5B0D"/>
    <w:rsid w:val="00DF5E10"/>
    <w:rsid w:val="00DF5E44"/>
    <w:rsid w:val="00DF5EF0"/>
    <w:rsid w:val="00DF63C0"/>
    <w:rsid w:val="00DF6771"/>
    <w:rsid w:val="00DF6F3D"/>
    <w:rsid w:val="00DF6FED"/>
    <w:rsid w:val="00DF785A"/>
    <w:rsid w:val="00DF7C6C"/>
    <w:rsid w:val="00DF7D82"/>
    <w:rsid w:val="00E0018E"/>
    <w:rsid w:val="00E00B31"/>
    <w:rsid w:val="00E011DF"/>
    <w:rsid w:val="00E01AD3"/>
    <w:rsid w:val="00E01D19"/>
    <w:rsid w:val="00E01D36"/>
    <w:rsid w:val="00E01F65"/>
    <w:rsid w:val="00E0213C"/>
    <w:rsid w:val="00E024DC"/>
    <w:rsid w:val="00E02D58"/>
    <w:rsid w:val="00E02DD6"/>
    <w:rsid w:val="00E031C9"/>
    <w:rsid w:val="00E031FD"/>
    <w:rsid w:val="00E032B4"/>
    <w:rsid w:val="00E0346F"/>
    <w:rsid w:val="00E03F32"/>
    <w:rsid w:val="00E04273"/>
    <w:rsid w:val="00E04301"/>
    <w:rsid w:val="00E0488C"/>
    <w:rsid w:val="00E04A8E"/>
    <w:rsid w:val="00E04C21"/>
    <w:rsid w:val="00E04C95"/>
    <w:rsid w:val="00E05149"/>
    <w:rsid w:val="00E05480"/>
    <w:rsid w:val="00E06284"/>
    <w:rsid w:val="00E062CE"/>
    <w:rsid w:val="00E066E4"/>
    <w:rsid w:val="00E067AE"/>
    <w:rsid w:val="00E06C8D"/>
    <w:rsid w:val="00E06D05"/>
    <w:rsid w:val="00E07198"/>
    <w:rsid w:val="00E071AF"/>
    <w:rsid w:val="00E07420"/>
    <w:rsid w:val="00E07429"/>
    <w:rsid w:val="00E07A14"/>
    <w:rsid w:val="00E07C60"/>
    <w:rsid w:val="00E10153"/>
    <w:rsid w:val="00E10352"/>
    <w:rsid w:val="00E10529"/>
    <w:rsid w:val="00E10560"/>
    <w:rsid w:val="00E1071D"/>
    <w:rsid w:val="00E10C24"/>
    <w:rsid w:val="00E11074"/>
    <w:rsid w:val="00E1114F"/>
    <w:rsid w:val="00E11153"/>
    <w:rsid w:val="00E114E7"/>
    <w:rsid w:val="00E119AD"/>
    <w:rsid w:val="00E119B6"/>
    <w:rsid w:val="00E11CB9"/>
    <w:rsid w:val="00E12426"/>
    <w:rsid w:val="00E124F5"/>
    <w:rsid w:val="00E12538"/>
    <w:rsid w:val="00E12B7E"/>
    <w:rsid w:val="00E13441"/>
    <w:rsid w:val="00E138DB"/>
    <w:rsid w:val="00E13B34"/>
    <w:rsid w:val="00E13C3B"/>
    <w:rsid w:val="00E13DFF"/>
    <w:rsid w:val="00E141AF"/>
    <w:rsid w:val="00E1448B"/>
    <w:rsid w:val="00E14560"/>
    <w:rsid w:val="00E148ED"/>
    <w:rsid w:val="00E15445"/>
    <w:rsid w:val="00E1594C"/>
    <w:rsid w:val="00E15E96"/>
    <w:rsid w:val="00E15F00"/>
    <w:rsid w:val="00E1626F"/>
    <w:rsid w:val="00E164E7"/>
    <w:rsid w:val="00E16DEA"/>
    <w:rsid w:val="00E17077"/>
    <w:rsid w:val="00E17E3D"/>
    <w:rsid w:val="00E201D3"/>
    <w:rsid w:val="00E2039B"/>
    <w:rsid w:val="00E20769"/>
    <w:rsid w:val="00E20C44"/>
    <w:rsid w:val="00E20D95"/>
    <w:rsid w:val="00E20DFF"/>
    <w:rsid w:val="00E211D8"/>
    <w:rsid w:val="00E21260"/>
    <w:rsid w:val="00E21820"/>
    <w:rsid w:val="00E2189C"/>
    <w:rsid w:val="00E21AD4"/>
    <w:rsid w:val="00E21C30"/>
    <w:rsid w:val="00E21EFD"/>
    <w:rsid w:val="00E21F20"/>
    <w:rsid w:val="00E2203B"/>
    <w:rsid w:val="00E222EC"/>
    <w:rsid w:val="00E22350"/>
    <w:rsid w:val="00E22419"/>
    <w:rsid w:val="00E224E1"/>
    <w:rsid w:val="00E225DB"/>
    <w:rsid w:val="00E2278C"/>
    <w:rsid w:val="00E22ABB"/>
    <w:rsid w:val="00E23395"/>
    <w:rsid w:val="00E23D07"/>
    <w:rsid w:val="00E23DE9"/>
    <w:rsid w:val="00E23EFF"/>
    <w:rsid w:val="00E23F7C"/>
    <w:rsid w:val="00E2422C"/>
    <w:rsid w:val="00E2460E"/>
    <w:rsid w:val="00E24EF2"/>
    <w:rsid w:val="00E250FB"/>
    <w:rsid w:val="00E25188"/>
    <w:rsid w:val="00E253E9"/>
    <w:rsid w:val="00E257D1"/>
    <w:rsid w:val="00E25854"/>
    <w:rsid w:val="00E25A0E"/>
    <w:rsid w:val="00E2631C"/>
    <w:rsid w:val="00E26460"/>
    <w:rsid w:val="00E266C9"/>
    <w:rsid w:val="00E26C17"/>
    <w:rsid w:val="00E26C19"/>
    <w:rsid w:val="00E26CA7"/>
    <w:rsid w:val="00E26CF4"/>
    <w:rsid w:val="00E26E22"/>
    <w:rsid w:val="00E274B7"/>
    <w:rsid w:val="00E27828"/>
    <w:rsid w:val="00E279A6"/>
    <w:rsid w:val="00E30034"/>
    <w:rsid w:val="00E30115"/>
    <w:rsid w:val="00E30189"/>
    <w:rsid w:val="00E3025E"/>
    <w:rsid w:val="00E3037E"/>
    <w:rsid w:val="00E3079D"/>
    <w:rsid w:val="00E307D9"/>
    <w:rsid w:val="00E30C0C"/>
    <w:rsid w:val="00E3108C"/>
    <w:rsid w:val="00E31092"/>
    <w:rsid w:val="00E3120F"/>
    <w:rsid w:val="00E31272"/>
    <w:rsid w:val="00E3155E"/>
    <w:rsid w:val="00E31630"/>
    <w:rsid w:val="00E3184F"/>
    <w:rsid w:val="00E31A87"/>
    <w:rsid w:val="00E31D52"/>
    <w:rsid w:val="00E324B7"/>
    <w:rsid w:val="00E328D9"/>
    <w:rsid w:val="00E32CA4"/>
    <w:rsid w:val="00E32CD9"/>
    <w:rsid w:val="00E32D19"/>
    <w:rsid w:val="00E32D61"/>
    <w:rsid w:val="00E32E76"/>
    <w:rsid w:val="00E32F26"/>
    <w:rsid w:val="00E3367E"/>
    <w:rsid w:val="00E33825"/>
    <w:rsid w:val="00E33F18"/>
    <w:rsid w:val="00E34515"/>
    <w:rsid w:val="00E34875"/>
    <w:rsid w:val="00E34A89"/>
    <w:rsid w:val="00E34C7D"/>
    <w:rsid w:val="00E34D05"/>
    <w:rsid w:val="00E34D97"/>
    <w:rsid w:val="00E34F87"/>
    <w:rsid w:val="00E34FBF"/>
    <w:rsid w:val="00E352E4"/>
    <w:rsid w:val="00E358FD"/>
    <w:rsid w:val="00E3590F"/>
    <w:rsid w:val="00E36372"/>
    <w:rsid w:val="00E364E7"/>
    <w:rsid w:val="00E36562"/>
    <w:rsid w:val="00E3679C"/>
    <w:rsid w:val="00E36AC3"/>
    <w:rsid w:val="00E36C4F"/>
    <w:rsid w:val="00E36F66"/>
    <w:rsid w:val="00E37019"/>
    <w:rsid w:val="00E37090"/>
    <w:rsid w:val="00E37144"/>
    <w:rsid w:val="00E37207"/>
    <w:rsid w:val="00E3737E"/>
    <w:rsid w:val="00E37775"/>
    <w:rsid w:val="00E37908"/>
    <w:rsid w:val="00E37B93"/>
    <w:rsid w:val="00E37CB6"/>
    <w:rsid w:val="00E37E87"/>
    <w:rsid w:val="00E40152"/>
    <w:rsid w:val="00E40873"/>
    <w:rsid w:val="00E40D91"/>
    <w:rsid w:val="00E40EC6"/>
    <w:rsid w:val="00E410E4"/>
    <w:rsid w:val="00E41195"/>
    <w:rsid w:val="00E4143A"/>
    <w:rsid w:val="00E41DE6"/>
    <w:rsid w:val="00E41ED9"/>
    <w:rsid w:val="00E42A05"/>
    <w:rsid w:val="00E42BF8"/>
    <w:rsid w:val="00E434CE"/>
    <w:rsid w:val="00E43588"/>
    <w:rsid w:val="00E43643"/>
    <w:rsid w:val="00E4364E"/>
    <w:rsid w:val="00E43D7C"/>
    <w:rsid w:val="00E43E0C"/>
    <w:rsid w:val="00E43F2E"/>
    <w:rsid w:val="00E44046"/>
    <w:rsid w:val="00E44270"/>
    <w:rsid w:val="00E444FE"/>
    <w:rsid w:val="00E44532"/>
    <w:rsid w:val="00E445FF"/>
    <w:rsid w:val="00E44862"/>
    <w:rsid w:val="00E44A51"/>
    <w:rsid w:val="00E44A5C"/>
    <w:rsid w:val="00E44AA2"/>
    <w:rsid w:val="00E44ADF"/>
    <w:rsid w:val="00E44D7F"/>
    <w:rsid w:val="00E44EEA"/>
    <w:rsid w:val="00E44EF6"/>
    <w:rsid w:val="00E44F3E"/>
    <w:rsid w:val="00E451A2"/>
    <w:rsid w:val="00E454BF"/>
    <w:rsid w:val="00E45624"/>
    <w:rsid w:val="00E45C1F"/>
    <w:rsid w:val="00E45EE3"/>
    <w:rsid w:val="00E467C5"/>
    <w:rsid w:val="00E46922"/>
    <w:rsid w:val="00E46BEF"/>
    <w:rsid w:val="00E47403"/>
    <w:rsid w:val="00E47B13"/>
    <w:rsid w:val="00E47E9C"/>
    <w:rsid w:val="00E47F2F"/>
    <w:rsid w:val="00E500AA"/>
    <w:rsid w:val="00E50870"/>
    <w:rsid w:val="00E51121"/>
    <w:rsid w:val="00E51539"/>
    <w:rsid w:val="00E51698"/>
    <w:rsid w:val="00E51737"/>
    <w:rsid w:val="00E517E2"/>
    <w:rsid w:val="00E51976"/>
    <w:rsid w:val="00E51C62"/>
    <w:rsid w:val="00E51FFD"/>
    <w:rsid w:val="00E52618"/>
    <w:rsid w:val="00E52898"/>
    <w:rsid w:val="00E529FB"/>
    <w:rsid w:val="00E52B25"/>
    <w:rsid w:val="00E52C6B"/>
    <w:rsid w:val="00E52F39"/>
    <w:rsid w:val="00E52FAA"/>
    <w:rsid w:val="00E53513"/>
    <w:rsid w:val="00E5395D"/>
    <w:rsid w:val="00E53C06"/>
    <w:rsid w:val="00E53CCE"/>
    <w:rsid w:val="00E53D73"/>
    <w:rsid w:val="00E545B1"/>
    <w:rsid w:val="00E5462B"/>
    <w:rsid w:val="00E54891"/>
    <w:rsid w:val="00E54F50"/>
    <w:rsid w:val="00E5534D"/>
    <w:rsid w:val="00E55643"/>
    <w:rsid w:val="00E5576A"/>
    <w:rsid w:val="00E55BEA"/>
    <w:rsid w:val="00E55D2D"/>
    <w:rsid w:val="00E55D4C"/>
    <w:rsid w:val="00E56295"/>
    <w:rsid w:val="00E564B0"/>
    <w:rsid w:val="00E56529"/>
    <w:rsid w:val="00E56585"/>
    <w:rsid w:val="00E566B7"/>
    <w:rsid w:val="00E56BD5"/>
    <w:rsid w:val="00E56E6F"/>
    <w:rsid w:val="00E574AB"/>
    <w:rsid w:val="00E575AC"/>
    <w:rsid w:val="00E57862"/>
    <w:rsid w:val="00E57D3E"/>
    <w:rsid w:val="00E57EB0"/>
    <w:rsid w:val="00E60948"/>
    <w:rsid w:val="00E60A10"/>
    <w:rsid w:val="00E615FA"/>
    <w:rsid w:val="00E618AC"/>
    <w:rsid w:val="00E6232A"/>
    <w:rsid w:val="00E62480"/>
    <w:rsid w:val="00E62E52"/>
    <w:rsid w:val="00E62FBE"/>
    <w:rsid w:val="00E6405E"/>
    <w:rsid w:val="00E643E8"/>
    <w:rsid w:val="00E64407"/>
    <w:rsid w:val="00E644C8"/>
    <w:rsid w:val="00E64757"/>
    <w:rsid w:val="00E647A6"/>
    <w:rsid w:val="00E6494A"/>
    <w:rsid w:val="00E64A8C"/>
    <w:rsid w:val="00E6503E"/>
    <w:rsid w:val="00E651AA"/>
    <w:rsid w:val="00E658C1"/>
    <w:rsid w:val="00E65947"/>
    <w:rsid w:val="00E659E5"/>
    <w:rsid w:val="00E65B6E"/>
    <w:rsid w:val="00E65E1E"/>
    <w:rsid w:val="00E663AE"/>
    <w:rsid w:val="00E66486"/>
    <w:rsid w:val="00E66887"/>
    <w:rsid w:val="00E66D20"/>
    <w:rsid w:val="00E670F0"/>
    <w:rsid w:val="00E67167"/>
    <w:rsid w:val="00E67810"/>
    <w:rsid w:val="00E679BA"/>
    <w:rsid w:val="00E679D5"/>
    <w:rsid w:val="00E67A9A"/>
    <w:rsid w:val="00E67D1D"/>
    <w:rsid w:val="00E67F04"/>
    <w:rsid w:val="00E67F31"/>
    <w:rsid w:val="00E70805"/>
    <w:rsid w:val="00E70981"/>
    <w:rsid w:val="00E70E07"/>
    <w:rsid w:val="00E710AA"/>
    <w:rsid w:val="00E71185"/>
    <w:rsid w:val="00E726F7"/>
    <w:rsid w:val="00E72F17"/>
    <w:rsid w:val="00E73134"/>
    <w:rsid w:val="00E73B93"/>
    <w:rsid w:val="00E74879"/>
    <w:rsid w:val="00E749DA"/>
    <w:rsid w:val="00E74BD0"/>
    <w:rsid w:val="00E74C28"/>
    <w:rsid w:val="00E74DB1"/>
    <w:rsid w:val="00E74E58"/>
    <w:rsid w:val="00E7526C"/>
    <w:rsid w:val="00E75321"/>
    <w:rsid w:val="00E753C9"/>
    <w:rsid w:val="00E75AE6"/>
    <w:rsid w:val="00E75F57"/>
    <w:rsid w:val="00E7625A"/>
    <w:rsid w:val="00E76CAC"/>
    <w:rsid w:val="00E76CB9"/>
    <w:rsid w:val="00E76F68"/>
    <w:rsid w:val="00E776F7"/>
    <w:rsid w:val="00E77BF8"/>
    <w:rsid w:val="00E77D8B"/>
    <w:rsid w:val="00E8063D"/>
    <w:rsid w:val="00E80657"/>
    <w:rsid w:val="00E8086C"/>
    <w:rsid w:val="00E811B9"/>
    <w:rsid w:val="00E813D8"/>
    <w:rsid w:val="00E8143D"/>
    <w:rsid w:val="00E8199C"/>
    <w:rsid w:val="00E81F3E"/>
    <w:rsid w:val="00E82241"/>
    <w:rsid w:val="00E82460"/>
    <w:rsid w:val="00E82559"/>
    <w:rsid w:val="00E827F6"/>
    <w:rsid w:val="00E832B2"/>
    <w:rsid w:val="00E83465"/>
    <w:rsid w:val="00E837D5"/>
    <w:rsid w:val="00E838EF"/>
    <w:rsid w:val="00E84426"/>
    <w:rsid w:val="00E84AF4"/>
    <w:rsid w:val="00E84F0D"/>
    <w:rsid w:val="00E85B60"/>
    <w:rsid w:val="00E86345"/>
    <w:rsid w:val="00E867C0"/>
    <w:rsid w:val="00E86A4A"/>
    <w:rsid w:val="00E86EB5"/>
    <w:rsid w:val="00E87359"/>
    <w:rsid w:val="00E87552"/>
    <w:rsid w:val="00E87D0F"/>
    <w:rsid w:val="00E87E6A"/>
    <w:rsid w:val="00E900AD"/>
    <w:rsid w:val="00E908D1"/>
    <w:rsid w:val="00E90F03"/>
    <w:rsid w:val="00E9117C"/>
    <w:rsid w:val="00E91856"/>
    <w:rsid w:val="00E918F2"/>
    <w:rsid w:val="00E91A7A"/>
    <w:rsid w:val="00E91ACB"/>
    <w:rsid w:val="00E91CDE"/>
    <w:rsid w:val="00E922C5"/>
    <w:rsid w:val="00E924FF"/>
    <w:rsid w:val="00E927E8"/>
    <w:rsid w:val="00E92910"/>
    <w:rsid w:val="00E92CA2"/>
    <w:rsid w:val="00E92EA5"/>
    <w:rsid w:val="00E933A3"/>
    <w:rsid w:val="00E937F1"/>
    <w:rsid w:val="00E93908"/>
    <w:rsid w:val="00E93A3B"/>
    <w:rsid w:val="00E93F1B"/>
    <w:rsid w:val="00E93F4E"/>
    <w:rsid w:val="00E94206"/>
    <w:rsid w:val="00E9483A"/>
    <w:rsid w:val="00E949AB"/>
    <w:rsid w:val="00E94A24"/>
    <w:rsid w:val="00E94C3B"/>
    <w:rsid w:val="00E95102"/>
    <w:rsid w:val="00E958C4"/>
    <w:rsid w:val="00E95BC1"/>
    <w:rsid w:val="00E95C32"/>
    <w:rsid w:val="00E95E4B"/>
    <w:rsid w:val="00E961DC"/>
    <w:rsid w:val="00E9650F"/>
    <w:rsid w:val="00E96714"/>
    <w:rsid w:val="00E967CB"/>
    <w:rsid w:val="00E96C3B"/>
    <w:rsid w:val="00E96D86"/>
    <w:rsid w:val="00E96E49"/>
    <w:rsid w:val="00E96FFD"/>
    <w:rsid w:val="00E97192"/>
    <w:rsid w:val="00E97294"/>
    <w:rsid w:val="00E97535"/>
    <w:rsid w:val="00E9758A"/>
    <w:rsid w:val="00E979D6"/>
    <w:rsid w:val="00E97ADE"/>
    <w:rsid w:val="00E97D16"/>
    <w:rsid w:val="00E97FE4"/>
    <w:rsid w:val="00EA026D"/>
    <w:rsid w:val="00EA07A4"/>
    <w:rsid w:val="00EA0A9F"/>
    <w:rsid w:val="00EA0BC2"/>
    <w:rsid w:val="00EA10B6"/>
    <w:rsid w:val="00EA17D7"/>
    <w:rsid w:val="00EA195D"/>
    <w:rsid w:val="00EA19FF"/>
    <w:rsid w:val="00EA1DC5"/>
    <w:rsid w:val="00EA1E1D"/>
    <w:rsid w:val="00EA1F65"/>
    <w:rsid w:val="00EA2130"/>
    <w:rsid w:val="00EA21FB"/>
    <w:rsid w:val="00EA2437"/>
    <w:rsid w:val="00EA257B"/>
    <w:rsid w:val="00EA2652"/>
    <w:rsid w:val="00EA27DE"/>
    <w:rsid w:val="00EA2913"/>
    <w:rsid w:val="00EA2BF1"/>
    <w:rsid w:val="00EA2F3F"/>
    <w:rsid w:val="00EA303C"/>
    <w:rsid w:val="00EA3206"/>
    <w:rsid w:val="00EA36CA"/>
    <w:rsid w:val="00EA3789"/>
    <w:rsid w:val="00EA38B4"/>
    <w:rsid w:val="00EA3B9A"/>
    <w:rsid w:val="00EA3E11"/>
    <w:rsid w:val="00EA40F7"/>
    <w:rsid w:val="00EA4147"/>
    <w:rsid w:val="00EA41FE"/>
    <w:rsid w:val="00EA44A4"/>
    <w:rsid w:val="00EA44D1"/>
    <w:rsid w:val="00EA50ED"/>
    <w:rsid w:val="00EA55BF"/>
    <w:rsid w:val="00EA55DB"/>
    <w:rsid w:val="00EA5795"/>
    <w:rsid w:val="00EA5DF8"/>
    <w:rsid w:val="00EA6364"/>
    <w:rsid w:val="00EA652A"/>
    <w:rsid w:val="00EA698B"/>
    <w:rsid w:val="00EA6B84"/>
    <w:rsid w:val="00EA6EC9"/>
    <w:rsid w:val="00EA773B"/>
    <w:rsid w:val="00EA7851"/>
    <w:rsid w:val="00EA7898"/>
    <w:rsid w:val="00EA7A02"/>
    <w:rsid w:val="00EB02E5"/>
    <w:rsid w:val="00EB0576"/>
    <w:rsid w:val="00EB064D"/>
    <w:rsid w:val="00EB06C6"/>
    <w:rsid w:val="00EB0732"/>
    <w:rsid w:val="00EB0987"/>
    <w:rsid w:val="00EB0A23"/>
    <w:rsid w:val="00EB0B5C"/>
    <w:rsid w:val="00EB0CE1"/>
    <w:rsid w:val="00EB122B"/>
    <w:rsid w:val="00EB1E6F"/>
    <w:rsid w:val="00EB1FE0"/>
    <w:rsid w:val="00EB21EB"/>
    <w:rsid w:val="00EB21F3"/>
    <w:rsid w:val="00EB2545"/>
    <w:rsid w:val="00EB2647"/>
    <w:rsid w:val="00EB29E0"/>
    <w:rsid w:val="00EB2B4D"/>
    <w:rsid w:val="00EB2C04"/>
    <w:rsid w:val="00EB324E"/>
    <w:rsid w:val="00EB34E1"/>
    <w:rsid w:val="00EB35E5"/>
    <w:rsid w:val="00EB3883"/>
    <w:rsid w:val="00EB3BB4"/>
    <w:rsid w:val="00EB44EC"/>
    <w:rsid w:val="00EB45F4"/>
    <w:rsid w:val="00EB48FD"/>
    <w:rsid w:val="00EB4A47"/>
    <w:rsid w:val="00EB4F98"/>
    <w:rsid w:val="00EB5798"/>
    <w:rsid w:val="00EB5C43"/>
    <w:rsid w:val="00EB5C96"/>
    <w:rsid w:val="00EB615E"/>
    <w:rsid w:val="00EB6258"/>
    <w:rsid w:val="00EB6ABC"/>
    <w:rsid w:val="00EB6BD3"/>
    <w:rsid w:val="00EB6CA9"/>
    <w:rsid w:val="00EB6E4F"/>
    <w:rsid w:val="00EB6F79"/>
    <w:rsid w:val="00EB6FBF"/>
    <w:rsid w:val="00EB713C"/>
    <w:rsid w:val="00EB7C67"/>
    <w:rsid w:val="00EB7D6D"/>
    <w:rsid w:val="00EB7F9E"/>
    <w:rsid w:val="00EC01E0"/>
    <w:rsid w:val="00EC04A1"/>
    <w:rsid w:val="00EC04DF"/>
    <w:rsid w:val="00EC06E5"/>
    <w:rsid w:val="00EC0A3C"/>
    <w:rsid w:val="00EC0BF8"/>
    <w:rsid w:val="00EC0C11"/>
    <w:rsid w:val="00EC0E82"/>
    <w:rsid w:val="00EC1075"/>
    <w:rsid w:val="00EC1559"/>
    <w:rsid w:val="00EC1782"/>
    <w:rsid w:val="00EC194B"/>
    <w:rsid w:val="00EC2064"/>
    <w:rsid w:val="00EC23D2"/>
    <w:rsid w:val="00EC24B9"/>
    <w:rsid w:val="00EC26B4"/>
    <w:rsid w:val="00EC3120"/>
    <w:rsid w:val="00EC31BE"/>
    <w:rsid w:val="00EC338D"/>
    <w:rsid w:val="00EC3403"/>
    <w:rsid w:val="00EC3457"/>
    <w:rsid w:val="00EC34E2"/>
    <w:rsid w:val="00EC3871"/>
    <w:rsid w:val="00EC3A01"/>
    <w:rsid w:val="00EC3A5D"/>
    <w:rsid w:val="00EC3DAF"/>
    <w:rsid w:val="00EC41D5"/>
    <w:rsid w:val="00EC42FF"/>
    <w:rsid w:val="00EC49A2"/>
    <w:rsid w:val="00EC4F91"/>
    <w:rsid w:val="00EC517C"/>
    <w:rsid w:val="00EC57BC"/>
    <w:rsid w:val="00EC5C8B"/>
    <w:rsid w:val="00EC6058"/>
    <w:rsid w:val="00EC60AE"/>
    <w:rsid w:val="00EC65CF"/>
    <w:rsid w:val="00EC693E"/>
    <w:rsid w:val="00EC6A93"/>
    <w:rsid w:val="00EC6F15"/>
    <w:rsid w:val="00EC78AF"/>
    <w:rsid w:val="00ED013F"/>
    <w:rsid w:val="00ED027A"/>
    <w:rsid w:val="00ED02CE"/>
    <w:rsid w:val="00ED08F8"/>
    <w:rsid w:val="00ED0D74"/>
    <w:rsid w:val="00ED11A0"/>
    <w:rsid w:val="00ED12CA"/>
    <w:rsid w:val="00ED1AD7"/>
    <w:rsid w:val="00ED1C7C"/>
    <w:rsid w:val="00ED2BCB"/>
    <w:rsid w:val="00ED2FA3"/>
    <w:rsid w:val="00ED342D"/>
    <w:rsid w:val="00ED3513"/>
    <w:rsid w:val="00ED3C6C"/>
    <w:rsid w:val="00ED3CA0"/>
    <w:rsid w:val="00ED3DC1"/>
    <w:rsid w:val="00ED3ED7"/>
    <w:rsid w:val="00ED42FC"/>
    <w:rsid w:val="00ED44EF"/>
    <w:rsid w:val="00ED47A8"/>
    <w:rsid w:val="00ED4C41"/>
    <w:rsid w:val="00ED4C7A"/>
    <w:rsid w:val="00ED4CF0"/>
    <w:rsid w:val="00ED4D78"/>
    <w:rsid w:val="00ED4E62"/>
    <w:rsid w:val="00ED5143"/>
    <w:rsid w:val="00ED5901"/>
    <w:rsid w:val="00ED59AF"/>
    <w:rsid w:val="00ED5B09"/>
    <w:rsid w:val="00ED5FEB"/>
    <w:rsid w:val="00ED6030"/>
    <w:rsid w:val="00ED626E"/>
    <w:rsid w:val="00ED63EB"/>
    <w:rsid w:val="00ED6581"/>
    <w:rsid w:val="00ED6930"/>
    <w:rsid w:val="00ED69C9"/>
    <w:rsid w:val="00ED6CBF"/>
    <w:rsid w:val="00ED6D5D"/>
    <w:rsid w:val="00ED6E1F"/>
    <w:rsid w:val="00ED71A8"/>
    <w:rsid w:val="00ED7259"/>
    <w:rsid w:val="00ED7286"/>
    <w:rsid w:val="00ED74CC"/>
    <w:rsid w:val="00EE01EB"/>
    <w:rsid w:val="00EE05D0"/>
    <w:rsid w:val="00EE0AB5"/>
    <w:rsid w:val="00EE0D8F"/>
    <w:rsid w:val="00EE0F02"/>
    <w:rsid w:val="00EE1045"/>
    <w:rsid w:val="00EE1219"/>
    <w:rsid w:val="00EE14F4"/>
    <w:rsid w:val="00EE1577"/>
    <w:rsid w:val="00EE2108"/>
    <w:rsid w:val="00EE23B4"/>
    <w:rsid w:val="00EE2538"/>
    <w:rsid w:val="00EE2ACB"/>
    <w:rsid w:val="00EE2B83"/>
    <w:rsid w:val="00EE2C64"/>
    <w:rsid w:val="00EE2D9A"/>
    <w:rsid w:val="00EE30BC"/>
    <w:rsid w:val="00EE3266"/>
    <w:rsid w:val="00EE36F6"/>
    <w:rsid w:val="00EE39D3"/>
    <w:rsid w:val="00EE44E2"/>
    <w:rsid w:val="00EE4634"/>
    <w:rsid w:val="00EE47E6"/>
    <w:rsid w:val="00EE4F8D"/>
    <w:rsid w:val="00EE52EE"/>
    <w:rsid w:val="00EE55BB"/>
    <w:rsid w:val="00EE6162"/>
    <w:rsid w:val="00EE6363"/>
    <w:rsid w:val="00EE6838"/>
    <w:rsid w:val="00EE6A15"/>
    <w:rsid w:val="00EE6C29"/>
    <w:rsid w:val="00EE6D66"/>
    <w:rsid w:val="00EE6F48"/>
    <w:rsid w:val="00EE7BE0"/>
    <w:rsid w:val="00EF0732"/>
    <w:rsid w:val="00EF09A0"/>
    <w:rsid w:val="00EF0F80"/>
    <w:rsid w:val="00EF125E"/>
    <w:rsid w:val="00EF1270"/>
    <w:rsid w:val="00EF16A7"/>
    <w:rsid w:val="00EF16E2"/>
    <w:rsid w:val="00EF189E"/>
    <w:rsid w:val="00EF1938"/>
    <w:rsid w:val="00EF19C9"/>
    <w:rsid w:val="00EF1AF1"/>
    <w:rsid w:val="00EF1EF0"/>
    <w:rsid w:val="00EF2019"/>
    <w:rsid w:val="00EF20FB"/>
    <w:rsid w:val="00EF2958"/>
    <w:rsid w:val="00EF2ED4"/>
    <w:rsid w:val="00EF2F63"/>
    <w:rsid w:val="00EF34CC"/>
    <w:rsid w:val="00EF369F"/>
    <w:rsid w:val="00EF396D"/>
    <w:rsid w:val="00EF3CC0"/>
    <w:rsid w:val="00EF40EF"/>
    <w:rsid w:val="00EF425A"/>
    <w:rsid w:val="00EF42E7"/>
    <w:rsid w:val="00EF44D6"/>
    <w:rsid w:val="00EF48C5"/>
    <w:rsid w:val="00EF4EBD"/>
    <w:rsid w:val="00EF5213"/>
    <w:rsid w:val="00EF5572"/>
    <w:rsid w:val="00EF57CE"/>
    <w:rsid w:val="00EF5804"/>
    <w:rsid w:val="00EF5C9B"/>
    <w:rsid w:val="00EF6111"/>
    <w:rsid w:val="00EF6394"/>
    <w:rsid w:val="00EF6639"/>
    <w:rsid w:val="00EF6829"/>
    <w:rsid w:val="00EF6C79"/>
    <w:rsid w:val="00EF6D22"/>
    <w:rsid w:val="00EF6F56"/>
    <w:rsid w:val="00EF7370"/>
    <w:rsid w:val="00F00067"/>
    <w:rsid w:val="00F00095"/>
    <w:rsid w:val="00F002F6"/>
    <w:rsid w:val="00F00DC7"/>
    <w:rsid w:val="00F011C9"/>
    <w:rsid w:val="00F01500"/>
    <w:rsid w:val="00F0153A"/>
    <w:rsid w:val="00F016C1"/>
    <w:rsid w:val="00F0182F"/>
    <w:rsid w:val="00F0184F"/>
    <w:rsid w:val="00F01888"/>
    <w:rsid w:val="00F01F13"/>
    <w:rsid w:val="00F01FF0"/>
    <w:rsid w:val="00F02605"/>
    <w:rsid w:val="00F026F7"/>
    <w:rsid w:val="00F02876"/>
    <w:rsid w:val="00F02B8B"/>
    <w:rsid w:val="00F02E1C"/>
    <w:rsid w:val="00F032CB"/>
    <w:rsid w:val="00F03475"/>
    <w:rsid w:val="00F035AA"/>
    <w:rsid w:val="00F0360F"/>
    <w:rsid w:val="00F03DC1"/>
    <w:rsid w:val="00F03F5E"/>
    <w:rsid w:val="00F0406D"/>
    <w:rsid w:val="00F0456D"/>
    <w:rsid w:val="00F0475D"/>
    <w:rsid w:val="00F047EC"/>
    <w:rsid w:val="00F04C1B"/>
    <w:rsid w:val="00F04D0B"/>
    <w:rsid w:val="00F0521D"/>
    <w:rsid w:val="00F052F4"/>
    <w:rsid w:val="00F057CE"/>
    <w:rsid w:val="00F057E0"/>
    <w:rsid w:val="00F05F60"/>
    <w:rsid w:val="00F05F9E"/>
    <w:rsid w:val="00F06153"/>
    <w:rsid w:val="00F061B0"/>
    <w:rsid w:val="00F063CA"/>
    <w:rsid w:val="00F0642C"/>
    <w:rsid w:val="00F06463"/>
    <w:rsid w:val="00F0669B"/>
    <w:rsid w:val="00F0670A"/>
    <w:rsid w:val="00F06822"/>
    <w:rsid w:val="00F06891"/>
    <w:rsid w:val="00F06994"/>
    <w:rsid w:val="00F06A44"/>
    <w:rsid w:val="00F06AAE"/>
    <w:rsid w:val="00F06B49"/>
    <w:rsid w:val="00F0703B"/>
    <w:rsid w:val="00F0742D"/>
    <w:rsid w:val="00F07493"/>
    <w:rsid w:val="00F07B59"/>
    <w:rsid w:val="00F07F71"/>
    <w:rsid w:val="00F100DB"/>
    <w:rsid w:val="00F10520"/>
    <w:rsid w:val="00F10562"/>
    <w:rsid w:val="00F10A54"/>
    <w:rsid w:val="00F10DD1"/>
    <w:rsid w:val="00F11053"/>
    <w:rsid w:val="00F111B7"/>
    <w:rsid w:val="00F11536"/>
    <w:rsid w:val="00F11708"/>
    <w:rsid w:val="00F11770"/>
    <w:rsid w:val="00F11832"/>
    <w:rsid w:val="00F11A9C"/>
    <w:rsid w:val="00F12672"/>
    <w:rsid w:val="00F1286A"/>
    <w:rsid w:val="00F1288E"/>
    <w:rsid w:val="00F1292B"/>
    <w:rsid w:val="00F12EE8"/>
    <w:rsid w:val="00F137B8"/>
    <w:rsid w:val="00F137F4"/>
    <w:rsid w:val="00F13868"/>
    <w:rsid w:val="00F13AAD"/>
    <w:rsid w:val="00F13E29"/>
    <w:rsid w:val="00F14126"/>
    <w:rsid w:val="00F14780"/>
    <w:rsid w:val="00F14DC9"/>
    <w:rsid w:val="00F14E7D"/>
    <w:rsid w:val="00F1536A"/>
    <w:rsid w:val="00F15459"/>
    <w:rsid w:val="00F15474"/>
    <w:rsid w:val="00F15836"/>
    <w:rsid w:val="00F165A2"/>
    <w:rsid w:val="00F1678B"/>
    <w:rsid w:val="00F16A4D"/>
    <w:rsid w:val="00F174A8"/>
    <w:rsid w:val="00F174EB"/>
    <w:rsid w:val="00F17AC8"/>
    <w:rsid w:val="00F17E43"/>
    <w:rsid w:val="00F17F5B"/>
    <w:rsid w:val="00F20A10"/>
    <w:rsid w:val="00F2164C"/>
    <w:rsid w:val="00F21BFB"/>
    <w:rsid w:val="00F2235B"/>
    <w:rsid w:val="00F22C3F"/>
    <w:rsid w:val="00F22DB1"/>
    <w:rsid w:val="00F22DC5"/>
    <w:rsid w:val="00F22E7C"/>
    <w:rsid w:val="00F22E9A"/>
    <w:rsid w:val="00F22F1F"/>
    <w:rsid w:val="00F22F3E"/>
    <w:rsid w:val="00F23112"/>
    <w:rsid w:val="00F234E5"/>
    <w:rsid w:val="00F238A0"/>
    <w:rsid w:val="00F238E1"/>
    <w:rsid w:val="00F23917"/>
    <w:rsid w:val="00F23BEF"/>
    <w:rsid w:val="00F23F56"/>
    <w:rsid w:val="00F24298"/>
    <w:rsid w:val="00F248BC"/>
    <w:rsid w:val="00F2494F"/>
    <w:rsid w:val="00F24952"/>
    <w:rsid w:val="00F24987"/>
    <w:rsid w:val="00F24A52"/>
    <w:rsid w:val="00F24E50"/>
    <w:rsid w:val="00F24F9A"/>
    <w:rsid w:val="00F252FA"/>
    <w:rsid w:val="00F257A4"/>
    <w:rsid w:val="00F25861"/>
    <w:rsid w:val="00F25A84"/>
    <w:rsid w:val="00F25DA7"/>
    <w:rsid w:val="00F25F14"/>
    <w:rsid w:val="00F2606F"/>
    <w:rsid w:val="00F261AC"/>
    <w:rsid w:val="00F264BD"/>
    <w:rsid w:val="00F265E7"/>
    <w:rsid w:val="00F26CC3"/>
    <w:rsid w:val="00F26F9A"/>
    <w:rsid w:val="00F273B3"/>
    <w:rsid w:val="00F273B8"/>
    <w:rsid w:val="00F27CFE"/>
    <w:rsid w:val="00F27EDC"/>
    <w:rsid w:val="00F30A37"/>
    <w:rsid w:val="00F30C0A"/>
    <w:rsid w:val="00F31000"/>
    <w:rsid w:val="00F3105F"/>
    <w:rsid w:val="00F313D0"/>
    <w:rsid w:val="00F3151D"/>
    <w:rsid w:val="00F31522"/>
    <w:rsid w:val="00F31AC4"/>
    <w:rsid w:val="00F31D7B"/>
    <w:rsid w:val="00F31F4C"/>
    <w:rsid w:val="00F32332"/>
    <w:rsid w:val="00F32351"/>
    <w:rsid w:val="00F3294F"/>
    <w:rsid w:val="00F32A37"/>
    <w:rsid w:val="00F32BD0"/>
    <w:rsid w:val="00F32C29"/>
    <w:rsid w:val="00F32C64"/>
    <w:rsid w:val="00F32D6A"/>
    <w:rsid w:val="00F32FEA"/>
    <w:rsid w:val="00F331BB"/>
    <w:rsid w:val="00F33207"/>
    <w:rsid w:val="00F33493"/>
    <w:rsid w:val="00F33503"/>
    <w:rsid w:val="00F33570"/>
    <w:rsid w:val="00F33810"/>
    <w:rsid w:val="00F339F1"/>
    <w:rsid w:val="00F33A7B"/>
    <w:rsid w:val="00F33B82"/>
    <w:rsid w:val="00F33F09"/>
    <w:rsid w:val="00F340B7"/>
    <w:rsid w:val="00F341AE"/>
    <w:rsid w:val="00F34E29"/>
    <w:rsid w:val="00F35A3A"/>
    <w:rsid w:val="00F35C58"/>
    <w:rsid w:val="00F35EDC"/>
    <w:rsid w:val="00F35F41"/>
    <w:rsid w:val="00F364AC"/>
    <w:rsid w:val="00F36991"/>
    <w:rsid w:val="00F36D27"/>
    <w:rsid w:val="00F36ED7"/>
    <w:rsid w:val="00F373DE"/>
    <w:rsid w:val="00F37478"/>
    <w:rsid w:val="00F37594"/>
    <w:rsid w:val="00F37647"/>
    <w:rsid w:val="00F37E57"/>
    <w:rsid w:val="00F40487"/>
    <w:rsid w:val="00F40773"/>
    <w:rsid w:val="00F407F4"/>
    <w:rsid w:val="00F40A17"/>
    <w:rsid w:val="00F40AFA"/>
    <w:rsid w:val="00F40E37"/>
    <w:rsid w:val="00F40E4A"/>
    <w:rsid w:val="00F40E62"/>
    <w:rsid w:val="00F40F40"/>
    <w:rsid w:val="00F4119B"/>
    <w:rsid w:val="00F426B9"/>
    <w:rsid w:val="00F427EF"/>
    <w:rsid w:val="00F42A77"/>
    <w:rsid w:val="00F42C94"/>
    <w:rsid w:val="00F42D25"/>
    <w:rsid w:val="00F43265"/>
    <w:rsid w:val="00F432C7"/>
    <w:rsid w:val="00F432D8"/>
    <w:rsid w:val="00F438A3"/>
    <w:rsid w:val="00F43A03"/>
    <w:rsid w:val="00F43ADA"/>
    <w:rsid w:val="00F43C99"/>
    <w:rsid w:val="00F43E68"/>
    <w:rsid w:val="00F43ED0"/>
    <w:rsid w:val="00F448CE"/>
    <w:rsid w:val="00F44A13"/>
    <w:rsid w:val="00F44ECF"/>
    <w:rsid w:val="00F45182"/>
    <w:rsid w:val="00F459EC"/>
    <w:rsid w:val="00F45CB8"/>
    <w:rsid w:val="00F45EB2"/>
    <w:rsid w:val="00F4675F"/>
    <w:rsid w:val="00F46820"/>
    <w:rsid w:val="00F46A1B"/>
    <w:rsid w:val="00F46AD3"/>
    <w:rsid w:val="00F46CD0"/>
    <w:rsid w:val="00F46E0F"/>
    <w:rsid w:val="00F47637"/>
    <w:rsid w:val="00F47A95"/>
    <w:rsid w:val="00F47EC7"/>
    <w:rsid w:val="00F50244"/>
    <w:rsid w:val="00F50770"/>
    <w:rsid w:val="00F50BED"/>
    <w:rsid w:val="00F5149C"/>
    <w:rsid w:val="00F51547"/>
    <w:rsid w:val="00F51909"/>
    <w:rsid w:val="00F51C72"/>
    <w:rsid w:val="00F521C8"/>
    <w:rsid w:val="00F52251"/>
    <w:rsid w:val="00F524DB"/>
    <w:rsid w:val="00F53263"/>
    <w:rsid w:val="00F53406"/>
    <w:rsid w:val="00F53412"/>
    <w:rsid w:val="00F5384F"/>
    <w:rsid w:val="00F538B1"/>
    <w:rsid w:val="00F53E9F"/>
    <w:rsid w:val="00F53F3A"/>
    <w:rsid w:val="00F5419C"/>
    <w:rsid w:val="00F548EE"/>
    <w:rsid w:val="00F5497C"/>
    <w:rsid w:val="00F54B21"/>
    <w:rsid w:val="00F54D41"/>
    <w:rsid w:val="00F54F6C"/>
    <w:rsid w:val="00F55054"/>
    <w:rsid w:val="00F55150"/>
    <w:rsid w:val="00F55254"/>
    <w:rsid w:val="00F5532E"/>
    <w:rsid w:val="00F55C8A"/>
    <w:rsid w:val="00F55CEF"/>
    <w:rsid w:val="00F56379"/>
    <w:rsid w:val="00F569D0"/>
    <w:rsid w:val="00F57ABA"/>
    <w:rsid w:val="00F57B64"/>
    <w:rsid w:val="00F57B8F"/>
    <w:rsid w:val="00F57DB5"/>
    <w:rsid w:val="00F601FE"/>
    <w:rsid w:val="00F612F7"/>
    <w:rsid w:val="00F61503"/>
    <w:rsid w:val="00F61535"/>
    <w:rsid w:val="00F61A0F"/>
    <w:rsid w:val="00F61A5B"/>
    <w:rsid w:val="00F61AE9"/>
    <w:rsid w:val="00F61DFB"/>
    <w:rsid w:val="00F61F0E"/>
    <w:rsid w:val="00F62290"/>
    <w:rsid w:val="00F6257A"/>
    <w:rsid w:val="00F62DF9"/>
    <w:rsid w:val="00F62E52"/>
    <w:rsid w:val="00F62EED"/>
    <w:rsid w:val="00F6311E"/>
    <w:rsid w:val="00F63557"/>
    <w:rsid w:val="00F63A2F"/>
    <w:rsid w:val="00F63AAD"/>
    <w:rsid w:val="00F641BE"/>
    <w:rsid w:val="00F64258"/>
    <w:rsid w:val="00F64332"/>
    <w:rsid w:val="00F6474D"/>
    <w:rsid w:val="00F647A0"/>
    <w:rsid w:val="00F64A41"/>
    <w:rsid w:val="00F64A47"/>
    <w:rsid w:val="00F64B49"/>
    <w:rsid w:val="00F64D1C"/>
    <w:rsid w:val="00F64F35"/>
    <w:rsid w:val="00F65607"/>
    <w:rsid w:val="00F6579A"/>
    <w:rsid w:val="00F6587C"/>
    <w:rsid w:val="00F659A8"/>
    <w:rsid w:val="00F65C42"/>
    <w:rsid w:val="00F65C4A"/>
    <w:rsid w:val="00F665B7"/>
    <w:rsid w:val="00F66631"/>
    <w:rsid w:val="00F66867"/>
    <w:rsid w:val="00F6695F"/>
    <w:rsid w:val="00F669E8"/>
    <w:rsid w:val="00F66A42"/>
    <w:rsid w:val="00F66C42"/>
    <w:rsid w:val="00F66DA4"/>
    <w:rsid w:val="00F673B2"/>
    <w:rsid w:val="00F674C0"/>
    <w:rsid w:val="00F67B38"/>
    <w:rsid w:val="00F70074"/>
    <w:rsid w:val="00F70568"/>
    <w:rsid w:val="00F70B31"/>
    <w:rsid w:val="00F71113"/>
    <w:rsid w:val="00F71118"/>
    <w:rsid w:val="00F71171"/>
    <w:rsid w:val="00F718E7"/>
    <w:rsid w:val="00F719BC"/>
    <w:rsid w:val="00F71D97"/>
    <w:rsid w:val="00F71E32"/>
    <w:rsid w:val="00F71F75"/>
    <w:rsid w:val="00F722DA"/>
    <w:rsid w:val="00F72350"/>
    <w:rsid w:val="00F72D4B"/>
    <w:rsid w:val="00F737E9"/>
    <w:rsid w:val="00F7384A"/>
    <w:rsid w:val="00F73A2D"/>
    <w:rsid w:val="00F73E2B"/>
    <w:rsid w:val="00F73F0B"/>
    <w:rsid w:val="00F73F41"/>
    <w:rsid w:val="00F73FC6"/>
    <w:rsid w:val="00F7481B"/>
    <w:rsid w:val="00F74A1E"/>
    <w:rsid w:val="00F74C47"/>
    <w:rsid w:val="00F74FA8"/>
    <w:rsid w:val="00F75625"/>
    <w:rsid w:val="00F75D15"/>
    <w:rsid w:val="00F75F96"/>
    <w:rsid w:val="00F75FF1"/>
    <w:rsid w:val="00F76008"/>
    <w:rsid w:val="00F762C6"/>
    <w:rsid w:val="00F767A6"/>
    <w:rsid w:val="00F7689F"/>
    <w:rsid w:val="00F76BA2"/>
    <w:rsid w:val="00F770B2"/>
    <w:rsid w:val="00F77859"/>
    <w:rsid w:val="00F77993"/>
    <w:rsid w:val="00F77C26"/>
    <w:rsid w:val="00F77C47"/>
    <w:rsid w:val="00F77D73"/>
    <w:rsid w:val="00F77E86"/>
    <w:rsid w:val="00F77ECD"/>
    <w:rsid w:val="00F77FD6"/>
    <w:rsid w:val="00F8003B"/>
    <w:rsid w:val="00F804D5"/>
    <w:rsid w:val="00F80A5C"/>
    <w:rsid w:val="00F80BEB"/>
    <w:rsid w:val="00F80EC2"/>
    <w:rsid w:val="00F8104C"/>
    <w:rsid w:val="00F8109C"/>
    <w:rsid w:val="00F8114B"/>
    <w:rsid w:val="00F811F6"/>
    <w:rsid w:val="00F8130E"/>
    <w:rsid w:val="00F816D6"/>
    <w:rsid w:val="00F81852"/>
    <w:rsid w:val="00F81E3C"/>
    <w:rsid w:val="00F82528"/>
    <w:rsid w:val="00F82745"/>
    <w:rsid w:val="00F827A9"/>
    <w:rsid w:val="00F82903"/>
    <w:rsid w:val="00F82BEB"/>
    <w:rsid w:val="00F82C1F"/>
    <w:rsid w:val="00F82E44"/>
    <w:rsid w:val="00F835E1"/>
    <w:rsid w:val="00F83AC3"/>
    <w:rsid w:val="00F840DB"/>
    <w:rsid w:val="00F84246"/>
    <w:rsid w:val="00F843AD"/>
    <w:rsid w:val="00F846A7"/>
    <w:rsid w:val="00F84817"/>
    <w:rsid w:val="00F84B04"/>
    <w:rsid w:val="00F84DD5"/>
    <w:rsid w:val="00F84E4A"/>
    <w:rsid w:val="00F84E68"/>
    <w:rsid w:val="00F85156"/>
    <w:rsid w:val="00F851EF"/>
    <w:rsid w:val="00F85300"/>
    <w:rsid w:val="00F85365"/>
    <w:rsid w:val="00F85571"/>
    <w:rsid w:val="00F85630"/>
    <w:rsid w:val="00F85821"/>
    <w:rsid w:val="00F85DD2"/>
    <w:rsid w:val="00F85FA4"/>
    <w:rsid w:val="00F863E0"/>
    <w:rsid w:val="00F86723"/>
    <w:rsid w:val="00F8689F"/>
    <w:rsid w:val="00F8742F"/>
    <w:rsid w:val="00F875DE"/>
    <w:rsid w:val="00F87715"/>
    <w:rsid w:val="00F87963"/>
    <w:rsid w:val="00F87D1F"/>
    <w:rsid w:val="00F87FC0"/>
    <w:rsid w:val="00F90453"/>
    <w:rsid w:val="00F90463"/>
    <w:rsid w:val="00F9056A"/>
    <w:rsid w:val="00F906AE"/>
    <w:rsid w:val="00F90786"/>
    <w:rsid w:val="00F90A26"/>
    <w:rsid w:val="00F90BCC"/>
    <w:rsid w:val="00F90C85"/>
    <w:rsid w:val="00F90DA4"/>
    <w:rsid w:val="00F91481"/>
    <w:rsid w:val="00F9170B"/>
    <w:rsid w:val="00F91C7B"/>
    <w:rsid w:val="00F91F83"/>
    <w:rsid w:val="00F92676"/>
    <w:rsid w:val="00F92860"/>
    <w:rsid w:val="00F92B29"/>
    <w:rsid w:val="00F92B46"/>
    <w:rsid w:val="00F92BB2"/>
    <w:rsid w:val="00F92BB9"/>
    <w:rsid w:val="00F92E5F"/>
    <w:rsid w:val="00F93173"/>
    <w:rsid w:val="00F93925"/>
    <w:rsid w:val="00F93F34"/>
    <w:rsid w:val="00F941A8"/>
    <w:rsid w:val="00F9445D"/>
    <w:rsid w:val="00F948DE"/>
    <w:rsid w:val="00F949FD"/>
    <w:rsid w:val="00F94F00"/>
    <w:rsid w:val="00F94F60"/>
    <w:rsid w:val="00F95262"/>
    <w:rsid w:val="00F954A7"/>
    <w:rsid w:val="00F954B3"/>
    <w:rsid w:val="00F956D2"/>
    <w:rsid w:val="00F958BF"/>
    <w:rsid w:val="00F95941"/>
    <w:rsid w:val="00F95B99"/>
    <w:rsid w:val="00F96179"/>
    <w:rsid w:val="00F9665E"/>
    <w:rsid w:val="00F967DF"/>
    <w:rsid w:val="00F96903"/>
    <w:rsid w:val="00F96BD7"/>
    <w:rsid w:val="00F96EE2"/>
    <w:rsid w:val="00F9724C"/>
    <w:rsid w:val="00F97575"/>
    <w:rsid w:val="00F979A9"/>
    <w:rsid w:val="00F97A74"/>
    <w:rsid w:val="00F97DF5"/>
    <w:rsid w:val="00FA0146"/>
    <w:rsid w:val="00FA01B2"/>
    <w:rsid w:val="00FA0688"/>
    <w:rsid w:val="00FA0765"/>
    <w:rsid w:val="00FA0A4F"/>
    <w:rsid w:val="00FA0B97"/>
    <w:rsid w:val="00FA0C53"/>
    <w:rsid w:val="00FA1248"/>
    <w:rsid w:val="00FA1483"/>
    <w:rsid w:val="00FA185C"/>
    <w:rsid w:val="00FA2013"/>
    <w:rsid w:val="00FA202A"/>
    <w:rsid w:val="00FA211E"/>
    <w:rsid w:val="00FA2377"/>
    <w:rsid w:val="00FA2566"/>
    <w:rsid w:val="00FA27CD"/>
    <w:rsid w:val="00FA29E1"/>
    <w:rsid w:val="00FA2D08"/>
    <w:rsid w:val="00FA3057"/>
    <w:rsid w:val="00FA387B"/>
    <w:rsid w:val="00FA3DFD"/>
    <w:rsid w:val="00FA3F6D"/>
    <w:rsid w:val="00FA4357"/>
    <w:rsid w:val="00FA48A1"/>
    <w:rsid w:val="00FA4F24"/>
    <w:rsid w:val="00FA4FD0"/>
    <w:rsid w:val="00FA549C"/>
    <w:rsid w:val="00FA568B"/>
    <w:rsid w:val="00FA5E75"/>
    <w:rsid w:val="00FA62F3"/>
    <w:rsid w:val="00FA63DC"/>
    <w:rsid w:val="00FA64D2"/>
    <w:rsid w:val="00FA6DEE"/>
    <w:rsid w:val="00FA7433"/>
    <w:rsid w:val="00FA7AA1"/>
    <w:rsid w:val="00FA7EF5"/>
    <w:rsid w:val="00FB03CD"/>
    <w:rsid w:val="00FB0B4F"/>
    <w:rsid w:val="00FB0F88"/>
    <w:rsid w:val="00FB137D"/>
    <w:rsid w:val="00FB1542"/>
    <w:rsid w:val="00FB1816"/>
    <w:rsid w:val="00FB1863"/>
    <w:rsid w:val="00FB1AFF"/>
    <w:rsid w:val="00FB1EBE"/>
    <w:rsid w:val="00FB1FC7"/>
    <w:rsid w:val="00FB207A"/>
    <w:rsid w:val="00FB25E8"/>
    <w:rsid w:val="00FB2741"/>
    <w:rsid w:val="00FB2BC7"/>
    <w:rsid w:val="00FB3988"/>
    <w:rsid w:val="00FB398D"/>
    <w:rsid w:val="00FB3AF6"/>
    <w:rsid w:val="00FB3D69"/>
    <w:rsid w:val="00FB3E21"/>
    <w:rsid w:val="00FB3F36"/>
    <w:rsid w:val="00FB3F5C"/>
    <w:rsid w:val="00FB44FF"/>
    <w:rsid w:val="00FB49C0"/>
    <w:rsid w:val="00FB4A82"/>
    <w:rsid w:val="00FB4F1B"/>
    <w:rsid w:val="00FB5290"/>
    <w:rsid w:val="00FB5654"/>
    <w:rsid w:val="00FB591D"/>
    <w:rsid w:val="00FB5C90"/>
    <w:rsid w:val="00FB5CAF"/>
    <w:rsid w:val="00FB5D8F"/>
    <w:rsid w:val="00FB5E23"/>
    <w:rsid w:val="00FB6344"/>
    <w:rsid w:val="00FB6586"/>
    <w:rsid w:val="00FB66C0"/>
    <w:rsid w:val="00FB6703"/>
    <w:rsid w:val="00FB6952"/>
    <w:rsid w:val="00FB7244"/>
    <w:rsid w:val="00FB7592"/>
    <w:rsid w:val="00FB77F5"/>
    <w:rsid w:val="00FB7811"/>
    <w:rsid w:val="00FB7A83"/>
    <w:rsid w:val="00FB7B9C"/>
    <w:rsid w:val="00FB7D62"/>
    <w:rsid w:val="00FC008C"/>
    <w:rsid w:val="00FC0732"/>
    <w:rsid w:val="00FC08BA"/>
    <w:rsid w:val="00FC0E0C"/>
    <w:rsid w:val="00FC0EC1"/>
    <w:rsid w:val="00FC0F88"/>
    <w:rsid w:val="00FC182E"/>
    <w:rsid w:val="00FC19A8"/>
    <w:rsid w:val="00FC1C9A"/>
    <w:rsid w:val="00FC1D05"/>
    <w:rsid w:val="00FC1EED"/>
    <w:rsid w:val="00FC24A6"/>
    <w:rsid w:val="00FC25F7"/>
    <w:rsid w:val="00FC2705"/>
    <w:rsid w:val="00FC27A2"/>
    <w:rsid w:val="00FC292A"/>
    <w:rsid w:val="00FC2A40"/>
    <w:rsid w:val="00FC2C11"/>
    <w:rsid w:val="00FC2F8D"/>
    <w:rsid w:val="00FC38C5"/>
    <w:rsid w:val="00FC3913"/>
    <w:rsid w:val="00FC3CBF"/>
    <w:rsid w:val="00FC3E9E"/>
    <w:rsid w:val="00FC417C"/>
    <w:rsid w:val="00FC430F"/>
    <w:rsid w:val="00FC46B6"/>
    <w:rsid w:val="00FC4737"/>
    <w:rsid w:val="00FC4AF3"/>
    <w:rsid w:val="00FC4D70"/>
    <w:rsid w:val="00FC5238"/>
    <w:rsid w:val="00FC5356"/>
    <w:rsid w:val="00FC563B"/>
    <w:rsid w:val="00FC56C8"/>
    <w:rsid w:val="00FC5930"/>
    <w:rsid w:val="00FC5C1F"/>
    <w:rsid w:val="00FC6202"/>
    <w:rsid w:val="00FC6C65"/>
    <w:rsid w:val="00FC6C7C"/>
    <w:rsid w:val="00FC6D99"/>
    <w:rsid w:val="00FC6DF4"/>
    <w:rsid w:val="00FC7AFD"/>
    <w:rsid w:val="00FC7B7C"/>
    <w:rsid w:val="00FC7E13"/>
    <w:rsid w:val="00FC7F87"/>
    <w:rsid w:val="00FD0086"/>
    <w:rsid w:val="00FD0137"/>
    <w:rsid w:val="00FD08A9"/>
    <w:rsid w:val="00FD0F65"/>
    <w:rsid w:val="00FD1B9D"/>
    <w:rsid w:val="00FD1DBA"/>
    <w:rsid w:val="00FD25E3"/>
    <w:rsid w:val="00FD276B"/>
    <w:rsid w:val="00FD27F0"/>
    <w:rsid w:val="00FD2DF5"/>
    <w:rsid w:val="00FD3251"/>
    <w:rsid w:val="00FD38DB"/>
    <w:rsid w:val="00FD41B5"/>
    <w:rsid w:val="00FD456D"/>
    <w:rsid w:val="00FD45A6"/>
    <w:rsid w:val="00FD4656"/>
    <w:rsid w:val="00FD4A0C"/>
    <w:rsid w:val="00FD4F49"/>
    <w:rsid w:val="00FD57B3"/>
    <w:rsid w:val="00FD58B1"/>
    <w:rsid w:val="00FD59ED"/>
    <w:rsid w:val="00FD5D0C"/>
    <w:rsid w:val="00FD619E"/>
    <w:rsid w:val="00FD649D"/>
    <w:rsid w:val="00FD64FF"/>
    <w:rsid w:val="00FD667C"/>
    <w:rsid w:val="00FD68B7"/>
    <w:rsid w:val="00FD6D76"/>
    <w:rsid w:val="00FD7325"/>
    <w:rsid w:val="00FD777F"/>
    <w:rsid w:val="00FD7ACE"/>
    <w:rsid w:val="00FD7E95"/>
    <w:rsid w:val="00FD7EF9"/>
    <w:rsid w:val="00FD7FF3"/>
    <w:rsid w:val="00FE0585"/>
    <w:rsid w:val="00FE05B6"/>
    <w:rsid w:val="00FE07C7"/>
    <w:rsid w:val="00FE0E8D"/>
    <w:rsid w:val="00FE14E3"/>
    <w:rsid w:val="00FE1584"/>
    <w:rsid w:val="00FE1CF7"/>
    <w:rsid w:val="00FE1D14"/>
    <w:rsid w:val="00FE2599"/>
    <w:rsid w:val="00FE25BA"/>
    <w:rsid w:val="00FE2AA9"/>
    <w:rsid w:val="00FE2B44"/>
    <w:rsid w:val="00FE30E3"/>
    <w:rsid w:val="00FE3401"/>
    <w:rsid w:val="00FE35C7"/>
    <w:rsid w:val="00FE3755"/>
    <w:rsid w:val="00FE3C96"/>
    <w:rsid w:val="00FE3D2A"/>
    <w:rsid w:val="00FE3D3E"/>
    <w:rsid w:val="00FE420C"/>
    <w:rsid w:val="00FE45BB"/>
    <w:rsid w:val="00FE46D0"/>
    <w:rsid w:val="00FE495F"/>
    <w:rsid w:val="00FE4AEC"/>
    <w:rsid w:val="00FE527C"/>
    <w:rsid w:val="00FE549D"/>
    <w:rsid w:val="00FE58B0"/>
    <w:rsid w:val="00FE5D33"/>
    <w:rsid w:val="00FE65DE"/>
    <w:rsid w:val="00FE686F"/>
    <w:rsid w:val="00FE6AF1"/>
    <w:rsid w:val="00FE6EEB"/>
    <w:rsid w:val="00FE7911"/>
    <w:rsid w:val="00FE7A2E"/>
    <w:rsid w:val="00FE7DB7"/>
    <w:rsid w:val="00FE7F89"/>
    <w:rsid w:val="00FF022A"/>
    <w:rsid w:val="00FF078D"/>
    <w:rsid w:val="00FF0F59"/>
    <w:rsid w:val="00FF136F"/>
    <w:rsid w:val="00FF147C"/>
    <w:rsid w:val="00FF1C03"/>
    <w:rsid w:val="00FF1ED7"/>
    <w:rsid w:val="00FF2025"/>
    <w:rsid w:val="00FF2903"/>
    <w:rsid w:val="00FF2996"/>
    <w:rsid w:val="00FF29B5"/>
    <w:rsid w:val="00FF29BB"/>
    <w:rsid w:val="00FF2A78"/>
    <w:rsid w:val="00FF2C14"/>
    <w:rsid w:val="00FF3443"/>
    <w:rsid w:val="00FF35C7"/>
    <w:rsid w:val="00FF360A"/>
    <w:rsid w:val="00FF388E"/>
    <w:rsid w:val="00FF38AB"/>
    <w:rsid w:val="00FF3BB7"/>
    <w:rsid w:val="00FF3EC3"/>
    <w:rsid w:val="00FF4351"/>
    <w:rsid w:val="00FF447A"/>
    <w:rsid w:val="00FF46F2"/>
    <w:rsid w:val="00FF4BA4"/>
    <w:rsid w:val="00FF4D9D"/>
    <w:rsid w:val="00FF5120"/>
    <w:rsid w:val="00FF56FC"/>
    <w:rsid w:val="00FF57DD"/>
    <w:rsid w:val="00FF5802"/>
    <w:rsid w:val="00FF583E"/>
    <w:rsid w:val="00FF620E"/>
    <w:rsid w:val="00FF6286"/>
    <w:rsid w:val="00FF63D6"/>
    <w:rsid w:val="00FF665D"/>
    <w:rsid w:val="00FF6663"/>
    <w:rsid w:val="00FF6839"/>
    <w:rsid w:val="00FF6929"/>
    <w:rsid w:val="00FF6B15"/>
    <w:rsid w:val="00FF6B62"/>
    <w:rsid w:val="00FF72DB"/>
    <w:rsid w:val="00FF72E7"/>
    <w:rsid w:val="00FF732C"/>
    <w:rsid w:val="00FF753B"/>
    <w:rsid w:val="00FF76AE"/>
    <w:rsid w:val="00FF79D5"/>
    <w:rsid w:val="00FF7A17"/>
    <w:rsid w:val="00FF7D21"/>
    <w:rsid w:val="00FF7E64"/>
    <w:rsid w:val="01056285"/>
    <w:rsid w:val="010A3A52"/>
    <w:rsid w:val="011F19D3"/>
    <w:rsid w:val="01287101"/>
    <w:rsid w:val="012D66CB"/>
    <w:rsid w:val="013E0856"/>
    <w:rsid w:val="01416E7B"/>
    <w:rsid w:val="0168325F"/>
    <w:rsid w:val="016C5839"/>
    <w:rsid w:val="016FF54B"/>
    <w:rsid w:val="0187402D"/>
    <w:rsid w:val="01AC5AE4"/>
    <w:rsid w:val="01AEAB1B"/>
    <w:rsid w:val="01BAE4AA"/>
    <w:rsid w:val="01F82835"/>
    <w:rsid w:val="02025F0D"/>
    <w:rsid w:val="021F4265"/>
    <w:rsid w:val="02251150"/>
    <w:rsid w:val="025A34EF"/>
    <w:rsid w:val="02661E94"/>
    <w:rsid w:val="026AE9E6"/>
    <w:rsid w:val="026B74AB"/>
    <w:rsid w:val="02714395"/>
    <w:rsid w:val="02745A8B"/>
    <w:rsid w:val="0274BDB6"/>
    <w:rsid w:val="02884018"/>
    <w:rsid w:val="0293255D"/>
    <w:rsid w:val="02A93B2F"/>
    <w:rsid w:val="02DA018C"/>
    <w:rsid w:val="02E4100B"/>
    <w:rsid w:val="0307310D"/>
    <w:rsid w:val="031A67DB"/>
    <w:rsid w:val="031E451D"/>
    <w:rsid w:val="031E5775"/>
    <w:rsid w:val="032CF57A"/>
    <w:rsid w:val="033124A2"/>
    <w:rsid w:val="033414C4"/>
    <w:rsid w:val="03465822"/>
    <w:rsid w:val="0374238F"/>
    <w:rsid w:val="038A7E04"/>
    <w:rsid w:val="038F0F77"/>
    <w:rsid w:val="0397D82E"/>
    <w:rsid w:val="03B96453"/>
    <w:rsid w:val="03D61D75"/>
    <w:rsid w:val="03DC1557"/>
    <w:rsid w:val="03E4D59A"/>
    <w:rsid w:val="03F20D28"/>
    <w:rsid w:val="03F60FF6"/>
    <w:rsid w:val="03FF165B"/>
    <w:rsid w:val="040354C1"/>
    <w:rsid w:val="040892E9"/>
    <w:rsid w:val="040B7160"/>
    <w:rsid w:val="04119316"/>
    <w:rsid w:val="0417EBA4"/>
    <w:rsid w:val="0425113A"/>
    <w:rsid w:val="044F81D4"/>
    <w:rsid w:val="04523034"/>
    <w:rsid w:val="04524F13"/>
    <w:rsid w:val="04552F9D"/>
    <w:rsid w:val="04582AEC"/>
    <w:rsid w:val="045B682B"/>
    <w:rsid w:val="0462668B"/>
    <w:rsid w:val="046C12B8"/>
    <w:rsid w:val="046FC10A"/>
    <w:rsid w:val="04A2F63D"/>
    <w:rsid w:val="04BC3FEE"/>
    <w:rsid w:val="04CE1F73"/>
    <w:rsid w:val="04D5BEDA"/>
    <w:rsid w:val="04E2157A"/>
    <w:rsid w:val="051060E7"/>
    <w:rsid w:val="05137986"/>
    <w:rsid w:val="051A0D14"/>
    <w:rsid w:val="05237BC9"/>
    <w:rsid w:val="0529ADB1"/>
    <w:rsid w:val="052BA6C9"/>
    <w:rsid w:val="0530FDFA"/>
    <w:rsid w:val="054378A1"/>
    <w:rsid w:val="055F44BC"/>
    <w:rsid w:val="05610E93"/>
    <w:rsid w:val="05663F59"/>
    <w:rsid w:val="056767B3"/>
    <w:rsid w:val="056A6230"/>
    <w:rsid w:val="057523EE"/>
    <w:rsid w:val="05924D4E"/>
    <w:rsid w:val="059C930C"/>
    <w:rsid w:val="059EF6FB"/>
    <w:rsid w:val="05C89EEC"/>
    <w:rsid w:val="05CEFD35"/>
    <w:rsid w:val="05DC2455"/>
    <w:rsid w:val="05E5786E"/>
    <w:rsid w:val="05F31C91"/>
    <w:rsid w:val="061A9C43"/>
    <w:rsid w:val="0639341C"/>
    <w:rsid w:val="06429E0E"/>
    <w:rsid w:val="06432556"/>
    <w:rsid w:val="065344DE"/>
    <w:rsid w:val="06566F5E"/>
    <w:rsid w:val="06783F44"/>
    <w:rsid w:val="0679397C"/>
    <w:rsid w:val="0690808E"/>
    <w:rsid w:val="06973E5A"/>
    <w:rsid w:val="069D1BFD"/>
    <w:rsid w:val="06B83EA4"/>
    <w:rsid w:val="06C87308"/>
    <w:rsid w:val="06DD0F84"/>
    <w:rsid w:val="06DD649D"/>
    <w:rsid w:val="06E2E7ED"/>
    <w:rsid w:val="070BE709"/>
    <w:rsid w:val="070D214A"/>
    <w:rsid w:val="0725F92D"/>
    <w:rsid w:val="07302A71"/>
    <w:rsid w:val="073B147E"/>
    <w:rsid w:val="07405A16"/>
    <w:rsid w:val="07410A12"/>
    <w:rsid w:val="075105E2"/>
    <w:rsid w:val="07814962"/>
    <w:rsid w:val="078EB71C"/>
    <w:rsid w:val="0798614A"/>
    <w:rsid w:val="07AB7BEA"/>
    <w:rsid w:val="07B2716C"/>
    <w:rsid w:val="07DC6755"/>
    <w:rsid w:val="07EF395F"/>
    <w:rsid w:val="0802440D"/>
    <w:rsid w:val="0822A4B9"/>
    <w:rsid w:val="082425D6"/>
    <w:rsid w:val="0835AFF8"/>
    <w:rsid w:val="084DA5E7"/>
    <w:rsid w:val="08687FE8"/>
    <w:rsid w:val="08732C15"/>
    <w:rsid w:val="0878647D"/>
    <w:rsid w:val="08803584"/>
    <w:rsid w:val="0884E49A"/>
    <w:rsid w:val="08A6FB47"/>
    <w:rsid w:val="08A7E941"/>
    <w:rsid w:val="08BC2855"/>
    <w:rsid w:val="08BD0334"/>
    <w:rsid w:val="08BD2C4F"/>
    <w:rsid w:val="08D6CEDD"/>
    <w:rsid w:val="08DD36C0"/>
    <w:rsid w:val="09101E7A"/>
    <w:rsid w:val="09151F1E"/>
    <w:rsid w:val="09350822"/>
    <w:rsid w:val="096D5B47"/>
    <w:rsid w:val="097C1F9D"/>
    <w:rsid w:val="099494CD"/>
    <w:rsid w:val="09BDB328"/>
    <w:rsid w:val="09C83435"/>
    <w:rsid w:val="09CDB440"/>
    <w:rsid w:val="0A086F5B"/>
    <w:rsid w:val="0A142F7F"/>
    <w:rsid w:val="0A187979"/>
    <w:rsid w:val="0A31EE85"/>
    <w:rsid w:val="0A375EC4"/>
    <w:rsid w:val="0A4F1460"/>
    <w:rsid w:val="0A696084"/>
    <w:rsid w:val="0A75E9FA"/>
    <w:rsid w:val="0A7E3AF3"/>
    <w:rsid w:val="0A80786B"/>
    <w:rsid w:val="0A8455AD"/>
    <w:rsid w:val="0AAB6B91"/>
    <w:rsid w:val="0AB438C6"/>
    <w:rsid w:val="0AF33A92"/>
    <w:rsid w:val="0AF42CFD"/>
    <w:rsid w:val="0B145B3F"/>
    <w:rsid w:val="0B21104E"/>
    <w:rsid w:val="0B457ECA"/>
    <w:rsid w:val="0B5B9B53"/>
    <w:rsid w:val="0B6947A3"/>
    <w:rsid w:val="0B79BFED"/>
    <w:rsid w:val="0BA84D8A"/>
    <w:rsid w:val="0BC8BEBA"/>
    <w:rsid w:val="0BEA7692"/>
    <w:rsid w:val="0BF4B3C8"/>
    <w:rsid w:val="0BF73B5D"/>
    <w:rsid w:val="0C0202EF"/>
    <w:rsid w:val="0C060244"/>
    <w:rsid w:val="0C19C713"/>
    <w:rsid w:val="0C2CDC21"/>
    <w:rsid w:val="0C4A1EDF"/>
    <w:rsid w:val="0C4F74F5"/>
    <w:rsid w:val="0C5B40EC"/>
    <w:rsid w:val="0C5E1E2E"/>
    <w:rsid w:val="0C6236CC"/>
    <w:rsid w:val="0C6C2929"/>
    <w:rsid w:val="0C9AF4A5"/>
    <w:rsid w:val="0CAF2210"/>
    <w:rsid w:val="0CBCDC0A"/>
    <w:rsid w:val="0CC06645"/>
    <w:rsid w:val="0D3037CB"/>
    <w:rsid w:val="0D3A33E5"/>
    <w:rsid w:val="0D474670"/>
    <w:rsid w:val="0D68C67C"/>
    <w:rsid w:val="0D854373"/>
    <w:rsid w:val="0D8737A2"/>
    <w:rsid w:val="0DA52A60"/>
    <w:rsid w:val="0DE325EB"/>
    <w:rsid w:val="0DE46363"/>
    <w:rsid w:val="0DF1792D"/>
    <w:rsid w:val="0DF76096"/>
    <w:rsid w:val="0E1A0991"/>
    <w:rsid w:val="0E484B44"/>
    <w:rsid w:val="0E68A03A"/>
    <w:rsid w:val="0E6B1832"/>
    <w:rsid w:val="0E7B2823"/>
    <w:rsid w:val="0E8169B6"/>
    <w:rsid w:val="0E912047"/>
    <w:rsid w:val="0E930646"/>
    <w:rsid w:val="0EB0EC01"/>
    <w:rsid w:val="0EB14497"/>
    <w:rsid w:val="0EB65CA2"/>
    <w:rsid w:val="0ECB16FF"/>
    <w:rsid w:val="0EDD7E8B"/>
    <w:rsid w:val="0EEA79A9"/>
    <w:rsid w:val="0EF97BEC"/>
    <w:rsid w:val="0F11219D"/>
    <w:rsid w:val="0F227143"/>
    <w:rsid w:val="0F4E7F38"/>
    <w:rsid w:val="0F551D14"/>
    <w:rsid w:val="0F64150A"/>
    <w:rsid w:val="0F96368D"/>
    <w:rsid w:val="0FD146C5"/>
    <w:rsid w:val="0FD91EF8"/>
    <w:rsid w:val="0FDC314E"/>
    <w:rsid w:val="0FEE34C9"/>
    <w:rsid w:val="0FF54858"/>
    <w:rsid w:val="10046849"/>
    <w:rsid w:val="10141182"/>
    <w:rsid w:val="10290B82"/>
    <w:rsid w:val="103B0D5C"/>
    <w:rsid w:val="103F53AA"/>
    <w:rsid w:val="107E484D"/>
    <w:rsid w:val="108856CC"/>
    <w:rsid w:val="1097FD74"/>
    <w:rsid w:val="109B3CB1"/>
    <w:rsid w:val="10A06571"/>
    <w:rsid w:val="10A122E9"/>
    <w:rsid w:val="10CB1789"/>
    <w:rsid w:val="10D12BCF"/>
    <w:rsid w:val="10D80401"/>
    <w:rsid w:val="10F22B45"/>
    <w:rsid w:val="10F4BCDC"/>
    <w:rsid w:val="10F62635"/>
    <w:rsid w:val="11050ACA"/>
    <w:rsid w:val="11181002"/>
    <w:rsid w:val="112E0021"/>
    <w:rsid w:val="113F4349"/>
    <w:rsid w:val="11440C6C"/>
    <w:rsid w:val="114FE3EA"/>
    <w:rsid w:val="116007CE"/>
    <w:rsid w:val="1173012A"/>
    <w:rsid w:val="1176E0A4"/>
    <w:rsid w:val="117D077A"/>
    <w:rsid w:val="11B40BA8"/>
    <w:rsid w:val="11B508A6"/>
    <w:rsid w:val="11C16A74"/>
    <w:rsid w:val="11C269BB"/>
    <w:rsid w:val="11C52008"/>
    <w:rsid w:val="11C693C1"/>
    <w:rsid w:val="11C9025D"/>
    <w:rsid w:val="12022BB5"/>
    <w:rsid w:val="12086AC4"/>
    <w:rsid w:val="122E4051"/>
    <w:rsid w:val="12365030"/>
    <w:rsid w:val="124755D5"/>
    <w:rsid w:val="1252A30C"/>
    <w:rsid w:val="12597C33"/>
    <w:rsid w:val="128B6F43"/>
    <w:rsid w:val="12B33696"/>
    <w:rsid w:val="12E108DF"/>
    <w:rsid w:val="1304DF4F"/>
    <w:rsid w:val="131E7C21"/>
    <w:rsid w:val="1325DA38"/>
    <w:rsid w:val="134753CA"/>
    <w:rsid w:val="13501612"/>
    <w:rsid w:val="1366B85D"/>
    <w:rsid w:val="13786C5C"/>
    <w:rsid w:val="138A0BB7"/>
    <w:rsid w:val="139419CB"/>
    <w:rsid w:val="13961EAE"/>
    <w:rsid w:val="13BA3CCD"/>
    <w:rsid w:val="13BD11EE"/>
    <w:rsid w:val="13CB5FFB"/>
    <w:rsid w:val="13CE9733"/>
    <w:rsid w:val="13DD63E3"/>
    <w:rsid w:val="13ED28DC"/>
    <w:rsid w:val="13F5702C"/>
    <w:rsid w:val="14035161"/>
    <w:rsid w:val="14040CB0"/>
    <w:rsid w:val="14477B1D"/>
    <w:rsid w:val="144A3530"/>
    <w:rsid w:val="14634486"/>
    <w:rsid w:val="14681A9C"/>
    <w:rsid w:val="148536E6"/>
    <w:rsid w:val="14A14FAE"/>
    <w:rsid w:val="14AD3430"/>
    <w:rsid w:val="14B347E8"/>
    <w:rsid w:val="14BF4B0E"/>
    <w:rsid w:val="14E76E65"/>
    <w:rsid w:val="14F9BF43"/>
    <w:rsid w:val="150B2427"/>
    <w:rsid w:val="15172E8E"/>
    <w:rsid w:val="1556A15D"/>
    <w:rsid w:val="158226E9"/>
    <w:rsid w:val="15853F88"/>
    <w:rsid w:val="15A062A4"/>
    <w:rsid w:val="15AABE52"/>
    <w:rsid w:val="15B007A9"/>
    <w:rsid w:val="15D53161"/>
    <w:rsid w:val="15E038B4"/>
    <w:rsid w:val="15ED4099"/>
    <w:rsid w:val="15F17D68"/>
    <w:rsid w:val="167B5A95"/>
    <w:rsid w:val="16873D30"/>
    <w:rsid w:val="16902496"/>
    <w:rsid w:val="16973FCB"/>
    <w:rsid w:val="16974A8A"/>
    <w:rsid w:val="16D96C1F"/>
    <w:rsid w:val="16E5026C"/>
    <w:rsid w:val="16E91354"/>
    <w:rsid w:val="16FC296F"/>
    <w:rsid w:val="16FCAB7A"/>
    <w:rsid w:val="17045380"/>
    <w:rsid w:val="170F6F5E"/>
    <w:rsid w:val="171026B4"/>
    <w:rsid w:val="172B069D"/>
    <w:rsid w:val="172CAC98"/>
    <w:rsid w:val="17382D69"/>
    <w:rsid w:val="173E4D36"/>
    <w:rsid w:val="17435EA8"/>
    <w:rsid w:val="1745136D"/>
    <w:rsid w:val="174AD0CD"/>
    <w:rsid w:val="174BE2DD"/>
    <w:rsid w:val="175C0D3D"/>
    <w:rsid w:val="175F7A72"/>
    <w:rsid w:val="176A7BC5"/>
    <w:rsid w:val="179C61E6"/>
    <w:rsid w:val="17AC7C61"/>
    <w:rsid w:val="17DEDB63"/>
    <w:rsid w:val="18243F2C"/>
    <w:rsid w:val="184738DA"/>
    <w:rsid w:val="18552314"/>
    <w:rsid w:val="185540E5"/>
    <w:rsid w:val="189A41EE"/>
    <w:rsid w:val="189C37A8"/>
    <w:rsid w:val="18AC5CCF"/>
    <w:rsid w:val="18B10430"/>
    <w:rsid w:val="18CE582C"/>
    <w:rsid w:val="18CFC459"/>
    <w:rsid w:val="18D665B6"/>
    <w:rsid w:val="18D74ACC"/>
    <w:rsid w:val="18DF84F1"/>
    <w:rsid w:val="18EF453A"/>
    <w:rsid w:val="18F27B86"/>
    <w:rsid w:val="18FAE3CA"/>
    <w:rsid w:val="1922CC31"/>
    <w:rsid w:val="192E5154"/>
    <w:rsid w:val="19371A3D"/>
    <w:rsid w:val="1941A284"/>
    <w:rsid w:val="194D1260"/>
    <w:rsid w:val="19513ACE"/>
    <w:rsid w:val="19535988"/>
    <w:rsid w:val="19616ABA"/>
    <w:rsid w:val="196F755D"/>
    <w:rsid w:val="19A05834"/>
    <w:rsid w:val="19F0554D"/>
    <w:rsid w:val="1A0758B3"/>
    <w:rsid w:val="1A2024D1"/>
    <w:rsid w:val="1A328F65"/>
    <w:rsid w:val="1A4C6B96"/>
    <w:rsid w:val="1A5FB764"/>
    <w:rsid w:val="1A606D71"/>
    <w:rsid w:val="1A714C17"/>
    <w:rsid w:val="1A718E57"/>
    <w:rsid w:val="1A838955"/>
    <w:rsid w:val="1A903AFB"/>
    <w:rsid w:val="1AB33345"/>
    <w:rsid w:val="1ABD5F72"/>
    <w:rsid w:val="1AF44089"/>
    <w:rsid w:val="1AF8068D"/>
    <w:rsid w:val="1B035B65"/>
    <w:rsid w:val="1B0C24F5"/>
    <w:rsid w:val="1B14A65C"/>
    <w:rsid w:val="1B2349D2"/>
    <w:rsid w:val="1B252F39"/>
    <w:rsid w:val="1B6D9F99"/>
    <w:rsid w:val="1B762CF0"/>
    <w:rsid w:val="1B8C82E5"/>
    <w:rsid w:val="1BA5E7C0"/>
    <w:rsid w:val="1BAF29B2"/>
    <w:rsid w:val="1BB239F4"/>
    <w:rsid w:val="1BB9498B"/>
    <w:rsid w:val="1BBE29DA"/>
    <w:rsid w:val="1BD55AC2"/>
    <w:rsid w:val="1BDC68CC"/>
    <w:rsid w:val="1BEA2D97"/>
    <w:rsid w:val="1BEE6D2B"/>
    <w:rsid w:val="1C0324EA"/>
    <w:rsid w:val="1C1809E7"/>
    <w:rsid w:val="1C232DF9"/>
    <w:rsid w:val="1C2F6749"/>
    <w:rsid w:val="1C605BA0"/>
    <w:rsid w:val="1C6568C1"/>
    <w:rsid w:val="1C6F7740"/>
    <w:rsid w:val="1C87E12C"/>
    <w:rsid w:val="1CC17F9B"/>
    <w:rsid w:val="1CC2B6CF"/>
    <w:rsid w:val="1CD273BD"/>
    <w:rsid w:val="1CEF676B"/>
    <w:rsid w:val="1CFA16FF"/>
    <w:rsid w:val="1D40066D"/>
    <w:rsid w:val="1D434E54"/>
    <w:rsid w:val="1D4D6894"/>
    <w:rsid w:val="1D596426"/>
    <w:rsid w:val="1D5C09AC"/>
    <w:rsid w:val="1D74B49F"/>
    <w:rsid w:val="1D7C3F98"/>
    <w:rsid w:val="1D7E40DE"/>
    <w:rsid w:val="1D827BFA"/>
    <w:rsid w:val="1D9E02DC"/>
    <w:rsid w:val="1DD85B41"/>
    <w:rsid w:val="1DDC7057"/>
    <w:rsid w:val="1DEF2D9F"/>
    <w:rsid w:val="1DF62917"/>
    <w:rsid w:val="1DF77C3E"/>
    <w:rsid w:val="1DFB74DD"/>
    <w:rsid w:val="1E1A5D00"/>
    <w:rsid w:val="1E2E78B2"/>
    <w:rsid w:val="1E38D36F"/>
    <w:rsid w:val="1E4124B8"/>
    <w:rsid w:val="1E472722"/>
    <w:rsid w:val="1E4D079C"/>
    <w:rsid w:val="1E5866DD"/>
    <w:rsid w:val="1E676D64"/>
    <w:rsid w:val="1E796654"/>
    <w:rsid w:val="1E7B23CC"/>
    <w:rsid w:val="1E874F30"/>
    <w:rsid w:val="1EA57449"/>
    <w:rsid w:val="1EB61656"/>
    <w:rsid w:val="1ED64866"/>
    <w:rsid w:val="1EE01CE8"/>
    <w:rsid w:val="1EE3E6AD"/>
    <w:rsid w:val="1EE794E2"/>
    <w:rsid w:val="1EF79AA8"/>
    <w:rsid w:val="1EF97902"/>
    <w:rsid w:val="1F0265C3"/>
    <w:rsid w:val="1F096E07"/>
    <w:rsid w:val="1F19061E"/>
    <w:rsid w:val="1F1D16D5"/>
    <w:rsid w:val="1F38206B"/>
    <w:rsid w:val="1F446C62"/>
    <w:rsid w:val="1F498832"/>
    <w:rsid w:val="1F6410B2"/>
    <w:rsid w:val="1F66F984"/>
    <w:rsid w:val="1F8F6B53"/>
    <w:rsid w:val="1FB913FE"/>
    <w:rsid w:val="1FC852D5"/>
    <w:rsid w:val="1FD511AD"/>
    <w:rsid w:val="1FEA7809"/>
    <w:rsid w:val="1FED554B"/>
    <w:rsid w:val="1FFE1891"/>
    <w:rsid w:val="1FFE32B4"/>
    <w:rsid w:val="20104D99"/>
    <w:rsid w:val="20120B0E"/>
    <w:rsid w:val="20120C14"/>
    <w:rsid w:val="20270A5D"/>
    <w:rsid w:val="202B7A33"/>
    <w:rsid w:val="20312D46"/>
    <w:rsid w:val="20337324"/>
    <w:rsid w:val="2043E7DC"/>
    <w:rsid w:val="2052B825"/>
    <w:rsid w:val="20670E5A"/>
    <w:rsid w:val="206F7DC7"/>
    <w:rsid w:val="20791EE4"/>
    <w:rsid w:val="2096173F"/>
    <w:rsid w:val="209860C5"/>
    <w:rsid w:val="20A53730"/>
    <w:rsid w:val="20A66A75"/>
    <w:rsid w:val="20AE4CDA"/>
    <w:rsid w:val="20B47E17"/>
    <w:rsid w:val="20C75D9C"/>
    <w:rsid w:val="20C808E6"/>
    <w:rsid w:val="20CC6F0F"/>
    <w:rsid w:val="20D38D6B"/>
    <w:rsid w:val="20E424AA"/>
    <w:rsid w:val="20E73D48"/>
    <w:rsid w:val="20EB0A12"/>
    <w:rsid w:val="20EB901E"/>
    <w:rsid w:val="20ED55F1"/>
    <w:rsid w:val="20F28E80"/>
    <w:rsid w:val="20FB472D"/>
    <w:rsid w:val="213073E3"/>
    <w:rsid w:val="21463165"/>
    <w:rsid w:val="215405A5"/>
    <w:rsid w:val="21570D6E"/>
    <w:rsid w:val="216A6032"/>
    <w:rsid w:val="217C0935"/>
    <w:rsid w:val="21817D98"/>
    <w:rsid w:val="21A079AC"/>
    <w:rsid w:val="21A66F54"/>
    <w:rsid w:val="21C3AC7A"/>
    <w:rsid w:val="21C4408A"/>
    <w:rsid w:val="21C8B733"/>
    <w:rsid w:val="21D95D87"/>
    <w:rsid w:val="21E07116"/>
    <w:rsid w:val="21EA99A6"/>
    <w:rsid w:val="21EB2956"/>
    <w:rsid w:val="21F901D7"/>
    <w:rsid w:val="22001566"/>
    <w:rsid w:val="222039B6"/>
    <w:rsid w:val="2225AF20"/>
    <w:rsid w:val="22284619"/>
    <w:rsid w:val="22449AEE"/>
    <w:rsid w:val="225D7C77"/>
    <w:rsid w:val="2274CA9D"/>
    <w:rsid w:val="22791003"/>
    <w:rsid w:val="22821F7B"/>
    <w:rsid w:val="229179E0"/>
    <w:rsid w:val="22BE6D2B"/>
    <w:rsid w:val="22C13E64"/>
    <w:rsid w:val="22C205C9"/>
    <w:rsid w:val="22E70030"/>
    <w:rsid w:val="22F35816"/>
    <w:rsid w:val="22F57BED"/>
    <w:rsid w:val="23072480"/>
    <w:rsid w:val="231C288D"/>
    <w:rsid w:val="232272BA"/>
    <w:rsid w:val="23353491"/>
    <w:rsid w:val="235A02E3"/>
    <w:rsid w:val="235D6544"/>
    <w:rsid w:val="23641680"/>
    <w:rsid w:val="236478D2"/>
    <w:rsid w:val="23983A20"/>
    <w:rsid w:val="23D445F9"/>
    <w:rsid w:val="23E804D9"/>
    <w:rsid w:val="23E822B1"/>
    <w:rsid w:val="23FC3FAF"/>
    <w:rsid w:val="23FE1AD5"/>
    <w:rsid w:val="241617DB"/>
    <w:rsid w:val="24213A15"/>
    <w:rsid w:val="242552B4"/>
    <w:rsid w:val="24276F7C"/>
    <w:rsid w:val="24545B99"/>
    <w:rsid w:val="246970A9"/>
    <w:rsid w:val="24840CB2"/>
    <w:rsid w:val="2487DCB2"/>
    <w:rsid w:val="2489241B"/>
    <w:rsid w:val="248C5333"/>
    <w:rsid w:val="24B45FCC"/>
    <w:rsid w:val="24BE426B"/>
    <w:rsid w:val="24CA2D6B"/>
    <w:rsid w:val="24DC122F"/>
    <w:rsid w:val="24E72569"/>
    <w:rsid w:val="24F2DEE8"/>
    <w:rsid w:val="250C1FD0"/>
    <w:rsid w:val="25137802"/>
    <w:rsid w:val="251D4D79"/>
    <w:rsid w:val="253C3683"/>
    <w:rsid w:val="256A4F48"/>
    <w:rsid w:val="256C9A2B"/>
    <w:rsid w:val="257162D7"/>
    <w:rsid w:val="25733A05"/>
    <w:rsid w:val="259C26B0"/>
    <w:rsid w:val="259E9E50"/>
    <w:rsid w:val="25A092F0"/>
    <w:rsid w:val="25B3069D"/>
    <w:rsid w:val="25CC5081"/>
    <w:rsid w:val="25EB42DB"/>
    <w:rsid w:val="25F0147B"/>
    <w:rsid w:val="25F917EA"/>
    <w:rsid w:val="26020081"/>
    <w:rsid w:val="261C4494"/>
    <w:rsid w:val="26355556"/>
    <w:rsid w:val="263A8AEE"/>
    <w:rsid w:val="263B3BCC"/>
    <w:rsid w:val="265C7611"/>
    <w:rsid w:val="266100F9"/>
    <w:rsid w:val="2661634B"/>
    <w:rsid w:val="268F2EB8"/>
    <w:rsid w:val="2694227D"/>
    <w:rsid w:val="26E91B6E"/>
    <w:rsid w:val="26F07AEA"/>
    <w:rsid w:val="26F2CB2D"/>
    <w:rsid w:val="26FB22FC"/>
    <w:rsid w:val="26FD4AB8"/>
    <w:rsid w:val="271E10A0"/>
    <w:rsid w:val="2723D34D"/>
    <w:rsid w:val="27282B77"/>
    <w:rsid w:val="272E26D1"/>
    <w:rsid w:val="27305230"/>
    <w:rsid w:val="27307D6E"/>
    <w:rsid w:val="276564CD"/>
    <w:rsid w:val="2784970F"/>
    <w:rsid w:val="278F0C96"/>
    <w:rsid w:val="279B588D"/>
    <w:rsid w:val="27B54BA0"/>
    <w:rsid w:val="2867C9E5"/>
    <w:rsid w:val="286C3E48"/>
    <w:rsid w:val="287265EE"/>
    <w:rsid w:val="28740EE8"/>
    <w:rsid w:val="287E4F92"/>
    <w:rsid w:val="28862099"/>
    <w:rsid w:val="28911DB2"/>
    <w:rsid w:val="2897CB61"/>
    <w:rsid w:val="28B210E0"/>
    <w:rsid w:val="28B5472C"/>
    <w:rsid w:val="28BA7F95"/>
    <w:rsid w:val="28CB2643"/>
    <w:rsid w:val="28EC2844"/>
    <w:rsid w:val="28FE002F"/>
    <w:rsid w:val="29247BFE"/>
    <w:rsid w:val="29490E1F"/>
    <w:rsid w:val="294F0D3E"/>
    <w:rsid w:val="296A3769"/>
    <w:rsid w:val="297805B6"/>
    <w:rsid w:val="29791D63"/>
    <w:rsid w:val="297C76FB"/>
    <w:rsid w:val="298E38FB"/>
    <w:rsid w:val="29A63AFB"/>
    <w:rsid w:val="29C087AA"/>
    <w:rsid w:val="29CF6A34"/>
    <w:rsid w:val="29DADE5B"/>
    <w:rsid w:val="29DD3F3B"/>
    <w:rsid w:val="29F83FD8"/>
    <w:rsid w:val="29FB2613"/>
    <w:rsid w:val="29FC6F7F"/>
    <w:rsid w:val="2A022B1A"/>
    <w:rsid w:val="2A300CF3"/>
    <w:rsid w:val="2A3049B2"/>
    <w:rsid w:val="2A4AD2D3"/>
    <w:rsid w:val="2A4B731D"/>
    <w:rsid w:val="2A526911"/>
    <w:rsid w:val="2A5B7D43"/>
    <w:rsid w:val="2A7F1496"/>
    <w:rsid w:val="2A866380"/>
    <w:rsid w:val="2A944F41"/>
    <w:rsid w:val="2ABD7C6A"/>
    <w:rsid w:val="2AC9F959"/>
    <w:rsid w:val="2ACAAB5B"/>
    <w:rsid w:val="2ACD2201"/>
    <w:rsid w:val="2ADA66CC"/>
    <w:rsid w:val="2AE02857"/>
    <w:rsid w:val="2AF459E0"/>
    <w:rsid w:val="2B14CED1"/>
    <w:rsid w:val="2B1A4D1A"/>
    <w:rsid w:val="2B6346D1"/>
    <w:rsid w:val="2B91334D"/>
    <w:rsid w:val="2BA54F2C"/>
    <w:rsid w:val="2BAB3788"/>
    <w:rsid w:val="2BAC0068"/>
    <w:rsid w:val="2BB32B05"/>
    <w:rsid w:val="2BB4D76B"/>
    <w:rsid w:val="2BB533C1"/>
    <w:rsid w:val="2BC524C3"/>
    <w:rsid w:val="2BF3B286"/>
    <w:rsid w:val="2BFC550D"/>
    <w:rsid w:val="2C029D2C"/>
    <w:rsid w:val="2C2E6CCF"/>
    <w:rsid w:val="2C44E516"/>
    <w:rsid w:val="2C4B7BEF"/>
    <w:rsid w:val="2C51DBA6"/>
    <w:rsid w:val="2C7D4B96"/>
    <w:rsid w:val="2C884632"/>
    <w:rsid w:val="2C8965FC"/>
    <w:rsid w:val="2C8DA3BC"/>
    <w:rsid w:val="2C922A70"/>
    <w:rsid w:val="2CB01DDA"/>
    <w:rsid w:val="2CB54765"/>
    <w:rsid w:val="2CB66083"/>
    <w:rsid w:val="2CC40D24"/>
    <w:rsid w:val="2CC44517"/>
    <w:rsid w:val="2CC633AC"/>
    <w:rsid w:val="2D042943"/>
    <w:rsid w:val="2D25893D"/>
    <w:rsid w:val="2D5E5392"/>
    <w:rsid w:val="2D71156A"/>
    <w:rsid w:val="2D751713"/>
    <w:rsid w:val="2D9A27D6"/>
    <w:rsid w:val="2DA90D03"/>
    <w:rsid w:val="2DC62882"/>
    <w:rsid w:val="2DD33B6B"/>
    <w:rsid w:val="2DE24215"/>
    <w:rsid w:val="2E200E0E"/>
    <w:rsid w:val="2E240E5D"/>
    <w:rsid w:val="2E3305CD"/>
    <w:rsid w:val="2E3D31FA"/>
    <w:rsid w:val="2E3E280A"/>
    <w:rsid w:val="2E4A5917"/>
    <w:rsid w:val="2E4D3F5D"/>
    <w:rsid w:val="2E4E1D69"/>
    <w:rsid w:val="2E5549E7"/>
    <w:rsid w:val="2E7E1BF5"/>
    <w:rsid w:val="2E848466"/>
    <w:rsid w:val="2E88BF1C"/>
    <w:rsid w:val="2EA4D38F"/>
    <w:rsid w:val="2EBA6E25"/>
    <w:rsid w:val="2EBFEBA3"/>
    <w:rsid w:val="2EC00B0B"/>
    <w:rsid w:val="2EC465DF"/>
    <w:rsid w:val="2EEA1BD8"/>
    <w:rsid w:val="2EEC2080"/>
    <w:rsid w:val="2EEF5EF0"/>
    <w:rsid w:val="2F01678F"/>
    <w:rsid w:val="2F0903E1"/>
    <w:rsid w:val="2F2131FE"/>
    <w:rsid w:val="2F278545"/>
    <w:rsid w:val="2F3C432D"/>
    <w:rsid w:val="2F4131BE"/>
    <w:rsid w:val="2F416D1A"/>
    <w:rsid w:val="2F552199"/>
    <w:rsid w:val="2F8512FC"/>
    <w:rsid w:val="2F99B5F4"/>
    <w:rsid w:val="2FD91648"/>
    <w:rsid w:val="2FE70C36"/>
    <w:rsid w:val="2FE829E4"/>
    <w:rsid w:val="3005243D"/>
    <w:rsid w:val="3014D453"/>
    <w:rsid w:val="30185CCC"/>
    <w:rsid w:val="303C25E0"/>
    <w:rsid w:val="304E3F48"/>
    <w:rsid w:val="305225D9"/>
    <w:rsid w:val="30670A02"/>
    <w:rsid w:val="306E3B3E"/>
    <w:rsid w:val="30744ECD"/>
    <w:rsid w:val="307C1679"/>
    <w:rsid w:val="309C147B"/>
    <w:rsid w:val="30B2A45B"/>
    <w:rsid w:val="30BF489E"/>
    <w:rsid w:val="30C65728"/>
    <w:rsid w:val="30CC4D09"/>
    <w:rsid w:val="30CE6CD3"/>
    <w:rsid w:val="30F104E1"/>
    <w:rsid w:val="30F7204C"/>
    <w:rsid w:val="310B3A83"/>
    <w:rsid w:val="310B75DF"/>
    <w:rsid w:val="311C17EC"/>
    <w:rsid w:val="312A215B"/>
    <w:rsid w:val="31344D88"/>
    <w:rsid w:val="31398064"/>
    <w:rsid w:val="313E5C07"/>
    <w:rsid w:val="315FACF4"/>
    <w:rsid w:val="3160F639"/>
    <w:rsid w:val="3174DF0B"/>
    <w:rsid w:val="317A6513"/>
    <w:rsid w:val="31B46C3B"/>
    <w:rsid w:val="31B910FE"/>
    <w:rsid w:val="31C00D28"/>
    <w:rsid w:val="31C61758"/>
    <w:rsid w:val="31C73FAC"/>
    <w:rsid w:val="31CD6F8B"/>
    <w:rsid w:val="31E87920"/>
    <w:rsid w:val="31FB42D0"/>
    <w:rsid w:val="320E382B"/>
    <w:rsid w:val="323E39E4"/>
    <w:rsid w:val="32671761"/>
    <w:rsid w:val="3275F9F6"/>
    <w:rsid w:val="32BF89A7"/>
    <w:rsid w:val="32C428BB"/>
    <w:rsid w:val="32C8B53C"/>
    <w:rsid w:val="32DF532B"/>
    <w:rsid w:val="32EAC359"/>
    <w:rsid w:val="32FA5B5D"/>
    <w:rsid w:val="3318A1D2"/>
    <w:rsid w:val="33221DC3"/>
    <w:rsid w:val="3324C922"/>
    <w:rsid w:val="333F17C2"/>
    <w:rsid w:val="33423060"/>
    <w:rsid w:val="334F40FB"/>
    <w:rsid w:val="33581BE0"/>
    <w:rsid w:val="336B25B7"/>
    <w:rsid w:val="338CB7A5"/>
    <w:rsid w:val="339AA5EB"/>
    <w:rsid w:val="33ACEC2A"/>
    <w:rsid w:val="33B158EA"/>
    <w:rsid w:val="33B64C37"/>
    <w:rsid w:val="33C57F19"/>
    <w:rsid w:val="33DF00AA"/>
    <w:rsid w:val="33E83C08"/>
    <w:rsid w:val="33F26834"/>
    <w:rsid w:val="33F2D56B"/>
    <w:rsid w:val="34131C81"/>
    <w:rsid w:val="341444C6"/>
    <w:rsid w:val="342039ED"/>
    <w:rsid w:val="342310E4"/>
    <w:rsid w:val="34372D47"/>
    <w:rsid w:val="344C23E9"/>
    <w:rsid w:val="345A7081"/>
    <w:rsid w:val="3460040C"/>
    <w:rsid w:val="3465AE4A"/>
    <w:rsid w:val="34791F64"/>
    <w:rsid w:val="3493188D"/>
    <w:rsid w:val="34AC5582"/>
    <w:rsid w:val="34B85CD0"/>
    <w:rsid w:val="34BB08C4"/>
    <w:rsid w:val="34CF53FE"/>
    <w:rsid w:val="3505BA74"/>
    <w:rsid w:val="352B0516"/>
    <w:rsid w:val="352D993E"/>
    <w:rsid w:val="35352E7D"/>
    <w:rsid w:val="3585CD91"/>
    <w:rsid w:val="358CA6A8"/>
    <w:rsid w:val="359D0A22"/>
    <w:rsid w:val="35A20544"/>
    <w:rsid w:val="35AD2521"/>
    <w:rsid w:val="35B20971"/>
    <w:rsid w:val="35B77D36"/>
    <w:rsid w:val="35CCEAFE"/>
    <w:rsid w:val="35D29ADA"/>
    <w:rsid w:val="35FF759B"/>
    <w:rsid w:val="36062A6B"/>
    <w:rsid w:val="360C4761"/>
    <w:rsid w:val="362F3D70"/>
    <w:rsid w:val="363D4937"/>
    <w:rsid w:val="364F7F6E"/>
    <w:rsid w:val="36511F38"/>
    <w:rsid w:val="36525CB0"/>
    <w:rsid w:val="36535108"/>
    <w:rsid w:val="365B4B65"/>
    <w:rsid w:val="36637EBD"/>
    <w:rsid w:val="366A405C"/>
    <w:rsid w:val="36721EAF"/>
    <w:rsid w:val="3674BB41"/>
    <w:rsid w:val="3686349D"/>
    <w:rsid w:val="368A3ACE"/>
    <w:rsid w:val="36941E25"/>
    <w:rsid w:val="369915A3"/>
    <w:rsid w:val="36A4650C"/>
    <w:rsid w:val="36CEF6DB"/>
    <w:rsid w:val="36D35628"/>
    <w:rsid w:val="36D36DF1"/>
    <w:rsid w:val="36D6BD5C"/>
    <w:rsid w:val="36E25526"/>
    <w:rsid w:val="36EA5EE9"/>
    <w:rsid w:val="370266A6"/>
    <w:rsid w:val="371433B0"/>
    <w:rsid w:val="3735E4C3"/>
    <w:rsid w:val="37362EDC"/>
    <w:rsid w:val="3739D491"/>
    <w:rsid w:val="37712166"/>
    <w:rsid w:val="37922266"/>
    <w:rsid w:val="379460F7"/>
    <w:rsid w:val="379F4922"/>
    <w:rsid w:val="37A367C3"/>
    <w:rsid w:val="37B21A3B"/>
    <w:rsid w:val="37B9A5C9"/>
    <w:rsid w:val="37C93D50"/>
    <w:rsid w:val="37CD3840"/>
    <w:rsid w:val="37E215BD"/>
    <w:rsid w:val="37EB6F9F"/>
    <w:rsid w:val="37FA215C"/>
    <w:rsid w:val="380D1E8F"/>
    <w:rsid w:val="381BC8F9"/>
    <w:rsid w:val="381EB438"/>
    <w:rsid w:val="3824B8D3"/>
    <w:rsid w:val="38551606"/>
    <w:rsid w:val="38591578"/>
    <w:rsid w:val="38624F06"/>
    <w:rsid w:val="388D1185"/>
    <w:rsid w:val="38CD0F8C"/>
    <w:rsid w:val="38D91BBF"/>
    <w:rsid w:val="39227BBC"/>
    <w:rsid w:val="3922A1ED"/>
    <w:rsid w:val="392A218F"/>
    <w:rsid w:val="393500E5"/>
    <w:rsid w:val="397677C0"/>
    <w:rsid w:val="397B72CC"/>
    <w:rsid w:val="397C2EA6"/>
    <w:rsid w:val="39974106"/>
    <w:rsid w:val="39A22AAB"/>
    <w:rsid w:val="39B70F30"/>
    <w:rsid w:val="39BFACE2"/>
    <w:rsid w:val="39C66799"/>
    <w:rsid w:val="39CA3AAC"/>
    <w:rsid w:val="39DA036C"/>
    <w:rsid w:val="39F8C906"/>
    <w:rsid w:val="3A0EA2D4"/>
    <w:rsid w:val="3A240198"/>
    <w:rsid w:val="3A3000B7"/>
    <w:rsid w:val="3A59771B"/>
    <w:rsid w:val="3A6B7341"/>
    <w:rsid w:val="3A701F18"/>
    <w:rsid w:val="3A824DB6"/>
    <w:rsid w:val="3A8723CC"/>
    <w:rsid w:val="3A87397B"/>
    <w:rsid w:val="3A8F5986"/>
    <w:rsid w:val="3AAD1707"/>
    <w:rsid w:val="3AB6090C"/>
    <w:rsid w:val="3ABE1B66"/>
    <w:rsid w:val="3AD60C5E"/>
    <w:rsid w:val="3AD924FC"/>
    <w:rsid w:val="3AD969A0"/>
    <w:rsid w:val="3AEC9E91"/>
    <w:rsid w:val="3B070E17"/>
    <w:rsid w:val="3B0A6B5A"/>
    <w:rsid w:val="3B0F5F1E"/>
    <w:rsid w:val="3B16A2D5"/>
    <w:rsid w:val="3B1E43B3"/>
    <w:rsid w:val="3B2319C9"/>
    <w:rsid w:val="3B3B6D13"/>
    <w:rsid w:val="3B4E14F1"/>
    <w:rsid w:val="3B581235"/>
    <w:rsid w:val="3B5A188F"/>
    <w:rsid w:val="3B602D19"/>
    <w:rsid w:val="3B7D8DB5"/>
    <w:rsid w:val="3B871F58"/>
    <w:rsid w:val="3B991508"/>
    <w:rsid w:val="3B9A612F"/>
    <w:rsid w:val="3B9B4DA6"/>
    <w:rsid w:val="3B9FB460"/>
    <w:rsid w:val="3BA24C01"/>
    <w:rsid w:val="3BD0AE8D"/>
    <w:rsid w:val="3BF61B3B"/>
    <w:rsid w:val="3BF95812"/>
    <w:rsid w:val="3C0121B4"/>
    <w:rsid w:val="3C2F4ACA"/>
    <w:rsid w:val="3C4B99AE"/>
    <w:rsid w:val="3C4D2817"/>
    <w:rsid w:val="3C51188E"/>
    <w:rsid w:val="3C558DDB"/>
    <w:rsid w:val="3C770EB3"/>
    <w:rsid w:val="3C797AF3"/>
    <w:rsid w:val="3C7A0BBA"/>
    <w:rsid w:val="3C8B7CC0"/>
    <w:rsid w:val="3C8BD259"/>
    <w:rsid w:val="3C9D34C5"/>
    <w:rsid w:val="3C9E4594"/>
    <w:rsid w:val="3CB925E5"/>
    <w:rsid w:val="3CBA010B"/>
    <w:rsid w:val="3CD411CD"/>
    <w:rsid w:val="3CDB07AE"/>
    <w:rsid w:val="3CDEF025"/>
    <w:rsid w:val="3D1B4F89"/>
    <w:rsid w:val="3D235CB1"/>
    <w:rsid w:val="3D267363"/>
    <w:rsid w:val="3D393726"/>
    <w:rsid w:val="3D3954D4"/>
    <w:rsid w:val="3D47CF79"/>
    <w:rsid w:val="3D67253D"/>
    <w:rsid w:val="3D98044D"/>
    <w:rsid w:val="3DA52B6A"/>
    <w:rsid w:val="3DD8490A"/>
    <w:rsid w:val="3DDD0555"/>
    <w:rsid w:val="3DEC67A1"/>
    <w:rsid w:val="3DEE2762"/>
    <w:rsid w:val="3E076330"/>
    <w:rsid w:val="3E586EF8"/>
    <w:rsid w:val="3E6B3DB3"/>
    <w:rsid w:val="3E854E75"/>
    <w:rsid w:val="3E927592"/>
    <w:rsid w:val="3EA370A9"/>
    <w:rsid w:val="3EF36B45"/>
    <w:rsid w:val="3F061795"/>
    <w:rsid w:val="3F1F5EE1"/>
    <w:rsid w:val="3F32436B"/>
    <w:rsid w:val="3F3642B3"/>
    <w:rsid w:val="3F4D5267"/>
    <w:rsid w:val="3F587A57"/>
    <w:rsid w:val="3F6674B7"/>
    <w:rsid w:val="3F85D1A8"/>
    <w:rsid w:val="3F934397"/>
    <w:rsid w:val="3FAC6431"/>
    <w:rsid w:val="3FDD483D"/>
    <w:rsid w:val="3FE47979"/>
    <w:rsid w:val="3FF73E65"/>
    <w:rsid w:val="3FFC1167"/>
    <w:rsid w:val="400A6AF9"/>
    <w:rsid w:val="400E49F6"/>
    <w:rsid w:val="40161AFD"/>
    <w:rsid w:val="401F6C03"/>
    <w:rsid w:val="402D52C6"/>
    <w:rsid w:val="40387CC5"/>
    <w:rsid w:val="40392451"/>
    <w:rsid w:val="4049101F"/>
    <w:rsid w:val="404B5C4A"/>
    <w:rsid w:val="4052368F"/>
    <w:rsid w:val="4061546E"/>
    <w:rsid w:val="406311E6"/>
    <w:rsid w:val="406B009A"/>
    <w:rsid w:val="40AFB228"/>
    <w:rsid w:val="40C1415E"/>
    <w:rsid w:val="40D914A8"/>
    <w:rsid w:val="40E162AC"/>
    <w:rsid w:val="40E2942B"/>
    <w:rsid w:val="40FB916A"/>
    <w:rsid w:val="40FF230D"/>
    <w:rsid w:val="410B7441"/>
    <w:rsid w:val="410C5AAF"/>
    <w:rsid w:val="41126768"/>
    <w:rsid w:val="414447B0"/>
    <w:rsid w:val="4145C83E"/>
    <w:rsid w:val="414920A4"/>
    <w:rsid w:val="415D3E87"/>
    <w:rsid w:val="41670862"/>
    <w:rsid w:val="41840DF3"/>
    <w:rsid w:val="418F6A88"/>
    <w:rsid w:val="4190749C"/>
    <w:rsid w:val="41A970CC"/>
    <w:rsid w:val="41B0FE0E"/>
    <w:rsid w:val="41CE268F"/>
    <w:rsid w:val="41D225ED"/>
    <w:rsid w:val="41DD4E00"/>
    <w:rsid w:val="41E9C847"/>
    <w:rsid w:val="41EA64F4"/>
    <w:rsid w:val="41F9656E"/>
    <w:rsid w:val="41FF0A9A"/>
    <w:rsid w:val="420933DF"/>
    <w:rsid w:val="42186000"/>
    <w:rsid w:val="421FCCC8"/>
    <w:rsid w:val="42336996"/>
    <w:rsid w:val="42445376"/>
    <w:rsid w:val="42639CDC"/>
    <w:rsid w:val="429AC90A"/>
    <w:rsid w:val="429F1C2F"/>
    <w:rsid w:val="42A0421D"/>
    <w:rsid w:val="42B51C7D"/>
    <w:rsid w:val="42BF022A"/>
    <w:rsid w:val="42CCA765"/>
    <w:rsid w:val="42D737C5"/>
    <w:rsid w:val="42D80279"/>
    <w:rsid w:val="42E1FD84"/>
    <w:rsid w:val="42E218B9"/>
    <w:rsid w:val="42F02AD9"/>
    <w:rsid w:val="430B16C1"/>
    <w:rsid w:val="430E2DB4"/>
    <w:rsid w:val="432A1526"/>
    <w:rsid w:val="436112E1"/>
    <w:rsid w:val="436820EB"/>
    <w:rsid w:val="439D4C58"/>
    <w:rsid w:val="43A49451"/>
    <w:rsid w:val="43AB4E3C"/>
    <w:rsid w:val="43C53F65"/>
    <w:rsid w:val="43F45D3F"/>
    <w:rsid w:val="44095C00"/>
    <w:rsid w:val="4436535B"/>
    <w:rsid w:val="443A7E1E"/>
    <w:rsid w:val="444B349E"/>
    <w:rsid w:val="444C3D3F"/>
    <w:rsid w:val="44670B79"/>
    <w:rsid w:val="447137A5"/>
    <w:rsid w:val="447FB97B"/>
    <w:rsid w:val="448EBF86"/>
    <w:rsid w:val="44B33DBE"/>
    <w:rsid w:val="44BEC142"/>
    <w:rsid w:val="44C65831"/>
    <w:rsid w:val="44FB196C"/>
    <w:rsid w:val="44FCD837"/>
    <w:rsid w:val="44FD328B"/>
    <w:rsid w:val="450B00CD"/>
    <w:rsid w:val="4518311E"/>
    <w:rsid w:val="452AAD1D"/>
    <w:rsid w:val="454B919B"/>
    <w:rsid w:val="455BFA5A"/>
    <w:rsid w:val="45625C20"/>
    <w:rsid w:val="456559EB"/>
    <w:rsid w:val="456F8EA9"/>
    <w:rsid w:val="457D7FF6"/>
    <w:rsid w:val="458CFCB1"/>
    <w:rsid w:val="45ABE7E6"/>
    <w:rsid w:val="45BA2EE8"/>
    <w:rsid w:val="45C269AF"/>
    <w:rsid w:val="45C50F28"/>
    <w:rsid w:val="45F26615"/>
    <w:rsid w:val="45F39523"/>
    <w:rsid w:val="45F3C401"/>
    <w:rsid w:val="4628336E"/>
    <w:rsid w:val="463118C0"/>
    <w:rsid w:val="46313BA0"/>
    <w:rsid w:val="465669B8"/>
    <w:rsid w:val="46582E6F"/>
    <w:rsid w:val="465B295F"/>
    <w:rsid w:val="46785978"/>
    <w:rsid w:val="468E063F"/>
    <w:rsid w:val="468F124D"/>
    <w:rsid w:val="46B424A8"/>
    <w:rsid w:val="46E29E5C"/>
    <w:rsid w:val="46E552C3"/>
    <w:rsid w:val="46E6ED21"/>
    <w:rsid w:val="46E83E3E"/>
    <w:rsid w:val="46ED7A5B"/>
    <w:rsid w:val="473B05D7"/>
    <w:rsid w:val="4760651F"/>
    <w:rsid w:val="4763C007"/>
    <w:rsid w:val="476A2E5A"/>
    <w:rsid w:val="478A7A23"/>
    <w:rsid w:val="47AD2D46"/>
    <w:rsid w:val="47B023F1"/>
    <w:rsid w:val="47B10A89"/>
    <w:rsid w:val="47B5EE0C"/>
    <w:rsid w:val="47BF4032"/>
    <w:rsid w:val="47C29C76"/>
    <w:rsid w:val="47CA56A6"/>
    <w:rsid w:val="47D14C87"/>
    <w:rsid w:val="47D657CA"/>
    <w:rsid w:val="47E2E275"/>
    <w:rsid w:val="47ED1F8D"/>
    <w:rsid w:val="47ED7585"/>
    <w:rsid w:val="47F92430"/>
    <w:rsid w:val="4800556C"/>
    <w:rsid w:val="482A392B"/>
    <w:rsid w:val="482A6BF1"/>
    <w:rsid w:val="483D40CA"/>
    <w:rsid w:val="483E4B06"/>
    <w:rsid w:val="485048A9"/>
    <w:rsid w:val="48752AE6"/>
    <w:rsid w:val="48808899"/>
    <w:rsid w:val="48816CAD"/>
    <w:rsid w:val="489F4D85"/>
    <w:rsid w:val="48AC2FFE"/>
    <w:rsid w:val="48ADC249"/>
    <w:rsid w:val="48B14AB8"/>
    <w:rsid w:val="48F73043"/>
    <w:rsid w:val="491C6302"/>
    <w:rsid w:val="491F5EC6"/>
    <w:rsid w:val="492C6E96"/>
    <w:rsid w:val="493B0490"/>
    <w:rsid w:val="494C26D0"/>
    <w:rsid w:val="49560C00"/>
    <w:rsid w:val="4968161B"/>
    <w:rsid w:val="496CD3A2"/>
    <w:rsid w:val="4980102D"/>
    <w:rsid w:val="49804BB7"/>
    <w:rsid w:val="49957F36"/>
    <w:rsid w:val="499F91D2"/>
    <w:rsid w:val="49A8BE05"/>
    <w:rsid w:val="49B26D3A"/>
    <w:rsid w:val="49CF169A"/>
    <w:rsid w:val="49DB1DED"/>
    <w:rsid w:val="49FC73C2"/>
    <w:rsid w:val="4A118093"/>
    <w:rsid w:val="4A1B043B"/>
    <w:rsid w:val="4A5676C5"/>
    <w:rsid w:val="4A99BD44"/>
    <w:rsid w:val="4A9D656C"/>
    <w:rsid w:val="4A9E474B"/>
    <w:rsid w:val="4AD0B350"/>
    <w:rsid w:val="4B103D18"/>
    <w:rsid w:val="4B266E05"/>
    <w:rsid w:val="4B3A0D95"/>
    <w:rsid w:val="4B451007"/>
    <w:rsid w:val="4B5736F5"/>
    <w:rsid w:val="4B7F49FA"/>
    <w:rsid w:val="4B8244EA"/>
    <w:rsid w:val="4B916CD0"/>
    <w:rsid w:val="4B985ABC"/>
    <w:rsid w:val="4BA2E59D"/>
    <w:rsid w:val="4BA7A592"/>
    <w:rsid w:val="4BA888B3"/>
    <w:rsid w:val="4BB5666E"/>
    <w:rsid w:val="4BB74194"/>
    <w:rsid w:val="4BBA3A1D"/>
    <w:rsid w:val="4BEEEC24"/>
    <w:rsid w:val="4BF067E6"/>
    <w:rsid w:val="4C2537F3"/>
    <w:rsid w:val="4C2F01CE"/>
    <w:rsid w:val="4C39104D"/>
    <w:rsid w:val="4C4A5008"/>
    <w:rsid w:val="4C854292"/>
    <w:rsid w:val="4C9F1BDD"/>
    <w:rsid w:val="4CA010CC"/>
    <w:rsid w:val="4CAB2586"/>
    <w:rsid w:val="4CE85118"/>
    <w:rsid w:val="4CFC0CE8"/>
    <w:rsid w:val="4CFE5DF2"/>
    <w:rsid w:val="4D0478AD"/>
    <w:rsid w:val="4D070598"/>
    <w:rsid w:val="4D07114B"/>
    <w:rsid w:val="4D1E7B13"/>
    <w:rsid w:val="4D29156C"/>
    <w:rsid w:val="4D323A26"/>
    <w:rsid w:val="4D495F34"/>
    <w:rsid w:val="4D510618"/>
    <w:rsid w:val="4D6A4AA6"/>
    <w:rsid w:val="4D7A36CB"/>
    <w:rsid w:val="4D9C5D37"/>
    <w:rsid w:val="4DA60964"/>
    <w:rsid w:val="4DD125C6"/>
    <w:rsid w:val="4DDC25D7"/>
    <w:rsid w:val="4DE369AB"/>
    <w:rsid w:val="4DF380D3"/>
    <w:rsid w:val="4E00F41F"/>
    <w:rsid w:val="4E1C4782"/>
    <w:rsid w:val="4E1E674C"/>
    <w:rsid w:val="4E233D62"/>
    <w:rsid w:val="4E2D2168"/>
    <w:rsid w:val="4E614A60"/>
    <w:rsid w:val="4E7D7917"/>
    <w:rsid w:val="4E86609F"/>
    <w:rsid w:val="4E901449"/>
    <w:rsid w:val="4ECF7A46"/>
    <w:rsid w:val="4ED7931B"/>
    <w:rsid w:val="4EDE7C89"/>
    <w:rsid w:val="4EE47996"/>
    <w:rsid w:val="4EF456FF"/>
    <w:rsid w:val="4F215ECC"/>
    <w:rsid w:val="4F271630"/>
    <w:rsid w:val="4F2D446F"/>
    <w:rsid w:val="4F3A13CF"/>
    <w:rsid w:val="4F4B1FCF"/>
    <w:rsid w:val="4F4C1097"/>
    <w:rsid w:val="4F5C7A83"/>
    <w:rsid w:val="4FA7A6A9"/>
    <w:rsid w:val="4FA927A2"/>
    <w:rsid w:val="4FAF7F57"/>
    <w:rsid w:val="4FC7696F"/>
    <w:rsid w:val="4FC9F075"/>
    <w:rsid w:val="4FCE41A2"/>
    <w:rsid w:val="5001D583"/>
    <w:rsid w:val="500C000E"/>
    <w:rsid w:val="502758BA"/>
    <w:rsid w:val="50303DB1"/>
    <w:rsid w:val="504E5E16"/>
    <w:rsid w:val="50655027"/>
    <w:rsid w:val="506F4906"/>
    <w:rsid w:val="50940F47"/>
    <w:rsid w:val="5094E795"/>
    <w:rsid w:val="50B17EAF"/>
    <w:rsid w:val="50BBB37D"/>
    <w:rsid w:val="50D338CD"/>
    <w:rsid w:val="51137A93"/>
    <w:rsid w:val="5116BCB9"/>
    <w:rsid w:val="51292DD8"/>
    <w:rsid w:val="51335C6F"/>
    <w:rsid w:val="51396482"/>
    <w:rsid w:val="513D513B"/>
    <w:rsid w:val="5157ECE4"/>
    <w:rsid w:val="515D3A2F"/>
    <w:rsid w:val="516B43BA"/>
    <w:rsid w:val="51752B27"/>
    <w:rsid w:val="519B78A3"/>
    <w:rsid w:val="51AE6039"/>
    <w:rsid w:val="51D5706F"/>
    <w:rsid w:val="51E48551"/>
    <w:rsid w:val="51E50FC0"/>
    <w:rsid w:val="51E7419D"/>
    <w:rsid w:val="51FCF51B"/>
    <w:rsid w:val="51FF0643"/>
    <w:rsid w:val="52151C14"/>
    <w:rsid w:val="5217598C"/>
    <w:rsid w:val="5248EA6E"/>
    <w:rsid w:val="52505342"/>
    <w:rsid w:val="5271845C"/>
    <w:rsid w:val="52800826"/>
    <w:rsid w:val="52833022"/>
    <w:rsid w:val="528842CF"/>
    <w:rsid w:val="52903990"/>
    <w:rsid w:val="529A1930"/>
    <w:rsid w:val="52AA4777"/>
    <w:rsid w:val="52AA4A52"/>
    <w:rsid w:val="52B80C31"/>
    <w:rsid w:val="52C47B0A"/>
    <w:rsid w:val="52C973EB"/>
    <w:rsid w:val="52CF270B"/>
    <w:rsid w:val="52DB2E5E"/>
    <w:rsid w:val="52E889DA"/>
    <w:rsid w:val="52EF4B5B"/>
    <w:rsid w:val="52F57E63"/>
    <w:rsid w:val="52F5D659"/>
    <w:rsid w:val="52FC2B75"/>
    <w:rsid w:val="52FEC410"/>
    <w:rsid w:val="530BACC8"/>
    <w:rsid w:val="530FB3A3"/>
    <w:rsid w:val="531A5551"/>
    <w:rsid w:val="53225869"/>
    <w:rsid w:val="532A32AA"/>
    <w:rsid w:val="533E275B"/>
    <w:rsid w:val="535A4FAE"/>
    <w:rsid w:val="535ACB9E"/>
    <w:rsid w:val="5361E60B"/>
    <w:rsid w:val="536727A8"/>
    <w:rsid w:val="536E7C31"/>
    <w:rsid w:val="536FC031"/>
    <w:rsid w:val="537AB325"/>
    <w:rsid w:val="53800314"/>
    <w:rsid w:val="53A92F5C"/>
    <w:rsid w:val="53AE40CE"/>
    <w:rsid w:val="53B0657E"/>
    <w:rsid w:val="53BB67EB"/>
    <w:rsid w:val="53C2401E"/>
    <w:rsid w:val="53E93358"/>
    <w:rsid w:val="53F1247A"/>
    <w:rsid w:val="53F567EF"/>
    <w:rsid w:val="540168F4"/>
    <w:rsid w:val="540A2166"/>
    <w:rsid w:val="54113A5D"/>
    <w:rsid w:val="5414358B"/>
    <w:rsid w:val="541B2372"/>
    <w:rsid w:val="54315C6C"/>
    <w:rsid w:val="54334CDD"/>
    <w:rsid w:val="544279E8"/>
    <w:rsid w:val="544B4013"/>
    <w:rsid w:val="544D7D8B"/>
    <w:rsid w:val="546926EB"/>
    <w:rsid w:val="549D1AB7"/>
    <w:rsid w:val="54AF522D"/>
    <w:rsid w:val="54C77143"/>
    <w:rsid w:val="54DB9744"/>
    <w:rsid w:val="54EC978C"/>
    <w:rsid w:val="54FB0EE3"/>
    <w:rsid w:val="550146D2"/>
    <w:rsid w:val="55057422"/>
    <w:rsid w:val="55115153"/>
    <w:rsid w:val="551C7B3F"/>
    <w:rsid w:val="55252FED"/>
    <w:rsid w:val="55282D9C"/>
    <w:rsid w:val="5581B7B4"/>
    <w:rsid w:val="55821CB6"/>
    <w:rsid w:val="558F6181"/>
    <w:rsid w:val="55964AA5"/>
    <w:rsid w:val="559C38EE"/>
    <w:rsid w:val="55A12F8A"/>
    <w:rsid w:val="55B87486"/>
    <w:rsid w:val="55C066A5"/>
    <w:rsid w:val="55CE2806"/>
    <w:rsid w:val="55DB3175"/>
    <w:rsid w:val="55DD6EF7"/>
    <w:rsid w:val="5611E96A"/>
    <w:rsid w:val="5613290E"/>
    <w:rsid w:val="561D5ED7"/>
    <w:rsid w:val="56244B1C"/>
    <w:rsid w:val="563D798B"/>
    <w:rsid w:val="56462F64"/>
    <w:rsid w:val="56464A92"/>
    <w:rsid w:val="5656B49A"/>
    <w:rsid w:val="567535C9"/>
    <w:rsid w:val="56A47A0A"/>
    <w:rsid w:val="56BEC7C9"/>
    <w:rsid w:val="56C136C0"/>
    <w:rsid w:val="56CD4634"/>
    <w:rsid w:val="56DE4CCA"/>
    <w:rsid w:val="56E65E5D"/>
    <w:rsid w:val="57054A71"/>
    <w:rsid w:val="5707F6E9"/>
    <w:rsid w:val="5735749E"/>
    <w:rsid w:val="57362D58"/>
    <w:rsid w:val="574638C7"/>
    <w:rsid w:val="576304EE"/>
    <w:rsid w:val="577237CD"/>
    <w:rsid w:val="577613A7"/>
    <w:rsid w:val="5778CB88"/>
    <w:rsid w:val="57882C54"/>
    <w:rsid w:val="57B157B9"/>
    <w:rsid w:val="57B7A60C"/>
    <w:rsid w:val="57C5F796"/>
    <w:rsid w:val="57CC2B05"/>
    <w:rsid w:val="57D9529B"/>
    <w:rsid w:val="57EC07E5"/>
    <w:rsid w:val="57EC1669"/>
    <w:rsid w:val="58127FC7"/>
    <w:rsid w:val="582F1556"/>
    <w:rsid w:val="5838305E"/>
    <w:rsid w:val="583D3927"/>
    <w:rsid w:val="5840A72B"/>
    <w:rsid w:val="58692CBA"/>
    <w:rsid w:val="586B533D"/>
    <w:rsid w:val="5883EB7B"/>
    <w:rsid w:val="58CE0D6F"/>
    <w:rsid w:val="58D1D4CF"/>
    <w:rsid w:val="58D345D7"/>
    <w:rsid w:val="58D39813"/>
    <w:rsid w:val="58E14F46"/>
    <w:rsid w:val="59002D7E"/>
    <w:rsid w:val="590B1FC3"/>
    <w:rsid w:val="59205A6E"/>
    <w:rsid w:val="59205ADF"/>
    <w:rsid w:val="59396C06"/>
    <w:rsid w:val="596040BD"/>
    <w:rsid w:val="59620CDE"/>
    <w:rsid w:val="596D2272"/>
    <w:rsid w:val="59744B66"/>
    <w:rsid w:val="5977082F"/>
    <w:rsid w:val="59A267A3"/>
    <w:rsid w:val="59AC71F6"/>
    <w:rsid w:val="59AC9E52"/>
    <w:rsid w:val="59B94E92"/>
    <w:rsid w:val="59C252C9"/>
    <w:rsid w:val="59E06FAB"/>
    <w:rsid w:val="59E344D7"/>
    <w:rsid w:val="5A054C64"/>
    <w:rsid w:val="5A454C42"/>
    <w:rsid w:val="5A4E7652"/>
    <w:rsid w:val="5A59E5F5"/>
    <w:rsid w:val="5ADA76C1"/>
    <w:rsid w:val="5AE30B44"/>
    <w:rsid w:val="5AEC730C"/>
    <w:rsid w:val="5AF16BB1"/>
    <w:rsid w:val="5B185030"/>
    <w:rsid w:val="5B1E7D8B"/>
    <w:rsid w:val="5B2A70B5"/>
    <w:rsid w:val="5B2B0AD7"/>
    <w:rsid w:val="5B2C80FB"/>
    <w:rsid w:val="5B3C46B5"/>
    <w:rsid w:val="5B4377F2"/>
    <w:rsid w:val="5B599B0B"/>
    <w:rsid w:val="5B75108D"/>
    <w:rsid w:val="5B9444F1"/>
    <w:rsid w:val="5B9A29E5"/>
    <w:rsid w:val="5BAECF45"/>
    <w:rsid w:val="5BB3227C"/>
    <w:rsid w:val="5BD1470C"/>
    <w:rsid w:val="5BE7E1C1"/>
    <w:rsid w:val="5BEC1C38"/>
    <w:rsid w:val="5BF54F5F"/>
    <w:rsid w:val="5C0C8ACE"/>
    <w:rsid w:val="5C2F421A"/>
    <w:rsid w:val="5C2F7D76"/>
    <w:rsid w:val="5C3E7FB9"/>
    <w:rsid w:val="5C425CFC"/>
    <w:rsid w:val="5C4EC81B"/>
    <w:rsid w:val="5C4F2788"/>
    <w:rsid w:val="5C53337C"/>
    <w:rsid w:val="5C5A507F"/>
    <w:rsid w:val="5C6220C0"/>
    <w:rsid w:val="5C8C341B"/>
    <w:rsid w:val="5C9F4EFC"/>
    <w:rsid w:val="5CA40764"/>
    <w:rsid w:val="5CB87D6C"/>
    <w:rsid w:val="5CB92EFC"/>
    <w:rsid w:val="5CC71986"/>
    <w:rsid w:val="5CD52FB8"/>
    <w:rsid w:val="5D0610AF"/>
    <w:rsid w:val="5D0A1E63"/>
    <w:rsid w:val="5D13436C"/>
    <w:rsid w:val="5D3AED49"/>
    <w:rsid w:val="5D3C6BEF"/>
    <w:rsid w:val="5D443CF5"/>
    <w:rsid w:val="5D45E1FC"/>
    <w:rsid w:val="5D637323"/>
    <w:rsid w:val="5D7A41D7"/>
    <w:rsid w:val="5D7F0FB0"/>
    <w:rsid w:val="5D87BE30"/>
    <w:rsid w:val="5DA327CA"/>
    <w:rsid w:val="5DA54409"/>
    <w:rsid w:val="5DA87DE0"/>
    <w:rsid w:val="5DAE2357"/>
    <w:rsid w:val="5DCC7E83"/>
    <w:rsid w:val="5DCD7847"/>
    <w:rsid w:val="5DE0757A"/>
    <w:rsid w:val="5DE1B759"/>
    <w:rsid w:val="5DE93A59"/>
    <w:rsid w:val="5DF0E6CD"/>
    <w:rsid w:val="5E1727EB"/>
    <w:rsid w:val="5E1B9EF4"/>
    <w:rsid w:val="5E2A6A47"/>
    <w:rsid w:val="5E370719"/>
    <w:rsid w:val="5E391380"/>
    <w:rsid w:val="5E394EDC"/>
    <w:rsid w:val="5E3E0745"/>
    <w:rsid w:val="5E431D24"/>
    <w:rsid w:val="5E457D25"/>
    <w:rsid w:val="5E477C89"/>
    <w:rsid w:val="5E59732C"/>
    <w:rsid w:val="5E8941DA"/>
    <w:rsid w:val="5E8F7F09"/>
    <w:rsid w:val="5E965E69"/>
    <w:rsid w:val="5EAA217C"/>
    <w:rsid w:val="5EACC389"/>
    <w:rsid w:val="5EAD0A77"/>
    <w:rsid w:val="5EB84053"/>
    <w:rsid w:val="5EC073AC"/>
    <w:rsid w:val="5ED036A8"/>
    <w:rsid w:val="5EE017FC"/>
    <w:rsid w:val="5EE94B54"/>
    <w:rsid w:val="5EF031D1"/>
    <w:rsid w:val="5EF1333D"/>
    <w:rsid w:val="5F475654"/>
    <w:rsid w:val="5F4D2386"/>
    <w:rsid w:val="5F553F98"/>
    <w:rsid w:val="5F8613F6"/>
    <w:rsid w:val="5F8A1E93"/>
    <w:rsid w:val="5FB011CE"/>
    <w:rsid w:val="5FB07420"/>
    <w:rsid w:val="5FB707AE"/>
    <w:rsid w:val="600B6605"/>
    <w:rsid w:val="601B2AEB"/>
    <w:rsid w:val="6059B2A9"/>
    <w:rsid w:val="606A58CD"/>
    <w:rsid w:val="606E5CC8"/>
    <w:rsid w:val="607E751E"/>
    <w:rsid w:val="6084394F"/>
    <w:rsid w:val="608D9234"/>
    <w:rsid w:val="60A61CB1"/>
    <w:rsid w:val="60AA71AE"/>
    <w:rsid w:val="60B3541A"/>
    <w:rsid w:val="60D1764E"/>
    <w:rsid w:val="61260DF3"/>
    <w:rsid w:val="612C2AD6"/>
    <w:rsid w:val="61572249"/>
    <w:rsid w:val="615838CB"/>
    <w:rsid w:val="616404C2"/>
    <w:rsid w:val="6167237D"/>
    <w:rsid w:val="616D55C9"/>
    <w:rsid w:val="616F5FBD"/>
    <w:rsid w:val="61730B8F"/>
    <w:rsid w:val="61734BA9"/>
    <w:rsid w:val="61779C9A"/>
    <w:rsid w:val="61869DBB"/>
    <w:rsid w:val="6189617B"/>
    <w:rsid w:val="618B3CA1"/>
    <w:rsid w:val="61A46B11"/>
    <w:rsid w:val="61C14E99"/>
    <w:rsid w:val="61D70C94"/>
    <w:rsid w:val="61DA590E"/>
    <w:rsid w:val="61F01D56"/>
    <w:rsid w:val="62188142"/>
    <w:rsid w:val="621E2D67"/>
    <w:rsid w:val="621F43E9"/>
    <w:rsid w:val="624D288F"/>
    <w:rsid w:val="62867EBF"/>
    <w:rsid w:val="62B031DD"/>
    <w:rsid w:val="62B5695C"/>
    <w:rsid w:val="62DF24F6"/>
    <w:rsid w:val="62E215FF"/>
    <w:rsid w:val="62E80C7F"/>
    <w:rsid w:val="62E8593A"/>
    <w:rsid w:val="62FEDF9F"/>
    <w:rsid w:val="630548D3"/>
    <w:rsid w:val="6312476F"/>
    <w:rsid w:val="633A3BD0"/>
    <w:rsid w:val="633C6C72"/>
    <w:rsid w:val="633E4E73"/>
    <w:rsid w:val="6350339F"/>
    <w:rsid w:val="635602DE"/>
    <w:rsid w:val="63568594"/>
    <w:rsid w:val="636EF34B"/>
    <w:rsid w:val="6383CD5D"/>
    <w:rsid w:val="63AC8DA7"/>
    <w:rsid w:val="63BF5E84"/>
    <w:rsid w:val="63C74D38"/>
    <w:rsid w:val="63C92CE2"/>
    <w:rsid w:val="63D336DD"/>
    <w:rsid w:val="63D80CF3"/>
    <w:rsid w:val="63DC5341"/>
    <w:rsid w:val="640D3093"/>
    <w:rsid w:val="642D7291"/>
    <w:rsid w:val="643079FC"/>
    <w:rsid w:val="64425349"/>
    <w:rsid w:val="6454481E"/>
    <w:rsid w:val="6457B30D"/>
    <w:rsid w:val="64885DAE"/>
    <w:rsid w:val="64925346"/>
    <w:rsid w:val="64946341"/>
    <w:rsid w:val="64B11C70"/>
    <w:rsid w:val="64B654D9"/>
    <w:rsid w:val="64C14411"/>
    <w:rsid w:val="64CCC9EB"/>
    <w:rsid w:val="64D21BE7"/>
    <w:rsid w:val="64D679E6"/>
    <w:rsid w:val="64DD4BD5"/>
    <w:rsid w:val="64F186EE"/>
    <w:rsid w:val="64F91E3E"/>
    <w:rsid w:val="65206DF6"/>
    <w:rsid w:val="65314B5F"/>
    <w:rsid w:val="65332685"/>
    <w:rsid w:val="653C1BE8"/>
    <w:rsid w:val="65475601"/>
    <w:rsid w:val="655A2308"/>
    <w:rsid w:val="65613696"/>
    <w:rsid w:val="65652436"/>
    <w:rsid w:val="658683E0"/>
    <w:rsid w:val="65913B38"/>
    <w:rsid w:val="65AB6F91"/>
    <w:rsid w:val="65B01F28"/>
    <w:rsid w:val="65C576B9"/>
    <w:rsid w:val="65D09C8D"/>
    <w:rsid w:val="65D8329F"/>
    <w:rsid w:val="65E25E59"/>
    <w:rsid w:val="65FF2703"/>
    <w:rsid w:val="66081D64"/>
    <w:rsid w:val="66100C18"/>
    <w:rsid w:val="66195D1F"/>
    <w:rsid w:val="66263F98"/>
    <w:rsid w:val="663A5C95"/>
    <w:rsid w:val="664803B2"/>
    <w:rsid w:val="665241A5"/>
    <w:rsid w:val="6653D849"/>
    <w:rsid w:val="66666493"/>
    <w:rsid w:val="666B5E4F"/>
    <w:rsid w:val="66757262"/>
    <w:rsid w:val="66807B4C"/>
    <w:rsid w:val="66A57B39"/>
    <w:rsid w:val="66A8CD28"/>
    <w:rsid w:val="66A97013"/>
    <w:rsid w:val="66AB4B40"/>
    <w:rsid w:val="66B9A56C"/>
    <w:rsid w:val="66E76959"/>
    <w:rsid w:val="66FD73EF"/>
    <w:rsid w:val="66FE3167"/>
    <w:rsid w:val="67073F1C"/>
    <w:rsid w:val="672506F4"/>
    <w:rsid w:val="6733646F"/>
    <w:rsid w:val="67584625"/>
    <w:rsid w:val="6760797E"/>
    <w:rsid w:val="67627252"/>
    <w:rsid w:val="678418BE"/>
    <w:rsid w:val="67910229"/>
    <w:rsid w:val="67C1535E"/>
    <w:rsid w:val="67D22629"/>
    <w:rsid w:val="67D839B8"/>
    <w:rsid w:val="67DC0256"/>
    <w:rsid w:val="67E62250"/>
    <w:rsid w:val="67E901AC"/>
    <w:rsid w:val="67FA56DC"/>
    <w:rsid w:val="6811B48C"/>
    <w:rsid w:val="68210EBB"/>
    <w:rsid w:val="682217E5"/>
    <w:rsid w:val="682E35D8"/>
    <w:rsid w:val="683470C7"/>
    <w:rsid w:val="68420E31"/>
    <w:rsid w:val="68617509"/>
    <w:rsid w:val="689520A9"/>
    <w:rsid w:val="68976698"/>
    <w:rsid w:val="68A0F916"/>
    <w:rsid w:val="68A33F4E"/>
    <w:rsid w:val="68A42B48"/>
    <w:rsid w:val="68D15606"/>
    <w:rsid w:val="68EC771B"/>
    <w:rsid w:val="68ED6FEF"/>
    <w:rsid w:val="68F6059A"/>
    <w:rsid w:val="68FF823F"/>
    <w:rsid w:val="69097BAD"/>
    <w:rsid w:val="6913B960"/>
    <w:rsid w:val="69197DE4"/>
    <w:rsid w:val="691E189E"/>
    <w:rsid w:val="69236CCB"/>
    <w:rsid w:val="69324FDE"/>
    <w:rsid w:val="69398113"/>
    <w:rsid w:val="69566174"/>
    <w:rsid w:val="69635503"/>
    <w:rsid w:val="69655C44"/>
    <w:rsid w:val="69720A4A"/>
    <w:rsid w:val="697B3329"/>
    <w:rsid w:val="69990F25"/>
    <w:rsid w:val="69A2427D"/>
    <w:rsid w:val="69B0575A"/>
    <w:rsid w:val="69B5AA1A"/>
    <w:rsid w:val="69C274FA"/>
    <w:rsid w:val="69C96860"/>
    <w:rsid w:val="69C98484"/>
    <w:rsid w:val="69D02B99"/>
    <w:rsid w:val="69E2865A"/>
    <w:rsid w:val="69E9A28D"/>
    <w:rsid w:val="69F07CD6"/>
    <w:rsid w:val="69F83E9D"/>
    <w:rsid w:val="6A070584"/>
    <w:rsid w:val="6A244C92"/>
    <w:rsid w:val="6A458008"/>
    <w:rsid w:val="6A6432E1"/>
    <w:rsid w:val="6A687275"/>
    <w:rsid w:val="6A7F45BF"/>
    <w:rsid w:val="6A7F636D"/>
    <w:rsid w:val="6A86594D"/>
    <w:rsid w:val="6A9254F2"/>
    <w:rsid w:val="6AA302AD"/>
    <w:rsid w:val="6AA96789"/>
    <w:rsid w:val="6AB97AD1"/>
    <w:rsid w:val="6ABCDD0C"/>
    <w:rsid w:val="6ABE0C43"/>
    <w:rsid w:val="6ABE61FE"/>
    <w:rsid w:val="6AC63AC5"/>
    <w:rsid w:val="6AE82164"/>
    <w:rsid w:val="6B1C5D1F"/>
    <w:rsid w:val="6B2BA115"/>
    <w:rsid w:val="6B3C600C"/>
    <w:rsid w:val="6B5B0B88"/>
    <w:rsid w:val="6B627ADE"/>
    <w:rsid w:val="6B6284DC"/>
    <w:rsid w:val="6B635DF2"/>
    <w:rsid w:val="6B663C4C"/>
    <w:rsid w:val="6B846623"/>
    <w:rsid w:val="6BAE0CB8"/>
    <w:rsid w:val="6BAF4A30"/>
    <w:rsid w:val="6BB67B6C"/>
    <w:rsid w:val="6BD16A2A"/>
    <w:rsid w:val="6C0DC565"/>
    <w:rsid w:val="6C111246"/>
    <w:rsid w:val="6C200AE4"/>
    <w:rsid w:val="6C647510"/>
    <w:rsid w:val="6C6594BE"/>
    <w:rsid w:val="6C6F99DD"/>
    <w:rsid w:val="6CA67BE1"/>
    <w:rsid w:val="6CD209D6"/>
    <w:rsid w:val="6CE10AEB"/>
    <w:rsid w:val="6CE40709"/>
    <w:rsid w:val="6D12171A"/>
    <w:rsid w:val="6D527D69"/>
    <w:rsid w:val="6D587776"/>
    <w:rsid w:val="6D6261FE"/>
    <w:rsid w:val="6D65184A"/>
    <w:rsid w:val="6D655CEE"/>
    <w:rsid w:val="6D680B08"/>
    <w:rsid w:val="6D76027A"/>
    <w:rsid w:val="6D87E2BB"/>
    <w:rsid w:val="6D9A5E6D"/>
    <w:rsid w:val="6DA0219B"/>
    <w:rsid w:val="6DAECF6D"/>
    <w:rsid w:val="6DB477EA"/>
    <w:rsid w:val="6DC1AE02"/>
    <w:rsid w:val="6DD52C34"/>
    <w:rsid w:val="6DE572CC"/>
    <w:rsid w:val="6DE74955"/>
    <w:rsid w:val="6DF17581"/>
    <w:rsid w:val="6DFC1D81"/>
    <w:rsid w:val="6E494CC8"/>
    <w:rsid w:val="6E4F0DA0"/>
    <w:rsid w:val="6E5AB346"/>
    <w:rsid w:val="6E5B54F5"/>
    <w:rsid w:val="6E7A30D3"/>
    <w:rsid w:val="6E8D72AA"/>
    <w:rsid w:val="6E94F6C9"/>
    <w:rsid w:val="6E9C0F62"/>
    <w:rsid w:val="6E9E7DF1"/>
    <w:rsid w:val="6EAD0A61"/>
    <w:rsid w:val="6EB04D47"/>
    <w:rsid w:val="6EB3D309"/>
    <w:rsid w:val="6ECB7DD2"/>
    <w:rsid w:val="6EEA46FD"/>
    <w:rsid w:val="6EED09D3"/>
    <w:rsid w:val="6F00ADF5"/>
    <w:rsid w:val="6F1F3C7A"/>
    <w:rsid w:val="6F347726"/>
    <w:rsid w:val="6F3A4D57"/>
    <w:rsid w:val="6F422876"/>
    <w:rsid w:val="6F771D08"/>
    <w:rsid w:val="6F888C87"/>
    <w:rsid w:val="6FE39524"/>
    <w:rsid w:val="6FE4739E"/>
    <w:rsid w:val="6FEC0000"/>
    <w:rsid w:val="6FF2E321"/>
    <w:rsid w:val="6FF755E9"/>
    <w:rsid w:val="6FFB6495"/>
    <w:rsid w:val="70047CA0"/>
    <w:rsid w:val="70052E70"/>
    <w:rsid w:val="70152730"/>
    <w:rsid w:val="70204E25"/>
    <w:rsid w:val="703379DD"/>
    <w:rsid w:val="70343755"/>
    <w:rsid w:val="70422316"/>
    <w:rsid w:val="7049F08F"/>
    <w:rsid w:val="704D122A"/>
    <w:rsid w:val="704E0CBB"/>
    <w:rsid w:val="705D0EFE"/>
    <w:rsid w:val="70626B2E"/>
    <w:rsid w:val="70761FC0"/>
    <w:rsid w:val="707A385E"/>
    <w:rsid w:val="70A769F1"/>
    <w:rsid w:val="70ACD5D4"/>
    <w:rsid w:val="70B726D1"/>
    <w:rsid w:val="70E231B1"/>
    <w:rsid w:val="70EEF3B3"/>
    <w:rsid w:val="70F52EE5"/>
    <w:rsid w:val="710870BC"/>
    <w:rsid w:val="712D267F"/>
    <w:rsid w:val="713003C1"/>
    <w:rsid w:val="71370849"/>
    <w:rsid w:val="713A4D9B"/>
    <w:rsid w:val="713E3AED"/>
    <w:rsid w:val="714874B8"/>
    <w:rsid w:val="714D4ACF"/>
    <w:rsid w:val="71566079"/>
    <w:rsid w:val="71589AAC"/>
    <w:rsid w:val="71600CA6"/>
    <w:rsid w:val="716322C3"/>
    <w:rsid w:val="71BE6150"/>
    <w:rsid w:val="71E01F4A"/>
    <w:rsid w:val="71EEE530"/>
    <w:rsid w:val="72255A4C"/>
    <w:rsid w:val="7229553C"/>
    <w:rsid w:val="722C5BD9"/>
    <w:rsid w:val="723143F0"/>
    <w:rsid w:val="72395053"/>
    <w:rsid w:val="72460E1D"/>
    <w:rsid w:val="725D2C65"/>
    <w:rsid w:val="727147ED"/>
    <w:rsid w:val="7271ABAE"/>
    <w:rsid w:val="72AC4F7B"/>
    <w:rsid w:val="72B56DCF"/>
    <w:rsid w:val="72D03C09"/>
    <w:rsid w:val="72D07765"/>
    <w:rsid w:val="72E57008"/>
    <w:rsid w:val="72E97069"/>
    <w:rsid w:val="7326933C"/>
    <w:rsid w:val="733C4DFB"/>
    <w:rsid w:val="735136CF"/>
    <w:rsid w:val="736045D1"/>
    <w:rsid w:val="7363E5C4"/>
    <w:rsid w:val="738D38A8"/>
    <w:rsid w:val="739679D2"/>
    <w:rsid w:val="739F189A"/>
    <w:rsid w:val="73A799CF"/>
    <w:rsid w:val="73C9300A"/>
    <w:rsid w:val="73DD4830"/>
    <w:rsid w:val="73F717CD"/>
    <w:rsid w:val="73FC0AC9"/>
    <w:rsid w:val="73FF6BB7"/>
    <w:rsid w:val="743A09A1"/>
    <w:rsid w:val="744D11B3"/>
    <w:rsid w:val="745E5EF4"/>
    <w:rsid w:val="7491B16F"/>
    <w:rsid w:val="74A45575"/>
    <w:rsid w:val="74C2A2CD"/>
    <w:rsid w:val="74DE9684"/>
    <w:rsid w:val="74F811F5"/>
    <w:rsid w:val="7510653F"/>
    <w:rsid w:val="75157FF9"/>
    <w:rsid w:val="7524DBA6"/>
    <w:rsid w:val="7538018A"/>
    <w:rsid w:val="754CB6EF"/>
    <w:rsid w:val="75510906"/>
    <w:rsid w:val="75524DAA"/>
    <w:rsid w:val="756845CD"/>
    <w:rsid w:val="757271FA"/>
    <w:rsid w:val="757E4639"/>
    <w:rsid w:val="759058D2"/>
    <w:rsid w:val="75970A0E"/>
    <w:rsid w:val="759C7DD3"/>
    <w:rsid w:val="75A924F0"/>
    <w:rsid w:val="75AD4839"/>
    <w:rsid w:val="75B96BD7"/>
    <w:rsid w:val="75BE5F9B"/>
    <w:rsid w:val="75C70CE0"/>
    <w:rsid w:val="75EF25F8"/>
    <w:rsid w:val="75FC3E9F"/>
    <w:rsid w:val="761738FD"/>
    <w:rsid w:val="763E9249"/>
    <w:rsid w:val="7654635C"/>
    <w:rsid w:val="7678C467"/>
    <w:rsid w:val="7691BAD0"/>
    <w:rsid w:val="76B33626"/>
    <w:rsid w:val="76C375E1"/>
    <w:rsid w:val="76CF5F86"/>
    <w:rsid w:val="76E99487"/>
    <w:rsid w:val="76F84AFB"/>
    <w:rsid w:val="76FF5ADD"/>
    <w:rsid w:val="77154ADF"/>
    <w:rsid w:val="772C2BCD"/>
    <w:rsid w:val="77622608"/>
    <w:rsid w:val="776566D2"/>
    <w:rsid w:val="776B707C"/>
    <w:rsid w:val="777B57F4"/>
    <w:rsid w:val="778F5FCB"/>
    <w:rsid w:val="77980A6E"/>
    <w:rsid w:val="77AE203F"/>
    <w:rsid w:val="77AE5146"/>
    <w:rsid w:val="77B37656"/>
    <w:rsid w:val="77BC5080"/>
    <w:rsid w:val="77C17FC5"/>
    <w:rsid w:val="77CA50CB"/>
    <w:rsid w:val="77DE2808"/>
    <w:rsid w:val="77DF044B"/>
    <w:rsid w:val="78096FFD"/>
    <w:rsid w:val="78252301"/>
    <w:rsid w:val="78366FE3"/>
    <w:rsid w:val="784A1D68"/>
    <w:rsid w:val="784B588E"/>
    <w:rsid w:val="78682FAA"/>
    <w:rsid w:val="788C2381"/>
    <w:rsid w:val="788FDDDD"/>
    <w:rsid w:val="78943F6D"/>
    <w:rsid w:val="78A432FF"/>
    <w:rsid w:val="78A96AB7"/>
    <w:rsid w:val="78BD69DE"/>
    <w:rsid w:val="78C5FD57"/>
    <w:rsid w:val="78CD6C0A"/>
    <w:rsid w:val="78D3662E"/>
    <w:rsid w:val="78DCB304"/>
    <w:rsid w:val="79033E9F"/>
    <w:rsid w:val="79112886"/>
    <w:rsid w:val="79183EF8"/>
    <w:rsid w:val="791931F1"/>
    <w:rsid w:val="792F71B0"/>
    <w:rsid w:val="793D7B1F"/>
    <w:rsid w:val="79425135"/>
    <w:rsid w:val="795141AE"/>
    <w:rsid w:val="7963AAAE"/>
    <w:rsid w:val="797D7F1B"/>
    <w:rsid w:val="79991375"/>
    <w:rsid w:val="799F7823"/>
    <w:rsid w:val="79A951B4"/>
    <w:rsid w:val="79B3393D"/>
    <w:rsid w:val="79BADD08"/>
    <w:rsid w:val="79C008CD"/>
    <w:rsid w:val="79E61F13"/>
    <w:rsid w:val="79EB03BF"/>
    <w:rsid w:val="79F0693F"/>
    <w:rsid w:val="7A23C5BB"/>
    <w:rsid w:val="7A31D14E"/>
    <w:rsid w:val="7A31FD95"/>
    <w:rsid w:val="7A681139"/>
    <w:rsid w:val="7A81BDB3"/>
    <w:rsid w:val="7A925C48"/>
    <w:rsid w:val="7A97325F"/>
    <w:rsid w:val="7AA0567C"/>
    <w:rsid w:val="7AAA4D40"/>
    <w:rsid w:val="7AAD2A82"/>
    <w:rsid w:val="7ACCDBF3"/>
    <w:rsid w:val="7AD5A961"/>
    <w:rsid w:val="7AD5FBA7"/>
    <w:rsid w:val="7ADE5F5F"/>
    <w:rsid w:val="7AE069B4"/>
    <w:rsid w:val="7B1F6966"/>
    <w:rsid w:val="7B3014C2"/>
    <w:rsid w:val="7B407452"/>
    <w:rsid w:val="7B5D4B80"/>
    <w:rsid w:val="7B6F7037"/>
    <w:rsid w:val="7BC9569A"/>
    <w:rsid w:val="7BD04F3D"/>
    <w:rsid w:val="7BD209F2"/>
    <w:rsid w:val="7BE91898"/>
    <w:rsid w:val="7BEB6782"/>
    <w:rsid w:val="7C057DAB"/>
    <w:rsid w:val="7C195137"/>
    <w:rsid w:val="7C2D5C29"/>
    <w:rsid w:val="7C5F1B5A"/>
    <w:rsid w:val="7C6F673E"/>
    <w:rsid w:val="7C741263"/>
    <w:rsid w:val="7C7970C0"/>
    <w:rsid w:val="7C8D2B6B"/>
    <w:rsid w:val="7C8F7B44"/>
    <w:rsid w:val="7CA01292"/>
    <w:rsid w:val="7CB63E70"/>
    <w:rsid w:val="7CB933A5"/>
    <w:rsid w:val="7CC54D39"/>
    <w:rsid w:val="7CC55E61"/>
    <w:rsid w:val="7CD34230"/>
    <w:rsid w:val="7CD8BF99"/>
    <w:rsid w:val="7CE54531"/>
    <w:rsid w:val="7CEE2BCE"/>
    <w:rsid w:val="7CFE1373"/>
    <w:rsid w:val="7D0A866F"/>
    <w:rsid w:val="7D16BF4F"/>
    <w:rsid w:val="7D1B0177"/>
    <w:rsid w:val="7D3354C1"/>
    <w:rsid w:val="7D5D42EC"/>
    <w:rsid w:val="7D6E0F7F"/>
    <w:rsid w:val="7D6FF4AB"/>
    <w:rsid w:val="7D8E26F7"/>
    <w:rsid w:val="7D8F45FC"/>
    <w:rsid w:val="7DAC14F7"/>
    <w:rsid w:val="7DB724E7"/>
    <w:rsid w:val="7DBA34EC"/>
    <w:rsid w:val="7DBD2608"/>
    <w:rsid w:val="7DCB56F9"/>
    <w:rsid w:val="7DE62533"/>
    <w:rsid w:val="7DF84014"/>
    <w:rsid w:val="7E17093E"/>
    <w:rsid w:val="7E464D80"/>
    <w:rsid w:val="7E490D14"/>
    <w:rsid w:val="7E586F3A"/>
    <w:rsid w:val="7E5971A9"/>
    <w:rsid w:val="7E853DC0"/>
    <w:rsid w:val="7E8F4979"/>
    <w:rsid w:val="7EA63A70"/>
    <w:rsid w:val="7EAA7A04"/>
    <w:rsid w:val="7EAC93B0"/>
    <w:rsid w:val="7EB22415"/>
    <w:rsid w:val="7EBBF01A"/>
    <w:rsid w:val="7EC64112"/>
    <w:rsid w:val="7ECD54A1"/>
    <w:rsid w:val="7ED93E46"/>
    <w:rsid w:val="7F076C05"/>
    <w:rsid w:val="7F11374D"/>
    <w:rsid w:val="7F2A46A1"/>
    <w:rsid w:val="7F326B62"/>
    <w:rsid w:val="7F328450"/>
    <w:rsid w:val="7F391B67"/>
    <w:rsid w:val="7F5160D2"/>
    <w:rsid w:val="7F5E434B"/>
    <w:rsid w:val="7F840255"/>
    <w:rsid w:val="7F89B3F4"/>
    <w:rsid w:val="7F914720"/>
    <w:rsid w:val="7FA1886D"/>
    <w:rsid w:val="7FB126CD"/>
    <w:rsid w:val="7FCC75B4"/>
    <w:rsid w:val="7FE35DAD"/>
    <w:rsid w:val="7FEB12F1"/>
    <w:rsid w:val="7FF16F6D"/>
    <w:rsid w:val="7FFA22C6"/>
    <w:rsid w:val="7FFC10F6"/>
    <w:rsid w:val="80756D21"/>
    <w:rsid w:val="807740DE"/>
    <w:rsid w:val="809CD957"/>
    <w:rsid w:val="80D56633"/>
    <w:rsid w:val="8111CD16"/>
    <w:rsid w:val="815A03D3"/>
    <w:rsid w:val="818E2003"/>
    <w:rsid w:val="82035734"/>
    <w:rsid w:val="824BE47F"/>
    <w:rsid w:val="824E00EA"/>
    <w:rsid w:val="8256CBC3"/>
    <w:rsid w:val="8260D059"/>
    <w:rsid w:val="827A549D"/>
    <w:rsid w:val="8287F0C0"/>
    <w:rsid w:val="82AA9860"/>
    <w:rsid w:val="82BA6887"/>
    <w:rsid w:val="830BB408"/>
    <w:rsid w:val="832A709F"/>
    <w:rsid w:val="83720932"/>
    <w:rsid w:val="838810F3"/>
    <w:rsid w:val="838F76F9"/>
    <w:rsid w:val="8396BEA1"/>
    <w:rsid w:val="83A9198B"/>
    <w:rsid w:val="83A957E1"/>
    <w:rsid w:val="83EDC490"/>
    <w:rsid w:val="83FCE25A"/>
    <w:rsid w:val="83FF5A36"/>
    <w:rsid w:val="84636F1C"/>
    <w:rsid w:val="8480A3D6"/>
    <w:rsid w:val="84B65F03"/>
    <w:rsid w:val="84F4EE1B"/>
    <w:rsid w:val="8501F672"/>
    <w:rsid w:val="853A883D"/>
    <w:rsid w:val="854F51B2"/>
    <w:rsid w:val="857DEBA4"/>
    <w:rsid w:val="858EC6FB"/>
    <w:rsid w:val="85A1542F"/>
    <w:rsid w:val="85DEC045"/>
    <w:rsid w:val="861BA774"/>
    <w:rsid w:val="861BCC8F"/>
    <w:rsid w:val="863286A3"/>
    <w:rsid w:val="864616E1"/>
    <w:rsid w:val="866832E1"/>
    <w:rsid w:val="866AE7B7"/>
    <w:rsid w:val="8672F232"/>
    <w:rsid w:val="86B96D24"/>
    <w:rsid w:val="86C643F0"/>
    <w:rsid w:val="86CEFB77"/>
    <w:rsid w:val="86E42672"/>
    <w:rsid w:val="86E70BE7"/>
    <w:rsid w:val="86F0B1A5"/>
    <w:rsid w:val="870D7601"/>
    <w:rsid w:val="870F6176"/>
    <w:rsid w:val="87359996"/>
    <w:rsid w:val="87D4B99A"/>
    <w:rsid w:val="87F67EBB"/>
    <w:rsid w:val="883209B9"/>
    <w:rsid w:val="887AE5BA"/>
    <w:rsid w:val="889FCA3F"/>
    <w:rsid w:val="88B289D7"/>
    <w:rsid w:val="88B2A247"/>
    <w:rsid w:val="88CE33B4"/>
    <w:rsid w:val="89097FA5"/>
    <w:rsid w:val="895DDF81"/>
    <w:rsid w:val="898436CD"/>
    <w:rsid w:val="89B55193"/>
    <w:rsid w:val="89C5145A"/>
    <w:rsid w:val="89C6360C"/>
    <w:rsid w:val="89DC1756"/>
    <w:rsid w:val="8A39EEA0"/>
    <w:rsid w:val="8A5179FF"/>
    <w:rsid w:val="8A7FDA5F"/>
    <w:rsid w:val="8AC7DC1C"/>
    <w:rsid w:val="8AEC14C7"/>
    <w:rsid w:val="8B60BA98"/>
    <w:rsid w:val="8B6897A0"/>
    <w:rsid w:val="8B87CEB2"/>
    <w:rsid w:val="8B90F219"/>
    <w:rsid w:val="8BD4422B"/>
    <w:rsid w:val="8BD4EAA9"/>
    <w:rsid w:val="8CCA56A8"/>
    <w:rsid w:val="8CF222BE"/>
    <w:rsid w:val="8D28EDAD"/>
    <w:rsid w:val="8D5DF8C3"/>
    <w:rsid w:val="8DAE8B91"/>
    <w:rsid w:val="8DB8402D"/>
    <w:rsid w:val="8DC694FD"/>
    <w:rsid w:val="8DC83F3A"/>
    <w:rsid w:val="8DF4226D"/>
    <w:rsid w:val="8E1157BA"/>
    <w:rsid w:val="8EA62F6A"/>
    <w:rsid w:val="8EAFEA21"/>
    <w:rsid w:val="8EB3C2F0"/>
    <w:rsid w:val="8F009230"/>
    <w:rsid w:val="8F3945E4"/>
    <w:rsid w:val="8F3EDF07"/>
    <w:rsid w:val="8F4FE10D"/>
    <w:rsid w:val="8F6A62CD"/>
    <w:rsid w:val="8F97BA96"/>
    <w:rsid w:val="9072CCE8"/>
    <w:rsid w:val="908FF516"/>
    <w:rsid w:val="90B2DF98"/>
    <w:rsid w:val="90F62008"/>
    <w:rsid w:val="916EFCBF"/>
    <w:rsid w:val="9180B561"/>
    <w:rsid w:val="918C9A1D"/>
    <w:rsid w:val="91965C86"/>
    <w:rsid w:val="91C723BB"/>
    <w:rsid w:val="91CF34DB"/>
    <w:rsid w:val="91D24A35"/>
    <w:rsid w:val="91DAE369"/>
    <w:rsid w:val="925897D2"/>
    <w:rsid w:val="9283FF92"/>
    <w:rsid w:val="929B84D5"/>
    <w:rsid w:val="92BCE9DC"/>
    <w:rsid w:val="92FA3174"/>
    <w:rsid w:val="933FCB5B"/>
    <w:rsid w:val="9365D0C1"/>
    <w:rsid w:val="93BCCE8A"/>
    <w:rsid w:val="93CBA2CA"/>
    <w:rsid w:val="93D5FE55"/>
    <w:rsid w:val="93E83922"/>
    <w:rsid w:val="93EB5699"/>
    <w:rsid w:val="94581EB5"/>
    <w:rsid w:val="945D7882"/>
    <w:rsid w:val="945DDD21"/>
    <w:rsid w:val="94C17C42"/>
    <w:rsid w:val="94C59A24"/>
    <w:rsid w:val="94E1F2C3"/>
    <w:rsid w:val="95054182"/>
    <w:rsid w:val="950E3979"/>
    <w:rsid w:val="951179BF"/>
    <w:rsid w:val="951F24F8"/>
    <w:rsid w:val="95276423"/>
    <w:rsid w:val="95414450"/>
    <w:rsid w:val="9567D869"/>
    <w:rsid w:val="9571DD32"/>
    <w:rsid w:val="95CC34E5"/>
    <w:rsid w:val="96084271"/>
    <w:rsid w:val="967B6BB3"/>
    <w:rsid w:val="96840061"/>
    <w:rsid w:val="97121CB3"/>
    <w:rsid w:val="9739D6D9"/>
    <w:rsid w:val="97496539"/>
    <w:rsid w:val="97619A1C"/>
    <w:rsid w:val="978CE394"/>
    <w:rsid w:val="97914382"/>
    <w:rsid w:val="9793B55B"/>
    <w:rsid w:val="979C0081"/>
    <w:rsid w:val="97B5F98C"/>
    <w:rsid w:val="97E0849A"/>
    <w:rsid w:val="981B55A2"/>
    <w:rsid w:val="983A7341"/>
    <w:rsid w:val="9849F171"/>
    <w:rsid w:val="98CBE0C7"/>
    <w:rsid w:val="98CEAF53"/>
    <w:rsid w:val="98D00FA0"/>
    <w:rsid w:val="991DD79B"/>
    <w:rsid w:val="993B07E5"/>
    <w:rsid w:val="9960E8FA"/>
    <w:rsid w:val="99682D9B"/>
    <w:rsid w:val="99B127B9"/>
    <w:rsid w:val="99C3CC19"/>
    <w:rsid w:val="99E83A64"/>
    <w:rsid w:val="9A217A69"/>
    <w:rsid w:val="9A428471"/>
    <w:rsid w:val="9A682616"/>
    <w:rsid w:val="9A6B5153"/>
    <w:rsid w:val="9A747188"/>
    <w:rsid w:val="9ACF0416"/>
    <w:rsid w:val="9AE858B6"/>
    <w:rsid w:val="9B3356AC"/>
    <w:rsid w:val="9B547D6D"/>
    <w:rsid w:val="9B95BCB6"/>
    <w:rsid w:val="9BA3A3AC"/>
    <w:rsid w:val="9BE78A3B"/>
    <w:rsid w:val="9C1780EC"/>
    <w:rsid w:val="9CAD65BA"/>
    <w:rsid w:val="9CB1770C"/>
    <w:rsid w:val="9CD5D705"/>
    <w:rsid w:val="9CEB4FE6"/>
    <w:rsid w:val="9DC3C7AB"/>
    <w:rsid w:val="9DCFEA17"/>
    <w:rsid w:val="9DE506F2"/>
    <w:rsid w:val="9E18982A"/>
    <w:rsid w:val="9E52BB61"/>
    <w:rsid w:val="9E5586A1"/>
    <w:rsid w:val="9EBC44B0"/>
    <w:rsid w:val="9ECD64A9"/>
    <w:rsid w:val="9F03A5B6"/>
    <w:rsid w:val="9F1D9D9C"/>
    <w:rsid w:val="9F1F8D7D"/>
    <w:rsid w:val="9F25733F"/>
    <w:rsid w:val="9F8CC8C2"/>
    <w:rsid w:val="9F935135"/>
    <w:rsid w:val="9FA7CE0A"/>
    <w:rsid w:val="9FBE25C2"/>
    <w:rsid w:val="9FCDCED3"/>
    <w:rsid w:val="A01D38E7"/>
    <w:rsid w:val="A0586146"/>
    <w:rsid w:val="A07C0837"/>
    <w:rsid w:val="A07F259D"/>
    <w:rsid w:val="A087D5A6"/>
    <w:rsid w:val="A08AA34F"/>
    <w:rsid w:val="A0BF1F4A"/>
    <w:rsid w:val="A0F8B722"/>
    <w:rsid w:val="A1543FC8"/>
    <w:rsid w:val="A16D726E"/>
    <w:rsid w:val="A23DD1F3"/>
    <w:rsid w:val="A2425F4D"/>
    <w:rsid w:val="A2630C51"/>
    <w:rsid w:val="A2DA2CE2"/>
    <w:rsid w:val="A2EDF9FA"/>
    <w:rsid w:val="A2F225BF"/>
    <w:rsid w:val="A316AA82"/>
    <w:rsid w:val="A390B44C"/>
    <w:rsid w:val="A3A7E769"/>
    <w:rsid w:val="A3BB25FE"/>
    <w:rsid w:val="A3C49B2F"/>
    <w:rsid w:val="A3D80EDF"/>
    <w:rsid w:val="A3F64A25"/>
    <w:rsid w:val="A3FF7BCB"/>
    <w:rsid w:val="A412C7CA"/>
    <w:rsid w:val="A412F56D"/>
    <w:rsid w:val="A414EDBE"/>
    <w:rsid w:val="A4566866"/>
    <w:rsid w:val="A46FFD0F"/>
    <w:rsid w:val="A48F3D73"/>
    <w:rsid w:val="A5023155"/>
    <w:rsid w:val="A5164447"/>
    <w:rsid w:val="A538647F"/>
    <w:rsid w:val="A542DFF1"/>
    <w:rsid w:val="A543F1BC"/>
    <w:rsid w:val="A5530019"/>
    <w:rsid w:val="A559CEA4"/>
    <w:rsid w:val="A56DC63C"/>
    <w:rsid w:val="A5709779"/>
    <w:rsid w:val="A576E19C"/>
    <w:rsid w:val="A677EC88"/>
    <w:rsid w:val="A6D662FD"/>
    <w:rsid w:val="A6F11217"/>
    <w:rsid w:val="A760C718"/>
    <w:rsid w:val="A79FE18C"/>
    <w:rsid w:val="A7B3D2D7"/>
    <w:rsid w:val="A7E58D23"/>
    <w:rsid w:val="A8601247"/>
    <w:rsid w:val="A8916B1C"/>
    <w:rsid w:val="A8DB3F5D"/>
    <w:rsid w:val="A93A7FD7"/>
    <w:rsid w:val="A952CA73"/>
    <w:rsid w:val="A9699758"/>
    <w:rsid w:val="A9BD0D00"/>
    <w:rsid w:val="A9DE02FD"/>
    <w:rsid w:val="AA22EF94"/>
    <w:rsid w:val="AA6A2E37"/>
    <w:rsid w:val="AAB123B1"/>
    <w:rsid w:val="AAF319FC"/>
    <w:rsid w:val="AB0D1EFF"/>
    <w:rsid w:val="AB1200B9"/>
    <w:rsid w:val="AB2DDD69"/>
    <w:rsid w:val="AB360B9F"/>
    <w:rsid w:val="AB563782"/>
    <w:rsid w:val="AB7D7373"/>
    <w:rsid w:val="ABB32350"/>
    <w:rsid w:val="ABEF7735"/>
    <w:rsid w:val="AC33D625"/>
    <w:rsid w:val="ACAC8634"/>
    <w:rsid w:val="ACF7A384"/>
    <w:rsid w:val="AD05B36B"/>
    <w:rsid w:val="AD2B663C"/>
    <w:rsid w:val="AD51F604"/>
    <w:rsid w:val="AD9B244B"/>
    <w:rsid w:val="ADB9F696"/>
    <w:rsid w:val="AE10219D"/>
    <w:rsid w:val="AE270FBE"/>
    <w:rsid w:val="AE3AFEAB"/>
    <w:rsid w:val="AE5BB6D7"/>
    <w:rsid w:val="AE80DF7B"/>
    <w:rsid w:val="AEAF4B66"/>
    <w:rsid w:val="AEB69AF2"/>
    <w:rsid w:val="AEDD35EB"/>
    <w:rsid w:val="AEEAB615"/>
    <w:rsid w:val="AEEF00E3"/>
    <w:rsid w:val="AF24B7B6"/>
    <w:rsid w:val="AF2CBC61"/>
    <w:rsid w:val="AF305499"/>
    <w:rsid w:val="AF41FB0C"/>
    <w:rsid w:val="AF837744"/>
    <w:rsid w:val="AFAF2E25"/>
    <w:rsid w:val="AFBECC05"/>
    <w:rsid w:val="B04E08E9"/>
    <w:rsid w:val="B0855FD7"/>
    <w:rsid w:val="B0AA8E54"/>
    <w:rsid w:val="B0BDA8E4"/>
    <w:rsid w:val="B0D19322"/>
    <w:rsid w:val="B116C0E2"/>
    <w:rsid w:val="B14EB013"/>
    <w:rsid w:val="B1A0E3CC"/>
    <w:rsid w:val="B1A27E35"/>
    <w:rsid w:val="B1AF92D0"/>
    <w:rsid w:val="B1B19295"/>
    <w:rsid w:val="B1B98B5A"/>
    <w:rsid w:val="B1CAD811"/>
    <w:rsid w:val="B1DBC914"/>
    <w:rsid w:val="B1EFCECF"/>
    <w:rsid w:val="B21F0D16"/>
    <w:rsid w:val="B27E0A11"/>
    <w:rsid w:val="B27EDEE1"/>
    <w:rsid w:val="B2956BBD"/>
    <w:rsid w:val="B2C566AC"/>
    <w:rsid w:val="B322117F"/>
    <w:rsid w:val="B33AD7A5"/>
    <w:rsid w:val="B33DA2DF"/>
    <w:rsid w:val="B341D160"/>
    <w:rsid w:val="B356D233"/>
    <w:rsid w:val="B363A512"/>
    <w:rsid w:val="B3662FFF"/>
    <w:rsid w:val="B3900F97"/>
    <w:rsid w:val="B3993FD5"/>
    <w:rsid w:val="B3A6CB90"/>
    <w:rsid w:val="B3A70040"/>
    <w:rsid w:val="B3AD8F49"/>
    <w:rsid w:val="B3AF5B80"/>
    <w:rsid w:val="B3B1EEB9"/>
    <w:rsid w:val="B3BE166C"/>
    <w:rsid w:val="B4C769DE"/>
    <w:rsid w:val="B4F24D43"/>
    <w:rsid w:val="B4F82CCA"/>
    <w:rsid w:val="B52E6867"/>
    <w:rsid w:val="B5343789"/>
    <w:rsid w:val="B53B225A"/>
    <w:rsid w:val="B55D27B0"/>
    <w:rsid w:val="B6199B96"/>
    <w:rsid w:val="B639C76E"/>
    <w:rsid w:val="B6C6D3C0"/>
    <w:rsid w:val="B6C87D0D"/>
    <w:rsid w:val="B7043721"/>
    <w:rsid w:val="B73D007F"/>
    <w:rsid w:val="B771F72C"/>
    <w:rsid w:val="B7C86E0F"/>
    <w:rsid w:val="B7C87340"/>
    <w:rsid w:val="B7E45D86"/>
    <w:rsid w:val="B7FE8AB2"/>
    <w:rsid w:val="B817EBA7"/>
    <w:rsid w:val="B8884D66"/>
    <w:rsid w:val="B8FF3A87"/>
    <w:rsid w:val="B908756B"/>
    <w:rsid w:val="B93CCEF4"/>
    <w:rsid w:val="B9401EF0"/>
    <w:rsid w:val="B9495136"/>
    <w:rsid w:val="B9502827"/>
    <w:rsid w:val="B98F5EE8"/>
    <w:rsid w:val="B9AEB96E"/>
    <w:rsid w:val="B9B41D3B"/>
    <w:rsid w:val="B9DA5B05"/>
    <w:rsid w:val="BA01031B"/>
    <w:rsid w:val="BA141553"/>
    <w:rsid w:val="BA3F177D"/>
    <w:rsid w:val="BA47FF31"/>
    <w:rsid w:val="BA6E33EF"/>
    <w:rsid w:val="BAD49D28"/>
    <w:rsid w:val="BB07003F"/>
    <w:rsid w:val="BB274CCD"/>
    <w:rsid w:val="BB39221E"/>
    <w:rsid w:val="BB609CBC"/>
    <w:rsid w:val="BB624F0E"/>
    <w:rsid w:val="BC162158"/>
    <w:rsid w:val="BC1AB489"/>
    <w:rsid w:val="BC78DEBA"/>
    <w:rsid w:val="BCC1EEC3"/>
    <w:rsid w:val="BCDA1EF2"/>
    <w:rsid w:val="BD0F0C83"/>
    <w:rsid w:val="BD440537"/>
    <w:rsid w:val="BD76669C"/>
    <w:rsid w:val="BD85DA8D"/>
    <w:rsid w:val="BD98BCC6"/>
    <w:rsid w:val="BDC32C9B"/>
    <w:rsid w:val="BDD59FBA"/>
    <w:rsid w:val="BE033BEE"/>
    <w:rsid w:val="BE36D639"/>
    <w:rsid w:val="BE44A367"/>
    <w:rsid w:val="BE52BD4A"/>
    <w:rsid w:val="BE5AFE3A"/>
    <w:rsid w:val="BE93A0C0"/>
    <w:rsid w:val="BEC08616"/>
    <w:rsid w:val="BEC2FB91"/>
    <w:rsid w:val="BEEFAC60"/>
    <w:rsid w:val="BEF762B0"/>
    <w:rsid w:val="BF2963CF"/>
    <w:rsid w:val="BF2C352D"/>
    <w:rsid w:val="BF66D3E1"/>
    <w:rsid w:val="C0014F07"/>
    <w:rsid w:val="C0EAE268"/>
    <w:rsid w:val="C1045741"/>
    <w:rsid w:val="C112F76F"/>
    <w:rsid w:val="C15B11EF"/>
    <w:rsid w:val="C187215B"/>
    <w:rsid w:val="C1B7A6CF"/>
    <w:rsid w:val="C2053E4A"/>
    <w:rsid w:val="C2738DD3"/>
    <w:rsid w:val="C2C6FAAA"/>
    <w:rsid w:val="C2CA8867"/>
    <w:rsid w:val="C2DF03E5"/>
    <w:rsid w:val="C3245E84"/>
    <w:rsid w:val="C41A68F2"/>
    <w:rsid w:val="C45CAF05"/>
    <w:rsid w:val="C4847EB7"/>
    <w:rsid w:val="C4D25FA9"/>
    <w:rsid w:val="C528442D"/>
    <w:rsid w:val="C52D5200"/>
    <w:rsid w:val="C54E253C"/>
    <w:rsid w:val="C556D8EB"/>
    <w:rsid w:val="C593B28C"/>
    <w:rsid w:val="C5B5371C"/>
    <w:rsid w:val="C5DBB12A"/>
    <w:rsid w:val="C608B309"/>
    <w:rsid w:val="C6222C3A"/>
    <w:rsid w:val="C62EA573"/>
    <w:rsid w:val="C65219B1"/>
    <w:rsid w:val="C68FD9DE"/>
    <w:rsid w:val="C6AC8C86"/>
    <w:rsid w:val="C6DE109C"/>
    <w:rsid w:val="C72AD317"/>
    <w:rsid w:val="C735DB10"/>
    <w:rsid w:val="C74B54A9"/>
    <w:rsid w:val="C768ADCA"/>
    <w:rsid w:val="C79B54C7"/>
    <w:rsid w:val="C7F1D540"/>
    <w:rsid w:val="C8011B87"/>
    <w:rsid w:val="C801DB83"/>
    <w:rsid w:val="C8054882"/>
    <w:rsid w:val="C858B682"/>
    <w:rsid w:val="C8989E5F"/>
    <w:rsid w:val="C8A11980"/>
    <w:rsid w:val="C8BA49F1"/>
    <w:rsid w:val="C8BD0AE9"/>
    <w:rsid w:val="C9015DBA"/>
    <w:rsid w:val="C948F355"/>
    <w:rsid w:val="C9846BA4"/>
    <w:rsid w:val="C99FE9AE"/>
    <w:rsid w:val="C9F56523"/>
    <w:rsid w:val="C9FDA55D"/>
    <w:rsid w:val="CA6499AB"/>
    <w:rsid w:val="CAAFC144"/>
    <w:rsid w:val="CAB5CB31"/>
    <w:rsid w:val="CAE27C84"/>
    <w:rsid w:val="CAF02DEB"/>
    <w:rsid w:val="CAF71EA2"/>
    <w:rsid w:val="CAFA925F"/>
    <w:rsid w:val="CB7935FB"/>
    <w:rsid w:val="CC317DE1"/>
    <w:rsid w:val="CC40D5D8"/>
    <w:rsid w:val="CC6D0062"/>
    <w:rsid w:val="CC76E159"/>
    <w:rsid w:val="CC898D5C"/>
    <w:rsid w:val="CCF0AA26"/>
    <w:rsid w:val="CD1B5637"/>
    <w:rsid w:val="CD1E3359"/>
    <w:rsid w:val="CD22F0D3"/>
    <w:rsid w:val="CD43336D"/>
    <w:rsid w:val="CD6156EC"/>
    <w:rsid w:val="CD820CE0"/>
    <w:rsid w:val="CD888E5A"/>
    <w:rsid w:val="CD9ABFC4"/>
    <w:rsid w:val="CDC88D77"/>
    <w:rsid w:val="CDE4F01B"/>
    <w:rsid w:val="CDEDCB20"/>
    <w:rsid w:val="CE011223"/>
    <w:rsid w:val="CE034D07"/>
    <w:rsid w:val="CE09A496"/>
    <w:rsid w:val="CE602298"/>
    <w:rsid w:val="CE8ADDB8"/>
    <w:rsid w:val="CE96F39C"/>
    <w:rsid w:val="CEB8C52D"/>
    <w:rsid w:val="CEBCCF62"/>
    <w:rsid w:val="CEC9A6F5"/>
    <w:rsid w:val="CED9C6BA"/>
    <w:rsid w:val="CF6C95DD"/>
    <w:rsid w:val="CF9EBA90"/>
    <w:rsid w:val="D00D8AD7"/>
    <w:rsid w:val="D0586195"/>
    <w:rsid w:val="D05C77D5"/>
    <w:rsid w:val="D068F4A1"/>
    <w:rsid w:val="D06C28A6"/>
    <w:rsid w:val="D089E5E2"/>
    <w:rsid w:val="D09B9840"/>
    <w:rsid w:val="D0A5439F"/>
    <w:rsid w:val="D0B0CE10"/>
    <w:rsid w:val="D0B71B0F"/>
    <w:rsid w:val="D0F767A5"/>
    <w:rsid w:val="D152C913"/>
    <w:rsid w:val="D153C615"/>
    <w:rsid w:val="D1AE0C12"/>
    <w:rsid w:val="D1C20D00"/>
    <w:rsid w:val="D1C8F040"/>
    <w:rsid w:val="D1D81225"/>
    <w:rsid w:val="D1DF3503"/>
    <w:rsid w:val="D1F1AA1C"/>
    <w:rsid w:val="D20C0EE7"/>
    <w:rsid w:val="D22B7016"/>
    <w:rsid w:val="D24FD428"/>
    <w:rsid w:val="D2C50EDC"/>
    <w:rsid w:val="D2DC1288"/>
    <w:rsid w:val="D310C92B"/>
    <w:rsid w:val="D36F8419"/>
    <w:rsid w:val="D379F00F"/>
    <w:rsid w:val="D37F72C0"/>
    <w:rsid w:val="D3A0D947"/>
    <w:rsid w:val="D3AEDC55"/>
    <w:rsid w:val="D3B3585E"/>
    <w:rsid w:val="D46F57BE"/>
    <w:rsid w:val="D48367E2"/>
    <w:rsid w:val="D4C69E1A"/>
    <w:rsid w:val="D4E3583B"/>
    <w:rsid w:val="D4FED7F2"/>
    <w:rsid w:val="D56AB626"/>
    <w:rsid w:val="D5AC9263"/>
    <w:rsid w:val="D60CA5BF"/>
    <w:rsid w:val="D6387871"/>
    <w:rsid w:val="D64C4F9C"/>
    <w:rsid w:val="D6512F20"/>
    <w:rsid w:val="D6634A1F"/>
    <w:rsid w:val="D7391757"/>
    <w:rsid w:val="D751F372"/>
    <w:rsid w:val="D769F5E6"/>
    <w:rsid w:val="D7825A3C"/>
    <w:rsid w:val="D801866D"/>
    <w:rsid w:val="D8569A09"/>
    <w:rsid w:val="D863803B"/>
    <w:rsid w:val="D89083DA"/>
    <w:rsid w:val="D8DF102A"/>
    <w:rsid w:val="D8E6DE4D"/>
    <w:rsid w:val="D92D6406"/>
    <w:rsid w:val="D939A41D"/>
    <w:rsid w:val="D93D29FC"/>
    <w:rsid w:val="D94206BE"/>
    <w:rsid w:val="D95C20C1"/>
    <w:rsid w:val="D98AA3FD"/>
    <w:rsid w:val="D9CE189D"/>
    <w:rsid w:val="D9DED7A5"/>
    <w:rsid w:val="DA4641DF"/>
    <w:rsid w:val="DA562EEE"/>
    <w:rsid w:val="DA5C08EA"/>
    <w:rsid w:val="DAA1A9AE"/>
    <w:rsid w:val="DB2937F4"/>
    <w:rsid w:val="DB411D4B"/>
    <w:rsid w:val="DB66349D"/>
    <w:rsid w:val="DBBDC4CB"/>
    <w:rsid w:val="DBC51E6E"/>
    <w:rsid w:val="DC0565BC"/>
    <w:rsid w:val="DC1B6C90"/>
    <w:rsid w:val="DC1E1623"/>
    <w:rsid w:val="DC335F9F"/>
    <w:rsid w:val="DC4583DF"/>
    <w:rsid w:val="DC6EDFE6"/>
    <w:rsid w:val="DC750674"/>
    <w:rsid w:val="DC840738"/>
    <w:rsid w:val="DCD30FCC"/>
    <w:rsid w:val="DCDCD641"/>
    <w:rsid w:val="DD142F64"/>
    <w:rsid w:val="DD620CF5"/>
    <w:rsid w:val="DD649616"/>
    <w:rsid w:val="DD73DF58"/>
    <w:rsid w:val="DDDFE3C5"/>
    <w:rsid w:val="DE10FEEC"/>
    <w:rsid w:val="DE636DF1"/>
    <w:rsid w:val="DEB8B9BF"/>
    <w:rsid w:val="DEBC4BCE"/>
    <w:rsid w:val="DF2E8DB1"/>
    <w:rsid w:val="DF317C6C"/>
    <w:rsid w:val="DF3D9534"/>
    <w:rsid w:val="DFC0F623"/>
    <w:rsid w:val="E0004AFF"/>
    <w:rsid w:val="E015F639"/>
    <w:rsid w:val="E02ED543"/>
    <w:rsid w:val="E07128CB"/>
    <w:rsid w:val="E0ABCAD2"/>
    <w:rsid w:val="E0D9E7D5"/>
    <w:rsid w:val="E0EB6741"/>
    <w:rsid w:val="E1011984"/>
    <w:rsid w:val="E1212EC1"/>
    <w:rsid w:val="E124DEC0"/>
    <w:rsid w:val="E14A3847"/>
    <w:rsid w:val="E19F8D44"/>
    <w:rsid w:val="E1A77E9D"/>
    <w:rsid w:val="E1B7A685"/>
    <w:rsid w:val="E1D6F703"/>
    <w:rsid w:val="E23C1858"/>
    <w:rsid w:val="E2423E3A"/>
    <w:rsid w:val="E24620DE"/>
    <w:rsid w:val="E2EC3363"/>
    <w:rsid w:val="E2EFDD81"/>
    <w:rsid w:val="E31A4795"/>
    <w:rsid w:val="E33E5D67"/>
    <w:rsid w:val="E36598BA"/>
    <w:rsid w:val="E36DD7D6"/>
    <w:rsid w:val="E3788332"/>
    <w:rsid w:val="E3819962"/>
    <w:rsid w:val="E38F080A"/>
    <w:rsid w:val="E3A32385"/>
    <w:rsid w:val="E3A72D00"/>
    <w:rsid w:val="E3B440C0"/>
    <w:rsid w:val="E3C2721B"/>
    <w:rsid w:val="E435B01B"/>
    <w:rsid w:val="E4580968"/>
    <w:rsid w:val="E45D2264"/>
    <w:rsid w:val="E48C0859"/>
    <w:rsid w:val="E4B5C64F"/>
    <w:rsid w:val="E4D5E168"/>
    <w:rsid w:val="E5335142"/>
    <w:rsid w:val="E551DF09"/>
    <w:rsid w:val="E5804FC7"/>
    <w:rsid w:val="E59AA805"/>
    <w:rsid w:val="E5C3DCCF"/>
    <w:rsid w:val="E679E1E4"/>
    <w:rsid w:val="E692F5FC"/>
    <w:rsid w:val="E6975BCE"/>
    <w:rsid w:val="E6AF3F6B"/>
    <w:rsid w:val="E6D70A30"/>
    <w:rsid w:val="E6E68A42"/>
    <w:rsid w:val="E72FE617"/>
    <w:rsid w:val="E7304124"/>
    <w:rsid w:val="E7445FB3"/>
    <w:rsid w:val="E75A6CE2"/>
    <w:rsid w:val="E75ADD19"/>
    <w:rsid w:val="E76AF979"/>
    <w:rsid w:val="E78F7600"/>
    <w:rsid w:val="E7970748"/>
    <w:rsid w:val="E7D5D946"/>
    <w:rsid w:val="E8044297"/>
    <w:rsid w:val="E890413A"/>
    <w:rsid w:val="E8A80175"/>
    <w:rsid w:val="E8B03BF0"/>
    <w:rsid w:val="E8C0DBF6"/>
    <w:rsid w:val="E911BC09"/>
    <w:rsid w:val="E939232A"/>
    <w:rsid w:val="E9695C53"/>
    <w:rsid w:val="E96E9D79"/>
    <w:rsid w:val="E97153FC"/>
    <w:rsid w:val="E9CE7F5C"/>
    <w:rsid w:val="E9D37040"/>
    <w:rsid w:val="EA1CE6ED"/>
    <w:rsid w:val="EA3AD3A4"/>
    <w:rsid w:val="EA735A77"/>
    <w:rsid w:val="EAB86785"/>
    <w:rsid w:val="EAC83643"/>
    <w:rsid w:val="EAE86175"/>
    <w:rsid w:val="EB02F0A7"/>
    <w:rsid w:val="EB436E7A"/>
    <w:rsid w:val="EB473CC9"/>
    <w:rsid w:val="EB4F7598"/>
    <w:rsid w:val="EB548EF6"/>
    <w:rsid w:val="EB561103"/>
    <w:rsid w:val="EBA72C10"/>
    <w:rsid w:val="EC67B1A1"/>
    <w:rsid w:val="EC9A7661"/>
    <w:rsid w:val="ECD31030"/>
    <w:rsid w:val="ECFCBE9E"/>
    <w:rsid w:val="ED07015F"/>
    <w:rsid w:val="EDC6A054"/>
    <w:rsid w:val="EDDFB612"/>
    <w:rsid w:val="EDED9390"/>
    <w:rsid w:val="EDF4714A"/>
    <w:rsid w:val="EE4BA079"/>
    <w:rsid w:val="EE5BE695"/>
    <w:rsid w:val="EEC02BFB"/>
    <w:rsid w:val="EEC6C48F"/>
    <w:rsid w:val="EF167E18"/>
    <w:rsid w:val="EF2691A4"/>
    <w:rsid w:val="EFA7B5B5"/>
    <w:rsid w:val="F028B690"/>
    <w:rsid w:val="F066C276"/>
    <w:rsid w:val="F0F4DD38"/>
    <w:rsid w:val="F0FF6255"/>
    <w:rsid w:val="F13B24E4"/>
    <w:rsid w:val="F14D7731"/>
    <w:rsid w:val="F16272B1"/>
    <w:rsid w:val="F17E82CD"/>
    <w:rsid w:val="F1F88E2F"/>
    <w:rsid w:val="F1F8968D"/>
    <w:rsid w:val="F1FF447F"/>
    <w:rsid w:val="F1FFBA35"/>
    <w:rsid w:val="F215C70F"/>
    <w:rsid w:val="F24173FA"/>
    <w:rsid w:val="F27088D3"/>
    <w:rsid w:val="F282561F"/>
    <w:rsid w:val="F284D953"/>
    <w:rsid w:val="F288526C"/>
    <w:rsid w:val="F29DACA8"/>
    <w:rsid w:val="F2A09CC3"/>
    <w:rsid w:val="F2E8FBDE"/>
    <w:rsid w:val="F2F7E661"/>
    <w:rsid w:val="F2FA4A1D"/>
    <w:rsid w:val="F32FC4CB"/>
    <w:rsid w:val="F3457CF0"/>
    <w:rsid w:val="F3849C24"/>
    <w:rsid w:val="F397734A"/>
    <w:rsid w:val="F3C899F8"/>
    <w:rsid w:val="F3E4DACA"/>
    <w:rsid w:val="F43C336D"/>
    <w:rsid w:val="F47D198A"/>
    <w:rsid w:val="F4A849B5"/>
    <w:rsid w:val="F4CC9F07"/>
    <w:rsid w:val="F4EF5CAE"/>
    <w:rsid w:val="F509A30E"/>
    <w:rsid w:val="F51D8757"/>
    <w:rsid w:val="F545B4DC"/>
    <w:rsid w:val="F57E7E12"/>
    <w:rsid w:val="F58574D0"/>
    <w:rsid w:val="F6135326"/>
    <w:rsid w:val="F616D7F2"/>
    <w:rsid w:val="F61AD1AE"/>
    <w:rsid w:val="F6A586EC"/>
    <w:rsid w:val="F6A843D9"/>
    <w:rsid w:val="F70B8425"/>
    <w:rsid w:val="F736E1A0"/>
    <w:rsid w:val="F74D9F7C"/>
    <w:rsid w:val="F767E76C"/>
    <w:rsid w:val="F76BC6C9"/>
    <w:rsid w:val="F7F3091B"/>
    <w:rsid w:val="F835D4FB"/>
    <w:rsid w:val="F84FA9FB"/>
    <w:rsid w:val="F884CF99"/>
    <w:rsid w:val="F88E9545"/>
    <w:rsid w:val="F8E5196D"/>
    <w:rsid w:val="F92C6CBD"/>
    <w:rsid w:val="F92D33EF"/>
    <w:rsid w:val="F9D12F8C"/>
    <w:rsid w:val="F9E44D11"/>
    <w:rsid w:val="F9EA4976"/>
    <w:rsid w:val="FA36C48C"/>
    <w:rsid w:val="FA46C317"/>
    <w:rsid w:val="FA46CFA5"/>
    <w:rsid w:val="FA84D759"/>
    <w:rsid w:val="FA9C9D2D"/>
    <w:rsid w:val="FAA4A54C"/>
    <w:rsid w:val="FAA7AC9F"/>
    <w:rsid w:val="FAF48F70"/>
    <w:rsid w:val="FAF593CB"/>
    <w:rsid w:val="FB082E6B"/>
    <w:rsid w:val="FB2C0270"/>
    <w:rsid w:val="FBBA1511"/>
    <w:rsid w:val="FBE65CCC"/>
    <w:rsid w:val="FBF084FD"/>
    <w:rsid w:val="FBF625D1"/>
    <w:rsid w:val="FC70DD98"/>
    <w:rsid w:val="FCC827E5"/>
    <w:rsid w:val="FD4DEA30"/>
    <w:rsid w:val="FDB1949E"/>
    <w:rsid w:val="FDC483AD"/>
    <w:rsid w:val="FDD87C3A"/>
    <w:rsid w:val="FDEF8F19"/>
    <w:rsid w:val="FDF30674"/>
    <w:rsid w:val="FDFB6C4A"/>
    <w:rsid w:val="FE1BF044"/>
    <w:rsid w:val="FE305B41"/>
    <w:rsid w:val="FE54E842"/>
    <w:rsid w:val="FE7E6B2B"/>
    <w:rsid w:val="FE916E66"/>
    <w:rsid w:val="FEA0F1AF"/>
    <w:rsid w:val="FEA7168C"/>
    <w:rsid w:val="FECFC5AA"/>
    <w:rsid w:val="FEE8BDFF"/>
    <w:rsid w:val="FEFC6BCA"/>
    <w:rsid w:val="FF042864"/>
    <w:rsid w:val="FF2D3F5D"/>
    <w:rsid w:val="FF550509"/>
    <w:rsid w:val="FF5D32DC"/>
    <w:rsid w:val="FFD2F3DE"/>
    <w:rsid w:val="FFF3B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spacing w:before="340" w:after="330" w:line="578" w:lineRule="auto"/>
      <w:jc w:val="center"/>
      <w:outlineLvl w:val="0"/>
    </w:pPr>
    <w:rPr>
      <w:rFonts w:eastAsia="黑体"/>
      <w:b/>
      <w:bCs/>
      <w:kern w:val="44"/>
      <w:sz w:val="36"/>
      <w:szCs w:val="44"/>
    </w:rPr>
  </w:style>
  <w:style w:type="paragraph" w:styleId="3">
    <w:name w:val="heading 2"/>
    <w:basedOn w:val="1"/>
    <w:next w:val="1"/>
    <w:qFormat/>
    <w:uiPriority w:val="0"/>
    <w:pPr>
      <w:keepNext/>
      <w:keepLines/>
      <w:spacing w:before="260" w:after="260" w:line="416" w:lineRule="auto"/>
      <w:jc w:val="center"/>
      <w:outlineLvl w:val="1"/>
    </w:pPr>
    <w:rPr>
      <w:rFonts w:eastAsia="黑体"/>
      <w:b/>
      <w:bCs/>
      <w:sz w:val="28"/>
      <w:szCs w:val="32"/>
    </w:rPr>
  </w:style>
  <w:style w:type="paragraph" w:styleId="4">
    <w:name w:val="heading 3"/>
    <w:basedOn w:val="1"/>
    <w:next w:val="5"/>
    <w:link w:val="40"/>
    <w:qFormat/>
    <w:uiPriority w:val="0"/>
    <w:pPr>
      <w:keepNext/>
      <w:keepLines/>
      <w:spacing w:line="400" w:lineRule="exact"/>
      <w:outlineLvl w:val="2"/>
    </w:pPr>
    <w:rPr>
      <w:rFonts w:ascii="Arial" w:hAnsi="Arial" w:eastAsia="楷体_GB2312" w:cs="Arial"/>
      <w:b/>
      <w:sz w:val="28"/>
      <w:szCs w:val="20"/>
    </w:rPr>
  </w:style>
  <w:style w:type="paragraph" w:styleId="6">
    <w:name w:val="heading 4"/>
    <w:basedOn w:val="1"/>
    <w:next w:val="1"/>
    <w:qFormat/>
    <w:uiPriority w:val="0"/>
    <w:pPr>
      <w:keepNext/>
      <w:spacing w:line="600" w:lineRule="exact"/>
      <w:jc w:val="right"/>
      <w:outlineLvl w:val="3"/>
    </w:pPr>
    <w:rPr>
      <w:rFonts w:eastAsia="楷体_GB2312"/>
      <w:b/>
      <w:sz w:val="32"/>
      <w:szCs w:val="32"/>
    </w:rPr>
  </w:style>
  <w:style w:type="paragraph" w:styleId="7">
    <w:name w:val="heading 5"/>
    <w:basedOn w:val="1"/>
    <w:next w:val="1"/>
    <w:qFormat/>
    <w:uiPriority w:val="0"/>
    <w:pPr>
      <w:keepNext/>
      <w:spacing w:line="600" w:lineRule="exact"/>
      <w:jc w:val="center"/>
      <w:outlineLvl w:val="4"/>
    </w:pPr>
    <w:rPr>
      <w:rFonts w:eastAsia="楷体_GB2312"/>
      <w:bCs/>
      <w:sz w:val="32"/>
      <w:szCs w:val="32"/>
    </w:rPr>
  </w:style>
  <w:style w:type="paragraph" w:styleId="8">
    <w:name w:val="heading 6"/>
    <w:basedOn w:val="1"/>
    <w:next w:val="1"/>
    <w:qFormat/>
    <w:uiPriority w:val="0"/>
    <w:pPr>
      <w:keepNext/>
      <w:adjustRightInd w:val="0"/>
      <w:snapToGrid w:val="0"/>
      <w:jc w:val="center"/>
      <w:outlineLvl w:val="5"/>
    </w:pPr>
    <w:rPr>
      <w:bCs/>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9">
    <w:name w:val="caption"/>
    <w:basedOn w:val="1"/>
    <w:next w:val="1"/>
    <w:qFormat/>
    <w:uiPriority w:val="0"/>
    <w:rPr>
      <w:rFonts w:ascii="Calibri Light" w:hAnsi="Calibri Light" w:eastAsia="黑体"/>
      <w:sz w:val="20"/>
      <w:szCs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next w:val="13"/>
    <w:link w:val="42"/>
    <w:qFormat/>
    <w:uiPriority w:val="0"/>
    <w:pPr>
      <w:spacing w:line="300" w:lineRule="auto"/>
    </w:pPr>
    <w:rPr>
      <w:rFonts w:ascii="楷体_GB2312" w:eastAsia="仿宋_GB2312"/>
      <w:sz w:val="24"/>
    </w:rPr>
  </w:style>
  <w:style w:type="paragraph" w:styleId="13">
    <w:name w:val="toc 5"/>
    <w:next w:val="1"/>
    <w:unhideWhenUsed/>
    <w:qFormat/>
    <w:uiPriority w:val="39"/>
    <w:pPr>
      <w:widowControl w:val="0"/>
      <w:spacing w:beforeLines="0" w:afterLines="0" w:line="240" w:lineRule="auto"/>
      <w:ind w:left="1680" w:leftChars="800"/>
      <w:jc w:val="both"/>
    </w:pPr>
    <w:rPr>
      <w:rFonts w:hint="eastAsia" w:ascii="等线" w:hAnsi="等线" w:eastAsia="等线" w:cs="Times New Roman"/>
      <w:kern w:val="2"/>
      <w:sz w:val="21"/>
      <w:szCs w:val="24"/>
      <w:lang w:val="en-US" w:eastAsia="zh-CN" w:bidi="ar-SA"/>
    </w:rPr>
  </w:style>
  <w:style w:type="paragraph" w:styleId="14">
    <w:name w:val="Body Text Indent"/>
    <w:basedOn w:val="1"/>
    <w:qFormat/>
    <w:uiPriority w:val="0"/>
    <w:pPr>
      <w:ind w:firstLine="420" w:firstLineChars="200"/>
    </w:pPr>
    <w:rPr>
      <w:rFonts w:eastAsia="楷体_GB2312"/>
    </w:rPr>
  </w:style>
  <w:style w:type="paragraph" w:styleId="15">
    <w:name w:val="toc 3"/>
    <w:basedOn w:val="1"/>
    <w:next w:val="1"/>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7"/>
    <w:qFormat/>
    <w:uiPriority w:val="99"/>
    <w:pPr>
      <w:tabs>
        <w:tab w:val="center" w:pos="4140"/>
        <w:tab w:val="right" w:pos="8300"/>
      </w:tabs>
      <w:snapToGrid w:val="0"/>
      <w:jc w:val="left"/>
    </w:pPr>
    <w:rPr>
      <w:sz w:val="18"/>
      <w:szCs w:val="18"/>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22">
    <w:name w:val="toc 1"/>
    <w:basedOn w:val="1"/>
    <w:next w:val="1"/>
    <w:qFormat/>
    <w:uiPriority w:val="39"/>
  </w:style>
  <w:style w:type="paragraph" w:styleId="23">
    <w:name w:val="Body Text Indent 3"/>
    <w:basedOn w:val="1"/>
    <w:qFormat/>
    <w:uiPriority w:val="0"/>
    <w:pPr>
      <w:spacing w:line="300" w:lineRule="auto"/>
      <w:ind w:firstLine="435"/>
    </w:pPr>
    <w:rPr>
      <w:rFonts w:ascii="楷体_GB2312" w:eastAsia="仿宋_GB2312"/>
      <w:sz w:val="24"/>
    </w:rPr>
  </w:style>
  <w:style w:type="paragraph" w:styleId="24">
    <w:name w:val="table of figures"/>
    <w:basedOn w:val="1"/>
    <w:next w:val="1"/>
    <w:qFormat/>
    <w:uiPriority w:val="0"/>
    <w:pPr>
      <w:ind w:left="840" w:leftChars="200" w:hanging="420" w:hangingChars="200"/>
    </w:pPr>
  </w:style>
  <w:style w:type="paragraph" w:styleId="25">
    <w:name w:val="toc 2"/>
    <w:basedOn w:val="1"/>
    <w:next w:val="1"/>
    <w:qFormat/>
    <w:uiPriority w:val="39"/>
    <w:pPr>
      <w:ind w:left="420" w:leftChars="200"/>
    </w:pPr>
  </w:style>
  <w:style w:type="paragraph" w:styleId="26">
    <w:name w:val="Body Text 2"/>
    <w:basedOn w:val="1"/>
    <w:qFormat/>
    <w:uiPriority w:val="0"/>
    <w:pPr>
      <w:jc w:val="center"/>
    </w:pPr>
    <w:rPr>
      <w:sz w:val="1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annotation subject"/>
    <w:basedOn w:val="11"/>
    <w:next w:val="11"/>
    <w:qFormat/>
    <w:uiPriority w:val="0"/>
    <w:rPr>
      <w:b/>
      <w:bCs/>
    </w:r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bCs/>
    </w:rPr>
  </w:style>
  <w:style w:type="character" w:styleId="33">
    <w:name w:val="page number"/>
    <w:qFormat/>
    <w:uiPriority w:val="0"/>
    <w:rPr>
      <w:rFonts w:hint="eastAsia"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800080"/>
      <w:u w:val="single"/>
    </w:rPr>
  </w:style>
  <w:style w:type="character" w:styleId="35">
    <w:name w:val="Emphasis"/>
    <w:qFormat/>
    <w:uiPriority w:val="0"/>
    <w:rPr>
      <w:rFonts w:ascii="Times New Roman" w:hAnsi="Times New Roman" w:eastAsia="宋体" w:cs="Times New Roman"/>
      <w:color w:val="CC0000"/>
    </w:rPr>
  </w:style>
  <w:style w:type="character" w:styleId="36">
    <w:name w:val="Hyperlink"/>
    <w:qFormat/>
    <w:uiPriority w:val="99"/>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szCs w:val="21"/>
    </w:rPr>
  </w:style>
  <w:style w:type="character" w:customStyle="1" w:styleId="38">
    <w:name w:val="s"/>
    <w:qFormat/>
    <w:uiPriority w:val="0"/>
    <w:rPr>
      <w:rFonts w:ascii="Times New Roman" w:hAnsi="Times New Roman" w:eastAsia="仿宋_GB2312" w:cs="Times New Roman"/>
      <w:sz w:val="24"/>
      <w:szCs w:val="24"/>
    </w:rPr>
  </w:style>
  <w:style w:type="character" w:customStyle="1" w:styleId="39">
    <w:name w:val="说明 Char"/>
    <w:qFormat/>
    <w:uiPriority w:val="0"/>
    <w:rPr>
      <w:rFonts w:ascii="楷体_GB2312" w:hAnsi="Times New Roman" w:eastAsia="楷体_GB2312" w:cs="Times New Roman"/>
      <w:kern w:val="2"/>
      <w:sz w:val="24"/>
      <w:szCs w:val="24"/>
      <w:lang w:val="en-US" w:eastAsia="zh-CN" w:bidi="ar-SA"/>
    </w:rPr>
  </w:style>
  <w:style w:type="character" w:customStyle="1" w:styleId="40">
    <w:name w:val="标题 3 字符"/>
    <w:link w:val="4"/>
    <w:qFormat/>
    <w:uiPriority w:val="0"/>
    <w:rPr>
      <w:rFonts w:ascii="Arial" w:hAnsi="Arial" w:eastAsia="楷体_GB2312" w:cs="Arial"/>
      <w:b/>
      <w:kern w:val="2"/>
      <w:sz w:val="28"/>
    </w:rPr>
  </w:style>
  <w:style w:type="character" w:customStyle="1" w:styleId="41">
    <w:name w:val="textcontents1"/>
    <w:qFormat/>
    <w:uiPriority w:val="0"/>
    <w:rPr>
      <w:rFonts w:ascii="Times New Roman" w:hAnsi="Times New Roman" w:eastAsia="宋体" w:cs="Times New Roman"/>
      <w:color w:val="000000"/>
      <w:sz w:val="18"/>
      <w:szCs w:val="18"/>
    </w:rPr>
  </w:style>
  <w:style w:type="character" w:customStyle="1" w:styleId="42">
    <w:name w:val="正文文本 字符"/>
    <w:link w:val="12"/>
    <w:qFormat/>
    <w:uiPriority w:val="0"/>
    <w:rPr>
      <w:rFonts w:ascii="楷体_GB2312" w:eastAsia="仿宋_GB2312"/>
      <w:kern w:val="2"/>
      <w:sz w:val="24"/>
      <w:szCs w:val="24"/>
    </w:rPr>
  </w:style>
  <w:style w:type="character" w:customStyle="1" w:styleId="43">
    <w:name w:val="条文 Char"/>
    <w:link w:val="44"/>
    <w:qFormat/>
    <w:uiPriority w:val="0"/>
    <w:rPr>
      <w:rFonts w:ascii="Times New Roman" w:hAnsi="Times New Roman" w:eastAsia="宋体" w:cs="Times New Roman"/>
      <w:kern w:val="2"/>
      <w:sz w:val="24"/>
      <w:szCs w:val="24"/>
    </w:rPr>
  </w:style>
  <w:style w:type="paragraph" w:customStyle="1" w:styleId="44">
    <w:name w:val="条文"/>
    <w:basedOn w:val="1"/>
    <w:link w:val="43"/>
    <w:qFormat/>
    <w:uiPriority w:val="0"/>
    <w:pPr>
      <w:spacing w:line="300" w:lineRule="auto"/>
      <w:outlineLvl w:val="2"/>
    </w:pPr>
    <w:rPr>
      <w:rFonts w:hint="default"/>
      <w:sz w:val="24"/>
    </w:rPr>
  </w:style>
  <w:style w:type="character" w:customStyle="1" w:styleId="45">
    <w:name w:val="小四"/>
    <w:qFormat/>
    <w:uiPriority w:val="0"/>
    <w:rPr>
      <w:rFonts w:ascii="Times New Roman" w:hAnsi="Times New Roman" w:eastAsia="宋体" w:cs="Times New Roman"/>
      <w:sz w:val="24"/>
    </w:rPr>
  </w:style>
  <w:style w:type="character" w:customStyle="1" w:styleId="46">
    <w:name w:val="页脚 Char"/>
    <w:qFormat/>
    <w:uiPriority w:val="0"/>
    <w:rPr>
      <w:rFonts w:ascii="Times New Roman" w:hAnsi="Times New Roman" w:eastAsia="宋体" w:cs="Times New Roman"/>
      <w:kern w:val="2"/>
      <w:sz w:val="18"/>
      <w:szCs w:val="18"/>
    </w:rPr>
  </w:style>
  <w:style w:type="character" w:customStyle="1" w:styleId="47">
    <w:name w:val="页脚 字符"/>
    <w:link w:val="20"/>
    <w:qFormat/>
    <w:uiPriority w:val="99"/>
    <w:rPr>
      <w:kern w:val="2"/>
      <w:sz w:val="18"/>
      <w:szCs w:val="18"/>
    </w:rPr>
  </w:style>
  <w:style w:type="character" w:customStyle="1" w:styleId="48">
    <w:name w:val="段落正文 Char"/>
    <w:qFormat/>
    <w:uiPriority w:val="0"/>
    <w:rPr>
      <w:rFonts w:ascii="Times New Roman" w:hAnsi="Times New Roman" w:eastAsia="宋体" w:cs="Times New Roman"/>
      <w:kern w:val="2"/>
      <w:sz w:val="24"/>
      <w:szCs w:val="24"/>
      <w:lang w:val="en-US" w:eastAsia="zh-CN" w:bidi="ar-SA"/>
    </w:rPr>
  </w:style>
  <w:style w:type="character" w:customStyle="1" w:styleId="49">
    <w:name w:val="页眉 字符"/>
    <w:qFormat/>
    <w:uiPriority w:val="99"/>
    <w:rPr>
      <w:rFonts w:ascii="Times New Roman" w:hAnsi="Times New Roman" w:eastAsia="宋体" w:cs="Times New Roman"/>
      <w:sz w:val="18"/>
      <w:szCs w:val="18"/>
    </w:rPr>
  </w:style>
  <w:style w:type="character" w:customStyle="1" w:styleId="50">
    <w:name w:val="页眉 字符1"/>
    <w:link w:val="21"/>
    <w:qFormat/>
    <w:uiPriority w:val="0"/>
    <w:rPr>
      <w:rFonts w:ascii="Times New Roman" w:hAnsi="Times New Roman" w:eastAsia="宋体" w:cs="Times New Roman"/>
      <w:kern w:val="2"/>
      <w:sz w:val="18"/>
      <w:szCs w:val="18"/>
    </w:rPr>
  </w:style>
  <w:style w:type="character" w:customStyle="1" w:styleId="51">
    <w:name w:val="小五"/>
    <w:qFormat/>
    <w:uiPriority w:val="0"/>
    <w:rPr>
      <w:rFonts w:ascii="Times New Roman" w:hAnsi="Times New Roman" w:eastAsia="宋体" w:cs="Times New Roman"/>
      <w:sz w:val="18"/>
    </w:rPr>
  </w:style>
  <w:style w:type="character" w:customStyle="1" w:styleId="52">
    <w:name w:val="五号"/>
    <w:qFormat/>
    <w:uiPriority w:val="0"/>
    <w:rPr>
      <w:rFonts w:ascii="Times New Roman" w:hAnsi="Times New Roman" w:eastAsia="宋体" w:cs="Times New Roman"/>
      <w:sz w:val="21"/>
    </w:rPr>
  </w:style>
  <w:style w:type="character" w:customStyle="1" w:styleId="53">
    <w:name w:val="未处理的提及1"/>
    <w:unhideWhenUsed/>
    <w:qFormat/>
    <w:uiPriority w:val="99"/>
    <w:rPr>
      <w:rFonts w:ascii="Times New Roman" w:hAnsi="Times New Roman" w:eastAsia="宋体" w:cs="Times New Roman"/>
      <w:color w:val="605E5C"/>
      <w:shd w:val="clear" w:color="auto" w:fill="E1DFDD"/>
    </w:rPr>
  </w:style>
  <w:style w:type="paragraph" w:customStyle="1" w:styleId="54">
    <w:name w:val="目录 21"/>
    <w:basedOn w:val="1"/>
    <w:next w:val="1"/>
    <w:qFormat/>
    <w:uiPriority w:val="39"/>
    <w:pPr>
      <w:tabs>
        <w:tab w:val="right" w:leader="middleDot" w:pos="8300"/>
      </w:tabs>
      <w:adjustRightInd w:val="0"/>
      <w:snapToGrid w:val="0"/>
      <w:spacing w:before="30" w:beforeLines="30" w:after="30" w:afterLines="30"/>
      <w:ind w:left="200" w:leftChars="200"/>
    </w:pPr>
    <w:rPr>
      <w:b/>
    </w:rPr>
  </w:style>
  <w:style w:type="paragraph" w:customStyle="1" w:styleId="55">
    <w:name w:val="目录 41"/>
    <w:basedOn w:val="1"/>
    <w:next w:val="1"/>
    <w:qFormat/>
    <w:uiPriority w:val="39"/>
    <w:pPr>
      <w:ind w:left="1260" w:leftChars="600"/>
    </w:pPr>
  </w:style>
  <w:style w:type="paragraph" w:customStyle="1" w:styleId="56">
    <w:name w:val="章"/>
    <w:basedOn w:val="1"/>
    <w:qFormat/>
    <w:uiPriority w:val="0"/>
    <w:pPr>
      <w:spacing w:before="100" w:beforeLines="100" w:after="100" w:afterLines="100" w:line="300" w:lineRule="auto"/>
      <w:jc w:val="center"/>
      <w:outlineLvl w:val="0"/>
    </w:pPr>
    <w:rPr>
      <w:b/>
      <w:bCs/>
      <w:sz w:val="28"/>
      <w:szCs w:val="28"/>
    </w:rPr>
  </w:style>
  <w:style w:type="paragraph" w:customStyle="1" w:styleId="57">
    <w:name w:val="目录 31"/>
    <w:basedOn w:val="1"/>
    <w:next w:val="1"/>
    <w:qFormat/>
    <w:uiPriority w:val="39"/>
    <w:pPr>
      <w:ind w:left="840" w:leftChars="400"/>
    </w:pPr>
  </w:style>
  <w:style w:type="paragraph" w:customStyle="1" w:styleId="58">
    <w:name w:val="目录 61"/>
    <w:basedOn w:val="1"/>
    <w:next w:val="1"/>
    <w:qFormat/>
    <w:uiPriority w:val="39"/>
    <w:pPr>
      <w:ind w:left="2100" w:leftChars="1000"/>
    </w:pPr>
  </w:style>
  <w:style w:type="paragraph" w:customStyle="1" w:styleId="59">
    <w:name w:val="目录 11"/>
    <w:basedOn w:val="1"/>
    <w:next w:val="1"/>
    <w:qFormat/>
    <w:uiPriority w:val="39"/>
    <w:pPr>
      <w:adjustRightInd w:val="0"/>
      <w:snapToGrid w:val="0"/>
      <w:spacing w:before="30" w:beforeLines="30" w:after="30" w:afterLines="30"/>
    </w:pPr>
    <w:rPr>
      <w:b/>
    </w:rPr>
  </w:style>
  <w:style w:type="paragraph" w:customStyle="1" w:styleId="60">
    <w:name w:val="目录 81"/>
    <w:basedOn w:val="1"/>
    <w:next w:val="1"/>
    <w:qFormat/>
    <w:uiPriority w:val="39"/>
    <w:pPr>
      <w:ind w:left="2940" w:leftChars="1400"/>
    </w:pPr>
  </w:style>
  <w:style w:type="paragraph" w:customStyle="1" w:styleId="61">
    <w:name w:val="目录 71"/>
    <w:basedOn w:val="1"/>
    <w:next w:val="1"/>
    <w:qFormat/>
    <w:uiPriority w:val="39"/>
    <w:pPr>
      <w:ind w:left="2520" w:leftChars="1200"/>
    </w:pPr>
  </w:style>
  <w:style w:type="paragraph" w:customStyle="1" w:styleId="62">
    <w:name w:val="目录 51"/>
    <w:basedOn w:val="1"/>
    <w:next w:val="1"/>
    <w:qFormat/>
    <w:uiPriority w:val="39"/>
    <w:pPr>
      <w:ind w:left="1680" w:leftChars="800"/>
    </w:pPr>
  </w:style>
  <w:style w:type="paragraph" w:customStyle="1" w:styleId="63">
    <w:name w:val="目录 91"/>
    <w:basedOn w:val="1"/>
    <w:next w:val="1"/>
    <w:qFormat/>
    <w:uiPriority w:val="39"/>
    <w:pPr>
      <w:ind w:left="3360" w:leftChars="1600"/>
    </w:pPr>
  </w:style>
  <w:style w:type="paragraph" w:customStyle="1" w:styleId="64">
    <w:name w:val="a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6">
    <w:name w:val="Char"/>
    <w:basedOn w:val="1"/>
    <w:qFormat/>
    <w:uiPriority w:val="0"/>
    <w:pPr>
      <w:tabs>
        <w:tab w:val="left" w:pos="4665"/>
        <w:tab w:val="left" w:pos="8970"/>
      </w:tabs>
      <w:ind w:firstLine="400"/>
    </w:pPr>
    <w:rPr>
      <w:rFonts w:ascii="Tahoma" w:hAnsi="Tahoma" w:cs="Tahoma"/>
      <w:sz w:val="24"/>
    </w:rPr>
  </w:style>
  <w:style w:type="paragraph" w:customStyle="1" w:styleId="67">
    <w:name w:val="段落正文"/>
    <w:basedOn w:val="1"/>
    <w:qFormat/>
    <w:uiPriority w:val="0"/>
    <w:pPr>
      <w:spacing w:line="300" w:lineRule="auto"/>
      <w:ind w:firstLine="482" w:firstLineChars="200"/>
    </w:pPr>
    <w:rPr>
      <w:sz w:val="24"/>
    </w:rPr>
  </w:style>
  <w:style w:type="paragraph" w:customStyle="1" w:styleId="68">
    <w:name w:val="注"/>
    <w:basedOn w:val="1"/>
    <w:qFormat/>
    <w:uiPriority w:val="0"/>
    <w:pPr>
      <w:ind w:left="788" w:leftChars="200" w:hanging="368" w:hangingChars="175"/>
    </w:pPr>
    <w:rPr>
      <w:szCs w:val="21"/>
    </w:rPr>
  </w:style>
  <w:style w:type="paragraph" w:customStyle="1" w:styleId="69">
    <w:name w:val="样式 行距: 1.5 倍行距 首行缩进:  2 字符"/>
    <w:basedOn w:val="1"/>
    <w:qFormat/>
    <w:uiPriority w:val="0"/>
    <w:pPr>
      <w:adjustRightInd w:val="0"/>
      <w:snapToGrid w:val="0"/>
      <w:spacing w:line="460" w:lineRule="exact"/>
    </w:pPr>
    <w:rPr>
      <w:sz w:val="24"/>
    </w:rPr>
  </w:style>
  <w:style w:type="paragraph" w:customStyle="1" w:styleId="70">
    <w:name w:val="_Style 29"/>
    <w:basedOn w:val="1"/>
    <w:next w:val="1"/>
    <w:qFormat/>
    <w:uiPriority w:val="0"/>
  </w:style>
  <w:style w:type="paragraph" w:customStyle="1" w:styleId="71">
    <w:name w:val="表"/>
    <w:basedOn w:val="1"/>
    <w:qFormat/>
    <w:uiPriority w:val="0"/>
    <w:pPr>
      <w:spacing w:line="300" w:lineRule="auto"/>
      <w:jc w:val="center"/>
    </w:pPr>
    <w:rPr>
      <w:bCs/>
      <w:szCs w:val="21"/>
    </w:rPr>
  </w:style>
  <w:style w:type="paragraph" w:customStyle="1" w:styleId="72">
    <w:name w:val="表头"/>
    <w:basedOn w:val="1"/>
    <w:qFormat/>
    <w:uiPriority w:val="0"/>
    <w:pPr>
      <w:spacing w:before="156" w:beforeLines="50" w:after="156" w:afterLines="50" w:line="300" w:lineRule="auto"/>
      <w:jc w:val="center"/>
    </w:pPr>
    <w:rPr>
      <w:b/>
      <w:bCs/>
      <w:szCs w:val="21"/>
    </w:rPr>
  </w:style>
  <w:style w:type="paragraph" w:customStyle="1" w:styleId="73">
    <w:name w:val="修订1"/>
    <w:qFormat/>
    <w:uiPriority w:val="0"/>
    <w:rPr>
      <w:rFonts w:ascii="Times New Roman" w:hAnsi="Times New Roman" w:eastAsia="宋体" w:cs="Times New Roman"/>
      <w:kern w:val="2"/>
      <w:sz w:val="21"/>
      <w:szCs w:val="24"/>
      <w:lang w:val="en-US" w:eastAsia="zh-CN" w:bidi="ar-SA"/>
    </w:rPr>
  </w:style>
  <w:style w:type="paragraph" w:customStyle="1" w:styleId="74">
    <w:name w:val="TOC 标题1"/>
    <w:basedOn w:val="2"/>
    <w:next w:val="1"/>
    <w:qFormat/>
    <w:uiPriority w:val="0"/>
    <w:pPr>
      <w:pageBreakBefore w:val="0"/>
      <w:widowControl/>
      <w:spacing w:before="480" w:after="0" w:line="276" w:lineRule="auto"/>
      <w:jc w:val="left"/>
      <w:outlineLvl w:val="9"/>
    </w:pPr>
    <w:rPr>
      <w:rFonts w:ascii="Cambria" w:hAnsi="Cambria" w:eastAsia="宋体"/>
      <w:color w:val="365F91"/>
      <w:kern w:val="0"/>
      <w:sz w:val="28"/>
      <w:szCs w:val="28"/>
    </w:rPr>
  </w:style>
  <w:style w:type="paragraph" w:customStyle="1" w:styleId="75">
    <w:name w:val="z-窗体底端1"/>
    <w:basedOn w:val="1"/>
    <w:next w:val="1"/>
    <w:qFormat/>
    <w:uiPriority w:val="0"/>
    <w:pPr>
      <w:pBdr>
        <w:top w:val="single" w:color="auto" w:sz="6" w:space="1"/>
      </w:pBdr>
      <w:jc w:val="center"/>
    </w:pPr>
    <w:rPr>
      <w:rFonts w:ascii="Arial" w:hAnsi="Arial" w:cs="Arial"/>
      <w:vanish/>
      <w:sz w:val="16"/>
      <w:szCs w:val="16"/>
    </w:rPr>
  </w:style>
  <w:style w:type="paragraph" w:customStyle="1" w:styleId="76">
    <w:name w:val="z-窗体顶端1"/>
    <w:basedOn w:val="1"/>
    <w:next w:val="1"/>
    <w:qFormat/>
    <w:uiPriority w:val="0"/>
    <w:pPr>
      <w:pBdr>
        <w:bottom w:val="single" w:color="auto" w:sz="6" w:space="1"/>
      </w:pBdr>
      <w:jc w:val="center"/>
    </w:pPr>
    <w:rPr>
      <w:rFonts w:ascii="Arial" w:hAnsi="Arial" w:cs="Arial"/>
      <w:vanish/>
      <w:sz w:val="16"/>
      <w:szCs w:val="16"/>
    </w:rPr>
  </w:style>
  <w:style w:type="paragraph" w:customStyle="1" w:styleId="77">
    <w:name w:val="Table Paragraph"/>
    <w:basedOn w:val="1"/>
    <w:qFormat/>
    <w:uiPriority w:val="0"/>
    <w:pPr>
      <w:jc w:val="left"/>
    </w:pPr>
    <w:rPr>
      <w:rFonts w:ascii="Calibri" w:hAnsi="Calibri" w:eastAsia="Calibri"/>
      <w:kern w:val="0"/>
      <w:sz w:val="22"/>
      <w:szCs w:val="22"/>
      <w:lang w:eastAsia="en-US"/>
    </w:rPr>
  </w:style>
  <w:style w:type="paragraph" w:customStyle="1" w:styleId="78">
    <w:name w:val="公式"/>
    <w:basedOn w:val="1"/>
    <w:qFormat/>
    <w:uiPriority w:val="0"/>
    <w:pPr>
      <w:spacing w:line="300" w:lineRule="auto"/>
      <w:jc w:val="right"/>
    </w:pPr>
    <w:rPr>
      <w:sz w:val="24"/>
    </w:rPr>
  </w:style>
  <w:style w:type="paragraph" w:customStyle="1" w:styleId="79">
    <w:name w:val="_Style 52"/>
    <w:basedOn w:val="1"/>
    <w:qFormat/>
    <w:uiPriority w:val="39"/>
    <w:pPr>
      <w:tabs>
        <w:tab w:val="right" w:leader="middleDot" w:pos="8300"/>
      </w:tabs>
      <w:adjustRightInd w:val="0"/>
      <w:snapToGrid w:val="0"/>
      <w:spacing w:before="30" w:beforeLines="30" w:after="30" w:afterLines="30"/>
      <w:ind w:left="200" w:leftChars="200"/>
    </w:pPr>
    <w:rPr>
      <w:b/>
    </w:rPr>
  </w:style>
  <w:style w:type="paragraph" w:customStyle="1" w:styleId="80">
    <w:name w:val="节"/>
    <w:basedOn w:val="1"/>
    <w:qFormat/>
    <w:uiPriority w:val="0"/>
    <w:pPr>
      <w:spacing w:before="312" w:beforeLines="100" w:after="312" w:afterLines="100" w:line="300" w:lineRule="auto"/>
      <w:jc w:val="center"/>
      <w:outlineLvl w:val="1"/>
    </w:pPr>
    <w:rPr>
      <w:b/>
      <w:bCs/>
      <w:sz w:val="24"/>
    </w:rPr>
  </w:style>
  <w:style w:type="paragraph" w:customStyle="1" w:styleId="81">
    <w:name w:val="说明"/>
    <w:basedOn w:val="1"/>
    <w:qFormat/>
    <w:uiPriority w:val="0"/>
    <w:pPr>
      <w:spacing w:line="400" w:lineRule="atLeast"/>
    </w:pPr>
    <w:rPr>
      <w:rFonts w:ascii="楷体_GB2312" w:eastAsia="楷体_GB2312"/>
      <w:sz w:val="24"/>
    </w:rPr>
  </w:style>
  <w:style w:type="paragraph" w:customStyle="1" w:styleId="8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table" w:customStyle="1" w:styleId="83">
    <w:name w:val="网格型1"/>
    <w:basedOn w:val="2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4">
    <w:name w:val="List Paragraph"/>
    <w:basedOn w:val="1"/>
    <w:link w:val="85"/>
    <w:qFormat/>
    <w:uiPriority w:val="34"/>
    <w:pPr>
      <w:spacing w:line="360" w:lineRule="auto"/>
      <w:ind w:firstLine="420" w:firstLineChars="200"/>
    </w:pPr>
    <w:rPr>
      <w:rFonts w:hint="default"/>
      <w:sz w:val="24"/>
      <w:szCs w:val="22"/>
    </w:rPr>
  </w:style>
  <w:style w:type="character" w:customStyle="1" w:styleId="85">
    <w:name w:val="列表段落 字符"/>
    <w:link w:val="84"/>
    <w:qFormat/>
    <w:uiPriority w:val="34"/>
    <w:rPr>
      <w:kern w:val="2"/>
      <w:sz w:val="24"/>
      <w:szCs w:val="22"/>
    </w:rPr>
  </w:style>
  <w:style w:type="paragraph" w:customStyle="1" w:styleId="86">
    <w:name w:val="List Paragraph1"/>
    <w:basedOn w:val="1"/>
    <w:qFormat/>
    <w:uiPriority w:val="0"/>
    <w:pPr>
      <w:ind w:firstLine="420" w:firstLineChars="200"/>
    </w:pPr>
    <w:rPr>
      <w:rFonts w:hint="default" w:ascii="Arial" w:hAnsi="Arial"/>
      <w:sz w:val="24"/>
      <w:szCs w:val="22"/>
    </w:rPr>
  </w:style>
  <w:style w:type="character" w:styleId="87">
    <w:name w:val="Placeholder Text"/>
    <w:basedOn w:val="31"/>
    <w:unhideWhenUsed/>
    <w:qFormat/>
    <w:uiPriority w:val="99"/>
    <w:rPr>
      <w:rFonts w:ascii="Times New Roman" w:hAnsi="Times New Roman" w:eastAsia="宋体" w:cs="Times New Roman"/>
      <w:color w:val="808080"/>
    </w:rPr>
  </w:style>
  <w:style w:type="paragraph" w:customStyle="1" w:styleId="88">
    <w:name w:val="BodyTextIndent2"/>
    <w:basedOn w:val="1"/>
    <w:qFormat/>
    <w:uiPriority w:val="0"/>
    <w:pPr>
      <w:spacing w:after="120" w:line="480" w:lineRule="auto"/>
      <w:ind w:left="420" w:leftChars="200"/>
      <w:textAlignment w:val="baseline"/>
    </w:pPr>
    <w:rPr>
      <w:rFonts w:ascii="Times New Roman" w:hAnsi="Times New Roman"/>
    </w:rPr>
  </w:style>
  <w:style w:type="paragraph" w:customStyle="1" w:styleId="89">
    <w:name w:val="Plain Text1"/>
    <w:basedOn w:val="1"/>
    <w:qFormat/>
    <w:uiPriority w:val="0"/>
    <w:rPr>
      <w:rFonts w:ascii="宋体" w:hAnsi="Courier New" w:eastAsia="宋体" w:cs="Times New Roman"/>
      <w:szCs w:val="21"/>
    </w:rPr>
  </w:style>
  <w:style w:type="paragraph" w:styleId="90">
    <w:name w:val="No Spacing"/>
    <w:basedOn w:val="1"/>
    <w:qFormat/>
    <w:uiPriority w:val="1"/>
    <w:pPr>
      <w:spacing w:beforeLines="100" w:line="300" w:lineRule="auto"/>
      <w:outlineLvl w:val="3"/>
    </w:pPr>
    <w:rPr>
      <w:rFonts w:ascii="Times New Roman" w:hAnsi="Times New Roman" w:cs="Times New Roman"/>
      <w:sz w:val="24"/>
      <w:szCs w:val="24"/>
    </w:rPr>
  </w:style>
  <w:style w:type="paragraph" w:customStyle="1" w:styleId="91">
    <w:name w:val="样式2"/>
    <w:basedOn w:val="1"/>
    <w:qFormat/>
    <w:uiPriority w:val="0"/>
    <w:pPr>
      <w:spacing w:before="156" w:after="156" w:line="400" w:lineRule="atLeast"/>
    </w:pPr>
    <w:rPr>
      <w:rFonts w:ascii="楷体_GB2312" w:hAnsi="Times New Roman" w:eastAsia="楷体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0866D-5E2C-4997-8A0F-E9081E105663}">
  <ds:schemaRefs/>
</ds:datastoreItem>
</file>

<file path=docProps/app.xml><?xml version="1.0" encoding="utf-8"?>
<Properties xmlns="http://schemas.openxmlformats.org/officeDocument/2006/extended-properties" xmlns:vt="http://schemas.openxmlformats.org/officeDocument/2006/docPropsVTypes">
  <Template>Normal</Template>
  <Pages>80</Pages>
  <Words>49082</Words>
  <Characters>53060</Characters>
  <Lines>333</Lines>
  <Paragraphs>93</Paragraphs>
  <TotalTime>2</TotalTime>
  <ScaleCrop>false</ScaleCrop>
  <LinksUpToDate>false</LinksUpToDate>
  <CharactersWithSpaces>54950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2022-11-25T08:51:00Z</dcterms:created>
  <dc:creator>dk</dc:creator>
  <cp:lastModifiedBy>陌</cp:lastModifiedBy>
  <cp:lastPrinted>2020-07-21T08:55:00Z</cp:lastPrinted>
  <dcterms:modified xsi:type="dcterms:W3CDTF">2024-05-09T02:00:56Z</dcterms:modified>
  <dc:title>1、《广东省绿色建筑设计规范》（ver 1.0）（征求意见稿）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2052-12.1.0.16910</vt:lpwstr>
  </property>
  <property fmtid="{D5CDD505-2E9C-101B-9397-08002B2CF9AE}" pid="4" name="ribbonExt">
    <vt:lpwstr>{"WPSExtOfficeTab":{"OnGetEnabled":false,"OnGetVisible":false}}</vt:lpwstr>
  </property>
  <property fmtid="{D5CDD505-2E9C-101B-9397-08002B2CF9AE}" pid="5" name="ICV">
    <vt:lpwstr>C38C77903DD8400C8AB74E8520E4C811</vt:lpwstr>
  </property>
</Properties>
</file>