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1</w:t>
      </w:r>
    </w:p>
    <w:p>
      <w:pPr>
        <w:contextualSpacing/>
        <w:jc w:val="center"/>
        <w:rPr>
          <w:rFonts w:ascii="方正仿宋_GBK" w:eastAsia="方正仿宋_GBK"/>
          <w:sz w:val="32"/>
          <w:szCs w:val="32"/>
        </w:rPr>
      </w:pPr>
    </w:p>
    <w:p>
      <w:pPr>
        <w:spacing w:before="480" w:beforeLines="200" w:after="100" w:afterAutospacing="1"/>
        <w:contextualSpacing/>
        <w:jc w:val="center"/>
        <w:rPr>
          <w:rFonts w:eastAsia="方正小标宋_GBK"/>
          <w:sz w:val="44"/>
          <w:szCs w:val="44"/>
        </w:rPr>
      </w:pPr>
      <w:bookmarkStart w:id="0" w:name="_GoBack"/>
      <w:r>
        <w:rPr>
          <w:rFonts w:eastAsia="方正小标宋_GBK"/>
          <w:sz w:val="44"/>
          <w:szCs w:val="44"/>
        </w:rPr>
        <w:t>重庆市智能建造试点项目评价指标（试行）</w:t>
      </w:r>
      <w:bookmarkEnd w:id="0"/>
    </w:p>
    <w:tbl>
      <w:tblPr>
        <w:tblStyle w:val="5"/>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8"/>
        <w:gridCol w:w="1138"/>
        <w:gridCol w:w="1134"/>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354" w:type="pct"/>
            <w:vAlign w:val="center"/>
          </w:tcPr>
          <w:p>
            <w:pPr>
              <w:contextualSpacing/>
              <w:jc w:val="center"/>
              <w:rPr>
                <w:rFonts w:eastAsia="方正黑体_GBK"/>
                <w:szCs w:val="21"/>
              </w:rPr>
            </w:pPr>
            <w:r>
              <w:rPr>
                <w:rFonts w:eastAsia="方正黑体_GBK"/>
                <w:szCs w:val="21"/>
              </w:rPr>
              <w:t>序号</w:t>
            </w:r>
          </w:p>
        </w:tc>
        <w:tc>
          <w:tcPr>
            <w:tcW w:w="567" w:type="pct"/>
            <w:vAlign w:val="center"/>
          </w:tcPr>
          <w:p>
            <w:pPr>
              <w:contextualSpacing/>
              <w:jc w:val="center"/>
              <w:rPr>
                <w:rFonts w:eastAsia="方正黑体_GBK"/>
                <w:szCs w:val="21"/>
              </w:rPr>
            </w:pPr>
            <w:r>
              <w:rPr>
                <w:rFonts w:eastAsia="方正黑体_GBK"/>
                <w:szCs w:val="21"/>
              </w:rPr>
              <w:t>评价模块</w:t>
            </w:r>
          </w:p>
        </w:tc>
        <w:tc>
          <w:tcPr>
            <w:tcW w:w="567" w:type="pct"/>
            <w:vAlign w:val="center"/>
          </w:tcPr>
          <w:p>
            <w:pPr>
              <w:contextualSpacing/>
              <w:jc w:val="center"/>
              <w:rPr>
                <w:rFonts w:eastAsia="方正黑体_GBK"/>
                <w:szCs w:val="21"/>
              </w:rPr>
            </w:pPr>
            <w:r>
              <w:rPr>
                <w:rFonts w:eastAsia="方正黑体_GBK"/>
                <w:szCs w:val="21"/>
              </w:rPr>
              <w:t>技术名称</w:t>
            </w:r>
          </w:p>
        </w:tc>
        <w:tc>
          <w:tcPr>
            <w:tcW w:w="565" w:type="pct"/>
            <w:vAlign w:val="center"/>
          </w:tcPr>
          <w:p>
            <w:pPr>
              <w:contextualSpacing/>
              <w:jc w:val="center"/>
              <w:rPr>
                <w:rFonts w:eastAsia="方正黑体_GBK"/>
                <w:szCs w:val="21"/>
              </w:rPr>
            </w:pPr>
            <w:r>
              <w:rPr>
                <w:rFonts w:eastAsia="方正黑体_GBK"/>
                <w:szCs w:val="21"/>
              </w:rPr>
              <w:t>选项类别</w:t>
            </w:r>
          </w:p>
        </w:tc>
        <w:tc>
          <w:tcPr>
            <w:tcW w:w="2947" w:type="pct"/>
            <w:vAlign w:val="center"/>
          </w:tcPr>
          <w:p>
            <w:pPr>
              <w:contextualSpacing/>
              <w:jc w:val="center"/>
              <w:rPr>
                <w:rFonts w:eastAsia="方正黑体_GBK"/>
                <w:szCs w:val="21"/>
              </w:rPr>
            </w:pPr>
            <w:r>
              <w:rPr>
                <w:rFonts w:eastAsia="方正黑体_GBK"/>
                <w:szCs w:val="21"/>
              </w:rPr>
              <w:t>实施要求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w:t>
            </w:r>
          </w:p>
        </w:tc>
        <w:tc>
          <w:tcPr>
            <w:tcW w:w="567" w:type="pct"/>
            <w:vMerge w:val="restart"/>
            <w:vAlign w:val="center"/>
          </w:tcPr>
          <w:p>
            <w:pPr>
              <w:contextualSpacing/>
              <w:jc w:val="center"/>
              <w:rPr>
                <w:rFonts w:eastAsia="方正黑体_GBK"/>
                <w:sz w:val="24"/>
              </w:rPr>
            </w:pPr>
            <w:r>
              <w:rPr>
                <w:rFonts w:eastAsia="方正仿宋_GBK"/>
                <w:szCs w:val="21"/>
              </w:rPr>
              <w:t>项目系统性策划</w:t>
            </w:r>
          </w:p>
        </w:tc>
        <w:tc>
          <w:tcPr>
            <w:tcW w:w="567" w:type="pct"/>
            <w:vMerge w:val="restart"/>
            <w:vAlign w:val="center"/>
          </w:tcPr>
          <w:p>
            <w:pPr>
              <w:contextualSpacing/>
              <w:jc w:val="center"/>
              <w:rPr>
                <w:rFonts w:eastAsia="方正黑体_GBK"/>
                <w:sz w:val="24"/>
              </w:rPr>
            </w:pPr>
            <w:r>
              <w:rPr>
                <w:rFonts w:eastAsia="方正仿宋_GBK"/>
                <w:szCs w:val="21"/>
              </w:rPr>
              <w:t>——</w:t>
            </w:r>
          </w:p>
        </w:tc>
        <w:tc>
          <w:tcPr>
            <w:tcW w:w="565" w:type="pct"/>
            <w:vMerge w:val="restart"/>
            <w:vAlign w:val="center"/>
          </w:tcPr>
          <w:p>
            <w:pPr>
              <w:contextualSpacing/>
              <w:jc w:val="center"/>
              <w:rPr>
                <w:rFonts w:eastAsia="方正黑体_GBK"/>
                <w:sz w:val="24"/>
              </w:rPr>
            </w:pPr>
            <w:r>
              <w:rPr>
                <w:rFonts w:eastAsia="方正仿宋_GBK"/>
                <w:szCs w:val="21"/>
              </w:rPr>
              <w:t>基础项</w:t>
            </w:r>
          </w:p>
        </w:tc>
        <w:tc>
          <w:tcPr>
            <w:tcW w:w="2947" w:type="pct"/>
            <w:vAlign w:val="center"/>
          </w:tcPr>
          <w:p>
            <w:pPr>
              <w:contextualSpacing/>
              <w:rPr>
                <w:rFonts w:eastAsia="方正黑体_GBK"/>
                <w:sz w:val="24"/>
              </w:rPr>
            </w:pPr>
            <w:r>
              <w:rPr>
                <w:rFonts w:eastAsia="方正仿宋_GBK"/>
                <w:szCs w:val="21"/>
              </w:rPr>
              <w:t>建立智能建造项目组织管理架构，分工有序、职责明确，满足智能建造项目建设需求，配备智能建造专业人员。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黑体_GBK"/>
                <w:sz w:val="24"/>
              </w:rPr>
            </w:pPr>
            <w:r>
              <w:rPr>
                <w:rFonts w:eastAsia="方正仿宋_GBK"/>
                <w:szCs w:val="21"/>
              </w:rPr>
              <w:t>编制智能建造试点项目实施方案，明确智能建造在项目中的总体要求、技术体系、实施计划、组织管理和应用场景。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黑体_GBK"/>
                <w:sz w:val="24"/>
              </w:rPr>
            </w:pPr>
            <w:r>
              <w:rPr>
                <w:rFonts w:eastAsia="方正仿宋_GBK"/>
                <w:szCs w:val="21"/>
              </w:rPr>
              <w:t>采用装配式建造方式。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黑体_GBK"/>
                <w:sz w:val="24"/>
              </w:rPr>
            </w:pPr>
            <w:r>
              <w:rPr>
                <w:rFonts w:eastAsia="方正仿宋_GBK"/>
                <w:szCs w:val="21"/>
              </w:rPr>
              <w:t>在设计、生产、施工等环节系统选用智能建造技术，且全过程应用BIM技术。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5</w:t>
            </w:r>
          </w:p>
        </w:tc>
        <w:tc>
          <w:tcPr>
            <w:tcW w:w="567" w:type="pct"/>
            <w:vMerge w:val="restart"/>
            <w:vAlign w:val="center"/>
          </w:tcPr>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r>
              <w:rPr>
                <w:rFonts w:eastAsia="方正仿宋_GBK"/>
                <w:szCs w:val="21"/>
              </w:rPr>
              <w:t>数字化设计</w:t>
            </w: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r>
              <w:rPr>
                <w:rFonts w:eastAsia="方正仿宋_GBK"/>
                <w:szCs w:val="21"/>
              </w:rPr>
              <w:t>数字化设计</w:t>
            </w:r>
          </w:p>
        </w:tc>
        <w:tc>
          <w:tcPr>
            <w:tcW w:w="567" w:type="pct"/>
            <w:vMerge w:val="restart"/>
            <w:vAlign w:val="center"/>
          </w:tcPr>
          <w:p>
            <w:pPr>
              <w:contextualSpacing/>
              <w:jc w:val="center"/>
              <w:rPr>
                <w:rFonts w:eastAsia="方正黑体_GBK"/>
                <w:sz w:val="24"/>
              </w:rPr>
            </w:pPr>
            <w:r>
              <w:rPr>
                <w:rFonts w:eastAsia="方正仿宋_GBK"/>
                <w:szCs w:val="21"/>
              </w:rPr>
              <w:t>建筑信息模型（BIM）技术</w:t>
            </w:r>
          </w:p>
        </w:tc>
        <w:tc>
          <w:tcPr>
            <w:tcW w:w="565" w:type="pct"/>
            <w:vMerge w:val="restart"/>
            <w:vAlign w:val="center"/>
          </w:tcPr>
          <w:p>
            <w:pPr>
              <w:contextualSpacing/>
              <w:jc w:val="center"/>
              <w:rPr>
                <w:rFonts w:eastAsia="方正黑体_GBK"/>
                <w:sz w:val="24"/>
              </w:rPr>
            </w:pPr>
            <w:r>
              <w:rPr>
                <w:rFonts w:eastAsia="方正仿宋_GBK"/>
                <w:szCs w:val="21"/>
              </w:rPr>
              <w:t>基础项</w:t>
            </w:r>
          </w:p>
        </w:tc>
        <w:tc>
          <w:tcPr>
            <w:tcW w:w="2947" w:type="pct"/>
            <w:vAlign w:val="center"/>
          </w:tcPr>
          <w:p>
            <w:pPr>
              <w:contextualSpacing/>
              <w:rPr>
                <w:rFonts w:eastAsia="方正仿宋_GBK"/>
                <w:szCs w:val="21"/>
              </w:rPr>
            </w:pPr>
            <w:r>
              <w:rPr>
                <w:rFonts w:eastAsia="方正仿宋_GBK"/>
                <w:szCs w:val="21"/>
              </w:rPr>
              <w:t>创建房屋建筑或市政工程项目BIM模型，模型精度不低于LOD</w:t>
            </w:r>
            <w:r>
              <w:rPr>
                <w:rFonts w:hint="default" w:ascii="Times New Roman" w:hAnsi="Times New Roman" w:eastAsia="方正仿宋_GBK" w:cs="Times New Roman"/>
                <w:szCs w:val="21"/>
              </w:rPr>
              <w:t>300</w:t>
            </w: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6</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利用BIM模型开展设计可视化评审、管线综合排布与优化、全专业碰撞检查及综合协调、设计图纸辅助生成、工程量辅助统计等基础应用。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7</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通过审查工具对BIM模型命名、构件命名、构件完整性、信息完整性等进行审查，并生成审核报告。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8</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restart"/>
            <w:vAlign w:val="center"/>
          </w:tcPr>
          <w:p>
            <w:pPr>
              <w:contextualSpacing/>
              <w:jc w:val="center"/>
              <w:rPr>
                <w:rFonts w:eastAsia="方正黑体_GBK"/>
                <w:sz w:val="24"/>
              </w:rPr>
            </w:pPr>
            <w:r>
              <w:rPr>
                <w:rFonts w:eastAsia="方正仿宋_GBK"/>
                <w:szCs w:val="21"/>
              </w:rPr>
              <w:t>提升项</w:t>
            </w:r>
          </w:p>
        </w:tc>
        <w:tc>
          <w:tcPr>
            <w:tcW w:w="2947" w:type="pct"/>
            <w:vAlign w:val="center"/>
          </w:tcPr>
          <w:p>
            <w:pPr>
              <w:contextualSpacing/>
              <w:rPr>
                <w:rFonts w:eastAsia="方正仿宋_GBK"/>
                <w:szCs w:val="21"/>
              </w:rPr>
            </w:pPr>
            <w:r>
              <w:rPr>
                <w:rFonts w:eastAsia="方正仿宋_GBK"/>
                <w:szCs w:val="21"/>
              </w:rPr>
              <w:t>应用BIM模型辅助装配率计算和审查。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9</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应用设计阶段BIM模型开展施工图深化设计，并作为构件生产、智能施工的数据来源。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10</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highlight w:val="yellow"/>
              </w:rPr>
            </w:pPr>
            <w:r>
              <w:rPr>
                <w:rFonts w:eastAsia="方正仿宋_GBK"/>
                <w:szCs w:val="21"/>
              </w:rPr>
              <w:t>应用BIM模型，结合施工组织方案，实现工程量智能算量。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11</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highlight w:val="yellow"/>
              </w:rPr>
            </w:pPr>
            <w:r>
              <w:rPr>
                <w:rFonts w:eastAsia="方正仿宋_GBK"/>
                <w:szCs w:val="21"/>
              </w:rPr>
              <w:t>基于项目竣工交付的BIM模型，搭建数字化运营管理系统，实现项目资产、设备、空间的数字化管理。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12</w:t>
            </w:r>
          </w:p>
        </w:tc>
        <w:tc>
          <w:tcPr>
            <w:tcW w:w="567" w:type="pct"/>
            <w:vMerge w:val="continue"/>
            <w:vAlign w:val="center"/>
          </w:tcPr>
          <w:p>
            <w:pPr>
              <w:contextualSpacing/>
              <w:jc w:val="center"/>
              <w:rPr>
                <w:rFonts w:eastAsia="方正黑体_GBK"/>
                <w:sz w:val="24"/>
              </w:rPr>
            </w:pPr>
          </w:p>
        </w:tc>
        <w:tc>
          <w:tcPr>
            <w:tcW w:w="567" w:type="pct"/>
            <w:vMerge w:val="restart"/>
            <w:vAlign w:val="center"/>
          </w:tcPr>
          <w:p>
            <w:pPr>
              <w:contextualSpacing/>
              <w:jc w:val="center"/>
              <w:rPr>
                <w:rFonts w:eastAsia="方正黑体_GBK"/>
                <w:sz w:val="24"/>
              </w:rPr>
            </w:pPr>
            <w:r>
              <w:rPr>
                <w:rFonts w:eastAsia="方正仿宋_GBK"/>
                <w:szCs w:val="21"/>
              </w:rPr>
              <w:t>逆向建模技术</w:t>
            </w:r>
          </w:p>
        </w:tc>
        <w:tc>
          <w:tcPr>
            <w:tcW w:w="565" w:type="pct"/>
            <w:vMerge w:val="restart"/>
            <w:vAlign w:val="center"/>
          </w:tcPr>
          <w:p>
            <w:pPr>
              <w:contextualSpacing/>
              <w:jc w:val="center"/>
              <w:rPr>
                <w:rFonts w:eastAsia="方正黑体_GBK"/>
                <w:sz w:val="24"/>
              </w:rPr>
            </w:pPr>
            <w:r>
              <w:rPr>
                <w:rFonts w:eastAsia="方正仿宋_GBK"/>
                <w:szCs w:val="21"/>
              </w:rPr>
              <w:t>提升项</w:t>
            </w:r>
          </w:p>
        </w:tc>
        <w:tc>
          <w:tcPr>
            <w:tcW w:w="2947" w:type="pct"/>
            <w:vAlign w:val="center"/>
          </w:tcPr>
          <w:p>
            <w:pPr>
              <w:contextualSpacing/>
              <w:rPr>
                <w:rFonts w:eastAsia="方正仿宋_GBK"/>
                <w:szCs w:val="21"/>
              </w:rPr>
            </w:pPr>
            <w:r>
              <w:rPr>
                <w:rFonts w:eastAsia="方正仿宋_GBK"/>
                <w:szCs w:val="21"/>
              </w:rPr>
              <w:t>对新建、改造项目的室内外环境，通过三维激光扫描技术或倾斜摄影技术获取实景三维模型。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13</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项目建设过程中，利用三维激光扫描点云模型修正BIM模型或直接基于点云模型开展BIM深化设计，利用单次点云模型数据直接进行平整度、方正度等检测，利用多次点云模型数据进行变形监测</w:t>
            </w:r>
            <w:r>
              <w:rPr>
                <w:rFonts w:hint="eastAsia" w:eastAsia="方正仿宋_GBK"/>
                <w:szCs w:val="21"/>
              </w:rPr>
              <w:t>以及</w:t>
            </w:r>
            <w:r>
              <w:rPr>
                <w:rFonts w:eastAsia="方正仿宋_GBK"/>
                <w:szCs w:val="21"/>
              </w:rPr>
              <w:t>土方开挖</w:t>
            </w:r>
            <w:r>
              <w:rPr>
                <w:rFonts w:hint="eastAsia" w:eastAsia="方正仿宋_GBK"/>
                <w:szCs w:val="21"/>
              </w:rPr>
              <w:t>、</w:t>
            </w:r>
            <w:r>
              <w:rPr>
                <w:rFonts w:eastAsia="方正仿宋_GBK"/>
                <w:szCs w:val="21"/>
              </w:rPr>
              <w:t>新建部分实体增减量计算和分析。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14</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对于大型预制构件，利用三维激光扫描点云模型数据开展逆向建模及拼装模拟。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15</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对于大型预制构件和已施工实体，利用三维激光扫描点云模型数据和BIM模型进行对比，进行施工质量检测、安装偏差分析。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16</w:t>
            </w:r>
          </w:p>
        </w:tc>
        <w:tc>
          <w:tcPr>
            <w:tcW w:w="567" w:type="pct"/>
            <w:vMerge w:val="continue"/>
            <w:vAlign w:val="center"/>
          </w:tcPr>
          <w:p>
            <w:pPr>
              <w:contextualSpacing/>
              <w:jc w:val="center"/>
              <w:rPr>
                <w:rFonts w:eastAsia="方正黑体_GBK"/>
                <w:sz w:val="24"/>
              </w:rPr>
            </w:pPr>
          </w:p>
        </w:tc>
        <w:tc>
          <w:tcPr>
            <w:tcW w:w="567" w:type="pct"/>
            <w:vMerge w:val="restart"/>
            <w:vAlign w:val="center"/>
          </w:tcPr>
          <w:p>
            <w:pPr>
              <w:contextualSpacing/>
              <w:jc w:val="center"/>
              <w:rPr>
                <w:rFonts w:eastAsia="方正仿宋_GBK"/>
                <w:szCs w:val="21"/>
              </w:rPr>
            </w:pPr>
            <w:r>
              <w:rPr>
                <w:rFonts w:eastAsia="方正仿宋_GBK"/>
                <w:szCs w:val="21"/>
              </w:rPr>
              <w:t>模拟仿真技术</w:t>
            </w: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黑体_GBK"/>
                <w:sz w:val="24"/>
              </w:rPr>
            </w:pPr>
            <w:r>
              <w:rPr>
                <w:rFonts w:eastAsia="方正仿宋_GBK"/>
                <w:szCs w:val="21"/>
              </w:rPr>
              <w:t>模拟仿真技术</w:t>
            </w:r>
          </w:p>
        </w:tc>
        <w:tc>
          <w:tcPr>
            <w:tcW w:w="565" w:type="pct"/>
            <w:vMerge w:val="restart"/>
            <w:vAlign w:val="center"/>
          </w:tcPr>
          <w:p>
            <w:pPr>
              <w:contextualSpacing/>
              <w:jc w:val="center"/>
              <w:rPr>
                <w:rFonts w:eastAsia="方正仿宋_GBK"/>
                <w:szCs w:val="21"/>
              </w:rPr>
            </w:pPr>
            <w:r>
              <w:rPr>
                <w:rFonts w:eastAsia="方正仿宋_GBK"/>
                <w:szCs w:val="21"/>
              </w:rPr>
              <w:t>基础项</w:t>
            </w: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黑体_GBK"/>
                <w:sz w:val="24"/>
              </w:rPr>
            </w:pPr>
            <w:r>
              <w:rPr>
                <w:rFonts w:eastAsia="方正仿宋_GBK"/>
                <w:szCs w:val="21"/>
              </w:rPr>
              <w:t>基础项</w:t>
            </w:r>
          </w:p>
        </w:tc>
        <w:tc>
          <w:tcPr>
            <w:tcW w:w="2947" w:type="pct"/>
            <w:vAlign w:val="center"/>
          </w:tcPr>
          <w:p>
            <w:pPr>
              <w:contextualSpacing/>
              <w:rPr>
                <w:rFonts w:eastAsia="方正仿宋_GBK"/>
                <w:szCs w:val="21"/>
              </w:rPr>
            </w:pPr>
            <w:r>
              <w:rPr>
                <w:rFonts w:eastAsia="方正仿宋_GBK"/>
                <w:szCs w:val="21"/>
              </w:rPr>
              <w:t>在虚拟环境中对设计方案进行多种性能化分析，包括建筑物理环境分析、消防性能化分析等。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17</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AR/VR/MR等虚拟现实技术，实现增强/虚拟/混合现实仿真模拟，提供真实的、沉浸式漫游体验模式。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18</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对施工组织设计、重难点施工方案、新工艺新技术、关键节点或冗杂构造等进行可视化模拟或虚拟建造。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19</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restart"/>
            <w:vAlign w:val="center"/>
          </w:tcPr>
          <w:p>
            <w:pPr>
              <w:contextualSpacing/>
              <w:jc w:val="center"/>
              <w:rPr>
                <w:rFonts w:eastAsia="方正黑体_GBK"/>
                <w:sz w:val="24"/>
              </w:rPr>
            </w:pPr>
            <w:r>
              <w:rPr>
                <w:rFonts w:eastAsia="方正仿宋_GBK"/>
                <w:szCs w:val="21"/>
              </w:rPr>
              <w:t>提升项</w:t>
            </w:r>
          </w:p>
        </w:tc>
        <w:tc>
          <w:tcPr>
            <w:tcW w:w="2947" w:type="pct"/>
            <w:vAlign w:val="center"/>
          </w:tcPr>
          <w:p>
            <w:pPr>
              <w:contextualSpacing/>
              <w:rPr>
                <w:rFonts w:eastAsia="方正仿宋_GBK"/>
                <w:szCs w:val="21"/>
              </w:rPr>
            </w:pPr>
            <w:r>
              <w:rPr>
                <w:rFonts w:eastAsia="方正仿宋_GBK"/>
                <w:szCs w:val="21"/>
              </w:rPr>
              <w:t>在虚拟环境中进行场地环境分析、结构性能化分析、碳排放性能指标测算分析等性能化分析。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20</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对施工进度、质量、安全等进行三维可视化治理，如三维施工进度管理、MR辅助施工质量验收、三维沉浸式安全教育培训等。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21</w:t>
            </w:r>
          </w:p>
        </w:tc>
        <w:tc>
          <w:tcPr>
            <w:tcW w:w="567" w:type="pct"/>
            <w:vMerge w:val="continue"/>
            <w:vAlign w:val="center"/>
          </w:tcPr>
          <w:p>
            <w:pPr>
              <w:contextualSpacing/>
              <w:jc w:val="center"/>
              <w:rPr>
                <w:rFonts w:eastAsia="方正黑体_GBK"/>
                <w:sz w:val="24"/>
              </w:rPr>
            </w:pPr>
          </w:p>
        </w:tc>
        <w:tc>
          <w:tcPr>
            <w:tcW w:w="567" w:type="pct"/>
            <w:vMerge w:val="restart"/>
            <w:vAlign w:val="center"/>
          </w:tcPr>
          <w:p>
            <w:pPr>
              <w:contextualSpacing/>
              <w:jc w:val="center"/>
              <w:rPr>
                <w:rFonts w:eastAsia="方正黑体_GBK"/>
                <w:sz w:val="24"/>
              </w:rPr>
            </w:pPr>
            <w:r>
              <w:rPr>
                <w:rFonts w:eastAsia="方正仿宋_GBK"/>
                <w:szCs w:val="21"/>
              </w:rPr>
              <w:t>设计协同平台</w:t>
            </w:r>
          </w:p>
        </w:tc>
        <w:tc>
          <w:tcPr>
            <w:tcW w:w="565" w:type="pct"/>
            <w:vMerge w:val="restart"/>
            <w:vAlign w:val="center"/>
          </w:tcPr>
          <w:p>
            <w:pPr>
              <w:contextualSpacing/>
              <w:jc w:val="center"/>
              <w:rPr>
                <w:rFonts w:eastAsia="方正黑体_GBK"/>
                <w:sz w:val="24"/>
              </w:rPr>
            </w:pPr>
            <w:r>
              <w:rPr>
                <w:rFonts w:eastAsia="方正仿宋_GBK"/>
                <w:szCs w:val="21"/>
              </w:rPr>
              <w:t>基础项</w:t>
            </w:r>
          </w:p>
        </w:tc>
        <w:tc>
          <w:tcPr>
            <w:tcW w:w="2947" w:type="pct"/>
            <w:vAlign w:val="center"/>
          </w:tcPr>
          <w:p>
            <w:pPr>
              <w:contextualSpacing/>
              <w:rPr>
                <w:rFonts w:eastAsia="方正仿宋_GBK"/>
                <w:szCs w:val="21"/>
              </w:rPr>
            </w:pPr>
            <w:r>
              <w:rPr>
                <w:rFonts w:eastAsia="方正仿宋_GBK"/>
                <w:szCs w:val="21"/>
              </w:rPr>
              <w:t>集成构件库或构件族库功能，设计人员可直接调用构件库中的构件创建数字化模型。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22</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全专业基于同一平台同步开展一体化集成设计。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23</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restart"/>
            <w:vAlign w:val="center"/>
          </w:tcPr>
          <w:p>
            <w:pPr>
              <w:contextualSpacing/>
              <w:jc w:val="center"/>
              <w:rPr>
                <w:rFonts w:eastAsia="方正黑体_GBK"/>
                <w:sz w:val="24"/>
              </w:rPr>
            </w:pPr>
            <w:r>
              <w:rPr>
                <w:rFonts w:eastAsia="方正仿宋_GBK"/>
                <w:szCs w:val="21"/>
              </w:rPr>
              <w:t>提升项</w:t>
            </w:r>
          </w:p>
        </w:tc>
        <w:tc>
          <w:tcPr>
            <w:tcW w:w="2947" w:type="pct"/>
            <w:vAlign w:val="center"/>
          </w:tcPr>
          <w:p>
            <w:pPr>
              <w:contextualSpacing/>
              <w:rPr>
                <w:rFonts w:eastAsia="方正仿宋_GBK"/>
                <w:szCs w:val="21"/>
              </w:rPr>
            </w:pPr>
            <w:r>
              <w:rPr>
                <w:rFonts w:hint="eastAsia" w:eastAsia="方正仿宋_GBK"/>
                <w:szCs w:val="21"/>
              </w:rPr>
              <w:t>具备图层级协同设计功能。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24</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hint="eastAsia" w:eastAsia="方正仿宋_GBK"/>
                <w:szCs w:val="21"/>
              </w:rPr>
              <w:t>具备设计修改一键同步数据更新、设计校审意见图形化批注、质量管理大数据库等功能。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25</w:t>
            </w:r>
          </w:p>
        </w:tc>
        <w:tc>
          <w:tcPr>
            <w:tcW w:w="567" w:type="pct"/>
            <w:vMerge w:val="continue"/>
            <w:vAlign w:val="center"/>
          </w:tcPr>
          <w:p>
            <w:pPr>
              <w:contextualSpacing/>
              <w:jc w:val="center"/>
              <w:rPr>
                <w:rFonts w:eastAsia="方正黑体_GBK"/>
                <w:sz w:val="24"/>
              </w:rPr>
            </w:pPr>
          </w:p>
        </w:tc>
        <w:tc>
          <w:tcPr>
            <w:tcW w:w="567" w:type="pct"/>
            <w:vMerge w:val="restart"/>
            <w:vAlign w:val="center"/>
          </w:tcPr>
          <w:p>
            <w:pPr>
              <w:contextualSpacing/>
              <w:jc w:val="center"/>
              <w:rPr>
                <w:rFonts w:eastAsia="方正仿宋_GBK"/>
                <w:szCs w:val="21"/>
              </w:rPr>
            </w:pPr>
            <w:r>
              <w:rPr>
                <w:rFonts w:eastAsia="方正仿宋_GBK"/>
                <w:szCs w:val="21"/>
              </w:rPr>
              <w:t>人工智能设计技术</w:t>
            </w:r>
          </w:p>
        </w:tc>
        <w:tc>
          <w:tcPr>
            <w:tcW w:w="565" w:type="pct"/>
            <w:vMerge w:val="restart"/>
            <w:vAlign w:val="center"/>
          </w:tcPr>
          <w:p>
            <w:pPr>
              <w:contextualSpacing/>
              <w:jc w:val="center"/>
              <w:rPr>
                <w:rFonts w:eastAsia="方正黑体_GBK"/>
                <w:sz w:val="24"/>
              </w:rPr>
            </w:pPr>
            <w:r>
              <w:rPr>
                <w:rFonts w:eastAsia="方正仿宋_GBK"/>
                <w:szCs w:val="21"/>
              </w:rPr>
              <w:t>提升项</w:t>
            </w:r>
          </w:p>
        </w:tc>
        <w:tc>
          <w:tcPr>
            <w:tcW w:w="2947" w:type="pct"/>
            <w:vAlign w:val="center"/>
          </w:tcPr>
          <w:p>
            <w:pPr>
              <w:contextualSpacing/>
              <w:rPr>
                <w:rFonts w:eastAsia="方正仿宋_GBK"/>
                <w:szCs w:val="21"/>
              </w:rPr>
            </w:pPr>
            <w:r>
              <w:rPr>
                <w:rFonts w:eastAsia="方正仿宋_GBK"/>
                <w:szCs w:val="21"/>
              </w:rPr>
              <w:t>在设计过程中，根据需要全部或部分借助人工智能技术手段，快速智能化、自动化的创建、修改、优化设计成果。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26</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借助智能化技术，根据需要对全部或部分设计成果的合规性、合理性等进行一系列分析、审查工作，确保设计符合国家、行业和地方相关规定和标准要求。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27</w:t>
            </w:r>
          </w:p>
        </w:tc>
        <w:tc>
          <w:tcPr>
            <w:tcW w:w="567" w:type="pct"/>
            <w:vMerge w:val="restart"/>
            <w:vAlign w:val="center"/>
          </w:tcPr>
          <w:p>
            <w:pPr>
              <w:contextualSpacing/>
              <w:jc w:val="center"/>
              <w:rPr>
                <w:rFonts w:eastAsia="方正仿宋_GBK"/>
                <w:szCs w:val="21"/>
              </w:rPr>
            </w:pPr>
            <w:r>
              <w:rPr>
                <w:rFonts w:eastAsia="方正仿宋_GBK"/>
                <w:szCs w:val="21"/>
              </w:rPr>
              <w:t>工业化生产</w:t>
            </w:r>
          </w:p>
        </w:tc>
        <w:tc>
          <w:tcPr>
            <w:tcW w:w="567" w:type="pct"/>
            <w:vMerge w:val="restart"/>
            <w:vAlign w:val="center"/>
          </w:tcPr>
          <w:p>
            <w:pPr>
              <w:contextualSpacing/>
              <w:jc w:val="center"/>
              <w:rPr>
                <w:rFonts w:eastAsia="方正黑体_GBK"/>
                <w:sz w:val="24"/>
              </w:rPr>
            </w:pPr>
            <w:r>
              <w:rPr>
                <w:rFonts w:eastAsia="方正仿宋_GBK"/>
                <w:szCs w:val="21"/>
              </w:rPr>
              <w:t>装配式建造技术</w:t>
            </w:r>
          </w:p>
        </w:tc>
        <w:tc>
          <w:tcPr>
            <w:tcW w:w="565" w:type="pct"/>
            <w:vMerge w:val="restart"/>
            <w:vAlign w:val="center"/>
          </w:tcPr>
          <w:p>
            <w:pPr>
              <w:contextualSpacing/>
              <w:jc w:val="center"/>
              <w:rPr>
                <w:rFonts w:eastAsia="方正黑体_GBK"/>
                <w:sz w:val="24"/>
              </w:rPr>
            </w:pPr>
            <w:r>
              <w:rPr>
                <w:rFonts w:eastAsia="方正仿宋_GBK"/>
                <w:szCs w:val="21"/>
              </w:rPr>
              <w:t>基础项</w:t>
            </w:r>
          </w:p>
        </w:tc>
        <w:tc>
          <w:tcPr>
            <w:tcW w:w="2947" w:type="pct"/>
            <w:vAlign w:val="center"/>
          </w:tcPr>
          <w:p>
            <w:pPr>
              <w:contextualSpacing/>
              <w:rPr>
                <w:rFonts w:eastAsia="方正仿宋_GBK"/>
                <w:szCs w:val="21"/>
              </w:rPr>
            </w:pPr>
            <w:r>
              <w:rPr>
                <w:rFonts w:eastAsia="方正仿宋_GBK"/>
                <w:szCs w:val="21"/>
              </w:rPr>
              <w:t>项目装配率≥</w:t>
            </w:r>
            <w:r>
              <w:rPr>
                <w:rFonts w:hint="default" w:ascii="Times New Roman" w:hAnsi="Times New Roman" w:eastAsia="方正仿宋_GBK" w:cs="Times New Roman"/>
                <w:szCs w:val="21"/>
              </w:rPr>
              <w:t>50</w:t>
            </w:r>
            <w:r>
              <w:rPr>
                <w:rFonts w:eastAsia="方正仿宋_GBK"/>
                <w:szCs w:val="21"/>
              </w:rPr>
              <w:t>%，房屋建筑优先选用预制梁、预制柱、预制楼板、预制楼梯、预制围护墙、预制内隔墙等部品部件，市政工程优先选用预制柱、预制梁、预制管片、预制道床、预制管廊等部品部件。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28</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能够通过二维码、RFID等标识技术对部品部件进行信息标识，记录部品部件生产厂家、生产批次、规格型号、尺寸重量、质量检验等产品信息，且可进行全过程质量追溯。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29</w:t>
            </w:r>
          </w:p>
        </w:tc>
        <w:tc>
          <w:tcPr>
            <w:tcW w:w="567" w:type="pct"/>
            <w:vMerge w:val="restart"/>
            <w:vAlign w:val="center"/>
          </w:tcPr>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r>
              <w:rPr>
                <w:rFonts w:eastAsia="方正仿宋_GBK"/>
                <w:szCs w:val="21"/>
              </w:rPr>
              <w:t>智能化施工</w:t>
            </w: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r>
              <w:rPr>
                <w:rFonts w:eastAsia="方正仿宋_GBK"/>
                <w:szCs w:val="21"/>
              </w:rPr>
              <w:t>智能化施工</w:t>
            </w:r>
          </w:p>
        </w:tc>
        <w:tc>
          <w:tcPr>
            <w:tcW w:w="567" w:type="pct"/>
            <w:vMerge w:val="restart"/>
            <w:vAlign w:val="center"/>
          </w:tcPr>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r>
              <w:rPr>
                <w:rFonts w:eastAsia="方正仿宋_GBK"/>
                <w:szCs w:val="21"/>
              </w:rPr>
              <w:t>智能施工管理技术</w:t>
            </w: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黑体_GBK"/>
                <w:sz w:val="24"/>
              </w:rPr>
            </w:pPr>
            <w:r>
              <w:rPr>
                <w:rFonts w:eastAsia="方正仿宋_GBK"/>
                <w:szCs w:val="21"/>
              </w:rPr>
              <w:t>智能施工管理技术</w:t>
            </w:r>
          </w:p>
        </w:tc>
        <w:tc>
          <w:tcPr>
            <w:tcW w:w="565" w:type="pct"/>
            <w:vMerge w:val="restart"/>
            <w:vAlign w:val="center"/>
          </w:tcPr>
          <w:p>
            <w:pPr>
              <w:contextualSpacing/>
              <w:jc w:val="center"/>
              <w:rPr>
                <w:rFonts w:eastAsia="方正黑体_GBK"/>
                <w:sz w:val="24"/>
              </w:rPr>
            </w:pPr>
            <w:r>
              <w:rPr>
                <w:rFonts w:eastAsia="方正仿宋_GBK"/>
                <w:szCs w:val="21"/>
              </w:rPr>
              <w:t>基础项</w:t>
            </w:r>
          </w:p>
        </w:tc>
        <w:tc>
          <w:tcPr>
            <w:tcW w:w="2947" w:type="pct"/>
            <w:vAlign w:val="center"/>
          </w:tcPr>
          <w:p>
            <w:pPr>
              <w:contextualSpacing/>
              <w:rPr>
                <w:rFonts w:eastAsia="方正仿宋_GBK"/>
                <w:szCs w:val="21"/>
              </w:rPr>
            </w:pPr>
            <w:r>
              <w:rPr>
                <w:rFonts w:eastAsia="方正仿宋_GBK"/>
                <w:szCs w:val="21"/>
              </w:rPr>
              <w:t>满足现行《智慧工地建设与评价标准》DBJ</w:t>
            </w:r>
            <w:r>
              <w:rPr>
                <w:rFonts w:hint="default" w:ascii="Times New Roman" w:hAnsi="Times New Roman" w:eastAsia="方正仿宋_GBK" w:cs="Times New Roman"/>
                <w:szCs w:val="21"/>
              </w:rPr>
              <w:t>50</w:t>
            </w:r>
            <w:r>
              <w:rPr>
                <w:rFonts w:eastAsia="方正仿宋_GBK"/>
                <w:szCs w:val="21"/>
              </w:rPr>
              <w:t>-T-</w:t>
            </w:r>
            <w:r>
              <w:rPr>
                <w:rFonts w:hint="default" w:ascii="Times New Roman" w:hAnsi="Times New Roman" w:eastAsia="方正仿宋_GBK" w:cs="Times New Roman"/>
                <w:szCs w:val="21"/>
              </w:rPr>
              <w:t>356</w:t>
            </w:r>
            <w:r>
              <w:rPr>
                <w:rFonts w:eastAsia="方正仿宋_GBK"/>
                <w:szCs w:val="21"/>
              </w:rPr>
              <w:t>二星级智慧工地建设要求。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30</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具备人员实名制、考勤、薪资、岗位证书、诚信情况、培训教育等数据信息管理功能。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31</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具备施工现场安全帽佩戴、反光衣穿戴、烟雾明火危险源等重点管控项目的自动监测与预警，且具备不低于</w:t>
            </w:r>
            <w:r>
              <w:rPr>
                <w:rFonts w:hint="default" w:ascii="Times New Roman" w:hAnsi="Times New Roman" w:eastAsia="方正仿宋_GBK" w:cs="Times New Roman"/>
                <w:szCs w:val="21"/>
              </w:rPr>
              <w:t>10</w:t>
            </w:r>
            <w:r>
              <w:rPr>
                <w:rFonts w:eastAsia="方正仿宋_GBK"/>
                <w:szCs w:val="21"/>
              </w:rPr>
              <w:t>倍光学变焦、</w:t>
            </w:r>
            <w:r>
              <w:rPr>
                <w:rFonts w:hint="default" w:ascii="Times New Roman" w:hAnsi="Times New Roman" w:eastAsia="方正仿宋_GBK" w:cs="Times New Roman"/>
                <w:szCs w:val="21"/>
              </w:rPr>
              <w:t>180</w:t>
            </w:r>
            <w:r>
              <w:rPr>
                <w:rFonts w:eastAsia="方正仿宋_GBK"/>
                <w:szCs w:val="21"/>
              </w:rPr>
              <w:t>°环景和视频动态捕捉功能，视频数据存储时间不少于</w:t>
            </w:r>
            <w:r>
              <w:rPr>
                <w:rFonts w:hint="default" w:ascii="Times New Roman" w:hAnsi="Times New Roman" w:eastAsia="方正仿宋_GBK" w:cs="Times New Roman"/>
                <w:szCs w:val="21"/>
              </w:rPr>
              <w:t>60</w:t>
            </w:r>
            <w:r>
              <w:rPr>
                <w:rFonts w:eastAsia="方正仿宋_GBK"/>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32</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具备温湿度、风向风速、扬尘、噪声、固体颗粒物等现场环境实时监测功能。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33</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具备机械设备统一信息数据库，包括设备产权、安拆单位、操作人员、注销备案等信息，能对塔式起重机、施工升降机运行状态进行实时监测、预警。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34</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restart"/>
            <w:vAlign w:val="center"/>
          </w:tcPr>
          <w:p>
            <w:pPr>
              <w:contextualSpacing/>
              <w:jc w:val="center"/>
              <w:rPr>
                <w:rFonts w:eastAsia="方正黑体_GBK"/>
                <w:sz w:val="24"/>
              </w:rPr>
            </w:pPr>
            <w:r>
              <w:rPr>
                <w:rFonts w:eastAsia="方正仿宋_GBK"/>
                <w:szCs w:val="21"/>
              </w:rPr>
              <w:t>提升项</w:t>
            </w:r>
          </w:p>
        </w:tc>
        <w:tc>
          <w:tcPr>
            <w:tcW w:w="2947" w:type="pct"/>
            <w:vAlign w:val="center"/>
          </w:tcPr>
          <w:p>
            <w:pPr>
              <w:contextualSpacing/>
              <w:rPr>
                <w:rFonts w:eastAsia="方正仿宋_GBK"/>
                <w:szCs w:val="21"/>
              </w:rPr>
            </w:pPr>
            <w:r>
              <w:rPr>
                <w:rFonts w:eastAsia="方正仿宋_GBK"/>
                <w:szCs w:val="21"/>
              </w:rPr>
              <w:t>满足现行《智慧工地建设与评价标准》DBJ</w:t>
            </w:r>
            <w:r>
              <w:rPr>
                <w:rFonts w:hint="default" w:ascii="Times New Roman" w:hAnsi="Times New Roman" w:eastAsia="方正仿宋_GBK" w:cs="Times New Roman"/>
                <w:szCs w:val="21"/>
              </w:rPr>
              <w:t>50</w:t>
            </w:r>
            <w:r>
              <w:rPr>
                <w:rFonts w:eastAsia="方正仿宋_GBK"/>
                <w:szCs w:val="21"/>
              </w:rPr>
              <w:t>-T-</w:t>
            </w:r>
            <w:r>
              <w:rPr>
                <w:rFonts w:hint="default" w:ascii="Times New Roman" w:hAnsi="Times New Roman" w:eastAsia="方正仿宋_GBK" w:cs="Times New Roman"/>
                <w:szCs w:val="21"/>
              </w:rPr>
              <w:t>356</w:t>
            </w:r>
            <w:r>
              <w:rPr>
                <w:rFonts w:eastAsia="方正仿宋_GBK"/>
                <w:szCs w:val="21"/>
              </w:rPr>
              <w:t>三星级智慧工地建设要求。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35</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人员靠近临边、洞口、配电箱、有限空间等危险区域时，自动进行声光警示功能。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36</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利用条形码、二维码、RFID等技术手段，实现对施工现场物料的自动分类与管理。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37</w:t>
            </w:r>
          </w:p>
        </w:tc>
        <w:tc>
          <w:tcPr>
            <w:tcW w:w="567" w:type="pct"/>
            <w:vMerge w:val="continue"/>
            <w:vAlign w:val="center"/>
          </w:tcPr>
          <w:p>
            <w:pPr>
              <w:contextualSpacing/>
              <w:jc w:val="center"/>
              <w:rPr>
                <w:rFonts w:eastAsia="方正黑体_GBK"/>
                <w:sz w:val="24"/>
              </w:rPr>
            </w:pPr>
          </w:p>
        </w:tc>
        <w:tc>
          <w:tcPr>
            <w:tcW w:w="567" w:type="pct"/>
            <w:vMerge w:val="restart"/>
            <w:vAlign w:val="center"/>
          </w:tcPr>
          <w:p>
            <w:pPr>
              <w:contextualSpacing/>
              <w:jc w:val="center"/>
              <w:rPr>
                <w:rFonts w:eastAsia="方正黑体_GBK"/>
                <w:sz w:val="24"/>
              </w:rPr>
            </w:pPr>
            <w:r>
              <w:rPr>
                <w:rFonts w:eastAsia="方正仿宋_GBK"/>
                <w:szCs w:val="21"/>
              </w:rPr>
              <w:t>建筑机器人</w:t>
            </w:r>
          </w:p>
        </w:tc>
        <w:tc>
          <w:tcPr>
            <w:tcW w:w="565" w:type="pct"/>
            <w:vAlign w:val="center"/>
          </w:tcPr>
          <w:p>
            <w:pPr>
              <w:contextualSpacing/>
              <w:jc w:val="center"/>
              <w:rPr>
                <w:rFonts w:eastAsia="方正黑体_GBK"/>
                <w:sz w:val="24"/>
              </w:rPr>
            </w:pPr>
            <w:r>
              <w:rPr>
                <w:rFonts w:eastAsia="方正仿宋_GBK"/>
                <w:szCs w:val="21"/>
              </w:rPr>
              <w:t>基础项</w:t>
            </w:r>
          </w:p>
        </w:tc>
        <w:tc>
          <w:tcPr>
            <w:tcW w:w="2947" w:type="pct"/>
            <w:vAlign w:val="center"/>
          </w:tcPr>
          <w:p>
            <w:pPr>
              <w:contextualSpacing/>
              <w:rPr>
                <w:rFonts w:eastAsia="方正仿宋_GBK"/>
                <w:szCs w:val="21"/>
              </w:rPr>
            </w:pPr>
            <w:r>
              <w:rPr>
                <w:rFonts w:eastAsia="方正仿宋_GBK"/>
                <w:szCs w:val="21"/>
              </w:rPr>
              <w:t>墙板安装作业总量≥</w:t>
            </w:r>
            <w:r>
              <w:rPr>
                <w:rFonts w:hint="default" w:ascii="Times New Roman" w:hAnsi="Times New Roman" w:eastAsia="方正仿宋_GBK" w:cs="Times New Roman"/>
                <w:szCs w:val="21"/>
              </w:rPr>
              <w:t>1000</w:t>
            </w:r>
            <w:r>
              <w:rPr>
                <w:rFonts w:hint="eastAsia" w:eastAsia="方正仿宋_GBK"/>
                <w:szCs w:val="21"/>
              </w:rPr>
              <w:t>m</w:t>
            </w:r>
            <w:r>
              <w:rPr>
                <w:rFonts w:hint="default" w:ascii="Times New Roman" w:hAnsi="Times New Roman" w:eastAsia="方正仿宋_GBK" w:cs="Times New Roman"/>
                <w:szCs w:val="21"/>
                <w:vertAlign w:val="superscript"/>
              </w:rPr>
              <w:t>3</w:t>
            </w:r>
            <w:r>
              <w:rPr>
                <w:rFonts w:eastAsia="方正仿宋_GBK"/>
                <w:szCs w:val="21"/>
              </w:rPr>
              <w:t>应选用墙板搬运机器人和墙板安装机器人，室内墙面、顶面刮腻子或喷涂作业总面积≥</w:t>
            </w:r>
            <w:r>
              <w:rPr>
                <w:rFonts w:hint="default" w:ascii="Times New Roman" w:hAnsi="Times New Roman" w:eastAsia="方正仿宋_GBK" w:cs="Times New Roman"/>
                <w:szCs w:val="21"/>
              </w:rPr>
              <w:t>8000</w:t>
            </w:r>
            <w:r>
              <w:rPr>
                <w:rFonts w:hint="eastAsia" w:eastAsia="方正仿宋_GBK"/>
                <w:szCs w:val="21"/>
              </w:rPr>
              <w:t>m</w:t>
            </w:r>
            <w:r>
              <w:rPr>
                <w:rFonts w:hint="default" w:ascii="Times New Roman" w:hAnsi="Times New Roman" w:eastAsia="方正仿宋_GBK" w:cs="Times New Roman"/>
                <w:szCs w:val="21"/>
                <w:vertAlign w:val="superscript"/>
              </w:rPr>
              <w:t>2</w:t>
            </w:r>
            <w:r>
              <w:rPr>
                <w:rFonts w:eastAsia="方正仿宋_GBK"/>
                <w:szCs w:val="21"/>
              </w:rPr>
              <w:t>应选用墙面喷涂机器人，地面及楼面混凝土整平作业总面积≥</w:t>
            </w:r>
            <w:r>
              <w:rPr>
                <w:rFonts w:hint="default" w:ascii="Times New Roman" w:hAnsi="Times New Roman" w:eastAsia="方正仿宋_GBK" w:cs="Times New Roman"/>
                <w:szCs w:val="21"/>
              </w:rPr>
              <w:t>10000</w:t>
            </w:r>
            <w:r>
              <w:rPr>
                <w:rFonts w:hint="eastAsia" w:eastAsia="方正仿宋_GBK"/>
                <w:szCs w:val="21"/>
              </w:rPr>
              <w:t>m</w:t>
            </w:r>
            <w:r>
              <w:rPr>
                <w:rFonts w:hint="default" w:ascii="Times New Roman" w:hAnsi="Times New Roman" w:eastAsia="方正仿宋_GBK" w:cs="Times New Roman"/>
                <w:szCs w:val="21"/>
                <w:vertAlign w:val="superscript"/>
              </w:rPr>
              <w:t>2</w:t>
            </w:r>
            <w:r>
              <w:rPr>
                <w:rFonts w:eastAsia="方正仿宋_GBK"/>
                <w:szCs w:val="21"/>
              </w:rPr>
              <w:t>应选用地面混凝土整平机器人，厂房地坪研磨作业总面积≥</w:t>
            </w:r>
            <w:r>
              <w:rPr>
                <w:rFonts w:hint="default" w:ascii="Times New Roman" w:hAnsi="Times New Roman" w:eastAsia="方正仿宋_GBK" w:cs="Times New Roman"/>
                <w:szCs w:val="21"/>
              </w:rPr>
              <w:t>2000</w:t>
            </w:r>
            <w:r>
              <w:rPr>
                <w:rFonts w:hint="eastAsia" w:eastAsia="方正仿宋_GBK"/>
                <w:szCs w:val="21"/>
              </w:rPr>
              <w:t>m</w:t>
            </w:r>
            <w:r>
              <w:rPr>
                <w:rFonts w:hint="default" w:ascii="Times New Roman" w:hAnsi="Times New Roman" w:eastAsia="方正仿宋_GBK" w:cs="Times New Roman"/>
                <w:szCs w:val="21"/>
                <w:vertAlign w:val="superscript"/>
              </w:rPr>
              <w:t>2</w:t>
            </w:r>
            <w:r>
              <w:rPr>
                <w:rFonts w:eastAsia="方正仿宋_GBK"/>
                <w:szCs w:val="21"/>
              </w:rPr>
              <w:t>或车库、学校、商场、体育馆地坪研磨作业总面积≥</w:t>
            </w:r>
            <w:r>
              <w:rPr>
                <w:rFonts w:hint="default" w:ascii="Times New Roman" w:hAnsi="Times New Roman" w:eastAsia="方正仿宋_GBK" w:cs="Times New Roman"/>
                <w:szCs w:val="21"/>
              </w:rPr>
              <w:t>5000</w:t>
            </w:r>
            <w:r>
              <w:rPr>
                <w:rFonts w:hint="eastAsia" w:eastAsia="方正仿宋_GBK"/>
                <w:szCs w:val="21"/>
              </w:rPr>
              <w:t>m</w:t>
            </w:r>
            <w:r>
              <w:rPr>
                <w:rFonts w:hint="default" w:ascii="Times New Roman" w:hAnsi="Times New Roman" w:eastAsia="方正仿宋_GBK" w:cs="Times New Roman"/>
                <w:szCs w:val="21"/>
                <w:vertAlign w:val="superscript"/>
              </w:rPr>
              <w:t>2</w:t>
            </w:r>
            <w:r>
              <w:rPr>
                <w:rFonts w:eastAsia="方正仿宋_GBK"/>
                <w:szCs w:val="21"/>
              </w:rPr>
              <w:t>应选用地坪研磨机器人和地坪漆涂敷机器人，防水卷材热熔法施工铺贴作业总面积≥</w:t>
            </w:r>
            <w:r>
              <w:rPr>
                <w:rFonts w:hint="default" w:ascii="Times New Roman" w:hAnsi="Times New Roman" w:eastAsia="方正仿宋_GBK" w:cs="Times New Roman"/>
                <w:szCs w:val="21"/>
              </w:rPr>
              <w:t>2000</w:t>
            </w:r>
            <w:r>
              <w:rPr>
                <w:rFonts w:hint="eastAsia" w:eastAsia="方正仿宋_GBK"/>
                <w:szCs w:val="21"/>
              </w:rPr>
              <w:t>m</w:t>
            </w:r>
            <w:r>
              <w:rPr>
                <w:rFonts w:hint="default" w:ascii="Times New Roman" w:hAnsi="Times New Roman" w:eastAsia="方正仿宋_GBK" w:cs="Times New Roman"/>
                <w:szCs w:val="21"/>
                <w:vertAlign w:val="superscript"/>
              </w:rPr>
              <w:t>2</w:t>
            </w:r>
            <w:r>
              <w:rPr>
                <w:rFonts w:eastAsia="方正仿宋_GBK"/>
                <w:szCs w:val="21"/>
              </w:rPr>
              <w:t>应选用防水卷材铺贴机器人，管道直径≥</w:t>
            </w:r>
            <w:r>
              <w:rPr>
                <w:rFonts w:hint="default" w:ascii="Times New Roman" w:hAnsi="Times New Roman" w:eastAsia="方正仿宋_GBK" w:cs="Times New Roman"/>
                <w:szCs w:val="21"/>
              </w:rPr>
              <w:t>300</w:t>
            </w:r>
            <w:r>
              <w:rPr>
                <w:rFonts w:eastAsia="方正仿宋_GBK"/>
                <w:szCs w:val="21"/>
              </w:rPr>
              <w:t>mm应选用管道检测机器人，桥面、隧道仰拱、路面等各种混凝土摊铺工程应选用混凝土摊铺机器人。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38</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Align w:val="center"/>
          </w:tcPr>
          <w:p>
            <w:pPr>
              <w:contextualSpacing/>
              <w:jc w:val="center"/>
              <w:rPr>
                <w:rFonts w:eastAsia="方正仿宋_GBK"/>
                <w:szCs w:val="21"/>
              </w:rPr>
            </w:pPr>
            <w:r>
              <w:rPr>
                <w:rFonts w:eastAsia="方正仿宋_GBK"/>
                <w:szCs w:val="21"/>
              </w:rPr>
              <w:t>提升项</w:t>
            </w:r>
          </w:p>
        </w:tc>
        <w:tc>
          <w:tcPr>
            <w:tcW w:w="2947" w:type="pct"/>
            <w:vAlign w:val="center"/>
          </w:tcPr>
          <w:p>
            <w:pPr>
              <w:contextualSpacing/>
              <w:rPr>
                <w:rFonts w:eastAsia="方正仿宋_GBK"/>
                <w:szCs w:val="21"/>
              </w:rPr>
            </w:pPr>
            <w:r>
              <w:rPr>
                <w:rFonts w:eastAsia="方正仿宋_GBK"/>
                <w:szCs w:val="21"/>
              </w:rPr>
              <w:t>选用外墙喷涂机器人、墙面打磨机器人、地面抹平机器人、地面抹光机器人、清扫机器人、随动式布料机器人、打孔机器人、测量机器人、</w:t>
            </w:r>
            <w:r>
              <w:rPr>
                <w:rFonts w:eastAsia="方正仿宋_GBK"/>
              </w:rPr>
              <w:t>拱架安装机器人、隧道多臂凿岩机器人</w:t>
            </w:r>
            <w:r>
              <w:rPr>
                <w:rFonts w:eastAsia="方正仿宋_GBK"/>
                <w:szCs w:val="21"/>
              </w:rPr>
              <w:t>等</w:t>
            </w:r>
            <w:r>
              <w:rPr>
                <w:rFonts w:hint="default" w:ascii="Times New Roman" w:hAnsi="Times New Roman" w:eastAsia="方正仿宋_GBK" w:cs="Times New Roman"/>
                <w:szCs w:val="21"/>
              </w:rPr>
              <w:t>2</w:t>
            </w:r>
            <w:r>
              <w:rPr>
                <w:rFonts w:eastAsia="方正仿宋_GBK"/>
                <w:szCs w:val="21"/>
              </w:rPr>
              <w:t>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39</w:t>
            </w:r>
          </w:p>
        </w:tc>
        <w:tc>
          <w:tcPr>
            <w:tcW w:w="567" w:type="pct"/>
            <w:vMerge w:val="continue"/>
            <w:vAlign w:val="center"/>
          </w:tcPr>
          <w:p>
            <w:pPr>
              <w:contextualSpacing/>
              <w:jc w:val="center"/>
              <w:rPr>
                <w:rFonts w:eastAsia="方正黑体_GBK"/>
                <w:sz w:val="24"/>
              </w:rPr>
            </w:pPr>
          </w:p>
        </w:tc>
        <w:tc>
          <w:tcPr>
            <w:tcW w:w="567" w:type="pct"/>
            <w:vMerge w:val="restart"/>
            <w:vAlign w:val="center"/>
          </w:tcPr>
          <w:p>
            <w:pPr>
              <w:contextualSpacing/>
              <w:jc w:val="center"/>
              <w:rPr>
                <w:rFonts w:eastAsia="方正黑体_GBK"/>
                <w:sz w:val="24"/>
              </w:rPr>
            </w:pPr>
            <w:r>
              <w:rPr>
                <w:rFonts w:eastAsia="方正仿宋_GBK"/>
                <w:szCs w:val="21"/>
              </w:rPr>
              <w:t>智能施工装备</w:t>
            </w:r>
          </w:p>
        </w:tc>
        <w:tc>
          <w:tcPr>
            <w:tcW w:w="565" w:type="pct"/>
            <w:vMerge w:val="restart"/>
            <w:vAlign w:val="center"/>
          </w:tcPr>
          <w:p>
            <w:pPr>
              <w:contextualSpacing/>
              <w:jc w:val="center"/>
              <w:rPr>
                <w:rFonts w:eastAsia="方正黑体_GBK"/>
                <w:sz w:val="24"/>
              </w:rPr>
            </w:pPr>
            <w:r>
              <w:rPr>
                <w:rFonts w:eastAsia="方正仿宋_GBK"/>
                <w:szCs w:val="21"/>
              </w:rPr>
              <w:t>基础项</w:t>
            </w:r>
          </w:p>
        </w:tc>
        <w:tc>
          <w:tcPr>
            <w:tcW w:w="2947" w:type="pct"/>
            <w:vAlign w:val="center"/>
          </w:tcPr>
          <w:p>
            <w:pPr>
              <w:contextualSpacing/>
              <w:rPr>
                <w:rFonts w:eastAsia="方正仿宋_GBK"/>
                <w:szCs w:val="21"/>
              </w:rPr>
            </w:pPr>
            <w:r>
              <w:rPr>
                <w:rFonts w:eastAsia="方正仿宋_GBK"/>
                <w:szCs w:val="21"/>
              </w:rPr>
              <w:t>采用视觉位移计、智能混凝土回弹仪、数位靠尺、三维激光扫描仪、拍照测量平板等智能测量设备，选用数量不少于</w:t>
            </w:r>
            <w:r>
              <w:rPr>
                <w:rFonts w:hint="default" w:ascii="Times New Roman" w:hAnsi="Times New Roman" w:eastAsia="方正仿宋_GBK" w:cs="Times New Roman"/>
                <w:szCs w:val="21"/>
              </w:rPr>
              <w:t>2</w:t>
            </w:r>
            <w:r>
              <w:rPr>
                <w:rFonts w:eastAsia="方正仿宋_GBK"/>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40</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采用智能远程控制塔机、无人操作智能施工升降机、数控钢筋弯箍机、三维激光摊铺机、建筑废弃物再利用流动制砖车、湿喷机械手、隧道智能化衬砌台车、智能拼装台车、智能压路机等智能</w:t>
            </w:r>
            <w:r>
              <w:rPr>
                <w:rFonts w:hint="eastAsia" w:eastAsia="方正仿宋_GBK"/>
                <w:szCs w:val="21"/>
              </w:rPr>
              <w:t>施工</w:t>
            </w:r>
            <w:r>
              <w:rPr>
                <w:rFonts w:eastAsia="方正仿宋_GBK"/>
                <w:szCs w:val="21"/>
              </w:rPr>
              <w:t>设备，选用数量不少于</w:t>
            </w:r>
            <w:r>
              <w:rPr>
                <w:rFonts w:hint="default" w:ascii="Times New Roman" w:hAnsi="Times New Roman" w:eastAsia="方正仿宋_GBK" w:cs="Times New Roman"/>
                <w:szCs w:val="21"/>
              </w:rPr>
              <w:t>2</w:t>
            </w:r>
            <w:r>
              <w:rPr>
                <w:rFonts w:eastAsia="方正仿宋_GBK"/>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41</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restart"/>
            <w:vAlign w:val="center"/>
          </w:tcPr>
          <w:p>
            <w:pPr>
              <w:contextualSpacing/>
              <w:jc w:val="center"/>
              <w:rPr>
                <w:rFonts w:eastAsia="方正黑体_GBK"/>
                <w:sz w:val="24"/>
              </w:rPr>
            </w:pPr>
            <w:r>
              <w:rPr>
                <w:rFonts w:eastAsia="方正仿宋_GBK"/>
                <w:szCs w:val="21"/>
              </w:rPr>
              <w:t>提升项</w:t>
            </w:r>
          </w:p>
        </w:tc>
        <w:tc>
          <w:tcPr>
            <w:tcW w:w="2947" w:type="pct"/>
            <w:vAlign w:val="center"/>
          </w:tcPr>
          <w:p>
            <w:pPr>
              <w:contextualSpacing/>
              <w:rPr>
                <w:rFonts w:eastAsia="方正仿宋_GBK"/>
                <w:szCs w:val="21"/>
              </w:rPr>
            </w:pPr>
            <w:r>
              <w:rPr>
                <w:rFonts w:eastAsia="方正仿宋_GBK"/>
                <w:szCs w:val="21"/>
              </w:rPr>
              <w:t>通过对挖掘机、装载机、电铲、钻机或推土机等传统工程机械设备进行智能升级，使之具备远程操控功能。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42</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黑体_GBK"/>
                <w:sz w:val="24"/>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采用造楼机、盾构机、架桥机等智能化建造装备及系统。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43</w:t>
            </w:r>
          </w:p>
        </w:tc>
        <w:tc>
          <w:tcPr>
            <w:tcW w:w="567" w:type="pct"/>
            <w:vMerge w:val="restart"/>
            <w:vAlign w:val="center"/>
          </w:tcPr>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r>
              <w:rPr>
                <w:rFonts w:eastAsia="方正仿宋_GBK"/>
                <w:szCs w:val="21"/>
              </w:rPr>
              <w:t>信息化管理</w:t>
            </w: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黑体_GBK"/>
                <w:sz w:val="24"/>
              </w:rPr>
            </w:pPr>
            <w:r>
              <w:rPr>
                <w:rFonts w:eastAsia="方正仿宋_GBK"/>
                <w:szCs w:val="21"/>
              </w:rPr>
              <w:t>信息化管理</w:t>
            </w:r>
          </w:p>
        </w:tc>
        <w:tc>
          <w:tcPr>
            <w:tcW w:w="567" w:type="pct"/>
            <w:vMerge w:val="restart"/>
            <w:vAlign w:val="center"/>
          </w:tcPr>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r>
              <w:rPr>
                <w:rFonts w:eastAsia="方正仿宋_GBK"/>
                <w:szCs w:val="21"/>
              </w:rPr>
              <w:t>工程项目全过程数字化管理平台</w:t>
            </w: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黑体_GBK"/>
                <w:sz w:val="24"/>
              </w:rPr>
            </w:pPr>
            <w:r>
              <w:rPr>
                <w:rFonts w:eastAsia="方正仿宋_GBK"/>
                <w:szCs w:val="21"/>
              </w:rPr>
              <w:t>工程项目全过程数字化管理平台</w:t>
            </w:r>
          </w:p>
        </w:tc>
        <w:tc>
          <w:tcPr>
            <w:tcW w:w="565" w:type="pct"/>
            <w:vMerge w:val="restart"/>
            <w:vAlign w:val="center"/>
          </w:tcPr>
          <w:p>
            <w:pPr>
              <w:contextualSpacing/>
              <w:jc w:val="center"/>
              <w:rPr>
                <w:rFonts w:eastAsia="方正黑体_GBK"/>
                <w:sz w:val="24"/>
              </w:rPr>
            </w:pPr>
            <w:r>
              <w:rPr>
                <w:rFonts w:eastAsia="方正仿宋_GBK"/>
                <w:szCs w:val="21"/>
              </w:rPr>
              <w:t>基础项</w:t>
            </w:r>
          </w:p>
        </w:tc>
        <w:tc>
          <w:tcPr>
            <w:tcW w:w="2947" w:type="pct"/>
            <w:vAlign w:val="center"/>
          </w:tcPr>
          <w:p>
            <w:pPr>
              <w:contextualSpacing/>
              <w:rPr>
                <w:rFonts w:eastAsia="方正仿宋_GBK"/>
                <w:szCs w:val="21"/>
              </w:rPr>
            </w:pPr>
            <w:r>
              <w:rPr>
                <w:rFonts w:eastAsia="方正仿宋_GBK"/>
                <w:szCs w:val="21"/>
              </w:rPr>
              <w:t>基于同一平台实现设计、生产、施工等工程建设全过程工程资料与数据信息的共享和传递。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44</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仿宋_GBK"/>
                <w:szCs w:val="21"/>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hint="eastAsia" w:eastAsia="方正仿宋_GBK"/>
                <w:szCs w:val="21"/>
              </w:rPr>
              <w:t>基于同一平台实现施工现场参建各方审批的功能。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45</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仿宋_GBK"/>
                <w:szCs w:val="21"/>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具备合同</w:t>
            </w:r>
            <w:r>
              <w:rPr>
                <w:rFonts w:hint="eastAsia" w:eastAsia="方正仿宋_GBK"/>
                <w:szCs w:val="21"/>
              </w:rPr>
              <w:t>和成本管理功能，实现线上变更和签证审批。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46</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仿宋_GBK"/>
                <w:szCs w:val="21"/>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具备线上</w:t>
            </w:r>
            <w:r>
              <w:rPr>
                <w:rFonts w:hint="eastAsia" w:eastAsia="方正仿宋_GBK"/>
                <w:szCs w:val="21"/>
              </w:rPr>
              <w:t>技术方案审批、质量检查</w:t>
            </w:r>
            <w:r>
              <w:rPr>
                <w:rFonts w:eastAsia="方正仿宋_GBK"/>
                <w:szCs w:val="21"/>
              </w:rPr>
              <w:t>过程信息记录功能。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47</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仿宋_GBK"/>
                <w:szCs w:val="21"/>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具备线上安全</w:t>
            </w:r>
            <w:r>
              <w:rPr>
                <w:rFonts w:hint="eastAsia" w:eastAsia="方正仿宋_GBK"/>
                <w:szCs w:val="21"/>
              </w:rPr>
              <w:t>方案审批、安全日志填报、安全检查</w:t>
            </w:r>
            <w:r>
              <w:rPr>
                <w:rFonts w:eastAsia="方正仿宋_GBK"/>
                <w:szCs w:val="21"/>
              </w:rPr>
              <w:t>过程信息记录功能。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48</w:t>
            </w:r>
          </w:p>
        </w:tc>
        <w:tc>
          <w:tcPr>
            <w:tcW w:w="567" w:type="pct"/>
            <w:vMerge w:val="continue"/>
            <w:vAlign w:val="center"/>
          </w:tcPr>
          <w:p>
            <w:pPr>
              <w:contextualSpacing/>
              <w:jc w:val="center"/>
              <w:rPr>
                <w:rFonts w:eastAsia="方正黑体_GBK"/>
                <w:sz w:val="24"/>
              </w:rPr>
            </w:pPr>
          </w:p>
        </w:tc>
        <w:tc>
          <w:tcPr>
            <w:tcW w:w="567" w:type="pct"/>
            <w:vMerge w:val="continue"/>
            <w:vAlign w:val="center"/>
          </w:tcPr>
          <w:p>
            <w:pPr>
              <w:contextualSpacing/>
              <w:jc w:val="center"/>
              <w:rPr>
                <w:rFonts w:eastAsia="方正仿宋_GBK"/>
                <w:szCs w:val="21"/>
              </w:rPr>
            </w:pPr>
          </w:p>
        </w:tc>
        <w:tc>
          <w:tcPr>
            <w:tcW w:w="565" w:type="pct"/>
            <w:vMerge w:val="continue"/>
            <w:vAlign w:val="center"/>
          </w:tcPr>
          <w:p>
            <w:pPr>
              <w:contextualSpacing/>
              <w:jc w:val="center"/>
              <w:rPr>
                <w:rFonts w:eastAsia="方正黑体_GBK"/>
                <w:sz w:val="24"/>
              </w:rPr>
            </w:pPr>
          </w:p>
        </w:tc>
        <w:tc>
          <w:tcPr>
            <w:tcW w:w="2947" w:type="pct"/>
            <w:vAlign w:val="center"/>
          </w:tcPr>
          <w:p>
            <w:pPr>
              <w:contextualSpacing/>
              <w:rPr>
                <w:rFonts w:eastAsia="方正仿宋_GBK"/>
                <w:szCs w:val="21"/>
              </w:rPr>
            </w:pPr>
            <w:r>
              <w:rPr>
                <w:rFonts w:eastAsia="方正仿宋_GBK"/>
                <w:szCs w:val="21"/>
              </w:rPr>
              <w:t>基于BIM模型进行进度可视化，对比分析计划进度与实际进度</w:t>
            </w:r>
            <w:r>
              <w:rPr>
                <w:rFonts w:hint="eastAsia" w:eastAsia="方正仿宋_GBK"/>
                <w:szCs w:val="21"/>
              </w:rPr>
              <w:t>的偏差</w:t>
            </w: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49</w:t>
            </w:r>
          </w:p>
        </w:tc>
        <w:tc>
          <w:tcPr>
            <w:tcW w:w="567" w:type="pct"/>
            <w:vMerge w:val="continue"/>
            <w:vAlign w:val="center"/>
          </w:tcPr>
          <w:p>
            <w:pPr>
              <w:contextualSpacing/>
              <w:jc w:val="center"/>
              <w:rPr>
                <w:rFonts w:eastAsia="方正仿宋_GBK"/>
                <w:szCs w:val="21"/>
              </w:rPr>
            </w:pPr>
          </w:p>
        </w:tc>
        <w:tc>
          <w:tcPr>
            <w:tcW w:w="567" w:type="pct"/>
            <w:vMerge w:val="continue"/>
            <w:vAlign w:val="center"/>
          </w:tcPr>
          <w:p>
            <w:pPr>
              <w:contextualSpacing/>
              <w:jc w:val="center"/>
              <w:rPr>
                <w:rFonts w:eastAsia="方正仿宋_GBK"/>
                <w:szCs w:val="21"/>
              </w:rPr>
            </w:pPr>
          </w:p>
        </w:tc>
        <w:tc>
          <w:tcPr>
            <w:tcW w:w="565" w:type="pct"/>
            <w:vMerge w:val="restart"/>
            <w:vAlign w:val="center"/>
          </w:tcPr>
          <w:p>
            <w:pPr>
              <w:contextualSpacing/>
              <w:jc w:val="center"/>
              <w:rPr>
                <w:rFonts w:eastAsia="方正仿宋_GBK"/>
                <w:szCs w:val="21"/>
              </w:rPr>
            </w:pPr>
            <w:r>
              <w:rPr>
                <w:rFonts w:eastAsia="方正仿宋_GBK"/>
                <w:szCs w:val="21"/>
              </w:rPr>
              <w:t>提升项</w:t>
            </w: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p>
          <w:p>
            <w:pPr>
              <w:contextualSpacing/>
              <w:jc w:val="center"/>
              <w:rPr>
                <w:rFonts w:eastAsia="方正仿宋_GBK"/>
                <w:szCs w:val="21"/>
              </w:rPr>
            </w:pPr>
            <w:r>
              <w:rPr>
                <w:rFonts w:eastAsia="方正仿宋_GBK"/>
                <w:szCs w:val="21"/>
              </w:rPr>
              <w:t>提升项</w:t>
            </w:r>
          </w:p>
        </w:tc>
        <w:tc>
          <w:tcPr>
            <w:tcW w:w="2947" w:type="pct"/>
            <w:vAlign w:val="center"/>
          </w:tcPr>
          <w:p>
            <w:pPr>
              <w:contextualSpacing/>
              <w:rPr>
                <w:rFonts w:eastAsia="方正仿宋_GBK"/>
                <w:szCs w:val="21"/>
              </w:rPr>
            </w:pPr>
            <w:r>
              <w:rPr>
                <w:rFonts w:hint="eastAsia" w:eastAsia="方正仿宋_GBK"/>
                <w:szCs w:val="21"/>
              </w:rPr>
              <w:t>通过数据的汇总与分析，实现业务模板的即时预警，辅助项目管理决策。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contextualSpacing/>
              <w:jc w:val="center"/>
              <w:rPr>
                <w:rFonts w:eastAsia="方正黑体_GBK"/>
                <w:sz w:val="24"/>
              </w:rPr>
            </w:pPr>
            <w:r>
              <w:rPr>
                <w:rFonts w:hint="default" w:ascii="Times New Roman" w:hAnsi="Times New Roman" w:eastAsia="方正黑体_GBK" w:cs="Times New Roman"/>
                <w:sz w:val="24"/>
              </w:rPr>
              <w:t>50</w:t>
            </w:r>
          </w:p>
        </w:tc>
        <w:tc>
          <w:tcPr>
            <w:tcW w:w="567" w:type="pct"/>
            <w:vMerge w:val="continue"/>
            <w:vAlign w:val="center"/>
          </w:tcPr>
          <w:p>
            <w:pPr>
              <w:contextualSpacing/>
              <w:jc w:val="center"/>
              <w:rPr>
                <w:rFonts w:eastAsia="方正仿宋_GBK"/>
                <w:szCs w:val="21"/>
              </w:rPr>
            </w:pPr>
          </w:p>
        </w:tc>
        <w:tc>
          <w:tcPr>
            <w:tcW w:w="567" w:type="pct"/>
            <w:vMerge w:val="continue"/>
            <w:vAlign w:val="center"/>
          </w:tcPr>
          <w:p>
            <w:pPr>
              <w:contextualSpacing/>
              <w:jc w:val="center"/>
              <w:rPr>
                <w:rFonts w:eastAsia="方正仿宋_GBK"/>
                <w:szCs w:val="21"/>
              </w:rPr>
            </w:pPr>
          </w:p>
        </w:tc>
        <w:tc>
          <w:tcPr>
            <w:tcW w:w="565" w:type="pct"/>
            <w:vMerge w:val="continue"/>
            <w:vAlign w:val="center"/>
          </w:tcPr>
          <w:p>
            <w:pPr>
              <w:contextualSpacing/>
              <w:jc w:val="center"/>
              <w:rPr>
                <w:rFonts w:eastAsia="方正仿宋_GBK"/>
                <w:szCs w:val="21"/>
              </w:rPr>
            </w:pPr>
          </w:p>
        </w:tc>
        <w:tc>
          <w:tcPr>
            <w:tcW w:w="2947" w:type="pct"/>
            <w:vAlign w:val="center"/>
          </w:tcPr>
          <w:p>
            <w:pPr>
              <w:contextualSpacing/>
              <w:rPr>
                <w:rFonts w:eastAsia="方正仿宋_GBK"/>
                <w:szCs w:val="21"/>
              </w:rPr>
            </w:pPr>
            <w:r>
              <w:rPr>
                <w:rFonts w:eastAsia="方正仿宋_GBK"/>
                <w:szCs w:val="21"/>
              </w:rPr>
              <w:t>基于工程管理行为数字化和施工作业行为数字化实时生成工程质量责任文件、监理报告、分部工程施工记录等工程数字</w:t>
            </w:r>
            <w:r>
              <w:rPr>
                <w:rFonts w:hint="eastAsia" w:eastAsia="方正仿宋_GBK"/>
                <w:szCs w:val="21"/>
              </w:rPr>
              <w:t>化</w:t>
            </w:r>
            <w:r>
              <w:rPr>
                <w:rFonts w:eastAsia="方正仿宋_GBK"/>
                <w:szCs w:val="21"/>
              </w:rPr>
              <w:t>档案，</w:t>
            </w:r>
            <w:r>
              <w:rPr>
                <w:rFonts w:hint="eastAsia" w:eastAsia="方正仿宋_GBK"/>
                <w:szCs w:val="21"/>
              </w:rPr>
              <w:t>实现线上审批和电子签名签章，</w:t>
            </w:r>
            <w:r>
              <w:rPr>
                <w:rFonts w:eastAsia="方正仿宋_GBK"/>
                <w:szCs w:val="21"/>
              </w:rPr>
              <w:t>且符合城建档案归档要求。</w:t>
            </w:r>
          </w:p>
        </w:tc>
      </w:tr>
    </w:tbl>
    <w:p/>
    <w:sectPr>
      <w:footerReference r:id="rId5" w:type="default"/>
      <w:footerReference r:id="rId6" w:type="even"/>
      <w:pgSz w:w="11906" w:h="16838"/>
      <w:pgMar w:top="1418" w:right="1418" w:bottom="1418" w:left="1418" w:header="708" w:footer="708"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彩虹粗仿宋">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24552"/>
      <w:docPartObj>
        <w:docPartGallery w:val="autotext"/>
      </w:docPartObj>
    </w:sdtPr>
    <w:sdtEndPr>
      <w:rPr>
        <w:rFonts w:asciiTheme="majorEastAsia" w:hAnsiTheme="majorEastAsia" w:eastAsiaTheme="majorEastAsia"/>
        <w:sz w:val="28"/>
        <w:szCs w:val="28"/>
      </w:rPr>
    </w:sdtEndPr>
    <w:sdtContent>
      <w:p>
        <w:pPr>
          <w:pStyle w:val="3"/>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5684"/>
      <w:docPartObj>
        <w:docPartGallery w:val="autotext"/>
      </w:docPartObj>
    </w:sdtPr>
    <w:sdtEndPr>
      <w:rPr>
        <w:rFonts w:asciiTheme="majorEastAsia" w:hAnsiTheme="majorEastAsia" w:eastAsiaTheme="majorEastAsia"/>
        <w:sz w:val="28"/>
        <w:szCs w:val="28"/>
      </w:rPr>
    </w:sdtEndPr>
    <w:sdtContent>
      <w:p>
        <w:pPr>
          <w:pStyle w:val="3"/>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8 -</w:t>
        </w:r>
        <w:r>
          <w:rPr>
            <w:rFonts w:asciiTheme="majorEastAsia" w:hAnsiTheme="majorEastAsia" w:eastAsia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0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21A4"/>
    <w:rsid w:val="000605D4"/>
    <w:rsid w:val="000D3E13"/>
    <w:rsid w:val="00275402"/>
    <w:rsid w:val="00275468"/>
    <w:rsid w:val="00293178"/>
    <w:rsid w:val="002D2C0A"/>
    <w:rsid w:val="00323B43"/>
    <w:rsid w:val="003945A7"/>
    <w:rsid w:val="003D37D8"/>
    <w:rsid w:val="003E382E"/>
    <w:rsid w:val="00426133"/>
    <w:rsid w:val="004358AB"/>
    <w:rsid w:val="005050A5"/>
    <w:rsid w:val="00561E0C"/>
    <w:rsid w:val="006F3241"/>
    <w:rsid w:val="00712142"/>
    <w:rsid w:val="0079522D"/>
    <w:rsid w:val="008712F9"/>
    <w:rsid w:val="0089053F"/>
    <w:rsid w:val="008B7726"/>
    <w:rsid w:val="008F330F"/>
    <w:rsid w:val="00915ABA"/>
    <w:rsid w:val="00A51C26"/>
    <w:rsid w:val="00B23EF1"/>
    <w:rsid w:val="00B557FF"/>
    <w:rsid w:val="00CA0AE8"/>
    <w:rsid w:val="00CC1FE2"/>
    <w:rsid w:val="00CF3A38"/>
    <w:rsid w:val="00D31D50"/>
    <w:rsid w:val="00D333FB"/>
    <w:rsid w:val="00D855FA"/>
    <w:rsid w:val="00DB3C91"/>
    <w:rsid w:val="00E00383"/>
    <w:rsid w:val="00E328AC"/>
    <w:rsid w:val="00E4269B"/>
    <w:rsid w:val="00F3607C"/>
    <w:rsid w:val="00F66FB5"/>
    <w:rsid w:val="00F76CC0"/>
    <w:rsid w:val="00F95226"/>
    <w:rsid w:val="00FC7B8C"/>
    <w:rsid w:val="00FD0984"/>
    <w:rsid w:val="42034269"/>
    <w:rsid w:val="420B5ECB"/>
    <w:rsid w:val="59F6E473"/>
    <w:rsid w:val="FBDEF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ahoma" w:hAnsi="Tahoma"/>
      <w:sz w:val="18"/>
      <w:szCs w:val="18"/>
    </w:rPr>
  </w:style>
  <w:style w:type="character" w:customStyle="1" w:styleId="9">
    <w:name w:val="页脚 Char"/>
    <w:basedOn w:val="7"/>
    <w:link w:val="3"/>
    <w:qFormat/>
    <w:uiPriority w:val="99"/>
    <w:rPr>
      <w:rFonts w:ascii="Tahoma" w:hAnsi="Tahoma"/>
      <w:sz w:val="18"/>
      <w:szCs w:val="18"/>
    </w:rPr>
  </w:style>
  <w:style w:type="paragraph" w:customStyle="1" w:styleId="10">
    <w:name w:val="正文1"/>
    <w:basedOn w:val="1"/>
    <w:qFormat/>
    <w:uiPriority w:val="0"/>
    <w:pPr>
      <w:spacing w:line="500" w:lineRule="exact"/>
    </w:pPr>
    <w:rPr>
      <w:rFonts w:eastAsia="仿宋_GB2312"/>
      <w:kern w:val="0"/>
      <w:sz w:val="32"/>
      <w:szCs w:val="32"/>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721</Words>
  <Characters>4111</Characters>
  <Lines>34</Lines>
  <Paragraphs>9</Paragraphs>
  <TotalTime>2</TotalTime>
  <ScaleCrop>false</ScaleCrop>
  <LinksUpToDate>false</LinksUpToDate>
  <CharactersWithSpaces>4823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2023-12-07T17:19:00Z</dcterms:created>
  <dc:creator>Administrator</dc:creator>
  <cp:lastModifiedBy>ASUS</cp:lastModifiedBy>
  <cp:lastPrinted>2023-12-07T17:19:00Z</cp:lastPrinted>
  <dcterms:modified xsi:type="dcterms:W3CDTF">2023-12-20T04:27:49Z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A569121A91AA4175A403787A1F6EEFC5</vt:lpwstr>
  </property>
</Properties>
</file>