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中宋" w:hAnsi="华文中宋" w:eastAsia="华文中宋"/>
          <w:color w:val="000000"/>
          <w:sz w:val="32"/>
          <w:szCs w:val="32"/>
        </w:rPr>
      </w:pPr>
      <w:r>
        <w:rPr>
          <w:rFonts w:hint="eastAsia" w:ascii="黑体" w:hAnsi="黑体" w:eastAsia="黑体" w:cs="黑体"/>
          <w:color w:val="000000"/>
          <w:sz w:val="32"/>
          <w:szCs w:val="32"/>
        </w:rPr>
        <w:t>安徽省地方标准编制说明</w:t>
      </w:r>
    </w:p>
    <w:tbl>
      <w:tblPr>
        <w:tblStyle w:val="9"/>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7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5" w:type="dxa"/>
            <w:vAlign w:val="center"/>
          </w:tcPr>
          <w:p>
            <w:pPr>
              <w:pStyle w:val="15"/>
              <w:adjustRightInd w:val="0"/>
              <w:spacing w:line="360" w:lineRule="auto"/>
              <w:ind w:firstLine="0" w:firstLineChars="0"/>
              <w:contextualSpacing/>
              <w:jc w:val="center"/>
              <w:rPr>
                <w:rFonts w:hAnsi="宋体"/>
                <w:szCs w:val="21"/>
              </w:rPr>
            </w:pPr>
            <w:r>
              <w:rPr>
                <w:rFonts w:hint="eastAsia" w:hAnsi="宋体"/>
                <w:szCs w:val="21"/>
              </w:rPr>
              <w:t>标准名称</w:t>
            </w:r>
          </w:p>
        </w:tc>
        <w:tc>
          <w:tcPr>
            <w:tcW w:w="7945" w:type="dxa"/>
            <w:vAlign w:val="center"/>
          </w:tcPr>
          <w:p>
            <w:pPr>
              <w:pStyle w:val="15"/>
              <w:adjustRightInd w:val="0"/>
              <w:spacing w:line="360" w:lineRule="auto"/>
              <w:ind w:firstLine="0" w:firstLineChars="0"/>
              <w:contextualSpacing/>
              <w:rPr>
                <w:rFonts w:hint="eastAsia" w:hAnsi="宋体" w:eastAsia="宋体"/>
                <w:szCs w:val="21"/>
                <w:lang w:eastAsia="zh-CN"/>
              </w:rPr>
            </w:pPr>
            <w:r>
              <w:rPr>
                <w:rFonts w:hint="eastAsia" w:ascii="仿宋" w:hAnsi="仿宋" w:eastAsia="仿宋" w:cs="仿宋"/>
                <w:szCs w:val="21"/>
              </w:rPr>
              <w:t>《</w:t>
            </w:r>
            <w:r>
              <w:rPr>
                <w:rFonts w:hint="eastAsia" w:ascii="仿宋" w:hAnsi="仿宋" w:eastAsia="仿宋" w:cs="仿宋"/>
                <w:color w:val="000000"/>
                <w:kern w:val="0"/>
                <w:sz w:val="21"/>
                <w:szCs w:val="21"/>
                <w:lang w:val="en-US" w:eastAsia="zh-CN" w:bidi="ar-SA"/>
              </w:rPr>
              <w:t>预制装配式钢筋混凝土检查井技术规程</w:t>
            </w:r>
            <w:r>
              <w:rPr>
                <w:rFonts w:hint="eastAsia" w:ascii="仿宋" w:hAnsi="仿宋" w:eastAsia="仿宋" w:cs="仿宋"/>
                <w:szCs w:val="21"/>
              </w:rPr>
              <w:t>》</w:t>
            </w:r>
            <w:r>
              <w:rPr>
                <w:rFonts w:hint="eastAsia" w:ascii="仿宋" w:hAnsi="仿宋" w:eastAsia="仿宋" w:cs="仿宋"/>
                <w:szCs w:val="21"/>
                <w:lang w:eastAsia="zh-CN"/>
              </w:rPr>
              <w:t>（</w:t>
            </w:r>
            <w:r>
              <w:rPr>
                <w:rFonts w:hint="eastAsia" w:ascii="仿宋" w:hAnsi="仿宋" w:eastAsia="仿宋" w:cs="仿宋"/>
                <w:szCs w:val="21"/>
                <w:lang w:val="en-US" w:eastAsia="zh-CN"/>
              </w:rPr>
              <w:t xml:space="preserve">修订 </w:t>
            </w:r>
            <w:r>
              <w:rPr>
                <w:rFonts w:hint="eastAsia" w:ascii="仿宋" w:hAnsi="仿宋" w:eastAsia="仿宋" w:cs="仿宋"/>
                <w:color w:val="auto"/>
                <w:szCs w:val="21"/>
                <w:lang w:val="en-US" w:eastAsia="zh-CN"/>
              </w:rPr>
              <w:t>DB34/T 1786-2012</w:t>
            </w:r>
            <w:r>
              <w:rPr>
                <w:rFonts w:hint="eastAsia" w:ascii="仿宋" w:hAnsi="仿宋" w:eastAsia="仿宋" w:cs="仿宋"/>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5" w:type="dxa"/>
            <w:vAlign w:val="center"/>
          </w:tcPr>
          <w:p>
            <w:pPr>
              <w:pStyle w:val="15"/>
              <w:adjustRightInd w:val="0"/>
              <w:spacing w:line="360" w:lineRule="auto"/>
              <w:ind w:firstLine="0" w:firstLineChars="0"/>
              <w:contextualSpacing/>
              <w:jc w:val="center"/>
              <w:rPr>
                <w:rFonts w:hAnsi="宋体"/>
                <w:szCs w:val="21"/>
              </w:rPr>
            </w:pPr>
            <w:r>
              <w:rPr>
                <w:rFonts w:hint="eastAsia" w:hAnsi="宋体"/>
                <w:szCs w:val="21"/>
              </w:rPr>
              <w:t>任务来源</w:t>
            </w:r>
          </w:p>
          <w:p>
            <w:pPr>
              <w:pStyle w:val="15"/>
              <w:adjustRightInd w:val="0"/>
              <w:spacing w:line="360" w:lineRule="auto"/>
              <w:ind w:firstLine="0" w:firstLineChars="0"/>
              <w:contextualSpacing/>
              <w:jc w:val="center"/>
              <w:rPr>
                <w:rFonts w:hAnsi="宋体"/>
                <w:szCs w:val="21"/>
              </w:rPr>
            </w:pPr>
            <w:r>
              <w:rPr>
                <w:rFonts w:hint="eastAsia" w:hAnsi="宋体"/>
                <w:szCs w:val="21"/>
              </w:rPr>
              <w:t>（项目计划号）</w:t>
            </w:r>
          </w:p>
        </w:tc>
        <w:tc>
          <w:tcPr>
            <w:tcW w:w="7945" w:type="dxa"/>
            <w:vAlign w:val="center"/>
          </w:tcPr>
          <w:p>
            <w:pPr>
              <w:pStyle w:val="15"/>
              <w:adjustRightInd w:val="0"/>
              <w:spacing w:line="360" w:lineRule="auto"/>
              <w:ind w:firstLine="0" w:firstLineChars="0"/>
              <w:contextualSpacing/>
              <w:rPr>
                <w:rFonts w:hint="default" w:ascii="Calibri" w:hAnsi="Calibri" w:eastAsia="宋体" w:cs="Times New Roman"/>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《安徽省市场监督管理局关于下达2022年第一批安徽省地方标准制修订计划的通知》（皖市监函〔2022〕356 号），项目计划号：2022-1-23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5" w:type="dxa"/>
            <w:vAlign w:val="center"/>
          </w:tcPr>
          <w:p>
            <w:pPr>
              <w:pStyle w:val="15"/>
              <w:adjustRightInd w:val="0"/>
              <w:spacing w:line="360" w:lineRule="auto"/>
              <w:ind w:firstLine="0" w:firstLineChars="0"/>
              <w:contextualSpacing/>
              <w:jc w:val="center"/>
              <w:rPr>
                <w:rFonts w:hAnsi="宋体"/>
                <w:szCs w:val="21"/>
              </w:rPr>
            </w:pPr>
            <w:r>
              <w:rPr>
                <w:rFonts w:hint="eastAsia" w:hAnsi="宋体"/>
                <w:szCs w:val="21"/>
              </w:rPr>
              <w:t>第一起草单位</w:t>
            </w:r>
          </w:p>
        </w:tc>
        <w:tc>
          <w:tcPr>
            <w:tcW w:w="7945" w:type="dxa"/>
            <w:vAlign w:val="center"/>
          </w:tcPr>
          <w:p>
            <w:pPr>
              <w:pStyle w:val="15"/>
              <w:adjustRightInd w:val="0"/>
              <w:spacing w:line="360" w:lineRule="auto"/>
              <w:ind w:firstLine="0" w:firstLineChars="0"/>
              <w:contextualSpacing/>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合肥市市政设计研究总院有限公司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5" w:type="dxa"/>
            <w:vAlign w:val="center"/>
          </w:tcPr>
          <w:p>
            <w:pPr>
              <w:pStyle w:val="15"/>
              <w:adjustRightInd w:val="0"/>
              <w:spacing w:line="360" w:lineRule="auto"/>
              <w:ind w:firstLine="0" w:firstLineChars="0"/>
              <w:contextualSpacing/>
              <w:jc w:val="center"/>
              <w:rPr>
                <w:rFonts w:hAnsi="宋体"/>
                <w:szCs w:val="21"/>
              </w:rPr>
            </w:pPr>
            <w:r>
              <w:rPr>
                <w:rFonts w:hint="eastAsia" w:hAnsi="宋体"/>
                <w:szCs w:val="21"/>
              </w:rPr>
              <w:t>单位地址</w:t>
            </w:r>
          </w:p>
        </w:tc>
        <w:tc>
          <w:tcPr>
            <w:tcW w:w="7945" w:type="dxa"/>
            <w:vAlign w:val="center"/>
          </w:tcPr>
          <w:p>
            <w:pPr>
              <w:pStyle w:val="15"/>
              <w:adjustRightInd w:val="0"/>
              <w:spacing w:line="360" w:lineRule="auto"/>
              <w:ind w:firstLine="0" w:firstLineChars="0"/>
              <w:contextualSpacing/>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合肥市庐阳区义井路783号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25" w:type="dxa"/>
            <w:vAlign w:val="center"/>
          </w:tcPr>
          <w:p>
            <w:pPr>
              <w:pStyle w:val="15"/>
              <w:adjustRightInd w:val="0"/>
              <w:spacing w:line="360" w:lineRule="auto"/>
              <w:ind w:firstLine="0" w:firstLineChars="0"/>
              <w:contextualSpacing/>
              <w:jc w:val="center"/>
              <w:rPr>
                <w:rFonts w:hAnsi="宋体"/>
                <w:szCs w:val="21"/>
              </w:rPr>
            </w:pPr>
            <w:r>
              <w:rPr>
                <w:rFonts w:hint="eastAsia" w:hAnsi="宋体"/>
                <w:szCs w:val="21"/>
              </w:rPr>
              <w:t>参与起草单位</w:t>
            </w:r>
          </w:p>
        </w:tc>
        <w:tc>
          <w:tcPr>
            <w:tcW w:w="7945" w:type="dxa"/>
            <w:vAlign w:val="center"/>
          </w:tcPr>
          <w:p>
            <w:pP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合肥市排水管理办公室、宣城市政建设集团有限公司、上海市城市建设设计研究总院（集团）有限公司、合肥市公路桥梁工程有限责任公司、中安华力建设集团有限公司、中铁四局集团第四工程有限公司、安徽水安建设集团股份有限公司、安徽含山县建设工程质量监督站、安徽省新型建材与水泥制品工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5"/>
              <w:adjustRightInd w:val="0"/>
              <w:spacing w:line="360" w:lineRule="auto"/>
              <w:ind w:firstLine="0" w:firstLineChars="0"/>
              <w:contextualSpacing/>
              <w:jc w:val="center"/>
              <w:rPr>
                <w:rFonts w:hAnsi="宋体"/>
                <w:szCs w:val="21"/>
              </w:rPr>
            </w:pPr>
            <w:r>
              <w:rPr>
                <w:rFonts w:hint="eastAsia" w:hAnsi="宋体"/>
                <w:b/>
                <w:bCs/>
                <w:szCs w:val="21"/>
              </w:rPr>
              <w:t>编制情况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5"/>
              <w:adjustRightInd w:val="0"/>
              <w:spacing w:line="360" w:lineRule="auto"/>
              <w:ind w:firstLine="0" w:firstLineChars="0"/>
              <w:contextualSpacing/>
              <w:rPr>
                <w:rFonts w:hAnsi="宋体"/>
                <w:szCs w:val="21"/>
              </w:rPr>
            </w:pPr>
            <w:r>
              <w:rPr>
                <w:rFonts w:hint="eastAsia" w:hAnsi="宋体"/>
                <w:b/>
                <w:bCs/>
                <w:szCs w:val="21"/>
              </w:rPr>
              <w:t>1、编制过程简介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5"/>
              <w:adjustRightInd w:val="0"/>
              <w:spacing w:line="360" w:lineRule="auto"/>
              <w:contextualSpacing/>
              <w:rPr>
                <w:rFonts w:hint="default" w:ascii="仿宋" w:hAnsi="仿宋" w:eastAsia="仿宋"/>
                <w:color w:val="000000"/>
                <w:kern w:val="0"/>
                <w:lang w:val="en-US" w:eastAsia="zh-CN"/>
              </w:rPr>
            </w:pPr>
            <w:r>
              <w:rPr>
                <w:rFonts w:hint="eastAsia" w:ascii="仿宋" w:hAnsi="仿宋" w:eastAsia="仿宋" w:cs="仿宋"/>
                <w:color w:val="000000"/>
                <w:kern w:val="0"/>
                <w:sz w:val="21"/>
                <w:szCs w:val="21"/>
                <w:lang w:val="en-US" w:eastAsia="zh-CN" w:bidi="ar-SA"/>
              </w:rPr>
              <w:t>2022年8月～11月，</w:t>
            </w:r>
            <w:r>
              <w:rPr>
                <w:rFonts w:hint="eastAsia" w:ascii="仿宋" w:hAnsi="仿宋" w:eastAsia="仿宋" w:cs="仿宋"/>
                <w:color w:val="000000"/>
                <w:kern w:val="0"/>
                <w:lang w:val="en-US" w:eastAsia="zh-CN"/>
              </w:rPr>
              <w:t>编制牵头单位合肥市市政设计研究总院有限公司成立编制筹备组。筹备组整理和收集相关技术资料，邀请了省内大型施工企业、管理部门、质监部门、生产企业和行业协会等单位参与编制。</w:t>
            </w:r>
          </w:p>
          <w:p>
            <w:pPr>
              <w:pStyle w:val="15"/>
              <w:adjustRightInd w:val="0"/>
              <w:spacing w:line="360" w:lineRule="auto"/>
              <w:contextualSpacing/>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2023年1月</w:t>
            </w:r>
            <w:r>
              <w:rPr>
                <w:rFonts w:hint="eastAsia" w:ascii="仿宋" w:hAnsi="仿宋" w:eastAsia="仿宋"/>
                <w:color w:val="000000"/>
                <w:kern w:val="0"/>
                <w:lang w:val="en-US" w:eastAsia="zh-CN"/>
              </w:rPr>
              <w:t>5日</w:t>
            </w:r>
            <w:r>
              <w:rPr>
                <w:rFonts w:hint="eastAsia" w:ascii="仿宋" w:hAnsi="仿宋" w:eastAsia="仿宋" w:cs="仿宋"/>
                <w:color w:val="000000"/>
                <w:kern w:val="0"/>
                <w:sz w:val="21"/>
                <w:szCs w:val="21"/>
                <w:lang w:val="en-US" w:eastAsia="zh-CN" w:bidi="ar-SA"/>
              </w:rPr>
              <w:t>，</w:t>
            </w:r>
            <w:r>
              <w:rPr>
                <w:rFonts w:hint="eastAsia" w:ascii="仿宋" w:hAnsi="仿宋" w:eastAsia="仿宋" w:cs="仿宋"/>
                <w:color w:val="000000"/>
                <w:kern w:val="0"/>
              </w:rPr>
              <w:t>召开规程编制大纲研讨会（启动会）。会议讨论并确定了本规程的编制工作大纲、主要章节内容及对应编制的重点任务、编制组分工及工作进度计划等内容；</w:t>
            </w:r>
            <w:r>
              <w:rPr>
                <w:rFonts w:hint="eastAsia" w:ascii="仿宋" w:hAnsi="仿宋" w:eastAsia="仿宋" w:cs="仿宋"/>
                <w:color w:val="000000"/>
                <w:kern w:val="0"/>
                <w:sz w:val="21"/>
                <w:szCs w:val="21"/>
                <w:lang w:val="en-US" w:eastAsia="zh-CN" w:bidi="ar-SA"/>
              </w:rPr>
              <w:t>相关专家对编制大纲提出指导意见和建议</w:t>
            </w:r>
            <w:r>
              <w:rPr>
                <w:rFonts w:hint="eastAsia" w:ascii="仿宋" w:hAnsi="仿宋" w:eastAsia="仿宋" w:cs="仿宋"/>
                <w:color w:val="000000"/>
                <w:kern w:val="0"/>
              </w:rPr>
              <w:t>；</w:t>
            </w:r>
          </w:p>
          <w:p>
            <w:pPr>
              <w:pStyle w:val="15"/>
              <w:adjustRightInd w:val="0"/>
              <w:spacing w:line="360" w:lineRule="auto"/>
              <w:contextualSpacing/>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2022年8月～2023年9月，</w:t>
            </w:r>
            <w:r>
              <w:rPr>
                <w:rFonts w:ascii="仿宋" w:hAnsi="仿宋" w:eastAsia="仿宋"/>
                <w:color w:val="000000"/>
                <w:kern w:val="0"/>
              </w:rPr>
              <w:t>组织</w:t>
            </w:r>
            <w:r>
              <w:rPr>
                <w:rFonts w:hint="eastAsia" w:ascii="仿宋" w:hAnsi="仿宋" w:eastAsia="仿宋" w:cs="仿宋"/>
                <w:color w:val="000000"/>
                <w:kern w:val="0"/>
                <w:sz w:val="21"/>
                <w:szCs w:val="21"/>
                <w:lang w:val="en-US" w:eastAsia="zh-CN" w:bidi="ar-SA"/>
              </w:rPr>
              <w:t>调研省内外多家混凝土预制产品生产企业和科研院所，与国家行业标准、国家标准图集的主编专家进行技术交流，</w:t>
            </w:r>
            <w:r>
              <w:rPr>
                <w:rFonts w:ascii="仿宋" w:hAnsi="仿宋" w:eastAsia="仿宋"/>
                <w:color w:val="000000"/>
                <w:kern w:val="0"/>
              </w:rPr>
              <w:t>收集先进经验和资料，形成本规程第一稿；</w:t>
            </w:r>
          </w:p>
          <w:p>
            <w:pPr>
              <w:pStyle w:val="15"/>
              <w:adjustRightInd w:val="0"/>
              <w:spacing w:line="360" w:lineRule="auto"/>
              <w:contextualSpacing/>
              <w:rPr>
                <w:rFonts w:hint="eastAsia" w:ascii="仿宋" w:hAnsi="仿宋" w:eastAsia="仿宋"/>
                <w:color w:val="000000"/>
                <w:kern w:val="0"/>
                <w:lang w:val="en-US" w:eastAsia="zh-CN"/>
              </w:rPr>
            </w:pPr>
            <w:r>
              <w:rPr>
                <w:rFonts w:hint="eastAsia" w:ascii="仿宋" w:hAnsi="仿宋" w:eastAsia="仿宋" w:cs="仿宋"/>
                <w:color w:val="000000"/>
                <w:kern w:val="0"/>
                <w:sz w:val="21"/>
                <w:szCs w:val="21"/>
                <w:lang w:val="en-US" w:eastAsia="zh-CN" w:bidi="ar-SA"/>
              </w:rPr>
              <w:t>2023年7月4日，</w:t>
            </w:r>
            <w:r>
              <w:rPr>
                <w:rFonts w:ascii="仿宋" w:hAnsi="仿宋" w:eastAsia="仿宋"/>
                <w:color w:val="000000"/>
                <w:kern w:val="0"/>
              </w:rPr>
              <w:t>召开</w:t>
            </w:r>
            <w:r>
              <w:rPr>
                <w:rFonts w:hint="eastAsia" w:ascii="仿宋" w:hAnsi="仿宋" w:eastAsia="仿宋"/>
                <w:color w:val="000000"/>
                <w:kern w:val="0"/>
                <w:lang w:val="en-US" w:eastAsia="zh-CN"/>
              </w:rPr>
              <w:t>全体</w:t>
            </w:r>
            <w:r>
              <w:rPr>
                <w:rFonts w:ascii="仿宋" w:hAnsi="仿宋" w:eastAsia="仿宋"/>
                <w:color w:val="000000"/>
                <w:kern w:val="0"/>
              </w:rPr>
              <w:t>编制</w:t>
            </w:r>
            <w:r>
              <w:rPr>
                <w:rFonts w:hint="eastAsia" w:ascii="仿宋" w:hAnsi="仿宋" w:eastAsia="仿宋"/>
                <w:color w:val="000000"/>
                <w:kern w:val="0"/>
                <w:lang w:val="en-US" w:eastAsia="zh-CN"/>
              </w:rPr>
              <w:t>单位</w:t>
            </w:r>
            <w:r>
              <w:rPr>
                <w:rFonts w:ascii="仿宋" w:hAnsi="仿宋" w:eastAsia="仿宋"/>
                <w:color w:val="000000"/>
                <w:kern w:val="0"/>
              </w:rPr>
              <w:t>内部研讨会，对《</w:t>
            </w:r>
            <w:r>
              <w:rPr>
                <w:rFonts w:hint="eastAsia" w:ascii="仿宋" w:hAnsi="仿宋" w:eastAsia="仿宋"/>
                <w:color w:val="000000"/>
                <w:kern w:val="0"/>
                <w:lang w:val="en-US" w:eastAsia="zh-CN"/>
              </w:rPr>
              <w:t>技术</w:t>
            </w:r>
            <w:r>
              <w:rPr>
                <w:rFonts w:ascii="仿宋" w:hAnsi="仿宋" w:eastAsia="仿宋"/>
                <w:color w:val="000000"/>
                <w:kern w:val="0"/>
              </w:rPr>
              <w:t>规程》相关内容进行了</w:t>
            </w:r>
            <w:r>
              <w:rPr>
                <w:rFonts w:hint="eastAsia" w:ascii="仿宋" w:hAnsi="仿宋" w:eastAsia="仿宋"/>
                <w:color w:val="000000"/>
                <w:kern w:val="0"/>
                <w:lang w:val="en-US" w:eastAsia="zh-CN"/>
              </w:rPr>
              <w:t>讨论；</w:t>
            </w:r>
          </w:p>
          <w:p>
            <w:pPr>
              <w:pStyle w:val="15"/>
              <w:adjustRightInd w:val="0"/>
              <w:spacing w:line="360" w:lineRule="auto"/>
              <w:contextualSpacing/>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2023年8月～2023年10月，编制组对部分关键技术和</w:t>
            </w:r>
            <w:r>
              <w:rPr>
                <w:rFonts w:hint="eastAsia" w:ascii="仿宋" w:hAnsi="仿宋" w:eastAsia="仿宋"/>
                <w:color w:val="000000"/>
                <w:kern w:val="0"/>
                <w:lang w:val="en-US" w:eastAsia="zh-CN"/>
              </w:rPr>
              <w:t>节点做法予以补充完善</w:t>
            </w:r>
            <w:r>
              <w:rPr>
                <w:rFonts w:ascii="仿宋" w:hAnsi="仿宋" w:eastAsia="仿宋"/>
                <w:color w:val="000000"/>
                <w:kern w:val="0"/>
              </w:rPr>
              <w:t>，</w:t>
            </w:r>
            <w:r>
              <w:rPr>
                <w:rFonts w:hint="eastAsia" w:ascii="仿宋" w:hAnsi="仿宋" w:eastAsia="仿宋" w:cs="仿宋"/>
                <w:color w:val="000000"/>
                <w:kern w:val="0"/>
                <w:sz w:val="21"/>
                <w:szCs w:val="21"/>
                <w:lang w:val="en-US" w:eastAsia="zh-CN" w:bidi="ar-SA"/>
              </w:rPr>
              <w:t>在统稿的基础上</w:t>
            </w:r>
            <w:r>
              <w:rPr>
                <w:rFonts w:ascii="仿宋" w:hAnsi="仿宋" w:eastAsia="仿宋"/>
                <w:color w:val="000000"/>
                <w:kern w:val="0"/>
              </w:rPr>
              <w:t>形成《</w:t>
            </w:r>
            <w:r>
              <w:rPr>
                <w:rFonts w:hint="eastAsia" w:ascii="仿宋" w:hAnsi="仿宋" w:eastAsia="仿宋"/>
                <w:color w:val="000000"/>
                <w:kern w:val="0"/>
                <w:lang w:val="en-US" w:eastAsia="zh-CN"/>
              </w:rPr>
              <w:t>技术</w:t>
            </w:r>
            <w:r>
              <w:rPr>
                <w:rFonts w:ascii="仿宋" w:hAnsi="仿宋" w:eastAsia="仿宋"/>
                <w:color w:val="000000"/>
                <w:kern w:val="0"/>
              </w:rPr>
              <w:t>规程》草案</w:t>
            </w:r>
            <w:r>
              <w:rPr>
                <w:rFonts w:hint="eastAsia" w:ascii="仿宋" w:hAnsi="仿宋" w:eastAsia="仿宋"/>
                <w:color w:val="000000"/>
                <w:kern w:val="0"/>
                <w:lang w:eastAsia="zh-CN"/>
              </w:rPr>
              <w:t>；</w:t>
            </w:r>
          </w:p>
          <w:p>
            <w:pPr>
              <w:pStyle w:val="15"/>
              <w:adjustRightInd w:val="0"/>
              <w:spacing w:line="360" w:lineRule="auto"/>
              <w:contextualSpacing/>
            </w:pPr>
            <w:r>
              <w:rPr>
                <w:rFonts w:hint="eastAsia" w:ascii="仿宋" w:hAnsi="仿宋" w:eastAsia="仿宋" w:cs="仿宋"/>
                <w:color w:val="000000"/>
                <w:kern w:val="0"/>
                <w:sz w:val="21"/>
                <w:szCs w:val="21"/>
                <w:lang w:val="en-US" w:eastAsia="zh-CN" w:bidi="ar-SA"/>
              </w:rPr>
              <w:t>2023年10月31日，召开标准草案专家论证会，会议邀请相关专家共同探讨标准草案成果。专家组经充分论证，同意标准草案通过论证，修改完善后形成征求意见稿。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5"/>
              <w:adjustRightInd w:val="0"/>
              <w:spacing w:line="360" w:lineRule="auto"/>
              <w:ind w:firstLine="0" w:firstLineChars="0"/>
              <w:contextualSpacing/>
              <w:rPr>
                <w:rFonts w:hAnsi="宋体"/>
                <w:szCs w:val="21"/>
              </w:rPr>
            </w:pPr>
            <w:r>
              <w:rPr>
                <w:rFonts w:hint="eastAsia" w:hAnsi="宋体"/>
                <w:b/>
                <w:bCs/>
                <w:szCs w:val="21"/>
              </w:rPr>
              <w:t>2、</w:t>
            </w:r>
            <w:r>
              <w:rPr>
                <w:rFonts w:hint="eastAsia" w:hAnsi="宋体"/>
                <w:b/>
                <w:bCs/>
                <w:szCs w:val="21"/>
                <w:lang w:val="en-US" w:eastAsia="zh-CN"/>
              </w:rPr>
              <w:t>制定</w:t>
            </w:r>
            <w:r>
              <w:rPr>
                <w:rFonts w:hint="eastAsia" w:hAnsi="宋体"/>
                <w:b/>
                <w:bCs/>
                <w:szCs w:val="21"/>
              </w:rPr>
              <w:t>标准的必要性和意义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制定标准的必要性：</w:t>
            </w:r>
          </w:p>
          <w:p>
            <w:pPr>
              <w:pStyle w:val="7"/>
              <w:keepNext w:val="0"/>
              <w:keepLines w:val="0"/>
              <w:pageBreakBefore w:val="0"/>
              <w:widowControl/>
              <w:numPr>
                <w:ilvl w:val="0"/>
                <w:numId w:val="3"/>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20" w:firstLineChars="200"/>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bidi="ar-SA"/>
              </w:rPr>
              <w:t>随着近年来连续出台的系列项目规范和通用规范的颁布实施，《预制装配式钢筋混凝土检查井技术规程》DB34/T 1786-2012部分条文规定需要补充、增删。近年出现的新产品、新技术也需补充收录入规程。</w:t>
            </w:r>
          </w:p>
          <w:p>
            <w:pPr>
              <w:pStyle w:val="7"/>
              <w:keepNext w:val="0"/>
              <w:keepLines w:val="0"/>
              <w:pageBreakBefore w:val="0"/>
              <w:widowControl/>
              <w:numPr>
                <w:ilvl w:val="0"/>
                <w:numId w:val="3"/>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20" w:firstLineChars="200"/>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bidi="ar-SA"/>
              </w:rPr>
              <w:t>数字化转型是我国经济社会转型与高质量发展的重大历史机遇，工程建设行业作为中国的经济支柱产业，数字化转型的成功至关重要。数字化、工厂化和自动化是预制混凝土行业高质量发展的必经之路；国家和地方均对工程建设领域信息化建设提出相关要求，规程本次修编增加信息化相关技术要求。</w:t>
            </w:r>
          </w:p>
          <w:p>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b/>
                <w:bCs/>
                <w:color w:val="000000"/>
                <w:kern w:val="0"/>
                <w:sz w:val="21"/>
                <w:szCs w:val="21"/>
                <w:lang w:val="en-US" w:eastAsia="zh-CN"/>
              </w:rPr>
            </w:pPr>
            <w:r>
              <w:rPr>
                <w:rFonts w:hint="eastAsia" w:ascii="仿宋" w:hAnsi="仿宋" w:eastAsia="仿宋" w:cs="仿宋"/>
                <w:b/>
                <w:bCs/>
                <w:color w:val="000000"/>
                <w:kern w:val="0"/>
                <w:sz w:val="21"/>
                <w:szCs w:val="21"/>
                <w:lang w:val="en-US" w:eastAsia="zh-CN"/>
              </w:rPr>
              <w:t>制定标准的意义：</w:t>
            </w:r>
          </w:p>
          <w:p>
            <w:pPr>
              <w:pStyle w:val="7"/>
              <w:keepNext w:val="0"/>
              <w:keepLines w:val="0"/>
              <w:pageBreakBefore w:val="0"/>
              <w:widowControl/>
              <w:numPr>
                <w:ilvl w:val="0"/>
                <w:numId w:val="4"/>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20" w:firstLineChars="200"/>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bidi="ar-SA"/>
              </w:rPr>
              <w:t>2021年，国务院印发《2030年前碳达峰行动方案》，住建部发布《“十四五”建筑业发展规划》，《安徽省“十四五”装配式建筑发展规划》，均提出“加快推进新型建筑工业化，大力发展装配式建筑”。因此，在市政基础设施建设中，大力推进预制拼装检查井向规模化、集约化、产业化方向发展是必然趋势。《技术规程》的编制对助力城市更新和乡村振兴，具有重要的现实意义和社会意义。</w:t>
            </w:r>
          </w:p>
          <w:p>
            <w:pPr>
              <w:keepNext w:val="0"/>
              <w:keepLines w:val="0"/>
              <w:pageBreakBefore w:val="0"/>
              <w:numPr>
                <w:ilvl w:val="0"/>
                <w:numId w:val="4"/>
              </w:numPr>
              <w:kinsoku/>
              <w:wordWrap/>
              <w:overflowPunct/>
              <w:topLinePunct w:val="0"/>
              <w:autoSpaceDE/>
              <w:autoSpaceDN/>
              <w:bidi w:val="0"/>
              <w:snapToGrid w:val="0"/>
              <w:spacing w:line="360" w:lineRule="auto"/>
              <w:ind w:left="0" w:leftChars="0" w:firstLine="420" w:firstLineChars="20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井是地下管道中重要的配套构筑物，对城市功能和环境有着重要影响。预制混凝土检查井具有强度高，密封性能好，无渗漏，施工安装快等优点，近些年在国内的生产和应用取得了迅猛的发展。市政雨污水管网工程中的检查井具有检修维护、管径转换、智能监测与控制等作用。在市政管网工程建设中，积极推进预制检查井应用，不仅能有效推进检查井产业转向数字化、工业化、自动化、装配式方向发展，而且有助于实现工程建设领域绿色、低碳、高质量发展，具有重要的社会、经济和环境生态保护意义。</w:t>
            </w:r>
          </w:p>
          <w:p>
            <w:pPr>
              <w:keepNext w:val="0"/>
              <w:keepLines w:val="0"/>
              <w:pageBreakBefore w:val="0"/>
              <w:numPr>
                <w:ilvl w:val="0"/>
                <w:numId w:val="4"/>
              </w:numPr>
              <w:kinsoku/>
              <w:wordWrap/>
              <w:overflowPunct/>
              <w:topLinePunct w:val="0"/>
              <w:autoSpaceDE/>
              <w:autoSpaceDN/>
              <w:bidi w:val="0"/>
              <w:snapToGrid w:val="0"/>
              <w:spacing w:line="360" w:lineRule="auto"/>
              <w:ind w:left="0" w:leftChars="0" w:firstLine="420" w:firstLineChars="200"/>
              <w:textAlignment w:val="auto"/>
              <w:rPr>
                <w:color w:val="000000"/>
                <w:kern w:val="0"/>
              </w:rPr>
            </w:pPr>
            <w:r>
              <w:rPr>
                <w:rFonts w:hint="eastAsia" w:ascii="仿宋" w:hAnsi="仿宋" w:eastAsia="仿宋" w:cs="仿宋"/>
                <w:color w:val="000000"/>
                <w:kern w:val="0"/>
                <w:sz w:val="21"/>
                <w:szCs w:val="21"/>
                <w:lang w:val="en-US" w:eastAsia="zh-CN" w:bidi="ar-SA"/>
              </w:rPr>
              <w:t>本次标准的修订</w:t>
            </w:r>
            <w:r>
              <w:rPr>
                <w:rFonts w:hint="eastAsia" w:ascii="仿宋" w:hAnsi="仿宋" w:eastAsia="仿宋" w:cs="仿宋"/>
                <w:color w:val="000000"/>
                <w:kern w:val="0"/>
                <w:sz w:val="21"/>
                <w:szCs w:val="21"/>
              </w:rPr>
              <w:t>结合我省的具体情况，在继承国家、行业相关标准的基础上，借鉴部分省市地成功地经验，</w:t>
            </w:r>
            <w:r>
              <w:rPr>
                <w:rFonts w:hint="eastAsia" w:ascii="仿宋" w:hAnsi="仿宋" w:eastAsia="仿宋" w:cs="仿宋"/>
                <w:color w:val="000000"/>
                <w:kern w:val="0"/>
                <w:sz w:val="21"/>
                <w:szCs w:val="21"/>
                <w:lang w:val="en-US" w:eastAsia="zh-CN" w:bidi="ar-SA"/>
              </w:rPr>
              <w:t>完善预制混凝土检查井的设计、生产、检验和施工全流程，并前瞻性的补充了信息化章节。《技术规程》的修订对于规范预制混凝土检查井的生产和使用，促进相关行业的质量提升，淘汰劣质材料和落后工艺技术，推动省内预制装配式检查井的技术升级和数字化转型，具有重要推动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5"/>
              <w:adjustRightInd w:val="0"/>
              <w:spacing w:line="360" w:lineRule="auto"/>
              <w:ind w:firstLine="0" w:firstLineChars="0"/>
              <w:contextualSpacing/>
              <w:rPr>
                <w:rFonts w:hAnsi="宋体"/>
                <w:szCs w:val="21"/>
              </w:rPr>
            </w:pPr>
            <w:r>
              <w:rPr>
                <w:rFonts w:hint="eastAsia" w:hAnsi="宋体"/>
                <w:b/>
                <w:bCs/>
                <w:szCs w:val="21"/>
              </w:rPr>
              <w:t>3、制定标准的原则和依据，与现行法律法规、标准的关系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本</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技术</w:t>
            </w:r>
            <w:r>
              <w:rPr>
                <w:rFonts w:hint="eastAsia" w:ascii="仿宋" w:hAnsi="仿宋" w:eastAsia="仿宋" w:cs="仿宋"/>
                <w:color w:val="000000"/>
                <w:kern w:val="0"/>
                <w:sz w:val="21"/>
                <w:szCs w:val="21"/>
              </w:rPr>
              <w:t>规程</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本着科学、规范、统一和实用的原则，按照《中华人民共和国标准化法》、《安徽省地方标准管理办法》等有关法律法规</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行业</w:t>
            </w:r>
            <w:r>
              <w:rPr>
                <w:rFonts w:hint="eastAsia" w:ascii="仿宋" w:hAnsi="仿宋" w:eastAsia="仿宋" w:cs="仿宋"/>
                <w:color w:val="000000"/>
                <w:kern w:val="0"/>
                <w:sz w:val="21"/>
                <w:szCs w:val="21"/>
                <w:lang w:val="en-US" w:eastAsia="zh-CN"/>
              </w:rPr>
              <w:t>及地方</w:t>
            </w:r>
            <w:r>
              <w:rPr>
                <w:rFonts w:hint="eastAsia" w:ascii="仿宋" w:hAnsi="仿宋" w:eastAsia="仿宋" w:cs="仿宋"/>
                <w:color w:val="000000"/>
                <w:kern w:val="0"/>
                <w:sz w:val="21"/>
                <w:szCs w:val="21"/>
              </w:rPr>
              <w:t>主管部门的</w:t>
            </w:r>
            <w:r>
              <w:rPr>
                <w:rFonts w:hint="eastAsia" w:ascii="仿宋" w:hAnsi="仿宋" w:eastAsia="仿宋" w:cs="仿宋"/>
                <w:color w:val="000000"/>
                <w:kern w:val="0"/>
                <w:sz w:val="21"/>
                <w:szCs w:val="21"/>
                <w:lang w:val="en-US" w:eastAsia="zh-CN"/>
              </w:rPr>
              <w:t>相关</w:t>
            </w:r>
            <w:r>
              <w:rPr>
                <w:rFonts w:hint="eastAsia" w:ascii="仿宋" w:hAnsi="仿宋" w:eastAsia="仿宋" w:cs="仿宋"/>
                <w:color w:val="000000"/>
                <w:kern w:val="0"/>
                <w:sz w:val="21"/>
                <w:szCs w:val="21"/>
              </w:rPr>
              <w:t>要求</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结合</w:t>
            </w:r>
            <w:r>
              <w:rPr>
                <w:rFonts w:hint="eastAsia" w:ascii="仿宋" w:hAnsi="仿宋" w:eastAsia="仿宋" w:cs="仿宋"/>
                <w:color w:val="000000"/>
                <w:kern w:val="0"/>
                <w:sz w:val="21"/>
                <w:szCs w:val="21"/>
                <w:lang w:val="en-US" w:eastAsia="zh-CN"/>
              </w:rPr>
              <w:t>省内</w:t>
            </w:r>
            <w:r>
              <w:rPr>
                <w:rFonts w:hint="eastAsia" w:ascii="仿宋" w:hAnsi="仿宋" w:eastAsia="仿宋" w:cs="仿宋"/>
                <w:color w:val="000000"/>
                <w:kern w:val="0"/>
                <w:sz w:val="21"/>
                <w:szCs w:val="21"/>
              </w:rPr>
              <w:t>预制混凝土检查井的生产和</w:t>
            </w:r>
            <w:r>
              <w:rPr>
                <w:rFonts w:hint="eastAsia" w:ascii="仿宋" w:hAnsi="仿宋" w:eastAsia="仿宋" w:cs="仿宋"/>
                <w:color w:val="000000"/>
                <w:kern w:val="0"/>
                <w:sz w:val="21"/>
                <w:szCs w:val="21"/>
                <w:lang w:val="en-US" w:eastAsia="zh-CN"/>
              </w:rPr>
              <w:t>工程应用</w:t>
            </w:r>
            <w:r>
              <w:rPr>
                <w:rFonts w:hint="eastAsia" w:ascii="仿宋" w:hAnsi="仿宋" w:eastAsia="仿宋" w:cs="仿宋"/>
                <w:color w:val="000000"/>
                <w:kern w:val="0"/>
                <w:sz w:val="21"/>
                <w:szCs w:val="21"/>
              </w:rPr>
              <w:t>现状</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考虑行业的发展趋势，在充分调查研究、紧密结合实践、广泛征求意见的基础上制定。本规程与现行相关法律、法规、规章及相关标准保持一致，没有冲突的地方，具有很好的协调性。</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本标准制定的依据：</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（1）相关的政策法规</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《中华人民共和国标准化法》</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《安徽省地方标准管理办法》</w:t>
            </w:r>
            <w:r>
              <w:rPr>
                <w:rFonts w:hint="eastAsia" w:ascii="仿宋" w:hAnsi="仿宋" w:eastAsia="仿宋" w:cs="仿宋"/>
                <w:color w:val="000000"/>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（2）相关标准</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《污水排入城镇下水道水质标准》GB/T 31962；《建筑地基基础设计规范》GB 50007；《建筑结构荷载规范》GB 50009；《混凝土结构设计规范》GB 50010;《室外排水设计标准》GB 50014；《室外给水排水和燃气热力工程抗震设计规范》GB 50032 ；《工业建筑防腐蚀设计标准》GB 50046；《给水排水工程构筑物结构设计规范》GB 50069；《普通混凝土力学性能试验方法标准》GB/T 50081；《普通混凝土长期性能和耐久性能试验方法标准》GB/T 50082；《混凝土强度检验评定标准》GB/T 50107 ；《混凝土外加剂应用技术规范》GB 50119；《工程结构可靠性设计统一标准》GB 50153；《混凝土质量控制标准》GB 50164；《混凝土结构工程施工质量验收规范》GB 50204；《给水排水管道工程施工及验收规范》GB 50268；《给水排水工程管道结构设计规范》GB 50332；《混凝土结构耐久性设计规范》GB/T 50476；《混凝土结构工程施工规范》GB 50666；《建筑与市政工程抗震通用规范》GB 55002 ；《建筑与市政地基基础通用规范》GB 55003 ；《混凝土结构通用规范》GB 55008；《城乡排水工程项目规范》GB 55027；《普通混凝土配合比设计规程》JGJ 55； 《建筑地基处理技术规范》JGJ 79；《预制混凝土检查井》JC/T 2241；《混凝土和钢筋混凝土排水管用橡胶密封圈》JC/T 946；</w:t>
            </w:r>
          </w:p>
          <w:p>
            <w:pPr>
              <w:ind w:firstLine="561"/>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5"/>
              <w:adjustRightInd w:val="0"/>
              <w:spacing w:line="360" w:lineRule="auto"/>
              <w:ind w:firstLine="0" w:firstLineChars="0"/>
              <w:contextualSpacing/>
              <w:rPr>
                <w:rFonts w:hAnsi="宋体"/>
                <w:szCs w:val="21"/>
              </w:rPr>
            </w:pPr>
            <w:r>
              <w:rPr>
                <w:rFonts w:hint="eastAsia" w:hAnsi="宋体"/>
                <w:b/>
                <w:bCs/>
                <w:szCs w:val="21"/>
              </w:rPr>
              <w:t>4、主要条款的说明，主要技术指标、参数、试验验证的论述（详细说明）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spacing w:line="360" w:lineRule="auto"/>
              <w:rPr>
                <w:rFonts w:ascii="仿宋" w:hAnsi="仿宋" w:eastAsia="仿宋" w:cs="宋体"/>
                <w:b/>
                <w:color w:val="000000"/>
                <w:kern w:val="0"/>
              </w:rPr>
            </w:pPr>
            <w:r>
              <w:rPr>
                <w:rFonts w:hint="eastAsia" w:ascii="仿宋" w:hAnsi="仿宋" w:eastAsia="仿宋" w:cs="宋体"/>
                <w:b/>
                <w:color w:val="000000"/>
                <w:kern w:val="0"/>
              </w:rPr>
              <w:t>主要</w:t>
            </w:r>
            <w:r>
              <w:rPr>
                <w:rFonts w:ascii="仿宋" w:hAnsi="仿宋" w:eastAsia="仿宋" w:cs="宋体"/>
                <w:b/>
                <w:color w:val="000000"/>
                <w:kern w:val="0"/>
              </w:rPr>
              <w:t>技术条款的</w:t>
            </w:r>
            <w:r>
              <w:rPr>
                <w:rFonts w:hint="eastAsia" w:ascii="仿宋" w:hAnsi="仿宋" w:eastAsia="仿宋" w:cs="宋体"/>
                <w:b/>
                <w:color w:val="000000"/>
                <w:kern w:val="0"/>
              </w:rPr>
              <w:t>确定</w:t>
            </w:r>
          </w:p>
          <w:p>
            <w:pPr>
              <w:numPr>
                <w:ilvl w:val="0"/>
                <w:numId w:val="5"/>
              </w:numPr>
              <w:spacing w:line="360" w:lineRule="auto"/>
              <w:rPr>
                <w:color w:val="000000"/>
                <w:szCs w:val="21"/>
                <w:highlight w:val="none"/>
              </w:rPr>
            </w:pPr>
            <w:r>
              <w:rPr>
                <w:rFonts w:hint="eastAsia" w:ascii="仿宋" w:hAnsi="仿宋" w:eastAsia="仿宋" w:cs="宋体"/>
                <w:color w:val="000000"/>
                <w:kern w:val="0"/>
                <w:lang w:val="en-US" w:eastAsia="zh-CN"/>
              </w:rPr>
              <w:t>.</w:t>
            </w:r>
            <w:r>
              <w:rPr>
                <w:rFonts w:hint="eastAsia" w:ascii="仿宋" w:hAnsi="仿宋" w:eastAsia="仿宋" w:cs="宋体"/>
                <w:color w:val="000000"/>
                <w:kern w:val="0"/>
              </w:rPr>
              <w:t>标准共分</w:t>
            </w:r>
            <w:r>
              <w:rPr>
                <w:rFonts w:hint="eastAsia" w:ascii="仿宋" w:hAnsi="仿宋" w:eastAsia="仿宋" w:cs="宋体"/>
                <w:color w:val="000000"/>
                <w:kern w:val="0"/>
                <w:lang w:val="en-US" w:eastAsia="zh-CN"/>
              </w:rPr>
              <w:t>10</w:t>
            </w:r>
            <w:r>
              <w:rPr>
                <w:rFonts w:ascii="仿宋" w:hAnsi="仿宋" w:eastAsia="仿宋" w:cs="宋体"/>
                <w:color w:val="000000"/>
                <w:kern w:val="0"/>
              </w:rPr>
              <w:t>章和</w:t>
            </w:r>
            <w:r>
              <w:rPr>
                <w:rFonts w:hint="eastAsia" w:ascii="仿宋" w:hAnsi="仿宋" w:eastAsia="仿宋" w:cs="宋体"/>
                <w:color w:val="000000"/>
                <w:kern w:val="0"/>
                <w:lang w:val="en-US" w:eastAsia="zh-CN"/>
              </w:rPr>
              <w:t>4</w:t>
            </w:r>
            <w:r>
              <w:rPr>
                <w:rFonts w:ascii="仿宋" w:hAnsi="仿宋" w:eastAsia="仿宋" w:cs="宋体"/>
                <w:color w:val="000000"/>
                <w:kern w:val="0"/>
              </w:rPr>
              <w:t>个附录：总则、术语</w:t>
            </w:r>
            <w:r>
              <w:rPr>
                <w:rFonts w:hint="eastAsia" w:ascii="仿宋" w:hAnsi="仿宋" w:eastAsia="仿宋" w:cs="宋体"/>
                <w:color w:val="000000"/>
                <w:kern w:val="0"/>
                <w:lang w:val="en-US" w:eastAsia="zh-CN"/>
              </w:rPr>
              <w:t>和符号</w:t>
            </w:r>
            <w:r>
              <w:rPr>
                <w:rFonts w:ascii="仿宋" w:hAnsi="仿宋" w:eastAsia="仿宋" w:cs="宋体"/>
                <w:color w:val="000000"/>
                <w:kern w:val="0"/>
              </w:rPr>
              <w:t>、材料、</w:t>
            </w:r>
            <w:r>
              <w:rPr>
                <w:rFonts w:hint="eastAsia" w:ascii="仿宋" w:hAnsi="仿宋" w:eastAsia="仿宋" w:cs="宋体"/>
                <w:color w:val="000000"/>
                <w:kern w:val="0"/>
                <w:lang w:val="en-US" w:eastAsia="zh-CN"/>
              </w:rPr>
              <w:t>结构上的作用、</w:t>
            </w:r>
            <w:r>
              <w:rPr>
                <w:rFonts w:ascii="仿宋" w:hAnsi="仿宋" w:eastAsia="仿宋" w:cs="宋体"/>
                <w:color w:val="000000"/>
                <w:kern w:val="0"/>
              </w:rPr>
              <w:t>设计</w:t>
            </w:r>
            <w:r>
              <w:rPr>
                <w:rFonts w:hint="eastAsia" w:ascii="仿宋" w:hAnsi="仿宋" w:eastAsia="仿宋" w:cs="宋体"/>
                <w:color w:val="000000"/>
                <w:kern w:val="0"/>
                <w:lang w:val="en-US" w:eastAsia="zh-CN"/>
              </w:rPr>
              <w:t>规定</w:t>
            </w:r>
            <w:r>
              <w:rPr>
                <w:rFonts w:ascii="仿宋" w:hAnsi="仿宋" w:eastAsia="仿宋" w:cs="宋体"/>
                <w:color w:val="000000"/>
                <w:kern w:val="0"/>
              </w:rPr>
              <w:t>、</w:t>
            </w:r>
            <w:r>
              <w:rPr>
                <w:rFonts w:hint="eastAsia" w:ascii="仿宋" w:hAnsi="仿宋" w:eastAsia="仿宋" w:cs="宋体"/>
                <w:color w:val="000000"/>
                <w:kern w:val="0"/>
                <w:lang w:val="en-US" w:eastAsia="zh-CN"/>
              </w:rPr>
              <w:t>选型和构造要求、构件制作、</w:t>
            </w:r>
            <w:r>
              <w:rPr>
                <w:rFonts w:ascii="仿宋" w:hAnsi="仿宋" w:eastAsia="仿宋" w:cs="宋体"/>
                <w:color w:val="000000"/>
                <w:kern w:val="0"/>
              </w:rPr>
              <w:t>施工</w:t>
            </w:r>
            <w:r>
              <w:rPr>
                <w:rFonts w:hint="eastAsia" w:ascii="仿宋" w:hAnsi="仿宋" w:eastAsia="仿宋" w:cs="宋体"/>
                <w:color w:val="000000"/>
                <w:kern w:val="0"/>
                <w:lang w:val="en-US" w:eastAsia="zh-CN"/>
              </w:rPr>
              <w:t>安装</w:t>
            </w:r>
            <w:r>
              <w:rPr>
                <w:rFonts w:ascii="仿宋" w:hAnsi="仿宋" w:eastAsia="仿宋" w:cs="宋体"/>
                <w:color w:val="000000"/>
                <w:kern w:val="0"/>
              </w:rPr>
              <w:t>、</w:t>
            </w:r>
            <w:r>
              <w:rPr>
                <w:rFonts w:hint="eastAsia" w:ascii="仿宋" w:hAnsi="仿宋" w:eastAsia="仿宋" w:cs="宋体"/>
                <w:color w:val="000000"/>
                <w:kern w:val="0"/>
              </w:rPr>
              <w:t>质量</w:t>
            </w:r>
            <w:r>
              <w:rPr>
                <w:rFonts w:ascii="仿宋" w:hAnsi="仿宋" w:eastAsia="仿宋" w:cs="宋体"/>
                <w:color w:val="000000"/>
                <w:kern w:val="0"/>
              </w:rPr>
              <w:t>验收</w:t>
            </w:r>
            <w:r>
              <w:rPr>
                <w:rFonts w:hint="eastAsia" w:ascii="仿宋" w:hAnsi="仿宋" w:eastAsia="仿宋" w:cs="宋体"/>
                <w:color w:val="000000"/>
                <w:kern w:val="0"/>
              </w:rPr>
              <w:t>、</w:t>
            </w:r>
            <w:r>
              <w:rPr>
                <w:rFonts w:hint="eastAsia" w:ascii="仿宋" w:hAnsi="仿宋" w:eastAsia="仿宋" w:cs="宋体"/>
                <w:color w:val="000000"/>
                <w:kern w:val="0"/>
                <w:lang w:val="en-US" w:eastAsia="zh-CN"/>
              </w:rPr>
              <w:t>信息化、</w:t>
            </w:r>
            <w:r>
              <w:rPr>
                <w:rFonts w:ascii="仿宋" w:hAnsi="仿宋" w:eastAsia="仿宋" w:cs="宋体"/>
                <w:color w:val="000000"/>
                <w:kern w:val="0"/>
              </w:rPr>
              <w:t>附录A</w:t>
            </w:r>
            <w:r>
              <w:rPr>
                <w:rFonts w:hint="eastAsia" w:ascii="仿宋" w:hAnsi="仿宋" w:eastAsia="仿宋" w:cs="宋体"/>
                <w:color w:val="000000"/>
                <w:kern w:val="0"/>
                <w:lang w:val="en-US" w:eastAsia="zh-CN"/>
              </w:rPr>
              <w:t>～</w:t>
            </w:r>
            <w:r>
              <w:rPr>
                <w:rFonts w:ascii="仿宋" w:hAnsi="仿宋" w:eastAsia="仿宋" w:cs="宋体"/>
                <w:color w:val="000000"/>
                <w:kern w:val="0"/>
              </w:rPr>
              <w:t>附录</w:t>
            </w:r>
            <w:r>
              <w:rPr>
                <w:rFonts w:hint="eastAsia" w:ascii="仿宋" w:hAnsi="仿宋" w:eastAsia="仿宋" w:cs="宋体"/>
                <w:color w:val="000000"/>
                <w:kern w:val="0"/>
                <w:lang w:val="en-US" w:eastAsia="zh-CN"/>
              </w:rPr>
              <w:t>D</w:t>
            </w:r>
            <w:r>
              <w:rPr>
                <w:rFonts w:ascii="仿宋" w:hAnsi="仿宋" w:eastAsia="仿宋" w:cs="宋体"/>
                <w:color w:val="000000"/>
                <w:kern w:val="0"/>
              </w:rPr>
              <w:t>组成。</w:t>
            </w:r>
          </w:p>
          <w:p>
            <w:pPr>
              <w:numPr>
                <w:ilvl w:val="0"/>
                <w:numId w:val="5"/>
              </w:numPr>
              <w:spacing w:line="360" w:lineRule="auto"/>
              <w:rPr>
                <w:rFonts w:hint="eastAsia"/>
                <w:color w:val="000000"/>
                <w:szCs w:val="21"/>
                <w:highlight w:val="none"/>
              </w:rPr>
            </w:pPr>
            <w:r>
              <w:rPr>
                <w:rFonts w:hint="eastAsia" w:ascii="仿宋" w:hAnsi="仿宋" w:eastAsia="仿宋" w:cs="宋体"/>
                <w:color w:val="000000"/>
                <w:kern w:val="0"/>
              </w:rPr>
              <w:t>本</w:t>
            </w:r>
            <w:r>
              <w:rPr>
                <w:rFonts w:ascii="仿宋" w:hAnsi="仿宋" w:eastAsia="仿宋" w:cs="宋体"/>
                <w:color w:val="000000"/>
                <w:kern w:val="0"/>
              </w:rPr>
              <w:t>规程共</w:t>
            </w:r>
            <w:r>
              <w:rPr>
                <w:rFonts w:hint="eastAsia" w:ascii="仿宋" w:hAnsi="仿宋" w:eastAsia="仿宋" w:cs="宋体"/>
                <w:color w:val="000000"/>
                <w:kern w:val="0"/>
                <w:lang w:val="en-US" w:eastAsia="zh-CN"/>
              </w:rPr>
              <w:t>11</w:t>
            </w:r>
            <w:r>
              <w:rPr>
                <w:rFonts w:hint="eastAsia" w:ascii="仿宋" w:hAnsi="仿宋" w:eastAsia="仿宋" w:cs="宋体"/>
                <w:color w:val="000000"/>
                <w:kern w:val="0"/>
              </w:rPr>
              <w:t>个</w:t>
            </w:r>
            <w:r>
              <w:rPr>
                <w:rFonts w:ascii="仿宋" w:hAnsi="仿宋" w:eastAsia="仿宋" w:cs="宋体"/>
                <w:color w:val="000000"/>
                <w:kern w:val="0"/>
              </w:rPr>
              <w:t>术语：</w:t>
            </w:r>
            <w:r>
              <w:rPr>
                <w:rFonts w:hint="eastAsia" w:ascii="仿宋" w:hAnsi="仿宋" w:eastAsia="仿宋" w:cs="宋体"/>
                <w:color w:val="000000"/>
                <w:kern w:val="0"/>
                <w:lang w:val="en-US" w:eastAsia="zh-CN"/>
              </w:rPr>
              <w:t>检查井、预制装配式钢筋混凝土检查井、底板、井室、顶板、井筒、井（座）盖、收口圈、止水橡胶密封圈、踏步。</w:t>
            </w:r>
          </w:p>
          <w:p>
            <w:pPr>
              <w:numPr>
                <w:ilvl w:val="0"/>
                <w:numId w:val="5"/>
              </w:numPr>
              <w:spacing w:line="360" w:lineRule="auto"/>
              <w:rPr>
                <w:rFonts w:hint="eastAsia"/>
                <w:color w:val="000000"/>
                <w:szCs w:val="21"/>
                <w:highlight w:val="none"/>
              </w:rPr>
            </w:pPr>
            <w:r>
              <w:rPr>
                <w:rFonts w:hint="eastAsia" w:ascii="仿宋" w:hAnsi="仿宋" w:eastAsia="仿宋" w:cs="宋体"/>
                <w:color w:val="000000"/>
                <w:kern w:val="0"/>
              </w:rPr>
              <w:t>本</w:t>
            </w:r>
            <w:r>
              <w:rPr>
                <w:rFonts w:ascii="仿宋" w:hAnsi="仿宋" w:eastAsia="仿宋" w:cs="宋体"/>
                <w:color w:val="000000"/>
                <w:kern w:val="0"/>
              </w:rPr>
              <w:t>规程</w:t>
            </w:r>
            <w:r>
              <w:rPr>
                <w:rFonts w:hint="eastAsia" w:ascii="仿宋" w:hAnsi="仿宋" w:eastAsia="仿宋" w:cs="宋体"/>
                <w:color w:val="000000"/>
                <w:kern w:val="0"/>
                <w:lang w:val="en-US" w:eastAsia="zh-CN"/>
              </w:rPr>
              <w:t>共62个符号，分为三个部分：</w:t>
            </w:r>
            <w:r>
              <w:rPr>
                <w:rFonts w:hint="eastAsia" w:ascii="仿宋" w:hAnsi="仿宋" w:eastAsia="仿宋" w:cs="宋体"/>
                <w:color w:val="000000"/>
                <w:kern w:val="0"/>
              </w:rPr>
              <w:t>作用效应和作用效应系数</w:t>
            </w:r>
            <w:r>
              <w:rPr>
                <w:rFonts w:hint="eastAsia" w:ascii="仿宋" w:hAnsi="仿宋" w:eastAsia="仿宋" w:cs="宋体"/>
                <w:color w:val="000000"/>
                <w:kern w:val="0"/>
                <w:lang w:eastAsia="zh-CN"/>
              </w:rPr>
              <w:t>、</w:t>
            </w:r>
            <w:r>
              <w:rPr>
                <w:rFonts w:hint="eastAsia" w:ascii="仿宋" w:hAnsi="仿宋" w:eastAsia="仿宋" w:cs="宋体"/>
                <w:color w:val="000000"/>
                <w:kern w:val="0"/>
              </w:rPr>
              <w:t>几何参数</w:t>
            </w:r>
            <w:r>
              <w:rPr>
                <w:rFonts w:hint="eastAsia" w:ascii="仿宋" w:hAnsi="仿宋" w:eastAsia="仿宋" w:cs="宋体"/>
                <w:color w:val="000000"/>
                <w:kern w:val="0"/>
                <w:lang w:eastAsia="zh-CN"/>
              </w:rPr>
              <w:t>、</w:t>
            </w:r>
            <w:r>
              <w:rPr>
                <w:rFonts w:hint="eastAsia" w:ascii="仿宋" w:hAnsi="仿宋" w:eastAsia="仿宋" w:cs="宋体"/>
                <w:color w:val="000000"/>
                <w:kern w:val="0"/>
              </w:rPr>
              <w:t>计算参数及其他</w:t>
            </w:r>
            <w:r>
              <w:rPr>
                <w:rFonts w:hint="eastAsia" w:ascii="仿宋" w:hAnsi="仿宋" w:eastAsia="仿宋" w:cs="宋体"/>
                <w:color w:val="000000"/>
                <w:kern w:val="0"/>
                <w:lang w:val="en-US" w:eastAsia="zh-CN"/>
              </w:rPr>
              <w:t>。</w:t>
            </w:r>
          </w:p>
          <w:p>
            <w:pPr>
              <w:spacing w:line="360" w:lineRule="auto"/>
              <w:rPr>
                <w:rFonts w:ascii="仿宋" w:hAnsi="仿宋" w:eastAsia="仿宋" w:cs="宋体"/>
                <w:b/>
                <w:color w:val="000000"/>
                <w:kern w:val="0"/>
              </w:rPr>
            </w:pPr>
            <w:r>
              <w:rPr>
                <w:rFonts w:hint="eastAsia" w:ascii="仿宋" w:hAnsi="仿宋" w:eastAsia="仿宋" w:cs="宋体"/>
                <w:b/>
                <w:color w:val="000000"/>
                <w:kern w:val="0"/>
              </w:rPr>
              <w:t>主要</w:t>
            </w:r>
            <w:r>
              <w:rPr>
                <w:rFonts w:ascii="仿宋" w:hAnsi="仿宋" w:eastAsia="仿宋" w:cs="宋体"/>
                <w:b/>
                <w:color w:val="000000"/>
                <w:kern w:val="0"/>
              </w:rPr>
              <w:t>技术指标、参数</w:t>
            </w:r>
          </w:p>
          <w:p>
            <w:pPr>
              <w:spacing w:line="360" w:lineRule="auto"/>
              <w:rPr>
                <w:rFonts w:hint="default" w:ascii="仿宋" w:hAnsi="仿宋" w:eastAsia="仿宋" w:cs="仿宋"/>
                <w:b/>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1）设计规定</w:t>
            </w:r>
          </w:p>
          <w:p>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4.1.1</w:t>
            </w:r>
            <w:r>
              <w:rPr>
                <w:rFonts w:hint="eastAsia" w:ascii="仿宋" w:hAnsi="仿宋" w:eastAsia="仿宋" w:cs="仿宋"/>
                <w:color w:val="000000" w:themeColor="text1"/>
                <w:sz w:val="21"/>
                <w:szCs w:val="21"/>
                <w:highlight w:val="none"/>
                <w14:textFill>
                  <w14:solidFill>
                    <w14:schemeClr w14:val="tx1"/>
                  </w14:solidFill>
                </w14:textFill>
              </w:rPr>
              <w:t>预制检查井结构上的作用可分为三类：永久作用、可变作用和偶然作用</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应符合表4.4.1的规定</w:t>
            </w:r>
            <w:r>
              <w:rPr>
                <w:rFonts w:hint="eastAsia" w:ascii="仿宋" w:hAnsi="仿宋" w:eastAsia="仿宋" w:cs="仿宋"/>
                <w:color w:val="000000" w:themeColor="text1"/>
                <w:sz w:val="21"/>
                <w:szCs w:val="21"/>
                <w:highlight w:val="none"/>
                <w14:textFill>
                  <w14:solidFill>
                    <w14:schemeClr w14:val="tx1"/>
                  </w14:solidFill>
                </w14:textFill>
              </w:rPr>
              <w:t>。</w:t>
            </w:r>
          </w:p>
          <w:p>
            <w:pPr>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表4.1.1  预制检查井结构上的作用 </w:t>
            </w:r>
          </w:p>
          <w:tbl>
            <w:tblPr>
              <w:tblStyle w:val="9"/>
              <w:tblW w:w="7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6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58" w:type="dxa"/>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永久作用</w:t>
                  </w:r>
                </w:p>
              </w:tc>
              <w:tc>
                <w:tcPr>
                  <w:tcW w:w="6450" w:type="dxa"/>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结构和永久设备的自重、土的竖向压力和侧向压力、地表水压力、地下水压力、浮托力、井内水压力、地基的不均匀沉降。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258" w:type="dxa"/>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可变作用</w:t>
                  </w:r>
                </w:p>
              </w:tc>
              <w:tc>
                <w:tcPr>
                  <w:tcW w:w="6450" w:type="dxa"/>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作用在顶板上的活荷载、地面堆积荷载、车辆荷载及其产生的侧压力、结构构件的温（湿）度变化作用。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58" w:type="dxa"/>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偶然作用</w:t>
                  </w:r>
                </w:p>
              </w:tc>
              <w:tc>
                <w:tcPr>
                  <w:tcW w:w="6450" w:type="dxa"/>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爆炸力、撞击力。</w:t>
                  </w:r>
                </w:p>
              </w:tc>
            </w:tr>
          </w:tbl>
          <w:p>
            <w:pPr>
              <w:numPr>
                <w:ilvl w:val="0"/>
                <w:numId w:val="0"/>
              </w:numPr>
              <w:spacing w:line="360" w:lineRule="auto"/>
              <w:rPr>
                <w:rFonts w:hint="eastAsia" w:ascii="仿宋" w:hAnsi="仿宋" w:eastAsia="仿宋" w:cs="宋体"/>
                <w:color w:val="000000"/>
                <w:kern w:val="0"/>
                <w:lang w:val="en-US" w:eastAsia="zh-CN"/>
              </w:rPr>
            </w:pPr>
            <w:r>
              <w:rPr>
                <w:rFonts w:hint="eastAsia" w:ascii="仿宋" w:hAnsi="仿宋" w:eastAsia="仿宋" w:cs="宋体"/>
                <w:color w:val="000000"/>
                <w:kern w:val="0"/>
                <w:lang w:val="en-US" w:eastAsia="zh-CN"/>
              </w:rPr>
              <w:t>5.1.4 预制检查井承载能力极限状态验算和正常使用极限状态验算时，应按表5.1.4对不同工况下的作用组合分别进行验算。</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表5.1.4 预制检查井不同工况下</w:t>
            </w:r>
            <w:r>
              <w:rPr>
                <w:rFonts w:hint="eastAsia" w:ascii="仿宋" w:hAnsi="仿宋" w:eastAsia="仿宋" w:cs="仿宋"/>
                <w:color w:val="000000" w:themeColor="text1"/>
                <w:sz w:val="21"/>
                <w:szCs w:val="21"/>
                <w:highlight w:val="none"/>
                <w:lang w:eastAsia="zh-CN"/>
                <w14:textFill>
                  <w14:solidFill>
                    <w14:schemeClr w14:val="tx1"/>
                  </w14:solidFill>
                </w14:textFill>
              </w:rPr>
              <w:t>的</w:t>
            </w:r>
            <w:r>
              <w:rPr>
                <w:rFonts w:hint="eastAsia" w:ascii="仿宋" w:hAnsi="仿宋" w:eastAsia="仿宋" w:cs="仿宋"/>
                <w:color w:val="000000" w:themeColor="text1"/>
                <w:sz w:val="21"/>
                <w:szCs w:val="21"/>
                <w:highlight w:val="none"/>
                <w14:textFill>
                  <w14:solidFill>
                    <w14:schemeClr w14:val="tx1"/>
                  </w14:solidFill>
                </w14:textFill>
              </w:rPr>
              <w:t>作用组合表</w:t>
            </w:r>
          </w:p>
          <w:tbl>
            <w:tblPr>
              <w:tblStyle w:val="10"/>
              <w:tblW w:w="6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722"/>
              <w:gridCol w:w="722"/>
              <w:gridCol w:w="739"/>
              <w:gridCol w:w="722"/>
              <w:gridCol w:w="739"/>
              <w:gridCol w:w="722"/>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8"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p>
                <w:p>
                  <w:pPr>
                    <w:snapToGrid w:val="0"/>
                    <w:spacing w:line="24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p>
                <w:p>
                  <w:pPr>
                    <w:snapToGrid w:val="0"/>
                    <w:spacing w:line="240" w:lineRule="auto"/>
                    <w:jc w:val="center"/>
                    <w:rPr>
                      <w:rFonts w:hint="eastAsia" w:ascii="仿宋" w:hAnsi="仿宋" w:eastAsia="仿宋" w:cs="仿宋"/>
                      <w:color w:val="000000" w:themeColor="text1"/>
                      <w:sz w:val="21"/>
                      <w:szCs w:val="21"/>
                      <w:vertAlign w:val="baseline"/>
                      <w:lang w:val="en-US" w:eastAsia="zh-CN"/>
                      <w14:textFill>
                        <w14:solidFill>
                          <w14:schemeClr w14:val="tx1"/>
                        </w14:solidFill>
                      </w14:textFill>
                    </w:rPr>
                  </w:pPr>
                </w:p>
                <w:p>
                  <w:pPr>
                    <w:snapToGrid w:val="0"/>
                    <w:spacing w:line="240" w:lineRule="auto"/>
                    <w:jc w:val="both"/>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荷载</w:t>
                  </w:r>
                </w:p>
                <w:p>
                  <w:pPr>
                    <w:snapToGrid w:val="0"/>
                    <w:spacing w:line="240" w:lineRule="auto"/>
                    <w:jc w:val="both"/>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作用</w:t>
                  </w:r>
                </w:p>
                <w:p>
                  <w:pPr>
                    <w:snapToGrid w:val="0"/>
                    <w:spacing w:line="240" w:lineRule="auto"/>
                    <w:jc w:val="both"/>
                    <mc:AlternateContent>
                      <mc:Choice Requires="wpsCustomData">
                        <wpsCustomData:diagonalParaType/>
                      </mc:Choice>
                    </mc:AlternateContent>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工况</w:t>
                  </w:r>
                </w:p>
                <w:p>
                  <w:pPr>
                    <w:ind w:firstLine="420" w:firstLineChars="200"/>
                    <w:jc w:val="both"/>
                    <w:rPr>
                      <w:rFonts w:hint="eastAsia" w:ascii="仿宋" w:hAnsi="仿宋" w:eastAsia="仿宋" w:cs="仿宋"/>
                      <w:color w:val="000000" w:themeColor="text1"/>
                      <w:sz w:val="21"/>
                      <w:szCs w:val="21"/>
                      <w:vertAlign w:val="baseline"/>
                      <w:lang w:eastAsia="zh-CN"/>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荷载</w:t>
                  </w:r>
                </w:p>
                <w:p>
                  <w:pPr>
                    <w:ind w:firstLine="210" w:firstLineChars="100"/>
                    <w:jc w:val="both"/>
                    <w:rPr>
                      <w:rFonts w:hint="eastAsia" w:ascii="仿宋" w:hAnsi="仿宋" w:eastAsia="仿宋" w:cs="仿宋"/>
                      <w:color w:val="000000" w:themeColor="text1"/>
                      <w:sz w:val="21"/>
                      <w:szCs w:val="21"/>
                      <w:vertAlign w:val="baseline"/>
                      <w:lang w:eastAsia="zh-CN"/>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作用</w:t>
                  </w:r>
                </w:p>
              </w:tc>
              <w:tc>
                <w:tcPr>
                  <w:tcW w:w="722" w:type="dxa"/>
                  <w:vAlign w:val="center"/>
                </w:tcPr>
                <w:p>
                  <w:pPr>
                    <w:spacing w:line="240" w:lineRule="auto"/>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竖向土压</w:t>
                  </w:r>
                </w:p>
              </w:tc>
              <w:tc>
                <w:tcPr>
                  <w:tcW w:w="722" w:type="dxa"/>
                  <w:vAlign w:val="center"/>
                </w:tcPr>
                <w:p>
                  <w:pPr>
                    <w:spacing w:line="240" w:lineRule="auto"/>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侧向土压</w:t>
                  </w:r>
                </w:p>
              </w:tc>
              <w:tc>
                <w:tcPr>
                  <w:tcW w:w="739" w:type="dxa"/>
                  <w:vAlign w:val="center"/>
                </w:tcPr>
                <w:p>
                  <w:pPr>
                    <w:spacing w:line="240" w:lineRule="auto"/>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内水压力</w:t>
                  </w:r>
                </w:p>
              </w:tc>
              <w:tc>
                <w:tcPr>
                  <w:tcW w:w="722" w:type="dxa"/>
                  <w:vAlign w:val="center"/>
                </w:tcPr>
                <w:p>
                  <w:pPr>
                    <w:spacing w:line="240" w:lineRule="auto"/>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t>侧向水压</w:t>
                  </w:r>
                </w:p>
              </w:tc>
              <w:tc>
                <w:tcPr>
                  <w:tcW w:w="739" w:type="dxa"/>
                  <w:vAlign w:val="center"/>
                </w:tcPr>
                <w:p>
                  <w:pPr>
                    <w:spacing w:line="240" w:lineRule="auto"/>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t>浮托力</w:t>
                  </w:r>
                </w:p>
              </w:tc>
              <w:tc>
                <w:tcPr>
                  <w:tcW w:w="722" w:type="dxa"/>
                  <w:vAlign w:val="center"/>
                </w:tcPr>
                <w:p>
                  <w:pPr>
                    <w:spacing w:line="240" w:lineRule="auto"/>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车辆荷载</w:t>
                  </w:r>
                </w:p>
              </w:tc>
              <w:tc>
                <w:tcPr>
                  <w:tcW w:w="789" w:type="dxa"/>
                  <w:vAlign w:val="center"/>
                </w:tcPr>
                <w:p>
                  <w:pPr>
                    <w:spacing w:line="240" w:lineRule="auto"/>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堆载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78" w:type="dxa"/>
                  <w:vAlign w:val="center"/>
                </w:tcPr>
                <w:p>
                  <w:pPr>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闭水试验</w:t>
                  </w:r>
                </w:p>
              </w:tc>
              <w:tc>
                <w:tcPr>
                  <w:tcW w:w="722" w:type="dxa"/>
                  <w:vAlign w:val="center"/>
                </w:tcPr>
                <w:p>
                  <w:pPr>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p>
              </w:tc>
              <w:tc>
                <w:tcPr>
                  <w:tcW w:w="722" w:type="dxa"/>
                  <w:vAlign w:val="center"/>
                </w:tcPr>
                <w:p>
                  <w:pPr>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p>
              </w:tc>
              <w:tc>
                <w:tcPr>
                  <w:tcW w:w="739" w:type="dxa"/>
                  <w:vAlign w:val="center"/>
                </w:tcPr>
                <w:p>
                  <w:pPr>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sym w:font="Wingdings" w:char="00FE"/>
                  </w:r>
                </w:p>
              </w:tc>
              <w:tc>
                <w:tcPr>
                  <w:tcW w:w="722" w:type="dxa"/>
                  <w:vAlign w:val="center"/>
                </w:tcPr>
                <w:p>
                  <w:pPr>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p>
              </w:tc>
              <w:tc>
                <w:tcPr>
                  <w:tcW w:w="739" w:type="dxa"/>
                  <w:vAlign w:val="center"/>
                </w:tcPr>
                <w:p>
                  <w:pPr>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p>
              </w:tc>
              <w:tc>
                <w:tcPr>
                  <w:tcW w:w="722" w:type="dxa"/>
                  <w:vAlign w:val="center"/>
                </w:tcPr>
                <w:p>
                  <w:pPr>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p>
              </w:tc>
              <w:tc>
                <w:tcPr>
                  <w:tcW w:w="789" w:type="dxa"/>
                  <w:vAlign w:val="center"/>
                </w:tcPr>
                <w:p>
                  <w:pPr>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78" w:type="dxa"/>
                  <w:vAlign w:val="center"/>
                </w:tcPr>
                <w:p>
                  <w:pPr>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内水外土</w:t>
                  </w:r>
                </w:p>
              </w:tc>
              <w:tc>
                <w:tcPr>
                  <w:tcW w:w="722" w:type="dxa"/>
                  <w:vAlign w:val="center"/>
                </w:tcPr>
                <w:p>
                  <w:pPr>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sym w:font="Wingdings" w:char="00FE"/>
                  </w:r>
                </w:p>
              </w:tc>
              <w:tc>
                <w:tcPr>
                  <w:tcW w:w="722" w:type="dxa"/>
                  <w:vAlign w:val="center"/>
                </w:tcPr>
                <w:p>
                  <w:pPr>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sym w:font="Wingdings" w:char="00FE"/>
                  </w:r>
                </w:p>
              </w:tc>
              <w:tc>
                <w:tcPr>
                  <w:tcW w:w="739" w:type="dxa"/>
                  <w:vAlign w:val="center"/>
                </w:tcPr>
                <w:p>
                  <w:pPr>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sym w:font="Wingdings" w:char="00FE"/>
                  </w:r>
                </w:p>
              </w:tc>
              <w:tc>
                <w:tcPr>
                  <w:tcW w:w="722" w:type="dxa"/>
                  <w:vAlign w:val="center"/>
                </w:tcPr>
                <w:p>
                  <w:pPr>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sym w:font="Wingdings" w:char="00FE"/>
                  </w:r>
                </w:p>
              </w:tc>
              <w:tc>
                <w:tcPr>
                  <w:tcW w:w="739" w:type="dxa"/>
                  <w:vAlign w:val="center"/>
                </w:tcPr>
                <w:p>
                  <w:pPr>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sym w:font="Wingdings" w:char="00FE"/>
                  </w:r>
                </w:p>
              </w:tc>
              <w:tc>
                <w:tcPr>
                  <w:tcW w:w="722" w:type="dxa"/>
                  <w:vAlign w:val="center"/>
                </w:tcPr>
                <w:p>
                  <w:pPr>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sym w:font="Wingdings" w:char="00FE"/>
                  </w:r>
                </w:p>
              </w:tc>
              <w:tc>
                <w:tcPr>
                  <w:tcW w:w="789" w:type="dxa"/>
                  <w:vAlign w:val="center"/>
                </w:tcPr>
                <w:p>
                  <w:pPr>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278" w:type="dxa"/>
                  <w:vAlign w:val="center"/>
                </w:tcPr>
                <w:p>
                  <w:pPr>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内空外土</w:t>
                  </w:r>
                </w:p>
              </w:tc>
              <w:tc>
                <w:tcPr>
                  <w:tcW w:w="722" w:type="dxa"/>
                  <w:vAlign w:val="center"/>
                </w:tcPr>
                <w:p>
                  <w:pPr>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sym w:font="Wingdings" w:char="00FE"/>
                  </w:r>
                </w:p>
              </w:tc>
              <w:tc>
                <w:tcPr>
                  <w:tcW w:w="722" w:type="dxa"/>
                  <w:vAlign w:val="center"/>
                </w:tcPr>
                <w:p>
                  <w:pPr>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sym w:font="Wingdings" w:char="00FE"/>
                  </w:r>
                </w:p>
              </w:tc>
              <w:tc>
                <w:tcPr>
                  <w:tcW w:w="739" w:type="dxa"/>
                  <w:vAlign w:val="center"/>
                </w:tcPr>
                <w:p>
                  <w:pPr>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p>
              </w:tc>
              <w:tc>
                <w:tcPr>
                  <w:tcW w:w="722" w:type="dxa"/>
                  <w:vAlign w:val="center"/>
                </w:tcPr>
                <w:p>
                  <w:pPr>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sym w:font="Wingdings" w:char="00FE"/>
                  </w:r>
                </w:p>
              </w:tc>
              <w:tc>
                <w:tcPr>
                  <w:tcW w:w="739" w:type="dxa"/>
                  <w:vAlign w:val="center"/>
                </w:tcPr>
                <w:p>
                  <w:pPr>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sym w:font="Wingdings" w:char="00FE"/>
                  </w:r>
                </w:p>
              </w:tc>
              <w:tc>
                <w:tcPr>
                  <w:tcW w:w="722" w:type="dxa"/>
                  <w:vAlign w:val="center"/>
                </w:tcPr>
                <w:p>
                  <w:pPr>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sym w:font="Wingdings" w:char="00FE"/>
                  </w:r>
                </w:p>
              </w:tc>
              <w:tc>
                <w:tcPr>
                  <w:tcW w:w="789" w:type="dxa"/>
                  <w:vAlign w:val="center"/>
                </w:tcPr>
                <w:p>
                  <w:pPr>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sym w:font="Wingdings" w:char="00FE"/>
                  </w:r>
                </w:p>
              </w:tc>
            </w:tr>
          </w:tbl>
          <w:p>
            <w:pPr>
              <w:numPr>
                <w:ilvl w:val="0"/>
                <w:numId w:val="0"/>
              </w:numPr>
              <w:spacing w:line="360" w:lineRule="auto"/>
              <w:rPr>
                <w:rFonts w:hint="eastAsia" w:ascii="仿宋" w:hAnsi="仿宋" w:eastAsia="仿宋" w:cs="宋体"/>
                <w:color w:val="000000"/>
                <w:kern w:val="0"/>
                <w:lang w:val="en-US" w:eastAsia="zh-CN"/>
              </w:rPr>
            </w:pPr>
            <w:r>
              <w:rPr>
                <w:rFonts w:hint="eastAsia" w:ascii="仿宋" w:hAnsi="仿宋" w:eastAsia="仿宋" w:cs="宋体"/>
                <w:color w:val="000000"/>
                <w:kern w:val="0"/>
                <w:lang w:val="en-US" w:eastAsia="zh-CN"/>
              </w:rPr>
              <w:t>5.1.5 预制检查井各专业宜进行协同设计，宜采用建筑信息模型（BIM）技术。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000000" w:themeColor="text1"/>
                <w:szCs w:val="21"/>
                <w:highlight w:val="none"/>
                <w:lang w:val="en-US" w:eastAsia="zh-CN"/>
                <w14:textFill>
                  <w14:solidFill>
                    <w14:schemeClr w14:val="tx1"/>
                  </w14:solidFill>
                </w14:textFill>
              </w:rPr>
            </w:pPr>
            <w:r>
              <w:rPr>
                <w:rFonts w:hint="eastAsia" w:ascii="仿宋" w:hAnsi="仿宋" w:eastAsia="仿宋" w:cs="宋体"/>
                <w:color w:val="000000"/>
                <w:kern w:val="0"/>
                <w:lang w:val="en-US" w:eastAsia="zh-CN"/>
              </w:rPr>
              <w:t>5.1.6 设计人员宜根据接入预制检查井管材的管径、高程、数量和方向进行预制构件深化设计。预制检查井构件深化设计应依据现行《建筑模数协调标准》GB/T 50002的规定实践模块化、并遵循“少规格、多组合”的原则。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default"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条文说明：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snapToGrid w:val="0"/>
                <w:color w:val="000000" w:themeColor="text1"/>
                <w:kern w:val="0"/>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5.1.5、5.1.6</w:t>
            </w:r>
            <w:r>
              <w:rPr>
                <w:rFonts w:hint="eastAsia" w:ascii="仿宋" w:hAnsi="仿宋" w:eastAsia="仿宋" w:cs="仿宋"/>
                <w:b/>
                <w:bCs/>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snapToGrid w:val="0"/>
                <w:color w:val="000000" w:themeColor="text1"/>
                <w:kern w:val="0"/>
                <w:szCs w:val="21"/>
                <w:highlight w:val="none"/>
                <w14:textFill>
                  <w14:solidFill>
                    <w14:schemeClr w14:val="tx1"/>
                  </w14:solidFill>
                </w14:textFill>
              </w:rPr>
              <w:t>预制检查井</w:t>
            </w:r>
            <w:r>
              <w:rPr>
                <w:rFonts w:hint="eastAsia" w:ascii="仿宋" w:hAnsi="仿宋" w:eastAsia="仿宋" w:cs="仿宋"/>
                <w:snapToGrid w:val="0"/>
                <w:color w:val="000000" w:themeColor="text1"/>
                <w:kern w:val="0"/>
                <w:szCs w:val="21"/>
                <w:highlight w:val="none"/>
                <w:lang w:eastAsia="zh-CN"/>
                <w14:textFill>
                  <w14:solidFill>
                    <w14:schemeClr w14:val="tx1"/>
                  </w14:solidFill>
                </w14:textFill>
              </w:rPr>
              <w:t>结构</w:t>
            </w:r>
            <w:r>
              <w:rPr>
                <w:rFonts w:hint="eastAsia" w:ascii="仿宋" w:hAnsi="仿宋" w:eastAsia="仿宋" w:cs="仿宋"/>
                <w:snapToGrid w:val="0"/>
                <w:color w:val="000000" w:themeColor="text1"/>
                <w:kern w:val="0"/>
                <w:szCs w:val="21"/>
                <w:highlight w:val="none"/>
                <w:lang w:val="en-US" w:eastAsia="zh-CN"/>
                <w14:textFill>
                  <w14:solidFill>
                    <w14:schemeClr w14:val="tx1"/>
                  </w14:solidFill>
                </w14:textFill>
              </w:rPr>
              <w:t>深化设计</w:t>
            </w:r>
            <w:r>
              <w:rPr>
                <w:rFonts w:hint="eastAsia" w:ascii="仿宋" w:hAnsi="仿宋" w:eastAsia="仿宋" w:cs="仿宋"/>
                <w:snapToGrid w:val="0"/>
                <w:color w:val="000000" w:themeColor="text1"/>
                <w:kern w:val="0"/>
                <w:szCs w:val="21"/>
                <w:highlight w:val="none"/>
                <w:lang w:eastAsia="zh-CN"/>
                <w14:textFill>
                  <w14:solidFill>
                    <w14:schemeClr w14:val="tx1"/>
                  </w14:solidFill>
                </w14:textFill>
              </w:rPr>
              <w:t>宜</w:t>
            </w:r>
            <w:r>
              <w:rPr>
                <w:rFonts w:hint="eastAsia" w:ascii="仿宋" w:hAnsi="仿宋" w:eastAsia="仿宋" w:cs="仿宋"/>
                <w:snapToGrid w:val="0"/>
                <w:color w:val="000000" w:themeColor="text1"/>
                <w:kern w:val="0"/>
                <w:szCs w:val="21"/>
                <w:highlight w:val="none"/>
                <w:lang w:val="en-US" w:eastAsia="zh-CN"/>
                <w14:textFill>
                  <w14:solidFill>
                    <w14:schemeClr w14:val="tx1"/>
                  </w14:solidFill>
                </w14:textFill>
              </w:rPr>
              <w:t>与排水</w:t>
            </w:r>
            <w:r>
              <w:rPr>
                <w:rFonts w:hint="eastAsia" w:ascii="仿宋" w:hAnsi="仿宋" w:eastAsia="仿宋" w:cs="仿宋"/>
                <w:b w:val="0"/>
                <w:bCs w:val="0"/>
                <w:snapToGrid w:val="0"/>
                <w:color w:val="000000" w:themeColor="text1"/>
                <w:kern w:val="0"/>
                <w:szCs w:val="21"/>
                <w:highlight w:val="none"/>
                <w:lang w:val="en-US" w:eastAsia="zh-CN"/>
                <w14:textFill>
                  <w14:solidFill>
                    <w14:schemeClr w14:val="tx1"/>
                  </w14:solidFill>
                </w14:textFill>
              </w:rPr>
              <w:t>专业</w:t>
            </w:r>
            <w:r>
              <w:rPr>
                <w:rFonts w:hint="eastAsia" w:ascii="仿宋" w:hAnsi="仿宋" w:eastAsia="仿宋" w:cs="仿宋"/>
                <w:snapToGrid w:val="0"/>
                <w:color w:val="000000" w:themeColor="text1"/>
                <w:kern w:val="0"/>
                <w:szCs w:val="21"/>
                <w:highlight w:val="none"/>
                <w:lang w:eastAsia="zh-CN"/>
                <w14:textFill>
                  <w14:solidFill>
                    <w14:schemeClr w14:val="tx1"/>
                  </w14:solidFill>
                </w14:textFill>
              </w:rPr>
              <w:t>协同设计，</w:t>
            </w:r>
            <w:r>
              <w:rPr>
                <w:rFonts w:hint="eastAsia" w:ascii="仿宋" w:hAnsi="仿宋" w:eastAsia="仿宋" w:cs="仿宋"/>
                <w:snapToGrid w:val="0"/>
                <w:color w:val="000000" w:themeColor="text1"/>
                <w:kern w:val="0"/>
                <w:szCs w:val="21"/>
                <w:highlight w:val="none"/>
                <w:lang w:val="en-US" w:eastAsia="zh-CN"/>
                <w14:textFill>
                  <w14:solidFill>
                    <w14:schemeClr w14:val="tx1"/>
                  </w14:solidFill>
                </w14:textFill>
              </w:rPr>
              <w:t>并应注意以下事项：</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仿宋" w:hAnsi="仿宋" w:eastAsia="仿宋" w:cs="仿宋"/>
                <w:b w:val="0"/>
                <w:bCs/>
                <w:color w:val="000000" w:themeColor="text1"/>
                <w:szCs w:val="21"/>
                <w:highlight w:val="none"/>
                <w14:textFill>
                  <w14:solidFill>
                    <w14:schemeClr w14:val="tx1"/>
                  </w14:solidFill>
                </w14:textFill>
              </w:rPr>
            </w:pPr>
            <w:r>
              <w:rPr>
                <w:rFonts w:hint="eastAsia" w:ascii="仿宋" w:hAnsi="仿宋" w:eastAsia="仿宋" w:cs="仿宋"/>
                <w:b w:val="0"/>
                <w:bCs/>
                <w:color w:val="000000" w:themeColor="text1"/>
                <w:szCs w:val="21"/>
                <w:highlight w:val="none"/>
                <w14:textFill>
                  <w14:solidFill>
                    <w14:schemeClr w14:val="tx1"/>
                  </w14:solidFill>
                </w14:textFill>
              </w:rPr>
              <w:t>1  雨水检查井井室高度（指下游管道管内底至顶板底高程）与污水检查井井室高度（指流槽顶至顶板底高程）不应小于1800mm。雨、污水检查井井室高度可通过多节井室组合调节实现。考虑吊运重量和高度的因素，单节预制井室高度不宜超过2400mm。</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color w:val="000000" w:themeColor="text1"/>
                <w:szCs w:val="21"/>
                <w:highlight w:val="none"/>
                <w14:textFill>
                  <w14:solidFill>
                    <w14:schemeClr w14:val="tx1"/>
                  </w14:solidFill>
                </w14:textFill>
              </w:rPr>
            </w:pPr>
            <w:r>
              <w:rPr>
                <w:rFonts w:hint="eastAsia" w:ascii="仿宋" w:hAnsi="仿宋" w:eastAsia="仿宋" w:cs="仿宋"/>
                <w:b w:val="0"/>
                <w:bCs/>
                <w:color w:val="000000" w:themeColor="text1"/>
                <w:szCs w:val="21"/>
                <w:highlight w:val="none"/>
                <w14:textFill>
                  <w14:solidFill>
                    <w14:schemeClr w14:val="tx1"/>
                  </w14:solidFill>
                </w14:textFill>
              </w:rPr>
              <w:t xml:space="preserve">  2 井室一般分为上井室和下井室两部分。当接入井室圆管内径较小时，可在仅下井室开设孔口；此时，上、下井室又可称为为井室高度调节段和井室支管接入段。当接入井室圆管内径较大时，可在上、下井室对称开设孔口。在模具和生产条件允许下，下井室可与底板整体预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color w:val="000000" w:themeColor="text1"/>
                <w:szCs w:val="21"/>
                <w:highlight w:val="none"/>
                <w14:textFill>
                  <w14:solidFill>
                    <w14:schemeClr w14:val="tx1"/>
                  </w14:solidFill>
                </w14:textFill>
              </w:rPr>
            </w:pPr>
            <w:r>
              <w:rPr>
                <w:rFonts w:hint="eastAsia" w:ascii="仿宋" w:hAnsi="仿宋" w:eastAsia="仿宋" w:cs="仿宋"/>
                <w:b w:val="0"/>
                <w:bCs/>
                <w:color w:val="000000" w:themeColor="text1"/>
                <w:szCs w:val="21"/>
                <w:highlight w:val="none"/>
                <w14:textFill>
                  <w14:solidFill>
                    <w14:schemeClr w14:val="tx1"/>
                  </w14:solidFill>
                </w14:textFill>
              </w:rPr>
              <w:t xml:space="preserve">   3 井筒由井圈和不同高度的井圈调节块组成，以满足不同覆土厚度的要求。圆形井与矩形井的井筒相同。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00B050"/>
                <w:szCs w:val="21"/>
                <w:highlight w:val="none"/>
              </w:rPr>
            </w:pPr>
            <w:r>
              <w:rPr>
                <w:rFonts w:hint="eastAsia" w:ascii="仿宋" w:hAnsi="仿宋" w:eastAsia="仿宋" w:cs="仿宋"/>
                <w:b w:val="0"/>
                <w:bCs/>
                <w:color w:val="000000" w:themeColor="text1"/>
                <w:szCs w:val="21"/>
                <w:highlight w:val="none"/>
                <w14:textFill>
                  <w14:solidFill>
                    <w14:schemeClr w14:val="tx1"/>
                  </w14:solidFill>
                </w14:textFill>
              </w:rPr>
              <w:t xml:space="preserve">   4 </w:t>
            </w:r>
            <w:r>
              <w:rPr>
                <w:rFonts w:hint="eastAsia" w:ascii="仿宋" w:hAnsi="仿宋" w:eastAsia="仿宋" w:cs="仿宋"/>
                <w:color w:val="000000" w:themeColor="text1"/>
                <w:szCs w:val="21"/>
                <w:highlight w:val="none"/>
                <w14:textFill>
                  <w14:solidFill>
                    <w14:schemeClr w14:val="tx1"/>
                  </w14:solidFill>
                </w14:textFill>
              </w:rPr>
              <w:t>井圈调节段、井室支管接入段及其井室调节段设计可以在施工图阶段或经业主批准在施工组织设计阶段进行；鉴于接入支管与节段组成的关系较为密切复杂，应在合理范围内容许支管坡度作一定调整以适应节段模数，也可以采用在支线方向设井过渡；在接入支管过多造成接入井身节段构造复杂难以采用通用预制图纸时，可以采用现浇钢筋混凝土井（或节段）或其它适用的构造。</w:t>
            </w:r>
            <w:r>
              <w:rPr>
                <w:rFonts w:hint="eastAsia"/>
                <w:color w:val="00B050"/>
                <w:szCs w:val="21"/>
                <w:highlight w:val="none"/>
              </w:rPr>
              <w:t xml:space="preserve"> </w:t>
            </w:r>
          </w:p>
          <w:p>
            <w:pPr>
              <w:spacing w:line="360" w:lineRule="auto"/>
              <w:rPr>
                <w:rFonts w:hint="eastAsia"/>
                <w:color w:val="00B050"/>
                <w:szCs w:val="21"/>
                <w:highlight w:val="none"/>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2）选型和构造要求</w:t>
            </w:r>
          </w:p>
          <w:p>
            <w:pPr>
              <w:numPr>
                <w:ilvl w:val="0"/>
                <w:numId w:val="0"/>
              </w:numPr>
              <w:ind w:left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 xml:space="preserve">6.1.1 </w:t>
            </w:r>
            <w:r>
              <w:rPr>
                <w:rFonts w:hint="eastAsia" w:ascii="仿宋" w:hAnsi="仿宋" w:eastAsia="仿宋" w:cs="仿宋"/>
                <w:color w:val="000000" w:themeColor="text1"/>
                <w:szCs w:val="21"/>
                <w:highlight w:val="none"/>
                <w14:textFill>
                  <w14:solidFill>
                    <w14:schemeClr w14:val="tx1"/>
                  </w14:solidFill>
                </w14:textFill>
              </w:rPr>
              <w:t>预制检查井应根据接入圆管的管径、数量、方向、转角、高程、覆土厚度等条件选用井型。与预制检查井连接的雨、污水管材由设计人员根据工程需要、工作环境和管顶覆土等条件确定。</w:t>
            </w:r>
          </w:p>
          <w:p>
            <w:pPr>
              <w:numPr>
                <w:ilvl w:val="0"/>
                <w:numId w:val="0"/>
              </w:numPr>
              <w:ind w:leftChars="0"/>
              <w:rPr>
                <w:rFonts w:hint="eastAsia" w:ascii="仿宋" w:hAnsi="仿宋" w:eastAsia="仿宋" w:cs="仿宋"/>
                <w:color w:val="000000" w:themeColor="text1"/>
                <w:szCs w:val="21"/>
                <w:highlight w:val="none"/>
                <w14:textFill>
                  <w14:solidFill>
                    <w14:schemeClr w14:val="tx1"/>
                  </w14:solidFill>
                </w14:textFill>
              </w:rPr>
            </w:pPr>
            <w:r>
              <w:rPr>
                <w:color w:val="00B050"/>
                <w:highlight w:val="none"/>
              </w:rPr>
              <w:drawing>
                <wp:anchor distT="0" distB="0" distL="114300" distR="114300" simplePos="0" relativeHeight="251660288" behindDoc="0" locked="0" layoutInCell="1" allowOverlap="1">
                  <wp:simplePos x="0" y="0"/>
                  <wp:positionH relativeFrom="column">
                    <wp:posOffset>3310890</wp:posOffset>
                  </wp:positionH>
                  <wp:positionV relativeFrom="paragraph">
                    <wp:posOffset>382905</wp:posOffset>
                  </wp:positionV>
                  <wp:extent cx="1621155" cy="2520315"/>
                  <wp:effectExtent l="0" t="0" r="17145" b="1333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1621155" cy="2520315"/>
                          </a:xfrm>
                          <a:prstGeom prst="rect">
                            <a:avLst/>
                          </a:prstGeom>
                          <a:noFill/>
                          <a:ln>
                            <a:noFill/>
                          </a:ln>
                        </pic:spPr>
                      </pic:pic>
                    </a:graphicData>
                  </a:graphic>
                </wp:anchor>
              </w:drawing>
            </w:r>
            <w:r>
              <w:rPr>
                <w:color w:val="00B050"/>
                <w:highlight w:val="none"/>
              </w:rPr>
              <w:drawing>
                <wp:anchor distT="0" distB="0" distL="114300" distR="114300" simplePos="0" relativeHeight="251659264" behindDoc="0" locked="0" layoutInCell="1" allowOverlap="1">
                  <wp:simplePos x="0" y="0"/>
                  <wp:positionH relativeFrom="column">
                    <wp:posOffset>1415415</wp:posOffset>
                  </wp:positionH>
                  <wp:positionV relativeFrom="paragraph">
                    <wp:posOffset>421640</wp:posOffset>
                  </wp:positionV>
                  <wp:extent cx="1572260" cy="2520315"/>
                  <wp:effectExtent l="0" t="0" r="8890" b="1333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1572260" cy="2520315"/>
                          </a:xfrm>
                          <a:prstGeom prst="rect">
                            <a:avLst/>
                          </a:prstGeom>
                          <a:noFill/>
                          <a:ln>
                            <a:noFill/>
                          </a:ln>
                        </pic:spPr>
                      </pic:pic>
                    </a:graphicData>
                  </a:graphic>
                </wp:anchor>
              </w:drawing>
            </w:r>
            <w:r>
              <w:rPr>
                <w:rFonts w:hint="eastAsia" w:ascii="仿宋" w:hAnsi="仿宋" w:eastAsia="仿宋" w:cs="仿宋"/>
                <w:color w:val="000000" w:themeColor="text1"/>
                <w:szCs w:val="21"/>
                <w:highlight w:val="none"/>
                <w:lang w:val="en-US" w:eastAsia="zh-CN"/>
                <w14:textFill>
                  <w14:solidFill>
                    <w14:schemeClr w14:val="tx1"/>
                  </w14:solidFill>
                </w14:textFill>
              </w:rPr>
              <w:t>条文说明：</w:t>
            </w:r>
            <w:r>
              <w:rPr>
                <w:rFonts w:hint="eastAsia" w:ascii="仿宋" w:hAnsi="仿宋" w:eastAsia="仿宋" w:cs="仿宋"/>
                <w:color w:val="000000" w:themeColor="text1"/>
                <w:szCs w:val="21"/>
                <w:highlight w:val="none"/>
                <w14:textFill>
                  <w14:solidFill>
                    <w14:schemeClr w14:val="tx1"/>
                  </w14:solidFill>
                </w14:textFill>
              </w:rPr>
              <w:t>常见预制检查井型式</w:t>
            </w:r>
            <w:r>
              <w:rPr>
                <w:rFonts w:hint="eastAsia" w:ascii="仿宋" w:hAnsi="仿宋" w:eastAsia="仿宋" w:cs="仿宋"/>
                <w:color w:val="000000" w:themeColor="text1"/>
                <w:szCs w:val="21"/>
                <w:highlight w:val="none"/>
                <w:lang w:val="en-US" w:eastAsia="zh-CN"/>
                <w14:textFill>
                  <w14:solidFill>
                    <w14:schemeClr w14:val="tx1"/>
                  </w14:solidFill>
                </w14:textFill>
              </w:rPr>
              <w:t>分为圆形底板整体式、圆形底板整体式、矩形底板分离式和矩形底板整体式（图6.1.1）</w:t>
            </w:r>
            <w:r>
              <w:rPr>
                <w:rFonts w:hint="eastAsia" w:ascii="仿宋" w:hAnsi="仿宋" w:eastAsia="仿宋" w:cs="仿宋"/>
                <w:color w:val="000000" w:themeColor="text1"/>
                <w:szCs w:val="21"/>
                <w:highlight w:val="none"/>
                <w14:textFill>
                  <w14:solidFill>
                    <w14:schemeClr w14:val="tx1"/>
                  </w14:solidFill>
                </w14:textFill>
              </w:rPr>
              <w:t>。</w:t>
            </w:r>
          </w:p>
          <w:p>
            <w:pPr>
              <w:numPr>
                <w:ilvl w:val="0"/>
                <w:numId w:val="0"/>
              </w:numPr>
              <w:ind w:leftChars="0"/>
              <w:rPr>
                <w:rFonts w:hint="eastAsia" w:ascii="仿宋" w:hAnsi="仿宋" w:eastAsia="仿宋" w:cs="仿宋"/>
                <w:color w:val="000000" w:themeColor="text1"/>
                <w:szCs w:val="21"/>
                <w:highlight w:val="none"/>
                <w14:textFill>
                  <w14:solidFill>
                    <w14:schemeClr w14:val="tx1"/>
                  </w14:solidFill>
                </w14:textFill>
              </w:rPr>
            </w:pPr>
          </w:p>
          <w:p>
            <w:pPr>
              <w:numPr>
                <w:ilvl w:val="0"/>
                <w:numId w:val="0"/>
              </w:numPr>
              <w:ind w:leftChars="0"/>
              <w:rPr>
                <w:rFonts w:hint="eastAsia" w:ascii="仿宋" w:hAnsi="仿宋" w:eastAsia="仿宋" w:cs="仿宋"/>
                <w:color w:val="000000" w:themeColor="text1"/>
                <w:szCs w:val="21"/>
                <w:highlight w:val="none"/>
                <w14:textFill>
                  <w14:solidFill>
                    <w14:schemeClr w14:val="tx1"/>
                  </w14:solidFill>
                </w14:textFill>
              </w:rPr>
            </w:pPr>
          </w:p>
          <w:p>
            <w:pPr>
              <w:numPr>
                <w:ilvl w:val="0"/>
                <w:numId w:val="0"/>
              </w:numPr>
              <w:ind w:leftChars="0"/>
              <w:rPr>
                <w:rFonts w:hint="eastAsia" w:ascii="仿宋" w:hAnsi="仿宋" w:eastAsia="仿宋" w:cs="仿宋"/>
                <w:color w:val="000000" w:themeColor="text1"/>
                <w:szCs w:val="21"/>
                <w:highlight w:val="none"/>
                <w14:textFill>
                  <w14:solidFill>
                    <w14:schemeClr w14:val="tx1"/>
                  </w14:solidFill>
                </w14:textFill>
              </w:rPr>
            </w:pPr>
          </w:p>
          <w:p>
            <w:pPr>
              <w:numPr>
                <w:ilvl w:val="0"/>
                <w:numId w:val="0"/>
              </w:numPr>
              <w:ind w:leftChars="0"/>
              <w:rPr>
                <w:rFonts w:hint="eastAsia" w:ascii="仿宋" w:hAnsi="仿宋" w:eastAsia="仿宋" w:cs="仿宋"/>
                <w:color w:val="000000" w:themeColor="text1"/>
                <w:szCs w:val="21"/>
                <w:highlight w:val="none"/>
                <w14:textFill>
                  <w14:solidFill>
                    <w14:schemeClr w14:val="tx1"/>
                  </w14:solidFill>
                </w14:textFill>
              </w:rPr>
            </w:pPr>
            <w:bookmarkStart w:id="30" w:name="_GoBack"/>
            <w:bookmarkEnd w:id="30"/>
          </w:p>
          <w:p>
            <w:pPr>
              <w:numPr>
                <w:ilvl w:val="0"/>
                <w:numId w:val="0"/>
              </w:numPr>
              <w:ind w:leftChars="0"/>
              <w:rPr>
                <w:rFonts w:hint="eastAsia" w:ascii="仿宋" w:hAnsi="仿宋" w:eastAsia="仿宋" w:cs="仿宋"/>
                <w:color w:val="000000" w:themeColor="text1"/>
                <w:szCs w:val="21"/>
                <w:highlight w:val="none"/>
                <w14:textFill>
                  <w14:solidFill>
                    <w14:schemeClr w14:val="tx1"/>
                  </w14:solidFill>
                </w14:textFill>
              </w:rPr>
            </w:pPr>
          </w:p>
          <w:p>
            <w:pPr>
              <w:numPr>
                <w:ilvl w:val="0"/>
                <w:numId w:val="0"/>
              </w:numPr>
              <w:ind w:leftChars="0"/>
              <w:rPr>
                <w:rFonts w:hint="eastAsia" w:ascii="仿宋" w:hAnsi="仿宋" w:eastAsia="仿宋" w:cs="仿宋"/>
                <w:color w:val="000000" w:themeColor="text1"/>
                <w:szCs w:val="21"/>
                <w:highlight w:val="none"/>
                <w14:textFill>
                  <w14:solidFill>
                    <w14:schemeClr w14:val="tx1"/>
                  </w14:solidFill>
                </w14:textFill>
              </w:rPr>
            </w:pPr>
          </w:p>
          <w:p>
            <w:pPr>
              <w:numPr>
                <w:ilvl w:val="0"/>
                <w:numId w:val="0"/>
              </w:numPr>
              <w:ind w:leftChars="0"/>
              <w:rPr>
                <w:rFonts w:hint="eastAsia" w:ascii="仿宋" w:hAnsi="仿宋" w:eastAsia="仿宋" w:cs="仿宋"/>
                <w:color w:val="000000" w:themeColor="text1"/>
                <w:szCs w:val="21"/>
                <w:highlight w:val="none"/>
                <w14:textFill>
                  <w14:solidFill>
                    <w14:schemeClr w14:val="tx1"/>
                  </w14:solidFill>
                </w14:textFill>
              </w:rPr>
            </w:pPr>
          </w:p>
          <w:p>
            <w:pPr>
              <w:numPr>
                <w:ilvl w:val="0"/>
                <w:numId w:val="0"/>
              </w:numPr>
              <w:ind w:leftChars="0"/>
              <w:rPr>
                <w:rFonts w:hint="eastAsia" w:ascii="仿宋" w:hAnsi="仿宋" w:eastAsia="仿宋" w:cs="仿宋"/>
                <w:color w:val="000000" w:themeColor="text1"/>
                <w:szCs w:val="21"/>
                <w:highlight w:val="none"/>
                <w14:textFill>
                  <w14:solidFill>
                    <w14:schemeClr w14:val="tx1"/>
                  </w14:solidFill>
                </w14:textFill>
              </w:rPr>
            </w:pPr>
          </w:p>
          <w:p>
            <w:pPr>
              <w:numPr>
                <w:ilvl w:val="0"/>
                <w:numId w:val="0"/>
              </w:numPr>
              <w:ind w:leftChars="0"/>
              <w:rPr>
                <w:rFonts w:hint="eastAsia" w:ascii="仿宋" w:hAnsi="仿宋" w:eastAsia="仿宋" w:cs="仿宋"/>
                <w:color w:val="000000" w:themeColor="text1"/>
                <w:szCs w:val="21"/>
                <w:highlight w:val="none"/>
                <w14:textFill>
                  <w14:solidFill>
                    <w14:schemeClr w14:val="tx1"/>
                  </w14:solidFill>
                </w14:textFill>
              </w:rPr>
            </w:pPr>
          </w:p>
          <w:p>
            <w:pPr>
              <w:ind w:firstLine="720" w:firstLineChars="400"/>
              <w:jc w:val="center"/>
              <w:rPr>
                <w:rFonts w:hint="eastAsia"/>
                <w:color w:val="00B050"/>
                <w:sz w:val="18"/>
                <w:szCs w:val="18"/>
                <w:highlight w:val="none"/>
              </w:rPr>
            </w:pPr>
          </w:p>
          <w:p>
            <w:pPr>
              <w:ind w:firstLine="720" w:firstLineChars="400"/>
              <w:jc w:val="center"/>
              <w:rPr>
                <w:rFonts w:hint="eastAsia"/>
                <w:color w:val="000000" w:themeColor="text1"/>
                <w:sz w:val="18"/>
                <w:szCs w:val="18"/>
                <w:highlight w:val="none"/>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 xml:space="preserve">   </w:t>
            </w:r>
            <w:r>
              <w:rPr>
                <w:rFonts w:hint="eastAsia"/>
                <w:color w:val="000000" w:themeColor="text1"/>
                <w:sz w:val="18"/>
                <w:szCs w:val="18"/>
                <w:highlight w:val="none"/>
                <w14:textFill>
                  <w14:solidFill>
                    <w14:schemeClr w14:val="tx1"/>
                  </w14:solidFill>
                </w14:textFill>
              </w:rPr>
              <w:t>（a）圆形底板分离式                  （b）圆形底板整体式</w:t>
            </w:r>
          </w:p>
          <w:p>
            <w:pPr>
              <w:jc w:val="left"/>
              <w:rPr>
                <w:rFonts w:hint="eastAsia"/>
                <w:color w:val="00B050"/>
                <w:highlight w:val="none"/>
              </w:rPr>
            </w:pPr>
            <w:r>
              <w:rPr>
                <w:color w:val="00B050"/>
                <w:highlight w:val="none"/>
              </w:rPr>
              <w:drawing>
                <wp:anchor distT="0" distB="0" distL="114300" distR="114300" simplePos="0" relativeHeight="251662336" behindDoc="0" locked="0" layoutInCell="1" allowOverlap="1">
                  <wp:simplePos x="0" y="0"/>
                  <wp:positionH relativeFrom="column">
                    <wp:posOffset>3420110</wp:posOffset>
                  </wp:positionH>
                  <wp:positionV relativeFrom="paragraph">
                    <wp:posOffset>93980</wp:posOffset>
                  </wp:positionV>
                  <wp:extent cx="1671955" cy="2520315"/>
                  <wp:effectExtent l="0" t="0" r="4445" b="13335"/>
                  <wp:wrapSquare wrapText="bothSides"/>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8"/>
                          <a:stretch>
                            <a:fillRect/>
                          </a:stretch>
                        </pic:blipFill>
                        <pic:spPr>
                          <a:xfrm>
                            <a:off x="0" y="0"/>
                            <a:ext cx="1671955" cy="2520315"/>
                          </a:xfrm>
                          <a:prstGeom prst="rect">
                            <a:avLst/>
                          </a:prstGeom>
                          <a:noFill/>
                          <a:ln>
                            <a:noFill/>
                          </a:ln>
                        </pic:spPr>
                      </pic:pic>
                    </a:graphicData>
                  </a:graphic>
                </wp:anchor>
              </w:drawing>
            </w:r>
            <w:r>
              <w:rPr>
                <w:color w:val="00B050"/>
                <w:highlight w:val="none"/>
              </w:rPr>
              <w:drawing>
                <wp:anchor distT="0" distB="0" distL="114300" distR="114300" simplePos="0" relativeHeight="251661312" behindDoc="0" locked="0" layoutInCell="1" allowOverlap="1">
                  <wp:simplePos x="0" y="0"/>
                  <wp:positionH relativeFrom="column">
                    <wp:posOffset>946150</wp:posOffset>
                  </wp:positionH>
                  <wp:positionV relativeFrom="paragraph">
                    <wp:posOffset>144780</wp:posOffset>
                  </wp:positionV>
                  <wp:extent cx="1745615" cy="2520315"/>
                  <wp:effectExtent l="0" t="0" r="6985" b="1333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1745615" cy="2520315"/>
                          </a:xfrm>
                          <a:prstGeom prst="rect">
                            <a:avLst/>
                          </a:prstGeom>
                          <a:noFill/>
                          <a:ln>
                            <a:noFill/>
                          </a:ln>
                        </pic:spPr>
                      </pic:pic>
                    </a:graphicData>
                  </a:graphic>
                </wp:anchor>
              </w:drawing>
            </w:r>
          </w:p>
          <w:p>
            <w:pPr>
              <w:jc w:val="left"/>
              <w:rPr>
                <w:rFonts w:hint="eastAsia"/>
                <w:color w:val="00B050"/>
                <w:highlight w:val="none"/>
              </w:rPr>
            </w:pPr>
          </w:p>
          <w:p>
            <w:pPr>
              <w:jc w:val="left"/>
              <w:rPr>
                <w:rFonts w:hint="eastAsia"/>
                <w:color w:val="00B050"/>
                <w:highlight w:val="none"/>
              </w:rPr>
            </w:pPr>
          </w:p>
          <w:p>
            <w:pPr>
              <w:jc w:val="left"/>
              <w:rPr>
                <w:rFonts w:hint="eastAsia"/>
                <w:color w:val="00B050"/>
                <w:highlight w:val="none"/>
              </w:rPr>
            </w:pPr>
          </w:p>
          <w:p>
            <w:pPr>
              <w:jc w:val="left"/>
              <w:rPr>
                <w:rFonts w:hint="eastAsia"/>
                <w:color w:val="00B050"/>
                <w:highlight w:val="none"/>
              </w:rPr>
            </w:pPr>
          </w:p>
          <w:p>
            <w:pPr>
              <w:jc w:val="left"/>
              <w:rPr>
                <w:rFonts w:hint="eastAsia"/>
                <w:color w:val="00B050"/>
                <w:highlight w:val="none"/>
              </w:rPr>
            </w:pPr>
          </w:p>
          <w:p>
            <w:pPr>
              <w:jc w:val="left"/>
              <w:rPr>
                <w:rFonts w:hint="eastAsia"/>
                <w:color w:val="00B050"/>
                <w:highlight w:val="none"/>
              </w:rPr>
            </w:pPr>
            <w:r>
              <w:rPr>
                <w:rFonts w:hint="eastAsia"/>
                <w:color w:val="00B050"/>
                <w:highlight w:val="none"/>
              </w:rPr>
              <w:t xml:space="preserve">                </w:t>
            </w:r>
          </w:p>
          <w:p>
            <w:pPr>
              <w:jc w:val="center"/>
              <w:rPr>
                <w:color w:val="00B050"/>
                <w:highlight w:val="none"/>
              </w:rPr>
            </w:pPr>
          </w:p>
          <w:p>
            <w:pPr>
              <w:ind w:firstLine="720" w:firstLineChars="400"/>
              <w:jc w:val="left"/>
              <w:rPr>
                <w:color w:val="00B050"/>
                <w:sz w:val="18"/>
                <w:szCs w:val="18"/>
                <w:highlight w:val="none"/>
              </w:rPr>
            </w:pPr>
          </w:p>
          <w:p>
            <w:pPr>
              <w:ind w:firstLine="720" w:firstLineChars="400"/>
              <w:jc w:val="left"/>
              <w:rPr>
                <w:color w:val="00B050"/>
                <w:sz w:val="18"/>
                <w:szCs w:val="18"/>
                <w:highlight w:val="none"/>
              </w:rPr>
            </w:pPr>
          </w:p>
          <w:p>
            <w:pPr>
              <w:jc w:val="center"/>
              <w:rPr>
                <w:rFonts w:hint="eastAsia"/>
                <w:color w:val="00B050"/>
                <w:highlight w:val="none"/>
              </w:rPr>
            </w:pPr>
            <w:r>
              <w:rPr>
                <w:rFonts w:hint="eastAsia"/>
                <w:color w:val="00B050"/>
                <w:highlight w:val="none"/>
              </w:rPr>
              <w:t xml:space="preserve">               </w:t>
            </w:r>
          </w:p>
          <w:p>
            <w:pPr>
              <w:ind w:firstLine="1800" w:firstLineChars="10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（c）矩形底板分离式                           （d）矩形底板整体式</w:t>
            </w:r>
          </w:p>
          <w:p>
            <w:pPr>
              <w:jc w:val="cente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图6.1.1  预制检查井型式</w:t>
            </w:r>
          </w:p>
          <w:p>
            <w:pPr>
              <w:rPr>
                <w:rFonts w:hint="eastAsia" w:ascii="仿宋" w:hAnsi="仿宋" w:eastAsia="仿宋" w:cs="仿宋"/>
                <w:color w:val="000000" w:themeColor="text1"/>
                <w:sz w:val="18"/>
                <w:szCs w:val="18"/>
                <w:highlight w:val="none"/>
                <w14:textFill>
                  <w14:solidFill>
                    <w14:schemeClr w14:val="tx1"/>
                  </w14:solidFill>
                </w14:textFill>
              </w:rPr>
            </w:pPr>
            <w:r>
              <w:rPr>
                <w:rFonts w:hint="eastAsia" w:ascii="仿宋" w:hAnsi="仿宋" w:eastAsia="仿宋" w:cs="仿宋"/>
                <w:color w:val="000000" w:themeColor="text1"/>
                <w:sz w:val="18"/>
                <w:szCs w:val="18"/>
                <w:highlight w:val="none"/>
                <w14:textFill>
                  <w14:solidFill>
                    <w14:schemeClr w14:val="tx1"/>
                  </w14:solidFill>
                </w14:textFill>
              </w:rPr>
              <w:t>1—底板；2—下井室；3—上井室；4—顶板；5—井圈； 6—井</w:t>
            </w:r>
            <w:r>
              <w:rPr>
                <w:rFonts w:hint="eastAsia" w:ascii="仿宋" w:hAnsi="仿宋" w:eastAsia="仿宋" w:cs="仿宋"/>
                <w:b/>
                <w:bCs/>
                <w:color w:val="000000" w:themeColor="text1"/>
                <w:sz w:val="18"/>
                <w:szCs w:val="18"/>
                <w:highlight w:val="none"/>
                <w:lang w:eastAsia="zh-CN"/>
                <w14:textFill>
                  <w14:solidFill>
                    <w14:schemeClr w14:val="tx1"/>
                  </w14:solidFill>
                </w14:textFill>
              </w:rPr>
              <w:t>筒</w:t>
            </w:r>
            <w:r>
              <w:rPr>
                <w:rFonts w:hint="eastAsia" w:ascii="仿宋" w:hAnsi="仿宋" w:eastAsia="仿宋" w:cs="仿宋"/>
                <w:color w:val="000000" w:themeColor="text1"/>
                <w:sz w:val="18"/>
                <w:szCs w:val="18"/>
                <w:highlight w:val="none"/>
                <w14:textFill>
                  <w14:solidFill>
                    <w14:schemeClr w14:val="tx1"/>
                  </w14:solidFill>
                </w14:textFill>
              </w:rPr>
              <w:t>调节段；7—防坠网；8—井（座）盖；9—接入支管道；10—止水橡胶圈；11—接入小直径管道</w:t>
            </w:r>
          </w:p>
          <w:p>
            <w:pPr>
              <w:rPr>
                <w:rFonts w:hint="eastAsia" w:ascii="仿宋" w:hAnsi="仿宋" w:eastAsia="仿宋" w:cs="仿宋"/>
                <w:b w:val="0"/>
                <w:bCs/>
                <w:color w:val="000000" w:themeColor="text1"/>
                <w:szCs w:val="21"/>
                <w:highlight w:val="none"/>
                <w14:textFill>
                  <w14:solidFill>
                    <w14:schemeClr w14:val="tx1"/>
                  </w14:solidFill>
                </w14:textFill>
              </w:rPr>
            </w:pPr>
            <w:r>
              <w:rPr>
                <w:rFonts w:hint="eastAsia" w:ascii="仿宋" w:hAnsi="仿宋" w:eastAsia="仿宋" w:cs="仿宋"/>
                <w:b w:val="0"/>
                <w:bCs/>
                <w:color w:val="000000" w:themeColor="text1"/>
                <w:szCs w:val="21"/>
                <w:highlight w:val="none"/>
                <w:lang w:val="en-US" w:eastAsia="zh-CN"/>
                <w14:textFill>
                  <w14:solidFill>
                    <w14:schemeClr w14:val="tx1"/>
                  </w14:solidFill>
                </w14:textFill>
              </w:rPr>
              <w:t>6.1.5</w:t>
            </w:r>
            <w:r>
              <w:rPr>
                <w:rFonts w:hint="eastAsia" w:ascii="仿宋" w:hAnsi="仿宋" w:eastAsia="仿宋" w:cs="仿宋"/>
                <w:b w:val="0"/>
                <w:bCs/>
                <w:color w:val="000000" w:themeColor="text1"/>
                <w:szCs w:val="21"/>
                <w:highlight w:val="none"/>
                <w14:textFill>
                  <w14:solidFill>
                    <w14:schemeClr w14:val="tx1"/>
                  </w14:solidFill>
                </w14:textFill>
              </w:rPr>
              <w:t>检查井井筒内应安装防坠网或格栅，其选型与做法应符合设计</w:t>
            </w:r>
            <w:r>
              <w:rPr>
                <w:rFonts w:hint="eastAsia" w:ascii="仿宋" w:hAnsi="仿宋" w:eastAsia="仿宋" w:cs="仿宋"/>
                <w:b w:val="0"/>
                <w:bCs/>
                <w:color w:val="000000" w:themeColor="text1"/>
                <w:szCs w:val="21"/>
                <w:highlight w:val="none"/>
                <w:lang w:eastAsia="zh-CN"/>
                <w14:textFill>
                  <w14:solidFill>
                    <w14:schemeClr w14:val="tx1"/>
                  </w14:solidFill>
                </w14:textFill>
              </w:rPr>
              <w:t>和现行相关标准</w:t>
            </w:r>
            <w:r>
              <w:rPr>
                <w:rFonts w:hint="eastAsia" w:ascii="仿宋" w:hAnsi="仿宋" w:eastAsia="仿宋" w:cs="仿宋"/>
                <w:b w:val="0"/>
                <w:bCs/>
                <w:color w:val="000000" w:themeColor="text1"/>
                <w:szCs w:val="21"/>
                <w:highlight w:val="none"/>
                <w14:textFill>
                  <w14:solidFill>
                    <w14:schemeClr w14:val="tx1"/>
                  </w14:solidFill>
                </w14:textFill>
              </w:rPr>
              <w:t>要求</w:t>
            </w:r>
            <w:r>
              <w:rPr>
                <w:rFonts w:hint="eastAsia" w:ascii="仿宋" w:hAnsi="仿宋" w:eastAsia="仿宋" w:cs="仿宋"/>
                <w:b w:val="0"/>
                <w:bCs/>
                <w:color w:val="000000" w:themeColor="text1"/>
                <w:szCs w:val="21"/>
                <w:highlight w:val="none"/>
                <w:lang w:eastAsia="zh-CN"/>
                <w14:textFill>
                  <w14:solidFill>
                    <w14:schemeClr w14:val="tx1"/>
                  </w14:solidFill>
                </w14:textFill>
              </w:rPr>
              <w:t>。</w:t>
            </w:r>
          </w:p>
          <w:p>
            <w:pPr>
              <w:numPr>
                <w:ilvl w:val="0"/>
                <w:numId w:val="0"/>
              </w:numPr>
              <w:ind w:leftChars="0"/>
              <w:rPr>
                <w:rFonts w:hint="eastAsia" w:ascii="仿宋" w:hAnsi="仿宋" w:eastAsia="仿宋" w:cs="仿宋"/>
                <w:b w:val="0"/>
                <w:bCs/>
                <w:color w:val="000000" w:themeColor="text1"/>
                <w:szCs w:val="21"/>
                <w:highlight w:val="none"/>
                <w:lang w:val="en-US" w:eastAsia="zh-CN"/>
                <w14:textFill>
                  <w14:solidFill>
                    <w14:schemeClr w14:val="tx1"/>
                  </w14:solidFill>
                </w14:textFill>
              </w:rPr>
            </w:pPr>
            <w:r>
              <w:rPr>
                <w:rFonts w:hint="eastAsia" w:ascii="仿宋" w:hAnsi="仿宋" w:eastAsia="仿宋" w:cs="仿宋"/>
                <w:b w:val="0"/>
                <w:bCs/>
                <w:color w:val="000000" w:themeColor="text1"/>
                <w:szCs w:val="21"/>
                <w:highlight w:val="none"/>
                <w:lang w:val="en-US" w:eastAsia="zh-CN"/>
                <w14:textFill>
                  <w14:solidFill>
                    <w14:schemeClr w14:val="tx1"/>
                  </w14:solidFill>
                </w14:textFill>
              </w:rPr>
              <w:t>条文说明： 防坠网属《安全网》GB 55725标准中的安全平网，一般由网绳、边绳组成，可采用锦纶、维伦、涤纶等材料制成，单网承载力不低于2kN。固定网绳的螺栓环钩式膨胀螺栓每组不少于8根，材质为304不锈钢。</w:t>
            </w:r>
          </w:p>
          <w:p>
            <w:pPr>
              <w:numPr>
                <w:ilvl w:val="0"/>
                <w:numId w:val="0"/>
              </w:numPr>
              <w:ind w:leftChars="0"/>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6.2.5 </w:t>
            </w:r>
            <w:r>
              <w:rPr>
                <w:rFonts w:hint="eastAsia" w:ascii="仿宋" w:hAnsi="仿宋" w:eastAsia="仿宋" w:cs="仿宋"/>
                <w:b w:val="0"/>
                <w:bCs w:val="0"/>
                <w:color w:val="000000" w:themeColor="text1"/>
                <w:szCs w:val="21"/>
                <w:highlight w:val="none"/>
                <w14:textFill>
                  <w14:solidFill>
                    <w14:schemeClr w14:val="tx1"/>
                  </w14:solidFill>
                </w14:textFill>
              </w:rPr>
              <w:t>检查井预制构件</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的</w:t>
            </w:r>
            <w:r>
              <w:rPr>
                <w:rFonts w:hint="eastAsia" w:ascii="仿宋" w:hAnsi="仿宋" w:eastAsia="仿宋" w:cs="仿宋"/>
                <w:b w:val="0"/>
                <w:bCs w:val="0"/>
                <w:color w:val="000000" w:themeColor="text1"/>
                <w:szCs w:val="21"/>
                <w:highlight w:val="none"/>
                <w14:textFill>
                  <w14:solidFill>
                    <w14:schemeClr w14:val="tx1"/>
                  </w14:solidFill>
                </w14:textFill>
              </w:rPr>
              <w:t>钢筋构造应符合下列规定：</w:t>
            </w:r>
          </w:p>
          <w:p>
            <w:pP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 xml:space="preserve">   1</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Cs w:val="21"/>
                <w:highlight w:val="none"/>
                <w14:textFill>
                  <w14:solidFill>
                    <w14:schemeClr w14:val="tx1"/>
                  </w14:solidFill>
                </w14:textFill>
              </w:rPr>
              <w:t>受力钢筋宜采用直径较小的钢筋配置，但直径不应小于6mm；钢筋骨架的最大间距不应大于150mm。</w:t>
            </w:r>
          </w:p>
          <w:p>
            <w:pP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 xml:space="preserve">   2 受力钢筋的连接方式和构造钢筋应符合设计</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和</w:t>
            </w:r>
            <w:r>
              <w:rPr>
                <w:rFonts w:hint="eastAsia" w:ascii="仿宋" w:hAnsi="仿宋" w:eastAsia="仿宋" w:cs="仿宋"/>
                <w:b w:val="0"/>
                <w:bCs w:val="0"/>
                <w:color w:val="000000" w:themeColor="text1"/>
                <w:szCs w:val="21"/>
                <w:highlight w:val="none"/>
                <w14:textFill>
                  <w14:solidFill>
                    <w14:schemeClr w14:val="tx1"/>
                  </w14:solidFill>
                </w14:textFill>
              </w:rPr>
              <w:t>现行国家标准的规定。</w:t>
            </w:r>
          </w:p>
          <w:p>
            <w:pP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 xml:space="preserve">   3 所有矩形预制检查井井室水平拐角处的钢筋应锚入相邻井室壁板内；井室与底板整体预制的矩形检查井，其井室与底板转角处的钢筋应锚入相邻井室壁板或底板内。所有锚固长度均应按受拉锚固长度计算。</w:t>
            </w:r>
          </w:p>
          <w:p>
            <w:pPr>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 xml:space="preserve">   4 顶、底板和井室预制构件的钢筋保护层厚度：底板下层宜为40mm，其余宜为35mm。井筒钢筋保护层厚度不宜小于</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30</w:t>
            </w:r>
            <w:r>
              <w:rPr>
                <w:rFonts w:hint="eastAsia" w:ascii="仿宋" w:hAnsi="仿宋" w:eastAsia="仿宋" w:cs="仿宋"/>
                <w:b w:val="0"/>
                <w:bCs w:val="0"/>
                <w:color w:val="000000" w:themeColor="text1"/>
                <w:szCs w:val="21"/>
                <w:highlight w:val="none"/>
                <w14:textFill>
                  <w14:solidFill>
                    <w14:schemeClr w14:val="tx1"/>
                  </w14:solidFill>
                </w14:textFill>
              </w:rPr>
              <w:t>mm。</w:t>
            </w:r>
          </w:p>
          <w:p>
            <w:pPr>
              <w:numPr>
                <w:ilvl w:val="0"/>
                <w:numId w:val="0"/>
              </w:numPr>
              <w:ind w:leftChars="0"/>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6.2.6 </w:t>
            </w:r>
            <w:r>
              <w:rPr>
                <w:rFonts w:hint="eastAsia" w:ascii="仿宋" w:hAnsi="仿宋" w:eastAsia="仿宋" w:cs="仿宋"/>
                <w:b w:val="0"/>
                <w:bCs w:val="0"/>
                <w:color w:val="000000" w:themeColor="text1"/>
                <w:szCs w:val="21"/>
                <w:highlight w:val="none"/>
                <w14:textFill>
                  <w14:solidFill>
                    <w14:schemeClr w14:val="tx1"/>
                  </w14:solidFill>
                </w14:textFill>
              </w:rPr>
              <w:t>检查井预制</w:t>
            </w:r>
            <w:r>
              <w:rPr>
                <w:rFonts w:hint="eastAsia" w:ascii="仿宋" w:hAnsi="仿宋" w:eastAsia="仿宋" w:cs="仿宋"/>
                <w:b w:val="0"/>
                <w:bCs w:val="0"/>
                <w:color w:val="000000" w:themeColor="text1"/>
                <w:szCs w:val="21"/>
                <w:highlight w:val="none"/>
                <w:lang w:eastAsia="zh-CN"/>
                <w14:textFill>
                  <w14:solidFill>
                    <w14:schemeClr w14:val="tx1"/>
                  </w14:solidFill>
                </w14:textFill>
              </w:rPr>
              <w:t>构件</w:t>
            </w:r>
            <w:r>
              <w:rPr>
                <w:rFonts w:hint="eastAsia" w:ascii="仿宋" w:hAnsi="仿宋" w:eastAsia="仿宋" w:cs="仿宋"/>
                <w:b w:val="0"/>
                <w:bCs w:val="0"/>
                <w:color w:val="000000" w:themeColor="text1"/>
                <w:szCs w:val="21"/>
                <w:highlight w:val="none"/>
                <w14:textFill>
                  <w14:solidFill>
                    <w14:schemeClr w14:val="tx1"/>
                  </w14:solidFill>
                </w14:textFill>
              </w:rPr>
              <w:t>预留孔口应符合下列规定：</w:t>
            </w:r>
          </w:p>
          <w:p>
            <w:pPr>
              <w:ind w:firstLine="210" w:firstLineChars="100"/>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 xml:space="preserve"> 1 当管道采用开槽法施工时，预留孔</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口</w:t>
            </w:r>
            <w:r>
              <w:rPr>
                <w:rFonts w:hint="eastAsia" w:ascii="仿宋" w:hAnsi="仿宋" w:eastAsia="仿宋" w:cs="仿宋"/>
                <w:b w:val="0"/>
                <w:bCs w:val="0"/>
                <w:color w:val="000000" w:themeColor="text1"/>
                <w:szCs w:val="21"/>
                <w:highlight w:val="none"/>
                <w14:textFill>
                  <w14:solidFill>
                    <w14:schemeClr w14:val="tx1"/>
                  </w14:solidFill>
                </w14:textFill>
              </w:rPr>
              <w:t>孔径宜为插入管外径加20mm~30mm；当管道采用顶进法施工时，预留孔</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口</w:t>
            </w:r>
            <w:r>
              <w:rPr>
                <w:rFonts w:hint="eastAsia" w:ascii="仿宋" w:hAnsi="仿宋" w:eastAsia="仿宋" w:cs="仿宋"/>
                <w:b w:val="0"/>
                <w:bCs w:val="0"/>
                <w:color w:val="000000" w:themeColor="text1"/>
                <w:szCs w:val="21"/>
                <w:highlight w:val="none"/>
                <w14:textFill>
                  <w14:solidFill>
                    <w14:schemeClr w14:val="tx1"/>
                  </w14:solidFill>
                </w14:textFill>
              </w:rPr>
              <w:t>孔径宜为插入管外径加60mm。</w:t>
            </w:r>
          </w:p>
          <w:p>
            <w:pP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 xml:space="preserve">   2 预制构件井室（筒）环截面的面积损失率不应大于50%。</w:t>
            </w:r>
          </w:p>
          <w:p>
            <w:pPr>
              <w:ind w:firstLine="210" w:firstLineChars="100"/>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 xml:space="preserve"> 3 孔口边缘距井室上边缘竖向距离不应小于500mm。当井室与底板采用整浇式，孔口边缘距井室下边缘竖向距离应不小于150mm；当井室与底板采用分离式，孔口边缘距井室下边缘竖向距离应不小于300mm。</w:t>
            </w:r>
          </w:p>
          <w:p>
            <w:pPr>
              <w:numPr>
                <w:ilvl w:val="0"/>
                <w:numId w:val="0"/>
              </w:numPr>
              <w:ind w:leftChars="0"/>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 xml:space="preserve">   4 圆形检查井预制</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构件</w:t>
            </w:r>
            <w:r>
              <w:rPr>
                <w:rFonts w:hint="eastAsia" w:ascii="仿宋" w:hAnsi="仿宋" w:eastAsia="仿宋" w:cs="仿宋"/>
                <w:b w:val="0"/>
                <w:bCs w:val="0"/>
                <w:color w:val="000000" w:themeColor="text1"/>
                <w:szCs w:val="21"/>
                <w:highlight w:val="none"/>
                <w14:textFill>
                  <w14:solidFill>
                    <w14:schemeClr w14:val="tx1"/>
                  </w14:solidFill>
                </w14:textFill>
              </w:rPr>
              <w:t>相邻预留孔</w:t>
            </w:r>
            <w:r>
              <w:rPr>
                <w:rFonts w:hint="eastAsia" w:ascii="仿宋" w:hAnsi="仿宋" w:eastAsia="仿宋" w:cs="仿宋"/>
                <w:b w:val="0"/>
                <w:bCs w:val="0"/>
                <w:color w:val="000000" w:themeColor="text1"/>
                <w:szCs w:val="21"/>
                <w:highlight w:val="none"/>
                <w:lang w:eastAsia="zh-CN"/>
                <w14:textFill>
                  <w14:solidFill>
                    <w14:schemeClr w14:val="tx1"/>
                  </w14:solidFill>
                </w14:textFill>
              </w:rPr>
              <w:t>口</w:t>
            </w:r>
            <w:r>
              <w:rPr>
                <w:rFonts w:hint="eastAsia" w:ascii="仿宋" w:hAnsi="仿宋" w:eastAsia="仿宋" w:cs="仿宋"/>
                <w:b w:val="0"/>
                <w:bCs w:val="0"/>
                <w:color w:val="000000" w:themeColor="text1"/>
                <w:szCs w:val="21"/>
                <w:highlight w:val="none"/>
                <w14:textFill>
                  <w14:solidFill>
                    <w14:schemeClr w14:val="tx1"/>
                  </w14:solidFill>
                </w14:textFill>
              </w:rPr>
              <w:t>边缘最小水平弧长</w:t>
            </w:r>
            <w:r>
              <w:rPr>
                <w:rFonts w:hint="eastAsia" w:ascii="仿宋" w:hAnsi="仿宋" w:eastAsia="仿宋" w:cs="仿宋"/>
                <w:b w:val="0"/>
                <w:bCs w:val="0"/>
                <w:color w:val="000000" w:themeColor="text1"/>
                <w:szCs w:val="21"/>
                <w:highlight w:val="none"/>
                <w:lang w:eastAsia="zh-CN"/>
                <w14:textFill>
                  <w14:solidFill>
                    <w14:schemeClr w14:val="tx1"/>
                  </w14:solidFill>
                </w14:textFill>
              </w:rPr>
              <w:t>不</w:t>
            </w:r>
            <w:r>
              <w:rPr>
                <w:rFonts w:hint="eastAsia" w:ascii="仿宋" w:hAnsi="仿宋" w:eastAsia="仿宋" w:cs="仿宋"/>
                <w:b w:val="0"/>
                <w:bCs w:val="0"/>
                <w:color w:val="000000" w:themeColor="text1"/>
                <w:szCs w:val="21"/>
                <w:highlight w:val="none"/>
                <w14:textFill>
                  <w14:solidFill>
                    <w14:schemeClr w14:val="tx1"/>
                  </w14:solidFill>
                </w14:textFill>
              </w:rPr>
              <w:t>应</w:t>
            </w:r>
            <w:r>
              <w:rPr>
                <w:rFonts w:hint="eastAsia" w:ascii="仿宋" w:hAnsi="仿宋" w:eastAsia="仿宋" w:cs="仿宋"/>
                <w:b w:val="0"/>
                <w:bCs w:val="0"/>
                <w:color w:val="000000" w:themeColor="text1"/>
                <w:szCs w:val="21"/>
                <w:highlight w:val="none"/>
                <w:lang w:eastAsia="zh-CN"/>
                <w14:textFill>
                  <w14:solidFill>
                    <w14:schemeClr w14:val="tx1"/>
                  </w14:solidFill>
                </w14:textFill>
              </w:rPr>
              <w:t>小于</w:t>
            </w:r>
            <w:r>
              <w:rPr>
                <w:rFonts w:hint="eastAsia" w:ascii="仿宋" w:hAnsi="仿宋" w:eastAsia="仿宋" w:cs="仿宋"/>
                <w:b w:val="0"/>
                <w:bCs w:val="0"/>
                <w:color w:val="000000" w:themeColor="text1"/>
                <w:szCs w:val="21"/>
                <w:highlight w:val="none"/>
                <w14:textFill>
                  <w14:solidFill>
                    <w14:schemeClr w14:val="tx1"/>
                  </w14:solidFill>
                </w14:textFill>
              </w:rPr>
              <w:t>2倍井壁厚，且不应小于500mm；矩形检查井预制</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构件</w:t>
            </w:r>
            <w:r>
              <w:rPr>
                <w:rFonts w:hint="eastAsia" w:ascii="仿宋" w:hAnsi="仿宋" w:eastAsia="仿宋" w:cs="仿宋"/>
                <w:b w:val="0"/>
                <w:bCs w:val="0"/>
                <w:color w:val="000000" w:themeColor="text1"/>
                <w:szCs w:val="21"/>
                <w:highlight w:val="none"/>
                <w14:textFill>
                  <w14:solidFill>
                    <w14:schemeClr w14:val="tx1"/>
                  </w14:solidFill>
                </w14:textFill>
              </w:rPr>
              <w:t>预留孔</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口</w:t>
            </w:r>
            <w:r>
              <w:rPr>
                <w:rFonts w:hint="eastAsia" w:ascii="仿宋" w:hAnsi="仿宋" w:eastAsia="仿宋" w:cs="仿宋"/>
                <w:b w:val="0"/>
                <w:bCs w:val="0"/>
                <w:color w:val="000000" w:themeColor="text1"/>
                <w:szCs w:val="21"/>
                <w:highlight w:val="none"/>
                <w14:textFill>
                  <w14:solidFill>
                    <w14:schemeClr w14:val="tx1"/>
                  </w14:solidFill>
                </w14:textFill>
              </w:rPr>
              <w:t>边缘距井壁转角水平净距不应小于150mm。</w:t>
            </w:r>
          </w:p>
          <w:p>
            <w:pP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条文说明：</w:t>
            </w:r>
            <w:r>
              <w:rPr>
                <w:rFonts w:hint="eastAsia" w:ascii="仿宋" w:hAnsi="仿宋" w:eastAsia="仿宋" w:cs="仿宋"/>
                <w:color w:val="000000" w:themeColor="text1"/>
                <w:szCs w:val="21"/>
                <w:highlight w:val="none"/>
                <w14:textFill>
                  <w14:solidFill>
                    <w14:schemeClr w14:val="tx1"/>
                  </w14:solidFill>
                </w14:textFill>
              </w:rPr>
              <w:t>预制检查井预留</w:t>
            </w:r>
            <w:r>
              <w:rPr>
                <w:rFonts w:hint="eastAsia" w:ascii="仿宋" w:hAnsi="仿宋" w:eastAsia="仿宋" w:cs="仿宋"/>
                <w:color w:val="000000" w:themeColor="text1"/>
                <w:szCs w:val="21"/>
                <w:highlight w:val="none"/>
                <w:lang w:val="en-US" w:eastAsia="zh-CN"/>
                <w14:textFill>
                  <w14:solidFill>
                    <w14:schemeClr w14:val="tx1"/>
                  </w14:solidFill>
                </w14:textFill>
              </w:rPr>
              <w:t>孔</w:t>
            </w:r>
            <w:r>
              <w:rPr>
                <w:rFonts w:hint="eastAsia" w:ascii="仿宋" w:hAnsi="仿宋" w:eastAsia="仿宋" w:cs="仿宋"/>
                <w:color w:val="000000" w:themeColor="text1"/>
                <w:szCs w:val="21"/>
                <w:highlight w:val="none"/>
                <w14:textFill>
                  <w14:solidFill>
                    <w14:schemeClr w14:val="tx1"/>
                  </w14:solidFill>
                </w14:textFill>
              </w:rPr>
              <w:t>口</w:t>
            </w:r>
            <w:r>
              <w:rPr>
                <w:rFonts w:hint="eastAsia" w:ascii="仿宋" w:hAnsi="仿宋" w:eastAsia="仿宋" w:cs="仿宋"/>
                <w:color w:val="000000" w:themeColor="text1"/>
                <w:szCs w:val="21"/>
                <w:highlight w:val="none"/>
                <w:lang w:val="en-US" w:eastAsia="zh-CN"/>
                <w14:textFill>
                  <w14:solidFill>
                    <w14:schemeClr w14:val="tx1"/>
                  </w14:solidFill>
                </w14:textFill>
              </w:rPr>
              <w:t>距周边尺寸构造要求（图6.2.6）。</w:t>
            </w:r>
          </w:p>
          <w:p>
            <w:pPr>
              <w:rPr>
                <w:rFonts w:hint="eastAsia"/>
                <w:color w:val="00B050"/>
                <w:szCs w:val="21"/>
                <w:highlight w:val="none"/>
                <w:lang w:val="en-US" w:eastAsia="zh-CN"/>
              </w:rPr>
            </w:pPr>
            <w:r>
              <w:rPr>
                <w:rFonts w:hint="eastAsia"/>
                <w:color w:val="00B050"/>
                <w:szCs w:val="21"/>
                <w:highlight w:val="none"/>
              </w:rPr>
              <w:pict>
                <v:shape id="_x0000_s1027" o:spid="_x0000_s1027" o:spt="75" type="#_x0000_t75" style="position:absolute;left:0pt;margin-left:278.8pt;margin-top:12.95pt;height:102.1pt;width:104.9pt;mso-wrap-distance-bottom:0pt;mso-wrap-distance-left:9pt;mso-wrap-distance-right:9pt;mso-wrap-distance-top:0pt;z-index:251663360;mso-width-relative:page;mso-height-relative:page;" o:ole="t" filled="f" o:preferrelative="t" stroked="f" coordsize="21600,21600">
                  <v:path/>
                  <v:fill on="f" focussize="0,0"/>
                  <v:stroke on="f"/>
                  <v:imagedata r:id="rId11" cropleft="22090f" croptop="7638f" cropright="22226f" cropbottom="8745f" o:title=""/>
                  <o:lock v:ext="edit" aspectratio="t"/>
                  <w10:wrap type="square"/>
                </v:shape>
                <o:OLEObject Type="Embed" ProgID="AutoCAD.Drawing.20" ShapeID="_x0000_s1027" DrawAspect="Content" ObjectID="_1468075725" r:id="rId10">
                  <o:LockedField>false</o:LockedField>
                </o:OLEObject>
              </w:pict>
            </w:r>
            <w:r>
              <w:rPr>
                <w:rFonts w:hint="eastAsia"/>
                <w:color w:val="00B050"/>
                <w:szCs w:val="21"/>
                <w:highlight w:val="none"/>
              </w:rPr>
              <w:pict>
                <v:shape id="_x0000_s1026" o:spid="_x0000_s1026" o:spt="75" type="#_x0000_t75" style="position:absolute;left:0pt;margin-left:94.35pt;margin-top:12.35pt;height:102.1pt;width:104.9pt;mso-wrap-distance-bottom:0pt;mso-wrap-distance-left:9pt;mso-wrap-distance-right:9pt;mso-wrap-distance-top:0pt;z-index:251663360;mso-width-relative:page;mso-height-relative:page;" o:ole="t" filled="f" o:preferrelative="t" stroked="f" coordsize="21600,21600">
                  <v:path/>
                  <v:fill on="f" focussize="0,0"/>
                  <v:stroke on="f"/>
                  <v:imagedata r:id="rId13" cropleft="22090f" croptop="7638f" cropright="22226f" cropbottom="8745f" o:title=""/>
                  <o:lock v:ext="edit" aspectratio="t"/>
                  <w10:wrap type="square"/>
                </v:shape>
                <o:OLEObject Type="Embed" ProgID="AutoCAD.Drawing.20" ShapeID="_x0000_s1026" DrawAspect="Content" ObjectID="_1468075726" r:id="rId12">
                  <o:LockedField>false</o:LockedField>
                </o:OLEObject>
              </w:pict>
            </w:r>
          </w:p>
          <w:p>
            <w:pPr>
              <w:rPr>
                <w:rFonts w:hint="eastAsia"/>
                <w:color w:val="00B050"/>
                <w:szCs w:val="21"/>
                <w:highlight w:val="none"/>
                <w:lang w:val="en-US" w:eastAsia="zh-CN"/>
              </w:rPr>
            </w:pPr>
          </w:p>
          <w:p>
            <w:pPr>
              <w:rPr>
                <w:rFonts w:hint="eastAsia"/>
                <w:color w:val="00B050"/>
                <w:szCs w:val="21"/>
                <w:highlight w:val="none"/>
                <w:lang w:val="en-US" w:eastAsia="zh-CN"/>
              </w:rPr>
            </w:pPr>
          </w:p>
          <w:p>
            <w:pPr>
              <w:rPr>
                <w:rFonts w:hint="eastAsia"/>
                <w:color w:val="00B050"/>
                <w:szCs w:val="21"/>
                <w:highlight w:val="none"/>
                <w:lang w:val="en-US" w:eastAsia="zh-CN"/>
              </w:rPr>
            </w:pPr>
          </w:p>
          <w:p>
            <w:pPr>
              <w:rPr>
                <w:rFonts w:hint="eastAsia"/>
                <w:color w:val="00B050"/>
                <w:szCs w:val="21"/>
                <w:highlight w:val="none"/>
                <w:lang w:val="en-US" w:eastAsia="zh-CN"/>
              </w:rPr>
            </w:pPr>
          </w:p>
          <w:p>
            <w:pPr>
              <w:ind w:firstLine="840" w:firstLineChars="400"/>
              <w:jc w:val="both"/>
              <w:rPr>
                <w:rFonts w:hint="default" w:eastAsia="宋体"/>
                <w:color w:val="00B050"/>
                <w:szCs w:val="21"/>
                <w:highlight w:val="none"/>
                <w:lang w:val="en-US" w:eastAsia="zh-CN"/>
              </w:rPr>
            </w:pPr>
            <w:r>
              <w:rPr>
                <w:rFonts w:hint="eastAsia"/>
                <w:color w:val="00B050"/>
                <w:szCs w:val="21"/>
                <w:highlight w:val="none"/>
                <w:lang w:val="en-US" w:eastAsia="zh-CN"/>
              </w:rPr>
              <w:t xml:space="preserve">              </w:t>
            </w:r>
          </w:p>
          <w:p>
            <w:pPr>
              <w:numPr>
                <w:ilvl w:val="0"/>
                <w:numId w:val="6"/>
              </w:numPr>
              <w:spacing w:line="240" w:lineRule="auto"/>
              <w:jc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孔口边缘距井室上、下边缘距离示意图      （b）孔口边缘距井室上、下边缘距离示意图</w:t>
            </w:r>
          </w:p>
          <w:p>
            <w:pPr>
              <w:spacing w:line="240" w:lineRule="auto"/>
              <w:jc w:val="both"/>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18"/>
                <w:szCs w:val="18"/>
                <w:highlight w:val="none"/>
                <w:lang w:val="en-US" w:eastAsia="zh-CN"/>
                <w14:textFill>
                  <w14:solidFill>
                    <w14:schemeClr w14:val="tx1"/>
                  </w14:solidFill>
                </w14:textFill>
              </w:rPr>
              <w:t xml:space="preserve"> （井室与底板整浇）</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18"/>
                <w:szCs w:val="18"/>
                <w:highlight w:val="none"/>
                <w:lang w:val="en-US" w:eastAsia="zh-CN"/>
                <w14:textFill>
                  <w14:solidFill>
                    <w14:schemeClr w14:val="tx1"/>
                  </w14:solidFill>
                </w14:textFill>
              </w:rPr>
              <w:t xml:space="preserve"> （井室与底板分离）</w:t>
            </w:r>
          </w:p>
          <w:p>
            <w:pPr>
              <w:jc w:val="both"/>
              <w:rPr>
                <w:rFonts w:hint="eastAsia"/>
                <w:color w:val="00B050"/>
                <w:sz w:val="18"/>
                <w:szCs w:val="18"/>
                <w:highlight w:val="none"/>
                <w:lang w:val="en-US" w:eastAsia="zh-CN"/>
              </w:rPr>
            </w:pPr>
            <w:r>
              <w:rPr>
                <w:rFonts w:hint="eastAsia"/>
                <w:color w:val="00B050"/>
                <w:szCs w:val="21"/>
                <w:highlight w:val="none"/>
              </w:rPr>
              <w:pict>
                <v:shape id="_x0000_s1029" o:spid="_x0000_s1029" o:spt="75" type="#_x0000_t75" style="position:absolute;left:0pt;margin-left:283.65pt;margin-top:3.9pt;height:101.35pt;width:105.3pt;mso-wrap-distance-bottom:0pt;mso-wrap-distance-left:9pt;mso-wrap-distance-right:9pt;mso-wrap-distance-top:0pt;z-index:251665408;mso-width-relative:page;mso-height-relative:page;" o:ole="t" filled="f" o:preferrelative="t" stroked="f" coordsize="21600,21600">
                  <v:path/>
                  <v:fill on="f" focussize="0,0"/>
                  <v:stroke on="f"/>
                  <v:imagedata r:id="rId15" cropleft="23860f" croptop="11442f" cropright="22648f" cropbottom="8844f" o:title=""/>
                  <o:lock v:ext="edit" aspectratio="t"/>
                  <w10:wrap type="square"/>
                </v:shape>
                <o:OLEObject Type="Embed" ProgID="AutoCAD.Drawing.18" ShapeID="_x0000_s1029" DrawAspect="Content" ObjectID="_1468075727" r:id="rId14">
                  <o:LockedField>false</o:LockedField>
                </o:OLEObject>
              </w:pict>
            </w:r>
            <w:r>
              <w:rPr>
                <w:rFonts w:hint="eastAsia"/>
                <w:color w:val="00B050"/>
                <w:szCs w:val="21"/>
                <w:highlight w:val="none"/>
              </w:rPr>
              <w:pict>
                <v:shape id="_x0000_s1028" o:spid="_x0000_s1028" o:spt="75" type="#_x0000_t75" style="position:absolute;left:0pt;margin-left:91.25pt;margin-top:9.3pt;height:104.05pt;width:145.15pt;mso-wrap-distance-bottom:0pt;mso-wrap-distance-left:9pt;mso-wrap-distance-right:9pt;mso-wrap-distance-top:0pt;z-index:251664384;mso-width-relative:page;mso-height-relative:page;" o:ole="t" filled="f" o:preferrelative="t" stroked="f" coordsize="21600,21600">
                  <v:path/>
                  <v:fill on="f" focussize="0,0"/>
                  <v:stroke on="f"/>
                  <v:imagedata r:id="rId17" cropleft="20632f" croptop="10629f" cropright="20312f" cropbottom="12921f" o:title=""/>
                  <o:lock v:ext="edit" aspectratio="t"/>
                  <w10:wrap type="square"/>
                </v:shape>
                <o:OLEObject Type="Embed" ProgID="AutoCAD.Drawing.19" ShapeID="_x0000_s1028" DrawAspect="Content" ObjectID="_1468075728" r:id="rId16">
                  <o:LockedField>false</o:LockedField>
                </o:OLEObject>
              </w:pict>
            </w:r>
          </w:p>
          <w:p>
            <w:pPr>
              <w:jc w:val="both"/>
              <w:rPr>
                <w:rFonts w:hint="eastAsia"/>
                <w:color w:val="00B050"/>
                <w:sz w:val="18"/>
                <w:szCs w:val="18"/>
                <w:highlight w:val="none"/>
                <w:lang w:val="en-US" w:eastAsia="zh-CN"/>
              </w:rPr>
            </w:pPr>
          </w:p>
          <w:p>
            <w:pPr>
              <w:jc w:val="both"/>
              <w:rPr>
                <w:rFonts w:hint="eastAsia"/>
                <w:color w:val="00B050"/>
                <w:sz w:val="18"/>
                <w:szCs w:val="18"/>
                <w:highlight w:val="none"/>
                <w:lang w:val="en-US" w:eastAsia="zh-CN"/>
              </w:rPr>
            </w:pPr>
          </w:p>
          <w:p>
            <w:pPr>
              <w:jc w:val="both"/>
              <w:rPr>
                <w:rFonts w:hint="eastAsia"/>
                <w:color w:val="00B050"/>
                <w:sz w:val="18"/>
                <w:szCs w:val="18"/>
                <w:highlight w:val="none"/>
                <w:lang w:val="en-US" w:eastAsia="zh-CN"/>
              </w:rPr>
            </w:pPr>
          </w:p>
          <w:p>
            <w:pPr>
              <w:jc w:val="both"/>
              <w:rPr>
                <w:rFonts w:hint="eastAsia"/>
                <w:color w:val="00B050"/>
                <w:sz w:val="18"/>
                <w:szCs w:val="18"/>
                <w:highlight w:val="none"/>
                <w:lang w:val="en-US" w:eastAsia="zh-CN"/>
              </w:rPr>
            </w:pPr>
          </w:p>
          <w:p>
            <w:pPr>
              <w:jc w:val="both"/>
              <w:rPr>
                <w:rFonts w:hint="default"/>
                <w:color w:val="00B050"/>
                <w:sz w:val="18"/>
                <w:szCs w:val="18"/>
                <w:highlight w:val="none"/>
                <w:lang w:val="en-US" w:eastAsia="zh-CN"/>
              </w:rPr>
            </w:pPr>
          </w:p>
          <w:p>
            <w:pPr>
              <w:numPr>
                <w:ilvl w:val="0"/>
                <w:numId w:val="0"/>
              </w:numPr>
              <w:spacing w:line="240" w:lineRule="auto"/>
              <w:ind w:firstLine="1260" w:firstLineChars="700"/>
              <w:jc w:val="both"/>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（c）圆形预制井预留孔口边缘最小弧长平面示意图  （d）矩形预制井预留孔口距井壁距离</w:t>
            </w:r>
          </w:p>
          <w:p>
            <w:pPr>
              <w:numPr>
                <w:ilvl w:val="0"/>
                <w:numId w:val="0"/>
              </w:numPr>
              <w:spacing w:line="240" w:lineRule="auto"/>
              <w:ind w:firstLine="3780" w:firstLineChars="2100"/>
              <w:jc w:val="both"/>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图6.2.6  预留孔口边缘尺寸示意图</w:t>
            </w:r>
          </w:p>
          <w:p>
            <w:pPr>
              <w:spacing w:line="360" w:lineRule="auto"/>
              <w:rPr>
                <w:rFonts w:hint="eastAsia" w:ascii="仿宋" w:hAnsi="仿宋" w:eastAsia="仿宋" w:cs="仿宋"/>
                <w:b w:val="0"/>
                <w:bCs w:val="0"/>
                <w:color w:val="000000" w:themeColor="text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3）构件制作</w:t>
            </w:r>
          </w:p>
          <w:p>
            <w:pPr>
              <w:numPr>
                <w:ilvl w:val="0"/>
                <w:numId w:val="0"/>
              </w:numPr>
              <w:ind w:leftChars="0"/>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7.3.2 </w:t>
            </w:r>
            <w:r>
              <w:rPr>
                <w:rFonts w:hint="eastAsia" w:ascii="仿宋" w:hAnsi="仿宋" w:eastAsia="仿宋" w:cs="仿宋"/>
                <w:b w:val="0"/>
                <w:bCs w:val="0"/>
                <w:color w:val="000000" w:themeColor="text1"/>
                <w:szCs w:val="21"/>
                <w:highlight w:val="none"/>
                <w14:textFill>
                  <w14:solidFill>
                    <w14:schemeClr w14:val="tx1"/>
                  </w14:solidFill>
                </w14:textFill>
              </w:rPr>
              <w:t>遇下列情况下，各构件允许修补：</w:t>
            </w:r>
          </w:p>
          <w:p>
            <w:pPr>
              <w:ind w:firstLine="420" w:firstLineChars="200"/>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1 内外表面出现的凹坑或气泡，当其宽度或深度不超过10mm时；</w:t>
            </w:r>
          </w:p>
          <w:p>
            <w:pPr>
              <w:ind w:firstLine="420" w:firstLineChars="200"/>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2 内外表面粘皮、蜂窝、麻面的总面积不超过表面积的1/20，每块面积不超过100cm</w:t>
            </w:r>
            <w:r>
              <w:rPr>
                <w:rFonts w:hint="eastAsia" w:ascii="仿宋" w:hAnsi="仿宋" w:eastAsia="仿宋" w:cs="仿宋"/>
                <w:b w:val="0"/>
                <w:bCs w:val="0"/>
                <w:color w:val="000000" w:themeColor="text1"/>
                <w:szCs w:val="21"/>
                <w:highlight w:val="none"/>
                <w:vertAlign w:val="superscript"/>
                <w14:textFill>
                  <w14:solidFill>
                    <w14:schemeClr w14:val="tx1"/>
                  </w14:solidFill>
                </w14:textFill>
              </w:rPr>
              <w:t>2</w:t>
            </w:r>
            <w:r>
              <w:rPr>
                <w:rFonts w:hint="eastAsia" w:ascii="仿宋" w:hAnsi="仿宋" w:eastAsia="仿宋" w:cs="仿宋"/>
                <w:b w:val="0"/>
                <w:bCs w:val="0"/>
                <w:color w:val="000000" w:themeColor="text1"/>
                <w:szCs w:val="21"/>
                <w:highlight w:val="none"/>
                <w14:textFill>
                  <w14:solidFill>
                    <w14:schemeClr w14:val="tx1"/>
                  </w14:solidFill>
                </w14:textFill>
              </w:rPr>
              <w:t>时；</w:t>
            </w:r>
          </w:p>
          <w:p>
            <w:pPr>
              <w:ind w:firstLine="420" w:firstLineChars="200"/>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3 内表面有局部塌落，但塌落面积不超过各部件内表面积的1/20，每块面积不超过100cm</w:t>
            </w:r>
            <w:r>
              <w:rPr>
                <w:rFonts w:hint="eastAsia" w:ascii="仿宋" w:hAnsi="仿宋" w:eastAsia="仿宋" w:cs="仿宋"/>
                <w:b w:val="0"/>
                <w:bCs w:val="0"/>
                <w:color w:val="000000" w:themeColor="text1"/>
                <w:szCs w:val="21"/>
                <w:highlight w:val="none"/>
                <w:vertAlign w:val="superscript"/>
                <w14:textFill>
                  <w14:solidFill>
                    <w14:schemeClr w14:val="tx1"/>
                  </w14:solidFill>
                </w14:textFill>
              </w:rPr>
              <w:t>2</w:t>
            </w:r>
            <w:r>
              <w:rPr>
                <w:rFonts w:hint="eastAsia" w:ascii="仿宋" w:hAnsi="仿宋" w:eastAsia="仿宋" w:cs="仿宋"/>
                <w:b w:val="0"/>
                <w:bCs w:val="0"/>
                <w:color w:val="000000" w:themeColor="text1"/>
                <w:szCs w:val="21"/>
                <w:highlight w:val="none"/>
                <w14:textFill>
                  <w14:solidFill>
                    <w14:schemeClr w14:val="tx1"/>
                  </w14:solidFill>
                </w14:textFill>
              </w:rPr>
              <w:t>时；</w:t>
            </w:r>
          </w:p>
          <w:p>
            <w:pPr>
              <w:ind w:firstLine="420" w:firstLineChars="200"/>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4 模具合缝处漏浆深度不超过10mm，漏浆最大高度不超过部件高度的1/5时；</w:t>
            </w:r>
          </w:p>
          <w:p>
            <w:pPr>
              <w:ind w:firstLine="420" w:firstLineChars="200"/>
              <w:rPr>
                <w:rFonts w:hint="eastAsia" w:ascii="仿宋" w:hAnsi="仿宋" w:eastAsia="仿宋" w:cs="仿宋"/>
                <w:b w:val="0"/>
                <w:bCs w:val="0"/>
                <w:color w:val="000000" w:themeColor="text1"/>
                <w:szCs w:val="21"/>
                <w:highlight w:val="none"/>
                <w:lang w:val="zh-CN"/>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5 端面碰伤纵向深度不超过100 mm，环向长度不超过150mm时。</w:t>
            </w:r>
          </w:p>
          <w:p>
            <w:pPr>
              <w:numPr>
                <w:ilvl w:val="0"/>
                <w:numId w:val="0"/>
              </w:numPr>
              <w:ind w:leftChars="0"/>
              <w:rPr>
                <w:rFonts w:hint="eastAsia" w:ascii="仿宋" w:hAnsi="仿宋" w:eastAsia="仿宋" w:cs="仿宋"/>
                <w:b w:val="0"/>
                <w:bCs w:val="0"/>
                <w:color w:val="000000" w:themeColor="text1"/>
                <w:sz w:val="18"/>
                <w:szCs w:val="18"/>
                <w:highlight w:val="none"/>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 xml:space="preserve">7.3.3 </w:t>
            </w:r>
            <w:r>
              <w:rPr>
                <w:rFonts w:hint="eastAsia" w:ascii="仿宋" w:hAnsi="仿宋" w:eastAsia="仿宋" w:cs="仿宋"/>
                <w:b w:val="0"/>
                <w:bCs w:val="0"/>
                <w:color w:val="000000" w:themeColor="text1"/>
                <w:szCs w:val="21"/>
                <w:highlight w:val="none"/>
                <w14:textFill>
                  <w14:solidFill>
                    <w14:schemeClr w14:val="tx1"/>
                  </w14:solidFill>
                </w14:textFill>
              </w:rPr>
              <w:t>预制检査井各部件尺寸</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和保护层</w:t>
            </w:r>
            <w:r>
              <w:rPr>
                <w:rFonts w:hint="eastAsia" w:ascii="仿宋" w:hAnsi="仿宋" w:eastAsia="仿宋" w:cs="仿宋"/>
                <w:b w:val="0"/>
                <w:bCs w:val="0"/>
                <w:color w:val="000000" w:themeColor="text1"/>
                <w:szCs w:val="21"/>
                <w:highlight w:val="none"/>
                <w14:textFill>
                  <w14:solidFill>
                    <w14:schemeClr w14:val="tx1"/>
                  </w14:solidFill>
                </w14:textFill>
              </w:rPr>
              <w:t>允许偏差</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应符合</w:t>
            </w:r>
            <w:r>
              <w:rPr>
                <w:rFonts w:hint="eastAsia" w:ascii="仿宋" w:hAnsi="仿宋" w:eastAsia="仿宋" w:cs="仿宋"/>
                <w:b w:val="0"/>
                <w:bCs w:val="0"/>
                <w:color w:val="000000" w:themeColor="text1"/>
                <w:szCs w:val="21"/>
                <w:highlight w:val="none"/>
                <w14:textFill>
                  <w14:solidFill>
                    <w14:schemeClr w14:val="tx1"/>
                  </w14:solidFill>
                </w14:textFill>
              </w:rPr>
              <w:t>表7.4.3</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的规定</w:t>
            </w:r>
            <w:r>
              <w:rPr>
                <w:rFonts w:hint="eastAsia" w:ascii="仿宋" w:hAnsi="仿宋" w:eastAsia="仿宋" w:cs="仿宋"/>
                <w:b w:val="0"/>
                <w:bCs w:val="0"/>
                <w:color w:val="000000" w:themeColor="text1"/>
                <w:szCs w:val="21"/>
                <w:highlight w:val="none"/>
                <w14:textFill>
                  <w14:solidFill>
                    <w14:schemeClr w14:val="tx1"/>
                  </w14:solidFill>
                </w14:textFill>
              </w:rPr>
              <w:t>。</w:t>
            </w:r>
          </w:p>
          <w:p>
            <w:pPr>
              <w:jc w:val="center"/>
              <w:rPr>
                <w:rFonts w:hint="eastAsia" w:ascii="仿宋" w:hAnsi="仿宋" w:eastAsia="仿宋" w:cs="仿宋"/>
                <w:b w:val="0"/>
                <w:bCs w:val="0"/>
                <w:color w:val="000000" w:themeColor="text1"/>
                <w:sz w:val="18"/>
                <w:szCs w:val="18"/>
                <w:highlight w:val="none"/>
                <w14:textFill>
                  <w14:solidFill>
                    <w14:schemeClr w14:val="tx1"/>
                  </w14:solidFill>
                </w14:textFill>
              </w:rPr>
            </w:pPr>
            <w:r>
              <w:rPr>
                <w:rFonts w:hint="eastAsia" w:ascii="仿宋" w:hAnsi="仿宋" w:eastAsia="仿宋" w:cs="仿宋"/>
                <w:b w:val="0"/>
                <w:bCs w:val="0"/>
                <w:color w:val="000000" w:themeColor="text1"/>
                <w:sz w:val="18"/>
                <w:szCs w:val="18"/>
                <w:highlight w:val="none"/>
                <w14:textFill>
                  <w14:solidFill>
                    <w14:schemeClr w14:val="tx1"/>
                  </w14:solidFill>
                </w14:textFill>
              </w:rPr>
              <w:t>表7.</w:t>
            </w:r>
            <w:r>
              <w:rPr>
                <w:rFonts w:hint="eastAsia" w:ascii="仿宋" w:hAnsi="仿宋" w:eastAsia="仿宋" w:cs="仿宋"/>
                <w:b w:val="0"/>
                <w:bCs w:val="0"/>
                <w:color w:val="000000" w:themeColor="text1"/>
                <w:sz w:val="18"/>
                <w:szCs w:val="18"/>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18"/>
                <w:szCs w:val="18"/>
                <w:highlight w:val="none"/>
                <w14:textFill>
                  <w14:solidFill>
                    <w14:schemeClr w14:val="tx1"/>
                  </w14:solidFill>
                </w14:textFill>
              </w:rPr>
              <w:t>.3 预制检査井各部件尺寸允许偏差表</w:t>
            </w:r>
          </w:p>
          <w:tbl>
            <w:tblPr>
              <w:tblStyle w:val="9"/>
              <w:tblW w:w="8003" w:type="dxa"/>
              <w:jc w:val="center"/>
              <w:tblLayout w:type="fixed"/>
              <w:tblCellMar>
                <w:top w:w="0" w:type="dxa"/>
                <w:left w:w="10" w:type="dxa"/>
                <w:bottom w:w="0" w:type="dxa"/>
                <w:right w:w="10" w:type="dxa"/>
              </w:tblCellMar>
            </w:tblPr>
            <w:tblGrid>
              <w:gridCol w:w="1051"/>
              <w:gridCol w:w="1094"/>
              <w:gridCol w:w="1044"/>
              <w:gridCol w:w="1020"/>
              <w:gridCol w:w="1339"/>
              <w:gridCol w:w="1291"/>
              <w:gridCol w:w="1164"/>
            </w:tblGrid>
            <w:tr>
              <w:tblPrEx>
                <w:tblCellMar>
                  <w:top w:w="0" w:type="dxa"/>
                  <w:left w:w="10" w:type="dxa"/>
                  <w:bottom w:w="0" w:type="dxa"/>
                  <w:right w:w="10" w:type="dxa"/>
                </w:tblCellMar>
              </w:tblPrEx>
              <w:trPr>
                <w:trHeight w:val="266" w:hRule="exact"/>
                <w:tblHeader/>
                <w:jc w:val="center"/>
              </w:trPr>
              <w:tc>
                <w:tcPr>
                  <w:tcW w:w="1051" w:type="dxa"/>
                  <w:tcBorders>
                    <w:top w:val="single" w:color="auto" w:sz="4" w:space="0"/>
                    <w:left w:val="single" w:color="auto" w:sz="4" w:space="0"/>
                  </w:tcBorders>
                  <w:shd w:val="clear" w:color="auto" w:fill="FFFFFF"/>
                  <w:vAlign w:val="center"/>
                </w:tcPr>
                <w:p>
                  <w:pPr>
                    <w:pStyle w:val="21"/>
                    <w:spacing w:after="0" w:line="240" w:lineRule="auto"/>
                    <w:ind w:firstLine="0"/>
                    <w:jc w:val="center"/>
                    <w:rPr>
                      <w:rFonts w:hint="eastAsia" w:ascii="仿宋" w:hAnsi="仿宋" w:eastAsia="仿宋" w:cs="仿宋"/>
                      <w:b w:val="0"/>
                      <w:bCs w:val="0"/>
                      <w:color w:val="000000" w:themeColor="text1"/>
                      <w:sz w:val="18"/>
                      <w:szCs w:val="18"/>
                      <w:highlight w:val="none"/>
                      <w14:textFill>
                        <w14:solidFill>
                          <w14:schemeClr w14:val="tx1"/>
                        </w14:solidFill>
                      </w14:textFill>
                    </w:rPr>
                  </w:pPr>
                  <w:r>
                    <w:rPr>
                      <w:rFonts w:hint="eastAsia" w:ascii="仿宋" w:hAnsi="仿宋" w:eastAsia="仿宋" w:cs="仿宋"/>
                      <w:b w:val="0"/>
                      <w:bCs w:val="0"/>
                      <w:color w:val="000000" w:themeColor="text1"/>
                      <w:sz w:val="18"/>
                      <w:szCs w:val="18"/>
                      <w:highlight w:val="none"/>
                      <w14:textFill>
                        <w14:solidFill>
                          <w14:schemeClr w14:val="tx1"/>
                        </w14:solidFill>
                      </w14:textFill>
                    </w:rPr>
                    <w:t>内</w:t>
                  </w:r>
                  <w:r>
                    <w:rPr>
                      <w:rFonts w:hint="eastAsia" w:ascii="仿宋" w:hAnsi="仿宋" w:eastAsia="仿宋" w:cs="仿宋"/>
                      <w:b w:val="0"/>
                      <w:bCs w:val="0"/>
                      <w:color w:val="000000" w:themeColor="text1"/>
                      <w:sz w:val="18"/>
                      <w:szCs w:val="18"/>
                      <w:highlight w:val="none"/>
                      <w:lang w:val="en-US" w:eastAsia="zh-CN"/>
                      <w14:textFill>
                        <w14:solidFill>
                          <w14:schemeClr w14:val="tx1"/>
                        </w14:solidFill>
                      </w14:textFill>
                    </w:rPr>
                    <w:t>框</w:t>
                  </w:r>
                  <w:r>
                    <w:rPr>
                      <w:rFonts w:hint="eastAsia" w:ascii="仿宋" w:hAnsi="仿宋" w:eastAsia="仿宋" w:cs="仿宋"/>
                      <w:b w:val="0"/>
                      <w:bCs w:val="0"/>
                      <w:color w:val="000000" w:themeColor="text1"/>
                      <w:sz w:val="18"/>
                      <w:szCs w:val="18"/>
                      <w:highlight w:val="none"/>
                      <w:lang w:val="zh-CN" w:eastAsia="zh-CN" w:bidi="zh-CN"/>
                      <w14:textFill>
                        <w14:solidFill>
                          <w14:schemeClr w14:val="tx1"/>
                        </w14:solidFill>
                      </w14:textFill>
                    </w:rPr>
                    <w:t>尺寸</w:t>
                  </w:r>
                </w:p>
              </w:tc>
              <w:tc>
                <w:tcPr>
                  <w:tcW w:w="1094" w:type="dxa"/>
                  <w:tcBorders>
                    <w:top w:val="single" w:color="auto" w:sz="4" w:space="0"/>
                    <w:left w:val="single" w:color="auto" w:sz="4" w:space="0"/>
                    <w:right w:val="single" w:color="auto" w:sz="4" w:space="0"/>
                  </w:tcBorders>
                  <w:shd w:val="clear" w:color="auto" w:fill="FFFFFF"/>
                  <w:vAlign w:val="center"/>
                </w:tcPr>
                <w:p>
                  <w:pPr>
                    <w:pStyle w:val="21"/>
                    <w:spacing w:after="0" w:line="240" w:lineRule="auto"/>
                    <w:ind w:firstLine="0"/>
                    <w:jc w:val="center"/>
                    <w:rPr>
                      <w:rFonts w:hint="eastAsia" w:ascii="仿宋" w:hAnsi="仿宋" w:eastAsia="仿宋" w:cs="仿宋"/>
                      <w:b w:val="0"/>
                      <w:bCs w:val="0"/>
                      <w:color w:val="000000" w:themeColor="text1"/>
                      <w:sz w:val="18"/>
                      <w:szCs w:val="18"/>
                      <w:highlight w:val="none"/>
                      <w14:textFill>
                        <w14:solidFill>
                          <w14:schemeClr w14:val="tx1"/>
                        </w14:solidFill>
                      </w14:textFill>
                    </w:rPr>
                  </w:pPr>
                  <w:r>
                    <w:rPr>
                      <w:rFonts w:hint="eastAsia" w:ascii="仿宋" w:hAnsi="仿宋" w:eastAsia="仿宋" w:cs="仿宋"/>
                      <w:b w:val="0"/>
                      <w:bCs w:val="0"/>
                      <w:color w:val="000000" w:themeColor="text1"/>
                      <w:sz w:val="18"/>
                      <w:szCs w:val="18"/>
                      <w:highlight w:val="none"/>
                      <w14:textFill>
                        <w14:solidFill>
                          <w14:schemeClr w14:val="tx1"/>
                        </w14:solidFill>
                      </w14:textFill>
                    </w:rPr>
                    <w:t>有效髙度</w:t>
                  </w:r>
                </w:p>
              </w:tc>
              <w:tc>
                <w:tcPr>
                  <w:tcW w:w="1044" w:type="dxa"/>
                  <w:tcBorders>
                    <w:top w:val="single" w:color="auto" w:sz="4" w:space="0"/>
                    <w:left w:val="single" w:color="auto" w:sz="4" w:space="0"/>
                  </w:tcBorders>
                  <w:shd w:val="clear" w:color="auto" w:fill="FFFFFF"/>
                  <w:vAlign w:val="center"/>
                </w:tcPr>
                <w:p>
                  <w:pPr>
                    <w:pStyle w:val="21"/>
                    <w:spacing w:after="0" w:line="240" w:lineRule="auto"/>
                    <w:ind w:firstLine="0" w:firstLineChars="0"/>
                    <w:jc w:val="center"/>
                    <w:rPr>
                      <w:rFonts w:hint="eastAsia" w:ascii="仿宋" w:hAnsi="仿宋" w:eastAsia="仿宋" w:cs="仿宋"/>
                      <w:b w:val="0"/>
                      <w:bCs w:val="0"/>
                      <w:color w:val="000000" w:themeColor="text1"/>
                      <w:sz w:val="18"/>
                      <w:szCs w:val="18"/>
                      <w:highlight w:val="none"/>
                      <w:lang w:val="en-US" w:eastAsia="zh-CN"/>
                      <w14:textFill>
                        <w14:solidFill>
                          <w14:schemeClr w14:val="tx1"/>
                        </w14:solidFill>
                      </w14:textFill>
                    </w:rPr>
                  </w:pPr>
                  <w:r>
                    <w:rPr>
                      <w:rFonts w:hint="eastAsia" w:ascii="仿宋" w:hAnsi="仿宋" w:eastAsia="仿宋" w:cs="仿宋"/>
                      <w:b w:val="0"/>
                      <w:bCs w:val="0"/>
                      <w:color w:val="000000" w:themeColor="text1"/>
                      <w:sz w:val="18"/>
                      <w:szCs w:val="18"/>
                      <w:highlight w:val="none"/>
                      <w:lang w:val="en-US" w:eastAsia="zh-CN"/>
                      <w14:textFill>
                        <w14:solidFill>
                          <w14:schemeClr w14:val="tx1"/>
                        </w14:solidFill>
                      </w14:textFill>
                    </w:rPr>
                    <w:t>开孔孔径</w:t>
                  </w:r>
                </w:p>
              </w:tc>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240" w:lineRule="auto"/>
                    <w:ind w:firstLine="0"/>
                    <w:jc w:val="center"/>
                    <w:rPr>
                      <w:rFonts w:hint="eastAsia" w:ascii="仿宋" w:hAnsi="仿宋" w:eastAsia="仿宋" w:cs="仿宋"/>
                      <w:b w:val="0"/>
                      <w:bCs w:val="0"/>
                      <w:color w:val="000000" w:themeColor="text1"/>
                      <w:sz w:val="18"/>
                      <w:szCs w:val="18"/>
                      <w:highlight w:val="none"/>
                      <w:lang w:val="en-US" w:eastAsia="zh-CN"/>
                      <w14:textFill>
                        <w14:solidFill>
                          <w14:schemeClr w14:val="tx1"/>
                        </w14:solidFill>
                      </w14:textFill>
                    </w:rPr>
                  </w:pPr>
                  <w:r>
                    <w:rPr>
                      <w:rFonts w:hint="eastAsia" w:ascii="仿宋" w:hAnsi="仿宋" w:eastAsia="仿宋" w:cs="仿宋"/>
                      <w:b w:val="0"/>
                      <w:bCs w:val="0"/>
                      <w:color w:val="000000" w:themeColor="text1"/>
                      <w:sz w:val="18"/>
                      <w:szCs w:val="18"/>
                      <w:highlight w:val="none"/>
                      <w:lang w:val="en-US" w:eastAsia="zh-CN"/>
                      <w14:textFill>
                        <w14:solidFill>
                          <w14:schemeClr w14:val="tx1"/>
                        </w14:solidFill>
                      </w14:textFill>
                    </w:rPr>
                    <w:t>壁厚</w:t>
                  </w:r>
                </w:p>
              </w:tc>
              <w:tc>
                <w:tcPr>
                  <w:tcW w:w="133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240" w:lineRule="auto"/>
                    <w:ind w:firstLine="0"/>
                    <w:jc w:val="center"/>
                    <w:rPr>
                      <w:rFonts w:hint="eastAsia" w:ascii="仿宋" w:hAnsi="仿宋" w:eastAsia="仿宋" w:cs="仿宋"/>
                      <w:b w:val="0"/>
                      <w:bCs w:val="0"/>
                      <w:color w:val="000000" w:themeColor="text1"/>
                      <w:sz w:val="18"/>
                      <w:szCs w:val="18"/>
                      <w:highlight w:val="none"/>
                      <w:lang w:val="en-US" w:eastAsia="zh-CN"/>
                      <w14:textFill>
                        <w14:solidFill>
                          <w14:schemeClr w14:val="tx1"/>
                        </w14:solidFill>
                      </w14:textFill>
                    </w:rPr>
                  </w:pPr>
                  <w:r>
                    <w:rPr>
                      <w:rFonts w:hint="eastAsia" w:ascii="仿宋" w:hAnsi="仿宋" w:eastAsia="仿宋" w:cs="仿宋"/>
                      <w:b w:val="0"/>
                      <w:bCs w:val="0"/>
                      <w:color w:val="000000" w:themeColor="text1"/>
                      <w:sz w:val="18"/>
                      <w:szCs w:val="18"/>
                      <w:highlight w:val="none"/>
                      <w:lang w:val="en-US" w:eastAsia="zh-CN"/>
                      <w14:textFill>
                        <w14:solidFill>
                          <w14:schemeClr w14:val="tx1"/>
                        </w14:solidFill>
                      </w14:textFill>
                    </w:rPr>
                    <w:t>顶板、底板厚度</w:t>
                  </w:r>
                </w:p>
              </w:tc>
              <w:tc>
                <w:tcPr>
                  <w:tcW w:w="12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240" w:lineRule="auto"/>
                    <w:ind w:firstLine="0"/>
                    <w:jc w:val="center"/>
                    <w:rPr>
                      <w:rFonts w:hint="eastAsia" w:ascii="仿宋" w:hAnsi="仿宋" w:eastAsia="仿宋" w:cs="仿宋"/>
                      <w:b w:val="0"/>
                      <w:bCs w:val="0"/>
                      <w:color w:val="000000" w:themeColor="text1"/>
                      <w:sz w:val="18"/>
                      <w:szCs w:val="18"/>
                      <w:highlight w:val="none"/>
                      <w:lang w:val="en-US" w:eastAsia="zh-CN"/>
                      <w14:textFill>
                        <w14:solidFill>
                          <w14:schemeClr w14:val="tx1"/>
                        </w14:solidFill>
                      </w14:textFill>
                    </w:rPr>
                  </w:pPr>
                  <w:r>
                    <w:rPr>
                      <w:rFonts w:hint="eastAsia" w:ascii="仿宋" w:hAnsi="仿宋" w:eastAsia="仿宋" w:cs="仿宋"/>
                      <w:b w:val="0"/>
                      <w:bCs w:val="0"/>
                      <w:color w:val="000000" w:themeColor="text1"/>
                      <w:sz w:val="18"/>
                      <w:szCs w:val="18"/>
                      <w:highlight w:val="none"/>
                      <w:lang w:val="en-US" w:eastAsia="zh-CN"/>
                      <w14:textFill>
                        <w14:solidFill>
                          <w14:schemeClr w14:val="tx1"/>
                        </w14:solidFill>
                      </w14:textFill>
                    </w:rPr>
                    <w:t>断面倾斜度</w:t>
                  </w:r>
                </w:p>
              </w:tc>
              <w:tc>
                <w:tcPr>
                  <w:tcW w:w="11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240" w:lineRule="auto"/>
                    <w:ind w:firstLine="0" w:firstLineChars="0"/>
                    <w:jc w:val="center"/>
                    <w:rPr>
                      <w:rFonts w:hint="eastAsia" w:ascii="仿宋" w:hAnsi="仿宋" w:eastAsia="仿宋" w:cs="仿宋"/>
                      <w:b w:val="0"/>
                      <w:bCs w:val="0"/>
                      <w:color w:val="000000" w:themeColor="text1"/>
                      <w:kern w:val="2"/>
                      <w:sz w:val="18"/>
                      <w:szCs w:val="18"/>
                      <w:highlight w:val="none"/>
                      <w:u w:val="none"/>
                      <w:shd w:val="clear" w:color="auto" w:fill="auto"/>
                      <w:lang w:val="en-US" w:eastAsia="zh-CN" w:bidi="zh-TW"/>
                      <w14:textFill>
                        <w14:solidFill>
                          <w14:schemeClr w14:val="tx1"/>
                        </w14:solidFill>
                      </w14:textFill>
                    </w:rPr>
                  </w:pPr>
                  <w:r>
                    <w:rPr>
                      <w:rFonts w:hint="eastAsia" w:ascii="仿宋" w:hAnsi="仿宋" w:eastAsia="仿宋" w:cs="仿宋"/>
                      <w:b w:val="0"/>
                      <w:bCs w:val="0"/>
                      <w:color w:val="000000" w:themeColor="text1"/>
                      <w:sz w:val="18"/>
                      <w:szCs w:val="18"/>
                      <w:highlight w:val="none"/>
                      <w14:textFill>
                        <w14:solidFill>
                          <w14:schemeClr w14:val="tx1"/>
                        </w14:solidFill>
                      </w14:textFill>
                    </w:rPr>
                    <w:t>保护层厚度</w:t>
                  </w:r>
                </w:p>
              </w:tc>
            </w:tr>
            <w:tr>
              <w:tblPrEx>
                <w:tblCellMar>
                  <w:top w:w="0" w:type="dxa"/>
                  <w:left w:w="10" w:type="dxa"/>
                  <w:bottom w:w="0" w:type="dxa"/>
                  <w:right w:w="10" w:type="dxa"/>
                </w:tblCellMar>
              </w:tblPrEx>
              <w:trPr>
                <w:trHeight w:val="266" w:hRule="exact"/>
                <w:jc w:val="center"/>
              </w:trPr>
              <w:tc>
                <w:tcPr>
                  <w:tcW w:w="1051" w:type="dxa"/>
                  <w:tcBorders>
                    <w:top w:val="single" w:color="auto" w:sz="4" w:space="0"/>
                    <w:left w:val="single" w:color="auto" w:sz="4" w:space="0"/>
                  </w:tcBorders>
                  <w:shd w:val="clear" w:color="auto" w:fill="FFFFFF"/>
                  <w:vAlign w:val="center"/>
                </w:tcPr>
                <w:p>
                  <w:pPr>
                    <w:pStyle w:val="21"/>
                    <w:spacing w:after="0" w:line="240" w:lineRule="auto"/>
                    <w:ind w:firstLine="0"/>
                    <w:jc w:val="center"/>
                    <w:rPr>
                      <w:rFonts w:hint="eastAsia" w:ascii="仿宋" w:hAnsi="仿宋" w:eastAsia="仿宋" w:cs="仿宋"/>
                      <w:b w:val="0"/>
                      <w:bCs w:val="0"/>
                      <w:color w:val="000000" w:themeColor="text1"/>
                      <w:sz w:val="18"/>
                      <w:szCs w:val="18"/>
                      <w:highlight w:val="none"/>
                      <w:lang w:val="en-US" w:eastAsia="zh-CN"/>
                      <w14:textFill>
                        <w14:solidFill>
                          <w14:schemeClr w14:val="tx1"/>
                        </w14:solidFill>
                      </w14:textFill>
                    </w:rPr>
                  </w:pPr>
                  <w:r>
                    <w:rPr>
                      <w:rFonts w:hint="eastAsia" w:ascii="仿宋" w:hAnsi="仿宋" w:eastAsia="仿宋" w:cs="仿宋"/>
                      <w:b w:val="0"/>
                      <w:bCs w:val="0"/>
                      <w:color w:val="000000" w:themeColor="text1"/>
                      <w:sz w:val="18"/>
                      <w:szCs w:val="18"/>
                      <w:highlight w:val="none"/>
                      <w:lang w:val="en-US" w:eastAsia="zh-CN" w:bidi="en-US"/>
                      <w14:textFill>
                        <w14:solidFill>
                          <w14:schemeClr w14:val="tx1"/>
                        </w14:solidFill>
                      </w14:textFill>
                    </w:rPr>
                    <w:t>+5</w:t>
                  </w:r>
                </w:p>
              </w:tc>
              <w:tc>
                <w:tcPr>
                  <w:tcW w:w="1094" w:type="dxa"/>
                  <w:tcBorders>
                    <w:top w:val="single" w:color="auto" w:sz="4" w:space="0"/>
                    <w:left w:val="single" w:color="auto" w:sz="4" w:space="0"/>
                    <w:right w:val="single" w:color="auto" w:sz="4" w:space="0"/>
                  </w:tcBorders>
                  <w:shd w:val="clear" w:color="auto" w:fill="FFFFFF"/>
                  <w:vAlign w:val="center"/>
                </w:tcPr>
                <w:p>
                  <w:pPr>
                    <w:pStyle w:val="21"/>
                    <w:spacing w:after="0" w:line="240" w:lineRule="auto"/>
                    <w:ind w:firstLine="0"/>
                    <w:jc w:val="center"/>
                    <w:rPr>
                      <w:rFonts w:hint="eastAsia" w:ascii="仿宋" w:hAnsi="仿宋" w:eastAsia="仿宋" w:cs="仿宋"/>
                      <w:b w:val="0"/>
                      <w:bCs w:val="0"/>
                      <w:color w:val="000000" w:themeColor="text1"/>
                      <w:sz w:val="18"/>
                      <w:szCs w:val="18"/>
                      <w:highlight w:val="none"/>
                      <w14:textFill>
                        <w14:solidFill>
                          <w14:schemeClr w14:val="tx1"/>
                        </w14:solidFill>
                      </w14:textFill>
                    </w:rPr>
                  </w:pPr>
                  <w:r>
                    <w:rPr>
                      <w:rFonts w:hint="eastAsia" w:ascii="仿宋" w:hAnsi="仿宋" w:eastAsia="仿宋" w:cs="仿宋"/>
                      <w:b w:val="0"/>
                      <w:bCs w:val="0"/>
                      <w:color w:val="000000" w:themeColor="text1"/>
                      <w:sz w:val="18"/>
                      <w:szCs w:val="18"/>
                      <w:highlight w:val="none"/>
                      <w:lang w:val="en-US" w:eastAsia="zh-CN" w:bidi="en-US"/>
                      <w14:textFill>
                        <w14:solidFill>
                          <w14:schemeClr w14:val="tx1"/>
                        </w14:solidFill>
                      </w14:textFill>
                    </w:rPr>
                    <w:t>+</w:t>
                  </w:r>
                  <w:r>
                    <w:rPr>
                      <w:rFonts w:hint="eastAsia" w:ascii="仿宋" w:hAnsi="仿宋" w:eastAsia="仿宋" w:cs="仿宋"/>
                      <w:b w:val="0"/>
                      <w:bCs w:val="0"/>
                      <w:color w:val="000000" w:themeColor="text1"/>
                      <w:sz w:val="18"/>
                      <w:szCs w:val="18"/>
                      <w:highlight w:val="none"/>
                      <w:lang w:val="en-US" w:eastAsia="en-US" w:bidi="en-US"/>
                      <w14:textFill>
                        <w14:solidFill>
                          <w14:schemeClr w14:val="tx1"/>
                        </w14:solidFill>
                      </w14:textFill>
                    </w:rPr>
                    <w:t>10</w:t>
                  </w:r>
                </w:p>
              </w:tc>
              <w:tc>
                <w:tcPr>
                  <w:tcW w:w="1044" w:type="dxa"/>
                  <w:tcBorders>
                    <w:top w:val="single" w:color="auto" w:sz="4" w:space="0"/>
                    <w:left w:val="single" w:color="auto" w:sz="4" w:space="0"/>
                  </w:tcBorders>
                  <w:shd w:val="clear" w:color="auto" w:fill="FFFFFF"/>
                  <w:vAlign w:val="center"/>
                </w:tcPr>
                <w:p>
                  <w:pPr>
                    <w:pStyle w:val="21"/>
                    <w:spacing w:after="0" w:line="240" w:lineRule="auto"/>
                    <w:ind w:firstLine="0" w:firstLineChars="0"/>
                    <w:jc w:val="center"/>
                    <w:rPr>
                      <w:rFonts w:hint="eastAsia" w:ascii="仿宋" w:hAnsi="仿宋" w:eastAsia="仿宋" w:cs="仿宋"/>
                      <w:b w:val="0"/>
                      <w:bCs w:val="0"/>
                      <w:color w:val="000000" w:themeColor="text1"/>
                      <w:sz w:val="18"/>
                      <w:szCs w:val="18"/>
                      <w:highlight w:val="none"/>
                      <w:lang w:val="en-US" w:eastAsia="zh-CN" w:bidi="en-US"/>
                      <w14:textFill>
                        <w14:solidFill>
                          <w14:schemeClr w14:val="tx1"/>
                        </w14:solidFill>
                      </w14:textFill>
                    </w:rPr>
                  </w:pPr>
                  <w:r>
                    <w:rPr>
                      <w:rFonts w:hint="eastAsia" w:ascii="仿宋" w:hAnsi="仿宋" w:eastAsia="仿宋" w:cs="仿宋"/>
                      <w:b w:val="0"/>
                      <w:bCs w:val="0"/>
                      <w:color w:val="000000" w:themeColor="text1"/>
                      <w:sz w:val="18"/>
                      <w:szCs w:val="18"/>
                      <w:highlight w:val="none"/>
                      <w:lang w:val="en-US" w:eastAsia="zh-CN"/>
                      <w14:textFill>
                        <w14:solidFill>
                          <w14:schemeClr w14:val="tx1"/>
                        </w14:solidFill>
                      </w14:textFill>
                    </w:rPr>
                    <w:t>+5</w:t>
                  </w:r>
                </w:p>
              </w:tc>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240" w:lineRule="auto"/>
                    <w:ind w:firstLine="0"/>
                    <w:jc w:val="center"/>
                    <w:rPr>
                      <w:rFonts w:hint="eastAsia" w:ascii="仿宋" w:hAnsi="仿宋" w:eastAsia="仿宋" w:cs="仿宋"/>
                      <w:b w:val="0"/>
                      <w:bCs w:val="0"/>
                      <w:color w:val="000000" w:themeColor="text1"/>
                      <w:sz w:val="18"/>
                      <w:szCs w:val="18"/>
                      <w:highlight w:val="none"/>
                      <w:lang w:val="en-US" w:eastAsia="zh-CN"/>
                      <w14:textFill>
                        <w14:solidFill>
                          <w14:schemeClr w14:val="tx1"/>
                        </w14:solidFill>
                      </w14:textFill>
                    </w:rPr>
                  </w:pPr>
                  <w:r>
                    <w:rPr>
                      <w:rFonts w:hint="eastAsia" w:ascii="仿宋" w:hAnsi="仿宋" w:eastAsia="仿宋" w:cs="仿宋"/>
                      <w:b w:val="0"/>
                      <w:bCs w:val="0"/>
                      <w:color w:val="000000" w:themeColor="text1"/>
                      <w:sz w:val="18"/>
                      <w:szCs w:val="18"/>
                      <w:highlight w:val="none"/>
                      <w:lang w:val="en-US" w:eastAsia="zh-CN"/>
                      <w14:textFill>
                        <w14:solidFill>
                          <w14:schemeClr w14:val="tx1"/>
                        </w14:solidFill>
                      </w14:textFill>
                    </w:rPr>
                    <w:t>+5</w:t>
                  </w:r>
                </w:p>
              </w:tc>
              <w:tc>
                <w:tcPr>
                  <w:tcW w:w="133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240" w:lineRule="auto"/>
                    <w:ind w:firstLine="0"/>
                    <w:jc w:val="center"/>
                    <w:rPr>
                      <w:rFonts w:hint="eastAsia" w:ascii="仿宋" w:hAnsi="仿宋" w:eastAsia="仿宋" w:cs="仿宋"/>
                      <w:b w:val="0"/>
                      <w:bCs w:val="0"/>
                      <w:color w:val="000000" w:themeColor="text1"/>
                      <w:sz w:val="18"/>
                      <w:szCs w:val="18"/>
                      <w:highlight w:val="none"/>
                      <w:lang w:val="en-US" w:eastAsia="zh-CN"/>
                      <w14:textFill>
                        <w14:solidFill>
                          <w14:schemeClr w14:val="tx1"/>
                        </w14:solidFill>
                      </w14:textFill>
                    </w:rPr>
                  </w:pPr>
                  <w:r>
                    <w:rPr>
                      <w:rFonts w:hint="eastAsia" w:ascii="仿宋" w:hAnsi="仿宋" w:eastAsia="仿宋" w:cs="仿宋"/>
                      <w:b w:val="0"/>
                      <w:bCs w:val="0"/>
                      <w:color w:val="000000" w:themeColor="text1"/>
                      <w:sz w:val="18"/>
                      <w:szCs w:val="18"/>
                      <w:highlight w:val="none"/>
                      <w:lang w:val="en-US" w:eastAsia="zh-CN"/>
                      <w14:textFill>
                        <w14:solidFill>
                          <w14:schemeClr w14:val="tx1"/>
                        </w14:solidFill>
                      </w14:textFill>
                    </w:rPr>
                    <w:t>+5</w:t>
                  </w:r>
                </w:p>
              </w:tc>
              <w:tc>
                <w:tcPr>
                  <w:tcW w:w="1291" w:type="dxa"/>
                  <w:vMerge w:val="restart"/>
                  <w:tcBorders>
                    <w:top w:val="single" w:color="auto" w:sz="4" w:space="0"/>
                    <w:left w:val="single" w:color="auto" w:sz="4" w:space="0"/>
                    <w:right w:val="single" w:color="auto" w:sz="4" w:space="0"/>
                  </w:tcBorders>
                  <w:shd w:val="clear" w:color="auto" w:fill="FFFFFF"/>
                  <w:vAlign w:val="center"/>
                </w:tcPr>
                <w:p>
                  <w:pPr>
                    <w:pStyle w:val="21"/>
                    <w:spacing w:after="0" w:line="240" w:lineRule="auto"/>
                    <w:ind w:firstLine="0"/>
                    <w:jc w:val="center"/>
                    <w:rPr>
                      <w:rFonts w:hint="eastAsia" w:ascii="仿宋" w:hAnsi="仿宋" w:eastAsia="仿宋" w:cs="仿宋"/>
                      <w:b w:val="0"/>
                      <w:bCs w:val="0"/>
                      <w:color w:val="000000" w:themeColor="text1"/>
                      <w:sz w:val="18"/>
                      <w:szCs w:val="18"/>
                      <w:highlight w:val="none"/>
                      <w:lang w:val="en-US" w:eastAsia="zh-CN"/>
                      <w14:textFill>
                        <w14:solidFill>
                          <w14:schemeClr w14:val="tx1"/>
                        </w14:solidFill>
                      </w14:textFill>
                    </w:rPr>
                  </w:pPr>
                  <w:r>
                    <w:rPr>
                      <w:rFonts w:hint="eastAsia" w:ascii="仿宋" w:hAnsi="仿宋" w:eastAsia="仿宋" w:cs="仿宋"/>
                      <w:b w:val="0"/>
                      <w:bCs w:val="0"/>
                      <w:color w:val="000000" w:themeColor="text1"/>
                      <w:sz w:val="18"/>
                      <w:szCs w:val="18"/>
                      <w:highlight w:val="none"/>
                      <w:lang w:val="en-US" w:eastAsia="zh-CN"/>
                      <w14:textFill>
                        <w14:solidFill>
                          <w14:schemeClr w14:val="tx1"/>
                        </w14:solidFill>
                      </w14:textFill>
                    </w:rPr>
                    <w:t>≤10</w:t>
                  </w:r>
                </w:p>
              </w:tc>
              <w:tc>
                <w:tcPr>
                  <w:tcW w:w="1164" w:type="dxa"/>
                  <w:vMerge w:val="restart"/>
                  <w:tcBorders>
                    <w:top w:val="single" w:color="auto" w:sz="4" w:space="0"/>
                    <w:left w:val="single" w:color="auto" w:sz="4" w:space="0"/>
                    <w:right w:val="single" w:color="auto" w:sz="4" w:space="0"/>
                  </w:tcBorders>
                  <w:shd w:val="clear" w:color="auto" w:fill="FFFFFF"/>
                  <w:vAlign w:val="center"/>
                </w:tcPr>
                <w:p>
                  <w:pPr>
                    <w:pStyle w:val="21"/>
                    <w:spacing w:after="0" w:line="240" w:lineRule="auto"/>
                    <w:ind w:firstLine="0" w:firstLineChars="0"/>
                    <w:jc w:val="center"/>
                    <w:rPr>
                      <w:rFonts w:hint="eastAsia" w:ascii="仿宋" w:hAnsi="仿宋" w:eastAsia="仿宋" w:cs="仿宋"/>
                      <w:b w:val="0"/>
                      <w:bCs w:val="0"/>
                      <w:color w:val="000000" w:themeColor="text1"/>
                      <w:kern w:val="2"/>
                      <w:sz w:val="18"/>
                      <w:szCs w:val="18"/>
                      <w:highlight w:val="none"/>
                      <w:u w:val="none"/>
                      <w:shd w:val="clear" w:color="auto" w:fill="auto"/>
                      <w:lang w:val="en-US" w:eastAsia="zh-CN" w:bidi="zh-TW"/>
                      <w14:textFill>
                        <w14:solidFill>
                          <w14:schemeClr w14:val="tx1"/>
                        </w14:solidFill>
                      </w14:textFill>
                    </w:rPr>
                  </w:pPr>
                  <w:r>
                    <w:rPr>
                      <w:rFonts w:hint="eastAsia" w:ascii="仿宋" w:hAnsi="仿宋" w:eastAsia="仿宋" w:cs="仿宋"/>
                      <w:b w:val="0"/>
                      <w:bCs w:val="0"/>
                      <w:color w:val="000000" w:themeColor="text1"/>
                      <w:sz w:val="18"/>
                      <w:szCs w:val="18"/>
                      <w:highlight w:val="none"/>
                      <w:lang w:val="en-US" w:eastAsia="zh-CN" w:bidi="en-US"/>
                      <w14:textFill>
                        <w14:solidFill>
                          <w14:schemeClr w14:val="tx1"/>
                        </w14:solidFill>
                      </w14:textFill>
                    </w:rPr>
                    <w:t>≥-</w:t>
                  </w:r>
                  <w:r>
                    <w:rPr>
                      <w:rFonts w:hint="eastAsia" w:ascii="仿宋" w:hAnsi="仿宋" w:eastAsia="仿宋" w:cs="仿宋"/>
                      <w:b w:val="0"/>
                      <w:bCs w:val="0"/>
                      <w:color w:val="000000" w:themeColor="text1"/>
                      <w:sz w:val="18"/>
                      <w:szCs w:val="18"/>
                      <w:highlight w:val="none"/>
                      <w14:textFill>
                        <w14:solidFill>
                          <w14:schemeClr w14:val="tx1"/>
                        </w14:solidFill>
                      </w14:textFill>
                    </w:rPr>
                    <w:t>2</w:t>
                  </w:r>
                </w:p>
              </w:tc>
            </w:tr>
            <w:tr>
              <w:tblPrEx>
                <w:tblCellMar>
                  <w:top w:w="0" w:type="dxa"/>
                  <w:left w:w="10" w:type="dxa"/>
                  <w:bottom w:w="0" w:type="dxa"/>
                  <w:right w:w="10" w:type="dxa"/>
                </w:tblCellMar>
              </w:tblPrEx>
              <w:trPr>
                <w:trHeight w:val="288" w:hRule="exact"/>
                <w:jc w:val="center"/>
              </w:trPr>
              <w:tc>
                <w:tcPr>
                  <w:tcW w:w="1051" w:type="dxa"/>
                  <w:tcBorders>
                    <w:top w:val="single" w:color="auto" w:sz="4" w:space="0"/>
                    <w:left w:val="single" w:color="auto" w:sz="4" w:space="0"/>
                    <w:bottom w:val="single" w:color="auto" w:sz="4" w:space="0"/>
                  </w:tcBorders>
                  <w:shd w:val="clear" w:color="auto" w:fill="FFFFFF"/>
                  <w:vAlign w:val="center"/>
                </w:tcPr>
                <w:p>
                  <w:pPr>
                    <w:pStyle w:val="21"/>
                    <w:spacing w:after="0" w:line="240" w:lineRule="auto"/>
                    <w:ind w:firstLine="0"/>
                    <w:jc w:val="center"/>
                    <w:rPr>
                      <w:rFonts w:hint="eastAsia" w:ascii="仿宋" w:hAnsi="仿宋" w:eastAsia="仿宋" w:cs="仿宋"/>
                      <w:b w:val="0"/>
                      <w:bCs w:val="0"/>
                      <w:color w:val="000000" w:themeColor="text1"/>
                      <w:sz w:val="18"/>
                      <w:szCs w:val="18"/>
                      <w:highlight w:val="none"/>
                      <w:lang w:val="en-US" w:eastAsia="zh-CN"/>
                      <w14:textFill>
                        <w14:solidFill>
                          <w14:schemeClr w14:val="tx1"/>
                        </w14:solidFill>
                      </w14:textFill>
                    </w:rPr>
                  </w:pPr>
                  <w:r>
                    <w:rPr>
                      <w:rFonts w:hint="eastAsia" w:ascii="仿宋" w:hAnsi="仿宋" w:eastAsia="仿宋" w:cs="仿宋"/>
                      <w:b w:val="0"/>
                      <w:bCs w:val="0"/>
                      <w:color w:val="000000" w:themeColor="text1"/>
                      <w:sz w:val="18"/>
                      <w:szCs w:val="18"/>
                      <w:highlight w:val="none"/>
                      <w:lang w:val="en-US" w:eastAsia="zh-CN"/>
                      <w14:textFill>
                        <w14:solidFill>
                          <w14:schemeClr w14:val="tx1"/>
                        </w14:solidFill>
                      </w14:textFill>
                    </w:rPr>
                    <w:t>-5</w:t>
                  </w:r>
                </w:p>
              </w:tc>
              <w:tc>
                <w:tcPr>
                  <w:tcW w:w="109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240" w:lineRule="auto"/>
                    <w:ind w:firstLine="0"/>
                    <w:jc w:val="center"/>
                    <w:rPr>
                      <w:rFonts w:hint="eastAsia" w:ascii="仿宋" w:hAnsi="仿宋" w:eastAsia="仿宋" w:cs="仿宋"/>
                      <w:b w:val="0"/>
                      <w:bCs w:val="0"/>
                      <w:color w:val="000000" w:themeColor="text1"/>
                      <w:sz w:val="18"/>
                      <w:szCs w:val="18"/>
                      <w:highlight w:val="none"/>
                      <w14:textFill>
                        <w14:solidFill>
                          <w14:schemeClr w14:val="tx1"/>
                        </w14:solidFill>
                      </w14:textFill>
                    </w:rPr>
                  </w:pPr>
                  <w:r>
                    <w:rPr>
                      <w:rFonts w:hint="eastAsia" w:ascii="仿宋" w:hAnsi="仿宋" w:eastAsia="仿宋" w:cs="仿宋"/>
                      <w:b w:val="0"/>
                      <w:bCs w:val="0"/>
                      <w:color w:val="000000" w:themeColor="text1"/>
                      <w:sz w:val="18"/>
                      <w:szCs w:val="18"/>
                      <w:highlight w:val="none"/>
                      <w:lang w:val="en-US" w:eastAsia="zh-CN" w:bidi="en-US"/>
                      <w14:textFill>
                        <w14:solidFill>
                          <w14:schemeClr w14:val="tx1"/>
                        </w14:solidFill>
                      </w14:textFill>
                    </w:rPr>
                    <w:t>-</w:t>
                  </w:r>
                  <w:r>
                    <w:rPr>
                      <w:rFonts w:hint="eastAsia" w:ascii="仿宋" w:hAnsi="仿宋" w:eastAsia="仿宋" w:cs="仿宋"/>
                      <w:b w:val="0"/>
                      <w:bCs w:val="0"/>
                      <w:color w:val="000000" w:themeColor="text1"/>
                      <w:sz w:val="18"/>
                      <w:szCs w:val="18"/>
                      <w:highlight w:val="none"/>
                      <w:lang w:val="en-US" w:eastAsia="en-US" w:bidi="en-US"/>
                      <w14:textFill>
                        <w14:solidFill>
                          <w14:schemeClr w14:val="tx1"/>
                        </w14:solidFill>
                      </w14:textFill>
                    </w:rPr>
                    <w:t>10</w:t>
                  </w:r>
                </w:p>
              </w:tc>
              <w:tc>
                <w:tcPr>
                  <w:tcW w:w="1044" w:type="dxa"/>
                  <w:tcBorders>
                    <w:top w:val="single" w:color="auto" w:sz="4" w:space="0"/>
                    <w:left w:val="single" w:color="auto" w:sz="4" w:space="0"/>
                    <w:bottom w:val="single" w:color="auto" w:sz="4" w:space="0"/>
                  </w:tcBorders>
                  <w:shd w:val="clear" w:color="auto" w:fill="FFFFFF"/>
                  <w:vAlign w:val="center"/>
                </w:tcPr>
                <w:p>
                  <w:pPr>
                    <w:spacing w:line="240" w:lineRule="auto"/>
                    <w:jc w:val="center"/>
                    <w:rPr>
                      <w:rFonts w:hint="eastAsia" w:ascii="仿宋" w:hAnsi="仿宋" w:eastAsia="仿宋" w:cs="仿宋"/>
                      <w:b w:val="0"/>
                      <w:bCs w:val="0"/>
                      <w:color w:val="000000" w:themeColor="text1"/>
                      <w:sz w:val="18"/>
                      <w:szCs w:val="18"/>
                      <w:highlight w:val="none"/>
                      <w:lang w:val="en-US" w:eastAsia="zh-CN" w:bidi="en-US"/>
                      <w14:textFill>
                        <w14:solidFill>
                          <w14:schemeClr w14:val="tx1"/>
                        </w14:solidFill>
                      </w14:textFill>
                    </w:rPr>
                  </w:pPr>
                  <w:r>
                    <w:rPr>
                      <w:rFonts w:hint="eastAsia" w:ascii="仿宋" w:hAnsi="仿宋" w:eastAsia="仿宋" w:cs="仿宋"/>
                      <w:b w:val="0"/>
                      <w:bCs w:val="0"/>
                      <w:color w:val="000000" w:themeColor="text1"/>
                      <w:sz w:val="18"/>
                      <w:szCs w:val="18"/>
                      <w:highlight w:val="none"/>
                      <w:lang w:bidi="en-US"/>
                      <w14:textFill>
                        <w14:solidFill>
                          <w14:schemeClr w14:val="tx1"/>
                        </w14:solidFill>
                      </w14:textFill>
                    </w:rPr>
                    <w:t>-</w:t>
                  </w:r>
                  <w:r>
                    <w:rPr>
                      <w:rFonts w:hint="eastAsia" w:ascii="仿宋" w:hAnsi="仿宋" w:eastAsia="仿宋" w:cs="仿宋"/>
                      <w:b w:val="0"/>
                      <w:bCs w:val="0"/>
                      <w:color w:val="000000" w:themeColor="text1"/>
                      <w:sz w:val="18"/>
                      <w:szCs w:val="18"/>
                      <w:highlight w:val="none"/>
                      <w:lang w:val="en-US" w:eastAsia="zh-CN"/>
                      <w14:textFill>
                        <w14:solidFill>
                          <w14:schemeClr w14:val="tx1"/>
                        </w14:solidFill>
                      </w14:textFill>
                    </w:rPr>
                    <w:t>5</w:t>
                  </w:r>
                </w:p>
              </w:tc>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center"/>
                    <w:rPr>
                      <w:rFonts w:hint="eastAsia" w:ascii="仿宋" w:hAnsi="仿宋" w:eastAsia="仿宋" w:cs="仿宋"/>
                      <w:b w:val="0"/>
                      <w:bCs w:val="0"/>
                      <w:color w:val="000000" w:themeColor="text1"/>
                      <w:sz w:val="18"/>
                      <w:szCs w:val="18"/>
                      <w:highlight w:val="none"/>
                      <w14:textFill>
                        <w14:solidFill>
                          <w14:schemeClr w14:val="tx1"/>
                        </w14:solidFill>
                      </w14:textFill>
                    </w:rPr>
                  </w:pPr>
                  <w:r>
                    <w:rPr>
                      <w:rFonts w:hint="eastAsia" w:ascii="仿宋" w:hAnsi="仿宋" w:eastAsia="仿宋" w:cs="仿宋"/>
                      <w:b w:val="0"/>
                      <w:bCs w:val="0"/>
                      <w:color w:val="000000" w:themeColor="text1"/>
                      <w:sz w:val="18"/>
                      <w:szCs w:val="18"/>
                      <w:highlight w:val="none"/>
                      <w:lang w:bidi="en-US"/>
                      <w14:textFill>
                        <w14:solidFill>
                          <w14:schemeClr w14:val="tx1"/>
                        </w14:solidFill>
                      </w14:textFill>
                    </w:rPr>
                    <w:t>-</w:t>
                  </w:r>
                  <w:r>
                    <w:rPr>
                      <w:rFonts w:hint="eastAsia" w:ascii="仿宋" w:hAnsi="仿宋" w:eastAsia="仿宋" w:cs="仿宋"/>
                      <w:b w:val="0"/>
                      <w:bCs w:val="0"/>
                      <w:color w:val="000000" w:themeColor="text1"/>
                      <w:sz w:val="18"/>
                      <w:szCs w:val="18"/>
                      <w:highlight w:val="none"/>
                      <w14:textFill>
                        <w14:solidFill>
                          <w14:schemeClr w14:val="tx1"/>
                        </w14:solidFill>
                      </w14:textFill>
                    </w:rPr>
                    <w:t>3</w:t>
                  </w:r>
                </w:p>
              </w:tc>
              <w:tc>
                <w:tcPr>
                  <w:tcW w:w="133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center"/>
                    <w:rPr>
                      <w:rFonts w:hint="eastAsia" w:ascii="仿宋" w:hAnsi="仿宋" w:eastAsia="仿宋" w:cs="仿宋"/>
                      <w:b w:val="0"/>
                      <w:bCs w:val="0"/>
                      <w:color w:val="000000" w:themeColor="text1"/>
                      <w:sz w:val="18"/>
                      <w:szCs w:val="18"/>
                      <w:highlight w:val="none"/>
                      <w14:textFill>
                        <w14:solidFill>
                          <w14:schemeClr w14:val="tx1"/>
                        </w14:solidFill>
                      </w14:textFill>
                    </w:rPr>
                  </w:pPr>
                  <w:r>
                    <w:rPr>
                      <w:rFonts w:hint="eastAsia" w:ascii="仿宋" w:hAnsi="仿宋" w:eastAsia="仿宋" w:cs="仿宋"/>
                      <w:b w:val="0"/>
                      <w:bCs w:val="0"/>
                      <w:color w:val="000000" w:themeColor="text1"/>
                      <w:sz w:val="18"/>
                      <w:szCs w:val="18"/>
                      <w:highlight w:val="none"/>
                      <w14:textFill>
                        <w14:solidFill>
                          <w14:schemeClr w14:val="tx1"/>
                        </w14:solidFill>
                      </w14:textFill>
                    </w:rPr>
                    <w:t>-3</w:t>
                  </w:r>
                </w:p>
              </w:tc>
              <w:tc>
                <w:tcPr>
                  <w:tcW w:w="1291" w:type="dxa"/>
                  <w:vMerge w:val="continue"/>
                  <w:tcBorders>
                    <w:left w:val="single" w:color="auto" w:sz="4" w:space="0"/>
                    <w:bottom w:val="single" w:color="auto" w:sz="4" w:space="0"/>
                    <w:right w:val="single" w:color="auto" w:sz="4" w:space="0"/>
                  </w:tcBorders>
                  <w:shd w:val="clear" w:color="auto" w:fill="FFFFFF"/>
                  <w:vAlign w:val="center"/>
                </w:tcPr>
                <w:p>
                  <w:pPr>
                    <w:spacing w:line="240" w:lineRule="auto"/>
                    <w:jc w:val="center"/>
                    <w:rPr>
                      <w:rFonts w:hint="eastAsia" w:ascii="仿宋" w:hAnsi="仿宋" w:eastAsia="仿宋" w:cs="仿宋"/>
                      <w:b w:val="0"/>
                      <w:bCs w:val="0"/>
                      <w:color w:val="000000" w:themeColor="text1"/>
                      <w:sz w:val="18"/>
                      <w:szCs w:val="18"/>
                      <w:highlight w:val="none"/>
                      <w14:textFill>
                        <w14:solidFill>
                          <w14:schemeClr w14:val="tx1"/>
                        </w14:solidFill>
                      </w14:textFill>
                    </w:rPr>
                  </w:pPr>
                </w:p>
              </w:tc>
              <w:tc>
                <w:tcPr>
                  <w:tcW w:w="1164" w:type="dxa"/>
                  <w:vMerge w:val="continue"/>
                  <w:tcBorders>
                    <w:left w:val="single" w:color="auto" w:sz="4" w:space="0"/>
                    <w:bottom w:val="single" w:color="auto" w:sz="4" w:space="0"/>
                    <w:right w:val="single" w:color="auto" w:sz="4" w:space="0"/>
                  </w:tcBorders>
                  <w:shd w:val="clear" w:color="auto" w:fill="FFFFFF"/>
                  <w:vAlign w:val="center"/>
                </w:tcPr>
                <w:p>
                  <w:pPr>
                    <w:spacing w:line="240" w:lineRule="auto"/>
                    <w:jc w:val="center"/>
                    <w:rPr>
                      <w:rFonts w:hint="eastAsia" w:ascii="仿宋" w:hAnsi="仿宋" w:eastAsia="仿宋" w:cs="仿宋"/>
                      <w:b w:val="0"/>
                      <w:bCs w:val="0"/>
                      <w:color w:val="000000" w:themeColor="text1"/>
                      <w:sz w:val="18"/>
                      <w:szCs w:val="18"/>
                      <w:highlight w:val="none"/>
                      <w14:textFill>
                        <w14:solidFill>
                          <w14:schemeClr w14:val="tx1"/>
                        </w14:solidFill>
                      </w14:textFill>
                    </w:rPr>
                  </w:pPr>
                </w:p>
              </w:tc>
            </w:tr>
          </w:tbl>
          <w:p>
            <w:pPr>
              <w:numPr>
                <w:ilvl w:val="0"/>
                <w:numId w:val="0"/>
              </w:numPr>
              <w:spacing w:line="240" w:lineRule="auto"/>
              <w:jc w:val="both"/>
              <w:rPr>
                <w:rFonts w:hint="default" w:ascii="仿宋" w:hAnsi="仿宋" w:eastAsia="仿宋" w:cs="仿宋"/>
                <w:color w:val="000000" w:themeColor="text1"/>
                <w:sz w:val="18"/>
                <w:szCs w:val="18"/>
                <w:highlight w:val="none"/>
                <w:lang w:val="en-US" w:eastAsia="zh-CN"/>
                <w14:textFill>
                  <w14:solidFill>
                    <w14:schemeClr w14:val="tx1"/>
                  </w14:solidFill>
                </w14:textFill>
              </w:rPr>
            </w:pPr>
          </w:p>
          <w:p>
            <w:pPr>
              <w:numPr>
                <w:ilvl w:val="0"/>
                <w:numId w:val="0"/>
              </w:numPr>
              <w:spacing w:line="240" w:lineRule="auto"/>
              <w:jc w:val="both"/>
              <w:rPr>
                <w:rFonts w:hint="default" w:ascii="仿宋" w:hAnsi="仿宋" w:eastAsia="仿宋" w:cs="仿宋"/>
                <w:color w:val="000000" w:themeColor="text1"/>
                <w:sz w:val="18"/>
                <w:szCs w:val="18"/>
                <w:highlight w:val="none"/>
                <w:lang w:val="en-US" w:eastAsia="zh-CN"/>
                <w14:textFill>
                  <w14:solidFill>
                    <w14:schemeClr w14:val="tx1"/>
                  </w14:solidFill>
                </w14:textFill>
              </w:rPr>
            </w:pPr>
          </w:p>
          <w:p>
            <w:pPr>
              <w:numPr>
                <w:ilvl w:val="0"/>
                <w:numId w:val="0"/>
              </w:numPr>
              <w:spacing w:line="240" w:lineRule="auto"/>
              <w:jc w:val="both"/>
              <w:rPr>
                <w:rFonts w:hint="default" w:ascii="仿宋" w:hAnsi="仿宋" w:eastAsia="仿宋" w:cs="仿宋"/>
                <w:color w:val="000000" w:themeColor="text1"/>
                <w:sz w:val="18"/>
                <w:szCs w:val="18"/>
                <w:highlight w:val="none"/>
                <w:lang w:val="en-US" w:eastAsia="zh-CN"/>
                <w14:textFill>
                  <w14:solidFill>
                    <w14:schemeClr w14:val="tx1"/>
                  </w14:solidFill>
                </w14:textFill>
              </w:rPr>
            </w:pPr>
          </w:p>
          <w:p>
            <w:pPr>
              <w:numPr>
                <w:ilvl w:val="0"/>
                <w:numId w:val="0"/>
              </w:numPr>
              <w:spacing w:line="240" w:lineRule="auto"/>
              <w:jc w:val="both"/>
              <w:rPr>
                <w:rFonts w:hint="default" w:ascii="仿宋" w:hAnsi="仿宋" w:eastAsia="仿宋" w:cs="仿宋"/>
                <w:color w:val="000000" w:themeColor="text1"/>
                <w:sz w:val="18"/>
                <w:szCs w:val="18"/>
                <w:highlight w:val="none"/>
                <w:lang w:val="en-US" w:eastAsia="zh-CN"/>
                <w14:textFill>
                  <w14:solidFill>
                    <w14:schemeClr w14:val="tx1"/>
                  </w14:solidFill>
                </w14:textFill>
              </w:rPr>
            </w:pPr>
          </w:p>
          <w:p>
            <w:pPr>
              <w:numPr>
                <w:ilvl w:val="0"/>
                <w:numId w:val="0"/>
              </w:numPr>
              <w:spacing w:line="240" w:lineRule="auto"/>
              <w:jc w:val="both"/>
              <w:rPr>
                <w:rFonts w:hint="default" w:ascii="仿宋" w:hAnsi="仿宋" w:eastAsia="仿宋" w:cs="仿宋"/>
                <w:color w:val="000000" w:themeColor="text1"/>
                <w:sz w:val="18"/>
                <w:szCs w:val="18"/>
                <w:highlight w:val="none"/>
                <w:lang w:val="en-US" w:eastAsia="zh-CN"/>
                <w14:textFill>
                  <w14:solidFill>
                    <w14:schemeClr w14:val="tx1"/>
                  </w14:solidFill>
                </w14:textFill>
              </w:rPr>
            </w:pPr>
          </w:p>
          <w:p>
            <w:pPr>
              <w:numPr>
                <w:ilvl w:val="0"/>
                <w:numId w:val="0"/>
              </w:numPr>
              <w:spacing w:line="240" w:lineRule="auto"/>
              <w:jc w:val="both"/>
              <w:rPr>
                <w:rFonts w:hint="default" w:ascii="仿宋" w:hAnsi="仿宋" w:eastAsia="仿宋" w:cs="仿宋"/>
                <w:color w:val="000000" w:themeColor="text1"/>
                <w:sz w:val="18"/>
                <w:szCs w:val="18"/>
                <w:highlight w:val="none"/>
                <w:lang w:val="en-US" w:eastAsia="zh-CN"/>
                <w14:textFill>
                  <w14:solidFill>
                    <w14:schemeClr w14:val="tx1"/>
                  </w14:solidFill>
                </w14:textFill>
              </w:rPr>
            </w:pPr>
          </w:p>
          <w:p>
            <w:pPr>
              <w:spacing w:line="360" w:lineRule="auto"/>
              <w:rPr>
                <w:rFonts w:hint="eastAsia"/>
                <w:color w:val="00B050"/>
                <w:szCs w:val="21"/>
                <w:highlight w:val="none"/>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4）施工安装</w:t>
            </w:r>
          </w:p>
          <w:p>
            <w:pPr>
              <w:numPr>
                <w:ilvl w:val="0"/>
                <w:numId w:val="0"/>
              </w:numPr>
              <w:ind w:leftChars="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 xml:space="preserve">8.4.1 </w:t>
            </w:r>
            <w:r>
              <w:rPr>
                <w:rFonts w:hint="eastAsia" w:ascii="仿宋" w:hAnsi="仿宋" w:eastAsia="仿宋" w:cs="仿宋"/>
                <w:color w:val="000000" w:themeColor="text1"/>
                <w:szCs w:val="21"/>
                <w:highlight w:val="none"/>
                <w14:textFill>
                  <w14:solidFill>
                    <w14:schemeClr w14:val="tx1"/>
                  </w14:solidFill>
                </w14:textFill>
              </w:rPr>
              <w:t>预制检查井施工</w:t>
            </w:r>
            <w:r>
              <w:rPr>
                <w:rFonts w:hint="eastAsia" w:ascii="仿宋" w:hAnsi="仿宋" w:eastAsia="仿宋" w:cs="仿宋"/>
                <w:color w:val="000000" w:themeColor="text1"/>
                <w:szCs w:val="21"/>
                <w:highlight w:val="none"/>
                <w:lang w:val="en-US" w:eastAsia="zh-CN"/>
                <w14:textFill>
                  <w14:solidFill>
                    <w14:schemeClr w14:val="tx1"/>
                  </w14:solidFill>
                </w14:textFill>
              </w:rPr>
              <w:t>工序应符合相关</w:t>
            </w:r>
            <w:r>
              <w:rPr>
                <w:rFonts w:hint="eastAsia" w:ascii="仿宋" w:hAnsi="仿宋" w:eastAsia="仿宋" w:cs="仿宋"/>
                <w:color w:val="000000" w:themeColor="text1"/>
                <w:szCs w:val="21"/>
                <w:highlight w:val="none"/>
                <w14:textFill>
                  <w14:solidFill>
                    <w14:schemeClr w14:val="tx1"/>
                  </w14:solidFill>
                </w14:textFill>
              </w:rPr>
              <w:t>流程</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图8.4.1</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w:t>
            </w:r>
          </w:p>
          <w:p>
            <w:pPr>
              <w:numPr>
                <w:ilvl w:val="0"/>
                <w:numId w:val="0"/>
              </w:numPr>
              <w:ind w:leftChars="0"/>
              <w:rPr>
                <w:rFonts w:hint="eastAsia" w:ascii="仿宋" w:hAnsi="仿宋" w:eastAsia="仿宋" w:cs="仿宋"/>
                <w:color w:val="000000" w:themeColor="text1"/>
                <w:szCs w:val="21"/>
                <w:highlight w:val="none"/>
                <w:lang w:val="en-US" w:eastAsia="zh-CN"/>
                <w14:textFill>
                  <w14:solidFill>
                    <w14:schemeClr w14:val="tx1"/>
                  </w14:solidFill>
                </w14:textFill>
              </w:rPr>
            </w:pPr>
          </w:p>
          <w:p>
            <w:pPr>
              <w:numPr>
                <w:ilvl w:val="0"/>
                <w:numId w:val="0"/>
              </w:numPr>
              <w:ind w:leftChars="0"/>
              <w:rPr>
                <w:rFonts w:hint="eastAsia" w:ascii="仿宋" w:hAnsi="仿宋" w:eastAsia="仿宋" w:cs="仿宋"/>
                <w:color w:val="000000" w:themeColor="text1"/>
                <w:szCs w:val="21"/>
                <w:highlight w:val="none"/>
                <w:lang w:val="en-US" w:eastAsia="zh-CN"/>
                <w14:textFill>
                  <w14:solidFill>
                    <w14:schemeClr w14:val="tx1"/>
                  </w14:solidFill>
                </w14:textFill>
              </w:rPr>
            </w:pPr>
          </w:p>
          <w:p>
            <w:pPr>
              <w:numPr>
                <w:ilvl w:val="0"/>
                <w:numId w:val="0"/>
              </w:numPr>
              <w:ind w:leftChars="0"/>
              <w:rPr>
                <w:rFonts w:hint="eastAsia" w:ascii="仿宋" w:hAnsi="仿宋" w:eastAsia="仿宋" w:cs="仿宋"/>
                <w:color w:val="000000" w:themeColor="text1"/>
                <w:szCs w:val="21"/>
                <w:highlight w:val="none"/>
                <w:lang w:val="en-US" w:eastAsia="zh-CN"/>
                <w14:textFill>
                  <w14:solidFill>
                    <w14:schemeClr w14:val="tx1"/>
                  </w14:solidFill>
                </w14:textFill>
              </w:rPr>
            </w:pPr>
          </w:p>
          <w:p>
            <w:pPr>
              <w:numPr>
                <w:ilvl w:val="0"/>
                <w:numId w:val="0"/>
              </w:numPr>
              <w:ind w:leftChars="0"/>
              <w:rPr>
                <w:rFonts w:hint="eastAsia" w:ascii="仿宋" w:hAnsi="仿宋" w:eastAsia="仿宋" w:cs="仿宋"/>
                <w:color w:val="000000" w:themeColor="text1"/>
                <w:szCs w:val="21"/>
                <w:highlight w:val="none"/>
                <w:lang w:val="en-US" w:eastAsia="zh-CN"/>
                <w14:textFill>
                  <w14:solidFill>
                    <w14:schemeClr w14:val="tx1"/>
                  </w14:solidFill>
                </w14:textFill>
              </w:rPr>
            </w:pPr>
          </w:p>
          <w:p>
            <w:pPr>
              <w:numPr>
                <w:ilvl w:val="0"/>
                <w:numId w:val="0"/>
              </w:numPr>
              <w:ind w:leftChars="0"/>
              <w:rPr>
                <w:rFonts w:hint="eastAsia"/>
                <w:color w:val="00B050"/>
                <w:sz w:val="18"/>
                <w:szCs w:val="18"/>
                <w:highlight w:val="none"/>
              </w:rPr>
            </w:pPr>
          </w:p>
          <w:p>
            <w:pPr>
              <w:numPr>
                <w:ilvl w:val="0"/>
                <w:numId w:val="0"/>
              </w:numPr>
              <w:ind w:leftChars="0"/>
              <w:rPr>
                <w:rFonts w:hint="eastAsia"/>
                <w:color w:val="00B050"/>
                <w:szCs w:val="21"/>
                <w:highlight w:val="none"/>
              </w:rPr>
            </w:pPr>
          </w:p>
          <w:p>
            <w:pPr>
              <w:jc w:val="center"/>
              <w:rPr>
                <w:rFonts w:hint="eastAsia"/>
                <w:color w:val="00B050"/>
                <w:highlight w:val="none"/>
              </w:rPr>
            </w:pPr>
            <w:r>
              <w:rPr>
                <w:color w:val="00B050"/>
              </w:rPr>
              <w:drawing>
                <wp:anchor distT="0" distB="0" distL="114300" distR="114300" simplePos="0" relativeHeight="251666432" behindDoc="0" locked="0" layoutInCell="1" allowOverlap="1">
                  <wp:simplePos x="0" y="0"/>
                  <wp:positionH relativeFrom="column">
                    <wp:posOffset>1398270</wp:posOffset>
                  </wp:positionH>
                  <wp:positionV relativeFrom="paragraph">
                    <wp:posOffset>-1397000</wp:posOffset>
                  </wp:positionV>
                  <wp:extent cx="3139440" cy="1583690"/>
                  <wp:effectExtent l="0" t="0" r="3810" b="16510"/>
                  <wp:wrapSquare wrapText="bothSides"/>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pic:cNvPicPr>
                        </pic:nvPicPr>
                        <pic:blipFill>
                          <a:blip r:embed="rId18"/>
                          <a:stretch>
                            <a:fillRect/>
                          </a:stretch>
                        </pic:blipFill>
                        <pic:spPr>
                          <a:xfrm>
                            <a:off x="0" y="0"/>
                            <a:ext cx="3139440" cy="1583690"/>
                          </a:xfrm>
                          <a:prstGeom prst="rect">
                            <a:avLst/>
                          </a:prstGeom>
                          <a:noFill/>
                          <a:ln>
                            <a:noFill/>
                          </a:ln>
                        </pic:spPr>
                      </pic:pic>
                    </a:graphicData>
                  </a:graphic>
                </wp:anchor>
              </w:drawing>
            </w:r>
          </w:p>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图8.4.1 预制检查井施工流程图</w:t>
            </w:r>
          </w:p>
          <w:p>
            <w:pPr>
              <w:numPr>
                <w:ilvl w:val="0"/>
                <w:numId w:val="0"/>
              </w:numPr>
              <w:ind w:leftChars="0"/>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8.4.</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 xml:space="preserve">7 </w:t>
            </w:r>
            <w:r>
              <w:rPr>
                <w:rFonts w:hint="eastAsia" w:ascii="仿宋" w:hAnsi="仿宋" w:eastAsia="仿宋" w:cs="仿宋"/>
                <w:b w:val="0"/>
                <w:bCs w:val="0"/>
                <w:color w:val="000000" w:themeColor="text1"/>
                <w:sz w:val="21"/>
                <w:szCs w:val="21"/>
                <w:highlight w:val="none"/>
                <w14:textFill>
                  <w14:solidFill>
                    <w14:schemeClr w14:val="tx1"/>
                  </w14:solidFill>
                </w14:textFill>
              </w:rPr>
              <w:t>预制检查井周围土体回填应符合下列要求：</w:t>
            </w:r>
          </w:p>
          <w:p>
            <w:pPr>
              <w:ind w:firstLine="420" w:firstLineChars="200"/>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  基坑回填应在检查井装配施工完毕、闭水检验合格及接口材料强度达到设计要求后实施。</w:t>
            </w:r>
          </w:p>
          <w:p>
            <w:pPr>
              <w:ind w:firstLine="420" w:firstLineChars="200"/>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2  预制</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检查井</w:t>
            </w:r>
            <w:r>
              <w:rPr>
                <w:rFonts w:hint="eastAsia" w:ascii="仿宋" w:hAnsi="仿宋" w:eastAsia="仿宋" w:cs="仿宋"/>
                <w:b w:val="0"/>
                <w:bCs w:val="0"/>
                <w:color w:val="000000" w:themeColor="text1"/>
                <w:sz w:val="21"/>
                <w:szCs w:val="21"/>
                <w:highlight w:val="none"/>
                <w14:textFill>
                  <w14:solidFill>
                    <w14:schemeClr w14:val="tx1"/>
                  </w14:solidFill>
                </w14:textFill>
              </w:rPr>
              <w:t>井周回填土</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材料和</w:t>
            </w:r>
            <w:r>
              <w:rPr>
                <w:rFonts w:hint="eastAsia" w:ascii="仿宋" w:hAnsi="仿宋" w:eastAsia="仿宋" w:cs="仿宋"/>
                <w:b w:val="0"/>
                <w:bCs w:val="0"/>
                <w:color w:val="000000" w:themeColor="text1"/>
                <w:sz w:val="21"/>
                <w:szCs w:val="21"/>
                <w:highlight w:val="none"/>
                <w14:textFill>
                  <w14:solidFill>
                    <w14:schemeClr w14:val="tx1"/>
                  </w14:solidFill>
                </w14:textFill>
              </w:rPr>
              <w:t>压实系数应符合设计要求。回填土不得采用淤泥、石块、砖及其他带有棱角的杂硬物体。严禁使用推土机、挖掘机或自卸汽车将回填料直接导入井室周边。严禁采用重型机械进行回填土压实。</w:t>
            </w:r>
          </w:p>
          <w:p>
            <w:pPr>
              <w:ind w:firstLine="420" w:firstLineChars="200"/>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3 井周回填土压实应沿井室中心对称进行且不得漏夯。每层回填松铺厚度不应大于0.15m；两侧压实面高差不应大于0.3m；回填土应保持在最优含水量状态下用冲击夯夯实直至成型，并确保回填土压实后与井壁紧贴。</w:t>
            </w:r>
          </w:p>
          <w:p>
            <w:pPr>
              <w:ind w:firstLine="420" w:firstLineChars="200"/>
              <w:rPr>
                <w:rFonts w:hint="eastAsia" w:ascii="仿宋" w:hAnsi="仿宋" w:eastAsia="仿宋" w:cs="仿宋"/>
                <w:b w:val="0"/>
                <w:bCs w:val="0"/>
                <w:color w:val="000000" w:themeColor="text1"/>
                <w:sz w:val="21"/>
                <w:szCs w:val="21"/>
                <w:highlight w:val="none"/>
                <w14:textFill>
                  <w14:solidFill>
                    <w14:schemeClr w14:val="tx1"/>
                  </w14:solidFill>
                </w14:textFill>
              </w:rPr>
            </w:pPr>
          </w:p>
          <w:p>
            <w:pPr>
              <w:numPr>
                <w:ilvl w:val="0"/>
                <w:numId w:val="0"/>
              </w:numPr>
              <w:ind w:leftChars="0"/>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8.4.11</w:t>
            </w:r>
            <w:r>
              <w:rPr>
                <w:rFonts w:hint="eastAsia" w:ascii="仿宋" w:hAnsi="仿宋" w:eastAsia="仿宋" w:cs="仿宋"/>
                <w:b w:val="0"/>
                <w:bCs w:val="0"/>
                <w:color w:val="000000" w:themeColor="text1"/>
                <w:szCs w:val="21"/>
                <w:highlight w:val="none"/>
                <w14:textFill>
                  <w14:solidFill>
                    <w14:schemeClr w14:val="tx1"/>
                  </w14:solidFill>
                </w14:textFill>
              </w:rPr>
              <w:t>井座（盖）安装施工应满足下列要求：</w:t>
            </w:r>
          </w:p>
          <w:p>
            <w:pP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 xml:space="preserve">   1  未加井盖前应作好安全标识并采取防护措施，以防意外发生。</w:t>
            </w:r>
          </w:p>
          <w:p>
            <w:pPr>
              <w:rPr>
                <w:rFonts w:hint="eastAsia" w:ascii="仿宋" w:hAnsi="仿宋" w:eastAsia="仿宋" w:cs="仿宋"/>
                <w:b w:val="0"/>
                <w:bCs w:val="0"/>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14:textFill>
                  <w14:solidFill>
                    <w14:schemeClr w14:val="tx1"/>
                  </w14:solidFill>
                </w14:textFill>
              </w:rPr>
              <w:t xml:space="preserve">   </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2</w:t>
            </w:r>
            <w:r>
              <w:rPr>
                <w:rFonts w:hint="eastAsia" w:ascii="仿宋" w:hAnsi="仿宋" w:eastAsia="仿宋" w:cs="仿宋"/>
                <w:b w:val="0"/>
                <w:bCs w:val="0"/>
                <w:color w:val="000000" w:themeColor="text1"/>
                <w:szCs w:val="21"/>
                <w:highlight w:val="none"/>
                <w14:textFill>
                  <w14:solidFill>
                    <w14:schemeClr w14:val="tx1"/>
                  </w14:solidFill>
                </w14:textFill>
              </w:rPr>
              <w:t xml:space="preserve">  井座（盖）的安装质量控制</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应</w:t>
            </w:r>
            <w:r>
              <w:rPr>
                <w:rFonts w:hint="eastAsia" w:ascii="仿宋" w:hAnsi="仿宋" w:eastAsia="仿宋" w:cs="仿宋"/>
                <w:b w:val="0"/>
                <w:bCs w:val="0"/>
                <w:color w:val="000000" w:themeColor="text1"/>
                <w:szCs w:val="21"/>
                <w:highlight w:val="none"/>
                <w:lang w:eastAsia="zh-CN"/>
                <w14:textFill>
                  <w14:solidFill>
                    <w14:schemeClr w14:val="tx1"/>
                  </w14:solidFill>
                </w14:textFill>
              </w:rPr>
              <w:t>符合设计</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和</w:t>
            </w:r>
            <w:r>
              <w:rPr>
                <w:rFonts w:hint="eastAsia" w:ascii="仿宋" w:hAnsi="仿宋" w:eastAsia="仿宋" w:cs="仿宋"/>
                <w:b w:val="0"/>
                <w:bCs w:val="0"/>
                <w:color w:val="000000" w:themeColor="text1"/>
                <w:szCs w:val="21"/>
                <w:highlight w:val="none"/>
                <w14:textFill>
                  <w14:solidFill>
                    <w14:schemeClr w14:val="tx1"/>
                  </w14:solidFill>
                </w14:textFill>
              </w:rPr>
              <w:t>现行国家和</w:t>
            </w: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相关</w:t>
            </w:r>
            <w:r>
              <w:rPr>
                <w:rFonts w:hint="eastAsia" w:ascii="仿宋" w:hAnsi="仿宋" w:eastAsia="仿宋" w:cs="仿宋"/>
                <w:b w:val="0"/>
                <w:bCs w:val="0"/>
                <w:color w:val="000000" w:themeColor="text1"/>
                <w:szCs w:val="21"/>
                <w:highlight w:val="none"/>
                <w14:textFill>
                  <w14:solidFill>
                    <w14:schemeClr w14:val="tx1"/>
                  </w14:solidFill>
                </w14:textFill>
              </w:rPr>
              <w:t>标准</w:t>
            </w:r>
            <w:r>
              <w:rPr>
                <w:rFonts w:hint="eastAsia" w:ascii="仿宋" w:hAnsi="仿宋" w:eastAsia="仿宋" w:cs="仿宋"/>
                <w:b w:val="0"/>
                <w:bCs w:val="0"/>
                <w:color w:val="000000" w:themeColor="text1"/>
                <w:highlight w:val="none"/>
                <w:shd w:val="clear" w:color="auto" w:fill="FFFFFF"/>
                <w14:textFill>
                  <w14:solidFill>
                    <w14:schemeClr w14:val="tx1"/>
                  </w14:solidFill>
                </w14:textFill>
              </w:rPr>
              <w:t>的</w:t>
            </w:r>
            <w:r>
              <w:rPr>
                <w:rFonts w:hint="eastAsia" w:ascii="仿宋" w:hAnsi="仿宋" w:eastAsia="仿宋" w:cs="仿宋"/>
                <w:b w:val="0"/>
                <w:bCs w:val="0"/>
                <w:color w:val="000000" w:themeColor="text1"/>
                <w:szCs w:val="21"/>
                <w:highlight w:val="none"/>
                <w14:textFill>
                  <w14:solidFill>
                    <w14:schemeClr w14:val="tx1"/>
                  </w14:solidFill>
                </w14:textFill>
              </w:rPr>
              <w:t>规定。</w:t>
            </w:r>
          </w:p>
          <w:p>
            <w:pPr>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pict>
                <v:shape id="_x0000_s1030" o:spid="_x0000_s1030" o:spt="75" type="#_x0000_t75" style="position:absolute;left:0pt;margin-left:89.6pt;margin-top:29.55pt;height:162.55pt;width:257.65pt;mso-wrap-distance-bottom:0pt;mso-wrap-distance-left:9pt;mso-wrap-distance-right:9pt;mso-wrap-distance-top:0pt;z-index:251667456;mso-width-relative:page;mso-height-relative:page;" o:ole="t" filled="f" o:preferrelative="t" stroked="f" coordsize="21600,21600">
                  <v:path/>
                  <v:fill on="f" focussize="0,0"/>
                  <v:stroke on="f"/>
                  <v:imagedata r:id="rId20" cropleft="23414f" croptop="4811f" cropright="24169f" cropbottom="34902f" o:title=""/>
                  <o:lock v:ext="edit" aspectratio="t"/>
                  <w10:wrap type="square"/>
                </v:shape>
                <o:OLEObject Type="Embed" ProgID="AutoCAD.Drawing.19" ShapeID="_x0000_s1030" DrawAspect="Content" ObjectID="_1468075729" r:id="rId19">
                  <o:LockedField>false</o:LockedField>
                </o:OLEObject>
              </w:pict>
            </w:r>
            <w:r>
              <w:rPr>
                <w:rFonts w:hint="eastAsia" w:ascii="仿宋" w:hAnsi="仿宋" w:eastAsia="仿宋" w:cs="仿宋"/>
                <w:b w:val="0"/>
                <w:bCs w:val="0"/>
                <w:color w:val="000000" w:themeColor="text1"/>
                <w:sz w:val="21"/>
                <w:szCs w:val="21"/>
                <w:lang w:val="en-US" w:eastAsia="zh-CN"/>
                <w14:textFill>
                  <w14:solidFill>
                    <w14:schemeClr w14:val="tx1"/>
                  </w14:solidFill>
                </w14:textFill>
              </w:rPr>
              <w:t>条文说明：</w:t>
            </w:r>
            <w:r>
              <w:rPr>
                <w:rFonts w:hint="eastAsia" w:ascii="仿宋" w:hAnsi="仿宋" w:eastAsia="仿宋" w:cs="仿宋"/>
                <w:color w:val="000000" w:themeColor="text1"/>
                <w:sz w:val="21"/>
                <w:szCs w:val="21"/>
                <w:highlight w:val="none"/>
                <w14:textFill>
                  <w14:solidFill>
                    <w14:schemeClr w14:val="tx1"/>
                  </w14:solidFill>
                </w14:textFill>
              </w:rPr>
              <w:t>预制</w:t>
            </w:r>
            <w:r>
              <w:rPr>
                <w:rFonts w:hint="eastAsia" w:ascii="仿宋" w:hAnsi="仿宋" w:eastAsia="仿宋" w:cs="仿宋"/>
                <w:color w:val="000000" w:themeColor="text1"/>
                <w:sz w:val="21"/>
                <w:szCs w:val="21"/>
                <w:highlight w:val="none"/>
                <w:lang w:val="en-US" w:eastAsia="zh-CN"/>
                <w14:textFill>
                  <w14:solidFill>
                    <w14:schemeClr w14:val="tx1"/>
                  </w14:solidFill>
                </w14:textFill>
              </w:rPr>
              <w:t>检查井井盖周边土体加固应符合设计要求。设计无具体要求时井盖周边土体加固（图8.4.11）。</w:t>
            </w:r>
          </w:p>
          <w:p>
            <w:pPr>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p>
          <w:p>
            <w:pPr>
              <w:jc w:val="both"/>
              <w:rPr>
                <w:rFonts w:hint="eastAsia"/>
                <w:color w:val="00B050"/>
                <w:szCs w:val="21"/>
                <w:highlight w:val="none"/>
                <w:lang w:val="en-US" w:eastAsia="zh-CN"/>
              </w:rPr>
            </w:pPr>
          </w:p>
          <w:p>
            <w:pPr>
              <w:jc w:val="both"/>
              <w:rPr>
                <w:rFonts w:hint="eastAsia"/>
                <w:color w:val="00B050"/>
                <w:szCs w:val="21"/>
                <w:highlight w:val="none"/>
                <w:lang w:val="en-US" w:eastAsia="zh-CN"/>
              </w:rPr>
            </w:pPr>
          </w:p>
          <w:p>
            <w:pPr>
              <w:jc w:val="both"/>
              <w:rPr>
                <w:rFonts w:hint="eastAsia"/>
                <w:color w:val="00B050"/>
                <w:szCs w:val="21"/>
                <w:highlight w:val="none"/>
                <w:lang w:val="en-US" w:eastAsia="zh-CN"/>
              </w:rPr>
            </w:pPr>
          </w:p>
          <w:p>
            <w:pPr>
              <w:jc w:val="both"/>
              <w:rPr>
                <w:rFonts w:hint="eastAsia"/>
                <w:color w:val="00B050"/>
                <w:szCs w:val="21"/>
                <w:highlight w:val="none"/>
                <w:lang w:val="en-US" w:eastAsia="zh-CN"/>
              </w:rPr>
            </w:pPr>
          </w:p>
          <w:p>
            <w:pPr>
              <w:jc w:val="both"/>
              <w:rPr>
                <w:rFonts w:hint="eastAsia"/>
                <w:color w:val="00B050"/>
                <w:szCs w:val="21"/>
                <w:highlight w:val="none"/>
                <w:lang w:val="en-US" w:eastAsia="zh-CN"/>
              </w:rPr>
            </w:pPr>
          </w:p>
          <w:p>
            <w:pPr>
              <w:jc w:val="both"/>
              <w:rPr>
                <w:rFonts w:hint="eastAsia"/>
                <w:color w:val="00B050"/>
                <w:szCs w:val="21"/>
                <w:highlight w:val="none"/>
                <w:lang w:val="en-US" w:eastAsia="zh-CN"/>
              </w:rPr>
            </w:pPr>
          </w:p>
          <w:p>
            <w:pPr>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b/>
                <w:bCs/>
                <w:sz w:val="24"/>
                <w:lang w:val="en-US" w:eastAsia="zh-CN"/>
              </w:rPr>
            </w:pPr>
          </w:p>
          <w:p>
            <w:pPr>
              <w:spacing w:line="240" w:lineRule="auto"/>
              <w:jc w:val="center"/>
              <w:rPr>
                <w:rFonts w:hint="eastAsia"/>
                <w:color w:val="000000"/>
                <w:sz w:val="18"/>
                <w:szCs w:val="18"/>
                <w:highlight w:val="none"/>
                <w:lang w:val="en-US" w:eastAsia="zh-CN"/>
              </w:rPr>
            </w:pPr>
            <w:r>
              <w:rPr>
                <w:rFonts w:hint="eastAsia"/>
                <w:color w:val="000000"/>
                <w:sz w:val="18"/>
                <w:szCs w:val="18"/>
                <w:highlight w:val="none"/>
              </w:rPr>
              <w:t>图8.4.1</w:t>
            </w:r>
            <w:r>
              <w:rPr>
                <w:rFonts w:hint="eastAsia"/>
                <w:color w:val="000000"/>
                <w:sz w:val="18"/>
                <w:szCs w:val="18"/>
                <w:highlight w:val="none"/>
                <w:lang w:val="en-US" w:eastAsia="zh-CN"/>
              </w:rPr>
              <w:t>1</w:t>
            </w:r>
            <w:r>
              <w:rPr>
                <w:rFonts w:hint="eastAsia"/>
                <w:color w:val="000000"/>
                <w:sz w:val="18"/>
                <w:szCs w:val="18"/>
                <w:highlight w:val="none"/>
              </w:rPr>
              <w:t xml:space="preserve"> 井座（盖）周边土体加固</w:t>
            </w:r>
            <w:r>
              <w:rPr>
                <w:rFonts w:hint="eastAsia"/>
                <w:color w:val="000000"/>
                <w:sz w:val="18"/>
                <w:szCs w:val="18"/>
                <w:highlight w:val="none"/>
                <w:lang w:val="en-US" w:eastAsia="zh-CN"/>
              </w:rPr>
              <w:t>图</w:t>
            </w:r>
          </w:p>
          <w:p>
            <w:pPr>
              <w:spacing w:line="240" w:lineRule="auto"/>
              <w:jc w:val="center"/>
              <w:rPr>
                <w:rFonts w:hint="eastAsia"/>
                <w:color w:val="000000"/>
                <w:sz w:val="18"/>
                <w:szCs w:val="18"/>
                <w:highlight w:val="none"/>
                <w:lang w:val="en-US" w:eastAsia="zh-CN"/>
              </w:rPr>
            </w:pPr>
          </w:p>
          <w:p>
            <w:pPr>
              <w:spacing w:line="240" w:lineRule="auto"/>
              <w:jc w:val="center"/>
              <w:rPr>
                <w:rFonts w:hint="eastAsia"/>
                <w:color w:val="000000"/>
                <w:sz w:val="18"/>
                <w:szCs w:val="18"/>
                <w:highlight w:val="none"/>
                <w:lang w:val="en-US" w:eastAsia="zh-CN"/>
              </w:rPr>
            </w:pPr>
          </w:p>
          <w:p>
            <w:pPr>
              <w:spacing w:line="360" w:lineRule="auto"/>
              <w:rPr>
                <w:rFonts w:hint="eastAsia"/>
                <w:color w:val="000000"/>
                <w:sz w:val="18"/>
                <w:szCs w:val="18"/>
                <w:highlight w:val="none"/>
                <w:lang w:val="en-US" w:eastAsia="zh-CN"/>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5）信息化</w:t>
            </w:r>
          </w:p>
          <w:p>
            <w:pPr>
              <w:numPr>
                <w:ilvl w:val="2"/>
                <w:numId w:val="7"/>
              </w:numPr>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1"/>
                <w:szCs w:val="21"/>
                <w:highlight w:val="none"/>
                <w14:textFill>
                  <w14:solidFill>
                    <w14:schemeClr w14:val="tx1"/>
                  </w14:solidFill>
                </w14:textFill>
              </w:rPr>
              <w:t>工程使用预制检查井构件时，宜建立工程信息模型并在设计、构件生产、施工安装、竣工验收与交付等各阶段采用统一的数字化信息。</w:t>
            </w:r>
          </w:p>
          <w:p>
            <w:pPr>
              <w:numPr>
                <w:ilvl w:val="2"/>
                <w:numId w:val="7"/>
              </w:numPr>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1"/>
                <w:szCs w:val="21"/>
                <w:highlight w:val="none"/>
                <w14:textFill>
                  <w14:solidFill>
                    <w14:schemeClr w14:val="tx1"/>
                  </w14:solidFill>
                </w14:textFill>
              </w:rPr>
              <w:t>预制构件工程信息模型的存储和维护宜符合各专业和不同软件间的数据交互要求，且宜保证模型数据能有效传递和交换。</w:t>
            </w:r>
          </w:p>
          <w:p>
            <w:pPr>
              <w:numPr>
                <w:ilvl w:val="2"/>
                <w:numId w:val="7"/>
              </w:numPr>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1"/>
                <w:szCs w:val="21"/>
                <w:highlight w:val="none"/>
                <w14:textFill>
                  <w14:solidFill>
                    <w14:schemeClr w14:val="tx1"/>
                  </w14:solidFill>
                </w14:textFill>
              </w:rPr>
              <w:t>预制构件工程信息模型数据应能输送给生产设备，为自动化生产提供数据支撑。</w:t>
            </w:r>
          </w:p>
          <w:p>
            <w:pPr>
              <w:numPr>
                <w:ilvl w:val="2"/>
                <w:numId w:val="7"/>
              </w:numPr>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1"/>
                <w:szCs w:val="21"/>
                <w:highlight w:val="none"/>
                <w14:textFill>
                  <w14:solidFill>
                    <w14:schemeClr w14:val="tx1"/>
                  </w14:solidFill>
                </w14:textFill>
              </w:rPr>
              <w:t>预制构件建模宜采用参数化建模软件，建模软件应符合下列规定：</w:t>
            </w:r>
          </w:p>
          <w:p>
            <w:pPr>
              <w:numPr>
                <w:ilvl w:val="0"/>
                <w:numId w:val="8"/>
              </w:numPr>
              <w:tabs>
                <w:tab w:val="left" w:pos="840"/>
                <w:tab w:val="clear" w:pos="851"/>
              </w:tabs>
              <w:spacing w:line="288" w:lineRule="auto"/>
              <w:ind w:left="0" w:leftChars="0" w:firstLine="520" w:firstLineChars="0"/>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应具有预制构件三维设计功能；</w:t>
            </w:r>
          </w:p>
          <w:p>
            <w:pPr>
              <w:numPr>
                <w:ilvl w:val="0"/>
                <w:numId w:val="8"/>
              </w:numPr>
              <w:tabs>
                <w:tab w:val="left" w:pos="840"/>
                <w:tab w:val="clear" w:pos="851"/>
              </w:tabs>
              <w:spacing w:line="288" w:lineRule="auto"/>
              <w:ind w:left="0" w:leftChars="0" w:firstLine="520" w:firstLineChars="0"/>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应具有预制构件深化设计功能；</w:t>
            </w:r>
          </w:p>
          <w:p>
            <w:pPr>
              <w:numPr>
                <w:ilvl w:val="0"/>
                <w:numId w:val="8"/>
              </w:numPr>
              <w:tabs>
                <w:tab w:val="left" w:pos="840"/>
                <w:tab w:val="clear" w:pos="851"/>
              </w:tabs>
              <w:spacing w:line="288" w:lineRule="auto"/>
              <w:ind w:left="0" w:leftChars="0" w:firstLine="520" w:firstLineChars="0"/>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应具有模型的碰撞检查功能；</w:t>
            </w:r>
          </w:p>
          <w:p>
            <w:pPr>
              <w:numPr>
                <w:ilvl w:val="0"/>
                <w:numId w:val="8"/>
              </w:numPr>
              <w:tabs>
                <w:tab w:val="left" w:pos="840"/>
                <w:tab w:val="clear" w:pos="851"/>
              </w:tabs>
              <w:spacing w:line="288" w:lineRule="auto"/>
              <w:ind w:left="0" w:leftChars="0" w:firstLine="520" w:firstLineChars="0"/>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应具有构件图纸输出功能；</w:t>
            </w:r>
          </w:p>
          <w:p>
            <w:pPr>
              <w:numPr>
                <w:ilvl w:val="0"/>
                <w:numId w:val="8"/>
              </w:numPr>
              <w:tabs>
                <w:tab w:val="left" w:pos="840"/>
                <w:tab w:val="clear" w:pos="851"/>
              </w:tabs>
              <w:spacing w:line="288" w:lineRule="auto"/>
              <w:ind w:left="0" w:leftChars="0" w:firstLine="520" w:firstLineChars="0"/>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应保持工程信息模型与构件设计图纸一致；</w:t>
            </w:r>
          </w:p>
          <w:p>
            <w:pPr>
              <w:numPr>
                <w:ilvl w:val="0"/>
                <w:numId w:val="8"/>
              </w:numPr>
              <w:tabs>
                <w:tab w:val="left" w:pos="840"/>
                <w:tab w:val="clear" w:pos="851"/>
              </w:tabs>
              <w:spacing w:line="288" w:lineRule="auto"/>
              <w:ind w:left="0" w:leftChars="0" w:firstLine="520" w:firstLineChars="0"/>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模型数据内容和格式宜符合数据互用要求。</w:t>
            </w:r>
          </w:p>
          <w:p>
            <w:pPr>
              <w:numPr>
                <w:ilvl w:val="2"/>
                <w:numId w:val="7"/>
              </w:numPr>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1"/>
                <w:szCs w:val="21"/>
                <w:highlight w:val="none"/>
                <w14:textFill>
                  <w14:solidFill>
                    <w14:schemeClr w14:val="tx1"/>
                  </w14:solidFill>
                </w14:textFill>
              </w:rPr>
              <w:t>预制构件图纸应包含模板图、配筋图、预埋件图、大样图等，每个构件图纸内容均应包含几何信息、物料加工信息、生产工作的技术要求信息和构件使用的项目等信息。</w:t>
            </w:r>
          </w:p>
          <w:p>
            <w:pPr>
              <w:numPr>
                <w:ilvl w:val="2"/>
                <w:numId w:val="7"/>
              </w:numPr>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1"/>
                <w:szCs w:val="21"/>
                <w:highlight w:val="none"/>
                <w14:textFill>
                  <w14:solidFill>
                    <w14:schemeClr w14:val="tx1"/>
                  </w14:solidFill>
                </w14:textFill>
              </w:rPr>
              <w:t>预制构件信息模型数据应满足生产设备识别要求，数据应包含下列内容：</w:t>
            </w:r>
          </w:p>
          <w:p>
            <w:pPr>
              <w:numPr>
                <w:ilvl w:val="0"/>
                <w:numId w:val="9"/>
              </w:numPr>
              <w:tabs>
                <w:tab w:val="left" w:pos="640"/>
                <w:tab w:val="clear" w:pos="851"/>
              </w:tabs>
              <w:spacing w:line="288" w:lineRule="auto"/>
              <w:ind w:left="0" w:leftChars="0" w:firstLine="540" w:firstLineChars="0"/>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预制构件整体模型数据；</w:t>
            </w:r>
          </w:p>
          <w:p>
            <w:pPr>
              <w:numPr>
                <w:ilvl w:val="0"/>
                <w:numId w:val="9"/>
              </w:numPr>
              <w:tabs>
                <w:tab w:val="left" w:pos="640"/>
              </w:tabs>
              <w:spacing w:line="288" w:lineRule="auto"/>
              <w:ind w:left="0" w:leftChars="0" w:firstLine="540" w:firstLineChars="0"/>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各预制构件的生产数据；</w:t>
            </w:r>
          </w:p>
          <w:p>
            <w:pPr>
              <w:numPr>
                <w:ilvl w:val="0"/>
                <w:numId w:val="9"/>
              </w:numPr>
              <w:tabs>
                <w:tab w:val="left" w:pos="640"/>
              </w:tabs>
              <w:spacing w:line="288" w:lineRule="auto"/>
              <w:ind w:left="0" w:leftChars="0" w:firstLine="540" w:firstLineChars="0"/>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各预制构件的图纸文件；</w:t>
            </w:r>
          </w:p>
          <w:p>
            <w:pPr>
              <w:numPr>
                <w:ilvl w:val="0"/>
                <w:numId w:val="9"/>
              </w:numPr>
              <w:tabs>
                <w:tab w:val="left" w:pos="640"/>
              </w:tabs>
              <w:spacing w:line="288" w:lineRule="auto"/>
              <w:ind w:left="0" w:leftChars="0" w:firstLine="540" w:firstLineChars="0"/>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预制构件的位置信息、几何信息、材料信息等。</w:t>
            </w:r>
          </w:p>
          <w:p>
            <w:pPr>
              <w:numPr>
                <w:ilvl w:val="0"/>
                <w:numId w:val="9"/>
              </w:numPr>
              <w:tabs>
                <w:tab w:val="left" w:pos="640"/>
              </w:tabs>
              <w:spacing w:line="288" w:lineRule="auto"/>
              <w:ind w:left="0" w:leftChars="0" w:firstLine="540" w:firstLineChars="0"/>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kern w:val="0"/>
                <w:sz w:val="21"/>
                <w:szCs w:val="21"/>
                <w14:textFill>
                  <w14:solidFill>
                    <w14:schemeClr w14:val="tx1"/>
                  </w14:solidFill>
                </w14:textFill>
              </w:rPr>
              <w:t>模型单元应包含统一的编码信息，该编码信息可传递到生产、施工、运维等环节。</w:t>
            </w:r>
          </w:p>
          <w:p>
            <w:pPr>
              <w:numPr>
                <w:ilvl w:val="2"/>
                <w:numId w:val="7"/>
              </w:numPr>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1"/>
                <w:szCs w:val="21"/>
                <w:highlight w:val="none"/>
                <w14:textFill>
                  <w14:solidFill>
                    <w14:schemeClr w14:val="tx1"/>
                  </w14:solidFill>
                </w14:textFill>
              </w:rPr>
              <w:t>预制构件应进行编码，并在生产、存放、运输及安装阶段对每一预制构件建立相对应的信息数据，存储的信息应正确、真实、完整、有效。</w:t>
            </w:r>
          </w:p>
          <w:p>
            <w:pPr>
              <w:numPr>
                <w:ilvl w:val="2"/>
                <w:numId w:val="7"/>
              </w:numPr>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1"/>
                <w:szCs w:val="21"/>
                <w:highlight w:val="none"/>
                <w14:textFill>
                  <w14:solidFill>
                    <w14:schemeClr w14:val="tx1"/>
                  </w14:solidFill>
                </w14:textFill>
              </w:rPr>
              <w:t>预制构件信息应通过芯片或条码标识在构件上，RFID芯片或二维条码的埋置深度应与现有设备、技术相适应，埋置位置应便于安装、读取和长期保存。</w:t>
            </w:r>
          </w:p>
          <w:p>
            <w:pPr>
              <w:numPr>
                <w:ilvl w:val="2"/>
                <w:numId w:val="7"/>
              </w:numPr>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1"/>
                <w:szCs w:val="21"/>
                <w:highlight w:val="none"/>
                <w14:textFill>
                  <w14:solidFill>
                    <w14:schemeClr w14:val="tx1"/>
                  </w14:solidFill>
                </w14:textFill>
              </w:rPr>
              <w:t>预制构件工程信息模型的管理和使用应能满足数据信息的安全要求。</w:t>
            </w:r>
          </w:p>
          <w:p>
            <w:pPr>
              <w:rPr>
                <w:rFonts w:hint="eastAsia" w:ascii="宋体" w:hAnsi="宋体" w:eastAsia="宋体"/>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5"/>
              <w:adjustRightInd w:val="0"/>
              <w:spacing w:line="360" w:lineRule="auto"/>
              <w:ind w:firstLine="0" w:firstLineChars="0"/>
              <w:contextualSpacing/>
              <w:rPr>
                <w:rFonts w:hAnsi="宋体"/>
                <w:szCs w:val="21"/>
              </w:rPr>
            </w:pPr>
            <w:bookmarkStart w:id="0" w:name="_Toc464905557"/>
            <w:bookmarkStart w:id="1" w:name="_Toc464902852"/>
            <w:bookmarkStart w:id="2" w:name="_Toc464905809"/>
            <w:bookmarkStart w:id="3" w:name="_Toc464905613"/>
            <w:bookmarkStart w:id="4" w:name="_Toc465074266"/>
            <w:r>
              <w:rPr>
                <w:rFonts w:hint="eastAsia" w:hAnsi="宋体"/>
                <w:b/>
                <w:bCs/>
                <w:szCs w:val="21"/>
              </w:rPr>
              <w:t>5、标准中如果涉及专利，应有明确的知识产权说明</w:t>
            </w:r>
            <w:bookmarkEnd w:id="0"/>
            <w:bookmarkEnd w:id="1"/>
            <w:bookmarkEnd w:id="2"/>
            <w:bookmarkEnd w:id="3"/>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5"/>
              <w:adjustRightInd w:val="0"/>
              <w:spacing w:line="360" w:lineRule="auto"/>
              <w:ind w:firstLine="210" w:firstLineChars="100"/>
              <w:contextualSpacing/>
              <w:rPr>
                <w:rFonts w:hint="eastAsia" w:hAnsi="宋体" w:eastAsia="宋体"/>
                <w:szCs w:val="21"/>
                <w:lang w:val="en-US" w:eastAsia="zh-CN"/>
              </w:rPr>
            </w:pPr>
            <w:r>
              <w:rPr>
                <w:rFonts w:hint="eastAsia" w:ascii="仿宋" w:hAnsi="仿宋" w:eastAsia="仿宋" w:cs="仿宋"/>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5"/>
              <w:adjustRightInd w:val="0"/>
              <w:spacing w:line="360" w:lineRule="auto"/>
              <w:ind w:firstLine="0" w:firstLineChars="0"/>
              <w:contextualSpacing/>
              <w:rPr>
                <w:rFonts w:hAnsi="宋体"/>
                <w:szCs w:val="21"/>
              </w:rPr>
            </w:pPr>
            <w:bookmarkStart w:id="5" w:name="_Toc464905614"/>
            <w:bookmarkStart w:id="6" w:name="_Toc464905810"/>
            <w:bookmarkStart w:id="7" w:name="_Toc465074267"/>
            <w:bookmarkStart w:id="8" w:name="_Toc464905558"/>
            <w:bookmarkStart w:id="9" w:name="_Toc464902853"/>
            <w:r>
              <w:rPr>
                <w:rFonts w:hint="eastAsia" w:hAnsi="宋体"/>
                <w:b/>
                <w:bCs/>
                <w:szCs w:val="21"/>
              </w:rPr>
              <w:t>6、采用国际标准或国外先进标准的，说明采标程度，以及国内外同类标准水平的对比情况</w:t>
            </w:r>
            <w:bookmarkEnd w:id="5"/>
            <w:bookmarkEnd w:id="6"/>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rightChars="0"/>
              <w:jc w:val="left"/>
              <w:textAlignment w:val="auto"/>
              <w:rPr>
                <w:rFonts w:hint="default" w:hAnsi="宋体" w:eastAsia="仿宋"/>
                <w:szCs w:val="21"/>
                <w:lang w:val="en-US" w:eastAsia="zh-CN"/>
              </w:rPr>
            </w:pPr>
            <w:r>
              <w:rPr>
                <w:rFonts w:hint="eastAsia" w:hAnsi="宋体" w:eastAsia="仿宋"/>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5"/>
              <w:adjustRightInd w:val="0"/>
              <w:spacing w:line="360" w:lineRule="auto"/>
              <w:ind w:firstLine="0" w:firstLineChars="0"/>
              <w:contextualSpacing/>
              <w:rPr>
                <w:rFonts w:hAnsi="宋体"/>
                <w:szCs w:val="21"/>
              </w:rPr>
            </w:pPr>
            <w:bookmarkStart w:id="10" w:name="_Toc464902854"/>
            <w:bookmarkStart w:id="11" w:name="_Toc465074268"/>
            <w:bookmarkStart w:id="12" w:name="_Toc464905811"/>
            <w:bookmarkStart w:id="13" w:name="_Toc464905615"/>
            <w:bookmarkStart w:id="14" w:name="_Toc464905559"/>
            <w:r>
              <w:rPr>
                <w:rFonts w:hint="eastAsia" w:hAnsi="宋体"/>
                <w:b/>
                <w:bCs/>
                <w:szCs w:val="21"/>
              </w:rPr>
              <w:t>7、重大分歧意见的处理经过和依据</w:t>
            </w:r>
            <w:bookmarkEnd w:id="10"/>
            <w:bookmarkEnd w:id="11"/>
            <w:bookmarkEnd w:id="12"/>
            <w:bookmarkEnd w:id="13"/>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5"/>
              <w:adjustRightInd w:val="0"/>
              <w:spacing w:line="360" w:lineRule="auto"/>
              <w:ind w:left="0" w:leftChars="0" w:firstLine="210" w:firstLineChars="100"/>
              <w:contextualSpacing/>
              <w:rPr>
                <w:rFonts w:hint="default" w:hAnsi="宋体" w:eastAsia="宋体"/>
                <w:szCs w:val="21"/>
                <w:lang w:val="en-US" w:eastAsia="zh-CN"/>
              </w:rPr>
            </w:pPr>
            <w:r>
              <w:rPr>
                <w:rFonts w:hint="eastAsia" w:ascii="仿宋" w:hAnsi="仿宋" w:eastAsia="仿宋" w:cs="仿宋"/>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5"/>
              <w:adjustRightInd w:val="0"/>
              <w:spacing w:line="360" w:lineRule="auto"/>
              <w:ind w:firstLine="0" w:firstLineChars="0"/>
              <w:contextualSpacing/>
              <w:rPr>
                <w:rFonts w:hAnsi="宋体"/>
                <w:szCs w:val="21"/>
              </w:rPr>
            </w:pPr>
            <w:bookmarkStart w:id="15" w:name="_Toc464905560"/>
            <w:bookmarkStart w:id="16" w:name="_Toc464902855"/>
            <w:bookmarkStart w:id="17" w:name="_Toc465074269"/>
            <w:bookmarkStart w:id="18" w:name="_Toc464905616"/>
            <w:bookmarkStart w:id="19" w:name="_Toc464905812"/>
            <w:r>
              <w:rPr>
                <w:rFonts w:hint="eastAsia" w:hAnsi="宋体"/>
                <w:b/>
                <w:bCs/>
                <w:szCs w:val="21"/>
              </w:rPr>
              <w:t>8、贯彻标准的要求和措施建议（包括组织措施、技术措施、过渡办法、实施日期等）</w:t>
            </w:r>
            <w:bookmarkEnd w:id="15"/>
            <w:bookmarkEnd w:id="16"/>
            <w:bookmarkEnd w:id="17"/>
            <w:bookmarkEnd w:id="18"/>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5"/>
              <w:adjustRightInd w:val="0"/>
              <w:spacing w:line="360" w:lineRule="auto"/>
              <w:ind w:left="0" w:leftChars="0" w:firstLine="420" w:firstLineChars="200"/>
              <w:contextualSpacing/>
              <w:rPr>
                <w:rFonts w:hint="eastAsia" w:ascii="仿宋" w:hAnsi="仿宋" w:eastAsia="仿宋"/>
                <w:color w:val="000000"/>
                <w:lang w:eastAsia="zh-CN"/>
              </w:rPr>
            </w:pPr>
            <w:r>
              <w:rPr>
                <w:rFonts w:hint="eastAsia" w:ascii="仿宋" w:hAnsi="仿宋" w:eastAsia="仿宋"/>
                <w:color w:val="000000"/>
              </w:rPr>
              <w:t>标准颁布实施后，</w:t>
            </w:r>
            <w:r>
              <w:rPr>
                <w:rFonts w:hint="eastAsia" w:ascii="仿宋" w:hAnsi="仿宋" w:eastAsia="仿宋"/>
                <w:color w:val="000000"/>
                <w:lang w:val="en-US" w:eastAsia="zh-CN"/>
              </w:rPr>
              <w:t>在行业主管单位和</w:t>
            </w:r>
            <w:r>
              <w:rPr>
                <w:rFonts w:hint="eastAsia" w:ascii="仿宋" w:hAnsi="仿宋" w:eastAsia="仿宋" w:cs="仿宋"/>
                <w:b w:val="0"/>
                <w:bCs/>
                <w:color w:val="000000"/>
                <w:kern w:val="0"/>
                <w:sz w:val="21"/>
                <w:szCs w:val="21"/>
                <w:lang w:val="en-US" w:eastAsia="zh-CN" w:bidi="ar-SA"/>
              </w:rPr>
              <w:t>相关行业协会</w:t>
            </w:r>
            <w:r>
              <w:rPr>
                <w:rFonts w:hint="eastAsia" w:ascii="仿宋" w:hAnsi="仿宋" w:eastAsia="仿宋"/>
                <w:color w:val="000000"/>
                <w:lang w:val="en-US" w:eastAsia="zh-CN"/>
              </w:rPr>
              <w:t>的指导下，</w:t>
            </w:r>
            <w:r>
              <w:rPr>
                <w:rFonts w:hint="eastAsia" w:ascii="仿宋" w:hAnsi="仿宋" w:eastAsia="仿宋" w:cs="仿宋"/>
                <w:b w:val="0"/>
                <w:bCs/>
                <w:color w:val="000000"/>
                <w:kern w:val="0"/>
                <w:sz w:val="21"/>
                <w:szCs w:val="21"/>
                <w:lang w:val="en-US" w:eastAsia="zh-CN" w:bidi="ar-SA"/>
              </w:rPr>
              <w:t>面向全省市政行业生产、设计、施工、质监、管养、监理单位，举办《技术规程》宣贯培训班</w:t>
            </w:r>
            <w:r>
              <w:rPr>
                <w:rFonts w:hint="eastAsia" w:ascii="仿宋" w:hAnsi="仿宋" w:eastAsia="仿宋"/>
                <w:color w:val="000000"/>
                <w:lang w:eastAsia="zh-CN"/>
              </w:rPr>
              <w:t>。</w:t>
            </w:r>
          </w:p>
          <w:p>
            <w:pPr>
              <w:pStyle w:val="15"/>
              <w:adjustRightInd w:val="0"/>
              <w:spacing w:line="360" w:lineRule="auto"/>
              <w:ind w:left="0" w:leftChars="0" w:firstLine="420" w:firstLineChars="200"/>
              <w:contextualSpacing/>
              <w:rPr>
                <w:rFonts w:hint="eastAsia" w:ascii="仿宋" w:hAnsi="仿宋" w:eastAsia="仿宋" w:cs="仿宋"/>
                <w:b w:val="0"/>
                <w:bCs/>
                <w:color w:val="000000"/>
                <w:kern w:val="0"/>
                <w:sz w:val="21"/>
                <w:szCs w:val="21"/>
                <w:lang w:val="en-US" w:eastAsia="zh-CN" w:bidi="ar-SA"/>
              </w:rPr>
            </w:pPr>
            <w:r>
              <w:rPr>
                <w:rFonts w:hint="eastAsia" w:ascii="仿宋" w:hAnsi="仿宋" w:eastAsia="仿宋"/>
                <w:color w:val="000000"/>
              </w:rPr>
              <w:t>培训由主编单位牵头负责组织和安排，做好培训宣贯任务分工、紧密安排、落实到人，确保宣贯工作高质量</w:t>
            </w:r>
            <w:r>
              <w:rPr>
                <w:rFonts w:ascii="仿宋" w:hAnsi="仿宋" w:eastAsia="仿宋"/>
                <w:color w:val="000000"/>
              </w:rPr>
              <w:t>完成</w:t>
            </w:r>
            <w:r>
              <w:rPr>
                <w:rFonts w:hint="eastAsia" w:ascii="仿宋" w:hAnsi="仿宋" w:eastAsia="仿宋"/>
                <w:color w:val="000000"/>
                <w:lang w:eastAsia="zh-CN"/>
              </w:rPr>
              <w:t>。</w:t>
            </w:r>
            <w:r>
              <w:rPr>
                <w:rFonts w:hint="eastAsia" w:ascii="仿宋" w:hAnsi="仿宋" w:eastAsia="仿宋"/>
                <w:color w:val="000000"/>
                <w:lang w:val="en-US" w:eastAsia="zh-CN"/>
              </w:rPr>
              <w:t>培训班将</w:t>
            </w:r>
            <w:r>
              <w:rPr>
                <w:rFonts w:hint="eastAsia" w:ascii="仿宋" w:hAnsi="仿宋" w:eastAsia="仿宋" w:cs="仿宋"/>
                <w:b w:val="0"/>
                <w:bCs/>
                <w:color w:val="000000"/>
                <w:kern w:val="0"/>
                <w:sz w:val="21"/>
                <w:szCs w:val="21"/>
                <w:lang w:val="en-US" w:eastAsia="zh-CN" w:bidi="ar-SA"/>
              </w:rPr>
              <w:t>邀请《技术规程》主要撰稿专家介绍规程编制的背景、条文依据、新旧条文修编的原因和常见问题，对具体设计及施工安装中易出现的疑难技术问题进行解答。组织培训人员到生产企业现场观摩预制混凝土检查井的构件生产。实地考察典型工程，了解产品的应用情况。</w:t>
            </w:r>
          </w:p>
          <w:p>
            <w:pPr>
              <w:pStyle w:val="15"/>
              <w:adjustRightInd w:val="0"/>
              <w:spacing w:line="360" w:lineRule="auto"/>
              <w:ind w:left="0" w:leftChars="0" w:firstLine="420" w:firstLineChars="200"/>
              <w:contextualSpacing/>
              <w:rPr>
                <w:rFonts w:hint="eastAsia" w:ascii="仿宋" w:hAnsi="仿宋" w:eastAsia="仿宋"/>
                <w:color w:val="000000"/>
              </w:rPr>
            </w:pPr>
            <w:r>
              <w:rPr>
                <w:rFonts w:hint="eastAsia" w:ascii="仿宋" w:hAnsi="仿宋" w:eastAsia="仿宋"/>
                <w:color w:val="000000"/>
                <w:lang w:val="en-US" w:eastAsia="zh-CN"/>
              </w:rPr>
              <w:t>标准宣贯后，各地方建设主管部门应</w:t>
            </w:r>
            <w:r>
              <w:rPr>
                <w:rFonts w:hint="eastAsia" w:ascii="仿宋" w:hAnsi="仿宋" w:eastAsia="仿宋"/>
                <w:color w:val="000000"/>
              </w:rPr>
              <w:t>制定相应的实施方法，使本标准得以认真执行，在企业生产和工程应用中真正起到保证质量</w:t>
            </w:r>
            <w:r>
              <w:rPr>
                <w:rFonts w:hint="eastAsia" w:ascii="仿宋" w:hAnsi="仿宋" w:eastAsia="仿宋"/>
                <w:color w:val="000000"/>
                <w:lang w:eastAsia="zh-CN"/>
              </w:rPr>
              <w:t>、</w:t>
            </w:r>
            <w:r>
              <w:rPr>
                <w:rFonts w:hint="eastAsia" w:ascii="仿宋" w:hAnsi="仿宋" w:eastAsia="仿宋"/>
                <w:color w:val="000000"/>
              </w:rPr>
              <w:t>促进</w:t>
            </w:r>
            <w:r>
              <w:rPr>
                <w:rFonts w:hint="eastAsia" w:ascii="仿宋" w:hAnsi="仿宋" w:eastAsia="仿宋"/>
                <w:color w:val="000000"/>
                <w:lang w:val="en-US" w:eastAsia="zh-CN"/>
              </w:rPr>
              <w:t>检查井预制装配</w:t>
            </w:r>
            <w:r>
              <w:rPr>
                <w:rFonts w:hint="eastAsia" w:ascii="仿宋" w:hAnsi="仿宋" w:eastAsia="仿宋"/>
                <w:color w:val="000000"/>
              </w:rPr>
              <w:t>技术水平提高的作用。</w:t>
            </w:r>
          </w:p>
          <w:p>
            <w:pPr>
              <w:pStyle w:val="15"/>
              <w:adjustRightInd w:val="0"/>
              <w:spacing w:line="360" w:lineRule="auto"/>
              <w:ind w:left="0" w:leftChars="0" w:firstLine="420" w:firstLineChars="200"/>
              <w:contextualSpacing/>
              <w:rPr>
                <w:rFonts w:hint="eastAsia" w:ascii="仿宋" w:hAnsi="仿宋" w:eastAsia="仿宋" w:cs="仿宋"/>
                <w:b w:val="0"/>
                <w:bCs/>
                <w:color w:val="000000"/>
                <w:kern w:val="0"/>
                <w:sz w:val="21"/>
                <w:szCs w:val="21"/>
                <w:lang w:val="en-US" w:eastAsia="zh-CN" w:bidi="ar-SA"/>
              </w:rPr>
            </w:pPr>
            <w:r>
              <w:rPr>
                <w:rFonts w:ascii="仿宋" w:hAnsi="仿宋" w:eastAsia="仿宋"/>
                <w:color w:val="000000"/>
              </w:rPr>
              <w:t>在实施过程中</w:t>
            </w:r>
            <w:r>
              <w:rPr>
                <w:rFonts w:hint="eastAsia" w:ascii="仿宋" w:hAnsi="仿宋" w:eastAsia="仿宋"/>
                <w:color w:val="000000"/>
              </w:rPr>
              <w:t>组织专业会议进行研讨，及时发布会议精神。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5"/>
              <w:adjustRightInd w:val="0"/>
              <w:spacing w:line="360" w:lineRule="auto"/>
              <w:ind w:firstLine="0" w:firstLineChars="0"/>
              <w:contextualSpacing/>
              <w:rPr>
                <w:rFonts w:hAnsi="宋体"/>
                <w:szCs w:val="21"/>
              </w:rPr>
            </w:pPr>
            <w:bookmarkStart w:id="20" w:name="_Toc464905813"/>
            <w:bookmarkStart w:id="21" w:name="_Toc464902856"/>
            <w:bookmarkStart w:id="22" w:name="_Toc464905617"/>
            <w:bookmarkStart w:id="23" w:name="_Toc465074270"/>
            <w:bookmarkStart w:id="24" w:name="_Toc464905561"/>
            <w:r>
              <w:rPr>
                <w:rFonts w:hint="eastAsia" w:hAnsi="宋体"/>
                <w:b/>
                <w:bCs/>
                <w:szCs w:val="21"/>
              </w:rPr>
              <w:t>9、废止现行相关标准的建议</w:t>
            </w:r>
            <w:bookmarkEnd w:id="20"/>
            <w:bookmarkEnd w:id="21"/>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5"/>
              <w:adjustRightInd w:val="0"/>
              <w:spacing w:line="360" w:lineRule="auto"/>
              <w:ind w:firstLine="210" w:firstLineChars="100"/>
              <w:contextualSpacing/>
              <w:rPr>
                <w:rFonts w:hint="default" w:hAnsi="宋体" w:eastAsia="仿宋"/>
                <w:szCs w:val="21"/>
                <w:lang w:val="en-US" w:eastAsia="zh-CN"/>
              </w:rPr>
            </w:pPr>
            <w:r>
              <w:rPr>
                <w:rFonts w:hint="eastAsia" w:ascii="仿宋" w:hAnsi="仿宋" w:eastAsia="仿宋" w:cs="仿宋"/>
                <w:szCs w:val="21"/>
                <w:lang w:val="en-US" w:eastAsia="zh-CN"/>
              </w:rPr>
              <w:t>本标准实施后，</w:t>
            </w:r>
            <w:r>
              <w:rPr>
                <w:rFonts w:hint="eastAsia" w:ascii="仿宋" w:hAnsi="仿宋" w:eastAsia="仿宋" w:cs="仿宋"/>
                <w:szCs w:val="21"/>
              </w:rPr>
              <w:t>《</w:t>
            </w:r>
            <w:r>
              <w:rPr>
                <w:rFonts w:hint="eastAsia" w:ascii="仿宋" w:hAnsi="仿宋" w:eastAsia="仿宋" w:cs="仿宋"/>
                <w:color w:val="000000"/>
                <w:kern w:val="0"/>
                <w:sz w:val="21"/>
                <w:szCs w:val="21"/>
                <w:lang w:val="en-US" w:eastAsia="zh-CN" w:bidi="ar-SA"/>
              </w:rPr>
              <w:t>预制装配式钢筋混凝土检查井技术规程</w:t>
            </w:r>
            <w:r>
              <w:rPr>
                <w:rFonts w:hint="eastAsia" w:ascii="仿宋" w:hAnsi="仿宋" w:eastAsia="仿宋" w:cs="仿宋"/>
                <w:szCs w:val="21"/>
              </w:rPr>
              <w:t>》</w:t>
            </w:r>
            <w:r>
              <w:rPr>
                <w:rFonts w:hint="eastAsia" w:ascii="仿宋" w:hAnsi="仿宋" w:eastAsia="仿宋" w:cs="仿宋"/>
                <w:szCs w:val="21"/>
                <w:lang w:val="en-US" w:eastAsia="zh-CN"/>
              </w:rPr>
              <w:t>DB34/T 1786-2012废止。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5"/>
              <w:adjustRightInd w:val="0"/>
              <w:spacing w:line="360" w:lineRule="auto"/>
              <w:ind w:firstLine="0" w:firstLineChars="0"/>
              <w:contextualSpacing/>
              <w:rPr>
                <w:rFonts w:hAnsi="宋体"/>
                <w:szCs w:val="21"/>
              </w:rPr>
            </w:pPr>
            <w:bookmarkStart w:id="25" w:name="_Toc464905814"/>
            <w:bookmarkStart w:id="26" w:name="_Toc464905618"/>
            <w:bookmarkStart w:id="27" w:name="_Toc464902857"/>
            <w:bookmarkStart w:id="28" w:name="_Toc465074271"/>
            <w:bookmarkStart w:id="29" w:name="_Toc464905562"/>
            <w:r>
              <w:rPr>
                <w:rFonts w:hint="eastAsia" w:hAnsi="宋体"/>
                <w:b/>
                <w:bCs/>
                <w:szCs w:val="21"/>
              </w:rPr>
              <w:t>10、其它应予说明的事项</w:t>
            </w:r>
            <w:bookmarkEnd w:id="25"/>
            <w:bookmarkEnd w:id="26"/>
            <w:bookmarkEnd w:id="27"/>
            <w:bookmarkEnd w:id="28"/>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0" w:type="dxa"/>
            <w:gridSpan w:val="2"/>
            <w:vAlign w:val="center"/>
          </w:tcPr>
          <w:p>
            <w:pPr>
              <w:pStyle w:val="15"/>
              <w:adjustRightInd w:val="0"/>
              <w:spacing w:line="360" w:lineRule="auto"/>
              <w:ind w:firstLine="210" w:firstLineChars="100"/>
              <w:contextualSpacing/>
              <w:rPr>
                <w:rFonts w:hint="eastAsia" w:hAnsi="宋体" w:eastAsia="宋体"/>
                <w:szCs w:val="21"/>
                <w:lang w:val="en-US" w:eastAsia="zh-CN"/>
              </w:rPr>
            </w:pPr>
            <w:r>
              <w:rPr>
                <w:rFonts w:hint="eastAsia" w:ascii="仿宋" w:hAnsi="仿宋" w:eastAsia="仿宋" w:cs="仿宋"/>
                <w:szCs w:val="21"/>
                <w:lang w:val="en-US" w:eastAsia="zh-CN"/>
              </w:rPr>
              <w:t>无</w:t>
            </w:r>
          </w:p>
        </w:tc>
      </w:tr>
    </w:tbl>
    <w:p>
      <w:pPr>
        <w:pStyle w:val="16"/>
      </w:pPr>
      <w:r>
        <w:rPr>
          <w:rFonts w:hint="eastAsia"/>
        </w:rPr>
        <w:t>没有的请填写 “无”。</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222556"/>
    <w:multiLevelType w:val="singleLevel"/>
    <w:tmpl w:val="94222556"/>
    <w:lvl w:ilvl="0" w:tentative="0">
      <w:start w:val="1"/>
      <w:numFmt w:val="decimal"/>
      <w:lvlText w:val="%1)"/>
      <w:lvlJc w:val="left"/>
      <w:pPr>
        <w:ind w:left="425" w:hanging="425"/>
      </w:pPr>
      <w:rPr>
        <w:rFonts w:hint="default"/>
      </w:rPr>
    </w:lvl>
  </w:abstractNum>
  <w:abstractNum w:abstractNumId="1">
    <w:nsid w:val="B3C11655"/>
    <w:multiLevelType w:val="singleLevel"/>
    <w:tmpl w:val="B3C11655"/>
    <w:lvl w:ilvl="0" w:tentative="0">
      <w:start w:val="1"/>
      <w:numFmt w:val="decimal"/>
      <w:suff w:val="nothing"/>
      <w:lvlText w:val="%1）"/>
      <w:lvlJc w:val="left"/>
    </w:lvl>
  </w:abstractNum>
  <w:abstractNum w:abstractNumId="2">
    <w:nsid w:val="FED5A91F"/>
    <w:multiLevelType w:val="multilevel"/>
    <w:tmpl w:val="FED5A91F"/>
    <w:lvl w:ilvl="0" w:tentative="0">
      <w:start w:val="1"/>
      <w:numFmt w:val="decimal"/>
      <w:lvlText w:val="%1"/>
      <w:lvlJc w:val="left"/>
      <w:pPr>
        <w:tabs>
          <w:tab w:val="left" w:pos="420"/>
        </w:tabs>
        <w:ind w:left="0" w:firstLine="0"/>
      </w:pPr>
      <w:rPr>
        <w:rFonts w:hint="default"/>
      </w:rPr>
    </w:lvl>
    <w:lvl w:ilvl="1" w:tentative="0">
      <w:start w:val="1"/>
      <w:numFmt w:val="decimal"/>
      <w:lvlText w:val="%1.%2"/>
      <w:lvlJc w:val="left"/>
      <w:pPr>
        <w:tabs>
          <w:tab w:val="left" w:pos="463"/>
        </w:tabs>
        <w:ind w:left="0" w:firstLine="0"/>
      </w:pPr>
      <w:rPr>
        <w:rFonts w:hint="default"/>
        <w:b/>
        <w:bCs/>
        <w:color w:val="000000"/>
      </w:rPr>
    </w:lvl>
    <w:lvl w:ilvl="2" w:tentative="0">
      <w:start w:val="1"/>
      <w:numFmt w:val="decimal"/>
      <w:lvlText w:val="10.0.%3"/>
      <w:lvlJc w:val="left"/>
      <w:pPr>
        <w:tabs>
          <w:tab w:val="left" w:pos="646"/>
        </w:tabs>
        <w:ind w:left="0" w:firstLine="0"/>
      </w:pPr>
      <w:rPr>
        <w:rFonts w:hint="default" w:ascii="仿宋" w:hAnsi="仿宋" w:eastAsia="仿宋" w:cs="仿宋"/>
        <w:b w:val="0"/>
        <w:bCs w:val="0"/>
        <w:color w:val="auto"/>
        <w:sz w:val="21"/>
        <w:szCs w:val="21"/>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29FE48CB"/>
    <w:multiLevelType w:val="singleLevel"/>
    <w:tmpl w:val="29FE48CB"/>
    <w:lvl w:ilvl="0" w:tentative="0">
      <w:start w:val="1"/>
      <w:numFmt w:val="decimal"/>
      <w:lvlText w:val="%1)"/>
      <w:lvlJc w:val="left"/>
      <w:pPr>
        <w:ind w:left="425" w:hanging="425"/>
      </w:pPr>
      <w:rPr>
        <w:rFonts w:hint="default"/>
      </w:rPr>
    </w:lvl>
  </w:abstractNum>
  <w:abstractNum w:abstractNumId="4">
    <w:nsid w:val="5A274A13"/>
    <w:multiLevelType w:val="multilevel"/>
    <w:tmpl w:val="5A274A13"/>
    <w:lvl w:ilvl="0" w:tentative="0">
      <w:start w:val="1"/>
      <w:numFmt w:val="decimal"/>
      <w:lvlText w:val="%1"/>
      <w:lvlJc w:val="left"/>
      <w:pPr>
        <w:tabs>
          <w:tab w:val="left" w:pos="851"/>
        </w:tabs>
        <w:ind w:left="0" w:firstLine="340"/>
      </w:pPr>
      <w:rPr>
        <w:rFonts w:hint="default" w:ascii="仿宋" w:hAnsi="仿宋" w:eastAsia="仿宋" w:cs="仿宋"/>
        <w:b w:val="0"/>
        <w:bCs/>
        <w:i w:val="0"/>
        <w:sz w:val="21"/>
        <w:szCs w:val="2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657D3FBC"/>
    <w:multiLevelType w:val="multilevel"/>
    <w:tmpl w:val="657D3FBC"/>
    <w:lvl w:ilvl="0" w:tentative="0">
      <w:start w:val="1"/>
      <w:numFmt w:val="upperLetter"/>
      <w:pStyle w:val="13"/>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6DBF04F4"/>
    <w:multiLevelType w:val="multilevel"/>
    <w:tmpl w:val="6DBF04F4"/>
    <w:lvl w:ilvl="0" w:tentative="0">
      <w:start w:val="1"/>
      <w:numFmt w:val="none"/>
      <w:pStyle w:val="16"/>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7">
    <w:nsid w:val="774C656F"/>
    <w:multiLevelType w:val="multilevel"/>
    <w:tmpl w:val="774C656F"/>
    <w:lvl w:ilvl="0" w:tentative="0">
      <w:start w:val="1"/>
      <w:numFmt w:val="decimal"/>
      <w:lvlText w:val="%1"/>
      <w:lvlJc w:val="left"/>
      <w:pPr>
        <w:tabs>
          <w:tab w:val="left" w:pos="851"/>
        </w:tabs>
        <w:ind w:left="0" w:firstLine="340"/>
      </w:pPr>
      <w:rPr>
        <w:rFonts w:hint="default" w:ascii="仿宋" w:hAnsi="仿宋" w:eastAsia="仿宋" w:cs="仿宋"/>
        <w:b w:val="0"/>
        <w:bCs/>
        <w:i w:val="0"/>
        <w:sz w:val="21"/>
        <w:szCs w:val="2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77727436"/>
    <w:multiLevelType w:val="singleLevel"/>
    <w:tmpl w:val="77727436"/>
    <w:lvl w:ilvl="0" w:tentative="0">
      <w:start w:val="1"/>
      <w:numFmt w:val="lowerLetter"/>
      <w:suff w:val="nothing"/>
      <w:lvlText w:val="（%1）"/>
      <w:lvlJc w:val="left"/>
    </w:lvl>
  </w:abstractNum>
  <w:num w:numId="1">
    <w:abstractNumId w:val="5"/>
  </w:num>
  <w:num w:numId="2">
    <w:abstractNumId w:val="6"/>
  </w:num>
  <w:num w:numId="3">
    <w:abstractNumId w:val="3"/>
  </w:num>
  <w:num w:numId="4">
    <w:abstractNumId w:val="0"/>
  </w:num>
  <w:num w:numId="5">
    <w:abstractNumId w:val="1"/>
  </w:num>
  <w:num w:numId="6">
    <w:abstractNumId w:val="8"/>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GFlZjdiMDkyMmU3Y2M3NGEzMmY5ODE2OTJlMzAifQ=="/>
  </w:docVars>
  <w:rsids>
    <w:rsidRoot w:val="11937BFE"/>
    <w:rsid w:val="0000424A"/>
    <w:rsid w:val="00022D15"/>
    <w:rsid w:val="00037EC4"/>
    <w:rsid w:val="000614F3"/>
    <w:rsid w:val="00095D6F"/>
    <w:rsid w:val="000B1103"/>
    <w:rsid w:val="00101794"/>
    <w:rsid w:val="0011059C"/>
    <w:rsid w:val="001649DF"/>
    <w:rsid w:val="001C48B2"/>
    <w:rsid w:val="001D60F1"/>
    <w:rsid w:val="00200018"/>
    <w:rsid w:val="0025402E"/>
    <w:rsid w:val="00275B1C"/>
    <w:rsid w:val="002C4F30"/>
    <w:rsid w:val="002F3700"/>
    <w:rsid w:val="00382EC6"/>
    <w:rsid w:val="0040754A"/>
    <w:rsid w:val="004B1E7D"/>
    <w:rsid w:val="004B53BE"/>
    <w:rsid w:val="004C7E1D"/>
    <w:rsid w:val="00520F21"/>
    <w:rsid w:val="005F142B"/>
    <w:rsid w:val="0064069E"/>
    <w:rsid w:val="00680642"/>
    <w:rsid w:val="006B40F3"/>
    <w:rsid w:val="006C1EF2"/>
    <w:rsid w:val="00710393"/>
    <w:rsid w:val="00764F30"/>
    <w:rsid w:val="007A1B5D"/>
    <w:rsid w:val="007F5F75"/>
    <w:rsid w:val="008355C7"/>
    <w:rsid w:val="00934A62"/>
    <w:rsid w:val="00992834"/>
    <w:rsid w:val="00AA0056"/>
    <w:rsid w:val="00B52793"/>
    <w:rsid w:val="00B532B6"/>
    <w:rsid w:val="00BA32EC"/>
    <w:rsid w:val="00C127B9"/>
    <w:rsid w:val="00C1334E"/>
    <w:rsid w:val="00C6226B"/>
    <w:rsid w:val="00C62F50"/>
    <w:rsid w:val="00C645AD"/>
    <w:rsid w:val="00CD36D7"/>
    <w:rsid w:val="00D279CA"/>
    <w:rsid w:val="00D47E8A"/>
    <w:rsid w:val="00DA23A5"/>
    <w:rsid w:val="00E00E61"/>
    <w:rsid w:val="00EF0423"/>
    <w:rsid w:val="00F5620E"/>
    <w:rsid w:val="00F575B3"/>
    <w:rsid w:val="00F62C5A"/>
    <w:rsid w:val="00F709E5"/>
    <w:rsid w:val="00F923AF"/>
    <w:rsid w:val="082C305D"/>
    <w:rsid w:val="0CE67C4B"/>
    <w:rsid w:val="0E0139D1"/>
    <w:rsid w:val="11937BFE"/>
    <w:rsid w:val="138E756A"/>
    <w:rsid w:val="1F667A5B"/>
    <w:rsid w:val="207D005D"/>
    <w:rsid w:val="2189338F"/>
    <w:rsid w:val="234611FA"/>
    <w:rsid w:val="24B42D48"/>
    <w:rsid w:val="250D57C2"/>
    <w:rsid w:val="26BC2BB7"/>
    <w:rsid w:val="3016641A"/>
    <w:rsid w:val="341E18DB"/>
    <w:rsid w:val="34410D46"/>
    <w:rsid w:val="37E37D6C"/>
    <w:rsid w:val="3BCE7B87"/>
    <w:rsid w:val="406225EF"/>
    <w:rsid w:val="44BD68E4"/>
    <w:rsid w:val="45F125C6"/>
    <w:rsid w:val="4DE2784F"/>
    <w:rsid w:val="61D36618"/>
    <w:rsid w:val="6B6279DC"/>
    <w:rsid w:val="6B815641"/>
    <w:rsid w:val="6CFC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3"/>
    <w:next w:val="1"/>
    <w:qFormat/>
    <w:uiPriority w:val="0"/>
    <w:pPr>
      <w:widowControl w:val="0"/>
      <w:spacing w:beforeAutospacing="1" w:afterAutospacing="1"/>
      <w:outlineLvl w:val="2"/>
    </w:pPr>
    <w:rPr>
      <w:rFonts w:ascii="宋体" w:hAnsi="Times New Roman" w:eastAsia="宋体" w:cs="Times New Roman"/>
      <w:b/>
      <w:sz w:val="27"/>
      <w:szCs w:val="27"/>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ind w:firstLine="600" w:firstLineChars="250"/>
    </w:pPr>
    <w:rPr>
      <w:sz w:val="24"/>
    </w:rPr>
  </w:style>
  <w:style w:type="paragraph" w:styleId="5">
    <w:name w:val="footer"/>
    <w:basedOn w:val="1"/>
    <w:link w:val="18"/>
    <w:qFormat/>
    <w:uiPriority w:val="0"/>
    <w:pPr>
      <w:tabs>
        <w:tab w:val="center" w:pos="4153"/>
        <w:tab w:val="right" w:pos="8306"/>
      </w:tabs>
      <w:snapToGrid w:val="0"/>
      <w:spacing w:line="240" w:lineRule="atLeast"/>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8">
    <w:name w:val="Body Text First Indent 2"/>
    <w:basedOn w:val="4"/>
    <w:qFormat/>
    <w:uiPriority w:val="0"/>
    <w:pPr>
      <w:ind w:firstLine="420"/>
    </w:pPr>
    <w:rPr>
      <w:rFonts w:ascii="仿宋_GB2312" w:eastAsia="仿宋_GB2312" w:cs="仿宋_GB2312"/>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标准文件_附录标识"/>
    <w:next w:val="14"/>
    <w:qFormat/>
    <w:uiPriority w:val="0"/>
    <w:pPr>
      <w:numPr>
        <w:ilvl w:val="0"/>
        <w:numId w:val="1"/>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1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6">
    <w:name w:val="标准文件_注："/>
    <w:next w:val="14"/>
    <w:qFormat/>
    <w:uiPriority w:val="0"/>
    <w:pPr>
      <w:widowControl w:val="0"/>
      <w:numPr>
        <w:ilvl w:val="0"/>
        <w:numId w:val="2"/>
      </w:numPr>
      <w:autoSpaceDE w:val="0"/>
      <w:autoSpaceDN w:val="0"/>
      <w:jc w:val="both"/>
    </w:pPr>
    <w:rPr>
      <w:rFonts w:ascii="宋体" w:hAnsi="Times New Roman" w:eastAsia="宋体" w:cs="Times New Roman"/>
      <w:sz w:val="18"/>
      <w:szCs w:val="18"/>
      <w:lang w:val="en-US" w:eastAsia="zh-CN" w:bidi="ar-SA"/>
    </w:rPr>
  </w:style>
  <w:style w:type="character" w:customStyle="1" w:styleId="17">
    <w:name w:val="页眉 字符"/>
    <w:basedOn w:val="11"/>
    <w:link w:val="6"/>
    <w:qFormat/>
    <w:uiPriority w:val="0"/>
    <w:rPr>
      <w:rFonts w:ascii="Calibri" w:hAnsi="Calibri" w:eastAsia="宋体" w:cs="Times New Roman"/>
      <w:kern w:val="2"/>
      <w:sz w:val="18"/>
      <w:szCs w:val="18"/>
    </w:rPr>
  </w:style>
  <w:style w:type="character" w:customStyle="1" w:styleId="18">
    <w:name w:val="页脚 字符"/>
    <w:basedOn w:val="11"/>
    <w:link w:val="5"/>
    <w:qFormat/>
    <w:uiPriority w:val="0"/>
    <w:rPr>
      <w:rFonts w:ascii="Calibri" w:hAnsi="Calibri" w:eastAsia="宋体" w:cs="Times New Roman"/>
      <w:kern w:val="2"/>
      <w:sz w:val="18"/>
      <w:szCs w:val="18"/>
    </w:rPr>
  </w:style>
  <w:style w:type="character" w:customStyle="1" w:styleId="19">
    <w:name w:val="op_exactqa_word_word_text1"/>
    <w:basedOn w:val="11"/>
    <w:qFormat/>
    <w:uiPriority w:val="0"/>
    <w:rPr>
      <w:spacing w:val="15"/>
      <w:sz w:val="20"/>
      <w:szCs w:val="20"/>
    </w:rPr>
  </w:style>
  <w:style w:type="paragraph" w:customStyle="1" w:styleId="20">
    <w:name w:val="List Paragraph"/>
    <w:basedOn w:val="1"/>
    <w:qFormat/>
    <w:uiPriority w:val="34"/>
    <w:pPr>
      <w:ind w:firstLine="420" w:firstLineChars="200"/>
    </w:pPr>
  </w:style>
  <w:style w:type="paragraph" w:customStyle="1" w:styleId="21">
    <w:name w:val="Other|1"/>
    <w:basedOn w:val="1"/>
    <w:qFormat/>
    <w:uiPriority w:val="0"/>
    <w:pPr>
      <w:widowControl w:val="0"/>
      <w:shd w:val="clear" w:color="auto" w:fill="auto"/>
      <w:spacing w:after="140" w:line="326" w:lineRule="auto"/>
      <w:ind w:firstLine="400"/>
    </w:pPr>
    <w:rPr>
      <w:rFonts w:ascii="宋体" w:hAnsi="宋体" w:eastAsia="宋体" w:cs="宋体"/>
      <w:sz w:val="36"/>
      <w:szCs w:val="3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9.emf"/><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9"/>
    <customShpInfo spid="_x0000_s1028"/>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6840</Words>
  <Characters>7396</Characters>
  <Lines>17</Lines>
  <Paragraphs>4</Paragraphs>
  <TotalTime>1</TotalTime>
  <ScaleCrop>false</ScaleCrop>
  <LinksUpToDate>false</LinksUpToDate>
  <CharactersWithSpaces>7683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2022-09-22T02:36:00Z</dcterms:created>
  <dc:creator>ying123lin163com</dc:creator>
  <cp:lastModifiedBy>ying123lin163com</cp:lastModifiedBy>
  <dcterms:modified xsi:type="dcterms:W3CDTF">2023-11-06T02:42:09Z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87F2E4C637A14956BAF8740417F459E4_13</vt:lpwstr>
  </property>
</Properties>
</file>