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5"/>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3"/>
              <w:framePr w:wrap="notBeside" w:vAnchor="page" w:hAnchor="page" w:x="1372" w:y="568"/>
              <w:tabs>
                <w:tab w:val="clear" w:pos="4153"/>
                <w:tab w:val="clear" w:pos="8306"/>
              </w:tabs>
              <w:overflowPunct w:val="0"/>
              <w:spacing w:line="240" w:lineRule="auto"/>
              <w:jc w:val="left"/>
              <w:rPr>
                <w:rFonts w:ascii="黑体" w:hAnsi="黑体" w:eastAsia="黑体"/>
                <w:sz w:val="21"/>
                <w:szCs w:val="21"/>
              </w:rPr>
            </w:pPr>
            <w:bookmarkStart w:id="251" w:name="_GoBack"/>
            <w:bookmarkEnd w:id="251"/>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23"/>
              <w:framePr w:wrap="notBeside" w:vAnchor="page" w:hAnchor="page" w:x="1372" w:y="568"/>
              <w:tabs>
                <w:tab w:val="clear" w:pos="4153"/>
                <w:tab w:val="clear" w:pos="8306"/>
              </w:tabs>
              <w:overflowPunct w:val="0"/>
              <w:spacing w:line="240" w:lineRule="auto"/>
              <w:jc w:val="both"/>
              <w:rPr>
                <w:rFonts w:ascii="黑体" w:hAnsi="黑体" w:eastAsia="黑体"/>
                <w:sz w:val="21"/>
                <w:szCs w:val="21"/>
              </w:rPr>
            </w:pPr>
            <w:r>
              <w:rPr>
                <w:rFonts w:hint="eastAsia" w:ascii="黑体" w:hAnsi="黑体" w:eastAsia="黑体"/>
                <w:sz w:val="21"/>
                <w:szCs w:val="21"/>
              </w:rPr>
              <w:t>91.</w:t>
            </w:r>
            <w:r>
              <w:rPr>
                <w:rFonts w:ascii="黑体" w:hAnsi="黑体" w:eastAsia="黑体"/>
                <w:sz w:val="21"/>
                <w:szCs w:val="21"/>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3"/>
              <w:framePr w:wrap="notBeside" w:vAnchor="page" w:hAnchor="page" w:x="1372" w:y="568"/>
              <w:tabs>
                <w:tab w:val="clear" w:pos="4153"/>
                <w:tab w:val="clear" w:pos="8306"/>
              </w:tabs>
              <w:overflowPunct w:val="0"/>
              <w:spacing w:before="40" w:line="240" w:lineRule="auto"/>
              <w:ind w:left="273" w:hanging="273" w:hangingChars="130"/>
              <w:jc w:val="left"/>
              <w:rPr>
                <w:rFonts w:ascii="黑体" w:hAnsi="黑体" w:eastAsia="黑体"/>
                <w:sz w:val="21"/>
                <w:szCs w:val="21"/>
              </w:rPr>
            </w:pPr>
            <w:r>
              <w:rPr>
                <w:rFonts w:hint="eastAsia" w:ascii="Times New Roman" w:hAnsi="Times New Roman" w:eastAsia="黑体"/>
                <w:sz w:val="21"/>
                <w:szCs w:val="21"/>
              </w:rPr>
              <w:t>CCS</w:t>
            </w:r>
            <w:r>
              <w:rPr>
                <w:rFonts w:hint="eastAsia" w:ascii="黑体" w:hAnsi="黑体" w:eastAsia="黑体"/>
                <w:sz w:val="21"/>
                <w:szCs w:val="21"/>
              </w:rPr>
              <w:t xml:space="preserve"> </w:t>
            </w:r>
          </w:p>
        </w:tc>
        <w:tc>
          <w:tcPr>
            <w:tcW w:w="8855" w:type="dxa"/>
          </w:tcPr>
          <w:p>
            <w:pPr>
              <w:pStyle w:val="23"/>
              <w:framePr w:wrap="notBeside" w:vAnchor="page" w:hAnchor="page" w:x="1372" w:y="568"/>
              <w:tabs>
                <w:tab w:val="clear" w:pos="4153"/>
                <w:tab w:val="clear" w:pos="8306"/>
              </w:tabs>
              <w:overflowPunct w:val="0"/>
              <w:spacing w:before="40" w:line="240" w:lineRule="auto"/>
              <w:jc w:val="left"/>
              <w:rPr>
                <w:rFonts w:ascii="黑体" w:hAnsi="黑体" w:eastAsia="黑体"/>
                <w:sz w:val="21"/>
                <w:szCs w:val="21"/>
              </w:rPr>
            </w:pPr>
            <w:r>
              <w:rPr>
                <w:rFonts w:ascii="黑体" w:hAnsi="黑体" w:eastAsia="黑体"/>
                <w:sz w:val="21"/>
                <w:szCs w:val="21"/>
              </w:rPr>
              <w:t xml:space="preserve">P </w:t>
            </w:r>
          </w:p>
        </w:tc>
      </w:tr>
    </w:tbl>
    <w:tbl>
      <w:tblPr>
        <w:tblStyle w:val="35"/>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9"/>
              <w:framePr w:w="0" w:hRule="auto" w:wrap="auto" w:vAnchor="margin" w:hAnchor="text" w:xAlign="left" w:yAlign="inline"/>
              <w:overflowPunct w:val="0"/>
              <w:spacing w:line="240" w:lineRule="auto"/>
              <w:rPr>
                <w:sz w:val="28"/>
                <w:szCs w:val="28"/>
              </w:rPr>
            </w:pPr>
            <w:bookmarkStart w:id="0" w:name="_Hlk26473981"/>
            <w:r>
              <w:t>DB</w:t>
            </w:r>
            <w:bookmarkStart w:id="1" w:name="c3"/>
            <w:r>
              <w:fldChar w:fldCharType="begin">
                <w:ffData>
                  <w:name w:val="c3"/>
                  <w:enabled/>
                  <w:calcOnExit w:val="0"/>
                  <w:textInput>
                    <w:maxLength w:val="2"/>
                  </w:textInput>
                </w:ffData>
              </w:fldChar>
            </w:r>
            <w:r>
              <w:instrText xml:space="preserve"> FORMTEXT </w:instrText>
            </w:r>
            <w:r>
              <w:fldChar w:fldCharType="separate"/>
            </w:r>
            <w:r>
              <w:rPr>
                <w:rFonts w:hint="eastAsia"/>
              </w:rPr>
              <w:t>42</w:t>
            </w:r>
            <w:r>
              <w:fldChar w:fldCharType="end"/>
            </w:r>
            <w:bookmarkEnd w:id="1"/>
          </w:p>
        </w:tc>
      </w:tr>
    </w:tbl>
    <w:p>
      <w:pPr>
        <w:pStyle w:val="60"/>
        <w:framePr w:w="9639" w:h="624" w:hRule="exact" w:hSpace="181" w:vSpace="181" w:hAnchor="page" w:x="1305" w:y="2269"/>
        <w:autoSpaceDE/>
        <w:autoSpaceDN/>
        <w:spacing w:line="240" w:lineRule="auto"/>
        <w:rPr>
          <w:rFonts w:ascii="黑体" w:hAnsi="黑体" w:eastAsia="黑体"/>
          <w:b w:val="0"/>
          <w:bCs w:val="0"/>
          <w:w w:val="100"/>
          <w:sz w:val="48"/>
          <w:szCs w:val="48"/>
        </w:rPr>
      </w:pPr>
      <w:r>
        <w:rPr>
          <w:rFonts w:hint="eastAsia" w:ascii="黑体" w:eastAsia="黑体"/>
          <w:b w:val="0"/>
          <w:w w:val="100"/>
          <w:sz w:val="48"/>
        </w:rPr>
        <w:t>湖北省</w:t>
      </w:r>
      <w:r>
        <w:rPr>
          <w:rFonts w:hint="eastAsia" w:ascii="黑体" w:hAnsi="黑体" w:eastAsia="黑体"/>
          <w:b w:val="0"/>
          <w:bCs w:val="0"/>
          <w:w w:val="100"/>
          <w:sz w:val="48"/>
          <w:szCs w:val="48"/>
        </w:rPr>
        <w:t>地方标准</w:t>
      </w:r>
    </w:p>
    <w:bookmarkEnd w:id="0"/>
    <w:p>
      <w:pPr>
        <w:pStyle w:val="205"/>
        <w:framePr/>
        <w:wordWrap/>
        <w:overflowPunct w:val="0"/>
        <w:autoSpaceDE/>
        <w:autoSpaceDN/>
        <w:spacing w:line="240" w:lineRule="auto"/>
        <w:rPr>
          <w:rFonts w:hAnsi="黑体"/>
        </w:rPr>
      </w:pPr>
      <w:r>
        <w:rPr>
          <w:rFonts w:hAnsi="黑体"/>
          <w:lang w:val="fr-FR"/>
        </w:rPr>
        <w:t>DB</w:t>
      </w:r>
      <w:r>
        <w:rPr>
          <w:rFonts w:hAnsi="黑体"/>
        </w:rPr>
        <w:t xml:space="preserve">42/T </w:t>
      </w:r>
      <w:r>
        <w:rPr>
          <w:rFonts w:hint="eastAsia" w:hAnsi="黑体"/>
        </w:rPr>
        <w:t>xxxx—xxxx</w:t>
      </w:r>
    </w:p>
    <w:p>
      <w:pPr>
        <w:overflowPunct w:val="0"/>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2699385</wp:posOffset>
                </wp:positionV>
                <wp:extent cx="6120130" cy="0"/>
                <wp:effectExtent l="0" t="0" r="0" b="0"/>
                <wp:wrapNone/>
                <wp:docPr id="2"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接连接符 73" o:spid="_x0000_s1026" o:spt="20" style="position:absolute;left:0pt;margin-left:70.9pt;margin-top:212.5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TeJ0i1wAA&#10;AAwBAAAPAAAAAAAAAAEAIAAAADgAAABkcnMvZG93bnJldi54bWxQSwECFAAUAAAACACHTuJAMUPo&#10;ZtABAABuAwAADgAAAAAAAAABACAAAAA8AQAAZHJzL2Uyb0RvYy54bWxQSwUGAAAAAAYABgBZAQAA&#10;fgUAAAAA&#10;">
                <v:fill on="f" focussize="0,0"/>
                <v:stroke color="#000000" joinstyle="round"/>
                <v:imagedata o:title=""/>
                <o:lock v:ext="edit" aspectratio="f"/>
              </v:line>
            </w:pict>
          </mc:Fallback>
        </mc:AlternateContent>
      </w:r>
    </w:p>
    <w:p>
      <w:pPr>
        <w:pStyle w:val="60"/>
        <w:framePr w:w="9639" w:h="6976" w:hRule="exact" w:hSpace="0" w:vSpace="0" w:hAnchor="page" w:y="6408"/>
        <w:autoSpaceDE/>
        <w:autoSpaceDN/>
        <w:spacing w:line="240" w:lineRule="auto"/>
        <w:jc w:val="center"/>
        <w:rPr>
          <w:rFonts w:ascii="黑体" w:hAnsi="黑体" w:eastAsia="黑体"/>
          <w:b w:val="0"/>
          <w:bCs w:val="0"/>
          <w:w w:val="100"/>
        </w:rPr>
      </w:pPr>
    </w:p>
    <w:p>
      <w:pPr>
        <w:pStyle w:val="207"/>
        <w:framePr w:h="6974" w:hRule="exact" w:wrap="around" w:x="1419" w:anchorLock="1"/>
        <w:overflowPunct w:val="0"/>
      </w:pPr>
      <w:r>
        <w:rPr>
          <w:rFonts w:hint="eastAsia"/>
        </w:rPr>
        <w:t>智能建造评价标准</w:t>
      </w:r>
    </w:p>
    <w:p>
      <w:pPr>
        <w:pStyle w:val="135"/>
        <w:framePr w:w="9639" w:h="6974" w:hRule="exact" w:wrap="around" w:vAnchor="page" w:hAnchor="page" w:x="1419" w:y="6408" w:anchorLock="1"/>
        <w:overflowPunct w:val="0"/>
        <w:spacing w:before="240" w:after="240"/>
        <w:textAlignment w:val="bottom"/>
        <w:rPr>
          <w:rFonts w:ascii="黑体" w:hAnsi="黑体" w:eastAsia="黑体"/>
          <w:szCs w:val="28"/>
        </w:rPr>
      </w:pPr>
      <w:r>
        <w:rPr>
          <w:rFonts w:ascii="黑体" w:hAnsi="黑体" w:eastAsia="黑体"/>
          <w:szCs w:val="28"/>
        </w:rPr>
        <w:t xml:space="preserve">Evaluation standard for intelligent construction </w:t>
      </w:r>
    </w:p>
    <w:p>
      <w:pPr>
        <w:framePr w:w="9639" w:h="6974" w:hRule="exact" w:wrap="around" w:vAnchor="page" w:hAnchor="page" w:x="1419" w:y="6408" w:anchorLock="1"/>
        <w:overflowPunct w:val="0"/>
        <w:spacing w:line="760" w:lineRule="exact"/>
        <w:ind w:left="-1418"/>
      </w:pPr>
    </w:p>
    <w:p>
      <w:pPr>
        <w:pStyle w:val="135"/>
        <w:framePr w:w="9639" w:h="6974" w:hRule="exact" w:wrap="around" w:vAnchor="page" w:hAnchor="page" w:x="1419" w:y="6408" w:anchorLock="1"/>
        <w:overflowPunct w:val="0"/>
        <w:spacing w:before="720" w:beforeLines="300" w:after="72" w:afterLines="30" w:line="240" w:lineRule="auto"/>
        <w:textAlignment w:val="bottom"/>
        <w:rPr>
          <w:b/>
          <w:sz w:val="21"/>
          <w:szCs w:val="28"/>
        </w:rPr>
      </w:pPr>
      <w:r>
        <w:rPr>
          <w:rFonts w:hint="eastAsia" w:ascii="黑体" w:hAnsi="黑体" w:eastAsia="黑体"/>
          <w:sz w:val="32"/>
          <w:szCs w:val="32"/>
        </w:rPr>
        <w:t>（征求意见稿）</w:t>
      </w:r>
    </w:p>
    <w:p>
      <w:pPr>
        <w:pStyle w:val="203"/>
        <w:framePr w:y="14176"/>
        <w:overflowPunct w:val="0"/>
      </w:pPr>
      <w:r>
        <w:rPr>
          <w:rFonts w:hint="eastAsia" w:ascii="黑体"/>
        </w:rPr>
        <w:t>xxx</w:t>
      </w:r>
      <w:r>
        <w:rPr>
          <w:rFonts w:ascii="黑体"/>
        </w:rPr>
        <w:t>x-xx-xx</w:t>
      </w:r>
      <w:r>
        <w:rPr>
          <w:rFonts w:hint="eastAsia"/>
        </w:rPr>
        <w:t>发布</w:t>
      </w:r>
    </w:p>
    <w:p>
      <w:pPr>
        <w:pStyle w:val="204"/>
        <w:framePr w:y="14176"/>
        <w:overflowPunct w:val="0"/>
      </w:pPr>
      <w:r>
        <w:rPr>
          <w:rFonts w:ascii="黑体"/>
        </w:rPr>
        <w:t>xxxx-xx-xx</w:t>
      </w:r>
      <w:r>
        <w:rPr>
          <w:rFonts w:hint="eastAsia"/>
        </w:rPr>
        <w:t>实施</w:t>
      </w:r>
    </w:p>
    <w:tbl>
      <w:tblPr>
        <w:tblStyle w:val="34"/>
        <w:tblpPr w:leftFromText="180" w:rightFromText="180" w:vertAnchor="text" w:horzAnchor="margin" w:tblpXSpec="center" w:tblpY="14394"/>
        <w:tblW w:w="0" w:type="auto"/>
        <w:tblInd w:w="0" w:type="dxa"/>
        <w:tblLayout w:type="fixed"/>
        <w:tblCellMar>
          <w:top w:w="0" w:type="dxa"/>
          <w:left w:w="108" w:type="dxa"/>
          <w:bottom w:w="0" w:type="dxa"/>
          <w:right w:w="108" w:type="dxa"/>
        </w:tblCellMar>
      </w:tblPr>
      <w:tblGrid>
        <w:gridCol w:w="4678"/>
        <w:gridCol w:w="1258"/>
      </w:tblGrid>
      <w:tr>
        <w:tblPrEx>
          <w:tblCellMar>
            <w:top w:w="0" w:type="dxa"/>
            <w:left w:w="108" w:type="dxa"/>
            <w:bottom w:w="0" w:type="dxa"/>
            <w:right w:w="108" w:type="dxa"/>
          </w:tblCellMar>
        </w:tblPrEx>
        <w:trPr>
          <w:trHeight w:val="337" w:hRule="atLeast"/>
        </w:trPr>
        <w:tc>
          <w:tcPr>
            <w:tcW w:w="4678" w:type="dxa"/>
            <w:vAlign w:val="center"/>
          </w:tcPr>
          <w:p>
            <w:pPr>
              <w:overflowPunct w:val="0"/>
              <w:spacing w:line="240" w:lineRule="auto"/>
              <w:rPr>
                <w:rFonts w:ascii="黑体" w:hAnsi="Calibri Light" w:eastAsia="黑体"/>
                <w:b/>
                <w:bCs/>
                <w:spacing w:val="20"/>
                <w:w w:val="135"/>
                <w:sz w:val="28"/>
                <w:szCs w:val="28"/>
              </w:rPr>
            </w:pPr>
            <w:r>
              <w:rPr>
                <w:rFonts w:hint="eastAsia" w:ascii="黑体" w:eastAsia="黑体"/>
                <w:spacing w:val="20"/>
                <w:w w:val="135"/>
                <w:sz w:val="28"/>
                <w:szCs w:val="28"/>
              </w:rPr>
              <w:t>湖北省住房和城乡建设厅</w:t>
            </w:r>
          </w:p>
        </w:tc>
        <w:tc>
          <w:tcPr>
            <w:tcW w:w="1258" w:type="dxa"/>
            <w:vMerge w:val="restart"/>
            <w:vAlign w:val="center"/>
          </w:tcPr>
          <w:p>
            <w:pPr>
              <w:overflowPunct w:val="0"/>
              <w:spacing w:line="240" w:lineRule="auto"/>
              <w:jc w:val="center"/>
              <w:rPr>
                <w:rFonts w:ascii="黑体" w:eastAsia="黑体"/>
                <w:sz w:val="28"/>
                <w:szCs w:val="28"/>
              </w:rPr>
            </w:pPr>
            <w:r>
              <w:rPr>
                <w:rFonts w:hint="eastAsia" w:ascii="黑体" w:eastAsia="黑体"/>
                <w:sz w:val="32"/>
                <w:szCs w:val="28"/>
              </w:rPr>
              <w:t>发 布</w:t>
            </w:r>
          </w:p>
        </w:tc>
      </w:tr>
      <w:tr>
        <w:tblPrEx>
          <w:tblCellMar>
            <w:top w:w="0" w:type="dxa"/>
            <w:left w:w="108" w:type="dxa"/>
            <w:bottom w:w="0" w:type="dxa"/>
            <w:right w:w="108" w:type="dxa"/>
          </w:tblCellMar>
        </w:tblPrEx>
        <w:trPr>
          <w:trHeight w:val="400" w:hRule="atLeast"/>
        </w:trPr>
        <w:tc>
          <w:tcPr>
            <w:tcW w:w="4678" w:type="dxa"/>
            <w:vAlign w:val="center"/>
          </w:tcPr>
          <w:p>
            <w:pPr>
              <w:overflowPunct w:val="0"/>
              <w:spacing w:line="240" w:lineRule="auto"/>
              <w:rPr>
                <w:rFonts w:ascii="黑体" w:eastAsia="黑体"/>
                <w:sz w:val="28"/>
                <w:szCs w:val="28"/>
              </w:rPr>
            </w:pPr>
            <w:r>
              <w:rPr>
                <w:rFonts w:hint="eastAsia" w:ascii="黑体" w:eastAsia="黑体"/>
                <w:spacing w:val="20"/>
                <w:w w:val="135"/>
                <w:sz w:val="28"/>
                <w:szCs w:val="28"/>
              </w:rPr>
              <w:t>湖北省市场监督管理局</w:t>
            </w:r>
          </w:p>
        </w:tc>
        <w:tc>
          <w:tcPr>
            <w:tcW w:w="1258" w:type="dxa"/>
            <w:vMerge w:val="continue"/>
            <w:vAlign w:val="center"/>
          </w:tcPr>
          <w:p>
            <w:pPr>
              <w:overflowPunct w:val="0"/>
              <w:spacing w:line="240" w:lineRule="auto"/>
              <w:jc w:val="center"/>
              <w:rPr>
                <w:rFonts w:ascii="黑体" w:eastAsia="黑体"/>
                <w:sz w:val="32"/>
                <w:szCs w:val="32"/>
              </w:rPr>
            </w:pPr>
          </w:p>
        </w:tc>
      </w:tr>
    </w:tbl>
    <w:p>
      <w:pPr>
        <w:overflowPunct w:val="0"/>
        <w:spacing w:line="240" w:lineRule="auto"/>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9251950</wp:posOffset>
                </wp:positionV>
                <wp:extent cx="6120130" cy="0"/>
                <wp:effectExtent l="0" t="0" r="0" b="0"/>
                <wp:wrapNone/>
                <wp:docPr id="3"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接连接符 5" o:spid="_x0000_s1026" o:spt="20" style="position:absolute;left:0pt;margin-left:70.85pt;margin-top:728.5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CCK6EtcAAAAO&#10;AQAADwAAAAAAAAABACAAAAA4AAAAZHJzL2Rvd25yZXYueG1sUEsBAhQAFAAAAAgAh07iQCdq+J7O&#10;AQAAbQMAAA4AAAAAAAAAAQAgAAAAPAEAAGRycy9lMm9Eb2MueG1sUEsFBgAAAAAGAAYAWQEAAHwF&#10;AAAAAA==&#10;">
                <v:fill on="f" focussize="0,0"/>
                <v:stroke color="#000000" joinstyle="round"/>
                <v:imagedata o:title=""/>
                <o:lock v:ext="edit" aspectratio="f"/>
                <w10:anchorlock/>
              </v:line>
            </w:pict>
          </mc:Fallback>
        </mc:AlternateContent>
      </w:r>
    </w:p>
    <w:p>
      <w:pPr>
        <w:pStyle w:val="101"/>
        <w:spacing w:after="468"/>
      </w:pPr>
      <w:bookmarkStart w:id="2" w:name="BookMark1"/>
      <w:bookmarkStart w:id="3" w:name="_Toc116980757"/>
      <w:bookmarkStart w:id="4" w:name="_Toc97555966"/>
      <w:bookmarkStart w:id="5" w:name="_Toc97556766"/>
      <w:bookmarkStart w:id="6" w:name="_Toc135144134"/>
      <w:bookmarkStart w:id="7" w:name="_Toc135144084"/>
      <w:bookmarkStart w:id="8" w:name="_Toc29586"/>
      <w:bookmarkStart w:id="9" w:name="_Toc89434467"/>
      <w:bookmarkStart w:id="10" w:name="_Toc121259839"/>
      <w:bookmarkStart w:id="11" w:name="_Toc97556812"/>
      <w:bookmarkStart w:id="12" w:name="_Toc116999431"/>
      <w:r>
        <w:rPr>
          <w:rFonts w:hint="eastAsia"/>
          <w:spacing w:val="320"/>
        </w:rPr>
        <w:t>目</w:t>
      </w:r>
      <w:r>
        <w:rPr>
          <w:rFonts w:hint="eastAsia"/>
        </w:rPr>
        <w:t>次</w:t>
      </w:r>
    </w:p>
    <w:p>
      <w:pPr>
        <w:pStyle w:val="24"/>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"_Toc148431718" </w:instrText>
      </w:r>
      <w:r>
        <w:fldChar w:fldCharType="separate"/>
      </w:r>
      <w:r>
        <w:rPr>
          <w:rStyle w:val="41"/>
          <w:spacing w:val="320"/>
        </w:rPr>
        <w:t>前</w:t>
      </w:r>
      <w:r>
        <w:rPr>
          <w:rStyle w:val="41"/>
        </w:rPr>
        <w:t>言</w:t>
      </w:r>
      <w:r>
        <w:tab/>
      </w:r>
      <w:r>
        <w:rPr>
          <w:rFonts w:hint="eastAsia"/>
        </w:rPr>
        <w:t>Ⅰ</w:t>
      </w:r>
      <w:r>
        <w:rPr>
          <w:rFonts w:hint="eastAsia"/>
        </w:rPr>
        <w:fldChar w:fldCharType="end"/>
      </w:r>
    </w:p>
    <w:p>
      <w:pPr>
        <w:pStyle w:val="24"/>
        <w:rPr>
          <w:rFonts w:asciiTheme="minorHAnsi" w:hAnsiTheme="minorHAnsi" w:eastAsiaTheme="minorEastAsia" w:cstheme="minorBidi"/>
          <w:szCs w:val="22"/>
        </w:rPr>
      </w:pPr>
      <w:r>
        <w:fldChar w:fldCharType="begin"/>
      </w:r>
      <w:r>
        <w:instrText xml:space="preserve"> HYPERLINK \l "_Toc148431719" </w:instrText>
      </w:r>
      <w:r>
        <w:fldChar w:fldCharType="separate"/>
      </w:r>
      <w:r>
        <w:rPr>
          <w:rStyle w:val="41"/>
          <w:spacing w:val="320"/>
        </w:rPr>
        <w:t>引</w:t>
      </w:r>
      <w:r>
        <w:rPr>
          <w:rStyle w:val="41"/>
        </w:rPr>
        <w:t>言</w:t>
      </w:r>
      <w:r>
        <w:tab/>
      </w:r>
      <w:r>
        <w:rPr>
          <w:rFonts w:hint="eastAsia"/>
        </w:rPr>
        <w:t>Ⅱ</w:t>
      </w:r>
      <w:r>
        <w:rPr>
          <w:rFonts w:hint="eastAsia"/>
        </w:rPr>
        <w:fldChar w:fldCharType="end"/>
      </w:r>
    </w:p>
    <w:p>
      <w:pPr>
        <w:pStyle w:val="24"/>
        <w:rPr>
          <w:rFonts w:asciiTheme="minorHAnsi" w:hAnsiTheme="minorHAnsi" w:eastAsiaTheme="minorEastAsia" w:cstheme="minorBidi"/>
          <w:szCs w:val="22"/>
        </w:rPr>
      </w:pPr>
      <w:r>
        <w:fldChar w:fldCharType="begin"/>
      </w:r>
      <w:r>
        <w:instrText xml:space="preserve"> HYPERLINK \l "_Toc148431720" </w:instrText>
      </w:r>
      <w:r>
        <w:fldChar w:fldCharType="separate"/>
      </w:r>
      <w:r>
        <w:rPr>
          <w:rStyle w:val="41"/>
        </w:rPr>
        <w:t>1 范围</w:t>
      </w:r>
      <w:r>
        <w:tab/>
      </w:r>
      <w:r>
        <w:fldChar w:fldCharType="begin"/>
      </w:r>
      <w:r>
        <w:instrText xml:space="preserve"> PAGEREF _Toc148431720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"_Toc148431721" </w:instrText>
      </w:r>
      <w:r>
        <w:fldChar w:fldCharType="separate"/>
      </w:r>
      <w:r>
        <w:rPr>
          <w:rStyle w:val="41"/>
        </w:rPr>
        <w:t>2 规范性引用文件</w:t>
      </w:r>
      <w:r>
        <w:tab/>
      </w:r>
      <w:r>
        <w:fldChar w:fldCharType="begin"/>
      </w:r>
      <w:r>
        <w:instrText xml:space="preserve"> PAGEREF _Toc148431721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"_Toc148431722" </w:instrText>
      </w:r>
      <w:r>
        <w:fldChar w:fldCharType="separate"/>
      </w:r>
      <w:r>
        <w:rPr>
          <w:rStyle w:val="41"/>
        </w:rPr>
        <w:t>3 术语和定义</w:t>
      </w:r>
      <w:r>
        <w:tab/>
      </w:r>
      <w:r>
        <w:fldChar w:fldCharType="begin"/>
      </w:r>
      <w:r>
        <w:instrText xml:space="preserve"> PAGEREF _Toc148431722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"_Toc148431723" </w:instrText>
      </w:r>
      <w:r>
        <w:fldChar w:fldCharType="separate"/>
      </w:r>
      <w:r>
        <w:rPr>
          <w:rStyle w:val="41"/>
          <w:rFonts w:hAnsi="宋体" w:cs="宋体"/>
        </w:rPr>
        <w:t>4</w:t>
      </w:r>
      <w:r>
        <w:rPr>
          <w:rStyle w:val="41"/>
        </w:rPr>
        <w:t xml:space="preserve"> 基本规定</w:t>
      </w:r>
      <w:r>
        <w:tab/>
      </w:r>
      <w:r>
        <w:fldChar w:fldCharType="begin"/>
      </w:r>
      <w:r>
        <w:instrText xml:space="preserve"> PAGEREF _Toc148431723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"_Toc148431724" </w:instrText>
      </w:r>
      <w:r>
        <w:fldChar w:fldCharType="separate"/>
      </w:r>
      <w:r>
        <w:rPr>
          <w:rStyle w:val="41"/>
        </w:rPr>
        <w:t>5 评价方法</w:t>
      </w:r>
      <w:r>
        <w:tab/>
      </w:r>
      <w:r>
        <w:fldChar w:fldCharType="begin"/>
      </w:r>
      <w:r>
        <w:instrText xml:space="preserve"> PAGEREF _Toc148431724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"_Toc148431725" </w:instrText>
      </w:r>
      <w:r>
        <w:fldChar w:fldCharType="separate"/>
      </w:r>
      <w:r>
        <w:rPr>
          <w:rStyle w:val="41"/>
        </w:rPr>
        <w:t>6 组织与策划评价</w:t>
      </w:r>
      <w:r>
        <w:tab/>
      </w:r>
      <w:r>
        <w:fldChar w:fldCharType="begin"/>
      </w:r>
      <w:r>
        <w:instrText xml:space="preserve"> PAGEREF _Toc148431725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"_Toc148431726" </w:instrText>
      </w:r>
      <w:r>
        <w:fldChar w:fldCharType="separate"/>
      </w:r>
      <w:r>
        <w:rPr>
          <w:rStyle w:val="41"/>
        </w:rPr>
        <w:t>7 建造过程评价</w:t>
      </w:r>
      <w:r>
        <w:tab/>
      </w:r>
      <w:r>
        <w:fldChar w:fldCharType="begin"/>
      </w:r>
      <w:r>
        <w:instrText xml:space="preserve"> PAGEREF _Toc148431726 \h </w:instrText>
      </w:r>
      <w:r>
        <w:fldChar w:fldCharType="separate"/>
      </w:r>
      <w:r>
        <w:t>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"_Toc148431727" </w:instrText>
      </w:r>
      <w:r>
        <w:fldChar w:fldCharType="separate"/>
      </w:r>
      <w:r>
        <w:rPr>
          <w:rStyle w:val="41"/>
        </w:rPr>
        <w:t>8 品质与价值评价</w:t>
      </w:r>
      <w:r>
        <w:tab/>
      </w:r>
      <w:r>
        <w:fldChar w:fldCharType="begin"/>
      </w:r>
      <w:r>
        <w:instrText xml:space="preserve"> PAGEREF _Toc148431727 \h </w:instrText>
      </w:r>
      <w:r>
        <w:fldChar w:fldCharType="separate"/>
      </w:r>
      <w:r>
        <w:t>13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"_Toc148431728" </w:instrText>
      </w:r>
      <w:r>
        <w:fldChar w:fldCharType="separate"/>
      </w:r>
      <w:r>
        <w:rPr>
          <w:rStyle w:val="41"/>
        </w:rPr>
        <w:t>附表 1  湖北省智能建造水平评价表</w:t>
      </w:r>
      <w:r>
        <w:tab/>
      </w:r>
      <w:r>
        <w:fldChar w:fldCharType="begin"/>
      </w:r>
      <w:r>
        <w:instrText xml:space="preserve"> PAGEREF _Toc148431728 \h </w:instrText>
      </w:r>
      <w:r>
        <w:fldChar w:fldCharType="separate"/>
      </w:r>
      <w:r>
        <w:t>17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"_Toc148431729" </w:instrText>
      </w:r>
      <w:r>
        <w:fldChar w:fldCharType="separate"/>
      </w:r>
      <w:r>
        <w:rPr>
          <w:rStyle w:val="41"/>
        </w:rPr>
        <w:t>附表 2  湖北省智能建造项目申报信息汇总表</w:t>
      </w:r>
      <w:r>
        <w:tab/>
      </w:r>
      <w:r>
        <w:fldChar w:fldCharType="begin"/>
      </w:r>
      <w:r>
        <w:instrText xml:space="preserve"> PAGEREF _Toc148431729 \h </w:instrText>
      </w:r>
      <w:r>
        <w:fldChar w:fldCharType="separate"/>
      </w:r>
      <w:r>
        <w:t>19</w:t>
      </w:r>
      <w:r>
        <w:fldChar w:fldCharType="end"/>
      </w:r>
      <w:r>
        <w:fldChar w:fldCharType="end"/>
      </w:r>
    </w:p>
    <w:p>
      <w:pPr>
        <w:pStyle w:val="24"/>
        <w:rPr>
          <w:rFonts w:hint="eastAsia" w:asciiTheme="minorHAnsi" w:hAnsiTheme="minorHAnsi" w:eastAsiaTheme="minorEastAsia" w:cstheme="minorBidi"/>
          <w:szCs w:val="22"/>
        </w:rPr>
      </w:pPr>
      <w:r>
        <w:fldChar w:fldCharType="begin"/>
      </w:r>
      <w:r>
        <w:instrText xml:space="preserve"> HYPERLINK \l "_Toc148431730" </w:instrText>
      </w:r>
      <w:r>
        <w:fldChar w:fldCharType="separate"/>
      </w:r>
      <w:r>
        <w:rPr>
          <w:rStyle w:val="41"/>
          <w:spacing w:val="100"/>
        </w:rPr>
        <w:t>附录A</w:t>
      </w:r>
      <w:r>
        <w:rPr>
          <w:rStyle w:val="41"/>
        </w:rPr>
        <w:t xml:space="preserve"> 证明材料的具体编制内容和深度要求</w:t>
      </w:r>
      <w:r>
        <w:tab/>
      </w:r>
      <w:r>
        <w:fldChar w:fldCharType="begin"/>
      </w:r>
      <w:r>
        <w:instrText xml:space="preserve"> PAGEREF _Toc148431730 \h </w:instrText>
      </w:r>
      <w:r>
        <w:fldChar w:fldCharType="separate"/>
      </w:r>
      <w:r>
        <w:t>20</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"_Toc148431750" </w:instrText>
      </w:r>
      <w:r>
        <w:fldChar w:fldCharType="separate"/>
      </w:r>
      <w:r>
        <w:rPr>
          <w:rStyle w:val="41"/>
          <w:spacing w:val="100"/>
        </w:rPr>
        <w:t>附录B</w:t>
      </w:r>
      <w:r>
        <w:rPr>
          <w:rStyle w:val="41"/>
        </w:rPr>
        <w:t xml:space="preserve"> 智能建造整体策划方案（模板）</w:t>
      </w:r>
      <w:r>
        <w:tab/>
      </w:r>
      <w:r>
        <w:fldChar w:fldCharType="begin"/>
      </w:r>
      <w:r>
        <w:instrText xml:space="preserve"> PAGEREF _Toc148431750 \h </w:instrText>
      </w:r>
      <w:r>
        <w:fldChar w:fldCharType="separate"/>
      </w:r>
      <w:r>
        <w:t>21</w:t>
      </w:r>
      <w:r>
        <w:fldChar w:fldCharType="end"/>
      </w:r>
      <w:r>
        <w:fldChar w:fldCharType="end"/>
      </w:r>
    </w:p>
    <w:p>
      <w:pPr>
        <w:pStyle w:val="24"/>
        <w:rPr>
          <w:rFonts w:asciiTheme="minorHAnsi" w:hAnsiTheme="minorHAnsi" w:eastAsiaTheme="minorEastAsia" w:cstheme="minorBidi"/>
          <w:szCs w:val="22"/>
        </w:rPr>
      </w:pPr>
    </w:p>
    <w:p>
      <w:pPr>
        <w:pStyle w:val="24"/>
        <w:rPr>
          <w:rFonts w:asciiTheme="minorHAnsi" w:hAnsiTheme="minorHAnsi" w:eastAsiaTheme="minorEastAsia" w:cstheme="minorBidi"/>
          <w:szCs w:val="22"/>
        </w:rPr>
      </w:pPr>
    </w:p>
    <w:p>
      <w:pPr>
        <w:pStyle w:val="24"/>
        <w:rPr>
          <w:rFonts w:asciiTheme="minorHAnsi" w:hAnsiTheme="minorHAnsi" w:eastAsiaTheme="minorEastAsia" w:cstheme="minorBidi"/>
          <w:szCs w:val="22"/>
        </w:rPr>
      </w:pPr>
    </w:p>
    <w:p>
      <w:pPr>
        <w:pStyle w:val="24"/>
        <w:rPr>
          <w:rFonts w:asciiTheme="minorHAnsi" w:hAnsiTheme="minorHAnsi" w:eastAsiaTheme="minorEastAsia" w:cstheme="minorBidi"/>
          <w:szCs w:val="22"/>
        </w:rPr>
      </w:pPr>
    </w:p>
    <w:p>
      <w:pPr>
        <w:pStyle w:val="24"/>
        <w:rPr>
          <w:rFonts w:asciiTheme="minorHAnsi" w:hAnsiTheme="minorHAnsi" w:eastAsiaTheme="minorEastAsia" w:cstheme="minorBidi"/>
          <w:szCs w:val="22"/>
        </w:rPr>
      </w:pPr>
    </w:p>
    <w:p>
      <w:pPr>
        <w:pStyle w:val="24"/>
        <w:rPr>
          <w:rFonts w:asciiTheme="minorHAnsi" w:hAnsiTheme="minorHAnsi" w:eastAsiaTheme="minorEastAsia" w:cstheme="minorBidi"/>
          <w:szCs w:val="22"/>
        </w:rPr>
      </w:pPr>
    </w:p>
    <w:p>
      <w:pPr>
        <w:pStyle w:val="101"/>
        <w:spacing w:after="468"/>
        <w:sectPr>
          <w:headerReference r:id="rId11" w:type="default"/>
          <w:footerReference r:id="rId13" w:type="default"/>
          <w:headerReference r:id="rId12" w:type="even"/>
          <w:footerReference r:id="rId14"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
    <w:p>
      <w:pPr>
        <w:pStyle w:val="99"/>
        <w:numPr>
          <w:ilvl w:val="0"/>
          <w:numId w:val="0"/>
        </w:numPr>
        <w:overflowPunct w:val="0"/>
        <w:spacing w:after="686" w:afterLines="220"/>
      </w:pPr>
      <w:bookmarkStart w:id="13" w:name="_Toc148431718"/>
      <w:bookmarkStart w:id="14" w:name="BookMark2"/>
      <w:r>
        <w:rPr>
          <w:spacing w:val="320"/>
        </w:rPr>
        <w:t>前</w:t>
      </w:r>
      <w:r>
        <w:t>言</w:t>
      </w:r>
      <w:bookmarkEnd w:id="3"/>
      <w:bookmarkEnd w:id="4"/>
      <w:bookmarkEnd w:id="5"/>
      <w:bookmarkEnd w:id="6"/>
      <w:bookmarkEnd w:id="7"/>
      <w:bookmarkEnd w:id="8"/>
      <w:bookmarkEnd w:id="9"/>
      <w:bookmarkEnd w:id="10"/>
      <w:bookmarkEnd w:id="11"/>
      <w:bookmarkEnd w:id="12"/>
      <w:bookmarkEnd w:id="13"/>
    </w:p>
    <w:p>
      <w:pPr>
        <w:pStyle w:val="66"/>
        <w:ind w:firstLine="420"/>
        <w:rPr>
          <w:rFonts w:hAnsi="宋体"/>
        </w:rPr>
      </w:pPr>
      <w:r>
        <w:rPr>
          <w:rFonts w:hint="eastAsia" w:hAnsi="宋体"/>
        </w:rPr>
        <w:t>本文件按照</w:t>
      </w:r>
      <w:r>
        <w:rPr>
          <w:rFonts w:hAnsi="宋体"/>
        </w:rPr>
        <w:t>GB/T 1.1</w:t>
      </w:r>
      <w:r>
        <w:rPr>
          <w:rFonts w:hint="eastAsia" w:hAnsi="宋体"/>
        </w:rPr>
        <w:t>—</w:t>
      </w:r>
      <w:r>
        <w:rPr>
          <w:rFonts w:hAnsi="宋体"/>
        </w:rPr>
        <w:t>2020</w:t>
      </w:r>
      <w:r>
        <w:rPr>
          <w:rFonts w:hint="eastAsia" w:hAnsi="宋体"/>
        </w:rPr>
        <w:t xml:space="preserve">《标准化工作导则 </w:t>
      </w:r>
      <w:r>
        <w:rPr>
          <w:rFonts w:hAnsi="宋体"/>
        </w:rPr>
        <w:t xml:space="preserve"> </w:t>
      </w:r>
      <w:r>
        <w:rPr>
          <w:rFonts w:hint="eastAsia" w:hAnsi="宋体"/>
        </w:rPr>
        <w:t>第</w:t>
      </w:r>
      <w:r>
        <w:rPr>
          <w:rFonts w:hAnsi="宋体"/>
        </w:rPr>
        <w:t>1</w:t>
      </w:r>
      <w:r>
        <w:rPr>
          <w:rFonts w:hint="eastAsia" w:hAnsi="宋体"/>
        </w:rPr>
        <w:t>部分：标准化文件的结构和起草规则》</w:t>
      </w:r>
      <w:r>
        <w:rPr>
          <w:rFonts w:hint="eastAsia"/>
        </w:rPr>
        <w:t>给出的规则起草</w:t>
      </w:r>
      <w:r>
        <w:rPr>
          <w:rFonts w:hint="eastAsia" w:hAnsi="宋体"/>
        </w:rPr>
        <w:t>。</w:t>
      </w:r>
    </w:p>
    <w:p>
      <w:pPr>
        <w:pStyle w:val="66"/>
        <w:ind w:firstLine="420"/>
        <w:rPr>
          <w:rFonts w:hAnsi="宋体"/>
        </w:rPr>
      </w:pPr>
      <w:r>
        <w:rPr>
          <w:rFonts w:hint="eastAsia" w:hAnsi="宋体"/>
        </w:rPr>
        <w:t>本文件由湖北省住房和城乡建设厅提出并归口管理。</w:t>
      </w:r>
    </w:p>
    <w:p>
      <w:pPr>
        <w:pStyle w:val="66"/>
        <w:ind w:firstLine="420"/>
        <w:rPr>
          <w:rFonts w:hAnsi="宋体"/>
        </w:rPr>
      </w:pPr>
      <w:r>
        <w:rPr>
          <w:rFonts w:hint="eastAsia" w:hAnsi="宋体"/>
        </w:rPr>
        <w:t>本文件起草单位：中建三局集团有限公司、中南建筑设计院股份有限公司、中交第二航务工程局有限公司、中铁大桥局集团有限公司、中铁十一局集团有限公司、中信工程设计建设有限公司。</w:t>
      </w:r>
    </w:p>
    <w:p>
      <w:pPr>
        <w:pStyle w:val="66"/>
        <w:ind w:firstLine="420"/>
        <w:rPr>
          <w:rFonts w:hAnsi="宋体"/>
        </w:rPr>
      </w:pPr>
      <w:r>
        <w:rPr>
          <w:rFonts w:hint="eastAsia" w:hAnsi="宋体"/>
        </w:rPr>
        <w:t>本文件主要起草人：周杰刚、许铭、金强强、孟猛、戴锋、王能林、王伟、</w:t>
      </w:r>
      <w:r>
        <w:rPr>
          <w:rFonts w:hAnsi="宋体"/>
        </w:rPr>
        <w:t>魏欣</w:t>
      </w:r>
      <w:r>
        <w:rPr>
          <w:rFonts w:hint="eastAsia" w:hAnsi="宋体"/>
        </w:rPr>
        <w:t>、何超然、田唯、陶世峰、胡怡之、周晗、欧振祥、刘文路、王卫锋。</w:t>
      </w:r>
    </w:p>
    <w:p>
      <w:pPr>
        <w:pStyle w:val="66"/>
        <w:ind w:firstLine="420"/>
        <w:rPr>
          <w:rFonts w:hAnsi="宋体"/>
        </w:rPr>
      </w:pPr>
      <w:r>
        <w:rPr>
          <w:rFonts w:hint="eastAsia" w:hAnsi="宋体"/>
        </w:rPr>
        <w:t>本文件实施应用中的疑问，可咨询湖北省住房和城乡建设厅，联系电话</w:t>
      </w:r>
      <w:r>
        <w:rPr>
          <w:rFonts w:hAnsi="宋体"/>
        </w:rPr>
        <w:t>: 027-68873088，邮</w:t>
      </w:r>
      <w:r>
        <w:rPr>
          <w:rFonts w:hint="eastAsia" w:hAnsi="宋体"/>
        </w:rPr>
        <w:t>箱：</w:t>
      </w:r>
      <w:r>
        <w:rPr>
          <w:rFonts w:hAnsi="宋体"/>
        </w:rPr>
        <w:t>mail.hbszjt.net.cn。</w:t>
      </w:r>
      <w:r>
        <w:rPr>
          <w:rFonts w:hint="eastAsia" w:hAnsi="宋体"/>
        </w:rPr>
        <w:t>在执行过程中如有意见和建议请邮寄中建三局集团有限公司（</w:t>
      </w:r>
      <w:r>
        <w:rPr>
          <w:rFonts w:hAnsi="宋体"/>
        </w:rPr>
        <w:t>地址</w:t>
      </w:r>
      <w:r>
        <w:rPr>
          <w:rFonts w:hint="eastAsia" w:hAnsi="宋体"/>
        </w:rPr>
        <w:t>：湖北省武汉市东湖高新区高新大道799号中建科技产业园总部大楼H栋5楼</w:t>
      </w:r>
      <w:r>
        <w:rPr>
          <w:rFonts w:hAnsi="宋体"/>
        </w:rPr>
        <w:t>，邮编</w:t>
      </w:r>
      <w:r>
        <w:rPr>
          <w:rFonts w:hint="eastAsia" w:hAnsi="宋体"/>
        </w:rPr>
        <w:t>：</w:t>
      </w:r>
      <w:r>
        <w:rPr>
          <w:rFonts w:hAnsi="宋体"/>
        </w:rPr>
        <w:t>430075，</w:t>
      </w:r>
      <w:r>
        <w:rPr>
          <w:rFonts w:hint="eastAsia" w:hAnsi="宋体"/>
        </w:rPr>
        <w:t>联系电话：0</w:t>
      </w:r>
      <w:r>
        <w:rPr>
          <w:rFonts w:hAnsi="宋体"/>
        </w:rPr>
        <w:t>27-65275747</w:t>
      </w:r>
      <w:r>
        <w:rPr>
          <w:rFonts w:hint="eastAsia" w:hAnsi="宋体"/>
        </w:rPr>
        <w:t>，邮</w:t>
      </w:r>
      <w:r>
        <w:rPr>
          <w:rFonts w:hAnsi="宋体"/>
        </w:rPr>
        <w:t>箱:476727446@qq.com</w:t>
      </w:r>
      <w:r>
        <w:rPr>
          <w:rFonts w:hint="eastAsia" w:hAnsi="宋体"/>
        </w:rPr>
        <w:t>）。</w:t>
      </w:r>
    </w:p>
    <w:p>
      <w:pPr>
        <w:pStyle w:val="66"/>
        <w:ind w:firstLine="420"/>
      </w:pPr>
    </w:p>
    <w:p>
      <w:pPr>
        <w:pStyle w:val="66"/>
        <w:ind w:firstLine="420"/>
      </w:pPr>
    </w:p>
    <w:p>
      <w:pPr>
        <w:pStyle w:val="66"/>
        <w:overflowPunct w:val="0"/>
        <w:autoSpaceDE/>
        <w:autoSpaceDN/>
        <w:ind w:firstLine="420"/>
      </w:pPr>
    </w:p>
    <w:p>
      <w:pPr>
        <w:pStyle w:val="66"/>
        <w:overflowPunct w:val="0"/>
        <w:autoSpaceDE/>
        <w:autoSpaceDN/>
        <w:ind w:firstLine="420"/>
      </w:pPr>
    </w:p>
    <w:p>
      <w:pPr>
        <w:pStyle w:val="66"/>
        <w:overflowPunct w:val="0"/>
        <w:autoSpaceDE/>
        <w:autoSpaceDN/>
        <w:ind w:firstLine="420"/>
      </w:pPr>
    </w:p>
    <w:p>
      <w:pPr>
        <w:pStyle w:val="66"/>
        <w:overflowPunct w:val="0"/>
        <w:autoSpaceDE/>
        <w:autoSpaceDN/>
        <w:ind w:firstLine="420"/>
      </w:pPr>
    </w:p>
    <w:p>
      <w:pPr>
        <w:pStyle w:val="66"/>
        <w:overflowPunct w:val="0"/>
        <w:autoSpaceDE/>
        <w:autoSpaceDN/>
        <w:ind w:firstLine="420"/>
      </w:pPr>
    </w:p>
    <w:p>
      <w:pPr>
        <w:pStyle w:val="66"/>
        <w:overflowPunct w:val="0"/>
        <w:autoSpaceDE/>
        <w:autoSpaceDN/>
        <w:ind w:firstLine="420"/>
      </w:pPr>
    </w:p>
    <w:p>
      <w:pPr>
        <w:widowControl/>
        <w:adjustRightInd/>
        <w:spacing w:line="240" w:lineRule="auto"/>
        <w:jc w:val="left"/>
        <w:rPr>
          <w:rFonts w:ascii="宋体" w:hAnsi="Times New Roman"/>
          <w:kern w:val="0"/>
          <w:szCs w:val="20"/>
        </w:rPr>
      </w:pPr>
      <w:r>
        <w:br w:type="page"/>
      </w:r>
    </w:p>
    <w:p>
      <w:pPr>
        <w:pStyle w:val="99"/>
        <w:numPr>
          <w:ilvl w:val="0"/>
          <w:numId w:val="0"/>
        </w:numPr>
        <w:overflowPunct w:val="0"/>
        <w:spacing w:after="686" w:afterLines="220"/>
      </w:pPr>
      <w:bookmarkStart w:id="15" w:name="_Toc148431719"/>
      <w:r>
        <w:rPr>
          <w:rFonts w:hint="eastAsia"/>
          <w:spacing w:val="320"/>
        </w:rPr>
        <w:t>引</w:t>
      </w:r>
      <w:r>
        <w:t>言</w:t>
      </w:r>
      <w:bookmarkEnd w:id="15"/>
    </w:p>
    <w:p>
      <w:pPr>
        <w:pStyle w:val="66"/>
        <w:ind w:firstLine="420"/>
        <w:rPr>
          <w:rFonts w:hAnsi="宋体"/>
        </w:rPr>
      </w:pPr>
      <w:r>
        <w:rPr>
          <w:rFonts w:hint="eastAsia" w:hAnsi="宋体"/>
        </w:rPr>
        <w:t>近年来，国家将发展智能建造纳入“十四五”规划纲要，发展智能建造迎来重大战略机遇。发展智能建造是推动产业转型升级的关键环节，为积极贯彻落实我省智能建造发展政策，推动我省智能建造加快发展，现编写适用于湖北省智能建造评价的地方标准。</w:t>
      </w:r>
    </w:p>
    <w:p>
      <w:pPr>
        <w:pStyle w:val="66"/>
        <w:ind w:firstLine="420"/>
        <w:rPr>
          <w:rFonts w:hAnsi="宋体"/>
        </w:rPr>
      </w:pPr>
      <w:bookmarkStart w:id="16" w:name="_Hlk144212210"/>
      <w:r>
        <w:rPr>
          <w:rFonts w:hint="eastAsia" w:hAnsi="宋体"/>
        </w:rPr>
        <w:t>本文件共分</w:t>
      </w:r>
      <w:r>
        <w:rPr>
          <w:rFonts w:hAnsi="宋体"/>
        </w:rPr>
        <w:t>8</w:t>
      </w:r>
      <w:r>
        <w:rPr>
          <w:rFonts w:hint="eastAsia" w:hAnsi="宋体"/>
        </w:rPr>
        <w:t>章。主要内容为：1</w:t>
      </w:r>
      <w:r>
        <w:rPr>
          <w:rFonts w:hAnsi="宋体"/>
        </w:rPr>
        <w:t>.</w:t>
      </w:r>
      <w:r>
        <w:rPr>
          <w:rFonts w:hint="eastAsia" w:hAnsi="宋体"/>
        </w:rPr>
        <w:t>范围；2</w:t>
      </w:r>
      <w:r>
        <w:rPr>
          <w:rFonts w:hAnsi="宋体"/>
        </w:rPr>
        <w:t>.</w:t>
      </w:r>
      <w:r>
        <w:rPr>
          <w:rFonts w:hint="eastAsia" w:hAnsi="宋体"/>
        </w:rPr>
        <w:t>规范性引用文件；</w:t>
      </w:r>
      <w:r>
        <w:rPr>
          <w:rFonts w:hAnsi="宋体"/>
        </w:rPr>
        <w:t>3.</w:t>
      </w:r>
      <w:r>
        <w:rPr>
          <w:rFonts w:hint="eastAsia" w:hAnsi="宋体"/>
        </w:rPr>
        <w:t>术语和定义；</w:t>
      </w:r>
      <w:r>
        <w:rPr>
          <w:rFonts w:hAnsi="宋体"/>
        </w:rPr>
        <w:t>4.</w:t>
      </w:r>
      <w:r>
        <w:rPr>
          <w:rFonts w:hint="eastAsia" w:hAnsi="宋体"/>
        </w:rPr>
        <w:t>基本规定；</w:t>
      </w:r>
      <w:r>
        <w:rPr>
          <w:rFonts w:hAnsi="宋体"/>
        </w:rPr>
        <w:t>5.</w:t>
      </w:r>
      <w:r>
        <w:rPr>
          <w:rFonts w:hint="eastAsia" w:hAnsi="宋体"/>
        </w:rPr>
        <w:t>评价方法；</w:t>
      </w:r>
      <w:r>
        <w:rPr>
          <w:rFonts w:hAnsi="宋体"/>
        </w:rPr>
        <w:t>6.</w:t>
      </w:r>
      <w:r>
        <w:rPr>
          <w:rFonts w:hint="eastAsia" w:hAnsi="宋体"/>
        </w:rPr>
        <w:t>组织与策划评价；</w:t>
      </w:r>
      <w:r>
        <w:rPr>
          <w:rFonts w:hAnsi="宋体"/>
        </w:rPr>
        <w:t>7.</w:t>
      </w:r>
      <w:r>
        <w:rPr>
          <w:rFonts w:hint="eastAsia" w:hAnsi="宋体"/>
        </w:rPr>
        <w:t>建造过程评价；</w:t>
      </w:r>
      <w:r>
        <w:rPr>
          <w:rFonts w:hAnsi="宋体"/>
        </w:rPr>
        <w:t>8.</w:t>
      </w:r>
      <w:r>
        <w:rPr>
          <w:rFonts w:hint="eastAsia" w:hAnsi="宋体"/>
        </w:rPr>
        <w:t>品质与价值评价。</w:t>
      </w:r>
      <w:bookmarkEnd w:id="16"/>
    </w:p>
    <w:p>
      <w:pPr>
        <w:widowControl/>
        <w:adjustRightInd/>
        <w:spacing w:line="240" w:lineRule="auto"/>
        <w:jc w:val="center"/>
        <w:rPr>
          <w:rFonts w:ascii="宋体" w:hAnsi="Times New Roman"/>
          <w:kern w:val="0"/>
          <w:szCs w:val="20"/>
        </w:rPr>
      </w:pPr>
    </w:p>
    <w:p>
      <w:pPr>
        <w:pStyle w:val="66"/>
        <w:overflowPunct w:val="0"/>
        <w:autoSpaceDE/>
        <w:autoSpaceDN/>
        <w:ind w:firstLine="420"/>
        <w:sectPr>
          <w:headerReference r:id="rId15" w:type="default"/>
          <w:footerReference r:id="rId17" w:type="default"/>
          <w:headerReference r:id="rId16" w:type="even"/>
          <w:footerReference r:id="rId18" w:type="even"/>
          <w:pgSz w:w="11906" w:h="16838"/>
          <w:pgMar w:top="2410" w:right="1134" w:bottom="1134" w:left="1134" w:header="1418" w:footer="1134" w:gutter="284"/>
          <w:pgNumType w:fmt="upperRoman"/>
          <w:cols w:space="425" w:num="1"/>
          <w:formProt w:val="0"/>
          <w:docGrid w:type="lines" w:linePitch="312" w:charSpace="0"/>
        </w:sectPr>
      </w:pPr>
    </w:p>
    <w:bookmarkEnd w:id="14"/>
    <w:sdt>
      <w:sdtPr>
        <w:tag w:val="NEW_STAND_NAME"/>
        <w:id w:val="595910757"/>
        <w:lock w:val="sdtLocked"/>
        <w:placeholder>
          <w:docPart w:val="A38F569C79C04CB690A5B31C91791EAF"/>
        </w:placeholder>
      </w:sdtPr>
      <w:sdtContent>
        <w:p>
          <w:pPr>
            <w:pStyle w:val="187"/>
            <w:overflowPunct w:val="0"/>
            <w:spacing w:beforeLines="0" w:after="686" w:afterLines="220" w:line="240" w:lineRule="auto"/>
            <w:outlineLvl w:val="0"/>
          </w:pPr>
          <w:bookmarkStart w:id="17" w:name="NEW_STAND_NAME"/>
          <w:bookmarkStart w:id="18" w:name="_Toc116980758"/>
          <w:bookmarkStart w:id="19" w:name="BookMark4"/>
          <w:r>
            <w:rPr>
              <w:rFonts w:hint="eastAsia" w:cs="黑体"/>
            </w:rPr>
            <w:t>智能建造评价标准</w:t>
          </w:r>
        </w:p>
      </w:sdtContent>
    </w:sdt>
    <w:bookmarkEnd w:id="17"/>
    <w:bookmarkEnd w:id="18"/>
    <w:p>
      <w:pPr>
        <w:pStyle w:val="114"/>
        <w:spacing w:before="312" w:after="312"/>
      </w:pPr>
      <w:bookmarkStart w:id="20" w:name="_Toc148431720"/>
      <w:r>
        <w:rPr>
          <w:rFonts w:hint="eastAsia"/>
        </w:rPr>
        <w:t>范围</w:t>
      </w:r>
      <w:bookmarkEnd w:id="20"/>
    </w:p>
    <w:p>
      <w:pPr>
        <w:pStyle w:val="172"/>
        <w:ind w:left="0"/>
      </w:pPr>
      <w:bookmarkStart w:id="21" w:name="_Toc17233334"/>
      <w:bookmarkStart w:id="22" w:name="_Toc24884219"/>
      <w:bookmarkStart w:id="23" w:name="_Toc24884212"/>
      <w:bookmarkStart w:id="24" w:name="_Toc26648466"/>
      <w:bookmarkStart w:id="25" w:name="_Toc17233326"/>
      <w:r>
        <w:rPr>
          <w:rFonts w:hint="eastAsia" w:hAnsi="宋体"/>
          <w:szCs w:val="21"/>
        </w:rPr>
        <w:t>为落实国家建筑业智能建造的决策部署，推动智能建造工作在保证工程质量和安全的前提下扎实规范展开，同时对项目智能建造工作进行量化评价，特制定本标准</w:t>
      </w:r>
      <w:r>
        <w:rPr>
          <w:rFonts w:hint="eastAsia"/>
        </w:rPr>
        <w:t>。</w:t>
      </w:r>
    </w:p>
    <w:p>
      <w:pPr>
        <w:pStyle w:val="172"/>
        <w:ind w:left="0"/>
      </w:pPr>
      <w:r>
        <w:rPr>
          <w:rFonts w:hint="eastAsia" w:hAnsi="宋体"/>
          <w:szCs w:val="21"/>
        </w:rPr>
        <w:t>本标准适用于建筑工程项目智能建造的评价，基础设施工程项目智能建造评价可参照执行。</w:t>
      </w:r>
    </w:p>
    <w:p>
      <w:pPr>
        <w:pStyle w:val="172"/>
        <w:ind w:left="0"/>
      </w:pPr>
      <w:r>
        <w:rPr>
          <w:rFonts w:hint="eastAsia" w:hAnsi="宋体"/>
          <w:szCs w:val="21"/>
        </w:rPr>
        <w:t>智能建造的评价应遵循科学性、系统性和导向性，鼓励项目大力推广和探索智能建造技术，促进行业的技术进步和生产方式转变。</w:t>
      </w:r>
    </w:p>
    <w:p>
      <w:pPr>
        <w:pStyle w:val="172"/>
        <w:ind w:left="0"/>
      </w:pPr>
      <w:r>
        <w:rPr>
          <w:rFonts w:hint="eastAsia" w:hAnsi="宋体"/>
          <w:szCs w:val="21"/>
        </w:rPr>
        <w:t>智能建造的评价除应符合本标准外，尚应符合国家、行业、地方现行有关标准的规定。</w:t>
      </w:r>
    </w:p>
    <w:p>
      <w:pPr>
        <w:pStyle w:val="114"/>
        <w:spacing w:before="312" w:after="312"/>
      </w:pPr>
      <w:bookmarkStart w:id="26" w:name="_Toc148431721"/>
      <w:r>
        <w:rPr>
          <w:rFonts w:hint="eastAsia"/>
        </w:rPr>
        <w:t>规范性引用文件</w:t>
      </w:r>
      <w:bookmarkEnd w:id="26"/>
    </w:p>
    <w:p>
      <w:pPr>
        <w:pStyle w:val="66"/>
        <w:ind w:firstLine="420"/>
      </w:pPr>
      <w:r>
        <w:rPr>
          <w:rFonts w:hint="eastAsia"/>
        </w:rPr>
        <w:t>下列文件中</w:t>
      </w:r>
      <w:r>
        <w:t>的内容通过文中的</w:t>
      </w:r>
      <w:r>
        <w:rPr>
          <w:rFonts w:hint="eastAsia"/>
        </w:rPr>
        <w:t>规</w:t>
      </w:r>
      <w:r>
        <w:t>范性引用而构成</w:t>
      </w:r>
      <w:r>
        <w:rPr>
          <w:rFonts w:hint="eastAsia"/>
        </w:rPr>
        <w:t>本</w:t>
      </w:r>
      <w:r>
        <w:t>文件</w:t>
      </w:r>
      <w:r>
        <w:rPr>
          <w:rFonts w:hint="eastAsia"/>
        </w:rPr>
        <w:t>必不可少的条</w:t>
      </w:r>
      <w:r>
        <w:t>款</w:t>
      </w:r>
      <w:r>
        <w:rPr>
          <w:rFonts w:hint="eastAsia"/>
        </w:rPr>
        <w:t>。其</w:t>
      </w:r>
      <w:r>
        <w:t>中</w:t>
      </w:r>
      <w:r>
        <w:rPr>
          <w:rFonts w:hint="eastAsia"/>
        </w:rPr>
        <w:t>，注</w:t>
      </w:r>
      <w:r>
        <w:t>日期的引用文件</w:t>
      </w:r>
      <w:r>
        <w:rPr>
          <w:rFonts w:hint="eastAsia"/>
        </w:rPr>
        <w:t>，</w:t>
      </w:r>
      <w:r>
        <w:t>仅该日期</w:t>
      </w:r>
      <w:r>
        <w:rPr>
          <w:rFonts w:hint="eastAsia"/>
        </w:rPr>
        <w:t>对</w:t>
      </w:r>
      <w:r>
        <w:t>应的版本</w:t>
      </w:r>
      <w:r>
        <w:rPr>
          <w:rFonts w:hint="eastAsia"/>
        </w:rPr>
        <w:t>适</w:t>
      </w:r>
      <w:r>
        <w:t>用于本文件</w:t>
      </w:r>
      <w:r>
        <w:rPr>
          <w:rFonts w:hint="eastAsia"/>
        </w:rPr>
        <w:t>；不</w:t>
      </w:r>
      <w:r>
        <w:t>注</w:t>
      </w:r>
      <w:r>
        <w:rPr>
          <w:rFonts w:hint="eastAsia"/>
        </w:rPr>
        <w:t>日</w:t>
      </w:r>
      <w:r>
        <w:t>期的引用文件</w:t>
      </w:r>
      <w:r>
        <w:rPr>
          <w:rFonts w:hint="eastAsia"/>
        </w:rPr>
        <w:t>，</w:t>
      </w:r>
      <w:r>
        <w:t>其</w:t>
      </w:r>
      <w:r>
        <w:rPr>
          <w:rFonts w:hint="eastAsia"/>
        </w:rPr>
        <w:t>最</w:t>
      </w:r>
      <w:r>
        <w:t>新版本</w:t>
      </w:r>
      <w:r>
        <w:rPr>
          <w:rFonts w:hint="eastAsia"/>
        </w:rPr>
        <w:t>（包括</w:t>
      </w:r>
      <w:r>
        <w:t>所有的修改单</w:t>
      </w:r>
      <w:r>
        <w:rPr>
          <w:rFonts w:hint="eastAsia"/>
        </w:rPr>
        <w:t>）适</w:t>
      </w:r>
      <w:r>
        <w:t>用于本文件</w:t>
      </w:r>
      <w:r>
        <w:rPr>
          <w:rFonts w:hint="eastAsia"/>
        </w:rPr>
        <w:t>。</w:t>
      </w:r>
    </w:p>
    <w:p>
      <w:pPr>
        <w:pStyle w:val="66"/>
        <w:ind w:firstLine="420"/>
      </w:pPr>
      <w:r>
        <w:rPr>
          <w:rFonts w:hint="eastAsia"/>
        </w:rPr>
        <w:t xml:space="preserve">GB/T </w:t>
      </w:r>
      <w:r>
        <w:t xml:space="preserve">50002   </w:t>
      </w:r>
      <w:r>
        <w:rPr>
          <w:rFonts w:hint="eastAsia"/>
        </w:rPr>
        <w:t>建筑模数协调标准</w:t>
      </w:r>
    </w:p>
    <w:p>
      <w:pPr>
        <w:pStyle w:val="66"/>
        <w:ind w:firstLine="420"/>
      </w:pPr>
      <w:r>
        <w:rPr>
          <w:rFonts w:hint="eastAsia"/>
        </w:rPr>
        <w:t xml:space="preserve">GB/T </w:t>
      </w:r>
      <w:r>
        <w:t>51235   建筑信息模型施工应用标准</w:t>
      </w:r>
    </w:p>
    <w:p>
      <w:pPr>
        <w:pStyle w:val="66"/>
        <w:ind w:firstLine="420"/>
        <w:rPr>
          <w:rFonts w:hint="eastAsia"/>
        </w:rPr>
      </w:pPr>
      <w:r>
        <w:t xml:space="preserve">GB   55015   </w:t>
      </w:r>
      <w:r>
        <w:rPr>
          <w:rFonts w:hint="eastAsia"/>
        </w:rPr>
        <w:t>建筑节能与可再生能源利用通用规范</w:t>
      </w:r>
    </w:p>
    <w:p>
      <w:pPr>
        <w:pStyle w:val="66"/>
        <w:ind w:firstLine="420"/>
      </w:pPr>
      <w:r>
        <w:rPr>
          <w:rFonts w:hint="eastAsia"/>
        </w:rPr>
        <w:t>GB/T</w:t>
      </w:r>
      <w:r>
        <w:t xml:space="preserve"> </w:t>
      </w:r>
      <w:r>
        <w:rPr>
          <w:rFonts w:hint="eastAsia"/>
        </w:rPr>
        <w:t>50375</w:t>
      </w:r>
      <w:r>
        <w:t xml:space="preserve">   </w:t>
      </w:r>
      <w:r>
        <w:rPr>
          <w:rFonts w:hint="eastAsia"/>
        </w:rPr>
        <w:t>建筑工程施工质量评价标准</w:t>
      </w:r>
    </w:p>
    <w:p>
      <w:pPr>
        <w:pStyle w:val="66"/>
        <w:ind w:firstLine="420"/>
      </w:pPr>
      <w:r>
        <w:rPr>
          <w:rFonts w:hint="eastAsia"/>
        </w:rPr>
        <w:t>T/CAQ 10306</w:t>
      </w:r>
      <w:r>
        <w:t xml:space="preserve">  </w:t>
      </w:r>
      <w:r>
        <w:rPr>
          <w:rFonts w:hint="eastAsia"/>
        </w:rPr>
        <w:t>顾客满意度测量和评价准则</w:t>
      </w:r>
    </w:p>
    <w:p>
      <w:pPr>
        <w:pStyle w:val="66"/>
        <w:ind w:firstLine="420"/>
      </w:pPr>
      <w:r>
        <w:rPr>
          <w:rFonts w:hint="eastAsia"/>
        </w:rPr>
        <w:t>G</w:t>
      </w:r>
      <w:r>
        <w:t xml:space="preserve">B   50118   </w:t>
      </w:r>
      <w:r>
        <w:rPr>
          <w:rFonts w:hint="eastAsia"/>
        </w:rPr>
        <w:t>民用建筑隔声设计规范</w:t>
      </w:r>
    </w:p>
    <w:p>
      <w:pPr>
        <w:pStyle w:val="66"/>
        <w:ind w:firstLine="420"/>
      </w:pPr>
      <w:r>
        <w:rPr>
          <w:rFonts w:hint="eastAsia"/>
        </w:rPr>
        <w:t xml:space="preserve">GB </w:t>
      </w:r>
      <w:r>
        <w:t xml:space="preserve">  </w:t>
      </w:r>
      <w:r>
        <w:rPr>
          <w:rFonts w:hint="eastAsia"/>
        </w:rPr>
        <w:t>50176</w:t>
      </w:r>
      <w:r>
        <w:t xml:space="preserve">   </w:t>
      </w:r>
      <w:r>
        <w:rPr>
          <w:rFonts w:hint="eastAsia"/>
        </w:rPr>
        <w:t>民用建筑热工设计规范</w:t>
      </w:r>
    </w:p>
    <w:p>
      <w:pPr>
        <w:pStyle w:val="66"/>
        <w:ind w:firstLine="420"/>
        <w:rPr>
          <w:rFonts w:hint="eastAsia"/>
        </w:rPr>
      </w:pPr>
      <w:r>
        <w:rPr>
          <w:rFonts w:hint="eastAsia"/>
        </w:rPr>
        <w:t>湖北省装配式预制混凝土建筑标准化构件库</w:t>
      </w:r>
    </w:p>
    <w:p>
      <w:pPr>
        <w:pStyle w:val="66"/>
        <w:ind w:firstLine="420"/>
        <w:rPr>
          <w:rFonts w:hint="eastAsia"/>
        </w:rPr>
      </w:pPr>
      <w:r>
        <w:rPr>
          <w:rFonts w:hint="eastAsia"/>
        </w:rPr>
        <w:t>湖北省建筑工程概算定额及全费用基价表</w:t>
      </w:r>
    </w:p>
    <w:bookmarkEnd w:id="21"/>
    <w:bookmarkEnd w:id="22"/>
    <w:bookmarkEnd w:id="23"/>
    <w:bookmarkEnd w:id="24"/>
    <w:bookmarkEnd w:id="25"/>
    <w:p>
      <w:pPr>
        <w:pStyle w:val="114"/>
        <w:spacing w:before="312" w:after="312"/>
      </w:pPr>
      <w:bookmarkStart w:id="27" w:name="_Toc97555969"/>
      <w:bookmarkStart w:id="28" w:name="_Toc97556769"/>
      <w:bookmarkStart w:id="29" w:name="_Toc135144087"/>
      <w:bookmarkStart w:id="30" w:name="_Toc89434470"/>
      <w:bookmarkStart w:id="31" w:name="_Toc148431722"/>
      <w:bookmarkStart w:id="32" w:name="_Toc97556815"/>
      <w:bookmarkStart w:id="33" w:name="_Toc121259842"/>
      <w:bookmarkStart w:id="34" w:name="_Toc116980761"/>
      <w:bookmarkStart w:id="35" w:name="_Toc116999434"/>
      <w:bookmarkStart w:id="36" w:name="_Toc135144137"/>
      <w:r>
        <w:rPr>
          <w:rFonts w:hint="eastAsia"/>
        </w:rPr>
        <w:t>术语和定义</w:t>
      </w:r>
      <w:bookmarkEnd w:id="27"/>
      <w:bookmarkEnd w:id="28"/>
      <w:bookmarkEnd w:id="29"/>
      <w:bookmarkEnd w:id="30"/>
      <w:bookmarkEnd w:id="31"/>
      <w:bookmarkEnd w:id="32"/>
      <w:bookmarkEnd w:id="33"/>
      <w:bookmarkEnd w:id="34"/>
      <w:bookmarkEnd w:id="35"/>
      <w:bookmarkEnd w:id="36"/>
    </w:p>
    <w:p>
      <w:pPr>
        <w:pStyle w:val="66"/>
        <w:ind w:firstLine="420"/>
      </w:pPr>
      <w:r>
        <w:rPr>
          <w:rFonts w:hint="eastAsia"/>
        </w:rPr>
        <w:t>下列术语和定义适用于本文件。</w:t>
      </w:r>
    </w:p>
    <w:p>
      <w:pPr>
        <w:pStyle w:val="115"/>
        <w:spacing w:before="156" w:after="156"/>
        <w:ind w:left="0"/>
      </w:pPr>
      <w:bookmarkStart w:id="37" w:name="_Toc135144088"/>
      <w:bookmarkEnd w:id="37"/>
    </w:p>
    <w:p>
      <w:pPr>
        <w:overflowPunct w:val="0"/>
        <w:spacing w:line="240" w:lineRule="auto"/>
        <w:ind w:firstLine="420" w:firstLineChars="200"/>
        <w:rPr>
          <w:rFonts w:ascii="黑体" w:hAnsi="黑体" w:eastAsia="黑体" w:cs="宋体"/>
        </w:rPr>
      </w:pPr>
      <w:r>
        <w:rPr>
          <w:rFonts w:hint="eastAsia" w:ascii="黑体" w:hAnsi="黑体" w:eastAsia="黑体"/>
        </w:rPr>
        <w:t xml:space="preserve">智能建造 </w:t>
      </w:r>
      <w:r>
        <w:rPr>
          <w:rFonts w:ascii="黑体" w:hAnsi="黑体" w:eastAsia="黑体"/>
        </w:rPr>
        <w:t xml:space="preserve"> </w:t>
      </w:r>
      <w:r>
        <w:rPr>
          <w:rFonts w:hint="eastAsia" w:ascii="黑体" w:hAnsi="黑体" w:eastAsia="黑体"/>
        </w:rPr>
        <w:t>i</w:t>
      </w:r>
      <w:r>
        <w:rPr>
          <w:rFonts w:ascii="黑体" w:hAnsi="黑体" w:eastAsia="黑体"/>
        </w:rPr>
        <w:t>ntelligent construction</w:t>
      </w:r>
    </w:p>
    <w:p>
      <w:pPr>
        <w:pStyle w:val="66"/>
        <w:ind w:firstLine="420"/>
      </w:pPr>
      <w:r>
        <w:rPr>
          <w:rFonts w:hint="eastAsia" w:hAnsi="宋体"/>
          <w:szCs w:val="21"/>
        </w:rPr>
        <w:t>通过</w:t>
      </w:r>
      <w:r>
        <w:rPr>
          <w:rFonts w:hAnsi="宋体"/>
          <w:szCs w:val="21"/>
        </w:rPr>
        <w:t>大数据、物联网、人工智能等新一代的信息化技术</w:t>
      </w:r>
      <w:r>
        <w:rPr>
          <w:rFonts w:hint="eastAsia" w:hAnsi="宋体"/>
          <w:szCs w:val="21"/>
        </w:rPr>
        <w:t>，</w:t>
      </w:r>
      <w:r>
        <w:rPr>
          <w:rFonts w:hAnsi="宋体"/>
          <w:szCs w:val="21"/>
        </w:rPr>
        <w:t>与以工业化为主导的先进建造技术</w:t>
      </w:r>
      <w:r>
        <w:rPr>
          <w:rFonts w:hint="eastAsia" w:hAnsi="宋体"/>
          <w:szCs w:val="21"/>
        </w:rPr>
        <w:t>相</w:t>
      </w:r>
      <w:r>
        <w:rPr>
          <w:rFonts w:hAnsi="宋体"/>
          <w:szCs w:val="21"/>
        </w:rPr>
        <w:t>融合</w:t>
      </w:r>
      <w:r>
        <w:rPr>
          <w:rFonts w:hint="eastAsia" w:hAnsi="宋体"/>
          <w:szCs w:val="21"/>
        </w:rPr>
        <w:t>，提升工程项目建造效率和质量，实现可实时适应需求变化的高度集成与协同</w:t>
      </w:r>
      <w:r>
        <w:rPr>
          <w:rFonts w:hAnsi="宋体"/>
          <w:szCs w:val="21"/>
        </w:rPr>
        <w:t>的新型建造方式。</w:t>
      </w:r>
    </w:p>
    <w:p>
      <w:pPr>
        <w:pStyle w:val="115"/>
        <w:spacing w:before="156" w:after="156"/>
        <w:ind w:left="0"/>
      </w:pPr>
      <w:r>
        <w:rPr>
          <w:rFonts w:hint="eastAsia"/>
        </w:rPr>
        <w:t xml:space="preserve"> </w:t>
      </w:r>
      <w:bookmarkStart w:id="38" w:name="_Toc135144089"/>
      <w:bookmarkEnd w:id="38"/>
    </w:p>
    <w:p>
      <w:pPr>
        <w:overflowPunct w:val="0"/>
        <w:spacing w:line="240" w:lineRule="auto"/>
        <w:ind w:firstLine="420" w:firstLineChars="200"/>
        <w:rPr>
          <w:rFonts w:ascii="黑体" w:hAnsi="黑体" w:eastAsia="黑体"/>
        </w:rPr>
      </w:pPr>
      <w:r>
        <w:rPr>
          <w:rFonts w:hint="eastAsia" w:ascii="黑体" w:hAnsi="黑体" w:eastAsia="黑体"/>
        </w:rPr>
        <w:t>建筑信息模型</w:t>
      </w:r>
      <w:r>
        <w:rPr>
          <w:rFonts w:ascii="黑体" w:hAnsi="黑体" w:eastAsia="黑体"/>
        </w:rPr>
        <w:t xml:space="preserve">  building information model(BIM)</w:t>
      </w:r>
      <w:r>
        <w:rPr>
          <w:rFonts w:hint="eastAsia" w:ascii="黑体" w:hAnsi="黑体" w:eastAsia="黑体"/>
        </w:rPr>
        <w:t xml:space="preserve"> </w:t>
      </w:r>
    </w:p>
    <w:p>
      <w:pPr>
        <w:pStyle w:val="66"/>
        <w:ind w:firstLine="420"/>
      </w:pPr>
      <w:r>
        <w:rPr>
          <w:rFonts w:hint="eastAsia" w:hAnsi="宋体"/>
          <w:szCs w:val="21"/>
        </w:rPr>
        <w:t>在建设工程及设施全生命期内，对其物理和功能特性进行数字化表达，并依此设计、施工、运营的过程和结果的总称</w:t>
      </w:r>
      <w:r>
        <w:rPr>
          <w:rFonts w:hint="eastAsia"/>
        </w:rPr>
        <w:t>。</w:t>
      </w:r>
    </w:p>
    <w:p>
      <w:pPr>
        <w:pStyle w:val="115"/>
        <w:spacing w:before="156" w:after="156"/>
        <w:ind w:left="0"/>
      </w:pPr>
      <w:bookmarkStart w:id="39" w:name="_Toc135144090"/>
      <w:bookmarkEnd w:id="39"/>
    </w:p>
    <w:p>
      <w:pPr>
        <w:overflowPunct w:val="0"/>
        <w:spacing w:line="240" w:lineRule="auto"/>
        <w:ind w:firstLine="420" w:firstLineChars="200"/>
        <w:rPr>
          <w:rFonts w:ascii="黑体" w:hAnsi="黑体" w:eastAsia="黑体" w:cs="宋体"/>
        </w:rPr>
      </w:pPr>
      <w:r>
        <w:rPr>
          <w:rFonts w:hint="eastAsia" w:ascii="黑体" w:hAnsi="黑体" w:eastAsia="黑体"/>
        </w:rPr>
        <w:t xml:space="preserve">数据协同 </w:t>
      </w:r>
      <w:r>
        <w:rPr>
          <w:rFonts w:ascii="黑体" w:hAnsi="黑体" w:eastAsia="黑体"/>
        </w:rPr>
        <w:t xml:space="preserve"> </w:t>
      </w:r>
      <w:r>
        <w:rPr>
          <w:rFonts w:hint="eastAsia" w:ascii="黑体" w:hAnsi="黑体" w:eastAsia="黑体"/>
        </w:rPr>
        <w:t>d</w:t>
      </w:r>
      <w:r>
        <w:rPr>
          <w:rFonts w:ascii="黑体" w:hAnsi="黑体" w:eastAsia="黑体"/>
        </w:rPr>
        <w:t>ata collaboration</w:t>
      </w:r>
    </w:p>
    <w:p>
      <w:pPr>
        <w:pStyle w:val="66"/>
        <w:ind w:firstLine="420"/>
      </w:pPr>
      <w:r>
        <w:rPr>
          <w:rFonts w:hint="eastAsia" w:cs="宋体"/>
          <w:szCs w:val="21"/>
        </w:rPr>
        <w:t>基于信息化技术进行数据共享及操作的过程</w:t>
      </w:r>
      <w:r>
        <w:rPr>
          <w:rFonts w:hint="eastAsia"/>
        </w:rPr>
        <w:t>。</w:t>
      </w:r>
    </w:p>
    <w:p>
      <w:pPr>
        <w:pStyle w:val="115"/>
        <w:spacing w:before="156" w:after="156"/>
        <w:ind w:left="0"/>
      </w:pPr>
      <w:bookmarkStart w:id="40" w:name="_Toc135144091"/>
      <w:bookmarkEnd w:id="40"/>
    </w:p>
    <w:p>
      <w:pPr>
        <w:overflowPunct w:val="0"/>
        <w:spacing w:line="240" w:lineRule="auto"/>
        <w:ind w:firstLine="420" w:firstLineChars="200"/>
        <w:rPr>
          <w:rFonts w:ascii="黑体" w:hAnsi="黑体" w:eastAsia="黑体" w:cs="宋体"/>
        </w:rPr>
      </w:pPr>
      <w:r>
        <w:rPr>
          <w:rFonts w:hint="eastAsia" w:ascii="黑体" w:hAnsi="黑体" w:eastAsia="黑体"/>
        </w:rPr>
        <w:t xml:space="preserve">数字设计 </w:t>
      </w:r>
      <w:r>
        <w:rPr>
          <w:rFonts w:ascii="黑体" w:hAnsi="黑体" w:eastAsia="黑体"/>
        </w:rPr>
        <w:t xml:space="preserve"> digital</w:t>
      </w:r>
      <w:r>
        <w:rPr>
          <w:rFonts w:eastAsia="黑体" w:cs="Calibri"/>
        </w:rPr>
        <w:t> </w:t>
      </w:r>
      <w:r>
        <w:rPr>
          <w:rFonts w:ascii="黑体" w:hAnsi="黑体" w:eastAsia="黑体"/>
        </w:rPr>
        <w:t>design</w:t>
      </w:r>
    </w:p>
    <w:p>
      <w:pPr>
        <w:pStyle w:val="66"/>
        <w:ind w:firstLine="420"/>
      </w:pPr>
      <w:r>
        <w:rPr>
          <w:rFonts w:hint="eastAsia" w:hAnsi="宋体"/>
          <w:szCs w:val="21"/>
        </w:rPr>
        <w:t>在建筑工程全生命周期内，推进建设基于</w:t>
      </w:r>
      <w:r>
        <w:rPr>
          <w:rFonts w:hAnsi="宋体"/>
          <w:szCs w:val="21"/>
        </w:rPr>
        <w:t>BIM</w:t>
      </w:r>
      <w:r>
        <w:rPr>
          <w:rFonts w:hint="eastAsia" w:hAnsi="宋体"/>
          <w:szCs w:val="21"/>
        </w:rPr>
        <w:t>协同、多专业、多参与方设计的数字化协同体系，实现跨专业、跨部门以及跨企业的协同设计，提供及时、准确、可追溯的工程信息服务。</w:t>
      </w:r>
    </w:p>
    <w:p>
      <w:pPr>
        <w:pStyle w:val="115"/>
        <w:spacing w:before="156" w:after="156"/>
        <w:ind w:left="0"/>
        <w:rPr>
          <w:rFonts w:hAnsi="黑体" w:cs="宋体"/>
        </w:rPr>
      </w:pPr>
      <w:bookmarkStart w:id="41" w:name="_Toc135144092"/>
      <w:bookmarkEnd w:id="41"/>
    </w:p>
    <w:p>
      <w:pPr>
        <w:overflowPunct w:val="0"/>
        <w:adjustRightInd/>
        <w:spacing w:line="240" w:lineRule="auto"/>
        <w:ind w:firstLine="420" w:firstLineChars="200"/>
        <w:jc w:val="left"/>
        <w:rPr>
          <w:rFonts w:ascii="黑体" w:hAnsi="黑体" w:eastAsia="黑体"/>
        </w:rPr>
      </w:pPr>
      <w:r>
        <w:rPr>
          <w:rFonts w:hint="eastAsia" w:ascii="黑体" w:hAnsi="黑体" w:eastAsia="黑体"/>
        </w:rPr>
        <w:t xml:space="preserve">部品 </w:t>
      </w:r>
      <w:r>
        <w:rPr>
          <w:rFonts w:ascii="黑体" w:hAnsi="黑体" w:eastAsia="黑体"/>
        </w:rPr>
        <w:t xml:space="preserve"> </w:t>
      </w:r>
      <w:r>
        <w:rPr>
          <w:rFonts w:hint="eastAsia" w:ascii="黑体" w:hAnsi="黑体" w:eastAsia="黑体"/>
        </w:rPr>
        <w:t>part</w:t>
      </w:r>
    </w:p>
    <w:p>
      <w:pPr>
        <w:pStyle w:val="66"/>
        <w:ind w:firstLine="420"/>
        <w:rPr>
          <w:rFonts w:ascii="Times New Roman"/>
          <w:sz w:val="15"/>
          <w:szCs w:val="15"/>
        </w:rPr>
      </w:pPr>
      <w:r>
        <w:rPr>
          <w:rFonts w:hint="eastAsia" w:hAnsi="宋体"/>
          <w:szCs w:val="21"/>
        </w:rPr>
        <w:t>由工厂生产，构成外围护系统、设备与管线系统、内装系统的建筑单一产品或复合产品组装而成的功能单元的统称。</w:t>
      </w:r>
    </w:p>
    <w:p>
      <w:pPr>
        <w:pStyle w:val="115"/>
        <w:spacing w:before="156" w:after="156"/>
        <w:ind w:left="0"/>
        <w:rPr>
          <w:rFonts w:hAnsi="黑体" w:cs="宋体"/>
        </w:rPr>
      </w:pPr>
      <w:bookmarkStart w:id="42" w:name="_Toc135144093"/>
      <w:bookmarkEnd w:id="42"/>
    </w:p>
    <w:p>
      <w:pPr>
        <w:numPr>
          <w:ilvl w:val="1"/>
          <w:numId w:val="0"/>
        </w:numPr>
        <w:overflowPunct w:val="0"/>
        <w:adjustRightInd/>
        <w:spacing w:line="240" w:lineRule="auto"/>
        <w:ind w:firstLine="420" w:firstLineChars="200"/>
        <w:rPr>
          <w:rFonts w:ascii="黑体" w:hAnsi="黑体" w:eastAsia="黑体"/>
        </w:rPr>
      </w:pPr>
      <w:r>
        <w:rPr>
          <w:rFonts w:hint="eastAsia" w:ascii="黑体" w:hAnsi="黑体" w:eastAsia="黑体"/>
        </w:rPr>
        <w:t xml:space="preserve">部件 </w:t>
      </w:r>
      <w:r>
        <w:rPr>
          <w:rFonts w:ascii="黑体" w:hAnsi="黑体" w:eastAsia="黑体"/>
        </w:rPr>
        <w:t xml:space="preserve"> component</w:t>
      </w:r>
    </w:p>
    <w:p>
      <w:pPr>
        <w:pStyle w:val="66"/>
        <w:ind w:firstLine="420"/>
      </w:pPr>
      <w:r>
        <w:rPr>
          <w:rFonts w:hint="eastAsia" w:hAnsi="宋体"/>
          <w:szCs w:val="21"/>
        </w:rPr>
        <w:t>在工厂或现场预先生产制作完成，构成建筑结构系统的结构构件及其他构件的统称。</w:t>
      </w:r>
    </w:p>
    <w:p>
      <w:pPr>
        <w:pStyle w:val="115"/>
        <w:spacing w:before="156" w:after="156"/>
        <w:ind w:left="0"/>
        <w:rPr>
          <w:rFonts w:hAnsi="黑体" w:cs="宋体"/>
        </w:rPr>
      </w:pPr>
      <w:bookmarkStart w:id="43" w:name="_Toc135144094"/>
      <w:bookmarkEnd w:id="43"/>
    </w:p>
    <w:p>
      <w:pPr>
        <w:overflowPunct w:val="0"/>
        <w:spacing w:line="240" w:lineRule="auto"/>
        <w:ind w:firstLine="420" w:firstLineChars="200"/>
        <w:jc w:val="left"/>
        <w:rPr>
          <w:rFonts w:ascii="黑体" w:hAnsi="黑体" w:eastAsia="黑体" w:cs="宋体"/>
        </w:rPr>
      </w:pPr>
      <w:r>
        <w:rPr>
          <w:rFonts w:hint="eastAsia" w:ascii="黑体" w:hAnsi="黑体" w:eastAsia="黑体"/>
        </w:rPr>
        <w:t xml:space="preserve">智慧工地 </w:t>
      </w:r>
      <w:r>
        <w:rPr>
          <w:rFonts w:ascii="黑体" w:hAnsi="黑体" w:eastAsia="黑体"/>
        </w:rPr>
        <w:t xml:space="preserve"> smart construction site</w:t>
      </w:r>
    </w:p>
    <w:p>
      <w:pPr>
        <w:pStyle w:val="66"/>
        <w:ind w:firstLine="420"/>
        <w:rPr>
          <w:rFonts w:ascii="黑体" w:hAnsi="黑体" w:eastAsia="黑体"/>
        </w:rPr>
      </w:pPr>
      <w:r>
        <w:rPr>
          <w:rFonts w:hint="eastAsia" w:hAnsi="宋体"/>
          <w:szCs w:val="21"/>
        </w:rPr>
        <w:t>以物联网技术为核心，充分利用移动互联网、云计算、人工智能、区块链、大数据等现代信息技术，全面感知、收集、处理、分析建造过程中的相关信息和数据，通过各子系统间的信息共享和协同运作，实现工地现场生产作业协调、智能处理和科学管理等功能的工程建设工地。</w:t>
      </w:r>
    </w:p>
    <w:p>
      <w:pPr>
        <w:pStyle w:val="115"/>
        <w:spacing w:before="156" w:after="156"/>
        <w:ind w:left="0"/>
        <w:rPr>
          <w:rFonts w:hAnsi="黑体" w:cs="宋体"/>
        </w:rPr>
      </w:pPr>
      <w:bookmarkStart w:id="44" w:name="_Toc135144095"/>
      <w:bookmarkEnd w:id="44"/>
    </w:p>
    <w:p>
      <w:pPr>
        <w:overflowPunct w:val="0"/>
        <w:spacing w:line="240" w:lineRule="auto"/>
        <w:ind w:firstLine="420" w:firstLineChars="200"/>
        <w:jc w:val="left"/>
        <w:rPr>
          <w:rFonts w:ascii="黑体" w:hAnsi="黑体" w:eastAsia="黑体" w:cs="宋体"/>
        </w:rPr>
      </w:pPr>
      <w:bookmarkStart w:id="45" w:name="_Toc135144096"/>
      <w:bookmarkEnd w:id="45"/>
      <w:r>
        <w:rPr>
          <w:rFonts w:hint="eastAsia" w:ascii="黑体" w:hAnsi="黑体" w:eastAsia="黑体"/>
        </w:rPr>
        <w:t xml:space="preserve">物联网 </w:t>
      </w:r>
      <w:r>
        <w:rPr>
          <w:rFonts w:ascii="黑体" w:hAnsi="黑体" w:eastAsia="黑体"/>
        </w:rPr>
        <w:t xml:space="preserve"> i</w:t>
      </w:r>
      <w:r>
        <w:rPr>
          <w:rFonts w:hint="eastAsia" w:ascii="黑体" w:hAnsi="黑体" w:eastAsia="黑体"/>
        </w:rPr>
        <w:t>nternet</w:t>
      </w:r>
      <w:r>
        <w:rPr>
          <w:rFonts w:ascii="黑体" w:hAnsi="黑体" w:eastAsia="黑体"/>
        </w:rPr>
        <w:t xml:space="preserve"> o</w:t>
      </w:r>
      <w:r>
        <w:rPr>
          <w:rFonts w:hint="eastAsia" w:ascii="黑体" w:hAnsi="黑体" w:eastAsia="黑体"/>
        </w:rPr>
        <w:t>f</w:t>
      </w:r>
      <w:r>
        <w:rPr>
          <w:rFonts w:ascii="黑体" w:hAnsi="黑体" w:eastAsia="黑体"/>
        </w:rPr>
        <w:t xml:space="preserve"> t</w:t>
      </w:r>
      <w:r>
        <w:rPr>
          <w:rFonts w:hint="eastAsia" w:ascii="黑体" w:hAnsi="黑体" w:eastAsia="黑体"/>
        </w:rPr>
        <w:t>hings（IoT）</w:t>
      </w:r>
    </w:p>
    <w:p>
      <w:pPr>
        <w:overflowPunct w:val="0"/>
        <w:spacing w:line="240" w:lineRule="auto"/>
        <w:ind w:firstLine="420" w:firstLineChars="200"/>
        <w:rPr>
          <w:rFonts w:ascii="宋体" w:hAnsi="宋体" w:cs="宋体"/>
        </w:rPr>
      </w:pPr>
      <w:r>
        <w:rPr>
          <w:rFonts w:hint="eastAsia" w:ascii="宋体" w:hAnsi="宋体"/>
        </w:rPr>
        <w:t>通过射频识别装置、红外感应器、全球导航卫星系统、激光扫描器等信息传感设备，按约定的协议，把任何物品与互联网相连接，进行信息交换和通信，以实现智能化识别、定位、跟踪、监控和管理的一种网络</w:t>
      </w:r>
      <w:r>
        <w:rPr>
          <w:rFonts w:hint="eastAsia" w:ascii="宋体" w:hAnsi="宋体" w:cs="宋体"/>
        </w:rPr>
        <w:t>。</w:t>
      </w:r>
    </w:p>
    <w:p>
      <w:pPr>
        <w:pStyle w:val="115"/>
        <w:spacing w:before="156" w:after="156"/>
        <w:ind w:left="0"/>
        <w:rPr>
          <w:rFonts w:hAnsi="黑体" w:cs="宋体"/>
        </w:rPr>
      </w:pPr>
    </w:p>
    <w:p>
      <w:pPr>
        <w:overflowPunct w:val="0"/>
        <w:spacing w:line="240" w:lineRule="auto"/>
        <w:ind w:firstLine="420" w:firstLineChars="200"/>
        <w:rPr>
          <w:rFonts w:ascii="黑体" w:hAnsi="黑体" w:eastAsia="黑体" w:cs="宋体"/>
        </w:rPr>
      </w:pPr>
      <w:r>
        <w:rPr>
          <w:rFonts w:hint="eastAsia" w:ascii="黑体" w:hAnsi="黑体" w:eastAsia="黑体"/>
        </w:rPr>
        <w:t xml:space="preserve">智慧运维 </w:t>
      </w:r>
      <w:r>
        <w:rPr>
          <w:rFonts w:ascii="黑体" w:hAnsi="黑体" w:eastAsia="黑体"/>
        </w:rPr>
        <w:t xml:space="preserve"> </w:t>
      </w:r>
      <w:r>
        <w:rPr>
          <w:rFonts w:hint="eastAsia" w:ascii="黑体" w:hAnsi="黑体" w:eastAsia="黑体"/>
        </w:rPr>
        <w:t>smart</w:t>
      </w:r>
      <w:r>
        <w:rPr>
          <w:rFonts w:ascii="黑体" w:hAnsi="黑体" w:eastAsia="黑体"/>
        </w:rPr>
        <w:t xml:space="preserve"> </w:t>
      </w:r>
      <w:r>
        <w:rPr>
          <w:rFonts w:hint="eastAsia" w:ascii="黑体" w:hAnsi="黑体" w:eastAsia="黑体"/>
        </w:rPr>
        <w:t>operation</w:t>
      </w:r>
    </w:p>
    <w:p>
      <w:pPr>
        <w:pStyle w:val="66"/>
        <w:ind w:firstLine="420"/>
      </w:pPr>
      <w:r>
        <w:rPr>
          <w:rFonts w:hint="eastAsia" w:hAnsi="宋体"/>
          <w:szCs w:val="21"/>
        </w:rPr>
        <w:t>采用智能化、网络化、数字化技术，利用计算机、软件、数据库等资源，深度整合软件、硬件、服务与业务需求，梳理运维“人、事、物”具体事务，形成能耗管理、设备运行、环境管理、人员管理、维修管理、巡检维保管理、设备安全、资产管理等重要模块的建筑智能化管理</w:t>
      </w:r>
      <w:r>
        <w:rPr>
          <w:rFonts w:hint="eastAsia"/>
        </w:rPr>
        <w:t>。</w:t>
      </w:r>
    </w:p>
    <w:p>
      <w:pPr>
        <w:pStyle w:val="115"/>
        <w:spacing w:before="156" w:after="156"/>
        <w:ind w:left="0"/>
        <w:rPr>
          <w:rFonts w:hAnsi="黑体" w:cs="宋体"/>
          <w:kern w:val="2"/>
          <w:szCs w:val="21"/>
        </w:rPr>
      </w:pPr>
      <w:bookmarkStart w:id="46" w:name="_Toc135144097"/>
      <w:bookmarkEnd w:id="46"/>
    </w:p>
    <w:p>
      <w:pPr>
        <w:overflowPunct w:val="0"/>
        <w:spacing w:line="240" w:lineRule="auto"/>
        <w:ind w:firstLine="420" w:firstLineChars="200"/>
        <w:rPr>
          <w:rFonts w:ascii="黑体" w:hAnsi="黑体" w:eastAsia="黑体" w:cs="宋体"/>
        </w:rPr>
      </w:pPr>
      <w:r>
        <w:rPr>
          <w:rFonts w:hint="eastAsia" w:ascii="黑体" w:hAnsi="黑体" w:eastAsia="黑体"/>
        </w:rPr>
        <w:t xml:space="preserve">建筑产业互联网 </w:t>
      </w:r>
      <w:r>
        <w:rPr>
          <w:rFonts w:ascii="黑体" w:hAnsi="黑体" w:eastAsia="黑体"/>
        </w:rPr>
        <w:t xml:space="preserve"> construction industry internet</w:t>
      </w:r>
      <w:r>
        <w:rPr>
          <w:rFonts w:eastAsia="黑体" w:cs="Calibri"/>
        </w:rPr>
        <w:t> </w:t>
      </w:r>
    </w:p>
    <w:p>
      <w:pPr>
        <w:pStyle w:val="66"/>
        <w:ind w:firstLine="420"/>
      </w:pPr>
      <w:r>
        <w:rPr>
          <w:rFonts w:hint="eastAsia" w:hAnsi="宋体"/>
          <w:szCs w:val="21"/>
        </w:rPr>
        <w:t>以机器、原材料、控制系统、信息系统、产品以及人之间的网络互连为基础，通过对建筑产业大数据的全面深度感知、实时传输交换、快速计算处理和高级建模分析，实现供应采购、数字化设计、数字化生产、数字化施工、智慧运维等生产和组织方式变革，对接融合工业互联网，形成全产业链融合一体的智能建造产业和应用生态</w:t>
      </w:r>
      <w:r>
        <w:rPr>
          <w:rFonts w:hint="eastAsia"/>
        </w:rPr>
        <w:t>。</w:t>
      </w:r>
    </w:p>
    <w:p>
      <w:pPr>
        <w:pStyle w:val="115"/>
        <w:spacing w:before="156" w:after="156"/>
        <w:ind w:left="0"/>
        <w:rPr>
          <w:rFonts w:hAnsi="黑体" w:cs="宋体"/>
          <w:bCs/>
        </w:rPr>
      </w:pPr>
      <w:bookmarkStart w:id="47" w:name="_Toc135144098"/>
      <w:bookmarkEnd w:id="47"/>
    </w:p>
    <w:p>
      <w:pPr>
        <w:overflowPunct w:val="0"/>
        <w:spacing w:line="240" w:lineRule="auto"/>
        <w:ind w:firstLine="420" w:firstLineChars="200"/>
        <w:rPr>
          <w:rFonts w:ascii="黑体" w:hAnsi="黑体" w:eastAsia="黑体"/>
        </w:rPr>
      </w:pPr>
      <w:r>
        <w:rPr>
          <w:rFonts w:hint="eastAsia" w:ascii="黑体" w:hAnsi="黑体" w:eastAsia="黑体"/>
        </w:rPr>
        <w:t>E</w:t>
      </w:r>
      <w:r>
        <w:rPr>
          <w:rFonts w:ascii="黑体" w:hAnsi="黑体" w:eastAsia="黑体"/>
        </w:rPr>
        <w:t>SG</w:t>
      </w:r>
      <w:r>
        <w:rPr>
          <w:rFonts w:hint="eastAsia" w:ascii="黑体" w:hAnsi="黑体" w:eastAsia="黑体"/>
        </w:rPr>
        <w:t xml:space="preserve">贡献 </w:t>
      </w:r>
      <w:r>
        <w:rPr>
          <w:rFonts w:ascii="黑体" w:hAnsi="黑体" w:eastAsia="黑体"/>
        </w:rPr>
        <w:t xml:space="preserve"> contribution of environmental</w:t>
      </w:r>
      <w:r>
        <w:rPr>
          <w:rFonts w:hint="eastAsia" w:ascii="黑体" w:hAnsi="黑体" w:eastAsia="黑体"/>
        </w:rPr>
        <w:t>,</w:t>
      </w:r>
      <w:r>
        <w:rPr>
          <w:rFonts w:ascii="黑体" w:hAnsi="黑体" w:eastAsia="黑体"/>
        </w:rPr>
        <w:t xml:space="preserve"> social</w:t>
      </w:r>
      <w:r>
        <w:rPr>
          <w:rFonts w:hint="eastAsia" w:ascii="黑体" w:hAnsi="黑体" w:eastAsia="黑体"/>
        </w:rPr>
        <w:t>,</w:t>
      </w:r>
      <w:r>
        <w:rPr>
          <w:rFonts w:ascii="黑体" w:hAnsi="黑体" w:eastAsia="黑体"/>
        </w:rPr>
        <w:t xml:space="preserve"> and governance</w:t>
      </w:r>
    </w:p>
    <w:p>
      <w:pPr>
        <w:pStyle w:val="66"/>
        <w:ind w:firstLine="420"/>
      </w:pPr>
      <w:r>
        <w:rPr>
          <w:rFonts w:hint="eastAsia" w:hAnsi="宋体"/>
          <w:szCs w:val="21"/>
        </w:rPr>
        <w:t>E</w:t>
      </w:r>
      <w:r>
        <w:rPr>
          <w:rFonts w:hAnsi="宋体"/>
          <w:szCs w:val="21"/>
        </w:rPr>
        <w:t>SG</w:t>
      </w:r>
      <w:r>
        <w:rPr>
          <w:rFonts w:hint="eastAsia" w:hAnsi="宋体"/>
          <w:szCs w:val="21"/>
        </w:rPr>
        <w:t>是环境、社会责任、公司治理的简称，</w:t>
      </w:r>
      <w:r>
        <w:rPr>
          <w:rFonts w:hAnsi="宋体"/>
          <w:szCs w:val="21"/>
        </w:rPr>
        <w:t>ESG</w:t>
      </w:r>
      <w:r>
        <w:rPr>
          <w:rFonts w:hint="eastAsia" w:hAnsi="宋体"/>
          <w:szCs w:val="21"/>
        </w:rPr>
        <w:t>贡献指建筑工程项目采用智能建造时对环境、社会、公司治理产生的贡献</w:t>
      </w:r>
      <w:r>
        <w:rPr>
          <w:rFonts w:hint="eastAsia"/>
          <w:lang w:val="zh-CN"/>
        </w:rPr>
        <w:t>。</w:t>
      </w:r>
      <w:bookmarkStart w:id="48" w:name="_Toc135144099"/>
      <w:bookmarkEnd w:id="48"/>
      <w:bookmarkStart w:id="49" w:name="_Toc135144102"/>
      <w:bookmarkEnd w:id="49"/>
    </w:p>
    <w:p>
      <w:pPr>
        <w:pStyle w:val="114"/>
        <w:spacing w:before="312" w:after="312"/>
        <w:rPr>
          <w:rFonts w:ascii="宋体" w:hAnsi="宋体" w:cs="宋体"/>
        </w:rPr>
      </w:pPr>
      <w:bookmarkStart w:id="50" w:name="_Toc148431723"/>
      <w:bookmarkStart w:id="51" w:name="_Toc135144138"/>
      <w:bookmarkStart w:id="52" w:name="_Toc97556816"/>
      <w:bookmarkStart w:id="53" w:name="_Toc116980762"/>
      <w:bookmarkStart w:id="54" w:name="_Toc135144103"/>
      <w:bookmarkStart w:id="55" w:name="_Toc121259843"/>
      <w:bookmarkStart w:id="56" w:name="_Toc4420"/>
      <w:bookmarkStart w:id="57" w:name="_Toc63000357"/>
      <w:bookmarkStart w:id="58" w:name="_Toc89434487"/>
      <w:bookmarkStart w:id="59" w:name="_Toc116999435"/>
      <w:bookmarkStart w:id="60" w:name="_Toc97556772"/>
      <w:bookmarkStart w:id="61" w:name="_Toc52713824"/>
      <w:bookmarkStart w:id="62" w:name="_Toc97555982"/>
      <w:r>
        <w:rPr>
          <w:rFonts w:hint="eastAsia"/>
        </w:rPr>
        <w:t>基本规定</w:t>
      </w:r>
      <w:bookmarkEnd w:id="50"/>
      <w:bookmarkEnd w:id="51"/>
      <w:bookmarkEnd w:id="52"/>
      <w:bookmarkEnd w:id="53"/>
      <w:bookmarkEnd w:id="54"/>
      <w:bookmarkEnd w:id="55"/>
      <w:bookmarkEnd w:id="56"/>
      <w:bookmarkEnd w:id="57"/>
      <w:bookmarkEnd w:id="58"/>
      <w:bookmarkEnd w:id="59"/>
      <w:bookmarkEnd w:id="60"/>
      <w:bookmarkEnd w:id="61"/>
      <w:bookmarkEnd w:id="62"/>
    </w:p>
    <w:p>
      <w:pPr>
        <w:pStyle w:val="172"/>
        <w:ind w:left="0"/>
      </w:pPr>
      <w:r>
        <w:rPr>
          <w:rFonts w:hint="eastAsia" w:hAnsi="宋体"/>
          <w:szCs w:val="21"/>
        </w:rPr>
        <w:t>智能建造评价应以建筑工程项目建造全过程为对象进行评价。</w:t>
      </w:r>
    </w:p>
    <w:p>
      <w:pPr>
        <w:pStyle w:val="172"/>
        <w:ind w:left="0"/>
        <w:rPr>
          <w:rFonts w:hAnsi="宋体" w:cs="宋体"/>
        </w:rPr>
      </w:pPr>
      <w:r>
        <w:rPr>
          <w:rFonts w:hint="eastAsia" w:hAnsi="宋体"/>
        </w:rPr>
        <w:t>申请评价的主体应为建设单位或工程总承包单位；同时也可由项目参建相关方联合申报，但必须明确牵头单位，牵头单位宜为建设单位或工程总承包单位，也可以为设计单位。</w:t>
      </w:r>
    </w:p>
    <w:p>
      <w:pPr>
        <w:pStyle w:val="172"/>
        <w:ind w:left="0"/>
        <w:rPr>
          <w:rFonts w:hAnsi="宋体" w:cs="宋体"/>
        </w:rPr>
      </w:pPr>
      <w:r>
        <w:rPr>
          <w:rFonts w:hint="eastAsia" w:hAnsi="宋体"/>
          <w:szCs w:val="21"/>
        </w:rPr>
        <w:t>申请评价的工程项目在建造全过程中应具备以下基本特征</w:t>
      </w:r>
      <w:r>
        <w:rPr>
          <w:rFonts w:hint="eastAsia" w:hAnsi="宋体" w:cs="宋体"/>
        </w:rPr>
        <w:t>：</w:t>
      </w:r>
    </w:p>
    <w:p>
      <w:pPr>
        <w:pStyle w:val="184"/>
        <w:numPr>
          <w:ilvl w:val="0"/>
          <w:numId w:val="31"/>
        </w:numPr>
        <w:rPr>
          <w:rFonts w:hAnsi="宋体" w:cs="宋体"/>
          <w:kern w:val="2"/>
          <w:szCs w:val="21"/>
        </w:rPr>
      </w:pPr>
      <w:r>
        <w:rPr>
          <w:rFonts w:hint="eastAsia" w:hAnsi="宋体"/>
        </w:rPr>
        <w:t>应用数字化管理平台，以B</w:t>
      </w:r>
      <w:r>
        <w:rPr>
          <w:rFonts w:hAnsi="宋体"/>
        </w:rPr>
        <w:t>IM</w:t>
      </w:r>
      <w:r>
        <w:rPr>
          <w:rFonts w:hint="eastAsia" w:hAnsi="宋体"/>
        </w:rPr>
        <w:t>模型作为中心数据载体，实现数据传递和数据协同</w:t>
      </w:r>
      <w:r>
        <w:rPr>
          <w:rFonts w:hint="eastAsia" w:hAnsi="宋体" w:cs="宋体"/>
          <w:kern w:val="2"/>
          <w:szCs w:val="21"/>
        </w:rPr>
        <w:t>；</w:t>
      </w:r>
    </w:p>
    <w:p>
      <w:pPr>
        <w:pStyle w:val="184"/>
        <w:numPr>
          <w:ilvl w:val="0"/>
          <w:numId w:val="31"/>
        </w:numPr>
        <w:rPr>
          <w:rFonts w:hAnsi="宋体" w:cs="宋体"/>
          <w:kern w:val="2"/>
          <w:szCs w:val="21"/>
        </w:rPr>
      </w:pPr>
      <w:r>
        <w:rPr>
          <w:rFonts w:hint="eastAsia" w:hAnsi="宋体"/>
        </w:rPr>
        <w:t>基于B</w:t>
      </w:r>
      <w:r>
        <w:rPr>
          <w:rFonts w:hAnsi="宋体"/>
        </w:rPr>
        <w:t>IM</w:t>
      </w:r>
      <w:r>
        <w:rPr>
          <w:rFonts w:hint="eastAsia" w:hAnsi="宋体"/>
        </w:rPr>
        <w:t>模型数据驱动工厂生产、驱动现场施工装备、驱动项目管理；</w:t>
      </w:r>
    </w:p>
    <w:p>
      <w:pPr>
        <w:pStyle w:val="184"/>
        <w:numPr>
          <w:ilvl w:val="0"/>
          <w:numId w:val="31"/>
        </w:numPr>
        <w:rPr>
          <w:rFonts w:hAnsi="宋体" w:cs="宋体"/>
          <w:kern w:val="2"/>
          <w:szCs w:val="21"/>
        </w:rPr>
      </w:pPr>
      <w:r>
        <w:rPr>
          <w:rFonts w:hint="eastAsia" w:hAnsi="宋体"/>
        </w:rPr>
        <w:t>利用建筑机器人及智能装备在建造过程中进行人机协同；</w:t>
      </w:r>
    </w:p>
    <w:p>
      <w:pPr>
        <w:pStyle w:val="184"/>
        <w:numPr>
          <w:ilvl w:val="0"/>
          <w:numId w:val="31"/>
        </w:numPr>
        <w:rPr>
          <w:rFonts w:hAnsi="宋体" w:cs="宋体"/>
        </w:rPr>
      </w:pPr>
      <w:r>
        <w:rPr>
          <w:rFonts w:hint="eastAsia" w:hAnsi="宋体"/>
        </w:rPr>
        <w:t>创造显著的社会经济效益</w:t>
      </w:r>
      <w:r>
        <w:rPr>
          <w:rFonts w:hint="eastAsia" w:hAnsi="宋体" w:cs="宋体"/>
        </w:rPr>
        <w:t>。</w:t>
      </w:r>
    </w:p>
    <w:p>
      <w:pPr>
        <w:pStyle w:val="172"/>
        <w:ind w:left="0"/>
        <w:rPr>
          <w:rFonts w:hAnsi="宋体" w:cs="宋体"/>
        </w:rPr>
      </w:pPr>
      <w:r>
        <w:rPr>
          <w:rFonts w:hint="eastAsia" w:hAnsi="宋体"/>
          <w:szCs w:val="21"/>
        </w:rPr>
        <w:t>申请评价时，应提交项目申请评价报告、相关评价文件和证明材料，申请评价方应对所提交资料的真实性和完整性负责</w:t>
      </w:r>
      <w:r>
        <w:rPr>
          <w:rFonts w:hint="eastAsia" w:hAnsi="宋体" w:cs="宋体"/>
        </w:rPr>
        <w:t>。</w:t>
      </w:r>
    </w:p>
    <w:p>
      <w:pPr>
        <w:pStyle w:val="172"/>
        <w:ind w:left="0"/>
        <w:rPr>
          <w:rFonts w:hAnsi="宋体" w:cs="宋体"/>
        </w:rPr>
      </w:pPr>
      <w:r>
        <w:rPr>
          <w:rFonts w:hint="eastAsia" w:hAnsi="宋体"/>
          <w:szCs w:val="21"/>
        </w:rPr>
        <w:t>实施评价时，应按本标准的有关要求，对申请文件进行审查，对工程项目进行现场考察，并应科学、公正地出具评价报告。</w:t>
      </w:r>
    </w:p>
    <w:p>
      <w:pPr>
        <w:pStyle w:val="172"/>
        <w:ind w:left="0"/>
        <w:rPr>
          <w:rFonts w:hAnsi="宋体" w:cs="宋体"/>
        </w:rPr>
      </w:pPr>
      <w:r>
        <w:rPr>
          <w:rFonts w:hint="eastAsia" w:hAnsi="宋体"/>
          <w:szCs w:val="21"/>
        </w:rPr>
        <w:t>建筑工程项目发生下列事故之一，不得参评智能建造项目：</w:t>
      </w:r>
    </w:p>
    <w:p>
      <w:pPr>
        <w:pStyle w:val="184"/>
        <w:numPr>
          <w:ilvl w:val="0"/>
          <w:numId w:val="32"/>
        </w:numPr>
      </w:pPr>
      <w:r>
        <w:rPr>
          <w:rFonts w:hint="eastAsia" w:hAnsi="宋体"/>
        </w:rPr>
        <w:t>发生安全生产死亡责任事故；</w:t>
      </w:r>
    </w:p>
    <w:p>
      <w:pPr>
        <w:pStyle w:val="184"/>
      </w:pPr>
      <w:r>
        <w:rPr>
          <w:rFonts w:hint="eastAsia" w:hAnsi="宋体"/>
        </w:rPr>
        <w:t>发生重大质量事故并造成严重影响；</w:t>
      </w:r>
    </w:p>
    <w:p>
      <w:pPr>
        <w:pStyle w:val="184"/>
        <w:rPr>
          <w:rFonts w:cs="宋体"/>
        </w:rPr>
      </w:pPr>
      <w:r>
        <w:rPr>
          <w:rFonts w:hint="eastAsia" w:hAnsi="宋体"/>
        </w:rPr>
        <w:t>施工扰民造成严重社会影响；</w:t>
      </w:r>
    </w:p>
    <w:p>
      <w:pPr>
        <w:pStyle w:val="184"/>
      </w:pPr>
      <w:r>
        <w:rPr>
          <w:rFonts w:hint="eastAsia" w:hAnsi="宋体"/>
        </w:rPr>
        <w:t>发生其他责任事故被政府管理部门处罚</w:t>
      </w:r>
      <w:r>
        <w:rPr>
          <w:rFonts w:hint="eastAsia"/>
        </w:rPr>
        <w:t>。</w:t>
      </w:r>
    </w:p>
    <w:p>
      <w:pPr>
        <w:pStyle w:val="114"/>
        <w:spacing w:before="312" w:after="312"/>
      </w:pPr>
      <w:bookmarkStart w:id="63" w:name="_Toc148431724"/>
      <w:bookmarkStart w:id="64" w:name="_Hlk136856609"/>
      <w:r>
        <w:rPr>
          <w:rFonts w:hint="eastAsia"/>
        </w:rPr>
        <w:t>评价方法</w:t>
      </w:r>
      <w:bookmarkEnd w:id="63"/>
    </w:p>
    <w:p>
      <w:pPr>
        <w:pStyle w:val="172"/>
        <w:ind w:left="0"/>
        <w:rPr>
          <w:rFonts w:hAnsi="宋体"/>
          <w:szCs w:val="21"/>
        </w:rPr>
      </w:pPr>
      <w:bookmarkStart w:id="65" w:name="_Toc135144105"/>
      <w:bookmarkStart w:id="66" w:name="_Toc25681"/>
      <w:bookmarkStart w:id="67" w:name="_Toc121259846"/>
      <w:bookmarkStart w:id="68" w:name="_Toc10057"/>
      <w:bookmarkStart w:id="69" w:name="_Toc116999438"/>
      <w:bookmarkStart w:id="70" w:name="_Toc32377"/>
      <w:bookmarkStart w:id="71" w:name="_Toc49"/>
      <w:bookmarkStart w:id="72" w:name="_Toc116980765"/>
      <w:bookmarkStart w:id="73" w:name="_Toc19860"/>
      <w:r>
        <w:rPr>
          <w:rFonts w:hint="eastAsia" w:hAnsi="宋体"/>
          <w:szCs w:val="21"/>
        </w:rPr>
        <w:t>智能建造的评价指标体系包括组织与策划、建造过程和品质与价值三部分指标，每部分指标均包括基础项、评分项指标。</w:t>
      </w:r>
      <w:bookmarkEnd w:id="65"/>
      <w:bookmarkEnd w:id="66"/>
      <w:bookmarkEnd w:id="67"/>
      <w:bookmarkEnd w:id="68"/>
      <w:bookmarkEnd w:id="69"/>
      <w:bookmarkEnd w:id="70"/>
      <w:bookmarkEnd w:id="71"/>
      <w:bookmarkEnd w:id="72"/>
      <w:bookmarkEnd w:id="73"/>
    </w:p>
    <w:bookmarkEnd w:id="64"/>
    <w:p>
      <w:pPr>
        <w:pStyle w:val="172"/>
        <w:ind w:left="0"/>
        <w:rPr>
          <w:rFonts w:hAnsi="宋体"/>
          <w:szCs w:val="21"/>
        </w:rPr>
      </w:pPr>
      <w:bookmarkStart w:id="74" w:name="_Hlk121256891"/>
      <w:r>
        <w:rPr>
          <w:rFonts w:hint="eastAsia" w:hAnsi="宋体"/>
          <w:szCs w:val="21"/>
        </w:rPr>
        <w:t>基础项是智能建造评价的基本要求，当参评项目不符合本标准基础项的任一规定时，参评项目不应评价为智能建造项目。</w:t>
      </w:r>
    </w:p>
    <w:p>
      <w:pPr>
        <w:pStyle w:val="172"/>
        <w:ind w:left="0"/>
        <w:rPr>
          <w:rFonts w:hAnsi="宋体"/>
          <w:szCs w:val="21"/>
        </w:rPr>
      </w:pPr>
      <w:r>
        <w:rPr>
          <w:rFonts w:hint="eastAsia" w:hAnsi="宋体"/>
          <w:szCs w:val="21"/>
        </w:rPr>
        <w:t>组织与策划</w:t>
      </w:r>
      <w:r>
        <w:rPr>
          <w:rFonts w:hint="eastAsia" w:hAnsi="宋体"/>
        </w:rPr>
        <w:t>、建造过程、品质与价值三部分的评分项总分均为</w:t>
      </w:r>
      <w:r>
        <w:rPr>
          <w:rFonts w:hAnsi="宋体"/>
        </w:rPr>
        <w:t>100</w:t>
      </w:r>
      <w:r>
        <w:rPr>
          <w:rFonts w:hint="eastAsia" w:hAnsi="宋体"/>
        </w:rPr>
        <w:t>分，三部分评分项的实际得分值应按本标准的相关规定进行评分和计算。</w:t>
      </w:r>
    </w:p>
    <w:p>
      <w:pPr>
        <w:pStyle w:val="172"/>
        <w:ind w:left="0"/>
        <w:rPr>
          <w:rFonts w:hAnsi="宋体"/>
          <w:szCs w:val="21"/>
        </w:rPr>
      </w:pPr>
      <w:r>
        <w:rPr>
          <w:rFonts w:hint="eastAsia" w:hAnsi="宋体"/>
        </w:rPr>
        <w:t>组织与策划、建造过程、品质与价值指标的实际得分值均不应低于5</w:t>
      </w:r>
      <w:r>
        <w:rPr>
          <w:rFonts w:hAnsi="宋体"/>
        </w:rPr>
        <w:t>0</w:t>
      </w:r>
      <w:r>
        <w:rPr>
          <w:rFonts w:hint="eastAsia" w:hAnsi="宋体"/>
        </w:rPr>
        <w:t>分。</w:t>
      </w:r>
    </w:p>
    <w:p>
      <w:pPr>
        <w:pStyle w:val="172"/>
        <w:ind w:left="0"/>
        <w:rPr>
          <w:rFonts w:hAnsi="宋体"/>
          <w:szCs w:val="21"/>
        </w:rPr>
      </w:pPr>
      <w:r>
        <w:rPr>
          <w:rFonts w:hint="eastAsia" w:hAnsi="宋体"/>
        </w:rPr>
        <w:t>智能建造评价总得分值应按下式计算：</w:t>
      </w:r>
    </w:p>
    <w:p>
      <w:pPr>
        <w:pStyle w:val="172"/>
        <w:numPr>
          <w:ilvl w:val="0"/>
          <w:numId w:val="0"/>
        </w:numPr>
        <w:jc w:val="center"/>
        <w:rPr>
          <w:rFonts w:hAnsi="宋体"/>
        </w:rPr>
      </w:pPr>
      <w:r>
        <w:rPr>
          <w:rFonts w:hint="eastAsia" w:hAnsi="宋体"/>
          <w:i/>
          <w:iCs/>
        </w:rPr>
        <w:t>Q</w:t>
      </w:r>
      <w:r>
        <w:rPr>
          <w:rFonts w:hAnsi="宋体"/>
        </w:rPr>
        <w:t>=</w:t>
      </w:r>
      <m:oMath>
        <m:sSub>
          <m:sSubPr>
            <m:ctrlPr>
              <w:rPr>
                <w:rFonts w:ascii="Cambria Math" w:hAnsi="Cambria Math"/>
                <w:i/>
              </w:rPr>
            </m:ctrlPr>
          </m:sSubPr>
          <m:e>
            <m:r>
              <m:rPr/>
              <w:rPr>
                <w:rFonts w:ascii="Cambria Math" w:hAnsi="Cambria Math"/>
              </w:rPr>
              <m:t>α</m:t>
            </m:r>
            <m:ctrlPr>
              <w:rPr>
                <w:rFonts w:ascii="Cambria Math" w:hAnsi="Cambria Math"/>
                <w:i/>
              </w:rPr>
            </m:ctrlPr>
          </m:e>
          <m:sub>
            <m:r>
              <m:rPr/>
              <w:rPr>
                <w:rFonts w:ascii="Cambria Math" w:hAnsi="Cambria Math"/>
              </w:rPr>
              <m:t>1</m:t>
            </m:r>
            <m:ctrlPr>
              <w:rPr>
                <w:rFonts w:ascii="Cambria Math" w:hAnsi="Cambria Math"/>
                <w:i/>
              </w:rPr>
            </m:ctrlPr>
          </m:sub>
        </m:sSub>
      </m:oMath>
      <w:r>
        <w:rPr>
          <w:rFonts w:hAnsi="宋体"/>
          <w:i/>
          <w:iCs/>
        </w:rPr>
        <w:t>Q</w:t>
      </w:r>
      <w:r>
        <w:rPr>
          <w:rFonts w:hAnsi="宋体"/>
          <w:vertAlign w:val="subscript"/>
        </w:rPr>
        <w:t xml:space="preserve"> 1</w:t>
      </w:r>
      <w:r>
        <w:rPr>
          <w:rFonts w:hAnsi="宋体"/>
        </w:rPr>
        <w:t>+</w:t>
      </w:r>
      <m:oMath>
        <m:sSub>
          <m:sSubPr>
            <m:ctrlPr>
              <w:rPr>
                <w:rFonts w:ascii="Cambria Math" w:hAnsi="Cambria Math"/>
                <w:i/>
              </w:rPr>
            </m:ctrlPr>
          </m:sSubPr>
          <m:e>
            <m:r>
              <m:rPr/>
              <w:rPr>
                <w:rFonts w:ascii="Cambria Math" w:hAnsi="Cambria Math"/>
              </w:rPr>
              <m:t>α</m:t>
            </m:r>
            <m:ctrlPr>
              <w:rPr>
                <w:rFonts w:ascii="Cambria Math" w:hAnsi="Cambria Math"/>
                <w:i/>
              </w:rPr>
            </m:ctrlPr>
          </m:e>
          <m:sub>
            <m:r>
              <m:rPr/>
              <w:rPr>
                <w:rFonts w:ascii="Cambria Math" w:hAnsi="Cambria Math"/>
              </w:rPr>
              <m:t>2</m:t>
            </m:r>
            <m:ctrlPr>
              <w:rPr>
                <w:rFonts w:ascii="Cambria Math" w:hAnsi="Cambria Math"/>
                <w:i/>
              </w:rPr>
            </m:ctrlPr>
          </m:sub>
        </m:sSub>
      </m:oMath>
      <w:r>
        <w:rPr>
          <w:rFonts w:hAnsi="宋体"/>
          <w:i/>
          <w:iCs/>
        </w:rPr>
        <w:t>Q</w:t>
      </w:r>
      <w:r>
        <w:rPr>
          <w:rFonts w:hAnsi="宋体"/>
          <w:vertAlign w:val="subscript"/>
        </w:rPr>
        <w:t xml:space="preserve"> 2</w:t>
      </w:r>
      <w:r>
        <w:rPr>
          <w:rFonts w:hint="eastAsia" w:hAnsi="宋体"/>
        </w:rPr>
        <w:t>+</w:t>
      </w:r>
      <m:oMath>
        <m:sSub>
          <m:sSubPr>
            <m:ctrlPr>
              <w:rPr>
                <w:rFonts w:ascii="Cambria Math" w:hAnsi="Cambria Math"/>
                <w:i/>
              </w:rPr>
            </m:ctrlPr>
          </m:sSubPr>
          <m:e>
            <m:r>
              <m:rPr/>
              <w:rPr>
                <w:rFonts w:ascii="Cambria Math" w:hAnsi="Cambria Math"/>
              </w:rPr>
              <m:t>α</m:t>
            </m:r>
            <m:ctrlPr>
              <w:rPr>
                <w:rFonts w:ascii="Cambria Math" w:hAnsi="Cambria Math"/>
                <w:i/>
              </w:rPr>
            </m:ctrlPr>
          </m:e>
          <m:sub>
            <m:r>
              <m:rPr/>
              <w:rPr>
                <w:rFonts w:ascii="Cambria Math" w:hAnsi="Cambria Math"/>
              </w:rPr>
              <m:t>3</m:t>
            </m:r>
            <m:ctrlPr>
              <w:rPr>
                <w:rFonts w:ascii="Cambria Math" w:hAnsi="Cambria Math"/>
                <w:i/>
              </w:rPr>
            </m:ctrlPr>
          </m:sub>
        </m:sSub>
      </m:oMath>
      <w:r>
        <w:rPr>
          <w:rFonts w:hAnsi="宋体"/>
          <w:i/>
          <w:iCs/>
        </w:rPr>
        <w:t>Q</w:t>
      </w:r>
      <w:r>
        <w:rPr>
          <w:rFonts w:hAnsi="宋体"/>
          <w:vertAlign w:val="subscript"/>
        </w:rPr>
        <w:t xml:space="preserve"> 3</w:t>
      </w:r>
      <w:r>
        <w:rPr>
          <w:rFonts w:hAnsi="宋体"/>
        </w:rPr>
        <w:t xml:space="preserve">                                  (5.5）</w:t>
      </w:r>
    </w:p>
    <w:p>
      <w:pPr>
        <w:spacing w:line="240" w:lineRule="auto"/>
        <w:ind w:firstLine="630" w:firstLineChars="300"/>
        <w:jc w:val="left"/>
        <w:rPr>
          <w:rFonts w:ascii="宋体" w:hAnsi="宋体"/>
        </w:rPr>
      </w:pPr>
      <w:r>
        <w:rPr>
          <w:rFonts w:hint="eastAsia" w:ascii="宋体" w:hAnsi="宋体"/>
        </w:rPr>
        <w:t xml:space="preserve">式中： </w:t>
      </w:r>
      <w:r>
        <w:rPr>
          <w:rFonts w:hint="eastAsia" w:ascii="宋体" w:hAnsi="宋体"/>
          <w:i/>
          <w:iCs/>
        </w:rPr>
        <w:t>Q</w:t>
      </w:r>
      <w:r>
        <w:rPr>
          <w:rFonts w:ascii="宋体" w:hAnsi="宋体"/>
          <w:i/>
          <w:iCs/>
        </w:rPr>
        <w:t xml:space="preserve"> </w:t>
      </w:r>
      <w:r>
        <w:rPr>
          <w:rFonts w:hint="eastAsia" w:ascii="宋体" w:hAnsi="宋体"/>
          <w:i/>
          <w:iCs/>
        </w:rPr>
        <w:t>——</w:t>
      </w:r>
      <w:r>
        <w:rPr>
          <w:rFonts w:hint="eastAsia" w:ascii="宋体" w:hAnsi="宋体"/>
        </w:rPr>
        <w:t>智能建造评价的总得分值；</w:t>
      </w:r>
    </w:p>
    <w:p>
      <w:pPr>
        <w:spacing w:line="240" w:lineRule="auto"/>
        <w:jc w:val="left"/>
        <w:rPr>
          <w:rFonts w:ascii="宋体" w:hAnsi="宋体"/>
        </w:rPr>
      </w:pPr>
      <w:r>
        <w:rPr>
          <w:rFonts w:hint="eastAsia" w:ascii="宋体" w:hAnsi="宋体"/>
        </w:rPr>
        <w:t xml:space="preserve"> </w:t>
      </w:r>
      <w:r>
        <w:rPr>
          <w:rFonts w:ascii="宋体" w:hAnsi="宋体"/>
        </w:rPr>
        <w:t xml:space="preserve">            </w:t>
      </w:r>
      <w:r>
        <w:rPr>
          <w:rFonts w:ascii="宋体" w:hAnsi="宋体"/>
          <w:i/>
          <w:iCs/>
        </w:rPr>
        <w:t>Q</w:t>
      </w:r>
      <w:r>
        <w:rPr>
          <w:rFonts w:ascii="宋体" w:hAnsi="宋体"/>
          <w:vertAlign w:val="subscript"/>
        </w:rPr>
        <w:t xml:space="preserve"> 1</w:t>
      </w:r>
      <w:r>
        <w:rPr>
          <w:rFonts w:hint="eastAsia" w:ascii="宋体" w:hAnsi="宋体"/>
        </w:rPr>
        <w:t>——组织与策划评价的实际得分值；</w:t>
      </w:r>
    </w:p>
    <w:p>
      <w:pPr>
        <w:spacing w:line="240" w:lineRule="auto"/>
        <w:ind w:firstLine="1365" w:firstLineChars="650"/>
        <w:jc w:val="left"/>
        <w:rPr>
          <w:rFonts w:ascii="宋体" w:hAnsi="宋体"/>
        </w:rPr>
      </w:pPr>
      <w:r>
        <w:rPr>
          <w:rFonts w:ascii="宋体" w:hAnsi="宋体"/>
          <w:i/>
          <w:iCs/>
        </w:rPr>
        <w:t>Q</w:t>
      </w:r>
      <w:r>
        <w:rPr>
          <w:rFonts w:ascii="宋体" w:hAnsi="宋体"/>
          <w:vertAlign w:val="subscript"/>
        </w:rPr>
        <w:t xml:space="preserve"> 2</w:t>
      </w:r>
      <w:r>
        <w:rPr>
          <w:rFonts w:hint="eastAsia" w:ascii="宋体" w:hAnsi="宋体"/>
        </w:rPr>
        <w:t>——建造过程评价的实际得分值；</w:t>
      </w:r>
    </w:p>
    <w:p>
      <w:pPr>
        <w:spacing w:line="240" w:lineRule="auto"/>
        <w:ind w:firstLine="1365" w:firstLineChars="650"/>
        <w:jc w:val="left"/>
        <w:rPr>
          <w:rFonts w:ascii="宋体" w:hAnsi="宋体"/>
          <w:i/>
          <w:iCs/>
        </w:rPr>
      </w:pPr>
      <w:r>
        <w:rPr>
          <w:rFonts w:ascii="宋体" w:hAnsi="宋体"/>
          <w:i/>
          <w:iCs/>
        </w:rPr>
        <w:t>Q</w:t>
      </w:r>
      <w:r>
        <w:rPr>
          <w:rFonts w:ascii="宋体" w:hAnsi="宋体"/>
          <w:vertAlign w:val="subscript"/>
        </w:rPr>
        <w:t xml:space="preserve"> 3</w:t>
      </w:r>
      <w:r>
        <w:rPr>
          <w:rFonts w:hint="eastAsia" w:ascii="宋体" w:hAnsi="宋体"/>
        </w:rPr>
        <w:t>——品质与价值评价的实际得分值；</w:t>
      </w:r>
    </w:p>
    <w:p>
      <w:pPr>
        <w:spacing w:line="240" w:lineRule="auto"/>
        <w:ind w:firstLine="1365" w:firstLineChars="650"/>
        <w:jc w:val="left"/>
        <w:rPr>
          <w:rFonts w:ascii="宋体" w:hAnsi="宋体"/>
        </w:rPr>
      </w:pPr>
      <m:oMath>
        <m:sSub>
          <m:sSubPr>
            <m:ctrlPr>
              <w:rPr>
                <w:rFonts w:ascii="Cambria Math" w:hAnsi="Cambria Math"/>
                <w:i/>
              </w:rPr>
            </m:ctrlPr>
          </m:sSubPr>
          <m:e>
            <m:r>
              <m:rPr/>
              <w:rPr>
                <w:rFonts w:ascii="Cambria Math" w:hAnsi="Cambria Math"/>
              </w:rPr>
              <m:t>α</m:t>
            </m:r>
            <m:ctrlPr>
              <w:rPr>
                <w:rFonts w:ascii="Cambria Math" w:hAnsi="Cambria Math"/>
                <w:i/>
              </w:rPr>
            </m:ctrlPr>
          </m:e>
          <m:sub>
            <m:r>
              <m:rPr/>
              <w:rPr>
                <w:rFonts w:ascii="Cambria Math" w:hAnsi="Cambria Math"/>
              </w:rPr>
              <m:t>1</m:t>
            </m:r>
            <m:ctrlPr>
              <w:rPr>
                <w:rFonts w:ascii="Cambria Math" w:hAnsi="Cambria Math"/>
                <w:i/>
              </w:rPr>
            </m:ctrlPr>
          </m:sub>
        </m:sSub>
      </m:oMath>
      <w:r>
        <w:rPr>
          <w:rFonts w:hint="eastAsia" w:ascii="宋体" w:hAnsi="宋体"/>
        </w:rPr>
        <w:t>——组织与策划实际得分的权重值；</w:t>
      </w:r>
    </w:p>
    <w:p>
      <w:pPr>
        <w:spacing w:line="240" w:lineRule="auto"/>
        <w:ind w:firstLine="1365" w:firstLineChars="650"/>
        <w:jc w:val="left"/>
        <w:rPr>
          <w:rFonts w:ascii="宋体" w:hAnsi="宋体"/>
        </w:rPr>
      </w:pPr>
      <m:oMath>
        <m:sSub>
          <m:sSubPr>
            <m:ctrlPr>
              <w:rPr>
                <w:rFonts w:ascii="Cambria Math" w:hAnsi="Cambria Math"/>
                <w:i/>
              </w:rPr>
            </m:ctrlPr>
          </m:sSubPr>
          <m:e>
            <m:r>
              <m:rPr/>
              <w:rPr>
                <w:rFonts w:ascii="Cambria Math" w:hAnsi="Cambria Math"/>
              </w:rPr>
              <m:t>α</m:t>
            </m:r>
            <m:ctrlPr>
              <w:rPr>
                <w:rFonts w:ascii="Cambria Math" w:hAnsi="Cambria Math"/>
                <w:i/>
              </w:rPr>
            </m:ctrlPr>
          </m:e>
          <m:sub>
            <m:r>
              <m:rPr/>
              <w:rPr>
                <w:rFonts w:ascii="Cambria Math" w:hAnsi="Cambria Math"/>
              </w:rPr>
              <m:t>2</m:t>
            </m:r>
            <m:ctrlPr>
              <w:rPr>
                <w:rFonts w:ascii="Cambria Math" w:hAnsi="Cambria Math"/>
                <w:i/>
              </w:rPr>
            </m:ctrlPr>
          </m:sub>
        </m:sSub>
      </m:oMath>
      <w:r>
        <w:rPr>
          <w:rFonts w:hint="eastAsia" w:ascii="宋体" w:hAnsi="宋体"/>
        </w:rPr>
        <w:t>——建造过程实际得分的权重值；</w:t>
      </w:r>
    </w:p>
    <w:p>
      <w:pPr>
        <w:spacing w:line="240" w:lineRule="auto"/>
        <w:ind w:firstLine="1365" w:firstLineChars="650"/>
        <w:jc w:val="left"/>
        <w:rPr>
          <w:rFonts w:ascii="宋体" w:hAnsi="宋体"/>
        </w:rPr>
      </w:pPr>
      <m:oMath>
        <m:sSub>
          <m:sSubPr>
            <m:ctrlPr>
              <w:rPr>
                <w:rFonts w:ascii="Cambria Math" w:hAnsi="Cambria Math"/>
                <w:i/>
              </w:rPr>
            </m:ctrlPr>
          </m:sSubPr>
          <m:e>
            <m:r>
              <m:rPr/>
              <w:rPr>
                <w:rFonts w:ascii="Cambria Math" w:hAnsi="Cambria Math"/>
              </w:rPr>
              <m:t>α</m:t>
            </m:r>
            <m:ctrlPr>
              <w:rPr>
                <w:rFonts w:ascii="Cambria Math" w:hAnsi="Cambria Math"/>
                <w:i/>
              </w:rPr>
            </m:ctrlPr>
          </m:e>
          <m:sub>
            <m:r>
              <m:rPr/>
              <w:rPr>
                <w:rFonts w:ascii="Cambria Math" w:hAnsi="Cambria Math"/>
              </w:rPr>
              <m:t>3</m:t>
            </m:r>
            <m:ctrlPr>
              <w:rPr>
                <w:rFonts w:ascii="Cambria Math" w:hAnsi="Cambria Math"/>
                <w:i/>
              </w:rPr>
            </m:ctrlPr>
          </m:sub>
        </m:sSub>
      </m:oMath>
      <w:r>
        <w:rPr>
          <w:rFonts w:hint="eastAsia" w:ascii="宋体" w:hAnsi="宋体"/>
        </w:rPr>
        <w:t>——品质与价值实际得分的权重值。</w:t>
      </w:r>
    </w:p>
    <w:bookmarkEnd w:id="74"/>
    <w:p>
      <w:pPr>
        <w:pStyle w:val="172"/>
        <w:ind w:left="0"/>
        <w:rPr>
          <w:rFonts w:hAnsi="宋体"/>
        </w:rPr>
      </w:pPr>
      <w:r>
        <w:rPr>
          <w:rFonts w:hint="eastAsia" w:hAnsi="宋体"/>
          <w:szCs w:val="21"/>
        </w:rPr>
        <w:t>组织与策划评价应在参评项目立项后、现场施工开始前进行。</w:t>
      </w:r>
    </w:p>
    <w:p>
      <w:pPr>
        <w:pStyle w:val="172"/>
        <w:ind w:left="0"/>
        <w:rPr>
          <w:rFonts w:hAnsi="宋体"/>
        </w:rPr>
      </w:pPr>
      <w:r>
        <w:rPr>
          <w:rFonts w:hint="eastAsia" w:hAnsi="宋体"/>
          <w:szCs w:val="21"/>
        </w:rPr>
        <w:t>建造过程评价应在</w:t>
      </w:r>
      <w:r>
        <w:rPr>
          <w:rFonts w:hint="eastAsia" w:hAnsi="宋体"/>
        </w:rPr>
        <w:t>参评项目满足</w:t>
      </w:r>
      <w:r>
        <w:rPr>
          <w:rFonts w:hint="eastAsia" w:hAnsi="宋体"/>
          <w:szCs w:val="21"/>
        </w:rPr>
        <w:t>组织与策划</w:t>
      </w:r>
      <w:r>
        <w:rPr>
          <w:rFonts w:hint="eastAsia" w:hAnsi="宋体"/>
        </w:rPr>
        <w:t>评价要求后分阶段、分批次进行，涵盖设计、生产、施工、运维四个过程，包</w:t>
      </w:r>
      <w:r>
        <w:rPr>
          <w:rFonts w:hint="eastAsia" w:hAnsi="宋体"/>
          <w:szCs w:val="21"/>
        </w:rPr>
        <w:t>含数字设计评价、智能生产评价、智能施工评价、智慧运维评价、全过程数据协同评价五部分，并应符合下列规定：</w:t>
      </w:r>
    </w:p>
    <w:p>
      <w:pPr>
        <w:pStyle w:val="184"/>
        <w:numPr>
          <w:ilvl w:val="0"/>
          <w:numId w:val="33"/>
        </w:numPr>
        <w:rPr>
          <w:rFonts w:hAnsi="宋体"/>
        </w:rPr>
      </w:pPr>
      <w:r>
        <w:rPr>
          <w:rFonts w:hint="eastAsia" w:hAnsi="宋体"/>
        </w:rPr>
        <w:t>数字设计应在设计阶段进行评价；</w:t>
      </w:r>
    </w:p>
    <w:p>
      <w:pPr>
        <w:pStyle w:val="184"/>
        <w:numPr>
          <w:ilvl w:val="0"/>
          <w:numId w:val="33"/>
        </w:numPr>
        <w:rPr>
          <w:rFonts w:hAnsi="宋体"/>
        </w:rPr>
      </w:pPr>
      <w:r>
        <w:rPr>
          <w:rFonts w:hint="eastAsia" w:hAnsi="宋体"/>
        </w:rPr>
        <w:t>智能生产和智能施工应在施工阶段进行评价；</w:t>
      </w:r>
    </w:p>
    <w:p>
      <w:pPr>
        <w:pStyle w:val="184"/>
        <w:numPr>
          <w:ilvl w:val="0"/>
          <w:numId w:val="33"/>
        </w:numPr>
        <w:rPr>
          <w:rFonts w:hAnsi="宋体"/>
        </w:rPr>
      </w:pPr>
      <w:r>
        <w:rPr>
          <w:rFonts w:hint="eastAsia" w:hAnsi="宋体"/>
          <w:szCs w:val="21"/>
        </w:rPr>
        <w:t>智慧运维和全过程数据协同应在</w:t>
      </w:r>
      <w:r>
        <w:rPr>
          <w:rFonts w:hint="eastAsia" w:hAnsi="宋体"/>
        </w:rPr>
        <w:t>通过竣工验收、运维半年后同时或分别进行评价；</w:t>
      </w:r>
    </w:p>
    <w:p>
      <w:pPr>
        <w:pStyle w:val="184"/>
        <w:numPr>
          <w:ilvl w:val="0"/>
          <w:numId w:val="33"/>
        </w:numPr>
        <w:rPr>
          <w:rFonts w:hAnsi="宋体"/>
        </w:rPr>
      </w:pPr>
      <w:r>
        <w:rPr>
          <w:rFonts w:hint="eastAsia" w:hAnsi="宋体"/>
        </w:rPr>
        <w:t>五部分评价得分汇总为建造过程评价最终得分。</w:t>
      </w:r>
    </w:p>
    <w:p>
      <w:pPr>
        <w:pStyle w:val="172"/>
        <w:ind w:left="0"/>
        <w:rPr>
          <w:rFonts w:hAnsi="宋体"/>
          <w:szCs w:val="21"/>
        </w:rPr>
      </w:pPr>
      <w:r>
        <w:rPr>
          <w:rFonts w:hint="eastAsia" w:hAnsi="宋体"/>
          <w:szCs w:val="21"/>
        </w:rPr>
        <w:t>品质与价值评价应在参评项目满足建造过程评价要求后同步进行。</w:t>
      </w:r>
    </w:p>
    <w:p>
      <w:pPr>
        <w:pStyle w:val="172"/>
        <w:ind w:left="0"/>
        <w:rPr>
          <w:rFonts w:hAnsi="宋体"/>
          <w:szCs w:val="21"/>
        </w:rPr>
      </w:pPr>
      <w:r>
        <w:rPr>
          <w:rFonts w:hint="eastAsia" w:hAnsi="宋体"/>
        </w:rPr>
        <w:t>计算智能建造评价的总得分时，组织与策划、建造过程、品质与价值三部分实际得分的权重值应按表</w:t>
      </w:r>
      <w:r>
        <w:rPr>
          <w:rFonts w:ascii="Times New Roman"/>
        </w:rPr>
        <w:t>1</w:t>
      </w:r>
      <w:r>
        <w:rPr>
          <w:rFonts w:hint="eastAsia" w:hAnsi="宋体"/>
        </w:rPr>
        <w:t>确定。</w:t>
      </w:r>
    </w:p>
    <w:p>
      <w:pPr>
        <w:pStyle w:val="122"/>
        <w:spacing w:before="156" w:after="156"/>
        <w:ind w:left="0"/>
        <w:rPr>
          <w:rFonts w:ascii="宋体"/>
        </w:rPr>
      </w:pPr>
      <w:r>
        <w:rPr>
          <w:rFonts w:hint="eastAsia"/>
        </w:rPr>
        <w:t>智能建造评价各部分实际得分的权重值</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2668"/>
        <w:gridCol w:w="2668"/>
        <w:gridCol w:w="2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pct"/>
            <w:vAlign w:val="center"/>
          </w:tcPr>
          <w:p>
            <w:pPr>
              <w:spacing w:line="240" w:lineRule="auto"/>
              <w:jc w:val="center"/>
              <w:rPr>
                <w:rFonts w:ascii="宋体" w:hAnsi="宋体"/>
                <w:sz w:val="18"/>
                <w:szCs w:val="18"/>
              </w:rPr>
            </w:pPr>
            <w:r>
              <w:rPr>
                <w:rFonts w:hint="eastAsia" w:ascii="宋体" w:hAnsi="宋体"/>
                <w:sz w:val="18"/>
                <w:szCs w:val="18"/>
              </w:rPr>
              <w:t>阶段</w:t>
            </w:r>
          </w:p>
        </w:tc>
        <w:tc>
          <w:tcPr>
            <w:tcW w:w="1394" w:type="pct"/>
            <w:vAlign w:val="center"/>
          </w:tcPr>
          <w:p>
            <w:pPr>
              <w:spacing w:line="240" w:lineRule="auto"/>
              <w:jc w:val="center"/>
              <w:rPr>
                <w:rFonts w:ascii="宋体" w:hAnsi="宋体"/>
                <w:sz w:val="18"/>
                <w:szCs w:val="18"/>
              </w:rPr>
            </w:pPr>
            <w:r>
              <w:rPr>
                <w:rFonts w:hint="eastAsia" w:ascii="宋体" w:hAnsi="宋体"/>
                <w:sz w:val="18"/>
                <w:szCs w:val="18"/>
              </w:rPr>
              <w:t>组织与策划，</w:t>
            </w:r>
            <m:oMath>
              <m:sSub>
                <m:sSubPr>
                  <m:ctrlPr>
                    <w:rPr>
                      <w:rFonts w:ascii="Cambria Math" w:hAnsi="Cambria Math"/>
                      <w:i/>
                      <w:sz w:val="18"/>
                      <w:szCs w:val="18"/>
                    </w:rPr>
                  </m:ctrlPr>
                </m:sSubPr>
                <m:e>
                  <m:r>
                    <m:rPr/>
                    <w:rPr>
                      <w:rFonts w:ascii="Cambria Math" w:hAnsi="Cambria Math"/>
                      <w:sz w:val="18"/>
                      <w:szCs w:val="18"/>
                    </w:rPr>
                    <m:t>α</m:t>
                  </m:r>
                  <m:ctrlPr>
                    <w:rPr>
                      <w:rFonts w:ascii="Cambria Math" w:hAnsi="Cambria Math"/>
                      <w:i/>
                      <w:sz w:val="18"/>
                      <w:szCs w:val="18"/>
                    </w:rPr>
                  </m:ctrlPr>
                </m:e>
                <m:sub>
                  <m:r>
                    <m:rPr/>
                    <w:rPr>
                      <w:rFonts w:ascii="Cambria Math" w:hAnsi="Cambria Math"/>
                      <w:sz w:val="18"/>
                      <w:szCs w:val="18"/>
                    </w:rPr>
                    <m:t>1</m:t>
                  </m:r>
                  <m:ctrlPr>
                    <w:rPr>
                      <w:rFonts w:ascii="Cambria Math" w:hAnsi="Cambria Math"/>
                      <w:i/>
                      <w:sz w:val="18"/>
                      <w:szCs w:val="18"/>
                    </w:rPr>
                  </m:ctrlPr>
                </m:sub>
              </m:sSub>
            </m:oMath>
          </w:p>
        </w:tc>
        <w:tc>
          <w:tcPr>
            <w:tcW w:w="1394" w:type="pct"/>
            <w:vAlign w:val="center"/>
          </w:tcPr>
          <w:p>
            <w:pPr>
              <w:spacing w:line="240" w:lineRule="auto"/>
              <w:jc w:val="center"/>
              <w:rPr>
                <w:rFonts w:ascii="宋体" w:hAnsi="宋体"/>
                <w:sz w:val="18"/>
                <w:szCs w:val="18"/>
              </w:rPr>
            </w:pPr>
            <w:r>
              <w:rPr>
                <w:rFonts w:hint="eastAsia" w:ascii="宋体" w:hAnsi="宋体"/>
                <w:sz w:val="18"/>
                <w:szCs w:val="18"/>
              </w:rPr>
              <w:t>建造过程，</w:t>
            </w:r>
            <m:oMath>
              <m:sSub>
                <m:sSubPr>
                  <m:ctrlPr>
                    <w:rPr>
                      <w:rFonts w:ascii="Cambria Math" w:hAnsi="Cambria Math"/>
                      <w:i/>
                      <w:sz w:val="18"/>
                      <w:szCs w:val="18"/>
                    </w:rPr>
                  </m:ctrlPr>
                </m:sSubPr>
                <m:e>
                  <m:r>
                    <m:rPr/>
                    <w:rPr>
                      <w:rFonts w:ascii="Cambria Math" w:hAnsi="Cambria Math"/>
                      <w:sz w:val="18"/>
                      <w:szCs w:val="18"/>
                    </w:rPr>
                    <m:t>α</m:t>
                  </m:r>
                  <m:ctrlPr>
                    <w:rPr>
                      <w:rFonts w:ascii="Cambria Math" w:hAnsi="Cambria Math"/>
                      <w:i/>
                      <w:sz w:val="18"/>
                      <w:szCs w:val="18"/>
                    </w:rPr>
                  </m:ctrlPr>
                </m:e>
                <m:sub>
                  <m:r>
                    <m:rPr/>
                    <w:rPr>
                      <w:rFonts w:ascii="Cambria Math" w:hAnsi="Cambria Math"/>
                      <w:sz w:val="18"/>
                      <w:szCs w:val="18"/>
                    </w:rPr>
                    <m:t>2</m:t>
                  </m:r>
                  <m:ctrlPr>
                    <w:rPr>
                      <w:rFonts w:ascii="Cambria Math" w:hAnsi="Cambria Math"/>
                      <w:i/>
                      <w:sz w:val="18"/>
                      <w:szCs w:val="18"/>
                    </w:rPr>
                  </m:ctrlPr>
                </m:sub>
              </m:sSub>
            </m:oMath>
          </w:p>
        </w:tc>
        <w:tc>
          <w:tcPr>
            <w:tcW w:w="1402" w:type="pct"/>
            <w:vAlign w:val="center"/>
          </w:tcPr>
          <w:p>
            <w:pPr>
              <w:spacing w:line="240" w:lineRule="auto"/>
              <w:jc w:val="center"/>
              <w:rPr>
                <w:rFonts w:ascii="宋体" w:hAnsi="宋体"/>
                <w:sz w:val="18"/>
                <w:szCs w:val="18"/>
              </w:rPr>
            </w:pPr>
            <w:r>
              <w:rPr>
                <w:rFonts w:hint="eastAsia" w:ascii="宋体" w:hAnsi="宋体"/>
                <w:sz w:val="18"/>
                <w:szCs w:val="18"/>
              </w:rPr>
              <w:t>品质与价值，</w:t>
            </w:r>
            <m:oMath>
              <m:sSub>
                <m:sSubPr>
                  <m:ctrlPr>
                    <w:rPr>
                      <w:rFonts w:ascii="Cambria Math" w:hAnsi="Cambria Math"/>
                      <w:i/>
                      <w:sz w:val="18"/>
                      <w:szCs w:val="18"/>
                    </w:rPr>
                  </m:ctrlPr>
                </m:sSubPr>
                <m:e>
                  <m:r>
                    <m:rPr/>
                    <w:rPr>
                      <w:rFonts w:ascii="Cambria Math" w:hAnsi="Cambria Math"/>
                      <w:sz w:val="18"/>
                      <w:szCs w:val="18"/>
                    </w:rPr>
                    <m:t>α</m:t>
                  </m:r>
                  <m:ctrlPr>
                    <w:rPr>
                      <w:rFonts w:ascii="Cambria Math" w:hAnsi="Cambria Math"/>
                      <w:i/>
                      <w:sz w:val="18"/>
                      <w:szCs w:val="18"/>
                    </w:rPr>
                  </m:ctrlPr>
                </m:e>
                <m:sub>
                  <m:r>
                    <m:rPr/>
                    <w:rPr>
                      <w:rFonts w:ascii="Cambria Math" w:hAnsi="Cambria Math"/>
                      <w:sz w:val="18"/>
                      <w:szCs w:val="18"/>
                    </w:rPr>
                    <m:t>3</m:t>
                  </m:r>
                  <m:ctrlPr>
                    <w:rPr>
                      <w:rFonts w:ascii="Cambria Math" w:hAnsi="Cambria Math"/>
                      <w:i/>
                      <w:sz w:val="18"/>
                      <w:szCs w:val="18"/>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pct"/>
            <w:vAlign w:val="center"/>
          </w:tcPr>
          <w:p>
            <w:pPr>
              <w:spacing w:line="240" w:lineRule="auto"/>
              <w:jc w:val="center"/>
              <w:rPr>
                <w:rFonts w:ascii="宋体" w:hAnsi="宋体"/>
                <w:sz w:val="18"/>
                <w:szCs w:val="18"/>
              </w:rPr>
            </w:pPr>
            <w:r>
              <w:rPr>
                <w:rFonts w:hint="eastAsia" w:ascii="宋体" w:hAnsi="宋体"/>
                <w:sz w:val="18"/>
                <w:szCs w:val="18"/>
              </w:rPr>
              <w:t>权重值</w:t>
            </w:r>
          </w:p>
        </w:tc>
        <w:tc>
          <w:tcPr>
            <w:tcW w:w="1394" w:type="pct"/>
            <w:vAlign w:val="center"/>
          </w:tcPr>
          <w:p>
            <w:pPr>
              <w:spacing w:line="240" w:lineRule="auto"/>
              <w:jc w:val="center"/>
              <w:rPr>
                <w:rFonts w:ascii="宋体" w:hAnsi="宋体"/>
                <w:sz w:val="18"/>
                <w:szCs w:val="18"/>
              </w:rPr>
            </w:pPr>
            <w:r>
              <w:rPr>
                <w:rFonts w:ascii="宋体" w:hAnsi="宋体"/>
                <w:sz w:val="18"/>
                <w:szCs w:val="18"/>
              </w:rPr>
              <w:t>0.10</w:t>
            </w:r>
          </w:p>
        </w:tc>
        <w:tc>
          <w:tcPr>
            <w:tcW w:w="1394" w:type="pct"/>
            <w:vAlign w:val="center"/>
          </w:tcPr>
          <w:p>
            <w:pPr>
              <w:spacing w:line="240" w:lineRule="auto"/>
              <w:jc w:val="center"/>
              <w:rPr>
                <w:rFonts w:ascii="宋体" w:hAnsi="宋体"/>
                <w:sz w:val="18"/>
                <w:szCs w:val="18"/>
              </w:rPr>
            </w:pPr>
            <w:r>
              <w:rPr>
                <w:rFonts w:hint="eastAsia" w:ascii="宋体" w:hAnsi="宋体"/>
                <w:sz w:val="18"/>
                <w:szCs w:val="18"/>
              </w:rPr>
              <w:t>0</w:t>
            </w:r>
            <w:r>
              <w:rPr>
                <w:rFonts w:ascii="宋体" w:hAnsi="宋体"/>
                <w:sz w:val="18"/>
                <w:szCs w:val="18"/>
              </w:rPr>
              <w:t>.60</w:t>
            </w:r>
          </w:p>
        </w:tc>
        <w:tc>
          <w:tcPr>
            <w:tcW w:w="1402" w:type="pct"/>
            <w:vAlign w:val="center"/>
          </w:tcPr>
          <w:p>
            <w:pPr>
              <w:spacing w:line="240" w:lineRule="auto"/>
              <w:jc w:val="center"/>
              <w:rPr>
                <w:rFonts w:ascii="宋体" w:hAnsi="宋体"/>
                <w:sz w:val="18"/>
                <w:szCs w:val="18"/>
              </w:rPr>
            </w:pPr>
            <w:r>
              <w:rPr>
                <w:rFonts w:hint="eastAsia" w:ascii="宋体" w:hAnsi="宋体"/>
                <w:sz w:val="18"/>
                <w:szCs w:val="18"/>
              </w:rPr>
              <w:t>0</w:t>
            </w:r>
            <w:r>
              <w:rPr>
                <w:rFonts w:ascii="宋体" w:hAnsi="宋体"/>
                <w:sz w:val="18"/>
                <w:szCs w:val="18"/>
              </w:rPr>
              <w:t>.30</w:t>
            </w:r>
          </w:p>
        </w:tc>
      </w:tr>
    </w:tbl>
    <w:p>
      <w:pPr>
        <w:overflowPunct w:val="0"/>
        <w:snapToGrid w:val="0"/>
        <w:spacing w:line="240" w:lineRule="auto"/>
        <w:rPr>
          <w:rFonts w:ascii="黑体" w:hAnsi="黑体" w:eastAsia="黑体" w:cs="宋体"/>
          <w:bCs/>
        </w:rPr>
      </w:pPr>
    </w:p>
    <w:p>
      <w:pPr>
        <w:pStyle w:val="172"/>
        <w:ind w:left="0"/>
        <w:rPr>
          <w:rFonts w:hAnsi="宋体"/>
        </w:rPr>
      </w:pPr>
      <w:r>
        <w:rPr>
          <w:rFonts w:hint="eastAsia" w:hAnsi="宋体"/>
        </w:rPr>
        <w:t>智能建造评价结果应划分为A级、A</w:t>
      </w:r>
      <w:r>
        <w:rPr>
          <w:rFonts w:hAnsi="宋体"/>
        </w:rPr>
        <w:t>A</w:t>
      </w:r>
      <w:r>
        <w:rPr>
          <w:rFonts w:hint="eastAsia" w:hAnsi="宋体"/>
        </w:rPr>
        <w:t>级、A</w:t>
      </w:r>
      <w:r>
        <w:rPr>
          <w:rFonts w:hAnsi="宋体"/>
        </w:rPr>
        <w:t>AA</w:t>
      </w:r>
      <w:r>
        <w:rPr>
          <w:rFonts w:hint="eastAsia" w:hAnsi="宋体"/>
        </w:rPr>
        <w:t>级，并应符合下列规定：</w:t>
      </w:r>
    </w:p>
    <w:p>
      <w:pPr>
        <w:pStyle w:val="184"/>
        <w:numPr>
          <w:ilvl w:val="0"/>
          <w:numId w:val="34"/>
        </w:numPr>
        <w:rPr>
          <w:rFonts w:hAnsi="宋体"/>
        </w:rPr>
      </w:pPr>
      <w:r>
        <w:rPr>
          <w:rFonts w:hint="eastAsia" w:hAnsi="宋体"/>
        </w:rPr>
        <w:t>6</w:t>
      </w:r>
      <w:r>
        <w:rPr>
          <w:rFonts w:hAnsi="宋体"/>
        </w:rPr>
        <w:t>0</w:t>
      </w:r>
      <w:r>
        <w:rPr>
          <w:rFonts w:hint="eastAsia" w:hAnsi="宋体"/>
        </w:rPr>
        <w:t>分≤评价分值＜</w:t>
      </w:r>
      <w:r>
        <w:rPr>
          <w:rFonts w:hAnsi="宋体"/>
        </w:rPr>
        <w:t>75</w:t>
      </w:r>
      <w:r>
        <w:rPr>
          <w:rFonts w:hint="eastAsia" w:hAnsi="宋体"/>
        </w:rPr>
        <w:t>分时，为A级；</w:t>
      </w:r>
    </w:p>
    <w:p>
      <w:pPr>
        <w:pStyle w:val="184"/>
        <w:numPr>
          <w:ilvl w:val="0"/>
          <w:numId w:val="33"/>
        </w:numPr>
        <w:rPr>
          <w:rFonts w:hAnsi="宋体"/>
        </w:rPr>
      </w:pPr>
      <w:r>
        <w:rPr>
          <w:rFonts w:hint="eastAsia" w:hAnsi="宋体"/>
        </w:rPr>
        <w:t>7</w:t>
      </w:r>
      <w:r>
        <w:rPr>
          <w:rFonts w:hAnsi="宋体"/>
        </w:rPr>
        <w:t>5</w:t>
      </w:r>
      <w:r>
        <w:rPr>
          <w:rFonts w:hint="eastAsia" w:hAnsi="宋体"/>
        </w:rPr>
        <w:t>分≤评价分值＜</w:t>
      </w:r>
      <w:r>
        <w:rPr>
          <w:rFonts w:hAnsi="宋体"/>
        </w:rPr>
        <w:t>90</w:t>
      </w:r>
      <w:r>
        <w:rPr>
          <w:rFonts w:hint="eastAsia" w:hAnsi="宋体"/>
        </w:rPr>
        <w:t>分时，为A</w:t>
      </w:r>
      <w:r>
        <w:rPr>
          <w:rFonts w:hAnsi="宋体"/>
        </w:rPr>
        <w:t>A</w:t>
      </w:r>
      <w:r>
        <w:rPr>
          <w:rFonts w:hint="eastAsia" w:hAnsi="宋体"/>
        </w:rPr>
        <w:t>级；</w:t>
      </w:r>
    </w:p>
    <w:p>
      <w:pPr>
        <w:pStyle w:val="184"/>
        <w:numPr>
          <w:ilvl w:val="0"/>
          <w:numId w:val="33"/>
        </w:numPr>
        <w:rPr>
          <w:rFonts w:hAnsi="宋体"/>
        </w:rPr>
      </w:pPr>
      <w:r>
        <w:rPr>
          <w:rFonts w:hint="eastAsia" w:hAnsi="宋体"/>
        </w:rPr>
        <w:t>评价分值≥9</w:t>
      </w:r>
      <w:r>
        <w:rPr>
          <w:rFonts w:hAnsi="宋体"/>
        </w:rPr>
        <w:t>0</w:t>
      </w:r>
      <w:r>
        <w:rPr>
          <w:rFonts w:hint="eastAsia" w:hAnsi="宋体"/>
        </w:rPr>
        <w:t>分时，为A</w:t>
      </w:r>
      <w:r>
        <w:rPr>
          <w:rFonts w:hAnsi="宋体"/>
        </w:rPr>
        <w:t>AA</w:t>
      </w:r>
      <w:r>
        <w:rPr>
          <w:rFonts w:hint="eastAsia" w:hAnsi="宋体"/>
        </w:rPr>
        <w:t>级。</w:t>
      </w:r>
    </w:p>
    <w:p>
      <w:pPr>
        <w:pStyle w:val="114"/>
        <w:spacing w:before="312" w:after="312"/>
      </w:pPr>
      <w:bookmarkStart w:id="75" w:name="_Toc148431725"/>
      <w:r>
        <w:rPr>
          <w:rFonts w:hint="eastAsia"/>
        </w:rPr>
        <w:t>组织与策划评价</w:t>
      </w:r>
      <w:bookmarkEnd w:id="75"/>
    </w:p>
    <w:p>
      <w:pPr>
        <w:pStyle w:val="115"/>
        <w:spacing w:before="156" w:after="156"/>
        <w:ind w:left="0"/>
      </w:pPr>
      <w:r>
        <w:rPr>
          <w:rFonts w:hint="eastAsia"/>
        </w:rPr>
        <w:t>基础项</w:t>
      </w:r>
    </w:p>
    <w:p>
      <w:pPr>
        <w:pStyle w:val="175"/>
      </w:pPr>
      <w:r>
        <w:rPr>
          <w:rFonts w:hint="eastAsia" w:hAnsi="宋体"/>
          <w:szCs w:val="21"/>
        </w:rPr>
        <w:t>参评项目应采用以下管理模式中的一种或多种</w:t>
      </w:r>
      <w:r>
        <w:rPr>
          <w:rFonts w:hint="eastAsia"/>
        </w:rPr>
        <w:t>：</w:t>
      </w:r>
    </w:p>
    <w:p>
      <w:pPr>
        <w:pStyle w:val="184"/>
        <w:numPr>
          <w:ilvl w:val="0"/>
          <w:numId w:val="35"/>
        </w:numPr>
      </w:pPr>
      <w:r>
        <w:rPr>
          <w:rFonts w:hint="eastAsia" w:hAnsi="宋体"/>
        </w:rPr>
        <w:t>建筑师负责制模式</w:t>
      </w:r>
      <w:r>
        <w:rPr>
          <w:rFonts w:hint="eastAsia"/>
        </w:rPr>
        <w:t>；</w:t>
      </w:r>
    </w:p>
    <w:p>
      <w:pPr>
        <w:pStyle w:val="184"/>
      </w:pPr>
      <w:r>
        <w:rPr>
          <w:rFonts w:hint="eastAsia" w:hAnsi="宋体"/>
        </w:rPr>
        <w:t>工程总承包模式（E</w:t>
      </w:r>
      <w:r>
        <w:rPr>
          <w:rFonts w:hAnsi="宋体"/>
        </w:rPr>
        <w:t>PC</w:t>
      </w:r>
      <w:r>
        <w:rPr>
          <w:rFonts w:hint="eastAsia" w:hAnsi="宋体"/>
        </w:rPr>
        <w:t>模式或D</w:t>
      </w:r>
      <w:r>
        <w:rPr>
          <w:rFonts w:hAnsi="宋体"/>
        </w:rPr>
        <w:t>B</w:t>
      </w:r>
      <w:r>
        <w:rPr>
          <w:rFonts w:hint="eastAsia" w:hAnsi="宋体"/>
        </w:rPr>
        <w:t>模式）</w:t>
      </w:r>
      <w:r>
        <w:rPr>
          <w:rFonts w:hint="eastAsia"/>
        </w:rPr>
        <w:t>；</w:t>
      </w:r>
    </w:p>
    <w:p>
      <w:pPr>
        <w:pStyle w:val="184"/>
      </w:pPr>
      <w:r>
        <w:rPr>
          <w:rFonts w:hint="eastAsia" w:hAnsi="宋体"/>
        </w:rPr>
        <w:t>全过程工程咨询模式；</w:t>
      </w:r>
    </w:p>
    <w:p>
      <w:pPr>
        <w:pStyle w:val="184"/>
      </w:pPr>
      <w:r>
        <w:rPr>
          <w:rFonts w:hint="eastAsia" w:hAnsi="宋体"/>
        </w:rPr>
        <w:t>其它能实现工程总体统筹、协同管理、责权明确的管理模式。</w:t>
      </w:r>
    </w:p>
    <w:p>
      <w:pPr>
        <w:pStyle w:val="175"/>
      </w:pPr>
      <w:r>
        <w:rPr>
          <w:rFonts w:hint="eastAsia" w:hAnsi="宋体"/>
          <w:szCs w:val="21"/>
        </w:rPr>
        <w:t>参评项目应编制《智能建造工作整体策划方案》，并由建设单位完成审批。</w:t>
      </w:r>
    </w:p>
    <w:p>
      <w:pPr>
        <w:pStyle w:val="115"/>
        <w:spacing w:before="156" w:after="156"/>
        <w:ind w:left="0"/>
        <w:rPr>
          <w:rFonts w:hAnsi="宋体" w:cs="黑体"/>
          <w:color w:val="0070C0"/>
          <w:szCs w:val="21"/>
        </w:rPr>
      </w:pPr>
      <w:bookmarkStart w:id="76" w:name="_Toc12591"/>
      <w:bookmarkStart w:id="77" w:name="_Toc116999443"/>
      <w:bookmarkStart w:id="78" w:name="_Toc121259850"/>
      <w:bookmarkStart w:id="79" w:name="_Toc116980770"/>
      <w:r>
        <w:rPr>
          <w:rFonts w:hint="eastAsia"/>
        </w:rPr>
        <w:t>评分项</w:t>
      </w:r>
    </w:p>
    <w:p>
      <w:pPr>
        <w:pStyle w:val="175"/>
      </w:pPr>
      <w:r>
        <w:rPr>
          <w:rFonts w:hint="eastAsia" w:hAnsi="宋体"/>
          <w:szCs w:val="21"/>
        </w:rPr>
        <w:t>组织与策划评分规则应符合表</w:t>
      </w:r>
      <w:r>
        <w:rPr>
          <w:rFonts w:hAnsi="宋体"/>
          <w:szCs w:val="21"/>
        </w:rPr>
        <w:t>2</w:t>
      </w:r>
      <w:r>
        <w:rPr>
          <w:rFonts w:hint="eastAsia" w:hAnsi="宋体"/>
          <w:szCs w:val="21"/>
        </w:rPr>
        <w:t>的规定，本项评价的最高分值为</w:t>
      </w:r>
      <w:r>
        <w:rPr>
          <w:rFonts w:hAnsi="宋体"/>
          <w:szCs w:val="21"/>
        </w:rPr>
        <w:t>100</w:t>
      </w:r>
      <w:r>
        <w:rPr>
          <w:rFonts w:hint="eastAsia" w:hAnsi="宋体"/>
          <w:szCs w:val="21"/>
        </w:rPr>
        <w:t>分。</w:t>
      </w:r>
    </w:p>
    <w:p>
      <w:pPr>
        <w:pStyle w:val="175"/>
      </w:pPr>
      <w:r>
        <w:rPr>
          <w:rFonts w:hint="eastAsia" w:hAnsi="宋体"/>
          <w:szCs w:val="21"/>
        </w:rPr>
        <w:t>组织与策划评价中组织体系实际得分值不得低于2</w:t>
      </w:r>
      <w:r>
        <w:rPr>
          <w:rFonts w:hAnsi="宋体"/>
          <w:szCs w:val="21"/>
        </w:rPr>
        <w:t>0</w:t>
      </w:r>
      <w:r>
        <w:rPr>
          <w:rFonts w:hint="eastAsia" w:hAnsi="宋体"/>
          <w:szCs w:val="21"/>
        </w:rPr>
        <w:t>分，整体策划实际得分值不得低于3</w:t>
      </w:r>
      <w:r>
        <w:rPr>
          <w:rFonts w:hAnsi="宋体"/>
          <w:szCs w:val="21"/>
        </w:rPr>
        <w:t>0</w:t>
      </w:r>
      <w:r>
        <w:rPr>
          <w:rFonts w:hint="eastAsia" w:hAnsi="宋体"/>
          <w:szCs w:val="21"/>
        </w:rPr>
        <w:t>分。当组织与策划评价实际得分值低于5</w:t>
      </w:r>
      <w:r>
        <w:rPr>
          <w:rFonts w:hAnsi="宋体"/>
          <w:szCs w:val="21"/>
        </w:rPr>
        <w:t>0</w:t>
      </w:r>
      <w:r>
        <w:rPr>
          <w:rFonts w:hint="eastAsia" w:hAnsi="宋体"/>
          <w:szCs w:val="21"/>
        </w:rPr>
        <w:t>分时，应终止评价</w:t>
      </w:r>
      <w:r>
        <w:t>。</w:t>
      </w:r>
    </w:p>
    <w:p>
      <w:pPr>
        <w:pStyle w:val="175"/>
        <w:rPr>
          <w:rFonts w:hint="eastAsia"/>
        </w:rPr>
      </w:pPr>
      <w:r>
        <w:rPr>
          <w:rFonts w:hint="eastAsia" w:hAnsi="宋体"/>
          <w:szCs w:val="21"/>
        </w:rPr>
        <w:t>组织与策划评价已得分项在后期建造过程评价中发现实际未执行时，则在建造过程评价时对原组织与策划评价扣除相应得分进行修正；当涉及到项目重大变更导致无法按原组织与策划执行时，应重新进行策划和评价。</w:t>
      </w:r>
    </w:p>
    <w:p>
      <w:pPr>
        <w:pStyle w:val="122"/>
        <w:spacing w:before="156" w:after="156"/>
        <w:ind w:left="0"/>
      </w:pPr>
      <w:r>
        <w:rPr>
          <w:rFonts w:hint="eastAsia"/>
        </w:rPr>
        <w:t>组织与策划评分规则</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608"/>
        <w:gridCol w:w="1016"/>
        <w:gridCol w:w="5807"/>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514" w:type="pct"/>
            <w:vAlign w:val="center"/>
          </w:tcPr>
          <w:p>
            <w:pPr>
              <w:spacing w:line="240" w:lineRule="auto"/>
              <w:jc w:val="center"/>
              <w:rPr>
                <w:rFonts w:ascii="宋体" w:hAnsi="宋体"/>
                <w:sz w:val="18"/>
                <w:szCs w:val="20"/>
              </w:rPr>
            </w:pPr>
            <w:r>
              <w:rPr>
                <w:rFonts w:hint="eastAsia" w:ascii="宋体" w:hAnsi="宋体"/>
                <w:sz w:val="18"/>
                <w:szCs w:val="20"/>
              </w:rPr>
              <w:t>评价指标</w:t>
            </w:r>
          </w:p>
        </w:tc>
        <w:tc>
          <w:tcPr>
            <w:tcW w:w="849" w:type="pct"/>
            <w:gridSpan w:val="2"/>
            <w:vAlign w:val="center"/>
          </w:tcPr>
          <w:p>
            <w:pPr>
              <w:spacing w:line="240" w:lineRule="auto"/>
              <w:jc w:val="center"/>
              <w:rPr>
                <w:rFonts w:ascii="宋体" w:hAnsi="宋体"/>
                <w:sz w:val="18"/>
                <w:szCs w:val="20"/>
              </w:rPr>
            </w:pPr>
            <w:r>
              <w:rPr>
                <w:rFonts w:hint="eastAsia" w:ascii="宋体" w:hAnsi="宋体"/>
                <w:sz w:val="18"/>
                <w:szCs w:val="20"/>
              </w:rPr>
              <w:t>评价模块</w:t>
            </w:r>
          </w:p>
        </w:tc>
        <w:tc>
          <w:tcPr>
            <w:tcW w:w="3034" w:type="pct"/>
            <w:vAlign w:val="center"/>
          </w:tcPr>
          <w:p>
            <w:pPr>
              <w:spacing w:line="240" w:lineRule="auto"/>
              <w:jc w:val="center"/>
              <w:rPr>
                <w:rFonts w:ascii="宋体" w:hAnsi="宋体"/>
                <w:sz w:val="18"/>
                <w:szCs w:val="20"/>
              </w:rPr>
            </w:pPr>
            <w:r>
              <w:rPr>
                <w:rFonts w:hint="eastAsia" w:ascii="宋体" w:hAnsi="宋体"/>
                <w:sz w:val="18"/>
                <w:szCs w:val="20"/>
              </w:rPr>
              <w:t>评分标准</w:t>
            </w:r>
          </w:p>
        </w:tc>
        <w:tc>
          <w:tcPr>
            <w:tcW w:w="603" w:type="pct"/>
            <w:vAlign w:val="center"/>
          </w:tcPr>
          <w:p>
            <w:pPr>
              <w:spacing w:line="240" w:lineRule="auto"/>
              <w:jc w:val="center"/>
              <w:rPr>
                <w:rFonts w:ascii="宋体" w:hAnsi="宋体"/>
                <w:sz w:val="18"/>
                <w:szCs w:val="20"/>
              </w:rPr>
            </w:pPr>
            <w:r>
              <w:rPr>
                <w:rFonts w:hint="eastAsia" w:ascii="宋体" w:hAnsi="宋体"/>
                <w:sz w:val="18"/>
                <w:szCs w:val="20"/>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514" w:type="pct"/>
            <w:vMerge w:val="restart"/>
            <w:vAlign w:val="center"/>
          </w:tcPr>
          <w:p>
            <w:pPr>
              <w:spacing w:line="240" w:lineRule="auto"/>
              <w:jc w:val="center"/>
              <w:rPr>
                <w:rFonts w:ascii="宋体" w:hAnsi="宋体"/>
                <w:sz w:val="18"/>
                <w:szCs w:val="20"/>
              </w:rPr>
            </w:pPr>
            <w:r>
              <w:rPr>
                <w:rFonts w:hint="eastAsia" w:ascii="宋体" w:hAnsi="宋体"/>
                <w:sz w:val="18"/>
                <w:szCs w:val="20"/>
              </w:rPr>
              <w:t>组织体系</w:t>
            </w:r>
          </w:p>
        </w:tc>
        <w:tc>
          <w:tcPr>
            <w:tcW w:w="849" w:type="pct"/>
            <w:gridSpan w:val="2"/>
            <w:vMerge w:val="restart"/>
            <w:vAlign w:val="center"/>
          </w:tcPr>
          <w:p>
            <w:pPr>
              <w:spacing w:line="240" w:lineRule="auto"/>
              <w:jc w:val="center"/>
              <w:rPr>
                <w:rFonts w:ascii="宋体" w:hAnsi="宋体"/>
                <w:sz w:val="18"/>
                <w:szCs w:val="20"/>
              </w:rPr>
            </w:pPr>
            <w:r>
              <w:rPr>
                <w:rFonts w:hint="eastAsia" w:ascii="宋体" w:hAnsi="宋体"/>
                <w:sz w:val="18"/>
                <w:szCs w:val="20"/>
              </w:rPr>
              <w:t>组织架构</w:t>
            </w:r>
          </w:p>
          <w:p>
            <w:pPr>
              <w:spacing w:line="240" w:lineRule="auto"/>
              <w:jc w:val="center"/>
              <w:rPr>
                <w:rFonts w:ascii="宋体" w:hAnsi="宋体"/>
                <w:sz w:val="18"/>
                <w:szCs w:val="20"/>
              </w:rPr>
            </w:pPr>
            <w:r>
              <w:rPr>
                <w:rFonts w:hint="eastAsia" w:ascii="宋体" w:hAnsi="宋体"/>
                <w:sz w:val="18"/>
                <w:szCs w:val="20"/>
              </w:rPr>
              <w:t>（1</w:t>
            </w:r>
            <w:r>
              <w:rPr>
                <w:rFonts w:ascii="宋体" w:hAnsi="宋体"/>
                <w:sz w:val="18"/>
                <w:szCs w:val="20"/>
              </w:rPr>
              <w:t>0</w:t>
            </w:r>
            <w:r>
              <w:rPr>
                <w:rFonts w:hint="eastAsia" w:ascii="宋体" w:hAnsi="宋体"/>
                <w:sz w:val="18"/>
                <w:szCs w:val="20"/>
              </w:rPr>
              <w:t>分）</w:t>
            </w:r>
          </w:p>
        </w:tc>
        <w:tc>
          <w:tcPr>
            <w:tcW w:w="3034" w:type="pct"/>
            <w:vAlign w:val="center"/>
          </w:tcPr>
          <w:p>
            <w:pPr>
              <w:spacing w:line="240" w:lineRule="auto"/>
              <w:rPr>
                <w:rFonts w:ascii="宋体" w:hAnsi="宋体"/>
                <w:sz w:val="18"/>
                <w:szCs w:val="20"/>
              </w:rPr>
            </w:pPr>
            <w:r>
              <w:rPr>
                <w:rFonts w:ascii="宋体" w:hAnsi="宋体"/>
                <w:sz w:val="18"/>
                <w:szCs w:val="20"/>
              </w:rPr>
              <w:t>项目组织架构</w:t>
            </w:r>
            <w:r>
              <w:rPr>
                <w:rFonts w:hint="eastAsia" w:ascii="宋体" w:hAnsi="宋体"/>
                <w:sz w:val="18"/>
                <w:szCs w:val="20"/>
              </w:rPr>
              <w:t>完整，项目参与方共同组成层级化架构组织，涉及智能建造相关的责权利界定清晰，分工层次明确有序，满足智能建造要求。</w:t>
            </w:r>
          </w:p>
          <w:p>
            <w:pPr>
              <w:spacing w:line="240" w:lineRule="auto"/>
              <w:rPr>
                <w:rFonts w:ascii="宋体" w:hAnsi="宋体"/>
                <w:sz w:val="18"/>
                <w:szCs w:val="20"/>
              </w:rPr>
            </w:pPr>
            <w:r>
              <w:rPr>
                <w:rFonts w:hint="eastAsia" w:ascii="宋体" w:hAnsi="宋体"/>
                <w:sz w:val="18"/>
                <w:szCs w:val="20"/>
              </w:rPr>
              <w:t>基本符合要求得3分，符合得5分。</w:t>
            </w:r>
          </w:p>
        </w:tc>
        <w:tc>
          <w:tcPr>
            <w:tcW w:w="603" w:type="pct"/>
            <w:vMerge w:val="restart"/>
            <w:vAlign w:val="center"/>
          </w:tcPr>
          <w:p>
            <w:pPr>
              <w:snapToGrid w:val="0"/>
              <w:spacing w:line="240" w:lineRule="auto"/>
              <w:rPr>
                <w:rFonts w:ascii="宋体" w:hAnsi="宋体"/>
                <w:sz w:val="18"/>
                <w:szCs w:val="20"/>
              </w:rPr>
            </w:pPr>
            <w:r>
              <w:rPr>
                <w:rFonts w:hint="eastAsia" w:ascii="宋体" w:hAnsi="宋体"/>
                <w:sz w:val="18"/>
                <w:szCs w:val="20"/>
              </w:rPr>
              <w:t>1．组织架构及相应职责说明文件；</w:t>
            </w:r>
          </w:p>
          <w:p>
            <w:pPr>
              <w:snapToGrid w:val="0"/>
              <w:spacing w:line="240" w:lineRule="auto"/>
              <w:rPr>
                <w:rFonts w:ascii="宋体" w:hAnsi="宋体"/>
                <w:sz w:val="18"/>
                <w:szCs w:val="20"/>
              </w:rPr>
            </w:pPr>
            <w:r>
              <w:rPr>
                <w:rFonts w:hint="eastAsia" w:ascii="宋体" w:hAnsi="宋体"/>
                <w:sz w:val="18"/>
                <w:szCs w:val="20"/>
              </w:rPr>
              <w:t>2．岗位设置及人员配备说明文件；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14" w:type="pct"/>
            <w:vMerge w:val="continue"/>
            <w:vAlign w:val="center"/>
          </w:tcPr>
          <w:p>
            <w:pPr>
              <w:spacing w:line="240" w:lineRule="auto"/>
              <w:jc w:val="center"/>
              <w:rPr>
                <w:rFonts w:ascii="宋体" w:hAnsi="宋体"/>
                <w:sz w:val="18"/>
                <w:szCs w:val="20"/>
              </w:rPr>
            </w:pPr>
          </w:p>
        </w:tc>
        <w:tc>
          <w:tcPr>
            <w:tcW w:w="849" w:type="pct"/>
            <w:gridSpan w:val="2"/>
            <w:vMerge w:val="continue"/>
            <w:vAlign w:val="center"/>
          </w:tcPr>
          <w:p>
            <w:pPr>
              <w:spacing w:line="240" w:lineRule="auto"/>
              <w:jc w:val="center"/>
              <w:rPr>
                <w:rFonts w:ascii="宋体" w:hAnsi="宋体"/>
                <w:sz w:val="18"/>
                <w:szCs w:val="20"/>
              </w:rPr>
            </w:pPr>
          </w:p>
        </w:tc>
        <w:tc>
          <w:tcPr>
            <w:tcW w:w="3034" w:type="pct"/>
            <w:vAlign w:val="center"/>
          </w:tcPr>
          <w:p>
            <w:pPr>
              <w:spacing w:line="240" w:lineRule="auto"/>
              <w:rPr>
                <w:rFonts w:ascii="宋体" w:hAnsi="宋体"/>
                <w:sz w:val="18"/>
                <w:szCs w:val="20"/>
              </w:rPr>
            </w:pPr>
            <w:r>
              <w:rPr>
                <w:rFonts w:hint="eastAsia" w:ascii="宋体" w:hAnsi="宋体"/>
                <w:sz w:val="18"/>
                <w:szCs w:val="20"/>
              </w:rPr>
              <w:t>设置符合项目智能建造数字化要求的高级管理岗位，负责决策、监督、指导等职责，如数字化总监等；配备智能建造专业人员，负责执行、技术支撑等职责。</w:t>
            </w:r>
          </w:p>
          <w:p>
            <w:pPr>
              <w:spacing w:line="240" w:lineRule="auto"/>
              <w:rPr>
                <w:rFonts w:ascii="宋体" w:hAnsi="宋体"/>
                <w:sz w:val="18"/>
                <w:szCs w:val="20"/>
              </w:rPr>
            </w:pPr>
            <w:r>
              <w:rPr>
                <w:rFonts w:hint="eastAsia" w:ascii="宋体" w:hAnsi="宋体"/>
                <w:sz w:val="18"/>
                <w:szCs w:val="20"/>
              </w:rPr>
              <w:t>基本符合要求得3分，符合得5分。</w:t>
            </w:r>
          </w:p>
        </w:tc>
        <w:tc>
          <w:tcPr>
            <w:tcW w:w="603" w:type="pct"/>
            <w:vMerge w:val="continue"/>
            <w:vAlign w:val="center"/>
          </w:tcPr>
          <w:p>
            <w:pPr>
              <w:spacing w:line="240" w:lineRule="auto"/>
              <w:jc w:val="center"/>
              <w:rPr>
                <w:rFonts w:ascii="宋体" w:hAnsi="宋体"/>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514" w:type="pct"/>
            <w:vMerge w:val="continue"/>
            <w:vAlign w:val="center"/>
          </w:tcPr>
          <w:p>
            <w:pPr>
              <w:spacing w:line="240" w:lineRule="auto"/>
              <w:jc w:val="center"/>
              <w:rPr>
                <w:rFonts w:ascii="宋体" w:hAnsi="宋体"/>
                <w:sz w:val="18"/>
                <w:szCs w:val="20"/>
              </w:rPr>
            </w:pPr>
          </w:p>
        </w:tc>
        <w:tc>
          <w:tcPr>
            <w:tcW w:w="849" w:type="pct"/>
            <w:gridSpan w:val="2"/>
            <w:vAlign w:val="center"/>
          </w:tcPr>
          <w:p>
            <w:pPr>
              <w:spacing w:line="240" w:lineRule="auto"/>
              <w:jc w:val="center"/>
              <w:rPr>
                <w:rFonts w:ascii="宋体" w:hAnsi="宋体"/>
                <w:sz w:val="18"/>
                <w:szCs w:val="20"/>
              </w:rPr>
            </w:pPr>
            <w:r>
              <w:rPr>
                <w:rFonts w:hint="eastAsia" w:ascii="宋体" w:hAnsi="宋体"/>
                <w:sz w:val="18"/>
                <w:szCs w:val="20"/>
              </w:rPr>
              <w:t>项目制度</w:t>
            </w:r>
          </w:p>
          <w:p>
            <w:pPr>
              <w:spacing w:line="240" w:lineRule="auto"/>
              <w:jc w:val="center"/>
              <w:rPr>
                <w:rFonts w:ascii="宋体" w:hAnsi="宋体"/>
                <w:sz w:val="18"/>
                <w:szCs w:val="20"/>
              </w:rPr>
            </w:pPr>
            <w:r>
              <w:rPr>
                <w:rFonts w:hint="eastAsia" w:ascii="宋体" w:hAnsi="宋体"/>
                <w:sz w:val="18"/>
                <w:szCs w:val="20"/>
              </w:rPr>
              <w:t>（</w:t>
            </w:r>
            <w:r>
              <w:rPr>
                <w:rFonts w:ascii="宋体" w:hAnsi="宋体"/>
                <w:sz w:val="18"/>
                <w:szCs w:val="20"/>
              </w:rPr>
              <w:t>5</w:t>
            </w:r>
            <w:r>
              <w:rPr>
                <w:rFonts w:hint="eastAsia" w:ascii="宋体" w:hAnsi="宋体"/>
                <w:sz w:val="18"/>
                <w:szCs w:val="20"/>
              </w:rPr>
              <w:t>分）</w:t>
            </w:r>
          </w:p>
        </w:tc>
        <w:tc>
          <w:tcPr>
            <w:tcW w:w="3034" w:type="pct"/>
            <w:vAlign w:val="center"/>
          </w:tcPr>
          <w:p>
            <w:pPr>
              <w:spacing w:line="240" w:lineRule="auto"/>
              <w:rPr>
                <w:rFonts w:ascii="宋体" w:hAnsi="宋体"/>
                <w:sz w:val="18"/>
                <w:szCs w:val="20"/>
              </w:rPr>
            </w:pPr>
            <w:r>
              <w:rPr>
                <w:rFonts w:ascii="宋体" w:hAnsi="宋体"/>
                <w:sz w:val="18"/>
                <w:szCs w:val="20"/>
              </w:rPr>
              <w:t>项目管理制度和章程完备，包括职责、流程、奖惩、协调沟通等相关规定，满足智能建造</w:t>
            </w:r>
            <w:r>
              <w:rPr>
                <w:rFonts w:hint="eastAsia" w:ascii="宋体" w:hAnsi="宋体"/>
                <w:sz w:val="18"/>
                <w:szCs w:val="20"/>
              </w:rPr>
              <w:t>项目</w:t>
            </w:r>
            <w:r>
              <w:rPr>
                <w:rFonts w:ascii="宋体" w:hAnsi="宋体"/>
                <w:sz w:val="18"/>
                <w:szCs w:val="20"/>
              </w:rPr>
              <w:t>建设需求</w:t>
            </w:r>
            <w:r>
              <w:rPr>
                <w:rFonts w:hint="eastAsia" w:ascii="宋体" w:hAnsi="宋体"/>
                <w:sz w:val="18"/>
                <w:szCs w:val="20"/>
              </w:rPr>
              <w:t>。</w:t>
            </w:r>
          </w:p>
          <w:p>
            <w:pPr>
              <w:spacing w:line="240" w:lineRule="auto"/>
              <w:rPr>
                <w:rFonts w:ascii="宋体" w:hAnsi="宋体"/>
                <w:sz w:val="18"/>
                <w:szCs w:val="20"/>
              </w:rPr>
            </w:pPr>
            <w:r>
              <w:rPr>
                <w:rFonts w:hint="eastAsia" w:ascii="宋体" w:hAnsi="宋体"/>
                <w:sz w:val="18"/>
                <w:szCs w:val="20"/>
              </w:rPr>
              <w:t>基本符合要求得3分，符合得5分。</w:t>
            </w:r>
          </w:p>
        </w:tc>
        <w:tc>
          <w:tcPr>
            <w:tcW w:w="603" w:type="pct"/>
            <w:vAlign w:val="center"/>
          </w:tcPr>
          <w:p>
            <w:pPr>
              <w:spacing w:line="240" w:lineRule="auto"/>
              <w:rPr>
                <w:rFonts w:ascii="宋体" w:hAnsi="宋体"/>
                <w:sz w:val="18"/>
                <w:szCs w:val="20"/>
              </w:rPr>
            </w:pPr>
            <w:r>
              <w:rPr>
                <w:rFonts w:hint="eastAsia" w:ascii="宋体" w:hAnsi="宋体"/>
                <w:sz w:val="18"/>
                <w:szCs w:val="20"/>
              </w:rPr>
              <w:t>1．项目制度文件。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14" w:type="pct"/>
            <w:vMerge w:val="continue"/>
            <w:vAlign w:val="center"/>
          </w:tcPr>
          <w:p>
            <w:pPr>
              <w:spacing w:line="240" w:lineRule="auto"/>
              <w:jc w:val="center"/>
              <w:rPr>
                <w:rFonts w:ascii="宋体" w:hAnsi="宋体"/>
                <w:sz w:val="18"/>
                <w:szCs w:val="20"/>
              </w:rPr>
            </w:pPr>
          </w:p>
        </w:tc>
        <w:tc>
          <w:tcPr>
            <w:tcW w:w="849" w:type="pct"/>
            <w:gridSpan w:val="2"/>
            <w:vMerge w:val="restart"/>
            <w:vAlign w:val="center"/>
          </w:tcPr>
          <w:p>
            <w:pPr>
              <w:spacing w:line="240" w:lineRule="auto"/>
              <w:jc w:val="center"/>
              <w:rPr>
                <w:rFonts w:ascii="宋体" w:hAnsi="宋体"/>
                <w:sz w:val="18"/>
                <w:szCs w:val="20"/>
              </w:rPr>
            </w:pPr>
            <w:r>
              <w:rPr>
                <w:rFonts w:hint="eastAsia" w:ascii="宋体" w:hAnsi="宋体"/>
                <w:sz w:val="18"/>
                <w:szCs w:val="20"/>
              </w:rPr>
              <w:t>运营机制</w:t>
            </w:r>
          </w:p>
          <w:p>
            <w:pPr>
              <w:spacing w:line="240" w:lineRule="auto"/>
              <w:jc w:val="center"/>
              <w:rPr>
                <w:rFonts w:ascii="宋体" w:hAnsi="宋体"/>
                <w:sz w:val="18"/>
                <w:szCs w:val="20"/>
              </w:rPr>
            </w:pPr>
            <w:r>
              <w:rPr>
                <w:rFonts w:hint="eastAsia" w:ascii="宋体" w:hAnsi="宋体"/>
                <w:sz w:val="18"/>
                <w:szCs w:val="20"/>
              </w:rPr>
              <w:t>（</w:t>
            </w:r>
            <w:r>
              <w:rPr>
                <w:rFonts w:ascii="宋体" w:hAnsi="宋体"/>
                <w:sz w:val="18"/>
                <w:szCs w:val="20"/>
              </w:rPr>
              <w:t>20</w:t>
            </w:r>
            <w:r>
              <w:rPr>
                <w:rFonts w:hint="eastAsia" w:ascii="宋体" w:hAnsi="宋体"/>
                <w:sz w:val="18"/>
                <w:szCs w:val="20"/>
              </w:rPr>
              <w:t>分）</w:t>
            </w:r>
          </w:p>
        </w:tc>
        <w:tc>
          <w:tcPr>
            <w:tcW w:w="3034" w:type="pct"/>
            <w:vAlign w:val="center"/>
          </w:tcPr>
          <w:p>
            <w:pPr>
              <w:snapToGrid w:val="0"/>
              <w:spacing w:line="240" w:lineRule="auto"/>
              <w:rPr>
                <w:rFonts w:ascii="宋体" w:hAnsi="宋体"/>
                <w:sz w:val="18"/>
                <w:szCs w:val="20"/>
              </w:rPr>
            </w:pPr>
            <w:r>
              <w:rPr>
                <w:rFonts w:hint="eastAsia" w:ascii="宋体" w:hAnsi="宋体"/>
                <w:sz w:val="18"/>
                <w:szCs w:val="20"/>
              </w:rPr>
              <w:t>建立合理的招采机制，确保能及时聚集匹配资源，支撑全专业数字化设计、精益化施工。</w:t>
            </w:r>
          </w:p>
          <w:p>
            <w:pPr>
              <w:snapToGrid w:val="0"/>
              <w:spacing w:line="240" w:lineRule="auto"/>
              <w:rPr>
                <w:rFonts w:ascii="宋体" w:hAnsi="宋体"/>
                <w:sz w:val="18"/>
                <w:szCs w:val="20"/>
              </w:rPr>
            </w:pPr>
            <w:r>
              <w:rPr>
                <w:rFonts w:hint="eastAsia" w:ascii="宋体" w:hAnsi="宋体"/>
                <w:sz w:val="18"/>
                <w:szCs w:val="20"/>
              </w:rPr>
              <w:t>基本符合要求得3分，符合得5分。</w:t>
            </w:r>
          </w:p>
        </w:tc>
        <w:tc>
          <w:tcPr>
            <w:tcW w:w="603" w:type="pct"/>
            <w:vMerge w:val="restart"/>
            <w:vAlign w:val="center"/>
          </w:tcPr>
          <w:p>
            <w:pPr>
              <w:spacing w:line="240" w:lineRule="auto"/>
              <w:rPr>
                <w:rFonts w:ascii="宋体" w:hAnsi="宋体"/>
                <w:sz w:val="18"/>
                <w:szCs w:val="20"/>
              </w:rPr>
            </w:pPr>
            <w:r>
              <w:rPr>
                <w:rFonts w:hint="eastAsia" w:ascii="宋体" w:hAnsi="宋体"/>
                <w:sz w:val="18"/>
                <w:szCs w:val="20"/>
              </w:rPr>
              <w:t>1．运营机制管理办法文件。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514" w:type="pct"/>
            <w:vMerge w:val="continue"/>
            <w:vAlign w:val="center"/>
          </w:tcPr>
          <w:p>
            <w:pPr>
              <w:spacing w:line="240" w:lineRule="auto"/>
              <w:jc w:val="center"/>
              <w:rPr>
                <w:rFonts w:ascii="宋体" w:hAnsi="宋体"/>
                <w:sz w:val="18"/>
                <w:szCs w:val="20"/>
              </w:rPr>
            </w:pPr>
          </w:p>
        </w:tc>
        <w:tc>
          <w:tcPr>
            <w:tcW w:w="849" w:type="pct"/>
            <w:gridSpan w:val="2"/>
            <w:vMerge w:val="continue"/>
            <w:vAlign w:val="center"/>
          </w:tcPr>
          <w:p>
            <w:pPr>
              <w:spacing w:line="240" w:lineRule="auto"/>
              <w:jc w:val="center"/>
              <w:rPr>
                <w:rFonts w:ascii="宋体" w:hAnsi="宋体"/>
                <w:sz w:val="18"/>
                <w:szCs w:val="20"/>
              </w:rPr>
            </w:pPr>
          </w:p>
        </w:tc>
        <w:tc>
          <w:tcPr>
            <w:tcW w:w="3034" w:type="pct"/>
            <w:vAlign w:val="center"/>
          </w:tcPr>
          <w:p>
            <w:pPr>
              <w:snapToGrid w:val="0"/>
              <w:spacing w:line="240" w:lineRule="auto"/>
              <w:rPr>
                <w:rFonts w:ascii="宋体" w:hAnsi="宋体"/>
                <w:sz w:val="18"/>
                <w:szCs w:val="20"/>
              </w:rPr>
            </w:pPr>
            <w:r>
              <w:rPr>
                <w:rFonts w:hint="eastAsia" w:ascii="宋体" w:hAnsi="宋体"/>
                <w:sz w:val="18"/>
                <w:szCs w:val="20"/>
              </w:rPr>
              <w:t>建立合理的合约管理机制，确保建造过程合约界面清晰，参建各方责权利明确，促进项目建造的顺利进展，并符合智能建造相关要求。</w:t>
            </w:r>
          </w:p>
          <w:p>
            <w:pPr>
              <w:snapToGrid w:val="0"/>
              <w:spacing w:line="240" w:lineRule="auto"/>
              <w:rPr>
                <w:rFonts w:ascii="宋体" w:hAnsi="宋体"/>
                <w:sz w:val="18"/>
                <w:szCs w:val="20"/>
              </w:rPr>
            </w:pPr>
            <w:r>
              <w:rPr>
                <w:rFonts w:hint="eastAsia" w:ascii="宋体" w:hAnsi="宋体"/>
                <w:sz w:val="18"/>
                <w:szCs w:val="20"/>
              </w:rPr>
              <w:t>基本符合要求得3分，符合得5分。</w:t>
            </w:r>
          </w:p>
        </w:tc>
        <w:tc>
          <w:tcPr>
            <w:tcW w:w="603" w:type="pct"/>
            <w:vMerge w:val="continue"/>
            <w:vAlign w:val="center"/>
          </w:tcPr>
          <w:p>
            <w:pPr>
              <w:spacing w:line="240" w:lineRule="auto"/>
              <w:jc w:val="center"/>
              <w:rPr>
                <w:rFonts w:ascii="宋体" w:hAnsi="宋体"/>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14" w:type="pct"/>
            <w:vMerge w:val="continue"/>
            <w:vAlign w:val="center"/>
          </w:tcPr>
          <w:p>
            <w:pPr>
              <w:spacing w:line="240" w:lineRule="auto"/>
              <w:jc w:val="center"/>
              <w:rPr>
                <w:rFonts w:ascii="宋体" w:hAnsi="宋体"/>
                <w:sz w:val="18"/>
                <w:szCs w:val="20"/>
              </w:rPr>
            </w:pPr>
          </w:p>
        </w:tc>
        <w:tc>
          <w:tcPr>
            <w:tcW w:w="849" w:type="pct"/>
            <w:gridSpan w:val="2"/>
            <w:vMerge w:val="continue"/>
            <w:vAlign w:val="center"/>
          </w:tcPr>
          <w:p>
            <w:pPr>
              <w:spacing w:line="240" w:lineRule="auto"/>
              <w:jc w:val="center"/>
              <w:rPr>
                <w:rFonts w:ascii="宋体" w:hAnsi="宋体"/>
                <w:sz w:val="18"/>
                <w:szCs w:val="20"/>
              </w:rPr>
            </w:pPr>
          </w:p>
        </w:tc>
        <w:tc>
          <w:tcPr>
            <w:tcW w:w="3034" w:type="pct"/>
            <w:vAlign w:val="center"/>
          </w:tcPr>
          <w:p>
            <w:pPr>
              <w:snapToGrid w:val="0"/>
              <w:spacing w:line="240" w:lineRule="auto"/>
              <w:rPr>
                <w:rFonts w:ascii="宋体" w:hAnsi="宋体"/>
                <w:sz w:val="18"/>
                <w:szCs w:val="20"/>
              </w:rPr>
            </w:pPr>
            <w:r>
              <w:rPr>
                <w:rFonts w:hint="eastAsia" w:ascii="宋体" w:hAnsi="宋体"/>
                <w:sz w:val="18"/>
                <w:szCs w:val="20"/>
              </w:rPr>
              <w:t>建立合理的计划管理机制，进行全专业全过程全要素计划管控，促进</w:t>
            </w:r>
            <w:r>
              <w:rPr>
                <w:rFonts w:ascii="宋体" w:hAnsi="宋体"/>
                <w:sz w:val="18"/>
                <w:szCs w:val="20"/>
              </w:rPr>
              <w:t>项目</w:t>
            </w:r>
            <w:r>
              <w:rPr>
                <w:rFonts w:hint="eastAsia" w:ascii="宋体" w:hAnsi="宋体"/>
                <w:sz w:val="18"/>
                <w:szCs w:val="20"/>
              </w:rPr>
              <w:t>各项工作</w:t>
            </w:r>
            <w:r>
              <w:rPr>
                <w:rFonts w:ascii="宋体" w:hAnsi="宋体"/>
                <w:sz w:val="18"/>
                <w:szCs w:val="20"/>
              </w:rPr>
              <w:t>能够按</w:t>
            </w:r>
            <w:r>
              <w:rPr>
                <w:rFonts w:hint="eastAsia" w:ascii="宋体" w:hAnsi="宋体"/>
                <w:sz w:val="18"/>
                <w:szCs w:val="20"/>
              </w:rPr>
              <w:t>期</w:t>
            </w:r>
            <w:r>
              <w:rPr>
                <w:rFonts w:ascii="宋体" w:hAnsi="宋体"/>
                <w:sz w:val="18"/>
                <w:szCs w:val="20"/>
              </w:rPr>
              <w:t>完成，并</w:t>
            </w:r>
            <w:r>
              <w:rPr>
                <w:rFonts w:hint="eastAsia" w:ascii="宋体" w:hAnsi="宋体"/>
                <w:sz w:val="18"/>
                <w:szCs w:val="20"/>
              </w:rPr>
              <w:t>满足智能建造</w:t>
            </w:r>
            <w:r>
              <w:rPr>
                <w:rFonts w:ascii="宋体" w:hAnsi="宋体"/>
                <w:sz w:val="18"/>
                <w:szCs w:val="20"/>
              </w:rPr>
              <w:t>预期的</w:t>
            </w:r>
            <w:r>
              <w:rPr>
                <w:rFonts w:hint="eastAsia" w:ascii="宋体" w:hAnsi="宋体"/>
                <w:sz w:val="18"/>
                <w:szCs w:val="20"/>
              </w:rPr>
              <w:t>成果。</w:t>
            </w:r>
          </w:p>
          <w:p>
            <w:pPr>
              <w:snapToGrid w:val="0"/>
              <w:spacing w:line="240" w:lineRule="auto"/>
              <w:rPr>
                <w:rFonts w:ascii="宋体" w:hAnsi="宋体"/>
                <w:sz w:val="18"/>
                <w:szCs w:val="20"/>
              </w:rPr>
            </w:pPr>
            <w:r>
              <w:rPr>
                <w:rFonts w:hint="eastAsia" w:ascii="宋体" w:hAnsi="宋体"/>
                <w:sz w:val="18"/>
                <w:szCs w:val="20"/>
              </w:rPr>
              <w:t>基本符合要求得3分，符合得5分。</w:t>
            </w:r>
          </w:p>
        </w:tc>
        <w:tc>
          <w:tcPr>
            <w:tcW w:w="603" w:type="pct"/>
            <w:vMerge w:val="continue"/>
            <w:vAlign w:val="center"/>
          </w:tcPr>
          <w:p>
            <w:pPr>
              <w:spacing w:line="240" w:lineRule="auto"/>
              <w:jc w:val="center"/>
              <w:rPr>
                <w:rFonts w:ascii="宋体" w:hAnsi="宋体"/>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14" w:type="pct"/>
            <w:vMerge w:val="continue"/>
            <w:vAlign w:val="center"/>
          </w:tcPr>
          <w:p>
            <w:pPr>
              <w:spacing w:line="240" w:lineRule="auto"/>
              <w:jc w:val="center"/>
              <w:rPr>
                <w:rFonts w:ascii="宋体" w:hAnsi="宋体"/>
                <w:sz w:val="18"/>
                <w:szCs w:val="20"/>
              </w:rPr>
            </w:pPr>
          </w:p>
        </w:tc>
        <w:tc>
          <w:tcPr>
            <w:tcW w:w="849" w:type="pct"/>
            <w:gridSpan w:val="2"/>
            <w:vMerge w:val="continue"/>
            <w:vAlign w:val="center"/>
          </w:tcPr>
          <w:p>
            <w:pPr>
              <w:spacing w:line="240" w:lineRule="auto"/>
              <w:jc w:val="center"/>
              <w:rPr>
                <w:rFonts w:ascii="宋体" w:hAnsi="宋体"/>
                <w:sz w:val="18"/>
                <w:szCs w:val="20"/>
              </w:rPr>
            </w:pPr>
          </w:p>
        </w:tc>
        <w:tc>
          <w:tcPr>
            <w:tcW w:w="3034" w:type="pct"/>
            <w:vAlign w:val="center"/>
          </w:tcPr>
          <w:p>
            <w:pPr>
              <w:snapToGrid w:val="0"/>
              <w:spacing w:line="240" w:lineRule="auto"/>
              <w:rPr>
                <w:rFonts w:ascii="宋体" w:hAnsi="宋体"/>
                <w:sz w:val="18"/>
                <w:szCs w:val="20"/>
              </w:rPr>
            </w:pPr>
            <w:r>
              <w:rPr>
                <w:rFonts w:hint="eastAsia" w:ascii="宋体" w:hAnsi="宋体"/>
                <w:sz w:val="18"/>
                <w:szCs w:val="20"/>
              </w:rPr>
              <w:t>建立合理的设计管理机制，通过智能化手段进行全专业全过程协同管理，</w:t>
            </w:r>
            <w:r>
              <w:rPr>
                <w:rFonts w:ascii="宋体" w:hAnsi="宋体"/>
                <w:sz w:val="18"/>
                <w:szCs w:val="20"/>
              </w:rPr>
              <w:t>确保设计项目能够按时、按质</w:t>
            </w:r>
            <w:r>
              <w:rPr>
                <w:rFonts w:hint="eastAsia" w:ascii="宋体" w:hAnsi="宋体"/>
                <w:sz w:val="18"/>
                <w:szCs w:val="20"/>
              </w:rPr>
              <w:t>的</w:t>
            </w:r>
            <w:r>
              <w:rPr>
                <w:rFonts w:ascii="宋体" w:hAnsi="宋体"/>
                <w:sz w:val="18"/>
                <w:szCs w:val="20"/>
              </w:rPr>
              <w:t>完成，</w:t>
            </w:r>
            <w:r>
              <w:rPr>
                <w:rFonts w:hint="eastAsia" w:ascii="宋体" w:hAnsi="宋体"/>
                <w:sz w:val="18"/>
                <w:szCs w:val="20"/>
              </w:rPr>
              <w:t>符合智能建造</w:t>
            </w:r>
            <w:r>
              <w:rPr>
                <w:rFonts w:ascii="宋体" w:hAnsi="宋体"/>
                <w:sz w:val="18"/>
                <w:szCs w:val="20"/>
              </w:rPr>
              <w:t>的</w:t>
            </w:r>
            <w:r>
              <w:rPr>
                <w:rFonts w:hint="eastAsia" w:ascii="宋体" w:hAnsi="宋体"/>
                <w:sz w:val="18"/>
                <w:szCs w:val="20"/>
              </w:rPr>
              <w:t>预期目标。</w:t>
            </w:r>
          </w:p>
          <w:p>
            <w:pPr>
              <w:snapToGrid w:val="0"/>
              <w:spacing w:line="240" w:lineRule="auto"/>
              <w:rPr>
                <w:rFonts w:ascii="宋体" w:hAnsi="宋体"/>
                <w:sz w:val="18"/>
                <w:szCs w:val="20"/>
              </w:rPr>
            </w:pPr>
            <w:r>
              <w:rPr>
                <w:rFonts w:hint="eastAsia" w:ascii="宋体" w:hAnsi="宋体"/>
                <w:sz w:val="18"/>
                <w:szCs w:val="20"/>
              </w:rPr>
              <w:t>基本符合要求得3分，符合得5分。</w:t>
            </w:r>
          </w:p>
        </w:tc>
        <w:tc>
          <w:tcPr>
            <w:tcW w:w="603" w:type="pct"/>
            <w:vMerge w:val="continue"/>
            <w:vAlign w:val="center"/>
          </w:tcPr>
          <w:p>
            <w:pPr>
              <w:spacing w:line="240" w:lineRule="auto"/>
              <w:jc w:val="center"/>
              <w:rPr>
                <w:rFonts w:ascii="宋体" w:hAnsi="宋体"/>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14" w:type="pct"/>
            <w:vMerge w:val="restart"/>
            <w:vAlign w:val="center"/>
          </w:tcPr>
          <w:p>
            <w:pPr>
              <w:spacing w:line="240" w:lineRule="auto"/>
              <w:jc w:val="center"/>
              <w:rPr>
                <w:rFonts w:ascii="宋体" w:hAnsi="宋体"/>
                <w:sz w:val="18"/>
                <w:szCs w:val="20"/>
              </w:rPr>
            </w:pPr>
            <w:r>
              <w:rPr>
                <w:rFonts w:hint="eastAsia" w:ascii="宋体" w:hAnsi="宋体"/>
                <w:sz w:val="18"/>
                <w:szCs w:val="20"/>
              </w:rPr>
              <w:t>整体策划</w:t>
            </w:r>
          </w:p>
        </w:tc>
        <w:tc>
          <w:tcPr>
            <w:tcW w:w="849" w:type="pct"/>
            <w:gridSpan w:val="2"/>
            <w:vAlign w:val="center"/>
          </w:tcPr>
          <w:p>
            <w:pPr>
              <w:spacing w:line="240" w:lineRule="auto"/>
              <w:jc w:val="center"/>
              <w:rPr>
                <w:rFonts w:ascii="宋体" w:hAnsi="宋体"/>
                <w:sz w:val="18"/>
                <w:szCs w:val="20"/>
              </w:rPr>
            </w:pPr>
            <w:r>
              <w:rPr>
                <w:rFonts w:hint="eastAsia" w:ascii="宋体" w:hAnsi="宋体"/>
                <w:sz w:val="18"/>
                <w:szCs w:val="20"/>
              </w:rPr>
              <w:t>总体规划</w:t>
            </w:r>
          </w:p>
          <w:p>
            <w:pPr>
              <w:spacing w:line="240" w:lineRule="auto"/>
              <w:jc w:val="center"/>
              <w:rPr>
                <w:rFonts w:ascii="宋体" w:hAnsi="宋体"/>
                <w:sz w:val="18"/>
                <w:szCs w:val="20"/>
              </w:rPr>
            </w:pPr>
            <w:r>
              <w:rPr>
                <w:rFonts w:hint="eastAsia" w:ascii="宋体" w:hAnsi="宋体"/>
                <w:sz w:val="18"/>
                <w:szCs w:val="20"/>
              </w:rPr>
              <w:t>（</w:t>
            </w:r>
            <w:r>
              <w:rPr>
                <w:rFonts w:ascii="宋体" w:hAnsi="宋体"/>
                <w:sz w:val="18"/>
                <w:szCs w:val="20"/>
              </w:rPr>
              <w:t>10</w:t>
            </w:r>
            <w:r>
              <w:rPr>
                <w:rFonts w:hint="eastAsia" w:ascii="宋体" w:hAnsi="宋体"/>
                <w:sz w:val="18"/>
                <w:szCs w:val="20"/>
              </w:rPr>
              <w:t>分）</w:t>
            </w:r>
          </w:p>
        </w:tc>
        <w:tc>
          <w:tcPr>
            <w:tcW w:w="3034" w:type="pct"/>
            <w:vAlign w:val="center"/>
          </w:tcPr>
          <w:p>
            <w:pPr>
              <w:spacing w:line="240" w:lineRule="auto"/>
              <w:rPr>
                <w:rFonts w:ascii="宋体" w:hAnsi="宋体"/>
                <w:sz w:val="18"/>
                <w:szCs w:val="20"/>
              </w:rPr>
            </w:pPr>
            <w:r>
              <w:rPr>
                <w:rFonts w:hint="eastAsia" w:ascii="宋体" w:hAnsi="宋体"/>
                <w:sz w:val="18"/>
                <w:szCs w:val="20"/>
              </w:rPr>
              <w:t>基于项目智能建造的总体目标，制定本项目智能建造顶层规划，从全局角度对项目各方面、各层次和各要素进行统筹规划，</w:t>
            </w:r>
            <w:r>
              <w:rPr>
                <w:rFonts w:ascii="宋体" w:hAnsi="宋体"/>
                <w:sz w:val="18"/>
                <w:szCs w:val="20"/>
              </w:rPr>
              <w:t>明确智能建造的应用场景</w:t>
            </w:r>
            <w:r>
              <w:rPr>
                <w:rFonts w:hint="eastAsia" w:ascii="宋体" w:hAnsi="宋体"/>
                <w:sz w:val="18"/>
                <w:szCs w:val="20"/>
              </w:rPr>
              <w:t>、建设内容及其</w:t>
            </w:r>
            <w:r>
              <w:rPr>
                <w:rFonts w:ascii="宋体" w:hAnsi="宋体"/>
                <w:sz w:val="18"/>
                <w:szCs w:val="20"/>
              </w:rPr>
              <w:t>设计方案</w:t>
            </w:r>
            <w:r>
              <w:rPr>
                <w:rFonts w:hint="eastAsia" w:ascii="宋体" w:hAnsi="宋体"/>
                <w:sz w:val="18"/>
                <w:szCs w:val="20"/>
              </w:rPr>
              <w:t>、</w:t>
            </w:r>
            <w:r>
              <w:rPr>
                <w:rFonts w:ascii="宋体" w:hAnsi="宋体"/>
                <w:sz w:val="18"/>
                <w:szCs w:val="20"/>
              </w:rPr>
              <w:t>预期成果、建设时序、项目实施计划等。</w:t>
            </w:r>
          </w:p>
          <w:p>
            <w:pPr>
              <w:spacing w:line="240" w:lineRule="auto"/>
              <w:rPr>
                <w:rFonts w:ascii="宋体" w:hAnsi="宋体"/>
                <w:sz w:val="18"/>
                <w:szCs w:val="20"/>
              </w:rPr>
            </w:pPr>
            <w:r>
              <w:rPr>
                <w:rFonts w:hint="eastAsia" w:ascii="宋体" w:hAnsi="宋体"/>
                <w:sz w:val="18"/>
                <w:szCs w:val="20"/>
              </w:rPr>
              <w:t>基本符合要求得</w:t>
            </w:r>
            <w:r>
              <w:rPr>
                <w:rFonts w:ascii="宋体" w:hAnsi="宋体"/>
                <w:sz w:val="18"/>
                <w:szCs w:val="20"/>
              </w:rPr>
              <w:t>5</w:t>
            </w:r>
            <w:r>
              <w:rPr>
                <w:rFonts w:hint="eastAsia" w:ascii="宋体" w:hAnsi="宋体"/>
                <w:sz w:val="18"/>
                <w:szCs w:val="20"/>
              </w:rPr>
              <w:t>分，符合得</w:t>
            </w:r>
            <w:r>
              <w:rPr>
                <w:rFonts w:ascii="宋体" w:hAnsi="宋体"/>
                <w:sz w:val="18"/>
                <w:szCs w:val="20"/>
              </w:rPr>
              <w:t>10</w:t>
            </w:r>
            <w:r>
              <w:rPr>
                <w:rFonts w:hint="eastAsia" w:ascii="宋体" w:hAnsi="宋体"/>
                <w:sz w:val="18"/>
                <w:szCs w:val="20"/>
              </w:rPr>
              <w:t>分。</w:t>
            </w:r>
          </w:p>
        </w:tc>
        <w:tc>
          <w:tcPr>
            <w:tcW w:w="603" w:type="pct"/>
            <w:vAlign w:val="center"/>
          </w:tcPr>
          <w:p>
            <w:pPr>
              <w:spacing w:line="240" w:lineRule="auto"/>
              <w:rPr>
                <w:rFonts w:ascii="宋体" w:hAnsi="宋体"/>
                <w:sz w:val="18"/>
                <w:szCs w:val="20"/>
              </w:rPr>
            </w:pPr>
            <w:r>
              <w:rPr>
                <w:rFonts w:hint="eastAsia" w:ascii="宋体" w:hAnsi="宋体"/>
                <w:sz w:val="18"/>
                <w:szCs w:val="20"/>
              </w:rPr>
              <w:t>1．智能建造顶层规划文件。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14" w:type="pct"/>
            <w:vMerge w:val="continue"/>
            <w:vAlign w:val="center"/>
          </w:tcPr>
          <w:p>
            <w:pPr>
              <w:spacing w:line="240" w:lineRule="auto"/>
              <w:jc w:val="center"/>
              <w:rPr>
                <w:rFonts w:ascii="宋体" w:hAnsi="宋体"/>
                <w:sz w:val="18"/>
                <w:szCs w:val="20"/>
              </w:rPr>
            </w:pPr>
          </w:p>
        </w:tc>
        <w:tc>
          <w:tcPr>
            <w:tcW w:w="318" w:type="pct"/>
            <w:vMerge w:val="restart"/>
            <w:vAlign w:val="center"/>
          </w:tcPr>
          <w:p>
            <w:pPr>
              <w:spacing w:line="240" w:lineRule="auto"/>
              <w:jc w:val="center"/>
              <w:rPr>
                <w:rFonts w:ascii="宋体" w:hAnsi="宋体"/>
                <w:sz w:val="18"/>
                <w:szCs w:val="20"/>
              </w:rPr>
            </w:pPr>
            <w:r>
              <w:rPr>
                <w:rFonts w:hint="eastAsia" w:ascii="宋体" w:hAnsi="宋体"/>
                <w:sz w:val="18"/>
                <w:szCs w:val="20"/>
              </w:rPr>
              <w:t>分项策划</w:t>
            </w:r>
          </w:p>
        </w:tc>
        <w:tc>
          <w:tcPr>
            <w:tcW w:w="531" w:type="pct"/>
            <w:vAlign w:val="center"/>
          </w:tcPr>
          <w:p>
            <w:pPr>
              <w:spacing w:line="240" w:lineRule="auto"/>
              <w:jc w:val="center"/>
              <w:rPr>
                <w:rFonts w:ascii="宋体" w:hAnsi="宋体"/>
                <w:sz w:val="18"/>
                <w:szCs w:val="20"/>
              </w:rPr>
            </w:pPr>
            <w:r>
              <w:rPr>
                <w:rFonts w:hint="eastAsia" w:ascii="宋体" w:hAnsi="宋体"/>
                <w:sz w:val="18"/>
                <w:szCs w:val="20"/>
              </w:rPr>
              <w:t>BIM应用</w:t>
            </w:r>
          </w:p>
          <w:p>
            <w:pPr>
              <w:spacing w:line="240" w:lineRule="auto"/>
              <w:jc w:val="center"/>
              <w:rPr>
                <w:rFonts w:ascii="宋体" w:hAnsi="宋体"/>
                <w:sz w:val="18"/>
                <w:szCs w:val="20"/>
              </w:rPr>
            </w:pPr>
            <w:r>
              <w:rPr>
                <w:rFonts w:hint="eastAsia" w:ascii="宋体" w:hAnsi="宋体"/>
                <w:sz w:val="18"/>
                <w:szCs w:val="20"/>
              </w:rPr>
              <w:t>（</w:t>
            </w:r>
            <w:r>
              <w:rPr>
                <w:rFonts w:ascii="宋体" w:hAnsi="宋体"/>
                <w:sz w:val="18"/>
                <w:szCs w:val="20"/>
              </w:rPr>
              <w:t>5</w:t>
            </w:r>
            <w:r>
              <w:rPr>
                <w:rFonts w:hint="eastAsia" w:ascii="宋体" w:hAnsi="宋体"/>
                <w:sz w:val="18"/>
                <w:szCs w:val="20"/>
              </w:rPr>
              <w:t>分）</w:t>
            </w:r>
          </w:p>
        </w:tc>
        <w:tc>
          <w:tcPr>
            <w:tcW w:w="3034" w:type="pct"/>
            <w:vAlign w:val="center"/>
          </w:tcPr>
          <w:p>
            <w:pPr>
              <w:spacing w:line="240" w:lineRule="auto"/>
              <w:rPr>
                <w:rFonts w:ascii="宋体" w:hAnsi="宋体"/>
                <w:sz w:val="18"/>
                <w:szCs w:val="20"/>
              </w:rPr>
            </w:pPr>
            <w:r>
              <w:rPr>
                <w:rFonts w:hint="eastAsia" w:ascii="宋体" w:hAnsi="宋体"/>
                <w:sz w:val="18"/>
                <w:szCs w:val="20"/>
              </w:rPr>
              <w:t>明确</w:t>
            </w:r>
            <w:r>
              <w:rPr>
                <w:rFonts w:ascii="宋体" w:hAnsi="宋体"/>
                <w:sz w:val="18"/>
                <w:szCs w:val="20"/>
              </w:rPr>
              <w:t>BIM</w:t>
            </w:r>
            <w:r>
              <w:rPr>
                <w:rFonts w:hint="eastAsia" w:ascii="宋体" w:hAnsi="宋体"/>
                <w:sz w:val="18"/>
                <w:szCs w:val="20"/>
              </w:rPr>
              <w:t>应用的专项方案：B</w:t>
            </w:r>
            <w:r>
              <w:rPr>
                <w:rFonts w:ascii="宋体" w:hAnsi="宋体"/>
                <w:sz w:val="18"/>
                <w:szCs w:val="20"/>
              </w:rPr>
              <w:t>IM技术必须应用于设计、生产、施工</w:t>
            </w:r>
            <w:r>
              <w:rPr>
                <w:rFonts w:hint="eastAsia" w:ascii="宋体" w:hAnsi="宋体"/>
                <w:sz w:val="18"/>
                <w:szCs w:val="20"/>
              </w:rPr>
              <w:t>、运维</w:t>
            </w:r>
            <w:r>
              <w:rPr>
                <w:rFonts w:ascii="宋体" w:hAnsi="宋体"/>
                <w:sz w:val="18"/>
                <w:szCs w:val="20"/>
              </w:rPr>
              <w:t>全过程</w:t>
            </w:r>
            <w:r>
              <w:rPr>
                <w:rFonts w:hint="eastAsia" w:ascii="宋体" w:hAnsi="宋体"/>
                <w:sz w:val="18"/>
                <w:szCs w:val="20"/>
              </w:rPr>
              <w:t xml:space="preserve">。 </w:t>
            </w:r>
          </w:p>
          <w:p>
            <w:pPr>
              <w:spacing w:line="240" w:lineRule="auto"/>
              <w:rPr>
                <w:rFonts w:ascii="宋体" w:hAnsi="宋体"/>
                <w:sz w:val="18"/>
                <w:szCs w:val="20"/>
              </w:rPr>
            </w:pPr>
            <w:r>
              <w:rPr>
                <w:rFonts w:hint="eastAsia" w:ascii="宋体" w:hAnsi="宋体"/>
                <w:sz w:val="18"/>
                <w:szCs w:val="20"/>
              </w:rPr>
              <w:t>每明确1项得1分，全部明确得5分。</w:t>
            </w:r>
          </w:p>
        </w:tc>
        <w:tc>
          <w:tcPr>
            <w:tcW w:w="603" w:type="pct"/>
            <w:vAlign w:val="center"/>
          </w:tcPr>
          <w:p>
            <w:pPr>
              <w:spacing w:line="240" w:lineRule="auto"/>
              <w:rPr>
                <w:rFonts w:ascii="宋体" w:hAnsi="宋体"/>
                <w:sz w:val="18"/>
                <w:szCs w:val="20"/>
              </w:rPr>
            </w:pPr>
            <w:r>
              <w:rPr>
                <w:rFonts w:ascii="宋体" w:hAnsi="宋体"/>
                <w:sz w:val="18"/>
                <w:szCs w:val="20"/>
              </w:rPr>
              <w:t>1</w:t>
            </w:r>
            <w:r>
              <w:rPr>
                <w:rFonts w:hint="eastAsia" w:ascii="宋体" w:hAnsi="宋体"/>
                <w:sz w:val="18"/>
                <w:szCs w:val="20"/>
              </w:rPr>
              <w:t>．</w:t>
            </w:r>
            <w:r>
              <w:rPr>
                <w:rFonts w:ascii="宋体" w:hAnsi="宋体"/>
                <w:sz w:val="18"/>
                <w:szCs w:val="20"/>
              </w:rPr>
              <w:t>BIM</w:t>
            </w:r>
            <w:r>
              <w:rPr>
                <w:rFonts w:hint="eastAsia" w:ascii="宋体" w:hAnsi="宋体"/>
                <w:sz w:val="18"/>
                <w:szCs w:val="20"/>
              </w:rPr>
              <w:t>应用方案。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4" w:type="pct"/>
            <w:vMerge w:val="continue"/>
            <w:vAlign w:val="center"/>
          </w:tcPr>
          <w:p>
            <w:pPr>
              <w:spacing w:line="240" w:lineRule="auto"/>
              <w:jc w:val="center"/>
              <w:rPr>
                <w:rFonts w:ascii="宋体" w:hAnsi="宋体"/>
                <w:sz w:val="18"/>
                <w:szCs w:val="20"/>
              </w:rPr>
            </w:pPr>
          </w:p>
        </w:tc>
        <w:tc>
          <w:tcPr>
            <w:tcW w:w="318" w:type="pct"/>
            <w:vMerge w:val="continue"/>
            <w:vAlign w:val="center"/>
          </w:tcPr>
          <w:p>
            <w:pPr>
              <w:spacing w:line="240" w:lineRule="auto"/>
              <w:jc w:val="center"/>
              <w:rPr>
                <w:rFonts w:ascii="宋体" w:hAnsi="宋体"/>
                <w:sz w:val="18"/>
                <w:szCs w:val="20"/>
              </w:rPr>
            </w:pPr>
          </w:p>
        </w:tc>
        <w:tc>
          <w:tcPr>
            <w:tcW w:w="531" w:type="pct"/>
            <w:vMerge w:val="restart"/>
            <w:vAlign w:val="center"/>
          </w:tcPr>
          <w:p>
            <w:pPr>
              <w:spacing w:line="240" w:lineRule="auto"/>
              <w:jc w:val="center"/>
              <w:rPr>
                <w:rFonts w:ascii="宋体" w:hAnsi="宋体"/>
                <w:sz w:val="18"/>
                <w:szCs w:val="20"/>
              </w:rPr>
            </w:pPr>
            <w:r>
              <w:rPr>
                <w:rFonts w:hint="eastAsia" w:ascii="宋体" w:hAnsi="宋体"/>
                <w:sz w:val="18"/>
                <w:szCs w:val="20"/>
              </w:rPr>
              <w:t>数字设计</w:t>
            </w:r>
          </w:p>
          <w:p>
            <w:pPr>
              <w:spacing w:line="240" w:lineRule="auto"/>
              <w:jc w:val="center"/>
              <w:rPr>
                <w:rFonts w:ascii="宋体" w:hAnsi="宋体"/>
                <w:sz w:val="18"/>
                <w:szCs w:val="20"/>
              </w:rPr>
            </w:pPr>
            <w:r>
              <w:rPr>
                <w:rFonts w:hint="eastAsia" w:ascii="宋体" w:hAnsi="宋体"/>
                <w:sz w:val="18"/>
                <w:szCs w:val="20"/>
              </w:rPr>
              <w:t>（</w:t>
            </w:r>
            <w:r>
              <w:rPr>
                <w:rFonts w:ascii="宋体" w:hAnsi="宋体"/>
                <w:sz w:val="18"/>
                <w:szCs w:val="20"/>
              </w:rPr>
              <w:t>10</w:t>
            </w:r>
            <w:r>
              <w:rPr>
                <w:rFonts w:hint="eastAsia" w:ascii="宋体" w:hAnsi="宋体"/>
                <w:sz w:val="18"/>
                <w:szCs w:val="20"/>
              </w:rPr>
              <w:t>分）</w:t>
            </w:r>
          </w:p>
        </w:tc>
        <w:tc>
          <w:tcPr>
            <w:tcW w:w="3034" w:type="pct"/>
            <w:vAlign w:val="center"/>
          </w:tcPr>
          <w:p>
            <w:pPr>
              <w:spacing w:line="240" w:lineRule="auto"/>
              <w:rPr>
                <w:rFonts w:ascii="宋体" w:hAnsi="宋体"/>
                <w:sz w:val="18"/>
                <w:szCs w:val="20"/>
              </w:rPr>
            </w:pPr>
            <w:r>
              <w:rPr>
                <w:rFonts w:hint="eastAsia" w:ascii="宋体" w:hAnsi="宋体"/>
                <w:sz w:val="18"/>
                <w:szCs w:val="20"/>
              </w:rPr>
              <w:t>明确标准化设计的专项方案：包含模数协调、平立面布置标准化、部品部件标准化。</w:t>
            </w:r>
          </w:p>
          <w:p>
            <w:pPr>
              <w:spacing w:line="240" w:lineRule="auto"/>
              <w:rPr>
                <w:rFonts w:ascii="宋体" w:hAnsi="宋体"/>
                <w:sz w:val="18"/>
                <w:szCs w:val="20"/>
              </w:rPr>
            </w:pPr>
            <w:r>
              <w:rPr>
                <w:rFonts w:hint="eastAsia" w:ascii="宋体" w:hAnsi="宋体"/>
                <w:sz w:val="18"/>
                <w:szCs w:val="20"/>
              </w:rPr>
              <w:t>每明确1项得1分，明确2项及以上得2分；满分为</w:t>
            </w:r>
            <w:r>
              <w:rPr>
                <w:rFonts w:ascii="宋体" w:hAnsi="宋体"/>
                <w:sz w:val="18"/>
                <w:szCs w:val="20"/>
              </w:rPr>
              <w:t>2</w:t>
            </w:r>
            <w:r>
              <w:rPr>
                <w:rFonts w:hint="eastAsia" w:ascii="宋体" w:hAnsi="宋体"/>
                <w:sz w:val="18"/>
                <w:szCs w:val="20"/>
              </w:rPr>
              <w:t>分。</w:t>
            </w:r>
          </w:p>
        </w:tc>
        <w:tc>
          <w:tcPr>
            <w:tcW w:w="603" w:type="pct"/>
            <w:vMerge w:val="restart"/>
            <w:vAlign w:val="center"/>
          </w:tcPr>
          <w:p>
            <w:pPr>
              <w:spacing w:line="240" w:lineRule="auto"/>
              <w:rPr>
                <w:rFonts w:ascii="宋体" w:hAnsi="宋体"/>
                <w:sz w:val="18"/>
                <w:szCs w:val="20"/>
              </w:rPr>
            </w:pPr>
            <w:r>
              <w:rPr>
                <w:rFonts w:ascii="宋体" w:hAnsi="宋体"/>
                <w:sz w:val="18"/>
                <w:szCs w:val="20"/>
              </w:rPr>
              <w:t>1</w:t>
            </w:r>
            <w:r>
              <w:rPr>
                <w:rFonts w:hint="eastAsia" w:ascii="宋体" w:hAnsi="宋体"/>
                <w:sz w:val="18"/>
                <w:szCs w:val="20"/>
              </w:rPr>
              <w:t>．数字设计实施方案。</w:t>
            </w:r>
          </w:p>
          <w:p>
            <w:pPr>
              <w:spacing w:line="240" w:lineRule="auto"/>
              <w:rPr>
                <w:rFonts w:ascii="宋体" w:hAnsi="宋体"/>
                <w:sz w:val="18"/>
                <w:szCs w:val="20"/>
              </w:rPr>
            </w:pPr>
            <w:r>
              <w:rPr>
                <w:rFonts w:ascii="宋体" w:hAnsi="宋体"/>
                <w:sz w:val="18"/>
                <w:szCs w:val="20"/>
              </w:rPr>
              <w:t>2.BIM</w:t>
            </w:r>
            <w:r>
              <w:rPr>
                <w:rFonts w:hint="eastAsia" w:ascii="宋体" w:hAnsi="宋体"/>
                <w:sz w:val="18"/>
                <w:szCs w:val="20"/>
              </w:rPr>
              <w:t>协同设计平台技术清单；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14" w:type="pct"/>
            <w:vMerge w:val="continue"/>
            <w:vAlign w:val="center"/>
          </w:tcPr>
          <w:p>
            <w:pPr>
              <w:spacing w:line="240" w:lineRule="auto"/>
              <w:jc w:val="center"/>
              <w:rPr>
                <w:rFonts w:ascii="宋体" w:hAnsi="宋体"/>
                <w:sz w:val="18"/>
                <w:szCs w:val="20"/>
              </w:rPr>
            </w:pPr>
          </w:p>
        </w:tc>
        <w:tc>
          <w:tcPr>
            <w:tcW w:w="318" w:type="pct"/>
            <w:vMerge w:val="continue"/>
            <w:vAlign w:val="center"/>
          </w:tcPr>
          <w:p>
            <w:pPr>
              <w:spacing w:line="240" w:lineRule="auto"/>
              <w:jc w:val="center"/>
              <w:rPr>
                <w:rFonts w:ascii="宋体" w:hAnsi="宋体"/>
                <w:sz w:val="18"/>
                <w:szCs w:val="20"/>
              </w:rPr>
            </w:pPr>
          </w:p>
        </w:tc>
        <w:tc>
          <w:tcPr>
            <w:tcW w:w="531" w:type="pct"/>
            <w:vMerge w:val="continue"/>
            <w:vAlign w:val="center"/>
          </w:tcPr>
          <w:p>
            <w:pPr>
              <w:spacing w:line="240" w:lineRule="auto"/>
              <w:jc w:val="center"/>
              <w:rPr>
                <w:rFonts w:ascii="宋体" w:hAnsi="宋体"/>
                <w:sz w:val="18"/>
                <w:szCs w:val="20"/>
              </w:rPr>
            </w:pPr>
          </w:p>
        </w:tc>
        <w:tc>
          <w:tcPr>
            <w:tcW w:w="3034" w:type="pct"/>
            <w:vAlign w:val="center"/>
          </w:tcPr>
          <w:p>
            <w:pPr>
              <w:spacing w:line="240" w:lineRule="auto"/>
              <w:rPr>
                <w:rFonts w:ascii="宋体" w:hAnsi="宋体"/>
                <w:sz w:val="18"/>
                <w:szCs w:val="20"/>
              </w:rPr>
            </w:pPr>
            <w:r>
              <w:rPr>
                <w:rFonts w:hint="eastAsia" w:ascii="宋体" w:hAnsi="宋体"/>
                <w:sz w:val="18"/>
                <w:szCs w:val="20"/>
              </w:rPr>
              <w:t>明确集成化设计的专项方案：包含主体结构系统集成化、外围护系统集成化、内装系统集成化、设备及管线系统集成化。</w:t>
            </w:r>
          </w:p>
          <w:p>
            <w:pPr>
              <w:spacing w:line="240" w:lineRule="auto"/>
              <w:rPr>
                <w:rFonts w:ascii="宋体" w:hAnsi="宋体"/>
                <w:sz w:val="18"/>
                <w:szCs w:val="20"/>
              </w:rPr>
            </w:pPr>
            <w:r>
              <w:rPr>
                <w:rFonts w:hint="eastAsia" w:ascii="宋体" w:hAnsi="宋体"/>
                <w:sz w:val="18"/>
                <w:szCs w:val="20"/>
              </w:rPr>
              <w:t>每明确1项得1分，明确</w:t>
            </w:r>
            <w:r>
              <w:rPr>
                <w:rFonts w:ascii="宋体" w:hAnsi="宋体"/>
                <w:sz w:val="18"/>
                <w:szCs w:val="20"/>
              </w:rPr>
              <w:t>3</w:t>
            </w:r>
            <w:r>
              <w:rPr>
                <w:rFonts w:hint="eastAsia" w:ascii="宋体" w:hAnsi="宋体"/>
                <w:sz w:val="18"/>
                <w:szCs w:val="20"/>
              </w:rPr>
              <w:t>项及以上得</w:t>
            </w:r>
            <w:r>
              <w:rPr>
                <w:rFonts w:ascii="宋体" w:hAnsi="宋体"/>
                <w:sz w:val="18"/>
                <w:szCs w:val="20"/>
              </w:rPr>
              <w:t>3</w:t>
            </w:r>
            <w:r>
              <w:rPr>
                <w:rFonts w:hint="eastAsia" w:ascii="宋体" w:hAnsi="宋体"/>
                <w:sz w:val="18"/>
                <w:szCs w:val="20"/>
              </w:rPr>
              <w:t>分；满分为</w:t>
            </w:r>
            <w:r>
              <w:rPr>
                <w:rFonts w:ascii="宋体" w:hAnsi="宋体"/>
                <w:sz w:val="18"/>
                <w:szCs w:val="20"/>
              </w:rPr>
              <w:t>3</w:t>
            </w:r>
            <w:r>
              <w:rPr>
                <w:rFonts w:hint="eastAsia" w:ascii="宋体" w:hAnsi="宋体"/>
                <w:sz w:val="18"/>
                <w:szCs w:val="20"/>
              </w:rPr>
              <w:t>分。</w:t>
            </w:r>
          </w:p>
        </w:tc>
        <w:tc>
          <w:tcPr>
            <w:tcW w:w="603" w:type="pct"/>
            <w:vMerge w:val="continue"/>
            <w:vAlign w:val="center"/>
          </w:tcPr>
          <w:p>
            <w:pPr>
              <w:spacing w:line="240" w:lineRule="auto"/>
              <w:jc w:val="center"/>
              <w:rPr>
                <w:rFonts w:ascii="宋体" w:hAnsi="宋体"/>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514" w:type="pct"/>
            <w:vMerge w:val="continue"/>
            <w:vAlign w:val="center"/>
          </w:tcPr>
          <w:p>
            <w:pPr>
              <w:spacing w:line="240" w:lineRule="auto"/>
              <w:jc w:val="center"/>
              <w:rPr>
                <w:rFonts w:ascii="宋体" w:hAnsi="宋体"/>
                <w:sz w:val="18"/>
                <w:szCs w:val="20"/>
              </w:rPr>
            </w:pPr>
          </w:p>
        </w:tc>
        <w:tc>
          <w:tcPr>
            <w:tcW w:w="318" w:type="pct"/>
            <w:vMerge w:val="continue"/>
            <w:vAlign w:val="center"/>
          </w:tcPr>
          <w:p>
            <w:pPr>
              <w:spacing w:line="240" w:lineRule="auto"/>
              <w:jc w:val="center"/>
              <w:rPr>
                <w:rFonts w:ascii="宋体" w:hAnsi="宋体"/>
                <w:sz w:val="18"/>
                <w:szCs w:val="20"/>
              </w:rPr>
            </w:pPr>
          </w:p>
        </w:tc>
        <w:tc>
          <w:tcPr>
            <w:tcW w:w="531" w:type="pct"/>
            <w:vMerge w:val="continue"/>
            <w:vAlign w:val="center"/>
          </w:tcPr>
          <w:p>
            <w:pPr>
              <w:spacing w:line="240" w:lineRule="auto"/>
              <w:jc w:val="center"/>
              <w:rPr>
                <w:rFonts w:ascii="宋体" w:hAnsi="宋体"/>
                <w:sz w:val="18"/>
                <w:szCs w:val="20"/>
              </w:rPr>
            </w:pPr>
          </w:p>
        </w:tc>
        <w:tc>
          <w:tcPr>
            <w:tcW w:w="3034" w:type="pct"/>
            <w:vAlign w:val="center"/>
          </w:tcPr>
          <w:p>
            <w:pPr>
              <w:spacing w:line="240" w:lineRule="auto"/>
              <w:rPr>
                <w:rFonts w:ascii="宋体" w:hAnsi="宋体"/>
                <w:sz w:val="18"/>
                <w:szCs w:val="20"/>
              </w:rPr>
            </w:pPr>
            <w:r>
              <w:rPr>
                <w:rFonts w:hint="eastAsia" w:ascii="宋体" w:hAnsi="宋体"/>
                <w:sz w:val="18"/>
                <w:szCs w:val="20"/>
              </w:rPr>
              <w:t>明确“B</w:t>
            </w:r>
            <w:r>
              <w:rPr>
                <w:rFonts w:ascii="宋体" w:hAnsi="宋体"/>
                <w:sz w:val="18"/>
                <w:szCs w:val="20"/>
              </w:rPr>
              <w:t>IM+</w:t>
            </w:r>
            <w:r>
              <w:rPr>
                <w:rFonts w:hint="eastAsia" w:ascii="宋体" w:hAnsi="宋体"/>
                <w:sz w:val="18"/>
                <w:szCs w:val="20"/>
              </w:rPr>
              <w:t>”数字一体化设计的专项方案：明确采用基于B</w:t>
            </w:r>
            <w:r>
              <w:rPr>
                <w:rFonts w:ascii="宋体" w:hAnsi="宋体"/>
                <w:sz w:val="18"/>
                <w:szCs w:val="20"/>
              </w:rPr>
              <w:t>IM</w:t>
            </w:r>
            <w:r>
              <w:rPr>
                <w:rFonts w:hint="eastAsia" w:ascii="宋体" w:hAnsi="宋体"/>
                <w:sz w:val="18"/>
                <w:szCs w:val="20"/>
              </w:rPr>
              <w:t>协同设计平台，包含平台特点，以及基于B</w:t>
            </w:r>
            <w:r>
              <w:rPr>
                <w:rFonts w:ascii="宋体" w:hAnsi="宋体"/>
                <w:sz w:val="18"/>
                <w:szCs w:val="20"/>
              </w:rPr>
              <w:t>IM</w:t>
            </w:r>
            <w:r>
              <w:rPr>
                <w:rFonts w:hint="eastAsia" w:ascii="宋体" w:hAnsi="宋体"/>
                <w:sz w:val="18"/>
                <w:szCs w:val="20"/>
              </w:rPr>
              <w:t>协同设计平台实现不同软件、不同专业和不同阶段的协同设计；明确基于B</w:t>
            </w:r>
            <w:r>
              <w:rPr>
                <w:rFonts w:ascii="宋体" w:hAnsi="宋体"/>
                <w:sz w:val="18"/>
                <w:szCs w:val="20"/>
              </w:rPr>
              <w:t>IM</w:t>
            </w:r>
            <w:r>
              <w:rPr>
                <w:rFonts w:hint="eastAsia" w:ascii="宋体" w:hAnsi="宋体"/>
                <w:sz w:val="18"/>
                <w:szCs w:val="20"/>
              </w:rPr>
              <w:t>技术对全专业进行辅助设计；明确基于B</w:t>
            </w:r>
            <w:r>
              <w:rPr>
                <w:rFonts w:ascii="宋体" w:hAnsi="宋体"/>
                <w:sz w:val="18"/>
                <w:szCs w:val="20"/>
              </w:rPr>
              <w:t>IM</w:t>
            </w:r>
            <w:r>
              <w:rPr>
                <w:rFonts w:hint="eastAsia" w:ascii="宋体" w:hAnsi="宋体"/>
                <w:sz w:val="18"/>
                <w:szCs w:val="20"/>
              </w:rPr>
              <w:t>技术对全专业进行深化设计；明确基于B</w:t>
            </w:r>
            <w:r>
              <w:rPr>
                <w:rFonts w:ascii="宋体" w:hAnsi="宋体"/>
                <w:sz w:val="18"/>
                <w:szCs w:val="20"/>
              </w:rPr>
              <w:t>IM</w:t>
            </w:r>
            <w:r>
              <w:rPr>
                <w:rFonts w:hint="eastAsia" w:ascii="宋体" w:hAnsi="宋体"/>
                <w:sz w:val="18"/>
                <w:szCs w:val="20"/>
              </w:rPr>
              <w:t>技术对全专业进行辅助审查。</w:t>
            </w:r>
          </w:p>
          <w:p>
            <w:pPr>
              <w:spacing w:line="240" w:lineRule="auto"/>
              <w:rPr>
                <w:rFonts w:ascii="宋体" w:hAnsi="宋体"/>
                <w:sz w:val="18"/>
                <w:szCs w:val="20"/>
              </w:rPr>
            </w:pPr>
            <w:r>
              <w:rPr>
                <w:rFonts w:hint="eastAsia" w:ascii="宋体" w:hAnsi="宋体"/>
                <w:sz w:val="18"/>
                <w:szCs w:val="20"/>
              </w:rPr>
              <w:t>每明确1项得1分，明确</w:t>
            </w:r>
            <w:r>
              <w:rPr>
                <w:rFonts w:ascii="宋体" w:hAnsi="宋体"/>
                <w:sz w:val="18"/>
                <w:szCs w:val="20"/>
              </w:rPr>
              <w:t>3</w:t>
            </w:r>
            <w:r>
              <w:rPr>
                <w:rFonts w:hint="eastAsia" w:ascii="宋体" w:hAnsi="宋体"/>
                <w:sz w:val="18"/>
                <w:szCs w:val="20"/>
              </w:rPr>
              <w:t>项及以上得</w:t>
            </w:r>
            <w:r>
              <w:rPr>
                <w:rFonts w:ascii="宋体" w:hAnsi="宋体"/>
                <w:sz w:val="18"/>
                <w:szCs w:val="20"/>
              </w:rPr>
              <w:t>3</w:t>
            </w:r>
            <w:r>
              <w:rPr>
                <w:rFonts w:hint="eastAsia" w:ascii="宋体" w:hAnsi="宋体"/>
                <w:sz w:val="18"/>
                <w:szCs w:val="20"/>
              </w:rPr>
              <w:t>分；满分为3分。</w:t>
            </w:r>
          </w:p>
        </w:tc>
        <w:tc>
          <w:tcPr>
            <w:tcW w:w="603" w:type="pct"/>
            <w:vMerge w:val="continue"/>
            <w:vAlign w:val="center"/>
          </w:tcPr>
          <w:p>
            <w:pPr>
              <w:spacing w:line="240" w:lineRule="auto"/>
              <w:jc w:val="center"/>
              <w:rPr>
                <w:rFonts w:ascii="宋体" w:hAnsi="宋体"/>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14" w:type="pct"/>
            <w:vMerge w:val="continue"/>
            <w:vAlign w:val="center"/>
          </w:tcPr>
          <w:p>
            <w:pPr>
              <w:spacing w:line="240" w:lineRule="auto"/>
              <w:jc w:val="center"/>
              <w:rPr>
                <w:rFonts w:ascii="宋体" w:hAnsi="宋体"/>
                <w:sz w:val="18"/>
                <w:szCs w:val="20"/>
              </w:rPr>
            </w:pPr>
          </w:p>
        </w:tc>
        <w:tc>
          <w:tcPr>
            <w:tcW w:w="318" w:type="pct"/>
            <w:vMerge w:val="continue"/>
            <w:vAlign w:val="center"/>
          </w:tcPr>
          <w:p>
            <w:pPr>
              <w:spacing w:line="240" w:lineRule="auto"/>
              <w:jc w:val="center"/>
              <w:rPr>
                <w:rFonts w:ascii="宋体" w:hAnsi="宋体"/>
                <w:sz w:val="18"/>
                <w:szCs w:val="20"/>
              </w:rPr>
            </w:pPr>
          </w:p>
        </w:tc>
        <w:tc>
          <w:tcPr>
            <w:tcW w:w="531" w:type="pct"/>
            <w:vMerge w:val="continue"/>
            <w:vAlign w:val="center"/>
          </w:tcPr>
          <w:p>
            <w:pPr>
              <w:spacing w:line="240" w:lineRule="auto"/>
              <w:jc w:val="center"/>
              <w:rPr>
                <w:rFonts w:ascii="宋体" w:hAnsi="宋体"/>
                <w:sz w:val="18"/>
                <w:szCs w:val="20"/>
              </w:rPr>
            </w:pPr>
          </w:p>
        </w:tc>
        <w:tc>
          <w:tcPr>
            <w:tcW w:w="3034" w:type="pct"/>
            <w:vAlign w:val="center"/>
          </w:tcPr>
          <w:p>
            <w:pPr>
              <w:spacing w:line="240" w:lineRule="auto"/>
              <w:rPr>
                <w:rFonts w:ascii="宋体" w:hAnsi="宋体"/>
                <w:sz w:val="18"/>
                <w:szCs w:val="20"/>
              </w:rPr>
            </w:pPr>
            <w:r>
              <w:rPr>
                <w:rFonts w:hint="eastAsia" w:ascii="宋体" w:hAnsi="宋体"/>
                <w:sz w:val="18"/>
                <w:szCs w:val="20"/>
              </w:rPr>
              <w:t>明确数据管理的专项方案，包含软件应用和数据要求，得1分。</w:t>
            </w:r>
          </w:p>
        </w:tc>
        <w:tc>
          <w:tcPr>
            <w:tcW w:w="603" w:type="pct"/>
            <w:vMerge w:val="continue"/>
            <w:vAlign w:val="center"/>
          </w:tcPr>
          <w:p>
            <w:pPr>
              <w:spacing w:line="240" w:lineRule="auto"/>
              <w:jc w:val="center"/>
              <w:rPr>
                <w:rFonts w:ascii="宋体" w:hAnsi="宋体"/>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14" w:type="pct"/>
            <w:vMerge w:val="continue"/>
            <w:vAlign w:val="center"/>
          </w:tcPr>
          <w:p>
            <w:pPr>
              <w:spacing w:line="240" w:lineRule="auto"/>
              <w:jc w:val="center"/>
              <w:rPr>
                <w:rFonts w:ascii="宋体" w:hAnsi="宋体"/>
                <w:sz w:val="18"/>
                <w:szCs w:val="20"/>
              </w:rPr>
            </w:pPr>
          </w:p>
        </w:tc>
        <w:tc>
          <w:tcPr>
            <w:tcW w:w="318" w:type="pct"/>
            <w:vMerge w:val="continue"/>
            <w:vAlign w:val="center"/>
          </w:tcPr>
          <w:p>
            <w:pPr>
              <w:spacing w:line="240" w:lineRule="auto"/>
              <w:jc w:val="center"/>
              <w:rPr>
                <w:rFonts w:ascii="宋体" w:hAnsi="宋体"/>
                <w:sz w:val="18"/>
                <w:szCs w:val="20"/>
              </w:rPr>
            </w:pPr>
          </w:p>
        </w:tc>
        <w:tc>
          <w:tcPr>
            <w:tcW w:w="531" w:type="pct"/>
            <w:vMerge w:val="continue"/>
            <w:vAlign w:val="center"/>
          </w:tcPr>
          <w:p>
            <w:pPr>
              <w:spacing w:line="240" w:lineRule="auto"/>
              <w:jc w:val="center"/>
              <w:rPr>
                <w:rFonts w:ascii="宋体" w:hAnsi="宋体"/>
                <w:sz w:val="18"/>
                <w:szCs w:val="20"/>
              </w:rPr>
            </w:pPr>
          </w:p>
        </w:tc>
        <w:tc>
          <w:tcPr>
            <w:tcW w:w="3034" w:type="pct"/>
            <w:vAlign w:val="center"/>
          </w:tcPr>
          <w:p>
            <w:pPr>
              <w:spacing w:line="240" w:lineRule="auto"/>
              <w:rPr>
                <w:rFonts w:ascii="宋体" w:hAnsi="宋体"/>
                <w:sz w:val="18"/>
                <w:szCs w:val="20"/>
              </w:rPr>
            </w:pPr>
            <w:r>
              <w:rPr>
                <w:rFonts w:hint="eastAsia" w:ascii="宋体" w:hAnsi="宋体"/>
                <w:sz w:val="18"/>
                <w:szCs w:val="20"/>
              </w:rPr>
              <w:t>明确数字化交付的专项方案，包含交付内容及B</w:t>
            </w:r>
            <w:r>
              <w:rPr>
                <w:rFonts w:ascii="宋体" w:hAnsi="宋体"/>
                <w:sz w:val="18"/>
                <w:szCs w:val="20"/>
              </w:rPr>
              <w:t>IM</w:t>
            </w:r>
            <w:r>
              <w:rPr>
                <w:rFonts w:hint="eastAsia" w:ascii="宋体" w:hAnsi="宋体"/>
                <w:sz w:val="18"/>
                <w:szCs w:val="20"/>
              </w:rPr>
              <w:t>模型要求，得1分。</w:t>
            </w:r>
          </w:p>
        </w:tc>
        <w:tc>
          <w:tcPr>
            <w:tcW w:w="603" w:type="pct"/>
            <w:vMerge w:val="continue"/>
            <w:vAlign w:val="center"/>
          </w:tcPr>
          <w:p>
            <w:pPr>
              <w:spacing w:line="240" w:lineRule="auto"/>
              <w:jc w:val="center"/>
              <w:rPr>
                <w:rFonts w:ascii="宋体" w:hAnsi="宋体"/>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514" w:type="pct"/>
            <w:vMerge w:val="continue"/>
            <w:vAlign w:val="center"/>
          </w:tcPr>
          <w:p>
            <w:pPr>
              <w:spacing w:line="240" w:lineRule="auto"/>
              <w:jc w:val="center"/>
              <w:rPr>
                <w:rFonts w:ascii="宋体" w:hAnsi="宋体"/>
                <w:sz w:val="18"/>
                <w:szCs w:val="20"/>
              </w:rPr>
            </w:pPr>
          </w:p>
        </w:tc>
        <w:tc>
          <w:tcPr>
            <w:tcW w:w="318" w:type="pct"/>
            <w:vMerge w:val="continue"/>
            <w:vAlign w:val="center"/>
          </w:tcPr>
          <w:p>
            <w:pPr>
              <w:spacing w:line="240" w:lineRule="auto"/>
              <w:jc w:val="center"/>
              <w:rPr>
                <w:rFonts w:ascii="宋体" w:hAnsi="宋体"/>
                <w:sz w:val="18"/>
                <w:szCs w:val="20"/>
              </w:rPr>
            </w:pPr>
          </w:p>
        </w:tc>
        <w:tc>
          <w:tcPr>
            <w:tcW w:w="531" w:type="pct"/>
            <w:vAlign w:val="center"/>
          </w:tcPr>
          <w:p>
            <w:pPr>
              <w:spacing w:line="240" w:lineRule="auto"/>
              <w:jc w:val="center"/>
              <w:rPr>
                <w:rFonts w:ascii="宋体" w:hAnsi="宋体"/>
                <w:sz w:val="18"/>
                <w:szCs w:val="20"/>
              </w:rPr>
            </w:pPr>
            <w:r>
              <w:rPr>
                <w:rFonts w:hint="eastAsia" w:ascii="宋体" w:hAnsi="宋体"/>
                <w:sz w:val="18"/>
                <w:szCs w:val="20"/>
              </w:rPr>
              <w:t>智能生产</w:t>
            </w:r>
          </w:p>
          <w:p>
            <w:pPr>
              <w:spacing w:line="240" w:lineRule="auto"/>
              <w:jc w:val="center"/>
              <w:rPr>
                <w:rFonts w:ascii="宋体" w:hAnsi="宋体"/>
                <w:sz w:val="18"/>
                <w:szCs w:val="20"/>
              </w:rPr>
            </w:pPr>
            <w:r>
              <w:rPr>
                <w:rFonts w:hint="eastAsia" w:ascii="宋体" w:hAnsi="宋体"/>
                <w:sz w:val="18"/>
                <w:szCs w:val="20"/>
              </w:rPr>
              <w:t>（</w:t>
            </w:r>
            <w:r>
              <w:rPr>
                <w:rFonts w:ascii="宋体" w:hAnsi="宋体"/>
                <w:sz w:val="18"/>
                <w:szCs w:val="20"/>
              </w:rPr>
              <w:t>10</w:t>
            </w:r>
            <w:r>
              <w:rPr>
                <w:rFonts w:hint="eastAsia" w:ascii="宋体" w:hAnsi="宋体"/>
                <w:sz w:val="18"/>
                <w:szCs w:val="20"/>
              </w:rPr>
              <w:t>分）</w:t>
            </w:r>
          </w:p>
        </w:tc>
        <w:tc>
          <w:tcPr>
            <w:tcW w:w="3034" w:type="pct"/>
            <w:vAlign w:val="center"/>
          </w:tcPr>
          <w:p>
            <w:pPr>
              <w:spacing w:line="240" w:lineRule="auto"/>
              <w:rPr>
                <w:rFonts w:ascii="宋体" w:hAnsi="宋体"/>
                <w:sz w:val="18"/>
                <w:szCs w:val="20"/>
              </w:rPr>
            </w:pPr>
            <w:r>
              <w:rPr>
                <w:rFonts w:hint="eastAsia" w:ascii="宋体" w:hAnsi="宋体"/>
                <w:sz w:val="18"/>
                <w:szCs w:val="20"/>
              </w:rPr>
              <w:t>明确智能生产的专项方案：明确数据资源内容，包含数据同源和编码体系；明确数据驱动内容，包含数据传递和驱动设备情况；明确数字化生产管理内容，包含计划管理、生产执行管理、质检管理、物流管理、管理过程可视化；明确采用智能装备，包含智能化生产设备和智能堆场装备；明确采用数字化交付，包含交付内容和B</w:t>
            </w:r>
            <w:r>
              <w:rPr>
                <w:rFonts w:ascii="宋体" w:hAnsi="宋体"/>
                <w:sz w:val="18"/>
                <w:szCs w:val="20"/>
              </w:rPr>
              <w:t>IM</w:t>
            </w:r>
            <w:r>
              <w:rPr>
                <w:rFonts w:hint="eastAsia" w:ascii="宋体" w:hAnsi="宋体"/>
                <w:sz w:val="18"/>
                <w:szCs w:val="20"/>
              </w:rPr>
              <w:t>模型要求。每明确1项得</w:t>
            </w:r>
            <w:r>
              <w:rPr>
                <w:rFonts w:ascii="宋体" w:hAnsi="宋体"/>
                <w:sz w:val="18"/>
                <w:szCs w:val="20"/>
              </w:rPr>
              <w:t>2</w:t>
            </w:r>
            <w:r>
              <w:rPr>
                <w:rFonts w:hint="eastAsia" w:ascii="宋体" w:hAnsi="宋体"/>
                <w:sz w:val="18"/>
                <w:szCs w:val="20"/>
              </w:rPr>
              <w:t>分；满分为</w:t>
            </w:r>
            <w:r>
              <w:rPr>
                <w:rFonts w:ascii="宋体" w:hAnsi="宋体"/>
                <w:sz w:val="18"/>
                <w:szCs w:val="20"/>
              </w:rPr>
              <w:t>10</w:t>
            </w:r>
            <w:r>
              <w:rPr>
                <w:rFonts w:hint="eastAsia" w:ascii="宋体" w:hAnsi="宋体"/>
                <w:sz w:val="18"/>
                <w:szCs w:val="20"/>
              </w:rPr>
              <w:t>分。</w:t>
            </w:r>
          </w:p>
        </w:tc>
        <w:tc>
          <w:tcPr>
            <w:tcW w:w="603" w:type="pct"/>
            <w:vAlign w:val="center"/>
          </w:tcPr>
          <w:p>
            <w:pPr>
              <w:spacing w:line="240" w:lineRule="auto"/>
              <w:rPr>
                <w:rFonts w:ascii="宋体" w:hAnsi="宋体"/>
                <w:sz w:val="18"/>
                <w:szCs w:val="20"/>
              </w:rPr>
            </w:pPr>
            <w:r>
              <w:rPr>
                <w:rFonts w:ascii="宋体" w:hAnsi="宋体"/>
                <w:sz w:val="18"/>
                <w:szCs w:val="20"/>
              </w:rPr>
              <w:t>1</w:t>
            </w:r>
            <w:r>
              <w:rPr>
                <w:rFonts w:hint="eastAsia" w:ascii="宋体" w:hAnsi="宋体"/>
                <w:sz w:val="18"/>
                <w:szCs w:val="20"/>
              </w:rPr>
              <w:t>.智能生产实施方案；</w:t>
            </w:r>
          </w:p>
          <w:p>
            <w:pPr>
              <w:spacing w:line="240" w:lineRule="auto"/>
              <w:rPr>
                <w:rFonts w:ascii="宋体" w:hAnsi="宋体"/>
                <w:sz w:val="18"/>
                <w:szCs w:val="20"/>
              </w:rPr>
            </w:pPr>
            <w:r>
              <w:rPr>
                <w:rFonts w:ascii="宋体" w:hAnsi="宋体"/>
                <w:sz w:val="18"/>
                <w:szCs w:val="20"/>
              </w:rPr>
              <w:t>2</w:t>
            </w:r>
            <w:r>
              <w:rPr>
                <w:rFonts w:hint="eastAsia" w:ascii="宋体" w:hAnsi="宋体"/>
                <w:sz w:val="18"/>
                <w:szCs w:val="20"/>
              </w:rPr>
              <w:t>.智能设备或装备的技术清单。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514" w:type="pct"/>
            <w:vMerge w:val="continue"/>
            <w:vAlign w:val="center"/>
          </w:tcPr>
          <w:p>
            <w:pPr>
              <w:spacing w:line="240" w:lineRule="auto"/>
              <w:jc w:val="center"/>
              <w:rPr>
                <w:rFonts w:ascii="宋体" w:hAnsi="宋体"/>
                <w:sz w:val="18"/>
                <w:szCs w:val="20"/>
              </w:rPr>
            </w:pPr>
          </w:p>
        </w:tc>
        <w:tc>
          <w:tcPr>
            <w:tcW w:w="318" w:type="pct"/>
            <w:vMerge w:val="continue"/>
            <w:vAlign w:val="center"/>
          </w:tcPr>
          <w:p>
            <w:pPr>
              <w:spacing w:line="240" w:lineRule="auto"/>
              <w:jc w:val="center"/>
              <w:rPr>
                <w:rFonts w:ascii="宋体" w:hAnsi="宋体"/>
                <w:sz w:val="18"/>
                <w:szCs w:val="20"/>
              </w:rPr>
            </w:pPr>
          </w:p>
        </w:tc>
        <w:tc>
          <w:tcPr>
            <w:tcW w:w="531" w:type="pct"/>
            <w:vAlign w:val="center"/>
          </w:tcPr>
          <w:p>
            <w:pPr>
              <w:spacing w:line="240" w:lineRule="auto"/>
              <w:jc w:val="center"/>
              <w:rPr>
                <w:rFonts w:ascii="宋体" w:hAnsi="宋体"/>
                <w:sz w:val="18"/>
                <w:szCs w:val="20"/>
              </w:rPr>
            </w:pPr>
            <w:r>
              <w:rPr>
                <w:rFonts w:hint="eastAsia" w:ascii="宋体" w:hAnsi="宋体"/>
                <w:sz w:val="18"/>
                <w:szCs w:val="20"/>
              </w:rPr>
              <w:t>智能施工</w:t>
            </w:r>
          </w:p>
          <w:p>
            <w:pPr>
              <w:spacing w:line="240" w:lineRule="auto"/>
              <w:jc w:val="center"/>
              <w:rPr>
                <w:rFonts w:ascii="宋体" w:hAnsi="宋体"/>
                <w:sz w:val="18"/>
                <w:szCs w:val="20"/>
              </w:rPr>
            </w:pPr>
            <w:r>
              <w:rPr>
                <w:rFonts w:hint="eastAsia" w:ascii="宋体" w:hAnsi="宋体"/>
                <w:sz w:val="18"/>
                <w:szCs w:val="20"/>
              </w:rPr>
              <w:t>（</w:t>
            </w:r>
            <w:r>
              <w:rPr>
                <w:rFonts w:ascii="宋体" w:hAnsi="宋体"/>
                <w:sz w:val="18"/>
                <w:szCs w:val="20"/>
              </w:rPr>
              <w:t>18</w:t>
            </w:r>
            <w:r>
              <w:rPr>
                <w:rFonts w:hint="eastAsia" w:ascii="宋体" w:hAnsi="宋体"/>
                <w:sz w:val="18"/>
                <w:szCs w:val="20"/>
              </w:rPr>
              <w:t>分）</w:t>
            </w:r>
          </w:p>
        </w:tc>
        <w:tc>
          <w:tcPr>
            <w:tcW w:w="3034" w:type="pct"/>
            <w:vAlign w:val="center"/>
          </w:tcPr>
          <w:p>
            <w:pPr>
              <w:spacing w:line="240" w:lineRule="auto"/>
              <w:rPr>
                <w:rFonts w:ascii="宋体" w:hAnsi="宋体"/>
                <w:sz w:val="18"/>
                <w:szCs w:val="20"/>
              </w:rPr>
            </w:pPr>
            <w:r>
              <w:rPr>
                <w:rFonts w:hint="eastAsia" w:ascii="宋体" w:hAnsi="宋体"/>
                <w:sz w:val="18"/>
                <w:szCs w:val="20"/>
              </w:rPr>
              <w:t>明确智能施工的专项方案：明确数据资源，包含数据同源和深化设计；明确施工模拟内容，包含施工组织和施工工艺的模拟与仿真；明确施工管理内容，包含智慧工地应用场景和数字化管理，其中数字化管理涵盖进度、成本、质量、供应链、智能检测以及管理过程可视化等内容；明确建筑机器人及智能装备应用场景、数量以及数据驱动方案；明确技术经济分析方案，包含数据采集和数据分析；明确采用数字化交付，包含交付内容和B</w:t>
            </w:r>
            <w:r>
              <w:rPr>
                <w:rFonts w:ascii="宋体" w:hAnsi="宋体"/>
                <w:sz w:val="18"/>
                <w:szCs w:val="20"/>
              </w:rPr>
              <w:t>IM</w:t>
            </w:r>
            <w:r>
              <w:rPr>
                <w:rFonts w:hint="eastAsia" w:ascii="宋体" w:hAnsi="宋体"/>
                <w:sz w:val="18"/>
                <w:szCs w:val="20"/>
              </w:rPr>
              <w:t>模型要求。</w:t>
            </w:r>
          </w:p>
          <w:p>
            <w:pPr>
              <w:spacing w:line="240" w:lineRule="auto"/>
              <w:rPr>
                <w:rFonts w:ascii="宋体" w:hAnsi="宋体"/>
                <w:sz w:val="18"/>
                <w:szCs w:val="20"/>
              </w:rPr>
            </w:pPr>
            <w:r>
              <w:rPr>
                <w:rFonts w:hint="eastAsia" w:ascii="宋体" w:hAnsi="宋体"/>
                <w:sz w:val="18"/>
                <w:szCs w:val="20"/>
              </w:rPr>
              <w:t>每明确1项得</w:t>
            </w:r>
            <w:r>
              <w:rPr>
                <w:rFonts w:ascii="宋体" w:hAnsi="宋体"/>
                <w:sz w:val="18"/>
                <w:szCs w:val="20"/>
              </w:rPr>
              <w:t>3</w:t>
            </w:r>
            <w:r>
              <w:rPr>
                <w:rFonts w:hint="eastAsia" w:ascii="宋体" w:hAnsi="宋体"/>
                <w:sz w:val="18"/>
                <w:szCs w:val="20"/>
              </w:rPr>
              <w:t>分；满分为</w:t>
            </w:r>
            <w:r>
              <w:rPr>
                <w:rFonts w:ascii="宋体" w:hAnsi="宋体"/>
                <w:sz w:val="18"/>
                <w:szCs w:val="20"/>
              </w:rPr>
              <w:t>18</w:t>
            </w:r>
            <w:r>
              <w:rPr>
                <w:rFonts w:hint="eastAsia" w:ascii="宋体" w:hAnsi="宋体"/>
                <w:sz w:val="18"/>
                <w:szCs w:val="20"/>
              </w:rPr>
              <w:t>分。</w:t>
            </w:r>
          </w:p>
        </w:tc>
        <w:tc>
          <w:tcPr>
            <w:tcW w:w="603" w:type="pct"/>
            <w:vAlign w:val="center"/>
          </w:tcPr>
          <w:p>
            <w:pPr>
              <w:spacing w:line="240" w:lineRule="auto"/>
              <w:rPr>
                <w:rFonts w:ascii="宋体" w:hAnsi="宋体"/>
                <w:sz w:val="18"/>
                <w:szCs w:val="20"/>
              </w:rPr>
            </w:pPr>
            <w:r>
              <w:rPr>
                <w:rFonts w:ascii="宋体" w:hAnsi="宋体"/>
                <w:sz w:val="18"/>
                <w:szCs w:val="20"/>
              </w:rPr>
              <w:t>1</w:t>
            </w:r>
            <w:r>
              <w:rPr>
                <w:rFonts w:hint="eastAsia" w:ascii="宋体" w:hAnsi="宋体"/>
                <w:sz w:val="18"/>
                <w:szCs w:val="20"/>
              </w:rPr>
              <w:t>．智能施工实施方案；</w:t>
            </w:r>
          </w:p>
          <w:p>
            <w:pPr>
              <w:spacing w:line="240" w:lineRule="auto"/>
              <w:rPr>
                <w:rFonts w:ascii="宋体" w:hAnsi="宋体"/>
                <w:sz w:val="18"/>
                <w:szCs w:val="20"/>
              </w:rPr>
            </w:pPr>
            <w:r>
              <w:rPr>
                <w:rFonts w:ascii="宋体" w:hAnsi="宋体"/>
                <w:sz w:val="18"/>
                <w:szCs w:val="20"/>
              </w:rPr>
              <w:t>2</w:t>
            </w:r>
            <w:r>
              <w:rPr>
                <w:rFonts w:hint="eastAsia" w:ascii="宋体" w:hAnsi="宋体"/>
                <w:sz w:val="18"/>
                <w:szCs w:val="20"/>
              </w:rPr>
              <w:t>．建筑机器人及智能装备技术使用清单。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14" w:type="pct"/>
            <w:vMerge w:val="continue"/>
            <w:vAlign w:val="center"/>
          </w:tcPr>
          <w:p>
            <w:pPr>
              <w:spacing w:line="240" w:lineRule="auto"/>
              <w:jc w:val="center"/>
              <w:rPr>
                <w:rFonts w:ascii="宋体" w:hAnsi="宋体"/>
                <w:sz w:val="18"/>
                <w:szCs w:val="20"/>
              </w:rPr>
            </w:pPr>
          </w:p>
        </w:tc>
        <w:tc>
          <w:tcPr>
            <w:tcW w:w="318" w:type="pct"/>
            <w:vMerge w:val="continue"/>
            <w:vAlign w:val="center"/>
          </w:tcPr>
          <w:p>
            <w:pPr>
              <w:spacing w:line="240" w:lineRule="auto"/>
              <w:jc w:val="center"/>
              <w:rPr>
                <w:rFonts w:ascii="宋体" w:hAnsi="宋体"/>
                <w:sz w:val="18"/>
                <w:szCs w:val="20"/>
              </w:rPr>
            </w:pPr>
          </w:p>
        </w:tc>
        <w:tc>
          <w:tcPr>
            <w:tcW w:w="531" w:type="pct"/>
            <w:vAlign w:val="center"/>
          </w:tcPr>
          <w:p>
            <w:pPr>
              <w:spacing w:line="240" w:lineRule="auto"/>
              <w:jc w:val="center"/>
              <w:rPr>
                <w:rFonts w:ascii="宋体" w:hAnsi="宋体"/>
                <w:sz w:val="18"/>
                <w:szCs w:val="20"/>
              </w:rPr>
            </w:pPr>
            <w:r>
              <w:rPr>
                <w:rFonts w:hint="eastAsia" w:ascii="宋体" w:hAnsi="宋体"/>
                <w:sz w:val="18"/>
                <w:szCs w:val="20"/>
              </w:rPr>
              <w:t>智慧运维</w:t>
            </w:r>
          </w:p>
          <w:p>
            <w:pPr>
              <w:spacing w:line="240" w:lineRule="auto"/>
              <w:jc w:val="center"/>
              <w:rPr>
                <w:rFonts w:ascii="宋体" w:hAnsi="宋体"/>
                <w:sz w:val="18"/>
                <w:szCs w:val="20"/>
              </w:rPr>
            </w:pPr>
            <w:r>
              <w:rPr>
                <w:rFonts w:hint="eastAsia" w:ascii="宋体" w:hAnsi="宋体"/>
                <w:sz w:val="18"/>
                <w:szCs w:val="20"/>
              </w:rPr>
              <w:t>（</w:t>
            </w:r>
            <w:r>
              <w:rPr>
                <w:rFonts w:ascii="宋体" w:hAnsi="宋体"/>
                <w:sz w:val="18"/>
                <w:szCs w:val="20"/>
              </w:rPr>
              <w:t>6</w:t>
            </w:r>
            <w:r>
              <w:rPr>
                <w:rFonts w:hint="eastAsia" w:ascii="宋体" w:hAnsi="宋体"/>
                <w:sz w:val="18"/>
                <w:szCs w:val="20"/>
              </w:rPr>
              <w:t>分）</w:t>
            </w:r>
          </w:p>
        </w:tc>
        <w:tc>
          <w:tcPr>
            <w:tcW w:w="3034" w:type="pct"/>
            <w:vAlign w:val="center"/>
          </w:tcPr>
          <w:p>
            <w:pPr>
              <w:spacing w:line="240" w:lineRule="auto"/>
              <w:rPr>
                <w:rFonts w:ascii="宋体" w:hAnsi="宋体"/>
                <w:sz w:val="18"/>
                <w:szCs w:val="20"/>
              </w:rPr>
            </w:pPr>
            <w:r>
              <w:rPr>
                <w:rFonts w:hint="eastAsia" w:ascii="宋体" w:hAnsi="宋体"/>
                <w:sz w:val="18"/>
                <w:szCs w:val="20"/>
              </w:rPr>
              <w:t>明确智慧运维的专项方案：明确运维平台内容，包含数据资源、运维知识图谱、平台特点及智慧城市接口；明确运维管理内容，包含空间管理、维保管理、能耗管理、用户服务、建筑碳排放、智能巡检。</w:t>
            </w:r>
          </w:p>
          <w:p>
            <w:pPr>
              <w:spacing w:line="240" w:lineRule="auto"/>
              <w:rPr>
                <w:rFonts w:ascii="宋体" w:hAnsi="宋体"/>
                <w:sz w:val="18"/>
                <w:szCs w:val="20"/>
              </w:rPr>
            </w:pPr>
            <w:r>
              <w:rPr>
                <w:rFonts w:hint="eastAsia" w:ascii="宋体" w:hAnsi="宋体"/>
                <w:sz w:val="18"/>
                <w:szCs w:val="20"/>
              </w:rPr>
              <w:t>明确1项得</w:t>
            </w:r>
            <w:r>
              <w:rPr>
                <w:rFonts w:ascii="宋体" w:hAnsi="宋体"/>
                <w:sz w:val="18"/>
                <w:szCs w:val="20"/>
              </w:rPr>
              <w:t>3</w:t>
            </w:r>
            <w:r>
              <w:rPr>
                <w:rFonts w:hint="eastAsia" w:ascii="宋体" w:hAnsi="宋体"/>
                <w:sz w:val="18"/>
                <w:szCs w:val="20"/>
              </w:rPr>
              <w:t>分；满分为</w:t>
            </w:r>
            <w:r>
              <w:rPr>
                <w:rFonts w:ascii="宋体" w:hAnsi="宋体"/>
                <w:sz w:val="18"/>
                <w:szCs w:val="20"/>
              </w:rPr>
              <w:t>6</w:t>
            </w:r>
            <w:r>
              <w:rPr>
                <w:rFonts w:hint="eastAsia" w:ascii="宋体" w:hAnsi="宋体"/>
                <w:sz w:val="18"/>
                <w:szCs w:val="20"/>
              </w:rPr>
              <w:t>分。</w:t>
            </w:r>
          </w:p>
        </w:tc>
        <w:tc>
          <w:tcPr>
            <w:tcW w:w="603" w:type="pct"/>
            <w:vAlign w:val="center"/>
          </w:tcPr>
          <w:p>
            <w:pPr>
              <w:snapToGrid w:val="0"/>
              <w:spacing w:line="240" w:lineRule="auto"/>
              <w:rPr>
                <w:rFonts w:ascii="宋体" w:hAnsi="宋体"/>
                <w:sz w:val="18"/>
                <w:szCs w:val="20"/>
              </w:rPr>
            </w:pPr>
            <w:r>
              <w:rPr>
                <w:rFonts w:ascii="宋体" w:hAnsi="宋体"/>
                <w:sz w:val="18"/>
                <w:szCs w:val="20"/>
              </w:rPr>
              <w:t>1</w:t>
            </w:r>
            <w:r>
              <w:rPr>
                <w:rFonts w:hint="eastAsia" w:ascii="宋体" w:hAnsi="宋体"/>
                <w:sz w:val="18"/>
                <w:szCs w:val="20"/>
              </w:rPr>
              <w:t>．智慧运维实施方案；</w:t>
            </w:r>
          </w:p>
          <w:p>
            <w:pPr>
              <w:snapToGrid w:val="0"/>
              <w:spacing w:line="240" w:lineRule="auto"/>
              <w:rPr>
                <w:rFonts w:ascii="宋体" w:hAnsi="宋体"/>
                <w:sz w:val="18"/>
                <w:szCs w:val="20"/>
              </w:rPr>
            </w:pPr>
            <w:r>
              <w:rPr>
                <w:rFonts w:ascii="宋体" w:hAnsi="宋体"/>
                <w:sz w:val="18"/>
                <w:szCs w:val="20"/>
              </w:rPr>
              <w:t>2</w:t>
            </w:r>
            <w:r>
              <w:rPr>
                <w:rFonts w:hint="eastAsia" w:ascii="宋体" w:hAnsi="宋体"/>
                <w:sz w:val="18"/>
                <w:szCs w:val="20"/>
              </w:rPr>
              <w:t>．智慧运维平台技术清单。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pct"/>
            <w:vMerge w:val="continue"/>
            <w:vAlign w:val="center"/>
          </w:tcPr>
          <w:p>
            <w:pPr>
              <w:spacing w:line="240" w:lineRule="auto"/>
              <w:jc w:val="center"/>
              <w:rPr>
                <w:rFonts w:ascii="宋体" w:hAnsi="宋体"/>
                <w:sz w:val="18"/>
                <w:szCs w:val="20"/>
              </w:rPr>
            </w:pPr>
          </w:p>
        </w:tc>
        <w:tc>
          <w:tcPr>
            <w:tcW w:w="318" w:type="pct"/>
            <w:vMerge w:val="continue"/>
            <w:vAlign w:val="center"/>
          </w:tcPr>
          <w:p>
            <w:pPr>
              <w:spacing w:line="240" w:lineRule="auto"/>
              <w:jc w:val="center"/>
              <w:rPr>
                <w:rFonts w:ascii="宋体" w:hAnsi="宋体"/>
                <w:sz w:val="18"/>
                <w:szCs w:val="20"/>
              </w:rPr>
            </w:pPr>
          </w:p>
        </w:tc>
        <w:tc>
          <w:tcPr>
            <w:tcW w:w="531" w:type="pct"/>
            <w:vAlign w:val="center"/>
          </w:tcPr>
          <w:p>
            <w:pPr>
              <w:spacing w:line="240" w:lineRule="auto"/>
              <w:jc w:val="center"/>
              <w:rPr>
                <w:rFonts w:ascii="宋体" w:hAnsi="宋体"/>
                <w:sz w:val="18"/>
                <w:szCs w:val="20"/>
              </w:rPr>
            </w:pPr>
            <w:r>
              <w:rPr>
                <w:rFonts w:hint="eastAsia" w:ascii="宋体" w:hAnsi="宋体"/>
                <w:sz w:val="18"/>
                <w:szCs w:val="20"/>
              </w:rPr>
              <w:t>全过程数据协同</w:t>
            </w:r>
          </w:p>
          <w:p>
            <w:pPr>
              <w:spacing w:line="240" w:lineRule="auto"/>
              <w:jc w:val="center"/>
              <w:rPr>
                <w:rFonts w:ascii="宋体" w:hAnsi="宋体"/>
                <w:sz w:val="18"/>
                <w:szCs w:val="20"/>
              </w:rPr>
            </w:pPr>
            <w:r>
              <w:rPr>
                <w:rFonts w:hint="eastAsia" w:ascii="宋体" w:hAnsi="宋体"/>
                <w:sz w:val="18"/>
                <w:szCs w:val="20"/>
              </w:rPr>
              <w:t>（</w:t>
            </w:r>
            <w:r>
              <w:rPr>
                <w:rFonts w:ascii="宋体" w:hAnsi="宋体"/>
                <w:sz w:val="18"/>
                <w:szCs w:val="20"/>
              </w:rPr>
              <w:t>6</w:t>
            </w:r>
            <w:r>
              <w:rPr>
                <w:rFonts w:hint="eastAsia" w:ascii="宋体" w:hAnsi="宋体"/>
                <w:sz w:val="18"/>
                <w:szCs w:val="20"/>
              </w:rPr>
              <w:t>分）</w:t>
            </w:r>
          </w:p>
        </w:tc>
        <w:tc>
          <w:tcPr>
            <w:tcW w:w="3034" w:type="pct"/>
            <w:vAlign w:val="center"/>
          </w:tcPr>
          <w:p>
            <w:pPr>
              <w:spacing w:line="240" w:lineRule="auto"/>
              <w:rPr>
                <w:rFonts w:ascii="宋体" w:hAnsi="宋体"/>
                <w:sz w:val="18"/>
                <w:szCs w:val="20"/>
              </w:rPr>
            </w:pPr>
            <w:r>
              <w:rPr>
                <w:rFonts w:hint="eastAsia" w:ascii="宋体" w:hAnsi="宋体"/>
                <w:sz w:val="18"/>
                <w:szCs w:val="20"/>
              </w:rPr>
              <w:t>明确全过程协同管理的专项方案：明确信息安全要求；明确全过程协同管理的内容，包含设计统筹管理、生产协同管理、施工协同管理、运维协同管理、一体化管理；明确建筑产业互联网平台的要求，包含数据互通、闭环应用、统一标准。</w:t>
            </w:r>
          </w:p>
          <w:p>
            <w:pPr>
              <w:spacing w:line="240" w:lineRule="auto"/>
              <w:rPr>
                <w:rFonts w:ascii="宋体" w:hAnsi="宋体"/>
                <w:sz w:val="18"/>
                <w:szCs w:val="20"/>
              </w:rPr>
            </w:pPr>
            <w:r>
              <w:rPr>
                <w:rFonts w:hint="eastAsia" w:ascii="宋体" w:hAnsi="宋体"/>
                <w:sz w:val="18"/>
                <w:szCs w:val="20"/>
              </w:rPr>
              <w:t>每明确1项得</w:t>
            </w:r>
            <w:r>
              <w:rPr>
                <w:rFonts w:ascii="宋体" w:hAnsi="宋体"/>
                <w:sz w:val="18"/>
                <w:szCs w:val="20"/>
              </w:rPr>
              <w:t>2</w:t>
            </w:r>
            <w:r>
              <w:rPr>
                <w:rFonts w:hint="eastAsia" w:ascii="宋体" w:hAnsi="宋体"/>
                <w:sz w:val="18"/>
                <w:szCs w:val="20"/>
              </w:rPr>
              <w:t>分；满分为</w:t>
            </w:r>
            <w:r>
              <w:rPr>
                <w:rFonts w:ascii="宋体" w:hAnsi="宋体"/>
                <w:sz w:val="18"/>
                <w:szCs w:val="20"/>
              </w:rPr>
              <w:t>6</w:t>
            </w:r>
            <w:r>
              <w:rPr>
                <w:rFonts w:hint="eastAsia" w:ascii="宋体" w:hAnsi="宋体"/>
                <w:sz w:val="18"/>
                <w:szCs w:val="20"/>
              </w:rPr>
              <w:t>分。</w:t>
            </w:r>
          </w:p>
        </w:tc>
        <w:tc>
          <w:tcPr>
            <w:tcW w:w="603" w:type="pct"/>
            <w:vAlign w:val="center"/>
          </w:tcPr>
          <w:p>
            <w:pPr>
              <w:snapToGrid w:val="0"/>
              <w:spacing w:line="240" w:lineRule="auto"/>
              <w:rPr>
                <w:rFonts w:ascii="宋体" w:hAnsi="宋体"/>
                <w:sz w:val="18"/>
                <w:szCs w:val="20"/>
              </w:rPr>
            </w:pPr>
            <w:r>
              <w:rPr>
                <w:rFonts w:ascii="宋体" w:hAnsi="宋体"/>
                <w:sz w:val="18"/>
                <w:szCs w:val="20"/>
              </w:rPr>
              <w:t>1</w:t>
            </w:r>
            <w:r>
              <w:rPr>
                <w:rFonts w:hint="eastAsia" w:ascii="宋体" w:hAnsi="宋体"/>
                <w:sz w:val="18"/>
                <w:szCs w:val="20"/>
              </w:rPr>
              <w:t>．全过程数据协同实施方案；</w:t>
            </w:r>
          </w:p>
          <w:p>
            <w:pPr>
              <w:snapToGrid w:val="0"/>
              <w:spacing w:line="240" w:lineRule="auto"/>
              <w:rPr>
                <w:rFonts w:ascii="宋体" w:hAnsi="宋体"/>
                <w:sz w:val="18"/>
                <w:szCs w:val="20"/>
              </w:rPr>
            </w:pPr>
            <w:r>
              <w:rPr>
                <w:rFonts w:ascii="宋体" w:hAnsi="宋体"/>
                <w:sz w:val="18"/>
                <w:szCs w:val="20"/>
              </w:rPr>
              <w:t>2</w:t>
            </w:r>
            <w:r>
              <w:rPr>
                <w:rFonts w:hint="eastAsia" w:ascii="宋体" w:hAnsi="宋体"/>
                <w:sz w:val="18"/>
                <w:szCs w:val="20"/>
              </w:rPr>
              <w:t>．建筑产业互联网平台建设方案。</w:t>
            </w:r>
          </w:p>
        </w:tc>
      </w:tr>
      <w:bookmarkEnd w:id="76"/>
      <w:bookmarkEnd w:id="77"/>
      <w:bookmarkEnd w:id="78"/>
      <w:bookmarkEnd w:id="79"/>
    </w:tbl>
    <w:p>
      <w:pPr>
        <w:pStyle w:val="114"/>
        <w:spacing w:before="312" w:after="312"/>
      </w:pPr>
      <w:bookmarkStart w:id="80" w:name="_Toc148431726"/>
      <w:r>
        <w:rPr>
          <w:rFonts w:hint="eastAsia"/>
        </w:rPr>
        <w:t>建造过程评价</w:t>
      </w:r>
      <w:bookmarkEnd w:id="80"/>
    </w:p>
    <w:p>
      <w:pPr>
        <w:pStyle w:val="115"/>
        <w:spacing w:before="156" w:after="156"/>
        <w:ind w:left="0"/>
      </w:pPr>
      <w:r>
        <w:rPr>
          <w:rFonts w:hint="eastAsia"/>
        </w:rPr>
        <w:t>基础项</w:t>
      </w:r>
    </w:p>
    <w:p>
      <w:pPr>
        <w:pStyle w:val="175"/>
      </w:pPr>
      <w:r>
        <w:rPr>
          <w:rFonts w:hint="eastAsia" w:hAnsi="宋体"/>
          <w:szCs w:val="21"/>
        </w:rPr>
        <w:t>参评项目应取得土地权属证明、工程规划证明、施工图图审合格证明和施工许可证明文件。</w:t>
      </w:r>
    </w:p>
    <w:p>
      <w:pPr>
        <w:pStyle w:val="175"/>
      </w:pPr>
      <w:r>
        <w:rPr>
          <w:rFonts w:hint="eastAsia" w:hAnsi="宋体"/>
          <w:szCs w:val="21"/>
        </w:rPr>
        <w:t>参评项目为装配式建筑时，应满足省、市、自治区对装配式建筑装配率的要求</w:t>
      </w:r>
      <w:r>
        <w:rPr>
          <w:rFonts w:hint="eastAsia"/>
        </w:rPr>
        <w:t>。</w:t>
      </w:r>
    </w:p>
    <w:p>
      <w:pPr>
        <w:pStyle w:val="175"/>
      </w:pPr>
      <w:r>
        <w:rPr>
          <w:rFonts w:hint="eastAsia" w:hAnsi="宋体"/>
          <w:szCs w:val="21"/>
        </w:rPr>
        <w:t>参评项目的部品部件生产企业应具有完整、先进的生产工艺、生产技术和机械设备。</w:t>
      </w:r>
    </w:p>
    <w:p>
      <w:pPr>
        <w:pStyle w:val="175"/>
      </w:pPr>
      <w:r>
        <w:rPr>
          <w:rFonts w:hint="eastAsia" w:hAnsi="宋体"/>
          <w:szCs w:val="21"/>
        </w:rPr>
        <w:t>参评项目应按智能建造方式编制施工组织设计，并应满足设计、生产、施工、运维等环节的协调配合与组织管理要求。</w:t>
      </w:r>
    </w:p>
    <w:p>
      <w:pPr>
        <w:pStyle w:val="175"/>
      </w:pPr>
      <w:r>
        <w:rPr>
          <w:rFonts w:hint="eastAsia" w:hAnsi="宋体"/>
          <w:szCs w:val="21"/>
        </w:rPr>
        <w:t>参评项目应从设计阶段开始建立B</w:t>
      </w:r>
      <w:r>
        <w:rPr>
          <w:rFonts w:hAnsi="宋体"/>
          <w:szCs w:val="21"/>
        </w:rPr>
        <w:t>IM</w:t>
      </w:r>
      <w:r>
        <w:rPr>
          <w:rFonts w:hint="eastAsia" w:hAnsi="宋体"/>
          <w:szCs w:val="21"/>
        </w:rPr>
        <w:t>模型，并随项目在设计、生产、施工、运维等环节实施信息共享、有效传递和协同工作。</w:t>
      </w:r>
    </w:p>
    <w:p>
      <w:pPr>
        <w:pStyle w:val="175"/>
      </w:pPr>
      <w:r>
        <w:rPr>
          <w:rFonts w:hint="eastAsia" w:hAnsi="宋体"/>
          <w:szCs w:val="21"/>
        </w:rPr>
        <w:t>参评项目应采用建筑机器人及智能装备。</w:t>
      </w:r>
    </w:p>
    <w:p>
      <w:pPr>
        <w:pStyle w:val="115"/>
        <w:spacing w:before="156" w:after="156"/>
        <w:ind w:left="0"/>
      </w:pPr>
      <w:r>
        <w:rPr>
          <w:rFonts w:hint="eastAsia"/>
        </w:rPr>
        <w:t>评分项</w:t>
      </w:r>
    </w:p>
    <w:p>
      <w:pPr>
        <w:pStyle w:val="175"/>
      </w:pPr>
      <w:r>
        <w:rPr>
          <w:rFonts w:hint="eastAsia" w:hAnsi="宋体"/>
          <w:szCs w:val="21"/>
        </w:rPr>
        <w:t>数字设计部分共分为标准化与集成化设计、“BIM</w:t>
      </w:r>
      <w:r>
        <w:rPr>
          <w:rFonts w:hAnsi="宋体"/>
          <w:szCs w:val="21"/>
        </w:rPr>
        <w:t>+</w:t>
      </w:r>
      <w:r>
        <w:rPr>
          <w:rFonts w:hint="eastAsia" w:hAnsi="宋体"/>
          <w:szCs w:val="21"/>
        </w:rPr>
        <w:t>”数字一体化设计、数据管理和数字化交付4类评价指标，评分规则应符合表</w:t>
      </w:r>
      <w:r>
        <w:rPr>
          <w:rFonts w:hAnsi="宋体"/>
          <w:szCs w:val="21"/>
        </w:rPr>
        <w:t>3</w:t>
      </w:r>
      <w:r>
        <w:rPr>
          <w:rFonts w:hint="eastAsia" w:hAnsi="宋体"/>
          <w:szCs w:val="21"/>
        </w:rPr>
        <w:t>的规定，本项评价的最高分值为</w:t>
      </w:r>
      <w:r>
        <w:rPr>
          <w:rFonts w:hAnsi="宋体"/>
          <w:szCs w:val="21"/>
        </w:rPr>
        <w:t>20</w:t>
      </w:r>
      <w:r>
        <w:rPr>
          <w:rFonts w:hint="eastAsia" w:hAnsi="宋体"/>
          <w:szCs w:val="21"/>
        </w:rPr>
        <w:t>分</w:t>
      </w:r>
      <w:r>
        <w:rPr>
          <w:rFonts w:hint="eastAsia"/>
        </w:rPr>
        <w:t>。</w:t>
      </w:r>
    </w:p>
    <w:p>
      <w:pPr>
        <w:pStyle w:val="175"/>
        <w:numPr>
          <w:ilvl w:val="0"/>
          <w:numId w:val="0"/>
        </w:numPr>
      </w:pPr>
    </w:p>
    <w:p>
      <w:pPr>
        <w:pStyle w:val="175"/>
        <w:numPr>
          <w:ilvl w:val="0"/>
          <w:numId w:val="0"/>
        </w:numPr>
      </w:pPr>
    </w:p>
    <w:p>
      <w:pPr>
        <w:pStyle w:val="175"/>
        <w:numPr>
          <w:ilvl w:val="0"/>
          <w:numId w:val="0"/>
        </w:numPr>
        <w:rPr>
          <w:rFonts w:hint="eastAsia"/>
        </w:rPr>
      </w:pPr>
    </w:p>
    <w:p>
      <w:pPr>
        <w:pStyle w:val="122"/>
        <w:spacing w:before="156" w:after="156"/>
        <w:ind w:left="0"/>
      </w:pPr>
      <w:r>
        <w:rPr>
          <w:rFonts w:hint="eastAsia"/>
        </w:rPr>
        <w:t>数字设计评分规则</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016"/>
        <w:gridCol w:w="1161"/>
        <w:gridCol w:w="5372"/>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988" w:type="dxa"/>
            <w:vAlign w:val="center"/>
          </w:tcPr>
          <w:p>
            <w:pPr>
              <w:spacing w:line="240" w:lineRule="auto"/>
              <w:jc w:val="center"/>
              <w:rPr>
                <w:rFonts w:ascii="宋体" w:hAnsi="宋体"/>
                <w:sz w:val="18"/>
                <w:szCs w:val="18"/>
              </w:rPr>
            </w:pPr>
            <w:r>
              <w:rPr>
                <w:rFonts w:hint="eastAsia" w:ascii="宋体" w:hAnsi="宋体"/>
                <w:sz w:val="18"/>
                <w:szCs w:val="18"/>
              </w:rPr>
              <w:t>评价指标</w:t>
            </w:r>
          </w:p>
        </w:tc>
        <w:tc>
          <w:tcPr>
            <w:tcW w:w="992" w:type="dxa"/>
            <w:vAlign w:val="center"/>
          </w:tcPr>
          <w:p>
            <w:pPr>
              <w:spacing w:line="240" w:lineRule="auto"/>
              <w:jc w:val="center"/>
              <w:rPr>
                <w:rFonts w:ascii="宋体" w:hAnsi="宋体"/>
                <w:sz w:val="18"/>
                <w:szCs w:val="18"/>
              </w:rPr>
            </w:pPr>
            <w:r>
              <w:rPr>
                <w:rFonts w:hint="eastAsia" w:ascii="宋体" w:hAnsi="宋体"/>
                <w:sz w:val="18"/>
                <w:szCs w:val="18"/>
              </w:rPr>
              <w:t>评价模块</w:t>
            </w:r>
          </w:p>
        </w:tc>
        <w:tc>
          <w:tcPr>
            <w:tcW w:w="6379" w:type="dxa"/>
            <w:gridSpan w:val="2"/>
            <w:vAlign w:val="center"/>
          </w:tcPr>
          <w:p>
            <w:pPr>
              <w:spacing w:line="240" w:lineRule="auto"/>
              <w:jc w:val="center"/>
              <w:rPr>
                <w:rFonts w:ascii="宋体" w:hAnsi="宋体"/>
                <w:sz w:val="18"/>
                <w:szCs w:val="18"/>
              </w:rPr>
            </w:pPr>
            <w:r>
              <w:rPr>
                <w:rFonts w:hint="eastAsia" w:ascii="宋体" w:hAnsi="宋体"/>
                <w:sz w:val="18"/>
                <w:szCs w:val="18"/>
              </w:rPr>
              <w:t>评分标准</w:t>
            </w:r>
          </w:p>
        </w:tc>
        <w:tc>
          <w:tcPr>
            <w:tcW w:w="985" w:type="dxa"/>
            <w:vAlign w:val="center"/>
          </w:tcPr>
          <w:p>
            <w:pPr>
              <w:spacing w:line="240" w:lineRule="auto"/>
              <w:jc w:val="center"/>
              <w:rPr>
                <w:rFonts w:ascii="宋体" w:hAnsi="宋体"/>
                <w:sz w:val="18"/>
                <w:szCs w:val="18"/>
              </w:rPr>
            </w:pPr>
            <w:r>
              <w:rPr>
                <w:rFonts w:hint="eastAsia" w:ascii="宋体" w:hAnsi="宋体"/>
                <w:sz w:val="18"/>
                <w:szCs w:val="18"/>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88" w:type="dxa"/>
            <w:vMerge w:val="restart"/>
            <w:vAlign w:val="center"/>
          </w:tcPr>
          <w:p>
            <w:pPr>
              <w:spacing w:line="240" w:lineRule="auto"/>
              <w:jc w:val="center"/>
              <w:rPr>
                <w:rFonts w:ascii="宋体" w:hAnsi="宋体"/>
                <w:sz w:val="18"/>
                <w:szCs w:val="18"/>
              </w:rPr>
            </w:pPr>
            <w:r>
              <w:rPr>
                <w:rFonts w:hint="eastAsia" w:ascii="宋体" w:hAnsi="宋体"/>
                <w:sz w:val="18"/>
                <w:szCs w:val="18"/>
              </w:rPr>
              <w:t>标准化与集成化设计</w:t>
            </w:r>
          </w:p>
        </w:tc>
        <w:tc>
          <w:tcPr>
            <w:tcW w:w="992" w:type="dxa"/>
            <w:vMerge w:val="restart"/>
            <w:vAlign w:val="center"/>
          </w:tcPr>
          <w:p>
            <w:pPr>
              <w:spacing w:line="240" w:lineRule="auto"/>
              <w:jc w:val="center"/>
              <w:rPr>
                <w:rFonts w:ascii="宋体" w:hAnsi="宋体"/>
                <w:sz w:val="18"/>
                <w:szCs w:val="18"/>
              </w:rPr>
            </w:pPr>
            <w:r>
              <w:rPr>
                <w:rFonts w:hint="eastAsia" w:ascii="宋体" w:hAnsi="宋体"/>
                <w:sz w:val="18"/>
                <w:szCs w:val="18"/>
              </w:rPr>
              <w:t>建筑设计标准化</w:t>
            </w:r>
          </w:p>
          <w:p>
            <w:pPr>
              <w:spacing w:line="240" w:lineRule="auto"/>
              <w:jc w:val="center"/>
              <w:rPr>
                <w:rFonts w:ascii="宋体" w:hAnsi="宋体"/>
                <w:sz w:val="18"/>
                <w:szCs w:val="18"/>
              </w:rPr>
            </w:pPr>
            <w:r>
              <w:rPr>
                <w:rFonts w:hint="eastAsia" w:ascii="宋体" w:hAnsi="宋体"/>
                <w:sz w:val="18"/>
                <w:szCs w:val="20"/>
              </w:rPr>
              <w:t>(</w:t>
            </w:r>
            <w:r>
              <w:rPr>
                <w:rFonts w:ascii="宋体" w:hAnsi="宋体"/>
                <w:sz w:val="18"/>
                <w:szCs w:val="20"/>
              </w:rPr>
              <w:t>1.5</w:t>
            </w:r>
            <w:r>
              <w:rPr>
                <w:rFonts w:hint="eastAsia" w:ascii="宋体" w:hAnsi="宋体"/>
                <w:sz w:val="18"/>
                <w:szCs w:val="20"/>
              </w:rPr>
              <w:t>分</w:t>
            </w:r>
            <w:r>
              <w:rPr>
                <w:rFonts w:ascii="宋体" w:hAnsi="宋体"/>
                <w:sz w:val="18"/>
                <w:szCs w:val="20"/>
              </w:rPr>
              <w:t>)</w:t>
            </w:r>
          </w:p>
        </w:tc>
        <w:tc>
          <w:tcPr>
            <w:tcW w:w="1134" w:type="dxa"/>
            <w:vAlign w:val="center"/>
          </w:tcPr>
          <w:p>
            <w:pPr>
              <w:spacing w:line="240" w:lineRule="auto"/>
              <w:rPr>
                <w:rFonts w:ascii="宋体" w:hAnsi="宋体"/>
                <w:sz w:val="18"/>
                <w:szCs w:val="20"/>
              </w:rPr>
            </w:pPr>
            <w:r>
              <w:rPr>
                <w:rFonts w:hint="eastAsia" w:ascii="宋体" w:hAnsi="宋体"/>
                <w:sz w:val="18"/>
                <w:szCs w:val="18"/>
              </w:rPr>
              <w:t>模数协调</w:t>
            </w:r>
          </w:p>
        </w:tc>
        <w:tc>
          <w:tcPr>
            <w:tcW w:w="5245" w:type="dxa"/>
            <w:vAlign w:val="center"/>
          </w:tcPr>
          <w:p>
            <w:pPr>
              <w:spacing w:line="240" w:lineRule="auto"/>
              <w:rPr>
                <w:rFonts w:ascii="宋体" w:hAnsi="宋体"/>
                <w:sz w:val="18"/>
                <w:szCs w:val="20"/>
              </w:rPr>
            </w:pPr>
            <w:r>
              <w:rPr>
                <w:rFonts w:hint="eastAsia" w:ascii="宋体" w:hAnsi="宋体"/>
                <w:sz w:val="18"/>
                <w:szCs w:val="18"/>
              </w:rPr>
              <w:t>符合《建筑模数协调标准》GB/T</w:t>
            </w:r>
            <w:r>
              <w:rPr>
                <w:rFonts w:ascii="宋体" w:hAnsi="宋体"/>
                <w:sz w:val="18"/>
                <w:szCs w:val="18"/>
              </w:rPr>
              <w:t xml:space="preserve"> </w:t>
            </w:r>
            <w:r>
              <w:rPr>
                <w:rFonts w:hint="eastAsia" w:ascii="宋体" w:hAnsi="宋体"/>
                <w:sz w:val="18"/>
                <w:szCs w:val="18"/>
              </w:rPr>
              <w:t>50002</w:t>
            </w:r>
            <w:r>
              <w:rPr>
                <w:rFonts w:ascii="宋体" w:hAnsi="宋体"/>
                <w:sz w:val="18"/>
                <w:szCs w:val="18"/>
              </w:rPr>
              <w:t>及各地方模数协调标准</w:t>
            </w:r>
            <w:r>
              <w:rPr>
                <w:rFonts w:hint="eastAsia" w:ascii="宋体" w:hAnsi="宋体"/>
                <w:sz w:val="18"/>
                <w:szCs w:val="18"/>
              </w:rPr>
              <w:t>的相关规定，主体结构、竖向高度及分部件网格采用基本模数和扩大模数数列、分模数数列，得0</w:t>
            </w:r>
            <w:r>
              <w:rPr>
                <w:rFonts w:ascii="宋体" w:hAnsi="宋体"/>
                <w:sz w:val="18"/>
                <w:szCs w:val="18"/>
              </w:rPr>
              <w:t>.5</w:t>
            </w:r>
            <w:r>
              <w:rPr>
                <w:rFonts w:hint="eastAsia" w:ascii="宋体" w:hAnsi="宋体"/>
                <w:sz w:val="18"/>
                <w:szCs w:val="18"/>
              </w:rPr>
              <w:t>分。</w:t>
            </w:r>
          </w:p>
        </w:tc>
        <w:tc>
          <w:tcPr>
            <w:tcW w:w="985" w:type="dxa"/>
            <w:vMerge w:val="restart"/>
            <w:vAlign w:val="center"/>
          </w:tcPr>
          <w:p>
            <w:pPr>
              <w:spacing w:line="240" w:lineRule="auto"/>
              <w:rPr>
                <w:rFonts w:ascii="宋体" w:hAnsi="宋体"/>
                <w:sz w:val="18"/>
                <w:szCs w:val="18"/>
              </w:rPr>
            </w:pPr>
            <w:r>
              <w:rPr>
                <w:rFonts w:hint="eastAsia" w:ascii="宋体" w:hAnsi="宋体"/>
                <w:sz w:val="18"/>
                <w:szCs w:val="18"/>
              </w:rPr>
              <w:t>1．相关设计模型或图纸；</w:t>
            </w:r>
          </w:p>
          <w:p>
            <w:pPr>
              <w:spacing w:line="240" w:lineRule="auto"/>
              <w:rPr>
                <w:rFonts w:ascii="宋体" w:hAnsi="宋体"/>
                <w:sz w:val="18"/>
                <w:szCs w:val="18"/>
              </w:rPr>
            </w:pPr>
            <w:r>
              <w:rPr>
                <w:rFonts w:hint="eastAsia" w:ascii="宋体" w:hAnsi="宋体"/>
                <w:sz w:val="18"/>
                <w:szCs w:val="18"/>
              </w:rPr>
              <w:t>2．提供应用比例计算书。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1134" w:type="dxa"/>
            <w:vAlign w:val="center"/>
          </w:tcPr>
          <w:p>
            <w:pPr>
              <w:spacing w:line="240" w:lineRule="auto"/>
              <w:rPr>
                <w:rFonts w:ascii="宋体" w:hAnsi="宋体"/>
                <w:sz w:val="18"/>
                <w:szCs w:val="18"/>
              </w:rPr>
            </w:pPr>
            <w:r>
              <w:rPr>
                <w:rFonts w:hint="eastAsia" w:ascii="宋体" w:hAnsi="宋体"/>
                <w:sz w:val="18"/>
                <w:szCs w:val="18"/>
              </w:rPr>
              <w:t>平、立面布置标准化</w:t>
            </w:r>
          </w:p>
        </w:tc>
        <w:tc>
          <w:tcPr>
            <w:tcW w:w="5245" w:type="dxa"/>
            <w:vAlign w:val="center"/>
          </w:tcPr>
          <w:p>
            <w:pPr>
              <w:spacing w:line="240" w:lineRule="auto"/>
              <w:rPr>
                <w:rFonts w:ascii="宋体" w:hAnsi="宋体"/>
                <w:sz w:val="18"/>
                <w:szCs w:val="18"/>
              </w:rPr>
            </w:pPr>
            <w:r>
              <w:rPr>
                <w:rFonts w:hint="eastAsia" w:ascii="宋体" w:hAnsi="宋体"/>
                <w:sz w:val="18"/>
                <w:szCs w:val="18"/>
              </w:rPr>
              <w:t>重复使用量最多的三个基本单元（含其镜像单位）的总面积占所有评价单元总建筑面积的比例不低于</w:t>
            </w:r>
            <w:r>
              <w:rPr>
                <w:rFonts w:ascii="宋体" w:hAnsi="宋体"/>
                <w:sz w:val="18"/>
                <w:szCs w:val="18"/>
              </w:rPr>
              <w:t>5</w:t>
            </w:r>
            <w:r>
              <w:rPr>
                <w:rFonts w:hint="eastAsia" w:ascii="宋体" w:hAnsi="宋体"/>
                <w:sz w:val="18"/>
                <w:szCs w:val="18"/>
              </w:rPr>
              <w:t>0%，得0</w:t>
            </w:r>
            <w:r>
              <w:rPr>
                <w:rFonts w:ascii="宋体" w:hAnsi="宋体"/>
                <w:sz w:val="18"/>
                <w:szCs w:val="18"/>
              </w:rPr>
              <w:t>.5</w:t>
            </w:r>
            <w:r>
              <w:rPr>
                <w:rFonts w:hint="eastAsia" w:ascii="宋体" w:hAnsi="宋体"/>
                <w:sz w:val="18"/>
                <w:szCs w:val="18"/>
              </w:rPr>
              <w:t>分。</w:t>
            </w:r>
          </w:p>
        </w:tc>
        <w:tc>
          <w:tcPr>
            <w:tcW w:w="985" w:type="dxa"/>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1134" w:type="dxa"/>
            <w:vAlign w:val="center"/>
          </w:tcPr>
          <w:p>
            <w:pPr>
              <w:spacing w:line="240" w:lineRule="auto"/>
              <w:rPr>
                <w:rFonts w:ascii="宋体" w:hAnsi="宋体"/>
                <w:sz w:val="18"/>
                <w:szCs w:val="18"/>
              </w:rPr>
            </w:pPr>
            <w:r>
              <w:rPr>
                <w:rFonts w:hint="eastAsia" w:ascii="宋体" w:hAnsi="宋体"/>
                <w:sz w:val="18"/>
                <w:szCs w:val="18"/>
              </w:rPr>
              <w:t>部品部件标准化</w:t>
            </w:r>
          </w:p>
        </w:tc>
        <w:tc>
          <w:tcPr>
            <w:tcW w:w="5245" w:type="dxa"/>
            <w:vAlign w:val="center"/>
          </w:tcPr>
          <w:p>
            <w:pPr>
              <w:spacing w:line="240" w:lineRule="auto"/>
              <w:rPr>
                <w:rFonts w:ascii="宋体" w:hAnsi="宋体"/>
                <w:sz w:val="18"/>
                <w:szCs w:val="18"/>
              </w:rPr>
            </w:pPr>
            <w:r>
              <w:rPr>
                <w:rFonts w:hint="eastAsia" w:ascii="宋体" w:hAnsi="宋体"/>
                <w:sz w:val="18"/>
                <w:szCs w:val="18"/>
              </w:rPr>
              <w:t>项目中标准化预制部品、部件数量分别占预制部品、部件总数量的应用比例不低于</w:t>
            </w:r>
            <w:r>
              <w:rPr>
                <w:rFonts w:ascii="宋体" w:hAnsi="宋体"/>
                <w:sz w:val="18"/>
                <w:szCs w:val="18"/>
              </w:rPr>
              <w:t>5</w:t>
            </w:r>
            <w:r>
              <w:rPr>
                <w:rFonts w:hint="eastAsia" w:ascii="宋体" w:hAnsi="宋体"/>
                <w:sz w:val="18"/>
                <w:szCs w:val="18"/>
              </w:rPr>
              <w:t>0%，得0</w:t>
            </w:r>
            <w:r>
              <w:rPr>
                <w:rFonts w:ascii="宋体" w:hAnsi="宋体"/>
                <w:sz w:val="18"/>
                <w:szCs w:val="18"/>
              </w:rPr>
              <w:t>.5</w:t>
            </w:r>
            <w:r>
              <w:rPr>
                <w:rFonts w:hint="eastAsia" w:ascii="宋体" w:hAnsi="宋体"/>
                <w:sz w:val="18"/>
                <w:szCs w:val="18"/>
              </w:rPr>
              <w:t>分。</w:t>
            </w:r>
          </w:p>
          <w:p>
            <w:pPr>
              <w:spacing w:line="240" w:lineRule="auto"/>
              <w:rPr>
                <w:rFonts w:ascii="宋体" w:hAnsi="宋体"/>
                <w:sz w:val="18"/>
                <w:szCs w:val="18"/>
              </w:rPr>
            </w:pPr>
            <w:r>
              <w:rPr>
                <w:rFonts w:hint="eastAsia" w:ascii="宋体" w:hAnsi="宋体"/>
                <w:sz w:val="18"/>
                <w:szCs w:val="18"/>
              </w:rPr>
              <w:t>当参评项目为装配整体式剪力墙结构住宅时，应采用《湖北省装配式预制混凝土建筑标准化构件库》</w:t>
            </w:r>
            <w:r>
              <w:rPr>
                <w:rFonts w:hint="eastAsia" w:ascii="宋体" w:hAnsi="宋体"/>
                <w:sz w:val="18"/>
                <w:szCs w:val="20"/>
              </w:rPr>
              <w:t>，未采用不得分</w:t>
            </w:r>
            <w:r>
              <w:rPr>
                <w:rFonts w:hint="eastAsia" w:ascii="宋体" w:hAnsi="宋体"/>
                <w:sz w:val="18"/>
                <w:szCs w:val="18"/>
              </w:rPr>
              <w:t>。</w:t>
            </w:r>
          </w:p>
        </w:tc>
        <w:tc>
          <w:tcPr>
            <w:tcW w:w="985" w:type="dxa"/>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restart"/>
            <w:vAlign w:val="center"/>
          </w:tcPr>
          <w:p>
            <w:pPr>
              <w:spacing w:line="240" w:lineRule="auto"/>
              <w:jc w:val="center"/>
              <w:rPr>
                <w:rFonts w:ascii="宋体" w:hAnsi="宋体"/>
                <w:sz w:val="18"/>
                <w:szCs w:val="18"/>
              </w:rPr>
            </w:pPr>
            <w:r>
              <w:rPr>
                <w:rFonts w:hint="eastAsia" w:ascii="宋体" w:hAnsi="宋体"/>
                <w:sz w:val="18"/>
                <w:szCs w:val="18"/>
              </w:rPr>
              <w:t>建筑系统集成化</w:t>
            </w:r>
          </w:p>
          <w:p>
            <w:pPr>
              <w:spacing w:line="240" w:lineRule="auto"/>
              <w:jc w:val="center"/>
              <w:rPr>
                <w:rFonts w:ascii="宋体" w:hAnsi="宋体"/>
                <w:sz w:val="18"/>
                <w:szCs w:val="18"/>
              </w:rPr>
            </w:pPr>
            <w:r>
              <w:rPr>
                <w:rFonts w:hint="eastAsia" w:ascii="宋体" w:hAnsi="宋体"/>
                <w:sz w:val="18"/>
                <w:szCs w:val="20"/>
              </w:rPr>
              <w:t>(</w:t>
            </w:r>
            <w:r>
              <w:rPr>
                <w:rFonts w:ascii="宋体" w:hAnsi="宋体"/>
                <w:sz w:val="18"/>
                <w:szCs w:val="20"/>
              </w:rPr>
              <w:t>2.5</w:t>
            </w:r>
            <w:r>
              <w:rPr>
                <w:rFonts w:hint="eastAsia" w:ascii="宋体" w:hAnsi="宋体"/>
                <w:sz w:val="18"/>
                <w:szCs w:val="20"/>
              </w:rPr>
              <w:t>分</w:t>
            </w:r>
            <w:r>
              <w:rPr>
                <w:rFonts w:ascii="宋体" w:hAnsi="宋体"/>
                <w:sz w:val="18"/>
                <w:szCs w:val="20"/>
              </w:rPr>
              <w:t>)</w:t>
            </w:r>
          </w:p>
        </w:tc>
        <w:tc>
          <w:tcPr>
            <w:tcW w:w="1134" w:type="dxa"/>
            <w:vAlign w:val="center"/>
          </w:tcPr>
          <w:p>
            <w:pPr>
              <w:spacing w:line="240" w:lineRule="auto"/>
              <w:rPr>
                <w:rFonts w:ascii="宋体" w:hAnsi="宋体"/>
                <w:sz w:val="18"/>
                <w:szCs w:val="20"/>
              </w:rPr>
            </w:pPr>
            <w:r>
              <w:rPr>
                <w:rFonts w:hint="eastAsia" w:ascii="宋体" w:hAnsi="宋体"/>
                <w:sz w:val="18"/>
                <w:szCs w:val="20"/>
              </w:rPr>
              <w:t>主体结构系统集成化</w:t>
            </w:r>
          </w:p>
        </w:tc>
        <w:tc>
          <w:tcPr>
            <w:tcW w:w="5245" w:type="dxa"/>
            <w:vAlign w:val="center"/>
          </w:tcPr>
          <w:p>
            <w:pPr>
              <w:spacing w:line="240" w:lineRule="auto"/>
              <w:rPr>
                <w:rFonts w:ascii="宋体" w:hAnsi="宋体"/>
                <w:sz w:val="18"/>
                <w:szCs w:val="18"/>
              </w:rPr>
            </w:pPr>
            <w:r>
              <w:rPr>
                <w:rFonts w:hint="eastAsia" w:ascii="宋体" w:hAnsi="宋体"/>
                <w:sz w:val="18"/>
                <w:szCs w:val="20"/>
              </w:rPr>
              <w:t>设计阶段前置</w:t>
            </w:r>
            <w:r>
              <w:rPr>
                <w:rFonts w:hint="eastAsia" w:ascii="宋体" w:hAnsi="宋体"/>
                <w:sz w:val="18"/>
                <w:szCs w:val="18"/>
              </w:rPr>
              <w:t>完成各专业及二次深化（门窗、幕墙、栏杆、施工模板等）、施工措施等预留预埋，</w:t>
            </w:r>
            <w:r>
              <w:rPr>
                <w:rFonts w:hint="eastAsia" w:ascii="宋体" w:hAnsi="宋体"/>
                <w:sz w:val="18"/>
                <w:szCs w:val="20"/>
              </w:rPr>
              <w:t>得</w:t>
            </w:r>
            <w:r>
              <w:rPr>
                <w:rFonts w:ascii="宋体" w:hAnsi="宋体"/>
                <w:sz w:val="18"/>
                <w:szCs w:val="18"/>
              </w:rPr>
              <w:t>0.5</w:t>
            </w:r>
            <w:r>
              <w:rPr>
                <w:rFonts w:hint="eastAsia" w:ascii="宋体" w:hAnsi="宋体"/>
                <w:sz w:val="18"/>
                <w:szCs w:val="18"/>
              </w:rPr>
              <w:t>分。</w:t>
            </w:r>
          </w:p>
        </w:tc>
        <w:tc>
          <w:tcPr>
            <w:tcW w:w="985" w:type="dxa"/>
            <w:vMerge w:val="restart"/>
            <w:vAlign w:val="center"/>
          </w:tcPr>
          <w:p>
            <w:pPr>
              <w:snapToGrid w:val="0"/>
              <w:spacing w:line="240" w:lineRule="auto"/>
              <w:rPr>
                <w:rFonts w:ascii="宋体" w:hAnsi="宋体"/>
                <w:sz w:val="18"/>
                <w:szCs w:val="18"/>
              </w:rPr>
            </w:pPr>
            <w:r>
              <w:rPr>
                <w:rFonts w:hint="eastAsia" w:ascii="宋体" w:hAnsi="宋体"/>
                <w:sz w:val="18"/>
                <w:szCs w:val="18"/>
              </w:rPr>
              <w:t>1．相关设计模型或图纸；</w:t>
            </w:r>
          </w:p>
          <w:p>
            <w:pPr>
              <w:snapToGrid w:val="0"/>
              <w:spacing w:line="240" w:lineRule="auto"/>
              <w:rPr>
                <w:rFonts w:ascii="宋体" w:hAnsi="宋体"/>
                <w:sz w:val="18"/>
                <w:szCs w:val="18"/>
              </w:rPr>
            </w:pPr>
            <w:r>
              <w:rPr>
                <w:rFonts w:ascii="宋体" w:hAnsi="宋体"/>
                <w:sz w:val="18"/>
                <w:szCs w:val="18"/>
              </w:rPr>
              <w:t>2</w:t>
            </w:r>
            <w:r>
              <w:rPr>
                <w:rFonts w:hint="eastAsia" w:ascii="宋体" w:hAnsi="宋体"/>
                <w:sz w:val="18"/>
                <w:szCs w:val="18"/>
              </w:rPr>
              <w:t>．做法说明及节点详图；</w:t>
            </w:r>
          </w:p>
          <w:p>
            <w:pPr>
              <w:snapToGrid w:val="0"/>
              <w:spacing w:line="240" w:lineRule="auto"/>
              <w:rPr>
                <w:rFonts w:ascii="宋体" w:hAnsi="宋体"/>
                <w:sz w:val="18"/>
                <w:szCs w:val="18"/>
              </w:rPr>
            </w:pPr>
            <w:r>
              <w:rPr>
                <w:rFonts w:ascii="宋体" w:hAnsi="宋体"/>
                <w:sz w:val="18"/>
                <w:szCs w:val="18"/>
              </w:rPr>
              <w:t>3.</w:t>
            </w:r>
            <w:r>
              <w:rPr>
                <w:rFonts w:hint="eastAsia" w:ascii="宋体" w:hAnsi="宋体"/>
                <w:sz w:val="18"/>
                <w:szCs w:val="18"/>
              </w:rPr>
              <w:t>过程证明图片或视频。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1134" w:type="dxa"/>
            <w:vAlign w:val="center"/>
          </w:tcPr>
          <w:p>
            <w:pPr>
              <w:spacing w:line="240" w:lineRule="auto"/>
              <w:rPr>
                <w:rFonts w:ascii="宋体" w:hAnsi="宋体"/>
                <w:sz w:val="18"/>
                <w:szCs w:val="20"/>
              </w:rPr>
            </w:pPr>
            <w:r>
              <w:rPr>
                <w:rFonts w:hint="eastAsia" w:ascii="宋体" w:hAnsi="宋体"/>
                <w:sz w:val="18"/>
                <w:szCs w:val="20"/>
              </w:rPr>
              <w:t>外围护系统集成化</w:t>
            </w:r>
          </w:p>
        </w:tc>
        <w:tc>
          <w:tcPr>
            <w:tcW w:w="5245" w:type="dxa"/>
            <w:vAlign w:val="center"/>
          </w:tcPr>
          <w:p>
            <w:pPr>
              <w:spacing w:line="240" w:lineRule="auto"/>
              <w:rPr>
                <w:rFonts w:ascii="宋体" w:hAnsi="宋体"/>
                <w:sz w:val="18"/>
                <w:szCs w:val="20"/>
              </w:rPr>
            </w:pPr>
            <w:r>
              <w:rPr>
                <w:rFonts w:hint="eastAsia" w:ascii="宋体" w:hAnsi="宋体"/>
                <w:sz w:val="18"/>
                <w:szCs w:val="20"/>
              </w:rPr>
              <w:t>采用围护墙与保温装饰一体化技术，得</w:t>
            </w:r>
            <w:r>
              <w:rPr>
                <w:rFonts w:ascii="宋体" w:hAnsi="宋体"/>
                <w:sz w:val="18"/>
                <w:szCs w:val="20"/>
              </w:rPr>
              <w:t>1</w:t>
            </w:r>
            <w:r>
              <w:rPr>
                <w:rFonts w:hint="eastAsia" w:ascii="宋体" w:hAnsi="宋体"/>
                <w:sz w:val="18"/>
                <w:szCs w:val="20"/>
              </w:rPr>
              <w:t>分；采用保温装饰一体化技术或围护墙与保温一体化技术，得</w:t>
            </w:r>
            <w:r>
              <w:rPr>
                <w:rFonts w:ascii="宋体" w:hAnsi="宋体"/>
                <w:sz w:val="18"/>
                <w:szCs w:val="20"/>
              </w:rPr>
              <w:t>0</w:t>
            </w:r>
            <w:r>
              <w:rPr>
                <w:rFonts w:hint="eastAsia" w:ascii="宋体" w:hAnsi="宋体"/>
                <w:sz w:val="18"/>
                <w:szCs w:val="20"/>
              </w:rPr>
              <w:t>.</w:t>
            </w:r>
            <w:r>
              <w:rPr>
                <w:rFonts w:ascii="宋体" w:hAnsi="宋体"/>
                <w:sz w:val="18"/>
                <w:szCs w:val="20"/>
              </w:rPr>
              <w:t>5</w:t>
            </w:r>
            <w:r>
              <w:rPr>
                <w:rFonts w:hint="eastAsia" w:ascii="宋体" w:hAnsi="宋体"/>
                <w:sz w:val="18"/>
                <w:szCs w:val="20"/>
              </w:rPr>
              <w:t>分；不重复得分。</w:t>
            </w:r>
          </w:p>
        </w:tc>
        <w:tc>
          <w:tcPr>
            <w:tcW w:w="985" w:type="dxa"/>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1134" w:type="dxa"/>
            <w:vAlign w:val="center"/>
          </w:tcPr>
          <w:p>
            <w:pPr>
              <w:spacing w:line="240" w:lineRule="auto"/>
              <w:rPr>
                <w:rFonts w:ascii="宋体" w:hAnsi="宋体"/>
                <w:sz w:val="18"/>
                <w:szCs w:val="20"/>
              </w:rPr>
            </w:pPr>
            <w:r>
              <w:rPr>
                <w:rFonts w:hint="eastAsia" w:ascii="宋体" w:hAnsi="宋体"/>
                <w:sz w:val="18"/>
                <w:szCs w:val="20"/>
              </w:rPr>
              <w:t>内装系统集成化</w:t>
            </w:r>
          </w:p>
        </w:tc>
        <w:tc>
          <w:tcPr>
            <w:tcW w:w="5245" w:type="dxa"/>
            <w:vAlign w:val="center"/>
          </w:tcPr>
          <w:p>
            <w:pPr>
              <w:spacing w:line="240" w:lineRule="auto"/>
              <w:rPr>
                <w:rFonts w:ascii="宋体" w:hAnsi="宋体"/>
                <w:sz w:val="18"/>
                <w:szCs w:val="20"/>
              </w:rPr>
            </w:pPr>
            <w:r>
              <w:rPr>
                <w:rFonts w:hint="eastAsia" w:ascii="宋体" w:hAnsi="宋体"/>
                <w:sz w:val="18"/>
                <w:szCs w:val="18"/>
              </w:rPr>
              <w:t>采用干式工法楼地面、管线分离、集成厨房、集成卫生间等技术两项及以上，得</w:t>
            </w:r>
            <w:r>
              <w:rPr>
                <w:rFonts w:ascii="宋体" w:hAnsi="宋体"/>
                <w:sz w:val="18"/>
                <w:szCs w:val="18"/>
              </w:rPr>
              <w:t>0.5</w:t>
            </w:r>
            <w:r>
              <w:rPr>
                <w:rFonts w:hint="eastAsia" w:ascii="宋体" w:hAnsi="宋体"/>
                <w:sz w:val="18"/>
                <w:szCs w:val="18"/>
              </w:rPr>
              <w:t>分。</w:t>
            </w:r>
          </w:p>
        </w:tc>
        <w:tc>
          <w:tcPr>
            <w:tcW w:w="985" w:type="dxa"/>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1134" w:type="dxa"/>
            <w:vAlign w:val="center"/>
          </w:tcPr>
          <w:p>
            <w:pPr>
              <w:spacing w:line="240" w:lineRule="auto"/>
              <w:rPr>
                <w:rFonts w:ascii="宋体" w:hAnsi="宋体"/>
                <w:sz w:val="18"/>
                <w:szCs w:val="18"/>
              </w:rPr>
            </w:pPr>
            <w:r>
              <w:rPr>
                <w:rFonts w:hint="eastAsia" w:ascii="宋体" w:hAnsi="宋体"/>
                <w:sz w:val="18"/>
                <w:szCs w:val="18"/>
              </w:rPr>
              <w:t>设备及管线系统集成化</w:t>
            </w:r>
          </w:p>
        </w:tc>
        <w:tc>
          <w:tcPr>
            <w:tcW w:w="5245" w:type="dxa"/>
            <w:vAlign w:val="center"/>
          </w:tcPr>
          <w:p>
            <w:pPr>
              <w:spacing w:line="240" w:lineRule="auto"/>
              <w:rPr>
                <w:rFonts w:ascii="宋体" w:hAnsi="宋体"/>
                <w:sz w:val="18"/>
                <w:szCs w:val="18"/>
              </w:rPr>
            </w:pPr>
            <w:r>
              <w:rPr>
                <w:rFonts w:hint="eastAsia" w:ascii="宋体" w:hAnsi="宋体"/>
                <w:sz w:val="18"/>
                <w:szCs w:val="20"/>
              </w:rPr>
              <w:t>采用模块化产品，标准化接口，并应预留可扩展的条件，同时接口设计应考虑设备安装的误差，提供调整的可能性，得</w:t>
            </w:r>
            <w:r>
              <w:rPr>
                <w:rFonts w:ascii="宋体" w:hAnsi="宋体"/>
                <w:sz w:val="18"/>
                <w:szCs w:val="18"/>
              </w:rPr>
              <w:t>0.5</w:t>
            </w:r>
            <w:r>
              <w:rPr>
                <w:rFonts w:hint="eastAsia" w:ascii="宋体" w:hAnsi="宋体"/>
                <w:sz w:val="18"/>
                <w:szCs w:val="18"/>
              </w:rPr>
              <w:t>分。</w:t>
            </w:r>
          </w:p>
        </w:tc>
        <w:tc>
          <w:tcPr>
            <w:tcW w:w="985" w:type="dxa"/>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88" w:type="dxa"/>
            <w:vMerge w:val="restart"/>
            <w:vAlign w:val="center"/>
          </w:tcPr>
          <w:p>
            <w:pPr>
              <w:spacing w:line="240" w:lineRule="auto"/>
              <w:jc w:val="center"/>
              <w:rPr>
                <w:rFonts w:ascii="宋体" w:hAnsi="宋体"/>
                <w:sz w:val="18"/>
                <w:szCs w:val="18"/>
              </w:rPr>
            </w:pPr>
            <w:r>
              <w:rPr>
                <w:rFonts w:ascii="宋体" w:hAnsi="宋体"/>
                <w:sz w:val="18"/>
                <w:szCs w:val="18"/>
              </w:rPr>
              <w:t>“</w:t>
            </w:r>
            <w:r>
              <w:rPr>
                <w:rFonts w:hint="eastAsia" w:ascii="宋体" w:hAnsi="宋体"/>
                <w:sz w:val="18"/>
                <w:szCs w:val="18"/>
              </w:rPr>
              <w:t>BIM+</w:t>
            </w:r>
            <w:r>
              <w:rPr>
                <w:rFonts w:ascii="宋体" w:hAnsi="宋体"/>
                <w:sz w:val="18"/>
                <w:szCs w:val="18"/>
              </w:rPr>
              <w:t>”</w:t>
            </w:r>
            <w:r>
              <w:rPr>
                <w:rFonts w:hint="eastAsia" w:ascii="宋体" w:hAnsi="宋体"/>
                <w:sz w:val="18"/>
                <w:szCs w:val="18"/>
              </w:rPr>
              <w:t>数字一体化设计</w:t>
            </w:r>
          </w:p>
        </w:tc>
        <w:tc>
          <w:tcPr>
            <w:tcW w:w="992" w:type="dxa"/>
            <w:vMerge w:val="restart"/>
            <w:vAlign w:val="center"/>
          </w:tcPr>
          <w:p>
            <w:pPr>
              <w:spacing w:line="240" w:lineRule="auto"/>
              <w:jc w:val="center"/>
              <w:rPr>
                <w:rFonts w:ascii="宋体" w:hAnsi="宋体"/>
                <w:sz w:val="18"/>
                <w:szCs w:val="18"/>
              </w:rPr>
            </w:pPr>
            <w:r>
              <w:rPr>
                <w:rFonts w:hint="eastAsia" w:ascii="宋体" w:hAnsi="宋体"/>
                <w:sz w:val="18"/>
                <w:szCs w:val="18"/>
              </w:rPr>
              <w:t>协同设计</w:t>
            </w:r>
          </w:p>
          <w:p>
            <w:pPr>
              <w:spacing w:line="240" w:lineRule="auto"/>
              <w:jc w:val="center"/>
              <w:rPr>
                <w:rFonts w:ascii="宋体" w:hAnsi="宋体"/>
                <w:sz w:val="18"/>
                <w:szCs w:val="18"/>
              </w:rPr>
            </w:pPr>
            <w:r>
              <w:rPr>
                <w:rFonts w:hint="eastAsia" w:ascii="宋体" w:hAnsi="宋体"/>
                <w:sz w:val="18"/>
                <w:szCs w:val="20"/>
              </w:rPr>
              <w:t>(</w:t>
            </w:r>
            <w:r>
              <w:rPr>
                <w:rFonts w:ascii="宋体" w:hAnsi="宋体"/>
                <w:sz w:val="18"/>
                <w:szCs w:val="20"/>
              </w:rPr>
              <w:t>3.5</w:t>
            </w:r>
            <w:r>
              <w:rPr>
                <w:rFonts w:hint="eastAsia" w:ascii="宋体" w:hAnsi="宋体"/>
                <w:sz w:val="18"/>
                <w:szCs w:val="20"/>
              </w:rPr>
              <w:t>分</w:t>
            </w:r>
            <w:r>
              <w:rPr>
                <w:rFonts w:ascii="宋体" w:hAnsi="宋体"/>
                <w:sz w:val="18"/>
                <w:szCs w:val="20"/>
              </w:rPr>
              <w:t>)</w:t>
            </w:r>
          </w:p>
        </w:tc>
        <w:tc>
          <w:tcPr>
            <w:tcW w:w="6379" w:type="dxa"/>
            <w:gridSpan w:val="2"/>
            <w:vAlign w:val="center"/>
          </w:tcPr>
          <w:p>
            <w:pPr>
              <w:spacing w:line="240" w:lineRule="auto"/>
              <w:rPr>
                <w:rFonts w:ascii="宋体" w:hAnsi="宋体"/>
                <w:sz w:val="18"/>
                <w:szCs w:val="18"/>
              </w:rPr>
            </w:pPr>
            <w:r>
              <w:rPr>
                <w:rFonts w:hint="eastAsia" w:ascii="宋体" w:hAnsi="宋体"/>
                <w:sz w:val="18"/>
                <w:szCs w:val="18"/>
              </w:rPr>
              <w:t>采用具有轻量化、云端化、智能化、实时化、文件储存交换格式标准化等特点的B</w:t>
            </w:r>
            <w:r>
              <w:rPr>
                <w:rFonts w:ascii="宋体" w:hAnsi="宋体"/>
                <w:sz w:val="18"/>
                <w:szCs w:val="18"/>
              </w:rPr>
              <w:t>IM</w:t>
            </w:r>
            <w:r>
              <w:rPr>
                <w:rFonts w:hint="eastAsia" w:ascii="宋体" w:hAnsi="宋体"/>
                <w:sz w:val="18"/>
                <w:szCs w:val="18"/>
              </w:rPr>
              <w:t>协同设计平台，实现项目设计各参与方的数据共享、互联互通，</w:t>
            </w:r>
            <w:r>
              <w:rPr>
                <w:rFonts w:hint="eastAsia" w:ascii="宋体" w:hAnsi="宋体"/>
                <w:sz w:val="18"/>
                <w:szCs w:val="20"/>
              </w:rPr>
              <w:t>得</w:t>
            </w:r>
            <w:r>
              <w:rPr>
                <w:rFonts w:hint="eastAsia" w:ascii="宋体" w:hAnsi="宋体"/>
                <w:sz w:val="18"/>
                <w:szCs w:val="18"/>
              </w:rPr>
              <w:t>1分。</w:t>
            </w:r>
          </w:p>
        </w:tc>
        <w:tc>
          <w:tcPr>
            <w:tcW w:w="985" w:type="dxa"/>
            <w:vMerge w:val="restart"/>
            <w:vAlign w:val="center"/>
          </w:tcPr>
          <w:p>
            <w:pPr>
              <w:spacing w:line="240" w:lineRule="auto"/>
              <w:rPr>
                <w:rFonts w:ascii="宋体" w:hAnsi="宋体"/>
                <w:sz w:val="18"/>
                <w:szCs w:val="18"/>
              </w:rPr>
            </w:pPr>
            <w:r>
              <w:rPr>
                <w:rFonts w:hint="eastAsia" w:ascii="宋体" w:hAnsi="宋体"/>
                <w:sz w:val="18"/>
                <w:szCs w:val="18"/>
              </w:rPr>
              <w:t>1．协同设计平台产品介绍及使用过程证明图片或视频。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6379" w:type="dxa"/>
            <w:gridSpan w:val="2"/>
            <w:vAlign w:val="center"/>
          </w:tcPr>
          <w:p>
            <w:pPr>
              <w:spacing w:line="240" w:lineRule="auto"/>
              <w:rPr>
                <w:rFonts w:ascii="宋体" w:hAnsi="宋体"/>
                <w:sz w:val="18"/>
                <w:szCs w:val="18"/>
              </w:rPr>
            </w:pPr>
            <w:r>
              <w:rPr>
                <w:rFonts w:hint="eastAsia" w:ascii="宋体" w:hAnsi="宋体"/>
                <w:sz w:val="18"/>
                <w:szCs w:val="18"/>
              </w:rPr>
              <w:t>基于B</w:t>
            </w:r>
            <w:r>
              <w:rPr>
                <w:rFonts w:ascii="宋体" w:hAnsi="宋体"/>
                <w:sz w:val="18"/>
                <w:szCs w:val="18"/>
              </w:rPr>
              <w:t>IM</w:t>
            </w:r>
            <w:r>
              <w:rPr>
                <w:rFonts w:hint="eastAsia" w:ascii="宋体" w:hAnsi="宋体"/>
                <w:sz w:val="18"/>
                <w:szCs w:val="18"/>
              </w:rPr>
              <w:t>协同设计平台，集成设计各参与方职能权限划分、协同反馈机制闭环、设计状态实时把控等功能，实现项目设计投入的动态控制，</w:t>
            </w:r>
            <w:r>
              <w:rPr>
                <w:rFonts w:hint="eastAsia" w:ascii="宋体" w:hAnsi="宋体"/>
                <w:sz w:val="18"/>
                <w:szCs w:val="20"/>
              </w:rPr>
              <w:t>得</w:t>
            </w:r>
            <w:r>
              <w:rPr>
                <w:rFonts w:ascii="宋体" w:hAnsi="宋体"/>
                <w:sz w:val="18"/>
                <w:szCs w:val="18"/>
              </w:rPr>
              <w:t>0.5</w:t>
            </w:r>
            <w:r>
              <w:rPr>
                <w:rFonts w:hint="eastAsia" w:ascii="宋体" w:hAnsi="宋体"/>
                <w:sz w:val="18"/>
                <w:szCs w:val="18"/>
              </w:rPr>
              <w:t>分。</w:t>
            </w:r>
          </w:p>
        </w:tc>
        <w:tc>
          <w:tcPr>
            <w:tcW w:w="985" w:type="dxa"/>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6379" w:type="dxa"/>
            <w:gridSpan w:val="2"/>
            <w:vAlign w:val="center"/>
          </w:tcPr>
          <w:p>
            <w:pPr>
              <w:spacing w:line="240" w:lineRule="auto"/>
              <w:rPr>
                <w:rFonts w:ascii="宋体" w:hAnsi="宋体"/>
                <w:sz w:val="18"/>
                <w:szCs w:val="18"/>
              </w:rPr>
            </w:pPr>
            <w:r>
              <w:rPr>
                <w:rFonts w:hint="eastAsia" w:ascii="宋体" w:hAnsi="宋体"/>
                <w:sz w:val="18"/>
                <w:szCs w:val="18"/>
              </w:rPr>
              <w:t>基于B</w:t>
            </w:r>
            <w:r>
              <w:rPr>
                <w:rFonts w:ascii="宋体" w:hAnsi="宋体"/>
                <w:sz w:val="18"/>
                <w:szCs w:val="18"/>
              </w:rPr>
              <w:t>IM</w:t>
            </w:r>
            <w:r>
              <w:rPr>
                <w:rFonts w:hint="eastAsia" w:ascii="宋体" w:hAnsi="宋体"/>
                <w:sz w:val="18"/>
                <w:szCs w:val="18"/>
              </w:rPr>
              <w:t>协同设计平台，不同设计软件之间能够协同工作，实现数据转换、信息共享，</w:t>
            </w:r>
            <w:r>
              <w:rPr>
                <w:rFonts w:hint="eastAsia" w:ascii="宋体" w:hAnsi="宋体"/>
                <w:sz w:val="18"/>
                <w:szCs w:val="20"/>
              </w:rPr>
              <w:t>得</w:t>
            </w:r>
            <w:r>
              <w:rPr>
                <w:rFonts w:ascii="宋体" w:hAnsi="宋体"/>
                <w:sz w:val="18"/>
                <w:szCs w:val="18"/>
              </w:rPr>
              <w:t>1</w:t>
            </w:r>
            <w:r>
              <w:rPr>
                <w:rFonts w:hint="eastAsia" w:ascii="宋体" w:hAnsi="宋体"/>
                <w:sz w:val="18"/>
                <w:szCs w:val="18"/>
              </w:rPr>
              <w:t>分。</w:t>
            </w:r>
          </w:p>
        </w:tc>
        <w:tc>
          <w:tcPr>
            <w:tcW w:w="985" w:type="dxa"/>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6379" w:type="dxa"/>
            <w:gridSpan w:val="2"/>
            <w:vAlign w:val="center"/>
          </w:tcPr>
          <w:p>
            <w:pPr>
              <w:spacing w:line="240" w:lineRule="auto"/>
              <w:rPr>
                <w:rFonts w:ascii="宋体" w:hAnsi="宋体"/>
                <w:sz w:val="18"/>
                <w:szCs w:val="20"/>
              </w:rPr>
            </w:pPr>
            <w:r>
              <w:rPr>
                <w:rFonts w:hint="eastAsia" w:ascii="宋体" w:hAnsi="宋体"/>
                <w:sz w:val="18"/>
                <w:szCs w:val="18"/>
              </w:rPr>
              <w:t>基于B</w:t>
            </w:r>
            <w:r>
              <w:rPr>
                <w:rFonts w:ascii="宋体" w:hAnsi="宋体"/>
                <w:sz w:val="18"/>
                <w:szCs w:val="18"/>
              </w:rPr>
              <w:t>IM</w:t>
            </w:r>
            <w:r>
              <w:rPr>
                <w:rFonts w:hint="eastAsia" w:ascii="宋体" w:hAnsi="宋体"/>
                <w:sz w:val="18"/>
                <w:szCs w:val="18"/>
              </w:rPr>
              <w:t>协同设计平台，设计全专业基于同样基点、坐标、轴网、单位以及命名办法等进行建筑、结构、机电、装修综合协同设计，实现数据实时存储、共享和更新，</w:t>
            </w:r>
            <w:r>
              <w:rPr>
                <w:rFonts w:hint="eastAsia" w:ascii="宋体" w:hAnsi="宋体"/>
                <w:sz w:val="18"/>
                <w:szCs w:val="20"/>
              </w:rPr>
              <w:t>得</w:t>
            </w:r>
            <w:r>
              <w:rPr>
                <w:rFonts w:ascii="宋体" w:hAnsi="宋体"/>
                <w:sz w:val="18"/>
                <w:szCs w:val="18"/>
              </w:rPr>
              <w:t>1</w:t>
            </w:r>
            <w:r>
              <w:rPr>
                <w:rFonts w:hint="eastAsia" w:ascii="宋体" w:hAnsi="宋体"/>
                <w:sz w:val="18"/>
                <w:szCs w:val="18"/>
              </w:rPr>
              <w:t>分。</w:t>
            </w:r>
          </w:p>
        </w:tc>
        <w:tc>
          <w:tcPr>
            <w:tcW w:w="985" w:type="dxa"/>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restart"/>
            <w:vAlign w:val="center"/>
          </w:tcPr>
          <w:p>
            <w:pPr>
              <w:spacing w:line="240" w:lineRule="auto"/>
              <w:jc w:val="center"/>
              <w:rPr>
                <w:rFonts w:ascii="宋体" w:hAnsi="宋体"/>
                <w:sz w:val="18"/>
                <w:szCs w:val="18"/>
              </w:rPr>
            </w:pPr>
            <w:r>
              <w:rPr>
                <w:rFonts w:hint="eastAsia" w:ascii="宋体" w:hAnsi="宋体"/>
                <w:sz w:val="18"/>
                <w:szCs w:val="18"/>
              </w:rPr>
              <w:t>辅助设计</w:t>
            </w:r>
          </w:p>
          <w:p>
            <w:pPr>
              <w:spacing w:line="240" w:lineRule="auto"/>
              <w:jc w:val="center"/>
              <w:rPr>
                <w:rFonts w:ascii="宋体" w:hAnsi="宋体"/>
                <w:sz w:val="18"/>
                <w:szCs w:val="18"/>
              </w:rPr>
            </w:pPr>
            <w:r>
              <w:rPr>
                <w:rFonts w:hint="eastAsia" w:ascii="宋体" w:hAnsi="宋体"/>
                <w:sz w:val="18"/>
                <w:szCs w:val="20"/>
              </w:rPr>
              <w:t>(</w:t>
            </w:r>
            <w:r>
              <w:rPr>
                <w:rFonts w:ascii="宋体" w:hAnsi="宋体"/>
                <w:sz w:val="18"/>
                <w:szCs w:val="20"/>
              </w:rPr>
              <w:t>3.5</w:t>
            </w:r>
            <w:r>
              <w:rPr>
                <w:rFonts w:hint="eastAsia" w:ascii="宋体" w:hAnsi="宋体"/>
                <w:sz w:val="18"/>
                <w:szCs w:val="20"/>
              </w:rPr>
              <w:t>分</w:t>
            </w:r>
            <w:r>
              <w:rPr>
                <w:rFonts w:ascii="宋体" w:hAnsi="宋体"/>
                <w:sz w:val="18"/>
                <w:szCs w:val="20"/>
              </w:rPr>
              <w:t>)</w:t>
            </w:r>
          </w:p>
        </w:tc>
        <w:tc>
          <w:tcPr>
            <w:tcW w:w="6379" w:type="dxa"/>
            <w:gridSpan w:val="2"/>
            <w:vAlign w:val="center"/>
          </w:tcPr>
          <w:p>
            <w:pPr>
              <w:spacing w:line="240" w:lineRule="auto"/>
              <w:rPr>
                <w:rFonts w:ascii="宋体" w:hAnsi="宋体"/>
                <w:sz w:val="18"/>
                <w:szCs w:val="20"/>
              </w:rPr>
            </w:pPr>
            <w:r>
              <w:rPr>
                <w:rFonts w:hint="eastAsia" w:ascii="宋体" w:hAnsi="宋体"/>
                <w:sz w:val="18"/>
                <w:szCs w:val="18"/>
              </w:rPr>
              <w:t>设计过程中采用参数化设计、生成式设计、模块化设计、智能设计等提效工具或插件，得0</w:t>
            </w:r>
            <w:r>
              <w:rPr>
                <w:rFonts w:ascii="宋体" w:hAnsi="宋体"/>
                <w:sz w:val="18"/>
                <w:szCs w:val="18"/>
              </w:rPr>
              <w:t>.5</w:t>
            </w:r>
            <w:r>
              <w:rPr>
                <w:rFonts w:hint="eastAsia" w:ascii="宋体" w:hAnsi="宋体"/>
                <w:sz w:val="18"/>
                <w:szCs w:val="18"/>
              </w:rPr>
              <w:t>分；采用A</w:t>
            </w:r>
            <w:r>
              <w:rPr>
                <w:rFonts w:ascii="宋体" w:hAnsi="宋体"/>
                <w:sz w:val="18"/>
                <w:szCs w:val="18"/>
              </w:rPr>
              <w:t>I</w:t>
            </w:r>
            <w:r>
              <w:rPr>
                <w:rFonts w:hint="eastAsia" w:ascii="宋体" w:hAnsi="宋体"/>
                <w:sz w:val="18"/>
                <w:szCs w:val="18"/>
              </w:rPr>
              <w:t>技术辅助设计，得0</w:t>
            </w:r>
            <w:r>
              <w:rPr>
                <w:rFonts w:ascii="宋体" w:hAnsi="宋体"/>
                <w:sz w:val="18"/>
                <w:szCs w:val="18"/>
              </w:rPr>
              <w:t>.5</w:t>
            </w:r>
            <w:r>
              <w:rPr>
                <w:rFonts w:hint="eastAsia" w:ascii="宋体" w:hAnsi="宋体"/>
                <w:sz w:val="18"/>
                <w:szCs w:val="18"/>
              </w:rPr>
              <w:t>分。两者累计可得1分。</w:t>
            </w:r>
          </w:p>
        </w:tc>
        <w:tc>
          <w:tcPr>
            <w:tcW w:w="985" w:type="dxa"/>
            <w:vAlign w:val="center"/>
          </w:tcPr>
          <w:p>
            <w:pPr>
              <w:snapToGrid w:val="0"/>
              <w:spacing w:line="240" w:lineRule="auto"/>
              <w:rPr>
                <w:rFonts w:ascii="宋体" w:hAnsi="宋体"/>
                <w:sz w:val="18"/>
                <w:szCs w:val="18"/>
              </w:rPr>
            </w:pPr>
            <w:r>
              <w:rPr>
                <w:rFonts w:ascii="宋体" w:hAnsi="宋体"/>
                <w:sz w:val="18"/>
                <w:szCs w:val="18"/>
              </w:rPr>
              <w:t>1</w:t>
            </w:r>
            <w:r>
              <w:rPr>
                <w:rFonts w:hint="eastAsia" w:ascii="宋体" w:hAnsi="宋体"/>
                <w:sz w:val="18"/>
                <w:szCs w:val="18"/>
              </w:rPr>
              <w:t>．过程证明图片或视频。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6379" w:type="dxa"/>
            <w:gridSpan w:val="2"/>
            <w:vAlign w:val="center"/>
          </w:tcPr>
          <w:p>
            <w:pPr>
              <w:spacing w:line="240" w:lineRule="auto"/>
              <w:rPr>
                <w:rFonts w:ascii="宋体" w:hAnsi="宋体"/>
                <w:sz w:val="18"/>
                <w:szCs w:val="20"/>
              </w:rPr>
            </w:pPr>
            <w:r>
              <w:rPr>
                <w:rFonts w:hint="eastAsia" w:ascii="宋体" w:hAnsi="宋体"/>
                <w:sz w:val="18"/>
                <w:szCs w:val="20"/>
              </w:rPr>
              <w:t>基于B</w:t>
            </w:r>
            <w:r>
              <w:rPr>
                <w:rFonts w:ascii="宋体" w:hAnsi="宋体"/>
                <w:sz w:val="18"/>
                <w:szCs w:val="20"/>
              </w:rPr>
              <w:t>IM</w:t>
            </w:r>
            <w:r>
              <w:rPr>
                <w:rFonts w:hint="eastAsia" w:ascii="宋体" w:hAnsi="宋体"/>
                <w:sz w:val="18"/>
                <w:szCs w:val="20"/>
              </w:rPr>
              <w:t>模型进行场地仿真分析：利用测绘地形、实景模型、用地规划条件等数据，建立场地现状地形、地物、建（构）筑物模型，检查工程设计的标高、布局是否合理，检查设计内容与红线、绿线、河道蓝线、高压黄线及周边建（构）筑物的位置关系，进行分析。得</w:t>
            </w:r>
            <w:r>
              <w:rPr>
                <w:rFonts w:ascii="宋体" w:hAnsi="宋体"/>
                <w:sz w:val="18"/>
                <w:szCs w:val="18"/>
              </w:rPr>
              <w:t>0.5</w:t>
            </w:r>
            <w:r>
              <w:rPr>
                <w:rFonts w:hint="eastAsia" w:ascii="宋体" w:hAnsi="宋体"/>
                <w:sz w:val="18"/>
                <w:szCs w:val="18"/>
              </w:rPr>
              <w:t>分。</w:t>
            </w:r>
          </w:p>
        </w:tc>
        <w:tc>
          <w:tcPr>
            <w:tcW w:w="985" w:type="dxa"/>
            <w:vAlign w:val="center"/>
          </w:tcPr>
          <w:p>
            <w:pPr>
              <w:spacing w:line="240" w:lineRule="auto"/>
              <w:rPr>
                <w:rFonts w:ascii="宋体" w:hAnsi="宋体"/>
                <w:sz w:val="18"/>
                <w:szCs w:val="18"/>
              </w:rPr>
            </w:pPr>
            <w:r>
              <w:rPr>
                <w:rFonts w:hint="eastAsia" w:ascii="宋体" w:hAnsi="宋体"/>
                <w:sz w:val="18"/>
                <w:szCs w:val="18"/>
              </w:rPr>
              <w:t>1．场地分析报告。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6379" w:type="dxa"/>
            <w:gridSpan w:val="2"/>
            <w:vAlign w:val="center"/>
          </w:tcPr>
          <w:p>
            <w:pPr>
              <w:spacing w:line="240" w:lineRule="auto"/>
              <w:rPr>
                <w:rFonts w:ascii="宋体" w:hAnsi="宋体"/>
                <w:sz w:val="18"/>
                <w:szCs w:val="20"/>
              </w:rPr>
            </w:pPr>
            <w:r>
              <w:rPr>
                <w:rFonts w:hint="eastAsia" w:ascii="宋体" w:hAnsi="宋体"/>
                <w:sz w:val="18"/>
                <w:szCs w:val="20"/>
              </w:rPr>
              <w:t>基于BIM模型进行</w:t>
            </w:r>
            <w:r>
              <w:rPr>
                <w:rFonts w:hint="eastAsia" w:ascii="宋体" w:hAnsi="宋体"/>
                <w:sz w:val="18"/>
                <w:szCs w:val="18"/>
              </w:rPr>
              <w:t>性能分析：包括设计方案比选分析、热环境分析、光照模拟分析、通风分析、流体动力学分析、结构性能化分析、能耗分析、声学分析、绿色节能分析、消防性能化分析等多方面内容，完成3项及以上，</w:t>
            </w:r>
            <w:r>
              <w:rPr>
                <w:rFonts w:hint="eastAsia" w:ascii="宋体" w:hAnsi="宋体"/>
                <w:sz w:val="18"/>
                <w:szCs w:val="20"/>
              </w:rPr>
              <w:t>得</w:t>
            </w:r>
            <w:r>
              <w:rPr>
                <w:rFonts w:ascii="宋体" w:hAnsi="宋体"/>
                <w:sz w:val="18"/>
                <w:szCs w:val="18"/>
              </w:rPr>
              <w:t>0.5</w:t>
            </w:r>
            <w:r>
              <w:rPr>
                <w:rFonts w:hint="eastAsia" w:ascii="宋体" w:hAnsi="宋体"/>
                <w:sz w:val="18"/>
                <w:szCs w:val="18"/>
              </w:rPr>
              <w:t>分；完成5项及以上，得1分。</w:t>
            </w:r>
          </w:p>
        </w:tc>
        <w:tc>
          <w:tcPr>
            <w:tcW w:w="985" w:type="dxa"/>
            <w:vAlign w:val="center"/>
          </w:tcPr>
          <w:p>
            <w:pPr>
              <w:spacing w:line="240" w:lineRule="auto"/>
              <w:rPr>
                <w:rFonts w:ascii="宋体" w:hAnsi="宋体"/>
                <w:sz w:val="18"/>
                <w:szCs w:val="18"/>
              </w:rPr>
            </w:pPr>
            <w:r>
              <w:rPr>
                <w:rFonts w:ascii="宋体" w:hAnsi="宋体"/>
                <w:sz w:val="18"/>
                <w:szCs w:val="18"/>
              </w:rPr>
              <w:t>1</w:t>
            </w:r>
            <w:r>
              <w:rPr>
                <w:rFonts w:hint="eastAsia" w:ascii="宋体" w:hAnsi="宋体"/>
                <w:sz w:val="18"/>
                <w:szCs w:val="18"/>
              </w:rPr>
              <w:t>．性能分析报告。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6379" w:type="dxa"/>
            <w:gridSpan w:val="2"/>
            <w:vAlign w:val="center"/>
          </w:tcPr>
          <w:p>
            <w:pPr>
              <w:spacing w:line="240" w:lineRule="auto"/>
              <w:rPr>
                <w:rFonts w:ascii="宋体" w:hAnsi="宋体"/>
                <w:sz w:val="18"/>
                <w:szCs w:val="20"/>
              </w:rPr>
            </w:pPr>
            <w:r>
              <w:rPr>
                <w:rFonts w:hint="eastAsia" w:ascii="宋体" w:hAnsi="宋体"/>
                <w:sz w:val="18"/>
                <w:szCs w:val="20"/>
              </w:rPr>
              <w:t>基于BIM模型进行</w:t>
            </w:r>
            <w:r>
              <w:rPr>
                <w:rFonts w:hint="eastAsia" w:ascii="宋体" w:hAnsi="宋体"/>
                <w:sz w:val="18"/>
                <w:szCs w:val="18"/>
              </w:rPr>
              <w:t>碳排放测算：包括建筑领域材料生产、运输及施工过程中各类碳排放指标测算等，</w:t>
            </w:r>
            <w:r>
              <w:rPr>
                <w:rFonts w:hint="eastAsia" w:ascii="宋体" w:hAnsi="宋体"/>
                <w:sz w:val="18"/>
                <w:szCs w:val="20"/>
              </w:rPr>
              <w:t>得</w:t>
            </w:r>
            <w:r>
              <w:rPr>
                <w:rFonts w:ascii="宋体" w:hAnsi="宋体"/>
                <w:sz w:val="18"/>
                <w:szCs w:val="18"/>
              </w:rPr>
              <w:t>0.5</w:t>
            </w:r>
            <w:r>
              <w:rPr>
                <w:rFonts w:hint="eastAsia" w:ascii="宋体" w:hAnsi="宋体"/>
                <w:sz w:val="18"/>
                <w:szCs w:val="18"/>
              </w:rPr>
              <w:t>分。</w:t>
            </w:r>
          </w:p>
        </w:tc>
        <w:tc>
          <w:tcPr>
            <w:tcW w:w="985" w:type="dxa"/>
            <w:vAlign w:val="center"/>
          </w:tcPr>
          <w:p>
            <w:pPr>
              <w:snapToGrid w:val="0"/>
              <w:spacing w:line="240" w:lineRule="auto"/>
              <w:rPr>
                <w:rFonts w:ascii="宋体" w:hAnsi="宋体"/>
                <w:sz w:val="18"/>
                <w:szCs w:val="18"/>
              </w:rPr>
            </w:pPr>
            <w:r>
              <w:rPr>
                <w:rFonts w:hint="eastAsia" w:ascii="宋体" w:hAnsi="宋体"/>
                <w:sz w:val="18"/>
                <w:szCs w:val="18"/>
              </w:rPr>
              <w:t>1．碳排放测算报告。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6379" w:type="dxa"/>
            <w:gridSpan w:val="2"/>
            <w:vAlign w:val="center"/>
          </w:tcPr>
          <w:p>
            <w:pPr>
              <w:spacing w:line="240" w:lineRule="auto"/>
              <w:rPr>
                <w:rFonts w:ascii="宋体" w:hAnsi="宋体"/>
                <w:sz w:val="18"/>
                <w:szCs w:val="20"/>
              </w:rPr>
            </w:pPr>
            <w:r>
              <w:rPr>
                <w:rFonts w:hint="eastAsia" w:ascii="宋体" w:hAnsi="宋体"/>
                <w:sz w:val="18"/>
                <w:szCs w:val="18"/>
              </w:rPr>
              <w:t>基于B</w:t>
            </w:r>
            <w:r>
              <w:rPr>
                <w:rFonts w:ascii="宋体" w:hAnsi="宋体"/>
                <w:sz w:val="18"/>
                <w:szCs w:val="18"/>
              </w:rPr>
              <w:t>IM</w:t>
            </w:r>
            <w:r>
              <w:rPr>
                <w:rFonts w:hint="eastAsia" w:ascii="宋体" w:hAnsi="宋体"/>
                <w:sz w:val="18"/>
                <w:szCs w:val="18"/>
              </w:rPr>
              <w:t>模型，采用设计可视化技术、V</w:t>
            </w:r>
            <w:r>
              <w:rPr>
                <w:rFonts w:ascii="宋体" w:hAnsi="宋体"/>
                <w:sz w:val="18"/>
                <w:szCs w:val="18"/>
              </w:rPr>
              <w:t>R/AR/MR</w:t>
            </w:r>
            <w:r>
              <w:rPr>
                <w:rFonts w:hint="eastAsia" w:ascii="宋体" w:hAnsi="宋体"/>
                <w:sz w:val="18"/>
                <w:szCs w:val="18"/>
              </w:rPr>
              <w:t>等虚拟仿真技术、移动端应用等，建立模型内外部漫游展示，用于项目多方交流协调，得</w:t>
            </w:r>
            <w:r>
              <w:rPr>
                <w:rFonts w:ascii="宋体" w:hAnsi="宋体"/>
                <w:sz w:val="18"/>
                <w:szCs w:val="18"/>
              </w:rPr>
              <w:t>0.5</w:t>
            </w:r>
            <w:r>
              <w:rPr>
                <w:rFonts w:hint="eastAsia" w:ascii="宋体" w:hAnsi="宋体"/>
                <w:sz w:val="18"/>
                <w:szCs w:val="18"/>
              </w:rPr>
              <w:t>分。</w:t>
            </w:r>
          </w:p>
        </w:tc>
        <w:tc>
          <w:tcPr>
            <w:tcW w:w="985" w:type="dxa"/>
            <w:vAlign w:val="center"/>
          </w:tcPr>
          <w:p>
            <w:pPr>
              <w:spacing w:line="240" w:lineRule="auto"/>
              <w:rPr>
                <w:rFonts w:ascii="宋体" w:hAnsi="宋体"/>
                <w:sz w:val="18"/>
                <w:szCs w:val="18"/>
              </w:rPr>
            </w:pPr>
            <w:r>
              <w:rPr>
                <w:rFonts w:hint="eastAsia" w:ascii="宋体" w:hAnsi="宋体"/>
                <w:sz w:val="18"/>
                <w:szCs w:val="18"/>
              </w:rPr>
              <w:t>1</w:t>
            </w:r>
            <w:r>
              <w:rPr>
                <w:rFonts w:ascii="宋体" w:hAnsi="宋体"/>
                <w:sz w:val="18"/>
                <w:szCs w:val="18"/>
              </w:rPr>
              <w:t>.</w:t>
            </w:r>
            <w:r>
              <w:rPr>
                <w:rFonts w:hint="eastAsia" w:ascii="宋体" w:hAnsi="宋体"/>
                <w:sz w:val="18"/>
                <w:szCs w:val="18"/>
              </w:rPr>
              <w:t>漫游视频。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restart"/>
            <w:vAlign w:val="center"/>
          </w:tcPr>
          <w:p>
            <w:pPr>
              <w:spacing w:line="240" w:lineRule="auto"/>
              <w:jc w:val="center"/>
              <w:rPr>
                <w:rFonts w:ascii="宋体" w:hAnsi="宋体"/>
                <w:sz w:val="18"/>
                <w:szCs w:val="18"/>
              </w:rPr>
            </w:pPr>
            <w:r>
              <w:rPr>
                <w:rFonts w:hint="eastAsia" w:ascii="宋体" w:hAnsi="宋体"/>
                <w:sz w:val="18"/>
                <w:szCs w:val="18"/>
              </w:rPr>
              <w:t>深化设计</w:t>
            </w:r>
          </w:p>
          <w:p>
            <w:pPr>
              <w:spacing w:line="240" w:lineRule="auto"/>
              <w:jc w:val="center"/>
              <w:rPr>
                <w:rFonts w:ascii="宋体" w:hAnsi="宋体"/>
                <w:sz w:val="18"/>
                <w:szCs w:val="18"/>
              </w:rPr>
            </w:pPr>
            <w:r>
              <w:rPr>
                <w:rFonts w:hint="eastAsia" w:ascii="宋体" w:hAnsi="宋体"/>
                <w:sz w:val="18"/>
                <w:szCs w:val="20"/>
              </w:rPr>
              <w:t>(</w:t>
            </w:r>
            <w:r>
              <w:rPr>
                <w:rFonts w:ascii="宋体" w:hAnsi="宋体"/>
                <w:sz w:val="18"/>
                <w:szCs w:val="20"/>
              </w:rPr>
              <w:t>1.5</w:t>
            </w:r>
            <w:r>
              <w:rPr>
                <w:rFonts w:hint="eastAsia" w:ascii="宋体" w:hAnsi="宋体"/>
                <w:sz w:val="18"/>
                <w:szCs w:val="20"/>
              </w:rPr>
              <w:t>分</w:t>
            </w:r>
            <w:r>
              <w:rPr>
                <w:rFonts w:ascii="宋体" w:hAnsi="宋体"/>
                <w:sz w:val="18"/>
                <w:szCs w:val="20"/>
              </w:rPr>
              <w:t>)</w:t>
            </w:r>
          </w:p>
        </w:tc>
        <w:tc>
          <w:tcPr>
            <w:tcW w:w="6379" w:type="dxa"/>
            <w:gridSpan w:val="2"/>
            <w:vAlign w:val="center"/>
          </w:tcPr>
          <w:p>
            <w:pPr>
              <w:spacing w:line="240" w:lineRule="auto"/>
              <w:rPr>
                <w:rFonts w:ascii="宋体" w:hAnsi="宋体"/>
                <w:sz w:val="18"/>
                <w:szCs w:val="20"/>
              </w:rPr>
            </w:pPr>
            <w:r>
              <w:rPr>
                <w:rFonts w:hint="eastAsia" w:ascii="宋体" w:hAnsi="宋体"/>
                <w:sz w:val="18"/>
                <w:szCs w:val="20"/>
              </w:rPr>
              <w:t>对各专业深化设计初步成果进行集成、协调、修订与校核，形成综合平面图、综合管线图，保持各专业模型协调一致</w:t>
            </w:r>
            <w:r>
              <w:rPr>
                <w:rFonts w:hint="eastAsia" w:ascii="宋体" w:hAnsi="宋体"/>
                <w:sz w:val="18"/>
                <w:szCs w:val="18"/>
              </w:rPr>
              <w:t>；</w:t>
            </w:r>
            <w:r>
              <w:rPr>
                <w:rFonts w:hint="eastAsia" w:ascii="宋体" w:hAnsi="宋体"/>
                <w:sz w:val="18"/>
                <w:szCs w:val="20"/>
              </w:rPr>
              <w:t>进行全专业模型的融合性检查，发现专业间、专业内的冲突碰撞问题，提前解决，得</w:t>
            </w:r>
            <w:r>
              <w:rPr>
                <w:rFonts w:ascii="宋体" w:hAnsi="宋体"/>
                <w:sz w:val="18"/>
                <w:szCs w:val="18"/>
              </w:rPr>
              <w:t>0.5</w:t>
            </w:r>
            <w:r>
              <w:rPr>
                <w:rFonts w:hint="eastAsia" w:ascii="宋体" w:hAnsi="宋体"/>
                <w:sz w:val="18"/>
                <w:szCs w:val="18"/>
              </w:rPr>
              <w:t>分</w:t>
            </w:r>
            <w:r>
              <w:rPr>
                <w:rFonts w:hint="eastAsia" w:ascii="宋体" w:hAnsi="宋体"/>
                <w:sz w:val="18"/>
                <w:szCs w:val="20"/>
              </w:rPr>
              <w:t>。</w:t>
            </w:r>
          </w:p>
        </w:tc>
        <w:tc>
          <w:tcPr>
            <w:tcW w:w="985" w:type="dxa"/>
            <w:vMerge w:val="restart"/>
            <w:vAlign w:val="center"/>
          </w:tcPr>
          <w:p>
            <w:pPr>
              <w:spacing w:line="240" w:lineRule="auto"/>
              <w:rPr>
                <w:rFonts w:ascii="宋体" w:hAnsi="宋体"/>
                <w:sz w:val="18"/>
                <w:szCs w:val="18"/>
              </w:rPr>
            </w:pPr>
            <w:r>
              <w:rPr>
                <w:rFonts w:ascii="宋体" w:hAnsi="宋体"/>
                <w:sz w:val="18"/>
                <w:szCs w:val="18"/>
              </w:rPr>
              <w:t>1</w:t>
            </w:r>
            <w:r>
              <w:rPr>
                <w:rFonts w:hint="eastAsia" w:ascii="宋体" w:hAnsi="宋体"/>
                <w:sz w:val="18"/>
                <w:szCs w:val="18"/>
              </w:rPr>
              <w:t>．各专业深化</w:t>
            </w:r>
            <w:r>
              <w:rPr>
                <w:rFonts w:ascii="宋体" w:hAnsi="宋体"/>
                <w:sz w:val="18"/>
                <w:szCs w:val="18"/>
              </w:rPr>
              <w:t>BIM</w:t>
            </w:r>
            <w:r>
              <w:rPr>
                <w:rFonts w:hint="eastAsia" w:ascii="宋体" w:hAnsi="宋体"/>
                <w:sz w:val="18"/>
                <w:szCs w:val="18"/>
              </w:rPr>
              <w:t>模型；</w:t>
            </w:r>
          </w:p>
          <w:p>
            <w:pPr>
              <w:spacing w:line="240" w:lineRule="auto"/>
              <w:rPr>
                <w:rFonts w:ascii="宋体" w:hAnsi="宋体"/>
                <w:sz w:val="18"/>
                <w:szCs w:val="18"/>
              </w:rPr>
            </w:pPr>
            <w:r>
              <w:rPr>
                <w:rFonts w:ascii="宋体" w:hAnsi="宋体"/>
                <w:sz w:val="18"/>
                <w:szCs w:val="18"/>
              </w:rPr>
              <w:t>2</w:t>
            </w:r>
            <w:r>
              <w:rPr>
                <w:rFonts w:hint="eastAsia" w:ascii="宋体" w:hAnsi="宋体"/>
                <w:sz w:val="18"/>
                <w:szCs w:val="18"/>
              </w:rPr>
              <w:t>．优化或仿真分析报告。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6379" w:type="dxa"/>
            <w:gridSpan w:val="2"/>
            <w:vAlign w:val="center"/>
          </w:tcPr>
          <w:p>
            <w:pPr>
              <w:spacing w:line="240" w:lineRule="auto"/>
              <w:rPr>
                <w:rFonts w:ascii="宋体" w:hAnsi="宋体"/>
                <w:sz w:val="18"/>
                <w:szCs w:val="20"/>
              </w:rPr>
            </w:pPr>
            <w:r>
              <w:rPr>
                <w:rFonts w:hint="eastAsia" w:ascii="宋体" w:hAnsi="宋体"/>
                <w:sz w:val="18"/>
                <w:szCs w:val="20"/>
              </w:rPr>
              <w:t>基于B</w:t>
            </w:r>
            <w:r>
              <w:rPr>
                <w:rFonts w:ascii="宋体" w:hAnsi="宋体"/>
                <w:sz w:val="18"/>
                <w:szCs w:val="20"/>
              </w:rPr>
              <w:t>IM</w:t>
            </w:r>
            <w:r>
              <w:rPr>
                <w:rFonts w:hint="eastAsia" w:ascii="宋体" w:hAnsi="宋体"/>
                <w:sz w:val="18"/>
                <w:szCs w:val="20"/>
              </w:rPr>
              <w:t>模型进行虚拟仿真分析：主要包括净空分析、防火分析、疏散分析、功能区间分析、管线优化分析、管线转弯半径分析等，完成</w:t>
            </w:r>
            <w:r>
              <w:rPr>
                <w:rFonts w:ascii="宋体" w:hAnsi="宋体"/>
                <w:sz w:val="18"/>
                <w:szCs w:val="20"/>
              </w:rPr>
              <w:t>2</w:t>
            </w:r>
            <w:r>
              <w:rPr>
                <w:rFonts w:hint="eastAsia" w:ascii="宋体" w:hAnsi="宋体"/>
                <w:sz w:val="18"/>
                <w:szCs w:val="20"/>
              </w:rPr>
              <w:t>项及以上，得0</w:t>
            </w:r>
            <w:r>
              <w:rPr>
                <w:rFonts w:ascii="宋体" w:hAnsi="宋体"/>
                <w:sz w:val="18"/>
                <w:szCs w:val="20"/>
              </w:rPr>
              <w:t>.5</w:t>
            </w:r>
            <w:r>
              <w:rPr>
                <w:rFonts w:hint="eastAsia" w:ascii="宋体" w:hAnsi="宋体"/>
                <w:sz w:val="18"/>
                <w:szCs w:val="20"/>
              </w:rPr>
              <w:t>分；完成</w:t>
            </w:r>
            <w:r>
              <w:rPr>
                <w:rFonts w:ascii="宋体" w:hAnsi="宋体"/>
                <w:sz w:val="18"/>
                <w:szCs w:val="20"/>
              </w:rPr>
              <w:t>4</w:t>
            </w:r>
            <w:r>
              <w:rPr>
                <w:rFonts w:hint="eastAsia" w:ascii="宋体" w:hAnsi="宋体"/>
                <w:sz w:val="18"/>
                <w:szCs w:val="20"/>
              </w:rPr>
              <w:t>项及以上，得1分。</w:t>
            </w:r>
          </w:p>
        </w:tc>
        <w:tc>
          <w:tcPr>
            <w:tcW w:w="985" w:type="dxa"/>
            <w:vMerge w:val="continue"/>
            <w:vAlign w:val="center"/>
          </w:tcPr>
          <w:p>
            <w:pPr>
              <w:spacing w:line="24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restart"/>
            <w:vAlign w:val="center"/>
          </w:tcPr>
          <w:p>
            <w:pPr>
              <w:spacing w:line="240" w:lineRule="auto"/>
              <w:jc w:val="center"/>
              <w:rPr>
                <w:rFonts w:ascii="宋体" w:hAnsi="宋体"/>
                <w:sz w:val="18"/>
                <w:szCs w:val="18"/>
              </w:rPr>
            </w:pPr>
            <w:r>
              <w:rPr>
                <w:rFonts w:hint="eastAsia" w:ascii="宋体" w:hAnsi="宋体"/>
                <w:sz w:val="18"/>
                <w:szCs w:val="18"/>
              </w:rPr>
              <w:t>辅助审查</w:t>
            </w:r>
          </w:p>
          <w:p>
            <w:pPr>
              <w:spacing w:line="240" w:lineRule="auto"/>
              <w:jc w:val="center"/>
              <w:rPr>
                <w:rFonts w:ascii="宋体" w:hAnsi="宋体"/>
                <w:sz w:val="18"/>
                <w:szCs w:val="18"/>
              </w:rPr>
            </w:pPr>
            <w:r>
              <w:rPr>
                <w:rFonts w:hint="eastAsia" w:ascii="宋体" w:hAnsi="宋体"/>
                <w:sz w:val="18"/>
                <w:szCs w:val="20"/>
              </w:rPr>
              <w:t>(</w:t>
            </w:r>
            <w:r>
              <w:rPr>
                <w:rFonts w:ascii="宋体" w:hAnsi="宋体"/>
                <w:sz w:val="18"/>
                <w:szCs w:val="20"/>
              </w:rPr>
              <w:t>1.5</w:t>
            </w:r>
            <w:r>
              <w:rPr>
                <w:rFonts w:hint="eastAsia" w:ascii="宋体" w:hAnsi="宋体"/>
                <w:sz w:val="18"/>
                <w:szCs w:val="20"/>
              </w:rPr>
              <w:t>分</w:t>
            </w:r>
            <w:r>
              <w:rPr>
                <w:rFonts w:ascii="宋体" w:hAnsi="宋体"/>
                <w:sz w:val="18"/>
                <w:szCs w:val="20"/>
              </w:rPr>
              <w:t>)</w:t>
            </w:r>
          </w:p>
        </w:tc>
        <w:tc>
          <w:tcPr>
            <w:tcW w:w="6379" w:type="dxa"/>
            <w:gridSpan w:val="2"/>
            <w:vAlign w:val="center"/>
          </w:tcPr>
          <w:p>
            <w:pPr>
              <w:spacing w:line="240" w:lineRule="auto"/>
              <w:rPr>
                <w:rFonts w:ascii="宋体" w:hAnsi="宋体"/>
                <w:sz w:val="18"/>
                <w:szCs w:val="20"/>
              </w:rPr>
            </w:pPr>
            <w:r>
              <w:rPr>
                <w:rFonts w:hint="eastAsia" w:ascii="宋体" w:hAnsi="宋体"/>
                <w:sz w:val="18"/>
                <w:szCs w:val="20"/>
              </w:rPr>
              <w:t>提交基于软件自动生成的审核报告，审核内容包括模型质量和设计质量：模型质量审查主要包括构件命名、构件完整度、构件精细度等；设计质量审查主要包括碰撞问题、净高问题、合理性等</w:t>
            </w:r>
            <w:r>
              <w:rPr>
                <w:rFonts w:hint="eastAsia" w:ascii="宋体" w:hAnsi="宋体"/>
                <w:sz w:val="18"/>
                <w:szCs w:val="18"/>
              </w:rPr>
              <w:t>，</w:t>
            </w:r>
            <w:r>
              <w:rPr>
                <w:rFonts w:hint="eastAsia" w:ascii="宋体" w:hAnsi="宋体"/>
                <w:sz w:val="18"/>
                <w:szCs w:val="20"/>
              </w:rPr>
              <w:t>得</w:t>
            </w:r>
            <w:r>
              <w:rPr>
                <w:rFonts w:ascii="宋体" w:hAnsi="宋体"/>
                <w:sz w:val="18"/>
                <w:szCs w:val="18"/>
              </w:rPr>
              <w:t>0.5</w:t>
            </w:r>
            <w:r>
              <w:rPr>
                <w:rFonts w:hint="eastAsia" w:ascii="宋体" w:hAnsi="宋体"/>
                <w:sz w:val="18"/>
                <w:szCs w:val="18"/>
              </w:rPr>
              <w:t>分。</w:t>
            </w:r>
          </w:p>
        </w:tc>
        <w:tc>
          <w:tcPr>
            <w:tcW w:w="985" w:type="dxa"/>
            <w:vMerge w:val="restart"/>
            <w:vAlign w:val="center"/>
          </w:tcPr>
          <w:p>
            <w:pPr>
              <w:spacing w:line="240" w:lineRule="auto"/>
              <w:rPr>
                <w:rFonts w:ascii="宋体" w:hAnsi="宋体"/>
                <w:sz w:val="18"/>
                <w:szCs w:val="18"/>
              </w:rPr>
            </w:pPr>
            <w:r>
              <w:rPr>
                <w:rFonts w:ascii="宋体" w:hAnsi="宋体"/>
                <w:sz w:val="18"/>
                <w:szCs w:val="18"/>
              </w:rPr>
              <w:t>1.</w:t>
            </w:r>
            <w:r>
              <w:rPr>
                <w:rFonts w:hint="eastAsia" w:ascii="宋体" w:hAnsi="宋体"/>
                <w:sz w:val="18"/>
                <w:szCs w:val="18"/>
              </w:rPr>
              <w:t>过程证明材料；</w:t>
            </w:r>
          </w:p>
          <w:p>
            <w:pPr>
              <w:spacing w:line="240" w:lineRule="auto"/>
              <w:rPr>
                <w:rFonts w:ascii="宋体" w:hAnsi="宋体"/>
                <w:sz w:val="18"/>
                <w:szCs w:val="18"/>
              </w:rPr>
            </w:pPr>
            <w:r>
              <w:rPr>
                <w:rFonts w:ascii="宋体" w:hAnsi="宋体"/>
                <w:sz w:val="18"/>
                <w:szCs w:val="18"/>
              </w:rPr>
              <w:t>2</w:t>
            </w:r>
            <w:r>
              <w:rPr>
                <w:rFonts w:hint="eastAsia" w:ascii="宋体" w:hAnsi="宋体"/>
                <w:sz w:val="18"/>
                <w:szCs w:val="18"/>
              </w:rPr>
              <w:t>．审查结果报告或过程审查资料。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6379" w:type="dxa"/>
            <w:gridSpan w:val="2"/>
            <w:vAlign w:val="center"/>
          </w:tcPr>
          <w:p>
            <w:pPr>
              <w:spacing w:line="240" w:lineRule="auto"/>
              <w:rPr>
                <w:rFonts w:ascii="宋体" w:hAnsi="宋体"/>
                <w:sz w:val="18"/>
                <w:szCs w:val="20"/>
              </w:rPr>
            </w:pPr>
            <w:r>
              <w:rPr>
                <w:rFonts w:hint="eastAsia" w:ascii="宋体" w:hAnsi="宋体"/>
                <w:sz w:val="18"/>
                <w:szCs w:val="20"/>
              </w:rPr>
              <w:t>采用智能化审查软件或插件，对设计成果进行设计规范、国家地方标准、企业标准等方面智能内部校审，得</w:t>
            </w:r>
            <w:r>
              <w:rPr>
                <w:rFonts w:ascii="宋体" w:hAnsi="宋体"/>
                <w:sz w:val="18"/>
                <w:szCs w:val="18"/>
              </w:rPr>
              <w:t>0.5</w:t>
            </w:r>
            <w:r>
              <w:rPr>
                <w:rFonts w:hint="eastAsia" w:ascii="宋体" w:hAnsi="宋体"/>
                <w:sz w:val="18"/>
                <w:szCs w:val="18"/>
              </w:rPr>
              <w:t>分。</w:t>
            </w:r>
          </w:p>
        </w:tc>
        <w:tc>
          <w:tcPr>
            <w:tcW w:w="985" w:type="dxa"/>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6379" w:type="dxa"/>
            <w:gridSpan w:val="2"/>
            <w:vAlign w:val="center"/>
          </w:tcPr>
          <w:p>
            <w:pPr>
              <w:spacing w:line="240" w:lineRule="auto"/>
              <w:rPr>
                <w:rFonts w:ascii="宋体" w:hAnsi="宋体"/>
                <w:sz w:val="18"/>
                <w:szCs w:val="20"/>
              </w:rPr>
            </w:pPr>
            <w:r>
              <w:rPr>
                <w:rFonts w:hint="eastAsia" w:ascii="宋体" w:hAnsi="宋体"/>
                <w:sz w:val="18"/>
                <w:szCs w:val="20"/>
              </w:rPr>
              <w:t>使用数字化图审技术进行图审工作或在图审前具备数字化图审条件，自动出具图审报告，得0</w:t>
            </w:r>
            <w:r>
              <w:rPr>
                <w:rFonts w:ascii="宋体" w:hAnsi="宋体"/>
                <w:sz w:val="18"/>
                <w:szCs w:val="20"/>
              </w:rPr>
              <w:t>.5</w:t>
            </w:r>
            <w:r>
              <w:rPr>
                <w:rFonts w:hint="eastAsia" w:ascii="宋体" w:hAnsi="宋体"/>
                <w:sz w:val="18"/>
                <w:szCs w:val="20"/>
              </w:rPr>
              <w:t>分。</w:t>
            </w:r>
          </w:p>
        </w:tc>
        <w:tc>
          <w:tcPr>
            <w:tcW w:w="985" w:type="dxa"/>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88" w:type="dxa"/>
            <w:vMerge w:val="restart"/>
            <w:vAlign w:val="center"/>
          </w:tcPr>
          <w:p>
            <w:pPr>
              <w:spacing w:line="240" w:lineRule="auto"/>
              <w:jc w:val="center"/>
              <w:rPr>
                <w:rFonts w:ascii="宋体" w:hAnsi="宋体"/>
                <w:sz w:val="18"/>
                <w:szCs w:val="18"/>
              </w:rPr>
            </w:pPr>
            <w:r>
              <w:rPr>
                <w:rFonts w:hint="eastAsia" w:ascii="宋体" w:hAnsi="宋体"/>
                <w:sz w:val="18"/>
                <w:szCs w:val="18"/>
              </w:rPr>
              <w:t>数据管理</w:t>
            </w:r>
          </w:p>
        </w:tc>
        <w:tc>
          <w:tcPr>
            <w:tcW w:w="992" w:type="dxa"/>
            <w:vAlign w:val="center"/>
          </w:tcPr>
          <w:p>
            <w:pPr>
              <w:spacing w:line="240" w:lineRule="auto"/>
              <w:jc w:val="center"/>
              <w:rPr>
                <w:rFonts w:ascii="宋体" w:hAnsi="宋体"/>
                <w:sz w:val="18"/>
                <w:szCs w:val="18"/>
              </w:rPr>
            </w:pPr>
            <w:r>
              <w:rPr>
                <w:rFonts w:hint="eastAsia" w:ascii="宋体" w:hAnsi="宋体"/>
                <w:sz w:val="18"/>
                <w:szCs w:val="18"/>
              </w:rPr>
              <w:t>软件应用</w:t>
            </w:r>
          </w:p>
          <w:p>
            <w:pPr>
              <w:spacing w:line="240" w:lineRule="auto"/>
              <w:rPr>
                <w:rFonts w:ascii="宋体" w:hAnsi="宋体"/>
                <w:sz w:val="18"/>
                <w:szCs w:val="18"/>
              </w:rPr>
            </w:pPr>
            <w:r>
              <w:rPr>
                <w:rFonts w:hint="eastAsia" w:ascii="宋体" w:hAnsi="宋体"/>
                <w:sz w:val="18"/>
                <w:szCs w:val="20"/>
              </w:rPr>
              <w:t>（</w:t>
            </w:r>
            <w:r>
              <w:rPr>
                <w:rFonts w:ascii="宋体" w:hAnsi="宋体"/>
                <w:sz w:val="18"/>
                <w:szCs w:val="20"/>
              </w:rPr>
              <w:t>1</w:t>
            </w:r>
            <w:r>
              <w:rPr>
                <w:rFonts w:hint="eastAsia" w:ascii="宋体" w:hAnsi="宋体"/>
                <w:sz w:val="18"/>
                <w:szCs w:val="20"/>
              </w:rPr>
              <w:t>分）</w:t>
            </w:r>
          </w:p>
        </w:tc>
        <w:tc>
          <w:tcPr>
            <w:tcW w:w="6379" w:type="dxa"/>
            <w:gridSpan w:val="2"/>
            <w:vAlign w:val="center"/>
          </w:tcPr>
          <w:p>
            <w:pPr>
              <w:spacing w:line="240" w:lineRule="auto"/>
              <w:rPr>
                <w:rFonts w:ascii="宋体" w:hAnsi="宋体"/>
                <w:sz w:val="18"/>
                <w:szCs w:val="18"/>
              </w:rPr>
            </w:pPr>
            <w:r>
              <w:rPr>
                <w:rFonts w:hint="eastAsia" w:ascii="宋体" w:hAnsi="宋体"/>
                <w:sz w:val="18"/>
                <w:szCs w:val="18"/>
              </w:rPr>
              <w:t>使用基于国产自主可控内核开发的各种B</w:t>
            </w:r>
            <w:r>
              <w:rPr>
                <w:rFonts w:ascii="宋体" w:hAnsi="宋体"/>
                <w:sz w:val="18"/>
                <w:szCs w:val="18"/>
              </w:rPr>
              <w:t>IM</w:t>
            </w:r>
            <w:r>
              <w:rPr>
                <w:rFonts w:hint="eastAsia" w:ascii="宋体" w:hAnsi="宋体"/>
                <w:sz w:val="18"/>
                <w:szCs w:val="18"/>
              </w:rPr>
              <w:t>设计软件，涵盖2个专业及以上，得</w:t>
            </w:r>
            <w:r>
              <w:rPr>
                <w:rFonts w:ascii="宋体" w:hAnsi="宋体"/>
                <w:sz w:val="18"/>
                <w:szCs w:val="18"/>
              </w:rPr>
              <w:t>0.5</w:t>
            </w:r>
            <w:r>
              <w:rPr>
                <w:rFonts w:hint="eastAsia" w:ascii="宋体" w:hAnsi="宋体"/>
                <w:sz w:val="18"/>
                <w:szCs w:val="18"/>
              </w:rPr>
              <w:t>分；涵盖</w:t>
            </w:r>
            <w:r>
              <w:rPr>
                <w:rFonts w:ascii="宋体" w:hAnsi="宋体"/>
                <w:sz w:val="18"/>
                <w:szCs w:val="18"/>
              </w:rPr>
              <w:t>4</w:t>
            </w:r>
            <w:r>
              <w:rPr>
                <w:rFonts w:hint="eastAsia" w:ascii="宋体" w:hAnsi="宋体"/>
                <w:sz w:val="18"/>
                <w:szCs w:val="18"/>
              </w:rPr>
              <w:t>个专业及以上，得</w:t>
            </w:r>
            <w:r>
              <w:rPr>
                <w:rFonts w:ascii="宋体" w:hAnsi="宋体"/>
                <w:sz w:val="18"/>
                <w:szCs w:val="18"/>
              </w:rPr>
              <w:t>1</w:t>
            </w:r>
            <w:r>
              <w:rPr>
                <w:rFonts w:hint="eastAsia" w:ascii="宋体" w:hAnsi="宋体"/>
                <w:sz w:val="18"/>
                <w:szCs w:val="18"/>
              </w:rPr>
              <w:t>分。</w:t>
            </w:r>
          </w:p>
        </w:tc>
        <w:tc>
          <w:tcPr>
            <w:tcW w:w="985" w:type="dxa"/>
            <w:vMerge w:val="restart"/>
            <w:vAlign w:val="center"/>
          </w:tcPr>
          <w:p>
            <w:pPr>
              <w:spacing w:line="240" w:lineRule="auto"/>
              <w:rPr>
                <w:rFonts w:ascii="宋体" w:hAnsi="宋体"/>
                <w:sz w:val="18"/>
                <w:szCs w:val="18"/>
              </w:rPr>
            </w:pPr>
            <w:r>
              <w:rPr>
                <w:rFonts w:ascii="宋体" w:hAnsi="宋体"/>
                <w:sz w:val="18"/>
                <w:szCs w:val="18"/>
              </w:rPr>
              <w:t>1</w:t>
            </w:r>
            <w:r>
              <w:rPr>
                <w:rFonts w:hint="eastAsia" w:ascii="宋体" w:hAnsi="宋体"/>
                <w:sz w:val="18"/>
                <w:szCs w:val="18"/>
              </w:rPr>
              <w:t>．过程证明图片或视频。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restart"/>
            <w:vAlign w:val="center"/>
          </w:tcPr>
          <w:p>
            <w:pPr>
              <w:spacing w:line="240" w:lineRule="auto"/>
              <w:jc w:val="center"/>
              <w:rPr>
                <w:rFonts w:ascii="宋体" w:hAnsi="宋体"/>
                <w:sz w:val="18"/>
                <w:szCs w:val="18"/>
              </w:rPr>
            </w:pPr>
            <w:r>
              <w:rPr>
                <w:rFonts w:hint="eastAsia" w:ascii="宋体" w:hAnsi="宋体"/>
                <w:sz w:val="18"/>
                <w:szCs w:val="18"/>
              </w:rPr>
              <w:t>数据要求</w:t>
            </w:r>
          </w:p>
          <w:p>
            <w:pPr>
              <w:spacing w:line="240" w:lineRule="auto"/>
              <w:jc w:val="center"/>
              <w:rPr>
                <w:rFonts w:ascii="宋体" w:hAnsi="宋体"/>
                <w:sz w:val="18"/>
                <w:szCs w:val="18"/>
              </w:rPr>
            </w:pPr>
            <w:r>
              <w:rPr>
                <w:rFonts w:hint="eastAsia" w:ascii="宋体" w:hAnsi="宋体"/>
                <w:sz w:val="18"/>
                <w:szCs w:val="20"/>
              </w:rPr>
              <w:t>（</w:t>
            </w:r>
            <w:r>
              <w:rPr>
                <w:rFonts w:ascii="宋体" w:hAnsi="宋体"/>
                <w:sz w:val="18"/>
                <w:szCs w:val="20"/>
              </w:rPr>
              <w:t>2</w:t>
            </w:r>
            <w:r>
              <w:rPr>
                <w:rFonts w:hint="eastAsia" w:ascii="宋体" w:hAnsi="宋体"/>
                <w:sz w:val="18"/>
                <w:szCs w:val="20"/>
              </w:rPr>
              <w:t>分）</w:t>
            </w:r>
          </w:p>
        </w:tc>
        <w:tc>
          <w:tcPr>
            <w:tcW w:w="6379" w:type="dxa"/>
            <w:gridSpan w:val="2"/>
            <w:vAlign w:val="center"/>
          </w:tcPr>
          <w:p>
            <w:pPr>
              <w:spacing w:line="240" w:lineRule="auto"/>
              <w:rPr>
                <w:rFonts w:ascii="宋体" w:hAnsi="宋体"/>
                <w:sz w:val="18"/>
                <w:szCs w:val="18"/>
              </w:rPr>
            </w:pPr>
            <w:r>
              <w:rPr>
                <w:rFonts w:hint="eastAsia" w:ascii="宋体" w:hAnsi="宋体"/>
                <w:sz w:val="18"/>
                <w:szCs w:val="20"/>
              </w:rPr>
              <w:t>B</w:t>
            </w:r>
            <w:r>
              <w:rPr>
                <w:rFonts w:ascii="宋体" w:hAnsi="宋体"/>
                <w:sz w:val="18"/>
                <w:szCs w:val="20"/>
              </w:rPr>
              <w:t>IM</w:t>
            </w:r>
            <w:r>
              <w:rPr>
                <w:rFonts w:hint="eastAsia" w:ascii="宋体" w:hAnsi="宋体"/>
                <w:sz w:val="18"/>
                <w:szCs w:val="20"/>
              </w:rPr>
              <w:t>设计应用及模型深度、质量等须满足国家、地方建筑信息模型B</w:t>
            </w:r>
            <w:r>
              <w:rPr>
                <w:rFonts w:ascii="宋体" w:hAnsi="宋体"/>
                <w:sz w:val="18"/>
                <w:szCs w:val="20"/>
              </w:rPr>
              <w:t>IM</w:t>
            </w:r>
            <w:r>
              <w:rPr>
                <w:rFonts w:hint="eastAsia" w:ascii="宋体" w:hAnsi="宋体"/>
                <w:sz w:val="18"/>
                <w:szCs w:val="20"/>
              </w:rPr>
              <w:t>应用相关标准，得</w:t>
            </w:r>
            <w:r>
              <w:rPr>
                <w:rFonts w:ascii="宋体" w:hAnsi="宋体"/>
                <w:sz w:val="18"/>
                <w:szCs w:val="18"/>
              </w:rPr>
              <w:t>0.5</w:t>
            </w:r>
            <w:r>
              <w:rPr>
                <w:rFonts w:hint="eastAsia" w:ascii="宋体" w:hAnsi="宋体"/>
                <w:sz w:val="18"/>
                <w:szCs w:val="18"/>
              </w:rPr>
              <w:t>分</w:t>
            </w:r>
            <w:r>
              <w:rPr>
                <w:rFonts w:hint="eastAsia" w:ascii="宋体" w:hAnsi="宋体"/>
                <w:sz w:val="18"/>
                <w:szCs w:val="20"/>
              </w:rPr>
              <w:t>。</w:t>
            </w:r>
          </w:p>
        </w:tc>
        <w:tc>
          <w:tcPr>
            <w:tcW w:w="985" w:type="dxa"/>
            <w:vMerge w:val="continue"/>
            <w:vAlign w:val="center"/>
          </w:tcPr>
          <w:p>
            <w:pPr>
              <w:spacing w:line="24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rPr>
                <w:rFonts w:ascii="宋体" w:hAnsi="宋体"/>
                <w:sz w:val="18"/>
                <w:szCs w:val="18"/>
              </w:rPr>
            </w:pPr>
          </w:p>
        </w:tc>
        <w:tc>
          <w:tcPr>
            <w:tcW w:w="6379" w:type="dxa"/>
            <w:gridSpan w:val="2"/>
            <w:vAlign w:val="center"/>
          </w:tcPr>
          <w:p>
            <w:pPr>
              <w:spacing w:line="240" w:lineRule="auto"/>
              <w:rPr>
                <w:rFonts w:ascii="宋体" w:hAnsi="宋体"/>
                <w:sz w:val="18"/>
                <w:szCs w:val="18"/>
              </w:rPr>
            </w:pPr>
            <w:r>
              <w:rPr>
                <w:rFonts w:hint="eastAsia" w:ascii="宋体" w:hAnsi="宋体"/>
                <w:sz w:val="18"/>
                <w:szCs w:val="18"/>
              </w:rPr>
              <w:t>施工图设计B</w:t>
            </w:r>
            <w:r>
              <w:rPr>
                <w:rFonts w:ascii="宋体" w:hAnsi="宋体"/>
                <w:sz w:val="18"/>
                <w:szCs w:val="18"/>
              </w:rPr>
              <w:t>IM</w:t>
            </w:r>
            <w:r>
              <w:rPr>
                <w:rFonts w:hint="eastAsia" w:ascii="宋体" w:hAnsi="宋体"/>
                <w:sz w:val="18"/>
                <w:szCs w:val="18"/>
              </w:rPr>
              <w:t>模型、深化设计B</w:t>
            </w:r>
            <w:r>
              <w:rPr>
                <w:rFonts w:ascii="宋体" w:hAnsi="宋体"/>
                <w:sz w:val="18"/>
                <w:szCs w:val="18"/>
              </w:rPr>
              <w:t>IM</w:t>
            </w:r>
            <w:r>
              <w:rPr>
                <w:rFonts w:hint="eastAsia" w:ascii="宋体" w:hAnsi="宋体"/>
                <w:sz w:val="18"/>
                <w:szCs w:val="18"/>
              </w:rPr>
              <w:t>模型、装饰装修设计B</w:t>
            </w:r>
            <w:r>
              <w:rPr>
                <w:rFonts w:ascii="宋体" w:hAnsi="宋体"/>
                <w:sz w:val="18"/>
                <w:szCs w:val="18"/>
              </w:rPr>
              <w:t>IM</w:t>
            </w:r>
            <w:r>
              <w:rPr>
                <w:rFonts w:hint="eastAsia" w:ascii="宋体" w:hAnsi="宋体"/>
                <w:sz w:val="18"/>
                <w:szCs w:val="18"/>
              </w:rPr>
              <w:t>模型等均基于建筑方案设计B</w:t>
            </w:r>
            <w:r>
              <w:rPr>
                <w:rFonts w:ascii="宋体" w:hAnsi="宋体"/>
                <w:sz w:val="18"/>
                <w:szCs w:val="18"/>
              </w:rPr>
              <w:t>IM</w:t>
            </w:r>
            <w:r>
              <w:rPr>
                <w:rFonts w:hint="eastAsia" w:ascii="宋体" w:hAnsi="宋体"/>
                <w:sz w:val="18"/>
                <w:szCs w:val="18"/>
              </w:rPr>
              <w:t>模型进行深化或派生</w:t>
            </w:r>
            <w:r>
              <w:rPr>
                <w:rFonts w:hint="eastAsia" w:ascii="宋体" w:hAnsi="宋体"/>
                <w:sz w:val="18"/>
                <w:szCs w:val="20"/>
              </w:rPr>
              <w:t>，得</w:t>
            </w:r>
            <w:r>
              <w:rPr>
                <w:rFonts w:ascii="宋体" w:hAnsi="宋体"/>
                <w:sz w:val="18"/>
                <w:szCs w:val="18"/>
              </w:rPr>
              <w:t>0.5</w:t>
            </w:r>
            <w:r>
              <w:rPr>
                <w:rFonts w:hint="eastAsia" w:ascii="宋体" w:hAnsi="宋体"/>
                <w:sz w:val="18"/>
                <w:szCs w:val="18"/>
              </w:rPr>
              <w:t>分。</w:t>
            </w:r>
          </w:p>
        </w:tc>
        <w:tc>
          <w:tcPr>
            <w:tcW w:w="985" w:type="dxa"/>
            <w:vMerge w:val="continue"/>
            <w:vAlign w:val="center"/>
          </w:tcPr>
          <w:p>
            <w:pPr>
              <w:spacing w:line="24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rPr>
                <w:rFonts w:ascii="宋体" w:hAnsi="宋体"/>
                <w:sz w:val="18"/>
                <w:szCs w:val="18"/>
              </w:rPr>
            </w:pPr>
          </w:p>
        </w:tc>
        <w:tc>
          <w:tcPr>
            <w:tcW w:w="6379" w:type="dxa"/>
            <w:gridSpan w:val="2"/>
            <w:vAlign w:val="center"/>
          </w:tcPr>
          <w:p>
            <w:pPr>
              <w:spacing w:line="240" w:lineRule="auto"/>
              <w:rPr>
                <w:rFonts w:ascii="宋体" w:hAnsi="宋体"/>
                <w:sz w:val="18"/>
                <w:szCs w:val="18"/>
              </w:rPr>
            </w:pPr>
            <w:r>
              <w:rPr>
                <w:rFonts w:hint="eastAsia" w:ascii="宋体" w:hAnsi="宋体"/>
                <w:sz w:val="18"/>
                <w:szCs w:val="20"/>
              </w:rPr>
              <w:t>设计阶段BIM模型数据可以直接传递或通过转化后无损传递到生产端、施工端和运维端</w:t>
            </w:r>
            <w:r>
              <w:rPr>
                <w:rFonts w:hint="eastAsia" w:ascii="宋体" w:hAnsi="宋体"/>
                <w:sz w:val="18"/>
                <w:szCs w:val="18"/>
              </w:rPr>
              <w:t>，满足进一步深化要求</w:t>
            </w:r>
            <w:r>
              <w:rPr>
                <w:rFonts w:hint="eastAsia" w:ascii="宋体" w:hAnsi="宋体"/>
                <w:sz w:val="18"/>
                <w:szCs w:val="20"/>
              </w:rPr>
              <w:t>，得</w:t>
            </w:r>
            <w:r>
              <w:rPr>
                <w:rFonts w:ascii="宋体" w:hAnsi="宋体"/>
                <w:sz w:val="18"/>
                <w:szCs w:val="18"/>
              </w:rPr>
              <w:t>0.5</w:t>
            </w:r>
            <w:r>
              <w:rPr>
                <w:rFonts w:hint="eastAsia" w:ascii="宋体" w:hAnsi="宋体"/>
                <w:sz w:val="18"/>
                <w:szCs w:val="18"/>
              </w:rPr>
              <w:t>分。</w:t>
            </w:r>
          </w:p>
        </w:tc>
        <w:tc>
          <w:tcPr>
            <w:tcW w:w="985" w:type="dxa"/>
            <w:vMerge w:val="continue"/>
            <w:vAlign w:val="center"/>
          </w:tcPr>
          <w:p>
            <w:pPr>
              <w:spacing w:line="24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rPr>
                <w:rFonts w:ascii="宋体" w:hAnsi="宋体"/>
                <w:sz w:val="18"/>
                <w:szCs w:val="18"/>
              </w:rPr>
            </w:pPr>
          </w:p>
        </w:tc>
        <w:tc>
          <w:tcPr>
            <w:tcW w:w="6379" w:type="dxa"/>
            <w:gridSpan w:val="2"/>
            <w:vAlign w:val="center"/>
          </w:tcPr>
          <w:p>
            <w:pPr>
              <w:spacing w:line="240" w:lineRule="auto"/>
              <w:rPr>
                <w:rFonts w:ascii="宋体" w:hAnsi="宋体"/>
                <w:sz w:val="18"/>
                <w:szCs w:val="18"/>
              </w:rPr>
            </w:pPr>
            <w:r>
              <w:rPr>
                <w:rFonts w:hint="eastAsia" w:ascii="宋体" w:hAnsi="宋体"/>
                <w:sz w:val="18"/>
                <w:szCs w:val="18"/>
              </w:rPr>
              <w:t>B</w:t>
            </w:r>
            <w:r>
              <w:rPr>
                <w:rFonts w:ascii="宋体" w:hAnsi="宋体"/>
                <w:sz w:val="18"/>
                <w:szCs w:val="18"/>
              </w:rPr>
              <w:t>IM</w:t>
            </w:r>
            <w:r>
              <w:rPr>
                <w:rFonts w:hint="eastAsia" w:ascii="宋体" w:hAnsi="宋体"/>
                <w:sz w:val="18"/>
                <w:szCs w:val="18"/>
              </w:rPr>
              <w:t>设计使用包括分类和编码库、模板和样式库、构件和产品库、规则库和知识库中3项及以上</w:t>
            </w:r>
            <w:r>
              <w:rPr>
                <w:rFonts w:hint="eastAsia" w:ascii="宋体" w:hAnsi="宋体"/>
                <w:sz w:val="18"/>
                <w:szCs w:val="20"/>
              </w:rPr>
              <w:t>，得</w:t>
            </w:r>
            <w:r>
              <w:rPr>
                <w:rFonts w:ascii="宋体" w:hAnsi="宋体"/>
                <w:sz w:val="18"/>
                <w:szCs w:val="18"/>
              </w:rPr>
              <w:t>0.5</w:t>
            </w:r>
            <w:r>
              <w:rPr>
                <w:rFonts w:hint="eastAsia" w:ascii="宋体" w:hAnsi="宋体"/>
                <w:sz w:val="18"/>
                <w:szCs w:val="18"/>
              </w:rPr>
              <w:t>分。</w:t>
            </w:r>
          </w:p>
        </w:tc>
        <w:tc>
          <w:tcPr>
            <w:tcW w:w="985" w:type="dxa"/>
            <w:vMerge w:val="continue"/>
            <w:vAlign w:val="center"/>
          </w:tcPr>
          <w:p>
            <w:pPr>
              <w:spacing w:line="24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88" w:type="dxa"/>
            <w:vMerge w:val="restart"/>
            <w:vAlign w:val="center"/>
          </w:tcPr>
          <w:p>
            <w:pPr>
              <w:spacing w:line="240" w:lineRule="auto"/>
              <w:jc w:val="center"/>
              <w:rPr>
                <w:rFonts w:ascii="宋体" w:hAnsi="宋体"/>
                <w:sz w:val="18"/>
                <w:szCs w:val="18"/>
              </w:rPr>
            </w:pPr>
            <w:r>
              <w:rPr>
                <w:rFonts w:hint="eastAsia" w:ascii="宋体" w:hAnsi="宋体"/>
                <w:sz w:val="18"/>
                <w:szCs w:val="18"/>
              </w:rPr>
              <w:t>数字化交付</w:t>
            </w:r>
          </w:p>
        </w:tc>
        <w:tc>
          <w:tcPr>
            <w:tcW w:w="992" w:type="dxa"/>
            <w:vMerge w:val="restart"/>
            <w:vAlign w:val="center"/>
          </w:tcPr>
          <w:p>
            <w:pPr>
              <w:spacing w:line="240" w:lineRule="auto"/>
              <w:jc w:val="center"/>
              <w:rPr>
                <w:rFonts w:ascii="宋体" w:hAnsi="宋体"/>
                <w:sz w:val="18"/>
                <w:szCs w:val="18"/>
              </w:rPr>
            </w:pPr>
            <w:r>
              <w:rPr>
                <w:rFonts w:hint="eastAsia" w:ascii="宋体" w:hAnsi="宋体"/>
                <w:sz w:val="18"/>
                <w:szCs w:val="18"/>
              </w:rPr>
              <w:t>交付内容及B</w:t>
            </w:r>
            <w:r>
              <w:rPr>
                <w:rFonts w:ascii="宋体" w:hAnsi="宋体"/>
                <w:sz w:val="18"/>
                <w:szCs w:val="18"/>
              </w:rPr>
              <w:t>IM</w:t>
            </w:r>
            <w:r>
              <w:rPr>
                <w:rFonts w:hint="eastAsia" w:ascii="宋体" w:hAnsi="宋体"/>
                <w:sz w:val="18"/>
                <w:szCs w:val="18"/>
              </w:rPr>
              <w:t>模型要求</w:t>
            </w:r>
          </w:p>
          <w:p>
            <w:pPr>
              <w:spacing w:line="240" w:lineRule="auto"/>
              <w:rPr>
                <w:rFonts w:ascii="宋体" w:hAnsi="宋体"/>
                <w:sz w:val="18"/>
                <w:szCs w:val="18"/>
              </w:rPr>
            </w:pPr>
            <w:r>
              <w:rPr>
                <w:rFonts w:hint="eastAsia" w:ascii="宋体" w:hAnsi="宋体"/>
                <w:sz w:val="18"/>
                <w:szCs w:val="20"/>
              </w:rPr>
              <w:t>（</w:t>
            </w:r>
            <w:r>
              <w:rPr>
                <w:rFonts w:ascii="宋体" w:hAnsi="宋体"/>
                <w:sz w:val="18"/>
                <w:szCs w:val="20"/>
              </w:rPr>
              <w:t>3</w:t>
            </w:r>
            <w:r>
              <w:rPr>
                <w:rFonts w:hint="eastAsia" w:ascii="宋体" w:hAnsi="宋体"/>
                <w:sz w:val="18"/>
                <w:szCs w:val="20"/>
              </w:rPr>
              <w:t>分）</w:t>
            </w:r>
          </w:p>
        </w:tc>
        <w:tc>
          <w:tcPr>
            <w:tcW w:w="6379" w:type="dxa"/>
            <w:gridSpan w:val="2"/>
            <w:vAlign w:val="center"/>
          </w:tcPr>
          <w:p>
            <w:pPr>
              <w:spacing w:line="240" w:lineRule="auto"/>
              <w:rPr>
                <w:rFonts w:ascii="宋体" w:hAnsi="宋体"/>
                <w:sz w:val="18"/>
                <w:szCs w:val="20"/>
              </w:rPr>
            </w:pPr>
            <w:r>
              <w:rPr>
                <w:rFonts w:hint="eastAsia" w:ascii="宋体" w:hAnsi="宋体"/>
                <w:sz w:val="18"/>
                <w:szCs w:val="20"/>
              </w:rPr>
              <w:t>提交的设计阶段BIM模型须满足当地政府数字化图审要求，得</w:t>
            </w:r>
            <w:r>
              <w:rPr>
                <w:rFonts w:ascii="宋体" w:hAnsi="宋体"/>
                <w:sz w:val="18"/>
                <w:szCs w:val="18"/>
              </w:rPr>
              <w:t>0.5</w:t>
            </w:r>
            <w:r>
              <w:rPr>
                <w:rFonts w:hint="eastAsia" w:ascii="宋体" w:hAnsi="宋体"/>
                <w:sz w:val="18"/>
                <w:szCs w:val="18"/>
              </w:rPr>
              <w:t>分</w:t>
            </w:r>
            <w:r>
              <w:rPr>
                <w:rFonts w:hint="eastAsia" w:ascii="宋体" w:hAnsi="宋体"/>
                <w:sz w:val="18"/>
                <w:szCs w:val="20"/>
              </w:rPr>
              <w:t>。</w:t>
            </w:r>
          </w:p>
        </w:tc>
        <w:tc>
          <w:tcPr>
            <w:tcW w:w="985" w:type="dxa"/>
            <w:vMerge w:val="restart"/>
            <w:vAlign w:val="center"/>
          </w:tcPr>
          <w:p>
            <w:pPr>
              <w:spacing w:line="240" w:lineRule="auto"/>
              <w:rPr>
                <w:rFonts w:ascii="宋体" w:hAnsi="宋体"/>
                <w:sz w:val="18"/>
                <w:szCs w:val="18"/>
              </w:rPr>
            </w:pPr>
            <w:r>
              <w:rPr>
                <w:rFonts w:ascii="宋体" w:hAnsi="宋体"/>
                <w:sz w:val="18"/>
                <w:szCs w:val="18"/>
              </w:rPr>
              <w:t>1.</w:t>
            </w:r>
            <w:r>
              <w:rPr>
                <w:rFonts w:hint="eastAsia" w:ascii="宋体" w:hAnsi="宋体"/>
                <w:sz w:val="18"/>
                <w:szCs w:val="18"/>
              </w:rPr>
              <w:t>各专业B</w:t>
            </w:r>
            <w:r>
              <w:rPr>
                <w:rFonts w:ascii="宋体" w:hAnsi="宋体"/>
                <w:sz w:val="18"/>
                <w:szCs w:val="18"/>
              </w:rPr>
              <w:t>IM</w:t>
            </w:r>
            <w:r>
              <w:rPr>
                <w:rFonts w:hint="eastAsia" w:ascii="宋体" w:hAnsi="宋体"/>
                <w:sz w:val="18"/>
                <w:szCs w:val="18"/>
              </w:rPr>
              <w:t>交付模型。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6379" w:type="dxa"/>
            <w:gridSpan w:val="2"/>
            <w:vAlign w:val="center"/>
          </w:tcPr>
          <w:p>
            <w:pPr>
              <w:spacing w:line="240" w:lineRule="auto"/>
              <w:rPr>
                <w:rFonts w:ascii="宋体" w:hAnsi="宋体"/>
                <w:sz w:val="18"/>
                <w:szCs w:val="20"/>
              </w:rPr>
            </w:pPr>
            <w:r>
              <w:rPr>
                <w:rFonts w:hint="eastAsia" w:ascii="宋体" w:hAnsi="宋体"/>
                <w:sz w:val="18"/>
                <w:szCs w:val="20"/>
              </w:rPr>
              <w:t>B</w:t>
            </w:r>
            <w:r>
              <w:rPr>
                <w:rFonts w:ascii="宋体" w:hAnsi="宋体"/>
                <w:sz w:val="18"/>
                <w:szCs w:val="20"/>
              </w:rPr>
              <w:t>IM</w:t>
            </w:r>
            <w:r>
              <w:rPr>
                <w:rFonts w:hint="eastAsia" w:ascii="宋体" w:hAnsi="宋体"/>
                <w:sz w:val="18"/>
                <w:szCs w:val="20"/>
              </w:rPr>
              <w:t>模型应涵盖参评项目所有单体及地下部分，包括建筑、结构、机电等全专业，得</w:t>
            </w:r>
            <w:r>
              <w:rPr>
                <w:rFonts w:ascii="宋体" w:hAnsi="宋体"/>
                <w:sz w:val="18"/>
                <w:szCs w:val="18"/>
              </w:rPr>
              <w:t>0.5</w:t>
            </w:r>
            <w:r>
              <w:rPr>
                <w:rFonts w:hint="eastAsia" w:ascii="宋体" w:hAnsi="宋体"/>
                <w:sz w:val="18"/>
                <w:szCs w:val="18"/>
              </w:rPr>
              <w:t>分。</w:t>
            </w:r>
          </w:p>
        </w:tc>
        <w:tc>
          <w:tcPr>
            <w:tcW w:w="985" w:type="dxa"/>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6379" w:type="dxa"/>
            <w:gridSpan w:val="2"/>
            <w:vAlign w:val="center"/>
          </w:tcPr>
          <w:p>
            <w:pPr>
              <w:spacing w:line="240" w:lineRule="auto"/>
              <w:rPr>
                <w:rFonts w:ascii="宋体" w:hAnsi="宋体"/>
                <w:sz w:val="18"/>
                <w:szCs w:val="20"/>
              </w:rPr>
            </w:pPr>
            <w:r>
              <w:rPr>
                <w:rFonts w:hint="eastAsia" w:ascii="宋体" w:hAnsi="宋体"/>
                <w:sz w:val="18"/>
                <w:szCs w:val="20"/>
              </w:rPr>
              <w:t>提交项目整体</w:t>
            </w:r>
            <w:r>
              <w:rPr>
                <w:rFonts w:ascii="宋体" w:hAnsi="宋体"/>
                <w:sz w:val="18"/>
                <w:szCs w:val="20"/>
              </w:rPr>
              <w:t>BIM漫游动画及三维轴测图，展示BIM模型成果</w:t>
            </w:r>
            <w:r>
              <w:rPr>
                <w:rFonts w:hint="eastAsia" w:ascii="宋体" w:hAnsi="宋体"/>
                <w:sz w:val="18"/>
                <w:szCs w:val="20"/>
              </w:rPr>
              <w:t>，得</w:t>
            </w:r>
            <w:r>
              <w:rPr>
                <w:rFonts w:ascii="宋体" w:hAnsi="宋体"/>
                <w:sz w:val="18"/>
                <w:szCs w:val="18"/>
              </w:rPr>
              <w:t>0.5</w:t>
            </w:r>
            <w:r>
              <w:rPr>
                <w:rFonts w:hint="eastAsia" w:ascii="宋体" w:hAnsi="宋体"/>
                <w:sz w:val="18"/>
                <w:szCs w:val="18"/>
              </w:rPr>
              <w:t>分</w:t>
            </w:r>
            <w:r>
              <w:rPr>
                <w:rFonts w:ascii="宋体" w:hAnsi="宋体"/>
                <w:sz w:val="18"/>
                <w:szCs w:val="20"/>
              </w:rPr>
              <w:t>。</w:t>
            </w:r>
          </w:p>
        </w:tc>
        <w:tc>
          <w:tcPr>
            <w:tcW w:w="985" w:type="dxa"/>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6379" w:type="dxa"/>
            <w:gridSpan w:val="2"/>
            <w:vAlign w:val="center"/>
          </w:tcPr>
          <w:p>
            <w:pPr>
              <w:spacing w:line="240" w:lineRule="auto"/>
              <w:rPr>
                <w:rFonts w:ascii="宋体" w:hAnsi="宋体"/>
                <w:sz w:val="18"/>
                <w:szCs w:val="20"/>
              </w:rPr>
            </w:pPr>
            <w:r>
              <w:rPr>
                <w:rFonts w:hint="eastAsia" w:ascii="宋体" w:hAnsi="宋体"/>
                <w:sz w:val="18"/>
                <w:szCs w:val="20"/>
              </w:rPr>
              <w:t>建立设计阶段完整的B</w:t>
            </w:r>
            <w:r>
              <w:rPr>
                <w:rFonts w:ascii="宋体" w:hAnsi="宋体"/>
                <w:sz w:val="18"/>
                <w:szCs w:val="20"/>
              </w:rPr>
              <w:t>IM</w:t>
            </w:r>
            <w:r>
              <w:rPr>
                <w:rFonts w:hint="eastAsia" w:ascii="宋体" w:hAnsi="宋体"/>
                <w:sz w:val="18"/>
                <w:szCs w:val="20"/>
              </w:rPr>
              <w:t>应用管理文件，管理过程线上化留痕，支持数字化竣工验收及存档，得</w:t>
            </w:r>
            <w:r>
              <w:rPr>
                <w:rFonts w:ascii="宋体" w:hAnsi="宋体"/>
                <w:sz w:val="18"/>
                <w:szCs w:val="18"/>
              </w:rPr>
              <w:t>0.5</w:t>
            </w:r>
            <w:r>
              <w:rPr>
                <w:rFonts w:hint="eastAsia" w:ascii="宋体" w:hAnsi="宋体"/>
                <w:sz w:val="18"/>
                <w:szCs w:val="18"/>
              </w:rPr>
              <w:t>分</w:t>
            </w:r>
            <w:r>
              <w:rPr>
                <w:rFonts w:hint="eastAsia" w:ascii="宋体" w:hAnsi="宋体"/>
                <w:sz w:val="18"/>
                <w:szCs w:val="20"/>
              </w:rPr>
              <w:t>。</w:t>
            </w:r>
          </w:p>
        </w:tc>
        <w:tc>
          <w:tcPr>
            <w:tcW w:w="985" w:type="dxa"/>
            <w:vAlign w:val="center"/>
          </w:tcPr>
          <w:p>
            <w:pPr>
              <w:snapToGrid w:val="0"/>
              <w:spacing w:line="240" w:lineRule="auto"/>
              <w:rPr>
                <w:rFonts w:ascii="宋体" w:hAnsi="宋体"/>
                <w:sz w:val="18"/>
                <w:szCs w:val="18"/>
              </w:rPr>
            </w:pPr>
            <w:r>
              <w:rPr>
                <w:rFonts w:ascii="宋体" w:hAnsi="宋体"/>
                <w:sz w:val="18"/>
                <w:szCs w:val="18"/>
              </w:rPr>
              <w:t>1</w:t>
            </w:r>
            <w:r>
              <w:rPr>
                <w:rFonts w:hint="eastAsia" w:ascii="宋体" w:hAnsi="宋体"/>
                <w:sz w:val="18"/>
                <w:szCs w:val="18"/>
              </w:rPr>
              <w:t>．过程证明图片或视频；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6379" w:type="dxa"/>
            <w:gridSpan w:val="2"/>
            <w:vAlign w:val="center"/>
          </w:tcPr>
          <w:p>
            <w:pPr>
              <w:spacing w:line="240" w:lineRule="auto"/>
              <w:rPr>
                <w:rFonts w:ascii="宋体" w:hAnsi="宋体"/>
                <w:sz w:val="18"/>
                <w:szCs w:val="20"/>
              </w:rPr>
            </w:pPr>
            <w:r>
              <w:rPr>
                <w:rFonts w:hint="eastAsia" w:ascii="宋体" w:hAnsi="宋体"/>
                <w:sz w:val="18"/>
                <w:szCs w:val="20"/>
              </w:rPr>
              <w:t>采用具有数字化交付功能的数字化平台，完成设计阶段设计模型、文档和相关资料的有效传递，实现通过关键字、业务标签、基础编码等对业务数据、用户资料、图纸模型等进行智能搜索，得</w:t>
            </w:r>
            <w:r>
              <w:rPr>
                <w:rFonts w:ascii="宋体" w:hAnsi="宋体"/>
                <w:sz w:val="18"/>
                <w:szCs w:val="20"/>
              </w:rPr>
              <w:t>1</w:t>
            </w:r>
            <w:r>
              <w:rPr>
                <w:rFonts w:hint="eastAsia" w:ascii="宋体" w:hAnsi="宋体"/>
                <w:sz w:val="18"/>
                <w:szCs w:val="20"/>
              </w:rPr>
              <w:t>分。</w:t>
            </w:r>
          </w:p>
        </w:tc>
        <w:tc>
          <w:tcPr>
            <w:tcW w:w="985" w:type="dxa"/>
            <w:vAlign w:val="center"/>
          </w:tcPr>
          <w:p>
            <w:pPr>
              <w:spacing w:line="240" w:lineRule="auto"/>
              <w:rPr>
                <w:rFonts w:ascii="宋体" w:hAnsi="宋体"/>
                <w:sz w:val="18"/>
                <w:szCs w:val="18"/>
              </w:rPr>
            </w:pPr>
            <w:r>
              <w:rPr>
                <w:rFonts w:ascii="宋体" w:hAnsi="宋体"/>
                <w:sz w:val="18"/>
                <w:szCs w:val="18"/>
              </w:rPr>
              <w:t>1.</w:t>
            </w:r>
            <w:r>
              <w:rPr>
                <w:rFonts w:hint="eastAsia" w:ascii="宋体" w:hAnsi="宋体"/>
                <w:sz w:val="18"/>
                <w:szCs w:val="18"/>
              </w:rPr>
              <w:t>平台使用过程资料。</w:t>
            </w:r>
          </w:p>
        </w:tc>
      </w:tr>
    </w:tbl>
    <w:p>
      <w:pPr>
        <w:pStyle w:val="66"/>
        <w:ind w:firstLine="0" w:firstLineChars="0"/>
        <w:jc w:val="center"/>
      </w:pPr>
    </w:p>
    <w:p>
      <w:pPr>
        <w:pStyle w:val="175"/>
      </w:pPr>
      <w:r>
        <w:rPr>
          <w:rFonts w:hint="eastAsia" w:hAnsi="宋体"/>
          <w:szCs w:val="21"/>
        </w:rPr>
        <w:t>智能生产部分共分为数据资源、数据驱动、数字化生产管理、智能装备和数字化交付</w:t>
      </w:r>
      <w:r>
        <w:rPr>
          <w:rFonts w:hAnsi="宋体"/>
          <w:szCs w:val="21"/>
        </w:rPr>
        <w:t>5</w:t>
      </w:r>
      <w:r>
        <w:rPr>
          <w:rFonts w:hint="eastAsia" w:hAnsi="宋体"/>
          <w:szCs w:val="21"/>
        </w:rPr>
        <w:t>类评价指标，评分规则应符合表</w:t>
      </w:r>
      <w:r>
        <w:rPr>
          <w:rFonts w:hAnsi="宋体"/>
          <w:szCs w:val="21"/>
        </w:rPr>
        <w:t>4</w:t>
      </w:r>
      <w:r>
        <w:rPr>
          <w:rFonts w:hint="eastAsia" w:hAnsi="宋体"/>
          <w:szCs w:val="21"/>
        </w:rPr>
        <w:t>的规定，本项评价的最高分值为</w:t>
      </w:r>
      <w:r>
        <w:rPr>
          <w:rFonts w:hAnsi="宋体"/>
          <w:szCs w:val="21"/>
        </w:rPr>
        <w:t>15</w:t>
      </w:r>
      <w:r>
        <w:rPr>
          <w:rFonts w:hint="eastAsia" w:hAnsi="宋体"/>
          <w:szCs w:val="21"/>
        </w:rPr>
        <w:t>分</w:t>
      </w:r>
      <w:r>
        <w:rPr>
          <w:rFonts w:hint="eastAsia"/>
        </w:rPr>
        <w:t>。</w:t>
      </w:r>
    </w:p>
    <w:p>
      <w:pPr>
        <w:pStyle w:val="122"/>
        <w:spacing w:before="156" w:after="156"/>
        <w:ind w:left="0"/>
      </w:pPr>
      <w:r>
        <w:rPr>
          <w:rFonts w:hint="eastAsia"/>
        </w:rPr>
        <w:t>智能生产评分规则</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1014"/>
        <w:gridCol w:w="6544"/>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524" w:type="pct"/>
            <w:vAlign w:val="center"/>
          </w:tcPr>
          <w:p>
            <w:pPr>
              <w:spacing w:line="240" w:lineRule="auto"/>
              <w:jc w:val="center"/>
              <w:rPr>
                <w:rFonts w:ascii="宋体" w:hAnsi="宋体"/>
                <w:sz w:val="18"/>
                <w:szCs w:val="18"/>
              </w:rPr>
            </w:pPr>
            <w:r>
              <w:rPr>
                <w:rFonts w:hint="eastAsia" w:ascii="宋体" w:hAnsi="宋体"/>
                <w:sz w:val="18"/>
                <w:szCs w:val="18"/>
              </w:rPr>
              <w:t>评价指标</w:t>
            </w:r>
          </w:p>
        </w:tc>
        <w:tc>
          <w:tcPr>
            <w:tcW w:w="530" w:type="pct"/>
            <w:vAlign w:val="center"/>
          </w:tcPr>
          <w:p>
            <w:pPr>
              <w:spacing w:line="240" w:lineRule="auto"/>
              <w:jc w:val="center"/>
              <w:rPr>
                <w:rFonts w:ascii="宋体" w:hAnsi="宋体"/>
                <w:sz w:val="18"/>
                <w:szCs w:val="18"/>
              </w:rPr>
            </w:pPr>
            <w:r>
              <w:rPr>
                <w:rFonts w:hint="eastAsia" w:ascii="宋体" w:hAnsi="宋体"/>
                <w:sz w:val="18"/>
                <w:szCs w:val="18"/>
              </w:rPr>
              <w:t>评价模块</w:t>
            </w:r>
          </w:p>
        </w:tc>
        <w:tc>
          <w:tcPr>
            <w:tcW w:w="3419" w:type="pct"/>
            <w:vAlign w:val="center"/>
          </w:tcPr>
          <w:p>
            <w:pPr>
              <w:spacing w:line="240" w:lineRule="auto"/>
              <w:jc w:val="center"/>
              <w:rPr>
                <w:rFonts w:ascii="宋体" w:hAnsi="宋体"/>
                <w:sz w:val="18"/>
                <w:szCs w:val="18"/>
              </w:rPr>
            </w:pPr>
            <w:r>
              <w:rPr>
                <w:rFonts w:hint="eastAsia" w:ascii="宋体" w:hAnsi="宋体"/>
                <w:sz w:val="18"/>
                <w:szCs w:val="18"/>
              </w:rPr>
              <w:t>评分标准</w:t>
            </w:r>
          </w:p>
        </w:tc>
        <w:tc>
          <w:tcPr>
            <w:tcW w:w="527" w:type="pct"/>
            <w:vAlign w:val="center"/>
          </w:tcPr>
          <w:p>
            <w:pPr>
              <w:spacing w:line="240" w:lineRule="auto"/>
              <w:jc w:val="center"/>
              <w:rPr>
                <w:rFonts w:ascii="宋体" w:hAnsi="宋体"/>
                <w:sz w:val="18"/>
                <w:szCs w:val="18"/>
              </w:rPr>
            </w:pPr>
            <w:r>
              <w:rPr>
                <w:rFonts w:hint="eastAsia" w:ascii="宋体" w:hAnsi="宋体"/>
                <w:sz w:val="18"/>
                <w:szCs w:val="18"/>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24" w:type="pct"/>
            <w:vMerge w:val="restart"/>
            <w:vAlign w:val="center"/>
          </w:tcPr>
          <w:p>
            <w:pPr>
              <w:spacing w:line="240" w:lineRule="auto"/>
              <w:jc w:val="center"/>
              <w:rPr>
                <w:rFonts w:ascii="宋体" w:hAnsi="宋体"/>
                <w:sz w:val="18"/>
                <w:szCs w:val="18"/>
              </w:rPr>
            </w:pPr>
            <w:r>
              <w:rPr>
                <w:rFonts w:hint="eastAsia" w:ascii="宋体" w:hAnsi="宋体"/>
                <w:sz w:val="18"/>
                <w:szCs w:val="18"/>
              </w:rPr>
              <w:t>数据资源</w:t>
            </w:r>
          </w:p>
        </w:tc>
        <w:tc>
          <w:tcPr>
            <w:tcW w:w="530" w:type="pct"/>
            <w:vAlign w:val="center"/>
          </w:tcPr>
          <w:p>
            <w:pPr>
              <w:spacing w:line="240" w:lineRule="auto"/>
              <w:jc w:val="center"/>
              <w:rPr>
                <w:rFonts w:ascii="宋体" w:hAnsi="宋体"/>
                <w:sz w:val="18"/>
                <w:szCs w:val="18"/>
              </w:rPr>
            </w:pPr>
            <w:r>
              <w:rPr>
                <w:rFonts w:hint="eastAsia" w:ascii="宋体" w:hAnsi="宋体"/>
                <w:sz w:val="18"/>
                <w:szCs w:val="18"/>
              </w:rPr>
              <w:t>数据同源</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分）</w:t>
            </w:r>
          </w:p>
        </w:tc>
        <w:tc>
          <w:tcPr>
            <w:tcW w:w="3419" w:type="pct"/>
            <w:vAlign w:val="center"/>
          </w:tcPr>
          <w:p>
            <w:pPr>
              <w:spacing w:line="240" w:lineRule="auto"/>
              <w:rPr>
                <w:rFonts w:ascii="宋体" w:hAnsi="宋体"/>
                <w:sz w:val="18"/>
                <w:szCs w:val="18"/>
              </w:rPr>
            </w:pPr>
            <w:r>
              <w:rPr>
                <w:rFonts w:hint="eastAsia" w:ascii="宋体" w:hAnsi="宋体"/>
                <w:sz w:val="18"/>
                <w:szCs w:val="18"/>
              </w:rPr>
              <w:t>通过在前一阶段真实有效的</w:t>
            </w:r>
            <w:r>
              <w:rPr>
                <w:rFonts w:ascii="宋体" w:hAnsi="宋体"/>
                <w:sz w:val="18"/>
                <w:szCs w:val="18"/>
              </w:rPr>
              <w:t>BIM模型上</w:t>
            </w:r>
            <w:r>
              <w:rPr>
                <w:rFonts w:hint="eastAsia" w:ascii="宋体" w:hAnsi="宋体"/>
                <w:sz w:val="18"/>
                <w:szCs w:val="18"/>
              </w:rPr>
              <w:t>进行</w:t>
            </w:r>
            <w:r>
              <w:rPr>
                <w:rFonts w:ascii="宋体" w:hAnsi="宋体"/>
                <w:sz w:val="18"/>
                <w:szCs w:val="18"/>
              </w:rPr>
              <w:t>深化</w:t>
            </w:r>
            <w:r>
              <w:rPr>
                <w:rFonts w:hint="eastAsia" w:ascii="宋体" w:hAnsi="宋体"/>
                <w:sz w:val="18"/>
                <w:szCs w:val="18"/>
              </w:rPr>
              <w:t>设计得到生产阶段B</w:t>
            </w:r>
            <w:r>
              <w:rPr>
                <w:rFonts w:ascii="宋体" w:hAnsi="宋体"/>
                <w:sz w:val="18"/>
                <w:szCs w:val="18"/>
              </w:rPr>
              <w:t>IM</w:t>
            </w:r>
            <w:r>
              <w:rPr>
                <w:rFonts w:hint="eastAsia" w:ascii="宋体" w:hAnsi="宋体"/>
                <w:sz w:val="18"/>
                <w:szCs w:val="18"/>
              </w:rPr>
              <w:t>模型，模型准确完整，得</w:t>
            </w:r>
            <w:r>
              <w:rPr>
                <w:rFonts w:ascii="宋体" w:hAnsi="宋体"/>
                <w:sz w:val="18"/>
                <w:szCs w:val="18"/>
              </w:rPr>
              <w:t>1</w:t>
            </w:r>
            <w:r>
              <w:rPr>
                <w:rFonts w:hint="eastAsia" w:ascii="宋体" w:hAnsi="宋体"/>
                <w:sz w:val="18"/>
                <w:szCs w:val="18"/>
              </w:rPr>
              <w:t>分</w:t>
            </w:r>
            <w:r>
              <w:rPr>
                <w:rFonts w:ascii="宋体" w:hAnsi="宋体"/>
                <w:sz w:val="18"/>
                <w:szCs w:val="18"/>
              </w:rPr>
              <w:t>。</w:t>
            </w:r>
          </w:p>
        </w:tc>
        <w:tc>
          <w:tcPr>
            <w:tcW w:w="527" w:type="pct"/>
            <w:vMerge w:val="restart"/>
            <w:vAlign w:val="center"/>
          </w:tcPr>
          <w:p>
            <w:pPr>
              <w:spacing w:line="240" w:lineRule="auto"/>
              <w:rPr>
                <w:rFonts w:ascii="宋体" w:hAnsi="宋体"/>
                <w:sz w:val="18"/>
                <w:szCs w:val="18"/>
              </w:rPr>
            </w:pPr>
            <w:r>
              <w:rPr>
                <w:rFonts w:ascii="宋体" w:hAnsi="宋体"/>
                <w:sz w:val="18"/>
                <w:szCs w:val="18"/>
              </w:rPr>
              <w:t>1.</w:t>
            </w:r>
            <w:r>
              <w:rPr>
                <w:rFonts w:hint="eastAsia" w:ascii="宋体" w:hAnsi="宋体"/>
                <w:sz w:val="18"/>
                <w:szCs w:val="18"/>
              </w:rPr>
              <w:t xml:space="preserve"> B</w:t>
            </w:r>
            <w:r>
              <w:rPr>
                <w:rFonts w:ascii="宋体" w:hAnsi="宋体"/>
                <w:sz w:val="18"/>
                <w:szCs w:val="18"/>
              </w:rPr>
              <w:t>IM</w:t>
            </w:r>
            <w:r>
              <w:rPr>
                <w:rFonts w:hint="eastAsia" w:ascii="宋体" w:hAnsi="宋体"/>
                <w:sz w:val="18"/>
                <w:szCs w:val="18"/>
              </w:rPr>
              <w:t>深化模型。</w:t>
            </w:r>
          </w:p>
          <w:p>
            <w:pPr>
              <w:spacing w:line="240" w:lineRule="auto"/>
              <w:rPr>
                <w:rFonts w:ascii="宋体" w:hAnsi="宋体"/>
                <w:sz w:val="18"/>
                <w:szCs w:val="18"/>
              </w:rPr>
            </w:pPr>
            <w:r>
              <w:rPr>
                <w:rFonts w:ascii="宋体" w:hAnsi="宋体"/>
                <w:sz w:val="18"/>
                <w:szCs w:val="18"/>
              </w:rPr>
              <w:t>2.</w:t>
            </w:r>
            <w:r>
              <w:rPr>
                <w:rFonts w:hint="eastAsia" w:ascii="宋体" w:hAnsi="宋体"/>
                <w:sz w:val="18"/>
                <w:szCs w:val="18"/>
              </w:rPr>
              <w:t>过程证明图片或视频。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4" w:type="pct"/>
            <w:vMerge w:val="continue"/>
            <w:vAlign w:val="center"/>
          </w:tcPr>
          <w:p>
            <w:pPr>
              <w:spacing w:line="240" w:lineRule="auto"/>
              <w:jc w:val="center"/>
              <w:rPr>
                <w:rFonts w:ascii="宋体" w:hAnsi="宋体"/>
                <w:sz w:val="18"/>
                <w:szCs w:val="18"/>
              </w:rPr>
            </w:pPr>
          </w:p>
        </w:tc>
        <w:tc>
          <w:tcPr>
            <w:tcW w:w="530" w:type="pct"/>
            <w:vMerge w:val="restart"/>
            <w:vAlign w:val="center"/>
          </w:tcPr>
          <w:p>
            <w:pPr>
              <w:spacing w:line="240" w:lineRule="auto"/>
              <w:jc w:val="center"/>
              <w:rPr>
                <w:rFonts w:ascii="宋体" w:hAnsi="宋体"/>
                <w:sz w:val="18"/>
                <w:szCs w:val="18"/>
              </w:rPr>
            </w:pPr>
            <w:r>
              <w:rPr>
                <w:rFonts w:hint="eastAsia" w:ascii="宋体" w:hAnsi="宋体"/>
                <w:sz w:val="18"/>
                <w:szCs w:val="18"/>
              </w:rPr>
              <w:t>编码体系</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1.5</w:t>
            </w:r>
            <w:r>
              <w:rPr>
                <w:rFonts w:hint="eastAsia" w:ascii="宋体" w:hAnsi="宋体"/>
                <w:sz w:val="18"/>
                <w:szCs w:val="18"/>
              </w:rPr>
              <w:t>分</w:t>
            </w:r>
            <w:r>
              <w:rPr>
                <w:rFonts w:ascii="宋体" w:hAnsi="宋体"/>
                <w:sz w:val="18"/>
                <w:szCs w:val="18"/>
              </w:rPr>
              <w:t>)</w:t>
            </w:r>
          </w:p>
        </w:tc>
        <w:tc>
          <w:tcPr>
            <w:tcW w:w="3419" w:type="pct"/>
            <w:vAlign w:val="center"/>
          </w:tcPr>
          <w:p>
            <w:pPr>
              <w:spacing w:line="240" w:lineRule="auto"/>
              <w:rPr>
                <w:rFonts w:ascii="宋体" w:hAnsi="宋体"/>
                <w:sz w:val="18"/>
                <w:szCs w:val="18"/>
              </w:rPr>
            </w:pPr>
            <w:r>
              <w:rPr>
                <w:rFonts w:hint="eastAsia" w:ascii="宋体" w:hAnsi="宋体"/>
                <w:sz w:val="18"/>
                <w:szCs w:val="18"/>
              </w:rPr>
              <w:t>建立构件的分类编码体系，得</w:t>
            </w:r>
            <w:r>
              <w:rPr>
                <w:rFonts w:ascii="宋体" w:hAnsi="宋体"/>
                <w:sz w:val="18"/>
                <w:szCs w:val="18"/>
              </w:rPr>
              <w:t>0.5</w:t>
            </w:r>
            <w:r>
              <w:rPr>
                <w:rFonts w:hint="eastAsia" w:ascii="宋体" w:hAnsi="宋体"/>
                <w:sz w:val="18"/>
                <w:szCs w:val="18"/>
              </w:rPr>
              <w:t>分。</w:t>
            </w:r>
          </w:p>
        </w:tc>
        <w:tc>
          <w:tcPr>
            <w:tcW w:w="527" w:type="pct"/>
            <w:vMerge w:val="continue"/>
            <w:vAlign w:val="center"/>
          </w:tcPr>
          <w:p>
            <w:pPr>
              <w:spacing w:line="24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4" w:type="pct"/>
            <w:vMerge w:val="continue"/>
            <w:vAlign w:val="center"/>
          </w:tcPr>
          <w:p>
            <w:pPr>
              <w:spacing w:line="240" w:lineRule="auto"/>
              <w:jc w:val="center"/>
              <w:rPr>
                <w:rFonts w:ascii="宋体" w:hAnsi="宋体"/>
                <w:sz w:val="18"/>
                <w:szCs w:val="18"/>
              </w:rPr>
            </w:pPr>
          </w:p>
        </w:tc>
        <w:tc>
          <w:tcPr>
            <w:tcW w:w="530" w:type="pct"/>
            <w:vMerge w:val="continue"/>
            <w:vAlign w:val="center"/>
          </w:tcPr>
          <w:p>
            <w:pPr>
              <w:spacing w:line="240" w:lineRule="auto"/>
              <w:jc w:val="center"/>
              <w:rPr>
                <w:rFonts w:ascii="宋体" w:hAnsi="宋体"/>
                <w:sz w:val="18"/>
                <w:szCs w:val="18"/>
              </w:rPr>
            </w:pPr>
          </w:p>
        </w:tc>
        <w:tc>
          <w:tcPr>
            <w:tcW w:w="3419" w:type="pct"/>
            <w:vAlign w:val="center"/>
          </w:tcPr>
          <w:p>
            <w:pPr>
              <w:spacing w:line="240" w:lineRule="auto"/>
              <w:rPr>
                <w:rFonts w:ascii="宋体" w:hAnsi="宋体"/>
                <w:sz w:val="18"/>
                <w:szCs w:val="18"/>
              </w:rPr>
            </w:pPr>
            <w:r>
              <w:rPr>
                <w:rFonts w:hint="eastAsia" w:ascii="宋体" w:hAnsi="宋体"/>
                <w:sz w:val="18"/>
                <w:szCs w:val="18"/>
              </w:rPr>
              <w:t>基于条形码、二维码、</w:t>
            </w:r>
            <w:r>
              <w:rPr>
                <w:rFonts w:ascii="宋体" w:hAnsi="宋体"/>
                <w:sz w:val="18"/>
                <w:szCs w:val="18"/>
              </w:rPr>
              <w:t>RFID等标识技术</w:t>
            </w:r>
            <w:r>
              <w:rPr>
                <w:rFonts w:hint="eastAsia" w:ascii="宋体" w:hAnsi="宋体"/>
                <w:sz w:val="18"/>
                <w:szCs w:val="18"/>
              </w:rPr>
              <w:t>对部品部件进行编码，得</w:t>
            </w:r>
            <w:r>
              <w:rPr>
                <w:rFonts w:ascii="宋体" w:hAnsi="宋体"/>
                <w:sz w:val="18"/>
                <w:szCs w:val="18"/>
              </w:rPr>
              <w:t>0.5</w:t>
            </w:r>
            <w:r>
              <w:rPr>
                <w:rFonts w:hint="eastAsia" w:ascii="宋体" w:hAnsi="宋体"/>
                <w:sz w:val="18"/>
                <w:szCs w:val="18"/>
              </w:rPr>
              <w:t>分。</w:t>
            </w:r>
          </w:p>
        </w:tc>
        <w:tc>
          <w:tcPr>
            <w:tcW w:w="527" w:type="pct"/>
            <w:vMerge w:val="continue"/>
            <w:vAlign w:val="center"/>
          </w:tcPr>
          <w:p>
            <w:pPr>
              <w:spacing w:line="24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4" w:type="pct"/>
            <w:vMerge w:val="continue"/>
            <w:vAlign w:val="center"/>
          </w:tcPr>
          <w:p>
            <w:pPr>
              <w:spacing w:line="240" w:lineRule="auto"/>
              <w:jc w:val="center"/>
              <w:rPr>
                <w:rFonts w:ascii="宋体" w:hAnsi="宋体"/>
                <w:sz w:val="18"/>
                <w:szCs w:val="18"/>
              </w:rPr>
            </w:pPr>
          </w:p>
        </w:tc>
        <w:tc>
          <w:tcPr>
            <w:tcW w:w="530" w:type="pct"/>
            <w:vMerge w:val="continue"/>
            <w:vAlign w:val="center"/>
          </w:tcPr>
          <w:p>
            <w:pPr>
              <w:spacing w:line="240" w:lineRule="auto"/>
              <w:jc w:val="center"/>
              <w:rPr>
                <w:rFonts w:ascii="宋体" w:hAnsi="宋体"/>
                <w:sz w:val="18"/>
                <w:szCs w:val="18"/>
              </w:rPr>
            </w:pPr>
          </w:p>
        </w:tc>
        <w:tc>
          <w:tcPr>
            <w:tcW w:w="3419" w:type="pct"/>
            <w:vAlign w:val="center"/>
          </w:tcPr>
          <w:p>
            <w:pPr>
              <w:spacing w:line="240" w:lineRule="auto"/>
              <w:rPr>
                <w:rFonts w:ascii="宋体" w:hAnsi="宋体"/>
                <w:sz w:val="18"/>
                <w:szCs w:val="18"/>
              </w:rPr>
            </w:pPr>
            <w:r>
              <w:rPr>
                <w:rFonts w:hint="eastAsia" w:ascii="宋体" w:hAnsi="宋体"/>
                <w:sz w:val="18"/>
                <w:szCs w:val="18"/>
              </w:rPr>
              <w:t>编码信息可流通、可共享、可附加，</w:t>
            </w:r>
            <w:r>
              <w:rPr>
                <w:rFonts w:ascii="宋体" w:hAnsi="宋体"/>
                <w:sz w:val="18"/>
                <w:szCs w:val="18"/>
              </w:rPr>
              <w:t>对</w:t>
            </w:r>
            <w:r>
              <w:rPr>
                <w:rFonts w:hint="eastAsia" w:ascii="宋体" w:hAnsi="宋体"/>
                <w:sz w:val="18"/>
                <w:szCs w:val="18"/>
              </w:rPr>
              <w:t>部品部件生产信息</w:t>
            </w:r>
            <w:r>
              <w:rPr>
                <w:rFonts w:ascii="宋体" w:hAnsi="宋体"/>
                <w:sz w:val="18"/>
                <w:szCs w:val="18"/>
              </w:rPr>
              <w:t>可追溯管理</w:t>
            </w:r>
            <w:r>
              <w:rPr>
                <w:rFonts w:hint="eastAsia" w:ascii="宋体" w:hAnsi="宋体"/>
                <w:sz w:val="18"/>
                <w:szCs w:val="18"/>
              </w:rPr>
              <w:t>，得</w:t>
            </w:r>
            <w:r>
              <w:rPr>
                <w:rFonts w:ascii="宋体" w:hAnsi="宋体"/>
                <w:sz w:val="18"/>
                <w:szCs w:val="18"/>
              </w:rPr>
              <w:t>0.5</w:t>
            </w:r>
            <w:r>
              <w:rPr>
                <w:rFonts w:hint="eastAsia" w:ascii="宋体" w:hAnsi="宋体"/>
                <w:sz w:val="18"/>
                <w:szCs w:val="18"/>
              </w:rPr>
              <w:t>分。</w:t>
            </w:r>
          </w:p>
        </w:tc>
        <w:tc>
          <w:tcPr>
            <w:tcW w:w="527" w:type="pct"/>
            <w:vMerge w:val="continue"/>
            <w:vAlign w:val="center"/>
          </w:tcPr>
          <w:p>
            <w:pPr>
              <w:spacing w:line="24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24" w:type="pct"/>
            <w:vMerge w:val="restart"/>
            <w:vAlign w:val="center"/>
          </w:tcPr>
          <w:p>
            <w:pPr>
              <w:spacing w:line="240" w:lineRule="auto"/>
              <w:jc w:val="center"/>
              <w:rPr>
                <w:rFonts w:ascii="宋体" w:hAnsi="宋体"/>
                <w:sz w:val="18"/>
                <w:szCs w:val="18"/>
              </w:rPr>
            </w:pPr>
            <w:r>
              <w:rPr>
                <w:rFonts w:hint="eastAsia" w:ascii="宋体" w:hAnsi="宋体"/>
                <w:sz w:val="18"/>
                <w:szCs w:val="18"/>
              </w:rPr>
              <w:t>数据驱动</w:t>
            </w:r>
          </w:p>
        </w:tc>
        <w:tc>
          <w:tcPr>
            <w:tcW w:w="530" w:type="pct"/>
            <w:vAlign w:val="center"/>
          </w:tcPr>
          <w:p>
            <w:pPr>
              <w:spacing w:line="240" w:lineRule="auto"/>
              <w:jc w:val="center"/>
              <w:rPr>
                <w:rFonts w:ascii="宋体" w:hAnsi="宋体"/>
                <w:sz w:val="18"/>
                <w:szCs w:val="18"/>
              </w:rPr>
            </w:pPr>
            <w:r>
              <w:rPr>
                <w:rFonts w:hint="eastAsia" w:ascii="宋体" w:hAnsi="宋体"/>
                <w:sz w:val="18"/>
                <w:szCs w:val="18"/>
              </w:rPr>
              <w:t>数据传递</w:t>
            </w:r>
          </w:p>
          <w:p>
            <w:pPr>
              <w:spacing w:line="240" w:lineRule="auto"/>
              <w:jc w:val="center"/>
              <w:rPr>
                <w:rFonts w:ascii="宋体" w:hAnsi="宋体"/>
                <w:sz w:val="18"/>
                <w:szCs w:val="18"/>
              </w:rPr>
            </w:pPr>
            <w:r>
              <w:rPr>
                <w:rFonts w:hint="eastAsia" w:ascii="宋体" w:hAnsi="宋体"/>
                <w:sz w:val="18"/>
                <w:szCs w:val="18"/>
              </w:rPr>
              <w:t>（2分）</w:t>
            </w:r>
          </w:p>
        </w:tc>
        <w:tc>
          <w:tcPr>
            <w:tcW w:w="3419" w:type="pct"/>
            <w:vAlign w:val="center"/>
          </w:tcPr>
          <w:p>
            <w:pPr>
              <w:spacing w:line="240" w:lineRule="auto"/>
              <w:rPr>
                <w:rFonts w:ascii="宋体" w:hAnsi="宋体"/>
                <w:sz w:val="18"/>
                <w:szCs w:val="18"/>
              </w:rPr>
            </w:pPr>
            <w:r>
              <w:rPr>
                <w:rFonts w:hint="eastAsia" w:ascii="宋体" w:hAnsi="宋体"/>
                <w:sz w:val="18"/>
                <w:szCs w:val="18"/>
              </w:rPr>
              <w:t>利用网络化平台对生产阶段</w:t>
            </w:r>
            <w:r>
              <w:rPr>
                <w:rFonts w:ascii="宋体" w:hAnsi="宋体"/>
                <w:sz w:val="18"/>
                <w:szCs w:val="18"/>
              </w:rPr>
              <w:t>BIM设计模型</w:t>
            </w:r>
            <w:r>
              <w:rPr>
                <w:rFonts w:hint="eastAsia" w:ascii="宋体" w:hAnsi="宋体"/>
                <w:sz w:val="18"/>
                <w:szCs w:val="18"/>
              </w:rPr>
              <w:t>进行</w:t>
            </w:r>
            <w:r>
              <w:rPr>
                <w:rFonts w:ascii="宋体" w:hAnsi="宋体"/>
                <w:sz w:val="18"/>
                <w:szCs w:val="18"/>
              </w:rPr>
              <w:t>数据解析</w:t>
            </w:r>
            <w:r>
              <w:rPr>
                <w:rFonts w:hint="eastAsia" w:ascii="宋体" w:hAnsi="宋体"/>
                <w:sz w:val="18"/>
                <w:szCs w:val="18"/>
              </w:rPr>
              <w:t>和</w:t>
            </w:r>
            <w:r>
              <w:rPr>
                <w:rFonts w:ascii="宋体" w:hAnsi="宋体"/>
                <w:sz w:val="18"/>
                <w:szCs w:val="18"/>
              </w:rPr>
              <w:t>数据转换</w:t>
            </w:r>
            <w:r>
              <w:rPr>
                <w:rFonts w:hint="eastAsia" w:ascii="宋体" w:hAnsi="宋体"/>
                <w:sz w:val="18"/>
                <w:szCs w:val="18"/>
              </w:rPr>
              <w:t>，使数据能够真实有效的在各系统间进行传递，得2分。</w:t>
            </w:r>
          </w:p>
        </w:tc>
        <w:tc>
          <w:tcPr>
            <w:tcW w:w="527" w:type="pct"/>
            <w:vMerge w:val="restart"/>
            <w:vAlign w:val="center"/>
          </w:tcPr>
          <w:p>
            <w:pPr>
              <w:spacing w:line="240" w:lineRule="auto"/>
              <w:rPr>
                <w:rFonts w:ascii="宋体" w:hAnsi="宋体"/>
                <w:sz w:val="18"/>
                <w:szCs w:val="18"/>
              </w:rPr>
            </w:pPr>
            <w:r>
              <w:rPr>
                <w:rFonts w:ascii="宋体" w:hAnsi="宋体"/>
                <w:sz w:val="18"/>
                <w:szCs w:val="18"/>
              </w:rPr>
              <w:t>1.</w:t>
            </w:r>
            <w:r>
              <w:rPr>
                <w:rFonts w:hint="eastAsia" w:ascii="宋体" w:hAnsi="宋体"/>
                <w:sz w:val="18"/>
                <w:szCs w:val="18"/>
              </w:rPr>
              <w:t>过程证明图片或视频。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24" w:type="pct"/>
            <w:vMerge w:val="continue"/>
            <w:vAlign w:val="center"/>
          </w:tcPr>
          <w:p>
            <w:pPr>
              <w:spacing w:line="240" w:lineRule="auto"/>
              <w:jc w:val="center"/>
              <w:rPr>
                <w:rFonts w:ascii="宋体" w:hAnsi="宋体"/>
                <w:sz w:val="18"/>
                <w:szCs w:val="18"/>
              </w:rPr>
            </w:pPr>
          </w:p>
        </w:tc>
        <w:tc>
          <w:tcPr>
            <w:tcW w:w="530" w:type="pct"/>
            <w:vAlign w:val="center"/>
          </w:tcPr>
          <w:p>
            <w:pPr>
              <w:spacing w:line="240" w:lineRule="auto"/>
              <w:jc w:val="center"/>
              <w:rPr>
                <w:rFonts w:ascii="宋体" w:hAnsi="宋体"/>
                <w:sz w:val="18"/>
                <w:szCs w:val="18"/>
              </w:rPr>
            </w:pPr>
            <w:r>
              <w:rPr>
                <w:rFonts w:hint="eastAsia" w:ascii="宋体" w:hAnsi="宋体"/>
                <w:sz w:val="18"/>
                <w:szCs w:val="18"/>
              </w:rPr>
              <w:t>驱动设备</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1.5</w:t>
            </w:r>
            <w:r>
              <w:rPr>
                <w:rFonts w:hint="eastAsia" w:ascii="宋体" w:hAnsi="宋体"/>
                <w:sz w:val="18"/>
                <w:szCs w:val="18"/>
              </w:rPr>
              <w:t>分</w:t>
            </w:r>
            <w:r>
              <w:rPr>
                <w:rFonts w:ascii="宋体" w:hAnsi="宋体"/>
                <w:sz w:val="18"/>
                <w:szCs w:val="18"/>
              </w:rPr>
              <w:t>)</w:t>
            </w:r>
          </w:p>
        </w:tc>
        <w:tc>
          <w:tcPr>
            <w:tcW w:w="3419" w:type="pct"/>
            <w:vAlign w:val="center"/>
          </w:tcPr>
          <w:p>
            <w:pPr>
              <w:spacing w:line="240" w:lineRule="auto"/>
              <w:rPr>
                <w:rFonts w:ascii="宋体" w:hAnsi="宋体"/>
                <w:sz w:val="18"/>
                <w:szCs w:val="18"/>
              </w:rPr>
            </w:pPr>
            <w:r>
              <w:rPr>
                <w:rFonts w:hint="eastAsia" w:ascii="宋体" w:hAnsi="宋体"/>
                <w:sz w:val="18"/>
                <w:szCs w:val="18"/>
              </w:rPr>
              <w:t>解析和转换的生产数据通过控制系统</w:t>
            </w:r>
            <w:r>
              <w:rPr>
                <w:rFonts w:ascii="宋体" w:hAnsi="宋体"/>
                <w:sz w:val="18"/>
                <w:szCs w:val="18"/>
              </w:rPr>
              <w:t>驱动各类生产设备，实现数据驱动设备自动化生产</w:t>
            </w:r>
            <w:r>
              <w:rPr>
                <w:rFonts w:hint="eastAsia" w:ascii="宋体" w:hAnsi="宋体"/>
                <w:sz w:val="18"/>
                <w:szCs w:val="18"/>
              </w:rPr>
              <w:t>，符合评价的每个设备得0.5分，总得分不超过1.5分</w:t>
            </w:r>
            <w:r>
              <w:rPr>
                <w:rFonts w:ascii="宋体" w:hAnsi="宋体"/>
                <w:sz w:val="18"/>
                <w:szCs w:val="18"/>
              </w:rPr>
              <w:t>。</w:t>
            </w:r>
          </w:p>
        </w:tc>
        <w:tc>
          <w:tcPr>
            <w:tcW w:w="527" w:type="pct"/>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24" w:type="pct"/>
            <w:vMerge w:val="restart"/>
            <w:vAlign w:val="center"/>
          </w:tcPr>
          <w:p>
            <w:pPr>
              <w:spacing w:line="240" w:lineRule="auto"/>
              <w:jc w:val="center"/>
              <w:rPr>
                <w:rFonts w:ascii="宋体" w:hAnsi="宋体"/>
                <w:sz w:val="18"/>
                <w:szCs w:val="18"/>
              </w:rPr>
            </w:pPr>
            <w:r>
              <w:rPr>
                <w:rFonts w:hint="eastAsia" w:ascii="宋体" w:hAnsi="宋体"/>
                <w:sz w:val="18"/>
                <w:szCs w:val="18"/>
              </w:rPr>
              <w:t>数字化生产管理</w:t>
            </w:r>
          </w:p>
        </w:tc>
        <w:tc>
          <w:tcPr>
            <w:tcW w:w="530" w:type="pct"/>
            <w:vAlign w:val="center"/>
          </w:tcPr>
          <w:p>
            <w:pPr>
              <w:spacing w:line="240" w:lineRule="auto"/>
              <w:jc w:val="center"/>
              <w:rPr>
                <w:rFonts w:ascii="宋体" w:hAnsi="宋体"/>
                <w:sz w:val="18"/>
                <w:szCs w:val="18"/>
              </w:rPr>
            </w:pPr>
            <w:r>
              <w:rPr>
                <w:rFonts w:hint="eastAsia" w:ascii="宋体" w:hAnsi="宋体"/>
                <w:sz w:val="18"/>
                <w:szCs w:val="18"/>
              </w:rPr>
              <w:t>计划管理</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分）</w:t>
            </w:r>
          </w:p>
        </w:tc>
        <w:tc>
          <w:tcPr>
            <w:tcW w:w="3419" w:type="pct"/>
            <w:vAlign w:val="center"/>
          </w:tcPr>
          <w:p>
            <w:pPr>
              <w:spacing w:line="240" w:lineRule="auto"/>
              <w:rPr>
                <w:rFonts w:ascii="宋体" w:hAnsi="宋体"/>
                <w:sz w:val="18"/>
                <w:szCs w:val="18"/>
              </w:rPr>
            </w:pPr>
            <w:r>
              <w:rPr>
                <w:rFonts w:hint="eastAsia" w:ascii="宋体" w:hAnsi="宋体"/>
                <w:sz w:val="18"/>
                <w:szCs w:val="18"/>
              </w:rPr>
              <w:t>建立计划管理系统，可根据项目需求进行自动化排产，支持快速重排、快速应变，得1分。</w:t>
            </w:r>
          </w:p>
        </w:tc>
        <w:tc>
          <w:tcPr>
            <w:tcW w:w="527" w:type="pct"/>
            <w:vMerge w:val="restart"/>
            <w:vAlign w:val="center"/>
          </w:tcPr>
          <w:p>
            <w:pPr>
              <w:spacing w:line="240" w:lineRule="auto"/>
              <w:rPr>
                <w:rFonts w:ascii="宋体" w:hAnsi="宋体"/>
                <w:sz w:val="18"/>
                <w:szCs w:val="18"/>
              </w:rPr>
            </w:pPr>
            <w:r>
              <w:rPr>
                <w:rFonts w:hint="eastAsia" w:ascii="宋体" w:hAnsi="宋体"/>
                <w:sz w:val="18"/>
                <w:szCs w:val="18"/>
              </w:rPr>
              <w:t>1</w:t>
            </w:r>
            <w:r>
              <w:rPr>
                <w:rFonts w:ascii="宋体" w:hAnsi="宋体"/>
                <w:sz w:val="18"/>
                <w:szCs w:val="18"/>
              </w:rPr>
              <w:t>.</w:t>
            </w:r>
            <w:r>
              <w:rPr>
                <w:rFonts w:hint="eastAsia" w:ascii="宋体" w:hAnsi="宋体"/>
                <w:sz w:val="18"/>
                <w:szCs w:val="18"/>
              </w:rPr>
              <w:t>相关系统的使用过程截图和影像资料（含使用功能、应用场景、可视化展示）。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4" w:type="pct"/>
            <w:vMerge w:val="continue"/>
            <w:vAlign w:val="center"/>
          </w:tcPr>
          <w:p>
            <w:pPr>
              <w:spacing w:line="240" w:lineRule="auto"/>
              <w:jc w:val="center"/>
              <w:rPr>
                <w:rFonts w:ascii="宋体" w:hAnsi="宋体"/>
                <w:sz w:val="18"/>
                <w:szCs w:val="18"/>
              </w:rPr>
            </w:pPr>
          </w:p>
        </w:tc>
        <w:tc>
          <w:tcPr>
            <w:tcW w:w="530" w:type="pct"/>
            <w:vMerge w:val="restart"/>
            <w:vAlign w:val="center"/>
          </w:tcPr>
          <w:p>
            <w:pPr>
              <w:spacing w:line="240" w:lineRule="auto"/>
              <w:jc w:val="center"/>
              <w:rPr>
                <w:rFonts w:ascii="宋体" w:hAnsi="宋体"/>
                <w:sz w:val="18"/>
                <w:szCs w:val="18"/>
              </w:rPr>
            </w:pPr>
            <w:r>
              <w:rPr>
                <w:rFonts w:hint="eastAsia" w:ascii="宋体" w:hAnsi="宋体"/>
                <w:sz w:val="18"/>
                <w:szCs w:val="18"/>
              </w:rPr>
              <w:t>生产执行管理</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分）</w:t>
            </w:r>
          </w:p>
        </w:tc>
        <w:tc>
          <w:tcPr>
            <w:tcW w:w="3419" w:type="pct"/>
            <w:vAlign w:val="center"/>
          </w:tcPr>
          <w:p>
            <w:pPr>
              <w:spacing w:line="240" w:lineRule="auto"/>
              <w:rPr>
                <w:rFonts w:ascii="宋体" w:hAnsi="宋体"/>
                <w:sz w:val="18"/>
                <w:szCs w:val="18"/>
              </w:rPr>
            </w:pPr>
            <w:r>
              <w:rPr>
                <w:rFonts w:hint="eastAsia" w:ascii="宋体" w:hAnsi="宋体"/>
                <w:sz w:val="18"/>
                <w:szCs w:val="18"/>
              </w:rPr>
              <w:t>建立生产执行管理系统，可通过计划管理系统提供的数据实现生产执行，得</w:t>
            </w:r>
            <w:r>
              <w:rPr>
                <w:rFonts w:ascii="宋体" w:hAnsi="宋体"/>
                <w:sz w:val="18"/>
                <w:szCs w:val="18"/>
              </w:rPr>
              <w:t>0.5</w:t>
            </w:r>
            <w:r>
              <w:rPr>
                <w:rFonts w:hint="eastAsia" w:ascii="宋体" w:hAnsi="宋体"/>
                <w:sz w:val="18"/>
                <w:szCs w:val="18"/>
              </w:rPr>
              <w:t>分。</w:t>
            </w:r>
          </w:p>
        </w:tc>
        <w:tc>
          <w:tcPr>
            <w:tcW w:w="527" w:type="pct"/>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24" w:type="pct"/>
            <w:vMerge w:val="continue"/>
            <w:vAlign w:val="center"/>
          </w:tcPr>
          <w:p>
            <w:pPr>
              <w:spacing w:line="240" w:lineRule="auto"/>
              <w:jc w:val="center"/>
              <w:rPr>
                <w:rFonts w:ascii="宋体" w:hAnsi="宋体"/>
                <w:sz w:val="18"/>
                <w:szCs w:val="18"/>
              </w:rPr>
            </w:pPr>
          </w:p>
        </w:tc>
        <w:tc>
          <w:tcPr>
            <w:tcW w:w="530" w:type="pct"/>
            <w:vMerge w:val="continue"/>
            <w:vAlign w:val="center"/>
          </w:tcPr>
          <w:p>
            <w:pPr>
              <w:spacing w:line="240" w:lineRule="auto"/>
              <w:jc w:val="center"/>
              <w:rPr>
                <w:rFonts w:ascii="宋体" w:hAnsi="宋体"/>
                <w:sz w:val="18"/>
                <w:szCs w:val="18"/>
              </w:rPr>
            </w:pPr>
          </w:p>
        </w:tc>
        <w:tc>
          <w:tcPr>
            <w:tcW w:w="3419" w:type="pct"/>
            <w:vAlign w:val="center"/>
          </w:tcPr>
          <w:p>
            <w:pPr>
              <w:spacing w:line="240" w:lineRule="auto"/>
              <w:rPr>
                <w:rFonts w:ascii="宋体" w:hAnsi="宋体"/>
                <w:sz w:val="18"/>
                <w:szCs w:val="18"/>
              </w:rPr>
            </w:pPr>
            <w:r>
              <w:rPr>
                <w:rFonts w:hint="eastAsia" w:ascii="宋体" w:hAnsi="宋体"/>
                <w:sz w:val="18"/>
                <w:szCs w:val="18"/>
              </w:rPr>
              <w:t>生产车间能够以实时、动态的方式向工厂信息中心提供计划达成率、生产进度、物料消耗等数据，提供给生产过程决策系统进行全工厂生产过程及状态的分析优化，得</w:t>
            </w:r>
            <w:r>
              <w:rPr>
                <w:rFonts w:ascii="宋体" w:hAnsi="宋体"/>
                <w:sz w:val="18"/>
                <w:szCs w:val="18"/>
              </w:rPr>
              <w:t>0.5</w:t>
            </w:r>
            <w:r>
              <w:rPr>
                <w:rFonts w:hint="eastAsia" w:ascii="宋体" w:hAnsi="宋体"/>
                <w:sz w:val="18"/>
                <w:szCs w:val="18"/>
              </w:rPr>
              <w:t>分。</w:t>
            </w:r>
          </w:p>
        </w:tc>
        <w:tc>
          <w:tcPr>
            <w:tcW w:w="527" w:type="pct"/>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4" w:type="pct"/>
            <w:vMerge w:val="continue"/>
            <w:vAlign w:val="center"/>
          </w:tcPr>
          <w:p>
            <w:pPr>
              <w:spacing w:line="240" w:lineRule="auto"/>
              <w:jc w:val="center"/>
              <w:rPr>
                <w:rFonts w:ascii="宋体" w:hAnsi="宋体"/>
                <w:sz w:val="18"/>
                <w:szCs w:val="18"/>
              </w:rPr>
            </w:pPr>
          </w:p>
        </w:tc>
        <w:tc>
          <w:tcPr>
            <w:tcW w:w="530" w:type="pct"/>
            <w:vMerge w:val="continue"/>
            <w:vAlign w:val="center"/>
          </w:tcPr>
          <w:p>
            <w:pPr>
              <w:spacing w:line="240" w:lineRule="auto"/>
              <w:jc w:val="center"/>
              <w:rPr>
                <w:rFonts w:ascii="宋体" w:hAnsi="宋体"/>
                <w:sz w:val="18"/>
                <w:szCs w:val="18"/>
              </w:rPr>
            </w:pPr>
          </w:p>
        </w:tc>
        <w:tc>
          <w:tcPr>
            <w:tcW w:w="3419" w:type="pct"/>
            <w:vAlign w:val="center"/>
          </w:tcPr>
          <w:p>
            <w:pPr>
              <w:spacing w:line="240" w:lineRule="auto"/>
              <w:rPr>
                <w:rFonts w:ascii="宋体" w:hAnsi="宋体"/>
                <w:sz w:val="18"/>
                <w:szCs w:val="18"/>
              </w:rPr>
            </w:pPr>
            <w:r>
              <w:rPr>
                <w:rFonts w:hint="eastAsia" w:ascii="宋体" w:hAnsi="宋体"/>
                <w:sz w:val="18"/>
                <w:szCs w:val="18"/>
              </w:rPr>
              <w:t>能够监控、管理、调整车间的生产进度，同时对各类生产资源进行实时、动态的调配，得</w:t>
            </w:r>
            <w:r>
              <w:rPr>
                <w:rFonts w:ascii="宋体" w:hAnsi="宋体"/>
                <w:sz w:val="18"/>
                <w:szCs w:val="18"/>
              </w:rPr>
              <w:t>1</w:t>
            </w:r>
            <w:r>
              <w:rPr>
                <w:rFonts w:hint="eastAsia" w:ascii="宋体" w:hAnsi="宋体"/>
                <w:sz w:val="18"/>
                <w:szCs w:val="18"/>
              </w:rPr>
              <w:t>分。</w:t>
            </w:r>
          </w:p>
        </w:tc>
        <w:tc>
          <w:tcPr>
            <w:tcW w:w="527" w:type="pct"/>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24" w:type="pct"/>
            <w:vMerge w:val="continue"/>
            <w:vAlign w:val="center"/>
          </w:tcPr>
          <w:p>
            <w:pPr>
              <w:spacing w:line="240" w:lineRule="auto"/>
              <w:jc w:val="center"/>
              <w:rPr>
                <w:rFonts w:ascii="宋体" w:hAnsi="宋体"/>
                <w:sz w:val="18"/>
                <w:szCs w:val="18"/>
              </w:rPr>
            </w:pPr>
          </w:p>
        </w:tc>
        <w:tc>
          <w:tcPr>
            <w:tcW w:w="530" w:type="pct"/>
            <w:vAlign w:val="center"/>
          </w:tcPr>
          <w:p>
            <w:pPr>
              <w:spacing w:line="240" w:lineRule="auto"/>
              <w:jc w:val="center"/>
              <w:rPr>
                <w:rFonts w:ascii="宋体" w:hAnsi="宋体"/>
                <w:sz w:val="18"/>
                <w:szCs w:val="18"/>
              </w:rPr>
            </w:pPr>
            <w:r>
              <w:rPr>
                <w:rFonts w:hint="eastAsia" w:ascii="宋体" w:hAnsi="宋体"/>
                <w:sz w:val="18"/>
                <w:szCs w:val="18"/>
              </w:rPr>
              <w:t>质检管理</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分）</w:t>
            </w:r>
          </w:p>
        </w:tc>
        <w:tc>
          <w:tcPr>
            <w:tcW w:w="3419" w:type="pct"/>
            <w:vAlign w:val="center"/>
          </w:tcPr>
          <w:p>
            <w:pPr>
              <w:spacing w:line="240" w:lineRule="auto"/>
              <w:rPr>
                <w:rFonts w:ascii="宋体" w:hAnsi="宋体"/>
                <w:sz w:val="18"/>
                <w:szCs w:val="18"/>
              </w:rPr>
            </w:pPr>
            <w:r>
              <w:rPr>
                <w:rFonts w:hint="eastAsia" w:ascii="宋体" w:hAnsi="宋体"/>
                <w:sz w:val="18"/>
                <w:szCs w:val="18"/>
              </w:rPr>
              <w:t>建立质量管理系统且和检测设备集成，过程质量可追溯，得</w:t>
            </w:r>
            <w:r>
              <w:rPr>
                <w:rFonts w:ascii="宋体" w:hAnsi="宋体"/>
                <w:sz w:val="18"/>
                <w:szCs w:val="18"/>
              </w:rPr>
              <w:t>1分</w:t>
            </w:r>
            <w:r>
              <w:rPr>
                <w:rFonts w:hint="eastAsia" w:ascii="宋体" w:hAnsi="宋体"/>
                <w:sz w:val="18"/>
                <w:szCs w:val="18"/>
              </w:rPr>
              <w:t>。</w:t>
            </w:r>
          </w:p>
        </w:tc>
        <w:tc>
          <w:tcPr>
            <w:tcW w:w="527" w:type="pct"/>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24" w:type="pct"/>
            <w:vMerge w:val="continue"/>
            <w:vAlign w:val="center"/>
          </w:tcPr>
          <w:p>
            <w:pPr>
              <w:spacing w:line="240" w:lineRule="auto"/>
              <w:jc w:val="center"/>
              <w:rPr>
                <w:rFonts w:ascii="宋体" w:hAnsi="宋体"/>
                <w:sz w:val="18"/>
                <w:szCs w:val="18"/>
              </w:rPr>
            </w:pPr>
          </w:p>
        </w:tc>
        <w:tc>
          <w:tcPr>
            <w:tcW w:w="530" w:type="pct"/>
            <w:vAlign w:val="center"/>
          </w:tcPr>
          <w:p>
            <w:pPr>
              <w:spacing w:line="240" w:lineRule="auto"/>
              <w:jc w:val="center"/>
              <w:rPr>
                <w:rFonts w:ascii="宋体" w:hAnsi="宋体"/>
                <w:sz w:val="18"/>
                <w:szCs w:val="18"/>
              </w:rPr>
            </w:pPr>
            <w:r>
              <w:rPr>
                <w:rFonts w:hint="eastAsia" w:ascii="宋体" w:hAnsi="宋体"/>
                <w:sz w:val="18"/>
                <w:szCs w:val="18"/>
              </w:rPr>
              <w:t>物料管理</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0.5</w:t>
            </w:r>
            <w:r>
              <w:rPr>
                <w:rFonts w:hint="eastAsia" w:ascii="宋体" w:hAnsi="宋体"/>
                <w:sz w:val="18"/>
                <w:szCs w:val="18"/>
              </w:rPr>
              <w:t>分</w:t>
            </w:r>
            <w:r>
              <w:rPr>
                <w:rFonts w:ascii="宋体" w:hAnsi="宋体"/>
                <w:sz w:val="18"/>
                <w:szCs w:val="18"/>
              </w:rPr>
              <w:t>)</w:t>
            </w:r>
          </w:p>
        </w:tc>
        <w:tc>
          <w:tcPr>
            <w:tcW w:w="3419" w:type="pct"/>
            <w:vAlign w:val="center"/>
          </w:tcPr>
          <w:p>
            <w:pPr>
              <w:spacing w:line="240" w:lineRule="auto"/>
              <w:rPr>
                <w:rFonts w:ascii="宋体" w:hAnsi="宋体"/>
                <w:sz w:val="18"/>
                <w:szCs w:val="18"/>
              </w:rPr>
            </w:pPr>
            <w:r>
              <w:rPr>
                <w:rFonts w:hint="eastAsia" w:ascii="宋体" w:hAnsi="宋体"/>
                <w:sz w:val="18"/>
                <w:szCs w:val="18"/>
              </w:rPr>
              <w:t>建立物料管理系统，将物料供给与部品部件生产消耗信息联动，实现物料按批次出入库的全周期管理，得</w:t>
            </w:r>
            <w:r>
              <w:rPr>
                <w:rFonts w:ascii="宋体" w:hAnsi="宋体"/>
                <w:sz w:val="18"/>
                <w:szCs w:val="18"/>
              </w:rPr>
              <w:t>0.5分</w:t>
            </w:r>
            <w:r>
              <w:rPr>
                <w:rFonts w:hint="eastAsia" w:ascii="宋体" w:hAnsi="宋体"/>
                <w:sz w:val="18"/>
                <w:szCs w:val="18"/>
              </w:rPr>
              <w:t>。</w:t>
            </w:r>
          </w:p>
        </w:tc>
        <w:tc>
          <w:tcPr>
            <w:tcW w:w="527" w:type="pct"/>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24" w:type="pct"/>
            <w:vMerge w:val="continue"/>
            <w:vAlign w:val="center"/>
          </w:tcPr>
          <w:p>
            <w:pPr>
              <w:spacing w:line="240" w:lineRule="auto"/>
              <w:jc w:val="center"/>
              <w:rPr>
                <w:rFonts w:ascii="宋体" w:hAnsi="宋体"/>
                <w:sz w:val="18"/>
                <w:szCs w:val="18"/>
              </w:rPr>
            </w:pPr>
          </w:p>
        </w:tc>
        <w:tc>
          <w:tcPr>
            <w:tcW w:w="530" w:type="pct"/>
            <w:vAlign w:val="center"/>
          </w:tcPr>
          <w:p>
            <w:pPr>
              <w:spacing w:line="240" w:lineRule="auto"/>
              <w:jc w:val="center"/>
              <w:rPr>
                <w:rFonts w:ascii="宋体" w:hAnsi="宋体"/>
                <w:sz w:val="18"/>
                <w:szCs w:val="18"/>
              </w:rPr>
            </w:pPr>
            <w:r>
              <w:rPr>
                <w:rFonts w:hint="eastAsia" w:ascii="宋体" w:hAnsi="宋体"/>
                <w:sz w:val="18"/>
                <w:szCs w:val="18"/>
              </w:rPr>
              <w:t>物流管理</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0.5</w:t>
            </w:r>
            <w:r>
              <w:rPr>
                <w:rFonts w:hint="eastAsia" w:ascii="宋体" w:hAnsi="宋体"/>
                <w:sz w:val="18"/>
                <w:szCs w:val="18"/>
              </w:rPr>
              <w:t>分</w:t>
            </w:r>
            <w:r>
              <w:rPr>
                <w:rFonts w:ascii="宋体" w:hAnsi="宋体"/>
                <w:sz w:val="18"/>
                <w:szCs w:val="18"/>
              </w:rPr>
              <w:t>)</w:t>
            </w:r>
          </w:p>
        </w:tc>
        <w:tc>
          <w:tcPr>
            <w:tcW w:w="3419" w:type="pct"/>
            <w:vAlign w:val="center"/>
          </w:tcPr>
          <w:p>
            <w:pPr>
              <w:spacing w:line="240" w:lineRule="auto"/>
              <w:rPr>
                <w:rFonts w:ascii="宋体" w:hAnsi="宋体"/>
                <w:sz w:val="18"/>
                <w:szCs w:val="18"/>
              </w:rPr>
            </w:pPr>
            <w:r>
              <w:rPr>
                <w:rFonts w:hint="eastAsia" w:ascii="宋体" w:hAnsi="宋体"/>
                <w:sz w:val="18"/>
                <w:szCs w:val="18"/>
              </w:rPr>
              <w:t>建立物流管理系统，对部品部件进行运输管理，可通过桌面端或移动端查看实时物流状态，得</w:t>
            </w:r>
            <w:r>
              <w:rPr>
                <w:rFonts w:ascii="宋体" w:hAnsi="宋体"/>
                <w:sz w:val="18"/>
                <w:szCs w:val="18"/>
              </w:rPr>
              <w:t>0.5分</w:t>
            </w:r>
            <w:r>
              <w:rPr>
                <w:rFonts w:hint="eastAsia" w:ascii="宋体" w:hAnsi="宋体"/>
                <w:sz w:val="18"/>
                <w:szCs w:val="18"/>
              </w:rPr>
              <w:t>。</w:t>
            </w:r>
          </w:p>
        </w:tc>
        <w:tc>
          <w:tcPr>
            <w:tcW w:w="527" w:type="pct"/>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524" w:type="pct"/>
            <w:vMerge w:val="continue"/>
            <w:vAlign w:val="center"/>
          </w:tcPr>
          <w:p>
            <w:pPr>
              <w:spacing w:line="240" w:lineRule="auto"/>
              <w:jc w:val="center"/>
              <w:rPr>
                <w:rFonts w:ascii="宋体" w:hAnsi="宋体"/>
                <w:sz w:val="18"/>
                <w:szCs w:val="18"/>
              </w:rPr>
            </w:pPr>
          </w:p>
        </w:tc>
        <w:tc>
          <w:tcPr>
            <w:tcW w:w="530" w:type="pct"/>
            <w:vAlign w:val="center"/>
          </w:tcPr>
          <w:p>
            <w:pPr>
              <w:spacing w:line="240" w:lineRule="auto"/>
              <w:jc w:val="center"/>
              <w:rPr>
                <w:rFonts w:ascii="宋体" w:hAnsi="宋体"/>
                <w:sz w:val="18"/>
                <w:szCs w:val="18"/>
              </w:rPr>
            </w:pPr>
            <w:r>
              <w:rPr>
                <w:rFonts w:hint="eastAsia" w:ascii="宋体" w:hAnsi="宋体"/>
                <w:sz w:val="18"/>
                <w:szCs w:val="18"/>
              </w:rPr>
              <w:t>管理过程可视化</w:t>
            </w:r>
          </w:p>
          <w:p>
            <w:pPr>
              <w:spacing w:line="240" w:lineRule="auto"/>
              <w:jc w:val="center"/>
              <w:rPr>
                <w:rFonts w:ascii="宋体" w:hAnsi="宋体"/>
                <w:sz w:val="18"/>
                <w:szCs w:val="18"/>
              </w:rPr>
            </w:pPr>
            <w:r>
              <w:rPr>
                <w:rFonts w:hint="eastAsia" w:ascii="宋体" w:hAnsi="宋体"/>
                <w:sz w:val="18"/>
                <w:szCs w:val="18"/>
              </w:rPr>
              <w:t>（1分）</w:t>
            </w:r>
          </w:p>
        </w:tc>
        <w:tc>
          <w:tcPr>
            <w:tcW w:w="3419" w:type="pct"/>
            <w:vAlign w:val="center"/>
          </w:tcPr>
          <w:p>
            <w:pPr>
              <w:spacing w:line="240" w:lineRule="auto"/>
              <w:rPr>
                <w:rFonts w:ascii="宋体" w:hAnsi="宋体"/>
                <w:sz w:val="18"/>
                <w:szCs w:val="18"/>
              </w:rPr>
            </w:pPr>
            <w:r>
              <w:rPr>
                <w:rFonts w:hint="eastAsia" w:ascii="宋体" w:hAnsi="宋体"/>
                <w:sz w:val="18"/>
                <w:szCs w:val="18"/>
              </w:rPr>
              <w:t>管理模块与B</w:t>
            </w:r>
            <w:r>
              <w:rPr>
                <w:rFonts w:ascii="宋体" w:hAnsi="宋体"/>
                <w:sz w:val="18"/>
                <w:szCs w:val="18"/>
              </w:rPr>
              <w:t>IM</w:t>
            </w:r>
            <w:r>
              <w:rPr>
                <w:rFonts w:hint="eastAsia" w:ascii="宋体" w:hAnsi="宋体"/>
                <w:sz w:val="18"/>
                <w:szCs w:val="18"/>
              </w:rPr>
              <w:t>建立直接或间接的关联，实现管理过程的可视化，得1分。</w:t>
            </w:r>
          </w:p>
        </w:tc>
        <w:tc>
          <w:tcPr>
            <w:tcW w:w="527" w:type="pct"/>
            <w:vAlign w:val="center"/>
          </w:tcPr>
          <w:p>
            <w:pPr>
              <w:spacing w:line="240" w:lineRule="auto"/>
              <w:rPr>
                <w:rFonts w:ascii="宋体" w:hAnsi="宋体"/>
                <w:sz w:val="18"/>
                <w:szCs w:val="18"/>
              </w:rPr>
            </w:pPr>
            <w:r>
              <w:rPr>
                <w:rFonts w:ascii="宋体" w:hAnsi="宋体"/>
                <w:sz w:val="18"/>
                <w:szCs w:val="18"/>
              </w:rPr>
              <w:t>1.</w:t>
            </w:r>
            <w:r>
              <w:rPr>
                <w:rFonts w:hint="eastAsia" w:ascii="宋体" w:hAnsi="宋体"/>
                <w:sz w:val="18"/>
                <w:szCs w:val="18"/>
              </w:rPr>
              <w:t>可视化证明图片或视频；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24" w:type="pct"/>
            <w:vMerge w:val="restart"/>
            <w:vAlign w:val="center"/>
          </w:tcPr>
          <w:p>
            <w:pPr>
              <w:spacing w:line="240" w:lineRule="auto"/>
              <w:jc w:val="center"/>
              <w:rPr>
                <w:rFonts w:ascii="宋体" w:hAnsi="宋体"/>
                <w:sz w:val="18"/>
                <w:szCs w:val="18"/>
              </w:rPr>
            </w:pPr>
            <w:r>
              <w:rPr>
                <w:rFonts w:hint="eastAsia" w:ascii="宋体" w:hAnsi="宋体"/>
                <w:sz w:val="18"/>
                <w:szCs w:val="18"/>
              </w:rPr>
              <w:t>智能装备</w:t>
            </w:r>
          </w:p>
        </w:tc>
        <w:tc>
          <w:tcPr>
            <w:tcW w:w="530" w:type="pct"/>
            <w:vAlign w:val="center"/>
          </w:tcPr>
          <w:p>
            <w:pPr>
              <w:spacing w:line="240" w:lineRule="auto"/>
              <w:jc w:val="center"/>
              <w:rPr>
                <w:rFonts w:ascii="宋体" w:hAnsi="宋体"/>
                <w:sz w:val="18"/>
                <w:szCs w:val="18"/>
              </w:rPr>
            </w:pPr>
            <w:r>
              <w:rPr>
                <w:rFonts w:hint="eastAsia" w:ascii="宋体" w:hAnsi="宋体"/>
                <w:sz w:val="18"/>
                <w:szCs w:val="18"/>
              </w:rPr>
              <w:t>智能化生产设备</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分）</w:t>
            </w:r>
          </w:p>
        </w:tc>
        <w:tc>
          <w:tcPr>
            <w:tcW w:w="3419" w:type="pct"/>
            <w:vAlign w:val="center"/>
          </w:tcPr>
          <w:p>
            <w:pPr>
              <w:spacing w:line="240" w:lineRule="auto"/>
              <w:rPr>
                <w:rFonts w:ascii="宋体" w:hAnsi="宋体"/>
                <w:sz w:val="18"/>
                <w:szCs w:val="18"/>
              </w:rPr>
            </w:pPr>
            <w:r>
              <w:rPr>
                <w:rFonts w:hint="eastAsia" w:ascii="宋体" w:hAnsi="宋体"/>
                <w:sz w:val="18"/>
                <w:szCs w:val="18"/>
              </w:rPr>
              <w:t>主要生产设备采用信息化技术、人工智能技术、工业机器人技术、数据处理技术、传感器技术、物联网技术、</w:t>
            </w:r>
            <w:r>
              <w:rPr>
                <w:rFonts w:ascii="宋体" w:hAnsi="宋体"/>
                <w:sz w:val="18"/>
                <w:szCs w:val="18"/>
              </w:rPr>
              <w:t>5G技术</w:t>
            </w:r>
            <w:r>
              <w:rPr>
                <w:rFonts w:hint="eastAsia" w:ascii="宋体" w:hAnsi="宋体"/>
                <w:sz w:val="18"/>
                <w:szCs w:val="18"/>
              </w:rPr>
              <w:t>等先进技术</w:t>
            </w:r>
            <w:r>
              <w:rPr>
                <w:rFonts w:ascii="宋体" w:hAnsi="宋体"/>
                <w:sz w:val="18"/>
                <w:szCs w:val="18"/>
              </w:rPr>
              <w:t>，每应用一项技术，</w:t>
            </w:r>
            <w:r>
              <w:rPr>
                <w:rFonts w:hint="eastAsia" w:ascii="宋体" w:hAnsi="宋体"/>
                <w:sz w:val="18"/>
                <w:szCs w:val="18"/>
              </w:rPr>
              <w:t>得</w:t>
            </w:r>
            <w:r>
              <w:rPr>
                <w:rFonts w:ascii="宋体" w:hAnsi="宋体"/>
                <w:sz w:val="18"/>
                <w:szCs w:val="18"/>
              </w:rPr>
              <w:t>0.2分，此项满分1分。</w:t>
            </w:r>
          </w:p>
        </w:tc>
        <w:tc>
          <w:tcPr>
            <w:tcW w:w="527" w:type="pct"/>
            <w:vMerge w:val="restart"/>
            <w:vAlign w:val="center"/>
          </w:tcPr>
          <w:p>
            <w:pPr>
              <w:snapToGrid w:val="0"/>
              <w:spacing w:line="240" w:lineRule="auto"/>
              <w:rPr>
                <w:rFonts w:ascii="宋体" w:hAnsi="宋体"/>
                <w:sz w:val="18"/>
                <w:szCs w:val="18"/>
              </w:rPr>
            </w:pPr>
            <w:r>
              <w:rPr>
                <w:rFonts w:ascii="宋体" w:hAnsi="宋体"/>
                <w:sz w:val="18"/>
                <w:szCs w:val="18"/>
              </w:rPr>
              <w:t>1</w:t>
            </w:r>
            <w:r>
              <w:rPr>
                <w:rFonts w:hint="eastAsia" w:ascii="宋体" w:hAnsi="宋体"/>
                <w:sz w:val="18"/>
                <w:szCs w:val="18"/>
              </w:rPr>
              <w:t>．主要生产设备技术使用清单；</w:t>
            </w:r>
          </w:p>
          <w:p>
            <w:pPr>
              <w:snapToGrid w:val="0"/>
              <w:spacing w:line="240" w:lineRule="auto"/>
              <w:rPr>
                <w:rFonts w:ascii="宋体" w:hAnsi="宋体"/>
                <w:sz w:val="18"/>
                <w:szCs w:val="18"/>
              </w:rPr>
            </w:pPr>
            <w:r>
              <w:rPr>
                <w:rFonts w:ascii="宋体" w:hAnsi="宋体"/>
                <w:sz w:val="18"/>
                <w:szCs w:val="18"/>
              </w:rPr>
              <w:t>2.</w:t>
            </w:r>
            <w:r>
              <w:rPr>
                <w:rFonts w:hint="eastAsia" w:ascii="宋体" w:hAnsi="宋体"/>
                <w:sz w:val="18"/>
                <w:szCs w:val="18"/>
              </w:rPr>
              <w:t>智能堆场装备使用过程资料。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24" w:type="pct"/>
            <w:vMerge w:val="continue"/>
            <w:vAlign w:val="center"/>
          </w:tcPr>
          <w:p>
            <w:pPr>
              <w:spacing w:line="240" w:lineRule="auto"/>
              <w:jc w:val="center"/>
              <w:rPr>
                <w:rFonts w:ascii="宋体" w:hAnsi="宋体"/>
                <w:sz w:val="18"/>
                <w:szCs w:val="18"/>
              </w:rPr>
            </w:pPr>
          </w:p>
        </w:tc>
        <w:tc>
          <w:tcPr>
            <w:tcW w:w="530" w:type="pct"/>
            <w:vAlign w:val="center"/>
          </w:tcPr>
          <w:p>
            <w:pPr>
              <w:spacing w:line="240" w:lineRule="auto"/>
              <w:jc w:val="center"/>
              <w:rPr>
                <w:rFonts w:ascii="宋体" w:hAnsi="宋体"/>
                <w:sz w:val="18"/>
                <w:szCs w:val="18"/>
              </w:rPr>
            </w:pPr>
            <w:r>
              <w:rPr>
                <w:rFonts w:hint="eastAsia" w:ascii="宋体" w:hAnsi="宋体"/>
                <w:sz w:val="18"/>
                <w:szCs w:val="18"/>
              </w:rPr>
              <w:t>智能堆场装备</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0.5</w:t>
            </w:r>
            <w:r>
              <w:rPr>
                <w:rFonts w:hint="eastAsia" w:ascii="宋体" w:hAnsi="宋体"/>
                <w:sz w:val="18"/>
                <w:szCs w:val="18"/>
              </w:rPr>
              <w:t>分</w:t>
            </w:r>
            <w:r>
              <w:rPr>
                <w:rFonts w:ascii="宋体" w:hAnsi="宋体"/>
                <w:sz w:val="18"/>
                <w:szCs w:val="18"/>
              </w:rPr>
              <w:t>)</w:t>
            </w:r>
          </w:p>
        </w:tc>
        <w:tc>
          <w:tcPr>
            <w:tcW w:w="3419" w:type="pct"/>
            <w:vAlign w:val="center"/>
          </w:tcPr>
          <w:p>
            <w:pPr>
              <w:spacing w:line="240" w:lineRule="auto"/>
              <w:rPr>
                <w:rFonts w:ascii="宋体" w:hAnsi="宋体"/>
                <w:sz w:val="18"/>
                <w:szCs w:val="18"/>
              </w:rPr>
            </w:pPr>
            <w:r>
              <w:rPr>
                <w:rFonts w:hint="eastAsia" w:ascii="宋体" w:hAnsi="宋体"/>
                <w:sz w:val="18"/>
                <w:szCs w:val="18"/>
              </w:rPr>
              <w:t>采用智能堆场装备，自动码垛机或自动吊板码垛设备或部品部件专用自装卸运输车，得</w:t>
            </w:r>
            <w:r>
              <w:rPr>
                <w:rFonts w:ascii="宋体" w:hAnsi="宋体"/>
                <w:sz w:val="18"/>
                <w:szCs w:val="18"/>
              </w:rPr>
              <w:t>0.5分</w:t>
            </w:r>
            <w:r>
              <w:rPr>
                <w:rFonts w:hint="eastAsia" w:ascii="宋体" w:hAnsi="宋体"/>
                <w:sz w:val="18"/>
                <w:szCs w:val="18"/>
              </w:rPr>
              <w:t>。</w:t>
            </w:r>
          </w:p>
        </w:tc>
        <w:tc>
          <w:tcPr>
            <w:tcW w:w="527" w:type="pct"/>
            <w:vMerge w:val="continue"/>
            <w:vAlign w:val="center"/>
          </w:tcPr>
          <w:p>
            <w:pPr>
              <w:spacing w:line="24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524" w:type="pct"/>
            <w:vMerge w:val="restart"/>
            <w:vAlign w:val="center"/>
          </w:tcPr>
          <w:p>
            <w:pPr>
              <w:spacing w:line="240" w:lineRule="auto"/>
              <w:jc w:val="center"/>
              <w:rPr>
                <w:rFonts w:ascii="宋体" w:hAnsi="宋体"/>
                <w:sz w:val="18"/>
                <w:szCs w:val="18"/>
              </w:rPr>
            </w:pPr>
            <w:r>
              <w:rPr>
                <w:rFonts w:hint="eastAsia" w:ascii="宋体" w:hAnsi="宋体"/>
                <w:sz w:val="18"/>
                <w:szCs w:val="18"/>
              </w:rPr>
              <w:t>数字化交付</w:t>
            </w:r>
          </w:p>
        </w:tc>
        <w:tc>
          <w:tcPr>
            <w:tcW w:w="530" w:type="pct"/>
            <w:vMerge w:val="restart"/>
            <w:vAlign w:val="center"/>
          </w:tcPr>
          <w:p>
            <w:pPr>
              <w:spacing w:line="240" w:lineRule="auto"/>
              <w:jc w:val="center"/>
              <w:rPr>
                <w:rFonts w:ascii="宋体" w:hAnsi="宋体"/>
                <w:sz w:val="18"/>
                <w:szCs w:val="18"/>
              </w:rPr>
            </w:pPr>
            <w:r>
              <w:rPr>
                <w:rFonts w:hint="eastAsia" w:ascii="宋体" w:hAnsi="宋体"/>
                <w:sz w:val="18"/>
                <w:szCs w:val="18"/>
              </w:rPr>
              <w:t>交付内容及B</w:t>
            </w:r>
            <w:r>
              <w:rPr>
                <w:rFonts w:ascii="宋体" w:hAnsi="宋体"/>
                <w:sz w:val="18"/>
                <w:szCs w:val="18"/>
              </w:rPr>
              <w:t>IM</w:t>
            </w:r>
            <w:r>
              <w:rPr>
                <w:rFonts w:hint="eastAsia" w:ascii="宋体" w:hAnsi="宋体"/>
                <w:sz w:val="18"/>
                <w:szCs w:val="18"/>
              </w:rPr>
              <w:t>模型要求</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1.5</w:t>
            </w:r>
            <w:r>
              <w:rPr>
                <w:rFonts w:hint="eastAsia" w:ascii="宋体" w:hAnsi="宋体"/>
                <w:sz w:val="18"/>
                <w:szCs w:val="18"/>
              </w:rPr>
              <w:t>分</w:t>
            </w:r>
            <w:r>
              <w:rPr>
                <w:rFonts w:ascii="宋体" w:hAnsi="宋体"/>
                <w:sz w:val="18"/>
                <w:szCs w:val="18"/>
              </w:rPr>
              <w:t>)</w:t>
            </w:r>
          </w:p>
        </w:tc>
        <w:tc>
          <w:tcPr>
            <w:tcW w:w="3419" w:type="pct"/>
            <w:vAlign w:val="center"/>
          </w:tcPr>
          <w:p>
            <w:pPr>
              <w:spacing w:line="240" w:lineRule="auto"/>
              <w:rPr>
                <w:rFonts w:ascii="宋体" w:hAnsi="宋体"/>
                <w:sz w:val="18"/>
                <w:szCs w:val="18"/>
              </w:rPr>
            </w:pPr>
            <w:r>
              <w:rPr>
                <w:rFonts w:hint="eastAsia" w:ascii="宋体" w:hAnsi="宋体"/>
                <w:sz w:val="18"/>
                <w:szCs w:val="18"/>
              </w:rPr>
              <w:t>部品部件生产合同、生产过程资料、合格证等全部采用数字化交付，得</w:t>
            </w:r>
            <w:r>
              <w:rPr>
                <w:rFonts w:ascii="宋体" w:hAnsi="宋体"/>
                <w:sz w:val="18"/>
                <w:szCs w:val="18"/>
              </w:rPr>
              <w:t>0.5分</w:t>
            </w:r>
            <w:r>
              <w:rPr>
                <w:rFonts w:hint="eastAsia" w:ascii="宋体" w:hAnsi="宋体"/>
                <w:sz w:val="18"/>
                <w:szCs w:val="18"/>
              </w:rPr>
              <w:t>。</w:t>
            </w:r>
          </w:p>
        </w:tc>
        <w:tc>
          <w:tcPr>
            <w:tcW w:w="527" w:type="pct"/>
            <w:vMerge w:val="restart"/>
            <w:vAlign w:val="center"/>
          </w:tcPr>
          <w:p>
            <w:pPr>
              <w:snapToGrid w:val="0"/>
              <w:spacing w:line="240" w:lineRule="auto"/>
              <w:rPr>
                <w:rFonts w:ascii="宋体" w:hAnsi="宋体"/>
                <w:sz w:val="18"/>
                <w:szCs w:val="18"/>
              </w:rPr>
            </w:pPr>
            <w:r>
              <w:rPr>
                <w:rFonts w:ascii="宋体" w:hAnsi="宋体"/>
                <w:sz w:val="18"/>
                <w:szCs w:val="18"/>
              </w:rPr>
              <w:t>1.</w:t>
            </w:r>
            <w:r>
              <w:rPr>
                <w:rFonts w:hint="eastAsia" w:ascii="宋体" w:hAnsi="宋体"/>
                <w:sz w:val="18"/>
                <w:szCs w:val="18"/>
              </w:rPr>
              <w:t>过程证明图片或视频；</w:t>
            </w:r>
          </w:p>
          <w:p>
            <w:pPr>
              <w:snapToGrid w:val="0"/>
              <w:spacing w:line="240" w:lineRule="auto"/>
              <w:rPr>
                <w:rFonts w:ascii="宋体" w:hAnsi="宋体"/>
                <w:sz w:val="18"/>
                <w:szCs w:val="18"/>
              </w:rPr>
            </w:pPr>
            <w:r>
              <w:rPr>
                <w:rFonts w:hint="eastAsia" w:ascii="宋体" w:hAnsi="宋体"/>
                <w:sz w:val="18"/>
                <w:szCs w:val="18"/>
              </w:rPr>
              <w:t>2</w:t>
            </w:r>
            <w:r>
              <w:rPr>
                <w:rFonts w:ascii="宋体" w:hAnsi="宋体"/>
                <w:sz w:val="18"/>
                <w:szCs w:val="18"/>
              </w:rPr>
              <w:t>.</w:t>
            </w:r>
            <w:r>
              <w:rPr>
                <w:rFonts w:hint="eastAsia" w:ascii="宋体" w:hAnsi="宋体"/>
                <w:sz w:val="18"/>
                <w:szCs w:val="18"/>
              </w:rPr>
              <w:t>部品部件B</w:t>
            </w:r>
            <w:r>
              <w:rPr>
                <w:rFonts w:ascii="宋体" w:hAnsi="宋体"/>
                <w:sz w:val="18"/>
                <w:szCs w:val="18"/>
              </w:rPr>
              <w:t>IM</w:t>
            </w:r>
            <w:r>
              <w:rPr>
                <w:rFonts w:hint="eastAsia" w:ascii="宋体" w:hAnsi="宋体"/>
                <w:sz w:val="18"/>
                <w:szCs w:val="18"/>
              </w:rPr>
              <w:t>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24" w:type="pct"/>
            <w:vMerge w:val="continue"/>
            <w:vAlign w:val="center"/>
          </w:tcPr>
          <w:p>
            <w:pPr>
              <w:spacing w:line="240" w:lineRule="auto"/>
              <w:jc w:val="center"/>
              <w:rPr>
                <w:rFonts w:ascii="宋体" w:hAnsi="宋体"/>
                <w:sz w:val="18"/>
                <w:szCs w:val="18"/>
              </w:rPr>
            </w:pPr>
          </w:p>
        </w:tc>
        <w:tc>
          <w:tcPr>
            <w:tcW w:w="530" w:type="pct"/>
            <w:vMerge w:val="continue"/>
            <w:vAlign w:val="center"/>
          </w:tcPr>
          <w:p>
            <w:pPr>
              <w:spacing w:line="240" w:lineRule="auto"/>
              <w:jc w:val="center"/>
              <w:rPr>
                <w:rFonts w:ascii="宋体" w:hAnsi="宋体"/>
                <w:sz w:val="18"/>
                <w:szCs w:val="18"/>
              </w:rPr>
            </w:pPr>
          </w:p>
        </w:tc>
        <w:tc>
          <w:tcPr>
            <w:tcW w:w="3419" w:type="pct"/>
            <w:vAlign w:val="center"/>
          </w:tcPr>
          <w:p>
            <w:pPr>
              <w:spacing w:line="240" w:lineRule="auto"/>
              <w:rPr>
                <w:rFonts w:ascii="宋体" w:hAnsi="宋体"/>
                <w:sz w:val="18"/>
                <w:szCs w:val="18"/>
              </w:rPr>
            </w:pPr>
            <w:r>
              <w:rPr>
                <w:rFonts w:hint="eastAsia" w:ascii="宋体" w:hAnsi="宋体"/>
                <w:sz w:val="18"/>
                <w:szCs w:val="18"/>
              </w:rPr>
              <w:t>采用部品部件</w:t>
            </w:r>
            <w:r>
              <w:rPr>
                <w:rFonts w:ascii="宋体" w:hAnsi="宋体"/>
                <w:sz w:val="18"/>
                <w:szCs w:val="18"/>
              </w:rPr>
              <w:t>BIM模型进行数字化交付、验收</w:t>
            </w:r>
            <w:r>
              <w:rPr>
                <w:rFonts w:hint="eastAsia" w:ascii="宋体" w:hAnsi="宋体"/>
                <w:sz w:val="18"/>
                <w:szCs w:val="18"/>
              </w:rPr>
              <w:t>与存档，并确保部品部件与</w:t>
            </w:r>
            <w:r>
              <w:rPr>
                <w:rFonts w:ascii="宋体" w:hAnsi="宋体"/>
                <w:sz w:val="18"/>
                <w:szCs w:val="18"/>
              </w:rPr>
              <w:t>BIM模型一致</w:t>
            </w:r>
            <w:r>
              <w:rPr>
                <w:rFonts w:hint="eastAsia" w:ascii="宋体" w:hAnsi="宋体"/>
                <w:sz w:val="18"/>
                <w:szCs w:val="18"/>
              </w:rPr>
              <w:t>，得</w:t>
            </w:r>
            <w:r>
              <w:rPr>
                <w:rFonts w:ascii="宋体" w:hAnsi="宋体"/>
                <w:sz w:val="18"/>
                <w:szCs w:val="18"/>
              </w:rPr>
              <w:t>0.5分</w:t>
            </w:r>
            <w:r>
              <w:rPr>
                <w:rFonts w:hint="eastAsia" w:ascii="宋体" w:hAnsi="宋体"/>
                <w:sz w:val="18"/>
                <w:szCs w:val="18"/>
              </w:rPr>
              <w:t>。</w:t>
            </w:r>
          </w:p>
        </w:tc>
        <w:tc>
          <w:tcPr>
            <w:tcW w:w="527" w:type="pct"/>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24" w:type="pct"/>
            <w:vMerge w:val="continue"/>
            <w:vAlign w:val="center"/>
          </w:tcPr>
          <w:p>
            <w:pPr>
              <w:spacing w:line="240" w:lineRule="auto"/>
              <w:jc w:val="center"/>
              <w:rPr>
                <w:rFonts w:ascii="宋体" w:hAnsi="宋体"/>
                <w:sz w:val="18"/>
                <w:szCs w:val="18"/>
              </w:rPr>
            </w:pPr>
          </w:p>
        </w:tc>
        <w:tc>
          <w:tcPr>
            <w:tcW w:w="530" w:type="pct"/>
            <w:vMerge w:val="continue"/>
            <w:vAlign w:val="center"/>
          </w:tcPr>
          <w:p>
            <w:pPr>
              <w:spacing w:line="240" w:lineRule="auto"/>
              <w:jc w:val="center"/>
              <w:rPr>
                <w:rFonts w:ascii="宋体" w:hAnsi="宋体"/>
                <w:sz w:val="18"/>
                <w:szCs w:val="18"/>
              </w:rPr>
            </w:pPr>
          </w:p>
        </w:tc>
        <w:tc>
          <w:tcPr>
            <w:tcW w:w="3419" w:type="pct"/>
            <w:vAlign w:val="center"/>
          </w:tcPr>
          <w:p>
            <w:pPr>
              <w:spacing w:line="240" w:lineRule="auto"/>
              <w:rPr>
                <w:rFonts w:ascii="宋体" w:hAnsi="宋体"/>
                <w:sz w:val="18"/>
                <w:szCs w:val="18"/>
              </w:rPr>
            </w:pPr>
            <w:r>
              <w:rPr>
                <w:rFonts w:ascii="宋体" w:hAnsi="宋体"/>
                <w:sz w:val="18"/>
                <w:szCs w:val="18"/>
              </w:rPr>
              <w:t>部品部件BIM模型可通过数字化管理系统读取</w:t>
            </w:r>
            <w:r>
              <w:rPr>
                <w:rFonts w:hint="eastAsia" w:ascii="宋体" w:hAnsi="宋体"/>
                <w:sz w:val="18"/>
                <w:szCs w:val="18"/>
              </w:rPr>
              <w:t>相关数据，用于进一步深化、生产、施工，得</w:t>
            </w:r>
            <w:r>
              <w:rPr>
                <w:rFonts w:ascii="宋体" w:hAnsi="宋体"/>
                <w:sz w:val="18"/>
                <w:szCs w:val="18"/>
              </w:rPr>
              <w:t>0.5分。</w:t>
            </w:r>
          </w:p>
        </w:tc>
        <w:tc>
          <w:tcPr>
            <w:tcW w:w="527" w:type="pct"/>
            <w:vMerge w:val="continue"/>
            <w:vAlign w:val="center"/>
          </w:tcPr>
          <w:p>
            <w:pPr>
              <w:spacing w:line="240" w:lineRule="auto"/>
              <w:jc w:val="center"/>
              <w:rPr>
                <w:rFonts w:ascii="宋体" w:hAnsi="宋体"/>
                <w:sz w:val="18"/>
                <w:szCs w:val="18"/>
              </w:rPr>
            </w:pPr>
          </w:p>
        </w:tc>
      </w:tr>
    </w:tbl>
    <w:p>
      <w:pPr>
        <w:pStyle w:val="175"/>
        <w:numPr>
          <w:ilvl w:val="0"/>
          <w:numId w:val="0"/>
        </w:numPr>
        <w:jc w:val="center"/>
      </w:pPr>
    </w:p>
    <w:p>
      <w:pPr>
        <w:pStyle w:val="175"/>
      </w:pPr>
      <w:r>
        <w:rPr>
          <w:rFonts w:hint="eastAsia" w:hAnsi="宋体"/>
          <w:szCs w:val="21"/>
        </w:rPr>
        <w:t>智能施工部分共分为数据资源、施工模拟、施工管理、建筑机器人及智能装备、技术经济分析和数字化交付</w:t>
      </w:r>
      <w:r>
        <w:rPr>
          <w:rFonts w:hAnsi="宋体"/>
          <w:szCs w:val="21"/>
        </w:rPr>
        <w:t>6</w:t>
      </w:r>
      <w:r>
        <w:rPr>
          <w:rFonts w:hint="eastAsia" w:hAnsi="宋体"/>
          <w:szCs w:val="21"/>
        </w:rPr>
        <w:t>类评价指标，评分规则应符合表</w:t>
      </w:r>
      <w:r>
        <w:rPr>
          <w:rFonts w:hAnsi="宋体"/>
          <w:szCs w:val="21"/>
        </w:rPr>
        <w:t>5</w:t>
      </w:r>
      <w:r>
        <w:rPr>
          <w:rFonts w:hint="eastAsia" w:hAnsi="宋体"/>
          <w:szCs w:val="21"/>
        </w:rPr>
        <w:t>的规定，本项评价的最高分值为</w:t>
      </w:r>
      <w:r>
        <w:rPr>
          <w:rFonts w:hAnsi="宋体"/>
          <w:szCs w:val="21"/>
        </w:rPr>
        <w:t>45</w:t>
      </w:r>
      <w:r>
        <w:rPr>
          <w:rFonts w:hint="eastAsia" w:hAnsi="宋体"/>
          <w:szCs w:val="21"/>
        </w:rPr>
        <w:t>分。</w:t>
      </w:r>
    </w:p>
    <w:p>
      <w:pPr>
        <w:pStyle w:val="122"/>
        <w:spacing w:before="156" w:after="156"/>
        <w:ind w:left="0"/>
      </w:pPr>
      <w:r>
        <w:rPr>
          <w:rFonts w:hint="eastAsia"/>
        </w:rPr>
        <w:t>智能施工评分规则</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2"/>
        <w:gridCol w:w="992"/>
        <w:gridCol w:w="5387"/>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240" w:lineRule="auto"/>
              <w:jc w:val="center"/>
              <w:rPr>
                <w:rFonts w:ascii="宋体" w:hAnsi="宋体"/>
                <w:sz w:val="18"/>
                <w:szCs w:val="18"/>
              </w:rPr>
            </w:pPr>
            <w:r>
              <w:rPr>
                <w:rFonts w:hint="eastAsia" w:ascii="宋体" w:hAnsi="宋体"/>
                <w:sz w:val="18"/>
                <w:szCs w:val="18"/>
              </w:rPr>
              <w:t>评价指标</w:t>
            </w:r>
          </w:p>
        </w:tc>
        <w:tc>
          <w:tcPr>
            <w:tcW w:w="992" w:type="dxa"/>
            <w:vAlign w:val="center"/>
          </w:tcPr>
          <w:p>
            <w:pPr>
              <w:spacing w:line="240" w:lineRule="auto"/>
              <w:jc w:val="center"/>
              <w:rPr>
                <w:rFonts w:ascii="宋体" w:hAnsi="宋体"/>
                <w:sz w:val="18"/>
                <w:szCs w:val="18"/>
              </w:rPr>
            </w:pPr>
            <w:r>
              <w:rPr>
                <w:rFonts w:hint="eastAsia" w:ascii="宋体" w:hAnsi="宋体"/>
                <w:sz w:val="18"/>
                <w:szCs w:val="18"/>
              </w:rPr>
              <w:t>评价模块</w:t>
            </w:r>
          </w:p>
        </w:tc>
        <w:tc>
          <w:tcPr>
            <w:tcW w:w="6379" w:type="dxa"/>
            <w:gridSpan w:val="2"/>
            <w:vAlign w:val="center"/>
          </w:tcPr>
          <w:p>
            <w:pPr>
              <w:spacing w:line="240" w:lineRule="auto"/>
              <w:jc w:val="center"/>
              <w:rPr>
                <w:rFonts w:ascii="宋体" w:hAnsi="宋体"/>
                <w:sz w:val="18"/>
                <w:szCs w:val="18"/>
              </w:rPr>
            </w:pPr>
            <w:r>
              <w:rPr>
                <w:rFonts w:hint="eastAsia" w:ascii="宋体" w:hAnsi="宋体"/>
                <w:sz w:val="18"/>
                <w:szCs w:val="18"/>
              </w:rPr>
              <w:t>评分标准</w:t>
            </w:r>
          </w:p>
        </w:tc>
        <w:tc>
          <w:tcPr>
            <w:tcW w:w="985" w:type="dxa"/>
            <w:vAlign w:val="center"/>
          </w:tcPr>
          <w:p>
            <w:pPr>
              <w:spacing w:line="240" w:lineRule="auto"/>
              <w:jc w:val="center"/>
              <w:rPr>
                <w:rFonts w:ascii="宋体" w:hAnsi="宋体"/>
                <w:sz w:val="18"/>
                <w:szCs w:val="18"/>
              </w:rPr>
            </w:pPr>
            <w:r>
              <w:rPr>
                <w:rFonts w:hint="eastAsia" w:ascii="宋体" w:hAnsi="宋体"/>
                <w:sz w:val="18"/>
                <w:szCs w:val="18"/>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88" w:type="dxa"/>
            <w:vMerge w:val="restart"/>
            <w:vAlign w:val="center"/>
          </w:tcPr>
          <w:p>
            <w:pPr>
              <w:spacing w:line="240" w:lineRule="auto"/>
              <w:jc w:val="center"/>
              <w:rPr>
                <w:rFonts w:ascii="宋体" w:hAnsi="宋体"/>
                <w:sz w:val="18"/>
                <w:szCs w:val="18"/>
              </w:rPr>
            </w:pPr>
            <w:r>
              <w:rPr>
                <w:rFonts w:hint="eastAsia" w:ascii="宋体" w:hAnsi="宋体"/>
                <w:sz w:val="18"/>
                <w:szCs w:val="18"/>
              </w:rPr>
              <w:t>数据资源</w:t>
            </w:r>
          </w:p>
        </w:tc>
        <w:tc>
          <w:tcPr>
            <w:tcW w:w="992" w:type="dxa"/>
            <w:vAlign w:val="center"/>
          </w:tcPr>
          <w:p>
            <w:pPr>
              <w:spacing w:line="240" w:lineRule="auto"/>
              <w:jc w:val="center"/>
              <w:rPr>
                <w:rFonts w:ascii="宋体" w:hAnsi="宋体"/>
                <w:sz w:val="18"/>
                <w:szCs w:val="18"/>
              </w:rPr>
            </w:pPr>
            <w:r>
              <w:rPr>
                <w:rFonts w:hint="eastAsia" w:ascii="宋体" w:hAnsi="宋体"/>
                <w:sz w:val="18"/>
                <w:szCs w:val="18"/>
              </w:rPr>
              <w:t>数据同源</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分）</w:t>
            </w:r>
          </w:p>
        </w:tc>
        <w:tc>
          <w:tcPr>
            <w:tcW w:w="6379" w:type="dxa"/>
            <w:gridSpan w:val="2"/>
            <w:vAlign w:val="center"/>
          </w:tcPr>
          <w:p>
            <w:pPr>
              <w:spacing w:line="240" w:lineRule="auto"/>
              <w:rPr>
                <w:rFonts w:ascii="宋体" w:hAnsi="宋体"/>
                <w:sz w:val="18"/>
                <w:szCs w:val="18"/>
              </w:rPr>
            </w:pPr>
            <w:r>
              <w:rPr>
                <w:rFonts w:hint="eastAsia" w:ascii="宋体" w:hAnsi="宋体"/>
                <w:sz w:val="18"/>
                <w:szCs w:val="18"/>
              </w:rPr>
              <w:t>通过在前一阶段真实有效的</w:t>
            </w:r>
            <w:r>
              <w:rPr>
                <w:rFonts w:ascii="宋体" w:hAnsi="宋体"/>
                <w:sz w:val="18"/>
                <w:szCs w:val="18"/>
              </w:rPr>
              <w:t>BIM模型上</w:t>
            </w:r>
            <w:r>
              <w:rPr>
                <w:rFonts w:hint="eastAsia" w:ascii="宋体" w:hAnsi="宋体"/>
                <w:sz w:val="18"/>
                <w:szCs w:val="18"/>
              </w:rPr>
              <w:t>进行</w:t>
            </w:r>
            <w:r>
              <w:rPr>
                <w:rFonts w:ascii="宋体" w:hAnsi="宋体"/>
                <w:sz w:val="18"/>
                <w:szCs w:val="18"/>
              </w:rPr>
              <w:t>深化</w:t>
            </w:r>
            <w:r>
              <w:rPr>
                <w:rFonts w:hint="eastAsia" w:ascii="宋体" w:hAnsi="宋体"/>
                <w:sz w:val="18"/>
                <w:szCs w:val="18"/>
              </w:rPr>
              <w:t>设计得到施工阶段B</w:t>
            </w:r>
            <w:r>
              <w:rPr>
                <w:rFonts w:ascii="宋体" w:hAnsi="宋体"/>
                <w:sz w:val="18"/>
                <w:szCs w:val="18"/>
              </w:rPr>
              <w:t>IM</w:t>
            </w:r>
            <w:r>
              <w:rPr>
                <w:rFonts w:hint="eastAsia" w:ascii="宋体" w:hAnsi="宋体"/>
                <w:sz w:val="18"/>
                <w:szCs w:val="18"/>
              </w:rPr>
              <w:t>模型，模型准确完整，得</w:t>
            </w:r>
            <w:r>
              <w:rPr>
                <w:rFonts w:ascii="宋体" w:hAnsi="宋体"/>
                <w:sz w:val="18"/>
                <w:szCs w:val="18"/>
              </w:rPr>
              <w:t>1</w:t>
            </w:r>
            <w:r>
              <w:rPr>
                <w:rFonts w:hint="eastAsia" w:ascii="宋体" w:hAnsi="宋体"/>
                <w:sz w:val="18"/>
                <w:szCs w:val="18"/>
              </w:rPr>
              <w:t>分。</w:t>
            </w:r>
          </w:p>
        </w:tc>
        <w:tc>
          <w:tcPr>
            <w:tcW w:w="985" w:type="dxa"/>
            <w:vMerge w:val="restart"/>
            <w:vAlign w:val="center"/>
          </w:tcPr>
          <w:p>
            <w:pPr>
              <w:snapToGrid w:val="0"/>
              <w:spacing w:line="240" w:lineRule="auto"/>
              <w:rPr>
                <w:rFonts w:ascii="宋体" w:hAnsi="宋体"/>
                <w:sz w:val="18"/>
                <w:szCs w:val="18"/>
              </w:rPr>
            </w:pPr>
            <w:r>
              <w:rPr>
                <w:rFonts w:ascii="宋体" w:hAnsi="宋体"/>
                <w:sz w:val="18"/>
                <w:szCs w:val="18"/>
              </w:rPr>
              <w:t xml:space="preserve">1. </w:t>
            </w:r>
            <w:r>
              <w:rPr>
                <w:rFonts w:hint="eastAsia" w:ascii="宋体" w:hAnsi="宋体"/>
                <w:sz w:val="18"/>
                <w:szCs w:val="18"/>
              </w:rPr>
              <w:t>B</w:t>
            </w:r>
            <w:r>
              <w:rPr>
                <w:rFonts w:ascii="宋体" w:hAnsi="宋体"/>
                <w:sz w:val="18"/>
                <w:szCs w:val="18"/>
              </w:rPr>
              <w:t>IM</w:t>
            </w:r>
            <w:r>
              <w:rPr>
                <w:rFonts w:hint="eastAsia" w:ascii="宋体" w:hAnsi="宋体"/>
                <w:sz w:val="18"/>
                <w:szCs w:val="18"/>
              </w:rPr>
              <w:t>深化模型。</w:t>
            </w:r>
          </w:p>
          <w:p>
            <w:pPr>
              <w:snapToGrid w:val="0"/>
              <w:spacing w:line="240" w:lineRule="auto"/>
              <w:rPr>
                <w:rFonts w:ascii="宋体" w:hAnsi="宋体"/>
                <w:sz w:val="18"/>
                <w:szCs w:val="18"/>
              </w:rPr>
            </w:pPr>
            <w:r>
              <w:rPr>
                <w:rFonts w:ascii="宋体" w:hAnsi="宋体"/>
                <w:sz w:val="18"/>
                <w:szCs w:val="18"/>
              </w:rPr>
              <w:t>2.</w:t>
            </w:r>
            <w:r>
              <w:rPr>
                <w:rFonts w:hint="eastAsia" w:ascii="宋体" w:hAnsi="宋体"/>
                <w:sz w:val="18"/>
                <w:szCs w:val="18"/>
              </w:rPr>
              <w:t>过程证明图片或视频。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88" w:type="dxa"/>
            <w:vMerge w:val="continue"/>
            <w:vAlign w:val="center"/>
          </w:tcPr>
          <w:p>
            <w:pPr>
              <w:spacing w:line="240" w:lineRule="auto"/>
              <w:jc w:val="center"/>
              <w:rPr>
                <w:rFonts w:ascii="宋体" w:hAnsi="宋体"/>
                <w:sz w:val="18"/>
                <w:szCs w:val="18"/>
              </w:rPr>
            </w:pPr>
          </w:p>
        </w:tc>
        <w:tc>
          <w:tcPr>
            <w:tcW w:w="992" w:type="dxa"/>
            <w:vAlign w:val="center"/>
          </w:tcPr>
          <w:p>
            <w:pPr>
              <w:spacing w:line="240" w:lineRule="auto"/>
              <w:jc w:val="center"/>
              <w:rPr>
                <w:rFonts w:ascii="宋体" w:hAnsi="宋体"/>
                <w:sz w:val="18"/>
                <w:szCs w:val="18"/>
              </w:rPr>
            </w:pPr>
            <w:r>
              <w:rPr>
                <w:rFonts w:hint="eastAsia" w:ascii="宋体" w:hAnsi="宋体"/>
                <w:sz w:val="18"/>
                <w:szCs w:val="18"/>
              </w:rPr>
              <w:t>深化设计</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分）</w:t>
            </w:r>
          </w:p>
        </w:tc>
        <w:tc>
          <w:tcPr>
            <w:tcW w:w="6379" w:type="dxa"/>
            <w:gridSpan w:val="2"/>
            <w:vAlign w:val="center"/>
          </w:tcPr>
          <w:p>
            <w:pPr>
              <w:spacing w:line="240" w:lineRule="auto"/>
              <w:rPr>
                <w:rFonts w:ascii="宋体" w:hAnsi="宋体"/>
                <w:sz w:val="18"/>
                <w:szCs w:val="18"/>
              </w:rPr>
            </w:pPr>
            <w:r>
              <w:rPr>
                <w:rFonts w:hint="eastAsia" w:ascii="宋体" w:hAnsi="宋体"/>
                <w:sz w:val="18"/>
                <w:szCs w:val="18"/>
              </w:rPr>
              <w:t>施工阶段应针对建筑做法、结构拆分（装配式建筑）、管线排布、设备选型等方面对设计交付的B</w:t>
            </w:r>
            <w:r>
              <w:rPr>
                <w:rFonts w:ascii="宋体" w:hAnsi="宋体"/>
                <w:sz w:val="18"/>
                <w:szCs w:val="18"/>
              </w:rPr>
              <w:t>IM</w:t>
            </w:r>
            <w:r>
              <w:rPr>
                <w:rFonts w:hint="eastAsia" w:ascii="宋体" w:hAnsi="宋体"/>
                <w:sz w:val="18"/>
                <w:szCs w:val="18"/>
              </w:rPr>
              <w:t>进行深化，能指导现场施工，得1分。</w:t>
            </w:r>
          </w:p>
        </w:tc>
        <w:tc>
          <w:tcPr>
            <w:tcW w:w="985" w:type="dxa"/>
            <w:vMerge w:val="continue"/>
            <w:vAlign w:val="center"/>
          </w:tcPr>
          <w:p>
            <w:pPr>
              <w:spacing w:line="24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88" w:type="dxa"/>
            <w:vMerge w:val="restart"/>
            <w:vAlign w:val="center"/>
          </w:tcPr>
          <w:p>
            <w:pPr>
              <w:spacing w:line="240" w:lineRule="auto"/>
              <w:jc w:val="center"/>
              <w:rPr>
                <w:rFonts w:ascii="宋体" w:hAnsi="宋体"/>
                <w:sz w:val="18"/>
                <w:szCs w:val="18"/>
              </w:rPr>
            </w:pPr>
            <w:r>
              <w:rPr>
                <w:rFonts w:hint="eastAsia" w:ascii="宋体" w:hAnsi="宋体"/>
                <w:sz w:val="18"/>
                <w:szCs w:val="18"/>
              </w:rPr>
              <w:t>施工模拟</w:t>
            </w:r>
          </w:p>
        </w:tc>
        <w:tc>
          <w:tcPr>
            <w:tcW w:w="992" w:type="dxa"/>
            <w:vMerge w:val="restart"/>
            <w:vAlign w:val="center"/>
          </w:tcPr>
          <w:p>
            <w:pPr>
              <w:spacing w:line="240" w:lineRule="auto"/>
              <w:jc w:val="center"/>
              <w:rPr>
                <w:rFonts w:ascii="宋体" w:hAnsi="宋体"/>
                <w:sz w:val="18"/>
                <w:szCs w:val="18"/>
              </w:rPr>
            </w:pPr>
            <w:r>
              <w:rPr>
                <w:rFonts w:hint="eastAsia" w:ascii="宋体" w:hAnsi="宋体"/>
                <w:sz w:val="18"/>
                <w:szCs w:val="18"/>
              </w:rPr>
              <w:t>施工组织模拟与仿真</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分）</w:t>
            </w:r>
          </w:p>
        </w:tc>
        <w:tc>
          <w:tcPr>
            <w:tcW w:w="6379" w:type="dxa"/>
            <w:gridSpan w:val="2"/>
            <w:vAlign w:val="center"/>
          </w:tcPr>
          <w:p>
            <w:pPr>
              <w:spacing w:line="240" w:lineRule="auto"/>
              <w:rPr>
                <w:rFonts w:ascii="宋体" w:hAnsi="宋体"/>
                <w:sz w:val="18"/>
                <w:szCs w:val="18"/>
              </w:rPr>
            </w:pPr>
            <w:r>
              <w:rPr>
                <w:rFonts w:hint="eastAsia" w:ascii="宋体" w:hAnsi="宋体"/>
                <w:sz w:val="18"/>
                <w:szCs w:val="18"/>
              </w:rPr>
              <w:t>基于B</w:t>
            </w:r>
            <w:r>
              <w:rPr>
                <w:rFonts w:ascii="宋体" w:hAnsi="宋体"/>
                <w:sz w:val="18"/>
                <w:szCs w:val="18"/>
              </w:rPr>
              <w:t>IM</w:t>
            </w:r>
            <w:r>
              <w:rPr>
                <w:rFonts w:hint="eastAsia" w:ascii="宋体" w:hAnsi="宋体"/>
                <w:sz w:val="18"/>
                <w:szCs w:val="18"/>
              </w:rPr>
              <w:t>模型，对工程整体施工组织进行合理性模拟分析，包括场地布置、交通流线组织、流水段划分与工序穿插等合理性分析，得1分。</w:t>
            </w:r>
          </w:p>
        </w:tc>
        <w:tc>
          <w:tcPr>
            <w:tcW w:w="985" w:type="dxa"/>
            <w:vMerge w:val="restart"/>
            <w:vAlign w:val="center"/>
          </w:tcPr>
          <w:p>
            <w:pPr>
              <w:spacing w:line="240" w:lineRule="auto"/>
              <w:rPr>
                <w:rFonts w:ascii="宋体" w:hAnsi="宋体"/>
                <w:sz w:val="18"/>
                <w:szCs w:val="18"/>
              </w:rPr>
            </w:pPr>
            <w:r>
              <w:rPr>
                <w:rFonts w:ascii="宋体" w:hAnsi="宋体"/>
                <w:sz w:val="18"/>
                <w:szCs w:val="18"/>
              </w:rPr>
              <w:t>1.</w:t>
            </w:r>
            <w:r>
              <w:rPr>
                <w:rFonts w:hint="eastAsia" w:ascii="宋体" w:hAnsi="宋体"/>
                <w:sz w:val="18"/>
                <w:szCs w:val="18"/>
              </w:rPr>
              <w:t>模拟分析报告或分析过程证明图片或视频。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napToGrid w:val="0"/>
              <w:spacing w:line="240" w:lineRule="auto"/>
              <w:jc w:val="center"/>
              <w:rPr>
                <w:rFonts w:ascii="宋体" w:hAnsi="宋体"/>
                <w:sz w:val="18"/>
                <w:szCs w:val="18"/>
              </w:rPr>
            </w:pPr>
          </w:p>
        </w:tc>
        <w:tc>
          <w:tcPr>
            <w:tcW w:w="6379" w:type="dxa"/>
            <w:gridSpan w:val="2"/>
            <w:vAlign w:val="center"/>
          </w:tcPr>
          <w:p>
            <w:pPr>
              <w:spacing w:line="240" w:lineRule="auto"/>
              <w:rPr>
                <w:rFonts w:ascii="宋体" w:hAnsi="宋体"/>
                <w:sz w:val="18"/>
                <w:szCs w:val="18"/>
              </w:rPr>
            </w:pPr>
            <w:r>
              <w:rPr>
                <w:rFonts w:hint="eastAsia" w:ascii="宋体" w:hAnsi="宋体"/>
                <w:sz w:val="18"/>
                <w:szCs w:val="18"/>
              </w:rPr>
              <w:t>基于B</w:t>
            </w:r>
            <w:r>
              <w:rPr>
                <w:rFonts w:ascii="宋体" w:hAnsi="宋体"/>
                <w:sz w:val="18"/>
                <w:szCs w:val="18"/>
              </w:rPr>
              <w:t>IM</w:t>
            </w:r>
            <w:r>
              <w:rPr>
                <w:rFonts w:hint="eastAsia" w:ascii="宋体" w:hAnsi="宋体"/>
                <w:sz w:val="18"/>
                <w:szCs w:val="18"/>
              </w:rPr>
              <w:t>模型，对工程施工措施进行安全性、合理性模拟分析，包括各阶段临建布置、临时道路及堆场、塔吊、施工电梯等大型施工设备、脚手架、自升式智能施工平台（造楼机）等施工措施，得1分。</w:t>
            </w:r>
          </w:p>
        </w:tc>
        <w:tc>
          <w:tcPr>
            <w:tcW w:w="985" w:type="dxa"/>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88" w:type="dxa"/>
            <w:vMerge w:val="continue"/>
            <w:vAlign w:val="center"/>
          </w:tcPr>
          <w:p>
            <w:pPr>
              <w:spacing w:line="240" w:lineRule="auto"/>
              <w:jc w:val="center"/>
              <w:rPr>
                <w:rFonts w:ascii="宋体" w:hAnsi="宋体"/>
                <w:sz w:val="18"/>
                <w:szCs w:val="18"/>
              </w:rPr>
            </w:pPr>
          </w:p>
        </w:tc>
        <w:tc>
          <w:tcPr>
            <w:tcW w:w="992" w:type="dxa"/>
            <w:vAlign w:val="center"/>
          </w:tcPr>
          <w:p>
            <w:pPr>
              <w:spacing w:line="240" w:lineRule="auto"/>
              <w:jc w:val="center"/>
              <w:rPr>
                <w:rFonts w:ascii="宋体" w:hAnsi="宋体"/>
                <w:sz w:val="18"/>
                <w:szCs w:val="18"/>
              </w:rPr>
            </w:pPr>
            <w:r>
              <w:rPr>
                <w:rFonts w:hint="eastAsia" w:ascii="宋体" w:hAnsi="宋体"/>
                <w:sz w:val="18"/>
                <w:szCs w:val="18"/>
              </w:rPr>
              <w:t>施工工艺模拟与仿真</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分）</w:t>
            </w:r>
          </w:p>
        </w:tc>
        <w:tc>
          <w:tcPr>
            <w:tcW w:w="6379" w:type="dxa"/>
            <w:gridSpan w:val="2"/>
            <w:vAlign w:val="center"/>
          </w:tcPr>
          <w:p>
            <w:pPr>
              <w:spacing w:line="240" w:lineRule="auto"/>
              <w:rPr>
                <w:rFonts w:ascii="宋体" w:hAnsi="宋体"/>
                <w:sz w:val="18"/>
                <w:szCs w:val="18"/>
              </w:rPr>
            </w:pPr>
            <w:r>
              <w:rPr>
                <w:rFonts w:hint="eastAsia" w:ascii="宋体" w:hAnsi="宋体"/>
                <w:sz w:val="18"/>
                <w:szCs w:val="18"/>
              </w:rPr>
              <w:t>建立主要施工工艺模拟B</w:t>
            </w:r>
            <w:r>
              <w:rPr>
                <w:rFonts w:ascii="宋体" w:hAnsi="宋体"/>
                <w:sz w:val="18"/>
                <w:szCs w:val="18"/>
              </w:rPr>
              <w:t>IM</w:t>
            </w:r>
            <w:r>
              <w:rPr>
                <w:rFonts w:hint="eastAsia" w:ascii="宋体" w:hAnsi="宋体"/>
                <w:sz w:val="18"/>
                <w:szCs w:val="18"/>
              </w:rPr>
              <w:t>模型，应能够体现施工工艺包含的措施以及施工顺序</w:t>
            </w:r>
            <w:r>
              <w:rPr>
                <w:rFonts w:ascii="宋体" w:hAnsi="宋体"/>
                <w:sz w:val="18"/>
                <w:szCs w:val="18"/>
              </w:rPr>
              <w:t xml:space="preserve"> </w:t>
            </w:r>
            <w:r>
              <w:rPr>
                <w:rFonts w:hint="eastAsia" w:ascii="宋体" w:hAnsi="宋体"/>
                <w:sz w:val="18"/>
                <w:szCs w:val="18"/>
              </w:rPr>
              <w:t>，并通过模拟对施工工艺进行分析及优化，3项及以上，得1分；5项及以上，得2分。</w:t>
            </w:r>
          </w:p>
        </w:tc>
        <w:tc>
          <w:tcPr>
            <w:tcW w:w="985" w:type="dxa"/>
            <w:vAlign w:val="center"/>
          </w:tcPr>
          <w:p>
            <w:pPr>
              <w:snapToGrid w:val="0"/>
              <w:spacing w:line="240" w:lineRule="auto"/>
              <w:rPr>
                <w:rFonts w:ascii="宋体" w:hAnsi="宋体"/>
                <w:sz w:val="18"/>
                <w:szCs w:val="18"/>
              </w:rPr>
            </w:pPr>
            <w:r>
              <w:rPr>
                <w:rFonts w:ascii="宋体" w:hAnsi="宋体"/>
                <w:sz w:val="18"/>
                <w:szCs w:val="18"/>
              </w:rPr>
              <w:t>1.</w:t>
            </w:r>
            <w:r>
              <w:rPr>
                <w:rFonts w:hint="eastAsia" w:ascii="宋体" w:hAnsi="宋体"/>
                <w:sz w:val="18"/>
                <w:szCs w:val="18"/>
              </w:rPr>
              <w:t>工艺模拟B</w:t>
            </w:r>
            <w:r>
              <w:rPr>
                <w:rFonts w:ascii="宋体" w:hAnsi="宋体"/>
                <w:sz w:val="18"/>
                <w:szCs w:val="18"/>
              </w:rPr>
              <w:t>IM</w:t>
            </w:r>
            <w:r>
              <w:rPr>
                <w:rFonts w:hint="eastAsia" w:ascii="宋体" w:hAnsi="宋体"/>
                <w:sz w:val="18"/>
                <w:szCs w:val="18"/>
              </w:rPr>
              <w:t>模型。</w:t>
            </w:r>
          </w:p>
          <w:p>
            <w:pPr>
              <w:snapToGrid w:val="0"/>
              <w:spacing w:line="240" w:lineRule="auto"/>
              <w:rPr>
                <w:rFonts w:ascii="宋体" w:hAnsi="宋体"/>
                <w:sz w:val="18"/>
                <w:szCs w:val="18"/>
              </w:rPr>
            </w:pPr>
            <w:r>
              <w:rPr>
                <w:rFonts w:ascii="宋体" w:hAnsi="宋体"/>
                <w:sz w:val="18"/>
                <w:szCs w:val="18"/>
              </w:rPr>
              <w:t>2.</w:t>
            </w:r>
            <w:r>
              <w:rPr>
                <w:rFonts w:hint="eastAsia" w:ascii="宋体" w:hAnsi="宋体"/>
                <w:sz w:val="18"/>
                <w:szCs w:val="18"/>
              </w:rPr>
              <w:t>工艺分析及优化报告。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88" w:type="dxa"/>
            <w:vMerge w:val="restart"/>
            <w:vAlign w:val="center"/>
          </w:tcPr>
          <w:p>
            <w:pPr>
              <w:spacing w:line="240" w:lineRule="auto"/>
              <w:jc w:val="center"/>
              <w:rPr>
                <w:rFonts w:ascii="宋体" w:hAnsi="宋体"/>
                <w:sz w:val="18"/>
                <w:szCs w:val="18"/>
              </w:rPr>
            </w:pPr>
            <w:r>
              <w:rPr>
                <w:rFonts w:hint="eastAsia" w:ascii="宋体" w:hAnsi="宋体"/>
                <w:sz w:val="18"/>
                <w:szCs w:val="18"/>
              </w:rPr>
              <w:t>施工管理</w:t>
            </w:r>
          </w:p>
        </w:tc>
        <w:tc>
          <w:tcPr>
            <w:tcW w:w="992" w:type="dxa"/>
            <w:vMerge w:val="restart"/>
            <w:vAlign w:val="center"/>
          </w:tcPr>
          <w:p>
            <w:pPr>
              <w:spacing w:line="240" w:lineRule="auto"/>
              <w:jc w:val="center"/>
              <w:rPr>
                <w:rFonts w:ascii="宋体" w:hAnsi="宋体"/>
                <w:sz w:val="18"/>
                <w:szCs w:val="18"/>
              </w:rPr>
            </w:pPr>
            <w:r>
              <w:rPr>
                <w:rFonts w:hint="eastAsia" w:ascii="宋体" w:hAnsi="宋体"/>
                <w:sz w:val="18"/>
                <w:szCs w:val="18"/>
              </w:rPr>
              <w:t>智慧工地</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分）</w:t>
            </w:r>
          </w:p>
        </w:tc>
        <w:tc>
          <w:tcPr>
            <w:tcW w:w="992" w:type="dxa"/>
            <w:vAlign w:val="center"/>
          </w:tcPr>
          <w:p>
            <w:pPr>
              <w:spacing w:line="240" w:lineRule="auto"/>
              <w:jc w:val="center"/>
              <w:rPr>
                <w:rFonts w:ascii="宋体" w:hAnsi="宋体"/>
                <w:sz w:val="18"/>
                <w:szCs w:val="18"/>
              </w:rPr>
            </w:pPr>
            <w:r>
              <w:rPr>
                <w:rFonts w:hint="eastAsia" w:ascii="宋体" w:hAnsi="宋体"/>
                <w:sz w:val="18"/>
                <w:szCs w:val="18"/>
              </w:rPr>
              <w:t>人员管理</w:t>
            </w:r>
          </w:p>
        </w:tc>
        <w:tc>
          <w:tcPr>
            <w:tcW w:w="5387" w:type="dxa"/>
            <w:vAlign w:val="center"/>
          </w:tcPr>
          <w:p>
            <w:pPr>
              <w:spacing w:line="240" w:lineRule="auto"/>
              <w:rPr>
                <w:rFonts w:ascii="宋体" w:hAnsi="宋体"/>
                <w:sz w:val="18"/>
                <w:szCs w:val="18"/>
              </w:rPr>
            </w:pPr>
            <w:r>
              <w:rPr>
                <w:rFonts w:hint="eastAsia" w:ascii="宋体" w:hAnsi="宋体"/>
                <w:sz w:val="18"/>
                <w:szCs w:val="18"/>
              </w:rPr>
              <w:t>对特种作业人员的操作证，所有作业人员的入场、离场、出勤记录，安全教育记录及体检报告等信息实行信息化管理，得</w:t>
            </w:r>
            <w:r>
              <w:rPr>
                <w:rFonts w:ascii="宋体" w:hAnsi="宋体"/>
                <w:sz w:val="18"/>
                <w:szCs w:val="18"/>
              </w:rPr>
              <w:t>1分。</w:t>
            </w:r>
          </w:p>
        </w:tc>
        <w:tc>
          <w:tcPr>
            <w:tcW w:w="985" w:type="dxa"/>
            <w:vMerge w:val="restart"/>
            <w:vAlign w:val="center"/>
          </w:tcPr>
          <w:p>
            <w:pPr>
              <w:spacing w:line="240" w:lineRule="auto"/>
              <w:rPr>
                <w:rFonts w:ascii="宋体" w:hAnsi="宋体"/>
                <w:sz w:val="18"/>
                <w:szCs w:val="18"/>
              </w:rPr>
            </w:pPr>
            <w:r>
              <w:rPr>
                <w:rFonts w:hint="eastAsia" w:ascii="宋体" w:hAnsi="宋体"/>
                <w:sz w:val="18"/>
                <w:szCs w:val="18"/>
              </w:rPr>
              <w:t>1</w:t>
            </w:r>
            <w:r>
              <w:rPr>
                <w:rFonts w:ascii="宋体" w:hAnsi="宋体"/>
                <w:sz w:val="18"/>
                <w:szCs w:val="18"/>
              </w:rPr>
              <w:t>.</w:t>
            </w:r>
            <w:r>
              <w:rPr>
                <w:rFonts w:hint="eastAsia" w:ascii="宋体" w:hAnsi="宋体"/>
                <w:sz w:val="18"/>
                <w:szCs w:val="18"/>
              </w:rPr>
              <w:t>过程证明图片或视频。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992" w:type="dxa"/>
            <w:vMerge w:val="restart"/>
            <w:vAlign w:val="center"/>
          </w:tcPr>
          <w:p>
            <w:pPr>
              <w:spacing w:line="240" w:lineRule="auto"/>
              <w:jc w:val="center"/>
              <w:rPr>
                <w:rFonts w:ascii="宋体" w:hAnsi="宋体"/>
                <w:sz w:val="18"/>
                <w:szCs w:val="18"/>
              </w:rPr>
            </w:pPr>
            <w:r>
              <w:rPr>
                <w:rFonts w:hint="eastAsia" w:ascii="宋体" w:hAnsi="宋体"/>
                <w:sz w:val="18"/>
                <w:szCs w:val="18"/>
              </w:rPr>
              <w:t>机械管理</w:t>
            </w:r>
          </w:p>
        </w:tc>
        <w:tc>
          <w:tcPr>
            <w:tcW w:w="5387" w:type="dxa"/>
            <w:vAlign w:val="center"/>
          </w:tcPr>
          <w:p>
            <w:pPr>
              <w:spacing w:line="240" w:lineRule="auto"/>
              <w:rPr>
                <w:rFonts w:ascii="宋体" w:hAnsi="宋体"/>
                <w:sz w:val="18"/>
                <w:szCs w:val="18"/>
              </w:rPr>
            </w:pPr>
            <w:r>
              <w:rPr>
                <w:rFonts w:hint="eastAsia" w:ascii="宋体" w:hAnsi="宋体"/>
                <w:sz w:val="18"/>
                <w:szCs w:val="18"/>
              </w:rPr>
              <w:t>施工机械设备采用二维码等记录身份识别信息并进行标识，针对走行式的机械设备，能够定位或识别走形轨迹，并进行记录，得</w:t>
            </w:r>
            <w:r>
              <w:rPr>
                <w:rFonts w:ascii="宋体" w:hAnsi="宋体"/>
                <w:sz w:val="18"/>
                <w:szCs w:val="18"/>
              </w:rPr>
              <w:t>0.5</w:t>
            </w:r>
            <w:r>
              <w:rPr>
                <w:rFonts w:hint="eastAsia" w:ascii="宋体" w:hAnsi="宋体"/>
                <w:sz w:val="18"/>
                <w:szCs w:val="18"/>
              </w:rPr>
              <w:t>分。</w:t>
            </w:r>
          </w:p>
        </w:tc>
        <w:tc>
          <w:tcPr>
            <w:tcW w:w="985" w:type="dxa"/>
            <w:vMerge w:val="continue"/>
            <w:vAlign w:val="center"/>
          </w:tcPr>
          <w:p>
            <w:pPr>
              <w:snapToGrid w:val="0"/>
              <w:spacing w:line="24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5387" w:type="dxa"/>
            <w:vAlign w:val="center"/>
          </w:tcPr>
          <w:p>
            <w:pPr>
              <w:spacing w:line="240" w:lineRule="auto"/>
              <w:rPr>
                <w:rFonts w:ascii="宋体" w:hAnsi="宋体"/>
                <w:sz w:val="18"/>
                <w:szCs w:val="18"/>
              </w:rPr>
            </w:pPr>
            <w:r>
              <w:rPr>
                <w:rFonts w:hint="eastAsia" w:ascii="宋体" w:hAnsi="宋体"/>
                <w:sz w:val="18"/>
                <w:szCs w:val="18"/>
              </w:rPr>
              <w:t>设备安拆过程可远程监控，设备安全运行可智能化监测、预警，得</w:t>
            </w:r>
            <w:r>
              <w:rPr>
                <w:rFonts w:ascii="宋体" w:hAnsi="宋体"/>
                <w:sz w:val="18"/>
                <w:szCs w:val="18"/>
              </w:rPr>
              <w:t>0.5</w:t>
            </w:r>
            <w:r>
              <w:rPr>
                <w:rFonts w:hint="eastAsia" w:ascii="宋体" w:hAnsi="宋体"/>
                <w:sz w:val="18"/>
                <w:szCs w:val="18"/>
              </w:rPr>
              <w:t>分。</w:t>
            </w:r>
          </w:p>
        </w:tc>
        <w:tc>
          <w:tcPr>
            <w:tcW w:w="985" w:type="dxa"/>
            <w:vMerge w:val="continue"/>
            <w:vAlign w:val="center"/>
          </w:tcPr>
          <w:p>
            <w:pPr>
              <w:snapToGrid w:val="0"/>
              <w:spacing w:line="24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992" w:type="dxa"/>
            <w:vMerge w:val="restart"/>
            <w:vAlign w:val="center"/>
          </w:tcPr>
          <w:p>
            <w:pPr>
              <w:spacing w:line="240" w:lineRule="auto"/>
              <w:jc w:val="center"/>
              <w:rPr>
                <w:rFonts w:ascii="宋体" w:hAnsi="宋体"/>
                <w:sz w:val="18"/>
                <w:szCs w:val="18"/>
              </w:rPr>
            </w:pPr>
            <w:r>
              <w:rPr>
                <w:rFonts w:hint="eastAsia" w:ascii="宋体" w:hAnsi="宋体"/>
                <w:sz w:val="18"/>
                <w:szCs w:val="18"/>
              </w:rPr>
              <w:t>物料管理</w:t>
            </w:r>
          </w:p>
        </w:tc>
        <w:tc>
          <w:tcPr>
            <w:tcW w:w="5387" w:type="dxa"/>
            <w:vAlign w:val="center"/>
          </w:tcPr>
          <w:p>
            <w:pPr>
              <w:spacing w:line="240" w:lineRule="auto"/>
              <w:rPr>
                <w:rFonts w:ascii="宋体" w:hAnsi="宋体"/>
                <w:sz w:val="18"/>
                <w:szCs w:val="18"/>
              </w:rPr>
            </w:pPr>
            <w:r>
              <w:rPr>
                <w:rFonts w:hint="eastAsia" w:ascii="宋体" w:hAnsi="宋体"/>
                <w:sz w:val="18"/>
                <w:szCs w:val="18"/>
              </w:rPr>
              <w:t>采用</w:t>
            </w:r>
            <w:r>
              <w:rPr>
                <w:rFonts w:ascii="宋体" w:hAnsi="宋体"/>
                <w:sz w:val="18"/>
                <w:szCs w:val="18"/>
              </w:rPr>
              <w:t>RFID、二维码等唯一标识技术和管理软件</w:t>
            </w:r>
            <w:r>
              <w:rPr>
                <w:rFonts w:hint="eastAsia" w:ascii="宋体" w:hAnsi="宋体"/>
                <w:sz w:val="18"/>
                <w:szCs w:val="18"/>
              </w:rPr>
              <w:t>对部品部件类物料实现数字化管理，实现施工现场置物料存平面布放可视化，得</w:t>
            </w:r>
            <w:r>
              <w:rPr>
                <w:rFonts w:ascii="宋体" w:hAnsi="宋体"/>
                <w:sz w:val="18"/>
                <w:szCs w:val="18"/>
              </w:rPr>
              <w:t>0.5</w:t>
            </w:r>
            <w:r>
              <w:rPr>
                <w:rFonts w:hint="eastAsia" w:ascii="宋体" w:hAnsi="宋体"/>
                <w:sz w:val="18"/>
                <w:szCs w:val="18"/>
              </w:rPr>
              <w:t>分。</w:t>
            </w:r>
          </w:p>
        </w:tc>
        <w:tc>
          <w:tcPr>
            <w:tcW w:w="985" w:type="dxa"/>
            <w:vMerge w:val="continue"/>
            <w:vAlign w:val="center"/>
          </w:tcPr>
          <w:p>
            <w:pPr>
              <w:snapToGrid w:val="0"/>
              <w:spacing w:line="24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5387" w:type="dxa"/>
            <w:vAlign w:val="center"/>
          </w:tcPr>
          <w:p>
            <w:pPr>
              <w:spacing w:line="240" w:lineRule="auto"/>
              <w:rPr>
                <w:rFonts w:ascii="宋体" w:hAnsi="宋体"/>
                <w:sz w:val="18"/>
                <w:szCs w:val="18"/>
              </w:rPr>
            </w:pPr>
            <w:r>
              <w:rPr>
                <w:rFonts w:hint="eastAsia" w:ascii="宋体" w:hAnsi="宋体"/>
                <w:sz w:val="18"/>
                <w:szCs w:val="18"/>
              </w:rPr>
              <w:t>施工主要材料生产应与施工进度协同管理，对施工材料的生产、运输、使用等实现全过程信息协同，得0</w:t>
            </w:r>
            <w:r>
              <w:rPr>
                <w:rFonts w:ascii="宋体" w:hAnsi="宋体"/>
                <w:sz w:val="18"/>
                <w:szCs w:val="18"/>
              </w:rPr>
              <w:t>.5</w:t>
            </w:r>
            <w:r>
              <w:rPr>
                <w:rFonts w:hint="eastAsia" w:ascii="宋体" w:hAnsi="宋体"/>
                <w:sz w:val="18"/>
                <w:szCs w:val="18"/>
              </w:rPr>
              <w:t>分。</w:t>
            </w:r>
          </w:p>
        </w:tc>
        <w:tc>
          <w:tcPr>
            <w:tcW w:w="985" w:type="dxa"/>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992" w:type="dxa"/>
            <w:vMerge w:val="restart"/>
            <w:vAlign w:val="center"/>
          </w:tcPr>
          <w:p>
            <w:pPr>
              <w:spacing w:line="240" w:lineRule="auto"/>
              <w:jc w:val="center"/>
              <w:rPr>
                <w:rFonts w:ascii="宋体" w:hAnsi="宋体"/>
                <w:sz w:val="18"/>
                <w:szCs w:val="18"/>
              </w:rPr>
            </w:pPr>
            <w:r>
              <w:rPr>
                <w:rFonts w:hint="eastAsia" w:ascii="宋体" w:hAnsi="宋体"/>
                <w:sz w:val="18"/>
                <w:szCs w:val="18"/>
              </w:rPr>
              <w:t>安全管理</w:t>
            </w:r>
          </w:p>
        </w:tc>
        <w:tc>
          <w:tcPr>
            <w:tcW w:w="5387" w:type="dxa"/>
            <w:vAlign w:val="center"/>
          </w:tcPr>
          <w:p>
            <w:pPr>
              <w:spacing w:line="240" w:lineRule="auto"/>
              <w:rPr>
                <w:rFonts w:ascii="宋体" w:hAnsi="宋体"/>
                <w:sz w:val="18"/>
                <w:szCs w:val="18"/>
              </w:rPr>
            </w:pPr>
            <w:r>
              <w:rPr>
                <w:rFonts w:ascii="宋体" w:hAnsi="宋体"/>
                <w:sz w:val="18"/>
                <w:szCs w:val="18"/>
              </w:rPr>
              <w:t>采用智能化设备采集安全管理数据，同时建立安全管理应用系统辅助进行现场的安全</w:t>
            </w:r>
            <w:r>
              <w:rPr>
                <w:rFonts w:hint="eastAsia" w:ascii="宋体" w:hAnsi="宋体"/>
                <w:sz w:val="18"/>
                <w:szCs w:val="18"/>
              </w:rPr>
              <w:t>监督检查等</w:t>
            </w:r>
            <w:r>
              <w:rPr>
                <w:rFonts w:ascii="宋体" w:hAnsi="宋体"/>
                <w:sz w:val="18"/>
                <w:szCs w:val="18"/>
              </w:rPr>
              <w:t>管理工作</w:t>
            </w:r>
            <w:r>
              <w:rPr>
                <w:rFonts w:hint="eastAsia" w:ascii="宋体" w:hAnsi="宋体"/>
                <w:sz w:val="18"/>
                <w:szCs w:val="18"/>
              </w:rPr>
              <w:t>，得0</w:t>
            </w:r>
            <w:r>
              <w:rPr>
                <w:rFonts w:ascii="宋体" w:hAnsi="宋体"/>
                <w:sz w:val="18"/>
                <w:szCs w:val="18"/>
              </w:rPr>
              <w:t>.5</w:t>
            </w:r>
            <w:r>
              <w:rPr>
                <w:rFonts w:hint="eastAsia" w:ascii="宋体" w:hAnsi="宋体"/>
                <w:sz w:val="18"/>
                <w:szCs w:val="18"/>
              </w:rPr>
              <w:t>分</w:t>
            </w:r>
            <w:r>
              <w:rPr>
                <w:rFonts w:ascii="宋体" w:hAnsi="宋体"/>
                <w:sz w:val="18"/>
                <w:szCs w:val="18"/>
              </w:rPr>
              <w:t>。</w:t>
            </w:r>
          </w:p>
        </w:tc>
        <w:tc>
          <w:tcPr>
            <w:tcW w:w="985" w:type="dxa"/>
            <w:vMerge w:val="restart"/>
            <w:vAlign w:val="center"/>
          </w:tcPr>
          <w:p>
            <w:pPr>
              <w:spacing w:line="240" w:lineRule="auto"/>
              <w:rPr>
                <w:rFonts w:ascii="宋体" w:hAnsi="宋体"/>
                <w:sz w:val="18"/>
                <w:szCs w:val="18"/>
              </w:rPr>
            </w:pPr>
            <w:r>
              <w:rPr>
                <w:rFonts w:hint="eastAsia" w:ascii="宋体" w:hAnsi="宋体"/>
                <w:sz w:val="18"/>
                <w:szCs w:val="18"/>
              </w:rPr>
              <w:t>1</w:t>
            </w:r>
            <w:r>
              <w:rPr>
                <w:rFonts w:ascii="宋体" w:hAnsi="宋体"/>
                <w:sz w:val="18"/>
                <w:szCs w:val="18"/>
              </w:rPr>
              <w:t>.</w:t>
            </w:r>
            <w:r>
              <w:rPr>
                <w:rFonts w:hint="eastAsia" w:ascii="宋体" w:hAnsi="宋体"/>
                <w:sz w:val="18"/>
                <w:szCs w:val="18"/>
              </w:rPr>
              <w:t>设备应用清单；</w:t>
            </w:r>
          </w:p>
          <w:p>
            <w:pPr>
              <w:spacing w:line="240" w:lineRule="auto"/>
              <w:rPr>
                <w:rFonts w:ascii="宋体" w:hAnsi="宋体"/>
                <w:sz w:val="18"/>
                <w:szCs w:val="18"/>
              </w:rPr>
            </w:pPr>
            <w:r>
              <w:rPr>
                <w:rFonts w:ascii="宋体" w:hAnsi="宋体"/>
                <w:sz w:val="18"/>
                <w:szCs w:val="18"/>
              </w:rPr>
              <w:t>2.</w:t>
            </w:r>
            <w:r>
              <w:rPr>
                <w:rFonts w:hint="eastAsia" w:ascii="宋体" w:hAnsi="宋体"/>
                <w:sz w:val="18"/>
                <w:szCs w:val="18"/>
              </w:rPr>
              <w:t>过程证明图片或视频。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5387" w:type="dxa"/>
            <w:vAlign w:val="center"/>
          </w:tcPr>
          <w:p>
            <w:pPr>
              <w:spacing w:line="240" w:lineRule="auto"/>
              <w:rPr>
                <w:rFonts w:ascii="宋体" w:hAnsi="宋体"/>
                <w:sz w:val="18"/>
                <w:szCs w:val="18"/>
              </w:rPr>
            </w:pPr>
            <w:r>
              <w:rPr>
                <w:rFonts w:hint="eastAsia" w:ascii="宋体" w:hAnsi="宋体"/>
                <w:sz w:val="18"/>
                <w:szCs w:val="18"/>
              </w:rPr>
              <w:t>采用实时监控、A</w:t>
            </w:r>
            <w:r>
              <w:rPr>
                <w:rFonts w:ascii="宋体" w:hAnsi="宋体"/>
                <w:sz w:val="18"/>
                <w:szCs w:val="18"/>
              </w:rPr>
              <w:t>I</w:t>
            </w:r>
            <w:r>
              <w:rPr>
                <w:rFonts w:hint="eastAsia" w:ascii="宋体" w:hAnsi="宋体"/>
                <w:sz w:val="18"/>
                <w:szCs w:val="18"/>
              </w:rPr>
              <w:t>、智能烟感报警、声光报警、危大工程智能监测等技术对施工现场危险源进行辨识和预警，得0</w:t>
            </w:r>
            <w:r>
              <w:rPr>
                <w:rFonts w:ascii="宋体" w:hAnsi="宋体"/>
                <w:sz w:val="18"/>
                <w:szCs w:val="18"/>
              </w:rPr>
              <w:t>.5</w:t>
            </w:r>
            <w:r>
              <w:rPr>
                <w:rFonts w:hint="eastAsia" w:ascii="宋体" w:hAnsi="宋体"/>
                <w:sz w:val="18"/>
                <w:szCs w:val="18"/>
              </w:rPr>
              <w:t>分。</w:t>
            </w:r>
          </w:p>
        </w:tc>
        <w:tc>
          <w:tcPr>
            <w:tcW w:w="985" w:type="dxa"/>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992" w:type="dxa"/>
            <w:vMerge w:val="restart"/>
            <w:vAlign w:val="center"/>
          </w:tcPr>
          <w:p>
            <w:pPr>
              <w:spacing w:line="240" w:lineRule="auto"/>
              <w:jc w:val="center"/>
              <w:rPr>
                <w:rFonts w:ascii="宋体" w:hAnsi="宋体"/>
                <w:sz w:val="18"/>
                <w:szCs w:val="18"/>
              </w:rPr>
            </w:pPr>
            <w:r>
              <w:rPr>
                <w:rFonts w:hint="eastAsia" w:ascii="宋体" w:hAnsi="宋体"/>
                <w:sz w:val="18"/>
                <w:szCs w:val="18"/>
              </w:rPr>
              <w:t>环境管理</w:t>
            </w:r>
          </w:p>
        </w:tc>
        <w:tc>
          <w:tcPr>
            <w:tcW w:w="5387" w:type="dxa"/>
            <w:vAlign w:val="center"/>
          </w:tcPr>
          <w:p>
            <w:pPr>
              <w:snapToGrid w:val="0"/>
              <w:spacing w:line="240" w:lineRule="auto"/>
              <w:rPr>
                <w:rFonts w:ascii="宋体" w:hAnsi="宋体"/>
                <w:sz w:val="18"/>
                <w:szCs w:val="18"/>
              </w:rPr>
            </w:pPr>
            <w:r>
              <w:rPr>
                <w:rFonts w:hint="eastAsia" w:ascii="宋体" w:hAnsi="宋体"/>
                <w:sz w:val="18"/>
                <w:szCs w:val="18"/>
              </w:rPr>
              <w:t>使用智能感知设备对现场扬尘、风速、温湿度、</w:t>
            </w:r>
            <w:r>
              <w:rPr>
                <w:rFonts w:ascii="宋体" w:hAnsi="宋体"/>
                <w:sz w:val="18"/>
                <w:szCs w:val="18"/>
              </w:rPr>
              <w:t>PM值、</w:t>
            </w:r>
            <w:r>
              <w:rPr>
                <w:rFonts w:hint="eastAsia" w:ascii="宋体" w:hAnsi="宋体"/>
                <w:sz w:val="18"/>
                <w:szCs w:val="18"/>
              </w:rPr>
              <w:t>雨量、噪声等进行智能化监测和超标报警，得</w:t>
            </w:r>
            <w:r>
              <w:rPr>
                <w:rFonts w:ascii="宋体" w:hAnsi="宋体"/>
                <w:sz w:val="18"/>
                <w:szCs w:val="18"/>
              </w:rPr>
              <w:t>0.5</w:t>
            </w:r>
            <w:r>
              <w:rPr>
                <w:rFonts w:hint="eastAsia" w:ascii="宋体" w:hAnsi="宋体"/>
                <w:sz w:val="18"/>
                <w:szCs w:val="18"/>
              </w:rPr>
              <w:t>分。</w:t>
            </w:r>
          </w:p>
        </w:tc>
        <w:tc>
          <w:tcPr>
            <w:tcW w:w="985" w:type="dxa"/>
            <w:vMerge w:val="continue"/>
            <w:vAlign w:val="center"/>
          </w:tcPr>
          <w:p>
            <w:pPr>
              <w:spacing w:line="24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5387" w:type="dxa"/>
            <w:vAlign w:val="center"/>
          </w:tcPr>
          <w:p>
            <w:pPr>
              <w:snapToGrid w:val="0"/>
              <w:spacing w:line="240" w:lineRule="auto"/>
              <w:rPr>
                <w:rFonts w:ascii="宋体" w:hAnsi="宋体"/>
                <w:sz w:val="18"/>
                <w:szCs w:val="18"/>
              </w:rPr>
            </w:pPr>
            <w:r>
              <w:rPr>
                <w:rFonts w:hint="eastAsia" w:ascii="宋体" w:hAnsi="宋体"/>
                <w:sz w:val="18"/>
                <w:szCs w:val="18"/>
              </w:rPr>
              <w:t>自动喷淋设备具备与扬尘监测系统联动控制的功能，实现自主降尘和定时控制，得</w:t>
            </w:r>
            <w:r>
              <w:rPr>
                <w:rFonts w:ascii="宋体" w:hAnsi="宋体"/>
                <w:sz w:val="18"/>
                <w:szCs w:val="18"/>
              </w:rPr>
              <w:t>0.5</w:t>
            </w:r>
            <w:r>
              <w:rPr>
                <w:rFonts w:hint="eastAsia" w:ascii="宋体" w:hAnsi="宋体"/>
                <w:sz w:val="18"/>
                <w:szCs w:val="18"/>
              </w:rPr>
              <w:t>分。</w:t>
            </w:r>
          </w:p>
        </w:tc>
        <w:tc>
          <w:tcPr>
            <w:tcW w:w="985" w:type="dxa"/>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992" w:type="dxa"/>
            <w:vMerge w:val="restart"/>
            <w:vAlign w:val="center"/>
          </w:tcPr>
          <w:p>
            <w:pPr>
              <w:spacing w:line="240" w:lineRule="auto"/>
              <w:jc w:val="center"/>
              <w:rPr>
                <w:rFonts w:ascii="宋体" w:hAnsi="宋体"/>
                <w:sz w:val="18"/>
                <w:szCs w:val="18"/>
              </w:rPr>
            </w:pPr>
            <w:r>
              <w:rPr>
                <w:rFonts w:hint="eastAsia" w:ascii="宋体" w:hAnsi="宋体"/>
                <w:sz w:val="18"/>
                <w:szCs w:val="18"/>
              </w:rPr>
              <w:t>能耗管理</w:t>
            </w:r>
          </w:p>
        </w:tc>
        <w:tc>
          <w:tcPr>
            <w:tcW w:w="5387" w:type="dxa"/>
            <w:vAlign w:val="center"/>
          </w:tcPr>
          <w:p>
            <w:pPr>
              <w:snapToGrid w:val="0"/>
              <w:spacing w:line="240" w:lineRule="auto"/>
              <w:rPr>
                <w:rFonts w:ascii="宋体" w:hAnsi="宋体"/>
                <w:sz w:val="18"/>
                <w:szCs w:val="18"/>
              </w:rPr>
            </w:pPr>
            <w:r>
              <w:rPr>
                <w:rFonts w:hint="eastAsia" w:ascii="宋体" w:hAnsi="宋体"/>
                <w:sz w:val="18"/>
                <w:szCs w:val="18"/>
              </w:rPr>
              <w:t>工地现场通过采用智能建造相关技术、设备及工艺，实现了节能减排，得0</w:t>
            </w:r>
            <w:r>
              <w:rPr>
                <w:rFonts w:ascii="宋体" w:hAnsi="宋体"/>
                <w:sz w:val="18"/>
                <w:szCs w:val="18"/>
              </w:rPr>
              <w:t>.5</w:t>
            </w:r>
            <w:r>
              <w:rPr>
                <w:rFonts w:hint="eastAsia" w:ascii="宋体" w:hAnsi="宋体"/>
                <w:sz w:val="18"/>
                <w:szCs w:val="18"/>
              </w:rPr>
              <w:t>分。</w:t>
            </w:r>
          </w:p>
        </w:tc>
        <w:tc>
          <w:tcPr>
            <w:tcW w:w="985" w:type="dxa"/>
            <w:vMerge w:val="restart"/>
            <w:vAlign w:val="center"/>
          </w:tcPr>
          <w:p>
            <w:pPr>
              <w:spacing w:line="240" w:lineRule="auto"/>
              <w:rPr>
                <w:rFonts w:ascii="宋体" w:hAnsi="宋体"/>
                <w:sz w:val="18"/>
                <w:szCs w:val="18"/>
              </w:rPr>
            </w:pPr>
            <w:r>
              <w:rPr>
                <w:rFonts w:ascii="宋体" w:hAnsi="宋体"/>
                <w:sz w:val="18"/>
                <w:szCs w:val="18"/>
              </w:rPr>
              <w:t>1.</w:t>
            </w:r>
            <w:r>
              <w:rPr>
                <w:rFonts w:hint="eastAsia" w:ascii="宋体" w:hAnsi="宋体"/>
                <w:sz w:val="18"/>
                <w:szCs w:val="18"/>
              </w:rPr>
              <w:t>过程证明图片或视频。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5387" w:type="dxa"/>
            <w:vAlign w:val="center"/>
          </w:tcPr>
          <w:p>
            <w:pPr>
              <w:snapToGrid w:val="0"/>
              <w:spacing w:line="240" w:lineRule="auto"/>
              <w:rPr>
                <w:rFonts w:ascii="宋体" w:hAnsi="宋体"/>
                <w:sz w:val="18"/>
                <w:szCs w:val="18"/>
              </w:rPr>
            </w:pPr>
            <w:r>
              <w:rPr>
                <w:rFonts w:hint="eastAsia" w:ascii="宋体" w:hAnsi="宋体"/>
                <w:sz w:val="18"/>
                <w:szCs w:val="18"/>
              </w:rPr>
              <w:t>对工地现场施工区、生产加工区及办公生活区耗能分别进行计量统计并实时上传，自动分析预警，得</w:t>
            </w:r>
            <w:r>
              <w:rPr>
                <w:rFonts w:ascii="宋体" w:hAnsi="宋体"/>
                <w:sz w:val="18"/>
                <w:szCs w:val="18"/>
              </w:rPr>
              <w:t>0.5</w:t>
            </w:r>
            <w:r>
              <w:rPr>
                <w:rFonts w:hint="eastAsia" w:ascii="宋体" w:hAnsi="宋体"/>
                <w:sz w:val="18"/>
                <w:szCs w:val="18"/>
              </w:rPr>
              <w:t>分。</w:t>
            </w:r>
          </w:p>
        </w:tc>
        <w:tc>
          <w:tcPr>
            <w:tcW w:w="985" w:type="dxa"/>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restart"/>
            <w:vAlign w:val="center"/>
          </w:tcPr>
          <w:p>
            <w:pPr>
              <w:spacing w:line="240" w:lineRule="auto"/>
              <w:jc w:val="center"/>
              <w:rPr>
                <w:rFonts w:ascii="宋体" w:hAnsi="宋体"/>
                <w:sz w:val="18"/>
                <w:szCs w:val="18"/>
              </w:rPr>
            </w:pPr>
            <w:r>
              <w:rPr>
                <w:rFonts w:hint="eastAsia" w:ascii="宋体" w:hAnsi="宋体"/>
                <w:sz w:val="18"/>
                <w:szCs w:val="18"/>
              </w:rPr>
              <w:t>数字化管理</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分）</w:t>
            </w:r>
          </w:p>
        </w:tc>
        <w:tc>
          <w:tcPr>
            <w:tcW w:w="992" w:type="dxa"/>
            <w:vAlign w:val="center"/>
          </w:tcPr>
          <w:p>
            <w:pPr>
              <w:spacing w:line="240" w:lineRule="auto"/>
              <w:jc w:val="center"/>
              <w:rPr>
                <w:rFonts w:ascii="宋体" w:hAnsi="宋体"/>
                <w:sz w:val="18"/>
                <w:szCs w:val="18"/>
              </w:rPr>
            </w:pPr>
            <w:r>
              <w:rPr>
                <w:rFonts w:hint="eastAsia" w:ascii="宋体" w:hAnsi="宋体"/>
                <w:sz w:val="18"/>
                <w:szCs w:val="18"/>
              </w:rPr>
              <w:t>进度管理</w:t>
            </w:r>
          </w:p>
        </w:tc>
        <w:tc>
          <w:tcPr>
            <w:tcW w:w="5387" w:type="dxa"/>
            <w:vAlign w:val="center"/>
          </w:tcPr>
          <w:p>
            <w:pPr>
              <w:spacing w:line="240" w:lineRule="auto"/>
              <w:rPr>
                <w:rFonts w:ascii="宋体" w:hAnsi="宋体"/>
                <w:sz w:val="18"/>
                <w:szCs w:val="18"/>
              </w:rPr>
            </w:pPr>
            <w:r>
              <w:rPr>
                <w:rFonts w:hint="eastAsia" w:ascii="宋体" w:hAnsi="宋体"/>
                <w:sz w:val="18"/>
                <w:szCs w:val="18"/>
              </w:rPr>
              <w:t>通过数字化、智能化手段实现工程进度的任务分解、在线编排、实时监控及预警、可视化展示、偏差纠正，得</w:t>
            </w:r>
            <w:r>
              <w:rPr>
                <w:rFonts w:ascii="宋体" w:hAnsi="宋体"/>
                <w:sz w:val="18"/>
                <w:szCs w:val="18"/>
              </w:rPr>
              <w:t>2</w:t>
            </w:r>
            <w:r>
              <w:rPr>
                <w:rFonts w:hint="eastAsia" w:ascii="宋体" w:hAnsi="宋体"/>
                <w:sz w:val="18"/>
                <w:szCs w:val="18"/>
              </w:rPr>
              <w:t>分。</w:t>
            </w:r>
          </w:p>
        </w:tc>
        <w:tc>
          <w:tcPr>
            <w:tcW w:w="985" w:type="dxa"/>
            <w:vMerge w:val="restart"/>
            <w:vAlign w:val="center"/>
          </w:tcPr>
          <w:p>
            <w:pPr>
              <w:spacing w:line="240" w:lineRule="auto"/>
              <w:rPr>
                <w:rFonts w:ascii="宋体" w:hAnsi="宋体"/>
                <w:sz w:val="18"/>
                <w:szCs w:val="18"/>
              </w:rPr>
            </w:pPr>
            <w:r>
              <w:rPr>
                <w:rFonts w:ascii="宋体" w:hAnsi="宋体"/>
                <w:sz w:val="18"/>
                <w:szCs w:val="18"/>
              </w:rPr>
              <w:t>1</w:t>
            </w:r>
            <w:r>
              <w:rPr>
                <w:rFonts w:hint="eastAsia" w:ascii="宋体" w:hAnsi="宋体"/>
                <w:sz w:val="18"/>
                <w:szCs w:val="18"/>
              </w:rPr>
              <w:t>．数字化、智能化手段使用过程证明资料；</w:t>
            </w:r>
          </w:p>
          <w:p>
            <w:pPr>
              <w:spacing w:line="240" w:lineRule="auto"/>
              <w:rPr>
                <w:rFonts w:ascii="宋体" w:hAnsi="宋体"/>
                <w:sz w:val="18"/>
                <w:szCs w:val="18"/>
              </w:rPr>
            </w:pPr>
            <w:r>
              <w:rPr>
                <w:rFonts w:ascii="宋体" w:hAnsi="宋体"/>
                <w:sz w:val="18"/>
                <w:szCs w:val="18"/>
              </w:rPr>
              <w:t>2.</w:t>
            </w:r>
            <w:r>
              <w:rPr>
                <w:rFonts w:hint="eastAsia" w:ascii="宋体" w:hAnsi="宋体"/>
                <w:sz w:val="18"/>
                <w:szCs w:val="18"/>
              </w:rPr>
              <w:t>过程证明图片或视频。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992" w:type="dxa"/>
            <w:vAlign w:val="center"/>
          </w:tcPr>
          <w:p>
            <w:pPr>
              <w:spacing w:line="240" w:lineRule="auto"/>
              <w:jc w:val="center"/>
              <w:rPr>
                <w:rFonts w:ascii="宋体" w:hAnsi="宋体"/>
                <w:sz w:val="18"/>
                <w:szCs w:val="18"/>
              </w:rPr>
            </w:pPr>
            <w:r>
              <w:rPr>
                <w:rFonts w:hint="eastAsia" w:ascii="宋体" w:hAnsi="宋体"/>
                <w:sz w:val="18"/>
                <w:szCs w:val="18"/>
              </w:rPr>
              <w:t>成本管理</w:t>
            </w:r>
          </w:p>
        </w:tc>
        <w:tc>
          <w:tcPr>
            <w:tcW w:w="5387" w:type="dxa"/>
            <w:vAlign w:val="center"/>
          </w:tcPr>
          <w:p>
            <w:pPr>
              <w:spacing w:line="240" w:lineRule="auto"/>
              <w:rPr>
                <w:rFonts w:ascii="宋体" w:hAnsi="宋体"/>
                <w:sz w:val="18"/>
                <w:szCs w:val="18"/>
              </w:rPr>
            </w:pPr>
            <w:r>
              <w:rPr>
                <w:rFonts w:hint="eastAsia" w:ascii="宋体" w:hAnsi="宋体"/>
                <w:sz w:val="18"/>
                <w:szCs w:val="18"/>
              </w:rPr>
              <w:t>通过数字化、智能化手段，实现施工成本动态控制、超支自动预警，得</w:t>
            </w:r>
            <w:r>
              <w:rPr>
                <w:rFonts w:ascii="宋体" w:hAnsi="宋体"/>
                <w:sz w:val="18"/>
                <w:szCs w:val="18"/>
              </w:rPr>
              <w:t>2</w:t>
            </w:r>
            <w:r>
              <w:rPr>
                <w:rFonts w:hint="eastAsia" w:ascii="宋体" w:hAnsi="宋体"/>
                <w:sz w:val="18"/>
                <w:szCs w:val="18"/>
              </w:rPr>
              <w:t>分。</w:t>
            </w:r>
          </w:p>
        </w:tc>
        <w:tc>
          <w:tcPr>
            <w:tcW w:w="985" w:type="dxa"/>
            <w:vMerge w:val="continue"/>
            <w:vAlign w:val="center"/>
          </w:tcPr>
          <w:p>
            <w:pPr>
              <w:snapToGrid w:val="0"/>
              <w:spacing w:line="24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992" w:type="dxa"/>
            <w:vMerge w:val="restart"/>
            <w:vAlign w:val="center"/>
          </w:tcPr>
          <w:p>
            <w:pPr>
              <w:spacing w:line="240" w:lineRule="auto"/>
              <w:jc w:val="center"/>
              <w:rPr>
                <w:rFonts w:ascii="宋体" w:hAnsi="宋体"/>
                <w:sz w:val="18"/>
                <w:szCs w:val="18"/>
              </w:rPr>
            </w:pPr>
            <w:r>
              <w:rPr>
                <w:rFonts w:hint="eastAsia" w:ascii="宋体" w:hAnsi="宋体"/>
                <w:sz w:val="18"/>
                <w:szCs w:val="18"/>
              </w:rPr>
              <w:t>质量管理</w:t>
            </w:r>
          </w:p>
        </w:tc>
        <w:tc>
          <w:tcPr>
            <w:tcW w:w="5387" w:type="dxa"/>
            <w:vAlign w:val="center"/>
          </w:tcPr>
          <w:p>
            <w:pPr>
              <w:spacing w:line="240" w:lineRule="auto"/>
              <w:rPr>
                <w:rFonts w:ascii="宋体" w:hAnsi="宋体"/>
                <w:sz w:val="18"/>
                <w:szCs w:val="18"/>
              </w:rPr>
            </w:pPr>
            <w:r>
              <w:rPr>
                <w:rFonts w:hint="eastAsia" w:ascii="宋体" w:hAnsi="宋体"/>
                <w:sz w:val="18"/>
                <w:szCs w:val="18"/>
              </w:rPr>
              <w:t>对施工方案、技术交底、过程质量控制、质量验收与评价进行智能化管理，实现对技术质量参数的智能化监控，得</w:t>
            </w:r>
            <w:r>
              <w:rPr>
                <w:rFonts w:ascii="宋体" w:hAnsi="宋体"/>
                <w:sz w:val="18"/>
                <w:szCs w:val="18"/>
              </w:rPr>
              <w:t>1</w:t>
            </w:r>
            <w:r>
              <w:rPr>
                <w:rFonts w:hint="eastAsia" w:ascii="宋体" w:hAnsi="宋体"/>
                <w:sz w:val="18"/>
                <w:szCs w:val="18"/>
              </w:rPr>
              <w:t>分。</w:t>
            </w:r>
          </w:p>
        </w:tc>
        <w:tc>
          <w:tcPr>
            <w:tcW w:w="985" w:type="dxa"/>
            <w:vMerge w:val="continue"/>
            <w:vAlign w:val="center"/>
          </w:tcPr>
          <w:p>
            <w:pPr>
              <w:snapToGrid w:val="0"/>
              <w:spacing w:line="24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5387" w:type="dxa"/>
            <w:vAlign w:val="center"/>
          </w:tcPr>
          <w:p>
            <w:pPr>
              <w:spacing w:line="240" w:lineRule="auto"/>
              <w:rPr>
                <w:rFonts w:ascii="宋体" w:hAnsi="宋体"/>
                <w:sz w:val="18"/>
                <w:szCs w:val="18"/>
              </w:rPr>
            </w:pPr>
            <w:r>
              <w:rPr>
                <w:rFonts w:hint="eastAsia" w:ascii="宋体" w:hAnsi="宋体"/>
                <w:sz w:val="18"/>
                <w:szCs w:val="18"/>
              </w:rPr>
              <w:t>质量验收信息同步映射到B</w:t>
            </w:r>
            <w:r>
              <w:rPr>
                <w:rFonts w:ascii="宋体" w:hAnsi="宋体"/>
                <w:sz w:val="18"/>
                <w:szCs w:val="18"/>
              </w:rPr>
              <w:t>IM</w:t>
            </w:r>
            <w:r>
              <w:rPr>
                <w:rFonts w:hint="eastAsia" w:ascii="宋体" w:hAnsi="宋体"/>
                <w:sz w:val="18"/>
                <w:szCs w:val="18"/>
              </w:rPr>
              <w:t>模型中，得</w:t>
            </w:r>
            <w:r>
              <w:rPr>
                <w:rFonts w:ascii="宋体" w:hAnsi="宋体"/>
                <w:sz w:val="18"/>
                <w:szCs w:val="18"/>
              </w:rPr>
              <w:t>1</w:t>
            </w:r>
            <w:r>
              <w:rPr>
                <w:rFonts w:hint="eastAsia" w:ascii="宋体" w:hAnsi="宋体"/>
                <w:sz w:val="18"/>
                <w:szCs w:val="18"/>
              </w:rPr>
              <w:t>分。</w:t>
            </w:r>
          </w:p>
        </w:tc>
        <w:tc>
          <w:tcPr>
            <w:tcW w:w="985" w:type="dxa"/>
            <w:vMerge w:val="continue"/>
            <w:vAlign w:val="center"/>
          </w:tcPr>
          <w:p>
            <w:pPr>
              <w:snapToGrid w:val="0"/>
              <w:spacing w:line="24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992" w:type="dxa"/>
            <w:vAlign w:val="center"/>
          </w:tcPr>
          <w:p>
            <w:pPr>
              <w:spacing w:line="240" w:lineRule="auto"/>
              <w:jc w:val="center"/>
              <w:rPr>
                <w:rFonts w:ascii="宋体" w:hAnsi="宋体"/>
                <w:sz w:val="18"/>
                <w:szCs w:val="18"/>
              </w:rPr>
            </w:pPr>
            <w:r>
              <w:rPr>
                <w:rFonts w:hint="eastAsia" w:ascii="宋体" w:hAnsi="宋体"/>
                <w:sz w:val="18"/>
                <w:szCs w:val="18"/>
              </w:rPr>
              <w:t>供应链管理</w:t>
            </w:r>
          </w:p>
        </w:tc>
        <w:tc>
          <w:tcPr>
            <w:tcW w:w="5387" w:type="dxa"/>
            <w:vAlign w:val="center"/>
          </w:tcPr>
          <w:p>
            <w:pPr>
              <w:spacing w:line="240" w:lineRule="auto"/>
              <w:rPr>
                <w:rFonts w:ascii="宋体" w:hAnsi="宋体"/>
                <w:sz w:val="18"/>
                <w:szCs w:val="18"/>
              </w:rPr>
            </w:pPr>
            <w:r>
              <w:rPr>
                <w:rFonts w:hint="eastAsia" w:ascii="宋体" w:hAnsi="宋体"/>
                <w:sz w:val="18"/>
                <w:szCs w:val="18"/>
              </w:rPr>
              <w:t>通过数字化、智能化手段实现供应链管理，包括采购管理、资源选择、智能物管、供应链金融等，每实现一项得</w:t>
            </w:r>
            <w:r>
              <w:rPr>
                <w:rFonts w:ascii="宋体" w:hAnsi="宋体"/>
                <w:sz w:val="18"/>
                <w:szCs w:val="18"/>
              </w:rPr>
              <w:t>0.5</w:t>
            </w:r>
            <w:r>
              <w:rPr>
                <w:rFonts w:hint="eastAsia" w:ascii="宋体" w:hAnsi="宋体"/>
                <w:sz w:val="18"/>
                <w:szCs w:val="18"/>
              </w:rPr>
              <w:t>分，满分</w:t>
            </w:r>
            <w:r>
              <w:rPr>
                <w:rFonts w:ascii="宋体" w:hAnsi="宋体"/>
                <w:sz w:val="18"/>
                <w:szCs w:val="18"/>
              </w:rPr>
              <w:t>2</w:t>
            </w:r>
            <w:r>
              <w:rPr>
                <w:rFonts w:hint="eastAsia" w:ascii="宋体" w:hAnsi="宋体"/>
                <w:sz w:val="18"/>
                <w:szCs w:val="18"/>
              </w:rPr>
              <w:t>分。</w:t>
            </w:r>
          </w:p>
        </w:tc>
        <w:tc>
          <w:tcPr>
            <w:tcW w:w="985" w:type="dxa"/>
            <w:vMerge w:val="continue"/>
            <w:vAlign w:val="center"/>
          </w:tcPr>
          <w:p>
            <w:pPr>
              <w:snapToGrid w:val="0"/>
              <w:spacing w:line="24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992" w:type="dxa"/>
            <w:vAlign w:val="center"/>
          </w:tcPr>
          <w:p>
            <w:pPr>
              <w:spacing w:line="240" w:lineRule="auto"/>
              <w:jc w:val="center"/>
              <w:rPr>
                <w:rFonts w:ascii="宋体" w:hAnsi="宋体"/>
                <w:sz w:val="18"/>
                <w:szCs w:val="18"/>
              </w:rPr>
            </w:pPr>
            <w:r>
              <w:rPr>
                <w:rFonts w:hint="eastAsia" w:ascii="宋体" w:hAnsi="宋体"/>
                <w:sz w:val="18"/>
                <w:szCs w:val="18"/>
              </w:rPr>
              <w:t>智能检测</w:t>
            </w:r>
          </w:p>
        </w:tc>
        <w:tc>
          <w:tcPr>
            <w:tcW w:w="5387" w:type="dxa"/>
            <w:vAlign w:val="center"/>
          </w:tcPr>
          <w:p>
            <w:pPr>
              <w:spacing w:line="240" w:lineRule="auto"/>
              <w:rPr>
                <w:rFonts w:ascii="宋体" w:hAnsi="宋体"/>
                <w:sz w:val="18"/>
                <w:szCs w:val="18"/>
              </w:rPr>
            </w:pPr>
            <w:r>
              <w:rPr>
                <w:rFonts w:hint="eastAsia" w:ascii="宋体" w:hAnsi="宋体"/>
                <w:sz w:val="18"/>
                <w:szCs w:val="18"/>
              </w:rPr>
              <w:t>通过数字化、智能化手段，实现检测业务的线上监控、检测数据的自动采集、数据共享分析，实现自动化分析预警，质量可追溯，得</w:t>
            </w:r>
            <w:r>
              <w:rPr>
                <w:rFonts w:ascii="宋体" w:hAnsi="宋体"/>
                <w:sz w:val="18"/>
                <w:szCs w:val="18"/>
              </w:rPr>
              <w:t>1</w:t>
            </w:r>
            <w:r>
              <w:rPr>
                <w:rFonts w:hint="eastAsia" w:ascii="宋体" w:hAnsi="宋体"/>
                <w:sz w:val="18"/>
                <w:szCs w:val="18"/>
              </w:rPr>
              <w:t>分。</w:t>
            </w:r>
          </w:p>
        </w:tc>
        <w:tc>
          <w:tcPr>
            <w:tcW w:w="985" w:type="dxa"/>
            <w:vMerge w:val="continue"/>
            <w:vAlign w:val="center"/>
          </w:tcPr>
          <w:p>
            <w:pPr>
              <w:snapToGrid w:val="0"/>
              <w:spacing w:line="24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992" w:type="dxa"/>
            <w:vAlign w:val="center"/>
          </w:tcPr>
          <w:p>
            <w:pPr>
              <w:spacing w:line="240" w:lineRule="auto"/>
              <w:jc w:val="center"/>
              <w:rPr>
                <w:rFonts w:ascii="宋体" w:hAnsi="宋体"/>
                <w:sz w:val="18"/>
                <w:szCs w:val="18"/>
              </w:rPr>
            </w:pPr>
            <w:r>
              <w:rPr>
                <w:rFonts w:hint="eastAsia" w:ascii="宋体" w:hAnsi="宋体"/>
                <w:sz w:val="18"/>
                <w:szCs w:val="18"/>
              </w:rPr>
              <w:t>管理过程可视化</w:t>
            </w:r>
          </w:p>
        </w:tc>
        <w:tc>
          <w:tcPr>
            <w:tcW w:w="5387" w:type="dxa"/>
            <w:vAlign w:val="center"/>
          </w:tcPr>
          <w:p>
            <w:pPr>
              <w:spacing w:line="240" w:lineRule="auto"/>
              <w:rPr>
                <w:rFonts w:ascii="宋体" w:hAnsi="宋体"/>
                <w:sz w:val="18"/>
                <w:szCs w:val="18"/>
              </w:rPr>
            </w:pPr>
            <w:r>
              <w:rPr>
                <w:rFonts w:hint="eastAsia" w:ascii="宋体" w:hAnsi="宋体"/>
                <w:sz w:val="18"/>
                <w:szCs w:val="18"/>
              </w:rPr>
              <w:t>管理模块与B</w:t>
            </w:r>
            <w:r>
              <w:rPr>
                <w:rFonts w:ascii="宋体" w:hAnsi="宋体"/>
                <w:sz w:val="18"/>
                <w:szCs w:val="18"/>
              </w:rPr>
              <w:t>IM</w:t>
            </w:r>
            <w:r>
              <w:rPr>
                <w:rFonts w:hint="eastAsia" w:ascii="宋体" w:hAnsi="宋体"/>
                <w:sz w:val="18"/>
                <w:szCs w:val="18"/>
              </w:rPr>
              <w:t>建立直接或间接的关联，实现管理过程的可视化，得1分。</w:t>
            </w:r>
          </w:p>
        </w:tc>
        <w:tc>
          <w:tcPr>
            <w:tcW w:w="985" w:type="dxa"/>
            <w:vAlign w:val="center"/>
          </w:tcPr>
          <w:p>
            <w:pPr>
              <w:spacing w:line="240" w:lineRule="auto"/>
              <w:rPr>
                <w:rFonts w:ascii="宋体" w:hAnsi="宋体"/>
                <w:sz w:val="18"/>
                <w:szCs w:val="18"/>
              </w:rPr>
            </w:pPr>
            <w:r>
              <w:rPr>
                <w:rFonts w:ascii="宋体" w:hAnsi="宋体"/>
                <w:sz w:val="18"/>
                <w:szCs w:val="18"/>
              </w:rPr>
              <w:t>1.</w:t>
            </w:r>
            <w:r>
              <w:rPr>
                <w:rFonts w:hint="eastAsia" w:ascii="宋体" w:hAnsi="宋体"/>
                <w:sz w:val="18"/>
                <w:szCs w:val="18"/>
              </w:rPr>
              <w:t>可视化证明图片或视频。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88" w:type="dxa"/>
            <w:vMerge w:val="restart"/>
            <w:vAlign w:val="center"/>
          </w:tcPr>
          <w:p>
            <w:pPr>
              <w:spacing w:line="240" w:lineRule="auto"/>
              <w:jc w:val="center"/>
              <w:rPr>
                <w:rFonts w:ascii="宋体" w:hAnsi="宋体"/>
                <w:sz w:val="18"/>
                <w:szCs w:val="18"/>
              </w:rPr>
            </w:pPr>
            <w:r>
              <w:rPr>
                <w:rFonts w:hint="eastAsia" w:ascii="宋体" w:hAnsi="宋体"/>
                <w:sz w:val="18"/>
                <w:szCs w:val="18"/>
              </w:rPr>
              <w:t>建筑机器人及智能装备</w:t>
            </w:r>
          </w:p>
        </w:tc>
        <w:tc>
          <w:tcPr>
            <w:tcW w:w="992" w:type="dxa"/>
            <w:vMerge w:val="restart"/>
            <w:vAlign w:val="center"/>
          </w:tcPr>
          <w:p>
            <w:pPr>
              <w:spacing w:line="240" w:lineRule="auto"/>
              <w:jc w:val="center"/>
              <w:rPr>
                <w:rFonts w:ascii="宋体" w:hAnsi="宋体"/>
                <w:sz w:val="18"/>
                <w:szCs w:val="18"/>
              </w:rPr>
            </w:pPr>
            <w:r>
              <w:rPr>
                <w:rFonts w:hint="eastAsia" w:ascii="宋体" w:hAnsi="宋体"/>
                <w:sz w:val="18"/>
                <w:szCs w:val="18"/>
              </w:rPr>
              <w:t>建筑机器人</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分）</w:t>
            </w:r>
          </w:p>
        </w:tc>
        <w:tc>
          <w:tcPr>
            <w:tcW w:w="992" w:type="dxa"/>
            <w:vAlign w:val="center"/>
          </w:tcPr>
          <w:p>
            <w:pPr>
              <w:spacing w:line="240" w:lineRule="auto"/>
              <w:jc w:val="center"/>
              <w:rPr>
                <w:rFonts w:ascii="宋体" w:hAnsi="宋体"/>
                <w:sz w:val="18"/>
                <w:szCs w:val="18"/>
              </w:rPr>
            </w:pPr>
            <w:r>
              <w:rPr>
                <w:rFonts w:hint="eastAsia" w:ascii="宋体" w:hAnsi="宋体"/>
                <w:sz w:val="18"/>
                <w:szCs w:val="18"/>
              </w:rPr>
              <w:t>智能测量</w:t>
            </w:r>
          </w:p>
        </w:tc>
        <w:tc>
          <w:tcPr>
            <w:tcW w:w="5387" w:type="dxa"/>
            <w:vAlign w:val="center"/>
          </w:tcPr>
          <w:p>
            <w:pPr>
              <w:spacing w:line="240" w:lineRule="auto"/>
              <w:rPr>
                <w:rFonts w:ascii="宋体" w:hAnsi="宋体"/>
                <w:sz w:val="18"/>
                <w:szCs w:val="18"/>
              </w:rPr>
            </w:pPr>
            <w:r>
              <w:rPr>
                <w:rFonts w:hint="eastAsia" w:ascii="宋体" w:hAnsi="宋体"/>
                <w:sz w:val="18"/>
                <w:szCs w:val="18"/>
              </w:rPr>
              <w:t>采用土方测绘无人机、三维测绘机器人、实测实量机器人等2项及以上，得</w:t>
            </w:r>
            <w:r>
              <w:rPr>
                <w:rFonts w:ascii="宋体" w:hAnsi="宋体"/>
                <w:sz w:val="18"/>
                <w:szCs w:val="18"/>
              </w:rPr>
              <w:t>1</w:t>
            </w:r>
            <w:r>
              <w:rPr>
                <w:rFonts w:hint="eastAsia" w:ascii="宋体" w:hAnsi="宋体"/>
                <w:sz w:val="18"/>
                <w:szCs w:val="18"/>
              </w:rPr>
              <w:t>分。</w:t>
            </w:r>
          </w:p>
        </w:tc>
        <w:tc>
          <w:tcPr>
            <w:tcW w:w="985" w:type="dxa"/>
            <w:vMerge w:val="restart"/>
            <w:vAlign w:val="center"/>
          </w:tcPr>
          <w:p>
            <w:pPr>
              <w:spacing w:line="240" w:lineRule="auto"/>
              <w:rPr>
                <w:rFonts w:ascii="宋体" w:hAnsi="宋体"/>
                <w:sz w:val="18"/>
                <w:szCs w:val="18"/>
              </w:rPr>
            </w:pPr>
            <w:r>
              <w:rPr>
                <w:rFonts w:ascii="宋体" w:hAnsi="宋体"/>
                <w:sz w:val="18"/>
                <w:szCs w:val="18"/>
              </w:rPr>
              <w:t>1.</w:t>
            </w:r>
            <w:r>
              <w:rPr>
                <w:rFonts w:hint="eastAsia" w:ascii="宋体" w:hAnsi="宋体"/>
                <w:sz w:val="18"/>
                <w:szCs w:val="18"/>
              </w:rPr>
              <w:t>建筑机器人及智能装备应用清单；</w:t>
            </w:r>
          </w:p>
          <w:p>
            <w:pPr>
              <w:spacing w:line="240" w:lineRule="auto"/>
              <w:rPr>
                <w:rFonts w:ascii="宋体" w:hAnsi="宋体"/>
                <w:sz w:val="18"/>
                <w:szCs w:val="18"/>
              </w:rPr>
            </w:pPr>
            <w:r>
              <w:rPr>
                <w:rFonts w:hint="eastAsia" w:ascii="宋体" w:hAnsi="宋体"/>
                <w:sz w:val="18"/>
                <w:szCs w:val="18"/>
              </w:rPr>
              <w:t>2．使用过程的证明资料及记录；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992" w:type="dxa"/>
            <w:vAlign w:val="center"/>
          </w:tcPr>
          <w:p>
            <w:pPr>
              <w:spacing w:line="240" w:lineRule="auto"/>
              <w:jc w:val="center"/>
              <w:rPr>
                <w:rFonts w:ascii="宋体" w:hAnsi="宋体"/>
                <w:sz w:val="18"/>
                <w:szCs w:val="18"/>
              </w:rPr>
            </w:pPr>
            <w:r>
              <w:rPr>
                <w:rFonts w:hint="eastAsia" w:ascii="宋体" w:hAnsi="宋体"/>
                <w:sz w:val="18"/>
                <w:szCs w:val="18"/>
              </w:rPr>
              <w:t>施工机器人</w:t>
            </w:r>
          </w:p>
        </w:tc>
        <w:tc>
          <w:tcPr>
            <w:tcW w:w="5387" w:type="dxa"/>
            <w:vAlign w:val="center"/>
          </w:tcPr>
          <w:p>
            <w:pPr>
              <w:spacing w:line="240" w:lineRule="auto"/>
              <w:rPr>
                <w:rFonts w:ascii="宋体" w:hAnsi="宋体"/>
                <w:sz w:val="18"/>
                <w:szCs w:val="18"/>
              </w:rPr>
            </w:pPr>
            <w:r>
              <w:rPr>
                <w:rFonts w:hint="eastAsia" w:ascii="宋体" w:hAnsi="宋体"/>
                <w:sz w:val="18"/>
                <w:szCs w:val="18"/>
              </w:rPr>
              <w:t>采用现场钢筋下料、加工、绑扎机器人，现场焊接机器人、模具安拆机器人、喷涂机器人、抹光打磨机器人、混凝土整平机器人、管道机器人、瓷砖铺贴机器人、板材辅助安装机器人、巡检机器人、清洁机器人等</w:t>
            </w:r>
            <w:r>
              <w:rPr>
                <w:rFonts w:ascii="宋体" w:hAnsi="宋体"/>
                <w:sz w:val="18"/>
                <w:szCs w:val="18"/>
              </w:rPr>
              <w:t>3</w:t>
            </w:r>
            <w:r>
              <w:rPr>
                <w:rFonts w:hint="eastAsia" w:ascii="宋体" w:hAnsi="宋体"/>
                <w:sz w:val="18"/>
                <w:szCs w:val="18"/>
              </w:rPr>
              <w:t>项及以上，得</w:t>
            </w:r>
            <w:r>
              <w:rPr>
                <w:rFonts w:ascii="宋体" w:hAnsi="宋体"/>
                <w:sz w:val="18"/>
                <w:szCs w:val="18"/>
              </w:rPr>
              <w:t>1</w:t>
            </w:r>
            <w:r>
              <w:rPr>
                <w:rFonts w:hint="eastAsia" w:ascii="宋体" w:hAnsi="宋体"/>
                <w:sz w:val="18"/>
                <w:szCs w:val="18"/>
              </w:rPr>
              <w:t>分；</w:t>
            </w:r>
            <w:r>
              <w:rPr>
                <w:rFonts w:ascii="宋体" w:hAnsi="宋体"/>
                <w:sz w:val="18"/>
                <w:szCs w:val="18"/>
              </w:rPr>
              <w:t>5</w:t>
            </w:r>
            <w:r>
              <w:rPr>
                <w:rFonts w:hint="eastAsia" w:ascii="宋体" w:hAnsi="宋体"/>
                <w:sz w:val="18"/>
                <w:szCs w:val="18"/>
              </w:rPr>
              <w:t>项及以上，得</w:t>
            </w:r>
            <w:r>
              <w:rPr>
                <w:rFonts w:ascii="宋体" w:hAnsi="宋体"/>
                <w:sz w:val="18"/>
                <w:szCs w:val="18"/>
              </w:rPr>
              <w:t>2</w:t>
            </w:r>
            <w:r>
              <w:rPr>
                <w:rFonts w:hint="eastAsia" w:ascii="宋体" w:hAnsi="宋体"/>
                <w:sz w:val="18"/>
                <w:szCs w:val="18"/>
              </w:rPr>
              <w:t>分。</w:t>
            </w:r>
          </w:p>
        </w:tc>
        <w:tc>
          <w:tcPr>
            <w:tcW w:w="985" w:type="dxa"/>
            <w:vMerge w:val="continue"/>
            <w:vAlign w:val="center"/>
          </w:tcPr>
          <w:p>
            <w:pPr>
              <w:snapToGrid w:val="0"/>
              <w:spacing w:line="24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restart"/>
            <w:vAlign w:val="center"/>
          </w:tcPr>
          <w:p>
            <w:pPr>
              <w:spacing w:line="240" w:lineRule="auto"/>
              <w:jc w:val="center"/>
              <w:rPr>
                <w:rFonts w:ascii="宋体" w:hAnsi="宋体"/>
                <w:sz w:val="18"/>
                <w:szCs w:val="18"/>
              </w:rPr>
            </w:pPr>
            <w:r>
              <w:rPr>
                <w:rFonts w:hint="eastAsia" w:ascii="宋体" w:hAnsi="宋体"/>
                <w:sz w:val="18"/>
                <w:szCs w:val="18"/>
              </w:rPr>
              <w:t>智能装备</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分）</w:t>
            </w:r>
          </w:p>
        </w:tc>
        <w:tc>
          <w:tcPr>
            <w:tcW w:w="6379" w:type="dxa"/>
            <w:gridSpan w:val="2"/>
            <w:vAlign w:val="center"/>
          </w:tcPr>
          <w:p>
            <w:pPr>
              <w:spacing w:line="240" w:lineRule="auto"/>
              <w:rPr>
                <w:rFonts w:ascii="宋体" w:hAnsi="宋体"/>
                <w:sz w:val="18"/>
                <w:szCs w:val="18"/>
              </w:rPr>
            </w:pPr>
            <w:r>
              <w:rPr>
                <w:rFonts w:hint="eastAsia" w:ascii="宋体" w:hAnsi="宋体"/>
                <w:sz w:val="18"/>
                <w:szCs w:val="18"/>
              </w:rPr>
              <w:t>采用智能塔吊、智能升降机、智能混凝土布料机、智能振捣设备、智能水平运输设备等3项及以上，得</w:t>
            </w:r>
            <w:r>
              <w:rPr>
                <w:rFonts w:ascii="宋体" w:hAnsi="宋体"/>
                <w:sz w:val="18"/>
                <w:szCs w:val="18"/>
              </w:rPr>
              <w:t>2</w:t>
            </w:r>
            <w:r>
              <w:rPr>
                <w:rFonts w:hint="eastAsia" w:ascii="宋体" w:hAnsi="宋体"/>
                <w:sz w:val="18"/>
                <w:szCs w:val="18"/>
              </w:rPr>
              <w:t>分。</w:t>
            </w:r>
          </w:p>
        </w:tc>
        <w:tc>
          <w:tcPr>
            <w:tcW w:w="985" w:type="dxa"/>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6379" w:type="dxa"/>
            <w:gridSpan w:val="2"/>
            <w:vAlign w:val="center"/>
          </w:tcPr>
          <w:p>
            <w:pPr>
              <w:spacing w:line="240" w:lineRule="auto"/>
              <w:rPr>
                <w:rFonts w:ascii="宋体" w:hAnsi="宋体"/>
                <w:sz w:val="18"/>
                <w:szCs w:val="18"/>
              </w:rPr>
            </w:pPr>
            <w:r>
              <w:rPr>
                <w:rFonts w:hint="eastAsia" w:ascii="宋体" w:hAnsi="宋体"/>
                <w:sz w:val="18"/>
                <w:szCs w:val="18"/>
              </w:rPr>
              <w:t>采用集成施工平台，如自升式智能施工平台（造楼机）、造塔（墩）机、造桥机等，得</w:t>
            </w:r>
            <w:r>
              <w:rPr>
                <w:rFonts w:ascii="宋体" w:hAnsi="宋体"/>
                <w:sz w:val="18"/>
                <w:szCs w:val="18"/>
              </w:rPr>
              <w:t>3</w:t>
            </w:r>
            <w:r>
              <w:rPr>
                <w:rFonts w:hint="eastAsia" w:ascii="宋体" w:hAnsi="宋体"/>
                <w:sz w:val="18"/>
                <w:szCs w:val="18"/>
              </w:rPr>
              <w:t>分。</w:t>
            </w:r>
          </w:p>
        </w:tc>
        <w:tc>
          <w:tcPr>
            <w:tcW w:w="985" w:type="dxa"/>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88" w:type="dxa"/>
            <w:vMerge w:val="continue"/>
            <w:vAlign w:val="center"/>
          </w:tcPr>
          <w:p>
            <w:pPr>
              <w:spacing w:line="240" w:lineRule="auto"/>
              <w:jc w:val="center"/>
              <w:rPr>
                <w:rFonts w:ascii="宋体" w:hAnsi="宋体"/>
                <w:sz w:val="18"/>
                <w:szCs w:val="18"/>
              </w:rPr>
            </w:pPr>
          </w:p>
        </w:tc>
        <w:tc>
          <w:tcPr>
            <w:tcW w:w="992" w:type="dxa"/>
            <w:vAlign w:val="center"/>
          </w:tcPr>
          <w:p>
            <w:pPr>
              <w:spacing w:line="240" w:lineRule="auto"/>
              <w:jc w:val="center"/>
              <w:rPr>
                <w:rFonts w:ascii="宋体" w:hAnsi="宋体"/>
                <w:sz w:val="18"/>
                <w:szCs w:val="18"/>
              </w:rPr>
            </w:pPr>
            <w:r>
              <w:rPr>
                <w:rFonts w:hint="eastAsia" w:ascii="宋体" w:hAnsi="宋体"/>
                <w:sz w:val="18"/>
                <w:szCs w:val="18"/>
              </w:rPr>
              <w:t>数据驱动</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分）</w:t>
            </w:r>
          </w:p>
        </w:tc>
        <w:tc>
          <w:tcPr>
            <w:tcW w:w="6379" w:type="dxa"/>
            <w:gridSpan w:val="2"/>
            <w:vAlign w:val="center"/>
          </w:tcPr>
          <w:p>
            <w:pPr>
              <w:spacing w:line="240" w:lineRule="auto"/>
              <w:rPr>
                <w:rFonts w:ascii="宋体" w:hAnsi="宋体"/>
                <w:sz w:val="18"/>
                <w:szCs w:val="18"/>
              </w:rPr>
            </w:pPr>
            <w:r>
              <w:rPr>
                <w:rFonts w:hint="eastAsia" w:ascii="宋体" w:hAnsi="宋体"/>
                <w:sz w:val="18"/>
                <w:szCs w:val="18"/>
              </w:rPr>
              <w:t>各类建筑机器人及智能装备能接收B</w:t>
            </w:r>
            <w:r>
              <w:rPr>
                <w:rFonts w:ascii="宋体" w:hAnsi="宋体"/>
                <w:sz w:val="18"/>
                <w:szCs w:val="18"/>
              </w:rPr>
              <w:t>IM</w:t>
            </w:r>
            <w:r>
              <w:rPr>
                <w:rFonts w:hint="eastAsia" w:ascii="宋体" w:hAnsi="宋体"/>
                <w:sz w:val="18"/>
                <w:szCs w:val="18"/>
              </w:rPr>
              <w:t>模型数据，基于模型数据开展自动化作业，每实现1项得</w:t>
            </w:r>
            <w:r>
              <w:rPr>
                <w:rFonts w:ascii="宋体" w:hAnsi="宋体"/>
                <w:sz w:val="18"/>
                <w:szCs w:val="18"/>
              </w:rPr>
              <w:t>2</w:t>
            </w:r>
            <w:r>
              <w:rPr>
                <w:rFonts w:hint="eastAsia" w:ascii="宋体" w:hAnsi="宋体"/>
                <w:sz w:val="18"/>
                <w:szCs w:val="18"/>
              </w:rPr>
              <w:t>分，最多不超过</w:t>
            </w:r>
            <w:r>
              <w:rPr>
                <w:rFonts w:ascii="宋体" w:hAnsi="宋体"/>
                <w:sz w:val="18"/>
                <w:szCs w:val="18"/>
              </w:rPr>
              <w:t>8</w:t>
            </w:r>
            <w:r>
              <w:rPr>
                <w:rFonts w:hint="eastAsia" w:ascii="宋体" w:hAnsi="宋体"/>
                <w:sz w:val="18"/>
                <w:szCs w:val="18"/>
              </w:rPr>
              <w:t>分。</w:t>
            </w:r>
          </w:p>
        </w:tc>
        <w:tc>
          <w:tcPr>
            <w:tcW w:w="985" w:type="dxa"/>
            <w:vAlign w:val="center"/>
          </w:tcPr>
          <w:p>
            <w:pPr>
              <w:snapToGrid w:val="0"/>
              <w:spacing w:line="240" w:lineRule="auto"/>
              <w:rPr>
                <w:rFonts w:ascii="宋体" w:hAnsi="宋体"/>
                <w:sz w:val="18"/>
                <w:szCs w:val="18"/>
              </w:rPr>
            </w:pPr>
            <w:r>
              <w:rPr>
                <w:rFonts w:ascii="宋体" w:hAnsi="宋体"/>
                <w:sz w:val="18"/>
                <w:szCs w:val="18"/>
              </w:rPr>
              <w:t>1.</w:t>
            </w:r>
            <w:r>
              <w:rPr>
                <w:rFonts w:hint="eastAsia" w:ascii="宋体" w:hAnsi="宋体"/>
                <w:sz w:val="18"/>
                <w:szCs w:val="18"/>
              </w:rPr>
              <w:t>过程证明图片或视频。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88" w:type="dxa"/>
            <w:vMerge w:val="restart"/>
            <w:vAlign w:val="center"/>
          </w:tcPr>
          <w:p>
            <w:pPr>
              <w:spacing w:line="240" w:lineRule="auto"/>
              <w:jc w:val="center"/>
              <w:rPr>
                <w:rFonts w:ascii="宋体" w:hAnsi="宋体"/>
                <w:sz w:val="18"/>
                <w:szCs w:val="18"/>
              </w:rPr>
            </w:pPr>
            <w:r>
              <w:rPr>
                <w:rFonts w:hint="eastAsia" w:ascii="宋体" w:hAnsi="宋体"/>
                <w:sz w:val="18"/>
                <w:szCs w:val="18"/>
              </w:rPr>
              <w:t>技术经济分析</w:t>
            </w:r>
          </w:p>
        </w:tc>
        <w:tc>
          <w:tcPr>
            <w:tcW w:w="992" w:type="dxa"/>
            <w:vAlign w:val="center"/>
          </w:tcPr>
          <w:p>
            <w:pPr>
              <w:spacing w:line="240" w:lineRule="auto"/>
              <w:jc w:val="center"/>
              <w:rPr>
                <w:rFonts w:ascii="宋体" w:hAnsi="宋体"/>
                <w:sz w:val="18"/>
                <w:szCs w:val="18"/>
              </w:rPr>
            </w:pPr>
            <w:r>
              <w:rPr>
                <w:rFonts w:hint="eastAsia" w:ascii="宋体" w:hAnsi="宋体"/>
                <w:sz w:val="18"/>
                <w:szCs w:val="18"/>
              </w:rPr>
              <w:t>数据采集</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分）</w:t>
            </w:r>
          </w:p>
        </w:tc>
        <w:tc>
          <w:tcPr>
            <w:tcW w:w="6379" w:type="dxa"/>
            <w:gridSpan w:val="2"/>
            <w:vAlign w:val="center"/>
          </w:tcPr>
          <w:p>
            <w:pPr>
              <w:spacing w:line="240" w:lineRule="auto"/>
              <w:rPr>
                <w:rFonts w:ascii="宋体" w:hAnsi="宋体"/>
                <w:sz w:val="18"/>
                <w:szCs w:val="18"/>
              </w:rPr>
            </w:pPr>
            <w:r>
              <w:rPr>
                <w:rFonts w:hint="eastAsia" w:ascii="宋体" w:hAnsi="宋体"/>
                <w:sz w:val="18"/>
                <w:szCs w:val="18"/>
              </w:rPr>
              <w:t>运用</w:t>
            </w:r>
            <w:r>
              <w:rPr>
                <w:rFonts w:ascii="宋体" w:hAnsi="宋体"/>
                <w:sz w:val="18"/>
                <w:szCs w:val="18"/>
              </w:rPr>
              <w:t>BIM、物联网等技术，</w:t>
            </w:r>
            <w:r>
              <w:rPr>
                <w:rFonts w:hint="eastAsia" w:ascii="宋体" w:hAnsi="宋体"/>
                <w:sz w:val="18"/>
                <w:szCs w:val="18"/>
              </w:rPr>
              <w:t>对智能建造关键技术相关经济数据进行收集整理，得</w:t>
            </w:r>
            <w:r>
              <w:rPr>
                <w:rFonts w:ascii="宋体" w:hAnsi="宋体"/>
                <w:sz w:val="18"/>
                <w:szCs w:val="18"/>
              </w:rPr>
              <w:t>1</w:t>
            </w:r>
            <w:r>
              <w:rPr>
                <w:rFonts w:hint="eastAsia" w:ascii="宋体" w:hAnsi="宋体"/>
                <w:sz w:val="18"/>
                <w:szCs w:val="18"/>
              </w:rPr>
              <w:t>分。</w:t>
            </w:r>
          </w:p>
        </w:tc>
        <w:tc>
          <w:tcPr>
            <w:tcW w:w="985" w:type="dxa"/>
            <w:vMerge w:val="restart"/>
            <w:vAlign w:val="center"/>
          </w:tcPr>
          <w:p>
            <w:pPr>
              <w:snapToGrid w:val="0"/>
              <w:spacing w:line="240" w:lineRule="auto"/>
              <w:rPr>
                <w:rFonts w:ascii="宋体" w:hAnsi="宋体"/>
                <w:sz w:val="18"/>
                <w:szCs w:val="18"/>
              </w:rPr>
            </w:pPr>
            <w:r>
              <w:rPr>
                <w:rFonts w:ascii="宋体" w:hAnsi="宋体"/>
                <w:sz w:val="18"/>
                <w:szCs w:val="18"/>
              </w:rPr>
              <w:t>1.BIM</w:t>
            </w:r>
            <w:r>
              <w:rPr>
                <w:rFonts w:hint="eastAsia" w:ascii="宋体" w:hAnsi="宋体"/>
                <w:sz w:val="18"/>
                <w:szCs w:val="18"/>
              </w:rPr>
              <w:t>、物联网等技术应用过程资料；</w:t>
            </w:r>
          </w:p>
          <w:p>
            <w:pPr>
              <w:snapToGrid w:val="0"/>
              <w:spacing w:line="240" w:lineRule="auto"/>
              <w:rPr>
                <w:rFonts w:ascii="宋体" w:hAnsi="宋体"/>
                <w:sz w:val="18"/>
                <w:szCs w:val="18"/>
              </w:rPr>
            </w:pPr>
            <w:r>
              <w:rPr>
                <w:rFonts w:ascii="宋体" w:hAnsi="宋体"/>
                <w:sz w:val="18"/>
                <w:szCs w:val="18"/>
              </w:rPr>
              <w:t>2.</w:t>
            </w:r>
            <w:r>
              <w:rPr>
                <w:rFonts w:hint="eastAsia" w:ascii="宋体" w:hAnsi="宋体"/>
                <w:sz w:val="18"/>
                <w:szCs w:val="18"/>
              </w:rPr>
              <w:t>数据分析报告。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88" w:type="dxa"/>
            <w:vMerge w:val="continue"/>
            <w:vAlign w:val="center"/>
          </w:tcPr>
          <w:p>
            <w:pPr>
              <w:spacing w:line="240" w:lineRule="auto"/>
              <w:jc w:val="center"/>
              <w:rPr>
                <w:rFonts w:ascii="宋体" w:hAnsi="宋体"/>
                <w:sz w:val="18"/>
                <w:szCs w:val="18"/>
              </w:rPr>
            </w:pPr>
          </w:p>
        </w:tc>
        <w:tc>
          <w:tcPr>
            <w:tcW w:w="992" w:type="dxa"/>
            <w:vAlign w:val="center"/>
          </w:tcPr>
          <w:p>
            <w:pPr>
              <w:spacing w:line="240" w:lineRule="auto"/>
              <w:jc w:val="center"/>
              <w:rPr>
                <w:rFonts w:ascii="宋体" w:hAnsi="宋体"/>
                <w:sz w:val="18"/>
                <w:szCs w:val="18"/>
              </w:rPr>
            </w:pPr>
            <w:r>
              <w:rPr>
                <w:rFonts w:hint="eastAsia" w:ascii="宋体" w:hAnsi="宋体"/>
                <w:sz w:val="18"/>
                <w:szCs w:val="18"/>
              </w:rPr>
              <w:t>数据分析</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分）</w:t>
            </w:r>
          </w:p>
        </w:tc>
        <w:tc>
          <w:tcPr>
            <w:tcW w:w="6379" w:type="dxa"/>
            <w:gridSpan w:val="2"/>
            <w:vAlign w:val="center"/>
          </w:tcPr>
          <w:p>
            <w:pPr>
              <w:spacing w:line="240" w:lineRule="auto"/>
              <w:rPr>
                <w:rFonts w:ascii="宋体" w:hAnsi="宋体"/>
                <w:sz w:val="18"/>
                <w:szCs w:val="18"/>
              </w:rPr>
            </w:pPr>
            <w:r>
              <w:rPr>
                <w:rFonts w:hint="eastAsia" w:ascii="宋体" w:hAnsi="宋体"/>
                <w:sz w:val="18"/>
                <w:szCs w:val="18"/>
              </w:rPr>
              <w:t>对智能建造关键技术相关</w:t>
            </w:r>
            <w:r>
              <w:rPr>
                <w:rFonts w:ascii="宋体" w:hAnsi="宋体"/>
                <w:sz w:val="18"/>
                <w:szCs w:val="18"/>
              </w:rPr>
              <w:t>经济</w:t>
            </w:r>
            <w:r>
              <w:rPr>
                <w:rFonts w:hint="eastAsia" w:ascii="宋体" w:hAnsi="宋体"/>
                <w:sz w:val="18"/>
                <w:szCs w:val="18"/>
              </w:rPr>
              <w:t>数据进行分析并且形成分析报告，</w:t>
            </w:r>
            <w:r>
              <w:rPr>
                <w:rFonts w:ascii="宋体" w:hAnsi="宋体"/>
                <w:sz w:val="18"/>
                <w:szCs w:val="18"/>
              </w:rPr>
              <w:t>充分发挥数据分析促进管理、</w:t>
            </w:r>
            <w:r>
              <w:rPr>
                <w:rFonts w:hint="eastAsia" w:ascii="宋体" w:hAnsi="宋体"/>
                <w:sz w:val="18"/>
                <w:szCs w:val="18"/>
              </w:rPr>
              <w:t>辅助</w:t>
            </w:r>
            <w:r>
              <w:rPr>
                <w:rFonts w:ascii="宋体" w:hAnsi="宋体"/>
                <w:sz w:val="18"/>
                <w:szCs w:val="18"/>
              </w:rPr>
              <w:t>决策的重要作用</w:t>
            </w:r>
            <w:r>
              <w:rPr>
                <w:rFonts w:hint="eastAsia" w:ascii="宋体" w:hAnsi="宋体"/>
                <w:sz w:val="18"/>
                <w:szCs w:val="18"/>
              </w:rPr>
              <w:t>，得</w:t>
            </w:r>
            <w:r>
              <w:rPr>
                <w:rFonts w:ascii="宋体" w:hAnsi="宋体"/>
                <w:sz w:val="18"/>
                <w:szCs w:val="18"/>
              </w:rPr>
              <w:t>2</w:t>
            </w:r>
            <w:r>
              <w:rPr>
                <w:rFonts w:hint="eastAsia" w:ascii="宋体" w:hAnsi="宋体"/>
                <w:sz w:val="18"/>
                <w:szCs w:val="18"/>
              </w:rPr>
              <w:t>分。</w:t>
            </w:r>
          </w:p>
        </w:tc>
        <w:tc>
          <w:tcPr>
            <w:tcW w:w="985" w:type="dxa"/>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88" w:type="dxa"/>
            <w:vMerge w:val="restart"/>
            <w:vAlign w:val="center"/>
          </w:tcPr>
          <w:p>
            <w:pPr>
              <w:spacing w:line="240" w:lineRule="auto"/>
              <w:jc w:val="center"/>
              <w:rPr>
                <w:rFonts w:ascii="宋体" w:hAnsi="宋体"/>
                <w:sz w:val="18"/>
                <w:szCs w:val="18"/>
              </w:rPr>
            </w:pPr>
            <w:r>
              <w:rPr>
                <w:rFonts w:hint="eastAsia" w:ascii="宋体" w:hAnsi="宋体"/>
                <w:sz w:val="18"/>
                <w:szCs w:val="18"/>
              </w:rPr>
              <w:t>数字化交付</w:t>
            </w:r>
          </w:p>
        </w:tc>
        <w:tc>
          <w:tcPr>
            <w:tcW w:w="992" w:type="dxa"/>
            <w:vMerge w:val="restart"/>
            <w:vAlign w:val="center"/>
          </w:tcPr>
          <w:p>
            <w:pPr>
              <w:spacing w:line="240" w:lineRule="auto"/>
              <w:jc w:val="center"/>
              <w:rPr>
                <w:rFonts w:ascii="宋体" w:hAnsi="宋体"/>
                <w:sz w:val="18"/>
                <w:szCs w:val="18"/>
              </w:rPr>
            </w:pPr>
            <w:r>
              <w:rPr>
                <w:rFonts w:hint="eastAsia" w:ascii="宋体" w:hAnsi="宋体"/>
                <w:sz w:val="18"/>
                <w:szCs w:val="18"/>
              </w:rPr>
              <w:t>交付内容及B</w:t>
            </w:r>
            <w:r>
              <w:rPr>
                <w:rFonts w:ascii="宋体" w:hAnsi="宋体"/>
                <w:sz w:val="18"/>
                <w:szCs w:val="18"/>
              </w:rPr>
              <w:t>IM</w:t>
            </w:r>
            <w:r>
              <w:rPr>
                <w:rFonts w:hint="eastAsia" w:ascii="宋体" w:hAnsi="宋体"/>
                <w:sz w:val="18"/>
                <w:szCs w:val="18"/>
              </w:rPr>
              <w:t>模型要求</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分）</w:t>
            </w:r>
          </w:p>
        </w:tc>
        <w:tc>
          <w:tcPr>
            <w:tcW w:w="6379" w:type="dxa"/>
            <w:gridSpan w:val="2"/>
            <w:vAlign w:val="center"/>
          </w:tcPr>
          <w:p>
            <w:pPr>
              <w:spacing w:line="240" w:lineRule="auto"/>
              <w:rPr>
                <w:rFonts w:ascii="宋体" w:hAnsi="宋体"/>
                <w:sz w:val="18"/>
                <w:szCs w:val="18"/>
              </w:rPr>
            </w:pPr>
            <w:r>
              <w:rPr>
                <w:rFonts w:hint="eastAsia" w:ascii="宋体" w:hAnsi="宋体"/>
                <w:sz w:val="18"/>
                <w:szCs w:val="18"/>
              </w:rPr>
              <w:t>工程资料与建设进度同步形成，按规定采用电子签章等技术编制电子表单文件，原生电子文件占比占比7</w:t>
            </w:r>
            <w:r>
              <w:rPr>
                <w:rFonts w:ascii="宋体" w:hAnsi="宋体"/>
                <w:sz w:val="18"/>
                <w:szCs w:val="18"/>
              </w:rPr>
              <w:t>0%</w:t>
            </w:r>
            <w:r>
              <w:rPr>
                <w:rFonts w:hint="eastAsia" w:ascii="宋体" w:hAnsi="宋体"/>
                <w:sz w:val="18"/>
                <w:szCs w:val="18"/>
              </w:rPr>
              <w:t>及以上，得0</w:t>
            </w:r>
            <w:r>
              <w:rPr>
                <w:rFonts w:ascii="宋体" w:hAnsi="宋体"/>
                <w:sz w:val="18"/>
                <w:szCs w:val="18"/>
              </w:rPr>
              <w:t>.5</w:t>
            </w:r>
            <w:r>
              <w:rPr>
                <w:rFonts w:hint="eastAsia" w:ascii="宋体" w:hAnsi="宋体"/>
                <w:sz w:val="18"/>
                <w:szCs w:val="18"/>
              </w:rPr>
              <w:t>分；9</w:t>
            </w:r>
            <w:r>
              <w:rPr>
                <w:rFonts w:ascii="宋体" w:hAnsi="宋体"/>
                <w:sz w:val="18"/>
                <w:szCs w:val="18"/>
              </w:rPr>
              <w:t>0%</w:t>
            </w:r>
            <w:r>
              <w:rPr>
                <w:rFonts w:hint="eastAsia" w:ascii="宋体" w:hAnsi="宋体"/>
                <w:sz w:val="18"/>
                <w:szCs w:val="18"/>
              </w:rPr>
              <w:t>及以上得1分。</w:t>
            </w:r>
          </w:p>
        </w:tc>
        <w:tc>
          <w:tcPr>
            <w:tcW w:w="985" w:type="dxa"/>
            <w:vAlign w:val="center"/>
          </w:tcPr>
          <w:p>
            <w:pPr>
              <w:spacing w:line="240" w:lineRule="auto"/>
              <w:rPr>
                <w:rFonts w:ascii="宋体" w:hAnsi="宋体"/>
                <w:sz w:val="18"/>
                <w:szCs w:val="18"/>
              </w:rPr>
            </w:pPr>
            <w:r>
              <w:rPr>
                <w:rFonts w:hint="eastAsia" w:ascii="宋体" w:hAnsi="宋体"/>
                <w:sz w:val="18"/>
                <w:szCs w:val="18"/>
              </w:rPr>
              <w:t>1</w:t>
            </w:r>
            <w:r>
              <w:rPr>
                <w:rFonts w:ascii="宋体" w:hAnsi="宋体"/>
                <w:sz w:val="18"/>
                <w:szCs w:val="18"/>
              </w:rPr>
              <w:t>.</w:t>
            </w:r>
            <w:r>
              <w:rPr>
                <w:rFonts w:hint="eastAsia" w:ascii="宋体" w:hAnsi="宋体"/>
                <w:sz w:val="18"/>
                <w:szCs w:val="18"/>
              </w:rPr>
              <w:t>电子表单文件。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6379" w:type="dxa"/>
            <w:gridSpan w:val="2"/>
            <w:vAlign w:val="center"/>
          </w:tcPr>
          <w:p>
            <w:pPr>
              <w:spacing w:line="240" w:lineRule="auto"/>
              <w:rPr>
                <w:rFonts w:ascii="宋体" w:hAnsi="宋体"/>
                <w:sz w:val="18"/>
                <w:szCs w:val="18"/>
              </w:rPr>
            </w:pPr>
            <w:r>
              <w:rPr>
                <w:rFonts w:hint="eastAsia" w:ascii="宋体" w:hAnsi="宋体"/>
                <w:sz w:val="18"/>
                <w:szCs w:val="18"/>
              </w:rPr>
              <w:t>基于B</w:t>
            </w:r>
            <w:r>
              <w:rPr>
                <w:rFonts w:ascii="宋体" w:hAnsi="宋体"/>
                <w:sz w:val="18"/>
                <w:szCs w:val="18"/>
              </w:rPr>
              <w:t>IM</w:t>
            </w:r>
            <w:r>
              <w:rPr>
                <w:rFonts w:hint="eastAsia" w:ascii="宋体" w:hAnsi="宋体"/>
                <w:sz w:val="18"/>
                <w:szCs w:val="18"/>
              </w:rPr>
              <w:t>的数字化交付，成果交付内容应满足建设单位提出的交付及运营基本要求或当地相关标准的要求，得</w:t>
            </w:r>
            <w:r>
              <w:rPr>
                <w:rFonts w:ascii="宋体" w:hAnsi="宋体"/>
                <w:sz w:val="18"/>
                <w:szCs w:val="18"/>
              </w:rPr>
              <w:t>1</w:t>
            </w:r>
            <w:r>
              <w:rPr>
                <w:rFonts w:hint="eastAsia" w:ascii="宋体" w:hAnsi="宋体"/>
                <w:sz w:val="18"/>
                <w:szCs w:val="18"/>
              </w:rPr>
              <w:t>分。</w:t>
            </w:r>
          </w:p>
        </w:tc>
        <w:tc>
          <w:tcPr>
            <w:tcW w:w="985" w:type="dxa"/>
            <w:vAlign w:val="center"/>
          </w:tcPr>
          <w:p>
            <w:pPr>
              <w:spacing w:line="240" w:lineRule="auto"/>
              <w:rPr>
                <w:rFonts w:ascii="宋体" w:hAnsi="宋体"/>
                <w:sz w:val="18"/>
                <w:szCs w:val="18"/>
              </w:rPr>
            </w:pPr>
            <w:r>
              <w:rPr>
                <w:rFonts w:hint="eastAsia" w:ascii="宋体" w:hAnsi="宋体"/>
                <w:sz w:val="18"/>
                <w:szCs w:val="18"/>
              </w:rPr>
              <w:t>1</w:t>
            </w:r>
            <w:r>
              <w:rPr>
                <w:rFonts w:ascii="宋体" w:hAnsi="宋体"/>
                <w:sz w:val="18"/>
                <w:szCs w:val="18"/>
              </w:rPr>
              <w:t>.</w:t>
            </w:r>
            <w:r>
              <w:rPr>
                <w:rFonts w:hint="eastAsia" w:ascii="宋体" w:hAnsi="宋体"/>
                <w:sz w:val="18"/>
                <w:szCs w:val="18"/>
              </w:rPr>
              <w:t>成果交付清单。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6379" w:type="dxa"/>
            <w:gridSpan w:val="2"/>
            <w:vAlign w:val="center"/>
          </w:tcPr>
          <w:p>
            <w:pPr>
              <w:spacing w:line="240" w:lineRule="auto"/>
              <w:rPr>
                <w:rFonts w:ascii="宋体" w:hAnsi="宋体"/>
                <w:sz w:val="18"/>
                <w:szCs w:val="18"/>
              </w:rPr>
            </w:pPr>
            <w:r>
              <w:rPr>
                <w:rFonts w:ascii="宋体" w:hAnsi="宋体"/>
                <w:sz w:val="18"/>
                <w:szCs w:val="18"/>
              </w:rPr>
              <w:t>竣工验收</w:t>
            </w:r>
            <w:r>
              <w:rPr>
                <w:rFonts w:hint="eastAsia" w:ascii="宋体" w:hAnsi="宋体"/>
                <w:sz w:val="18"/>
                <w:szCs w:val="18"/>
              </w:rPr>
              <w:t>B</w:t>
            </w:r>
            <w:r>
              <w:rPr>
                <w:rFonts w:ascii="宋体" w:hAnsi="宋体"/>
                <w:sz w:val="18"/>
                <w:szCs w:val="18"/>
              </w:rPr>
              <w:t>IM模型</w:t>
            </w:r>
            <w:r>
              <w:rPr>
                <w:rFonts w:hint="eastAsia" w:ascii="宋体" w:hAnsi="宋体"/>
                <w:sz w:val="18"/>
                <w:szCs w:val="18"/>
              </w:rPr>
              <w:t>应</w:t>
            </w:r>
            <w:r>
              <w:rPr>
                <w:rFonts w:ascii="宋体" w:hAnsi="宋体"/>
                <w:sz w:val="18"/>
                <w:szCs w:val="18"/>
              </w:rPr>
              <w:t>基于施工过程</w:t>
            </w:r>
            <w:r>
              <w:rPr>
                <w:rFonts w:hint="eastAsia" w:ascii="宋体" w:hAnsi="宋体"/>
                <w:sz w:val="18"/>
                <w:szCs w:val="18"/>
              </w:rPr>
              <w:t>B</w:t>
            </w:r>
            <w:r>
              <w:rPr>
                <w:rFonts w:ascii="宋体" w:hAnsi="宋体"/>
                <w:sz w:val="18"/>
                <w:szCs w:val="18"/>
              </w:rPr>
              <w:t>IM模型形成，包含工程变更，并附加或关联相关验收资料及信息，与工程项目交付实体一致，支持竣工验收</w:t>
            </w:r>
            <w:r>
              <w:rPr>
                <w:rFonts w:hint="eastAsia" w:ascii="宋体" w:hAnsi="宋体"/>
                <w:sz w:val="18"/>
                <w:szCs w:val="18"/>
              </w:rPr>
              <w:t>B</w:t>
            </w:r>
            <w:r>
              <w:rPr>
                <w:rFonts w:ascii="宋体" w:hAnsi="宋体"/>
                <w:sz w:val="18"/>
                <w:szCs w:val="18"/>
              </w:rPr>
              <w:t>IM应用</w:t>
            </w:r>
            <w:r>
              <w:rPr>
                <w:rFonts w:hint="eastAsia" w:ascii="宋体" w:hAnsi="宋体"/>
                <w:sz w:val="18"/>
                <w:szCs w:val="18"/>
              </w:rPr>
              <w:t>，得</w:t>
            </w:r>
            <w:r>
              <w:rPr>
                <w:rFonts w:ascii="宋体" w:hAnsi="宋体"/>
                <w:sz w:val="18"/>
                <w:szCs w:val="18"/>
              </w:rPr>
              <w:t>1</w:t>
            </w:r>
            <w:r>
              <w:rPr>
                <w:rFonts w:hint="eastAsia" w:ascii="宋体" w:hAnsi="宋体"/>
                <w:sz w:val="18"/>
                <w:szCs w:val="18"/>
              </w:rPr>
              <w:t>分。</w:t>
            </w:r>
          </w:p>
        </w:tc>
        <w:tc>
          <w:tcPr>
            <w:tcW w:w="985" w:type="dxa"/>
            <w:vMerge w:val="restart"/>
            <w:vAlign w:val="center"/>
          </w:tcPr>
          <w:p>
            <w:pPr>
              <w:snapToGrid w:val="0"/>
              <w:spacing w:line="240" w:lineRule="auto"/>
              <w:rPr>
                <w:rFonts w:ascii="宋体" w:hAnsi="宋体"/>
                <w:sz w:val="18"/>
                <w:szCs w:val="18"/>
              </w:rPr>
            </w:pPr>
            <w:r>
              <w:rPr>
                <w:rFonts w:hint="eastAsia" w:ascii="宋体" w:hAnsi="宋体"/>
                <w:sz w:val="18"/>
                <w:szCs w:val="18"/>
              </w:rPr>
              <w:t>1</w:t>
            </w:r>
            <w:r>
              <w:rPr>
                <w:rFonts w:ascii="宋体" w:hAnsi="宋体"/>
                <w:sz w:val="18"/>
                <w:szCs w:val="18"/>
              </w:rPr>
              <w:t>.</w:t>
            </w:r>
            <w:r>
              <w:rPr>
                <w:rFonts w:hint="eastAsia" w:ascii="宋体" w:hAnsi="宋体"/>
                <w:sz w:val="18"/>
                <w:szCs w:val="18"/>
              </w:rPr>
              <w:t>竣工验收B</w:t>
            </w:r>
            <w:r>
              <w:rPr>
                <w:rFonts w:ascii="宋体" w:hAnsi="宋体"/>
                <w:sz w:val="18"/>
                <w:szCs w:val="18"/>
              </w:rPr>
              <w:t>IM</w:t>
            </w:r>
            <w:r>
              <w:rPr>
                <w:rFonts w:hint="eastAsia" w:ascii="宋体" w:hAnsi="宋体"/>
                <w:sz w:val="18"/>
                <w:szCs w:val="18"/>
              </w:rPr>
              <w:t>模型；</w:t>
            </w:r>
          </w:p>
          <w:p>
            <w:pPr>
              <w:snapToGrid w:val="0"/>
              <w:spacing w:line="240" w:lineRule="auto"/>
              <w:rPr>
                <w:rFonts w:ascii="宋体" w:hAnsi="宋体"/>
                <w:sz w:val="18"/>
                <w:szCs w:val="18"/>
              </w:rPr>
            </w:pPr>
            <w:r>
              <w:rPr>
                <w:rFonts w:hint="eastAsia" w:ascii="宋体" w:hAnsi="宋体"/>
                <w:sz w:val="18"/>
                <w:szCs w:val="18"/>
              </w:rPr>
              <w:t>2</w:t>
            </w:r>
            <w:r>
              <w:rPr>
                <w:rFonts w:ascii="宋体" w:hAnsi="宋体"/>
                <w:sz w:val="18"/>
                <w:szCs w:val="18"/>
              </w:rPr>
              <w:t>.</w:t>
            </w:r>
            <w:r>
              <w:rPr>
                <w:rFonts w:hint="eastAsia" w:ascii="宋体" w:hAnsi="宋体"/>
                <w:sz w:val="18"/>
                <w:szCs w:val="18"/>
              </w:rPr>
              <w:t>模型交付清单和模型自评表。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88" w:type="dxa"/>
            <w:vMerge w:val="continue"/>
            <w:vAlign w:val="center"/>
          </w:tcPr>
          <w:p>
            <w:pPr>
              <w:spacing w:line="240" w:lineRule="auto"/>
              <w:jc w:val="center"/>
              <w:rPr>
                <w:rFonts w:ascii="宋体" w:hAnsi="宋体"/>
                <w:sz w:val="18"/>
                <w:szCs w:val="18"/>
              </w:rPr>
            </w:pPr>
          </w:p>
        </w:tc>
        <w:tc>
          <w:tcPr>
            <w:tcW w:w="992" w:type="dxa"/>
            <w:vMerge w:val="continue"/>
            <w:vAlign w:val="center"/>
          </w:tcPr>
          <w:p>
            <w:pPr>
              <w:spacing w:line="240" w:lineRule="auto"/>
              <w:jc w:val="center"/>
              <w:rPr>
                <w:rFonts w:ascii="宋体" w:hAnsi="宋体"/>
                <w:sz w:val="18"/>
                <w:szCs w:val="18"/>
              </w:rPr>
            </w:pPr>
          </w:p>
        </w:tc>
        <w:tc>
          <w:tcPr>
            <w:tcW w:w="6379" w:type="dxa"/>
            <w:gridSpan w:val="2"/>
            <w:vAlign w:val="center"/>
          </w:tcPr>
          <w:p>
            <w:pPr>
              <w:spacing w:line="240" w:lineRule="auto"/>
              <w:rPr>
                <w:rFonts w:ascii="宋体" w:hAnsi="宋体"/>
                <w:sz w:val="18"/>
                <w:szCs w:val="18"/>
              </w:rPr>
            </w:pPr>
            <w:r>
              <w:rPr>
                <w:rFonts w:hint="eastAsia" w:ascii="宋体" w:hAnsi="宋体"/>
                <w:sz w:val="18"/>
                <w:szCs w:val="18"/>
              </w:rPr>
              <w:t>竣工验收B</w:t>
            </w:r>
            <w:r>
              <w:rPr>
                <w:rFonts w:ascii="宋体" w:hAnsi="宋体"/>
                <w:sz w:val="18"/>
                <w:szCs w:val="18"/>
              </w:rPr>
              <w:t>IM</w:t>
            </w:r>
            <w:r>
              <w:rPr>
                <w:rFonts w:hint="eastAsia" w:ascii="宋体" w:hAnsi="宋体"/>
                <w:sz w:val="18"/>
                <w:szCs w:val="18"/>
              </w:rPr>
              <w:t>模型的模型细度应满足《</w:t>
            </w:r>
            <w:r>
              <w:rPr>
                <w:rFonts w:ascii="宋体" w:hAnsi="宋体"/>
                <w:sz w:val="18"/>
                <w:szCs w:val="18"/>
              </w:rPr>
              <w:t>建筑信息模型施工应用标准</w:t>
            </w:r>
            <w:r>
              <w:rPr>
                <w:rFonts w:hint="eastAsia" w:ascii="宋体" w:hAnsi="宋体"/>
                <w:sz w:val="18"/>
                <w:szCs w:val="18"/>
              </w:rPr>
              <w:t>》</w:t>
            </w:r>
            <w:r>
              <w:rPr>
                <w:rFonts w:ascii="宋体" w:hAnsi="宋体"/>
                <w:sz w:val="18"/>
                <w:szCs w:val="18"/>
              </w:rPr>
              <w:t>GB/T 51235</w:t>
            </w:r>
            <w:r>
              <w:rPr>
                <w:rFonts w:hint="eastAsia" w:ascii="宋体" w:hAnsi="宋体"/>
                <w:sz w:val="18"/>
                <w:szCs w:val="18"/>
              </w:rPr>
              <w:t>中L</w:t>
            </w:r>
            <w:r>
              <w:rPr>
                <w:rFonts w:ascii="宋体" w:hAnsi="宋体"/>
                <w:sz w:val="18"/>
                <w:szCs w:val="18"/>
              </w:rPr>
              <w:t>OD500</w:t>
            </w:r>
            <w:r>
              <w:rPr>
                <w:rFonts w:hint="eastAsia" w:ascii="宋体" w:hAnsi="宋体"/>
                <w:sz w:val="18"/>
                <w:szCs w:val="18"/>
              </w:rPr>
              <w:t>等级要求，得1分。</w:t>
            </w:r>
          </w:p>
        </w:tc>
        <w:tc>
          <w:tcPr>
            <w:tcW w:w="985" w:type="dxa"/>
            <w:vMerge w:val="continue"/>
            <w:vAlign w:val="center"/>
          </w:tcPr>
          <w:p>
            <w:pPr>
              <w:spacing w:line="240" w:lineRule="auto"/>
              <w:jc w:val="center"/>
              <w:rPr>
                <w:rFonts w:ascii="宋体" w:hAnsi="宋体"/>
                <w:sz w:val="18"/>
                <w:szCs w:val="18"/>
              </w:rPr>
            </w:pPr>
          </w:p>
        </w:tc>
      </w:tr>
    </w:tbl>
    <w:p>
      <w:pPr>
        <w:pStyle w:val="66"/>
        <w:ind w:firstLine="0" w:firstLineChars="0"/>
        <w:jc w:val="center"/>
      </w:pPr>
    </w:p>
    <w:p>
      <w:pPr>
        <w:pStyle w:val="175"/>
      </w:pPr>
      <w:r>
        <w:rPr>
          <w:rFonts w:hint="eastAsia" w:hAnsi="宋体"/>
          <w:szCs w:val="21"/>
        </w:rPr>
        <w:t>智慧运维部分共分为运维平台和运维管理2类评价指标，评分规则应符合表</w:t>
      </w:r>
      <w:r>
        <w:rPr>
          <w:rFonts w:hAnsi="宋体"/>
          <w:szCs w:val="21"/>
        </w:rPr>
        <w:t>6</w:t>
      </w:r>
      <w:r>
        <w:rPr>
          <w:rFonts w:hint="eastAsia" w:hAnsi="宋体"/>
          <w:szCs w:val="21"/>
        </w:rPr>
        <w:t>的规定，本项评价的最高分值为</w:t>
      </w:r>
      <w:r>
        <w:rPr>
          <w:rFonts w:hAnsi="宋体"/>
          <w:szCs w:val="21"/>
        </w:rPr>
        <w:t>10</w:t>
      </w:r>
      <w:r>
        <w:rPr>
          <w:rFonts w:hint="eastAsia" w:hAnsi="宋体"/>
          <w:szCs w:val="21"/>
        </w:rPr>
        <w:t>分</w:t>
      </w:r>
      <w:r>
        <w:rPr>
          <w:rFonts w:hint="eastAsia"/>
        </w:rPr>
        <w:t>。</w:t>
      </w:r>
    </w:p>
    <w:p>
      <w:pPr>
        <w:pStyle w:val="122"/>
        <w:spacing w:before="156" w:after="156"/>
        <w:ind w:left="0"/>
      </w:pPr>
      <w:r>
        <w:rPr>
          <w:rFonts w:hint="eastAsia"/>
        </w:rPr>
        <w:t>智慧运维评分规则</w:t>
      </w:r>
    </w:p>
    <w:tbl>
      <w:tblPr>
        <w:tblStyle w:val="34"/>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959"/>
        <w:gridCol w:w="1351"/>
        <w:gridCol w:w="6249"/>
        <w:gridCol w:w="10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12" w:hRule="atLeast"/>
          <w:jc w:val="center"/>
        </w:trPr>
        <w:tc>
          <w:tcPr>
            <w:tcW w:w="501" w:type="pc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kern w:val="0"/>
                <w:sz w:val="18"/>
                <w:szCs w:val="18"/>
                <w:lang w:bidi="ar"/>
              </w:rPr>
              <w:t>评价指标</w:t>
            </w:r>
          </w:p>
        </w:tc>
        <w:tc>
          <w:tcPr>
            <w:tcW w:w="706" w:type="pc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评价模块</w:t>
            </w:r>
          </w:p>
        </w:tc>
        <w:tc>
          <w:tcPr>
            <w:tcW w:w="3265" w:type="pc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kern w:val="0"/>
                <w:sz w:val="18"/>
                <w:szCs w:val="18"/>
                <w:lang w:bidi="ar"/>
              </w:rPr>
              <w:t>评分标准</w:t>
            </w:r>
          </w:p>
        </w:tc>
        <w:tc>
          <w:tcPr>
            <w:tcW w:w="528" w:type="pc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kern w:val="0"/>
                <w:sz w:val="18"/>
                <w:szCs w:val="18"/>
                <w:lang w:bidi="ar"/>
              </w:rPr>
              <w:t>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1" w:hRule="atLeast"/>
          <w:jc w:val="center"/>
        </w:trPr>
        <w:tc>
          <w:tcPr>
            <w:tcW w:w="501" w:type="pct"/>
            <w:vMerge w:val="restar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kern w:val="0"/>
                <w:sz w:val="18"/>
                <w:szCs w:val="18"/>
                <w:lang w:bidi="ar"/>
              </w:rPr>
              <w:t>运维平台</w:t>
            </w:r>
          </w:p>
        </w:tc>
        <w:tc>
          <w:tcPr>
            <w:tcW w:w="706" w:type="pct"/>
            <w:vMerge w:val="restart"/>
            <w:shd w:val="clear" w:color="auto" w:fill="auto"/>
            <w:vAlign w:val="center"/>
          </w:tcPr>
          <w:p>
            <w:pPr>
              <w:widowControl/>
              <w:spacing w:line="240" w:lineRule="auto"/>
              <w:jc w:val="center"/>
              <w:textAlignment w:val="center"/>
              <w:rPr>
                <w:rFonts w:ascii="宋体" w:hAnsi="宋体"/>
                <w:sz w:val="18"/>
                <w:szCs w:val="18"/>
              </w:rPr>
            </w:pPr>
            <w:r>
              <w:rPr>
                <w:rFonts w:hint="eastAsia" w:ascii="宋体" w:hAnsi="宋体"/>
                <w:sz w:val="18"/>
                <w:szCs w:val="18"/>
              </w:rPr>
              <w:t>数据资源</w:t>
            </w:r>
          </w:p>
          <w:p>
            <w:pPr>
              <w:widowControl/>
              <w:spacing w:line="240" w:lineRule="auto"/>
              <w:jc w:val="center"/>
              <w:textAlignment w:val="center"/>
              <w:rPr>
                <w:rFonts w:ascii="宋体" w:hAnsi="宋体" w:cs="宋体"/>
                <w:kern w:val="0"/>
                <w:sz w:val="18"/>
                <w:szCs w:val="18"/>
                <w:lang w:bidi="ar"/>
              </w:rPr>
            </w:pPr>
            <w:r>
              <w:rPr>
                <w:rFonts w:hint="eastAsia" w:ascii="宋体" w:hAnsi="宋体"/>
                <w:sz w:val="18"/>
                <w:szCs w:val="18"/>
              </w:rPr>
              <w:t>（</w:t>
            </w:r>
            <w:r>
              <w:rPr>
                <w:rFonts w:ascii="宋体" w:hAnsi="宋体"/>
                <w:sz w:val="18"/>
                <w:szCs w:val="18"/>
              </w:rPr>
              <w:t>2</w:t>
            </w:r>
            <w:r>
              <w:rPr>
                <w:rFonts w:hint="eastAsia" w:ascii="宋体" w:hAnsi="宋体"/>
                <w:sz w:val="18"/>
                <w:szCs w:val="18"/>
              </w:rPr>
              <w:t>分）</w:t>
            </w:r>
          </w:p>
        </w:tc>
        <w:tc>
          <w:tcPr>
            <w:tcW w:w="3265" w:type="pct"/>
            <w:shd w:val="clear" w:color="auto" w:fill="auto"/>
            <w:vAlign w:val="center"/>
          </w:tcPr>
          <w:p>
            <w:pPr>
              <w:widowControl/>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通过在前一阶段真实有效的</w:t>
            </w:r>
            <w:r>
              <w:rPr>
                <w:rFonts w:ascii="宋体" w:hAnsi="宋体" w:cs="宋体"/>
                <w:kern w:val="0"/>
                <w:sz w:val="18"/>
                <w:szCs w:val="18"/>
                <w:lang w:bidi="ar"/>
              </w:rPr>
              <w:t>BIM模型上</w:t>
            </w:r>
            <w:r>
              <w:rPr>
                <w:rFonts w:hint="eastAsia" w:ascii="宋体" w:hAnsi="宋体" w:cs="宋体"/>
                <w:kern w:val="0"/>
                <w:sz w:val="18"/>
                <w:szCs w:val="18"/>
                <w:lang w:bidi="ar"/>
              </w:rPr>
              <w:t>进行整理得到有效的B</w:t>
            </w:r>
            <w:r>
              <w:rPr>
                <w:rFonts w:ascii="宋体" w:hAnsi="宋体" w:cs="宋体"/>
                <w:kern w:val="0"/>
                <w:sz w:val="18"/>
                <w:szCs w:val="18"/>
                <w:lang w:bidi="ar"/>
              </w:rPr>
              <w:t>IM</w:t>
            </w:r>
            <w:r>
              <w:rPr>
                <w:rFonts w:hint="eastAsia" w:ascii="宋体" w:hAnsi="宋体" w:cs="宋体"/>
                <w:kern w:val="0"/>
                <w:sz w:val="18"/>
                <w:szCs w:val="18"/>
                <w:lang w:bidi="ar"/>
              </w:rPr>
              <w:t>运维模型，模型准确完整，得</w:t>
            </w:r>
            <w:r>
              <w:rPr>
                <w:rFonts w:ascii="宋体" w:hAnsi="宋体" w:cs="宋体"/>
                <w:kern w:val="0"/>
                <w:sz w:val="18"/>
                <w:szCs w:val="18"/>
                <w:lang w:bidi="ar"/>
              </w:rPr>
              <w:t>1</w:t>
            </w:r>
            <w:r>
              <w:rPr>
                <w:rFonts w:hint="eastAsia" w:ascii="宋体" w:hAnsi="宋体" w:cs="宋体"/>
                <w:kern w:val="0"/>
                <w:sz w:val="18"/>
                <w:szCs w:val="18"/>
                <w:lang w:bidi="ar"/>
              </w:rPr>
              <w:t>分。</w:t>
            </w:r>
          </w:p>
        </w:tc>
        <w:tc>
          <w:tcPr>
            <w:tcW w:w="528" w:type="pct"/>
            <w:vMerge w:val="restart"/>
            <w:shd w:val="clear" w:color="auto" w:fill="auto"/>
            <w:vAlign w:val="center"/>
          </w:tcPr>
          <w:p>
            <w:pPr>
              <w:widowControl/>
              <w:spacing w:line="240" w:lineRule="auto"/>
              <w:textAlignment w:val="center"/>
              <w:rPr>
                <w:rFonts w:ascii="宋体" w:hAnsi="宋体" w:cs="宋体"/>
                <w:kern w:val="0"/>
                <w:sz w:val="18"/>
                <w:szCs w:val="18"/>
                <w:lang w:bidi="ar"/>
              </w:rPr>
            </w:pPr>
            <w:r>
              <w:rPr>
                <w:rFonts w:ascii="宋体" w:hAnsi="宋体" w:cs="宋体"/>
                <w:kern w:val="0"/>
                <w:sz w:val="18"/>
                <w:szCs w:val="18"/>
                <w:lang w:bidi="ar"/>
              </w:rPr>
              <w:t>1.</w:t>
            </w:r>
            <w:r>
              <w:rPr>
                <w:rFonts w:hint="eastAsia" w:ascii="宋体" w:hAnsi="宋体" w:cs="宋体"/>
                <w:kern w:val="0"/>
                <w:sz w:val="18"/>
                <w:szCs w:val="18"/>
                <w:lang w:bidi="ar"/>
              </w:rPr>
              <w:t>B</w:t>
            </w:r>
            <w:r>
              <w:rPr>
                <w:rFonts w:ascii="宋体" w:hAnsi="宋体" w:cs="宋体"/>
                <w:kern w:val="0"/>
                <w:sz w:val="18"/>
                <w:szCs w:val="18"/>
                <w:lang w:bidi="ar"/>
              </w:rPr>
              <w:t>IM</w:t>
            </w:r>
            <w:r>
              <w:rPr>
                <w:rFonts w:hint="eastAsia" w:ascii="宋体" w:hAnsi="宋体" w:cs="宋体"/>
                <w:kern w:val="0"/>
                <w:sz w:val="18"/>
                <w:szCs w:val="18"/>
                <w:lang w:bidi="ar"/>
              </w:rPr>
              <w:t>运维模型。</w:t>
            </w:r>
          </w:p>
          <w:p>
            <w:pPr>
              <w:spacing w:line="240" w:lineRule="auto"/>
              <w:textAlignment w:val="center"/>
              <w:rPr>
                <w:rFonts w:ascii="宋体" w:hAnsi="宋体" w:cs="宋体"/>
                <w:kern w:val="0"/>
                <w:sz w:val="18"/>
                <w:szCs w:val="18"/>
                <w:lang w:bidi="ar"/>
              </w:rPr>
            </w:pPr>
            <w:r>
              <w:rPr>
                <w:rFonts w:ascii="宋体" w:hAnsi="宋体" w:cs="宋体"/>
                <w:kern w:val="0"/>
                <w:sz w:val="18"/>
                <w:szCs w:val="18"/>
                <w:lang w:bidi="ar"/>
              </w:rPr>
              <w:t>2.</w:t>
            </w:r>
            <w:r>
              <w:rPr>
                <w:rFonts w:hint="eastAsia" w:ascii="宋体" w:hAnsi="宋体" w:cs="宋体"/>
                <w:kern w:val="0"/>
                <w:sz w:val="18"/>
                <w:szCs w:val="18"/>
                <w:lang w:bidi="ar"/>
              </w:rPr>
              <w:t>数据中心库。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05" w:hRule="atLeast"/>
          <w:jc w:val="center"/>
        </w:trPr>
        <w:tc>
          <w:tcPr>
            <w:tcW w:w="501" w:type="pct"/>
            <w:vMerge w:val="continue"/>
            <w:shd w:val="clear" w:color="auto" w:fill="auto"/>
            <w:vAlign w:val="center"/>
          </w:tcPr>
          <w:p>
            <w:pPr>
              <w:widowControl/>
              <w:spacing w:line="240" w:lineRule="auto"/>
              <w:jc w:val="center"/>
              <w:textAlignment w:val="center"/>
              <w:rPr>
                <w:rFonts w:ascii="宋体" w:hAnsi="宋体" w:cs="宋体"/>
                <w:kern w:val="0"/>
                <w:sz w:val="18"/>
                <w:szCs w:val="18"/>
                <w:lang w:bidi="ar"/>
              </w:rPr>
            </w:pPr>
          </w:p>
        </w:tc>
        <w:tc>
          <w:tcPr>
            <w:tcW w:w="706" w:type="pct"/>
            <w:vMerge w:val="continue"/>
            <w:shd w:val="clear" w:color="auto" w:fill="auto"/>
            <w:vAlign w:val="center"/>
          </w:tcPr>
          <w:p>
            <w:pPr>
              <w:widowControl/>
              <w:spacing w:line="240" w:lineRule="auto"/>
              <w:jc w:val="center"/>
              <w:textAlignment w:val="center"/>
              <w:rPr>
                <w:rFonts w:ascii="宋体" w:hAnsi="宋体" w:cs="宋体"/>
                <w:kern w:val="0"/>
                <w:sz w:val="18"/>
                <w:szCs w:val="18"/>
                <w:lang w:bidi="ar"/>
              </w:rPr>
            </w:pPr>
          </w:p>
        </w:tc>
        <w:tc>
          <w:tcPr>
            <w:tcW w:w="3265" w:type="pct"/>
            <w:shd w:val="clear" w:color="auto" w:fill="auto"/>
            <w:vAlign w:val="center"/>
          </w:tcPr>
          <w:p>
            <w:pPr>
              <w:widowControl/>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基于</w:t>
            </w:r>
            <w:r>
              <w:rPr>
                <w:rFonts w:ascii="宋体" w:hAnsi="宋体" w:cs="宋体"/>
                <w:kern w:val="0"/>
                <w:sz w:val="18"/>
                <w:szCs w:val="18"/>
                <w:lang w:bidi="ar"/>
              </w:rPr>
              <w:t>BIM</w:t>
            </w:r>
            <w:r>
              <w:rPr>
                <w:rFonts w:hint="eastAsia" w:ascii="宋体" w:hAnsi="宋体" w:cs="宋体"/>
                <w:kern w:val="0"/>
                <w:sz w:val="18"/>
                <w:szCs w:val="18"/>
                <w:lang w:bidi="ar"/>
              </w:rPr>
              <w:t>运维</w:t>
            </w:r>
            <w:r>
              <w:rPr>
                <w:rFonts w:ascii="宋体" w:hAnsi="宋体" w:cs="宋体"/>
                <w:kern w:val="0"/>
                <w:sz w:val="18"/>
                <w:szCs w:val="18"/>
                <w:lang w:bidi="ar"/>
              </w:rPr>
              <w:t>模型，结合物联网等技术，融合多源异构数据</w:t>
            </w:r>
            <w:r>
              <w:rPr>
                <w:rFonts w:hint="eastAsia" w:ascii="宋体" w:hAnsi="宋体" w:cs="宋体"/>
                <w:kern w:val="0"/>
                <w:sz w:val="18"/>
                <w:szCs w:val="18"/>
                <w:lang w:bidi="ar"/>
              </w:rPr>
              <w:t>，</w:t>
            </w:r>
            <w:r>
              <w:rPr>
                <w:rFonts w:ascii="宋体" w:hAnsi="宋体" w:cs="宋体"/>
                <w:kern w:val="0"/>
                <w:sz w:val="18"/>
                <w:szCs w:val="18"/>
                <w:lang w:bidi="ar"/>
              </w:rPr>
              <w:t>构建运维</w:t>
            </w:r>
            <w:r>
              <w:rPr>
                <w:rFonts w:hint="eastAsia" w:ascii="宋体" w:hAnsi="宋体" w:cs="宋体"/>
                <w:kern w:val="0"/>
                <w:sz w:val="18"/>
                <w:szCs w:val="18"/>
                <w:lang w:bidi="ar"/>
              </w:rPr>
              <w:t>平台</w:t>
            </w:r>
            <w:r>
              <w:rPr>
                <w:rFonts w:ascii="宋体" w:hAnsi="宋体" w:cs="宋体"/>
                <w:kern w:val="0"/>
                <w:sz w:val="18"/>
                <w:szCs w:val="18"/>
                <w:lang w:bidi="ar"/>
              </w:rPr>
              <w:t>数据</w:t>
            </w:r>
            <w:r>
              <w:rPr>
                <w:rFonts w:hint="eastAsia" w:ascii="宋体" w:hAnsi="宋体" w:cs="宋体"/>
                <w:kern w:val="0"/>
                <w:sz w:val="18"/>
                <w:szCs w:val="18"/>
                <w:lang w:bidi="ar"/>
              </w:rPr>
              <w:t>库</w:t>
            </w:r>
            <w:r>
              <w:rPr>
                <w:rFonts w:ascii="宋体" w:hAnsi="宋体" w:cs="宋体"/>
                <w:kern w:val="0"/>
                <w:sz w:val="18"/>
                <w:szCs w:val="18"/>
                <w:lang w:bidi="ar"/>
              </w:rPr>
              <w:t>，得1分。</w:t>
            </w:r>
          </w:p>
        </w:tc>
        <w:tc>
          <w:tcPr>
            <w:tcW w:w="528" w:type="pct"/>
            <w:vMerge w:val="continue"/>
            <w:shd w:val="clear" w:color="auto" w:fill="auto"/>
            <w:vAlign w:val="center"/>
          </w:tcPr>
          <w:p>
            <w:pPr>
              <w:widowControl/>
              <w:snapToGrid w:val="0"/>
              <w:spacing w:line="240" w:lineRule="auto"/>
              <w:textAlignment w:val="center"/>
              <w:rPr>
                <w:rFonts w:ascii="宋体" w:hAnsi="宋体" w:cs="宋体"/>
                <w:kern w:val="0"/>
                <w:sz w:val="18"/>
                <w:szCs w:val="18"/>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2" w:hRule="atLeast"/>
          <w:jc w:val="center"/>
        </w:trPr>
        <w:tc>
          <w:tcPr>
            <w:tcW w:w="501" w:type="pct"/>
            <w:vMerge w:val="continue"/>
            <w:shd w:val="clear" w:color="auto" w:fill="auto"/>
            <w:vAlign w:val="center"/>
          </w:tcPr>
          <w:p>
            <w:pPr>
              <w:widowControl/>
              <w:spacing w:line="240" w:lineRule="auto"/>
              <w:jc w:val="center"/>
              <w:textAlignment w:val="center"/>
              <w:rPr>
                <w:rFonts w:ascii="宋体" w:hAnsi="宋体" w:cs="宋体"/>
                <w:kern w:val="0"/>
                <w:sz w:val="18"/>
                <w:szCs w:val="18"/>
                <w:lang w:bidi="ar"/>
              </w:rPr>
            </w:pPr>
          </w:p>
        </w:tc>
        <w:tc>
          <w:tcPr>
            <w:tcW w:w="706" w:type="pc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运维知识图谱</w:t>
            </w:r>
          </w:p>
          <w:p>
            <w:pPr>
              <w:widowControl/>
              <w:spacing w:line="240" w:lineRule="auto"/>
              <w:jc w:val="center"/>
              <w:textAlignment w:val="center"/>
              <w:rPr>
                <w:rFonts w:ascii="宋体" w:hAnsi="宋体" w:cs="宋体"/>
                <w:sz w:val="18"/>
                <w:szCs w:val="18"/>
              </w:rPr>
            </w:pPr>
            <w:r>
              <w:rPr>
                <w:rFonts w:hint="eastAsia" w:ascii="宋体" w:hAnsi="宋体"/>
                <w:sz w:val="18"/>
                <w:szCs w:val="18"/>
              </w:rPr>
              <w:t>（</w:t>
            </w:r>
            <w:r>
              <w:rPr>
                <w:rFonts w:ascii="宋体" w:hAnsi="宋体"/>
                <w:sz w:val="18"/>
                <w:szCs w:val="18"/>
              </w:rPr>
              <w:t>0.5</w:t>
            </w:r>
            <w:r>
              <w:rPr>
                <w:rFonts w:hint="eastAsia" w:ascii="宋体" w:hAnsi="宋体"/>
                <w:sz w:val="18"/>
                <w:szCs w:val="18"/>
              </w:rPr>
              <w:t>分）</w:t>
            </w:r>
          </w:p>
        </w:tc>
        <w:tc>
          <w:tcPr>
            <w:tcW w:w="3265" w:type="pct"/>
            <w:shd w:val="clear" w:color="auto" w:fill="auto"/>
            <w:vAlign w:val="center"/>
          </w:tcPr>
          <w:p>
            <w:pPr>
              <w:widowControl/>
              <w:spacing w:line="240" w:lineRule="auto"/>
              <w:textAlignment w:val="center"/>
              <w:rPr>
                <w:rFonts w:ascii="宋体" w:hAnsi="宋体" w:cs="宋体"/>
                <w:sz w:val="18"/>
                <w:szCs w:val="18"/>
              </w:rPr>
            </w:pPr>
            <w:r>
              <w:rPr>
                <w:rFonts w:hint="eastAsia" w:ascii="宋体" w:hAnsi="宋体" w:cs="宋体"/>
                <w:sz w:val="18"/>
                <w:szCs w:val="18"/>
              </w:rPr>
              <w:t>按照运维的需求为物业单位提供用于数字化运维管理的知识图谱，为智慧运维提供支撑，得</w:t>
            </w:r>
            <w:r>
              <w:rPr>
                <w:rFonts w:ascii="宋体" w:hAnsi="宋体" w:cs="宋体"/>
                <w:sz w:val="18"/>
                <w:szCs w:val="18"/>
              </w:rPr>
              <w:t>0.5分。</w:t>
            </w:r>
          </w:p>
        </w:tc>
        <w:tc>
          <w:tcPr>
            <w:tcW w:w="528" w:type="pct"/>
            <w:shd w:val="clear" w:color="auto" w:fill="auto"/>
            <w:vAlign w:val="center"/>
          </w:tcPr>
          <w:p>
            <w:pPr>
              <w:widowControl/>
              <w:snapToGrid w:val="0"/>
              <w:spacing w:line="240" w:lineRule="auto"/>
              <w:textAlignment w:val="center"/>
              <w:rPr>
                <w:rFonts w:ascii="宋体" w:hAnsi="宋体" w:cs="宋体"/>
                <w:sz w:val="18"/>
                <w:szCs w:val="18"/>
              </w:rPr>
            </w:pPr>
            <w:r>
              <w:rPr>
                <w:rFonts w:ascii="宋体" w:hAnsi="宋体" w:cs="宋体"/>
                <w:kern w:val="0"/>
                <w:sz w:val="18"/>
                <w:szCs w:val="18"/>
                <w:lang w:bidi="ar"/>
              </w:rPr>
              <w:t>1.</w:t>
            </w:r>
            <w:r>
              <w:rPr>
                <w:rFonts w:hint="eastAsia" w:ascii="宋体" w:hAnsi="宋体" w:cs="宋体"/>
                <w:kern w:val="0"/>
                <w:sz w:val="18"/>
                <w:szCs w:val="18"/>
                <w:lang w:bidi="ar"/>
              </w:rPr>
              <w:t>运维知识图谱证明材料。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8" w:hRule="atLeast"/>
          <w:jc w:val="center"/>
        </w:trPr>
        <w:tc>
          <w:tcPr>
            <w:tcW w:w="501" w:type="pct"/>
            <w:vMerge w:val="continue"/>
            <w:shd w:val="clear" w:color="auto" w:fill="auto"/>
            <w:vAlign w:val="center"/>
          </w:tcPr>
          <w:p>
            <w:pPr>
              <w:widowControl/>
              <w:spacing w:line="240" w:lineRule="auto"/>
              <w:jc w:val="center"/>
              <w:textAlignment w:val="center"/>
              <w:rPr>
                <w:rFonts w:ascii="宋体" w:hAnsi="宋体" w:cs="宋体"/>
                <w:kern w:val="0"/>
                <w:sz w:val="18"/>
                <w:szCs w:val="18"/>
                <w:lang w:bidi="ar"/>
              </w:rPr>
            </w:pPr>
          </w:p>
        </w:tc>
        <w:tc>
          <w:tcPr>
            <w:tcW w:w="706" w:type="pc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平台特点</w:t>
            </w:r>
          </w:p>
          <w:p>
            <w:pPr>
              <w:widowControl/>
              <w:spacing w:line="240" w:lineRule="auto"/>
              <w:jc w:val="center"/>
              <w:textAlignment w:val="center"/>
              <w:rPr>
                <w:rFonts w:ascii="宋体" w:hAnsi="宋体" w:cs="宋体"/>
                <w:sz w:val="18"/>
                <w:szCs w:val="18"/>
              </w:rPr>
            </w:pP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分）</w:t>
            </w:r>
          </w:p>
        </w:tc>
        <w:tc>
          <w:tcPr>
            <w:tcW w:w="3265" w:type="pct"/>
            <w:shd w:val="clear" w:color="auto" w:fill="auto"/>
            <w:vAlign w:val="center"/>
          </w:tcPr>
          <w:p>
            <w:pPr>
              <w:widowControl/>
              <w:spacing w:line="240" w:lineRule="auto"/>
              <w:textAlignment w:val="center"/>
              <w:rPr>
                <w:rFonts w:ascii="宋体" w:hAnsi="宋体" w:cs="宋体"/>
                <w:sz w:val="18"/>
                <w:szCs w:val="18"/>
              </w:rPr>
            </w:pPr>
            <w:r>
              <w:rPr>
                <w:rFonts w:hint="eastAsia" w:ascii="宋体" w:hAnsi="宋体" w:cs="宋体"/>
                <w:sz w:val="18"/>
                <w:szCs w:val="18"/>
              </w:rPr>
              <w:t>平台采用三维图形引擎、</w:t>
            </w:r>
            <w:r>
              <w:rPr>
                <w:rFonts w:ascii="宋体" w:hAnsi="宋体" w:cs="宋体"/>
                <w:sz w:val="18"/>
                <w:szCs w:val="18"/>
              </w:rPr>
              <w:t>XR等技术，实现系统和设备的数据图形可视化、支持在手机、电脑等终端上轻量化运行，支持用户、工程师、物业管理人员、政府社区管理人员等多渠道访问，得1分。</w:t>
            </w:r>
          </w:p>
        </w:tc>
        <w:tc>
          <w:tcPr>
            <w:tcW w:w="528" w:type="pct"/>
            <w:shd w:val="clear" w:color="auto" w:fill="auto"/>
            <w:vAlign w:val="center"/>
          </w:tcPr>
          <w:p>
            <w:pPr>
              <w:spacing w:line="240" w:lineRule="auto"/>
              <w:textAlignment w:val="center"/>
              <w:rPr>
                <w:rFonts w:ascii="宋体" w:hAnsi="宋体" w:cs="宋体"/>
                <w:kern w:val="0"/>
                <w:sz w:val="18"/>
                <w:szCs w:val="18"/>
                <w:lang w:bidi="ar"/>
              </w:rPr>
            </w:pPr>
            <w:r>
              <w:rPr>
                <w:rFonts w:ascii="宋体" w:hAnsi="宋体" w:cs="宋体"/>
                <w:sz w:val="18"/>
                <w:szCs w:val="18"/>
              </w:rPr>
              <w:t>1.</w:t>
            </w:r>
            <w:r>
              <w:rPr>
                <w:rFonts w:hint="eastAsia" w:ascii="宋体" w:hAnsi="宋体" w:cs="宋体"/>
                <w:sz w:val="18"/>
                <w:szCs w:val="18"/>
              </w:rPr>
              <w:t>平台运行图片或视频。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0" w:hRule="atLeast"/>
          <w:jc w:val="center"/>
        </w:trPr>
        <w:tc>
          <w:tcPr>
            <w:tcW w:w="501" w:type="pct"/>
            <w:vMerge w:val="continue"/>
            <w:shd w:val="clear" w:color="auto" w:fill="auto"/>
            <w:vAlign w:val="center"/>
          </w:tcPr>
          <w:p>
            <w:pPr>
              <w:widowControl/>
              <w:spacing w:line="240" w:lineRule="auto"/>
              <w:jc w:val="center"/>
              <w:textAlignment w:val="center"/>
              <w:rPr>
                <w:rFonts w:ascii="宋体" w:hAnsi="宋体" w:cs="宋体"/>
                <w:kern w:val="0"/>
                <w:sz w:val="18"/>
                <w:szCs w:val="18"/>
                <w:lang w:bidi="ar"/>
              </w:rPr>
            </w:pPr>
          </w:p>
        </w:tc>
        <w:tc>
          <w:tcPr>
            <w:tcW w:w="706" w:type="pct"/>
            <w:shd w:val="clear" w:color="auto" w:fill="auto"/>
            <w:vAlign w:val="center"/>
          </w:tcPr>
          <w:p>
            <w:pPr>
              <w:widowControl/>
              <w:spacing w:line="240" w:lineRule="auto"/>
              <w:jc w:val="center"/>
              <w:textAlignment w:val="center"/>
              <w:rPr>
                <w:rFonts w:ascii="宋体" w:hAnsi="宋体"/>
                <w:sz w:val="18"/>
                <w:szCs w:val="18"/>
              </w:rPr>
            </w:pPr>
            <w:r>
              <w:rPr>
                <w:rFonts w:hint="eastAsia" w:ascii="宋体" w:hAnsi="宋体"/>
                <w:sz w:val="18"/>
                <w:szCs w:val="18"/>
              </w:rPr>
              <w:t>智慧城市接口</w:t>
            </w:r>
          </w:p>
          <w:p>
            <w:pPr>
              <w:widowControl/>
              <w:spacing w:line="240" w:lineRule="auto"/>
              <w:jc w:val="center"/>
              <w:textAlignment w:val="center"/>
              <w:rPr>
                <w:rFonts w:ascii="宋体" w:hAnsi="宋体"/>
                <w:sz w:val="18"/>
                <w:szCs w:val="18"/>
              </w:rPr>
            </w:pPr>
            <w:r>
              <w:rPr>
                <w:rFonts w:hint="eastAsia" w:ascii="宋体" w:hAnsi="宋体"/>
                <w:sz w:val="18"/>
                <w:szCs w:val="18"/>
              </w:rPr>
              <w:t>（</w:t>
            </w:r>
            <w:r>
              <w:rPr>
                <w:rFonts w:ascii="宋体" w:hAnsi="宋体"/>
                <w:sz w:val="18"/>
                <w:szCs w:val="18"/>
              </w:rPr>
              <w:t>0.5</w:t>
            </w:r>
            <w:r>
              <w:rPr>
                <w:rFonts w:hint="eastAsia" w:ascii="宋体" w:hAnsi="宋体"/>
                <w:sz w:val="18"/>
                <w:szCs w:val="18"/>
              </w:rPr>
              <w:t>分）</w:t>
            </w:r>
          </w:p>
        </w:tc>
        <w:tc>
          <w:tcPr>
            <w:tcW w:w="3265" w:type="pct"/>
            <w:shd w:val="clear" w:color="auto" w:fill="auto"/>
            <w:vAlign w:val="center"/>
          </w:tcPr>
          <w:p>
            <w:pPr>
              <w:widowControl/>
              <w:spacing w:line="240" w:lineRule="auto"/>
              <w:textAlignment w:val="center"/>
              <w:rPr>
                <w:rFonts w:ascii="宋体" w:hAnsi="宋体" w:cs="宋体"/>
                <w:sz w:val="18"/>
                <w:szCs w:val="18"/>
              </w:rPr>
            </w:pPr>
            <w:r>
              <w:rPr>
                <w:rFonts w:hint="eastAsia" w:ascii="宋体" w:hAnsi="宋体" w:cs="宋体"/>
                <w:sz w:val="18"/>
                <w:szCs w:val="18"/>
              </w:rPr>
              <w:t>具有接入智慧城市（城区、社区）的功能接口</w:t>
            </w:r>
            <w:r>
              <w:rPr>
                <w:rFonts w:hint="eastAsia" w:ascii="宋体" w:hAnsi="宋体" w:cs="宋体"/>
                <w:kern w:val="0"/>
                <w:sz w:val="18"/>
                <w:szCs w:val="18"/>
                <w:lang w:bidi="ar"/>
              </w:rPr>
              <w:t>，</w:t>
            </w:r>
            <w:r>
              <w:rPr>
                <w:rFonts w:hint="eastAsia" w:ascii="宋体" w:hAnsi="宋体"/>
                <w:sz w:val="18"/>
                <w:szCs w:val="18"/>
              </w:rPr>
              <w:t>得</w:t>
            </w:r>
            <w:r>
              <w:rPr>
                <w:rFonts w:ascii="宋体" w:hAnsi="宋体"/>
                <w:sz w:val="18"/>
                <w:szCs w:val="18"/>
              </w:rPr>
              <w:t>0.5</w:t>
            </w:r>
            <w:r>
              <w:rPr>
                <w:rFonts w:hint="eastAsia" w:ascii="宋体" w:hAnsi="宋体"/>
                <w:sz w:val="18"/>
                <w:szCs w:val="18"/>
              </w:rPr>
              <w:t>分</w:t>
            </w:r>
            <w:r>
              <w:rPr>
                <w:rFonts w:hint="eastAsia" w:ascii="宋体" w:hAnsi="宋体" w:cs="宋体"/>
                <w:sz w:val="18"/>
                <w:szCs w:val="18"/>
              </w:rPr>
              <w:t>。</w:t>
            </w:r>
          </w:p>
        </w:tc>
        <w:tc>
          <w:tcPr>
            <w:tcW w:w="528" w:type="pct"/>
            <w:shd w:val="clear" w:color="auto" w:fill="auto"/>
            <w:vAlign w:val="center"/>
          </w:tcPr>
          <w:p>
            <w:pPr>
              <w:widowControl/>
              <w:spacing w:line="240" w:lineRule="auto"/>
              <w:textAlignment w:val="center"/>
              <w:rPr>
                <w:rFonts w:ascii="宋体" w:hAnsi="宋体" w:cs="宋体"/>
                <w:kern w:val="0"/>
                <w:sz w:val="18"/>
                <w:szCs w:val="18"/>
                <w:lang w:bidi="ar"/>
              </w:rPr>
            </w:pPr>
            <w:r>
              <w:rPr>
                <w:rFonts w:ascii="宋体" w:hAnsi="宋体" w:cs="宋体"/>
                <w:kern w:val="0"/>
                <w:sz w:val="18"/>
                <w:szCs w:val="18"/>
                <w:lang w:bidi="ar"/>
              </w:rPr>
              <w:t>1.</w:t>
            </w:r>
            <w:r>
              <w:rPr>
                <w:rFonts w:hint="eastAsia" w:ascii="宋体" w:hAnsi="宋体" w:cs="宋体"/>
                <w:kern w:val="0"/>
                <w:sz w:val="18"/>
                <w:szCs w:val="18"/>
                <w:lang w:bidi="ar"/>
              </w:rPr>
              <w:t>接口应用说明。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9" w:hRule="atLeast"/>
          <w:jc w:val="center"/>
        </w:trPr>
        <w:tc>
          <w:tcPr>
            <w:tcW w:w="501" w:type="pct"/>
            <w:vMerge w:val="restar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运维管理</w:t>
            </w:r>
          </w:p>
        </w:tc>
        <w:tc>
          <w:tcPr>
            <w:tcW w:w="706"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空间管理</w:t>
            </w:r>
          </w:p>
          <w:p>
            <w:pPr>
              <w:widowControl/>
              <w:spacing w:line="240" w:lineRule="auto"/>
              <w:jc w:val="center"/>
              <w:textAlignment w:val="center"/>
              <w:rPr>
                <w:rFonts w:ascii="宋体" w:hAnsi="宋体" w:cs="宋体"/>
                <w:kern w:val="0"/>
                <w:sz w:val="18"/>
                <w:szCs w:val="18"/>
                <w:lang w:bidi="ar"/>
              </w:rPr>
            </w:pPr>
            <w:r>
              <w:rPr>
                <w:rFonts w:hint="eastAsia" w:ascii="宋体" w:hAnsi="宋体"/>
                <w:sz w:val="18"/>
                <w:szCs w:val="18"/>
              </w:rPr>
              <w:t>（</w:t>
            </w:r>
            <w:r>
              <w:rPr>
                <w:rFonts w:ascii="宋体" w:hAnsi="宋体"/>
                <w:sz w:val="18"/>
                <w:szCs w:val="18"/>
              </w:rPr>
              <w:t>1</w:t>
            </w:r>
            <w:r>
              <w:rPr>
                <w:rFonts w:hint="eastAsia" w:ascii="宋体" w:hAnsi="宋体"/>
                <w:sz w:val="18"/>
                <w:szCs w:val="18"/>
              </w:rPr>
              <w:t>分）</w:t>
            </w:r>
          </w:p>
        </w:tc>
        <w:tc>
          <w:tcPr>
            <w:tcW w:w="3265" w:type="pct"/>
            <w:shd w:val="clear" w:color="auto" w:fill="auto"/>
            <w:vAlign w:val="center"/>
          </w:tcPr>
          <w:p>
            <w:pPr>
              <w:widowControl/>
              <w:spacing w:line="240" w:lineRule="auto"/>
              <w:textAlignment w:val="center"/>
              <w:rPr>
                <w:rFonts w:ascii="宋体" w:hAnsi="宋体" w:cs="宋体"/>
                <w:sz w:val="18"/>
                <w:szCs w:val="18"/>
              </w:rPr>
            </w:pPr>
            <w:r>
              <w:rPr>
                <w:rFonts w:hint="eastAsia" w:ascii="宋体" w:hAnsi="宋体" w:cs="宋体"/>
                <w:sz w:val="18"/>
                <w:szCs w:val="18"/>
              </w:rPr>
              <w:t>基于</w:t>
            </w:r>
            <w:r>
              <w:rPr>
                <w:rFonts w:ascii="宋体" w:hAnsi="宋体" w:cs="宋体"/>
                <w:sz w:val="18"/>
                <w:szCs w:val="18"/>
              </w:rPr>
              <w:t>BIM</w:t>
            </w:r>
            <w:r>
              <w:rPr>
                <w:rFonts w:hint="eastAsia" w:ascii="宋体" w:hAnsi="宋体" w:cs="宋体"/>
                <w:sz w:val="18"/>
                <w:szCs w:val="18"/>
              </w:rPr>
              <w:t>运维模型，</w:t>
            </w:r>
            <w:r>
              <w:rPr>
                <w:rFonts w:ascii="宋体" w:hAnsi="宋体" w:cs="宋体"/>
                <w:sz w:val="18"/>
                <w:szCs w:val="18"/>
              </w:rPr>
              <w:t>实现对项目使用空间的管理，如会务管理、租赁管理等，得1分</w:t>
            </w:r>
            <w:r>
              <w:rPr>
                <w:rFonts w:hint="eastAsia" w:ascii="宋体" w:hAnsi="宋体" w:cs="宋体"/>
                <w:sz w:val="18"/>
                <w:szCs w:val="18"/>
              </w:rPr>
              <w:t>。</w:t>
            </w:r>
          </w:p>
        </w:tc>
        <w:tc>
          <w:tcPr>
            <w:tcW w:w="528" w:type="pct"/>
            <w:vMerge w:val="restart"/>
            <w:shd w:val="clear" w:color="auto" w:fill="auto"/>
            <w:vAlign w:val="center"/>
          </w:tcPr>
          <w:p>
            <w:pPr>
              <w:widowControl/>
              <w:spacing w:line="240" w:lineRule="auto"/>
              <w:textAlignment w:val="center"/>
              <w:rPr>
                <w:rFonts w:ascii="宋体" w:hAnsi="宋体" w:cs="宋体"/>
                <w:kern w:val="0"/>
                <w:sz w:val="18"/>
                <w:szCs w:val="18"/>
                <w:lang w:bidi="ar"/>
              </w:rPr>
            </w:pPr>
            <w:r>
              <w:rPr>
                <w:rFonts w:ascii="宋体" w:hAnsi="宋体" w:cs="宋体"/>
                <w:sz w:val="18"/>
                <w:szCs w:val="18"/>
              </w:rPr>
              <w:t>1.</w:t>
            </w:r>
            <w:r>
              <w:rPr>
                <w:rFonts w:hint="eastAsia" w:ascii="宋体" w:hAnsi="宋体" w:cs="宋体"/>
                <w:sz w:val="18"/>
                <w:szCs w:val="18"/>
              </w:rPr>
              <w:t>运维平台运行图片及数据资料。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9" w:hRule="atLeast"/>
          <w:jc w:val="center"/>
        </w:trPr>
        <w:tc>
          <w:tcPr>
            <w:tcW w:w="501" w:type="pct"/>
            <w:vMerge w:val="continue"/>
            <w:shd w:val="clear" w:color="auto" w:fill="auto"/>
            <w:vAlign w:val="center"/>
          </w:tcPr>
          <w:p>
            <w:pPr>
              <w:widowControl/>
              <w:spacing w:line="240" w:lineRule="auto"/>
              <w:jc w:val="center"/>
              <w:textAlignment w:val="center"/>
              <w:rPr>
                <w:rFonts w:ascii="宋体" w:hAnsi="宋体" w:cs="宋体"/>
                <w:kern w:val="0"/>
                <w:sz w:val="18"/>
                <w:szCs w:val="18"/>
                <w:lang w:bidi="ar"/>
              </w:rPr>
            </w:pPr>
          </w:p>
        </w:tc>
        <w:tc>
          <w:tcPr>
            <w:tcW w:w="706" w:type="pc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维保管理</w:t>
            </w:r>
          </w:p>
          <w:p>
            <w:pPr>
              <w:widowControl/>
              <w:spacing w:line="240" w:lineRule="auto"/>
              <w:jc w:val="center"/>
              <w:textAlignment w:val="center"/>
              <w:rPr>
                <w:rFonts w:ascii="宋体" w:hAnsi="宋体" w:cs="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分）</w:t>
            </w:r>
          </w:p>
        </w:tc>
        <w:tc>
          <w:tcPr>
            <w:tcW w:w="3265" w:type="pct"/>
            <w:shd w:val="clear" w:color="auto" w:fill="auto"/>
            <w:vAlign w:val="center"/>
          </w:tcPr>
          <w:p>
            <w:pPr>
              <w:widowControl/>
              <w:spacing w:line="240" w:lineRule="auto"/>
              <w:textAlignment w:val="center"/>
              <w:rPr>
                <w:rFonts w:ascii="宋体" w:hAnsi="宋体" w:cs="宋体"/>
                <w:sz w:val="18"/>
                <w:szCs w:val="18"/>
              </w:rPr>
            </w:pPr>
            <w:r>
              <w:rPr>
                <w:rFonts w:hint="eastAsia" w:ascii="宋体" w:hAnsi="宋体" w:cs="宋体"/>
                <w:sz w:val="18"/>
                <w:szCs w:val="18"/>
              </w:rPr>
              <w:t>基于BIM运维模型，集成建筑内设施设备（照明、供配电、HVAC等）几何信息、固有信息和运行信息，实现设备的信息查看、维修保养、故障告警及处理等。</w:t>
            </w:r>
            <w:r>
              <w:rPr>
                <w:rFonts w:hint="eastAsia" w:ascii="宋体" w:hAnsi="宋体"/>
                <w:sz w:val="18"/>
                <w:szCs w:val="18"/>
              </w:rPr>
              <w:t>实现两种及以上设备管理，得</w:t>
            </w:r>
            <w:r>
              <w:rPr>
                <w:rFonts w:ascii="宋体" w:hAnsi="宋体"/>
                <w:sz w:val="18"/>
                <w:szCs w:val="18"/>
              </w:rPr>
              <w:t>0.5</w:t>
            </w:r>
            <w:r>
              <w:rPr>
                <w:rFonts w:hint="eastAsia" w:ascii="宋体" w:hAnsi="宋体"/>
                <w:sz w:val="18"/>
                <w:szCs w:val="18"/>
              </w:rPr>
              <w:t>分；实现智能动态调控，得</w:t>
            </w:r>
            <w:r>
              <w:rPr>
                <w:rFonts w:ascii="宋体" w:hAnsi="宋体"/>
                <w:sz w:val="18"/>
                <w:szCs w:val="18"/>
              </w:rPr>
              <w:t>1</w:t>
            </w:r>
            <w:r>
              <w:rPr>
                <w:rFonts w:hint="eastAsia" w:ascii="宋体" w:hAnsi="宋体"/>
                <w:sz w:val="18"/>
                <w:szCs w:val="18"/>
              </w:rPr>
              <w:t>分。</w:t>
            </w:r>
          </w:p>
        </w:tc>
        <w:tc>
          <w:tcPr>
            <w:tcW w:w="528" w:type="pct"/>
            <w:vMerge w:val="continue"/>
            <w:shd w:val="clear" w:color="auto" w:fill="auto"/>
            <w:vAlign w:val="center"/>
          </w:tcPr>
          <w:p>
            <w:pPr>
              <w:widowControl/>
              <w:snapToGrid w:val="0"/>
              <w:spacing w:line="240" w:lineRule="auto"/>
              <w:textAlignment w:val="center"/>
              <w:rPr>
                <w:rFonts w:ascii="宋体" w:hAnsi="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9" w:hRule="atLeast"/>
          <w:jc w:val="center"/>
        </w:trPr>
        <w:tc>
          <w:tcPr>
            <w:tcW w:w="501" w:type="pct"/>
            <w:vMerge w:val="continue"/>
            <w:shd w:val="clear" w:color="auto" w:fill="auto"/>
            <w:vAlign w:val="center"/>
          </w:tcPr>
          <w:p>
            <w:pPr>
              <w:widowControl/>
              <w:spacing w:line="240" w:lineRule="auto"/>
              <w:jc w:val="center"/>
              <w:textAlignment w:val="center"/>
              <w:rPr>
                <w:rFonts w:ascii="宋体" w:hAnsi="宋体" w:cs="宋体"/>
                <w:kern w:val="0"/>
                <w:sz w:val="18"/>
                <w:szCs w:val="18"/>
                <w:lang w:bidi="ar"/>
              </w:rPr>
            </w:pPr>
          </w:p>
        </w:tc>
        <w:tc>
          <w:tcPr>
            <w:tcW w:w="706" w:type="pc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能耗管理</w:t>
            </w:r>
          </w:p>
          <w:p>
            <w:pPr>
              <w:widowControl/>
              <w:spacing w:line="240" w:lineRule="auto"/>
              <w:jc w:val="center"/>
              <w:textAlignment w:val="center"/>
              <w:rPr>
                <w:rFonts w:ascii="宋体" w:hAnsi="宋体" w:cs="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分）</w:t>
            </w:r>
          </w:p>
        </w:tc>
        <w:tc>
          <w:tcPr>
            <w:tcW w:w="3265" w:type="pct"/>
            <w:shd w:val="clear" w:color="auto" w:fill="auto"/>
            <w:vAlign w:val="center"/>
          </w:tcPr>
          <w:p>
            <w:pPr>
              <w:widowControl/>
              <w:spacing w:line="240" w:lineRule="auto"/>
              <w:textAlignment w:val="center"/>
              <w:rPr>
                <w:rFonts w:ascii="宋体" w:hAnsi="宋体"/>
                <w:sz w:val="18"/>
                <w:szCs w:val="18"/>
              </w:rPr>
            </w:pPr>
            <w:r>
              <w:rPr>
                <w:rFonts w:hint="eastAsia" w:ascii="宋体" w:hAnsi="宋体"/>
                <w:sz w:val="18"/>
                <w:szCs w:val="18"/>
              </w:rPr>
              <w:t>应用物联网等技术将建筑内能源（水、电、气）计量表统一接入平台数据库，通过数据分析，合理计划和利用能源，达到节能增效的目的，得</w:t>
            </w:r>
            <w:r>
              <w:rPr>
                <w:rFonts w:ascii="宋体" w:hAnsi="宋体"/>
                <w:sz w:val="18"/>
                <w:szCs w:val="18"/>
              </w:rPr>
              <w:t>0.5</w:t>
            </w:r>
            <w:r>
              <w:rPr>
                <w:rFonts w:hint="eastAsia" w:ascii="宋体" w:hAnsi="宋体"/>
                <w:sz w:val="18"/>
                <w:szCs w:val="18"/>
              </w:rPr>
              <w:t>分；</w:t>
            </w:r>
          </w:p>
          <w:p>
            <w:pPr>
              <w:widowControl/>
              <w:spacing w:line="240" w:lineRule="auto"/>
              <w:textAlignment w:val="center"/>
              <w:rPr>
                <w:rFonts w:ascii="宋体" w:hAnsi="宋体"/>
                <w:sz w:val="18"/>
                <w:szCs w:val="18"/>
              </w:rPr>
            </w:pPr>
            <w:r>
              <w:rPr>
                <w:rFonts w:hint="eastAsia" w:ascii="宋体" w:hAnsi="宋体"/>
                <w:sz w:val="18"/>
                <w:szCs w:val="18"/>
              </w:rPr>
              <w:t>同时采用智能算法实现能耗信息多维度分析，建立智能预测模型，得</w:t>
            </w:r>
            <w:r>
              <w:rPr>
                <w:rFonts w:ascii="宋体" w:hAnsi="宋体"/>
                <w:sz w:val="18"/>
                <w:szCs w:val="18"/>
              </w:rPr>
              <w:t>1</w:t>
            </w:r>
            <w:r>
              <w:rPr>
                <w:rFonts w:hint="eastAsia" w:ascii="宋体" w:hAnsi="宋体"/>
                <w:sz w:val="18"/>
                <w:szCs w:val="18"/>
              </w:rPr>
              <w:t>分。</w:t>
            </w:r>
          </w:p>
        </w:tc>
        <w:tc>
          <w:tcPr>
            <w:tcW w:w="528" w:type="pct"/>
            <w:shd w:val="clear" w:color="auto" w:fill="auto"/>
            <w:vAlign w:val="center"/>
          </w:tcPr>
          <w:p>
            <w:pPr>
              <w:widowControl/>
              <w:snapToGrid w:val="0"/>
              <w:spacing w:line="240" w:lineRule="auto"/>
              <w:textAlignment w:val="center"/>
              <w:rPr>
                <w:rFonts w:ascii="宋体" w:hAnsi="宋体" w:cs="宋体"/>
                <w:kern w:val="0"/>
                <w:sz w:val="18"/>
                <w:szCs w:val="18"/>
                <w:lang w:bidi="ar"/>
              </w:rPr>
            </w:pPr>
            <w:r>
              <w:rPr>
                <w:rFonts w:ascii="宋体" w:hAnsi="宋体" w:cs="宋体"/>
                <w:kern w:val="0"/>
                <w:sz w:val="18"/>
                <w:szCs w:val="18"/>
                <w:lang w:bidi="ar"/>
              </w:rPr>
              <w:t>1.</w:t>
            </w:r>
            <w:r>
              <w:rPr>
                <w:rFonts w:hint="eastAsia" w:ascii="宋体" w:hAnsi="宋体" w:cs="宋体"/>
                <w:kern w:val="0"/>
                <w:sz w:val="18"/>
                <w:szCs w:val="18"/>
                <w:lang w:bidi="ar"/>
              </w:rPr>
              <w:t>节能增效报告；</w:t>
            </w:r>
          </w:p>
          <w:p>
            <w:pPr>
              <w:widowControl/>
              <w:snapToGrid w:val="0"/>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2</w:t>
            </w:r>
            <w:r>
              <w:rPr>
                <w:rFonts w:ascii="宋体" w:hAnsi="宋体" w:cs="宋体"/>
                <w:kern w:val="0"/>
                <w:sz w:val="18"/>
                <w:szCs w:val="18"/>
                <w:lang w:bidi="ar"/>
              </w:rPr>
              <w:t>.</w:t>
            </w:r>
            <w:r>
              <w:rPr>
                <w:rFonts w:hint="eastAsia" w:ascii="宋体" w:hAnsi="宋体" w:cs="宋体"/>
                <w:kern w:val="0"/>
                <w:sz w:val="18"/>
                <w:szCs w:val="18"/>
                <w:lang w:bidi="ar"/>
              </w:rPr>
              <w:t>智能预测模型。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9" w:hRule="atLeast"/>
          <w:jc w:val="center"/>
        </w:trPr>
        <w:tc>
          <w:tcPr>
            <w:tcW w:w="501" w:type="pct"/>
            <w:vMerge w:val="continue"/>
            <w:shd w:val="clear" w:color="auto" w:fill="auto"/>
            <w:vAlign w:val="center"/>
          </w:tcPr>
          <w:p>
            <w:pPr>
              <w:widowControl/>
              <w:spacing w:line="240" w:lineRule="auto"/>
              <w:jc w:val="center"/>
              <w:textAlignment w:val="center"/>
              <w:rPr>
                <w:rFonts w:ascii="宋体" w:hAnsi="宋体" w:cs="宋体"/>
                <w:kern w:val="0"/>
                <w:sz w:val="18"/>
                <w:szCs w:val="18"/>
                <w:lang w:bidi="ar"/>
              </w:rPr>
            </w:pPr>
          </w:p>
        </w:tc>
        <w:tc>
          <w:tcPr>
            <w:tcW w:w="706" w:type="pc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用户服务</w:t>
            </w:r>
          </w:p>
          <w:p>
            <w:pPr>
              <w:widowControl/>
              <w:spacing w:line="240" w:lineRule="auto"/>
              <w:jc w:val="center"/>
              <w:textAlignment w:val="center"/>
              <w:rPr>
                <w:rFonts w:ascii="宋体" w:hAnsi="宋体" w:cs="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分）</w:t>
            </w:r>
          </w:p>
        </w:tc>
        <w:tc>
          <w:tcPr>
            <w:tcW w:w="3265" w:type="pct"/>
            <w:shd w:val="clear" w:color="auto" w:fill="auto"/>
            <w:vAlign w:val="center"/>
          </w:tcPr>
          <w:p>
            <w:pPr>
              <w:widowControl/>
              <w:spacing w:line="240" w:lineRule="auto"/>
              <w:textAlignment w:val="center"/>
              <w:rPr>
                <w:rFonts w:ascii="宋体" w:hAnsi="宋体"/>
                <w:sz w:val="18"/>
                <w:szCs w:val="18"/>
              </w:rPr>
            </w:pPr>
            <w:r>
              <w:rPr>
                <w:rFonts w:hint="eastAsia" w:ascii="宋体" w:hAnsi="宋体"/>
                <w:sz w:val="18"/>
                <w:szCs w:val="18"/>
              </w:rPr>
              <w:t>集成建筑构件信息、缴费信息、停车场管理、居家养老、客户服务中心、应急管理、环境监测等服务模块，为用户提供智能高效的生活服务和安全健康的环境。具备五种及以上模块，得</w:t>
            </w:r>
            <w:r>
              <w:rPr>
                <w:rFonts w:ascii="宋体" w:hAnsi="宋体"/>
                <w:sz w:val="18"/>
                <w:szCs w:val="18"/>
              </w:rPr>
              <w:t>1</w:t>
            </w:r>
            <w:r>
              <w:rPr>
                <w:rFonts w:hint="eastAsia" w:ascii="宋体" w:hAnsi="宋体"/>
                <w:sz w:val="18"/>
                <w:szCs w:val="18"/>
              </w:rPr>
              <w:t>分。</w:t>
            </w:r>
          </w:p>
        </w:tc>
        <w:tc>
          <w:tcPr>
            <w:tcW w:w="528" w:type="pct"/>
            <w:shd w:val="clear" w:color="auto" w:fill="auto"/>
            <w:vAlign w:val="center"/>
          </w:tcPr>
          <w:p>
            <w:pPr>
              <w:widowControl/>
              <w:snapToGrid w:val="0"/>
              <w:spacing w:line="240" w:lineRule="auto"/>
              <w:textAlignment w:val="center"/>
              <w:rPr>
                <w:rFonts w:ascii="宋体" w:hAnsi="宋体" w:cs="宋体"/>
                <w:kern w:val="0"/>
                <w:sz w:val="18"/>
                <w:szCs w:val="18"/>
                <w:lang w:bidi="ar"/>
              </w:rPr>
            </w:pPr>
            <w:r>
              <w:rPr>
                <w:rFonts w:ascii="宋体" w:hAnsi="宋体" w:cs="宋体"/>
                <w:kern w:val="0"/>
                <w:sz w:val="18"/>
                <w:szCs w:val="18"/>
                <w:lang w:bidi="ar"/>
              </w:rPr>
              <w:t>1.</w:t>
            </w:r>
            <w:r>
              <w:rPr>
                <w:rFonts w:hint="eastAsia" w:ascii="宋体" w:hAnsi="宋体" w:cs="宋体"/>
                <w:sz w:val="18"/>
                <w:szCs w:val="18"/>
              </w:rPr>
              <w:t>运维平台运行图片及数据资料。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501" w:type="pct"/>
            <w:vMerge w:val="continue"/>
            <w:shd w:val="clear" w:color="auto" w:fill="auto"/>
            <w:vAlign w:val="center"/>
          </w:tcPr>
          <w:p>
            <w:pPr>
              <w:widowControl/>
              <w:spacing w:line="240" w:lineRule="auto"/>
              <w:jc w:val="center"/>
              <w:textAlignment w:val="center"/>
              <w:rPr>
                <w:rFonts w:ascii="宋体" w:hAnsi="宋体" w:cs="宋体"/>
                <w:kern w:val="0"/>
                <w:sz w:val="18"/>
                <w:szCs w:val="18"/>
                <w:lang w:bidi="ar"/>
              </w:rPr>
            </w:pPr>
          </w:p>
        </w:tc>
        <w:tc>
          <w:tcPr>
            <w:tcW w:w="706" w:type="pc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建筑碳排放</w:t>
            </w:r>
          </w:p>
          <w:p>
            <w:pPr>
              <w:widowControl/>
              <w:spacing w:line="240" w:lineRule="auto"/>
              <w:jc w:val="center"/>
              <w:textAlignment w:val="center"/>
              <w:rPr>
                <w:rFonts w:ascii="宋体" w:hAnsi="宋体" w:cs="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分）</w:t>
            </w:r>
          </w:p>
        </w:tc>
        <w:tc>
          <w:tcPr>
            <w:tcW w:w="3265" w:type="pct"/>
            <w:shd w:val="clear" w:color="auto" w:fill="auto"/>
            <w:vAlign w:val="center"/>
          </w:tcPr>
          <w:p>
            <w:pPr>
              <w:widowControl/>
              <w:spacing w:line="240" w:lineRule="auto"/>
              <w:textAlignment w:val="center"/>
              <w:rPr>
                <w:rFonts w:ascii="宋体" w:hAnsi="宋体"/>
                <w:sz w:val="18"/>
                <w:szCs w:val="18"/>
              </w:rPr>
            </w:pPr>
            <w:r>
              <w:rPr>
                <w:rFonts w:hint="eastAsia" w:ascii="宋体" w:hAnsi="宋体"/>
                <w:sz w:val="18"/>
                <w:szCs w:val="18"/>
              </w:rPr>
              <w:t>运维平台具备基于B</w:t>
            </w:r>
            <w:r>
              <w:rPr>
                <w:rFonts w:ascii="宋体" w:hAnsi="宋体"/>
                <w:sz w:val="18"/>
                <w:szCs w:val="18"/>
              </w:rPr>
              <w:t>IM</w:t>
            </w:r>
            <w:r>
              <w:rPr>
                <w:rFonts w:hint="eastAsia" w:ascii="宋体" w:hAnsi="宋体"/>
                <w:sz w:val="18"/>
                <w:szCs w:val="18"/>
              </w:rPr>
              <w:t>的建筑碳排放计算分析功能。通过计算分析，采取措施降低运维阶段单位建筑面积碳排放强度，得</w:t>
            </w:r>
            <w:r>
              <w:rPr>
                <w:rFonts w:ascii="宋体" w:hAnsi="宋体"/>
                <w:sz w:val="18"/>
                <w:szCs w:val="18"/>
              </w:rPr>
              <w:t>1</w:t>
            </w:r>
            <w:r>
              <w:rPr>
                <w:rFonts w:hint="eastAsia" w:ascii="宋体" w:hAnsi="宋体"/>
                <w:sz w:val="18"/>
                <w:szCs w:val="18"/>
              </w:rPr>
              <w:t>分。</w:t>
            </w:r>
          </w:p>
        </w:tc>
        <w:tc>
          <w:tcPr>
            <w:tcW w:w="528" w:type="pct"/>
            <w:shd w:val="clear" w:color="auto" w:fill="auto"/>
            <w:vAlign w:val="center"/>
          </w:tcPr>
          <w:p>
            <w:pPr>
              <w:widowControl/>
              <w:snapToGrid w:val="0"/>
              <w:spacing w:line="240" w:lineRule="auto"/>
              <w:textAlignment w:val="center"/>
              <w:rPr>
                <w:rFonts w:ascii="宋体" w:hAnsi="宋体" w:cs="宋体"/>
                <w:kern w:val="0"/>
                <w:sz w:val="18"/>
                <w:szCs w:val="18"/>
                <w:lang w:bidi="ar"/>
              </w:rPr>
            </w:pPr>
            <w:r>
              <w:rPr>
                <w:rFonts w:ascii="宋体" w:hAnsi="宋体" w:cs="宋体"/>
                <w:kern w:val="0"/>
                <w:sz w:val="18"/>
                <w:szCs w:val="18"/>
                <w:lang w:bidi="ar"/>
              </w:rPr>
              <w:t>1.</w:t>
            </w:r>
            <w:r>
              <w:rPr>
                <w:rFonts w:hint="eastAsia" w:ascii="宋体" w:hAnsi="宋体" w:cs="宋体"/>
                <w:sz w:val="18"/>
                <w:szCs w:val="18"/>
              </w:rPr>
              <w:t>运维平台运行图片及数据资料</w:t>
            </w:r>
            <w:r>
              <w:rPr>
                <w:rFonts w:hint="eastAsia" w:ascii="宋体" w:hAnsi="宋体" w:cs="宋体"/>
                <w:kern w:val="0"/>
                <w:sz w:val="18"/>
                <w:szCs w:val="18"/>
                <w:lang w:bidi="ar"/>
              </w:rPr>
              <w:t>；</w:t>
            </w:r>
          </w:p>
          <w:p>
            <w:pPr>
              <w:widowControl/>
              <w:snapToGrid w:val="0"/>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2</w:t>
            </w:r>
            <w:r>
              <w:rPr>
                <w:rFonts w:ascii="宋体" w:hAnsi="宋体" w:cs="宋体"/>
                <w:kern w:val="0"/>
                <w:sz w:val="18"/>
                <w:szCs w:val="18"/>
                <w:lang w:bidi="ar"/>
              </w:rPr>
              <w:t>.</w:t>
            </w:r>
            <w:r>
              <w:rPr>
                <w:rFonts w:hint="eastAsia" w:ascii="宋体" w:hAnsi="宋体" w:cs="宋体"/>
                <w:kern w:val="0"/>
                <w:sz w:val="18"/>
                <w:szCs w:val="18"/>
                <w:lang w:bidi="ar"/>
              </w:rPr>
              <w:t>计算分析报告。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9" w:hRule="atLeast"/>
          <w:jc w:val="center"/>
        </w:trPr>
        <w:tc>
          <w:tcPr>
            <w:tcW w:w="501" w:type="pct"/>
            <w:vMerge w:val="continue"/>
            <w:shd w:val="clear" w:color="auto" w:fill="auto"/>
            <w:vAlign w:val="center"/>
          </w:tcPr>
          <w:p>
            <w:pPr>
              <w:widowControl/>
              <w:spacing w:line="240" w:lineRule="auto"/>
              <w:jc w:val="center"/>
              <w:textAlignment w:val="center"/>
              <w:rPr>
                <w:rFonts w:ascii="宋体" w:hAnsi="宋体" w:cs="宋体"/>
                <w:kern w:val="0"/>
                <w:sz w:val="18"/>
                <w:szCs w:val="18"/>
                <w:lang w:bidi="ar"/>
              </w:rPr>
            </w:pPr>
          </w:p>
        </w:tc>
        <w:tc>
          <w:tcPr>
            <w:tcW w:w="706"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智能巡检</w:t>
            </w:r>
          </w:p>
          <w:p>
            <w:pPr>
              <w:widowControl/>
              <w:spacing w:line="240" w:lineRule="auto"/>
              <w:jc w:val="center"/>
              <w:textAlignment w:val="center"/>
              <w:rPr>
                <w:rFonts w:ascii="宋体" w:hAnsi="宋体" w:cs="宋体"/>
                <w:kern w:val="0"/>
                <w:sz w:val="18"/>
                <w:szCs w:val="18"/>
                <w:lang w:bidi="ar"/>
              </w:rPr>
            </w:pPr>
            <w:r>
              <w:rPr>
                <w:rFonts w:hint="eastAsia" w:ascii="宋体" w:hAnsi="宋体"/>
                <w:sz w:val="18"/>
                <w:szCs w:val="18"/>
              </w:rPr>
              <w:t>（</w:t>
            </w:r>
            <w:r>
              <w:rPr>
                <w:rFonts w:ascii="宋体" w:hAnsi="宋体"/>
                <w:sz w:val="18"/>
                <w:szCs w:val="18"/>
              </w:rPr>
              <w:t>1</w:t>
            </w:r>
            <w:r>
              <w:rPr>
                <w:rFonts w:hint="eastAsia" w:ascii="宋体" w:hAnsi="宋体"/>
                <w:sz w:val="18"/>
                <w:szCs w:val="18"/>
              </w:rPr>
              <w:t>分）</w:t>
            </w:r>
          </w:p>
        </w:tc>
        <w:tc>
          <w:tcPr>
            <w:tcW w:w="3265" w:type="pct"/>
            <w:shd w:val="clear" w:color="auto" w:fill="auto"/>
            <w:vAlign w:val="center"/>
          </w:tcPr>
          <w:p>
            <w:pPr>
              <w:widowControl/>
              <w:spacing w:line="240" w:lineRule="auto"/>
              <w:textAlignment w:val="center"/>
              <w:rPr>
                <w:rFonts w:ascii="宋体" w:hAnsi="宋体" w:cs="宋体"/>
                <w:kern w:val="0"/>
                <w:sz w:val="18"/>
                <w:szCs w:val="18"/>
                <w:lang w:bidi="ar"/>
              </w:rPr>
            </w:pPr>
            <w:r>
              <w:rPr>
                <w:rFonts w:hint="eastAsia" w:ascii="宋体" w:hAnsi="宋体"/>
                <w:sz w:val="18"/>
                <w:szCs w:val="18"/>
              </w:rPr>
              <w:t>采用智能机器人、智能设备、无人机等进行安全巡检、质量检测和维护维修等，</w:t>
            </w:r>
            <w:r>
              <w:rPr>
                <w:rFonts w:hint="eastAsia" w:ascii="宋体" w:hAnsi="宋体" w:cs="宋体"/>
                <w:kern w:val="0"/>
                <w:sz w:val="18"/>
                <w:szCs w:val="18"/>
                <w:lang w:bidi="ar"/>
              </w:rPr>
              <w:t>应用数量</w:t>
            </w:r>
            <w:r>
              <w:rPr>
                <w:rFonts w:hint="eastAsia" w:ascii="宋体" w:hAnsi="宋体"/>
                <w:sz w:val="18"/>
                <w:szCs w:val="18"/>
              </w:rPr>
              <w:t>至少三种，得</w:t>
            </w:r>
            <w:r>
              <w:rPr>
                <w:rFonts w:ascii="宋体" w:hAnsi="宋体"/>
                <w:sz w:val="18"/>
                <w:szCs w:val="18"/>
              </w:rPr>
              <w:t>1</w:t>
            </w:r>
            <w:r>
              <w:rPr>
                <w:rFonts w:hint="eastAsia" w:ascii="宋体" w:hAnsi="宋体"/>
                <w:sz w:val="18"/>
                <w:szCs w:val="18"/>
              </w:rPr>
              <w:t>分。</w:t>
            </w:r>
          </w:p>
        </w:tc>
        <w:tc>
          <w:tcPr>
            <w:tcW w:w="528" w:type="pct"/>
            <w:shd w:val="clear" w:color="auto" w:fill="auto"/>
            <w:vAlign w:val="center"/>
          </w:tcPr>
          <w:p>
            <w:pPr>
              <w:widowControl/>
              <w:snapToGrid w:val="0"/>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1</w:t>
            </w:r>
            <w:r>
              <w:rPr>
                <w:rFonts w:ascii="宋体" w:hAnsi="宋体" w:cs="宋体"/>
                <w:kern w:val="0"/>
                <w:sz w:val="18"/>
                <w:szCs w:val="18"/>
                <w:lang w:bidi="ar"/>
              </w:rPr>
              <w:t>.</w:t>
            </w:r>
            <w:r>
              <w:rPr>
                <w:rFonts w:hint="eastAsia" w:ascii="宋体" w:hAnsi="宋体" w:cs="宋体"/>
                <w:kern w:val="0"/>
                <w:sz w:val="18"/>
                <w:szCs w:val="18"/>
                <w:lang w:bidi="ar"/>
              </w:rPr>
              <w:t>过程证明文件或视频。</w:t>
            </w:r>
          </w:p>
        </w:tc>
      </w:tr>
    </w:tbl>
    <w:p>
      <w:pPr>
        <w:pStyle w:val="66"/>
        <w:ind w:firstLine="0" w:firstLineChars="0"/>
        <w:jc w:val="center"/>
      </w:pPr>
    </w:p>
    <w:p>
      <w:pPr>
        <w:pStyle w:val="175"/>
      </w:pPr>
      <w:r>
        <w:rPr>
          <w:rFonts w:hint="eastAsia" w:hAnsi="宋体"/>
          <w:szCs w:val="21"/>
        </w:rPr>
        <w:t>全过程数据协同部分共分为信息安全、全过程协同管理和建筑互联网平台3类评价指标，评分规则应符合表</w:t>
      </w:r>
      <w:r>
        <w:rPr>
          <w:rFonts w:hAnsi="宋体"/>
          <w:szCs w:val="21"/>
        </w:rPr>
        <w:t>7</w:t>
      </w:r>
      <w:r>
        <w:rPr>
          <w:rFonts w:hint="eastAsia" w:hAnsi="宋体"/>
          <w:szCs w:val="21"/>
        </w:rPr>
        <w:t>的规定，本项评价的最高分值为</w:t>
      </w:r>
      <w:r>
        <w:rPr>
          <w:rFonts w:hAnsi="宋体"/>
          <w:szCs w:val="21"/>
        </w:rPr>
        <w:t>10</w:t>
      </w:r>
      <w:r>
        <w:rPr>
          <w:rFonts w:hint="eastAsia" w:hAnsi="宋体"/>
          <w:szCs w:val="21"/>
        </w:rPr>
        <w:t>分。</w:t>
      </w:r>
    </w:p>
    <w:p>
      <w:pPr>
        <w:pStyle w:val="122"/>
        <w:spacing w:before="156" w:after="156"/>
        <w:ind w:left="0"/>
      </w:pPr>
      <w:r>
        <w:rPr>
          <w:rFonts w:hint="eastAsia"/>
        </w:rPr>
        <w:t>全过程数据协同评分规则</w:t>
      </w:r>
    </w:p>
    <w:tbl>
      <w:tblPr>
        <w:tblStyle w:val="34"/>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960"/>
        <w:gridCol w:w="1342"/>
        <w:gridCol w:w="6257"/>
        <w:gridCol w:w="10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12" w:hRule="atLeast"/>
          <w:jc w:val="center"/>
        </w:trPr>
        <w:tc>
          <w:tcPr>
            <w:tcW w:w="502" w:type="pc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kern w:val="0"/>
                <w:sz w:val="18"/>
                <w:szCs w:val="18"/>
                <w:lang w:bidi="ar"/>
              </w:rPr>
              <w:t>评价指标</w:t>
            </w:r>
          </w:p>
        </w:tc>
        <w:tc>
          <w:tcPr>
            <w:tcW w:w="701" w:type="pc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评价模块</w:t>
            </w:r>
          </w:p>
        </w:tc>
        <w:tc>
          <w:tcPr>
            <w:tcW w:w="3269" w:type="pc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kern w:val="0"/>
                <w:sz w:val="18"/>
                <w:szCs w:val="18"/>
                <w:lang w:bidi="ar"/>
              </w:rPr>
              <w:t>评分标准</w:t>
            </w:r>
          </w:p>
        </w:tc>
        <w:tc>
          <w:tcPr>
            <w:tcW w:w="528" w:type="pc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9" w:hRule="atLeast"/>
          <w:jc w:val="center"/>
        </w:trPr>
        <w:tc>
          <w:tcPr>
            <w:tcW w:w="502"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信息安全</w:t>
            </w:r>
          </w:p>
        </w:tc>
        <w:tc>
          <w:tcPr>
            <w:tcW w:w="701"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信息加密</w:t>
            </w:r>
          </w:p>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w:t>
            </w:r>
            <w:r>
              <w:rPr>
                <w:rFonts w:ascii="宋体" w:hAnsi="宋体" w:cs="宋体"/>
                <w:kern w:val="0"/>
                <w:sz w:val="18"/>
                <w:szCs w:val="18"/>
                <w:lang w:bidi="ar"/>
              </w:rPr>
              <w:t>0.5</w:t>
            </w:r>
            <w:r>
              <w:rPr>
                <w:rFonts w:hint="eastAsia" w:ascii="宋体" w:hAnsi="宋体" w:cs="宋体"/>
                <w:kern w:val="0"/>
                <w:sz w:val="18"/>
                <w:szCs w:val="18"/>
                <w:lang w:bidi="ar"/>
              </w:rPr>
              <w:t>分）</w:t>
            </w:r>
          </w:p>
        </w:tc>
        <w:tc>
          <w:tcPr>
            <w:tcW w:w="3269" w:type="pct"/>
            <w:shd w:val="clear" w:color="auto" w:fill="auto"/>
            <w:vAlign w:val="center"/>
          </w:tcPr>
          <w:p>
            <w:pPr>
              <w:widowControl/>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采用信息加密技术，实现对各阶段协同数据信息加密解密等操作，保证信息传递的安全性，</w:t>
            </w:r>
            <w:r>
              <w:rPr>
                <w:rFonts w:hint="eastAsia" w:ascii="宋体" w:hAnsi="宋体"/>
                <w:sz w:val="18"/>
                <w:szCs w:val="18"/>
              </w:rPr>
              <w:t>得</w:t>
            </w:r>
            <w:r>
              <w:rPr>
                <w:rFonts w:ascii="宋体" w:hAnsi="宋体"/>
                <w:sz w:val="18"/>
                <w:szCs w:val="18"/>
              </w:rPr>
              <w:t>0.5</w:t>
            </w:r>
            <w:r>
              <w:rPr>
                <w:rFonts w:hint="eastAsia" w:ascii="宋体" w:hAnsi="宋体"/>
                <w:sz w:val="18"/>
                <w:szCs w:val="18"/>
              </w:rPr>
              <w:t>分</w:t>
            </w:r>
            <w:r>
              <w:rPr>
                <w:rFonts w:hint="eastAsia" w:ascii="宋体" w:hAnsi="宋体" w:cs="宋体"/>
                <w:kern w:val="0"/>
                <w:sz w:val="18"/>
                <w:szCs w:val="18"/>
                <w:lang w:bidi="ar"/>
              </w:rPr>
              <w:t>。</w:t>
            </w:r>
          </w:p>
        </w:tc>
        <w:tc>
          <w:tcPr>
            <w:tcW w:w="528" w:type="pct"/>
            <w:shd w:val="clear" w:color="auto" w:fill="auto"/>
            <w:vAlign w:val="center"/>
          </w:tcPr>
          <w:p>
            <w:pPr>
              <w:widowControl/>
              <w:snapToGrid w:val="0"/>
              <w:spacing w:line="240" w:lineRule="auto"/>
              <w:textAlignment w:val="center"/>
              <w:rPr>
                <w:rFonts w:ascii="宋体" w:hAnsi="宋体" w:cs="宋体"/>
                <w:kern w:val="0"/>
                <w:sz w:val="18"/>
                <w:szCs w:val="18"/>
                <w:lang w:bidi="ar"/>
              </w:rPr>
            </w:pPr>
            <w:r>
              <w:rPr>
                <w:rFonts w:ascii="宋体" w:hAnsi="宋体" w:cs="宋体"/>
                <w:kern w:val="0"/>
                <w:sz w:val="18"/>
                <w:szCs w:val="18"/>
                <w:lang w:bidi="ar"/>
              </w:rPr>
              <w:t>1.</w:t>
            </w:r>
            <w:r>
              <w:rPr>
                <w:rFonts w:hint="eastAsia" w:ascii="宋体" w:hAnsi="宋体" w:cs="宋体"/>
                <w:kern w:val="0"/>
                <w:sz w:val="18"/>
                <w:szCs w:val="18"/>
                <w:lang w:bidi="ar"/>
              </w:rPr>
              <w:t>数据交付过程图片或视频材料。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7" w:hRule="atLeast"/>
          <w:jc w:val="center"/>
        </w:trPr>
        <w:tc>
          <w:tcPr>
            <w:tcW w:w="502" w:type="pct"/>
            <w:vMerge w:val="restar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kern w:val="0"/>
                <w:sz w:val="18"/>
                <w:szCs w:val="18"/>
                <w:lang w:bidi="ar"/>
              </w:rPr>
              <w:t>全过程协同管理</w:t>
            </w:r>
          </w:p>
        </w:tc>
        <w:tc>
          <w:tcPr>
            <w:tcW w:w="701" w:type="pct"/>
            <w:shd w:val="clear" w:color="auto" w:fill="auto"/>
            <w:vAlign w:val="center"/>
          </w:tcPr>
          <w:p>
            <w:pPr>
              <w:widowControl/>
              <w:spacing w:line="240" w:lineRule="auto"/>
              <w:jc w:val="center"/>
              <w:textAlignment w:val="center"/>
              <w:rPr>
                <w:rFonts w:ascii="宋体" w:hAnsi="宋体"/>
                <w:sz w:val="18"/>
                <w:szCs w:val="18"/>
              </w:rPr>
            </w:pPr>
            <w:r>
              <w:rPr>
                <w:rFonts w:hint="eastAsia" w:ascii="宋体" w:hAnsi="宋体"/>
                <w:sz w:val="18"/>
                <w:szCs w:val="18"/>
              </w:rPr>
              <w:t>数据标准</w:t>
            </w:r>
          </w:p>
          <w:p>
            <w:pPr>
              <w:widowControl/>
              <w:spacing w:line="240" w:lineRule="auto"/>
              <w:jc w:val="center"/>
              <w:textAlignment w:val="center"/>
              <w:rPr>
                <w:rFonts w:ascii="宋体" w:hAnsi="宋体" w:cs="宋体"/>
                <w:sz w:val="18"/>
                <w:szCs w:val="18"/>
              </w:rPr>
            </w:pPr>
            <w:r>
              <w:rPr>
                <w:rFonts w:hint="eastAsia" w:ascii="宋体" w:hAnsi="宋体"/>
                <w:sz w:val="18"/>
                <w:szCs w:val="18"/>
              </w:rPr>
              <w:t>（</w:t>
            </w:r>
            <w:r>
              <w:rPr>
                <w:rFonts w:ascii="宋体" w:hAnsi="宋体"/>
                <w:sz w:val="18"/>
                <w:szCs w:val="18"/>
              </w:rPr>
              <w:t>0.5</w:t>
            </w:r>
            <w:r>
              <w:rPr>
                <w:rFonts w:hint="eastAsia" w:ascii="宋体" w:hAnsi="宋体"/>
                <w:sz w:val="18"/>
                <w:szCs w:val="18"/>
              </w:rPr>
              <w:t>分）</w:t>
            </w:r>
          </w:p>
        </w:tc>
        <w:tc>
          <w:tcPr>
            <w:tcW w:w="3269" w:type="pct"/>
            <w:shd w:val="clear" w:color="auto" w:fill="auto"/>
            <w:vAlign w:val="center"/>
          </w:tcPr>
          <w:p>
            <w:pPr>
              <w:widowControl/>
              <w:spacing w:line="240" w:lineRule="auto"/>
              <w:textAlignment w:val="center"/>
              <w:rPr>
                <w:rFonts w:ascii="宋体" w:hAnsi="宋体" w:cs="宋体"/>
                <w:sz w:val="18"/>
                <w:szCs w:val="18"/>
              </w:rPr>
            </w:pPr>
            <w:r>
              <w:rPr>
                <w:rFonts w:hint="eastAsia" w:ascii="宋体" w:hAnsi="宋体"/>
                <w:sz w:val="18"/>
                <w:szCs w:val="18"/>
              </w:rPr>
              <w:t>项目建立全生命周期适用的数据标准，实现BIM模型在设计、生产、施工、运维等全流程的协同应用，得</w:t>
            </w:r>
            <w:r>
              <w:rPr>
                <w:rFonts w:ascii="宋体" w:hAnsi="宋体"/>
                <w:sz w:val="18"/>
                <w:szCs w:val="18"/>
              </w:rPr>
              <w:t>0.5</w:t>
            </w:r>
            <w:r>
              <w:rPr>
                <w:rFonts w:hint="eastAsia" w:ascii="宋体" w:hAnsi="宋体"/>
                <w:sz w:val="18"/>
                <w:szCs w:val="18"/>
              </w:rPr>
              <w:t>分</w:t>
            </w:r>
            <w:r>
              <w:rPr>
                <w:rFonts w:hint="eastAsia" w:ascii="宋体" w:hAnsi="宋体" w:cs="宋体"/>
                <w:kern w:val="0"/>
                <w:sz w:val="18"/>
                <w:szCs w:val="18"/>
                <w:lang w:bidi="ar"/>
              </w:rPr>
              <w:t>。</w:t>
            </w:r>
          </w:p>
        </w:tc>
        <w:tc>
          <w:tcPr>
            <w:tcW w:w="528" w:type="pct"/>
            <w:shd w:val="clear" w:color="auto" w:fill="auto"/>
            <w:vAlign w:val="center"/>
          </w:tcPr>
          <w:p>
            <w:pPr>
              <w:widowControl/>
              <w:snapToGrid w:val="0"/>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1</w:t>
            </w:r>
            <w:r>
              <w:rPr>
                <w:rFonts w:ascii="宋体" w:hAnsi="宋体" w:cs="宋体"/>
                <w:kern w:val="0"/>
                <w:sz w:val="18"/>
                <w:szCs w:val="18"/>
                <w:lang w:bidi="ar"/>
              </w:rPr>
              <w:t>.</w:t>
            </w:r>
            <w:r>
              <w:rPr>
                <w:rFonts w:hint="eastAsia" w:ascii="宋体" w:hAnsi="宋体" w:cs="宋体"/>
                <w:kern w:val="0"/>
                <w:sz w:val="18"/>
                <w:szCs w:val="18"/>
                <w:lang w:bidi="ar"/>
              </w:rPr>
              <w:t>模型数据及数据标准。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7" w:hRule="atLeast"/>
          <w:jc w:val="center"/>
        </w:trPr>
        <w:tc>
          <w:tcPr>
            <w:tcW w:w="502" w:type="pct"/>
            <w:vMerge w:val="continue"/>
            <w:shd w:val="clear" w:color="auto" w:fill="auto"/>
            <w:vAlign w:val="center"/>
          </w:tcPr>
          <w:p>
            <w:pPr>
              <w:widowControl/>
              <w:spacing w:line="240" w:lineRule="auto"/>
              <w:jc w:val="center"/>
              <w:textAlignment w:val="center"/>
              <w:rPr>
                <w:rFonts w:ascii="宋体" w:hAnsi="宋体" w:cs="宋体"/>
                <w:sz w:val="18"/>
                <w:szCs w:val="18"/>
              </w:rPr>
            </w:pPr>
          </w:p>
        </w:tc>
        <w:tc>
          <w:tcPr>
            <w:tcW w:w="701"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设计协同管理</w:t>
            </w:r>
          </w:p>
          <w:p>
            <w:pPr>
              <w:widowControl/>
              <w:spacing w:line="240" w:lineRule="auto"/>
              <w:jc w:val="center"/>
              <w:textAlignment w:val="center"/>
              <w:rPr>
                <w:rFonts w:ascii="宋体" w:hAnsi="宋体" w:cs="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分）</w:t>
            </w:r>
          </w:p>
        </w:tc>
        <w:tc>
          <w:tcPr>
            <w:tcW w:w="3269" w:type="pct"/>
            <w:shd w:val="clear" w:color="auto" w:fill="auto"/>
            <w:vAlign w:val="center"/>
          </w:tcPr>
          <w:p>
            <w:pPr>
              <w:widowControl/>
              <w:spacing w:line="240" w:lineRule="auto"/>
              <w:textAlignment w:val="center"/>
              <w:rPr>
                <w:rFonts w:ascii="宋体" w:hAnsi="宋体" w:cs="宋体"/>
                <w:sz w:val="18"/>
                <w:szCs w:val="18"/>
              </w:rPr>
            </w:pPr>
            <w:r>
              <w:rPr>
                <w:rFonts w:hint="eastAsia" w:ascii="宋体" w:hAnsi="宋体" w:cs="宋体"/>
                <w:kern w:val="0"/>
                <w:sz w:val="18"/>
                <w:szCs w:val="18"/>
                <w:lang w:bidi="ar"/>
              </w:rPr>
              <w:t>针对项目上设计单位和设计成果统筹管理，尤其设计成果的提交、审批、归集、分发等核心环节，实现设计统筹和设计成果全过程留痕的闭环管理，</w:t>
            </w:r>
            <w:r>
              <w:rPr>
                <w:rFonts w:hint="eastAsia" w:ascii="宋体" w:hAnsi="宋体"/>
                <w:sz w:val="18"/>
                <w:szCs w:val="18"/>
              </w:rPr>
              <w:t>得</w:t>
            </w:r>
            <w:r>
              <w:rPr>
                <w:rFonts w:ascii="宋体" w:hAnsi="宋体"/>
                <w:sz w:val="18"/>
                <w:szCs w:val="18"/>
              </w:rPr>
              <w:t>1</w:t>
            </w:r>
            <w:r>
              <w:rPr>
                <w:rFonts w:hint="eastAsia" w:ascii="宋体" w:hAnsi="宋体"/>
                <w:sz w:val="18"/>
                <w:szCs w:val="18"/>
              </w:rPr>
              <w:t>分</w:t>
            </w:r>
            <w:r>
              <w:rPr>
                <w:rFonts w:hint="eastAsia" w:ascii="宋体" w:hAnsi="宋体" w:cs="宋体"/>
                <w:kern w:val="0"/>
                <w:sz w:val="18"/>
                <w:szCs w:val="18"/>
                <w:lang w:bidi="ar"/>
              </w:rPr>
              <w:t>。</w:t>
            </w:r>
          </w:p>
        </w:tc>
        <w:tc>
          <w:tcPr>
            <w:tcW w:w="528" w:type="pct"/>
            <w:shd w:val="clear" w:color="auto" w:fill="auto"/>
            <w:vAlign w:val="center"/>
          </w:tcPr>
          <w:p>
            <w:pPr>
              <w:widowControl/>
              <w:spacing w:line="240" w:lineRule="auto"/>
              <w:textAlignment w:val="center"/>
              <w:rPr>
                <w:rFonts w:ascii="宋体" w:hAnsi="宋体" w:cs="宋体"/>
                <w:sz w:val="18"/>
                <w:szCs w:val="18"/>
              </w:rPr>
            </w:pPr>
            <w:r>
              <w:rPr>
                <w:rFonts w:hint="eastAsia" w:ascii="宋体" w:hAnsi="宋体" w:cs="宋体"/>
                <w:kern w:val="0"/>
                <w:sz w:val="18"/>
                <w:szCs w:val="18"/>
                <w:lang w:bidi="ar"/>
              </w:rPr>
              <w:t>1</w:t>
            </w:r>
            <w:r>
              <w:rPr>
                <w:rFonts w:ascii="宋体" w:hAnsi="宋体" w:cs="宋体"/>
                <w:kern w:val="0"/>
                <w:sz w:val="18"/>
                <w:szCs w:val="18"/>
                <w:lang w:bidi="ar"/>
              </w:rPr>
              <w:t>.</w:t>
            </w:r>
            <w:r>
              <w:rPr>
                <w:rFonts w:hint="eastAsia" w:ascii="宋体" w:hAnsi="宋体" w:cs="宋体"/>
                <w:kern w:val="0"/>
                <w:sz w:val="18"/>
                <w:szCs w:val="18"/>
                <w:lang w:bidi="ar"/>
              </w:rPr>
              <w:t>过程证明文件或视频。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3" w:hRule="atLeast"/>
          <w:jc w:val="center"/>
        </w:trPr>
        <w:tc>
          <w:tcPr>
            <w:tcW w:w="502" w:type="pct"/>
            <w:vMerge w:val="continue"/>
            <w:shd w:val="clear" w:color="auto" w:fill="auto"/>
            <w:vAlign w:val="center"/>
          </w:tcPr>
          <w:p>
            <w:pPr>
              <w:spacing w:line="240" w:lineRule="auto"/>
              <w:jc w:val="center"/>
              <w:rPr>
                <w:rFonts w:ascii="宋体" w:hAnsi="宋体" w:cs="宋体"/>
                <w:sz w:val="18"/>
                <w:szCs w:val="18"/>
              </w:rPr>
            </w:pPr>
          </w:p>
        </w:tc>
        <w:tc>
          <w:tcPr>
            <w:tcW w:w="701" w:type="pct"/>
            <w:vMerge w:val="restar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生产协同管理</w:t>
            </w:r>
            <w:r>
              <w:rPr>
                <w:rFonts w:hint="eastAsia" w:ascii="宋体" w:hAnsi="宋体"/>
                <w:sz w:val="18"/>
                <w:szCs w:val="18"/>
              </w:rPr>
              <w:t>（</w:t>
            </w:r>
            <w:r>
              <w:rPr>
                <w:rFonts w:ascii="宋体" w:hAnsi="宋体"/>
                <w:sz w:val="18"/>
                <w:szCs w:val="18"/>
              </w:rPr>
              <w:t>1</w:t>
            </w:r>
            <w:r>
              <w:rPr>
                <w:rFonts w:hint="eastAsia" w:ascii="宋体" w:hAnsi="宋体"/>
                <w:sz w:val="18"/>
                <w:szCs w:val="18"/>
              </w:rPr>
              <w:t>分）</w:t>
            </w:r>
          </w:p>
        </w:tc>
        <w:tc>
          <w:tcPr>
            <w:tcW w:w="3269" w:type="pct"/>
            <w:shd w:val="clear" w:color="auto" w:fill="auto"/>
            <w:vAlign w:val="center"/>
          </w:tcPr>
          <w:p>
            <w:pPr>
              <w:widowControl/>
              <w:spacing w:line="240" w:lineRule="auto"/>
              <w:textAlignment w:val="center"/>
              <w:rPr>
                <w:rFonts w:ascii="宋体" w:hAnsi="宋体" w:cs="宋体"/>
                <w:kern w:val="0"/>
                <w:sz w:val="18"/>
                <w:szCs w:val="18"/>
              </w:rPr>
            </w:pPr>
            <w:r>
              <w:rPr>
                <w:rFonts w:hint="eastAsia" w:ascii="宋体" w:hAnsi="宋体" w:cs="宋体"/>
                <w:kern w:val="0"/>
                <w:sz w:val="18"/>
                <w:szCs w:val="18"/>
                <w:lang w:bidi="ar"/>
              </w:rPr>
              <w:t>通过生产信息化协同管理工具或平台，能够有效地集成设计数据，为数据解析并驱动生产加工装备提供数据接口，得</w:t>
            </w:r>
            <w:r>
              <w:rPr>
                <w:rFonts w:ascii="宋体" w:hAnsi="宋体" w:cs="宋体"/>
                <w:kern w:val="0"/>
                <w:sz w:val="18"/>
                <w:szCs w:val="18"/>
                <w:lang w:bidi="ar"/>
              </w:rPr>
              <w:t>0.5</w:t>
            </w:r>
            <w:r>
              <w:rPr>
                <w:rFonts w:hint="eastAsia" w:ascii="宋体" w:hAnsi="宋体" w:cs="宋体"/>
                <w:kern w:val="0"/>
                <w:sz w:val="18"/>
                <w:szCs w:val="18"/>
                <w:lang w:bidi="ar"/>
              </w:rPr>
              <w:t>分。</w:t>
            </w:r>
          </w:p>
        </w:tc>
        <w:tc>
          <w:tcPr>
            <w:tcW w:w="528" w:type="pct"/>
            <w:vMerge w:val="restart"/>
            <w:shd w:val="clear" w:color="auto" w:fill="auto"/>
            <w:vAlign w:val="center"/>
          </w:tcPr>
          <w:p>
            <w:pPr>
              <w:snapToGrid w:val="0"/>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1</w:t>
            </w:r>
            <w:r>
              <w:rPr>
                <w:rFonts w:ascii="宋体" w:hAnsi="宋体" w:cs="宋体"/>
                <w:kern w:val="0"/>
                <w:sz w:val="18"/>
                <w:szCs w:val="18"/>
                <w:lang w:bidi="ar"/>
              </w:rPr>
              <w:t>.</w:t>
            </w:r>
            <w:r>
              <w:rPr>
                <w:rFonts w:hint="eastAsia" w:ascii="宋体" w:hAnsi="宋体" w:cs="宋体"/>
                <w:kern w:val="0"/>
                <w:sz w:val="18"/>
                <w:szCs w:val="18"/>
                <w:lang w:bidi="ar"/>
              </w:rPr>
              <w:t>数据交换过程记录；</w:t>
            </w:r>
          </w:p>
          <w:p>
            <w:pPr>
              <w:snapToGrid w:val="0"/>
              <w:spacing w:line="240" w:lineRule="auto"/>
              <w:textAlignment w:val="center"/>
              <w:rPr>
                <w:rFonts w:ascii="宋体" w:hAnsi="宋体" w:cs="宋体"/>
                <w:sz w:val="18"/>
                <w:szCs w:val="18"/>
              </w:rPr>
            </w:pPr>
            <w:r>
              <w:rPr>
                <w:rFonts w:ascii="宋体" w:hAnsi="宋体" w:cs="宋体"/>
                <w:kern w:val="0"/>
                <w:sz w:val="18"/>
                <w:szCs w:val="18"/>
                <w:lang w:bidi="ar"/>
              </w:rPr>
              <w:t>2.</w:t>
            </w:r>
            <w:r>
              <w:rPr>
                <w:rFonts w:hint="eastAsia" w:ascii="宋体" w:hAnsi="宋体" w:cs="宋体"/>
                <w:kern w:val="0"/>
                <w:sz w:val="18"/>
                <w:szCs w:val="18"/>
                <w:lang w:bidi="ar"/>
              </w:rPr>
              <w:t>过程证明文件或视频。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2" w:hRule="atLeast"/>
          <w:jc w:val="center"/>
        </w:trPr>
        <w:tc>
          <w:tcPr>
            <w:tcW w:w="502" w:type="pct"/>
            <w:vMerge w:val="continue"/>
            <w:shd w:val="clear" w:color="auto" w:fill="auto"/>
            <w:vAlign w:val="center"/>
          </w:tcPr>
          <w:p>
            <w:pPr>
              <w:spacing w:line="240" w:lineRule="auto"/>
              <w:jc w:val="center"/>
              <w:rPr>
                <w:rFonts w:ascii="宋体" w:hAnsi="宋体" w:cs="宋体"/>
                <w:sz w:val="18"/>
                <w:szCs w:val="18"/>
              </w:rPr>
            </w:pPr>
          </w:p>
        </w:tc>
        <w:tc>
          <w:tcPr>
            <w:tcW w:w="701" w:type="pct"/>
            <w:vMerge w:val="continue"/>
            <w:shd w:val="clear" w:color="auto" w:fill="auto"/>
            <w:vAlign w:val="center"/>
          </w:tcPr>
          <w:p>
            <w:pPr>
              <w:widowControl/>
              <w:spacing w:line="240" w:lineRule="auto"/>
              <w:jc w:val="center"/>
              <w:textAlignment w:val="center"/>
              <w:rPr>
                <w:rFonts w:ascii="宋体" w:hAnsi="宋体" w:cs="宋体"/>
                <w:kern w:val="0"/>
                <w:sz w:val="18"/>
                <w:szCs w:val="18"/>
                <w:lang w:bidi="ar"/>
              </w:rPr>
            </w:pPr>
          </w:p>
        </w:tc>
        <w:tc>
          <w:tcPr>
            <w:tcW w:w="3269" w:type="pct"/>
            <w:shd w:val="clear" w:color="auto" w:fill="auto"/>
            <w:vAlign w:val="center"/>
          </w:tcPr>
          <w:p>
            <w:pPr>
              <w:widowControl/>
              <w:spacing w:line="240" w:lineRule="auto"/>
              <w:jc w:val="left"/>
              <w:rPr>
                <w:rFonts w:ascii="宋体" w:hAnsi="宋体" w:cs="宋体"/>
                <w:kern w:val="0"/>
                <w:sz w:val="18"/>
                <w:szCs w:val="18"/>
              </w:rPr>
            </w:pPr>
            <w:r>
              <w:rPr>
                <w:rFonts w:hint="eastAsia" w:ascii="宋体" w:hAnsi="宋体" w:cs="宋体"/>
                <w:kern w:val="0"/>
                <w:sz w:val="18"/>
                <w:szCs w:val="18"/>
                <w:lang w:bidi="ar"/>
              </w:rPr>
              <w:t>基于生产信息化协同管理工具或平台，可实现生产排产计划、过程记录、物料信息、</w:t>
            </w:r>
            <w:r>
              <w:rPr>
                <w:rFonts w:ascii="宋体" w:hAnsi="宋体" w:cs="宋体"/>
                <w:kern w:val="0"/>
                <w:sz w:val="18"/>
                <w:szCs w:val="18"/>
                <w:lang w:bidi="ar"/>
              </w:rPr>
              <w:t>物流追踪</w:t>
            </w:r>
            <w:r>
              <w:rPr>
                <w:rFonts w:hint="eastAsia" w:ascii="宋体" w:hAnsi="宋体" w:cs="宋体"/>
                <w:kern w:val="0"/>
                <w:sz w:val="18"/>
                <w:szCs w:val="18"/>
                <w:lang w:bidi="ar"/>
              </w:rPr>
              <w:t>、质量控制、</w:t>
            </w:r>
            <w:r>
              <w:rPr>
                <w:rFonts w:ascii="宋体" w:hAnsi="宋体" w:cs="宋体"/>
                <w:kern w:val="0"/>
                <w:sz w:val="18"/>
                <w:szCs w:val="18"/>
                <w:lang w:bidi="ar"/>
              </w:rPr>
              <w:t>质量追溯</w:t>
            </w:r>
            <w:r>
              <w:rPr>
                <w:rFonts w:hint="eastAsia" w:ascii="宋体" w:hAnsi="宋体" w:cs="宋体"/>
                <w:kern w:val="0"/>
                <w:sz w:val="18"/>
                <w:szCs w:val="18"/>
                <w:lang w:bidi="ar"/>
              </w:rPr>
              <w:t>、交付标准等多方智能化协同管理，得</w:t>
            </w:r>
            <w:r>
              <w:rPr>
                <w:rFonts w:ascii="宋体" w:hAnsi="宋体" w:cs="宋体"/>
                <w:kern w:val="0"/>
                <w:sz w:val="18"/>
                <w:szCs w:val="18"/>
                <w:lang w:bidi="ar"/>
              </w:rPr>
              <w:t>0.5</w:t>
            </w:r>
            <w:r>
              <w:rPr>
                <w:rFonts w:hint="eastAsia" w:ascii="宋体" w:hAnsi="宋体" w:cs="宋体"/>
                <w:kern w:val="0"/>
                <w:sz w:val="18"/>
                <w:szCs w:val="18"/>
                <w:lang w:bidi="ar"/>
              </w:rPr>
              <w:t>分</w:t>
            </w:r>
            <w:r>
              <w:rPr>
                <w:rFonts w:ascii="宋体" w:hAnsi="宋体" w:cs="宋体"/>
                <w:kern w:val="0"/>
                <w:sz w:val="18"/>
                <w:szCs w:val="18"/>
                <w:lang w:bidi="ar"/>
              </w:rPr>
              <w:t>。</w:t>
            </w:r>
          </w:p>
        </w:tc>
        <w:tc>
          <w:tcPr>
            <w:tcW w:w="528" w:type="pct"/>
            <w:vMerge w:val="continue"/>
            <w:shd w:val="clear" w:color="auto" w:fill="auto"/>
            <w:vAlign w:val="center"/>
          </w:tcPr>
          <w:p>
            <w:pPr>
              <w:widowControl/>
              <w:spacing w:line="240" w:lineRule="auto"/>
              <w:jc w:val="center"/>
              <w:textAlignment w:val="center"/>
              <w:rPr>
                <w:rFonts w:ascii="宋体" w:hAnsi="宋体" w:cs="宋体"/>
                <w:kern w:val="0"/>
                <w:sz w:val="18"/>
                <w:szCs w:val="18"/>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62" w:hRule="atLeast"/>
          <w:jc w:val="center"/>
        </w:trPr>
        <w:tc>
          <w:tcPr>
            <w:tcW w:w="502" w:type="pct"/>
            <w:vMerge w:val="continue"/>
            <w:shd w:val="clear" w:color="auto" w:fill="auto"/>
            <w:vAlign w:val="center"/>
          </w:tcPr>
          <w:p>
            <w:pPr>
              <w:spacing w:line="240" w:lineRule="auto"/>
              <w:jc w:val="center"/>
              <w:rPr>
                <w:rFonts w:ascii="宋体" w:hAnsi="宋体" w:cs="宋体"/>
                <w:sz w:val="18"/>
                <w:szCs w:val="18"/>
              </w:rPr>
            </w:pPr>
          </w:p>
        </w:tc>
        <w:tc>
          <w:tcPr>
            <w:tcW w:w="701" w:type="pct"/>
            <w:vMerge w:val="restar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施工协同管理</w:t>
            </w:r>
          </w:p>
          <w:p>
            <w:pPr>
              <w:widowControl/>
              <w:spacing w:line="240" w:lineRule="auto"/>
              <w:jc w:val="center"/>
              <w:textAlignment w:val="center"/>
              <w:rPr>
                <w:rFonts w:ascii="宋体" w:hAnsi="宋体" w:cs="宋体"/>
                <w:kern w:val="0"/>
                <w:sz w:val="18"/>
                <w:szCs w:val="18"/>
                <w:lang w:bidi="ar"/>
              </w:rPr>
            </w:pPr>
            <w:r>
              <w:rPr>
                <w:rFonts w:hint="eastAsia" w:ascii="宋体" w:hAnsi="宋体"/>
                <w:sz w:val="18"/>
                <w:szCs w:val="18"/>
              </w:rPr>
              <w:t>（</w:t>
            </w:r>
            <w:r>
              <w:rPr>
                <w:rFonts w:ascii="宋体" w:hAnsi="宋体"/>
                <w:sz w:val="18"/>
                <w:szCs w:val="18"/>
              </w:rPr>
              <w:t>1</w:t>
            </w:r>
            <w:r>
              <w:rPr>
                <w:rFonts w:hint="eastAsia" w:ascii="宋体" w:hAnsi="宋体"/>
                <w:sz w:val="18"/>
                <w:szCs w:val="18"/>
              </w:rPr>
              <w:t>分）</w:t>
            </w:r>
          </w:p>
        </w:tc>
        <w:tc>
          <w:tcPr>
            <w:tcW w:w="3269" w:type="pct"/>
            <w:shd w:val="clear" w:color="auto" w:fill="auto"/>
            <w:vAlign w:val="center"/>
          </w:tcPr>
          <w:p>
            <w:pPr>
              <w:widowControl/>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以进度管理为主线，涵盖项目现场技术、质量、安全、物资、智慧工地等内容的数字化管理，</w:t>
            </w:r>
            <w:r>
              <w:rPr>
                <w:rFonts w:hint="eastAsia" w:ascii="宋体" w:hAnsi="宋体"/>
                <w:sz w:val="18"/>
                <w:szCs w:val="18"/>
              </w:rPr>
              <w:t>得</w:t>
            </w:r>
            <w:r>
              <w:rPr>
                <w:rFonts w:ascii="宋体" w:hAnsi="宋体"/>
                <w:sz w:val="18"/>
                <w:szCs w:val="18"/>
              </w:rPr>
              <w:t>0.5</w:t>
            </w:r>
            <w:r>
              <w:rPr>
                <w:rFonts w:hint="eastAsia" w:ascii="宋体" w:hAnsi="宋体"/>
                <w:sz w:val="18"/>
                <w:szCs w:val="18"/>
              </w:rPr>
              <w:t>分</w:t>
            </w:r>
            <w:r>
              <w:rPr>
                <w:rFonts w:hint="eastAsia" w:ascii="宋体" w:hAnsi="宋体" w:cs="宋体"/>
                <w:kern w:val="0"/>
                <w:sz w:val="18"/>
                <w:szCs w:val="18"/>
                <w:lang w:bidi="ar"/>
              </w:rPr>
              <w:t>。</w:t>
            </w:r>
          </w:p>
        </w:tc>
        <w:tc>
          <w:tcPr>
            <w:tcW w:w="528" w:type="pct"/>
            <w:vMerge w:val="restart"/>
            <w:shd w:val="clear" w:color="auto" w:fill="auto"/>
            <w:vAlign w:val="center"/>
          </w:tcPr>
          <w:p>
            <w:pPr>
              <w:spacing w:line="240" w:lineRule="auto"/>
              <w:textAlignment w:val="center"/>
              <w:rPr>
                <w:rFonts w:ascii="宋体" w:hAnsi="宋体" w:cs="宋体"/>
                <w:sz w:val="18"/>
                <w:szCs w:val="18"/>
              </w:rPr>
            </w:pPr>
            <w:r>
              <w:rPr>
                <w:rFonts w:ascii="宋体" w:hAnsi="宋体" w:cs="宋体"/>
                <w:kern w:val="0"/>
                <w:sz w:val="18"/>
                <w:szCs w:val="18"/>
                <w:lang w:bidi="ar"/>
              </w:rPr>
              <w:t>1.</w:t>
            </w:r>
            <w:r>
              <w:rPr>
                <w:rFonts w:hint="eastAsia" w:ascii="宋体" w:hAnsi="宋体" w:cs="宋体"/>
                <w:kern w:val="0"/>
                <w:sz w:val="18"/>
                <w:szCs w:val="18"/>
                <w:lang w:bidi="ar"/>
              </w:rPr>
              <w:t>过程证明文件或视频。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6" w:hRule="atLeast"/>
          <w:jc w:val="center"/>
        </w:trPr>
        <w:tc>
          <w:tcPr>
            <w:tcW w:w="502" w:type="pct"/>
            <w:vMerge w:val="continue"/>
            <w:shd w:val="clear" w:color="auto" w:fill="auto"/>
            <w:vAlign w:val="center"/>
          </w:tcPr>
          <w:p>
            <w:pPr>
              <w:spacing w:line="240" w:lineRule="auto"/>
              <w:jc w:val="center"/>
              <w:rPr>
                <w:rFonts w:ascii="宋体" w:hAnsi="宋体" w:cs="宋体"/>
                <w:sz w:val="18"/>
                <w:szCs w:val="18"/>
              </w:rPr>
            </w:pPr>
          </w:p>
        </w:tc>
        <w:tc>
          <w:tcPr>
            <w:tcW w:w="701" w:type="pct"/>
            <w:vMerge w:val="continue"/>
            <w:shd w:val="clear" w:color="auto" w:fill="auto"/>
            <w:vAlign w:val="center"/>
          </w:tcPr>
          <w:p>
            <w:pPr>
              <w:widowControl/>
              <w:spacing w:line="240" w:lineRule="auto"/>
              <w:jc w:val="center"/>
              <w:textAlignment w:val="center"/>
              <w:rPr>
                <w:rFonts w:ascii="宋体" w:hAnsi="宋体" w:cs="宋体"/>
                <w:kern w:val="0"/>
                <w:sz w:val="18"/>
                <w:szCs w:val="18"/>
                <w:lang w:bidi="ar"/>
              </w:rPr>
            </w:pPr>
          </w:p>
        </w:tc>
        <w:tc>
          <w:tcPr>
            <w:tcW w:w="3269" w:type="pct"/>
            <w:shd w:val="clear" w:color="auto" w:fill="auto"/>
            <w:vAlign w:val="center"/>
          </w:tcPr>
          <w:p>
            <w:pPr>
              <w:widowControl/>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总包单位与各专业分包单位的施工进度协同， 施工进度与生产订单协同管理，施工材料全过程信息协同，总分包之间合约及支付协同管理，</w:t>
            </w:r>
            <w:r>
              <w:rPr>
                <w:rFonts w:hint="eastAsia" w:ascii="宋体" w:hAnsi="宋体"/>
                <w:sz w:val="18"/>
                <w:szCs w:val="18"/>
              </w:rPr>
              <w:t>得</w:t>
            </w:r>
            <w:r>
              <w:rPr>
                <w:rFonts w:ascii="宋体" w:hAnsi="宋体"/>
                <w:sz w:val="18"/>
                <w:szCs w:val="18"/>
              </w:rPr>
              <w:t>0.5</w:t>
            </w:r>
            <w:r>
              <w:rPr>
                <w:rFonts w:hint="eastAsia" w:ascii="宋体" w:hAnsi="宋体"/>
                <w:sz w:val="18"/>
                <w:szCs w:val="18"/>
              </w:rPr>
              <w:t>分。</w:t>
            </w:r>
          </w:p>
        </w:tc>
        <w:tc>
          <w:tcPr>
            <w:tcW w:w="528" w:type="pct"/>
            <w:vMerge w:val="continue"/>
            <w:shd w:val="clear" w:color="auto" w:fill="auto"/>
            <w:vAlign w:val="center"/>
          </w:tcPr>
          <w:p>
            <w:pPr>
              <w:widowControl/>
              <w:spacing w:line="240" w:lineRule="auto"/>
              <w:jc w:val="center"/>
              <w:textAlignment w:val="center"/>
              <w:rPr>
                <w:rFonts w:ascii="宋体" w:hAnsi="宋体" w:cs="宋体"/>
                <w:kern w:val="0"/>
                <w:sz w:val="18"/>
                <w:szCs w:val="18"/>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0" w:hRule="atLeast"/>
          <w:jc w:val="center"/>
        </w:trPr>
        <w:tc>
          <w:tcPr>
            <w:tcW w:w="502" w:type="pct"/>
            <w:vMerge w:val="continue"/>
            <w:shd w:val="clear" w:color="auto" w:fill="auto"/>
            <w:vAlign w:val="center"/>
          </w:tcPr>
          <w:p>
            <w:pPr>
              <w:spacing w:line="240" w:lineRule="auto"/>
              <w:jc w:val="center"/>
              <w:rPr>
                <w:rFonts w:ascii="宋体" w:hAnsi="宋体" w:cs="宋体"/>
                <w:sz w:val="18"/>
                <w:szCs w:val="18"/>
              </w:rPr>
            </w:pPr>
          </w:p>
        </w:tc>
        <w:tc>
          <w:tcPr>
            <w:tcW w:w="701"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运维协同管理</w:t>
            </w:r>
          </w:p>
          <w:p>
            <w:pPr>
              <w:widowControl/>
              <w:spacing w:line="240" w:lineRule="auto"/>
              <w:jc w:val="center"/>
              <w:textAlignment w:val="center"/>
              <w:rPr>
                <w:rFonts w:ascii="宋体" w:hAnsi="宋体" w:cs="宋体"/>
                <w:kern w:val="0"/>
                <w:sz w:val="18"/>
                <w:szCs w:val="18"/>
                <w:lang w:bidi="ar"/>
              </w:rPr>
            </w:pPr>
            <w:r>
              <w:rPr>
                <w:rFonts w:hint="eastAsia" w:ascii="宋体" w:hAnsi="宋体"/>
                <w:sz w:val="18"/>
                <w:szCs w:val="18"/>
              </w:rPr>
              <w:t>（</w:t>
            </w:r>
            <w:r>
              <w:rPr>
                <w:rFonts w:ascii="宋体" w:hAnsi="宋体"/>
                <w:sz w:val="18"/>
                <w:szCs w:val="18"/>
              </w:rPr>
              <w:t>1</w:t>
            </w:r>
            <w:r>
              <w:rPr>
                <w:rFonts w:hint="eastAsia" w:ascii="宋体" w:hAnsi="宋体"/>
                <w:sz w:val="18"/>
                <w:szCs w:val="18"/>
              </w:rPr>
              <w:t>分）</w:t>
            </w:r>
          </w:p>
        </w:tc>
        <w:tc>
          <w:tcPr>
            <w:tcW w:w="3269" w:type="pct"/>
            <w:shd w:val="clear" w:color="auto" w:fill="auto"/>
            <w:vAlign w:val="center"/>
          </w:tcPr>
          <w:p>
            <w:pPr>
              <w:widowControl/>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利用设计、生产、施工各阶段的数据成果进行清理并增加运维数据的载入，通过运维平台，对项目运维数据进行管理，</w:t>
            </w:r>
            <w:r>
              <w:rPr>
                <w:rFonts w:hint="eastAsia" w:ascii="宋体" w:hAnsi="宋体"/>
                <w:sz w:val="18"/>
                <w:szCs w:val="18"/>
              </w:rPr>
              <w:t>得</w:t>
            </w:r>
            <w:r>
              <w:rPr>
                <w:rFonts w:ascii="宋体" w:hAnsi="宋体"/>
                <w:sz w:val="18"/>
                <w:szCs w:val="18"/>
              </w:rPr>
              <w:t>1</w:t>
            </w:r>
            <w:r>
              <w:rPr>
                <w:rFonts w:hint="eastAsia" w:ascii="宋体" w:hAnsi="宋体"/>
                <w:sz w:val="18"/>
                <w:szCs w:val="18"/>
              </w:rPr>
              <w:t>分</w:t>
            </w:r>
            <w:r>
              <w:rPr>
                <w:rFonts w:hint="eastAsia" w:ascii="宋体" w:hAnsi="宋体" w:cs="宋体"/>
                <w:kern w:val="0"/>
                <w:sz w:val="18"/>
                <w:szCs w:val="18"/>
                <w:lang w:bidi="ar"/>
              </w:rPr>
              <w:t>。</w:t>
            </w:r>
          </w:p>
        </w:tc>
        <w:tc>
          <w:tcPr>
            <w:tcW w:w="528" w:type="pct"/>
            <w:shd w:val="clear" w:color="auto" w:fill="auto"/>
            <w:vAlign w:val="center"/>
          </w:tcPr>
          <w:p>
            <w:pPr>
              <w:widowControl/>
              <w:snapToGrid w:val="0"/>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1</w:t>
            </w:r>
            <w:r>
              <w:rPr>
                <w:rFonts w:ascii="宋体" w:hAnsi="宋体" w:cs="宋体"/>
                <w:kern w:val="0"/>
                <w:sz w:val="18"/>
                <w:szCs w:val="18"/>
                <w:lang w:bidi="ar"/>
              </w:rPr>
              <w:t>.</w:t>
            </w:r>
            <w:r>
              <w:rPr>
                <w:rFonts w:hint="eastAsia" w:ascii="宋体" w:hAnsi="宋体" w:cs="宋体"/>
                <w:kern w:val="0"/>
                <w:sz w:val="18"/>
                <w:szCs w:val="18"/>
                <w:lang w:bidi="ar"/>
              </w:rPr>
              <w:t>运维平台数据应用成果材料。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0" w:hRule="atLeast"/>
          <w:jc w:val="center"/>
        </w:trPr>
        <w:tc>
          <w:tcPr>
            <w:tcW w:w="502" w:type="pct"/>
            <w:vMerge w:val="continue"/>
            <w:shd w:val="clear" w:color="auto" w:fill="auto"/>
            <w:vAlign w:val="center"/>
          </w:tcPr>
          <w:p>
            <w:pPr>
              <w:spacing w:line="240" w:lineRule="auto"/>
              <w:jc w:val="center"/>
              <w:rPr>
                <w:rFonts w:ascii="宋体" w:hAnsi="宋体" w:cs="宋体"/>
                <w:sz w:val="18"/>
                <w:szCs w:val="18"/>
              </w:rPr>
            </w:pPr>
          </w:p>
        </w:tc>
        <w:tc>
          <w:tcPr>
            <w:tcW w:w="701"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一体化管理</w:t>
            </w:r>
          </w:p>
          <w:p>
            <w:pPr>
              <w:widowControl/>
              <w:spacing w:line="240" w:lineRule="auto"/>
              <w:jc w:val="center"/>
              <w:textAlignment w:val="center"/>
              <w:rPr>
                <w:rFonts w:ascii="宋体" w:hAnsi="宋体" w:cs="宋体"/>
                <w:kern w:val="0"/>
                <w:sz w:val="18"/>
                <w:szCs w:val="18"/>
                <w:lang w:bidi="ar"/>
              </w:rPr>
            </w:pPr>
            <w:r>
              <w:rPr>
                <w:rFonts w:hint="eastAsia" w:ascii="宋体" w:hAnsi="宋体"/>
                <w:sz w:val="18"/>
                <w:szCs w:val="18"/>
              </w:rPr>
              <w:t>（</w:t>
            </w:r>
            <w:r>
              <w:rPr>
                <w:rFonts w:ascii="宋体" w:hAnsi="宋体"/>
                <w:sz w:val="18"/>
                <w:szCs w:val="18"/>
              </w:rPr>
              <w:t>3</w:t>
            </w:r>
            <w:r>
              <w:rPr>
                <w:rFonts w:hint="eastAsia" w:ascii="宋体" w:hAnsi="宋体"/>
                <w:sz w:val="18"/>
                <w:szCs w:val="18"/>
              </w:rPr>
              <w:t>分）</w:t>
            </w:r>
          </w:p>
        </w:tc>
        <w:tc>
          <w:tcPr>
            <w:tcW w:w="3269" w:type="pct"/>
            <w:shd w:val="clear" w:color="auto" w:fill="auto"/>
            <w:vAlign w:val="center"/>
          </w:tcPr>
          <w:p>
            <w:pPr>
              <w:widowControl/>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实现设计、生产、施工、运维全过程一体化信息化管理，各个建造过程基于统一平台进行管理集成，得</w:t>
            </w:r>
            <w:r>
              <w:rPr>
                <w:rFonts w:ascii="宋体" w:hAnsi="宋体" w:cs="宋体"/>
                <w:kern w:val="0"/>
                <w:sz w:val="18"/>
                <w:szCs w:val="18"/>
                <w:lang w:bidi="ar"/>
              </w:rPr>
              <w:t>3</w:t>
            </w:r>
            <w:r>
              <w:rPr>
                <w:rFonts w:hint="eastAsia" w:ascii="宋体" w:hAnsi="宋体" w:cs="宋体"/>
                <w:kern w:val="0"/>
                <w:sz w:val="18"/>
                <w:szCs w:val="18"/>
                <w:lang w:bidi="ar"/>
              </w:rPr>
              <w:t>分。</w:t>
            </w:r>
          </w:p>
        </w:tc>
        <w:tc>
          <w:tcPr>
            <w:tcW w:w="528" w:type="pct"/>
            <w:shd w:val="clear" w:color="auto" w:fill="auto"/>
            <w:vAlign w:val="center"/>
          </w:tcPr>
          <w:p>
            <w:pPr>
              <w:widowControl/>
              <w:snapToGrid w:val="0"/>
              <w:spacing w:line="240" w:lineRule="auto"/>
              <w:textAlignment w:val="center"/>
              <w:rPr>
                <w:rFonts w:ascii="宋体" w:hAnsi="宋体" w:cs="宋体"/>
                <w:kern w:val="0"/>
                <w:sz w:val="18"/>
                <w:szCs w:val="18"/>
                <w:lang w:bidi="ar"/>
              </w:rPr>
            </w:pPr>
            <w:r>
              <w:rPr>
                <w:rFonts w:ascii="宋体" w:hAnsi="宋体" w:cs="宋体"/>
                <w:kern w:val="0"/>
                <w:sz w:val="18"/>
                <w:szCs w:val="18"/>
                <w:lang w:bidi="ar"/>
              </w:rPr>
              <w:t>1.</w:t>
            </w:r>
            <w:r>
              <w:rPr>
                <w:rFonts w:hint="eastAsia" w:ascii="宋体" w:hAnsi="宋体" w:cs="宋体"/>
                <w:kern w:val="0"/>
                <w:sz w:val="18"/>
                <w:szCs w:val="18"/>
                <w:lang w:bidi="ar"/>
              </w:rPr>
              <w:t>过程证明文件或视频。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0" w:hRule="atLeast"/>
          <w:jc w:val="center"/>
        </w:trPr>
        <w:tc>
          <w:tcPr>
            <w:tcW w:w="502" w:type="pct"/>
            <w:vMerge w:val="restart"/>
            <w:shd w:val="clear" w:color="auto" w:fill="auto"/>
            <w:vAlign w:val="center"/>
          </w:tcPr>
          <w:p>
            <w:pPr>
              <w:spacing w:line="240" w:lineRule="auto"/>
              <w:jc w:val="center"/>
              <w:rPr>
                <w:rFonts w:ascii="宋体" w:hAnsi="宋体" w:cs="宋体"/>
                <w:sz w:val="18"/>
                <w:szCs w:val="18"/>
              </w:rPr>
            </w:pPr>
            <w:r>
              <w:rPr>
                <w:rFonts w:hint="eastAsia" w:ascii="宋体" w:hAnsi="宋体" w:cs="宋体"/>
                <w:sz w:val="18"/>
                <w:szCs w:val="18"/>
              </w:rPr>
              <w:t xml:space="preserve">建筑产业 </w:t>
            </w:r>
          </w:p>
          <w:p>
            <w:pPr>
              <w:spacing w:line="240" w:lineRule="auto"/>
              <w:jc w:val="center"/>
              <w:rPr>
                <w:rFonts w:ascii="宋体" w:hAnsi="宋体" w:cs="宋体"/>
                <w:sz w:val="18"/>
                <w:szCs w:val="18"/>
              </w:rPr>
            </w:pPr>
            <w:r>
              <w:rPr>
                <w:rFonts w:hint="eastAsia" w:ascii="宋体" w:hAnsi="宋体" w:cs="宋体"/>
                <w:sz w:val="18"/>
                <w:szCs w:val="18"/>
              </w:rPr>
              <w:t xml:space="preserve">互联网 </w:t>
            </w:r>
          </w:p>
          <w:p>
            <w:pPr>
              <w:spacing w:line="240" w:lineRule="auto"/>
              <w:jc w:val="center"/>
              <w:rPr>
                <w:rFonts w:ascii="宋体" w:hAnsi="宋体" w:cs="宋体"/>
                <w:sz w:val="18"/>
                <w:szCs w:val="18"/>
              </w:rPr>
            </w:pPr>
            <w:r>
              <w:rPr>
                <w:rFonts w:hint="eastAsia" w:ascii="宋体" w:hAnsi="宋体" w:cs="宋体"/>
                <w:sz w:val="18"/>
                <w:szCs w:val="18"/>
              </w:rPr>
              <w:t>平台</w:t>
            </w:r>
          </w:p>
        </w:tc>
        <w:tc>
          <w:tcPr>
            <w:tcW w:w="701"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数据互通</w:t>
            </w:r>
          </w:p>
          <w:p>
            <w:pPr>
              <w:widowControl/>
              <w:spacing w:line="240" w:lineRule="auto"/>
              <w:jc w:val="center"/>
              <w:textAlignment w:val="center"/>
              <w:rPr>
                <w:rFonts w:ascii="宋体" w:hAnsi="宋体" w:cs="宋体"/>
                <w:kern w:val="0"/>
                <w:sz w:val="18"/>
                <w:szCs w:val="18"/>
                <w:lang w:bidi="ar"/>
              </w:rPr>
            </w:pPr>
            <w:r>
              <w:rPr>
                <w:rFonts w:hint="eastAsia" w:ascii="宋体" w:hAnsi="宋体"/>
                <w:sz w:val="18"/>
                <w:szCs w:val="18"/>
              </w:rPr>
              <w:t>（</w:t>
            </w:r>
            <w:r>
              <w:rPr>
                <w:rFonts w:ascii="宋体" w:hAnsi="宋体"/>
                <w:sz w:val="18"/>
                <w:szCs w:val="18"/>
              </w:rPr>
              <w:t>0.5</w:t>
            </w:r>
            <w:r>
              <w:rPr>
                <w:rFonts w:hint="eastAsia" w:ascii="宋体" w:hAnsi="宋体"/>
                <w:sz w:val="18"/>
                <w:szCs w:val="18"/>
              </w:rPr>
              <w:t>分）</w:t>
            </w:r>
          </w:p>
        </w:tc>
        <w:tc>
          <w:tcPr>
            <w:tcW w:w="3269" w:type="pct"/>
            <w:shd w:val="clear" w:color="auto" w:fill="auto"/>
            <w:vAlign w:val="center"/>
          </w:tcPr>
          <w:p>
            <w:pPr>
              <w:widowControl/>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设计、生产、施工各阶段BIM模型及基础数据的生产、采集、交互、交付形成项目级统一标准及可执行的方案，并将模型数据与产业互联网平台互通，</w:t>
            </w:r>
            <w:r>
              <w:rPr>
                <w:rFonts w:hint="eastAsia" w:ascii="宋体" w:hAnsi="宋体"/>
                <w:sz w:val="18"/>
                <w:szCs w:val="18"/>
              </w:rPr>
              <w:t>得</w:t>
            </w:r>
            <w:r>
              <w:rPr>
                <w:rFonts w:ascii="宋体" w:hAnsi="宋体"/>
                <w:sz w:val="18"/>
                <w:szCs w:val="18"/>
              </w:rPr>
              <w:t>0.5</w:t>
            </w:r>
            <w:r>
              <w:rPr>
                <w:rFonts w:hint="eastAsia" w:ascii="宋体" w:hAnsi="宋体"/>
                <w:sz w:val="18"/>
                <w:szCs w:val="18"/>
              </w:rPr>
              <w:t>分</w:t>
            </w:r>
            <w:r>
              <w:rPr>
                <w:rFonts w:hint="eastAsia" w:ascii="宋体" w:hAnsi="宋体" w:cs="宋体"/>
                <w:kern w:val="0"/>
                <w:sz w:val="18"/>
                <w:szCs w:val="18"/>
                <w:lang w:bidi="ar"/>
              </w:rPr>
              <w:t>。</w:t>
            </w:r>
          </w:p>
        </w:tc>
        <w:tc>
          <w:tcPr>
            <w:tcW w:w="528" w:type="pct"/>
            <w:shd w:val="clear" w:color="auto" w:fill="auto"/>
            <w:vAlign w:val="center"/>
          </w:tcPr>
          <w:p>
            <w:pPr>
              <w:widowControl/>
              <w:snapToGrid w:val="0"/>
              <w:spacing w:line="240" w:lineRule="auto"/>
              <w:textAlignment w:val="center"/>
              <w:rPr>
                <w:rFonts w:ascii="宋体" w:hAnsi="宋体" w:cs="宋体"/>
                <w:kern w:val="0"/>
                <w:sz w:val="18"/>
                <w:szCs w:val="18"/>
                <w:lang w:bidi="ar"/>
              </w:rPr>
            </w:pPr>
            <w:r>
              <w:rPr>
                <w:rFonts w:ascii="宋体" w:hAnsi="宋体" w:cs="宋体"/>
                <w:kern w:val="0"/>
                <w:sz w:val="18"/>
                <w:szCs w:val="18"/>
                <w:lang w:bidi="ar"/>
              </w:rPr>
              <w:t>1.</w:t>
            </w:r>
            <w:r>
              <w:rPr>
                <w:rFonts w:hint="eastAsia" w:ascii="宋体" w:hAnsi="宋体" w:cs="宋体"/>
                <w:kern w:val="0"/>
                <w:sz w:val="18"/>
                <w:szCs w:val="18"/>
                <w:lang w:bidi="ar"/>
              </w:rPr>
              <w:t>产业互联网相关系统数据截图。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0" w:hRule="atLeast"/>
          <w:jc w:val="center"/>
        </w:trPr>
        <w:tc>
          <w:tcPr>
            <w:tcW w:w="502" w:type="pct"/>
            <w:vMerge w:val="continue"/>
            <w:shd w:val="clear" w:color="auto" w:fill="auto"/>
            <w:vAlign w:val="center"/>
          </w:tcPr>
          <w:p>
            <w:pPr>
              <w:spacing w:line="240" w:lineRule="auto"/>
              <w:jc w:val="center"/>
              <w:rPr>
                <w:rFonts w:ascii="宋体" w:hAnsi="宋体" w:cs="宋体"/>
                <w:sz w:val="18"/>
                <w:szCs w:val="18"/>
              </w:rPr>
            </w:pPr>
          </w:p>
        </w:tc>
        <w:tc>
          <w:tcPr>
            <w:tcW w:w="701"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闭环应用</w:t>
            </w:r>
          </w:p>
          <w:p>
            <w:pPr>
              <w:widowControl/>
              <w:spacing w:line="240" w:lineRule="auto"/>
              <w:jc w:val="center"/>
              <w:textAlignment w:val="center"/>
              <w:rPr>
                <w:rFonts w:ascii="宋体" w:hAnsi="宋体" w:cs="宋体"/>
                <w:kern w:val="0"/>
                <w:sz w:val="18"/>
                <w:szCs w:val="18"/>
                <w:lang w:bidi="ar"/>
              </w:rPr>
            </w:pPr>
            <w:r>
              <w:rPr>
                <w:rFonts w:hint="eastAsia" w:ascii="宋体" w:hAnsi="宋体"/>
                <w:sz w:val="18"/>
                <w:szCs w:val="18"/>
              </w:rPr>
              <w:t>（</w:t>
            </w:r>
            <w:r>
              <w:rPr>
                <w:rFonts w:ascii="宋体" w:hAnsi="宋体"/>
                <w:sz w:val="18"/>
                <w:szCs w:val="18"/>
              </w:rPr>
              <w:t>1</w:t>
            </w:r>
            <w:r>
              <w:rPr>
                <w:rFonts w:hint="eastAsia" w:ascii="宋体" w:hAnsi="宋体"/>
                <w:sz w:val="18"/>
                <w:szCs w:val="18"/>
              </w:rPr>
              <w:t>分）</w:t>
            </w:r>
          </w:p>
        </w:tc>
        <w:tc>
          <w:tcPr>
            <w:tcW w:w="3269" w:type="pct"/>
            <w:shd w:val="clear" w:color="auto" w:fill="auto"/>
            <w:vAlign w:val="center"/>
          </w:tcPr>
          <w:p>
            <w:pPr>
              <w:widowControl/>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通过连通产业互联网，将设计、生产、施工阶段项目基础数据，包括设计BIM模型数据、生产数据、施工动态数据，根据项目特点形成</w:t>
            </w:r>
            <w:r>
              <w:rPr>
                <w:rFonts w:ascii="宋体" w:hAnsi="宋体" w:cs="宋体"/>
                <w:kern w:val="0"/>
                <w:sz w:val="18"/>
                <w:szCs w:val="18"/>
                <w:lang w:bidi="ar"/>
              </w:rPr>
              <w:t>2</w:t>
            </w:r>
            <w:r>
              <w:rPr>
                <w:rFonts w:hint="eastAsia" w:ascii="宋体" w:hAnsi="宋体" w:cs="宋体"/>
                <w:kern w:val="0"/>
                <w:sz w:val="18"/>
                <w:szCs w:val="18"/>
                <w:lang w:bidi="ar"/>
              </w:rPr>
              <w:t>个及以上典型场景或全过程数字化管理闭环应用，</w:t>
            </w:r>
            <w:r>
              <w:rPr>
                <w:rFonts w:hint="eastAsia" w:ascii="宋体" w:hAnsi="宋体"/>
                <w:sz w:val="18"/>
                <w:szCs w:val="18"/>
              </w:rPr>
              <w:t>得</w:t>
            </w:r>
            <w:r>
              <w:rPr>
                <w:rFonts w:ascii="宋体" w:hAnsi="宋体"/>
                <w:sz w:val="18"/>
                <w:szCs w:val="18"/>
              </w:rPr>
              <w:t>1</w:t>
            </w:r>
            <w:r>
              <w:rPr>
                <w:rFonts w:hint="eastAsia" w:ascii="宋体" w:hAnsi="宋体"/>
                <w:sz w:val="18"/>
                <w:szCs w:val="18"/>
              </w:rPr>
              <w:t>分</w:t>
            </w:r>
            <w:r>
              <w:rPr>
                <w:rFonts w:hint="eastAsia" w:ascii="宋体" w:hAnsi="宋体" w:cs="宋体"/>
                <w:kern w:val="0"/>
                <w:sz w:val="18"/>
                <w:szCs w:val="18"/>
                <w:lang w:bidi="ar"/>
              </w:rPr>
              <w:t>。</w:t>
            </w:r>
          </w:p>
        </w:tc>
        <w:tc>
          <w:tcPr>
            <w:tcW w:w="528" w:type="pct"/>
            <w:shd w:val="clear" w:color="auto" w:fill="auto"/>
            <w:vAlign w:val="center"/>
          </w:tcPr>
          <w:p>
            <w:pPr>
              <w:widowControl/>
              <w:snapToGrid w:val="0"/>
              <w:spacing w:line="240" w:lineRule="auto"/>
              <w:textAlignment w:val="center"/>
              <w:rPr>
                <w:rFonts w:ascii="宋体" w:hAnsi="宋体" w:cs="宋体"/>
                <w:kern w:val="0"/>
                <w:sz w:val="18"/>
                <w:szCs w:val="18"/>
                <w:lang w:bidi="ar"/>
              </w:rPr>
            </w:pPr>
            <w:r>
              <w:rPr>
                <w:rFonts w:ascii="宋体" w:hAnsi="宋体" w:cs="宋体"/>
                <w:kern w:val="0"/>
                <w:sz w:val="18"/>
                <w:szCs w:val="18"/>
                <w:lang w:bidi="ar"/>
              </w:rPr>
              <w:t>1.</w:t>
            </w:r>
            <w:r>
              <w:rPr>
                <w:rFonts w:hint="eastAsia" w:ascii="宋体" w:hAnsi="宋体" w:cs="宋体"/>
                <w:kern w:val="0"/>
                <w:sz w:val="18"/>
                <w:szCs w:val="18"/>
                <w:lang w:bidi="ar"/>
              </w:rPr>
              <w:t>提供全过程应用或场景应用成果截图或视频材料。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0" w:hRule="atLeast"/>
          <w:jc w:val="center"/>
        </w:trPr>
        <w:tc>
          <w:tcPr>
            <w:tcW w:w="502" w:type="pct"/>
            <w:vMerge w:val="continue"/>
            <w:shd w:val="clear" w:color="auto" w:fill="auto"/>
            <w:vAlign w:val="center"/>
          </w:tcPr>
          <w:p>
            <w:pPr>
              <w:spacing w:line="240" w:lineRule="auto"/>
              <w:jc w:val="center"/>
              <w:rPr>
                <w:rFonts w:ascii="宋体" w:hAnsi="宋体" w:cs="宋体"/>
                <w:sz w:val="18"/>
                <w:szCs w:val="18"/>
              </w:rPr>
            </w:pPr>
          </w:p>
        </w:tc>
        <w:tc>
          <w:tcPr>
            <w:tcW w:w="701"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统一标准</w:t>
            </w:r>
          </w:p>
          <w:p>
            <w:pPr>
              <w:widowControl/>
              <w:spacing w:line="240" w:lineRule="auto"/>
              <w:jc w:val="center"/>
              <w:textAlignment w:val="center"/>
              <w:rPr>
                <w:rFonts w:ascii="宋体" w:hAnsi="宋体" w:cs="宋体"/>
                <w:kern w:val="0"/>
                <w:sz w:val="18"/>
                <w:szCs w:val="18"/>
                <w:lang w:bidi="ar"/>
              </w:rPr>
            </w:pPr>
            <w:r>
              <w:rPr>
                <w:rFonts w:hint="eastAsia" w:ascii="宋体" w:hAnsi="宋体"/>
                <w:sz w:val="18"/>
                <w:szCs w:val="18"/>
              </w:rPr>
              <w:t>（</w:t>
            </w:r>
            <w:r>
              <w:rPr>
                <w:rFonts w:ascii="宋体" w:hAnsi="宋体"/>
                <w:sz w:val="18"/>
                <w:szCs w:val="18"/>
              </w:rPr>
              <w:t>0.5</w:t>
            </w:r>
            <w:r>
              <w:rPr>
                <w:rFonts w:hint="eastAsia" w:ascii="宋体" w:hAnsi="宋体"/>
                <w:sz w:val="18"/>
                <w:szCs w:val="18"/>
              </w:rPr>
              <w:t>分）</w:t>
            </w:r>
          </w:p>
        </w:tc>
        <w:tc>
          <w:tcPr>
            <w:tcW w:w="3269" w:type="pct"/>
            <w:shd w:val="clear" w:color="auto" w:fill="auto"/>
            <w:vAlign w:val="center"/>
          </w:tcPr>
          <w:p>
            <w:pPr>
              <w:widowControl/>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制定项目设计、生产、施工、运维全过程统一技术标准或数据标准，使设计、采购、生产、施工、运维等项目各参与方实现数据共享和协同增效，得</w:t>
            </w:r>
            <w:r>
              <w:rPr>
                <w:rFonts w:ascii="宋体" w:hAnsi="宋体"/>
                <w:sz w:val="18"/>
                <w:szCs w:val="18"/>
              </w:rPr>
              <w:t>0.5</w:t>
            </w:r>
            <w:r>
              <w:rPr>
                <w:rFonts w:hint="eastAsia" w:ascii="宋体" w:hAnsi="宋体" w:cs="宋体"/>
                <w:kern w:val="0"/>
                <w:sz w:val="18"/>
                <w:szCs w:val="18"/>
                <w:lang w:bidi="ar"/>
              </w:rPr>
              <w:t>分。</w:t>
            </w:r>
          </w:p>
        </w:tc>
        <w:tc>
          <w:tcPr>
            <w:tcW w:w="528" w:type="pct"/>
            <w:shd w:val="clear" w:color="auto" w:fill="auto"/>
            <w:vAlign w:val="center"/>
          </w:tcPr>
          <w:p>
            <w:pPr>
              <w:widowControl/>
              <w:snapToGrid w:val="0"/>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1</w:t>
            </w:r>
            <w:r>
              <w:rPr>
                <w:rFonts w:ascii="宋体" w:hAnsi="宋体" w:cs="宋体"/>
                <w:kern w:val="0"/>
                <w:sz w:val="18"/>
                <w:szCs w:val="18"/>
                <w:lang w:bidi="ar"/>
              </w:rPr>
              <w:t>.</w:t>
            </w:r>
            <w:r>
              <w:rPr>
                <w:rFonts w:hint="eastAsia" w:ascii="宋体" w:hAnsi="宋体" w:cs="宋体"/>
                <w:kern w:val="0"/>
                <w:sz w:val="18"/>
                <w:szCs w:val="18"/>
                <w:lang w:bidi="ar"/>
              </w:rPr>
              <w:t>提供技术标准或数据标准文件。</w:t>
            </w:r>
          </w:p>
        </w:tc>
      </w:tr>
    </w:tbl>
    <w:p>
      <w:pPr>
        <w:pStyle w:val="114"/>
        <w:spacing w:before="312" w:after="312"/>
      </w:pPr>
      <w:bookmarkStart w:id="81" w:name="_Toc148431727"/>
      <w:r>
        <w:rPr>
          <w:rFonts w:hint="eastAsia"/>
        </w:rPr>
        <w:t>品质与价值评价</w:t>
      </w:r>
      <w:bookmarkEnd w:id="81"/>
    </w:p>
    <w:p>
      <w:pPr>
        <w:pStyle w:val="115"/>
        <w:spacing w:before="156" w:after="156"/>
        <w:ind w:left="0"/>
      </w:pPr>
      <w:r>
        <w:rPr>
          <w:rFonts w:hint="eastAsia"/>
        </w:rPr>
        <w:t>基础项</w:t>
      </w:r>
    </w:p>
    <w:p>
      <w:pPr>
        <w:pStyle w:val="175"/>
      </w:pPr>
      <w:r>
        <w:rPr>
          <w:rFonts w:hint="eastAsia" w:hAnsi="宋体"/>
          <w:szCs w:val="21"/>
        </w:rPr>
        <w:t>参评项目应建立项目质量终身责任信息档案。</w:t>
      </w:r>
    </w:p>
    <w:p>
      <w:pPr>
        <w:pStyle w:val="175"/>
      </w:pPr>
      <w:r>
        <w:rPr>
          <w:rFonts w:hint="eastAsia" w:hAnsi="宋体"/>
          <w:szCs w:val="21"/>
        </w:rPr>
        <w:t>参评项目应建立设计、生产、施工过程中的技术经济管理制度，并具有相应的数据记录和技术经济分析。</w:t>
      </w:r>
    </w:p>
    <w:p>
      <w:pPr>
        <w:pStyle w:val="175"/>
      </w:pPr>
      <w:r>
        <w:rPr>
          <w:rFonts w:hint="eastAsia" w:hAnsi="宋体"/>
          <w:szCs w:val="21"/>
        </w:rPr>
        <w:t>参评项目应建立生产、施工过程中的减碳管理制度，并应具有相应的数据记录和减碳效果分析。</w:t>
      </w:r>
    </w:p>
    <w:p>
      <w:pPr>
        <w:pStyle w:val="175"/>
      </w:pPr>
      <w:r>
        <w:rPr>
          <w:rFonts w:hint="eastAsia" w:hAnsi="宋体"/>
          <w:szCs w:val="21"/>
        </w:rPr>
        <w:t>参评项目应建立生产、施工过程中的节材、节能、节水、节地和环保管理制度，并应具有相应的数据记录和节约效果分析。</w:t>
      </w:r>
    </w:p>
    <w:p>
      <w:pPr>
        <w:pStyle w:val="175"/>
      </w:pPr>
      <w:r>
        <w:rPr>
          <w:rFonts w:hint="eastAsia" w:hAnsi="宋体"/>
          <w:szCs w:val="21"/>
        </w:rPr>
        <w:t>参评项目竣工交付使用后，无重大质量、环保投诉事件发生。</w:t>
      </w:r>
    </w:p>
    <w:p>
      <w:pPr>
        <w:pStyle w:val="115"/>
        <w:spacing w:before="156" w:after="156"/>
        <w:ind w:left="0"/>
      </w:pPr>
      <w:r>
        <w:rPr>
          <w:rFonts w:hint="eastAsia"/>
        </w:rPr>
        <w:t>评分项</w:t>
      </w:r>
    </w:p>
    <w:p>
      <w:pPr>
        <w:pStyle w:val="175"/>
      </w:pPr>
      <w:r>
        <w:rPr>
          <w:rFonts w:hint="eastAsia" w:hAnsi="宋体"/>
          <w:szCs w:val="21"/>
        </w:rPr>
        <w:t>综合效益评分规则应符合表</w:t>
      </w:r>
      <w:r>
        <w:rPr>
          <w:rFonts w:hAnsi="宋体"/>
          <w:szCs w:val="21"/>
        </w:rPr>
        <w:t>8</w:t>
      </w:r>
      <w:r>
        <w:rPr>
          <w:rFonts w:hint="eastAsia" w:hAnsi="宋体"/>
          <w:szCs w:val="21"/>
        </w:rPr>
        <w:t>的规定，本项评价的最高分值为</w:t>
      </w:r>
      <w:r>
        <w:rPr>
          <w:rFonts w:hAnsi="宋体"/>
          <w:szCs w:val="21"/>
        </w:rPr>
        <w:t>20</w:t>
      </w:r>
      <w:r>
        <w:rPr>
          <w:rFonts w:hint="eastAsia" w:hAnsi="宋体"/>
          <w:szCs w:val="21"/>
        </w:rPr>
        <w:t>分。</w:t>
      </w:r>
    </w:p>
    <w:p>
      <w:pPr>
        <w:pStyle w:val="122"/>
        <w:spacing w:before="156" w:after="156"/>
        <w:ind w:left="0"/>
      </w:pPr>
      <w:r>
        <w:rPr>
          <w:rFonts w:hint="eastAsia"/>
        </w:rPr>
        <w:t>综合效益评分规则</w:t>
      </w:r>
    </w:p>
    <w:tbl>
      <w:tblPr>
        <w:tblStyle w:val="34"/>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1166"/>
        <w:gridCol w:w="6387"/>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27" w:type="pc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kern w:val="0"/>
                <w:sz w:val="18"/>
                <w:szCs w:val="18"/>
                <w:lang w:bidi="ar"/>
              </w:rPr>
              <w:t>评价指标</w:t>
            </w:r>
          </w:p>
        </w:tc>
        <w:tc>
          <w:tcPr>
            <w:tcW w:w="610" w:type="pc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评价模块</w:t>
            </w:r>
          </w:p>
        </w:tc>
        <w:tc>
          <w:tcPr>
            <w:tcW w:w="3341" w:type="pc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kern w:val="0"/>
                <w:sz w:val="18"/>
                <w:szCs w:val="18"/>
                <w:lang w:bidi="ar"/>
              </w:rPr>
              <w:t>评分标准</w:t>
            </w:r>
          </w:p>
        </w:tc>
        <w:tc>
          <w:tcPr>
            <w:tcW w:w="522" w:type="pc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kern w:val="0"/>
                <w:sz w:val="18"/>
                <w:szCs w:val="18"/>
                <w:lang w:bidi="ar"/>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527" w:type="pct"/>
            <w:vMerge w:val="restart"/>
            <w:shd w:val="clear" w:color="auto" w:fill="auto"/>
            <w:vAlign w:val="center"/>
          </w:tcPr>
          <w:p>
            <w:pPr>
              <w:spacing w:line="240" w:lineRule="auto"/>
              <w:rPr>
                <w:rFonts w:ascii="宋体" w:hAnsi="宋体" w:cs="宋体"/>
                <w:sz w:val="18"/>
                <w:szCs w:val="18"/>
              </w:rPr>
            </w:pPr>
            <w:r>
              <w:rPr>
                <w:rFonts w:hint="eastAsia" w:ascii="宋体" w:hAnsi="宋体" w:cs="宋体"/>
                <w:sz w:val="18"/>
                <w:szCs w:val="18"/>
              </w:rPr>
              <w:t>经济效益</w:t>
            </w:r>
          </w:p>
        </w:tc>
        <w:tc>
          <w:tcPr>
            <w:tcW w:w="610" w:type="pct"/>
            <w:shd w:val="clear" w:color="auto" w:fill="auto"/>
            <w:vAlign w:val="center"/>
          </w:tcPr>
          <w:p>
            <w:pPr>
              <w:spacing w:line="240" w:lineRule="auto"/>
              <w:jc w:val="center"/>
              <w:rPr>
                <w:rFonts w:ascii="宋体" w:hAnsi="宋体" w:cs="宋体"/>
                <w:sz w:val="18"/>
                <w:szCs w:val="18"/>
              </w:rPr>
            </w:pPr>
            <w:r>
              <w:rPr>
                <w:rFonts w:hint="eastAsia" w:ascii="宋体" w:hAnsi="宋体" w:cs="宋体"/>
                <w:sz w:val="18"/>
                <w:szCs w:val="18"/>
              </w:rPr>
              <w:t>建造成本</w:t>
            </w:r>
          </w:p>
          <w:p>
            <w:pPr>
              <w:spacing w:line="240" w:lineRule="auto"/>
              <w:jc w:val="center"/>
              <w:rPr>
                <w:rFonts w:ascii="宋体" w:hAnsi="宋体" w:cs="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分）</w:t>
            </w:r>
          </w:p>
        </w:tc>
        <w:tc>
          <w:tcPr>
            <w:tcW w:w="3341" w:type="pct"/>
            <w:shd w:val="clear" w:color="auto" w:fill="auto"/>
            <w:vAlign w:val="center"/>
          </w:tcPr>
          <w:p>
            <w:pPr>
              <w:widowControl/>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建造成本较《湖北省建筑工程概算定额及全费用基价表》中“附录2</w:t>
            </w:r>
            <w:r>
              <w:rPr>
                <w:rFonts w:ascii="宋体" w:hAnsi="宋体" w:cs="宋体"/>
                <w:kern w:val="0"/>
                <w:sz w:val="18"/>
                <w:szCs w:val="18"/>
                <w:lang w:bidi="ar"/>
              </w:rPr>
              <w:t xml:space="preserve"> </w:t>
            </w:r>
            <w:r>
              <w:rPr>
                <w:rFonts w:hint="eastAsia" w:ascii="宋体" w:hAnsi="宋体" w:cs="宋体"/>
                <w:kern w:val="0"/>
                <w:sz w:val="18"/>
                <w:szCs w:val="18"/>
                <w:lang w:bidi="ar"/>
              </w:rPr>
              <w:t>典型工程经济指标参考”中同类型项目经济指标区间低值降低</w:t>
            </w:r>
            <w:r>
              <w:rPr>
                <w:rFonts w:ascii="宋体" w:hAnsi="宋体" w:cs="宋体"/>
                <w:kern w:val="0"/>
                <w:sz w:val="18"/>
                <w:szCs w:val="18"/>
                <w:lang w:bidi="ar"/>
              </w:rPr>
              <w:t>1</w:t>
            </w:r>
            <w:r>
              <w:rPr>
                <w:rFonts w:hint="eastAsia" w:ascii="宋体" w:hAnsi="宋体" w:cs="宋体"/>
                <w:kern w:val="0"/>
                <w:sz w:val="18"/>
                <w:szCs w:val="18"/>
                <w:lang w:bidi="ar"/>
              </w:rPr>
              <w:t>%以上，得</w:t>
            </w:r>
            <w:r>
              <w:rPr>
                <w:rFonts w:ascii="宋体" w:hAnsi="宋体" w:cs="宋体"/>
                <w:kern w:val="0"/>
                <w:sz w:val="18"/>
                <w:szCs w:val="18"/>
                <w:lang w:bidi="ar"/>
              </w:rPr>
              <w:t>2</w:t>
            </w:r>
            <w:r>
              <w:rPr>
                <w:rFonts w:hint="eastAsia" w:ascii="宋体" w:hAnsi="宋体" w:cs="宋体"/>
                <w:kern w:val="0"/>
                <w:sz w:val="18"/>
                <w:szCs w:val="18"/>
                <w:lang w:bidi="ar"/>
              </w:rPr>
              <w:t>分；降低</w:t>
            </w:r>
            <w:r>
              <w:rPr>
                <w:rFonts w:ascii="宋体" w:hAnsi="宋体" w:cs="宋体"/>
                <w:kern w:val="0"/>
                <w:sz w:val="18"/>
                <w:szCs w:val="18"/>
                <w:lang w:bidi="ar"/>
              </w:rPr>
              <w:t>3</w:t>
            </w:r>
            <w:r>
              <w:rPr>
                <w:rFonts w:hint="eastAsia" w:ascii="宋体" w:hAnsi="宋体" w:cs="宋体"/>
                <w:kern w:val="0"/>
                <w:sz w:val="18"/>
                <w:szCs w:val="18"/>
                <w:lang w:bidi="ar"/>
              </w:rPr>
              <w:t>%以上，得</w:t>
            </w:r>
            <w:r>
              <w:rPr>
                <w:rFonts w:ascii="宋体" w:hAnsi="宋体" w:cs="宋体"/>
                <w:kern w:val="0"/>
                <w:sz w:val="18"/>
                <w:szCs w:val="18"/>
                <w:lang w:bidi="ar"/>
              </w:rPr>
              <w:t>4</w:t>
            </w:r>
            <w:r>
              <w:rPr>
                <w:rFonts w:hint="eastAsia" w:ascii="宋体" w:hAnsi="宋体" w:cs="宋体"/>
                <w:kern w:val="0"/>
                <w:sz w:val="18"/>
                <w:szCs w:val="18"/>
                <w:lang w:bidi="ar"/>
              </w:rPr>
              <w:t>分；降低</w:t>
            </w:r>
            <w:r>
              <w:rPr>
                <w:rFonts w:ascii="宋体" w:hAnsi="宋体" w:cs="宋体"/>
                <w:kern w:val="0"/>
                <w:sz w:val="18"/>
                <w:szCs w:val="18"/>
                <w:lang w:bidi="ar"/>
              </w:rPr>
              <w:t>5</w:t>
            </w:r>
            <w:r>
              <w:rPr>
                <w:rFonts w:hint="eastAsia" w:ascii="宋体" w:hAnsi="宋体" w:cs="宋体"/>
                <w:kern w:val="0"/>
                <w:sz w:val="18"/>
                <w:szCs w:val="18"/>
                <w:lang w:bidi="ar"/>
              </w:rPr>
              <w:t>%以上，得</w:t>
            </w:r>
            <w:r>
              <w:rPr>
                <w:rFonts w:ascii="宋体" w:hAnsi="宋体" w:cs="宋体"/>
                <w:kern w:val="0"/>
                <w:sz w:val="18"/>
                <w:szCs w:val="18"/>
                <w:lang w:bidi="ar"/>
              </w:rPr>
              <w:t>6</w:t>
            </w:r>
            <w:r>
              <w:rPr>
                <w:rFonts w:hint="eastAsia" w:ascii="宋体" w:hAnsi="宋体" w:cs="宋体"/>
                <w:kern w:val="0"/>
                <w:sz w:val="18"/>
                <w:szCs w:val="18"/>
                <w:lang w:bidi="ar"/>
              </w:rPr>
              <w:t>分。</w:t>
            </w:r>
          </w:p>
          <w:p>
            <w:pPr>
              <w:widowControl/>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若项目计算范围与附录2中不同，则按达到10个及以上分部工程建造成本较经济指标区间低值降低</w:t>
            </w:r>
            <w:r>
              <w:rPr>
                <w:rFonts w:ascii="宋体" w:hAnsi="宋体" w:cs="宋体"/>
                <w:kern w:val="0"/>
                <w:sz w:val="18"/>
                <w:szCs w:val="18"/>
                <w:lang w:bidi="ar"/>
              </w:rPr>
              <w:t>1</w:t>
            </w:r>
            <w:r>
              <w:rPr>
                <w:rFonts w:hint="eastAsia" w:ascii="宋体" w:hAnsi="宋体" w:cs="宋体"/>
                <w:kern w:val="0"/>
                <w:sz w:val="18"/>
                <w:szCs w:val="18"/>
                <w:lang w:bidi="ar"/>
              </w:rPr>
              <w:t>%以上，得</w:t>
            </w:r>
            <w:r>
              <w:rPr>
                <w:rFonts w:ascii="宋体" w:hAnsi="宋体" w:cs="宋体"/>
                <w:kern w:val="0"/>
                <w:sz w:val="18"/>
                <w:szCs w:val="18"/>
                <w:lang w:bidi="ar"/>
              </w:rPr>
              <w:t>2</w:t>
            </w:r>
            <w:r>
              <w:rPr>
                <w:rFonts w:hint="eastAsia" w:ascii="宋体" w:hAnsi="宋体" w:cs="宋体"/>
                <w:kern w:val="0"/>
                <w:sz w:val="18"/>
                <w:szCs w:val="18"/>
                <w:lang w:bidi="ar"/>
              </w:rPr>
              <w:t>分；降低</w:t>
            </w:r>
            <w:r>
              <w:rPr>
                <w:rFonts w:ascii="宋体" w:hAnsi="宋体" w:cs="宋体"/>
                <w:kern w:val="0"/>
                <w:sz w:val="18"/>
                <w:szCs w:val="18"/>
                <w:lang w:bidi="ar"/>
              </w:rPr>
              <w:t>3</w:t>
            </w:r>
            <w:r>
              <w:rPr>
                <w:rFonts w:hint="eastAsia" w:ascii="宋体" w:hAnsi="宋体" w:cs="宋体"/>
                <w:kern w:val="0"/>
                <w:sz w:val="18"/>
                <w:szCs w:val="18"/>
                <w:lang w:bidi="ar"/>
              </w:rPr>
              <w:t>%以上，得</w:t>
            </w:r>
            <w:r>
              <w:rPr>
                <w:rFonts w:ascii="宋体" w:hAnsi="宋体" w:cs="宋体"/>
                <w:kern w:val="0"/>
                <w:sz w:val="18"/>
                <w:szCs w:val="18"/>
                <w:lang w:bidi="ar"/>
              </w:rPr>
              <w:t>4</w:t>
            </w:r>
            <w:r>
              <w:rPr>
                <w:rFonts w:hint="eastAsia" w:ascii="宋体" w:hAnsi="宋体" w:cs="宋体"/>
                <w:kern w:val="0"/>
                <w:sz w:val="18"/>
                <w:szCs w:val="18"/>
                <w:lang w:bidi="ar"/>
              </w:rPr>
              <w:t>分；降低</w:t>
            </w:r>
            <w:r>
              <w:rPr>
                <w:rFonts w:ascii="宋体" w:hAnsi="宋体" w:cs="宋体"/>
                <w:kern w:val="0"/>
                <w:sz w:val="18"/>
                <w:szCs w:val="18"/>
                <w:lang w:bidi="ar"/>
              </w:rPr>
              <w:t>5</w:t>
            </w:r>
            <w:r>
              <w:rPr>
                <w:rFonts w:hint="eastAsia" w:ascii="宋体" w:hAnsi="宋体" w:cs="宋体"/>
                <w:kern w:val="0"/>
                <w:sz w:val="18"/>
                <w:szCs w:val="18"/>
                <w:lang w:bidi="ar"/>
              </w:rPr>
              <w:t>%以上，得</w:t>
            </w:r>
            <w:r>
              <w:rPr>
                <w:rFonts w:ascii="宋体" w:hAnsi="宋体" w:cs="宋体"/>
                <w:kern w:val="0"/>
                <w:sz w:val="18"/>
                <w:szCs w:val="18"/>
                <w:lang w:bidi="ar"/>
              </w:rPr>
              <w:t>6</w:t>
            </w:r>
            <w:r>
              <w:rPr>
                <w:rFonts w:hint="eastAsia" w:ascii="宋体" w:hAnsi="宋体" w:cs="宋体"/>
                <w:kern w:val="0"/>
                <w:sz w:val="18"/>
                <w:szCs w:val="18"/>
                <w:lang w:bidi="ar"/>
              </w:rPr>
              <w:t>分。</w:t>
            </w:r>
          </w:p>
        </w:tc>
        <w:tc>
          <w:tcPr>
            <w:tcW w:w="522" w:type="pct"/>
            <w:shd w:val="clear" w:color="auto" w:fill="auto"/>
            <w:vAlign w:val="center"/>
          </w:tcPr>
          <w:p>
            <w:pPr>
              <w:snapToGrid w:val="0"/>
              <w:spacing w:line="240" w:lineRule="auto"/>
              <w:textAlignment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w:t>
            </w:r>
            <w:r>
              <w:rPr>
                <w:rFonts w:hint="eastAsia" w:ascii="宋体" w:hAnsi="宋体" w:cs="宋体"/>
                <w:sz w:val="18"/>
                <w:szCs w:val="18"/>
              </w:rPr>
              <w:t>成本分析报告。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7" w:type="pct"/>
            <w:vMerge w:val="continue"/>
            <w:shd w:val="clear" w:color="auto" w:fill="auto"/>
            <w:vAlign w:val="center"/>
          </w:tcPr>
          <w:p>
            <w:pPr>
              <w:spacing w:line="240" w:lineRule="auto"/>
              <w:rPr>
                <w:rFonts w:ascii="宋体" w:hAnsi="宋体" w:cs="宋体"/>
                <w:sz w:val="18"/>
                <w:szCs w:val="18"/>
              </w:rPr>
            </w:pPr>
          </w:p>
        </w:tc>
        <w:tc>
          <w:tcPr>
            <w:tcW w:w="610"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用工投入</w:t>
            </w:r>
          </w:p>
          <w:p>
            <w:pPr>
              <w:widowControl/>
              <w:spacing w:line="240" w:lineRule="auto"/>
              <w:jc w:val="center"/>
              <w:textAlignment w:val="center"/>
              <w:rPr>
                <w:rFonts w:ascii="宋体" w:hAnsi="宋体" w:cs="宋体"/>
                <w:kern w:val="0"/>
                <w:sz w:val="18"/>
                <w:szCs w:val="18"/>
                <w:lang w:bidi="ar"/>
              </w:rPr>
            </w:pPr>
            <w:r>
              <w:rPr>
                <w:rFonts w:hint="eastAsia" w:ascii="宋体" w:hAnsi="宋体"/>
                <w:sz w:val="18"/>
                <w:szCs w:val="18"/>
              </w:rPr>
              <w:t>（</w:t>
            </w:r>
            <w:r>
              <w:rPr>
                <w:rFonts w:ascii="宋体" w:hAnsi="宋体"/>
                <w:sz w:val="18"/>
                <w:szCs w:val="18"/>
              </w:rPr>
              <w:t>2</w:t>
            </w:r>
            <w:r>
              <w:rPr>
                <w:rFonts w:hint="eastAsia" w:ascii="宋体" w:hAnsi="宋体"/>
                <w:sz w:val="18"/>
                <w:szCs w:val="18"/>
              </w:rPr>
              <w:t>分）</w:t>
            </w:r>
          </w:p>
        </w:tc>
        <w:tc>
          <w:tcPr>
            <w:tcW w:w="3341" w:type="pct"/>
            <w:shd w:val="clear" w:color="auto" w:fill="auto"/>
            <w:vAlign w:val="center"/>
          </w:tcPr>
          <w:p>
            <w:pPr>
              <w:widowControl/>
              <w:spacing w:line="240" w:lineRule="auto"/>
              <w:textAlignment w:val="center"/>
              <w:rPr>
                <w:rFonts w:ascii="宋体" w:hAnsi="宋体" w:cs="宋体"/>
                <w:sz w:val="18"/>
                <w:szCs w:val="18"/>
              </w:rPr>
            </w:pPr>
            <w:r>
              <w:rPr>
                <w:rFonts w:hint="eastAsia" w:ascii="宋体" w:hAnsi="宋体" w:cs="宋体"/>
                <w:sz w:val="18"/>
                <w:szCs w:val="18"/>
              </w:rPr>
              <w:t>采用智能施工和智能化人员管理，提高人工效率，减少人员投入，分部工程总用工量较定额减少5</w:t>
            </w:r>
            <w:r>
              <w:rPr>
                <w:rFonts w:ascii="宋体" w:hAnsi="宋体" w:cs="宋体"/>
                <w:sz w:val="18"/>
                <w:szCs w:val="18"/>
              </w:rPr>
              <w:t>%</w:t>
            </w:r>
            <w:r>
              <w:rPr>
                <w:rFonts w:hint="eastAsia" w:ascii="宋体" w:hAnsi="宋体" w:cs="宋体"/>
                <w:sz w:val="18"/>
                <w:szCs w:val="18"/>
              </w:rPr>
              <w:t>及以上，其中两个分部工程分别达标即可，得2分。</w:t>
            </w:r>
          </w:p>
        </w:tc>
        <w:tc>
          <w:tcPr>
            <w:tcW w:w="522" w:type="pct"/>
            <w:shd w:val="clear" w:color="auto" w:fill="auto"/>
            <w:vAlign w:val="center"/>
          </w:tcPr>
          <w:p>
            <w:pPr>
              <w:snapToGrid w:val="0"/>
              <w:spacing w:line="240" w:lineRule="auto"/>
              <w:textAlignment w:val="center"/>
              <w:rPr>
                <w:rFonts w:ascii="宋体" w:hAnsi="宋体" w:cs="宋体"/>
                <w:sz w:val="18"/>
                <w:szCs w:val="18"/>
              </w:rPr>
            </w:pPr>
            <w:r>
              <w:rPr>
                <w:rFonts w:ascii="宋体" w:hAnsi="宋体" w:cs="宋体"/>
                <w:kern w:val="0"/>
                <w:sz w:val="18"/>
                <w:szCs w:val="18"/>
                <w:lang w:bidi="ar"/>
              </w:rPr>
              <w:t>1.</w:t>
            </w:r>
            <w:r>
              <w:rPr>
                <w:rFonts w:hint="eastAsia" w:ascii="宋体" w:hAnsi="宋体" w:cs="宋体"/>
                <w:kern w:val="0"/>
                <w:sz w:val="18"/>
                <w:szCs w:val="18"/>
                <w:lang w:bidi="ar"/>
              </w:rPr>
              <w:t>人员、用工量减少证明文件或其他依据。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27" w:type="pct"/>
            <w:vMerge w:val="continue"/>
            <w:shd w:val="clear" w:color="auto" w:fill="auto"/>
            <w:vAlign w:val="center"/>
          </w:tcPr>
          <w:p>
            <w:pPr>
              <w:spacing w:line="240" w:lineRule="auto"/>
              <w:jc w:val="center"/>
              <w:rPr>
                <w:rFonts w:ascii="宋体" w:hAnsi="宋体" w:cs="宋体"/>
                <w:sz w:val="18"/>
                <w:szCs w:val="18"/>
              </w:rPr>
            </w:pPr>
          </w:p>
        </w:tc>
        <w:tc>
          <w:tcPr>
            <w:tcW w:w="610"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材料损耗</w:t>
            </w:r>
          </w:p>
          <w:p>
            <w:pPr>
              <w:widowControl/>
              <w:spacing w:line="240" w:lineRule="auto"/>
              <w:jc w:val="center"/>
              <w:textAlignment w:val="center"/>
              <w:rPr>
                <w:rFonts w:ascii="宋体" w:hAnsi="宋体" w:cs="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分）</w:t>
            </w:r>
          </w:p>
        </w:tc>
        <w:tc>
          <w:tcPr>
            <w:tcW w:w="3341" w:type="pct"/>
            <w:shd w:val="clear" w:color="auto" w:fill="auto"/>
            <w:vAlign w:val="center"/>
          </w:tcPr>
          <w:p>
            <w:pPr>
              <w:widowControl/>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采用智能施工和智能化设备管理，提高材料利用率，降低施工损耗，分部工程主要材料（钢筋、商品混凝土、型钢、幕墙、电缆、桥架、风管等）较定额降低</w:t>
            </w:r>
            <w:r>
              <w:rPr>
                <w:rFonts w:ascii="宋体" w:hAnsi="宋体" w:cs="宋体"/>
                <w:kern w:val="0"/>
                <w:sz w:val="18"/>
                <w:szCs w:val="18"/>
                <w:lang w:bidi="ar"/>
              </w:rPr>
              <w:t>5</w:t>
            </w:r>
            <w:r>
              <w:rPr>
                <w:rFonts w:hint="eastAsia" w:ascii="宋体" w:hAnsi="宋体" w:cs="宋体"/>
                <w:kern w:val="0"/>
                <w:sz w:val="18"/>
                <w:szCs w:val="18"/>
                <w:lang w:bidi="ar"/>
              </w:rPr>
              <w:t>%及以上，其中两个分部工程分别达标即可，得2分。</w:t>
            </w:r>
          </w:p>
        </w:tc>
        <w:tc>
          <w:tcPr>
            <w:tcW w:w="522" w:type="pct"/>
            <w:shd w:val="clear" w:color="auto" w:fill="auto"/>
            <w:vAlign w:val="center"/>
          </w:tcPr>
          <w:p>
            <w:pPr>
              <w:snapToGrid w:val="0"/>
              <w:spacing w:line="240" w:lineRule="auto"/>
              <w:textAlignment w:val="center"/>
              <w:rPr>
                <w:rFonts w:ascii="宋体" w:hAnsi="宋体" w:cs="宋体"/>
                <w:sz w:val="18"/>
                <w:szCs w:val="18"/>
              </w:rPr>
            </w:pPr>
            <w:r>
              <w:rPr>
                <w:rFonts w:hint="eastAsia" w:ascii="宋体" w:hAnsi="宋体" w:cs="宋体"/>
                <w:kern w:val="0"/>
                <w:sz w:val="18"/>
                <w:szCs w:val="18"/>
                <w:lang w:bidi="ar"/>
              </w:rPr>
              <w:t>1</w:t>
            </w:r>
            <w:r>
              <w:rPr>
                <w:rFonts w:ascii="宋体" w:hAnsi="宋体" w:cs="宋体"/>
                <w:kern w:val="0"/>
                <w:sz w:val="18"/>
                <w:szCs w:val="18"/>
                <w:lang w:bidi="ar"/>
              </w:rPr>
              <w:t>.</w:t>
            </w:r>
            <w:r>
              <w:rPr>
                <w:rFonts w:hint="eastAsia" w:ascii="宋体" w:hAnsi="宋体" w:cs="宋体"/>
                <w:kern w:val="0"/>
                <w:sz w:val="18"/>
                <w:szCs w:val="18"/>
                <w:lang w:bidi="ar"/>
              </w:rPr>
              <w:t>材料损耗降低证明文件或其他依据。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527" w:type="pct"/>
            <w:vMerge w:val="continue"/>
            <w:shd w:val="clear" w:color="auto" w:fill="auto"/>
            <w:vAlign w:val="center"/>
          </w:tcPr>
          <w:p>
            <w:pPr>
              <w:spacing w:line="240" w:lineRule="auto"/>
              <w:jc w:val="center"/>
              <w:rPr>
                <w:rFonts w:ascii="宋体" w:hAnsi="宋体" w:cs="宋体"/>
                <w:sz w:val="18"/>
                <w:szCs w:val="18"/>
              </w:rPr>
            </w:pPr>
          </w:p>
        </w:tc>
        <w:tc>
          <w:tcPr>
            <w:tcW w:w="610"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材料库存</w:t>
            </w:r>
          </w:p>
          <w:p>
            <w:pPr>
              <w:widowControl/>
              <w:spacing w:line="240" w:lineRule="auto"/>
              <w:jc w:val="center"/>
              <w:textAlignment w:val="center"/>
              <w:rPr>
                <w:rFonts w:ascii="宋体" w:hAnsi="宋体" w:cs="宋体"/>
                <w:kern w:val="0"/>
                <w:sz w:val="18"/>
                <w:szCs w:val="18"/>
                <w:lang w:bidi="ar"/>
              </w:rPr>
            </w:pPr>
            <w:r>
              <w:rPr>
                <w:rFonts w:hint="eastAsia" w:ascii="宋体" w:hAnsi="宋体"/>
                <w:sz w:val="18"/>
                <w:szCs w:val="18"/>
              </w:rPr>
              <w:t>（</w:t>
            </w:r>
            <w:r>
              <w:rPr>
                <w:rFonts w:ascii="宋体" w:hAnsi="宋体"/>
                <w:sz w:val="18"/>
                <w:szCs w:val="18"/>
              </w:rPr>
              <w:t>2</w:t>
            </w:r>
            <w:r>
              <w:rPr>
                <w:rFonts w:hint="eastAsia" w:ascii="宋体" w:hAnsi="宋体"/>
                <w:sz w:val="18"/>
                <w:szCs w:val="18"/>
              </w:rPr>
              <w:t>分）</w:t>
            </w:r>
          </w:p>
        </w:tc>
        <w:tc>
          <w:tcPr>
            <w:tcW w:w="3341" w:type="pct"/>
            <w:shd w:val="clear" w:color="auto" w:fill="auto"/>
            <w:vAlign w:val="center"/>
          </w:tcPr>
          <w:p>
            <w:pPr>
              <w:widowControl/>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采用智能施工和智能化物料管理，科学精准把控材料采购、入库、领用、回收、退货等，提高材料周转效率，减少材料的仓储时间、存货数量。主要材料（钢筋、商品混凝土、型钢、幕墙、电缆、桥架、风管等）的运输损耗</w:t>
            </w:r>
            <w:r>
              <w:rPr>
                <w:rFonts w:ascii="宋体" w:hAnsi="宋体" w:cs="宋体"/>
                <w:kern w:val="0"/>
                <w:sz w:val="18"/>
                <w:szCs w:val="18"/>
                <w:lang w:bidi="ar"/>
              </w:rPr>
              <w:t>费</w:t>
            </w:r>
            <w:r>
              <w:rPr>
                <w:rFonts w:hint="eastAsia" w:ascii="宋体" w:hAnsi="宋体" w:cs="宋体"/>
                <w:kern w:val="0"/>
                <w:sz w:val="18"/>
                <w:szCs w:val="18"/>
                <w:lang w:bidi="ar"/>
              </w:rPr>
              <w:t>、采购费和保管费分别较基准价（分别为材料采购价的2%、1%、1.5%）降低5%以上，其中两个分部工程分别达标即可，得2分。</w:t>
            </w:r>
          </w:p>
        </w:tc>
        <w:tc>
          <w:tcPr>
            <w:tcW w:w="522" w:type="pct"/>
            <w:shd w:val="clear" w:color="auto" w:fill="auto"/>
            <w:vAlign w:val="center"/>
          </w:tcPr>
          <w:p>
            <w:pPr>
              <w:spacing w:line="240" w:lineRule="auto"/>
              <w:textAlignment w:val="center"/>
              <w:rPr>
                <w:rFonts w:ascii="宋体" w:hAnsi="宋体" w:cs="宋体"/>
                <w:kern w:val="0"/>
                <w:sz w:val="18"/>
                <w:szCs w:val="18"/>
                <w:lang w:bidi="ar"/>
              </w:rPr>
            </w:pPr>
            <w:r>
              <w:rPr>
                <w:rFonts w:ascii="宋体" w:hAnsi="宋体" w:cs="宋体"/>
                <w:kern w:val="0"/>
                <w:sz w:val="18"/>
                <w:szCs w:val="18"/>
                <w:lang w:bidi="ar"/>
              </w:rPr>
              <w:t>1.</w:t>
            </w:r>
            <w:r>
              <w:rPr>
                <w:rFonts w:hint="eastAsia" w:ascii="宋体" w:hAnsi="宋体" w:cs="宋体"/>
                <w:kern w:val="0"/>
                <w:sz w:val="18"/>
                <w:szCs w:val="18"/>
                <w:lang w:bidi="ar"/>
              </w:rPr>
              <w:t>费用降低证明文件或其他依据。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527" w:type="pct"/>
            <w:vMerge w:val="restart"/>
            <w:shd w:val="clear" w:color="auto" w:fill="auto"/>
            <w:vAlign w:val="center"/>
          </w:tcPr>
          <w:p>
            <w:pPr>
              <w:widowControl/>
              <w:spacing w:line="24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社会效益</w:t>
            </w:r>
          </w:p>
        </w:tc>
        <w:tc>
          <w:tcPr>
            <w:tcW w:w="610" w:type="pct"/>
            <w:vMerge w:val="restar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员工福利</w:t>
            </w:r>
          </w:p>
          <w:p>
            <w:pPr>
              <w:widowControl/>
              <w:spacing w:line="240" w:lineRule="auto"/>
              <w:jc w:val="center"/>
              <w:textAlignment w:val="center"/>
              <w:rPr>
                <w:rFonts w:ascii="宋体" w:hAnsi="宋体" w:cs="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分）</w:t>
            </w:r>
          </w:p>
        </w:tc>
        <w:tc>
          <w:tcPr>
            <w:tcW w:w="3341" w:type="pct"/>
            <w:shd w:val="clear" w:color="auto" w:fill="auto"/>
            <w:vAlign w:val="center"/>
          </w:tcPr>
          <w:p>
            <w:pPr>
              <w:widowControl/>
              <w:spacing w:line="240" w:lineRule="auto"/>
              <w:textAlignment w:val="center"/>
              <w:rPr>
                <w:rFonts w:ascii="宋体" w:hAnsi="宋体" w:cs="宋体"/>
                <w:sz w:val="18"/>
                <w:szCs w:val="18"/>
              </w:rPr>
            </w:pPr>
            <w:r>
              <w:rPr>
                <w:rFonts w:hint="eastAsia" w:ascii="宋体" w:hAnsi="宋体" w:cs="宋体"/>
                <w:sz w:val="18"/>
                <w:szCs w:val="18"/>
              </w:rPr>
              <w:t>培育取得从业资格证产业工人不少于2人/万㎡/年</w:t>
            </w:r>
            <w:r>
              <w:rPr>
                <w:rFonts w:hint="eastAsia" w:ascii="宋体" w:hAnsi="宋体" w:cs="宋体"/>
                <w:kern w:val="0"/>
                <w:sz w:val="18"/>
                <w:szCs w:val="18"/>
                <w:lang w:bidi="ar"/>
              </w:rPr>
              <w:t>，得</w:t>
            </w:r>
            <w:r>
              <w:rPr>
                <w:rFonts w:ascii="宋体" w:hAnsi="宋体" w:cs="宋体"/>
                <w:kern w:val="0"/>
                <w:sz w:val="18"/>
                <w:szCs w:val="18"/>
                <w:lang w:bidi="ar"/>
              </w:rPr>
              <w:t>1</w:t>
            </w:r>
            <w:r>
              <w:rPr>
                <w:rFonts w:hint="eastAsia" w:ascii="宋体" w:hAnsi="宋体" w:cs="宋体"/>
                <w:kern w:val="0"/>
                <w:sz w:val="18"/>
                <w:szCs w:val="18"/>
                <w:lang w:bidi="ar"/>
              </w:rPr>
              <w:t>分</w:t>
            </w:r>
            <w:r>
              <w:rPr>
                <w:rFonts w:hint="eastAsia" w:ascii="宋体" w:hAnsi="宋体" w:cs="宋体"/>
                <w:sz w:val="18"/>
                <w:szCs w:val="18"/>
              </w:rPr>
              <w:t>。</w:t>
            </w:r>
          </w:p>
        </w:tc>
        <w:tc>
          <w:tcPr>
            <w:tcW w:w="522" w:type="pct"/>
            <w:shd w:val="clear" w:color="auto" w:fill="auto"/>
            <w:vAlign w:val="center"/>
          </w:tcPr>
          <w:p>
            <w:pPr>
              <w:widowControl/>
              <w:snapToGrid w:val="0"/>
              <w:spacing w:line="240" w:lineRule="auto"/>
              <w:textAlignment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w:t>
            </w:r>
            <w:r>
              <w:rPr>
                <w:rFonts w:hint="eastAsia" w:ascii="宋体" w:hAnsi="宋体" w:cs="宋体"/>
                <w:sz w:val="18"/>
                <w:szCs w:val="18"/>
              </w:rPr>
              <w:t>从业资格证。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527" w:type="pct"/>
            <w:vMerge w:val="continue"/>
            <w:shd w:val="clear" w:color="auto" w:fill="auto"/>
            <w:vAlign w:val="center"/>
          </w:tcPr>
          <w:p>
            <w:pPr>
              <w:widowControl/>
              <w:spacing w:line="240" w:lineRule="auto"/>
              <w:jc w:val="left"/>
              <w:textAlignment w:val="center"/>
              <w:rPr>
                <w:rFonts w:ascii="宋体" w:hAnsi="宋体" w:cs="宋体"/>
                <w:kern w:val="0"/>
                <w:sz w:val="18"/>
                <w:szCs w:val="18"/>
                <w:lang w:bidi="ar"/>
              </w:rPr>
            </w:pPr>
          </w:p>
        </w:tc>
        <w:tc>
          <w:tcPr>
            <w:tcW w:w="610" w:type="pct"/>
            <w:vMerge w:val="continue"/>
            <w:shd w:val="clear" w:color="auto" w:fill="auto"/>
            <w:vAlign w:val="center"/>
          </w:tcPr>
          <w:p>
            <w:pPr>
              <w:widowControl/>
              <w:spacing w:line="240" w:lineRule="auto"/>
              <w:jc w:val="center"/>
              <w:textAlignment w:val="center"/>
              <w:rPr>
                <w:rFonts w:ascii="宋体" w:hAnsi="宋体" w:cs="宋体"/>
                <w:sz w:val="18"/>
                <w:szCs w:val="18"/>
              </w:rPr>
            </w:pPr>
          </w:p>
        </w:tc>
        <w:tc>
          <w:tcPr>
            <w:tcW w:w="3341" w:type="pct"/>
            <w:shd w:val="clear" w:color="auto" w:fill="auto"/>
            <w:vAlign w:val="center"/>
          </w:tcPr>
          <w:p>
            <w:pPr>
              <w:widowControl/>
              <w:spacing w:line="240" w:lineRule="auto"/>
              <w:textAlignment w:val="center"/>
              <w:rPr>
                <w:rFonts w:ascii="宋体" w:hAnsi="宋体" w:cs="宋体"/>
                <w:sz w:val="18"/>
                <w:szCs w:val="18"/>
              </w:rPr>
            </w:pPr>
            <w:r>
              <w:rPr>
                <w:rFonts w:hint="eastAsia" w:ascii="宋体" w:hAnsi="宋体" w:cs="宋体"/>
                <w:sz w:val="18"/>
                <w:szCs w:val="18"/>
              </w:rPr>
              <w:t>无拖欠工人薪资事件，无劳动合同纠纷</w:t>
            </w:r>
            <w:r>
              <w:rPr>
                <w:rFonts w:hint="eastAsia" w:ascii="宋体" w:hAnsi="宋体" w:cs="宋体"/>
                <w:kern w:val="0"/>
                <w:sz w:val="18"/>
                <w:szCs w:val="18"/>
                <w:lang w:bidi="ar"/>
              </w:rPr>
              <w:t>，得</w:t>
            </w:r>
            <w:r>
              <w:rPr>
                <w:rFonts w:ascii="宋体" w:hAnsi="宋体" w:cs="宋体"/>
                <w:kern w:val="0"/>
                <w:sz w:val="18"/>
                <w:szCs w:val="18"/>
                <w:lang w:bidi="ar"/>
              </w:rPr>
              <w:t>1</w:t>
            </w:r>
            <w:r>
              <w:rPr>
                <w:rFonts w:hint="eastAsia" w:ascii="宋体" w:hAnsi="宋体" w:cs="宋体"/>
                <w:kern w:val="0"/>
                <w:sz w:val="18"/>
                <w:szCs w:val="18"/>
                <w:lang w:bidi="ar"/>
              </w:rPr>
              <w:t>分</w:t>
            </w:r>
            <w:r>
              <w:rPr>
                <w:rFonts w:hint="eastAsia" w:ascii="宋体" w:hAnsi="宋体" w:cs="宋体"/>
                <w:sz w:val="18"/>
                <w:szCs w:val="18"/>
              </w:rPr>
              <w:t>。</w:t>
            </w:r>
          </w:p>
        </w:tc>
        <w:tc>
          <w:tcPr>
            <w:tcW w:w="522" w:type="pct"/>
            <w:vMerge w:val="restart"/>
            <w:shd w:val="clear" w:color="auto" w:fill="auto"/>
            <w:vAlign w:val="center"/>
          </w:tcPr>
          <w:p>
            <w:pPr>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1</w:t>
            </w:r>
            <w:r>
              <w:rPr>
                <w:rFonts w:ascii="宋体" w:hAnsi="宋体" w:cs="宋体"/>
                <w:kern w:val="0"/>
                <w:sz w:val="18"/>
                <w:szCs w:val="18"/>
                <w:lang w:bidi="ar"/>
              </w:rPr>
              <w:t>.</w:t>
            </w:r>
            <w:r>
              <w:rPr>
                <w:rFonts w:hint="eastAsia" w:ascii="宋体" w:hAnsi="宋体" w:cs="宋体"/>
                <w:kern w:val="0"/>
                <w:sz w:val="18"/>
                <w:szCs w:val="18"/>
                <w:lang w:bidi="ar"/>
              </w:rPr>
              <w:t>无举报、无投诉事件。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27" w:type="pct"/>
            <w:vMerge w:val="continue"/>
            <w:shd w:val="clear" w:color="auto" w:fill="auto"/>
            <w:vAlign w:val="center"/>
          </w:tcPr>
          <w:p>
            <w:pPr>
              <w:spacing w:line="240" w:lineRule="auto"/>
              <w:jc w:val="center"/>
              <w:rPr>
                <w:rFonts w:ascii="宋体" w:hAnsi="宋体" w:cs="宋体"/>
                <w:sz w:val="18"/>
                <w:szCs w:val="18"/>
              </w:rPr>
            </w:pPr>
          </w:p>
        </w:tc>
        <w:tc>
          <w:tcPr>
            <w:tcW w:w="610" w:type="pct"/>
            <w:vMerge w:val="restar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社会和谐</w:t>
            </w:r>
          </w:p>
          <w:p>
            <w:pPr>
              <w:widowControl/>
              <w:spacing w:line="240" w:lineRule="auto"/>
              <w:jc w:val="center"/>
              <w:textAlignment w:val="center"/>
              <w:rPr>
                <w:rFonts w:ascii="宋体" w:hAnsi="宋体" w:cs="宋体"/>
                <w:kern w:val="0"/>
                <w:sz w:val="18"/>
                <w:szCs w:val="18"/>
                <w:lang w:bidi="ar"/>
              </w:rPr>
            </w:pPr>
            <w:r>
              <w:rPr>
                <w:rFonts w:hint="eastAsia" w:ascii="宋体" w:hAnsi="宋体"/>
                <w:sz w:val="18"/>
                <w:szCs w:val="18"/>
              </w:rPr>
              <w:t>（</w:t>
            </w:r>
            <w:r>
              <w:rPr>
                <w:rFonts w:ascii="宋体" w:hAnsi="宋体"/>
                <w:sz w:val="18"/>
                <w:szCs w:val="18"/>
              </w:rPr>
              <w:t>2</w:t>
            </w:r>
            <w:r>
              <w:rPr>
                <w:rFonts w:hint="eastAsia" w:ascii="宋体" w:hAnsi="宋体"/>
                <w:sz w:val="18"/>
                <w:szCs w:val="18"/>
              </w:rPr>
              <w:t>分）</w:t>
            </w:r>
          </w:p>
        </w:tc>
        <w:tc>
          <w:tcPr>
            <w:tcW w:w="3341" w:type="pct"/>
            <w:shd w:val="clear" w:color="auto" w:fill="auto"/>
            <w:vAlign w:val="center"/>
          </w:tcPr>
          <w:p>
            <w:pPr>
              <w:widowControl/>
              <w:spacing w:line="240" w:lineRule="auto"/>
              <w:jc w:val="left"/>
              <w:rPr>
                <w:rFonts w:ascii="宋体" w:hAnsi="宋体" w:cs="宋体"/>
                <w:sz w:val="18"/>
                <w:szCs w:val="18"/>
              </w:rPr>
            </w:pPr>
            <w:r>
              <w:rPr>
                <w:rFonts w:hint="eastAsia" w:ascii="宋体" w:hAnsi="宋体" w:cs="宋体"/>
                <w:sz w:val="18"/>
                <w:szCs w:val="18"/>
              </w:rPr>
              <w:t>采用智能建造技术，有效减少施工噪音，无重大及以上投诉事件发生</w:t>
            </w:r>
            <w:r>
              <w:rPr>
                <w:rFonts w:hint="eastAsia" w:ascii="宋体" w:hAnsi="宋体" w:cs="宋体"/>
                <w:kern w:val="0"/>
                <w:sz w:val="18"/>
                <w:szCs w:val="18"/>
                <w:lang w:bidi="ar"/>
              </w:rPr>
              <w:t>，得</w:t>
            </w:r>
            <w:r>
              <w:rPr>
                <w:rFonts w:ascii="宋体" w:hAnsi="宋体" w:cs="宋体"/>
                <w:kern w:val="0"/>
                <w:sz w:val="18"/>
                <w:szCs w:val="18"/>
                <w:lang w:bidi="ar"/>
              </w:rPr>
              <w:t>1</w:t>
            </w:r>
            <w:r>
              <w:rPr>
                <w:rFonts w:hint="eastAsia" w:ascii="宋体" w:hAnsi="宋体" w:cs="宋体"/>
                <w:kern w:val="0"/>
                <w:sz w:val="18"/>
                <w:szCs w:val="18"/>
                <w:lang w:bidi="ar"/>
              </w:rPr>
              <w:t>分</w:t>
            </w:r>
            <w:r>
              <w:rPr>
                <w:rFonts w:hint="eastAsia" w:ascii="宋体" w:hAnsi="宋体" w:cs="宋体"/>
                <w:sz w:val="18"/>
                <w:szCs w:val="18"/>
              </w:rPr>
              <w:t>。</w:t>
            </w:r>
          </w:p>
        </w:tc>
        <w:tc>
          <w:tcPr>
            <w:tcW w:w="522" w:type="pct"/>
            <w:vMerge w:val="continue"/>
            <w:shd w:val="clear" w:color="auto" w:fill="auto"/>
            <w:vAlign w:val="center"/>
          </w:tcPr>
          <w:p>
            <w:pPr>
              <w:widowControl/>
              <w:snapToGrid w:val="0"/>
              <w:spacing w:line="240" w:lineRule="auto"/>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27" w:type="pct"/>
            <w:vMerge w:val="continue"/>
            <w:shd w:val="clear" w:color="auto" w:fill="auto"/>
            <w:vAlign w:val="center"/>
          </w:tcPr>
          <w:p>
            <w:pPr>
              <w:spacing w:line="240" w:lineRule="auto"/>
              <w:jc w:val="center"/>
              <w:rPr>
                <w:rFonts w:ascii="宋体" w:hAnsi="宋体" w:cs="宋体"/>
                <w:sz w:val="18"/>
                <w:szCs w:val="18"/>
              </w:rPr>
            </w:pPr>
          </w:p>
        </w:tc>
        <w:tc>
          <w:tcPr>
            <w:tcW w:w="610" w:type="pct"/>
            <w:vMerge w:val="continue"/>
            <w:shd w:val="clear" w:color="auto" w:fill="auto"/>
            <w:vAlign w:val="center"/>
          </w:tcPr>
          <w:p>
            <w:pPr>
              <w:widowControl/>
              <w:spacing w:line="240" w:lineRule="auto"/>
              <w:jc w:val="center"/>
              <w:textAlignment w:val="center"/>
              <w:rPr>
                <w:rFonts w:ascii="宋体" w:hAnsi="宋体" w:cs="宋体"/>
                <w:kern w:val="0"/>
                <w:sz w:val="18"/>
                <w:szCs w:val="18"/>
                <w:lang w:bidi="ar"/>
              </w:rPr>
            </w:pPr>
          </w:p>
        </w:tc>
        <w:tc>
          <w:tcPr>
            <w:tcW w:w="3341" w:type="pct"/>
            <w:shd w:val="clear" w:color="auto" w:fill="auto"/>
            <w:vAlign w:val="center"/>
          </w:tcPr>
          <w:p>
            <w:pPr>
              <w:widowControl/>
              <w:spacing w:line="240" w:lineRule="auto"/>
              <w:rPr>
                <w:rFonts w:ascii="宋体" w:hAnsi="宋体" w:cs="宋体"/>
                <w:sz w:val="18"/>
                <w:szCs w:val="18"/>
              </w:rPr>
            </w:pPr>
            <w:r>
              <w:rPr>
                <w:rFonts w:hint="eastAsia" w:ascii="宋体" w:hAnsi="宋体" w:cs="宋体"/>
                <w:sz w:val="18"/>
                <w:szCs w:val="18"/>
              </w:rPr>
              <w:t>运用</w:t>
            </w:r>
            <w:r>
              <w:rPr>
                <w:rFonts w:ascii="宋体" w:hAnsi="宋体" w:cs="宋体"/>
                <w:sz w:val="18"/>
                <w:szCs w:val="18"/>
              </w:rPr>
              <w:t>AR、MR、VR和BIM等技术，开展工地开放日等活动，给用户或者政府管理者提供可视化漫游和沉浸式观看等服务，实现工程项目在建实景和建成效果展示</w:t>
            </w:r>
            <w:r>
              <w:rPr>
                <w:rFonts w:hint="eastAsia" w:ascii="宋体" w:hAnsi="宋体" w:cs="宋体"/>
                <w:kern w:val="0"/>
                <w:sz w:val="18"/>
                <w:szCs w:val="18"/>
                <w:lang w:bidi="ar"/>
              </w:rPr>
              <w:t>，得</w:t>
            </w:r>
            <w:r>
              <w:rPr>
                <w:rFonts w:ascii="宋体" w:hAnsi="宋体" w:cs="宋体"/>
                <w:kern w:val="0"/>
                <w:sz w:val="18"/>
                <w:szCs w:val="18"/>
                <w:lang w:bidi="ar"/>
              </w:rPr>
              <w:t>1</w:t>
            </w:r>
            <w:r>
              <w:rPr>
                <w:rFonts w:hint="eastAsia" w:ascii="宋体" w:hAnsi="宋体" w:cs="宋体"/>
                <w:kern w:val="0"/>
                <w:sz w:val="18"/>
                <w:szCs w:val="18"/>
                <w:lang w:bidi="ar"/>
              </w:rPr>
              <w:t>分</w:t>
            </w:r>
            <w:r>
              <w:rPr>
                <w:rFonts w:ascii="宋体" w:hAnsi="宋体" w:cs="宋体"/>
                <w:sz w:val="18"/>
                <w:szCs w:val="18"/>
              </w:rPr>
              <w:t>。</w:t>
            </w:r>
          </w:p>
        </w:tc>
        <w:tc>
          <w:tcPr>
            <w:tcW w:w="522" w:type="pct"/>
            <w:shd w:val="clear" w:color="auto" w:fill="auto"/>
            <w:vAlign w:val="center"/>
          </w:tcPr>
          <w:p>
            <w:pPr>
              <w:widowControl/>
              <w:snapToGrid w:val="0"/>
              <w:spacing w:line="240" w:lineRule="auto"/>
              <w:textAlignment w:val="center"/>
              <w:rPr>
                <w:rFonts w:ascii="宋体" w:hAnsi="宋体" w:cs="宋体"/>
                <w:sz w:val="18"/>
                <w:szCs w:val="18"/>
              </w:rPr>
            </w:pPr>
            <w:r>
              <w:rPr>
                <w:rFonts w:ascii="宋体" w:hAnsi="宋体" w:cs="宋体"/>
                <w:sz w:val="18"/>
                <w:szCs w:val="18"/>
              </w:rPr>
              <w:t>1.</w:t>
            </w:r>
            <w:r>
              <w:rPr>
                <w:rFonts w:hint="eastAsia" w:ascii="宋体" w:hAnsi="宋体" w:cs="宋体"/>
                <w:sz w:val="18"/>
                <w:szCs w:val="18"/>
              </w:rPr>
              <w:t>可视化漫游和沉浸式观看证明。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27" w:type="pct"/>
            <w:vMerge w:val="continue"/>
            <w:shd w:val="clear" w:color="auto" w:fill="auto"/>
            <w:vAlign w:val="center"/>
          </w:tcPr>
          <w:p>
            <w:pPr>
              <w:spacing w:line="240" w:lineRule="auto"/>
              <w:jc w:val="center"/>
              <w:rPr>
                <w:rFonts w:ascii="宋体" w:hAnsi="宋体" w:cs="宋体"/>
                <w:sz w:val="18"/>
                <w:szCs w:val="18"/>
              </w:rPr>
            </w:pPr>
          </w:p>
        </w:tc>
        <w:tc>
          <w:tcPr>
            <w:tcW w:w="610"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环境文明</w:t>
            </w:r>
          </w:p>
          <w:p>
            <w:pPr>
              <w:widowControl/>
              <w:spacing w:line="240" w:lineRule="auto"/>
              <w:jc w:val="center"/>
              <w:textAlignment w:val="center"/>
              <w:rPr>
                <w:rFonts w:ascii="宋体" w:hAnsi="宋体" w:cs="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分）</w:t>
            </w:r>
          </w:p>
        </w:tc>
        <w:tc>
          <w:tcPr>
            <w:tcW w:w="3341" w:type="pct"/>
            <w:shd w:val="clear" w:color="auto" w:fill="auto"/>
            <w:vAlign w:val="center"/>
          </w:tcPr>
          <w:p>
            <w:pPr>
              <w:widowControl/>
              <w:spacing w:line="240" w:lineRule="auto"/>
              <w:textAlignment w:val="center"/>
              <w:rPr>
                <w:rFonts w:ascii="宋体" w:hAnsi="宋体" w:cs="宋体"/>
                <w:sz w:val="18"/>
                <w:szCs w:val="18"/>
              </w:rPr>
            </w:pPr>
            <w:r>
              <w:rPr>
                <w:rFonts w:hint="eastAsia" w:ascii="宋体" w:hAnsi="宋体" w:cs="宋体"/>
                <w:sz w:val="18"/>
                <w:szCs w:val="18"/>
              </w:rPr>
              <w:t>采用5</w:t>
            </w:r>
            <w:r>
              <w:rPr>
                <w:rFonts w:ascii="宋体" w:hAnsi="宋体" w:cs="宋体"/>
                <w:sz w:val="18"/>
                <w:szCs w:val="18"/>
              </w:rPr>
              <w:t>G</w:t>
            </w:r>
            <w:r>
              <w:rPr>
                <w:rFonts w:hint="eastAsia" w:ascii="宋体" w:hAnsi="宋体" w:cs="宋体"/>
                <w:sz w:val="18"/>
                <w:szCs w:val="18"/>
              </w:rPr>
              <w:t>塔吊技术、智能洗车槽应用技术、环境监控系统、智能降排水系统、智能路灯系统等技术，提高工地文明施工水平和整体形象。应用上述三项及以上技术，得2分。</w:t>
            </w:r>
          </w:p>
        </w:tc>
        <w:tc>
          <w:tcPr>
            <w:tcW w:w="522" w:type="pct"/>
            <w:shd w:val="clear" w:color="auto" w:fill="auto"/>
            <w:vAlign w:val="center"/>
          </w:tcPr>
          <w:p>
            <w:pPr>
              <w:widowControl/>
              <w:spacing w:line="240" w:lineRule="auto"/>
              <w:textAlignment w:val="center"/>
              <w:rPr>
                <w:rFonts w:ascii="宋体" w:hAnsi="宋体" w:cs="宋体"/>
                <w:kern w:val="0"/>
                <w:sz w:val="18"/>
                <w:szCs w:val="18"/>
                <w:lang w:bidi="ar"/>
              </w:rPr>
            </w:pPr>
            <w:r>
              <w:rPr>
                <w:rFonts w:ascii="宋体" w:hAnsi="宋体" w:cs="宋体"/>
                <w:kern w:val="0"/>
                <w:sz w:val="18"/>
                <w:szCs w:val="18"/>
                <w:lang w:bidi="ar"/>
              </w:rPr>
              <w:t>1.</w:t>
            </w:r>
            <w:r>
              <w:rPr>
                <w:rFonts w:hint="eastAsia" w:ascii="宋体" w:hAnsi="宋体" w:cs="宋体"/>
                <w:kern w:val="0"/>
                <w:sz w:val="18"/>
                <w:szCs w:val="18"/>
                <w:lang w:bidi="ar"/>
              </w:rPr>
              <w:t>智能技术应用清单。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27" w:type="pct"/>
            <w:vMerge w:val="continue"/>
            <w:shd w:val="clear" w:color="auto" w:fill="auto"/>
            <w:vAlign w:val="center"/>
          </w:tcPr>
          <w:p>
            <w:pPr>
              <w:spacing w:line="240" w:lineRule="auto"/>
              <w:jc w:val="center"/>
              <w:rPr>
                <w:rFonts w:ascii="宋体" w:hAnsi="宋体" w:cs="宋体"/>
                <w:sz w:val="18"/>
                <w:szCs w:val="18"/>
              </w:rPr>
            </w:pPr>
          </w:p>
        </w:tc>
        <w:tc>
          <w:tcPr>
            <w:tcW w:w="610" w:type="pc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建筑碳排放</w:t>
            </w:r>
          </w:p>
          <w:p>
            <w:pPr>
              <w:widowControl/>
              <w:spacing w:line="240" w:lineRule="auto"/>
              <w:jc w:val="center"/>
              <w:textAlignment w:val="center"/>
              <w:rPr>
                <w:rFonts w:ascii="宋体" w:hAnsi="宋体" w:cs="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分）</w:t>
            </w:r>
          </w:p>
        </w:tc>
        <w:tc>
          <w:tcPr>
            <w:tcW w:w="3341" w:type="pct"/>
            <w:shd w:val="clear" w:color="auto" w:fill="auto"/>
            <w:vAlign w:val="center"/>
          </w:tcPr>
          <w:p>
            <w:pPr>
              <w:widowControl/>
              <w:spacing w:line="240" w:lineRule="auto"/>
              <w:textAlignment w:val="center"/>
              <w:rPr>
                <w:rFonts w:ascii="宋体" w:hAnsi="宋体" w:cs="宋体"/>
                <w:sz w:val="18"/>
                <w:szCs w:val="18"/>
              </w:rPr>
            </w:pPr>
            <w:r>
              <w:rPr>
                <w:rFonts w:hint="eastAsia" w:ascii="宋体" w:hAnsi="宋体" w:cs="宋体"/>
                <w:sz w:val="18"/>
                <w:szCs w:val="18"/>
              </w:rPr>
              <w:t>项目全生命周期实现建筑碳排放强度较《建筑节能与可再生能源利用通用规范》</w:t>
            </w:r>
            <w:r>
              <w:rPr>
                <w:rFonts w:ascii="宋体" w:hAnsi="宋体" w:cs="宋体"/>
                <w:sz w:val="18"/>
                <w:szCs w:val="18"/>
              </w:rPr>
              <w:t>GB 55015要求降低10%及以上，得1分；降低15%及以上，得2分。</w:t>
            </w:r>
          </w:p>
        </w:tc>
        <w:tc>
          <w:tcPr>
            <w:tcW w:w="522" w:type="pct"/>
            <w:shd w:val="clear" w:color="auto" w:fill="auto"/>
            <w:vAlign w:val="center"/>
          </w:tcPr>
          <w:p>
            <w:pPr>
              <w:widowControl/>
              <w:snapToGrid w:val="0"/>
              <w:spacing w:line="240" w:lineRule="auto"/>
              <w:textAlignment w:val="center"/>
              <w:rPr>
                <w:rFonts w:ascii="宋体" w:hAnsi="宋体" w:cs="宋体"/>
                <w:sz w:val="18"/>
                <w:szCs w:val="18"/>
              </w:rPr>
            </w:pPr>
            <w:r>
              <w:rPr>
                <w:rFonts w:ascii="宋体" w:hAnsi="宋体" w:cs="宋体"/>
                <w:kern w:val="0"/>
                <w:sz w:val="18"/>
                <w:szCs w:val="18"/>
                <w:lang w:bidi="ar"/>
              </w:rPr>
              <w:t>1.</w:t>
            </w:r>
            <w:r>
              <w:rPr>
                <w:rFonts w:hint="eastAsia" w:ascii="宋体" w:hAnsi="宋体" w:cs="宋体"/>
                <w:kern w:val="0"/>
                <w:sz w:val="18"/>
                <w:szCs w:val="18"/>
                <w:lang w:bidi="ar"/>
              </w:rPr>
              <w:t>碳排放强度分析报告。</w:t>
            </w:r>
          </w:p>
        </w:tc>
      </w:tr>
    </w:tbl>
    <w:p>
      <w:pPr>
        <w:pStyle w:val="66"/>
        <w:ind w:firstLine="0" w:firstLineChars="0"/>
        <w:jc w:val="center"/>
      </w:pPr>
    </w:p>
    <w:p>
      <w:pPr>
        <w:pStyle w:val="175"/>
      </w:pPr>
      <w:r>
        <w:rPr>
          <w:rFonts w:hint="eastAsia" w:hAnsi="宋体"/>
          <w:szCs w:val="21"/>
        </w:rPr>
        <w:t>产品品质评分规则应符合表</w:t>
      </w:r>
      <w:r>
        <w:rPr>
          <w:rFonts w:hAnsi="宋体"/>
          <w:szCs w:val="21"/>
        </w:rPr>
        <w:t>9</w:t>
      </w:r>
      <w:r>
        <w:rPr>
          <w:rFonts w:hint="eastAsia" w:hAnsi="宋体"/>
          <w:szCs w:val="21"/>
        </w:rPr>
        <w:t>的规定，本项评价的最高分值为</w:t>
      </w:r>
      <w:r>
        <w:rPr>
          <w:rFonts w:hAnsi="宋体"/>
          <w:szCs w:val="21"/>
        </w:rPr>
        <w:t>28</w:t>
      </w:r>
      <w:r>
        <w:rPr>
          <w:rFonts w:hint="eastAsia" w:hAnsi="宋体"/>
          <w:szCs w:val="21"/>
        </w:rPr>
        <w:t>分。</w:t>
      </w:r>
    </w:p>
    <w:p>
      <w:pPr>
        <w:pStyle w:val="122"/>
        <w:spacing w:before="156" w:after="156"/>
        <w:ind w:left="0"/>
      </w:pPr>
      <w:r>
        <w:rPr>
          <w:rFonts w:hint="eastAsia"/>
        </w:rPr>
        <w:t>产品品质评分规则</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057"/>
        <w:gridCol w:w="1158"/>
        <w:gridCol w:w="5380"/>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05" w:type="pc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kern w:val="0"/>
                <w:sz w:val="18"/>
                <w:szCs w:val="18"/>
                <w:lang w:bidi="ar"/>
              </w:rPr>
              <w:t>评价指标</w:t>
            </w:r>
          </w:p>
        </w:tc>
        <w:tc>
          <w:tcPr>
            <w:tcW w:w="552" w:type="pc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评价模块</w:t>
            </w:r>
          </w:p>
        </w:tc>
        <w:tc>
          <w:tcPr>
            <w:tcW w:w="3416" w:type="pct"/>
            <w:gridSpan w:val="2"/>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kern w:val="0"/>
                <w:sz w:val="18"/>
                <w:szCs w:val="18"/>
                <w:lang w:bidi="ar"/>
              </w:rPr>
              <w:t>评分标准</w:t>
            </w:r>
          </w:p>
        </w:tc>
        <w:tc>
          <w:tcPr>
            <w:tcW w:w="527" w:type="pc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kern w:val="0"/>
                <w:sz w:val="18"/>
                <w:szCs w:val="18"/>
                <w:lang w:bidi="ar"/>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505" w:type="pct"/>
            <w:vMerge w:val="restar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建筑质量</w:t>
            </w:r>
          </w:p>
        </w:tc>
        <w:tc>
          <w:tcPr>
            <w:tcW w:w="552" w:type="pc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质量评价</w:t>
            </w:r>
          </w:p>
          <w:p>
            <w:pPr>
              <w:widowControl/>
              <w:spacing w:line="240" w:lineRule="auto"/>
              <w:jc w:val="center"/>
              <w:textAlignment w:val="center"/>
              <w:rPr>
                <w:rFonts w:ascii="宋体" w:hAnsi="宋体" w:cs="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分）</w:t>
            </w:r>
          </w:p>
        </w:tc>
        <w:tc>
          <w:tcPr>
            <w:tcW w:w="3416" w:type="pct"/>
            <w:gridSpan w:val="2"/>
            <w:shd w:val="clear" w:color="auto" w:fill="auto"/>
            <w:vAlign w:val="center"/>
          </w:tcPr>
          <w:p>
            <w:pPr>
              <w:widowControl/>
              <w:spacing w:line="240" w:lineRule="auto"/>
              <w:textAlignment w:val="center"/>
              <w:rPr>
                <w:rFonts w:ascii="宋体" w:hAnsi="宋体" w:cs="宋体"/>
                <w:kern w:val="0"/>
                <w:sz w:val="18"/>
                <w:szCs w:val="18"/>
                <w:lang w:bidi="ar"/>
              </w:rPr>
            </w:pPr>
            <w:r>
              <w:rPr>
                <w:rFonts w:hint="eastAsia" w:ascii="宋体" w:hAnsi="宋体" w:cs="宋体"/>
                <w:sz w:val="18"/>
                <w:szCs w:val="18"/>
              </w:rPr>
              <w:t>采用智能建造技术，质量评价</w:t>
            </w:r>
            <w:r>
              <w:rPr>
                <w:rFonts w:hint="eastAsia" w:ascii="宋体" w:hAnsi="宋体" w:cs="宋体"/>
                <w:kern w:val="0"/>
                <w:sz w:val="18"/>
                <w:szCs w:val="18"/>
                <w:lang w:bidi="ar"/>
              </w:rPr>
              <w:t>实际得分8</w:t>
            </w:r>
            <w:r>
              <w:rPr>
                <w:rFonts w:ascii="宋体" w:hAnsi="宋体" w:cs="宋体"/>
                <w:kern w:val="0"/>
                <w:sz w:val="18"/>
                <w:szCs w:val="18"/>
                <w:lang w:bidi="ar"/>
              </w:rPr>
              <w:t>5</w:t>
            </w:r>
            <w:r>
              <w:rPr>
                <w:rFonts w:hint="eastAsia" w:ascii="宋体" w:hAnsi="宋体" w:cs="宋体"/>
                <w:kern w:val="0"/>
                <w:sz w:val="18"/>
                <w:szCs w:val="18"/>
                <w:lang w:bidi="ar"/>
              </w:rPr>
              <w:t>分及以上，得2分；90分及以上，得</w:t>
            </w:r>
            <w:r>
              <w:rPr>
                <w:rFonts w:ascii="宋体" w:hAnsi="宋体" w:cs="宋体"/>
                <w:kern w:val="0"/>
                <w:sz w:val="18"/>
                <w:szCs w:val="18"/>
                <w:lang w:bidi="ar"/>
              </w:rPr>
              <w:t>4</w:t>
            </w:r>
            <w:r>
              <w:rPr>
                <w:rFonts w:hint="eastAsia" w:ascii="宋体" w:hAnsi="宋体" w:cs="宋体"/>
                <w:kern w:val="0"/>
                <w:sz w:val="18"/>
                <w:szCs w:val="18"/>
                <w:lang w:bidi="ar"/>
              </w:rPr>
              <w:t>分；9</w:t>
            </w:r>
            <w:r>
              <w:rPr>
                <w:rFonts w:ascii="宋体" w:hAnsi="宋体" w:cs="宋体"/>
                <w:kern w:val="0"/>
                <w:sz w:val="18"/>
                <w:szCs w:val="18"/>
                <w:lang w:bidi="ar"/>
              </w:rPr>
              <w:t>5</w:t>
            </w:r>
            <w:r>
              <w:rPr>
                <w:rFonts w:hint="eastAsia" w:ascii="宋体" w:hAnsi="宋体" w:cs="宋体"/>
                <w:kern w:val="0"/>
                <w:sz w:val="18"/>
                <w:szCs w:val="18"/>
                <w:lang w:bidi="ar"/>
              </w:rPr>
              <w:t>分及以上，得</w:t>
            </w:r>
            <w:r>
              <w:rPr>
                <w:rFonts w:ascii="宋体" w:hAnsi="宋体" w:cs="宋体"/>
                <w:kern w:val="0"/>
                <w:sz w:val="18"/>
                <w:szCs w:val="18"/>
                <w:lang w:bidi="ar"/>
              </w:rPr>
              <w:t>6</w:t>
            </w:r>
            <w:r>
              <w:rPr>
                <w:rFonts w:hint="eastAsia" w:ascii="宋体" w:hAnsi="宋体" w:cs="宋体"/>
                <w:kern w:val="0"/>
                <w:sz w:val="18"/>
                <w:szCs w:val="18"/>
                <w:lang w:bidi="ar"/>
              </w:rPr>
              <w:t>分。</w:t>
            </w:r>
          </w:p>
          <w:p>
            <w:pPr>
              <w:widowControl/>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（质量评价参照《建筑工程施工质量评价标准》GB/T50375执行。）</w:t>
            </w:r>
          </w:p>
        </w:tc>
        <w:tc>
          <w:tcPr>
            <w:tcW w:w="527" w:type="pct"/>
            <w:shd w:val="clear" w:color="auto" w:fill="auto"/>
            <w:vAlign w:val="center"/>
          </w:tcPr>
          <w:p>
            <w:pPr>
              <w:widowControl/>
              <w:spacing w:line="240" w:lineRule="auto"/>
              <w:textAlignment w:val="center"/>
              <w:rPr>
                <w:rFonts w:ascii="宋体" w:hAnsi="宋体" w:cs="宋体"/>
                <w:sz w:val="18"/>
                <w:szCs w:val="18"/>
              </w:rPr>
            </w:pPr>
            <w:r>
              <w:rPr>
                <w:rFonts w:ascii="宋体" w:hAnsi="宋体" w:cs="宋体"/>
                <w:kern w:val="0"/>
                <w:sz w:val="18"/>
                <w:szCs w:val="18"/>
                <w:lang w:bidi="ar"/>
              </w:rPr>
              <w:t>1.</w:t>
            </w:r>
            <w:r>
              <w:rPr>
                <w:rFonts w:hint="eastAsia" w:ascii="宋体" w:hAnsi="宋体" w:cs="宋体"/>
                <w:kern w:val="0"/>
                <w:sz w:val="18"/>
                <w:szCs w:val="18"/>
                <w:lang w:bidi="ar"/>
              </w:rPr>
              <w:t>质量评价表。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05" w:type="pct"/>
            <w:vMerge w:val="continue"/>
            <w:shd w:val="clear" w:color="auto" w:fill="auto"/>
            <w:vAlign w:val="center"/>
          </w:tcPr>
          <w:p>
            <w:pPr>
              <w:spacing w:line="240" w:lineRule="auto"/>
              <w:jc w:val="center"/>
              <w:rPr>
                <w:rFonts w:ascii="宋体" w:hAnsi="宋体" w:cs="宋体"/>
                <w:sz w:val="18"/>
                <w:szCs w:val="18"/>
              </w:rPr>
            </w:pPr>
          </w:p>
        </w:tc>
        <w:tc>
          <w:tcPr>
            <w:tcW w:w="552" w:type="pct"/>
            <w:shd w:val="clear" w:color="auto" w:fill="auto"/>
            <w:vAlign w:val="center"/>
          </w:tcPr>
          <w:p>
            <w:pPr>
              <w:spacing w:line="240" w:lineRule="auto"/>
              <w:jc w:val="center"/>
              <w:rPr>
                <w:rFonts w:ascii="宋体" w:hAnsi="宋体" w:cs="宋体"/>
                <w:sz w:val="18"/>
                <w:szCs w:val="18"/>
              </w:rPr>
            </w:pPr>
            <w:r>
              <w:rPr>
                <w:rFonts w:hint="eastAsia" w:ascii="宋体" w:hAnsi="宋体" w:cs="宋体"/>
                <w:sz w:val="18"/>
                <w:szCs w:val="18"/>
              </w:rPr>
              <w:t>用户满意度</w:t>
            </w:r>
          </w:p>
          <w:p>
            <w:pPr>
              <w:spacing w:line="240" w:lineRule="auto"/>
              <w:jc w:val="center"/>
              <w:rPr>
                <w:rFonts w:ascii="宋体" w:hAnsi="宋体" w:cs="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分）</w:t>
            </w:r>
          </w:p>
        </w:tc>
        <w:tc>
          <w:tcPr>
            <w:tcW w:w="3416" w:type="pct"/>
            <w:gridSpan w:val="2"/>
            <w:shd w:val="clear" w:color="auto" w:fill="auto"/>
            <w:vAlign w:val="center"/>
          </w:tcPr>
          <w:p>
            <w:pPr>
              <w:widowControl/>
              <w:spacing w:line="240" w:lineRule="auto"/>
              <w:textAlignment w:val="center"/>
              <w:rPr>
                <w:rFonts w:ascii="宋体" w:hAnsi="宋体" w:cs="宋体"/>
                <w:kern w:val="0"/>
                <w:sz w:val="18"/>
                <w:szCs w:val="18"/>
                <w:lang w:bidi="ar"/>
              </w:rPr>
            </w:pPr>
            <w:r>
              <w:rPr>
                <w:rFonts w:hint="eastAsia" w:ascii="宋体" w:hAnsi="宋体" w:cs="宋体"/>
                <w:sz w:val="18"/>
                <w:szCs w:val="18"/>
              </w:rPr>
              <w:t>采用智能建造技术，用户满意度</w:t>
            </w:r>
            <w:r>
              <w:rPr>
                <w:rFonts w:hint="eastAsia" w:ascii="宋体" w:hAnsi="宋体" w:cs="宋体"/>
                <w:kern w:val="0"/>
                <w:sz w:val="18"/>
                <w:szCs w:val="18"/>
                <w:lang w:bidi="ar"/>
              </w:rPr>
              <w:t>评价达到用户满意级，得</w:t>
            </w:r>
            <w:r>
              <w:rPr>
                <w:rFonts w:ascii="宋体" w:hAnsi="宋体" w:cs="宋体"/>
                <w:kern w:val="0"/>
                <w:sz w:val="18"/>
                <w:szCs w:val="18"/>
                <w:lang w:bidi="ar"/>
              </w:rPr>
              <w:t>2</w:t>
            </w:r>
            <w:r>
              <w:rPr>
                <w:rFonts w:hint="eastAsia" w:ascii="宋体" w:hAnsi="宋体" w:cs="宋体"/>
                <w:kern w:val="0"/>
                <w:sz w:val="18"/>
                <w:szCs w:val="18"/>
                <w:lang w:bidi="ar"/>
              </w:rPr>
              <w:t>分。</w:t>
            </w:r>
          </w:p>
          <w:p>
            <w:pPr>
              <w:widowControl/>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（满意度评价参照《顾客满意度测量和评价准则》T/CAQ 10306执行。）</w:t>
            </w:r>
          </w:p>
        </w:tc>
        <w:tc>
          <w:tcPr>
            <w:tcW w:w="527" w:type="pct"/>
            <w:shd w:val="clear" w:color="auto" w:fill="auto"/>
            <w:vAlign w:val="center"/>
          </w:tcPr>
          <w:p>
            <w:pPr>
              <w:widowControl/>
              <w:spacing w:line="240" w:lineRule="auto"/>
              <w:textAlignment w:val="center"/>
              <w:rPr>
                <w:rFonts w:ascii="宋体" w:hAnsi="宋体" w:cs="宋体"/>
                <w:sz w:val="18"/>
                <w:szCs w:val="18"/>
              </w:rPr>
            </w:pPr>
            <w:r>
              <w:rPr>
                <w:rFonts w:ascii="宋体" w:hAnsi="宋体" w:cs="宋体"/>
                <w:kern w:val="0"/>
                <w:sz w:val="18"/>
                <w:szCs w:val="18"/>
                <w:lang w:bidi="ar"/>
              </w:rPr>
              <w:t>1.</w:t>
            </w:r>
            <w:r>
              <w:rPr>
                <w:rFonts w:hint="eastAsia" w:ascii="宋体" w:hAnsi="宋体" w:cs="宋体"/>
                <w:kern w:val="0"/>
                <w:sz w:val="18"/>
                <w:szCs w:val="18"/>
                <w:lang w:bidi="ar"/>
              </w:rPr>
              <w:t>满意度评价表。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505" w:type="pct"/>
            <w:vMerge w:val="restar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用户体验</w:t>
            </w:r>
          </w:p>
        </w:tc>
        <w:tc>
          <w:tcPr>
            <w:tcW w:w="552" w:type="pct"/>
            <w:vMerge w:val="restar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安全可靠</w:t>
            </w:r>
          </w:p>
          <w:p>
            <w:pPr>
              <w:widowControl/>
              <w:spacing w:line="240" w:lineRule="auto"/>
              <w:jc w:val="center"/>
              <w:textAlignment w:val="center"/>
              <w:rPr>
                <w:rFonts w:ascii="宋体" w:hAnsi="宋体" w:cs="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分）</w:t>
            </w:r>
          </w:p>
        </w:tc>
        <w:tc>
          <w:tcPr>
            <w:tcW w:w="3416" w:type="pct"/>
            <w:gridSpan w:val="2"/>
            <w:shd w:val="clear" w:color="auto" w:fill="auto"/>
            <w:vAlign w:val="center"/>
          </w:tcPr>
          <w:p>
            <w:pPr>
              <w:widowControl/>
              <w:spacing w:line="240" w:lineRule="auto"/>
              <w:textAlignment w:val="center"/>
              <w:rPr>
                <w:rFonts w:ascii="宋体" w:hAnsi="宋体" w:cs="宋体"/>
                <w:sz w:val="18"/>
                <w:szCs w:val="18"/>
              </w:rPr>
            </w:pPr>
            <w:r>
              <w:rPr>
                <w:rFonts w:hint="eastAsia" w:ascii="宋体" w:hAnsi="宋体" w:cs="宋体"/>
                <w:sz w:val="18"/>
                <w:szCs w:val="18"/>
              </w:rPr>
              <w:t>采用智能建造技术，少用、不用易脱落材料，强化节点连接，未发生建筑材料、部品部件、附件等脱落现象，</w:t>
            </w:r>
            <w:r>
              <w:rPr>
                <w:rFonts w:hint="eastAsia" w:ascii="宋体" w:hAnsi="宋体" w:cs="宋体"/>
                <w:kern w:val="0"/>
                <w:sz w:val="18"/>
                <w:szCs w:val="18"/>
                <w:lang w:bidi="ar"/>
              </w:rPr>
              <w:t>得</w:t>
            </w:r>
            <w:r>
              <w:rPr>
                <w:rFonts w:ascii="宋体" w:hAnsi="宋体" w:cs="宋体"/>
                <w:kern w:val="0"/>
                <w:sz w:val="18"/>
                <w:szCs w:val="18"/>
                <w:lang w:bidi="ar"/>
              </w:rPr>
              <w:t>1</w:t>
            </w:r>
            <w:r>
              <w:rPr>
                <w:rFonts w:hint="eastAsia" w:ascii="宋体" w:hAnsi="宋体" w:cs="宋体"/>
                <w:kern w:val="0"/>
                <w:sz w:val="18"/>
                <w:szCs w:val="18"/>
                <w:lang w:bidi="ar"/>
              </w:rPr>
              <w:t>分。</w:t>
            </w:r>
          </w:p>
        </w:tc>
        <w:tc>
          <w:tcPr>
            <w:tcW w:w="527" w:type="pct"/>
            <w:shd w:val="clear" w:color="auto" w:fill="auto"/>
            <w:vAlign w:val="center"/>
          </w:tcPr>
          <w:p>
            <w:pPr>
              <w:widowControl/>
              <w:snapToGrid w:val="0"/>
              <w:spacing w:line="240" w:lineRule="auto"/>
              <w:textAlignment w:val="center"/>
              <w:rPr>
                <w:rFonts w:ascii="宋体" w:hAnsi="宋体" w:cs="宋体"/>
                <w:sz w:val="18"/>
                <w:szCs w:val="18"/>
              </w:rPr>
            </w:pPr>
            <w:r>
              <w:rPr>
                <w:rFonts w:ascii="宋体" w:hAnsi="宋体" w:cs="宋体"/>
                <w:kern w:val="0"/>
                <w:sz w:val="18"/>
                <w:szCs w:val="18"/>
                <w:lang w:bidi="ar"/>
              </w:rPr>
              <w:t>1.</w:t>
            </w:r>
            <w:r>
              <w:rPr>
                <w:rFonts w:hint="eastAsia" w:ascii="宋体" w:hAnsi="宋体" w:cs="宋体"/>
                <w:kern w:val="0"/>
                <w:sz w:val="18"/>
                <w:szCs w:val="18"/>
                <w:lang w:bidi="ar"/>
              </w:rPr>
              <w:t>无脱落</w:t>
            </w:r>
            <w:r>
              <w:rPr>
                <w:rFonts w:hint="eastAsia" w:ascii="宋体" w:hAnsi="宋体" w:cs="宋体"/>
                <w:sz w:val="18"/>
                <w:szCs w:val="18"/>
              </w:rPr>
              <w:t>维修记录资料。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505" w:type="pct"/>
            <w:vMerge w:val="continue"/>
            <w:shd w:val="clear" w:color="auto" w:fill="auto"/>
            <w:vAlign w:val="center"/>
          </w:tcPr>
          <w:p>
            <w:pPr>
              <w:spacing w:line="240" w:lineRule="auto"/>
              <w:jc w:val="center"/>
              <w:rPr>
                <w:rFonts w:ascii="宋体" w:hAnsi="宋体" w:cs="宋体"/>
                <w:sz w:val="18"/>
                <w:szCs w:val="18"/>
              </w:rPr>
            </w:pPr>
          </w:p>
        </w:tc>
        <w:tc>
          <w:tcPr>
            <w:tcW w:w="552" w:type="pct"/>
            <w:vMerge w:val="continue"/>
            <w:shd w:val="clear" w:color="auto" w:fill="auto"/>
            <w:vAlign w:val="center"/>
          </w:tcPr>
          <w:p>
            <w:pPr>
              <w:spacing w:line="240" w:lineRule="auto"/>
              <w:jc w:val="center"/>
              <w:rPr>
                <w:rFonts w:ascii="宋体" w:hAnsi="宋体" w:cs="宋体"/>
                <w:sz w:val="18"/>
                <w:szCs w:val="18"/>
              </w:rPr>
            </w:pPr>
          </w:p>
        </w:tc>
        <w:tc>
          <w:tcPr>
            <w:tcW w:w="3416" w:type="pct"/>
            <w:gridSpan w:val="2"/>
            <w:shd w:val="clear" w:color="auto" w:fill="auto"/>
            <w:vAlign w:val="center"/>
          </w:tcPr>
          <w:p>
            <w:pPr>
              <w:widowControl/>
              <w:spacing w:line="240" w:lineRule="auto"/>
              <w:textAlignment w:val="center"/>
              <w:rPr>
                <w:rFonts w:ascii="宋体" w:hAnsi="宋体" w:cs="宋体"/>
                <w:sz w:val="18"/>
                <w:szCs w:val="18"/>
              </w:rPr>
            </w:pPr>
            <w:r>
              <w:rPr>
                <w:rFonts w:hint="eastAsia" w:ascii="宋体" w:hAnsi="宋体" w:cs="宋体"/>
                <w:sz w:val="18"/>
                <w:szCs w:val="18"/>
              </w:rPr>
              <w:t>采用智能建造技术，应用一体化门窗、集成厨卫、单元式幕墙等集成化产品，卫生间、屋面、外墙等未发生渗漏现象，</w:t>
            </w:r>
            <w:r>
              <w:rPr>
                <w:rFonts w:hint="eastAsia" w:ascii="宋体" w:hAnsi="宋体" w:cs="宋体"/>
                <w:kern w:val="0"/>
                <w:sz w:val="18"/>
                <w:szCs w:val="18"/>
                <w:lang w:bidi="ar"/>
              </w:rPr>
              <w:t>得</w:t>
            </w:r>
            <w:r>
              <w:rPr>
                <w:rFonts w:ascii="宋体" w:hAnsi="宋体" w:cs="宋体"/>
                <w:kern w:val="0"/>
                <w:sz w:val="18"/>
                <w:szCs w:val="18"/>
                <w:lang w:bidi="ar"/>
              </w:rPr>
              <w:t>1</w:t>
            </w:r>
            <w:r>
              <w:rPr>
                <w:rFonts w:hint="eastAsia" w:ascii="宋体" w:hAnsi="宋体" w:cs="宋体"/>
                <w:kern w:val="0"/>
                <w:sz w:val="18"/>
                <w:szCs w:val="18"/>
                <w:lang w:bidi="ar"/>
              </w:rPr>
              <w:t>分。</w:t>
            </w:r>
          </w:p>
        </w:tc>
        <w:tc>
          <w:tcPr>
            <w:tcW w:w="527" w:type="pct"/>
            <w:shd w:val="clear" w:color="auto" w:fill="auto"/>
            <w:vAlign w:val="center"/>
          </w:tcPr>
          <w:p>
            <w:pPr>
              <w:widowControl/>
              <w:snapToGrid w:val="0"/>
              <w:spacing w:line="240" w:lineRule="auto"/>
              <w:textAlignment w:val="center"/>
              <w:rPr>
                <w:rFonts w:ascii="宋体" w:hAnsi="宋体" w:cs="宋体"/>
                <w:sz w:val="18"/>
                <w:szCs w:val="18"/>
              </w:rPr>
            </w:pPr>
            <w:r>
              <w:rPr>
                <w:rFonts w:hint="eastAsia" w:ascii="宋体" w:hAnsi="宋体" w:cs="宋体"/>
                <w:kern w:val="0"/>
                <w:sz w:val="18"/>
                <w:szCs w:val="18"/>
                <w:lang w:bidi="ar"/>
              </w:rPr>
              <w:t>1、</w:t>
            </w:r>
            <w:r>
              <w:rPr>
                <w:rFonts w:hint="eastAsia" w:ascii="宋体" w:hAnsi="宋体" w:cs="宋体"/>
                <w:sz w:val="18"/>
                <w:szCs w:val="18"/>
              </w:rPr>
              <w:t>无渗漏维修记录资料。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505" w:type="pct"/>
            <w:vMerge w:val="continue"/>
            <w:shd w:val="clear" w:color="auto" w:fill="auto"/>
            <w:vAlign w:val="center"/>
          </w:tcPr>
          <w:p>
            <w:pPr>
              <w:spacing w:line="240" w:lineRule="auto"/>
              <w:jc w:val="center"/>
              <w:rPr>
                <w:rFonts w:ascii="宋体" w:hAnsi="宋体" w:cs="宋体"/>
                <w:sz w:val="18"/>
                <w:szCs w:val="18"/>
              </w:rPr>
            </w:pPr>
          </w:p>
        </w:tc>
        <w:tc>
          <w:tcPr>
            <w:tcW w:w="552" w:type="pct"/>
            <w:vMerge w:val="restar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功能提升</w:t>
            </w:r>
          </w:p>
          <w:p>
            <w:pPr>
              <w:widowControl/>
              <w:spacing w:line="240" w:lineRule="auto"/>
              <w:jc w:val="center"/>
              <w:textAlignment w:val="center"/>
              <w:rPr>
                <w:rFonts w:ascii="宋体" w:hAnsi="宋体" w:cs="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分）</w:t>
            </w:r>
          </w:p>
        </w:tc>
        <w:tc>
          <w:tcPr>
            <w:tcW w:w="605" w:type="pc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降噪</w:t>
            </w:r>
          </w:p>
          <w:p>
            <w:pPr>
              <w:widowControl/>
              <w:spacing w:line="240" w:lineRule="auto"/>
              <w:jc w:val="center"/>
              <w:textAlignment w:val="center"/>
              <w:rPr>
                <w:rFonts w:ascii="宋体" w:hAnsi="宋体" w:cs="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分）</w:t>
            </w:r>
          </w:p>
        </w:tc>
        <w:tc>
          <w:tcPr>
            <w:tcW w:w="2811" w:type="pct"/>
            <w:shd w:val="clear" w:color="auto" w:fill="auto"/>
            <w:vAlign w:val="center"/>
          </w:tcPr>
          <w:p>
            <w:pPr>
              <w:widowControl/>
              <w:spacing w:line="240" w:lineRule="auto"/>
              <w:textAlignment w:val="center"/>
              <w:rPr>
                <w:rFonts w:ascii="宋体" w:hAnsi="宋体" w:cs="宋体"/>
                <w:sz w:val="18"/>
                <w:szCs w:val="18"/>
              </w:rPr>
            </w:pPr>
            <w:r>
              <w:rPr>
                <w:rFonts w:hint="eastAsia" w:ascii="宋体" w:hAnsi="宋体" w:cs="宋体"/>
                <w:sz w:val="18"/>
                <w:szCs w:val="18"/>
              </w:rPr>
              <w:t>民用建筑：采用智能建造技术，提高主要功能房间的室内噪声级和隔声性能，优于《民用建筑隔声设计规范》G</w:t>
            </w:r>
            <w:r>
              <w:rPr>
                <w:rFonts w:ascii="宋体" w:hAnsi="宋体" w:cs="宋体"/>
                <w:sz w:val="18"/>
                <w:szCs w:val="18"/>
              </w:rPr>
              <w:t>B 50118</w:t>
            </w:r>
            <w:r>
              <w:rPr>
                <w:rFonts w:hint="eastAsia" w:ascii="宋体" w:hAnsi="宋体" w:cs="宋体"/>
                <w:sz w:val="18"/>
                <w:szCs w:val="18"/>
              </w:rPr>
              <w:t>中的低限要求1</w:t>
            </w:r>
            <w:r>
              <w:rPr>
                <w:rFonts w:ascii="宋体" w:hAnsi="宋体" w:cs="宋体"/>
                <w:sz w:val="18"/>
                <w:szCs w:val="18"/>
              </w:rPr>
              <w:t>0%</w:t>
            </w:r>
            <w:r>
              <w:rPr>
                <w:rFonts w:hint="eastAsia" w:ascii="宋体" w:hAnsi="宋体" w:cs="宋体"/>
                <w:sz w:val="18"/>
                <w:szCs w:val="18"/>
              </w:rPr>
              <w:t>及以上，</w:t>
            </w:r>
            <w:r>
              <w:rPr>
                <w:rFonts w:hint="eastAsia" w:ascii="宋体" w:hAnsi="宋体" w:cs="宋体"/>
                <w:kern w:val="0"/>
                <w:sz w:val="18"/>
                <w:szCs w:val="18"/>
                <w:lang w:bidi="ar"/>
              </w:rPr>
              <w:t>得1分；2</w:t>
            </w:r>
            <w:r>
              <w:rPr>
                <w:rFonts w:ascii="宋体" w:hAnsi="宋体" w:cs="宋体"/>
                <w:kern w:val="0"/>
                <w:sz w:val="18"/>
                <w:szCs w:val="18"/>
                <w:lang w:bidi="ar"/>
              </w:rPr>
              <w:t>0%</w:t>
            </w:r>
            <w:r>
              <w:rPr>
                <w:rFonts w:hint="eastAsia" w:ascii="宋体" w:hAnsi="宋体" w:cs="宋体"/>
                <w:kern w:val="0"/>
                <w:sz w:val="18"/>
                <w:szCs w:val="18"/>
                <w:lang w:bidi="ar"/>
              </w:rPr>
              <w:t>及以上，得2分。</w:t>
            </w:r>
          </w:p>
          <w:p>
            <w:pPr>
              <w:widowControl/>
              <w:spacing w:line="240" w:lineRule="auto"/>
              <w:textAlignment w:val="center"/>
              <w:rPr>
                <w:rFonts w:ascii="宋体" w:hAnsi="宋体" w:cs="宋体"/>
                <w:sz w:val="18"/>
                <w:szCs w:val="18"/>
              </w:rPr>
            </w:pPr>
            <w:r>
              <w:rPr>
                <w:rFonts w:hint="eastAsia" w:ascii="宋体" w:hAnsi="宋体" w:cs="宋体"/>
                <w:sz w:val="18"/>
                <w:szCs w:val="18"/>
              </w:rPr>
              <w:t>工业建筑参照此标准执行。</w:t>
            </w:r>
          </w:p>
        </w:tc>
        <w:tc>
          <w:tcPr>
            <w:tcW w:w="527" w:type="pct"/>
            <w:shd w:val="clear" w:color="auto" w:fill="auto"/>
            <w:vAlign w:val="center"/>
          </w:tcPr>
          <w:p>
            <w:pPr>
              <w:widowControl/>
              <w:snapToGrid w:val="0"/>
              <w:spacing w:line="240" w:lineRule="auto"/>
              <w:textAlignment w:val="center"/>
              <w:rPr>
                <w:rFonts w:ascii="宋体" w:hAnsi="宋体" w:cs="宋体"/>
                <w:sz w:val="18"/>
                <w:szCs w:val="18"/>
              </w:rPr>
            </w:pPr>
            <w:r>
              <w:rPr>
                <w:rFonts w:ascii="宋体" w:hAnsi="宋体" w:cs="宋体"/>
                <w:sz w:val="18"/>
                <w:szCs w:val="18"/>
              </w:rPr>
              <w:t>1.</w:t>
            </w:r>
            <w:r>
              <w:rPr>
                <w:rFonts w:hint="eastAsia" w:ascii="宋体" w:hAnsi="宋体" w:cs="宋体"/>
                <w:sz w:val="18"/>
                <w:szCs w:val="18"/>
              </w:rPr>
              <w:t>室内噪声级检测报告及隔声性能检测报告。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505" w:type="pct"/>
            <w:vMerge w:val="continue"/>
            <w:shd w:val="clear" w:color="auto" w:fill="auto"/>
            <w:vAlign w:val="center"/>
          </w:tcPr>
          <w:p>
            <w:pPr>
              <w:spacing w:line="240" w:lineRule="auto"/>
              <w:jc w:val="center"/>
              <w:rPr>
                <w:rFonts w:ascii="宋体" w:hAnsi="宋体" w:cs="宋体"/>
                <w:sz w:val="18"/>
                <w:szCs w:val="18"/>
              </w:rPr>
            </w:pPr>
          </w:p>
        </w:tc>
        <w:tc>
          <w:tcPr>
            <w:tcW w:w="552" w:type="pct"/>
            <w:vMerge w:val="continue"/>
            <w:shd w:val="clear" w:color="auto" w:fill="auto"/>
            <w:vAlign w:val="center"/>
          </w:tcPr>
          <w:p>
            <w:pPr>
              <w:spacing w:line="240" w:lineRule="auto"/>
              <w:jc w:val="center"/>
              <w:rPr>
                <w:rFonts w:ascii="宋体" w:hAnsi="宋体" w:cs="宋体"/>
                <w:sz w:val="18"/>
                <w:szCs w:val="18"/>
              </w:rPr>
            </w:pPr>
          </w:p>
        </w:tc>
        <w:tc>
          <w:tcPr>
            <w:tcW w:w="605" w:type="pc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隔热</w:t>
            </w:r>
          </w:p>
          <w:p>
            <w:pPr>
              <w:widowControl/>
              <w:spacing w:line="240" w:lineRule="auto"/>
              <w:jc w:val="center"/>
              <w:textAlignment w:val="center"/>
              <w:rPr>
                <w:rFonts w:ascii="宋体" w:hAnsi="宋体" w:cs="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分）</w:t>
            </w:r>
          </w:p>
        </w:tc>
        <w:tc>
          <w:tcPr>
            <w:tcW w:w="2811" w:type="pct"/>
            <w:shd w:val="clear" w:color="auto" w:fill="auto"/>
            <w:vAlign w:val="center"/>
          </w:tcPr>
          <w:p>
            <w:pPr>
              <w:widowControl/>
              <w:spacing w:line="240" w:lineRule="auto"/>
              <w:textAlignment w:val="center"/>
              <w:rPr>
                <w:rFonts w:ascii="宋体" w:hAnsi="宋体" w:cs="宋体"/>
                <w:sz w:val="18"/>
                <w:szCs w:val="18"/>
              </w:rPr>
            </w:pPr>
            <w:r>
              <w:rPr>
                <w:rFonts w:hint="eastAsia" w:ascii="宋体" w:hAnsi="宋体" w:cs="宋体"/>
                <w:sz w:val="18"/>
                <w:szCs w:val="18"/>
              </w:rPr>
              <w:t>民用建筑：采用智能建造技术，提高屋面、外墙、门窗、幕墙、楼面、地面等的隔热性能，优于《民用建筑热工设计规范》GB 50176中的低限要求10%及以上得1分，2</w:t>
            </w:r>
            <w:r>
              <w:rPr>
                <w:rFonts w:ascii="宋体" w:hAnsi="宋体" w:cs="宋体"/>
                <w:sz w:val="18"/>
                <w:szCs w:val="18"/>
              </w:rPr>
              <w:t>0%</w:t>
            </w:r>
            <w:r>
              <w:rPr>
                <w:rFonts w:hint="eastAsia" w:ascii="宋体" w:hAnsi="宋体" w:cs="宋体"/>
                <w:sz w:val="18"/>
                <w:szCs w:val="18"/>
              </w:rPr>
              <w:t>及以上得2分。</w:t>
            </w:r>
          </w:p>
          <w:p>
            <w:pPr>
              <w:widowControl/>
              <w:spacing w:line="240" w:lineRule="auto"/>
              <w:textAlignment w:val="center"/>
              <w:rPr>
                <w:rFonts w:ascii="宋体" w:hAnsi="宋体" w:cs="宋体"/>
                <w:sz w:val="18"/>
                <w:szCs w:val="18"/>
              </w:rPr>
            </w:pPr>
            <w:r>
              <w:rPr>
                <w:rFonts w:hint="eastAsia" w:ascii="宋体" w:hAnsi="宋体" w:cs="宋体"/>
                <w:sz w:val="18"/>
                <w:szCs w:val="18"/>
              </w:rPr>
              <w:t>工业建筑参照此标准执行。</w:t>
            </w:r>
          </w:p>
        </w:tc>
        <w:tc>
          <w:tcPr>
            <w:tcW w:w="527" w:type="pct"/>
            <w:shd w:val="clear" w:color="auto" w:fill="auto"/>
            <w:vAlign w:val="center"/>
          </w:tcPr>
          <w:p>
            <w:pPr>
              <w:widowControl/>
              <w:snapToGrid w:val="0"/>
              <w:spacing w:line="240" w:lineRule="auto"/>
              <w:textAlignment w:val="center"/>
              <w:rPr>
                <w:rFonts w:ascii="宋体" w:hAnsi="宋体" w:cs="宋体"/>
                <w:sz w:val="18"/>
                <w:szCs w:val="18"/>
              </w:rPr>
            </w:pPr>
            <w:r>
              <w:rPr>
                <w:rFonts w:ascii="宋体" w:hAnsi="宋体" w:cs="宋体"/>
                <w:kern w:val="0"/>
                <w:sz w:val="18"/>
                <w:szCs w:val="18"/>
                <w:lang w:bidi="ar"/>
              </w:rPr>
              <w:t>1.</w:t>
            </w:r>
            <w:r>
              <w:rPr>
                <w:rFonts w:hint="eastAsia" w:ascii="宋体" w:hAnsi="宋体" w:cs="宋体"/>
                <w:kern w:val="0"/>
                <w:sz w:val="18"/>
                <w:szCs w:val="18"/>
                <w:lang w:bidi="ar"/>
              </w:rPr>
              <w:t>隔热性能验算报告或其他证明材料。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505" w:type="pct"/>
            <w:vMerge w:val="continue"/>
            <w:shd w:val="clear" w:color="auto" w:fill="auto"/>
            <w:vAlign w:val="center"/>
          </w:tcPr>
          <w:p>
            <w:pPr>
              <w:spacing w:line="240" w:lineRule="auto"/>
              <w:jc w:val="center"/>
              <w:rPr>
                <w:rFonts w:ascii="宋体" w:hAnsi="宋体" w:cs="宋体"/>
                <w:sz w:val="18"/>
                <w:szCs w:val="18"/>
              </w:rPr>
            </w:pPr>
          </w:p>
        </w:tc>
        <w:tc>
          <w:tcPr>
            <w:tcW w:w="552" w:type="pct"/>
            <w:vMerge w:val="continue"/>
            <w:shd w:val="clear" w:color="auto" w:fill="auto"/>
            <w:vAlign w:val="center"/>
          </w:tcPr>
          <w:p>
            <w:pPr>
              <w:spacing w:line="240" w:lineRule="auto"/>
              <w:jc w:val="center"/>
              <w:rPr>
                <w:rFonts w:ascii="宋体" w:hAnsi="宋体" w:cs="宋体"/>
                <w:sz w:val="18"/>
                <w:szCs w:val="18"/>
              </w:rPr>
            </w:pPr>
          </w:p>
        </w:tc>
        <w:tc>
          <w:tcPr>
            <w:tcW w:w="605" w:type="pc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除异味</w:t>
            </w:r>
          </w:p>
          <w:p>
            <w:pPr>
              <w:widowControl/>
              <w:spacing w:line="240" w:lineRule="auto"/>
              <w:jc w:val="center"/>
              <w:textAlignment w:val="center"/>
              <w:rPr>
                <w:rFonts w:ascii="宋体" w:hAnsi="宋体" w:cs="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分）</w:t>
            </w:r>
          </w:p>
        </w:tc>
        <w:tc>
          <w:tcPr>
            <w:tcW w:w="2811" w:type="pct"/>
            <w:shd w:val="clear" w:color="auto" w:fill="auto"/>
            <w:vAlign w:val="center"/>
          </w:tcPr>
          <w:p>
            <w:pPr>
              <w:widowControl/>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采用智能建造技术，未发生厨房、餐厅、打印复印室、卫生间、地下车库等区域的空气和污染物串通到其他空间的现象，厨房和卫生间无排气倒灌，</w:t>
            </w:r>
            <w:r>
              <w:rPr>
                <w:rFonts w:hint="eastAsia" w:ascii="宋体" w:hAnsi="宋体" w:cs="宋体"/>
                <w:sz w:val="18"/>
                <w:szCs w:val="18"/>
              </w:rPr>
              <w:t>得</w:t>
            </w:r>
            <w:r>
              <w:rPr>
                <w:rFonts w:ascii="宋体" w:hAnsi="宋体" w:cs="宋体"/>
                <w:sz w:val="18"/>
                <w:szCs w:val="18"/>
              </w:rPr>
              <w:t>2</w:t>
            </w:r>
            <w:r>
              <w:rPr>
                <w:rFonts w:hint="eastAsia" w:ascii="宋体" w:hAnsi="宋体" w:cs="宋体"/>
                <w:sz w:val="18"/>
                <w:szCs w:val="18"/>
              </w:rPr>
              <w:t>分</w:t>
            </w:r>
            <w:r>
              <w:rPr>
                <w:rFonts w:hint="eastAsia" w:ascii="宋体" w:hAnsi="宋体" w:cs="宋体"/>
                <w:kern w:val="0"/>
                <w:sz w:val="18"/>
                <w:szCs w:val="18"/>
                <w:lang w:bidi="ar"/>
              </w:rPr>
              <w:t>。</w:t>
            </w:r>
          </w:p>
        </w:tc>
        <w:tc>
          <w:tcPr>
            <w:tcW w:w="527" w:type="pct"/>
            <w:shd w:val="clear" w:color="auto" w:fill="auto"/>
            <w:vAlign w:val="center"/>
          </w:tcPr>
          <w:p>
            <w:pPr>
              <w:widowControl/>
              <w:spacing w:line="240" w:lineRule="auto"/>
              <w:textAlignment w:val="center"/>
              <w:rPr>
                <w:rFonts w:ascii="宋体" w:hAnsi="宋体" w:cs="宋体"/>
                <w:kern w:val="0"/>
                <w:sz w:val="18"/>
                <w:szCs w:val="18"/>
                <w:lang w:bidi="ar"/>
              </w:rPr>
            </w:pPr>
            <w:r>
              <w:rPr>
                <w:rFonts w:ascii="宋体" w:hAnsi="宋体" w:cs="宋体"/>
                <w:kern w:val="0"/>
                <w:sz w:val="18"/>
                <w:szCs w:val="18"/>
                <w:lang w:bidi="ar"/>
              </w:rPr>
              <w:t>1.</w:t>
            </w:r>
            <w:r>
              <w:rPr>
                <w:rFonts w:hint="eastAsia" w:ascii="宋体" w:hAnsi="宋体" w:cs="宋体"/>
                <w:kern w:val="0"/>
                <w:sz w:val="18"/>
                <w:szCs w:val="18"/>
                <w:lang w:bidi="ar"/>
              </w:rPr>
              <w:t>无异味现象记录资料。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5" w:type="pct"/>
            <w:vMerge w:val="continue"/>
            <w:shd w:val="clear" w:color="auto" w:fill="auto"/>
            <w:vAlign w:val="center"/>
          </w:tcPr>
          <w:p>
            <w:pPr>
              <w:spacing w:line="240" w:lineRule="auto"/>
              <w:jc w:val="center"/>
              <w:rPr>
                <w:rFonts w:ascii="宋体" w:hAnsi="宋体" w:cs="宋体"/>
                <w:sz w:val="18"/>
                <w:szCs w:val="18"/>
              </w:rPr>
            </w:pPr>
          </w:p>
        </w:tc>
        <w:tc>
          <w:tcPr>
            <w:tcW w:w="552" w:type="pct"/>
            <w:vMerge w:val="continue"/>
            <w:shd w:val="clear" w:color="auto" w:fill="auto"/>
            <w:vAlign w:val="center"/>
          </w:tcPr>
          <w:p>
            <w:pPr>
              <w:spacing w:line="240" w:lineRule="auto"/>
              <w:jc w:val="center"/>
              <w:rPr>
                <w:rFonts w:ascii="宋体" w:hAnsi="宋体" w:cs="宋体"/>
                <w:sz w:val="18"/>
                <w:szCs w:val="18"/>
              </w:rPr>
            </w:pPr>
          </w:p>
        </w:tc>
        <w:tc>
          <w:tcPr>
            <w:tcW w:w="605" w:type="pct"/>
            <w:vMerge w:val="restar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少改、易改</w:t>
            </w:r>
          </w:p>
          <w:p>
            <w:pPr>
              <w:widowControl/>
              <w:spacing w:line="240" w:lineRule="auto"/>
              <w:jc w:val="center"/>
              <w:textAlignment w:val="center"/>
              <w:rPr>
                <w:rFonts w:ascii="宋体" w:hAnsi="宋体" w:cs="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分）</w:t>
            </w:r>
          </w:p>
        </w:tc>
        <w:tc>
          <w:tcPr>
            <w:tcW w:w="2811" w:type="pct"/>
            <w:shd w:val="clear" w:color="auto" w:fill="auto"/>
            <w:vAlign w:val="center"/>
          </w:tcPr>
          <w:p>
            <w:pPr>
              <w:widowControl/>
              <w:spacing w:line="240" w:lineRule="auto"/>
              <w:textAlignment w:val="center"/>
              <w:rPr>
                <w:rFonts w:ascii="宋体" w:hAnsi="宋体" w:cs="宋体"/>
                <w:sz w:val="18"/>
                <w:szCs w:val="18"/>
              </w:rPr>
            </w:pPr>
            <w:r>
              <w:rPr>
                <w:rFonts w:hint="eastAsia" w:ascii="宋体" w:hAnsi="宋体" w:cs="宋体"/>
                <w:kern w:val="0"/>
                <w:sz w:val="18"/>
                <w:szCs w:val="18"/>
                <w:lang w:bidi="ar"/>
              </w:rPr>
              <w:t>基于B</w:t>
            </w:r>
            <w:r>
              <w:rPr>
                <w:rFonts w:ascii="宋体" w:hAnsi="宋体" w:cs="宋体"/>
                <w:kern w:val="0"/>
                <w:sz w:val="18"/>
                <w:szCs w:val="18"/>
                <w:lang w:bidi="ar"/>
              </w:rPr>
              <w:t>IM</w:t>
            </w:r>
            <w:r>
              <w:rPr>
                <w:rFonts w:hint="eastAsia" w:ascii="宋体" w:hAnsi="宋体" w:cs="宋体"/>
                <w:kern w:val="0"/>
                <w:sz w:val="18"/>
                <w:szCs w:val="18"/>
                <w:lang w:bidi="ar"/>
              </w:rPr>
              <w:t>模型，</w:t>
            </w:r>
            <w:r>
              <w:rPr>
                <w:rFonts w:hint="eastAsia" w:ascii="宋体" w:hAnsi="宋体" w:cs="宋体"/>
                <w:sz w:val="18"/>
                <w:szCs w:val="18"/>
              </w:rPr>
              <w:t>运用AR、MR或VR技术，充分考虑用户需求和意见进行</w:t>
            </w:r>
            <w:r>
              <w:rPr>
                <w:rFonts w:hint="eastAsia" w:ascii="宋体" w:hAnsi="宋体" w:cs="宋体"/>
                <w:kern w:val="0"/>
                <w:sz w:val="18"/>
                <w:szCs w:val="18"/>
                <w:lang w:bidi="ar"/>
              </w:rPr>
              <w:t>精装设计，</w:t>
            </w:r>
            <w:r>
              <w:rPr>
                <w:rFonts w:hint="eastAsia" w:ascii="宋体" w:hAnsi="宋体" w:cs="宋体"/>
                <w:sz w:val="18"/>
                <w:szCs w:val="18"/>
              </w:rPr>
              <w:t>得1分。</w:t>
            </w:r>
          </w:p>
        </w:tc>
        <w:tc>
          <w:tcPr>
            <w:tcW w:w="527" w:type="pct"/>
            <w:shd w:val="clear" w:color="auto" w:fill="auto"/>
            <w:vAlign w:val="center"/>
          </w:tcPr>
          <w:p>
            <w:pPr>
              <w:widowControl/>
              <w:snapToGrid w:val="0"/>
              <w:spacing w:line="240" w:lineRule="auto"/>
              <w:textAlignment w:val="center"/>
              <w:rPr>
                <w:rFonts w:ascii="宋体" w:hAnsi="宋体" w:cs="宋体"/>
                <w:sz w:val="18"/>
                <w:szCs w:val="18"/>
              </w:rPr>
            </w:pPr>
            <w:r>
              <w:rPr>
                <w:rFonts w:ascii="宋体" w:hAnsi="宋体" w:cs="宋体"/>
                <w:kern w:val="0"/>
                <w:sz w:val="18"/>
                <w:szCs w:val="18"/>
                <w:lang w:bidi="ar"/>
              </w:rPr>
              <w:t>1.</w:t>
            </w:r>
            <w:r>
              <w:rPr>
                <w:rFonts w:hint="eastAsia" w:ascii="宋体" w:hAnsi="宋体" w:cs="宋体"/>
                <w:kern w:val="0"/>
                <w:sz w:val="18"/>
                <w:szCs w:val="18"/>
                <w:lang w:bidi="ar"/>
              </w:rPr>
              <w:t>过程证明图片或视频。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505" w:type="pct"/>
            <w:vMerge w:val="continue"/>
            <w:shd w:val="clear" w:color="auto" w:fill="auto"/>
            <w:vAlign w:val="center"/>
          </w:tcPr>
          <w:p>
            <w:pPr>
              <w:spacing w:line="240" w:lineRule="auto"/>
              <w:jc w:val="center"/>
              <w:rPr>
                <w:rFonts w:ascii="宋体" w:hAnsi="宋体" w:cs="宋体"/>
                <w:sz w:val="18"/>
                <w:szCs w:val="18"/>
              </w:rPr>
            </w:pPr>
          </w:p>
        </w:tc>
        <w:tc>
          <w:tcPr>
            <w:tcW w:w="552" w:type="pct"/>
            <w:vMerge w:val="continue"/>
            <w:shd w:val="clear" w:color="auto" w:fill="auto"/>
            <w:vAlign w:val="center"/>
          </w:tcPr>
          <w:p>
            <w:pPr>
              <w:spacing w:line="240" w:lineRule="auto"/>
              <w:jc w:val="center"/>
              <w:rPr>
                <w:rFonts w:ascii="宋体" w:hAnsi="宋体" w:cs="宋体"/>
                <w:sz w:val="18"/>
                <w:szCs w:val="18"/>
              </w:rPr>
            </w:pPr>
          </w:p>
        </w:tc>
        <w:tc>
          <w:tcPr>
            <w:tcW w:w="605" w:type="pct"/>
            <w:vMerge w:val="continue"/>
            <w:shd w:val="clear" w:color="auto" w:fill="auto"/>
            <w:vAlign w:val="center"/>
          </w:tcPr>
          <w:p>
            <w:pPr>
              <w:widowControl/>
              <w:spacing w:line="240" w:lineRule="auto"/>
              <w:jc w:val="center"/>
              <w:textAlignment w:val="center"/>
              <w:rPr>
                <w:rFonts w:ascii="宋体" w:hAnsi="宋体" w:cs="宋体"/>
                <w:sz w:val="18"/>
                <w:szCs w:val="18"/>
              </w:rPr>
            </w:pPr>
          </w:p>
        </w:tc>
        <w:tc>
          <w:tcPr>
            <w:tcW w:w="2811" w:type="pct"/>
            <w:shd w:val="clear" w:color="auto" w:fill="auto"/>
            <w:vAlign w:val="center"/>
          </w:tcPr>
          <w:p>
            <w:pPr>
              <w:widowControl/>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采用通用性、适用性强的户型设计，实现易改造，如百年住宅，得</w:t>
            </w:r>
            <w:r>
              <w:rPr>
                <w:rFonts w:hint="eastAsia" w:ascii="宋体" w:hAnsi="宋体" w:cs="宋体"/>
                <w:sz w:val="18"/>
                <w:szCs w:val="18"/>
              </w:rPr>
              <w:t>1分。</w:t>
            </w:r>
          </w:p>
        </w:tc>
        <w:tc>
          <w:tcPr>
            <w:tcW w:w="527" w:type="pct"/>
            <w:shd w:val="clear" w:color="auto" w:fill="auto"/>
            <w:vAlign w:val="center"/>
          </w:tcPr>
          <w:p>
            <w:pPr>
              <w:widowControl/>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1．户型设计图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05" w:type="pct"/>
            <w:vMerge w:val="continue"/>
            <w:shd w:val="clear" w:color="auto" w:fill="auto"/>
            <w:vAlign w:val="center"/>
          </w:tcPr>
          <w:p>
            <w:pPr>
              <w:spacing w:line="240" w:lineRule="auto"/>
              <w:jc w:val="center"/>
              <w:rPr>
                <w:rFonts w:ascii="宋体" w:hAnsi="宋体" w:cs="宋体"/>
                <w:sz w:val="18"/>
                <w:szCs w:val="18"/>
              </w:rPr>
            </w:pPr>
          </w:p>
        </w:tc>
        <w:tc>
          <w:tcPr>
            <w:tcW w:w="552" w:type="pct"/>
            <w:vMerge w:val="restar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服务便利</w:t>
            </w:r>
          </w:p>
          <w:p>
            <w:pPr>
              <w:widowControl/>
              <w:spacing w:line="240" w:lineRule="auto"/>
              <w:jc w:val="center"/>
              <w:textAlignment w:val="center"/>
              <w:rPr>
                <w:rFonts w:ascii="宋体" w:hAnsi="宋体" w:cs="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分）</w:t>
            </w:r>
          </w:p>
        </w:tc>
        <w:tc>
          <w:tcPr>
            <w:tcW w:w="605" w:type="pc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虚拟展示</w:t>
            </w:r>
          </w:p>
          <w:p>
            <w:pPr>
              <w:widowControl/>
              <w:spacing w:line="240" w:lineRule="auto"/>
              <w:jc w:val="center"/>
              <w:textAlignment w:val="center"/>
              <w:rPr>
                <w:rFonts w:ascii="宋体" w:hAnsi="宋体" w:cs="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分）</w:t>
            </w:r>
          </w:p>
        </w:tc>
        <w:tc>
          <w:tcPr>
            <w:tcW w:w="2811" w:type="pct"/>
            <w:shd w:val="clear" w:color="auto" w:fill="auto"/>
            <w:vAlign w:val="center"/>
          </w:tcPr>
          <w:p>
            <w:pPr>
              <w:widowControl/>
              <w:spacing w:line="240" w:lineRule="auto"/>
              <w:textAlignment w:val="center"/>
              <w:rPr>
                <w:rFonts w:ascii="宋体" w:hAnsi="宋体" w:cs="宋体"/>
                <w:sz w:val="18"/>
                <w:szCs w:val="18"/>
              </w:rPr>
            </w:pPr>
            <w:r>
              <w:rPr>
                <w:rFonts w:hint="eastAsia" w:ascii="宋体" w:hAnsi="宋体" w:cs="宋体"/>
                <w:kern w:val="0"/>
                <w:sz w:val="18"/>
                <w:szCs w:val="18"/>
                <w:lang w:bidi="ar"/>
              </w:rPr>
              <w:t>基于B</w:t>
            </w:r>
            <w:r>
              <w:rPr>
                <w:rFonts w:ascii="宋体" w:hAnsi="宋体" w:cs="宋体"/>
                <w:kern w:val="0"/>
                <w:sz w:val="18"/>
                <w:szCs w:val="18"/>
                <w:lang w:bidi="ar"/>
              </w:rPr>
              <w:t>IM</w:t>
            </w:r>
            <w:r>
              <w:rPr>
                <w:rFonts w:hint="eastAsia" w:ascii="宋体" w:hAnsi="宋体" w:cs="宋体"/>
                <w:kern w:val="0"/>
                <w:sz w:val="18"/>
                <w:szCs w:val="18"/>
                <w:lang w:bidi="ar"/>
              </w:rPr>
              <w:t>模型，结合VR、AR和漫游等技术，将建筑项目更直观地呈现给用户，满足用户了解空间布局、提前定制装修或家居等个性化需求，得</w:t>
            </w:r>
            <w:r>
              <w:rPr>
                <w:rFonts w:ascii="宋体" w:hAnsi="宋体" w:cs="宋体"/>
                <w:kern w:val="0"/>
                <w:sz w:val="18"/>
                <w:szCs w:val="18"/>
                <w:lang w:bidi="ar"/>
              </w:rPr>
              <w:t>2</w:t>
            </w:r>
            <w:r>
              <w:rPr>
                <w:rFonts w:hint="eastAsia" w:ascii="宋体" w:hAnsi="宋体" w:cs="宋体"/>
                <w:kern w:val="0"/>
                <w:sz w:val="18"/>
                <w:szCs w:val="18"/>
                <w:lang w:bidi="ar"/>
              </w:rPr>
              <w:t>分。</w:t>
            </w:r>
          </w:p>
        </w:tc>
        <w:tc>
          <w:tcPr>
            <w:tcW w:w="527" w:type="pct"/>
            <w:vMerge w:val="restart"/>
            <w:shd w:val="clear" w:color="auto" w:fill="auto"/>
            <w:vAlign w:val="center"/>
          </w:tcPr>
          <w:p>
            <w:pPr>
              <w:widowControl/>
              <w:spacing w:line="240" w:lineRule="auto"/>
              <w:textAlignment w:val="center"/>
              <w:rPr>
                <w:rFonts w:ascii="宋体" w:hAnsi="宋体" w:cs="宋体"/>
                <w:sz w:val="18"/>
                <w:szCs w:val="18"/>
              </w:rPr>
            </w:pPr>
            <w:r>
              <w:rPr>
                <w:rFonts w:ascii="宋体" w:hAnsi="宋体" w:cs="宋体"/>
                <w:kern w:val="0"/>
                <w:sz w:val="18"/>
                <w:szCs w:val="18"/>
                <w:lang w:bidi="ar"/>
              </w:rPr>
              <w:t>1</w:t>
            </w:r>
            <w:r>
              <w:rPr>
                <w:rFonts w:hint="eastAsia" w:ascii="宋体" w:hAnsi="宋体" w:cs="宋体"/>
                <w:kern w:val="0"/>
                <w:sz w:val="18"/>
                <w:szCs w:val="18"/>
                <w:lang w:bidi="ar"/>
              </w:rPr>
              <w:t>．过程证明图片或视频。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05" w:type="pct"/>
            <w:vMerge w:val="continue"/>
            <w:shd w:val="clear" w:color="auto" w:fill="auto"/>
            <w:vAlign w:val="center"/>
          </w:tcPr>
          <w:p>
            <w:pPr>
              <w:spacing w:line="240" w:lineRule="auto"/>
              <w:jc w:val="center"/>
              <w:rPr>
                <w:rFonts w:ascii="宋体" w:hAnsi="宋体" w:cs="宋体"/>
                <w:sz w:val="18"/>
                <w:szCs w:val="18"/>
              </w:rPr>
            </w:pPr>
          </w:p>
        </w:tc>
        <w:tc>
          <w:tcPr>
            <w:tcW w:w="552" w:type="pct"/>
            <w:vMerge w:val="continue"/>
            <w:shd w:val="clear" w:color="auto" w:fill="auto"/>
            <w:vAlign w:val="center"/>
          </w:tcPr>
          <w:p>
            <w:pPr>
              <w:spacing w:line="240" w:lineRule="auto"/>
              <w:jc w:val="center"/>
              <w:rPr>
                <w:rFonts w:ascii="宋体" w:hAnsi="宋体" w:cs="宋体"/>
                <w:sz w:val="18"/>
                <w:szCs w:val="18"/>
              </w:rPr>
            </w:pPr>
          </w:p>
        </w:tc>
        <w:tc>
          <w:tcPr>
            <w:tcW w:w="605" w:type="pc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数字化验房</w:t>
            </w:r>
          </w:p>
          <w:p>
            <w:pPr>
              <w:widowControl/>
              <w:spacing w:line="240" w:lineRule="auto"/>
              <w:jc w:val="center"/>
              <w:textAlignment w:val="center"/>
              <w:rPr>
                <w:rFonts w:ascii="宋体" w:hAnsi="宋体" w:cs="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分）</w:t>
            </w:r>
          </w:p>
        </w:tc>
        <w:tc>
          <w:tcPr>
            <w:tcW w:w="2811" w:type="pct"/>
            <w:shd w:val="clear" w:color="auto" w:fill="auto"/>
            <w:vAlign w:val="center"/>
          </w:tcPr>
          <w:p>
            <w:pPr>
              <w:widowControl/>
              <w:spacing w:line="240" w:lineRule="auto"/>
              <w:textAlignment w:val="center"/>
              <w:rPr>
                <w:rFonts w:ascii="宋体" w:hAnsi="宋体" w:cs="宋体"/>
                <w:sz w:val="18"/>
                <w:szCs w:val="18"/>
              </w:rPr>
            </w:pPr>
            <w:r>
              <w:rPr>
                <w:rFonts w:hint="eastAsia" w:ascii="宋体" w:hAnsi="宋体" w:cs="宋体"/>
                <w:sz w:val="18"/>
                <w:szCs w:val="18"/>
              </w:rPr>
              <w:t>基于B</w:t>
            </w:r>
            <w:r>
              <w:rPr>
                <w:rFonts w:ascii="宋体" w:hAnsi="宋体" w:cs="宋体"/>
                <w:sz w:val="18"/>
                <w:szCs w:val="18"/>
              </w:rPr>
              <w:t>IM</w:t>
            </w:r>
            <w:r>
              <w:rPr>
                <w:rFonts w:hint="eastAsia" w:ascii="宋体" w:hAnsi="宋体" w:cs="宋体"/>
                <w:sz w:val="18"/>
                <w:szCs w:val="18"/>
              </w:rPr>
              <w:t>模型，实现用户线上验房、线上签约缴费、质量问题智能识别、验收问题投诉反馈、政府线上监管等功能</w:t>
            </w:r>
            <w:r>
              <w:rPr>
                <w:rFonts w:hint="eastAsia" w:ascii="宋体" w:hAnsi="宋体" w:cs="宋体"/>
                <w:kern w:val="0"/>
                <w:sz w:val="18"/>
                <w:szCs w:val="18"/>
                <w:lang w:bidi="ar"/>
              </w:rPr>
              <w:t>，得</w:t>
            </w:r>
            <w:r>
              <w:rPr>
                <w:rFonts w:ascii="宋体" w:hAnsi="宋体" w:cs="宋体"/>
                <w:kern w:val="0"/>
                <w:sz w:val="18"/>
                <w:szCs w:val="18"/>
                <w:lang w:bidi="ar"/>
              </w:rPr>
              <w:t>2</w:t>
            </w:r>
            <w:r>
              <w:rPr>
                <w:rFonts w:hint="eastAsia" w:ascii="宋体" w:hAnsi="宋体" w:cs="宋体"/>
                <w:kern w:val="0"/>
                <w:sz w:val="18"/>
                <w:szCs w:val="18"/>
                <w:lang w:bidi="ar"/>
              </w:rPr>
              <w:t>分</w:t>
            </w:r>
            <w:r>
              <w:rPr>
                <w:rFonts w:hint="eastAsia" w:ascii="宋体" w:hAnsi="宋体" w:cs="宋体"/>
                <w:sz w:val="18"/>
                <w:szCs w:val="18"/>
              </w:rPr>
              <w:t>。</w:t>
            </w:r>
          </w:p>
        </w:tc>
        <w:tc>
          <w:tcPr>
            <w:tcW w:w="527" w:type="pct"/>
            <w:vMerge w:val="continue"/>
            <w:shd w:val="clear" w:color="auto" w:fill="auto"/>
            <w:vAlign w:val="center"/>
          </w:tcPr>
          <w:p>
            <w:pPr>
              <w:snapToGrid w:val="0"/>
              <w:spacing w:line="240" w:lineRule="auto"/>
              <w:textAlignment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05" w:type="pct"/>
            <w:vMerge w:val="continue"/>
            <w:shd w:val="clear" w:color="auto" w:fill="auto"/>
            <w:vAlign w:val="center"/>
          </w:tcPr>
          <w:p>
            <w:pPr>
              <w:spacing w:line="240" w:lineRule="auto"/>
              <w:jc w:val="center"/>
              <w:rPr>
                <w:rFonts w:ascii="宋体" w:hAnsi="宋体" w:cs="宋体"/>
                <w:sz w:val="18"/>
                <w:szCs w:val="18"/>
              </w:rPr>
            </w:pPr>
          </w:p>
        </w:tc>
        <w:tc>
          <w:tcPr>
            <w:tcW w:w="552" w:type="pct"/>
            <w:vMerge w:val="continue"/>
            <w:shd w:val="clear" w:color="auto" w:fill="auto"/>
            <w:vAlign w:val="center"/>
          </w:tcPr>
          <w:p>
            <w:pPr>
              <w:spacing w:line="240" w:lineRule="auto"/>
              <w:jc w:val="center"/>
              <w:rPr>
                <w:rFonts w:ascii="宋体" w:hAnsi="宋体" w:cs="宋体"/>
                <w:sz w:val="18"/>
                <w:szCs w:val="18"/>
              </w:rPr>
            </w:pPr>
          </w:p>
        </w:tc>
        <w:tc>
          <w:tcPr>
            <w:tcW w:w="605" w:type="pct"/>
            <w:shd w:val="clear" w:color="auto" w:fill="auto"/>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高效维保</w:t>
            </w:r>
          </w:p>
          <w:p>
            <w:pPr>
              <w:widowControl/>
              <w:spacing w:line="240" w:lineRule="auto"/>
              <w:jc w:val="center"/>
              <w:textAlignment w:val="center"/>
              <w:rPr>
                <w:rFonts w:ascii="宋体" w:hAnsi="宋体" w:cs="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分）</w:t>
            </w:r>
          </w:p>
        </w:tc>
        <w:tc>
          <w:tcPr>
            <w:tcW w:w="2811" w:type="pct"/>
            <w:shd w:val="clear" w:color="auto" w:fill="auto"/>
            <w:vAlign w:val="center"/>
          </w:tcPr>
          <w:p>
            <w:pPr>
              <w:widowControl/>
              <w:spacing w:line="240" w:lineRule="auto"/>
              <w:textAlignment w:val="center"/>
              <w:rPr>
                <w:rFonts w:ascii="宋体" w:hAnsi="宋体" w:cs="宋体"/>
                <w:sz w:val="18"/>
                <w:szCs w:val="18"/>
              </w:rPr>
            </w:pPr>
            <w:r>
              <w:rPr>
                <w:rFonts w:hint="eastAsia" w:ascii="宋体" w:hAnsi="宋体" w:cs="宋体"/>
                <w:kern w:val="0"/>
                <w:sz w:val="18"/>
                <w:szCs w:val="18"/>
                <w:lang w:bidi="ar"/>
              </w:rPr>
              <w:t>采用智能化技术，实现设备保养智能预测、故障远程监控报警、智能派单、用户在线报修反馈等功能，得</w:t>
            </w:r>
            <w:r>
              <w:rPr>
                <w:rFonts w:ascii="宋体" w:hAnsi="宋体" w:cs="宋体"/>
                <w:kern w:val="0"/>
                <w:sz w:val="18"/>
                <w:szCs w:val="18"/>
                <w:lang w:bidi="ar"/>
              </w:rPr>
              <w:t>2</w:t>
            </w:r>
            <w:r>
              <w:rPr>
                <w:rFonts w:hint="eastAsia" w:ascii="宋体" w:hAnsi="宋体" w:cs="宋体"/>
                <w:kern w:val="0"/>
                <w:sz w:val="18"/>
                <w:szCs w:val="18"/>
                <w:lang w:bidi="ar"/>
              </w:rPr>
              <w:t>分。</w:t>
            </w:r>
          </w:p>
        </w:tc>
        <w:tc>
          <w:tcPr>
            <w:tcW w:w="527" w:type="pct"/>
            <w:vMerge w:val="continue"/>
            <w:shd w:val="clear" w:color="auto" w:fill="auto"/>
            <w:vAlign w:val="center"/>
          </w:tcPr>
          <w:p>
            <w:pPr>
              <w:widowControl/>
              <w:snapToGrid w:val="0"/>
              <w:spacing w:line="240" w:lineRule="auto"/>
              <w:textAlignment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05" w:type="pct"/>
            <w:vMerge w:val="continue"/>
            <w:shd w:val="clear" w:color="auto" w:fill="auto"/>
            <w:vAlign w:val="center"/>
          </w:tcPr>
          <w:p>
            <w:pPr>
              <w:spacing w:line="240" w:lineRule="auto"/>
              <w:jc w:val="center"/>
              <w:rPr>
                <w:rFonts w:ascii="宋体" w:hAnsi="宋体" w:cs="宋体"/>
                <w:sz w:val="18"/>
                <w:szCs w:val="18"/>
              </w:rPr>
            </w:pPr>
          </w:p>
        </w:tc>
        <w:tc>
          <w:tcPr>
            <w:tcW w:w="552" w:type="pct"/>
            <w:vMerge w:val="restar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智能拓展</w:t>
            </w:r>
          </w:p>
          <w:p>
            <w:pPr>
              <w:widowControl/>
              <w:spacing w:line="240" w:lineRule="auto"/>
              <w:jc w:val="center"/>
              <w:textAlignment w:val="center"/>
              <w:rPr>
                <w:rFonts w:ascii="宋体" w:hAnsi="宋体" w:cs="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分）</w:t>
            </w:r>
          </w:p>
        </w:tc>
        <w:tc>
          <w:tcPr>
            <w:tcW w:w="605"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对内拓展</w:t>
            </w:r>
          </w:p>
          <w:p>
            <w:pPr>
              <w:widowControl/>
              <w:spacing w:line="240" w:lineRule="auto"/>
              <w:jc w:val="center"/>
              <w:textAlignment w:val="center"/>
              <w:rPr>
                <w:rFonts w:ascii="宋体" w:hAnsi="宋体" w:cs="宋体"/>
                <w:kern w:val="0"/>
                <w:sz w:val="18"/>
                <w:szCs w:val="18"/>
                <w:lang w:bidi="ar"/>
              </w:rPr>
            </w:pPr>
            <w:r>
              <w:rPr>
                <w:rFonts w:hint="eastAsia" w:ascii="宋体" w:hAnsi="宋体"/>
                <w:sz w:val="18"/>
                <w:szCs w:val="18"/>
              </w:rPr>
              <w:t>（</w:t>
            </w:r>
            <w:r>
              <w:rPr>
                <w:rFonts w:ascii="宋体" w:hAnsi="宋体"/>
                <w:sz w:val="18"/>
                <w:szCs w:val="18"/>
              </w:rPr>
              <w:t>2</w:t>
            </w:r>
            <w:r>
              <w:rPr>
                <w:rFonts w:hint="eastAsia" w:ascii="宋体" w:hAnsi="宋体"/>
                <w:sz w:val="18"/>
                <w:szCs w:val="18"/>
              </w:rPr>
              <w:t>分）</w:t>
            </w:r>
          </w:p>
        </w:tc>
        <w:tc>
          <w:tcPr>
            <w:tcW w:w="2811" w:type="pct"/>
            <w:shd w:val="clear" w:color="auto" w:fill="auto"/>
            <w:vAlign w:val="center"/>
          </w:tcPr>
          <w:p>
            <w:pPr>
              <w:widowControl/>
              <w:spacing w:line="240" w:lineRule="auto"/>
              <w:textAlignment w:val="center"/>
              <w:rPr>
                <w:rFonts w:ascii="宋体" w:hAnsi="宋体" w:cs="宋体"/>
                <w:sz w:val="18"/>
                <w:szCs w:val="18"/>
              </w:rPr>
            </w:pPr>
            <w:r>
              <w:rPr>
                <w:rFonts w:hint="eastAsia" w:ascii="宋体" w:hAnsi="宋体" w:cs="宋体"/>
                <w:kern w:val="0"/>
                <w:sz w:val="18"/>
                <w:szCs w:val="18"/>
                <w:lang w:bidi="ar"/>
              </w:rPr>
              <w:t>为智慧家庭、智能设备、智慧办公等提供基础条件或者接口，得</w:t>
            </w:r>
            <w:r>
              <w:rPr>
                <w:rFonts w:ascii="宋体" w:hAnsi="宋体" w:cs="宋体"/>
                <w:kern w:val="0"/>
                <w:sz w:val="18"/>
                <w:szCs w:val="18"/>
                <w:lang w:bidi="ar"/>
              </w:rPr>
              <w:t>2</w:t>
            </w:r>
            <w:r>
              <w:rPr>
                <w:rFonts w:hint="eastAsia" w:ascii="宋体" w:hAnsi="宋体" w:cs="宋体"/>
                <w:kern w:val="0"/>
                <w:sz w:val="18"/>
                <w:szCs w:val="18"/>
                <w:lang w:bidi="ar"/>
              </w:rPr>
              <w:t>分。</w:t>
            </w:r>
          </w:p>
        </w:tc>
        <w:tc>
          <w:tcPr>
            <w:tcW w:w="527" w:type="pct"/>
            <w:vMerge w:val="restart"/>
            <w:shd w:val="clear" w:color="auto" w:fill="auto"/>
            <w:vAlign w:val="center"/>
          </w:tcPr>
          <w:p>
            <w:pPr>
              <w:widowControl/>
              <w:spacing w:line="240" w:lineRule="auto"/>
              <w:textAlignment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w:t>
            </w:r>
            <w:r>
              <w:rPr>
                <w:rFonts w:hint="eastAsia" w:ascii="宋体" w:hAnsi="宋体" w:cs="宋体"/>
                <w:sz w:val="18"/>
                <w:szCs w:val="18"/>
              </w:rPr>
              <w:t>接口应用功能说明书。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505" w:type="pct"/>
            <w:vMerge w:val="continue"/>
            <w:shd w:val="clear" w:color="auto" w:fill="auto"/>
            <w:vAlign w:val="center"/>
          </w:tcPr>
          <w:p>
            <w:pPr>
              <w:spacing w:line="240" w:lineRule="auto"/>
              <w:jc w:val="center"/>
              <w:rPr>
                <w:rFonts w:ascii="宋体" w:hAnsi="宋体" w:cs="宋体"/>
                <w:sz w:val="18"/>
                <w:szCs w:val="18"/>
              </w:rPr>
            </w:pPr>
          </w:p>
        </w:tc>
        <w:tc>
          <w:tcPr>
            <w:tcW w:w="552" w:type="pct"/>
            <w:vMerge w:val="continue"/>
            <w:shd w:val="clear" w:color="auto" w:fill="auto"/>
            <w:vAlign w:val="center"/>
          </w:tcPr>
          <w:p>
            <w:pPr>
              <w:spacing w:line="240" w:lineRule="auto"/>
              <w:jc w:val="left"/>
              <w:rPr>
                <w:rFonts w:ascii="宋体" w:hAnsi="宋体" w:cs="宋体"/>
                <w:sz w:val="18"/>
                <w:szCs w:val="18"/>
              </w:rPr>
            </w:pPr>
          </w:p>
        </w:tc>
        <w:tc>
          <w:tcPr>
            <w:tcW w:w="605" w:type="pct"/>
            <w:shd w:val="clear" w:color="auto" w:fill="auto"/>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对外拓展</w:t>
            </w:r>
          </w:p>
          <w:p>
            <w:pPr>
              <w:widowControl/>
              <w:spacing w:line="240" w:lineRule="auto"/>
              <w:jc w:val="center"/>
              <w:textAlignment w:val="center"/>
              <w:rPr>
                <w:rFonts w:ascii="宋体" w:hAnsi="宋体" w:cs="宋体"/>
                <w:kern w:val="0"/>
                <w:sz w:val="18"/>
                <w:szCs w:val="18"/>
                <w:lang w:bidi="ar"/>
              </w:rPr>
            </w:pPr>
            <w:r>
              <w:rPr>
                <w:rFonts w:hint="eastAsia" w:ascii="宋体" w:hAnsi="宋体"/>
                <w:sz w:val="18"/>
                <w:szCs w:val="18"/>
              </w:rPr>
              <w:t>（</w:t>
            </w:r>
            <w:r>
              <w:rPr>
                <w:rFonts w:ascii="宋体" w:hAnsi="宋体"/>
                <w:sz w:val="18"/>
                <w:szCs w:val="18"/>
              </w:rPr>
              <w:t>2</w:t>
            </w:r>
            <w:r>
              <w:rPr>
                <w:rFonts w:hint="eastAsia" w:ascii="宋体" w:hAnsi="宋体"/>
                <w:sz w:val="18"/>
                <w:szCs w:val="18"/>
              </w:rPr>
              <w:t>分）</w:t>
            </w:r>
          </w:p>
        </w:tc>
        <w:tc>
          <w:tcPr>
            <w:tcW w:w="2811" w:type="pct"/>
            <w:shd w:val="clear" w:color="auto" w:fill="auto"/>
            <w:vAlign w:val="center"/>
          </w:tcPr>
          <w:p>
            <w:pPr>
              <w:widowControl/>
              <w:spacing w:line="240" w:lineRule="auto"/>
              <w:textAlignment w:val="center"/>
              <w:rPr>
                <w:rFonts w:ascii="宋体" w:hAnsi="宋体" w:cs="宋体"/>
                <w:kern w:val="0"/>
                <w:sz w:val="18"/>
                <w:szCs w:val="18"/>
                <w:lang w:bidi="ar"/>
              </w:rPr>
            </w:pPr>
            <w:r>
              <w:rPr>
                <w:rFonts w:hint="eastAsia" w:ascii="宋体" w:hAnsi="宋体" w:cs="宋体"/>
                <w:kern w:val="0"/>
                <w:sz w:val="18"/>
                <w:szCs w:val="18"/>
                <w:lang w:bidi="ar"/>
              </w:rPr>
              <w:t>为智慧园区、智慧城市、智能医养等提供基础条件或者接口，得</w:t>
            </w:r>
            <w:r>
              <w:rPr>
                <w:rFonts w:ascii="宋体" w:hAnsi="宋体" w:cs="宋体"/>
                <w:kern w:val="0"/>
                <w:sz w:val="18"/>
                <w:szCs w:val="18"/>
                <w:lang w:bidi="ar"/>
              </w:rPr>
              <w:t>2</w:t>
            </w:r>
            <w:r>
              <w:rPr>
                <w:rFonts w:hint="eastAsia" w:ascii="宋体" w:hAnsi="宋体" w:cs="宋体"/>
                <w:kern w:val="0"/>
                <w:sz w:val="18"/>
                <w:szCs w:val="18"/>
                <w:lang w:bidi="ar"/>
              </w:rPr>
              <w:t>分。</w:t>
            </w:r>
          </w:p>
        </w:tc>
        <w:tc>
          <w:tcPr>
            <w:tcW w:w="527" w:type="pct"/>
            <w:vMerge w:val="continue"/>
            <w:shd w:val="clear" w:color="auto" w:fill="auto"/>
            <w:vAlign w:val="center"/>
          </w:tcPr>
          <w:p>
            <w:pPr>
              <w:widowControl/>
              <w:spacing w:line="240" w:lineRule="auto"/>
              <w:jc w:val="center"/>
              <w:textAlignment w:val="center"/>
              <w:rPr>
                <w:rFonts w:ascii="宋体" w:hAnsi="宋体" w:cs="宋体"/>
                <w:kern w:val="0"/>
                <w:sz w:val="18"/>
                <w:szCs w:val="18"/>
                <w:lang w:bidi="ar"/>
              </w:rPr>
            </w:pPr>
          </w:p>
        </w:tc>
      </w:tr>
    </w:tbl>
    <w:p>
      <w:pPr>
        <w:pStyle w:val="66"/>
        <w:ind w:firstLine="0" w:firstLineChars="0"/>
        <w:jc w:val="center"/>
      </w:pPr>
    </w:p>
    <w:p>
      <w:pPr>
        <w:pStyle w:val="175"/>
      </w:pPr>
      <w:r>
        <w:rPr>
          <w:rFonts w:hint="eastAsia" w:hAnsi="宋体"/>
          <w:szCs w:val="21"/>
        </w:rPr>
        <w:t>E</w:t>
      </w:r>
      <w:r>
        <w:rPr>
          <w:rFonts w:hAnsi="宋体"/>
          <w:szCs w:val="21"/>
        </w:rPr>
        <w:t>SG</w:t>
      </w:r>
      <w:r>
        <w:rPr>
          <w:rFonts w:hint="eastAsia" w:hAnsi="宋体"/>
          <w:szCs w:val="21"/>
        </w:rPr>
        <w:t>贡献评分规则应符合表</w:t>
      </w:r>
      <w:r>
        <w:rPr>
          <w:rFonts w:hAnsi="宋体"/>
          <w:szCs w:val="21"/>
        </w:rPr>
        <w:t>10</w:t>
      </w:r>
      <w:r>
        <w:rPr>
          <w:rFonts w:hint="eastAsia" w:hAnsi="宋体"/>
          <w:szCs w:val="21"/>
        </w:rPr>
        <w:t>的规定，本项评价的最高分值为</w:t>
      </w:r>
      <w:r>
        <w:rPr>
          <w:rFonts w:hAnsi="宋体"/>
          <w:szCs w:val="21"/>
        </w:rPr>
        <w:t>26</w:t>
      </w:r>
      <w:r>
        <w:rPr>
          <w:rFonts w:hint="eastAsia" w:hAnsi="宋体"/>
          <w:szCs w:val="21"/>
        </w:rPr>
        <w:t>分。</w:t>
      </w:r>
    </w:p>
    <w:p>
      <w:pPr>
        <w:pStyle w:val="122"/>
        <w:spacing w:before="156" w:after="156"/>
        <w:ind w:left="0"/>
      </w:pPr>
      <w:r>
        <w:rPr>
          <w:rFonts w:hint="eastAsia"/>
        </w:rPr>
        <w:t>E</w:t>
      </w:r>
      <w:r>
        <w:t>SG</w:t>
      </w:r>
      <w:r>
        <w:rPr>
          <w:rFonts w:hint="eastAsia"/>
        </w:rPr>
        <w:t>贡献评分规则</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039"/>
        <w:gridCol w:w="6532"/>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517" w:type="pct"/>
            <w:vAlign w:val="center"/>
          </w:tcPr>
          <w:p>
            <w:pPr>
              <w:spacing w:line="240" w:lineRule="auto"/>
              <w:jc w:val="center"/>
              <w:rPr>
                <w:rFonts w:ascii="宋体" w:hAnsi="宋体"/>
                <w:sz w:val="18"/>
                <w:szCs w:val="18"/>
              </w:rPr>
            </w:pPr>
            <w:r>
              <w:rPr>
                <w:rFonts w:hint="eastAsia" w:ascii="宋体" w:hAnsi="宋体"/>
                <w:sz w:val="18"/>
                <w:szCs w:val="18"/>
              </w:rPr>
              <w:t>评价指标</w:t>
            </w:r>
          </w:p>
        </w:tc>
        <w:tc>
          <w:tcPr>
            <w:tcW w:w="543" w:type="pct"/>
            <w:vAlign w:val="center"/>
          </w:tcPr>
          <w:p>
            <w:pPr>
              <w:spacing w:line="240" w:lineRule="auto"/>
              <w:jc w:val="center"/>
              <w:rPr>
                <w:rFonts w:ascii="宋体" w:hAnsi="宋体"/>
                <w:sz w:val="18"/>
                <w:szCs w:val="18"/>
              </w:rPr>
            </w:pPr>
            <w:r>
              <w:rPr>
                <w:rFonts w:hint="eastAsia" w:ascii="宋体" w:hAnsi="宋体"/>
                <w:sz w:val="18"/>
                <w:szCs w:val="18"/>
              </w:rPr>
              <w:t>评价模块</w:t>
            </w:r>
          </w:p>
        </w:tc>
        <w:tc>
          <w:tcPr>
            <w:tcW w:w="3413" w:type="pct"/>
            <w:vAlign w:val="center"/>
          </w:tcPr>
          <w:p>
            <w:pPr>
              <w:spacing w:line="240" w:lineRule="auto"/>
              <w:jc w:val="center"/>
              <w:rPr>
                <w:rFonts w:ascii="宋体" w:hAnsi="宋体"/>
                <w:sz w:val="18"/>
                <w:szCs w:val="18"/>
              </w:rPr>
            </w:pPr>
            <w:r>
              <w:rPr>
                <w:rFonts w:hint="eastAsia" w:ascii="宋体" w:hAnsi="宋体"/>
                <w:sz w:val="18"/>
                <w:szCs w:val="18"/>
              </w:rPr>
              <w:t>评分标准</w:t>
            </w:r>
          </w:p>
        </w:tc>
        <w:tc>
          <w:tcPr>
            <w:tcW w:w="527" w:type="pct"/>
            <w:vAlign w:val="center"/>
          </w:tcPr>
          <w:p>
            <w:pPr>
              <w:spacing w:line="240" w:lineRule="auto"/>
              <w:jc w:val="center"/>
              <w:rPr>
                <w:rFonts w:ascii="宋体" w:hAnsi="宋体"/>
                <w:sz w:val="18"/>
                <w:szCs w:val="18"/>
              </w:rPr>
            </w:pPr>
            <w:r>
              <w:rPr>
                <w:rFonts w:hint="eastAsia" w:ascii="宋体" w:hAnsi="宋体"/>
                <w:sz w:val="18"/>
                <w:szCs w:val="18"/>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17" w:type="pct"/>
            <w:vMerge w:val="restart"/>
            <w:vAlign w:val="center"/>
          </w:tcPr>
          <w:p>
            <w:pPr>
              <w:spacing w:line="240" w:lineRule="auto"/>
              <w:jc w:val="center"/>
              <w:rPr>
                <w:rFonts w:ascii="宋体" w:hAnsi="宋体"/>
                <w:sz w:val="18"/>
                <w:szCs w:val="18"/>
              </w:rPr>
            </w:pPr>
            <w:r>
              <w:rPr>
                <w:rFonts w:hint="eastAsia" w:ascii="宋体" w:hAnsi="宋体"/>
                <w:sz w:val="18"/>
                <w:szCs w:val="18"/>
              </w:rPr>
              <w:t>环境</w:t>
            </w:r>
          </w:p>
        </w:tc>
        <w:tc>
          <w:tcPr>
            <w:tcW w:w="543" w:type="pct"/>
            <w:vAlign w:val="center"/>
          </w:tcPr>
          <w:p>
            <w:pPr>
              <w:spacing w:line="240" w:lineRule="auto"/>
              <w:jc w:val="center"/>
              <w:rPr>
                <w:rFonts w:ascii="宋体" w:hAnsi="宋体"/>
                <w:sz w:val="18"/>
                <w:szCs w:val="18"/>
              </w:rPr>
            </w:pPr>
            <w:r>
              <w:rPr>
                <w:rFonts w:hint="eastAsia" w:ascii="宋体" w:hAnsi="宋体"/>
                <w:sz w:val="18"/>
                <w:szCs w:val="18"/>
              </w:rPr>
              <w:t>节材效果</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分）</w:t>
            </w:r>
          </w:p>
        </w:tc>
        <w:tc>
          <w:tcPr>
            <w:tcW w:w="3413" w:type="pct"/>
            <w:vAlign w:val="center"/>
          </w:tcPr>
          <w:p>
            <w:pPr>
              <w:spacing w:line="240" w:lineRule="auto"/>
              <w:rPr>
                <w:rFonts w:ascii="宋体" w:hAnsi="宋体"/>
                <w:sz w:val="18"/>
                <w:szCs w:val="18"/>
              </w:rPr>
            </w:pPr>
            <w:r>
              <w:rPr>
                <w:rFonts w:hint="eastAsia" w:ascii="宋体" w:hAnsi="宋体"/>
                <w:sz w:val="18"/>
                <w:szCs w:val="18"/>
              </w:rPr>
              <w:t>施工过程中，建筑结构、机电、装饰装修材料损耗率比定额损耗率降低30%，得1分；降低</w:t>
            </w:r>
            <w:r>
              <w:rPr>
                <w:rFonts w:ascii="宋体" w:hAnsi="宋体"/>
                <w:sz w:val="18"/>
                <w:szCs w:val="18"/>
              </w:rPr>
              <w:t>40%</w:t>
            </w:r>
            <w:r>
              <w:rPr>
                <w:rFonts w:hint="eastAsia" w:ascii="宋体" w:hAnsi="宋体"/>
                <w:sz w:val="18"/>
                <w:szCs w:val="18"/>
              </w:rPr>
              <w:t>，得2分。</w:t>
            </w:r>
          </w:p>
        </w:tc>
        <w:tc>
          <w:tcPr>
            <w:tcW w:w="527" w:type="pct"/>
            <w:vMerge w:val="restart"/>
            <w:vAlign w:val="center"/>
          </w:tcPr>
          <w:p>
            <w:pPr>
              <w:spacing w:line="240" w:lineRule="auto"/>
              <w:rPr>
                <w:rFonts w:ascii="宋体" w:hAnsi="宋体"/>
                <w:sz w:val="18"/>
                <w:szCs w:val="18"/>
              </w:rPr>
            </w:pPr>
            <w:r>
              <w:rPr>
                <w:rFonts w:ascii="宋体" w:hAnsi="宋体"/>
                <w:sz w:val="18"/>
                <w:szCs w:val="18"/>
              </w:rPr>
              <w:t>1.</w:t>
            </w:r>
            <w:r>
              <w:rPr>
                <w:rFonts w:hint="eastAsia" w:ascii="宋体" w:hAnsi="宋体"/>
                <w:sz w:val="18"/>
                <w:szCs w:val="18"/>
              </w:rPr>
              <w:t>降低或节省证明文件或其他依据。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17" w:type="pct"/>
            <w:vMerge w:val="continue"/>
            <w:vAlign w:val="center"/>
          </w:tcPr>
          <w:p>
            <w:pPr>
              <w:spacing w:line="240" w:lineRule="auto"/>
              <w:jc w:val="center"/>
              <w:rPr>
                <w:rFonts w:ascii="宋体" w:hAnsi="宋体"/>
                <w:sz w:val="18"/>
                <w:szCs w:val="18"/>
              </w:rPr>
            </w:pPr>
          </w:p>
        </w:tc>
        <w:tc>
          <w:tcPr>
            <w:tcW w:w="543" w:type="pct"/>
            <w:vAlign w:val="center"/>
          </w:tcPr>
          <w:p>
            <w:pPr>
              <w:spacing w:line="240" w:lineRule="auto"/>
              <w:jc w:val="center"/>
              <w:rPr>
                <w:rFonts w:ascii="宋体" w:hAnsi="宋体"/>
                <w:sz w:val="18"/>
                <w:szCs w:val="18"/>
              </w:rPr>
            </w:pPr>
            <w:r>
              <w:rPr>
                <w:rFonts w:hint="eastAsia" w:ascii="宋体" w:hAnsi="宋体"/>
                <w:sz w:val="18"/>
                <w:szCs w:val="18"/>
              </w:rPr>
              <w:t>节能效果</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分）</w:t>
            </w:r>
          </w:p>
        </w:tc>
        <w:tc>
          <w:tcPr>
            <w:tcW w:w="3413" w:type="pct"/>
            <w:vAlign w:val="center"/>
          </w:tcPr>
          <w:p>
            <w:pPr>
              <w:spacing w:line="240" w:lineRule="auto"/>
              <w:rPr>
                <w:rFonts w:ascii="宋体" w:hAnsi="宋体"/>
                <w:sz w:val="18"/>
                <w:szCs w:val="18"/>
              </w:rPr>
            </w:pPr>
            <w:r>
              <w:rPr>
                <w:rFonts w:hint="eastAsia" w:ascii="宋体" w:hAnsi="宋体"/>
                <w:sz w:val="18"/>
                <w:szCs w:val="18"/>
              </w:rPr>
              <w:t>施工过程中，能源消耗比定额用量节省不低于3</w:t>
            </w:r>
            <w:r>
              <w:rPr>
                <w:rFonts w:ascii="宋体" w:hAnsi="宋体"/>
                <w:sz w:val="18"/>
                <w:szCs w:val="18"/>
              </w:rPr>
              <w:t>0%</w:t>
            </w:r>
            <w:r>
              <w:rPr>
                <w:rFonts w:hint="eastAsia" w:ascii="宋体" w:hAnsi="宋体"/>
                <w:sz w:val="18"/>
                <w:szCs w:val="18"/>
              </w:rPr>
              <w:t>，得1分；不低于</w:t>
            </w:r>
            <w:r>
              <w:rPr>
                <w:rFonts w:ascii="宋体" w:hAnsi="宋体"/>
                <w:sz w:val="18"/>
                <w:szCs w:val="18"/>
              </w:rPr>
              <w:t>40%</w:t>
            </w:r>
            <w:r>
              <w:rPr>
                <w:rFonts w:hint="eastAsia" w:ascii="宋体" w:hAnsi="宋体"/>
                <w:sz w:val="18"/>
                <w:szCs w:val="18"/>
              </w:rPr>
              <w:t>，得2分。</w:t>
            </w:r>
          </w:p>
        </w:tc>
        <w:tc>
          <w:tcPr>
            <w:tcW w:w="527" w:type="pct"/>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17" w:type="pct"/>
            <w:vMerge w:val="continue"/>
            <w:vAlign w:val="center"/>
          </w:tcPr>
          <w:p>
            <w:pPr>
              <w:spacing w:line="240" w:lineRule="auto"/>
              <w:jc w:val="center"/>
              <w:rPr>
                <w:rFonts w:ascii="宋体" w:hAnsi="宋体"/>
                <w:sz w:val="18"/>
                <w:szCs w:val="18"/>
              </w:rPr>
            </w:pPr>
          </w:p>
        </w:tc>
        <w:tc>
          <w:tcPr>
            <w:tcW w:w="543" w:type="pct"/>
            <w:vAlign w:val="center"/>
          </w:tcPr>
          <w:p>
            <w:pPr>
              <w:spacing w:line="240" w:lineRule="auto"/>
              <w:jc w:val="center"/>
              <w:rPr>
                <w:rFonts w:ascii="宋体" w:hAnsi="宋体"/>
                <w:sz w:val="18"/>
                <w:szCs w:val="18"/>
              </w:rPr>
            </w:pPr>
            <w:r>
              <w:rPr>
                <w:rFonts w:hint="eastAsia" w:ascii="宋体" w:hAnsi="宋体"/>
                <w:sz w:val="18"/>
                <w:szCs w:val="18"/>
              </w:rPr>
              <w:t>节水效果</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分）</w:t>
            </w:r>
          </w:p>
        </w:tc>
        <w:tc>
          <w:tcPr>
            <w:tcW w:w="3413" w:type="pct"/>
            <w:vAlign w:val="center"/>
          </w:tcPr>
          <w:p>
            <w:pPr>
              <w:spacing w:line="240" w:lineRule="auto"/>
              <w:rPr>
                <w:rFonts w:ascii="宋体" w:hAnsi="宋体"/>
                <w:sz w:val="18"/>
                <w:szCs w:val="18"/>
              </w:rPr>
            </w:pPr>
            <w:r>
              <w:rPr>
                <w:rFonts w:hint="eastAsia" w:ascii="宋体" w:hAnsi="宋体"/>
                <w:sz w:val="18"/>
                <w:szCs w:val="18"/>
              </w:rPr>
              <w:t>施工过程中，用水量节省不低于定额用水量的10%，得1分；不低于</w:t>
            </w:r>
            <w:r>
              <w:rPr>
                <w:rFonts w:ascii="宋体" w:hAnsi="宋体"/>
                <w:sz w:val="18"/>
                <w:szCs w:val="18"/>
              </w:rPr>
              <w:t>20%</w:t>
            </w:r>
            <w:r>
              <w:rPr>
                <w:rFonts w:hint="eastAsia" w:ascii="宋体" w:hAnsi="宋体"/>
                <w:sz w:val="18"/>
                <w:szCs w:val="18"/>
              </w:rPr>
              <w:t>，得2分。</w:t>
            </w:r>
          </w:p>
        </w:tc>
        <w:tc>
          <w:tcPr>
            <w:tcW w:w="527" w:type="pct"/>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17" w:type="pct"/>
            <w:vMerge w:val="continue"/>
            <w:vAlign w:val="center"/>
          </w:tcPr>
          <w:p>
            <w:pPr>
              <w:spacing w:line="240" w:lineRule="auto"/>
              <w:jc w:val="center"/>
              <w:rPr>
                <w:rFonts w:ascii="宋体" w:hAnsi="宋体"/>
                <w:sz w:val="18"/>
                <w:szCs w:val="18"/>
              </w:rPr>
            </w:pPr>
          </w:p>
        </w:tc>
        <w:tc>
          <w:tcPr>
            <w:tcW w:w="543" w:type="pct"/>
            <w:vAlign w:val="center"/>
          </w:tcPr>
          <w:p>
            <w:pPr>
              <w:spacing w:line="240" w:lineRule="auto"/>
              <w:jc w:val="center"/>
              <w:rPr>
                <w:rFonts w:ascii="宋体" w:hAnsi="宋体"/>
                <w:sz w:val="18"/>
                <w:szCs w:val="18"/>
              </w:rPr>
            </w:pPr>
            <w:r>
              <w:rPr>
                <w:rFonts w:hint="eastAsia" w:ascii="宋体" w:hAnsi="宋体"/>
                <w:sz w:val="18"/>
                <w:szCs w:val="18"/>
              </w:rPr>
              <w:t>节地效果</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分）</w:t>
            </w:r>
          </w:p>
        </w:tc>
        <w:tc>
          <w:tcPr>
            <w:tcW w:w="3413" w:type="pct"/>
            <w:vAlign w:val="center"/>
          </w:tcPr>
          <w:p>
            <w:pPr>
              <w:spacing w:line="240" w:lineRule="auto"/>
              <w:rPr>
                <w:rFonts w:ascii="宋体" w:hAnsi="宋体"/>
                <w:sz w:val="18"/>
                <w:szCs w:val="18"/>
              </w:rPr>
            </w:pPr>
            <w:r>
              <w:rPr>
                <w:rFonts w:hint="eastAsia" w:ascii="宋体" w:hAnsi="宋体"/>
                <w:sz w:val="18"/>
                <w:szCs w:val="18"/>
              </w:rPr>
              <w:t>施工过程中，临建设施占地面积有效利用率大于90%，得1分；大于9</w:t>
            </w:r>
            <w:r>
              <w:rPr>
                <w:rFonts w:ascii="宋体" w:hAnsi="宋体"/>
                <w:sz w:val="18"/>
                <w:szCs w:val="18"/>
              </w:rPr>
              <w:t>5%</w:t>
            </w:r>
            <w:r>
              <w:rPr>
                <w:rFonts w:hint="eastAsia" w:ascii="宋体" w:hAnsi="宋体"/>
                <w:sz w:val="18"/>
                <w:szCs w:val="18"/>
              </w:rPr>
              <w:t>，得2分。</w:t>
            </w:r>
          </w:p>
        </w:tc>
        <w:tc>
          <w:tcPr>
            <w:tcW w:w="527" w:type="pct"/>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17" w:type="pct"/>
            <w:vMerge w:val="continue"/>
            <w:vAlign w:val="center"/>
          </w:tcPr>
          <w:p>
            <w:pPr>
              <w:spacing w:line="240" w:lineRule="auto"/>
              <w:jc w:val="center"/>
              <w:rPr>
                <w:rFonts w:ascii="宋体" w:hAnsi="宋体"/>
                <w:sz w:val="18"/>
                <w:szCs w:val="18"/>
              </w:rPr>
            </w:pPr>
          </w:p>
        </w:tc>
        <w:tc>
          <w:tcPr>
            <w:tcW w:w="543" w:type="pct"/>
            <w:vMerge w:val="restart"/>
            <w:vAlign w:val="center"/>
          </w:tcPr>
          <w:p>
            <w:pPr>
              <w:spacing w:line="240" w:lineRule="auto"/>
              <w:jc w:val="center"/>
              <w:rPr>
                <w:rFonts w:ascii="宋体" w:hAnsi="宋体"/>
                <w:sz w:val="18"/>
                <w:szCs w:val="18"/>
              </w:rPr>
            </w:pPr>
            <w:r>
              <w:rPr>
                <w:rFonts w:hint="eastAsia" w:ascii="宋体" w:hAnsi="宋体"/>
                <w:sz w:val="18"/>
                <w:szCs w:val="18"/>
              </w:rPr>
              <w:t>环保效果</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分）</w:t>
            </w:r>
          </w:p>
        </w:tc>
        <w:tc>
          <w:tcPr>
            <w:tcW w:w="3413" w:type="pct"/>
            <w:vAlign w:val="center"/>
          </w:tcPr>
          <w:p>
            <w:pPr>
              <w:spacing w:line="240" w:lineRule="auto"/>
              <w:rPr>
                <w:rFonts w:ascii="宋体" w:hAnsi="宋体"/>
                <w:sz w:val="18"/>
                <w:szCs w:val="18"/>
              </w:rPr>
            </w:pPr>
            <w:r>
              <w:rPr>
                <w:rFonts w:hint="eastAsia" w:ascii="宋体" w:hAnsi="宋体"/>
                <w:sz w:val="18"/>
                <w:szCs w:val="18"/>
              </w:rPr>
              <w:t>施工现场场界空气质量指数P</w:t>
            </w:r>
            <w:r>
              <w:rPr>
                <w:rFonts w:ascii="宋体" w:hAnsi="宋体"/>
                <w:sz w:val="18"/>
                <w:szCs w:val="18"/>
              </w:rPr>
              <w:t>M2.5</w:t>
            </w:r>
            <w:r>
              <w:rPr>
                <w:rFonts w:hint="eastAsia" w:ascii="宋体" w:hAnsi="宋体"/>
                <w:sz w:val="18"/>
                <w:szCs w:val="18"/>
              </w:rPr>
              <w:t>不超过当地气象部门公布数据值，得</w:t>
            </w:r>
            <w:r>
              <w:rPr>
                <w:rFonts w:ascii="宋体" w:hAnsi="宋体"/>
                <w:sz w:val="18"/>
                <w:szCs w:val="18"/>
              </w:rPr>
              <w:t>1</w:t>
            </w:r>
            <w:r>
              <w:rPr>
                <w:rFonts w:hint="eastAsia" w:ascii="宋体" w:hAnsi="宋体"/>
                <w:sz w:val="18"/>
                <w:szCs w:val="18"/>
              </w:rPr>
              <w:t>分。</w:t>
            </w:r>
          </w:p>
        </w:tc>
        <w:tc>
          <w:tcPr>
            <w:tcW w:w="527" w:type="pct"/>
            <w:vMerge w:val="restart"/>
            <w:vAlign w:val="center"/>
          </w:tcPr>
          <w:p>
            <w:pPr>
              <w:spacing w:line="240" w:lineRule="auto"/>
              <w:rPr>
                <w:rFonts w:ascii="宋体" w:hAnsi="宋体"/>
                <w:sz w:val="18"/>
                <w:szCs w:val="18"/>
              </w:rPr>
            </w:pPr>
            <w:r>
              <w:rPr>
                <w:rFonts w:ascii="宋体" w:hAnsi="宋体"/>
                <w:sz w:val="18"/>
                <w:szCs w:val="18"/>
              </w:rPr>
              <w:t>1.</w:t>
            </w:r>
            <w:r>
              <w:rPr>
                <w:rFonts w:hint="eastAsia" w:ascii="宋体" w:hAnsi="宋体"/>
                <w:sz w:val="18"/>
                <w:szCs w:val="18"/>
              </w:rPr>
              <w:t>监测或检测数据达标证明文件或其他依据。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517" w:type="pct"/>
            <w:vMerge w:val="continue"/>
            <w:vAlign w:val="center"/>
          </w:tcPr>
          <w:p>
            <w:pPr>
              <w:spacing w:line="240" w:lineRule="auto"/>
              <w:jc w:val="center"/>
              <w:rPr>
                <w:rFonts w:ascii="宋体" w:hAnsi="宋体"/>
                <w:sz w:val="18"/>
                <w:szCs w:val="18"/>
              </w:rPr>
            </w:pPr>
          </w:p>
        </w:tc>
        <w:tc>
          <w:tcPr>
            <w:tcW w:w="543" w:type="pct"/>
            <w:vMerge w:val="continue"/>
            <w:vAlign w:val="center"/>
          </w:tcPr>
          <w:p>
            <w:pPr>
              <w:spacing w:line="240" w:lineRule="auto"/>
              <w:rPr>
                <w:rFonts w:ascii="宋体" w:hAnsi="宋体"/>
                <w:sz w:val="18"/>
                <w:szCs w:val="18"/>
              </w:rPr>
            </w:pPr>
          </w:p>
        </w:tc>
        <w:tc>
          <w:tcPr>
            <w:tcW w:w="3413" w:type="pct"/>
            <w:vAlign w:val="center"/>
          </w:tcPr>
          <w:p>
            <w:pPr>
              <w:spacing w:line="240" w:lineRule="auto"/>
              <w:rPr>
                <w:rFonts w:ascii="宋体" w:hAnsi="宋体"/>
                <w:sz w:val="18"/>
                <w:szCs w:val="18"/>
              </w:rPr>
            </w:pPr>
            <w:r>
              <w:rPr>
                <w:rFonts w:hint="eastAsia" w:ascii="宋体" w:hAnsi="宋体"/>
                <w:sz w:val="18"/>
                <w:szCs w:val="18"/>
              </w:rPr>
              <w:t>施工现场噪声控制昼间检测≤7</w:t>
            </w:r>
            <w:r>
              <w:rPr>
                <w:rFonts w:ascii="宋体" w:hAnsi="宋体"/>
                <w:sz w:val="18"/>
                <w:szCs w:val="18"/>
              </w:rPr>
              <w:t>0dB</w:t>
            </w:r>
            <w:r>
              <w:rPr>
                <w:rFonts w:hint="eastAsia" w:ascii="宋体" w:hAnsi="宋体"/>
                <w:sz w:val="18"/>
                <w:szCs w:val="18"/>
              </w:rPr>
              <w:t>且夜间检测≤5</w:t>
            </w:r>
            <w:r>
              <w:rPr>
                <w:rFonts w:ascii="宋体" w:hAnsi="宋体"/>
                <w:sz w:val="18"/>
                <w:szCs w:val="18"/>
              </w:rPr>
              <w:t>5dB</w:t>
            </w:r>
            <w:r>
              <w:rPr>
                <w:rFonts w:hint="eastAsia" w:ascii="宋体" w:hAnsi="宋体"/>
                <w:sz w:val="18"/>
                <w:szCs w:val="18"/>
              </w:rPr>
              <w:t>，得</w:t>
            </w:r>
            <w:r>
              <w:rPr>
                <w:rFonts w:ascii="宋体" w:hAnsi="宋体"/>
                <w:sz w:val="18"/>
                <w:szCs w:val="18"/>
              </w:rPr>
              <w:t>1</w:t>
            </w:r>
            <w:r>
              <w:rPr>
                <w:rFonts w:hint="eastAsia" w:ascii="宋体" w:hAnsi="宋体"/>
                <w:sz w:val="18"/>
                <w:szCs w:val="18"/>
              </w:rPr>
              <w:t>分。</w:t>
            </w:r>
          </w:p>
        </w:tc>
        <w:tc>
          <w:tcPr>
            <w:tcW w:w="527" w:type="pct"/>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517" w:type="pct"/>
            <w:vMerge w:val="continue"/>
            <w:vAlign w:val="center"/>
          </w:tcPr>
          <w:p>
            <w:pPr>
              <w:spacing w:line="240" w:lineRule="auto"/>
              <w:jc w:val="center"/>
              <w:rPr>
                <w:rFonts w:ascii="宋体" w:hAnsi="宋体"/>
                <w:sz w:val="18"/>
                <w:szCs w:val="18"/>
              </w:rPr>
            </w:pPr>
          </w:p>
        </w:tc>
        <w:tc>
          <w:tcPr>
            <w:tcW w:w="543" w:type="pct"/>
            <w:vMerge w:val="continue"/>
            <w:vAlign w:val="center"/>
          </w:tcPr>
          <w:p>
            <w:pPr>
              <w:spacing w:line="240" w:lineRule="auto"/>
              <w:rPr>
                <w:rFonts w:ascii="宋体" w:hAnsi="宋体"/>
                <w:sz w:val="18"/>
                <w:szCs w:val="18"/>
              </w:rPr>
            </w:pPr>
          </w:p>
        </w:tc>
        <w:tc>
          <w:tcPr>
            <w:tcW w:w="3413" w:type="pct"/>
            <w:vAlign w:val="center"/>
          </w:tcPr>
          <w:p>
            <w:pPr>
              <w:spacing w:line="240" w:lineRule="auto"/>
              <w:rPr>
                <w:rFonts w:ascii="宋体" w:hAnsi="宋体"/>
                <w:sz w:val="18"/>
                <w:szCs w:val="18"/>
              </w:rPr>
            </w:pPr>
            <w:r>
              <w:rPr>
                <w:rFonts w:hint="eastAsia" w:ascii="宋体" w:hAnsi="宋体"/>
                <w:sz w:val="18"/>
                <w:szCs w:val="18"/>
              </w:rPr>
              <w:t>施工现场固体废弃物排放量不高于2</w:t>
            </w:r>
            <w:r>
              <w:rPr>
                <w:rFonts w:ascii="宋体" w:hAnsi="宋体"/>
                <w:sz w:val="18"/>
                <w:szCs w:val="18"/>
              </w:rPr>
              <w:t>00</w:t>
            </w:r>
            <w:r>
              <w:rPr>
                <w:rFonts w:hint="eastAsia" w:ascii="宋体" w:hAnsi="宋体"/>
                <w:sz w:val="18"/>
                <w:szCs w:val="18"/>
              </w:rPr>
              <w:t>吨/万㎡，得</w:t>
            </w:r>
            <w:r>
              <w:rPr>
                <w:rFonts w:ascii="宋体" w:hAnsi="宋体"/>
                <w:sz w:val="18"/>
                <w:szCs w:val="18"/>
              </w:rPr>
              <w:t>1</w:t>
            </w:r>
            <w:r>
              <w:rPr>
                <w:rFonts w:hint="eastAsia" w:ascii="宋体" w:hAnsi="宋体"/>
                <w:sz w:val="18"/>
                <w:szCs w:val="18"/>
              </w:rPr>
              <w:t>分。</w:t>
            </w:r>
          </w:p>
        </w:tc>
        <w:tc>
          <w:tcPr>
            <w:tcW w:w="527" w:type="pct"/>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17" w:type="pct"/>
            <w:vMerge w:val="continue"/>
            <w:vAlign w:val="center"/>
          </w:tcPr>
          <w:p>
            <w:pPr>
              <w:spacing w:line="240" w:lineRule="auto"/>
              <w:jc w:val="center"/>
              <w:rPr>
                <w:rFonts w:ascii="宋体" w:hAnsi="宋体"/>
                <w:sz w:val="18"/>
                <w:szCs w:val="18"/>
              </w:rPr>
            </w:pPr>
          </w:p>
        </w:tc>
        <w:tc>
          <w:tcPr>
            <w:tcW w:w="543" w:type="pct"/>
            <w:vMerge w:val="continue"/>
            <w:vAlign w:val="center"/>
          </w:tcPr>
          <w:p>
            <w:pPr>
              <w:spacing w:line="240" w:lineRule="auto"/>
              <w:rPr>
                <w:rFonts w:ascii="宋体" w:hAnsi="宋体"/>
                <w:sz w:val="18"/>
                <w:szCs w:val="18"/>
              </w:rPr>
            </w:pPr>
          </w:p>
        </w:tc>
        <w:tc>
          <w:tcPr>
            <w:tcW w:w="3413" w:type="pct"/>
            <w:vAlign w:val="center"/>
          </w:tcPr>
          <w:p>
            <w:pPr>
              <w:spacing w:line="240" w:lineRule="auto"/>
              <w:rPr>
                <w:rFonts w:ascii="宋体" w:hAnsi="宋体"/>
                <w:sz w:val="18"/>
                <w:szCs w:val="18"/>
              </w:rPr>
            </w:pPr>
            <w:r>
              <w:rPr>
                <w:rFonts w:hint="eastAsia" w:ascii="宋体" w:hAnsi="宋体"/>
                <w:sz w:val="18"/>
                <w:szCs w:val="18"/>
              </w:rPr>
              <w:t>施工现场有毒、有害废弃物分类收集率达到1</w:t>
            </w:r>
            <w:r>
              <w:rPr>
                <w:rFonts w:ascii="宋体" w:hAnsi="宋体"/>
                <w:sz w:val="18"/>
                <w:szCs w:val="18"/>
              </w:rPr>
              <w:t>00%</w:t>
            </w:r>
            <w:r>
              <w:rPr>
                <w:rFonts w:hint="eastAsia" w:ascii="宋体" w:hAnsi="宋体"/>
                <w:sz w:val="18"/>
                <w:szCs w:val="18"/>
              </w:rPr>
              <w:t>且1</w:t>
            </w:r>
            <w:r>
              <w:rPr>
                <w:rFonts w:ascii="宋体" w:hAnsi="宋体"/>
                <w:sz w:val="18"/>
                <w:szCs w:val="18"/>
              </w:rPr>
              <w:t>00%</w:t>
            </w:r>
            <w:r>
              <w:rPr>
                <w:rFonts w:hint="eastAsia" w:ascii="宋体" w:hAnsi="宋体"/>
                <w:sz w:val="18"/>
                <w:szCs w:val="18"/>
              </w:rPr>
              <w:t>送专业回收单位处理，得</w:t>
            </w:r>
            <w:r>
              <w:rPr>
                <w:rFonts w:ascii="宋体" w:hAnsi="宋体"/>
                <w:sz w:val="18"/>
                <w:szCs w:val="18"/>
              </w:rPr>
              <w:t>1</w:t>
            </w:r>
            <w:r>
              <w:rPr>
                <w:rFonts w:hint="eastAsia" w:ascii="宋体" w:hAnsi="宋体"/>
                <w:sz w:val="18"/>
                <w:szCs w:val="18"/>
              </w:rPr>
              <w:t>分。</w:t>
            </w:r>
          </w:p>
        </w:tc>
        <w:tc>
          <w:tcPr>
            <w:tcW w:w="527" w:type="pct"/>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517" w:type="pct"/>
            <w:vMerge w:val="continue"/>
            <w:vAlign w:val="center"/>
          </w:tcPr>
          <w:p>
            <w:pPr>
              <w:spacing w:line="240" w:lineRule="auto"/>
              <w:jc w:val="center"/>
              <w:rPr>
                <w:rFonts w:ascii="宋体" w:hAnsi="宋体"/>
                <w:sz w:val="18"/>
                <w:szCs w:val="18"/>
              </w:rPr>
            </w:pPr>
          </w:p>
        </w:tc>
        <w:tc>
          <w:tcPr>
            <w:tcW w:w="543" w:type="pct"/>
            <w:vMerge w:val="continue"/>
            <w:vAlign w:val="center"/>
          </w:tcPr>
          <w:p>
            <w:pPr>
              <w:spacing w:line="240" w:lineRule="auto"/>
              <w:rPr>
                <w:rFonts w:ascii="宋体" w:hAnsi="宋体"/>
                <w:sz w:val="18"/>
                <w:szCs w:val="18"/>
              </w:rPr>
            </w:pPr>
          </w:p>
        </w:tc>
        <w:tc>
          <w:tcPr>
            <w:tcW w:w="3413" w:type="pct"/>
            <w:vAlign w:val="center"/>
          </w:tcPr>
          <w:p>
            <w:pPr>
              <w:spacing w:line="240" w:lineRule="auto"/>
              <w:rPr>
                <w:rFonts w:ascii="宋体" w:hAnsi="宋体"/>
                <w:sz w:val="18"/>
                <w:szCs w:val="18"/>
              </w:rPr>
            </w:pPr>
            <w:r>
              <w:rPr>
                <w:rFonts w:hint="eastAsia" w:ascii="宋体" w:hAnsi="宋体"/>
                <w:sz w:val="18"/>
                <w:szCs w:val="18"/>
              </w:rPr>
              <w:t>施工现场建筑垃圾回收再利用率不低于50%，得</w:t>
            </w:r>
            <w:r>
              <w:rPr>
                <w:rFonts w:ascii="宋体" w:hAnsi="宋体"/>
                <w:sz w:val="18"/>
                <w:szCs w:val="18"/>
              </w:rPr>
              <w:t>1</w:t>
            </w:r>
            <w:r>
              <w:rPr>
                <w:rFonts w:hint="eastAsia" w:ascii="宋体" w:hAnsi="宋体"/>
                <w:sz w:val="18"/>
                <w:szCs w:val="18"/>
              </w:rPr>
              <w:t>分。</w:t>
            </w:r>
          </w:p>
        </w:tc>
        <w:tc>
          <w:tcPr>
            <w:tcW w:w="527" w:type="pct"/>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17" w:type="pct"/>
            <w:vMerge w:val="restart"/>
            <w:vAlign w:val="center"/>
          </w:tcPr>
          <w:p>
            <w:pPr>
              <w:spacing w:line="240" w:lineRule="auto"/>
              <w:jc w:val="center"/>
              <w:rPr>
                <w:rFonts w:ascii="宋体" w:hAnsi="宋体"/>
                <w:sz w:val="18"/>
                <w:szCs w:val="18"/>
              </w:rPr>
            </w:pPr>
            <w:r>
              <w:rPr>
                <w:rFonts w:hint="eastAsia" w:ascii="宋体" w:hAnsi="宋体"/>
                <w:sz w:val="18"/>
                <w:szCs w:val="18"/>
              </w:rPr>
              <w:t>社会</w:t>
            </w:r>
          </w:p>
        </w:tc>
        <w:tc>
          <w:tcPr>
            <w:tcW w:w="543" w:type="pct"/>
            <w:vAlign w:val="center"/>
          </w:tcPr>
          <w:p>
            <w:pPr>
              <w:spacing w:line="240" w:lineRule="auto"/>
              <w:jc w:val="center"/>
              <w:rPr>
                <w:rFonts w:ascii="宋体" w:hAnsi="宋体"/>
                <w:sz w:val="18"/>
                <w:szCs w:val="18"/>
              </w:rPr>
            </w:pPr>
            <w:r>
              <w:rPr>
                <w:rFonts w:hint="eastAsia" w:ascii="宋体" w:hAnsi="宋体"/>
                <w:sz w:val="18"/>
                <w:szCs w:val="18"/>
              </w:rPr>
              <w:t>人才培育</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分）</w:t>
            </w:r>
          </w:p>
        </w:tc>
        <w:tc>
          <w:tcPr>
            <w:tcW w:w="3413" w:type="pct"/>
            <w:vAlign w:val="center"/>
          </w:tcPr>
          <w:p>
            <w:pPr>
              <w:spacing w:line="240" w:lineRule="auto"/>
              <w:rPr>
                <w:rFonts w:ascii="宋体" w:hAnsi="宋体"/>
                <w:sz w:val="18"/>
                <w:szCs w:val="18"/>
              </w:rPr>
            </w:pPr>
            <w:r>
              <w:rPr>
                <w:rFonts w:hint="eastAsia" w:ascii="宋体" w:hAnsi="宋体"/>
                <w:sz w:val="18"/>
                <w:szCs w:val="18"/>
              </w:rPr>
              <w:t>培育市级及以上智能建造专家不少于1人，得</w:t>
            </w:r>
            <w:r>
              <w:rPr>
                <w:rFonts w:ascii="宋体" w:hAnsi="宋体"/>
                <w:sz w:val="18"/>
                <w:szCs w:val="18"/>
              </w:rPr>
              <w:t>2</w:t>
            </w:r>
            <w:r>
              <w:rPr>
                <w:rFonts w:hint="eastAsia" w:ascii="宋体" w:hAnsi="宋体"/>
                <w:sz w:val="18"/>
                <w:szCs w:val="18"/>
              </w:rPr>
              <w:t>分。</w:t>
            </w:r>
          </w:p>
        </w:tc>
        <w:tc>
          <w:tcPr>
            <w:tcW w:w="527" w:type="pct"/>
            <w:vAlign w:val="center"/>
          </w:tcPr>
          <w:p>
            <w:pPr>
              <w:spacing w:line="240" w:lineRule="auto"/>
              <w:rPr>
                <w:rFonts w:ascii="宋体" w:hAnsi="宋体"/>
                <w:sz w:val="18"/>
                <w:szCs w:val="18"/>
              </w:rPr>
            </w:pPr>
            <w:r>
              <w:rPr>
                <w:rFonts w:ascii="宋体" w:hAnsi="宋体"/>
                <w:sz w:val="18"/>
                <w:szCs w:val="18"/>
              </w:rPr>
              <w:t>1.</w:t>
            </w:r>
            <w:r>
              <w:rPr>
                <w:rFonts w:hint="eastAsia" w:ascii="宋体" w:hAnsi="宋体"/>
                <w:sz w:val="18"/>
                <w:szCs w:val="18"/>
              </w:rPr>
              <w:t>官方认证文件。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17" w:type="pct"/>
            <w:vMerge w:val="continue"/>
            <w:vAlign w:val="center"/>
          </w:tcPr>
          <w:p>
            <w:pPr>
              <w:spacing w:line="240" w:lineRule="auto"/>
              <w:jc w:val="center"/>
              <w:rPr>
                <w:rFonts w:ascii="宋体" w:hAnsi="宋体"/>
                <w:sz w:val="18"/>
                <w:szCs w:val="18"/>
              </w:rPr>
            </w:pPr>
          </w:p>
        </w:tc>
        <w:tc>
          <w:tcPr>
            <w:tcW w:w="543" w:type="pct"/>
            <w:vAlign w:val="center"/>
          </w:tcPr>
          <w:p>
            <w:pPr>
              <w:spacing w:line="240" w:lineRule="auto"/>
              <w:jc w:val="center"/>
              <w:rPr>
                <w:rFonts w:ascii="宋体" w:hAnsi="宋体"/>
                <w:sz w:val="18"/>
                <w:szCs w:val="18"/>
              </w:rPr>
            </w:pPr>
            <w:r>
              <w:rPr>
                <w:rFonts w:hint="eastAsia" w:ascii="宋体" w:hAnsi="宋体"/>
                <w:sz w:val="18"/>
                <w:szCs w:val="18"/>
              </w:rPr>
              <w:t>作业环境改善</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分）</w:t>
            </w:r>
          </w:p>
        </w:tc>
        <w:tc>
          <w:tcPr>
            <w:tcW w:w="3413" w:type="pct"/>
            <w:vAlign w:val="center"/>
          </w:tcPr>
          <w:p>
            <w:pPr>
              <w:spacing w:line="240" w:lineRule="auto"/>
              <w:rPr>
                <w:rFonts w:ascii="宋体" w:hAnsi="宋体"/>
                <w:sz w:val="18"/>
                <w:szCs w:val="18"/>
              </w:rPr>
            </w:pPr>
            <w:r>
              <w:rPr>
                <w:rFonts w:hint="eastAsia" w:ascii="宋体" w:hAnsi="宋体"/>
                <w:sz w:val="18"/>
                <w:szCs w:val="18"/>
              </w:rPr>
              <w:t>应用自动喷淋控制系统、智能天幕系统、智能施工集成平台等智能建造技术，有效改善作业环境，应用</w:t>
            </w:r>
            <w:r>
              <w:rPr>
                <w:rFonts w:ascii="宋体" w:hAnsi="宋体"/>
                <w:sz w:val="18"/>
                <w:szCs w:val="18"/>
              </w:rPr>
              <w:t>1</w:t>
            </w:r>
            <w:r>
              <w:rPr>
                <w:rFonts w:hint="eastAsia" w:ascii="宋体" w:hAnsi="宋体"/>
                <w:sz w:val="18"/>
                <w:szCs w:val="18"/>
              </w:rPr>
              <w:t>种得</w:t>
            </w:r>
            <w:r>
              <w:rPr>
                <w:rFonts w:ascii="宋体" w:hAnsi="宋体"/>
                <w:sz w:val="18"/>
                <w:szCs w:val="18"/>
              </w:rPr>
              <w:t>1</w:t>
            </w:r>
            <w:r>
              <w:rPr>
                <w:rFonts w:hint="eastAsia" w:ascii="宋体" w:hAnsi="宋体"/>
                <w:sz w:val="18"/>
                <w:szCs w:val="18"/>
              </w:rPr>
              <w:t>分；</w:t>
            </w:r>
            <w:r>
              <w:rPr>
                <w:rFonts w:ascii="宋体" w:hAnsi="宋体"/>
                <w:sz w:val="18"/>
                <w:szCs w:val="18"/>
              </w:rPr>
              <w:t>2种及以上</w:t>
            </w:r>
            <w:r>
              <w:rPr>
                <w:rFonts w:hint="eastAsia" w:ascii="宋体" w:hAnsi="宋体"/>
                <w:sz w:val="18"/>
                <w:szCs w:val="18"/>
              </w:rPr>
              <w:t>，得2分。</w:t>
            </w:r>
          </w:p>
        </w:tc>
        <w:tc>
          <w:tcPr>
            <w:tcW w:w="527" w:type="pct"/>
            <w:vAlign w:val="center"/>
          </w:tcPr>
          <w:p>
            <w:pPr>
              <w:spacing w:line="240" w:lineRule="auto"/>
              <w:rPr>
                <w:rFonts w:ascii="宋体" w:hAnsi="宋体"/>
                <w:sz w:val="18"/>
                <w:szCs w:val="18"/>
              </w:rPr>
            </w:pPr>
            <w:r>
              <w:rPr>
                <w:rFonts w:ascii="宋体" w:hAnsi="宋体"/>
                <w:sz w:val="18"/>
                <w:szCs w:val="18"/>
              </w:rPr>
              <w:t>1.</w:t>
            </w:r>
            <w:r>
              <w:rPr>
                <w:rFonts w:hint="eastAsia" w:ascii="宋体" w:hAnsi="宋体"/>
                <w:sz w:val="18"/>
                <w:szCs w:val="18"/>
              </w:rPr>
              <w:t>过程证明文件或图片。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17" w:type="pct"/>
            <w:vMerge w:val="continue"/>
            <w:vAlign w:val="center"/>
          </w:tcPr>
          <w:p>
            <w:pPr>
              <w:spacing w:line="240" w:lineRule="auto"/>
              <w:jc w:val="center"/>
              <w:rPr>
                <w:rFonts w:ascii="宋体" w:hAnsi="宋体"/>
                <w:sz w:val="18"/>
                <w:szCs w:val="18"/>
              </w:rPr>
            </w:pPr>
          </w:p>
        </w:tc>
        <w:tc>
          <w:tcPr>
            <w:tcW w:w="543" w:type="pct"/>
            <w:vMerge w:val="restart"/>
            <w:vAlign w:val="center"/>
          </w:tcPr>
          <w:p>
            <w:pPr>
              <w:spacing w:line="240" w:lineRule="auto"/>
              <w:jc w:val="center"/>
              <w:rPr>
                <w:rFonts w:ascii="宋体" w:hAnsi="宋体"/>
                <w:sz w:val="18"/>
                <w:szCs w:val="18"/>
              </w:rPr>
            </w:pPr>
            <w:r>
              <w:rPr>
                <w:rFonts w:hint="eastAsia" w:ascii="宋体" w:hAnsi="宋体"/>
                <w:sz w:val="18"/>
                <w:szCs w:val="18"/>
              </w:rPr>
              <w:t>行业促进</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分）</w:t>
            </w:r>
          </w:p>
        </w:tc>
        <w:tc>
          <w:tcPr>
            <w:tcW w:w="3413" w:type="pct"/>
            <w:vAlign w:val="center"/>
          </w:tcPr>
          <w:p>
            <w:pPr>
              <w:spacing w:line="240" w:lineRule="auto"/>
              <w:rPr>
                <w:rFonts w:ascii="宋体" w:hAnsi="宋体"/>
                <w:sz w:val="18"/>
                <w:szCs w:val="18"/>
              </w:rPr>
            </w:pPr>
            <w:r>
              <w:rPr>
                <w:rFonts w:hint="eastAsia" w:ascii="宋体" w:hAnsi="宋体"/>
                <w:sz w:val="18"/>
                <w:szCs w:val="18"/>
              </w:rPr>
              <w:t>通过电视、报纸、自媒体等多种形式及时宣传报道智能建造相关工作情况，提升建筑企业和社会大众对智能建造工作的认识和了解，营造发展氛围，市级媒体得</w:t>
            </w:r>
            <w:r>
              <w:rPr>
                <w:rFonts w:ascii="宋体" w:hAnsi="宋体"/>
                <w:sz w:val="18"/>
                <w:szCs w:val="18"/>
              </w:rPr>
              <w:t>1</w:t>
            </w:r>
            <w:r>
              <w:rPr>
                <w:rFonts w:hint="eastAsia" w:ascii="宋体" w:hAnsi="宋体"/>
                <w:sz w:val="18"/>
                <w:szCs w:val="18"/>
              </w:rPr>
              <w:t>分，省级及以上媒体得</w:t>
            </w:r>
            <w:r>
              <w:rPr>
                <w:rFonts w:ascii="宋体" w:hAnsi="宋体"/>
                <w:sz w:val="18"/>
                <w:szCs w:val="18"/>
              </w:rPr>
              <w:t>2</w:t>
            </w:r>
            <w:r>
              <w:rPr>
                <w:rFonts w:hint="eastAsia" w:ascii="宋体" w:hAnsi="宋体"/>
                <w:sz w:val="18"/>
                <w:szCs w:val="18"/>
              </w:rPr>
              <w:t>分。</w:t>
            </w:r>
          </w:p>
        </w:tc>
        <w:tc>
          <w:tcPr>
            <w:tcW w:w="527" w:type="pct"/>
            <w:vAlign w:val="center"/>
          </w:tcPr>
          <w:p>
            <w:pPr>
              <w:spacing w:line="240" w:lineRule="auto"/>
              <w:rPr>
                <w:rFonts w:ascii="宋体" w:hAnsi="宋体"/>
                <w:sz w:val="18"/>
                <w:szCs w:val="18"/>
              </w:rPr>
            </w:pPr>
            <w:r>
              <w:rPr>
                <w:rFonts w:ascii="宋体" w:hAnsi="宋体"/>
                <w:sz w:val="18"/>
                <w:szCs w:val="18"/>
              </w:rPr>
              <w:t>1.</w:t>
            </w:r>
            <w:r>
              <w:rPr>
                <w:rFonts w:hint="eastAsia" w:ascii="宋体" w:hAnsi="宋体"/>
                <w:sz w:val="18"/>
                <w:szCs w:val="18"/>
              </w:rPr>
              <w:t>媒体证明图片或视频。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7" w:type="pct"/>
            <w:vMerge w:val="continue"/>
            <w:vAlign w:val="center"/>
          </w:tcPr>
          <w:p>
            <w:pPr>
              <w:spacing w:line="240" w:lineRule="auto"/>
              <w:jc w:val="center"/>
              <w:rPr>
                <w:rFonts w:ascii="宋体" w:hAnsi="宋体"/>
                <w:sz w:val="18"/>
                <w:szCs w:val="18"/>
              </w:rPr>
            </w:pPr>
          </w:p>
        </w:tc>
        <w:tc>
          <w:tcPr>
            <w:tcW w:w="543" w:type="pct"/>
            <w:vMerge w:val="continue"/>
            <w:vAlign w:val="center"/>
          </w:tcPr>
          <w:p>
            <w:pPr>
              <w:spacing w:line="240" w:lineRule="auto"/>
              <w:jc w:val="center"/>
              <w:rPr>
                <w:rFonts w:ascii="宋体" w:hAnsi="宋体"/>
                <w:sz w:val="18"/>
                <w:szCs w:val="18"/>
              </w:rPr>
            </w:pPr>
          </w:p>
        </w:tc>
        <w:tc>
          <w:tcPr>
            <w:tcW w:w="3413" w:type="pct"/>
            <w:vAlign w:val="center"/>
          </w:tcPr>
          <w:p>
            <w:pPr>
              <w:spacing w:line="240" w:lineRule="auto"/>
              <w:rPr>
                <w:rFonts w:ascii="宋体" w:hAnsi="宋体"/>
                <w:sz w:val="18"/>
                <w:szCs w:val="18"/>
              </w:rPr>
            </w:pPr>
            <w:r>
              <w:rPr>
                <w:rFonts w:hint="eastAsia" w:ascii="宋体" w:hAnsi="宋体"/>
                <w:sz w:val="18"/>
                <w:szCs w:val="18"/>
              </w:rPr>
              <w:t>对项目实施中出现的智能建造先进经验和经典案例，及时召开智能建造现场观摩会，促进相关技术或经验的推广应用。市级观摩会得</w:t>
            </w:r>
            <w:r>
              <w:rPr>
                <w:rFonts w:ascii="宋体" w:hAnsi="宋体"/>
                <w:sz w:val="18"/>
                <w:szCs w:val="18"/>
              </w:rPr>
              <w:t>1</w:t>
            </w:r>
            <w:r>
              <w:rPr>
                <w:rFonts w:hint="eastAsia" w:ascii="宋体" w:hAnsi="宋体"/>
                <w:sz w:val="18"/>
                <w:szCs w:val="18"/>
              </w:rPr>
              <w:t>分，省级观摩会得</w:t>
            </w:r>
            <w:r>
              <w:rPr>
                <w:rFonts w:ascii="宋体" w:hAnsi="宋体"/>
                <w:sz w:val="18"/>
                <w:szCs w:val="18"/>
              </w:rPr>
              <w:t>2</w:t>
            </w:r>
            <w:r>
              <w:rPr>
                <w:rFonts w:hint="eastAsia" w:ascii="宋体" w:hAnsi="宋体"/>
                <w:sz w:val="18"/>
                <w:szCs w:val="18"/>
              </w:rPr>
              <w:t>分。</w:t>
            </w:r>
          </w:p>
        </w:tc>
        <w:tc>
          <w:tcPr>
            <w:tcW w:w="527" w:type="pct"/>
            <w:vAlign w:val="center"/>
          </w:tcPr>
          <w:p>
            <w:pPr>
              <w:spacing w:line="240" w:lineRule="auto"/>
              <w:rPr>
                <w:rFonts w:ascii="宋体" w:hAnsi="宋体"/>
                <w:sz w:val="18"/>
                <w:szCs w:val="18"/>
              </w:rPr>
            </w:pPr>
            <w:r>
              <w:rPr>
                <w:rFonts w:ascii="宋体" w:hAnsi="宋体"/>
                <w:sz w:val="18"/>
                <w:szCs w:val="18"/>
              </w:rPr>
              <w:t>1.</w:t>
            </w:r>
            <w:r>
              <w:rPr>
                <w:rFonts w:hint="eastAsia" w:ascii="宋体" w:hAnsi="宋体"/>
                <w:sz w:val="18"/>
                <w:szCs w:val="18"/>
              </w:rPr>
              <w:t>观摩会证明图片或视频。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517" w:type="pct"/>
            <w:vMerge w:val="restart"/>
            <w:vAlign w:val="center"/>
          </w:tcPr>
          <w:p>
            <w:pPr>
              <w:spacing w:line="240" w:lineRule="auto"/>
              <w:jc w:val="center"/>
              <w:rPr>
                <w:rFonts w:ascii="宋体" w:hAnsi="宋体"/>
                <w:sz w:val="18"/>
                <w:szCs w:val="18"/>
              </w:rPr>
            </w:pPr>
            <w:r>
              <w:rPr>
                <w:rFonts w:hint="eastAsia" w:ascii="宋体" w:hAnsi="宋体"/>
                <w:sz w:val="18"/>
                <w:szCs w:val="18"/>
              </w:rPr>
              <w:t>治理</w:t>
            </w:r>
          </w:p>
        </w:tc>
        <w:tc>
          <w:tcPr>
            <w:tcW w:w="543" w:type="pct"/>
            <w:vMerge w:val="restart"/>
            <w:vAlign w:val="center"/>
          </w:tcPr>
          <w:p>
            <w:pPr>
              <w:spacing w:line="240" w:lineRule="auto"/>
              <w:jc w:val="center"/>
              <w:rPr>
                <w:rFonts w:ascii="宋体" w:hAnsi="宋体"/>
                <w:sz w:val="18"/>
                <w:szCs w:val="18"/>
              </w:rPr>
            </w:pPr>
            <w:r>
              <w:rPr>
                <w:rFonts w:hint="eastAsia" w:ascii="宋体" w:hAnsi="宋体"/>
                <w:sz w:val="18"/>
                <w:szCs w:val="18"/>
              </w:rPr>
              <w:t>管理</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分）</w:t>
            </w:r>
          </w:p>
        </w:tc>
        <w:tc>
          <w:tcPr>
            <w:tcW w:w="3413" w:type="pct"/>
            <w:vAlign w:val="center"/>
          </w:tcPr>
          <w:p>
            <w:pPr>
              <w:spacing w:line="240" w:lineRule="auto"/>
              <w:rPr>
                <w:rFonts w:ascii="宋体" w:hAnsi="宋体"/>
                <w:sz w:val="18"/>
                <w:szCs w:val="18"/>
              </w:rPr>
            </w:pPr>
            <w:r>
              <w:rPr>
                <w:rFonts w:hint="eastAsia" w:ascii="宋体" w:hAnsi="宋体"/>
                <w:sz w:val="18"/>
                <w:szCs w:val="18"/>
              </w:rPr>
              <w:t>公司可直接从项目管理系统提取相关数据，不再由项目填报各类报表，提升管理效率，得</w:t>
            </w:r>
            <w:r>
              <w:rPr>
                <w:rFonts w:ascii="宋体" w:hAnsi="宋体"/>
                <w:sz w:val="18"/>
                <w:szCs w:val="18"/>
              </w:rPr>
              <w:t>2</w:t>
            </w:r>
            <w:r>
              <w:rPr>
                <w:rFonts w:hint="eastAsia" w:ascii="宋体" w:hAnsi="宋体"/>
                <w:sz w:val="18"/>
                <w:szCs w:val="18"/>
              </w:rPr>
              <w:t>分。</w:t>
            </w:r>
          </w:p>
        </w:tc>
        <w:tc>
          <w:tcPr>
            <w:tcW w:w="527" w:type="pct"/>
            <w:vMerge w:val="restart"/>
            <w:vAlign w:val="center"/>
          </w:tcPr>
          <w:p>
            <w:pPr>
              <w:snapToGrid w:val="0"/>
              <w:spacing w:line="240" w:lineRule="auto"/>
              <w:rPr>
                <w:rFonts w:ascii="宋体" w:hAnsi="宋体"/>
                <w:sz w:val="18"/>
                <w:szCs w:val="18"/>
              </w:rPr>
            </w:pPr>
            <w:r>
              <w:rPr>
                <w:rFonts w:ascii="宋体" w:hAnsi="宋体"/>
                <w:sz w:val="18"/>
                <w:szCs w:val="18"/>
              </w:rPr>
              <w:t>1.</w:t>
            </w:r>
            <w:r>
              <w:rPr>
                <w:rFonts w:hint="eastAsia" w:ascii="宋体" w:hAnsi="宋体"/>
                <w:sz w:val="18"/>
                <w:szCs w:val="18"/>
              </w:rPr>
              <w:t>过程证明图片或视频；</w:t>
            </w:r>
          </w:p>
          <w:p>
            <w:pPr>
              <w:spacing w:line="240" w:lineRule="auto"/>
              <w:rPr>
                <w:rFonts w:ascii="宋体" w:hAnsi="宋体"/>
                <w:sz w:val="18"/>
                <w:szCs w:val="18"/>
              </w:rPr>
            </w:pPr>
            <w:r>
              <w:rPr>
                <w:rFonts w:ascii="宋体" w:hAnsi="宋体"/>
                <w:sz w:val="18"/>
                <w:szCs w:val="18"/>
              </w:rPr>
              <w:t>2.</w:t>
            </w:r>
            <w:r>
              <w:rPr>
                <w:rFonts w:hint="eastAsia" w:ascii="宋体" w:hAnsi="宋体"/>
                <w:sz w:val="18"/>
                <w:szCs w:val="18"/>
              </w:rPr>
              <w:t>数据资料。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517" w:type="pct"/>
            <w:vMerge w:val="continue"/>
            <w:vAlign w:val="center"/>
          </w:tcPr>
          <w:p>
            <w:pPr>
              <w:spacing w:line="240" w:lineRule="auto"/>
              <w:jc w:val="center"/>
              <w:rPr>
                <w:rFonts w:ascii="宋体" w:hAnsi="宋体"/>
                <w:sz w:val="18"/>
                <w:szCs w:val="18"/>
              </w:rPr>
            </w:pPr>
          </w:p>
        </w:tc>
        <w:tc>
          <w:tcPr>
            <w:tcW w:w="543" w:type="pct"/>
            <w:vMerge w:val="continue"/>
            <w:vAlign w:val="center"/>
          </w:tcPr>
          <w:p>
            <w:pPr>
              <w:spacing w:line="240" w:lineRule="auto"/>
              <w:jc w:val="center"/>
              <w:rPr>
                <w:rFonts w:ascii="宋体" w:hAnsi="宋体"/>
                <w:sz w:val="18"/>
                <w:szCs w:val="18"/>
              </w:rPr>
            </w:pPr>
          </w:p>
        </w:tc>
        <w:tc>
          <w:tcPr>
            <w:tcW w:w="3413" w:type="pct"/>
            <w:vAlign w:val="center"/>
          </w:tcPr>
          <w:p>
            <w:pPr>
              <w:spacing w:line="240" w:lineRule="auto"/>
              <w:rPr>
                <w:rFonts w:ascii="宋体" w:hAnsi="宋体"/>
                <w:sz w:val="18"/>
                <w:szCs w:val="18"/>
              </w:rPr>
            </w:pPr>
            <w:r>
              <w:rPr>
                <w:rFonts w:hint="eastAsia" w:ascii="宋体" w:hAnsi="宋体"/>
                <w:sz w:val="18"/>
                <w:szCs w:val="18"/>
              </w:rPr>
              <w:t>建造过程中数据可及时有效采集且形成数据库，为企业定额编制提供数据支撑，得</w:t>
            </w:r>
            <w:r>
              <w:rPr>
                <w:rFonts w:ascii="宋体" w:hAnsi="宋体"/>
                <w:sz w:val="18"/>
                <w:szCs w:val="18"/>
              </w:rPr>
              <w:t>2</w:t>
            </w:r>
            <w:r>
              <w:rPr>
                <w:rFonts w:hint="eastAsia" w:ascii="宋体" w:hAnsi="宋体"/>
                <w:sz w:val="18"/>
                <w:szCs w:val="18"/>
              </w:rPr>
              <w:t>分。</w:t>
            </w:r>
          </w:p>
        </w:tc>
        <w:tc>
          <w:tcPr>
            <w:tcW w:w="527" w:type="pct"/>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517" w:type="pct"/>
            <w:vMerge w:val="continue"/>
            <w:vAlign w:val="center"/>
          </w:tcPr>
          <w:p>
            <w:pPr>
              <w:spacing w:line="240" w:lineRule="auto"/>
              <w:jc w:val="center"/>
              <w:rPr>
                <w:rFonts w:ascii="宋体" w:hAnsi="宋体"/>
                <w:sz w:val="18"/>
                <w:szCs w:val="18"/>
              </w:rPr>
            </w:pPr>
          </w:p>
        </w:tc>
        <w:tc>
          <w:tcPr>
            <w:tcW w:w="543" w:type="pct"/>
            <w:vAlign w:val="center"/>
          </w:tcPr>
          <w:p>
            <w:pPr>
              <w:spacing w:line="240" w:lineRule="auto"/>
              <w:jc w:val="center"/>
              <w:rPr>
                <w:rFonts w:ascii="宋体" w:hAnsi="宋体"/>
                <w:sz w:val="18"/>
                <w:szCs w:val="18"/>
              </w:rPr>
            </w:pPr>
            <w:r>
              <w:rPr>
                <w:rFonts w:hint="eastAsia" w:ascii="宋体" w:hAnsi="宋体"/>
                <w:sz w:val="18"/>
                <w:szCs w:val="18"/>
              </w:rPr>
              <w:t>贪污腐败</w:t>
            </w:r>
          </w:p>
          <w:p>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分）</w:t>
            </w:r>
          </w:p>
        </w:tc>
        <w:tc>
          <w:tcPr>
            <w:tcW w:w="3413" w:type="pct"/>
            <w:vAlign w:val="center"/>
          </w:tcPr>
          <w:p>
            <w:pPr>
              <w:spacing w:line="240" w:lineRule="auto"/>
              <w:rPr>
                <w:rFonts w:ascii="宋体" w:hAnsi="宋体"/>
                <w:sz w:val="18"/>
                <w:szCs w:val="18"/>
              </w:rPr>
            </w:pPr>
            <w:r>
              <w:rPr>
                <w:rFonts w:hint="eastAsia" w:ascii="宋体" w:hAnsi="宋体"/>
                <w:sz w:val="18"/>
                <w:szCs w:val="18"/>
              </w:rPr>
              <w:t>应用各阶段BIM模型数据进行工程量统计和结算，减少人为参与程度，杜绝贪污腐败事件的发生，得</w:t>
            </w:r>
            <w:r>
              <w:rPr>
                <w:rFonts w:ascii="宋体" w:hAnsi="宋体"/>
                <w:sz w:val="18"/>
                <w:szCs w:val="18"/>
              </w:rPr>
              <w:t>1</w:t>
            </w:r>
            <w:r>
              <w:rPr>
                <w:rFonts w:hint="eastAsia" w:ascii="宋体" w:hAnsi="宋体"/>
                <w:sz w:val="18"/>
                <w:szCs w:val="18"/>
              </w:rPr>
              <w:t>分。</w:t>
            </w:r>
          </w:p>
        </w:tc>
        <w:tc>
          <w:tcPr>
            <w:tcW w:w="527" w:type="pct"/>
            <w:vAlign w:val="center"/>
          </w:tcPr>
          <w:p>
            <w:pPr>
              <w:snapToGrid w:val="0"/>
              <w:spacing w:line="240" w:lineRule="auto"/>
              <w:rPr>
                <w:rFonts w:ascii="宋体" w:hAnsi="宋体"/>
                <w:sz w:val="18"/>
                <w:szCs w:val="18"/>
              </w:rPr>
            </w:pPr>
            <w:r>
              <w:rPr>
                <w:rFonts w:ascii="宋体" w:hAnsi="宋体"/>
                <w:sz w:val="18"/>
                <w:szCs w:val="18"/>
              </w:rPr>
              <w:t>1.</w:t>
            </w:r>
            <w:r>
              <w:rPr>
                <w:rFonts w:hint="eastAsia" w:ascii="宋体" w:hAnsi="宋体"/>
                <w:sz w:val="18"/>
                <w:szCs w:val="18"/>
              </w:rPr>
              <w:t>无举报事件发生。</w:t>
            </w:r>
          </w:p>
        </w:tc>
      </w:tr>
    </w:tbl>
    <w:p>
      <w:pPr>
        <w:pStyle w:val="66"/>
        <w:ind w:firstLine="0" w:firstLineChars="0"/>
        <w:jc w:val="center"/>
      </w:pPr>
    </w:p>
    <w:p>
      <w:pPr>
        <w:pStyle w:val="175"/>
      </w:pPr>
      <w:r>
        <w:rPr>
          <w:rFonts w:hint="eastAsia" w:hAnsi="宋体"/>
          <w:szCs w:val="21"/>
        </w:rPr>
        <w:t>科技创新评分规则应符合表</w:t>
      </w:r>
      <w:r>
        <w:rPr>
          <w:rFonts w:hAnsi="宋体"/>
          <w:szCs w:val="21"/>
        </w:rPr>
        <w:t>11</w:t>
      </w:r>
      <w:r>
        <w:rPr>
          <w:rFonts w:hint="eastAsia" w:hAnsi="宋体"/>
          <w:szCs w:val="21"/>
        </w:rPr>
        <w:t>的规定，本项评价的最高分值为</w:t>
      </w:r>
      <w:r>
        <w:rPr>
          <w:rFonts w:hAnsi="宋体"/>
          <w:szCs w:val="21"/>
        </w:rPr>
        <w:t>26</w:t>
      </w:r>
      <w:r>
        <w:rPr>
          <w:rFonts w:hint="eastAsia" w:hAnsi="宋体"/>
          <w:szCs w:val="21"/>
        </w:rPr>
        <w:t>分。</w:t>
      </w:r>
    </w:p>
    <w:p>
      <w:pPr>
        <w:pStyle w:val="122"/>
        <w:spacing w:before="156" w:after="156"/>
        <w:ind w:left="0"/>
      </w:pPr>
      <w:r>
        <w:rPr>
          <w:rFonts w:hint="eastAsia"/>
        </w:rPr>
        <w:t>科技创新评分规则</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016"/>
        <w:gridCol w:w="6532"/>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529" w:type="pct"/>
            <w:vAlign w:val="center"/>
          </w:tcPr>
          <w:p>
            <w:pPr>
              <w:spacing w:line="240" w:lineRule="auto"/>
              <w:jc w:val="center"/>
              <w:rPr>
                <w:rFonts w:ascii="宋体" w:hAnsi="宋体"/>
                <w:sz w:val="18"/>
                <w:szCs w:val="18"/>
              </w:rPr>
            </w:pPr>
            <w:r>
              <w:rPr>
                <w:rFonts w:hint="eastAsia" w:ascii="宋体" w:hAnsi="宋体"/>
                <w:sz w:val="18"/>
                <w:szCs w:val="18"/>
              </w:rPr>
              <w:t>评价指标</w:t>
            </w:r>
          </w:p>
        </w:tc>
        <w:tc>
          <w:tcPr>
            <w:tcW w:w="531" w:type="pct"/>
            <w:vAlign w:val="center"/>
          </w:tcPr>
          <w:p>
            <w:pPr>
              <w:spacing w:line="240" w:lineRule="auto"/>
              <w:jc w:val="center"/>
              <w:rPr>
                <w:rFonts w:ascii="宋体" w:hAnsi="宋体"/>
                <w:sz w:val="18"/>
                <w:szCs w:val="18"/>
              </w:rPr>
            </w:pPr>
            <w:r>
              <w:rPr>
                <w:rFonts w:hint="eastAsia" w:ascii="宋体" w:hAnsi="宋体"/>
                <w:sz w:val="18"/>
                <w:szCs w:val="18"/>
              </w:rPr>
              <w:t>评价模块</w:t>
            </w:r>
          </w:p>
        </w:tc>
        <w:tc>
          <w:tcPr>
            <w:tcW w:w="3413" w:type="pct"/>
            <w:vAlign w:val="center"/>
          </w:tcPr>
          <w:p>
            <w:pPr>
              <w:spacing w:line="240" w:lineRule="auto"/>
              <w:jc w:val="center"/>
              <w:rPr>
                <w:rFonts w:ascii="宋体" w:hAnsi="宋体"/>
                <w:sz w:val="18"/>
                <w:szCs w:val="18"/>
              </w:rPr>
            </w:pPr>
            <w:r>
              <w:rPr>
                <w:rFonts w:hint="eastAsia" w:ascii="宋体" w:hAnsi="宋体"/>
                <w:sz w:val="18"/>
                <w:szCs w:val="18"/>
              </w:rPr>
              <w:t>评分标准</w:t>
            </w:r>
          </w:p>
        </w:tc>
        <w:tc>
          <w:tcPr>
            <w:tcW w:w="527" w:type="pct"/>
            <w:vAlign w:val="center"/>
          </w:tcPr>
          <w:p>
            <w:pPr>
              <w:spacing w:line="240" w:lineRule="auto"/>
              <w:jc w:val="center"/>
              <w:rPr>
                <w:rFonts w:ascii="宋体" w:hAnsi="宋体"/>
                <w:sz w:val="18"/>
                <w:szCs w:val="18"/>
              </w:rPr>
            </w:pPr>
            <w:r>
              <w:rPr>
                <w:rFonts w:hint="eastAsia" w:ascii="宋体" w:hAnsi="宋体"/>
                <w:sz w:val="18"/>
                <w:szCs w:val="18"/>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29" w:type="pct"/>
            <w:vMerge w:val="restart"/>
            <w:vAlign w:val="center"/>
          </w:tcPr>
          <w:p>
            <w:pPr>
              <w:spacing w:line="240" w:lineRule="auto"/>
              <w:jc w:val="center"/>
              <w:rPr>
                <w:rFonts w:ascii="宋体" w:hAnsi="宋体"/>
                <w:sz w:val="18"/>
                <w:szCs w:val="18"/>
              </w:rPr>
            </w:pPr>
            <w:r>
              <w:rPr>
                <w:rFonts w:hint="eastAsia" w:ascii="宋体" w:hAnsi="宋体"/>
                <w:sz w:val="18"/>
                <w:szCs w:val="18"/>
              </w:rPr>
              <w:t>科技创新</w:t>
            </w:r>
          </w:p>
        </w:tc>
        <w:tc>
          <w:tcPr>
            <w:tcW w:w="531" w:type="pct"/>
            <w:vAlign w:val="center"/>
          </w:tcPr>
          <w:p>
            <w:pPr>
              <w:spacing w:line="240" w:lineRule="auto"/>
              <w:jc w:val="center"/>
              <w:rPr>
                <w:rFonts w:ascii="宋体" w:hAnsi="宋体"/>
                <w:sz w:val="18"/>
                <w:szCs w:val="18"/>
              </w:rPr>
            </w:pPr>
            <w:r>
              <w:rPr>
                <w:rFonts w:hint="eastAsia" w:ascii="宋体" w:hAnsi="宋体"/>
                <w:sz w:val="18"/>
                <w:szCs w:val="18"/>
              </w:rPr>
              <w:t>科技获奖</w:t>
            </w:r>
          </w:p>
          <w:p>
            <w:pPr>
              <w:spacing w:line="240" w:lineRule="auto"/>
              <w:jc w:val="center"/>
              <w:rPr>
                <w:rFonts w:ascii="宋体" w:hAnsi="宋体"/>
                <w:sz w:val="18"/>
                <w:szCs w:val="18"/>
              </w:rPr>
            </w:pPr>
            <w:r>
              <w:rPr>
                <w:rFonts w:hint="eastAsia" w:ascii="宋体" w:hAnsi="宋体"/>
                <w:sz w:val="18"/>
                <w:szCs w:val="20"/>
              </w:rPr>
              <w:t>（</w:t>
            </w:r>
            <w:r>
              <w:rPr>
                <w:rFonts w:ascii="宋体" w:hAnsi="宋体"/>
                <w:sz w:val="18"/>
                <w:szCs w:val="20"/>
              </w:rPr>
              <w:t>8</w:t>
            </w:r>
            <w:r>
              <w:rPr>
                <w:rFonts w:hint="eastAsia" w:ascii="宋体" w:hAnsi="宋体"/>
                <w:sz w:val="18"/>
                <w:szCs w:val="20"/>
              </w:rPr>
              <w:t>分）</w:t>
            </w:r>
          </w:p>
        </w:tc>
        <w:tc>
          <w:tcPr>
            <w:tcW w:w="3413" w:type="pct"/>
            <w:vAlign w:val="center"/>
          </w:tcPr>
          <w:p>
            <w:pPr>
              <w:spacing w:line="240" w:lineRule="auto"/>
              <w:rPr>
                <w:rFonts w:ascii="宋体" w:hAnsi="宋体"/>
                <w:sz w:val="18"/>
                <w:szCs w:val="18"/>
              </w:rPr>
            </w:pPr>
            <w:r>
              <w:rPr>
                <w:rFonts w:hint="eastAsia" w:ascii="宋体" w:hAnsi="宋体"/>
                <w:sz w:val="18"/>
                <w:szCs w:val="18"/>
              </w:rPr>
              <w:t>智能建造技术获国家级及省（部）级科技成果二等奖及以上或同等的行业协会科学技术进步二等奖及以上，每项 加</w:t>
            </w:r>
            <w:r>
              <w:rPr>
                <w:rFonts w:ascii="宋体" w:hAnsi="宋体"/>
                <w:sz w:val="18"/>
                <w:szCs w:val="18"/>
              </w:rPr>
              <w:t>4分；获得三等奖，每项加分</w:t>
            </w:r>
            <w:r>
              <w:rPr>
                <w:rFonts w:hint="eastAsia" w:ascii="宋体" w:hAnsi="宋体"/>
                <w:sz w:val="18"/>
                <w:szCs w:val="18"/>
              </w:rPr>
              <w:t>2</w:t>
            </w:r>
            <w:r>
              <w:rPr>
                <w:rFonts w:ascii="宋体" w:hAnsi="宋体"/>
                <w:sz w:val="18"/>
                <w:szCs w:val="18"/>
              </w:rPr>
              <w:t>分，同一成果获得不同级别奖项按最高级别加分，不重复累加</w:t>
            </w:r>
            <w:r>
              <w:rPr>
                <w:rFonts w:hint="eastAsia" w:ascii="宋体" w:hAnsi="宋体"/>
                <w:sz w:val="18"/>
                <w:szCs w:val="18"/>
              </w:rPr>
              <w:t>，</w:t>
            </w:r>
            <w:r>
              <w:rPr>
                <w:rFonts w:ascii="宋体" w:hAnsi="宋体"/>
                <w:sz w:val="18"/>
                <w:szCs w:val="18"/>
              </w:rPr>
              <w:t>至多得</w:t>
            </w:r>
            <w:r>
              <w:rPr>
                <w:rFonts w:hint="eastAsia" w:ascii="宋体" w:hAnsi="宋体"/>
                <w:sz w:val="18"/>
                <w:szCs w:val="18"/>
              </w:rPr>
              <w:t>8</w:t>
            </w:r>
            <w:r>
              <w:rPr>
                <w:rFonts w:ascii="宋体" w:hAnsi="宋体"/>
                <w:sz w:val="18"/>
                <w:szCs w:val="18"/>
              </w:rPr>
              <w:t>分。</w:t>
            </w:r>
          </w:p>
        </w:tc>
        <w:tc>
          <w:tcPr>
            <w:tcW w:w="527" w:type="pct"/>
            <w:vAlign w:val="center"/>
          </w:tcPr>
          <w:p>
            <w:pPr>
              <w:spacing w:line="240" w:lineRule="auto"/>
              <w:rPr>
                <w:rFonts w:ascii="宋体" w:hAnsi="宋体"/>
                <w:sz w:val="18"/>
                <w:szCs w:val="18"/>
              </w:rPr>
            </w:pPr>
            <w:r>
              <w:rPr>
                <w:rFonts w:ascii="宋体" w:hAnsi="宋体"/>
                <w:sz w:val="18"/>
                <w:szCs w:val="18"/>
              </w:rPr>
              <w:t>1.</w:t>
            </w:r>
            <w:r>
              <w:rPr>
                <w:rFonts w:hint="eastAsia" w:ascii="宋体" w:hAnsi="宋体"/>
                <w:sz w:val="18"/>
                <w:szCs w:val="18"/>
              </w:rPr>
              <w:t>获奖证书或其他依据。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29" w:type="pct"/>
            <w:vMerge w:val="continue"/>
            <w:vAlign w:val="center"/>
          </w:tcPr>
          <w:p>
            <w:pPr>
              <w:spacing w:line="240" w:lineRule="auto"/>
              <w:jc w:val="center"/>
              <w:rPr>
                <w:rFonts w:ascii="宋体" w:hAnsi="宋体"/>
                <w:sz w:val="18"/>
                <w:szCs w:val="18"/>
              </w:rPr>
            </w:pPr>
          </w:p>
        </w:tc>
        <w:tc>
          <w:tcPr>
            <w:tcW w:w="531" w:type="pct"/>
            <w:vAlign w:val="center"/>
          </w:tcPr>
          <w:p>
            <w:pPr>
              <w:spacing w:line="240" w:lineRule="auto"/>
              <w:jc w:val="center"/>
              <w:rPr>
                <w:rFonts w:ascii="宋体" w:hAnsi="宋体"/>
                <w:sz w:val="18"/>
                <w:szCs w:val="18"/>
              </w:rPr>
            </w:pPr>
            <w:r>
              <w:rPr>
                <w:rFonts w:hint="eastAsia" w:ascii="宋体" w:hAnsi="宋体"/>
                <w:sz w:val="18"/>
                <w:szCs w:val="18"/>
              </w:rPr>
              <w:t>科技示范</w:t>
            </w:r>
          </w:p>
          <w:p>
            <w:pPr>
              <w:spacing w:line="240" w:lineRule="auto"/>
              <w:jc w:val="center"/>
              <w:rPr>
                <w:rFonts w:ascii="宋体" w:hAnsi="宋体"/>
                <w:sz w:val="18"/>
                <w:szCs w:val="18"/>
              </w:rPr>
            </w:pPr>
            <w:r>
              <w:rPr>
                <w:rFonts w:hint="eastAsia" w:ascii="宋体" w:hAnsi="宋体"/>
                <w:sz w:val="18"/>
                <w:szCs w:val="20"/>
              </w:rPr>
              <w:t>（</w:t>
            </w:r>
            <w:r>
              <w:rPr>
                <w:rFonts w:ascii="宋体" w:hAnsi="宋体"/>
                <w:sz w:val="18"/>
                <w:szCs w:val="20"/>
              </w:rPr>
              <w:t>8</w:t>
            </w:r>
            <w:r>
              <w:rPr>
                <w:rFonts w:hint="eastAsia" w:ascii="宋体" w:hAnsi="宋体"/>
                <w:sz w:val="18"/>
                <w:szCs w:val="20"/>
              </w:rPr>
              <w:t>分）</w:t>
            </w:r>
          </w:p>
        </w:tc>
        <w:tc>
          <w:tcPr>
            <w:tcW w:w="3413" w:type="pct"/>
            <w:vAlign w:val="center"/>
          </w:tcPr>
          <w:p>
            <w:pPr>
              <w:spacing w:line="240" w:lineRule="auto"/>
              <w:rPr>
                <w:rFonts w:ascii="宋体" w:hAnsi="宋体"/>
                <w:sz w:val="18"/>
                <w:szCs w:val="18"/>
              </w:rPr>
            </w:pPr>
            <w:r>
              <w:rPr>
                <w:rFonts w:hint="eastAsia" w:ascii="宋体" w:hAnsi="宋体"/>
                <w:sz w:val="18"/>
                <w:szCs w:val="18"/>
              </w:rPr>
              <w:t>应用湖北省《智能建造技术手册（1</w:t>
            </w:r>
            <w:r>
              <w:rPr>
                <w:rFonts w:ascii="宋体" w:hAnsi="宋体"/>
                <w:sz w:val="18"/>
                <w:szCs w:val="18"/>
              </w:rPr>
              <w:t>.0</w:t>
            </w:r>
            <w:r>
              <w:rPr>
                <w:rFonts w:hint="eastAsia" w:ascii="宋体" w:hAnsi="宋体"/>
                <w:sz w:val="18"/>
                <w:szCs w:val="18"/>
              </w:rPr>
              <w:t>版）》中常规项技术每应用1项得0.1分，推荐项技术每应用1项得0.2分，创新项技术每应用1项得0.4分，其中常规项技术应用不得低于20项，累计得分超过8分按8分计。</w:t>
            </w:r>
          </w:p>
        </w:tc>
        <w:tc>
          <w:tcPr>
            <w:tcW w:w="527" w:type="pct"/>
            <w:vAlign w:val="center"/>
          </w:tcPr>
          <w:p>
            <w:pPr>
              <w:spacing w:line="240" w:lineRule="auto"/>
              <w:rPr>
                <w:rFonts w:ascii="宋体" w:hAnsi="宋体"/>
                <w:sz w:val="18"/>
                <w:szCs w:val="18"/>
              </w:rPr>
            </w:pPr>
            <w:r>
              <w:rPr>
                <w:rFonts w:ascii="宋体" w:hAnsi="宋体"/>
                <w:sz w:val="18"/>
                <w:szCs w:val="18"/>
              </w:rPr>
              <w:t>1.</w:t>
            </w:r>
            <w:r>
              <w:rPr>
                <w:rFonts w:hint="eastAsia" w:ascii="宋体" w:hAnsi="宋体"/>
                <w:sz w:val="18"/>
                <w:szCs w:val="18"/>
              </w:rPr>
              <w:t>技术应用说明。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529" w:type="pct"/>
            <w:vMerge w:val="continue"/>
            <w:vAlign w:val="center"/>
          </w:tcPr>
          <w:p>
            <w:pPr>
              <w:spacing w:line="240" w:lineRule="auto"/>
              <w:jc w:val="center"/>
              <w:rPr>
                <w:rFonts w:ascii="宋体" w:hAnsi="宋体"/>
                <w:sz w:val="18"/>
                <w:szCs w:val="18"/>
              </w:rPr>
            </w:pPr>
          </w:p>
        </w:tc>
        <w:tc>
          <w:tcPr>
            <w:tcW w:w="531" w:type="pct"/>
            <w:vAlign w:val="center"/>
          </w:tcPr>
          <w:p>
            <w:pPr>
              <w:spacing w:line="240" w:lineRule="auto"/>
              <w:jc w:val="center"/>
              <w:rPr>
                <w:rFonts w:ascii="宋体" w:hAnsi="宋体"/>
                <w:sz w:val="18"/>
                <w:szCs w:val="18"/>
              </w:rPr>
            </w:pPr>
            <w:r>
              <w:rPr>
                <w:rFonts w:hint="eastAsia" w:ascii="宋体" w:hAnsi="宋体"/>
                <w:sz w:val="18"/>
                <w:szCs w:val="18"/>
              </w:rPr>
              <w:t>应用前景</w:t>
            </w:r>
          </w:p>
          <w:p>
            <w:pPr>
              <w:spacing w:line="240" w:lineRule="auto"/>
              <w:jc w:val="center"/>
              <w:rPr>
                <w:rFonts w:ascii="宋体" w:hAnsi="宋体"/>
                <w:sz w:val="18"/>
                <w:szCs w:val="18"/>
              </w:rPr>
            </w:pPr>
            <w:r>
              <w:rPr>
                <w:rFonts w:hint="eastAsia" w:ascii="宋体" w:hAnsi="宋体"/>
                <w:sz w:val="18"/>
                <w:szCs w:val="20"/>
              </w:rPr>
              <w:t>（</w:t>
            </w:r>
            <w:r>
              <w:rPr>
                <w:rFonts w:ascii="宋体" w:hAnsi="宋体"/>
                <w:sz w:val="18"/>
                <w:szCs w:val="20"/>
              </w:rPr>
              <w:t>10</w:t>
            </w:r>
            <w:r>
              <w:rPr>
                <w:rFonts w:hint="eastAsia" w:ascii="宋体" w:hAnsi="宋体"/>
                <w:sz w:val="18"/>
                <w:szCs w:val="20"/>
              </w:rPr>
              <w:t>分）</w:t>
            </w:r>
          </w:p>
        </w:tc>
        <w:tc>
          <w:tcPr>
            <w:tcW w:w="3413" w:type="pct"/>
            <w:vAlign w:val="center"/>
          </w:tcPr>
          <w:p>
            <w:pPr>
              <w:spacing w:line="240" w:lineRule="auto"/>
              <w:rPr>
                <w:rFonts w:ascii="宋体" w:hAnsi="宋体"/>
                <w:sz w:val="18"/>
                <w:szCs w:val="18"/>
              </w:rPr>
            </w:pPr>
            <w:r>
              <w:rPr>
                <w:rFonts w:hint="eastAsia" w:ascii="宋体" w:hAnsi="宋体"/>
                <w:sz w:val="18"/>
                <w:szCs w:val="18"/>
              </w:rPr>
              <w:t>采用的相关技术入围国家级智能建造推广目录，每入围</w:t>
            </w:r>
            <w:r>
              <w:rPr>
                <w:rFonts w:ascii="宋体" w:hAnsi="宋体"/>
                <w:sz w:val="18"/>
                <w:szCs w:val="18"/>
              </w:rPr>
              <w:t>1项得5分；</w:t>
            </w:r>
            <w:r>
              <w:rPr>
                <w:rFonts w:hint="eastAsia" w:ascii="宋体" w:hAnsi="宋体"/>
                <w:sz w:val="18"/>
                <w:szCs w:val="18"/>
              </w:rPr>
              <w:t>入围省级智能建造推广目录，每入围</w:t>
            </w:r>
            <w:r>
              <w:rPr>
                <w:rFonts w:ascii="宋体" w:hAnsi="宋体"/>
                <w:sz w:val="18"/>
                <w:szCs w:val="18"/>
              </w:rPr>
              <w:t>1项得2分；</w:t>
            </w:r>
            <w:r>
              <w:rPr>
                <w:rFonts w:hint="eastAsia" w:ascii="宋体" w:hAnsi="宋体"/>
                <w:sz w:val="18"/>
                <w:szCs w:val="18"/>
              </w:rPr>
              <w:t>入围市局级智能建造推广目录，每入围</w:t>
            </w:r>
            <w:r>
              <w:rPr>
                <w:rFonts w:ascii="宋体" w:hAnsi="宋体"/>
                <w:sz w:val="18"/>
                <w:szCs w:val="18"/>
              </w:rPr>
              <w:t>1项得1分。</w:t>
            </w:r>
            <w:r>
              <w:rPr>
                <w:rFonts w:hint="eastAsia" w:ascii="宋体" w:hAnsi="宋体"/>
                <w:sz w:val="18"/>
                <w:szCs w:val="18"/>
              </w:rPr>
              <w:t>同一成果入围不同层级推广目录按最高层级加分，不重复累加，至多得1</w:t>
            </w:r>
            <w:r>
              <w:rPr>
                <w:rFonts w:ascii="宋体" w:hAnsi="宋体"/>
                <w:sz w:val="18"/>
                <w:szCs w:val="18"/>
              </w:rPr>
              <w:t>0</w:t>
            </w:r>
            <w:r>
              <w:rPr>
                <w:rFonts w:hint="eastAsia" w:ascii="宋体" w:hAnsi="宋体"/>
                <w:sz w:val="18"/>
                <w:szCs w:val="18"/>
              </w:rPr>
              <w:t>分。</w:t>
            </w:r>
          </w:p>
        </w:tc>
        <w:tc>
          <w:tcPr>
            <w:tcW w:w="527" w:type="pct"/>
            <w:vAlign w:val="center"/>
          </w:tcPr>
          <w:p>
            <w:pPr>
              <w:spacing w:line="240" w:lineRule="auto"/>
              <w:rPr>
                <w:rFonts w:ascii="宋体" w:hAnsi="宋体"/>
                <w:sz w:val="18"/>
                <w:szCs w:val="18"/>
              </w:rPr>
            </w:pPr>
            <w:r>
              <w:rPr>
                <w:rFonts w:ascii="宋体" w:hAnsi="宋体"/>
                <w:sz w:val="18"/>
                <w:szCs w:val="18"/>
              </w:rPr>
              <w:t>1.</w:t>
            </w:r>
            <w:r>
              <w:rPr>
                <w:rFonts w:hint="eastAsia" w:ascii="宋体" w:hAnsi="宋体"/>
                <w:sz w:val="18"/>
                <w:szCs w:val="18"/>
              </w:rPr>
              <w:t>入围证书或其他依据。</w:t>
            </w:r>
          </w:p>
        </w:tc>
      </w:tr>
    </w:tbl>
    <w:p>
      <w:pPr>
        <w:pStyle w:val="66"/>
        <w:ind w:firstLine="0" w:firstLineChars="0"/>
        <w:jc w:val="center"/>
      </w:pPr>
    </w:p>
    <w:p>
      <w:pPr>
        <w:pStyle w:val="172"/>
        <w:ind w:left="0"/>
        <w:rPr>
          <w:rFonts w:hAnsi="宋体"/>
        </w:rPr>
      </w:pPr>
      <w:r>
        <w:rPr>
          <w:rFonts w:hAnsi="宋体"/>
        </w:rPr>
        <w:br w:type="page"/>
      </w:r>
    </w:p>
    <w:p>
      <w:pPr>
        <w:pStyle w:val="86"/>
        <w:numPr>
          <w:ilvl w:val="0"/>
          <w:numId w:val="0"/>
        </w:numPr>
        <w:spacing w:before="78" w:after="156"/>
      </w:pPr>
      <w:bookmarkStart w:id="82" w:name="_Toc148431728"/>
      <w:bookmarkStart w:id="83" w:name="_Toc144291700"/>
      <w:bookmarkStart w:id="84" w:name="_Toc144291818"/>
      <w:r>
        <w:rPr>
          <w:rFonts w:hint="eastAsia"/>
        </w:rPr>
        <w:t>附表</w:t>
      </w:r>
      <w:r>
        <w:t xml:space="preserve"> 1  </w:t>
      </w:r>
      <w:r>
        <w:rPr>
          <w:rFonts w:hint="eastAsia"/>
        </w:rPr>
        <w:t>湖北省</w:t>
      </w:r>
      <w:r>
        <w:t>智能建造水平评价表</w:t>
      </w:r>
      <w:bookmarkEnd w:id="82"/>
      <w:bookmarkEnd w:id="83"/>
      <w:bookmarkEnd w:id="84"/>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984"/>
        <w:gridCol w:w="1352"/>
        <w:gridCol w:w="828"/>
        <w:gridCol w:w="621"/>
        <w:gridCol w:w="994"/>
        <w:gridCol w:w="999"/>
        <w:gridCol w:w="404"/>
        <w:gridCol w:w="966"/>
        <w:gridCol w:w="823"/>
        <w:gridCol w:w="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Align w:val="center"/>
          </w:tcPr>
          <w:p>
            <w:pPr>
              <w:spacing w:line="240" w:lineRule="auto"/>
              <w:jc w:val="center"/>
              <w:rPr>
                <w:rFonts w:ascii="宋体" w:hAnsi="宋体"/>
                <w:b/>
                <w:bCs/>
                <w:sz w:val="18"/>
                <w:szCs w:val="18"/>
              </w:rPr>
            </w:pPr>
            <w:r>
              <w:rPr>
                <w:rFonts w:hint="eastAsia" w:ascii="宋体" w:hAnsi="宋体"/>
                <w:b/>
                <w:bCs/>
                <w:sz w:val="18"/>
                <w:szCs w:val="18"/>
              </w:rPr>
              <w:t>项目名称</w:t>
            </w:r>
          </w:p>
        </w:tc>
        <w:tc>
          <w:tcPr>
            <w:tcW w:w="1969" w:type="pct"/>
            <w:gridSpan w:val="4"/>
            <w:vAlign w:val="center"/>
          </w:tcPr>
          <w:p>
            <w:pPr>
              <w:spacing w:line="240" w:lineRule="auto"/>
              <w:jc w:val="center"/>
              <w:rPr>
                <w:rFonts w:ascii="宋体" w:hAnsi="宋体"/>
                <w:sz w:val="18"/>
                <w:szCs w:val="18"/>
              </w:rPr>
            </w:pPr>
          </w:p>
        </w:tc>
        <w:tc>
          <w:tcPr>
            <w:tcW w:w="521" w:type="pct"/>
            <w:vAlign w:val="center"/>
          </w:tcPr>
          <w:p>
            <w:pPr>
              <w:spacing w:line="240" w:lineRule="auto"/>
              <w:jc w:val="center"/>
              <w:rPr>
                <w:rFonts w:ascii="宋体" w:hAnsi="宋体"/>
                <w:b/>
                <w:bCs/>
                <w:sz w:val="18"/>
                <w:szCs w:val="18"/>
              </w:rPr>
            </w:pPr>
            <w:r>
              <w:rPr>
                <w:rFonts w:hint="eastAsia" w:ascii="宋体" w:hAnsi="宋体"/>
                <w:b/>
                <w:bCs/>
                <w:sz w:val="18"/>
                <w:szCs w:val="18"/>
              </w:rPr>
              <w:t>建设单位</w:t>
            </w:r>
          </w:p>
        </w:tc>
        <w:tc>
          <w:tcPr>
            <w:tcW w:w="1985" w:type="pct"/>
            <w:gridSpan w:val="5"/>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Align w:val="center"/>
          </w:tcPr>
          <w:p>
            <w:pPr>
              <w:spacing w:line="240" w:lineRule="auto"/>
              <w:jc w:val="center"/>
              <w:rPr>
                <w:rFonts w:ascii="宋体" w:hAnsi="宋体"/>
                <w:b/>
                <w:bCs/>
                <w:sz w:val="18"/>
                <w:szCs w:val="18"/>
              </w:rPr>
            </w:pPr>
            <w:r>
              <w:rPr>
                <w:rFonts w:hint="eastAsia" w:ascii="宋体" w:hAnsi="宋体"/>
                <w:b/>
                <w:bCs/>
                <w:sz w:val="18"/>
                <w:szCs w:val="18"/>
              </w:rPr>
              <w:t>设计单位</w:t>
            </w:r>
          </w:p>
        </w:tc>
        <w:tc>
          <w:tcPr>
            <w:tcW w:w="1969" w:type="pct"/>
            <w:gridSpan w:val="4"/>
            <w:vAlign w:val="center"/>
          </w:tcPr>
          <w:p>
            <w:pPr>
              <w:spacing w:line="240" w:lineRule="auto"/>
              <w:jc w:val="center"/>
              <w:rPr>
                <w:rFonts w:ascii="宋体" w:hAnsi="宋体"/>
                <w:sz w:val="18"/>
                <w:szCs w:val="18"/>
              </w:rPr>
            </w:pPr>
          </w:p>
        </w:tc>
        <w:tc>
          <w:tcPr>
            <w:tcW w:w="521" w:type="pct"/>
            <w:vAlign w:val="center"/>
          </w:tcPr>
          <w:p>
            <w:pPr>
              <w:spacing w:line="240" w:lineRule="auto"/>
              <w:jc w:val="center"/>
              <w:rPr>
                <w:rFonts w:ascii="宋体" w:hAnsi="宋体"/>
                <w:b/>
                <w:bCs/>
                <w:sz w:val="18"/>
                <w:szCs w:val="18"/>
              </w:rPr>
            </w:pPr>
            <w:r>
              <w:rPr>
                <w:rFonts w:hint="eastAsia" w:ascii="宋体" w:hAnsi="宋体"/>
                <w:b/>
                <w:bCs/>
                <w:sz w:val="18"/>
                <w:szCs w:val="18"/>
              </w:rPr>
              <w:t>施工单位</w:t>
            </w:r>
          </w:p>
        </w:tc>
        <w:tc>
          <w:tcPr>
            <w:tcW w:w="1985" w:type="pct"/>
            <w:gridSpan w:val="5"/>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Align w:val="center"/>
          </w:tcPr>
          <w:p>
            <w:pPr>
              <w:spacing w:line="240" w:lineRule="auto"/>
              <w:jc w:val="center"/>
              <w:rPr>
                <w:rFonts w:ascii="宋体" w:hAnsi="宋体"/>
                <w:b/>
                <w:bCs/>
                <w:sz w:val="18"/>
                <w:szCs w:val="18"/>
              </w:rPr>
            </w:pPr>
            <w:r>
              <w:rPr>
                <w:rFonts w:hint="eastAsia" w:ascii="宋体" w:hAnsi="宋体"/>
                <w:b/>
                <w:bCs/>
                <w:sz w:val="18"/>
                <w:szCs w:val="18"/>
              </w:rPr>
              <w:t>申报单位</w:t>
            </w:r>
          </w:p>
        </w:tc>
        <w:tc>
          <w:tcPr>
            <w:tcW w:w="1969" w:type="pct"/>
            <w:gridSpan w:val="4"/>
            <w:vAlign w:val="center"/>
          </w:tcPr>
          <w:p>
            <w:pPr>
              <w:spacing w:line="240" w:lineRule="auto"/>
              <w:jc w:val="center"/>
              <w:rPr>
                <w:rFonts w:ascii="宋体" w:hAnsi="宋体"/>
                <w:sz w:val="18"/>
                <w:szCs w:val="18"/>
              </w:rPr>
            </w:pPr>
          </w:p>
        </w:tc>
        <w:tc>
          <w:tcPr>
            <w:tcW w:w="521" w:type="pct"/>
            <w:vAlign w:val="center"/>
          </w:tcPr>
          <w:p>
            <w:pPr>
              <w:spacing w:line="240" w:lineRule="auto"/>
              <w:jc w:val="center"/>
              <w:rPr>
                <w:rFonts w:ascii="宋体" w:hAnsi="宋体"/>
                <w:b/>
                <w:bCs/>
                <w:sz w:val="18"/>
                <w:szCs w:val="18"/>
              </w:rPr>
            </w:pPr>
            <w:r>
              <w:rPr>
                <w:rFonts w:hint="eastAsia" w:ascii="宋体" w:hAnsi="宋体"/>
                <w:b/>
                <w:bCs/>
                <w:sz w:val="18"/>
                <w:szCs w:val="18"/>
              </w:rPr>
              <w:t>评价等级</w:t>
            </w:r>
          </w:p>
        </w:tc>
        <w:tc>
          <w:tcPr>
            <w:tcW w:w="1985" w:type="pct"/>
            <w:gridSpan w:val="5"/>
            <w:vAlign w:val="center"/>
          </w:tcPr>
          <w:p>
            <w:pPr>
              <w:spacing w:line="240" w:lineRule="auto"/>
              <w:jc w:val="center"/>
              <w:rPr>
                <w:rFonts w:ascii="宋体" w:hAnsi="宋体"/>
                <w:b/>
                <w:bCs/>
                <w:sz w:val="18"/>
                <w:szCs w:val="18"/>
              </w:rPr>
            </w:pPr>
            <w:r>
              <w:rPr>
                <w:rFonts w:hint="eastAsia" w:ascii="宋体" w:hAnsi="宋体"/>
                <w:b/>
                <w:bCs/>
                <w:sz w:val="18"/>
                <w:szCs w:val="18"/>
              </w:rPr>
              <w:sym w:font="Wingdings 2" w:char="F0A3"/>
            </w:r>
            <w:r>
              <w:rPr>
                <w:rFonts w:ascii="宋体" w:hAnsi="宋体"/>
                <w:b/>
                <w:bCs/>
                <w:sz w:val="18"/>
                <w:szCs w:val="18"/>
              </w:rPr>
              <w:t xml:space="preserve"> </w:t>
            </w:r>
            <w:r>
              <w:rPr>
                <w:rFonts w:hint="eastAsia" w:ascii="宋体" w:hAnsi="宋体"/>
                <w:b/>
                <w:bCs/>
                <w:sz w:val="18"/>
                <w:szCs w:val="18"/>
              </w:rPr>
              <w:t xml:space="preserve">A级 </w:t>
            </w:r>
            <w:r>
              <w:rPr>
                <w:rFonts w:hint="eastAsia" w:ascii="宋体" w:hAnsi="宋体"/>
                <w:b/>
                <w:bCs/>
                <w:sz w:val="18"/>
                <w:szCs w:val="18"/>
              </w:rPr>
              <w:sym w:font="Wingdings 2" w:char="F0A3"/>
            </w:r>
            <w:r>
              <w:rPr>
                <w:rFonts w:ascii="宋体" w:hAnsi="宋体"/>
                <w:b/>
                <w:bCs/>
                <w:sz w:val="18"/>
                <w:szCs w:val="18"/>
              </w:rPr>
              <w:t xml:space="preserve"> </w:t>
            </w:r>
            <w:r>
              <w:rPr>
                <w:rFonts w:hint="eastAsia" w:ascii="宋体" w:hAnsi="宋体"/>
                <w:b/>
                <w:bCs/>
                <w:sz w:val="18"/>
                <w:szCs w:val="18"/>
              </w:rPr>
              <w:t>A</w:t>
            </w:r>
            <w:r>
              <w:rPr>
                <w:rFonts w:ascii="宋体" w:hAnsi="宋体"/>
                <w:b/>
                <w:bCs/>
                <w:sz w:val="18"/>
                <w:szCs w:val="18"/>
              </w:rPr>
              <w:t>A</w:t>
            </w:r>
            <w:r>
              <w:rPr>
                <w:rFonts w:hint="eastAsia" w:ascii="宋体" w:hAnsi="宋体"/>
                <w:b/>
                <w:bCs/>
                <w:sz w:val="18"/>
                <w:szCs w:val="18"/>
              </w:rPr>
              <w:t xml:space="preserve">级 </w:t>
            </w:r>
            <w:r>
              <w:rPr>
                <w:rFonts w:hint="eastAsia" w:ascii="宋体" w:hAnsi="宋体"/>
                <w:b/>
                <w:bCs/>
                <w:sz w:val="18"/>
                <w:szCs w:val="18"/>
              </w:rPr>
              <w:sym w:font="Wingdings 2" w:char="F0A3"/>
            </w:r>
            <w:r>
              <w:rPr>
                <w:rFonts w:ascii="宋体" w:hAnsi="宋体"/>
                <w:b/>
                <w:bCs/>
                <w:sz w:val="18"/>
                <w:szCs w:val="18"/>
              </w:rPr>
              <w:t xml:space="preserve"> </w:t>
            </w:r>
            <w:r>
              <w:rPr>
                <w:rFonts w:hint="eastAsia" w:ascii="宋体" w:hAnsi="宋体"/>
                <w:b/>
                <w:bCs/>
                <w:sz w:val="18"/>
                <w:szCs w:val="18"/>
              </w:rPr>
              <w:t>A</w:t>
            </w:r>
            <w:r>
              <w:rPr>
                <w:rFonts w:ascii="宋体" w:hAnsi="宋体"/>
                <w:b/>
                <w:bCs/>
                <w:sz w:val="18"/>
                <w:szCs w:val="18"/>
              </w:rPr>
              <w:t>AA</w:t>
            </w:r>
            <w:r>
              <w:rPr>
                <w:rFonts w:hint="eastAsia" w:ascii="宋体" w:hAnsi="宋体"/>
                <w:b/>
                <w:bCs/>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5" w:type="pct"/>
            <w:vAlign w:val="center"/>
          </w:tcPr>
          <w:p>
            <w:pPr>
              <w:spacing w:line="240" w:lineRule="auto"/>
              <w:jc w:val="center"/>
              <w:rPr>
                <w:rFonts w:ascii="宋体" w:hAnsi="宋体"/>
                <w:b/>
                <w:bCs/>
                <w:sz w:val="18"/>
                <w:szCs w:val="18"/>
              </w:rPr>
            </w:pPr>
            <w:r>
              <w:rPr>
                <w:rFonts w:hint="eastAsia" w:ascii="宋体" w:hAnsi="宋体"/>
                <w:b/>
                <w:bCs/>
                <w:sz w:val="18"/>
                <w:szCs w:val="18"/>
              </w:rPr>
              <w:t>分类</w:t>
            </w:r>
          </w:p>
        </w:tc>
        <w:tc>
          <w:tcPr>
            <w:tcW w:w="1969" w:type="pct"/>
            <w:gridSpan w:val="4"/>
            <w:vAlign w:val="center"/>
          </w:tcPr>
          <w:p>
            <w:pPr>
              <w:spacing w:line="240" w:lineRule="auto"/>
              <w:jc w:val="center"/>
              <w:rPr>
                <w:rFonts w:ascii="宋体" w:hAnsi="宋体"/>
                <w:b/>
                <w:bCs/>
                <w:sz w:val="18"/>
                <w:szCs w:val="18"/>
              </w:rPr>
            </w:pPr>
            <w:r>
              <w:rPr>
                <w:rFonts w:hint="eastAsia" w:ascii="宋体" w:hAnsi="宋体"/>
                <w:b/>
                <w:bCs/>
                <w:sz w:val="18"/>
                <w:szCs w:val="18"/>
              </w:rPr>
              <w:t>评价内容</w:t>
            </w:r>
          </w:p>
        </w:tc>
        <w:tc>
          <w:tcPr>
            <w:tcW w:w="521" w:type="pct"/>
            <w:vAlign w:val="center"/>
          </w:tcPr>
          <w:p>
            <w:pPr>
              <w:spacing w:line="240" w:lineRule="auto"/>
              <w:jc w:val="center"/>
              <w:rPr>
                <w:rFonts w:ascii="宋体" w:hAnsi="宋体"/>
                <w:b/>
                <w:bCs/>
                <w:sz w:val="18"/>
                <w:szCs w:val="18"/>
              </w:rPr>
            </w:pPr>
            <w:r>
              <w:rPr>
                <w:rFonts w:hint="eastAsia" w:ascii="宋体" w:hAnsi="宋体"/>
                <w:b/>
                <w:bCs/>
                <w:sz w:val="18"/>
                <w:szCs w:val="18"/>
              </w:rPr>
              <w:t>分类</w:t>
            </w:r>
          </w:p>
        </w:tc>
        <w:tc>
          <w:tcPr>
            <w:tcW w:w="1985" w:type="pct"/>
            <w:gridSpan w:val="5"/>
            <w:vAlign w:val="center"/>
          </w:tcPr>
          <w:p>
            <w:pPr>
              <w:spacing w:line="240" w:lineRule="auto"/>
              <w:jc w:val="center"/>
              <w:rPr>
                <w:rFonts w:ascii="宋体" w:hAnsi="宋体"/>
                <w:b/>
                <w:bCs/>
                <w:sz w:val="18"/>
                <w:szCs w:val="18"/>
              </w:rPr>
            </w:pPr>
            <w:r>
              <w:rPr>
                <w:rFonts w:hint="eastAsia" w:ascii="宋体" w:hAnsi="宋体"/>
                <w:b/>
                <w:bCs/>
                <w:sz w:val="18"/>
                <w:szCs w:val="18"/>
              </w:rPr>
              <w:t>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restart"/>
            <w:vAlign w:val="center"/>
          </w:tcPr>
          <w:p>
            <w:pPr>
              <w:spacing w:line="240" w:lineRule="auto"/>
              <w:jc w:val="center"/>
              <w:rPr>
                <w:rFonts w:ascii="宋体" w:hAnsi="宋体"/>
                <w:b/>
                <w:bCs/>
                <w:sz w:val="18"/>
                <w:szCs w:val="18"/>
              </w:rPr>
            </w:pPr>
            <w:r>
              <w:rPr>
                <w:rFonts w:hint="eastAsia" w:ascii="宋体" w:hAnsi="宋体"/>
                <w:b/>
                <w:bCs/>
                <w:sz w:val="18"/>
                <w:szCs w:val="18"/>
              </w:rPr>
              <w:t>组织与策划</w:t>
            </w:r>
          </w:p>
        </w:tc>
        <w:tc>
          <w:tcPr>
            <w:tcW w:w="1969" w:type="pct"/>
            <w:gridSpan w:val="4"/>
            <w:vAlign w:val="center"/>
          </w:tcPr>
          <w:p>
            <w:pPr>
              <w:spacing w:line="240" w:lineRule="auto"/>
              <w:jc w:val="center"/>
              <w:rPr>
                <w:rFonts w:ascii="宋体" w:hAnsi="宋体"/>
                <w:b/>
                <w:bCs/>
                <w:sz w:val="18"/>
                <w:szCs w:val="18"/>
              </w:rPr>
            </w:pPr>
            <w:r>
              <w:rPr>
                <w:rFonts w:hint="eastAsia" w:ascii="宋体" w:hAnsi="宋体"/>
                <w:b/>
                <w:bCs/>
                <w:sz w:val="18"/>
                <w:szCs w:val="18"/>
              </w:rPr>
              <w:t>基础项</w:t>
            </w:r>
          </w:p>
        </w:tc>
        <w:tc>
          <w:tcPr>
            <w:tcW w:w="521" w:type="pct"/>
            <w:vMerge w:val="restart"/>
            <w:vAlign w:val="center"/>
          </w:tcPr>
          <w:p>
            <w:pPr>
              <w:spacing w:line="240" w:lineRule="auto"/>
              <w:jc w:val="center"/>
              <w:rPr>
                <w:rFonts w:ascii="宋体" w:hAnsi="宋体"/>
                <w:b/>
                <w:bCs/>
                <w:sz w:val="18"/>
                <w:szCs w:val="18"/>
              </w:rPr>
            </w:pPr>
            <w:r>
              <w:rPr>
                <w:rFonts w:hint="eastAsia" w:ascii="宋体" w:hAnsi="宋体"/>
                <w:b/>
                <w:bCs/>
                <w:sz w:val="18"/>
                <w:szCs w:val="18"/>
              </w:rPr>
              <w:t>建造过程</w:t>
            </w:r>
          </w:p>
        </w:tc>
        <w:tc>
          <w:tcPr>
            <w:tcW w:w="1241" w:type="pct"/>
            <w:gridSpan w:val="3"/>
            <w:vAlign w:val="center"/>
          </w:tcPr>
          <w:p>
            <w:pPr>
              <w:spacing w:line="240" w:lineRule="auto"/>
              <w:jc w:val="center"/>
              <w:rPr>
                <w:rFonts w:ascii="宋体" w:hAnsi="宋体"/>
                <w:b/>
                <w:bCs/>
                <w:sz w:val="18"/>
                <w:szCs w:val="18"/>
              </w:rPr>
            </w:pPr>
            <w:r>
              <w:rPr>
                <w:rFonts w:hint="eastAsia" w:ascii="宋体" w:hAnsi="宋体"/>
                <w:b/>
                <w:bCs/>
                <w:sz w:val="18"/>
                <w:szCs w:val="18"/>
              </w:rPr>
              <w:t>智能生产评分项</w:t>
            </w:r>
          </w:p>
        </w:tc>
        <w:tc>
          <w:tcPr>
            <w:tcW w:w="431" w:type="pct"/>
            <w:vAlign w:val="center"/>
          </w:tcPr>
          <w:p>
            <w:pPr>
              <w:spacing w:line="240" w:lineRule="auto"/>
              <w:jc w:val="center"/>
              <w:rPr>
                <w:rFonts w:ascii="宋体" w:hAnsi="宋体"/>
                <w:b/>
                <w:bCs/>
                <w:sz w:val="18"/>
                <w:szCs w:val="18"/>
              </w:rPr>
            </w:pPr>
            <w:r>
              <w:rPr>
                <w:rFonts w:hint="eastAsia" w:ascii="宋体" w:hAnsi="宋体"/>
                <w:b/>
                <w:bCs/>
                <w:sz w:val="18"/>
                <w:szCs w:val="18"/>
              </w:rPr>
              <w:t>总得分</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25" w:type="pct"/>
            <w:vMerge w:val="continue"/>
            <w:vAlign w:val="center"/>
          </w:tcPr>
          <w:p>
            <w:pPr>
              <w:spacing w:line="240" w:lineRule="auto"/>
              <w:jc w:val="center"/>
              <w:rPr>
                <w:rFonts w:ascii="宋体" w:hAnsi="宋体"/>
                <w:sz w:val="18"/>
                <w:szCs w:val="18"/>
              </w:rPr>
            </w:pPr>
          </w:p>
        </w:tc>
        <w:tc>
          <w:tcPr>
            <w:tcW w:w="501" w:type="pct"/>
            <w:vMerge w:val="restart"/>
            <w:vAlign w:val="center"/>
          </w:tcPr>
          <w:p>
            <w:pPr>
              <w:spacing w:line="240" w:lineRule="auto"/>
              <w:jc w:val="center"/>
              <w:rPr>
                <w:rFonts w:ascii="宋体" w:hAnsi="宋体"/>
                <w:sz w:val="18"/>
                <w:szCs w:val="18"/>
              </w:rPr>
            </w:pPr>
            <w:r>
              <w:rPr>
                <w:rFonts w:hint="eastAsia" w:ascii="宋体" w:hAnsi="宋体"/>
                <w:sz w:val="18"/>
                <w:szCs w:val="18"/>
              </w:rPr>
              <w:t>章节编号</w:t>
            </w:r>
          </w:p>
        </w:tc>
        <w:tc>
          <w:tcPr>
            <w:tcW w:w="708" w:type="pct"/>
            <w:vMerge w:val="restart"/>
            <w:vAlign w:val="center"/>
          </w:tcPr>
          <w:p>
            <w:pPr>
              <w:spacing w:line="240" w:lineRule="auto"/>
              <w:jc w:val="center"/>
              <w:rPr>
                <w:rFonts w:ascii="宋体" w:hAnsi="宋体"/>
                <w:sz w:val="18"/>
                <w:szCs w:val="18"/>
              </w:rPr>
            </w:pPr>
            <w:r>
              <w:rPr>
                <w:rFonts w:hint="eastAsia" w:ascii="宋体" w:hAnsi="宋体"/>
                <w:sz w:val="18"/>
                <w:szCs w:val="18"/>
              </w:rPr>
              <w:t>评价模块</w:t>
            </w:r>
          </w:p>
        </w:tc>
        <w:tc>
          <w:tcPr>
            <w:tcW w:w="760" w:type="pct"/>
            <w:gridSpan w:val="2"/>
            <w:vAlign w:val="center"/>
          </w:tcPr>
          <w:p>
            <w:pPr>
              <w:spacing w:line="240" w:lineRule="auto"/>
              <w:jc w:val="center"/>
              <w:rPr>
                <w:rFonts w:ascii="宋体" w:hAnsi="宋体"/>
                <w:sz w:val="18"/>
                <w:szCs w:val="18"/>
              </w:rPr>
            </w:pPr>
            <w:r>
              <w:rPr>
                <w:rFonts w:hint="eastAsia" w:ascii="宋体" w:hAnsi="宋体"/>
                <w:sz w:val="18"/>
                <w:szCs w:val="18"/>
              </w:rPr>
              <w:t>达标情况</w:t>
            </w:r>
          </w:p>
        </w:tc>
        <w:tc>
          <w:tcPr>
            <w:tcW w:w="521" w:type="pct"/>
            <w:vMerge w:val="continue"/>
            <w:vAlign w:val="center"/>
          </w:tcPr>
          <w:p>
            <w:pPr>
              <w:spacing w:line="240" w:lineRule="auto"/>
              <w:jc w:val="center"/>
              <w:rPr>
                <w:rFonts w:ascii="宋体" w:hAnsi="宋体"/>
                <w:sz w:val="18"/>
                <w:szCs w:val="18"/>
              </w:rPr>
            </w:pPr>
          </w:p>
        </w:tc>
        <w:tc>
          <w:tcPr>
            <w:tcW w:w="523" w:type="pct"/>
            <w:vMerge w:val="restart"/>
            <w:vAlign w:val="center"/>
          </w:tcPr>
          <w:p>
            <w:pPr>
              <w:spacing w:line="240" w:lineRule="auto"/>
              <w:jc w:val="center"/>
              <w:rPr>
                <w:rFonts w:ascii="宋体" w:hAnsi="宋体"/>
                <w:sz w:val="18"/>
                <w:szCs w:val="18"/>
              </w:rPr>
            </w:pPr>
            <w:r>
              <w:rPr>
                <w:rFonts w:hint="eastAsia" w:ascii="宋体" w:hAnsi="宋体"/>
                <w:sz w:val="18"/>
                <w:szCs w:val="18"/>
              </w:rPr>
              <w:t>评价指标</w:t>
            </w:r>
          </w:p>
        </w:tc>
        <w:tc>
          <w:tcPr>
            <w:tcW w:w="718" w:type="pct"/>
            <w:gridSpan w:val="2"/>
            <w:vMerge w:val="restart"/>
            <w:vAlign w:val="center"/>
          </w:tcPr>
          <w:p>
            <w:pPr>
              <w:spacing w:line="240" w:lineRule="auto"/>
              <w:jc w:val="center"/>
              <w:rPr>
                <w:rFonts w:ascii="宋体" w:hAnsi="宋体"/>
                <w:sz w:val="18"/>
                <w:szCs w:val="18"/>
              </w:rPr>
            </w:pPr>
            <w:r>
              <w:rPr>
                <w:rFonts w:hint="eastAsia" w:ascii="宋体" w:hAnsi="宋体"/>
                <w:sz w:val="18"/>
                <w:szCs w:val="18"/>
              </w:rPr>
              <w:t>评价模块</w:t>
            </w:r>
          </w:p>
        </w:tc>
        <w:tc>
          <w:tcPr>
            <w:tcW w:w="744" w:type="pct"/>
            <w:gridSpan w:val="2"/>
            <w:vAlign w:val="center"/>
          </w:tcPr>
          <w:p>
            <w:pPr>
              <w:spacing w:line="240" w:lineRule="auto"/>
              <w:jc w:val="center"/>
              <w:rPr>
                <w:rFonts w:ascii="宋体" w:hAnsi="宋体"/>
                <w:sz w:val="18"/>
                <w:szCs w:val="18"/>
              </w:rPr>
            </w:pPr>
            <w:r>
              <w:rPr>
                <w:rFonts w:hint="eastAsia" w:ascii="宋体" w:hAnsi="宋体"/>
                <w:sz w:val="18"/>
                <w:szCs w:val="18"/>
              </w:rPr>
              <w:t>得分情况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Merge w:val="continue"/>
            <w:vAlign w:val="center"/>
          </w:tcPr>
          <w:p>
            <w:pPr>
              <w:spacing w:line="240" w:lineRule="auto"/>
              <w:jc w:val="center"/>
              <w:rPr>
                <w:rFonts w:ascii="宋体" w:hAnsi="宋体"/>
                <w:sz w:val="18"/>
                <w:szCs w:val="18"/>
              </w:rPr>
            </w:pPr>
          </w:p>
        </w:tc>
        <w:tc>
          <w:tcPr>
            <w:tcW w:w="434" w:type="pct"/>
            <w:vAlign w:val="center"/>
          </w:tcPr>
          <w:p>
            <w:pPr>
              <w:spacing w:line="240" w:lineRule="auto"/>
              <w:jc w:val="center"/>
              <w:rPr>
                <w:rFonts w:ascii="宋体" w:hAnsi="宋体"/>
                <w:sz w:val="18"/>
                <w:szCs w:val="18"/>
              </w:rPr>
            </w:pPr>
            <w:r>
              <w:rPr>
                <w:rFonts w:hint="eastAsia" w:ascii="宋体" w:hAnsi="宋体"/>
                <w:sz w:val="18"/>
                <w:szCs w:val="18"/>
              </w:rPr>
              <w:t>是</w:t>
            </w:r>
          </w:p>
        </w:tc>
        <w:tc>
          <w:tcPr>
            <w:tcW w:w="326" w:type="pct"/>
            <w:vAlign w:val="center"/>
          </w:tcPr>
          <w:p>
            <w:pPr>
              <w:spacing w:line="240" w:lineRule="auto"/>
              <w:jc w:val="center"/>
              <w:rPr>
                <w:rFonts w:ascii="宋体" w:hAnsi="宋体"/>
                <w:sz w:val="18"/>
                <w:szCs w:val="18"/>
              </w:rPr>
            </w:pPr>
            <w:r>
              <w:rPr>
                <w:rFonts w:hint="eastAsia" w:ascii="宋体" w:hAnsi="宋体"/>
                <w:sz w:val="18"/>
                <w:szCs w:val="18"/>
              </w:rPr>
              <w:t>否</w:t>
            </w: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Merge w:val="continue"/>
            <w:vAlign w:val="center"/>
          </w:tcPr>
          <w:p>
            <w:pPr>
              <w:spacing w:line="240" w:lineRule="auto"/>
              <w:jc w:val="center"/>
              <w:rPr>
                <w:rFonts w:ascii="宋体" w:hAnsi="宋体"/>
                <w:sz w:val="18"/>
                <w:szCs w:val="18"/>
              </w:rPr>
            </w:pPr>
          </w:p>
        </w:tc>
        <w:tc>
          <w:tcPr>
            <w:tcW w:w="431" w:type="pct"/>
            <w:vAlign w:val="center"/>
          </w:tcPr>
          <w:p>
            <w:pPr>
              <w:spacing w:line="240" w:lineRule="auto"/>
              <w:jc w:val="center"/>
              <w:rPr>
                <w:rFonts w:ascii="宋体" w:hAnsi="宋体"/>
                <w:sz w:val="18"/>
                <w:szCs w:val="18"/>
              </w:rPr>
            </w:pPr>
            <w:r>
              <w:rPr>
                <w:rFonts w:hint="eastAsia" w:ascii="宋体" w:hAnsi="宋体"/>
                <w:sz w:val="18"/>
                <w:szCs w:val="18"/>
              </w:rPr>
              <w:t>分值</w:t>
            </w:r>
          </w:p>
        </w:tc>
        <w:tc>
          <w:tcPr>
            <w:tcW w:w="313" w:type="pct"/>
            <w:vAlign w:val="center"/>
          </w:tcPr>
          <w:p>
            <w:pPr>
              <w:spacing w:line="240" w:lineRule="auto"/>
              <w:jc w:val="center"/>
              <w:rPr>
                <w:rFonts w:ascii="宋体" w:hAnsi="宋体"/>
                <w:sz w:val="18"/>
                <w:szCs w:val="18"/>
              </w:rPr>
            </w:pPr>
            <w:r>
              <w:rPr>
                <w:rFonts w:hint="eastAsia" w:ascii="宋体" w:hAnsi="宋体"/>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Align w:val="center"/>
          </w:tcPr>
          <w:p>
            <w:pPr>
              <w:spacing w:line="240" w:lineRule="auto"/>
              <w:jc w:val="center"/>
              <w:rPr>
                <w:rFonts w:ascii="Times New Roman" w:hAnsi="Times New Roman"/>
                <w:sz w:val="18"/>
                <w:szCs w:val="18"/>
              </w:rPr>
            </w:pPr>
            <w:r>
              <w:rPr>
                <w:rFonts w:ascii="Times New Roman" w:hAnsi="Times New Roman"/>
                <w:sz w:val="18"/>
                <w:szCs w:val="18"/>
              </w:rPr>
              <w:t>6.1.1</w:t>
            </w:r>
          </w:p>
        </w:tc>
        <w:tc>
          <w:tcPr>
            <w:tcW w:w="708" w:type="pct"/>
            <w:vAlign w:val="center"/>
          </w:tcPr>
          <w:p>
            <w:pPr>
              <w:spacing w:line="240" w:lineRule="auto"/>
              <w:jc w:val="center"/>
              <w:rPr>
                <w:rFonts w:ascii="宋体" w:hAnsi="宋体"/>
                <w:sz w:val="18"/>
                <w:szCs w:val="18"/>
              </w:rPr>
            </w:pPr>
            <w:r>
              <w:rPr>
                <w:rFonts w:hint="eastAsia" w:ascii="宋体" w:hAnsi="宋体"/>
                <w:sz w:val="18"/>
                <w:szCs w:val="18"/>
              </w:rPr>
              <w:t>管理模式</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sym w:font="Wingdings 2" w:char="F0A3"/>
            </w:r>
          </w:p>
        </w:tc>
        <w:tc>
          <w:tcPr>
            <w:tcW w:w="326" w:type="pct"/>
            <w:vAlign w:val="center"/>
          </w:tcPr>
          <w:p>
            <w:pPr>
              <w:spacing w:line="240" w:lineRule="auto"/>
              <w:jc w:val="center"/>
              <w:rPr>
                <w:rFonts w:ascii="宋体" w:hAnsi="宋体"/>
                <w:sz w:val="18"/>
                <w:szCs w:val="18"/>
              </w:rPr>
            </w:pPr>
            <w:r>
              <w:rPr>
                <w:rFonts w:hint="eastAsia" w:ascii="宋体" w:hAnsi="宋体"/>
                <w:sz w:val="18"/>
                <w:szCs w:val="18"/>
              </w:rPr>
              <w:sym w:font="Wingdings 2" w:char="F0A3"/>
            </w:r>
          </w:p>
        </w:tc>
        <w:tc>
          <w:tcPr>
            <w:tcW w:w="521" w:type="pct"/>
            <w:vMerge w:val="continue"/>
            <w:vAlign w:val="center"/>
          </w:tcPr>
          <w:p>
            <w:pPr>
              <w:spacing w:line="240" w:lineRule="auto"/>
              <w:jc w:val="center"/>
              <w:rPr>
                <w:rFonts w:ascii="宋体" w:hAnsi="宋体"/>
                <w:sz w:val="18"/>
                <w:szCs w:val="18"/>
              </w:rPr>
            </w:pPr>
          </w:p>
        </w:tc>
        <w:tc>
          <w:tcPr>
            <w:tcW w:w="523" w:type="pct"/>
            <w:vMerge w:val="restart"/>
            <w:vAlign w:val="center"/>
          </w:tcPr>
          <w:p>
            <w:pPr>
              <w:spacing w:line="240" w:lineRule="auto"/>
              <w:jc w:val="center"/>
              <w:rPr>
                <w:rFonts w:ascii="Times New Roman" w:hAnsi="Times New Roman"/>
                <w:sz w:val="18"/>
                <w:szCs w:val="18"/>
              </w:rPr>
            </w:pPr>
            <w:r>
              <w:rPr>
                <w:rFonts w:hint="eastAsia" w:ascii="宋体" w:hAnsi="宋体"/>
                <w:sz w:val="18"/>
                <w:szCs w:val="18"/>
              </w:rPr>
              <w:t>数据资源</w:t>
            </w: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数据同源</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1</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Align w:val="center"/>
          </w:tcPr>
          <w:p>
            <w:pPr>
              <w:spacing w:line="240" w:lineRule="auto"/>
              <w:jc w:val="center"/>
              <w:rPr>
                <w:rFonts w:ascii="Times New Roman" w:hAnsi="Times New Roman"/>
                <w:sz w:val="18"/>
                <w:szCs w:val="18"/>
              </w:rPr>
            </w:pPr>
            <w:r>
              <w:rPr>
                <w:rFonts w:ascii="Times New Roman" w:hAnsi="Times New Roman"/>
                <w:sz w:val="18"/>
                <w:szCs w:val="18"/>
              </w:rPr>
              <w:t>6.1.2</w:t>
            </w:r>
          </w:p>
        </w:tc>
        <w:tc>
          <w:tcPr>
            <w:tcW w:w="708" w:type="pct"/>
            <w:vAlign w:val="center"/>
          </w:tcPr>
          <w:p>
            <w:pPr>
              <w:spacing w:line="240" w:lineRule="auto"/>
              <w:jc w:val="center"/>
              <w:rPr>
                <w:rFonts w:ascii="宋体" w:hAnsi="宋体"/>
                <w:sz w:val="18"/>
                <w:szCs w:val="18"/>
              </w:rPr>
            </w:pPr>
            <w:r>
              <w:rPr>
                <w:rFonts w:hint="eastAsia" w:ascii="宋体" w:hAnsi="宋体"/>
                <w:sz w:val="18"/>
                <w:szCs w:val="18"/>
              </w:rPr>
              <w:t>策划方案</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sym w:font="Wingdings 2" w:char="F0A3"/>
            </w:r>
          </w:p>
        </w:tc>
        <w:tc>
          <w:tcPr>
            <w:tcW w:w="326" w:type="pct"/>
            <w:vAlign w:val="center"/>
          </w:tcPr>
          <w:p>
            <w:pPr>
              <w:spacing w:line="240" w:lineRule="auto"/>
              <w:jc w:val="center"/>
              <w:rPr>
                <w:rFonts w:ascii="宋体" w:hAnsi="宋体"/>
                <w:sz w:val="18"/>
                <w:szCs w:val="18"/>
              </w:rPr>
            </w:pPr>
            <w:r>
              <w:rPr>
                <w:rFonts w:hint="eastAsia" w:ascii="宋体" w:hAnsi="宋体"/>
                <w:sz w:val="18"/>
                <w:szCs w:val="18"/>
              </w:rPr>
              <w:sym w:font="Wingdings 2" w:char="F0A3"/>
            </w: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编码体系</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1</w:t>
            </w:r>
            <w:r>
              <w:rPr>
                <w:rFonts w:ascii="宋体" w:hAnsi="宋体"/>
                <w:sz w:val="18"/>
                <w:szCs w:val="18"/>
              </w:rPr>
              <w:t>.5</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1209" w:type="pct"/>
            <w:gridSpan w:val="2"/>
            <w:vAlign w:val="center"/>
          </w:tcPr>
          <w:p>
            <w:pPr>
              <w:spacing w:line="240" w:lineRule="auto"/>
              <w:jc w:val="center"/>
              <w:rPr>
                <w:rFonts w:ascii="宋体" w:hAnsi="宋体"/>
                <w:b/>
                <w:bCs/>
                <w:sz w:val="18"/>
                <w:szCs w:val="18"/>
              </w:rPr>
            </w:pPr>
            <w:r>
              <w:rPr>
                <w:rFonts w:hint="eastAsia" w:ascii="宋体" w:hAnsi="宋体"/>
                <w:b/>
                <w:bCs/>
                <w:sz w:val="18"/>
                <w:szCs w:val="18"/>
              </w:rPr>
              <w:t>组织与策划评分项</w:t>
            </w:r>
          </w:p>
        </w:tc>
        <w:tc>
          <w:tcPr>
            <w:tcW w:w="434" w:type="pct"/>
            <w:vAlign w:val="center"/>
          </w:tcPr>
          <w:p>
            <w:pPr>
              <w:spacing w:line="240" w:lineRule="auto"/>
              <w:jc w:val="center"/>
              <w:rPr>
                <w:rFonts w:ascii="宋体" w:hAnsi="宋体"/>
                <w:b/>
                <w:bCs/>
                <w:sz w:val="18"/>
                <w:szCs w:val="18"/>
              </w:rPr>
            </w:pPr>
            <w:r>
              <w:rPr>
                <w:rFonts w:hint="eastAsia" w:ascii="宋体" w:hAnsi="宋体"/>
                <w:b/>
                <w:bCs/>
                <w:sz w:val="18"/>
                <w:szCs w:val="18"/>
              </w:rPr>
              <w:t>总得分</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restart"/>
            <w:vAlign w:val="center"/>
          </w:tcPr>
          <w:p>
            <w:pPr>
              <w:spacing w:line="240" w:lineRule="auto"/>
              <w:jc w:val="center"/>
              <w:rPr>
                <w:rFonts w:ascii="宋体" w:hAnsi="宋体"/>
                <w:sz w:val="18"/>
                <w:szCs w:val="18"/>
              </w:rPr>
            </w:pPr>
            <w:r>
              <w:rPr>
                <w:rFonts w:hint="eastAsia" w:ascii="宋体" w:hAnsi="宋体"/>
                <w:sz w:val="18"/>
                <w:szCs w:val="18"/>
              </w:rPr>
              <w:t>数据驱动</w:t>
            </w: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数据传递</w:t>
            </w:r>
          </w:p>
        </w:tc>
        <w:tc>
          <w:tcPr>
            <w:tcW w:w="431" w:type="pct"/>
            <w:vAlign w:val="center"/>
          </w:tcPr>
          <w:p>
            <w:pPr>
              <w:spacing w:line="240" w:lineRule="auto"/>
              <w:jc w:val="center"/>
              <w:rPr>
                <w:rFonts w:ascii="宋体" w:hAnsi="宋体"/>
                <w:sz w:val="18"/>
                <w:szCs w:val="18"/>
              </w:rPr>
            </w:pPr>
            <w:r>
              <w:rPr>
                <w:rFonts w:ascii="宋体" w:hAnsi="宋体"/>
                <w:sz w:val="18"/>
                <w:szCs w:val="18"/>
              </w:rPr>
              <w:t>2</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525" w:type="pct"/>
            <w:vMerge w:val="continue"/>
            <w:vAlign w:val="center"/>
          </w:tcPr>
          <w:p>
            <w:pPr>
              <w:spacing w:line="240" w:lineRule="auto"/>
              <w:jc w:val="center"/>
              <w:rPr>
                <w:rFonts w:ascii="宋体" w:hAnsi="宋体"/>
                <w:sz w:val="18"/>
                <w:szCs w:val="18"/>
              </w:rPr>
            </w:pPr>
          </w:p>
        </w:tc>
        <w:tc>
          <w:tcPr>
            <w:tcW w:w="501" w:type="pct"/>
            <w:vMerge w:val="restart"/>
            <w:vAlign w:val="center"/>
          </w:tcPr>
          <w:p>
            <w:pPr>
              <w:spacing w:line="240" w:lineRule="auto"/>
              <w:jc w:val="center"/>
              <w:rPr>
                <w:rFonts w:ascii="宋体" w:hAnsi="宋体"/>
                <w:sz w:val="18"/>
                <w:szCs w:val="18"/>
              </w:rPr>
            </w:pPr>
            <w:r>
              <w:rPr>
                <w:rFonts w:hint="eastAsia" w:ascii="宋体" w:hAnsi="宋体"/>
                <w:sz w:val="18"/>
                <w:szCs w:val="18"/>
              </w:rPr>
              <w:t>评价指标</w:t>
            </w:r>
          </w:p>
        </w:tc>
        <w:tc>
          <w:tcPr>
            <w:tcW w:w="708" w:type="pct"/>
            <w:vMerge w:val="restart"/>
            <w:vAlign w:val="center"/>
          </w:tcPr>
          <w:p>
            <w:pPr>
              <w:spacing w:line="240" w:lineRule="auto"/>
              <w:jc w:val="center"/>
              <w:rPr>
                <w:rFonts w:ascii="宋体" w:hAnsi="宋体"/>
                <w:sz w:val="18"/>
                <w:szCs w:val="18"/>
              </w:rPr>
            </w:pPr>
            <w:r>
              <w:rPr>
                <w:rFonts w:hint="eastAsia" w:ascii="宋体" w:hAnsi="宋体"/>
                <w:sz w:val="18"/>
                <w:szCs w:val="18"/>
              </w:rPr>
              <w:t>评价模块</w:t>
            </w:r>
          </w:p>
        </w:tc>
        <w:tc>
          <w:tcPr>
            <w:tcW w:w="760" w:type="pct"/>
            <w:gridSpan w:val="2"/>
            <w:vAlign w:val="center"/>
          </w:tcPr>
          <w:p>
            <w:pPr>
              <w:spacing w:line="240" w:lineRule="auto"/>
              <w:jc w:val="center"/>
              <w:rPr>
                <w:rFonts w:ascii="宋体" w:hAnsi="宋体"/>
                <w:sz w:val="18"/>
                <w:szCs w:val="18"/>
              </w:rPr>
            </w:pPr>
            <w:r>
              <w:rPr>
                <w:rFonts w:hint="eastAsia" w:ascii="宋体" w:hAnsi="宋体"/>
                <w:sz w:val="18"/>
                <w:szCs w:val="18"/>
              </w:rPr>
              <w:t>得分情况</w:t>
            </w: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驱动设备</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1</w:t>
            </w:r>
            <w:r>
              <w:rPr>
                <w:rFonts w:ascii="宋体" w:hAnsi="宋体"/>
                <w:sz w:val="18"/>
                <w:szCs w:val="18"/>
              </w:rPr>
              <w:t>.5</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Merge w:val="continue"/>
            <w:vAlign w:val="center"/>
          </w:tcPr>
          <w:p>
            <w:pPr>
              <w:spacing w:line="240" w:lineRule="auto"/>
              <w:jc w:val="center"/>
              <w:rPr>
                <w:rFonts w:ascii="宋体" w:hAnsi="宋体"/>
                <w:sz w:val="18"/>
                <w:szCs w:val="18"/>
              </w:rPr>
            </w:pPr>
          </w:p>
        </w:tc>
        <w:tc>
          <w:tcPr>
            <w:tcW w:w="434" w:type="pct"/>
            <w:vAlign w:val="center"/>
          </w:tcPr>
          <w:p>
            <w:pPr>
              <w:spacing w:line="240" w:lineRule="auto"/>
              <w:jc w:val="center"/>
              <w:rPr>
                <w:rFonts w:ascii="宋体" w:hAnsi="宋体"/>
                <w:sz w:val="18"/>
                <w:szCs w:val="18"/>
              </w:rPr>
            </w:pPr>
            <w:r>
              <w:rPr>
                <w:rFonts w:hint="eastAsia" w:ascii="宋体" w:hAnsi="宋体"/>
                <w:sz w:val="18"/>
                <w:szCs w:val="18"/>
              </w:rPr>
              <w:t>分值</w:t>
            </w:r>
          </w:p>
        </w:tc>
        <w:tc>
          <w:tcPr>
            <w:tcW w:w="326" w:type="pct"/>
            <w:vAlign w:val="center"/>
          </w:tcPr>
          <w:p>
            <w:pPr>
              <w:spacing w:line="240" w:lineRule="auto"/>
              <w:jc w:val="center"/>
              <w:rPr>
                <w:rFonts w:ascii="宋体" w:hAnsi="宋体"/>
                <w:sz w:val="18"/>
                <w:szCs w:val="18"/>
              </w:rPr>
            </w:pPr>
            <w:r>
              <w:rPr>
                <w:rFonts w:hint="eastAsia" w:ascii="宋体" w:hAnsi="宋体"/>
                <w:sz w:val="18"/>
                <w:szCs w:val="18"/>
              </w:rPr>
              <w:t>得分</w:t>
            </w:r>
          </w:p>
        </w:tc>
        <w:tc>
          <w:tcPr>
            <w:tcW w:w="521" w:type="pct"/>
            <w:vMerge w:val="continue"/>
            <w:vAlign w:val="center"/>
          </w:tcPr>
          <w:p>
            <w:pPr>
              <w:spacing w:line="240" w:lineRule="auto"/>
              <w:jc w:val="center"/>
              <w:rPr>
                <w:rFonts w:ascii="宋体" w:hAnsi="宋体"/>
                <w:sz w:val="18"/>
                <w:szCs w:val="18"/>
              </w:rPr>
            </w:pPr>
          </w:p>
        </w:tc>
        <w:tc>
          <w:tcPr>
            <w:tcW w:w="523" w:type="pct"/>
            <w:vMerge w:val="restart"/>
            <w:vAlign w:val="center"/>
          </w:tcPr>
          <w:p>
            <w:pPr>
              <w:spacing w:line="240" w:lineRule="auto"/>
              <w:jc w:val="center"/>
              <w:rPr>
                <w:rFonts w:ascii="宋体" w:hAnsi="宋体"/>
                <w:sz w:val="18"/>
                <w:szCs w:val="18"/>
              </w:rPr>
            </w:pPr>
            <w:r>
              <w:rPr>
                <w:rFonts w:hint="eastAsia" w:ascii="宋体" w:hAnsi="宋体"/>
                <w:sz w:val="18"/>
                <w:szCs w:val="18"/>
              </w:rPr>
              <w:t>数字化生产管理</w:t>
            </w: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计划管理</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1</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restart"/>
            <w:vAlign w:val="center"/>
          </w:tcPr>
          <w:p>
            <w:pPr>
              <w:spacing w:line="240" w:lineRule="auto"/>
              <w:jc w:val="center"/>
              <w:rPr>
                <w:rFonts w:ascii="宋体" w:hAnsi="宋体"/>
                <w:sz w:val="18"/>
                <w:szCs w:val="18"/>
              </w:rPr>
            </w:pPr>
            <w:r>
              <w:rPr>
                <w:rFonts w:hint="eastAsia" w:ascii="宋体" w:hAnsi="宋体"/>
                <w:sz w:val="18"/>
                <w:szCs w:val="18"/>
              </w:rPr>
              <w:t>组织体系</w:t>
            </w:r>
          </w:p>
        </w:tc>
        <w:tc>
          <w:tcPr>
            <w:tcW w:w="708" w:type="pct"/>
            <w:vAlign w:val="center"/>
          </w:tcPr>
          <w:p>
            <w:pPr>
              <w:spacing w:line="240" w:lineRule="auto"/>
              <w:jc w:val="center"/>
              <w:rPr>
                <w:rFonts w:ascii="宋体" w:hAnsi="宋体"/>
                <w:sz w:val="18"/>
                <w:szCs w:val="18"/>
              </w:rPr>
            </w:pPr>
            <w:r>
              <w:rPr>
                <w:rFonts w:hint="eastAsia" w:ascii="宋体" w:hAnsi="宋体"/>
                <w:sz w:val="18"/>
                <w:szCs w:val="18"/>
              </w:rPr>
              <w:t>组织架构</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t>1</w:t>
            </w:r>
            <w:r>
              <w:rPr>
                <w:rFonts w:ascii="宋体" w:hAnsi="宋体"/>
                <w:sz w:val="18"/>
                <w:szCs w:val="18"/>
              </w:rPr>
              <w:t>0</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生产执行管理</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2</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Align w:val="center"/>
          </w:tcPr>
          <w:p>
            <w:pPr>
              <w:spacing w:line="240" w:lineRule="auto"/>
              <w:jc w:val="center"/>
              <w:rPr>
                <w:rFonts w:ascii="宋体" w:hAnsi="宋体"/>
                <w:sz w:val="18"/>
                <w:szCs w:val="18"/>
              </w:rPr>
            </w:pPr>
            <w:r>
              <w:rPr>
                <w:rFonts w:hint="eastAsia" w:ascii="宋体" w:hAnsi="宋体"/>
                <w:sz w:val="18"/>
                <w:szCs w:val="18"/>
              </w:rPr>
              <w:t>项目制度</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t>5</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质检管理</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1</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Align w:val="center"/>
          </w:tcPr>
          <w:p>
            <w:pPr>
              <w:spacing w:line="240" w:lineRule="auto"/>
              <w:jc w:val="center"/>
              <w:rPr>
                <w:rFonts w:ascii="宋体" w:hAnsi="宋体"/>
                <w:sz w:val="18"/>
                <w:szCs w:val="18"/>
              </w:rPr>
            </w:pPr>
            <w:r>
              <w:rPr>
                <w:rFonts w:hint="eastAsia" w:ascii="宋体" w:hAnsi="宋体"/>
                <w:sz w:val="18"/>
                <w:szCs w:val="18"/>
              </w:rPr>
              <w:t>运营机制</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t>2</w:t>
            </w:r>
            <w:r>
              <w:rPr>
                <w:rFonts w:ascii="宋体" w:hAnsi="宋体"/>
                <w:sz w:val="18"/>
                <w:szCs w:val="18"/>
              </w:rPr>
              <w:t>0</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物料管理</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0</w:t>
            </w:r>
            <w:r>
              <w:rPr>
                <w:rFonts w:ascii="宋体" w:hAnsi="宋体"/>
                <w:sz w:val="18"/>
                <w:szCs w:val="18"/>
              </w:rPr>
              <w:t>.5</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restart"/>
            <w:vAlign w:val="center"/>
          </w:tcPr>
          <w:p>
            <w:pPr>
              <w:spacing w:line="240" w:lineRule="auto"/>
              <w:jc w:val="center"/>
              <w:rPr>
                <w:rFonts w:ascii="宋体" w:hAnsi="宋体"/>
                <w:sz w:val="18"/>
                <w:szCs w:val="18"/>
              </w:rPr>
            </w:pPr>
            <w:r>
              <w:rPr>
                <w:rFonts w:hint="eastAsia" w:ascii="宋体" w:hAnsi="宋体"/>
                <w:sz w:val="18"/>
                <w:szCs w:val="18"/>
              </w:rPr>
              <w:t>整体策划</w:t>
            </w:r>
          </w:p>
        </w:tc>
        <w:tc>
          <w:tcPr>
            <w:tcW w:w="708" w:type="pct"/>
            <w:vAlign w:val="center"/>
          </w:tcPr>
          <w:p>
            <w:pPr>
              <w:spacing w:line="240" w:lineRule="auto"/>
              <w:jc w:val="center"/>
              <w:rPr>
                <w:rFonts w:ascii="宋体" w:hAnsi="宋体"/>
                <w:sz w:val="18"/>
                <w:szCs w:val="18"/>
              </w:rPr>
            </w:pPr>
            <w:r>
              <w:rPr>
                <w:rFonts w:hint="eastAsia" w:ascii="宋体" w:hAnsi="宋体"/>
                <w:sz w:val="18"/>
                <w:szCs w:val="18"/>
              </w:rPr>
              <w:t>总体规划</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t>1</w:t>
            </w:r>
            <w:r>
              <w:rPr>
                <w:rFonts w:ascii="宋体" w:hAnsi="宋体"/>
                <w:sz w:val="18"/>
                <w:szCs w:val="18"/>
              </w:rPr>
              <w:t>0</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物流管理</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0</w:t>
            </w:r>
            <w:r>
              <w:rPr>
                <w:rFonts w:ascii="宋体" w:hAnsi="宋体"/>
                <w:sz w:val="18"/>
                <w:szCs w:val="18"/>
              </w:rPr>
              <w:t>.5</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Align w:val="center"/>
          </w:tcPr>
          <w:p>
            <w:pPr>
              <w:spacing w:line="240" w:lineRule="auto"/>
              <w:jc w:val="center"/>
              <w:rPr>
                <w:rFonts w:ascii="宋体" w:hAnsi="宋体"/>
                <w:sz w:val="18"/>
                <w:szCs w:val="18"/>
              </w:rPr>
            </w:pPr>
            <w:r>
              <w:rPr>
                <w:rFonts w:hint="eastAsia" w:ascii="宋体" w:hAnsi="宋体"/>
                <w:sz w:val="18"/>
                <w:szCs w:val="18"/>
              </w:rPr>
              <w:t>B</w:t>
            </w:r>
            <w:r>
              <w:rPr>
                <w:rFonts w:ascii="宋体" w:hAnsi="宋体"/>
                <w:sz w:val="18"/>
                <w:szCs w:val="18"/>
              </w:rPr>
              <w:t>IM</w:t>
            </w:r>
            <w:r>
              <w:rPr>
                <w:rFonts w:hint="eastAsia" w:ascii="宋体" w:hAnsi="宋体"/>
                <w:sz w:val="18"/>
                <w:szCs w:val="18"/>
              </w:rPr>
              <w:t>应用</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t>5</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管理过程可视化</w:t>
            </w:r>
          </w:p>
        </w:tc>
        <w:tc>
          <w:tcPr>
            <w:tcW w:w="431" w:type="pct"/>
            <w:vAlign w:val="center"/>
          </w:tcPr>
          <w:p>
            <w:pPr>
              <w:spacing w:line="240" w:lineRule="auto"/>
              <w:jc w:val="center"/>
              <w:rPr>
                <w:rFonts w:ascii="宋体" w:hAnsi="宋体"/>
                <w:sz w:val="18"/>
                <w:szCs w:val="18"/>
              </w:rPr>
            </w:pPr>
            <w:r>
              <w:rPr>
                <w:rFonts w:ascii="宋体" w:hAnsi="宋体"/>
                <w:sz w:val="18"/>
                <w:szCs w:val="18"/>
              </w:rPr>
              <w:t>1</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Align w:val="center"/>
          </w:tcPr>
          <w:p>
            <w:pPr>
              <w:spacing w:line="240" w:lineRule="auto"/>
              <w:jc w:val="center"/>
              <w:rPr>
                <w:rFonts w:ascii="宋体" w:hAnsi="宋体"/>
                <w:sz w:val="18"/>
                <w:szCs w:val="18"/>
              </w:rPr>
            </w:pPr>
            <w:r>
              <w:rPr>
                <w:rFonts w:hint="eastAsia" w:ascii="宋体" w:hAnsi="宋体"/>
                <w:sz w:val="18"/>
                <w:szCs w:val="18"/>
              </w:rPr>
              <w:t>数字设计</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t>1</w:t>
            </w:r>
            <w:r>
              <w:rPr>
                <w:rFonts w:ascii="宋体" w:hAnsi="宋体"/>
                <w:sz w:val="18"/>
                <w:szCs w:val="18"/>
              </w:rPr>
              <w:t>0</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restart"/>
            <w:vAlign w:val="center"/>
          </w:tcPr>
          <w:p>
            <w:pPr>
              <w:spacing w:line="240" w:lineRule="auto"/>
              <w:jc w:val="center"/>
              <w:rPr>
                <w:rFonts w:ascii="宋体" w:hAnsi="宋体"/>
                <w:sz w:val="18"/>
                <w:szCs w:val="18"/>
              </w:rPr>
            </w:pPr>
            <w:r>
              <w:rPr>
                <w:rFonts w:hint="eastAsia" w:ascii="宋体" w:hAnsi="宋体"/>
                <w:sz w:val="18"/>
                <w:szCs w:val="18"/>
              </w:rPr>
              <w:t>智能装备</w:t>
            </w: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智能化生产设备</w:t>
            </w:r>
          </w:p>
        </w:tc>
        <w:tc>
          <w:tcPr>
            <w:tcW w:w="431" w:type="pct"/>
            <w:vAlign w:val="center"/>
          </w:tcPr>
          <w:p>
            <w:pPr>
              <w:spacing w:line="240" w:lineRule="auto"/>
              <w:jc w:val="center"/>
              <w:rPr>
                <w:rFonts w:ascii="宋体" w:hAnsi="宋体"/>
                <w:sz w:val="18"/>
                <w:szCs w:val="18"/>
              </w:rPr>
            </w:pPr>
            <w:r>
              <w:rPr>
                <w:rFonts w:ascii="宋体" w:hAnsi="宋体"/>
                <w:sz w:val="18"/>
                <w:szCs w:val="18"/>
              </w:rPr>
              <w:t>1</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Align w:val="center"/>
          </w:tcPr>
          <w:p>
            <w:pPr>
              <w:spacing w:line="240" w:lineRule="auto"/>
              <w:jc w:val="center"/>
              <w:rPr>
                <w:rFonts w:ascii="宋体" w:hAnsi="宋体"/>
                <w:sz w:val="18"/>
                <w:szCs w:val="18"/>
              </w:rPr>
            </w:pPr>
            <w:r>
              <w:rPr>
                <w:rFonts w:hint="eastAsia" w:ascii="宋体" w:hAnsi="宋体"/>
                <w:sz w:val="18"/>
                <w:szCs w:val="18"/>
              </w:rPr>
              <w:t>智能生产</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t>1</w:t>
            </w:r>
            <w:r>
              <w:rPr>
                <w:rFonts w:ascii="宋体" w:hAnsi="宋体"/>
                <w:sz w:val="18"/>
                <w:szCs w:val="18"/>
              </w:rPr>
              <w:t>0</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智能堆场装备</w:t>
            </w:r>
          </w:p>
        </w:tc>
        <w:tc>
          <w:tcPr>
            <w:tcW w:w="431" w:type="pct"/>
            <w:vAlign w:val="center"/>
          </w:tcPr>
          <w:p>
            <w:pPr>
              <w:spacing w:line="240" w:lineRule="auto"/>
              <w:jc w:val="center"/>
              <w:rPr>
                <w:rFonts w:ascii="宋体" w:hAnsi="宋体"/>
                <w:sz w:val="18"/>
                <w:szCs w:val="18"/>
              </w:rPr>
            </w:pPr>
            <w:r>
              <w:rPr>
                <w:rFonts w:ascii="宋体" w:hAnsi="宋体"/>
                <w:sz w:val="18"/>
                <w:szCs w:val="18"/>
              </w:rPr>
              <w:t>0.5</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Align w:val="center"/>
          </w:tcPr>
          <w:p>
            <w:pPr>
              <w:spacing w:line="240" w:lineRule="auto"/>
              <w:jc w:val="center"/>
              <w:rPr>
                <w:rFonts w:ascii="宋体" w:hAnsi="宋体"/>
                <w:sz w:val="18"/>
                <w:szCs w:val="18"/>
              </w:rPr>
            </w:pPr>
            <w:r>
              <w:rPr>
                <w:rFonts w:hint="eastAsia" w:ascii="宋体" w:hAnsi="宋体"/>
                <w:sz w:val="18"/>
                <w:szCs w:val="18"/>
              </w:rPr>
              <w:t>智能施工</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t>1</w:t>
            </w:r>
            <w:r>
              <w:rPr>
                <w:rFonts w:ascii="宋体" w:hAnsi="宋体"/>
                <w:sz w:val="18"/>
                <w:szCs w:val="18"/>
              </w:rPr>
              <w:t>8</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Align w:val="center"/>
          </w:tcPr>
          <w:p>
            <w:pPr>
              <w:spacing w:line="240" w:lineRule="auto"/>
              <w:jc w:val="center"/>
              <w:rPr>
                <w:rFonts w:ascii="宋体" w:hAnsi="宋体"/>
                <w:sz w:val="18"/>
                <w:szCs w:val="18"/>
              </w:rPr>
            </w:pPr>
            <w:r>
              <w:rPr>
                <w:rFonts w:hint="eastAsia" w:ascii="宋体" w:hAnsi="宋体"/>
                <w:sz w:val="18"/>
                <w:szCs w:val="18"/>
              </w:rPr>
              <w:t>数字化交付</w:t>
            </w: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交付内容及要求</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1</w:t>
            </w:r>
            <w:r>
              <w:rPr>
                <w:rFonts w:ascii="宋体" w:hAnsi="宋体"/>
                <w:sz w:val="18"/>
                <w:szCs w:val="18"/>
              </w:rPr>
              <w:t>.5</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Align w:val="center"/>
          </w:tcPr>
          <w:p>
            <w:pPr>
              <w:spacing w:line="240" w:lineRule="auto"/>
              <w:jc w:val="center"/>
              <w:rPr>
                <w:rFonts w:ascii="宋体" w:hAnsi="宋体"/>
                <w:sz w:val="18"/>
                <w:szCs w:val="18"/>
              </w:rPr>
            </w:pPr>
            <w:r>
              <w:rPr>
                <w:rFonts w:hint="eastAsia" w:ascii="宋体" w:hAnsi="宋体"/>
                <w:sz w:val="18"/>
                <w:szCs w:val="18"/>
              </w:rPr>
              <w:t>智慧运维</w:t>
            </w:r>
          </w:p>
        </w:tc>
        <w:tc>
          <w:tcPr>
            <w:tcW w:w="434" w:type="pct"/>
            <w:vAlign w:val="center"/>
          </w:tcPr>
          <w:p>
            <w:pPr>
              <w:spacing w:line="240" w:lineRule="auto"/>
              <w:jc w:val="center"/>
              <w:rPr>
                <w:rFonts w:ascii="宋体" w:hAnsi="宋体"/>
                <w:sz w:val="18"/>
                <w:szCs w:val="18"/>
              </w:rPr>
            </w:pPr>
            <w:r>
              <w:rPr>
                <w:rFonts w:ascii="宋体" w:hAnsi="宋体"/>
                <w:sz w:val="18"/>
                <w:szCs w:val="18"/>
              </w:rPr>
              <w:t>6</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1241" w:type="pct"/>
            <w:gridSpan w:val="3"/>
            <w:vAlign w:val="center"/>
          </w:tcPr>
          <w:p>
            <w:pPr>
              <w:spacing w:line="240" w:lineRule="auto"/>
              <w:jc w:val="center"/>
              <w:rPr>
                <w:rFonts w:ascii="宋体" w:hAnsi="宋体"/>
                <w:sz w:val="18"/>
                <w:szCs w:val="18"/>
              </w:rPr>
            </w:pPr>
            <w:r>
              <w:rPr>
                <w:rFonts w:hint="eastAsia" w:ascii="宋体" w:hAnsi="宋体"/>
                <w:b/>
                <w:bCs/>
                <w:sz w:val="18"/>
                <w:szCs w:val="18"/>
              </w:rPr>
              <w:t>智能施工评分项</w:t>
            </w:r>
          </w:p>
        </w:tc>
        <w:tc>
          <w:tcPr>
            <w:tcW w:w="431" w:type="pct"/>
            <w:vAlign w:val="center"/>
          </w:tcPr>
          <w:p>
            <w:pPr>
              <w:spacing w:line="240" w:lineRule="auto"/>
              <w:jc w:val="center"/>
              <w:rPr>
                <w:rFonts w:ascii="宋体" w:hAnsi="宋体"/>
                <w:sz w:val="18"/>
                <w:szCs w:val="18"/>
              </w:rPr>
            </w:pPr>
            <w:r>
              <w:rPr>
                <w:rFonts w:hint="eastAsia" w:ascii="宋体" w:hAnsi="宋体"/>
                <w:b/>
                <w:bCs/>
                <w:sz w:val="18"/>
                <w:szCs w:val="18"/>
              </w:rPr>
              <w:t>总得分</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Align w:val="center"/>
          </w:tcPr>
          <w:p>
            <w:pPr>
              <w:spacing w:line="240" w:lineRule="auto"/>
              <w:jc w:val="center"/>
              <w:rPr>
                <w:rFonts w:ascii="宋体" w:hAnsi="宋体"/>
                <w:sz w:val="18"/>
                <w:szCs w:val="18"/>
              </w:rPr>
            </w:pPr>
            <w:r>
              <w:rPr>
                <w:rFonts w:hint="eastAsia" w:ascii="宋体" w:hAnsi="宋体"/>
                <w:sz w:val="18"/>
                <w:szCs w:val="18"/>
              </w:rPr>
              <w:t>全过程数据协同</w:t>
            </w:r>
          </w:p>
        </w:tc>
        <w:tc>
          <w:tcPr>
            <w:tcW w:w="434" w:type="pct"/>
            <w:vAlign w:val="center"/>
          </w:tcPr>
          <w:p>
            <w:pPr>
              <w:spacing w:line="240" w:lineRule="auto"/>
              <w:jc w:val="center"/>
              <w:rPr>
                <w:rFonts w:ascii="宋体" w:hAnsi="宋体"/>
                <w:sz w:val="18"/>
                <w:szCs w:val="18"/>
              </w:rPr>
            </w:pPr>
            <w:r>
              <w:rPr>
                <w:rFonts w:ascii="宋体" w:hAnsi="宋体"/>
                <w:sz w:val="18"/>
                <w:szCs w:val="18"/>
              </w:rPr>
              <w:t>6</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restart"/>
            <w:vAlign w:val="center"/>
          </w:tcPr>
          <w:p>
            <w:pPr>
              <w:spacing w:line="240" w:lineRule="auto"/>
              <w:jc w:val="center"/>
              <w:rPr>
                <w:rFonts w:ascii="宋体" w:hAnsi="宋体"/>
                <w:sz w:val="18"/>
                <w:szCs w:val="18"/>
              </w:rPr>
            </w:pPr>
            <w:r>
              <w:rPr>
                <w:rFonts w:hint="eastAsia" w:ascii="宋体" w:hAnsi="宋体"/>
                <w:sz w:val="18"/>
                <w:szCs w:val="18"/>
              </w:rPr>
              <w:t>评价指标</w:t>
            </w:r>
          </w:p>
        </w:tc>
        <w:tc>
          <w:tcPr>
            <w:tcW w:w="718" w:type="pct"/>
            <w:gridSpan w:val="2"/>
            <w:vMerge w:val="restart"/>
            <w:vAlign w:val="center"/>
          </w:tcPr>
          <w:p>
            <w:pPr>
              <w:spacing w:line="240" w:lineRule="auto"/>
              <w:jc w:val="center"/>
              <w:rPr>
                <w:rFonts w:ascii="宋体" w:hAnsi="宋体"/>
                <w:sz w:val="18"/>
                <w:szCs w:val="18"/>
              </w:rPr>
            </w:pPr>
            <w:r>
              <w:rPr>
                <w:rFonts w:hint="eastAsia" w:ascii="宋体" w:hAnsi="宋体"/>
                <w:sz w:val="18"/>
                <w:szCs w:val="18"/>
              </w:rPr>
              <w:t>评价模块</w:t>
            </w:r>
          </w:p>
        </w:tc>
        <w:tc>
          <w:tcPr>
            <w:tcW w:w="744" w:type="pct"/>
            <w:gridSpan w:val="2"/>
            <w:vAlign w:val="center"/>
          </w:tcPr>
          <w:p>
            <w:pPr>
              <w:spacing w:line="240" w:lineRule="auto"/>
              <w:jc w:val="center"/>
              <w:rPr>
                <w:rFonts w:ascii="宋体" w:hAnsi="宋体"/>
                <w:sz w:val="18"/>
                <w:szCs w:val="18"/>
              </w:rPr>
            </w:pPr>
            <w:r>
              <w:rPr>
                <w:rFonts w:hint="eastAsia" w:ascii="宋体" w:hAnsi="宋体"/>
                <w:sz w:val="18"/>
                <w:szCs w:val="18"/>
              </w:rPr>
              <w:t>得分情况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restart"/>
            <w:vAlign w:val="center"/>
          </w:tcPr>
          <w:p>
            <w:pPr>
              <w:spacing w:line="240" w:lineRule="auto"/>
              <w:jc w:val="center"/>
              <w:rPr>
                <w:rFonts w:ascii="宋体" w:hAnsi="宋体"/>
                <w:sz w:val="18"/>
                <w:szCs w:val="18"/>
              </w:rPr>
            </w:pPr>
            <w:r>
              <w:rPr>
                <w:rFonts w:hint="eastAsia" w:ascii="宋体" w:hAnsi="宋体"/>
                <w:b/>
                <w:bCs/>
                <w:sz w:val="18"/>
                <w:szCs w:val="18"/>
              </w:rPr>
              <w:t>建造过程</w:t>
            </w:r>
          </w:p>
        </w:tc>
        <w:tc>
          <w:tcPr>
            <w:tcW w:w="1969" w:type="pct"/>
            <w:gridSpan w:val="4"/>
            <w:vAlign w:val="center"/>
          </w:tcPr>
          <w:p>
            <w:pPr>
              <w:spacing w:line="240" w:lineRule="auto"/>
              <w:jc w:val="center"/>
              <w:rPr>
                <w:rFonts w:ascii="宋体" w:hAnsi="宋体"/>
                <w:sz w:val="18"/>
                <w:szCs w:val="18"/>
              </w:rPr>
            </w:pPr>
            <w:r>
              <w:rPr>
                <w:rFonts w:hint="eastAsia" w:ascii="宋体" w:hAnsi="宋体"/>
                <w:b/>
                <w:bCs/>
                <w:sz w:val="18"/>
                <w:szCs w:val="18"/>
              </w:rPr>
              <w:t>基础项</w:t>
            </w: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Merge w:val="continue"/>
            <w:vAlign w:val="center"/>
          </w:tcPr>
          <w:p>
            <w:pPr>
              <w:spacing w:line="240" w:lineRule="auto"/>
              <w:jc w:val="center"/>
              <w:rPr>
                <w:rFonts w:ascii="宋体" w:hAnsi="宋体"/>
                <w:sz w:val="18"/>
                <w:szCs w:val="18"/>
              </w:rPr>
            </w:pPr>
          </w:p>
        </w:tc>
        <w:tc>
          <w:tcPr>
            <w:tcW w:w="431" w:type="pct"/>
            <w:vAlign w:val="center"/>
          </w:tcPr>
          <w:p>
            <w:pPr>
              <w:spacing w:line="240" w:lineRule="auto"/>
              <w:jc w:val="center"/>
              <w:rPr>
                <w:rFonts w:ascii="宋体" w:hAnsi="宋体"/>
                <w:sz w:val="18"/>
                <w:szCs w:val="18"/>
              </w:rPr>
            </w:pPr>
            <w:r>
              <w:rPr>
                <w:rFonts w:hint="eastAsia" w:ascii="宋体" w:hAnsi="宋体"/>
                <w:sz w:val="18"/>
                <w:szCs w:val="18"/>
              </w:rPr>
              <w:t>分值</w:t>
            </w:r>
          </w:p>
        </w:tc>
        <w:tc>
          <w:tcPr>
            <w:tcW w:w="313" w:type="pct"/>
            <w:vAlign w:val="center"/>
          </w:tcPr>
          <w:p>
            <w:pPr>
              <w:spacing w:line="240" w:lineRule="auto"/>
              <w:jc w:val="center"/>
              <w:rPr>
                <w:rFonts w:ascii="宋体" w:hAnsi="宋体"/>
                <w:sz w:val="18"/>
                <w:szCs w:val="18"/>
              </w:rPr>
            </w:pPr>
            <w:r>
              <w:rPr>
                <w:rFonts w:hint="eastAsia" w:ascii="宋体" w:hAnsi="宋体"/>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b/>
                <w:bCs/>
                <w:sz w:val="18"/>
                <w:szCs w:val="18"/>
              </w:rPr>
            </w:pPr>
          </w:p>
        </w:tc>
        <w:tc>
          <w:tcPr>
            <w:tcW w:w="501" w:type="pct"/>
            <w:vMerge w:val="restart"/>
            <w:vAlign w:val="center"/>
          </w:tcPr>
          <w:p>
            <w:pPr>
              <w:spacing w:line="240" w:lineRule="auto"/>
              <w:jc w:val="center"/>
              <w:rPr>
                <w:rFonts w:ascii="宋体" w:hAnsi="宋体"/>
                <w:b/>
                <w:bCs/>
                <w:sz w:val="18"/>
                <w:szCs w:val="18"/>
              </w:rPr>
            </w:pPr>
            <w:r>
              <w:rPr>
                <w:rFonts w:hint="eastAsia" w:ascii="宋体" w:hAnsi="宋体"/>
                <w:sz w:val="18"/>
                <w:szCs w:val="18"/>
              </w:rPr>
              <w:t>章节编号</w:t>
            </w:r>
          </w:p>
        </w:tc>
        <w:tc>
          <w:tcPr>
            <w:tcW w:w="708" w:type="pct"/>
            <w:vMerge w:val="restart"/>
            <w:vAlign w:val="center"/>
          </w:tcPr>
          <w:p>
            <w:pPr>
              <w:spacing w:line="240" w:lineRule="auto"/>
              <w:jc w:val="center"/>
              <w:rPr>
                <w:rFonts w:ascii="宋体" w:hAnsi="宋体"/>
                <w:b/>
                <w:bCs/>
                <w:sz w:val="18"/>
                <w:szCs w:val="18"/>
              </w:rPr>
            </w:pPr>
            <w:r>
              <w:rPr>
                <w:rFonts w:hint="eastAsia" w:ascii="宋体" w:hAnsi="宋体"/>
                <w:sz w:val="18"/>
                <w:szCs w:val="18"/>
              </w:rPr>
              <w:t>评价模块</w:t>
            </w:r>
          </w:p>
        </w:tc>
        <w:tc>
          <w:tcPr>
            <w:tcW w:w="760" w:type="pct"/>
            <w:gridSpan w:val="2"/>
            <w:vAlign w:val="center"/>
          </w:tcPr>
          <w:p>
            <w:pPr>
              <w:spacing w:line="240" w:lineRule="auto"/>
              <w:jc w:val="center"/>
              <w:rPr>
                <w:rFonts w:ascii="宋体" w:hAnsi="宋体"/>
                <w:b/>
                <w:bCs/>
                <w:sz w:val="18"/>
                <w:szCs w:val="18"/>
              </w:rPr>
            </w:pPr>
            <w:r>
              <w:rPr>
                <w:rFonts w:hint="eastAsia" w:ascii="宋体" w:hAnsi="宋体"/>
                <w:sz w:val="18"/>
                <w:szCs w:val="18"/>
              </w:rPr>
              <w:t>达标情况</w:t>
            </w:r>
          </w:p>
        </w:tc>
        <w:tc>
          <w:tcPr>
            <w:tcW w:w="521" w:type="pct"/>
            <w:vMerge w:val="continue"/>
            <w:vAlign w:val="center"/>
          </w:tcPr>
          <w:p>
            <w:pPr>
              <w:spacing w:line="240" w:lineRule="auto"/>
              <w:jc w:val="center"/>
              <w:rPr>
                <w:rFonts w:ascii="宋体" w:hAnsi="宋体"/>
                <w:sz w:val="18"/>
                <w:szCs w:val="18"/>
              </w:rPr>
            </w:pPr>
          </w:p>
        </w:tc>
        <w:tc>
          <w:tcPr>
            <w:tcW w:w="523" w:type="pct"/>
            <w:vMerge w:val="restart"/>
            <w:vAlign w:val="center"/>
          </w:tcPr>
          <w:p>
            <w:pPr>
              <w:spacing w:line="240" w:lineRule="auto"/>
              <w:jc w:val="center"/>
              <w:rPr>
                <w:rFonts w:ascii="宋体" w:hAnsi="宋体"/>
                <w:sz w:val="18"/>
                <w:szCs w:val="18"/>
              </w:rPr>
            </w:pPr>
            <w:r>
              <w:rPr>
                <w:rFonts w:hint="eastAsia" w:ascii="宋体" w:hAnsi="宋体"/>
                <w:sz w:val="18"/>
                <w:szCs w:val="18"/>
              </w:rPr>
              <w:t>数据资源</w:t>
            </w: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数据同源</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1</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Merge w:val="continue"/>
            <w:vAlign w:val="center"/>
          </w:tcPr>
          <w:p>
            <w:pPr>
              <w:spacing w:line="240" w:lineRule="auto"/>
              <w:jc w:val="center"/>
              <w:rPr>
                <w:rFonts w:ascii="宋体" w:hAnsi="宋体"/>
                <w:sz w:val="18"/>
                <w:szCs w:val="18"/>
              </w:rPr>
            </w:pPr>
          </w:p>
        </w:tc>
        <w:tc>
          <w:tcPr>
            <w:tcW w:w="434" w:type="pct"/>
            <w:vAlign w:val="center"/>
          </w:tcPr>
          <w:p>
            <w:pPr>
              <w:spacing w:line="240" w:lineRule="auto"/>
              <w:jc w:val="center"/>
              <w:rPr>
                <w:rFonts w:ascii="宋体" w:hAnsi="宋体"/>
                <w:sz w:val="18"/>
                <w:szCs w:val="18"/>
              </w:rPr>
            </w:pPr>
            <w:r>
              <w:rPr>
                <w:rFonts w:hint="eastAsia" w:ascii="宋体" w:hAnsi="宋体"/>
                <w:sz w:val="18"/>
                <w:szCs w:val="18"/>
              </w:rPr>
              <w:t>是</w:t>
            </w:r>
          </w:p>
        </w:tc>
        <w:tc>
          <w:tcPr>
            <w:tcW w:w="326" w:type="pct"/>
            <w:vAlign w:val="center"/>
          </w:tcPr>
          <w:p>
            <w:pPr>
              <w:spacing w:line="240" w:lineRule="auto"/>
              <w:jc w:val="center"/>
              <w:rPr>
                <w:rFonts w:ascii="宋体" w:hAnsi="宋体"/>
                <w:sz w:val="18"/>
                <w:szCs w:val="18"/>
              </w:rPr>
            </w:pPr>
            <w:r>
              <w:rPr>
                <w:rFonts w:hint="eastAsia" w:ascii="宋体" w:hAnsi="宋体"/>
                <w:sz w:val="18"/>
                <w:szCs w:val="18"/>
              </w:rPr>
              <w:t>否</w:t>
            </w: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深化设计</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1</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Align w:val="center"/>
          </w:tcPr>
          <w:p>
            <w:pPr>
              <w:spacing w:line="240" w:lineRule="auto"/>
              <w:jc w:val="center"/>
              <w:rPr>
                <w:rFonts w:ascii="宋体" w:hAnsi="宋体"/>
                <w:sz w:val="18"/>
                <w:szCs w:val="18"/>
              </w:rPr>
            </w:pPr>
            <w:r>
              <w:rPr>
                <w:rFonts w:ascii="Times New Roman" w:hAnsi="Times New Roman"/>
                <w:sz w:val="18"/>
                <w:szCs w:val="18"/>
              </w:rPr>
              <w:t>7.1.1</w:t>
            </w:r>
          </w:p>
        </w:tc>
        <w:tc>
          <w:tcPr>
            <w:tcW w:w="708" w:type="pct"/>
            <w:vAlign w:val="center"/>
          </w:tcPr>
          <w:p>
            <w:pPr>
              <w:spacing w:line="240" w:lineRule="auto"/>
              <w:jc w:val="center"/>
              <w:rPr>
                <w:rFonts w:ascii="宋体" w:hAnsi="宋体"/>
                <w:sz w:val="18"/>
                <w:szCs w:val="18"/>
              </w:rPr>
            </w:pPr>
            <w:r>
              <w:rPr>
                <w:rFonts w:hint="eastAsia" w:ascii="宋体" w:hAnsi="宋体"/>
                <w:sz w:val="18"/>
                <w:szCs w:val="18"/>
              </w:rPr>
              <w:t>政府文件</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sym w:font="Wingdings 2" w:char="F0A3"/>
            </w:r>
          </w:p>
        </w:tc>
        <w:tc>
          <w:tcPr>
            <w:tcW w:w="326" w:type="pct"/>
            <w:vAlign w:val="center"/>
          </w:tcPr>
          <w:p>
            <w:pPr>
              <w:spacing w:line="240" w:lineRule="auto"/>
              <w:jc w:val="center"/>
              <w:rPr>
                <w:rFonts w:ascii="宋体" w:hAnsi="宋体"/>
                <w:sz w:val="18"/>
                <w:szCs w:val="18"/>
              </w:rPr>
            </w:pPr>
            <w:r>
              <w:rPr>
                <w:rFonts w:hint="eastAsia" w:ascii="宋体" w:hAnsi="宋体"/>
                <w:sz w:val="18"/>
                <w:szCs w:val="18"/>
              </w:rPr>
              <w:sym w:font="Wingdings 2" w:char="F0A3"/>
            </w:r>
          </w:p>
        </w:tc>
        <w:tc>
          <w:tcPr>
            <w:tcW w:w="521" w:type="pct"/>
            <w:vMerge w:val="continue"/>
            <w:vAlign w:val="center"/>
          </w:tcPr>
          <w:p>
            <w:pPr>
              <w:spacing w:line="240" w:lineRule="auto"/>
              <w:jc w:val="center"/>
              <w:rPr>
                <w:rFonts w:ascii="宋体" w:hAnsi="宋体"/>
                <w:sz w:val="18"/>
                <w:szCs w:val="18"/>
              </w:rPr>
            </w:pPr>
          </w:p>
        </w:tc>
        <w:tc>
          <w:tcPr>
            <w:tcW w:w="523" w:type="pct"/>
            <w:vMerge w:val="restart"/>
            <w:vAlign w:val="center"/>
          </w:tcPr>
          <w:p>
            <w:pPr>
              <w:spacing w:line="240" w:lineRule="auto"/>
              <w:jc w:val="center"/>
              <w:rPr>
                <w:rFonts w:ascii="宋体" w:hAnsi="宋体"/>
                <w:sz w:val="18"/>
                <w:szCs w:val="18"/>
              </w:rPr>
            </w:pPr>
            <w:r>
              <w:rPr>
                <w:rFonts w:hint="eastAsia" w:ascii="宋体" w:hAnsi="宋体"/>
                <w:sz w:val="18"/>
                <w:szCs w:val="18"/>
              </w:rPr>
              <w:t>施工模拟</w:t>
            </w: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组织模拟与仿真</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2</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Align w:val="center"/>
          </w:tcPr>
          <w:p>
            <w:pPr>
              <w:spacing w:line="240" w:lineRule="auto"/>
              <w:jc w:val="center"/>
              <w:rPr>
                <w:rFonts w:ascii="宋体" w:hAnsi="宋体"/>
                <w:sz w:val="18"/>
                <w:szCs w:val="18"/>
              </w:rPr>
            </w:pPr>
            <w:r>
              <w:rPr>
                <w:rFonts w:ascii="Times New Roman" w:hAnsi="Times New Roman"/>
                <w:sz w:val="18"/>
                <w:szCs w:val="18"/>
              </w:rPr>
              <w:t>7.1.2</w:t>
            </w:r>
          </w:p>
        </w:tc>
        <w:tc>
          <w:tcPr>
            <w:tcW w:w="708" w:type="pct"/>
            <w:vAlign w:val="center"/>
          </w:tcPr>
          <w:p>
            <w:pPr>
              <w:spacing w:line="240" w:lineRule="auto"/>
              <w:jc w:val="center"/>
              <w:rPr>
                <w:rFonts w:ascii="宋体" w:hAnsi="宋体"/>
                <w:sz w:val="18"/>
                <w:szCs w:val="18"/>
              </w:rPr>
            </w:pPr>
            <w:r>
              <w:rPr>
                <w:rFonts w:hint="eastAsia" w:ascii="宋体" w:hAnsi="宋体"/>
                <w:sz w:val="18"/>
                <w:szCs w:val="18"/>
              </w:rPr>
              <w:t>装配率要求</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sym w:font="Wingdings 2" w:char="F0A3"/>
            </w:r>
          </w:p>
        </w:tc>
        <w:tc>
          <w:tcPr>
            <w:tcW w:w="326" w:type="pct"/>
            <w:vAlign w:val="center"/>
          </w:tcPr>
          <w:p>
            <w:pPr>
              <w:spacing w:line="240" w:lineRule="auto"/>
              <w:jc w:val="center"/>
              <w:rPr>
                <w:rFonts w:ascii="宋体" w:hAnsi="宋体"/>
                <w:sz w:val="18"/>
                <w:szCs w:val="18"/>
              </w:rPr>
            </w:pPr>
            <w:r>
              <w:rPr>
                <w:rFonts w:hint="eastAsia" w:ascii="宋体" w:hAnsi="宋体"/>
                <w:sz w:val="18"/>
                <w:szCs w:val="18"/>
              </w:rPr>
              <w:sym w:font="Wingdings 2" w:char="F0A3"/>
            </w: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工艺模拟与仿真</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2</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Align w:val="center"/>
          </w:tcPr>
          <w:p>
            <w:pPr>
              <w:spacing w:line="240" w:lineRule="auto"/>
              <w:jc w:val="center"/>
              <w:rPr>
                <w:rFonts w:ascii="宋体" w:hAnsi="宋体"/>
                <w:sz w:val="18"/>
                <w:szCs w:val="18"/>
              </w:rPr>
            </w:pPr>
            <w:r>
              <w:rPr>
                <w:rFonts w:ascii="Times New Roman" w:hAnsi="Times New Roman"/>
                <w:sz w:val="18"/>
                <w:szCs w:val="18"/>
              </w:rPr>
              <w:t>7.1.3</w:t>
            </w:r>
          </w:p>
        </w:tc>
        <w:tc>
          <w:tcPr>
            <w:tcW w:w="708" w:type="pct"/>
            <w:vAlign w:val="center"/>
          </w:tcPr>
          <w:p>
            <w:pPr>
              <w:spacing w:line="240" w:lineRule="auto"/>
              <w:jc w:val="center"/>
              <w:rPr>
                <w:rFonts w:ascii="宋体" w:hAnsi="宋体"/>
                <w:sz w:val="18"/>
                <w:szCs w:val="18"/>
              </w:rPr>
            </w:pPr>
            <w:r>
              <w:rPr>
                <w:rFonts w:hint="eastAsia" w:ascii="宋体" w:hAnsi="宋体"/>
                <w:sz w:val="18"/>
                <w:szCs w:val="18"/>
              </w:rPr>
              <w:t>生产企业要求</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sym w:font="Wingdings 2" w:char="F0A3"/>
            </w:r>
          </w:p>
        </w:tc>
        <w:tc>
          <w:tcPr>
            <w:tcW w:w="326" w:type="pct"/>
            <w:vAlign w:val="center"/>
          </w:tcPr>
          <w:p>
            <w:pPr>
              <w:spacing w:line="240" w:lineRule="auto"/>
              <w:jc w:val="center"/>
              <w:rPr>
                <w:rFonts w:ascii="宋体" w:hAnsi="宋体"/>
                <w:sz w:val="18"/>
                <w:szCs w:val="18"/>
              </w:rPr>
            </w:pPr>
            <w:r>
              <w:rPr>
                <w:rFonts w:hint="eastAsia" w:ascii="宋体" w:hAnsi="宋体"/>
                <w:sz w:val="18"/>
                <w:szCs w:val="18"/>
              </w:rPr>
              <w:sym w:font="Wingdings 2" w:char="F0A3"/>
            </w:r>
          </w:p>
        </w:tc>
        <w:tc>
          <w:tcPr>
            <w:tcW w:w="521" w:type="pct"/>
            <w:vMerge w:val="continue"/>
            <w:vAlign w:val="center"/>
          </w:tcPr>
          <w:p>
            <w:pPr>
              <w:spacing w:line="240" w:lineRule="auto"/>
              <w:jc w:val="center"/>
              <w:rPr>
                <w:rFonts w:ascii="宋体" w:hAnsi="宋体"/>
                <w:sz w:val="18"/>
                <w:szCs w:val="18"/>
              </w:rPr>
            </w:pPr>
          </w:p>
        </w:tc>
        <w:tc>
          <w:tcPr>
            <w:tcW w:w="523" w:type="pct"/>
            <w:vMerge w:val="restart"/>
            <w:vAlign w:val="center"/>
          </w:tcPr>
          <w:p>
            <w:pPr>
              <w:spacing w:line="240" w:lineRule="auto"/>
              <w:jc w:val="center"/>
              <w:rPr>
                <w:rFonts w:ascii="宋体" w:hAnsi="宋体"/>
                <w:sz w:val="18"/>
                <w:szCs w:val="18"/>
              </w:rPr>
            </w:pPr>
            <w:r>
              <w:rPr>
                <w:rFonts w:hint="eastAsia" w:ascii="宋体" w:hAnsi="宋体"/>
                <w:sz w:val="18"/>
                <w:szCs w:val="18"/>
              </w:rPr>
              <w:t>施工管理</w:t>
            </w:r>
          </w:p>
        </w:tc>
        <w:tc>
          <w:tcPr>
            <w:tcW w:w="212" w:type="pct"/>
            <w:vMerge w:val="restart"/>
            <w:vAlign w:val="center"/>
          </w:tcPr>
          <w:p>
            <w:pPr>
              <w:spacing w:line="240" w:lineRule="auto"/>
              <w:jc w:val="center"/>
              <w:rPr>
                <w:rFonts w:ascii="宋体" w:hAnsi="宋体"/>
                <w:sz w:val="18"/>
                <w:szCs w:val="18"/>
              </w:rPr>
            </w:pPr>
            <w:r>
              <w:rPr>
                <w:rFonts w:hint="eastAsia" w:ascii="宋体" w:hAnsi="宋体"/>
                <w:sz w:val="18"/>
                <w:szCs w:val="18"/>
              </w:rPr>
              <w:t>智慧工地</w:t>
            </w:r>
          </w:p>
        </w:tc>
        <w:tc>
          <w:tcPr>
            <w:tcW w:w="506" w:type="pct"/>
            <w:vAlign w:val="center"/>
          </w:tcPr>
          <w:p>
            <w:pPr>
              <w:spacing w:line="240" w:lineRule="auto"/>
              <w:jc w:val="center"/>
              <w:rPr>
                <w:rFonts w:ascii="宋体" w:hAnsi="宋体"/>
                <w:sz w:val="18"/>
                <w:szCs w:val="18"/>
              </w:rPr>
            </w:pPr>
            <w:r>
              <w:rPr>
                <w:rFonts w:hint="eastAsia" w:ascii="宋体" w:hAnsi="宋体"/>
                <w:sz w:val="18"/>
                <w:szCs w:val="18"/>
              </w:rPr>
              <w:t>人员管理</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1</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Align w:val="center"/>
          </w:tcPr>
          <w:p>
            <w:pPr>
              <w:spacing w:line="240" w:lineRule="auto"/>
              <w:jc w:val="center"/>
              <w:rPr>
                <w:rFonts w:ascii="宋体" w:hAnsi="宋体"/>
                <w:sz w:val="18"/>
                <w:szCs w:val="18"/>
              </w:rPr>
            </w:pPr>
            <w:r>
              <w:rPr>
                <w:rFonts w:ascii="Times New Roman" w:hAnsi="Times New Roman"/>
                <w:sz w:val="18"/>
                <w:szCs w:val="18"/>
              </w:rPr>
              <w:t>7.1.4</w:t>
            </w:r>
          </w:p>
        </w:tc>
        <w:tc>
          <w:tcPr>
            <w:tcW w:w="708" w:type="pct"/>
            <w:vAlign w:val="center"/>
          </w:tcPr>
          <w:p>
            <w:pPr>
              <w:spacing w:line="240" w:lineRule="auto"/>
              <w:jc w:val="center"/>
              <w:rPr>
                <w:rFonts w:ascii="宋体" w:hAnsi="宋体"/>
                <w:sz w:val="18"/>
                <w:szCs w:val="18"/>
              </w:rPr>
            </w:pPr>
            <w:r>
              <w:rPr>
                <w:rFonts w:hint="eastAsia" w:ascii="宋体" w:hAnsi="宋体"/>
                <w:sz w:val="18"/>
                <w:szCs w:val="18"/>
              </w:rPr>
              <w:t>施工组织设计要求</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sym w:font="Wingdings 2" w:char="F0A3"/>
            </w:r>
          </w:p>
        </w:tc>
        <w:tc>
          <w:tcPr>
            <w:tcW w:w="326" w:type="pct"/>
            <w:vAlign w:val="center"/>
          </w:tcPr>
          <w:p>
            <w:pPr>
              <w:spacing w:line="240" w:lineRule="auto"/>
              <w:jc w:val="center"/>
              <w:rPr>
                <w:rFonts w:ascii="宋体" w:hAnsi="宋体"/>
                <w:sz w:val="18"/>
                <w:szCs w:val="18"/>
              </w:rPr>
            </w:pPr>
            <w:r>
              <w:rPr>
                <w:rFonts w:hint="eastAsia" w:ascii="宋体" w:hAnsi="宋体"/>
                <w:sz w:val="18"/>
                <w:szCs w:val="18"/>
              </w:rPr>
              <w:sym w:font="Wingdings 2" w:char="F0A3"/>
            </w: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212" w:type="pct"/>
            <w:vMerge w:val="continue"/>
            <w:vAlign w:val="center"/>
          </w:tcPr>
          <w:p>
            <w:pPr>
              <w:spacing w:line="240" w:lineRule="auto"/>
              <w:jc w:val="center"/>
              <w:rPr>
                <w:rFonts w:ascii="宋体" w:hAnsi="宋体"/>
                <w:sz w:val="18"/>
                <w:szCs w:val="18"/>
              </w:rPr>
            </w:pPr>
          </w:p>
        </w:tc>
        <w:tc>
          <w:tcPr>
            <w:tcW w:w="506" w:type="pct"/>
            <w:vAlign w:val="center"/>
          </w:tcPr>
          <w:p>
            <w:pPr>
              <w:spacing w:line="240" w:lineRule="auto"/>
              <w:jc w:val="center"/>
              <w:rPr>
                <w:rFonts w:ascii="宋体" w:hAnsi="宋体"/>
                <w:sz w:val="18"/>
                <w:szCs w:val="18"/>
              </w:rPr>
            </w:pPr>
            <w:r>
              <w:rPr>
                <w:rFonts w:hint="eastAsia" w:ascii="宋体" w:hAnsi="宋体"/>
                <w:sz w:val="18"/>
                <w:szCs w:val="18"/>
              </w:rPr>
              <w:t>机械管理</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1</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Align w:val="center"/>
          </w:tcPr>
          <w:p>
            <w:pPr>
              <w:spacing w:line="240" w:lineRule="auto"/>
              <w:jc w:val="center"/>
              <w:rPr>
                <w:rFonts w:ascii="宋体" w:hAnsi="宋体"/>
                <w:sz w:val="18"/>
                <w:szCs w:val="18"/>
              </w:rPr>
            </w:pPr>
            <w:r>
              <w:rPr>
                <w:rFonts w:ascii="Times New Roman" w:hAnsi="Times New Roman"/>
                <w:sz w:val="18"/>
                <w:szCs w:val="18"/>
              </w:rPr>
              <w:t>7.1.5</w:t>
            </w:r>
          </w:p>
        </w:tc>
        <w:tc>
          <w:tcPr>
            <w:tcW w:w="708" w:type="pct"/>
            <w:vAlign w:val="center"/>
          </w:tcPr>
          <w:p>
            <w:pPr>
              <w:spacing w:line="240" w:lineRule="auto"/>
              <w:jc w:val="center"/>
              <w:rPr>
                <w:rFonts w:ascii="宋体" w:hAnsi="宋体"/>
                <w:sz w:val="18"/>
                <w:szCs w:val="18"/>
              </w:rPr>
            </w:pPr>
            <w:r>
              <w:rPr>
                <w:rFonts w:hint="eastAsia" w:ascii="宋体" w:hAnsi="宋体"/>
                <w:sz w:val="18"/>
                <w:szCs w:val="18"/>
              </w:rPr>
              <w:t>B</w:t>
            </w:r>
            <w:r>
              <w:rPr>
                <w:rFonts w:ascii="宋体" w:hAnsi="宋体"/>
                <w:sz w:val="18"/>
                <w:szCs w:val="18"/>
              </w:rPr>
              <w:t>IM</w:t>
            </w:r>
            <w:r>
              <w:rPr>
                <w:rFonts w:hint="eastAsia" w:ascii="宋体" w:hAnsi="宋体"/>
                <w:sz w:val="18"/>
                <w:szCs w:val="18"/>
              </w:rPr>
              <w:t>模型要求</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sym w:font="Wingdings 2" w:char="F0A3"/>
            </w:r>
          </w:p>
        </w:tc>
        <w:tc>
          <w:tcPr>
            <w:tcW w:w="326" w:type="pct"/>
            <w:vAlign w:val="center"/>
          </w:tcPr>
          <w:p>
            <w:pPr>
              <w:spacing w:line="240" w:lineRule="auto"/>
              <w:jc w:val="center"/>
              <w:rPr>
                <w:rFonts w:ascii="宋体" w:hAnsi="宋体"/>
                <w:sz w:val="18"/>
                <w:szCs w:val="18"/>
              </w:rPr>
            </w:pPr>
            <w:r>
              <w:rPr>
                <w:rFonts w:hint="eastAsia" w:ascii="宋体" w:hAnsi="宋体"/>
                <w:sz w:val="18"/>
                <w:szCs w:val="18"/>
              </w:rPr>
              <w:sym w:font="Wingdings 2" w:char="F0A3"/>
            </w: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212" w:type="pct"/>
            <w:vMerge w:val="continue"/>
            <w:vAlign w:val="center"/>
          </w:tcPr>
          <w:p>
            <w:pPr>
              <w:spacing w:line="240" w:lineRule="auto"/>
              <w:jc w:val="center"/>
              <w:rPr>
                <w:rFonts w:ascii="宋体" w:hAnsi="宋体"/>
                <w:sz w:val="18"/>
                <w:szCs w:val="18"/>
              </w:rPr>
            </w:pPr>
          </w:p>
        </w:tc>
        <w:tc>
          <w:tcPr>
            <w:tcW w:w="506" w:type="pct"/>
            <w:vAlign w:val="center"/>
          </w:tcPr>
          <w:p>
            <w:pPr>
              <w:spacing w:line="240" w:lineRule="auto"/>
              <w:jc w:val="center"/>
              <w:rPr>
                <w:rFonts w:ascii="宋体" w:hAnsi="宋体"/>
                <w:sz w:val="18"/>
                <w:szCs w:val="18"/>
              </w:rPr>
            </w:pPr>
            <w:r>
              <w:rPr>
                <w:rFonts w:hint="eastAsia" w:ascii="宋体" w:hAnsi="宋体"/>
                <w:sz w:val="18"/>
                <w:szCs w:val="18"/>
              </w:rPr>
              <w:t>物料管理</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1</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Align w:val="center"/>
          </w:tcPr>
          <w:p>
            <w:pPr>
              <w:spacing w:line="240" w:lineRule="auto"/>
              <w:jc w:val="center"/>
              <w:rPr>
                <w:rFonts w:ascii="宋体" w:hAnsi="宋体"/>
                <w:sz w:val="18"/>
                <w:szCs w:val="18"/>
              </w:rPr>
            </w:pPr>
            <w:r>
              <w:rPr>
                <w:rFonts w:ascii="Times New Roman" w:hAnsi="Times New Roman"/>
                <w:sz w:val="18"/>
                <w:szCs w:val="18"/>
              </w:rPr>
              <w:t>7.1.6</w:t>
            </w:r>
          </w:p>
        </w:tc>
        <w:tc>
          <w:tcPr>
            <w:tcW w:w="708" w:type="pct"/>
            <w:vAlign w:val="center"/>
          </w:tcPr>
          <w:p>
            <w:pPr>
              <w:spacing w:line="240" w:lineRule="auto"/>
              <w:jc w:val="center"/>
              <w:rPr>
                <w:rFonts w:ascii="宋体" w:hAnsi="宋体"/>
                <w:sz w:val="18"/>
                <w:szCs w:val="18"/>
              </w:rPr>
            </w:pPr>
            <w:r>
              <w:rPr>
                <w:rFonts w:hint="eastAsia" w:ascii="宋体" w:hAnsi="宋体"/>
                <w:sz w:val="18"/>
                <w:szCs w:val="18"/>
              </w:rPr>
              <w:t>机器人及智能装备</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sym w:font="Wingdings 2" w:char="F0A3"/>
            </w:r>
          </w:p>
        </w:tc>
        <w:tc>
          <w:tcPr>
            <w:tcW w:w="326" w:type="pct"/>
            <w:vAlign w:val="center"/>
          </w:tcPr>
          <w:p>
            <w:pPr>
              <w:spacing w:line="240" w:lineRule="auto"/>
              <w:jc w:val="center"/>
              <w:rPr>
                <w:rFonts w:ascii="宋体" w:hAnsi="宋体"/>
                <w:sz w:val="18"/>
                <w:szCs w:val="18"/>
              </w:rPr>
            </w:pPr>
            <w:r>
              <w:rPr>
                <w:rFonts w:hint="eastAsia" w:ascii="宋体" w:hAnsi="宋体"/>
                <w:sz w:val="18"/>
                <w:szCs w:val="18"/>
              </w:rPr>
              <w:sym w:font="Wingdings 2" w:char="F0A3"/>
            </w: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212" w:type="pct"/>
            <w:vMerge w:val="continue"/>
            <w:vAlign w:val="center"/>
          </w:tcPr>
          <w:p>
            <w:pPr>
              <w:spacing w:line="240" w:lineRule="auto"/>
              <w:jc w:val="center"/>
              <w:rPr>
                <w:rFonts w:ascii="宋体" w:hAnsi="宋体"/>
                <w:sz w:val="18"/>
                <w:szCs w:val="18"/>
              </w:rPr>
            </w:pPr>
          </w:p>
        </w:tc>
        <w:tc>
          <w:tcPr>
            <w:tcW w:w="506" w:type="pct"/>
            <w:vAlign w:val="center"/>
          </w:tcPr>
          <w:p>
            <w:pPr>
              <w:spacing w:line="240" w:lineRule="auto"/>
              <w:jc w:val="center"/>
              <w:rPr>
                <w:rFonts w:ascii="宋体" w:hAnsi="宋体"/>
                <w:sz w:val="18"/>
                <w:szCs w:val="18"/>
              </w:rPr>
            </w:pPr>
            <w:r>
              <w:rPr>
                <w:rFonts w:hint="eastAsia" w:ascii="宋体" w:hAnsi="宋体"/>
                <w:sz w:val="18"/>
                <w:szCs w:val="18"/>
              </w:rPr>
              <w:t>安全管理</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1</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1209" w:type="pct"/>
            <w:gridSpan w:val="2"/>
            <w:vAlign w:val="center"/>
          </w:tcPr>
          <w:p>
            <w:pPr>
              <w:spacing w:line="240" w:lineRule="auto"/>
              <w:jc w:val="center"/>
              <w:rPr>
                <w:rFonts w:ascii="宋体" w:hAnsi="宋体"/>
                <w:sz w:val="18"/>
                <w:szCs w:val="18"/>
              </w:rPr>
            </w:pPr>
            <w:r>
              <w:rPr>
                <w:rFonts w:hint="eastAsia" w:ascii="宋体" w:hAnsi="宋体"/>
                <w:b/>
                <w:bCs/>
                <w:sz w:val="18"/>
                <w:szCs w:val="18"/>
              </w:rPr>
              <w:t>数字设计评分项</w:t>
            </w:r>
          </w:p>
        </w:tc>
        <w:tc>
          <w:tcPr>
            <w:tcW w:w="434" w:type="pct"/>
            <w:vAlign w:val="center"/>
          </w:tcPr>
          <w:p>
            <w:pPr>
              <w:spacing w:line="240" w:lineRule="auto"/>
              <w:jc w:val="center"/>
              <w:rPr>
                <w:rFonts w:ascii="宋体" w:hAnsi="宋体"/>
                <w:sz w:val="18"/>
                <w:szCs w:val="18"/>
              </w:rPr>
            </w:pPr>
            <w:r>
              <w:rPr>
                <w:rFonts w:hint="eastAsia" w:ascii="宋体" w:hAnsi="宋体"/>
                <w:b/>
                <w:bCs/>
                <w:sz w:val="18"/>
                <w:szCs w:val="18"/>
              </w:rPr>
              <w:t>总得分</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212" w:type="pct"/>
            <w:vMerge w:val="continue"/>
            <w:vAlign w:val="center"/>
          </w:tcPr>
          <w:p>
            <w:pPr>
              <w:spacing w:line="240" w:lineRule="auto"/>
              <w:jc w:val="center"/>
              <w:rPr>
                <w:rFonts w:ascii="宋体" w:hAnsi="宋体"/>
                <w:sz w:val="18"/>
                <w:szCs w:val="18"/>
              </w:rPr>
            </w:pPr>
          </w:p>
        </w:tc>
        <w:tc>
          <w:tcPr>
            <w:tcW w:w="506" w:type="pct"/>
            <w:vAlign w:val="center"/>
          </w:tcPr>
          <w:p>
            <w:pPr>
              <w:spacing w:line="240" w:lineRule="auto"/>
              <w:jc w:val="center"/>
              <w:rPr>
                <w:rFonts w:ascii="宋体" w:hAnsi="宋体"/>
                <w:sz w:val="18"/>
                <w:szCs w:val="18"/>
              </w:rPr>
            </w:pPr>
            <w:r>
              <w:rPr>
                <w:rFonts w:hint="eastAsia" w:ascii="宋体" w:hAnsi="宋体"/>
                <w:sz w:val="18"/>
                <w:szCs w:val="18"/>
              </w:rPr>
              <w:t>环境管理</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1</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restart"/>
            <w:vAlign w:val="center"/>
          </w:tcPr>
          <w:p>
            <w:pPr>
              <w:spacing w:line="240" w:lineRule="auto"/>
              <w:jc w:val="center"/>
              <w:rPr>
                <w:rFonts w:ascii="宋体" w:hAnsi="宋体"/>
                <w:sz w:val="18"/>
                <w:szCs w:val="18"/>
              </w:rPr>
            </w:pPr>
            <w:r>
              <w:rPr>
                <w:rFonts w:hint="eastAsia" w:ascii="宋体" w:hAnsi="宋体"/>
                <w:sz w:val="18"/>
                <w:szCs w:val="18"/>
              </w:rPr>
              <w:t>评价指标</w:t>
            </w:r>
          </w:p>
        </w:tc>
        <w:tc>
          <w:tcPr>
            <w:tcW w:w="708" w:type="pct"/>
            <w:vMerge w:val="restart"/>
            <w:vAlign w:val="center"/>
          </w:tcPr>
          <w:p>
            <w:pPr>
              <w:spacing w:line="240" w:lineRule="auto"/>
              <w:jc w:val="center"/>
              <w:rPr>
                <w:rFonts w:ascii="宋体" w:hAnsi="宋体"/>
                <w:sz w:val="18"/>
                <w:szCs w:val="18"/>
              </w:rPr>
            </w:pPr>
            <w:r>
              <w:rPr>
                <w:rFonts w:hint="eastAsia" w:ascii="宋体" w:hAnsi="宋体"/>
                <w:sz w:val="18"/>
                <w:szCs w:val="18"/>
              </w:rPr>
              <w:t>评价模块</w:t>
            </w:r>
          </w:p>
        </w:tc>
        <w:tc>
          <w:tcPr>
            <w:tcW w:w="760" w:type="pct"/>
            <w:gridSpan w:val="2"/>
            <w:vAlign w:val="center"/>
          </w:tcPr>
          <w:p>
            <w:pPr>
              <w:spacing w:line="240" w:lineRule="auto"/>
              <w:jc w:val="center"/>
              <w:rPr>
                <w:rFonts w:ascii="宋体" w:hAnsi="宋体"/>
                <w:sz w:val="18"/>
                <w:szCs w:val="18"/>
              </w:rPr>
            </w:pPr>
            <w:r>
              <w:rPr>
                <w:rFonts w:hint="eastAsia" w:ascii="宋体" w:hAnsi="宋体"/>
                <w:sz w:val="18"/>
                <w:szCs w:val="18"/>
              </w:rPr>
              <w:t>得分情况</w:t>
            </w: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212" w:type="pct"/>
            <w:vMerge w:val="continue"/>
            <w:vAlign w:val="center"/>
          </w:tcPr>
          <w:p>
            <w:pPr>
              <w:spacing w:line="240" w:lineRule="auto"/>
              <w:jc w:val="center"/>
              <w:rPr>
                <w:rFonts w:ascii="宋体" w:hAnsi="宋体"/>
                <w:sz w:val="18"/>
                <w:szCs w:val="18"/>
              </w:rPr>
            </w:pPr>
          </w:p>
        </w:tc>
        <w:tc>
          <w:tcPr>
            <w:tcW w:w="506" w:type="pct"/>
            <w:vAlign w:val="center"/>
          </w:tcPr>
          <w:p>
            <w:pPr>
              <w:spacing w:line="240" w:lineRule="auto"/>
              <w:jc w:val="center"/>
              <w:rPr>
                <w:rFonts w:ascii="宋体" w:hAnsi="宋体"/>
                <w:sz w:val="18"/>
                <w:szCs w:val="18"/>
              </w:rPr>
            </w:pPr>
            <w:r>
              <w:rPr>
                <w:rFonts w:hint="eastAsia" w:ascii="宋体" w:hAnsi="宋体"/>
                <w:sz w:val="18"/>
                <w:szCs w:val="18"/>
              </w:rPr>
              <w:t>能耗管理</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1</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b/>
                <w:bCs/>
                <w:sz w:val="18"/>
                <w:szCs w:val="18"/>
              </w:rPr>
            </w:pPr>
          </w:p>
        </w:tc>
        <w:tc>
          <w:tcPr>
            <w:tcW w:w="708" w:type="pct"/>
            <w:vMerge w:val="continue"/>
            <w:vAlign w:val="center"/>
          </w:tcPr>
          <w:p>
            <w:pPr>
              <w:spacing w:line="240" w:lineRule="auto"/>
              <w:jc w:val="center"/>
              <w:rPr>
                <w:rFonts w:ascii="宋体" w:hAnsi="宋体"/>
                <w:b/>
                <w:bCs/>
                <w:sz w:val="18"/>
                <w:szCs w:val="18"/>
              </w:rPr>
            </w:pPr>
          </w:p>
        </w:tc>
        <w:tc>
          <w:tcPr>
            <w:tcW w:w="434" w:type="pct"/>
            <w:vAlign w:val="center"/>
          </w:tcPr>
          <w:p>
            <w:pPr>
              <w:spacing w:line="240" w:lineRule="auto"/>
              <w:jc w:val="center"/>
              <w:rPr>
                <w:rFonts w:ascii="宋体" w:hAnsi="宋体"/>
                <w:b/>
                <w:bCs/>
                <w:sz w:val="18"/>
                <w:szCs w:val="18"/>
              </w:rPr>
            </w:pPr>
            <w:r>
              <w:rPr>
                <w:rFonts w:hint="eastAsia" w:ascii="宋体" w:hAnsi="宋体"/>
                <w:sz w:val="18"/>
                <w:szCs w:val="18"/>
              </w:rPr>
              <w:t>分值</w:t>
            </w:r>
          </w:p>
        </w:tc>
        <w:tc>
          <w:tcPr>
            <w:tcW w:w="326" w:type="pct"/>
            <w:vAlign w:val="center"/>
          </w:tcPr>
          <w:p>
            <w:pPr>
              <w:spacing w:line="240" w:lineRule="auto"/>
              <w:jc w:val="center"/>
              <w:rPr>
                <w:rFonts w:ascii="宋体" w:hAnsi="宋体"/>
                <w:sz w:val="18"/>
                <w:szCs w:val="18"/>
              </w:rPr>
            </w:pPr>
            <w:r>
              <w:rPr>
                <w:rFonts w:hint="eastAsia" w:ascii="宋体" w:hAnsi="宋体"/>
                <w:sz w:val="18"/>
                <w:szCs w:val="18"/>
              </w:rPr>
              <w:t>得分</w:t>
            </w: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212" w:type="pct"/>
            <w:vMerge w:val="restart"/>
            <w:vAlign w:val="center"/>
          </w:tcPr>
          <w:p>
            <w:pPr>
              <w:spacing w:line="240" w:lineRule="auto"/>
              <w:jc w:val="center"/>
              <w:rPr>
                <w:rFonts w:ascii="宋体" w:hAnsi="宋体"/>
                <w:sz w:val="18"/>
                <w:szCs w:val="18"/>
              </w:rPr>
            </w:pPr>
            <w:r>
              <w:rPr>
                <w:rFonts w:hint="eastAsia" w:ascii="宋体" w:hAnsi="宋体"/>
                <w:sz w:val="18"/>
                <w:szCs w:val="18"/>
              </w:rPr>
              <w:t>数字化管理</w:t>
            </w:r>
          </w:p>
        </w:tc>
        <w:tc>
          <w:tcPr>
            <w:tcW w:w="506" w:type="pct"/>
            <w:vAlign w:val="center"/>
          </w:tcPr>
          <w:p>
            <w:pPr>
              <w:spacing w:line="240" w:lineRule="auto"/>
              <w:jc w:val="center"/>
              <w:rPr>
                <w:rFonts w:ascii="宋体" w:hAnsi="宋体"/>
                <w:sz w:val="18"/>
                <w:szCs w:val="18"/>
              </w:rPr>
            </w:pPr>
            <w:r>
              <w:rPr>
                <w:rFonts w:hint="eastAsia" w:ascii="宋体" w:hAnsi="宋体"/>
                <w:sz w:val="18"/>
                <w:szCs w:val="18"/>
              </w:rPr>
              <w:t>进度管理</w:t>
            </w:r>
          </w:p>
        </w:tc>
        <w:tc>
          <w:tcPr>
            <w:tcW w:w="431" w:type="pct"/>
            <w:vAlign w:val="center"/>
          </w:tcPr>
          <w:p>
            <w:pPr>
              <w:spacing w:line="240" w:lineRule="auto"/>
              <w:jc w:val="center"/>
              <w:rPr>
                <w:rFonts w:ascii="宋体" w:hAnsi="宋体"/>
                <w:sz w:val="18"/>
                <w:szCs w:val="18"/>
              </w:rPr>
            </w:pPr>
            <w:r>
              <w:rPr>
                <w:rFonts w:ascii="宋体" w:hAnsi="宋体"/>
                <w:sz w:val="18"/>
                <w:szCs w:val="18"/>
              </w:rPr>
              <w:t>2</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restart"/>
            <w:vAlign w:val="center"/>
          </w:tcPr>
          <w:p>
            <w:pPr>
              <w:spacing w:line="240" w:lineRule="auto"/>
              <w:jc w:val="center"/>
              <w:rPr>
                <w:rFonts w:ascii="宋体" w:hAnsi="宋体"/>
                <w:sz w:val="18"/>
                <w:szCs w:val="18"/>
              </w:rPr>
            </w:pPr>
            <w:r>
              <w:rPr>
                <w:rFonts w:hint="eastAsia" w:ascii="宋体" w:hAnsi="宋体"/>
                <w:sz w:val="18"/>
                <w:szCs w:val="18"/>
              </w:rPr>
              <w:t>标准化与集成化设计</w:t>
            </w:r>
          </w:p>
        </w:tc>
        <w:tc>
          <w:tcPr>
            <w:tcW w:w="708" w:type="pct"/>
            <w:vAlign w:val="center"/>
          </w:tcPr>
          <w:p>
            <w:pPr>
              <w:spacing w:line="240" w:lineRule="auto"/>
              <w:jc w:val="center"/>
              <w:rPr>
                <w:rFonts w:ascii="宋体" w:hAnsi="宋体"/>
                <w:sz w:val="18"/>
                <w:szCs w:val="18"/>
              </w:rPr>
            </w:pPr>
            <w:r>
              <w:rPr>
                <w:rFonts w:hint="eastAsia" w:ascii="宋体" w:hAnsi="宋体"/>
                <w:sz w:val="18"/>
                <w:szCs w:val="18"/>
              </w:rPr>
              <w:t>建筑设计标准化</w:t>
            </w:r>
          </w:p>
        </w:tc>
        <w:tc>
          <w:tcPr>
            <w:tcW w:w="434" w:type="pct"/>
            <w:vAlign w:val="center"/>
          </w:tcPr>
          <w:p>
            <w:pPr>
              <w:spacing w:line="240" w:lineRule="auto"/>
              <w:jc w:val="center"/>
              <w:rPr>
                <w:rFonts w:ascii="宋体" w:hAnsi="宋体"/>
                <w:sz w:val="18"/>
                <w:szCs w:val="18"/>
              </w:rPr>
            </w:pPr>
            <w:r>
              <w:rPr>
                <w:rFonts w:ascii="宋体" w:hAnsi="宋体"/>
                <w:sz w:val="18"/>
                <w:szCs w:val="18"/>
              </w:rPr>
              <w:t>1.5</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212" w:type="pct"/>
            <w:vMerge w:val="continue"/>
            <w:vAlign w:val="center"/>
          </w:tcPr>
          <w:p>
            <w:pPr>
              <w:spacing w:line="240" w:lineRule="auto"/>
              <w:jc w:val="center"/>
              <w:rPr>
                <w:rFonts w:ascii="宋体" w:hAnsi="宋体"/>
                <w:sz w:val="18"/>
                <w:szCs w:val="18"/>
              </w:rPr>
            </w:pPr>
          </w:p>
        </w:tc>
        <w:tc>
          <w:tcPr>
            <w:tcW w:w="506" w:type="pct"/>
            <w:vAlign w:val="center"/>
          </w:tcPr>
          <w:p>
            <w:pPr>
              <w:spacing w:line="240" w:lineRule="auto"/>
              <w:jc w:val="center"/>
              <w:rPr>
                <w:rFonts w:ascii="宋体" w:hAnsi="宋体"/>
                <w:sz w:val="18"/>
                <w:szCs w:val="18"/>
              </w:rPr>
            </w:pPr>
            <w:r>
              <w:rPr>
                <w:rFonts w:hint="eastAsia" w:ascii="宋体" w:hAnsi="宋体"/>
                <w:sz w:val="18"/>
                <w:szCs w:val="18"/>
              </w:rPr>
              <w:t>成本管理</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2</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Align w:val="center"/>
          </w:tcPr>
          <w:p>
            <w:pPr>
              <w:spacing w:line="240" w:lineRule="auto"/>
              <w:jc w:val="center"/>
              <w:rPr>
                <w:rFonts w:ascii="宋体" w:hAnsi="宋体"/>
                <w:sz w:val="18"/>
                <w:szCs w:val="18"/>
              </w:rPr>
            </w:pPr>
            <w:r>
              <w:rPr>
                <w:rFonts w:hint="eastAsia" w:ascii="宋体" w:hAnsi="宋体"/>
                <w:sz w:val="18"/>
                <w:szCs w:val="18"/>
              </w:rPr>
              <w:t>建筑系统集成化</w:t>
            </w:r>
          </w:p>
        </w:tc>
        <w:tc>
          <w:tcPr>
            <w:tcW w:w="434" w:type="pct"/>
            <w:vAlign w:val="center"/>
          </w:tcPr>
          <w:p>
            <w:pPr>
              <w:spacing w:line="240" w:lineRule="auto"/>
              <w:jc w:val="center"/>
              <w:rPr>
                <w:rFonts w:ascii="宋体" w:hAnsi="宋体"/>
                <w:sz w:val="18"/>
                <w:szCs w:val="18"/>
              </w:rPr>
            </w:pPr>
            <w:r>
              <w:rPr>
                <w:rFonts w:ascii="宋体" w:hAnsi="宋体"/>
                <w:sz w:val="18"/>
                <w:szCs w:val="18"/>
              </w:rPr>
              <w:t>2.5</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212" w:type="pct"/>
            <w:vMerge w:val="continue"/>
            <w:vAlign w:val="center"/>
          </w:tcPr>
          <w:p>
            <w:pPr>
              <w:spacing w:line="240" w:lineRule="auto"/>
              <w:jc w:val="center"/>
              <w:rPr>
                <w:rFonts w:ascii="宋体" w:hAnsi="宋体"/>
                <w:sz w:val="18"/>
                <w:szCs w:val="18"/>
              </w:rPr>
            </w:pPr>
          </w:p>
        </w:tc>
        <w:tc>
          <w:tcPr>
            <w:tcW w:w="506" w:type="pct"/>
            <w:vAlign w:val="center"/>
          </w:tcPr>
          <w:p>
            <w:pPr>
              <w:spacing w:line="240" w:lineRule="auto"/>
              <w:jc w:val="center"/>
              <w:rPr>
                <w:rFonts w:ascii="宋体" w:hAnsi="宋体"/>
                <w:sz w:val="18"/>
                <w:szCs w:val="18"/>
              </w:rPr>
            </w:pPr>
            <w:r>
              <w:rPr>
                <w:rFonts w:hint="eastAsia" w:ascii="宋体" w:hAnsi="宋体"/>
                <w:sz w:val="18"/>
                <w:szCs w:val="18"/>
              </w:rPr>
              <w:t>质量管理</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2</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restart"/>
            <w:vAlign w:val="center"/>
          </w:tcPr>
          <w:p>
            <w:pPr>
              <w:spacing w:line="240" w:lineRule="auto"/>
              <w:jc w:val="center"/>
              <w:rPr>
                <w:rFonts w:ascii="宋体" w:hAnsi="宋体"/>
                <w:sz w:val="18"/>
                <w:szCs w:val="18"/>
              </w:rPr>
            </w:pPr>
            <w:r>
              <w:rPr>
                <w:rFonts w:ascii="宋体" w:hAnsi="宋体"/>
                <w:sz w:val="18"/>
                <w:szCs w:val="18"/>
              </w:rPr>
              <w:t>“</w:t>
            </w:r>
            <w:r>
              <w:rPr>
                <w:rFonts w:hint="eastAsia" w:ascii="宋体" w:hAnsi="宋体"/>
                <w:sz w:val="18"/>
                <w:szCs w:val="18"/>
              </w:rPr>
              <w:t>BIM+</w:t>
            </w:r>
            <w:r>
              <w:rPr>
                <w:rFonts w:ascii="宋体" w:hAnsi="宋体"/>
                <w:sz w:val="18"/>
                <w:szCs w:val="18"/>
              </w:rPr>
              <w:t>”</w:t>
            </w:r>
            <w:r>
              <w:rPr>
                <w:rFonts w:hint="eastAsia" w:ascii="宋体" w:hAnsi="宋体"/>
                <w:sz w:val="18"/>
                <w:szCs w:val="18"/>
              </w:rPr>
              <w:t>数字一体化设计</w:t>
            </w:r>
          </w:p>
          <w:p>
            <w:pPr>
              <w:spacing w:line="240" w:lineRule="auto"/>
              <w:jc w:val="center"/>
              <w:rPr>
                <w:rFonts w:ascii="宋体" w:hAnsi="宋体"/>
                <w:sz w:val="18"/>
                <w:szCs w:val="18"/>
              </w:rPr>
            </w:pPr>
          </w:p>
        </w:tc>
        <w:tc>
          <w:tcPr>
            <w:tcW w:w="708" w:type="pct"/>
            <w:vAlign w:val="center"/>
          </w:tcPr>
          <w:p>
            <w:pPr>
              <w:spacing w:line="240" w:lineRule="auto"/>
              <w:jc w:val="center"/>
              <w:rPr>
                <w:rFonts w:ascii="宋体" w:hAnsi="宋体"/>
                <w:sz w:val="18"/>
                <w:szCs w:val="18"/>
              </w:rPr>
            </w:pPr>
            <w:r>
              <w:rPr>
                <w:rFonts w:hint="eastAsia" w:ascii="宋体" w:hAnsi="宋体"/>
                <w:sz w:val="18"/>
                <w:szCs w:val="18"/>
              </w:rPr>
              <w:t>协同设计</w:t>
            </w:r>
          </w:p>
        </w:tc>
        <w:tc>
          <w:tcPr>
            <w:tcW w:w="434" w:type="pct"/>
            <w:vAlign w:val="center"/>
          </w:tcPr>
          <w:p>
            <w:pPr>
              <w:spacing w:line="240" w:lineRule="auto"/>
              <w:jc w:val="center"/>
              <w:rPr>
                <w:rFonts w:ascii="宋体" w:hAnsi="宋体"/>
                <w:sz w:val="18"/>
                <w:szCs w:val="18"/>
              </w:rPr>
            </w:pPr>
            <w:r>
              <w:rPr>
                <w:rFonts w:ascii="宋体" w:hAnsi="宋体"/>
                <w:sz w:val="18"/>
                <w:szCs w:val="18"/>
              </w:rPr>
              <w:t>3.5</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212" w:type="pct"/>
            <w:vMerge w:val="continue"/>
            <w:vAlign w:val="center"/>
          </w:tcPr>
          <w:p>
            <w:pPr>
              <w:spacing w:line="240" w:lineRule="auto"/>
              <w:jc w:val="center"/>
              <w:rPr>
                <w:rFonts w:ascii="宋体" w:hAnsi="宋体"/>
                <w:sz w:val="18"/>
                <w:szCs w:val="18"/>
              </w:rPr>
            </w:pPr>
          </w:p>
        </w:tc>
        <w:tc>
          <w:tcPr>
            <w:tcW w:w="506" w:type="pct"/>
            <w:vAlign w:val="center"/>
          </w:tcPr>
          <w:p>
            <w:pPr>
              <w:spacing w:line="240" w:lineRule="auto"/>
              <w:jc w:val="center"/>
              <w:rPr>
                <w:rFonts w:ascii="宋体" w:hAnsi="宋体"/>
                <w:sz w:val="18"/>
                <w:szCs w:val="18"/>
              </w:rPr>
            </w:pPr>
            <w:r>
              <w:rPr>
                <w:rFonts w:hint="eastAsia" w:ascii="宋体" w:hAnsi="宋体"/>
                <w:sz w:val="18"/>
                <w:szCs w:val="18"/>
              </w:rPr>
              <w:t>供应链管理</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2</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Align w:val="center"/>
          </w:tcPr>
          <w:p>
            <w:pPr>
              <w:spacing w:line="240" w:lineRule="auto"/>
              <w:jc w:val="center"/>
              <w:rPr>
                <w:rFonts w:ascii="宋体" w:hAnsi="宋体"/>
                <w:sz w:val="18"/>
                <w:szCs w:val="18"/>
              </w:rPr>
            </w:pPr>
            <w:r>
              <w:rPr>
                <w:rFonts w:hint="eastAsia" w:ascii="宋体" w:hAnsi="宋体"/>
                <w:sz w:val="18"/>
                <w:szCs w:val="18"/>
              </w:rPr>
              <w:t>辅助设计</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t>3</w:t>
            </w:r>
            <w:r>
              <w:rPr>
                <w:rFonts w:ascii="宋体" w:hAnsi="宋体"/>
                <w:sz w:val="18"/>
                <w:szCs w:val="18"/>
              </w:rPr>
              <w:t>.5</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212" w:type="pct"/>
            <w:vMerge w:val="continue"/>
            <w:vAlign w:val="center"/>
          </w:tcPr>
          <w:p>
            <w:pPr>
              <w:spacing w:line="240" w:lineRule="auto"/>
              <w:jc w:val="center"/>
              <w:rPr>
                <w:rFonts w:ascii="宋体" w:hAnsi="宋体"/>
                <w:sz w:val="18"/>
                <w:szCs w:val="18"/>
              </w:rPr>
            </w:pPr>
          </w:p>
        </w:tc>
        <w:tc>
          <w:tcPr>
            <w:tcW w:w="506" w:type="pct"/>
            <w:vAlign w:val="center"/>
          </w:tcPr>
          <w:p>
            <w:pPr>
              <w:spacing w:line="240" w:lineRule="auto"/>
              <w:jc w:val="center"/>
              <w:rPr>
                <w:rFonts w:ascii="宋体" w:hAnsi="宋体"/>
                <w:sz w:val="18"/>
                <w:szCs w:val="18"/>
              </w:rPr>
            </w:pPr>
            <w:r>
              <w:rPr>
                <w:rFonts w:hint="eastAsia" w:ascii="宋体" w:hAnsi="宋体"/>
                <w:sz w:val="18"/>
                <w:szCs w:val="18"/>
              </w:rPr>
              <w:t>智能检测</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1</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Align w:val="center"/>
          </w:tcPr>
          <w:p>
            <w:pPr>
              <w:spacing w:line="240" w:lineRule="auto"/>
              <w:jc w:val="center"/>
              <w:rPr>
                <w:rFonts w:ascii="宋体" w:hAnsi="宋体"/>
                <w:sz w:val="18"/>
                <w:szCs w:val="18"/>
              </w:rPr>
            </w:pPr>
            <w:r>
              <w:rPr>
                <w:rFonts w:hint="eastAsia" w:ascii="宋体" w:hAnsi="宋体"/>
                <w:sz w:val="18"/>
                <w:szCs w:val="18"/>
              </w:rPr>
              <w:t>深化设计</w:t>
            </w:r>
          </w:p>
        </w:tc>
        <w:tc>
          <w:tcPr>
            <w:tcW w:w="434" w:type="pct"/>
            <w:vAlign w:val="center"/>
          </w:tcPr>
          <w:p>
            <w:pPr>
              <w:spacing w:line="240" w:lineRule="auto"/>
              <w:jc w:val="center"/>
              <w:rPr>
                <w:rFonts w:ascii="宋体" w:hAnsi="宋体"/>
                <w:sz w:val="18"/>
                <w:szCs w:val="18"/>
              </w:rPr>
            </w:pPr>
            <w:r>
              <w:rPr>
                <w:rFonts w:ascii="宋体" w:hAnsi="宋体"/>
                <w:sz w:val="18"/>
                <w:szCs w:val="18"/>
              </w:rPr>
              <w:t>1.5</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212" w:type="pct"/>
            <w:vMerge w:val="continue"/>
            <w:vAlign w:val="center"/>
          </w:tcPr>
          <w:p>
            <w:pPr>
              <w:spacing w:line="240" w:lineRule="auto"/>
              <w:jc w:val="center"/>
              <w:rPr>
                <w:rFonts w:ascii="宋体" w:hAnsi="宋体"/>
                <w:sz w:val="18"/>
                <w:szCs w:val="18"/>
              </w:rPr>
            </w:pPr>
          </w:p>
        </w:tc>
        <w:tc>
          <w:tcPr>
            <w:tcW w:w="506" w:type="pct"/>
            <w:vMerge w:val="restart"/>
            <w:vAlign w:val="center"/>
          </w:tcPr>
          <w:p>
            <w:pPr>
              <w:spacing w:line="240" w:lineRule="auto"/>
              <w:jc w:val="center"/>
              <w:rPr>
                <w:rFonts w:ascii="宋体" w:hAnsi="宋体"/>
                <w:sz w:val="18"/>
                <w:szCs w:val="18"/>
              </w:rPr>
            </w:pPr>
            <w:r>
              <w:rPr>
                <w:rFonts w:hint="eastAsia" w:ascii="宋体" w:hAnsi="宋体"/>
                <w:sz w:val="18"/>
                <w:szCs w:val="18"/>
              </w:rPr>
              <w:t>管理可视化</w:t>
            </w:r>
          </w:p>
        </w:tc>
        <w:tc>
          <w:tcPr>
            <w:tcW w:w="431" w:type="pct"/>
            <w:vMerge w:val="restart"/>
            <w:vAlign w:val="center"/>
          </w:tcPr>
          <w:p>
            <w:pPr>
              <w:spacing w:line="240" w:lineRule="auto"/>
              <w:jc w:val="center"/>
              <w:rPr>
                <w:rFonts w:ascii="宋体" w:hAnsi="宋体"/>
                <w:sz w:val="18"/>
                <w:szCs w:val="18"/>
              </w:rPr>
            </w:pPr>
            <w:r>
              <w:rPr>
                <w:rFonts w:hint="eastAsia" w:ascii="宋体" w:hAnsi="宋体"/>
                <w:sz w:val="18"/>
                <w:szCs w:val="18"/>
              </w:rPr>
              <w:t>1</w:t>
            </w:r>
          </w:p>
        </w:tc>
        <w:tc>
          <w:tcPr>
            <w:tcW w:w="313" w:type="pct"/>
            <w:vMerge w:val="restar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Align w:val="center"/>
          </w:tcPr>
          <w:p>
            <w:pPr>
              <w:spacing w:line="240" w:lineRule="auto"/>
              <w:jc w:val="center"/>
              <w:rPr>
                <w:rFonts w:ascii="宋体" w:hAnsi="宋体"/>
                <w:sz w:val="18"/>
                <w:szCs w:val="18"/>
              </w:rPr>
            </w:pPr>
            <w:r>
              <w:rPr>
                <w:rFonts w:hint="eastAsia" w:ascii="宋体" w:hAnsi="宋体"/>
                <w:sz w:val="18"/>
                <w:szCs w:val="18"/>
              </w:rPr>
              <w:t>辅助审查</w:t>
            </w:r>
          </w:p>
        </w:tc>
        <w:tc>
          <w:tcPr>
            <w:tcW w:w="434" w:type="pct"/>
            <w:vAlign w:val="center"/>
          </w:tcPr>
          <w:p>
            <w:pPr>
              <w:spacing w:line="240" w:lineRule="auto"/>
              <w:jc w:val="center"/>
              <w:rPr>
                <w:rFonts w:ascii="宋体" w:hAnsi="宋体"/>
                <w:sz w:val="18"/>
                <w:szCs w:val="18"/>
              </w:rPr>
            </w:pPr>
            <w:r>
              <w:rPr>
                <w:rFonts w:ascii="宋体" w:hAnsi="宋体"/>
                <w:sz w:val="18"/>
                <w:szCs w:val="18"/>
              </w:rPr>
              <w:t>1.5</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212" w:type="pct"/>
            <w:vMerge w:val="continue"/>
            <w:vAlign w:val="center"/>
          </w:tcPr>
          <w:p>
            <w:pPr>
              <w:spacing w:line="240" w:lineRule="auto"/>
              <w:jc w:val="center"/>
              <w:rPr>
                <w:rFonts w:ascii="宋体" w:hAnsi="宋体"/>
                <w:sz w:val="18"/>
                <w:szCs w:val="18"/>
              </w:rPr>
            </w:pPr>
          </w:p>
        </w:tc>
        <w:tc>
          <w:tcPr>
            <w:tcW w:w="506" w:type="pct"/>
            <w:vMerge w:val="continue"/>
            <w:vAlign w:val="center"/>
          </w:tcPr>
          <w:p>
            <w:pPr>
              <w:spacing w:line="240" w:lineRule="auto"/>
              <w:jc w:val="center"/>
              <w:rPr>
                <w:rFonts w:ascii="宋体" w:hAnsi="宋体"/>
                <w:sz w:val="18"/>
                <w:szCs w:val="18"/>
              </w:rPr>
            </w:pPr>
          </w:p>
        </w:tc>
        <w:tc>
          <w:tcPr>
            <w:tcW w:w="431" w:type="pct"/>
            <w:vMerge w:val="continue"/>
            <w:vAlign w:val="center"/>
          </w:tcPr>
          <w:p>
            <w:pPr>
              <w:spacing w:line="240" w:lineRule="auto"/>
              <w:jc w:val="center"/>
              <w:rPr>
                <w:rFonts w:ascii="宋体" w:hAnsi="宋体"/>
                <w:sz w:val="18"/>
                <w:szCs w:val="18"/>
              </w:rPr>
            </w:pPr>
          </w:p>
        </w:tc>
        <w:tc>
          <w:tcPr>
            <w:tcW w:w="313" w:type="pct"/>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525" w:type="pct"/>
            <w:vMerge w:val="continue"/>
            <w:vAlign w:val="center"/>
          </w:tcPr>
          <w:p>
            <w:pPr>
              <w:spacing w:line="240" w:lineRule="auto"/>
              <w:jc w:val="center"/>
              <w:rPr>
                <w:rFonts w:ascii="宋体" w:hAnsi="宋体"/>
                <w:sz w:val="18"/>
                <w:szCs w:val="18"/>
              </w:rPr>
            </w:pPr>
          </w:p>
        </w:tc>
        <w:tc>
          <w:tcPr>
            <w:tcW w:w="501" w:type="pct"/>
            <w:vMerge w:val="restart"/>
            <w:vAlign w:val="center"/>
          </w:tcPr>
          <w:p>
            <w:pPr>
              <w:spacing w:line="240" w:lineRule="auto"/>
              <w:jc w:val="center"/>
              <w:rPr>
                <w:rFonts w:ascii="宋体" w:hAnsi="宋体"/>
                <w:sz w:val="18"/>
                <w:szCs w:val="18"/>
              </w:rPr>
            </w:pPr>
            <w:r>
              <w:rPr>
                <w:rFonts w:hint="eastAsia" w:ascii="宋体" w:hAnsi="宋体"/>
                <w:sz w:val="18"/>
                <w:szCs w:val="18"/>
              </w:rPr>
              <w:t>数据管理</w:t>
            </w:r>
          </w:p>
        </w:tc>
        <w:tc>
          <w:tcPr>
            <w:tcW w:w="708" w:type="pct"/>
            <w:vMerge w:val="restart"/>
            <w:vAlign w:val="center"/>
          </w:tcPr>
          <w:p>
            <w:pPr>
              <w:spacing w:line="240" w:lineRule="auto"/>
              <w:jc w:val="center"/>
              <w:rPr>
                <w:rFonts w:ascii="宋体" w:hAnsi="宋体"/>
                <w:sz w:val="18"/>
                <w:szCs w:val="18"/>
              </w:rPr>
            </w:pPr>
            <w:r>
              <w:rPr>
                <w:rFonts w:hint="eastAsia" w:ascii="宋体" w:hAnsi="宋体"/>
                <w:sz w:val="18"/>
                <w:szCs w:val="18"/>
              </w:rPr>
              <w:t>软件应用</w:t>
            </w:r>
          </w:p>
        </w:tc>
        <w:tc>
          <w:tcPr>
            <w:tcW w:w="434" w:type="pct"/>
            <w:vMerge w:val="restart"/>
            <w:vAlign w:val="center"/>
          </w:tcPr>
          <w:p>
            <w:pPr>
              <w:spacing w:line="240" w:lineRule="auto"/>
              <w:jc w:val="center"/>
              <w:rPr>
                <w:rFonts w:ascii="宋体" w:hAnsi="宋体"/>
                <w:sz w:val="18"/>
                <w:szCs w:val="18"/>
              </w:rPr>
            </w:pPr>
            <w:r>
              <w:rPr>
                <w:rFonts w:ascii="宋体" w:hAnsi="宋体"/>
                <w:sz w:val="18"/>
                <w:szCs w:val="18"/>
              </w:rPr>
              <w:t>1</w:t>
            </w:r>
          </w:p>
        </w:tc>
        <w:tc>
          <w:tcPr>
            <w:tcW w:w="326" w:type="pct"/>
            <w:vMerge w:val="restar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restart"/>
            <w:vAlign w:val="center"/>
          </w:tcPr>
          <w:p>
            <w:pPr>
              <w:spacing w:line="240" w:lineRule="auto"/>
              <w:jc w:val="center"/>
              <w:rPr>
                <w:rFonts w:ascii="宋体" w:hAnsi="宋体"/>
                <w:sz w:val="18"/>
                <w:szCs w:val="18"/>
              </w:rPr>
            </w:pPr>
            <w:r>
              <w:rPr>
                <w:rFonts w:hint="eastAsia" w:ascii="宋体" w:hAnsi="宋体"/>
                <w:sz w:val="18"/>
                <w:szCs w:val="18"/>
              </w:rPr>
              <w:t>建筑机器人及智能装备</w:t>
            </w: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建筑机器人</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3</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Merge w:val="continue"/>
            <w:vAlign w:val="center"/>
          </w:tcPr>
          <w:p>
            <w:pPr>
              <w:spacing w:line="240" w:lineRule="auto"/>
              <w:jc w:val="center"/>
              <w:rPr>
                <w:rFonts w:ascii="宋体" w:hAnsi="宋体"/>
                <w:sz w:val="18"/>
                <w:szCs w:val="18"/>
              </w:rPr>
            </w:pPr>
          </w:p>
        </w:tc>
        <w:tc>
          <w:tcPr>
            <w:tcW w:w="434" w:type="pct"/>
            <w:vMerge w:val="continue"/>
            <w:vAlign w:val="center"/>
          </w:tcPr>
          <w:p>
            <w:pPr>
              <w:spacing w:line="240" w:lineRule="auto"/>
              <w:jc w:val="center"/>
              <w:rPr>
                <w:rFonts w:ascii="宋体" w:hAnsi="宋体"/>
                <w:sz w:val="18"/>
                <w:szCs w:val="18"/>
              </w:rPr>
            </w:pPr>
          </w:p>
        </w:tc>
        <w:tc>
          <w:tcPr>
            <w:tcW w:w="326" w:type="pct"/>
            <w:vMerge w:val="continue"/>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智能装备</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5</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Align w:val="center"/>
          </w:tcPr>
          <w:p>
            <w:pPr>
              <w:spacing w:line="240" w:lineRule="auto"/>
              <w:jc w:val="center"/>
              <w:rPr>
                <w:rFonts w:ascii="宋体" w:hAnsi="宋体"/>
                <w:sz w:val="18"/>
                <w:szCs w:val="18"/>
              </w:rPr>
            </w:pPr>
            <w:r>
              <w:rPr>
                <w:rFonts w:hint="eastAsia" w:ascii="宋体" w:hAnsi="宋体"/>
                <w:sz w:val="18"/>
                <w:szCs w:val="18"/>
              </w:rPr>
              <w:t>数据要求</w:t>
            </w:r>
          </w:p>
        </w:tc>
        <w:tc>
          <w:tcPr>
            <w:tcW w:w="434" w:type="pct"/>
            <w:vAlign w:val="center"/>
          </w:tcPr>
          <w:p>
            <w:pPr>
              <w:spacing w:line="240" w:lineRule="auto"/>
              <w:jc w:val="center"/>
              <w:rPr>
                <w:rFonts w:ascii="宋体" w:hAnsi="宋体"/>
                <w:sz w:val="18"/>
                <w:szCs w:val="18"/>
              </w:rPr>
            </w:pPr>
            <w:r>
              <w:rPr>
                <w:rFonts w:ascii="宋体" w:hAnsi="宋体"/>
                <w:sz w:val="18"/>
                <w:szCs w:val="18"/>
              </w:rPr>
              <w:t>2</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数据驱动</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8</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Align w:val="center"/>
          </w:tcPr>
          <w:p>
            <w:pPr>
              <w:spacing w:line="240" w:lineRule="auto"/>
              <w:jc w:val="center"/>
              <w:rPr>
                <w:rFonts w:ascii="宋体" w:hAnsi="宋体"/>
                <w:sz w:val="18"/>
                <w:szCs w:val="18"/>
              </w:rPr>
            </w:pPr>
            <w:r>
              <w:rPr>
                <w:rFonts w:hint="eastAsia" w:ascii="宋体" w:hAnsi="宋体"/>
                <w:sz w:val="18"/>
                <w:szCs w:val="18"/>
              </w:rPr>
              <w:t>数字化交付</w:t>
            </w:r>
          </w:p>
        </w:tc>
        <w:tc>
          <w:tcPr>
            <w:tcW w:w="708" w:type="pct"/>
            <w:vAlign w:val="center"/>
          </w:tcPr>
          <w:p>
            <w:pPr>
              <w:spacing w:line="240" w:lineRule="auto"/>
              <w:jc w:val="center"/>
              <w:rPr>
                <w:rFonts w:ascii="宋体" w:hAnsi="宋体"/>
                <w:sz w:val="18"/>
                <w:szCs w:val="18"/>
              </w:rPr>
            </w:pPr>
            <w:r>
              <w:rPr>
                <w:rFonts w:hint="eastAsia" w:ascii="宋体" w:hAnsi="宋体"/>
                <w:sz w:val="18"/>
                <w:szCs w:val="18"/>
              </w:rPr>
              <w:t>交付内容及要求</w:t>
            </w:r>
          </w:p>
        </w:tc>
        <w:tc>
          <w:tcPr>
            <w:tcW w:w="434" w:type="pct"/>
            <w:vAlign w:val="center"/>
          </w:tcPr>
          <w:p>
            <w:pPr>
              <w:spacing w:line="240" w:lineRule="auto"/>
              <w:jc w:val="center"/>
              <w:rPr>
                <w:rFonts w:ascii="宋体" w:hAnsi="宋体"/>
                <w:sz w:val="18"/>
                <w:szCs w:val="18"/>
              </w:rPr>
            </w:pPr>
            <w:r>
              <w:rPr>
                <w:rFonts w:ascii="宋体" w:hAnsi="宋体"/>
                <w:sz w:val="18"/>
                <w:szCs w:val="18"/>
              </w:rPr>
              <w:t>3</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restart"/>
            <w:vAlign w:val="center"/>
          </w:tcPr>
          <w:p>
            <w:pPr>
              <w:spacing w:line="240" w:lineRule="auto"/>
              <w:jc w:val="center"/>
              <w:rPr>
                <w:rFonts w:ascii="宋体" w:hAnsi="宋体"/>
                <w:sz w:val="18"/>
                <w:szCs w:val="18"/>
              </w:rPr>
            </w:pPr>
            <w:r>
              <w:rPr>
                <w:rFonts w:hint="eastAsia" w:ascii="宋体" w:hAnsi="宋体"/>
                <w:sz w:val="18"/>
                <w:szCs w:val="18"/>
              </w:rPr>
              <w:t>技术经济分析</w:t>
            </w: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数据采集</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1</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restart"/>
            <w:tcBorders>
              <w:tr2bl w:val="single" w:color="auto" w:sz="4" w:space="0"/>
            </w:tcBorders>
            <w:vAlign w:val="center"/>
          </w:tcPr>
          <w:p>
            <w:pPr>
              <w:spacing w:line="240" w:lineRule="auto"/>
              <w:jc w:val="center"/>
              <w:rPr>
                <w:rFonts w:ascii="宋体" w:hAnsi="宋体"/>
                <w:sz w:val="18"/>
                <w:szCs w:val="18"/>
              </w:rPr>
            </w:pPr>
          </w:p>
        </w:tc>
        <w:tc>
          <w:tcPr>
            <w:tcW w:w="708" w:type="pct"/>
            <w:vMerge w:val="restart"/>
            <w:tcBorders>
              <w:tr2bl w:val="single" w:color="auto" w:sz="4" w:space="0"/>
            </w:tcBorders>
            <w:vAlign w:val="center"/>
          </w:tcPr>
          <w:p>
            <w:pPr>
              <w:spacing w:line="240" w:lineRule="auto"/>
              <w:jc w:val="center"/>
              <w:rPr>
                <w:rFonts w:ascii="宋体" w:hAnsi="宋体"/>
                <w:sz w:val="18"/>
                <w:szCs w:val="18"/>
              </w:rPr>
            </w:pPr>
          </w:p>
        </w:tc>
        <w:tc>
          <w:tcPr>
            <w:tcW w:w="434" w:type="pct"/>
            <w:vMerge w:val="restart"/>
            <w:tcBorders>
              <w:tr2bl w:val="single" w:color="auto" w:sz="4" w:space="0"/>
            </w:tcBorders>
            <w:vAlign w:val="center"/>
          </w:tcPr>
          <w:p>
            <w:pPr>
              <w:spacing w:line="240" w:lineRule="auto"/>
              <w:jc w:val="center"/>
              <w:rPr>
                <w:rFonts w:ascii="宋体" w:hAnsi="宋体"/>
                <w:sz w:val="18"/>
                <w:szCs w:val="18"/>
              </w:rPr>
            </w:pPr>
          </w:p>
        </w:tc>
        <w:tc>
          <w:tcPr>
            <w:tcW w:w="326" w:type="pct"/>
            <w:vMerge w:val="restart"/>
            <w:tcBorders>
              <w:tr2bl w:val="single" w:color="auto" w:sz="4" w:space="0"/>
            </w:tcBorders>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数据分析</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2</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Merge w:val="continue"/>
            <w:vAlign w:val="center"/>
          </w:tcPr>
          <w:p>
            <w:pPr>
              <w:spacing w:line="240" w:lineRule="auto"/>
              <w:jc w:val="center"/>
              <w:rPr>
                <w:rFonts w:ascii="宋体" w:hAnsi="宋体"/>
                <w:sz w:val="18"/>
                <w:szCs w:val="18"/>
              </w:rPr>
            </w:pPr>
          </w:p>
        </w:tc>
        <w:tc>
          <w:tcPr>
            <w:tcW w:w="434" w:type="pct"/>
            <w:vMerge w:val="continue"/>
            <w:vAlign w:val="center"/>
          </w:tcPr>
          <w:p>
            <w:pPr>
              <w:spacing w:line="240" w:lineRule="auto"/>
              <w:jc w:val="center"/>
              <w:rPr>
                <w:rFonts w:ascii="宋体" w:hAnsi="宋体"/>
                <w:sz w:val="18"/>
                <w:szCs w:val="18"/>
              </w:rPr>
            </w:pPr>
          </w:p>
        </w:tc>
        <w:tc>
          <w:tcPr>
            <w:tcW w:w="326" w:type="pct"/>
            <w:vMerge w:val="continue"/>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Align w:val="center"/>
          </w:tcPr>
          <w:p>
            <w:pPr>
              <w:spacing w:line="240" w:lineRule="auto"/>
              <w:jc w:val="center"/>
              <w:rPr>
                <w:rFonts w:ascii="宋体" w:hAnsi="宋体"/>
                <w:sz w:val="18"/>
                <w:szCs w:val="18"/>
              </w:rPr>
            </w:pPr>
            <w:r>
              <w:rPr>
                <w:rFonts w:hint="eastAsia" w:ascii="宋体" w:hAnsi="宋体"/>
                <w:sz w:val="18"/>
                <w:szCs w:val="18"/>
              </w:rPr>
              <w:t>数字化交付</w:t>
            </w: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交付内容及要求</w:t>
            </w:r>
          </w:p>
        </w:tc>
        <w:tc>
          <w:tcPr>
            <w:tcW w:w="431" w:type="pct"/>
            <w:vAlign w:val="center"/>
          </w:tcPr>
          <w:p>
            <w:pPr>
              <w:spacing w:line="240" w:lineRule="auto"/>
              <w:jc w:val="center"/>
              <w:rPr>
                <w:rFonts w:ascii="宋体" w:hAnsi="宋体"/>
                <w:sz w:val="18"/>
                <w:szCs w:val="18"/>
              </w:rPr>
            </w:pPr>
            <w:r>
              <w:rPr>
                <w:rFonts w:ascii="宋体" w:hAnsi="宋体"/>
                <w:sz w:val="18"/>
                <w:szCs w:val="18"/>
              </w:rPr>
              <w:t>4</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restart"/>
            <w:vAlign w:val="center"/>
          </w:tcPr>
          <w:p>
            <w:pPr>
              <w:spacing w:line="240" w:lineRule="auto"/>
              <w:jc w:val="center"/>
              <w:rPr>
                <w:rFonts w:ascii="宋体" w:hAnsi="宋体"/>
                <w:sz w:val="18"/>
                <w:szCs w:val="18"/>
              </w:rPr>
            </w:pPr>
            <w:r>
              <w:rPr>
                <w:rFonts w:hint="eastAsia" w:ascii="宋体" w:hAnsi="宋体"/>
                <w:b/>
                <w:bCs/>
                <w:sz w:val="18"/>
                <w:szCs w:val="18"/>
              </w:rPr>
              <w:t>建造过程</w:t>
            </w:r>
          </w:p>
        </w:tc>
        <w:tc>
          <w:tcPr>
            <w:tcW w:w="1209" w:type="pct"/>
            <w:gridSpan w:val="2"/>
            <w:vAlign w:val="center"/>
          </w:tcPr>
          <w:p>
            <w:pPr>
              <w:spacing w:line="240" w:lineRule="auto"/>
              <w:jc w:val="center"/>
              <w:rPr>
                <w:rFonts w:ascii="宋体" w:hAnsi="宋体"/>
                <w:b/>
                <w:bCs/>
                <w:sz w:val="18"/>
                <w:szCs w:val="18"/>
              </w:rPr>
            </w:pPr>
            <w:r>
              <w:rPr>
                <w:rFonts w:hint="eastAsia" w:ascii="宋体" w:hAnsi="宋体"/>
                <w:b/>
                <w:bCs/>
                <w:sz w:val="18"/>
                <w:szCs w:val="18"/>
              </w:rPr>
              <w:t>智慧运维评分项</w:t>
            </w:r>
          </w:p>
        </w:tc>
        <w:tc>
          <w:tcPr>
            <w:tcW w:w="434" w:type="pct"/>
            <w:vAlign w:val="center"/>
          </w:tcPr>
          <w:p>
            <w:pPr>
              <w:spacing w:line="240" w:lineRule="auto"/>
              <w:jc w:val="center"/>
              <w:rPr>
                <w:rFonts w:ascii="宋体" w:hAnsi="宋体"/>
                <w:b/>
                <w:bCs/>
                <w:sz w:val="18"/>
                <w:szCs w:val="18"/>
              </w:rPr>
            </w:pPr>
            <w:r>
              <w:rPr>
                <w:rFonts w:hint="eastAsia" w:ascii="宋体" w:hAnsi="宋体"/>
                <w:b/>
                <w:bCs/>
                <w:sz w:val="18"/>
                <w:szCs w:val="18"/>
              </w:rPr>
              <w:t>总得分</w:t>
            </w:r>
          </w:p>
        </w:tc>
        <w:tc>
          <w:tcPr>
            <w:tcW w:w="326" w:type="pct"/>
            <w:vAlign w:val="center"/>
          </w:tcPr>
          <w:p>
            <w:pPr>
              <w:spacing w:line="240" w:lineRule="auto"/>
              <w:jc w:val="center"/>
              <w:rPr>
                <w:rFonts w:ascii="宋体" w:hAnsi="宋体"/>
                <w:sz w:val="18"/>
                <w:szCs w:val="18"/>
              </w:rPr>
            </w:pPr>
          </w:p>
        </w:tc>
        <w:tc>
          <w:tcPr>
            <w:tcW w:w="521" w:type="pct"/>
            <w:vMerge w:val="restart"/>
            <w:vAlign w:val="center"/>
          </w:tcPr>
          <w:p>
            <w:pPr>
              <w:spacing w:line="240" w:lineRule="auto"/>
              <w:jc w:val="center"/>
              <w:rPr>
                <w:rFonts w:ascii="宋体" w:hAnsi="宋体"/>
                <w:sz w:val="18"/>
                <w:szCs w:val="18"/>
              </w:rPr>
            </w:pPr>
            <w:r>
              <w:rPr>
                <w:rFonts w:hint="eastAsia" w:ascii="宋体" w:hAnsi="宋体"/>
                <w:b/>
                <w:bCs/>
                <w:sz w:val="18"/>
                <w:szCs w:val="18"/>
              </w:rPr>
              <w:t>建造过程</w:t>
            </w:r>
          </w:p>
        </w:tc>
        <w:tc>
          <w:tcPr>
            <w:tcW w:w="1241" w:type="pct"/>
            <w:gridSpan w:val="3"/>
            <w:vAlign w:val="center"/>
          </w:tcPr>
          <w:p>
            <w:pPr>
              <w:spacing w:line="240" w:lineRule="auto"/>
              <w:jc w:val="center"/>
              <w:rPr>
                <w:rFonts w:ascii="宋体" w:hAnsi="宋体"/>
                <w:sz w:val="18"/>
                <w:szCs w:val="18"/>
              </w:rPr>
            </w:pPr>
            <w:r>
              <w:rPr>
                <w:rFonts w:hint="eastAsia" w:ascii="宋体" w:hAnsi="宋体"/>
                <w:b/>
                <w:bCs/>
                <w:sz w:val="18"/>
                <w:szCs w:val="18"/>
              </w:rPr>
              <w:t>全过程数据协同评分项</w:t>
            </w:r>
          </w:p>
        </w:tc>
        <w:tc>
          <w:tcPr>
            <w:tcW w:w="431" w:type="pct"/>
            <w:vAlign w:val="center"/>
          </w:tcPr>
          <w:p>
            <w:pPr>
              <w:spacing w:line="240" w:lineRule="auto"/>
              <w:jc w:val="center"/>
              <w:rPr>
                <w:rFonts w:ascii="宋体" w:hAnsi="宋体"/>
                <w:sz w:val="18"/>
                <w:szCs w:val="18"/>
              </w:rPr>
            </w:pPr>
            <w:r>
              <w:rPr>
                <w:rFonts w:hint="eastAsia" w:ascii="宋体" w:hAnsi="宋体"/>
                <w:b/>
                <w:bCs/>
                <w:sz w:val="18"/>
                <w:szCs w:val="18"/>
              </w:rPr>
              <w:t>总得分</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restart"/>
            <w:vAlign w:val="center"/>
          </w:tcPr>
          <w:p>
            <w:pPr>
              <w:spacing w:line="240" w:lineRule="auto"/>
              <w:jc w:val="center"/>
              <w:rPr>
                <w:rFonts w:ascii="宋体" w:hAnsi="宋体"/>
                <w:sz w:val="18"/>
                <w:szCs w:val="18"/>
              </w:rPr>
            </w:pPr>
            <w:r>
              <w:rPr>
                <w:rFonts w:hint="eastAsia" w:ascii="宋体" w:hAnsi="宋体"/>
                <w:sz w:val="18"/>
                <w:szCs w:val="18"/>
              </w:rPr>
              <w:t>评价指标</w:t>
            </w:r>
          </w:p>
        </w:tc>
        <w:tc>
          <w:tcPr>
            <w:tcW w:w="708" w:type="pct"/>
            <w:vMerge w:val="restart"/>
            <w:vAlign w:val="center"/>
          </w:tcPr>
          <w:p>
            <w:pPr>
              <w:spacing w:line="240" w:lineRule="auto"/>
              <w:jc w:val="center"/>
              <w:rPr>
                <w:rFonts w:ascii="宋体" w:hAnsi="宋体"/>
                <w:sz w:val="18"/>
                <w:szCs w:val="18"/>
              </w:rPr>
            </w:pPr>
            <w:r>
              <w:rPr>
                <w:rFonts w:hint="eastAsia" w:ascii="宋体" w:hAnsi="宋体"/>
                <w:sz w:val="18"/>
                <w:szCs w:val="18"/>
              </w:rPr>
              <w:t>评价模块</w:t>
            </w:r>
          </w:p>
        </w:tc>
        <w:tc>
          <w:tcPr>
            <w:tcW w:w="760" w:type="pct"/>
            <w:gridSpan w:val="2"/>
            <w:vAlign w:val="center"/>
          </w:tcPr>
          <w:p>
            <w:pPr>
              <w:spacing w:line="240" w:lineRule="auto"/>
              <w:jc w:val="center"/>
              <w:rPr>
                <w:rFonts w:ascii="宋体" w:hAnsi="宋体"/>
                <w:sz w:val="18"/>
                <w:szCs w:val="18"/>
              </w:rPr>
            </w:pPr>
            <w:r>
              <w:rPr>
                <w:rFonts w:hint="eastAsia" w:ascii="宋体" w:hAnsi="宋体"/>
                <w:sz w:val="18"/>
                <w:szCs w:val="18"/>
              </w:rPr>
              <w:t>得分情况</w:t>
            </w:r>
          </w:p>
        </w:tc>
        <w:tc>
          <w:tcPr>
            <w:tcW w:w="521" w:type="pct"/>
            <w:vMerge w:val="continue"/>
            <w:vAlign w:val="center"/>
          </w:tcPr>
          <w:p>
            <w:pPr>
              <w:spacing w:line="240" w:lineRule="auto"/>
              <w:jc w:val="center"/>
              <w:rPr>
                <w:rFonts w:ascii="宋体" w:hAnsi="宋体"/>
                <w:sz w:val="18"/>
                <w:szCs w:val="18"/>
              </w:rPr>
            </w:pPr>
          </w:p>
        </w:tc>
        <w:tc>
          <w:tcPr>
            <w:tcW w:w="523" w:type="pct"/>
            <w:vMerge w:val="restart"/>
            <w:vAlign w:val="center"/>
          </w:tcPr>
          <w:p>
            <w:pPr>
              <w:spacing w:line="240" w:lineRule="auto"/>
              <w:jc w:val="center"/>
              <w:rPr>
                <w:rFonts w:ascii="宋体" w:hAnsi="宋体"/>
                <w:sz w:val="18"/>
                <w:szCs w:val="18"/>
              </w:rPr>
            </w:pPr>
            <w:r>
              <w:rPr>
                <w:rFonts w:hint="eastAsia" w:ascii="宋体" w:hAnsi="宋体"/>
                <w:sz w:val="18"/>
                <w:szCs w:val="18"/>
              </w:rPr>
              <w:t>评价指标</w:t>
            </w:r>
          </w:p>
        </w:tc>
        <w:tc>
          <w:tcPr>
            <w:tcW w:w="718" w:type="pct"/>
            <w:gridSpan w:val="2"/>
            <w:vMerge w:val="restart"/>
            <w:vAlign w:val="center"/>
          </w:tcPr>
          <w:p>
            <w:pPr>
              <w:spacing w:line="240" w:lineRule="auto"/>
              <w:jc w:val="center"/>
              <w:rPr>
                <w:rFonts w:ascii="宋体" w:hAnsi="宋体"/>
                <w:sz w:val="18"/>
                <w:szCs w:val="18"/>
              </w:rPr>
            </w:pPr>
            <w:r>
              <w:rPr>
                <w:rFonts w:hint="eastAsia" w:ascii="宋体" w:hAnsi="宋体"/>
                <w:sz w:val="18"/>
                <w:szCs w:val="18"/>
              </w:rPr>
              <w:t>评价模块</w:t>
            </w:r>
          </w:p>
        </w:tc>
        <w:tc>
          <w:tcPr>
            <w:tcW w:w="744" w:type="pct"/>
            <w:gridSpan w:val="2"/>
            <w:vAlign w:val="center"/>
          </w:tcPr>
          <w:p>
            <w:pPr>
              <w:spacing w:line="240" w:lineRule="auto"/>
              <w:jc w:val="center"/>
              <w:rPr>
                <w:rFonts w:ascii="宋体" w:hAnsi="宋体"/>
                <w:sz w:val="18"/>
                <w:szCs w:val="18"/>
              </w:rPr>
            </w:pPr>
            <w:r>
              <w:rPr>
                <w:rFonts w:hint="eastAsia" w:ascii="宋体" w:hAnsi="宋体"/>
                <w:sz w:val="18"/>
                <w:szCs w:val="18"/>
              </w:rPr>
              <w:t>得分情况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Merge w:val="continue"/>
            <w:vAlign w:val="center"/>
          </w:tcPr>
          <w:p>
            <w:pPr>
              <w:spacing w:line="240" w:lineRule="auto"/>
              <w:jc w:val="center"/>
              <w:rPr>
                <w:rFonts w:ascii="宋体" w:hAnsi="宋体"/>
                <w:sz w:val="18"/>
                <w:szCs w:val="18"/>
              </w:rPr>
            </w:pPr>
          </w:p>
        </w:tc>
        <w:tc>
          <w:tcPr>
            <w:tcW w:w="434" w:type="pct"/>
            <w:vAlign w:val="center"/>
          </w:tcPr>
          <w:p>
            <w:pPr>
              <w:spacing w:line="240" w:lineRule="auto"/>
              <w:jc w:val="center"/>
              <w:rPr>
                <w:rFonts w:ascii="宋体" w:hAnsi="宋体"/>
                <w:sz w:val="18"/>
                <w:szCs w:val="18"/>
              </w:rPr>
            </w:pPr>
            <w:r>
              <w:rPr>
                <w:rFonts w:hint="eastAsia" w:ascii="宋体" w:hAnsi="宋体"/>
                <w:sz w:val="18"/>
                <w:szCs w:val="18"/>
              </w:rPr>
              <w:t>分值</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Merge w:val="continue"/>
            <w:vAlign w:val="center"/>
          </w:tcPr>
          <w:p>
            <w:pPr>
              <w:spacing w:line="240" w:lineRule="auto"/>
              <w:jc w:val="center"/>
              <w:rPr>
                <w:rFonts w:ascii="宋体" w:hAnsi="宋体"/>
                <w:sz w:val="18"/>
                <w:szCs w:val="18"/>
              </w:rPr>
            </w:pPr>
          </w:p>
        </w:tc>
        <w:tc>
          <w:tcPr>
            <w:tcW w:w="431" w:type="pct"/>
            <w:vAlign w:val="center"/>
          </w:tcPr>
          <w:p>
            <w:pPr>
              <w:spacing w:line="240" w:lineRule="auto"/>
              <w:jc w:val="center"/>
              <w:rPr>
                <w:rFonts w:ascii="宋体" w:hAnsi="宋体"/>
                <w:sz w:val="18"/>
                <w:szCs w:val="18"/>
              </w:rPr>
            </w:pPr>
            <w:r>
              <w:rPr>
                <w:rFonts w:hint="eastAsia" w:ascii="宋体" w:hAnsi="宋体"/>
                <w:sz w:val="18"/>
                <w:szCs w:val="18"/>
              </w:rPr>
              <w:t>分值</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restart"/>
            <w:vAlign w:val="center"/>
          </w:tcPr>
          <w:p>
            <w:pPr>
              <w:spacing w:line="240" w:lineRule="auto"/>
              <w:jc w:val="center"/>
              <w:rPr>
                <w:rFonts w:ascii="宋体" w:hAnsi="宋体"/>
                <w:sz w:val="18"/>
                <w:szCs w:val="18"/>
              </w:rPr>
            </w:pPr>
            <w:r>
              <w:rPr>
                <w:rFonts w:hint="eastAsia" w:ascii="宋体" w:hAnsi="宋体"/>
                <w:sz w:val="18"/>
                <w:szCs w:val="18"/>
              </w:rPr>
              <w:t>运维平台</w:t>
            </w:r>
          </w:p>
        </w:tc>
        <w:tc>
          <w:tcPr>
            <w:tcW w:w="708" w:type="pct"/>
            <w:vAlign w:val="center"/>
          </w:tcPr>
          <w:p>
            <w:pPr>
              <w:spacing w:line="240" w:lineRule="auto"/>
              <w:jc w:val="center"/>
              <w:rPr>
                <w:rFonts w:ascii="宋体" w:hAnsi="宋体"/>
                <w:sz w:val="18"/>
                <w:szCs w:val="18"/>
              </w:rPr>
            </w:pPr>
            <w:r>
              <w:rPr>
                <w:rFonts w:hint="eastAsia" w:ascii="宋体" w:hAnsi="宋体"/>
                <w:sz w:val="18"/>
                <w:szCs w:val="18"/>
              </w:rPr>
              <w:t>数据资源</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t>2</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Align w:val="center"/>
          </w:tcPr>
          <w:p>
            <w:pPr>
              <w:spacing w:line="240" w:lineRule="auto"/>
              <w:jc w:val="center"/>
              <w:rPr>
                <w:rFonts w:ascii="宋体" w:hAnsi="宋体"/>
                <w:sz w:val="18"/>
                <w:szCs w:val="18"/>
              </w:rPr>
            </w:pPr>
            <w:r>
              <w:rPr>
                <w:rFonts w:hint="eastAsia" w:ascii="宋体" w:hAnsi="宋体"/>
                <w:sz w:val="18"/>
                <w:szCs w:val="18"/>
              </w:rPr>
              <w:t>信息安全</w:t>
            </w: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信息加密</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0</w:t>
            </w:r>
            <w:r>
              <w:rPr>
                <w:rFonts w:ascii="宋体" w:hAnsi="宋体"/>
                <w:sz w:val="18"/>
                <w:szCs w:val="18"/>
              </w:rPr>
              <w:t>.5</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Align w:val="center"/>
          </w:tcPr>
          <w:p>
            <w:pPr>
              <w:spacing w:line="240" w:lineRule="auto"/>
              <w:jc w:val="center"/>
              <w:rPr>
                <w:rFonts w:ascii="宋体" w:hAnsi="宋体"/>
                <w:sz w:val="18"/>
                <w:szCs w:val="18"/>
              </w:rPr>
            </w:pPr>
            <w:r>
              <w:rPr>
                <w:rFonts w:hint="eastAsia" w:ascii="宋体" w:hAnsi="宋体"/>
                <w:sz w:val="18"/>
                <w:szCs w:val="18"/>
              </w:rPr>
              <w:t>运维知识图谱</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t>0</w:t>
            </w:r>
            <w:r>
              <w:rPr>
                <w:rFonts w:ascii="宋体" w:hAnsi="宋体"/>
                <w:sz w:val="18"/>
                <w:szCs w:val="18"/>
              </w:rPr>
              <w:t>.5</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restart"/>
            <w:vAlign w:val="center"/>
          </w:tcPr>
          <w:p>
            <w:pPr>
              <w:spacing w:line="240" w:lineRule="auto"/>
              <w:jc w:val="center"/>
              <w:rPr>
                <w:rFonts w:ascii="宋体" w:hAnsi="宋体"/>
                <w:sz w:val="18"/>
                <w:szCs w:val="18"/>
              </w:rPr>
            </w:pPr>
            <w:r>
              <w:rPr>
                <w:rFonts w:hint="eastAsia" w:ascii="宋体" w:hAnsi="宋体"/>
                <w:sz w:val="18"/>
                <w:szCs w:val="18"/>
              </w:rPr>
              <w:t>全过程协同管理</w:t>
            </w: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数据标准</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0</w:t>
            </w:r>
            <w:r>
              <w:rPr>
                <w:rFonts w:ascii="宋体" w:hAnsi="宋体"/>
                <w:sz w:val="18"/>
                <w:szCs w:val="18"/>
              </w:rPr>
              <w:t>.5</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Align w:val="center"/>
          </w:tcPr>
          <w:p>
            <w:pPr>
              <w:spacing w:line="240" w:lineRule="auto"/>
              <w:jc w:val="center"/>
              <w:rPr>
                <w:rFonts w:ascii="宋体" w:hAnsi="宋体"/>
                <w:sz w:val="18"/>
                <w:szCs w:val="18"/>
              </w:rPr>
            </w:pPr>
            <w:r>
              <w:rPr>
                <w:rFonts w:hint="eastAsia" w:ascii="宋体" w:hAnsi="宋体"/>
                <w:sz w:val="18"/>
                <w:szCs w:val="18"/>
              </w:rPr>
              <w:t>平台特点</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t>1</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设计协同管理</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1</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Align w:val="center"/>
          </w:tcPr>
          <w:p>
            <w:pPr>
              <w:spacing w:line="240" w:lineRule="auto"/>
              <w:jc w:val="center"/>
              <w:rPr>
                <w:rFonts w:ascii="宋体" w:hAnsi="宋体"/>
                <w:sz w:val="18"/>
                <w:szCs w:val="18"/>
              </w:rPr>
            </w:pPr>
            <w:r>
              <w:rPr>
                <w:rFonts w:hint="eastAsia" w:ascii="宋体" w:hAnsi="宋体"/>
                <w:sz w:val="18"/>
                <w:szCs w:val="18"/>
              </w:rPr>
              <w:t>智慧城市接口</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t>0</w:t>
            </w:r>
            <w:r>
              <w:rPr>
                <w:rFonts w:ascii="宋体" w:hAnsi="宋体"/>
                <w:sz w:val="18"/>
                <w:szCs w:val="18"/>
              </w:rPr>
              <w:t>.5</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生产协同管理</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1</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restart"/>
            <w:vAlign w:val="center"/>
          </w:tcPr>
          <w:p>
            <w:pPr>
              <w:spacing w:line="240" w:lineRule="auto"/>
              <w:jc w:val="center"/>
              <w:rPr>
                <w:rFonts w:ascii="宋体" w:hAnsi="宋体"/>
                <w:sz w:val="18"/>
                <w:szCs w:val="18"/>
              </w:rPr>
            </w:pPr>
            <w:r>
              <w:rPr>
                <w:rFonts w:hint="eastAsia" w:ascii="宋体" w:hAnsi="宋体"/>
                <w:sz w:val="18"/>
                <w:szCs w:val="18"/>
              </w:rPr>
              <w:t>运维管理</w:t>
            </w:r>
          </w:p>
        </w:tc>
        <w:tc>
          <w:tcPr>
            <w:tcW w:w="708" w:type="pct"/>
            <w:vAlign w:val="center"/>
          </w:tcPr>
          <w:p>
            <w:pPr>
              <w:spacing w:line="240" w:lineRule="auto"/>
              <w:jc w:val="center"/>
              <w:rPr>
                <w:rFonts w:ascii="宋体" w:hAnsi="宋体"/>
                <w:sz w:val="18"/>
                <w:szCs w:val="18"/>
              </w:rPr>
            </w:pPr>
            <w:r>
              <w:rPr>
                <w:rFonts w:hint="eastAsia" w:ascii="宋体" w:hAnsi="宋体"/>
                <w:sz w:val="18"/>
                <w:szCs w:val="18"/>
              </w:rPr>
              <w:t>空间管理</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t>1</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施工协同管理</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1</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Align w:val="center"/>
          </w:tcPr>
          <w:p>
            <w:pPr>
              <w:spacing w:line="240" w:lineRule="auto"/>
              <w:jc w:val="center"/>
              <w:rPr>
                <w:rFonts w:ascii="宋体" w:hAnsi="宋体"/>
                <w:sz w:val="18"/>
                <w:szCs w:val="18"/>
              </w:rPr>
            </w:pPr>
            <w:r>
              <w:rPr>
                <w:rFonts w:hint="eastAsia" w:ascii="宋体" w:hAnsi="宋体"/>
                <w:sz w:val="18"/>
                <w:szCs w:val="18"/>
              </w:rPr>
              <w:t>维保管理</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t>1</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Align w:val="center"/>
          </w:tcPr>
          <w:p>
            <w:pPr>
              <w:spacing w:line="240" w:lineRule="auto"/>
              <w:jc w:val="center"/>
              <w:rPr>
                <w:rFonts w:ascii="宋体" w:hAnsi="宋体"/>
                <w:sz w:val="18"/>
                <w:szCs w:val="18"/>
              </w:rPr>
            </w:pPr>
            <w:r>
              <w:rPr>
                <w:rFonts w:hint="eastAsia" w:ascii="宋体" w:hAnsi="宋体" w:cs="宋体"/>
                <w:kern w:val="0"/>
                <w:sz w:val="18"/>
                <w:szCs w:val="18"/>
                <w:lang w:bidi="ar"/>
              </w:rPr>
              <w:t>运维协同管理</w:t>
            </w:r>
          </w:p>
        </w:tc>
        <w:tc>
          <w:tcPr>
            <w:tcW w:w="431" w:type="pct"/>
            <w:vAlign w:val="center"/>
          </w:tcPr>
          <w:p>
            <w:pPr>
              <w:spacing w:line="240" w:lineRule="auto"/>
              <w:jc w:val="center"/>
              <w:rPr>
                <w:rFonts w:ascii="宋体" w:hAnsi="宋体"/>
                <w:sz w:val="18"/>
                <w:szCs w:val="18"/>
              </w:rPr>
            </w:pPr>
            <w:r>
              <w:rPr>
                <w:rFonts w:ascii="宋体" w:hAnsi="宋体"/>
                <w:sz w:val="18"/>
                <w:szCs w:val="18"/>
              </w:rPr>
              <w:t>1</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Align w:val="center"/>
          </w:tcPr>
          <w:p>
            <w:pPr>
              <w:widowControl/>
              <w:spacing w:line="240" w:lineRule="auto"/>
              <w:jc w:val="center"/>
              <w:textAlignment w:val="center"/>
              <w:rPr>
                <w:rFonts w:ascii="宋体" w:hAnsi="宋体" w:cs="宋体"/>
                <w:kern w:val="0"/>
                <w:sz w:val="18"/>
                <w:szCs w:val="18"/>
                <w:lang w:bidi="ar"/>
              </w:rPr>
            </w:pPr>
            <w:r>
              <w:rPr>
                <w:rFonts w:hint="eastAsia" w:ascii="宋体" w:hAnsi="宋体" w:cs="宋体"/>
                <w:kern w:val="0"/>
                <w:sz w:val="18"/>
                <w:szCs w:val="18"/>
                <w:lang w:bidi="ar"/>
              </w:rPr>
              <w:t>能耗管理</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t>1</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Align w:val="center"/>
          </w:tcPr>
          <w:p>
            <w:pPr>
              <w:spacing w:line="240" w:lineRule="auto"/>
              <w:jc w:val="center"/>
              <w:rPr>
                <w:rFonts w:ascii="宋体" w:hAnsi="宋体"/>
                <w:sz w:val="18"/>
                <w:szCs w:val="18"/>
              </w:rPr>
            </w:pPr>
            <w:r>
              <w:rPr>
                <w:rFonts w:hint="eastAsia" w:ascii="宋体" w:hAnsi="宋体" w:cs="宋体"/>
                <w:kern w:val="0"/>
                <w:sz w:val="18"/>
                <w:szCs w:val="18"/>
                <w:lang w:bidi="ar"/>
              </w:rPr>
              <w:t>一体化管理</w:t>
            </w:r>
          </w:p>
        </w:tc>
        <w:tc>
          <w:tcPr>
            <w:tcW w:w="431" w:type="pct"/>
            <w:vAlign w:val="center"/>
          </w:tcPr>
          <w:p>
            <w:pPr>
              <w:spacing w:line="240" w:lineRule="auto"/>
              <w:jc w:val="center"/>
              <w:rPr>
                <w:rFonts w:ascii="宋体" w:hAnsi="宋体"/>
                <w:sz w:val="18"/>
                <w:szCs w:val="18"/>
              </w:rPr>
            </w:pPr>
            <w:r>
              <w:rPr>
                <w:rFonts w:ascii="宋体" w:hAnsi="宋体"/>
                <w:sz w:val="18"/>
                <w:szCs w:val="18"/>
              </w:rPr>
              <w:t>3</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Align w:val="center"/>
          </w:tcPr>
          <w:p>
            <w:pPr>
              <w:spacing w:line="240" w:lineRule="auto"/>
              <w:jc w:val="center"/>
              <w:rPr>
                <w:rFonts w:ascii="宋体" w:hAnsi="宋体"/>
                <w:sz w:val="18"/>
                <w:szCs w:val="18"/>
              </w:rPr>
            </w:pPr>
            <w:r>
              <w:rPr>
                <w:rFonts w:hint="eastAsia" w:ascii="宋体" w:hAnsi="宋体"/>
                <w:sz w:val="18"/>
                <w:szCs w:val="18"/>
              </w:rPr>
              <w:t>用户服务</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t>1</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restart"/>
            <w:vAlign w:val="center"/>
          </w:tcPr>
          <w:p>
            <w:pPr>
              <w:spacing w:line="240" w:lineRule="auto"/>
              <w:jc w:val="center"/>
              <w:rPr>
                <w:rFonts w:ascii="宋体" w:hAnsi="宋体"/>
                <w:sz w:val="18"/>
                <w:szCs w:val="18"/>
              </w:rPr>
            </w:pPr>
            <w:r>
              <w:rPr>
                <w:rFonts w:hint="eastAsia" w:ascii="宋体" w:hAnsi="宋体"/>
                <w:sz w:val="18"/>
                <w:szCs w:val="18"/>
              </w:rPr>
              <w:t>建筑产业互联网平台</w:t>
            </w:r>
          </w:p>
        </w:tc>
        <w:tc>
          <w:tcPr>
            <w:tcW w:w="718" w:type="pct"/>
            <w:gridSpan w:val="2"/>
            <w:vAlign w:val="center"/>
          </w:tcPr>
          <w:p>
            <w:pPr>
              <w:spacing w:line="240" w:lineRule="auto"/>
              <w:jc w:val="center"/>
              <w:rPr>
                <w:rFonts w:ascii="宋体" w:hAnsi="宋体"/>
                <w:sz w:val="18"/>
                <w:szCs w:val="18"/>
              </w:rPr>
            </w:pPr>
            <w:r>
              <w:rPr>
                <w:rFonts w:hint="eastAsia" w:ascii="宋体" w:hAnsi="宋体" w:cs="宋体"/>
                <w:kern w:val="0"/>
                <w:sz w:val="18"/>
                <w:szCs w:val="18"/>
                <w:lang w:bidi="ar"/>
              </w:rPr>
              <w:t>数据互通</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0</w:t>
            </w:r>
            <w:r>
              <w:rPr>
                <w:rFonts w:ascii="宋体" w:hAnsi="宋体"/>
                <w:sz w:val="18"/>
                <w:szCs w:val="18"/>
              </w:rPr>
              <w:t>.5</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Align w:val="center"/>
          </w:tcPr>
          <w:p>
            <w:pPr>
              <w:spacing w:line="240" w:lineRule="auto"/>
              <w:jc w:val="center"/>
              <w:rPr>
                <w:rFonts w:ascii="宋体" w:hAnsi="宋体"/>
                <w:sz w:val="18"/>
                <w:szCs w:val="18"/>
              </w:rPr>
            </w:pPr>
            <w:r>
              <w:rPr>
                <w:rFonts w:hint="eastAsia" w:ascii="宋体" w:hAnsi="宋体"/>
                <w:sz w:val="18"/>
                <w:szCs w:val="18"/>
              </w:rPr>
              <w:t>建筑碳排放</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t>1</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Align w:val="center"/>
          </w:tcPr>
          <w:p>
            <w:pPr>
              <w:spacing w:line="240" w:lineRule="auto"/>
              <w:jc w:val="center"/>
              <w:rPr>
                <w:rFonts w:ascii="宋体" w:hAnsi="宋体"/>
                <w:sz w:val="18"/>
                <w:szCs w:val="18"/>
              </w:rPr>
            </w:pPr>
            <w:r>
              <w:rPr>
                <w:rFonts w:hint="eastAsia" w:ascii="宋体" w:hAnsi="宋体" w:cs="宋体"/>
                <w:kern w:val="0"/>
                <w:sz w:val="18"/>
                <w:szCs w:val="18"/>
                <w:lang w:bidi="ar"/>
              </w:rPr>
              <w:t>闭环应用</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1</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Align w:val="center"/>
          </w:tcPr>
          <w:p>
            <w:pPr>
              <w:spacing w:line="240" w:lineRule="auto"/>
              <w:jc w:val="center"/>
              <w:rPr>
                <w:rFonts w:ascii="宋体" w:hAnsi="宋体"/>
                <w:sz w:val="18"/>
                <w:szCs w:val="18"/>
              </w:rPr>
            </w:pPr>
            <w:r>
              <w:rPr>
                <w:rFonts w:hint="eastAsia" w:ascii="宋体" w:hAnsi="宋体"/>
                <w:sz w:val="18"/>
                <w:szCs w:val="18"/>
              </w:rPr>
              <w:t>智能巡检</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t>1</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Align w:val="center"/>
          </w:tcPr>
          <w:p>
            <w:pPr>
              <w:spacing w:line="240" w:lineRule="auto"/>
              <w:jc w:val="center"/>
              <w:rPr>
                <w:rFonts w:ascii="宋体" w:hAnsi="宋体"/>
                <w:sz w:val="18"/>
                <w:szCs w:val="18"/>
              </w:rPr>
            </w:pPr>
            <w:r>
              <w:rPr>
                <w:rFonts w:hint="eastAsia" w:ascii="宋体" w:hAnsi="宋体" w:cs="宋体"/>
                <w:kern w:val="0"/>
                <w:sz w:val="18"/>
                <w:szCs w:val="18"/>
                <w:lang w:bidi="ar"/>
              </w:rPr>
              <w:t>统一标准</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0</w:t>
            </w:r>
            <w:r>
              <w:rPr>
                <w:rFonts w:ascii="宋体" w:hAnsi="宋体"/>
                <w:sz w:val="18"/>
                <w:szCs w:val="18"/>
              </w:rPr>
              <w:t>.5</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restart"/>
            <w:vAlign w:val="center"/>
          </w:tcPr>
          <w:p>
            <w:pPr>
              <w:spacing w:line="240" w:lineRule="auto"/>
              <w:jc w:val="center"/>
              <w:rPr>
                <w:rFonts w:ascii="宋体" w:hAnsi="宋体"/>
                <w:sz w:val="18"/>
                <w:szCs w:val="18"/>
              </w:rPr>
            </w:pPr>
            <w:r>
              <w:rPr>
                <w:rFonts w:hint="eastAsia" w:ascii="宋体" w:hAnsi="宋体"/>
                <w:b/>
                <w:bCs/>
                <w:sz w:val="18"/>
                <w:szCs w:val="18"/>
              </w:rPr>
              <w:t>品质与价值</w:t>
            </w:r>
          </w:p>
        </w:tc>
        <w:tc>
          <w:tcPr>
            <w:tcW w:w="1969" w:type="pct"/>
            <w:gridSpan w:val="4"/>
            <w:vAlign w:val="center"/>
          </w:tcPr>
          <w:p>
            <w:pPr>
              <w:spacing w:line="240" w:lineRule="auto"/>
              <w:jc w:val="center"/>
              <w:rPr>
                <w:rFonts w:ascii="宋体" w:hAnsi="宋体"/>
                <w:sz w:val="18"/>
                <w:szCs w:val="18"/>
              </w:rPr>
            </w:pPr>
            <w:r>
              <w:rPr>
                <w:rFonts w:hint="eastAsia" w:ascii="宋体" w:hAnsi="宋体"/>
                <w:b/>
                <w:bCs/>
                <w:sz w:val="18"/>
                <w:szCs w:val="18"/>
              </w:rPr>
              <w:t>基础项</w:t>
            </w:r>
          </w:p>
        </w:tc>
        <w:tc>
          <w:tcPr>
            <w:tcW w:w="521" w:type="pct"/>
            <w:vMerge w:val="restart"/>
            <w:vAlign w:val="center"/>
          </w:tcPr>
          <w:p>
            <w:pPr>
              <w:spacing w:line="240" w:lineRule="auto"/>
              <w:jc w:val="center"/>
              <w:rPr>
                <w:rFonts w:ascii="宋体" w:hAnsi="宋体"/>
                <w:sz w:val="18"/>
                <w:szCs w:val="18"/>
              </w:rPr>
            </w:pPr>
            <w:r>
              <w:rPr>
                <w:rFonts w:hint="eastAsia" w:ascii="宋体" w:hAnsi="宋体"/>
                <w:b/>
                <w:bCs/>
                <w:sz w:val="18"/>
                <w:szCs w:val="18"/>
              </w:rPr>
              <w:t>品质与价值</w:t>
            </w:r>
          </w:p>
        </w:tc>
        <w:tc>
          <w:tcPr>
            <w:tcW w:w="523" w:type="pct"/>
            <w:vMerge w:val="restart"/>
            <w:vAlign w:val="center"/>
          </w:tcPr>
          <w:p>
            <w:pPr>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用户体验</w:t>
            </w:r>
          </w:p>
        </w:tc>
        <w:tc>
          <w:tcPr>
            <w:tcW w:w="718" w:type="pct"/>
            <w:gridSpan w:val="2"/>
            <w:vAlign w:val="center"/>
          </w:tcPr>
          <w:p>
            <w:pPr>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安全可靠</w:t>
            </w:r>
          </w:p>
        </w:tc>
        <w:tc>
          <w:tcPr>
            <w:tcW w:w="431" w:type="pct"/>
            <w:vAlign w:val="center"/>
          </w:tcPr>
          <w:p>
            <w:pPr>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2</w:t>
            </w:r>
          </w:p>
        </w:tc>
        <w:tc>
          <w:tcPr>
            <w:tcW w:w="313" w:type="pct"/>
            <w:vAlign w:val="center"/>
          </w:tcPr>
          <w:p>
            <w:pPr>
              <w:spacing w:line="240" w:lineRule="auto"/>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restart"/>
            <w:vAlign w:val="center"/>
          </w:tcPr>
          <w:p>
            <w:pPr>
              <w:spacing w:line="240" w:lineRule="auto"/>
              <w:jc w:val="center"/>
              <w:rPr>
                <w:rFonts w:ascii="宋体" w:hAnsi="宋体"/>
                <w:sz w:val="18"/>
                <w:szCs w:val="18"/>
              </w:rPr>
            </w:pPr>
            <w:r>
              <w:rPr>
                <w:rFonts w:hint="eastAsia" w:ascii="宋体" w:hAnsi="宋体"/>
                <w:sz w:val="18"/>
                <w:szCs w:val="18"/>
              </w:rPr>
              <w:t>章节编号</w:t>
            </w:r>
          </w:p>
        </w:tc>
        <w:tc>
          <w:tcPr>
            <w:tcW w:w="708" w:type="pct"/>
            <w:vMerge w:val="restart"/>
            <w:vAlign w:val="center"/>
          </w:tcPr>
          <w:p>
            <w:pPr>
              <w:spacing w:line="240" w:lineRule="auto"/>
              <w:jc w:val="center"/>
              <w:rPr>
                <w:rFonts w:ascii="宋体" w:hAnsi="宋体"/>
                <w:sz w:val="18"/>
                <w:szCs w:val="18"/>
              </w:rPr>
            </w:pPr>
            <w:r>
              <w:rPr>
                <w:rFonts w:hint="eastAsia" w:ascii="宋体" w:hAnsi="宋体" w:cs="宋体"/>
                <w:kern w:val="0"/>
                <w:sz w:val="18"/>
                <w:szCs w:val="18"/>
                <w:lang w:bidi="ar"/>
              </w:rPr>
              <w:t>评价模块</w:t>
            </w:r>
          </w:p>
        </w:tc>
        <w:tc>
          <w:tcPr>
            <w:tcW w:w="760" w:type="pct"/>
            <w:gridSpan w:val="2"/>
            <w:vAlign w:val="center"/>
          </w:tcPr>
          <w:p>
            <w:pPr>
              <w:spacing w:line="240" w:lineRule="auto"/>
              <w:jc w:val="center"/>
              <w:rPr>
                <w:rFonts w:ascii="宋体" w:hAnsi="宋体"/>
                <w:sz w:val="18"/>
                <w:szCs w:val="18"/>
              </w:rPr>
            </w:pPr>
            <w:r>
              <w:rPr>
                <w:rFonts w:hint="eastAsia" w:ascii="宋体" w:hAnsi="宋体"/>
                <w:sz w:val="18"/>
                <w:szCs w:val="18"/>
              </w:rPr>
              <w:t>达标情况</w:t>
            </w: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cs="宋体"/>
                <w:kern w:val="0"/>
                <w:sz w:val="18"/>
                <w:szCs w:val="18"/>
                <w:lang w:bidi="ar"/>
              </w:rPr>
            </w:pPr>
          </w:p>
        </w:tc>
        <w:tc>
          <w:tcPr>
            <w:tcW w:w="718" w:type="pct"/>
            <w:gridSpan w:val="2"/>
            <w:vAlign w:val="center"/>
          </w:tcPr>
          <w:p>
            <w:pPr>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功能提升</w:t>
            </w:r>
          </w:p>
        </w:tc>
        <w:tc>
          <w:tcPr>
            <w:tcW w:w="431" w:type="pct"/>
            <w:vAlign w:val="center"/>
          </w:tcPr>
          <w:p>
            <w:pPr>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8</w:t>
            </w:r>
          </w:p>
        </w:tc>
        <w:tc>
          <w:tcPr>
            <w:tcW w:w="313" w:type="pct"/>
            <w:vAlign w:val="center"/>
          </w:tcPr>
          <w:p>
            <w:pPr>
              <w:spacing w:line="240" w:lineRule="auto"/>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Merge w:val="continue"/>
            <w:vAlign w:val="center"/>
          </w:tcPr>
          <w:p>
            <w:pPr>
              <w:spacing w:line="240" w:lineRule="auto"/>
              <w:jc w:val="center"/>
              <w:rPr>
                <w:rFonts w:ascii="宋体" w:hAnsi="宋体"/>
                <w:sz w:val="18"/>
                <w:szCs w:val="18"/>
              </w:rPr>
            </w:pPr>
          </w:p>
        </w:tc>
        <w:tc>
          <w:tcPr>
            <w:tcW w:w="434" w:type="pct"/>
            <w:vAlign w:val="center"/>
          </w:tcPr>
          <w:p>
            <w:pPr>
              <w:spacing w:line="240" w:lineRule="auto"/>
              <w:jc w:val="center"/>
              <w:rPr>
                <w:rFonts w:ascii="宋体" w:hAnsi="宋体"/>
                <w:sz w:val="18"/>
                <w:szCs w:val="18"/>
              </w:rPr>
            </w:pPr>
            <w:r>
              <w:rPr>
                <w:rFonts w:hint="eastAsia" w:ascii="宋体" w:hAnsi="宋体"/>
                <w:sz w:val="18"/>
                <w:szCs w:val="18"/>
              </w:rPr>
              <w:t>是</w:t>
            </w:r>
          </w:p>
        </w:tc>
        <w:tc>
          <w:tcPr>
            <w:tcW w:w="326" w:type="pct"/>
            <w:vAlign w:val="center"/>
          </w:tcPr>
          <w:p>
            <w:pPr>
              <w:spacing w:line="240" w:lineRule="auto"/>
              <w:jc w:val="center"/>
              <w:rPr>
                <w:rFonts w:ascii="宋体" w:hAnsi="宋体"/>
                <w:sz w:val="18"/>
                <w:szCs w:val="18"/>
              </w:rPr>
            </w:pPr>
            <w:r>
              <w:rPr>
                <w:rFonts w:hint="eastAsia" w:ascii="宋体" w:hAnsi="宋体"/>
                <w:sz w:val="18"/>
                <w:szCs w:val="18"/>
              </w:rPr>
              <w:t>否</w:t>
            </w: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cs="宋体"/>
                <w:kern w:val="0"/>
                <w:sz w:val="18"/>
                <w:szCs w:val="18"/>
                <w:lang w:bidi="ar"/>
              </w:rPr>
            </w:pPr>
          </w:p>
        </w:tc>
        <w:tc>
          <w:tcPr>
            <w:tcW w:w="718" w:type="pct"/>
            <w:gridSpan w:val="2"/>
            <w:vAlign w:val="center"/>
          </w:tcPr>
          <w:p>
            <w:pPr>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服务便利</w:t>
            </w:r>
          </w:p>
        </w:tc>
        <w:tc>
          <w:tcPr>
            <w:tcW w:w="431" w:type="pct"/>
            <w:vAlign w:val="center"/>
          </w:tcPr>
          <w:p>
            <w:pPr>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6</w:t>
            </w:r>
          </w:p>
        </w:tc>
        <w:tc>
          <w:tcPr>
            <w:tcW w:w="313" w:type="pct"/>
            <w:vAlign w:val="center"/>
          </w:tcPr>
          <w:p>
            <w:pPr>
              <w:spacing w:line="240" w:lineRule="auto"/>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b/>
                <w:bCs/>
                <w:sz w:val="18"/>
                <w:szCs w:val="18"/>
              </w:rPr>
            </w:pPr>
          </w:p>
        </w:tc>
        <w:tc>
          <w:tcPr>
            <w:tcW w:w="501" w:type="pct"/>
            <w:vAlign w:val="center"/>
          </w:tcPr>
          <w:p>
            <w:pPr>
              <w:spacing w:line="240" w:lineRule="auto"/>
              <w:jc w:val="center"/>
              <w:rPr>
                <w:rFonts w:ascii="宋体" w:hAnsi="宋体"/>
                <w:b/>
                <w:bCs/>
                <w:sz w:val="18"/>
                <w:szCs w:val="18"/>
              </w:rPr>
            </w:pPr>
            <w:r>
              <w:rPr>
                <w:rFonts w:ascii="Times New Roman" w:hAnsi="Times New Roman"/>
                <w:sz w:val="18"/>
                <w:szCs w:val="18"/>
              </w:rPr>
              <w:t>8.1.1</w:t>
            </w:r>
          </w:p>
        </w:tc>
        <w:tc>
          <w:tcPr>
            <w:tcW w:w="708" w:type="pct"/>
            <w:vAlign w:val="center"/>
          </w:tcPr>
          <w:p>
            <w:pPr>
              <w:spacing w:line="240" w:lineRule="auto"/>
              <w:jc w:val="center"/>
              <w:rPr>
                <w:rFonts w:ascii="宋体" w:hAnsi="宋体"/>
                <w:b/>
                <w:bCs/>
                <w:sz w:val="18"/>
                <w:szCs w:val="18"/>
              </w:rPr>
            </w:pPr>
            <w:r>
              <w:rPr>
                <w:rFonts w:hint="eastAsia" w:ascii="宋体" w:hAnsi="宋体" w:cs="宋体"/>
                <w:kern w:val="0"/>
                <w:sz w:val="18"/>
                <w:szCs w:val="18"/>
                <w:lang w:bidi="ar"/>
              </w:rPr>
              <w:t>终身责任信息档案</w:t>
            </w:r>
          </w:p>
        </w:tc>
        <w:tc>
          <w:tcPr>
            <w:tcW w:w="434" w:type="pct"/>
            <w:vAlign w:val="center"/>
          </w:tcPr>
          <w:p>
            <w:pPr>
              <w:spacing w:line="240" w:lineRule="auto"/>
              <w:jc w:val="center"/>
              <w:rPr>
                <w:rFonts w:ascii="宋体" w:hAnsi="宋体"/>
                <w:b/>
                <w:bCs/>
                <w:sz w:val="18"/>
                <w:szCs w:val="18"/>
              </w:rPr>
            </w:pPr>
            <w:r>
              <w:rPr>
                <w:rFonts w:hint="eastAsia" w:ascii="宋体" w:hAnsi="宋体"/>
                <w:sz w:val="18"/>
                <w:szCs w:val="18"/>
              </w:rPr>
              <w:sym w:font="Wingdings 2" w:char="F0A3"/>
            </w:r>
          </w:p>
        </w:tc>
        <w:tc>
          <w:tcPr>
            <w:tcW w:w="326" w:type="pct"/>
            <w:vAlign w:val="center"/>
          </w:tcPr>
          <w:p>
            <w:pPr>
              <w:spacing w:line="240" w:lineRule="auto"/>
              <w:jc w:val="center"/>
              <w:rPr>
                <w:rFonts w:ascii="宋体" w:hAnsi="宋体"/>
                <w:b/>
                <w:bCs/>
                <w:sz w:val="18"/>
                <w:szCs w:val="18"/>
              </w:rPr>
            </w:pPr>
            <w:r>
              <w:rPr>
                <w:rFonts w:hint="eastAsia" w:ascii="宋体" w:hAnsi="宋体"/>
                <w:sz w:val="18"/>
                <w:szCs w:val="18"/>
              </w:rPr>
              <w:sym w:font="Wingdings 2" w:char="F0A3"/>
            </w: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cs="宋体"/>
                <w:kern w:val="0"/>
                <w:sz w:val="18"/>
                <w:szCs w:val="18"/>
                <w:lang w:bidi="ar"/>
              </w:rPr>
            </w:pPr>
          </w:p>
        </w:tc>
        <w:tc>
          <w:tcPr>
            <w:tcW w:w="718" w:type="pct"/>
            <w:gridSpan w:val="2"/>
            <w:vAlign w:val="center"/>
          </w:tcPr>
          <w:p>
            <w:pPr>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智能拓展</w:t>
            </w:r>
          </w:p>
        </w:tc>
        <w:tc>
          <w:tcPr>
            <w:tcW w:w="431" w:type="pct"/>
            <w:vAlign w:val="center"/>
          </w:tcPr>
          <w:p>
            <w:pPr>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4</w:t>
            </w:r>
          </w:p>
        </w:tc>
        <w:tc>
          <w:tcPr>
            <w:tcW w:w="313" w:type="pct"/>
            <w:vAlign w:val="center"/>
          </w:tcPr>
          <w:p>
            <w:pPr>
              <w:spacing w:line="240" w:lineRule="auto"/>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Align w:val="center"/>
          </w:tcPr>
          <w:p>
            <w:pPr>
              <w:spacing w:line="240" w:lineRule="auto"/>
              <w:jc w:val="center"/>
              <w:rPr>
                <w:rFonts w:ascii="宋体" w:hAnsi="宋体"/>
                <w:sz w:val="18"/>
                <w:szCs w:val="18"/>
              </w:rPr>
            </w:pPr>
            <w:r>
              <w:rPr>
                <w:rFonts w:ascii="Times New Roman" w:hAnsi="Times New Roman"/>
                <w:sz w:val="18"/>
                <w:szCs w:val="18"/>
              </w:rPr>
              <w:t>8.1.2</w:t>
            </w:r>
          </w:p>
        </w:tc>
        <w:tc>
          <w:tcPr>
            <w:tcW w:w="708" w:type="pct"/>
            <w:vAlign w:val="center"/>
          </w:tcPr>
          <w:p>
            <w:pPr>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技术经济管理制度</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sym w:font="Wingdings 2" w:char="F0A3"/>
            </w:r>
          </w:p>
        </w:tc>
        <w:tc>
          <w:tcPr>
            <w:tcW w:w="326" w:type="pct"/>
            <w:vAlign w:val="center"/>
          </w:tcPr>
          <w:p>
            <w:pPr>
              <w:spacing w:line="240" w:lineRule="auto"/>
              <w:jc w:val="center"/>
              <w:rPr>
                <w:rFonts w:ascii="宋体" w:hAnsi="宋体"/>
                <w:sz w:val="18"/>
                <w:szCs w:val="18"/>
              </w:rPr>
            </w:pPr>
            <w:r>
              <w:rPr>
                <w:rFonts w:hint="eastAsia" w:ascii="宋体" w:hAnsi="宋体"/>
                <w:sz w:val="18"/>
                <w:szCs w:val="18"/>
              </w:rPr>
              <w:sym w:font="Wingdings 2" w:char="F0A3"/>
            </w:r>
          </w:p>
        </w:tc>
        <w:tc>
          <w:tcPr>
            <w:tcW w:w="521" w:type="pct"/>
            <w:vMerge w:val="continue"/>
            <w:vAlign w:val="center"/>
          </w:tcPr>
          <w:p>
            <w:pPr>
              <w:spacing w:line="240" w:lineRule="auto"/>
              <w:jc w:val="center"/>
              <w:rPr>
                <w:rFonts w:ascii="宋体" w:hAnsi="宋体"/>
                <w:sz w:val="18"/>
                <w:szCs w:val="18"/>
              </w:rPr>
            </w:pPr>
          </w:p>
        </w:tc>
        <w:tc>
          <w:tcPr>
            <w:tcW w:w="1241" w:type="pct"/>
            <w:gridSpan w:val="3"/>
            <w:vAlign w:val="center"/>
          </w:tcPr>
          <w:p>
            <w:pPr>
              <w:spacing w:line="240" w:lineRule="auto"/>
              <w:jc w:val="center"/>
              <w:rPr>
                <w:rFonts w:ascii="宋体" w:hAnsi="宋体" w:cs="宋体"/>
                <w:kern w:val="0"/>
                <w:sz w:val="18"/>
                <w:szCs w:val="18"/>
                <w:lang w:bidi="ar"/>
              </w:rPr>
            </w:pPr>
            <w:r>
              <w:rPr>
                <w:rFonts w:hint="eastAsia" w:ascii="宋体" w:hAnsi="宋体"/>
                <w:b/>
                <w:bCs/>
                <w:sz w:val="18"/>
                <w:szCs w:val="18"/>
              </w:rPr>
              <w:t>E</w:t>
            </w:r>
            <w:r>
              <w:rPr>
                <w:rFonts w:ascii="宋体" w:hAnsi="宋体"/>
                <w:b/>
                <w:bCs/>
                <w:sz w:val="18"/>
                <w:szCs w:val="18"/>
              </w:rPr>
              <w:t>SG</w:t>
            </w:r>
            <w:r>
              <w:rPr>
                <w:rFonts w:hint="eastAsia" w:ascii="宋体" w:hAnsi="宋体"/>
                <w:b/>
                <w:bCs/>
                <w:sz w:val="18"/>
                <w:szCs w:val="18"/>
              </w:rPr>
              <w:t>贡献评分项</w:t>
            </w:r>
          </w:p>
        </w:tc>
        <w:tc>
          <w:tcPr>
            <w:tcW w:w="431" w:type="pct"/>
            <w:vAlign w:val="center"/>
          </w:tcPr>
          <w:p>
            <w:pPr>
              <w:spacing w:line="240" w:lineRule="auto"/>
              <w:jc w:val="center"/>
              <w:rPr>
                <w:rFonts w:ascii="宋体" w:hAnsi="宋体" w:cs="宋体"/>
                <w:kern w:val="0"/>
                <w:sz w:val="18"/>
                <w:szCs w:val="18"/>
                <w:lang w:bidi="ar"/>
              </w:rPr>
            </w:pPr>
            <w:r>
              <w:rPr>
                <w:rFonts w:hint="eastAsia" w:ascii="宋体" w:hAnsi="宋体"/>
                <w:b/>
                <w:bCs/>
                <w:sz w:val="18"/>
                <w:szCs w:val="18"/>
              </w:rPr>
              <w:t>总得分</w:t>
            </w:r>
          </w:p>
        </w:tc>
        <w:tc>
          <w:tcPr>
            <w:tcW w:w="313" w:type="pct"/>
            <w:vAlign w:val="center"/>
          </w:tcPr>
          <w:p>
            <w:pPr>
              <w:spacing w:line="240" w:lineRule="auto"/>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Align w:val="center"/>
          </w:tcPr>
          <w:p>
            <w:pPr>
              <w:spacing w:line="240" w:lineRule="auto"/>
              <w:jc w:val="center"/>
              <w:rPr>
                <w:rFonts w:ascii="宋体" w:hAnsi="宋体"/>
                <w:sz w:val="18"/>
                <w:szCs w:val="18"/>
              </w:rPr>
            </w:pPr>
            <w:r>
              <w:rPr>
                <w:rFonts w:ascii="Times New Roman" w:hAnsi="Times New Roman"/>
                <w:sz w:val="18"/>
                <w:szCs w:val="18"/>
              </w:rPr>
              <w:t>8.1.3</w:t>
            </w:r>
          </w:p>
        </w:tc>
        <w:tc>
          <w:tcPr>
            <w:tcW w:w="708" w:type="pct"/>
            <w:vAlign w:val="center"/>
          </w:tcPr>
          <w:p>
            <w:pPr>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减碳管理制度</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sym w:font="Wingdings 2" w:char="F0A3"/>
            </w:r>
          </w:p>
        </w:tc>
        <w:tc>
          <w:tcPr>
            <w:tcW w:w="326" w:type="pct"/>
            <w:vAlign w:val="center"/>
          </w:tcPr>
          <w:p>
            <w:pPr>
              <w:spacing w:line="240" w:lineRule="auto"/>
              <w:jc w:val="center"/>
              <w:rPr>
                <w:rFonts w:ascii="宋体" w:hAnsi="宋体"/>
                <w:sz w:val="18"/>
                <w:szCs w:val="18"/>
              </w:rPr>
            </w:pPr>
            <w:r>
              <w:rPr>
                <w:rFonts w:hint="eastAsia" w:ascii="宋体" w:hAnsi="宋体"/>
                <w:sz w:val="18"/>
                <w:szCs w:val="18"/>
              </w:rPr>
              <w:sym w:font="Wingdings 2" w:char="F0A3"/>
            </w:r>
          </w:p>
        </w:tc>
        <w:tc>
          <w:tcPr>
            <w:tcW w:w="521" w:type="pct"/>
            <w:vMerge w:val="continue"/>
            <w:vAlign w:val="center"/>
          </w:tcPr>
          <w:p>
            <w:pPr>
              <w:spacing w:line="240" w:lineRule="auto"/>
              <w:jc w:val="center"/>
              <w:rPr>
                <w:rFonts w:ascii="宋体" w:hAnsi="宋体"/>
                <w:sz w:val="18"/>
                <w:szCs w:val="18"/>
              </w:rPr>
            </w:pPr>
          </w:p>
        </w:tc>
        <w:tc>
          <w:tcPr>
            <w:tcW w:w="523" w:type="pct"/>
            <w:vMerge w:val="restart"/>
            <w:vAlign w:val="center"/>
          </w:tcPr>
          <w:p>
            <w:pPr>
              <w:spacing w:line="240" w:lineRule="auto"/>
              <w:jc w:val="center"/>
              <w:rPr>
                <w:rFonts w:ascii="宋体" w:hAnsi="宋体" w:cs="宋体"/>
                <w:kern w:val="0"/>
                <w:sz w:val="18"/>
                <w:szCs w:val="18"/>
                <w:lang w:bidi="ar"/>
              </w:rPr>
            </w:pPr>
            <w:r>
              <w:rPr>
                <w:rFonts w:hint="eastAsia" w:ascii="宋体" w:hAnsi="宋体"/>
                <w:sz w:val="18"/>
                <w:szCs w:val="18"/>
              </w:rPr>
              <w:t>评价指标</w:t>
            </w:r>
          </w:p>
        </w:tc>
        <w:tc>
          <w:tcPr>
            <w:tcW w:w="718" w:type="pct"/>
            <w:gridSpan w:val="2"/>
            <w:vMerge w:val="restart"/>
            <w:vAlign w:val="center"/>
          </w:tcPr>
          <w:p>
            <w:pPr>
              <w:spacing w:line="240" w:lineRule="auto"/>
              <w:jc w:val="center"/>
              <w:rPr>
                <w:rFonts w:ascii="宋体" w:hAnsi="宋体" w:cs="宋体"/>
                <w:kern w:val="0"/>
                <w:sz w:val="18"/>
                <w:szCs w:val="18"/>
                <w:lang w:bidi="ar"/>
              </w:rPr>
            </w:pPr>
            <w:r>
              <w:rPr>
                <w:rFonts w:hint="eastAsia" w:ascii="宋体" w:hAnsi="宋体"/>
                <w:sz w:val="18"/>
                <w:szCs w:val="18"/>
              </w:rPr>
              <w:t>评价模块</w:t>
            </w:r>
          </w:p>
        </w:tc>
        <w:tc>
          <w:tcPr>
            <w:tcW w:w="744" w:type="pct"/>
            <w:gridSpan w:val="2"/>
            <w:vAlign w:val="center"/>
          </w:tcPr>
          <w:p>
            <w:pPr>
              <w:spacing w:line="240" w:lineRule="auto"/>
              <w:jc w:val="center"/>
              <w:rPr>
                <w:rFonts w:ascii="宋体" w:hAnsi="宋体" w:cs="宋体"/>
                <w:kern w:val="0"/>
                <w:sz w:val="18"/>
                <w:szCs w:val="18"/>
                <w:lang w:bidi="ar"/>
              </w:rPr>
            </w:pPr>
            <w:r>
              <w:rPr>
                <w:rFonts w:hint="eastAsia" w:ascii="宋体" w:hAnsi="宋体"/>
                <w:sz w:val="18"/>
                <w:szCs w:val="18"/>
              </w:rPr>
              <w:t>得分情况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Align w:val="center"/>
          </w:tcPr>
          <w:p>
            <w:pPr>
              <w:spacing w:line="240" w:lineRule="auto"/>
              <w:jc w:val="center"/>
              <w:rPr>
                <w:rFonts w:ascii="宋体" w:hAnsi="宋体"/>
                <w:sz w:val="18"/>
                <w:szCs w:val="18"/>
              </w:rPr>
            </w:pPr>
            <w:r>
              <w:rPr>
                <w:rFonts w:ascii="Times New Roman" w:hAnsi="Times New Roman"/>
                <w:sz w:val="18"/>
                <w:szCs w:val="18"/>
              </w:rPr>
              <w:t>8.1.4</w:t>
            </w:r>
          </w:p>
        </w:tc>
        <w:tc>
          <w:tcPr>
            <w:tcW w:w="708" w:type="pct"/>
            <w:vAlign w:val="center"/>
          </w:tcPr>
          <w:p>
            <w:pPr>
              <w:spacing w:line="240" w:lineRule="auto"/>
              <w:jc w:val="center"/>
              <w:rPr>
                <w:rFonts w:ascii="宋体" w:hAnsi="宋体" w:cs="宋体"/>
                <w:kern w:val="0"/>
                <w:sz w:val="18"/>
                <w:szCs w:val="18"/>
                <w:lang w:bidi="ar"/>
              </w:rPr>
            </w:pPr>
            <w:r>
              <w:rPr>
                <w:rFonts w:hint="eastAsia" w:ascii="宋体" w:hAnsi="宋体" w:cs="宋体"/>
                <w:kern w:val="0"/>
                <w:sz w:val="16"/>
                <w:szCs w:val="16"/>
                <w:lang w:bidi="ar"/>
              </w:rPr>
              <w:t>节材、节能、节水、节地和环保管理制度</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sym w:font="Wingdings 2" w:char="F0A3"/>
            </w:r>
          </w:p>
        </w:tc>
        <w:tc>
          <w:tcPr>
            <w:tcW w:w="326" w:type="pct"/>
            <w:vAlign w:val="center"/>
          </w:tcPr>
          <w:p>
            <w:pPr>
              <w:spacing w:line="240" w:lineRule="auto"/>
              <w:jc w:val="center"/>
              <w:rPr>
                <w:rFonts w:ascii="宋体" w:hAnsi="宋体"/>
                <w:sz w:val="18"/>
                <w:szCs w:val="18"/>
              </w:rPr>
            </w:pPr>
            <w:r>
              <w:rPr>
                <w:rFonts w:hint="eastAsia" w:ascii="宋体" w:hAnsi="宋体"/>
                <w:sz w:val="18"/>
                <w:szCs w:val="18"/>
              </w:rPr>
              <w:sym w:font="Wingdings 2" w:char="F0A3"/>
            </w: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cs="宋体"/>
                <w:kern w:val="0"/>
                <w:sz w:val="18"/>
                <w:szCs w:val="18"/>
                <w:lang w:bidi="ar"/>
              </w:rPr>
            </w:pPr>
          </w:p>
        </w:tc>
        <w:tc>
          <w:tcPr>
            <w:tcW w:w="718" w:type="pct"/>
            <w:gridSpan w:val="2"/>
            <w:vMerge w:val="continue"/>
            <w:vAlign w:val="center"/>
          </w:tcPr>
          <w:p>
            <w:pPr>
              <w:spacing w:line="240" w:lineRule="auto"/>
              <w:jc w:val="center"/>
              <w:rPr>
                <w:rFonts w:ascii="宋体" w:hAnsi="宋体" w:cs="宋体"/>
                <w:kern w:val="0"/>
                <w:sz w:val="18"/>
                <w:szCs w:val="18"/>
                <w:lang w:bidi="ar"/>
              </w:rPr>
            </w:pPr>
          </w:p>
        </w:tc>
        <w:tc>
          <w:tcPr>
            <w:tcW w:w="431" w:type="pct"/>
            <w:vAlign w:val="center"/>
          </w:tcPr>
          <w:p>
            <w:pPr>
              <w:spacing w:line="240" w:lineRule="auto"/>
              <w:jc w:val="center"/>
              <w:rPr>
                <w:rFonts w:ascii="宋体" w:hAnsi="宋体" w:cs="宋体"/>
                <w:kern w:val="0"/>
                <w:sz w:val="18"/>
                <w:szCs w:val="18"/>
                <w:lang w:bidi="ar"/>
              </w:rPr>
            </w:pPr>
            <w:r>
              <w:rPr>
                <w:rFonts w:hint="eastAsia" w:ascii="宋体" w:hAnsi="宋体"/>
                <w:sz w:val="18"/>
                <w:szCs w:val="18"/>
              </w:rPr>
              <w:t>分值</w:t>
            </w:r>
          </w:p>
        </w:tc>
        <w:tc>
          <w:tcPr>
            <w:tcW w:w="313" w:type="pct"/>
            <w:vAlign w:val="center"/>
          </w:tcPr>
          <w:p>
            <w:pPr>
              <w:spacing w:line="240" w:lineRule="auto"/>
              <w:jc w:val="center"/>
              <w:rPr>
                <w:rFonts w:ascii="宋体" w:hAnsi="宋体" w:cs="宋体"/>
                <w:kern w:val="0"/>
                <w:sz w:val="18"/>
                <w:szCs w:val="18"/>
                <w:lang w:bidi="ar"/>
              </w:rPr>
            </w:pPr>
            <w:r>
              <w:rPr>
                <w:rFonts w:hint="eastAsia" w:ascii="宋体" w:hAnsi="宋体"/>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Align w:val="center"/>
          </w:tcPr>
          <w:p>
            <w:pPr>
              <w:spacing w:line="240" w:lineRule="auto"/>
              <w:jc w:val="center"/>
              <w:rPr>
                <w:rFonts w:ascii="宋体" w:hAnsi="宋体"/>
                <w:sz w:val="18"/>
                <w:szCs w:val="18"/>
              </w:rPr>
            </w:pPr>
            <w:r>
              <w:rPr>
                <w:rFonts w:ascii="Times New Roman" w:hAnsi="Times New Roman"/>
                <w:sz w:val="18"/>
                <w:szCs w:val="18"/>
              </w:rPr>
              <w:t>8.1.5</w:t>
            </w:r>
          </w:p>
        </w:tc>
        <w:tc>
          <w:tcPr>
            <w:tcW w:w="708" w:type="pct"/>
            <w:vAlign w:val="center"/>
          </w:tcPr>
          <w:p>
            <w:pPr>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无重大投诉事件</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sym w:font="Wingdings 2" w:char="F0A3"/>
            </w:r>
          </w:p>
        </w:tc>
        <w:tc>
          <w:tcPr>
            <w:tcW w:w="326" w:type="pct"/>
            <w:vAlign w:val="center"/>
          </w:tcPr>
          <w:p>
            <w:pPr>
              <w:spacing w:line="240" w:lineRule="auto"/>
              <w:jc w:val="center"/>
              <w:rPr>
                <w:rFonts w:ascii="宋体" w:hAnsi="宋体"/>
                <w:sz w:val="18"/>
                <w:szCs w:val="18"/>
              </w:rPr>
            </w:pPr>
            <w:r>
              <w:rPr>
                <w:rFonts w:hint="eastAsia" w:ascii="宋体" w:hAnsi="宋体"/>
                <w:sz w:val="18"/>
                <w:szCs w:val="18"/>
              </w:rPr>
              <w:sym w:font="Wingdings 2" w:char="F0A3"/>
            </w:r>
          </w:p>
        </w:tc>
        <w:tc>
          <w:tcPr>
            <w:tcW w:w="521" w:type="pct"/>
            <w:vMerge w:val="continue"/>
            <w:vAlign w:val="center"/>
          </w:tcPr>
          <w:p>
            <w:pPr>
              <w:spacing w:line="240" w:lineRule="auto"/>
              <w:jc w:val="center"/>
              <w:rPr>
                <w:rFonts w:ascii="宋体" w:hAnsi="宋体"/>
                <w:sz w:val="18"/>
                <w:szCs w:val="18"/>
              </w:rPr>
            </w:pPr>
          </w:p>
        </w:tc>
        <w:tc>
          <w:tcPr>
            <w:tcW w:w="523" w:type="pct"/>
            <w:vMerge w:val="restart"/>
            <w:vAlign w:val="center"/>
          </w:tcPr>
          <w:p>
            <w:pPr>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环境</w:t>
            </w:r>
          </w:p>
        </w:tc>
        <w:tc>
          <w:tcPr>
            <w:tcW w:w="718" w:type="pct"/>
            <w:gridSpan w:val="2"/>
            <w:vAlign w:val="center"/>
          </w:tcPr>
          <w:p>
            <w:pPr>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节材效果</w:t>
            </w:r>
          </w:p>
        </w:tc>
        <w:tc>
          <w:tcPr>
            <w:tcW w:w="431" w:type="pct"/>
            <w:vAlign w:val="center"/>
          </w:tcPr>
          <w:p>
            <w:pPr>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2</w:t>
            </w:r>
          </w:p>
        </w:tc>
        <w:tc>
          <w:tcPr>
            <w:tcW w:w="313" w:type="pct"/>
            <w:vAlign w:val="center"/>
          </w:tcPr>
          <w:p>
            <w:pPr>
              <w:spacing w:line="240" w:lineRule="auto"/>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1209" w:type="pct"/>
            <w:gridSpan w:val="2"/>
            <w:vAlign w:val="center"/>
          </w:tcPr>
          <w:p>
            <w:pPr>
              <w:spacing w:line="240" w:lineRule="auto"/>
              <w:jc w:val="center"/>
              <w:rPr>
                <w:rFonts w:ascii="宋体" w:hAnsi="宋体" w:cs="宋体"/>
                <w:kern w:val="0"/>
                <w:sz w:val="18"/>
                <w:szCs w:val="18"/>
                <w:lang w:bidi="ar"/>
              </w:rPr>
            </w:pPr>
            <w:r>
              <w:rPr>
                <w:rFonts w:hint="eastAsia" w:ascii="宋体" w:hAnsi="宋体" w:cs="宋体"/>
                <w:b/>
                <w:bCs/>
                <w:kern w:val="0"/>
                <w:sz w:val="18"/>
                <w:szCs w:val="18"/>
                <w:lang w:bidi="ar"/>
              </w:rPr>
              <w:t>综合效益评分项</w:t>
            </w:r>
          </w:p>
        </w:tc>
        <w:tc>
          <w:tcPr>
            <w:tcW w:w="434" w:type="pct"/>
            <w:vAlign w:val="center"/>
          </w:tcPr>
          <w:p>
            <w:pPr>
              <w:spacing w:line="240" w:lineRule="auto"/>
              <w:jc w:val="center"/>
              <w:rPr>
                <w:rFonts w:ascii="宋体" w:hAnsi="宋体"/>
                <w:sz w:val="18"/>
                <w:szCs w:val="18"/>
              </w:rPr>
            </w:pPr>
            <w:r>
              <w:rPr>
                <w:rFonts w:hint="eastAsia" w:ascii="宋体" w:hAnsi="宋体"/>
                <w:b/>
                <w:bCs/>
                <w:sz w:val="18"/>
                <w:szCs w:val="18"/>
              </w:rPr>
              <w:t>总得分</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cs="宋体"/>
                <w:kern w:val="0"/>
                <w:sz w:val="18"/>
                <w:szCs w:val="18"/>
                <w:lang w:bidi="ar"/>
              </w:rPr>
            </w:pPr>
          </w:p>
        </w:tc>
        <w:tc>
          <w:tcPr>
            <w:tcW w:w="718" w:type="pct"/>
            <w:gridSpan w:val="2"/>
            <w:vAlign w:val="center"/>
          </w:tcPr>
          <w:p>
            <w:pPr>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节能效果</w:t>
            </w:r>
          </w:p>
        </w:tc>
        <w:tc>
          <w:tcPr>
            <w:tcW w:w="431" w:type="pct"/>
            <w:vAlign w:val="center"/>
          </w:tcPr>
          <w:p>
            <w:pPr>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2</w:t>
            </w:r>
          </w:p>
        </w:tc>
        <w:tc>
          <w:tcPr>
            <w:tcW w:w="313" w:type="pct"/>
            <w:vAlign w:val="center"/>
          </w:tcPr>
          <w:p>
            <w:pPr>
              <w:spacing w:line="240" w:lineRule="auto"/>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restart"/>
            <w:vAlign w:val="center"/>
          </w:tcPr>
          <w:p>
            <w:pPr>
              <w:spacing w:line="240" w:lineRule="auto"/>
              <w:jc w:val="center"/>
              <w:rPr>
                <w:rFonts w:ascii="宋体" w:hAnsi="宋体"/>
                <w:sz w:val="18"/>
                <w:szCs w:val="18"/>
              </w:rPr>
            </w:pPr>
            <w:r>
              <w:rPr>
                <w:rFonts w:hint="eastAsia" w:ascii="宋体" w:hAnsi="宋体"/>
                <w:sz w:val="18"/>
                <w:szCs w:val="18"/>
              </w:rPr>
              <w:t>评价指标</w:t>
            </w:r>
          </w:p>
        </w:tc>
        <w:tc>
          <w:tcPr>
            <w:tcW w:w="708" w:type="pct"/>
            <w:vMerge w:val="restart"/>
            <w:vAlign w:val="center"/>
          </w:tcPr>
          <w:p>
            <w:pPr>
              <w:spacing w:line="240" w:lineRule="auto"/>
              <w:jc w:val="center"/>
              <w:rPr>
                <w:rFonts w:ascii="宋体" w:hAnsi="宋体"/>
                <w:sz w:val="18"/>
                <w:szCs w:val="18"/>
              </w:rPr>
            </w:pPr>
            <w:r>
              <w:rPr>
                <w:rFonts w:hint="eastAsia" w:ascii="宋体" w:hAnsi="宋体"/>
                <w:sz w:val="18"/>
                <w:szCs w:val="18"/>
              </w:rPr>
              <w:t>评价模块</w:t>
            </w:r>
          </w:p>
        </w:tc>
        <w:tc>
          <w:tcPr>
            <w:tcW w:w="760" w:type="pct"/>
            <w:gridSpan w:val="2"/>
            <w:vAlign w:val="center"/>
          </w:tcPr>
          <w:p>
            <w:pPr>
              <w:spacing w:line="240" w:lineRule="auto"/>
              <w:jc w:val="center"/>
              <w:rPr>
                <w:rFonts w:ascii="宋体" w:hAnsi="宋体"/>
                <w:sz w:val="18"/>
                <w:szCs w:val="18"/>
              </w:rPr>
            </w:pPr>
            <w:r>
              <w:rPr>
                <w:rFonts w:hint="eastAsia" w:ascii="宋体" w:hAnsi="宋体"/>
                <w:sz w:val="18"/>
                <w:szCs w:val="18"/>
              </w:rPr>
              <w:t>得分情况</w:t>
            </w: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cs="宋体"/>
                <w:kern w:val="0"/>
                <w:sz w:val="18"/>
                <w:szCs w:val="18"/>
                <w:lang w:bidi="ar"/>
              </w:rPr>
            </w:pPr>
          </w:p>
        </w:tc>
        <w:tc>
          <w:tcPr>
            <w:tcW w:w="718" w:type="pct"/>
            <w:gridSpan w:val="2"/>
            <w:vAlign w:val="center"/>
          </w:tcPr>
          <w:p>
            <w:pPr>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节水效果</w:t>
            </w:r>
          </w:p>
        </w:tc>
        <w:tc>
          <w:tcPr>
            <w:tcW w:w="431" w:type="pct"/>
            <w:vAlign w:val="center"/>
          </w:tcPr>
          <w:p>
            <w:pPr>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2</w:t>
            </w:r>
          </w:p>
        </w:tc>
        <w:tc>
          <w:tcPr>
            <w:tcW w:w="313" w:type="pct"/>
            <w:vAlign w:val="center"/>
          </w:tcPr>
          <w:p>
            <w:pPr>
              <w:spacing w:line="240" w:lineRule="auto"/>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Merge w:val="continue"/>
            <w:vAlign w:val="center"/>
          </w:tcPr>
          <w:p>
            <w:pPr>
              <w:spacing w:line="240" w:lineRule="auto"/>
              <w:jc w:val="center"/>
              <w:rPr>
                <w:rFonts w:ascii="宋体" w:hAnsi="宋体" w:cs="宋体"/>
                <w:kern w:val="0"/>
                <w:sz w:val="18"/>
                <w:szCs w:val="18"/>
                <w:lang w:bidi="ar"/>
              </w:rPr>
            </w:pPr>
          </w:p>
        </w:tc>
        <w:tc>
          <w:tcPr>
            <w:tcW w:w="434" w:type="pct"/>
            <w:vAlign w:val="center"/>
          </w:tcPr>
          <w:p>
            <w:pPr>
              <w:spacing w:line="240" w:lineRule="auto"/>
              <w:jc w:val="center"/>
              <w:rPr>
                <w:rFonts w:ascii="宋体" w:hAnsi="宋体"/>
                <w:sz w:val="18"/>
                <w:szCs w:val="18"/>
              </w:rPr>
            </w:pPr>
            <w:r>
              <w:rPr>
                <w:rFonts w:hint="eastAsia" w:ascii="宋体" w:hAnsi="宋体"/>
                <w:sz w:val="18"/>
                <w:szCs w:val="18"/>
              </w:rPr>
              <w:t>分值</w:t>
            </w:r>
          </w:p>
        </w:tc>
        <w:tc>
          <w:tcPr>
            <w:tcW w:w="326" w:type="pct"/>
            <w:vAlign w:val="center"/>
          </w:tcPr>
          <w:p>
            <w:pPr>
              <w:spacing w:line="240" w:lineRule="auto"/>
              <w:jc w:val="center"/>
              <w:rPr>
                <w:rFonts w:ascii="宋体" w:hAnsi="宋体"/>
                <w:sz w:val="18"/>
                <w:szCs w:val="18"/>
              </w:rPr>
            </w:pPr>
            <w:r>
              <w:rPr>
                <w:rFonts w:hint="eastAsia" w:ascii="宋体" w:hAnsi="宋体"/>
                <w:sz w:val="18"/>
                <w:szCs w:val="18"/>
              </w:rPr>
              <w:t>得分</w:t>
            </w: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节地效果</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2</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restart"/>
            <w:vAlign w:val="center"/>
          </w:tcPr>
          <w:p>
            <w:pPr>
              <w:spacing w:line="240" w:lineRule="auto"/>
              <w:jc w:val="center"/>
              <w:rPr>
                <w:rFonts w:ascii="宋体" w:hAnsi="宋体" w:cs="宋体"/>
                <w:b/>
                <w:bCs/>
                <w:kern w:val="0"/>
                <w:sz w:val="18"/>
                <w:szCs w:val="18"/>
                <w:lang w:bidi="ar"/>
              </w:rPr>
            </w:pPr>
            <w:r>
              <w:rPr>
                <w:rFonts w:hint="eastAsia" w:ascii="宋体" w:hAnsi="宋体"/>
                <w:sz w:val="18"/>
                <w:szCs w:val="18"/>
              </w:rPr>
              <w:t>经济效益</w:t>
            </w:r>
          </w:p>
        </w:tc>
        <w:tc>
          <w:tcPr>
            <w:tcW w:w="708" w:type="pct"/>
            <w:vAlign w:val="center"/>
          </w:tcPr>
          <w:p>
            <w:pPr>
              <w:spacing w:line="240" w:lineRule="auto"/>
              <w:jc w:val="center"/>
              <w:rPr>
                <w:rFonts w:ascii="宋体" w:hAnsi="宋体" w:cs="宋体"/>
                <w:b/>
                <w:bCs/>
                <w:kern w:val="0"/>
                <w:sz w:val="18"/>
                <w:szCs w:val="18"/>
                <w:lang w:bidi="ar"/>
              </w:rPr>
            </w:pPr>
            <w:r>
              <w:rPr>
                <w:rFonts w:hint="eastAsia" w:ascii="宋体" w:hAnsi="宋体" w:cs="宋体"/>
                <w:kern w:val="0"/>
                <w:sz w:val="18"/>
                <w:szCs w:val="18"/>
                <w:lang w:bidi="ar"/>
              </w:rPr>
              <w:t>建造成本</w:t>
            </w:r>
          </w:p>
        </w:tc>
        <w:tc>
          <w:tcPr>
            <w:tcW w:w="434" w:type="pct"/>
            <w:vAlign w:val="center"/>
          </w:tcPr>
          <w:p>
            <w:pPr>
              <w:spacing w:line="240" w:lineRule="auto"/>
              <w:jc w:val="center"/>
              <w:rPr>
                <w:rFonts w:ascii="宋体" w:hAnsi="宋体"/>
                <w:b/>
                <w:bCs/>
                <w:sz w:val="18"/>
                <w:szCs w:val="18"/>
              </w:rPr>
            </w:pPr>
            <w:r>
              <w:rPr>
                <w:rFonts w:ascii="宋体" w:hAnsi="宋体"/>
                <w:sz w:val="18"/>
                <w:szCs w:val="18"/>
              </w:rPr>
              <w:t>6</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环保效果</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5</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Align w:val="center"/>
          </w:tcPr>
          <w:p>
            <w:pPr>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用工投入</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t>2</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restart"/>
            <w:vAlign w:val="center"/>
          </w:tcPr>
          <w:p>
            <w:pPr>
              <w:spacing w:line="240" w:lineRule="auto"/>
              <w:jc w:val="center"/>
              <w:rPr>
                <w:rFonts w:ascii="宋体" w:hAnsi="宋体"/>
                <w:sz w:val="18"/>
                <w:szCs w:val="18"/>
              </w:rPr>
            </w:pPr>
            <w:r>
              <w:rPr>
                <w:rFonts w:hint="eastAsia" w:ascii="宋体" w:hAnsi="宋体"/>
                <w:sz w:val="18"/>
                <w:szCs w:val="18"/>
              </w:rPr>
              <w:t>社会</w:t>
            </w: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人才培育</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2</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Align w:val="center"/>
          </w:tcPr>
          <w:p>
            <w:pPr>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材料损耗</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t>2</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作业环境改善</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2</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Align w:val="center"/>
          </w:tcPr>
          <w:p>
            <w:pPr>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材料库存</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t>2</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行业促进</w:t>
            </w:r>
          </w:p>
        </w:tc>
        <w:tc>
          <w:tcPr>
            <w:tcW w:w="431" w:type="pct"/>
            <w:vAlign w:val="center"/>
          </w:tcPr>
          <w:p>
            <w:pPr>
              <w:spacing w:line="240" w:lineRule="auto"/>
              <w:jc w:val="center"/>
              <w:rPr>
                <w:rFonts w:ascii="宋体" w:hAnsi="宋体"/>
                <w:sz w:val="18"/>
                <w:szCs w:val="18"/>
              </w:rPr>
            </w:pPr>
            <w:r>
              <w:rPr>
                <w:rFonts w:ascii="宋体" w:hAnsi="宋体"/>
                <w:sz w:val="18"/>
                <w:szCs w:val="18"/>
              </w:rPr>
              <w:t>4</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restart"/>
            <w:vAlign w:val="center"/>
          </w:tcPr>
          <w:p>
            <w:pPr>
              <w:spacing w:line="240" w:lineRule="auto"/>
              <w:jc w:val="center"/>
              <w:rPr>
                <w:rFonts w:ascii="宋体" w:hAnsi="宋体"/>
                <w:sz w:val="18"/>
                <w:szCs w:val="18"/>
              </w:rPr>
            </w:pPr>
            <w:r>
              <w:rPr>
                <w:rFonts w:hint="eastAsia" w:ascii="宋体" w:hAnsi="宋体"/>
                <w:sz w:val="18"/>
                <w:szCs w:val="18"/>
              </w:rPr>
              <w:t>社会效益</w:t>
            </w:r>
          </w:p>
        </w:tc>
        <w:tc>
          <w:tcPr>
            <w:tcW w:w="708" w:type="pct"/>
            <w:vAlign w:val="center"/>
          </w:tcPr>
          <w:p>
            <w:pPr>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员工福利</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t>2</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restart"/>
            <w:vAlign w:val="center"/>
          </w:tcPr>
          <w:p>
            <w:pPr>
              <w:spacing w:line="240" w:lineRule="auto"/>
              <w:jc w:val="center"/>
              <w:rPr>
                <w:rFonts w:ascii="宋体" w:hAnsi="宋体"/>
                <w:sz w:val="18"/>
                <w:szCs w:val="18"/>
              </w:rPr>
            </w:pPr>
            <w:r>
              <w:rPr>
                <w:rFonts w:hint="eastAsia" w:ascii="宋体" w:hAnsi="宋体"/>
                <w:sz w:val="18"/>
                <w:szCs w:val="18"/>
              </w:rPr>
              <w:t>治理</w:t>
            </w:r>
          </w:p>
        </w:tc>
        <w:tc>
          <w:tcPr>
            <w:tcW w:w="718" w:type="pct"/>
            <w:gridSpan w:val="2"/>
            <w:vAlign w:val="center"/>
          </w:tcPr>
          <w:p>
            <w:pPr>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管理</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4</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Align w:val="center"/>
          </w:tcPr>
          <w:p>
            <w:pPr>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社会和谐</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t>2</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b/>
                <w:bCs/>
                <w:sz w:val="18"/>
                <w:szCs w:val="18"/>
              </w:rPr>
            </w:pP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贪污腐败</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1</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Align w:val="center"/>
          </w:tcPr>
          <w:p>
            <w:pPr>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环境文明</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t>2</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1241" w:type="pct"/>
            <w:gridSpan w:val="3"/>
            <w:vAlign w:val="center"/>
          </w:tcPr>
          <w:p>
            <w:pPr>
              <w:spacing w:line="240" w:lineRule="auto"/>
              <w:jc w:val="center"/>
              <w:rPr>
                <w:rFonts w:ascii="宋体" w:hAnsi="宋体"/>
                <w:sz w:val="18"/>
                <w:szCs w:val="18"/>
              </w:rPr>
            </w:pPr>
            <w:r>
              <w:rPr>
                <w:rFonts w:hint="eastAsia" w:ascii="宋体" w:hAnsi="宋体"/>
                <w:b/>
                <w:bCs/>
                <w:sz w:val="18"/>
                <w:szCs w:val="18"/>
              </w:rPr>
              <w:t>科技创新评分项</w:t>
            </w:r>
          </w:p>
        </w:tc>
        <w:tc>
          <w:tcPr>
            <w:tcW w:w="431" w:type="pct"/>
            <w:vAlign w:val="center"/>
          </w:tcPr>
          <w:p>
            <w:pPr>
              <w:spacing w:line="240" w:lineRule="auto"/>
              <w:jc w:val="center"/>
              <w:rPr>
                <w:rFonts w:ascii="宋体" w:hAnsi="宋体"/>
                <w:sz w:val="18"/>
                <w:szCs w:val="18"/>
              </w:rPr>
            </w:pPr>
            <w:r>
              <w:rPr>
                <w:rFonts w:hint="eastAsia" w:ascii="宋体" w:hAnsi="宋体"/>
                <w:b/>
                <w:bCs/>
                <w:sz w:val="18"/>
                <w:szCs w:val="18"/>
              </w:rPr>
              <w:t>总得分</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Align w:val="center"/>
          </w:tcPr>
          <w:p>
            <w:pPr>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建筑碳排放</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t>2</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restart"/>
            <w:vAlign w:val="center"/>
          </w:tcPr>
          <w:p>
            <w:pPr>
              <w:spacing w:line="240" w:lineRule="auto"/>
              <w:jc w:val="center"/>
              <w:rPr>
                <w:rFonts w:ascii="宋体" w:hAnsi="宋体"/>
                <w:sz w:val="18"/>
                <w:szCs w:val="18"/>
              </w:rPr>
            </w:pPr>
            <w:r>
              <w:rPr>
                <w:rFonts w:hint="eastAsia" w:ascii="宋体" w:hAnsi="宋体"/>
                <w:sz w:val="18"/>
                <w:szCs w:val="18"/>
              </w:rPr>
              <w:t>评价指标</w:t>
            </w:r>
          </w:p>
        </w:tc>
        <w:tc>
          <w:tcPr>
            <w:tcW w:w="718" w:type="pct"/>
            <w:gridSpan w:val="2"/>
            <w:vMerge w:val="restart"/>
            <w:vAlign w:val="center"/>
          </w:tcPr>
          <w:p>
            <w:pPr>
              <w:spacing w:line="240" w:lineRule="auto"/>
              <w:jc w:val="center"/>
              <w:rPr>
                <w:rFonts w:ascii="宋体" w:hAnsi="宋体"/>
                <w:sz w:val="18"/>
                <w:szCs w:val="18"/>
              </w:rPr>
            </w:pPr>
            <w:r>
              <w:rPr>
                <w:rFonts w:hint="eastAsia" w:ascii="宋体" w:hAnsi="宋体"/>
                <w:sz w:val="18"/>
                <w:szCs w:val="18"/>
              </w:rPr>
              <w:t>评价模块</w:t>
            </w:r>
          </w:p>
        </w:tc>
        <w:tc>
          <w:tcPr>
            <w:tcW w:w="744" w:type="pct"/>
            <w:gridSpan w:val="2"/>
            <w:vAlign w:val="center"/>
          </w:tcPr>
          <w:p>
            <w:pPr>
              <w:spacing w:line="240" w:lineRule="auto"/>
              <w:jc w:val="center"/>
              <w:rPr>
                <w:rFonts w:ascii="宋体" w:hAnsi="宋体"/>
                <w:sz w:val="18"/>
                <w:szCs w:val="18"/>
              </w:rPr>
            </w:pPr>
            <w:r>
              <w:rPr>
                <w:rFonts w:hint="eastAsia" w:ascii="宋体" w:hAnsi="宋体"/>
                <w:sz w:val="18"/>
                <w:szCs w:val="18"/>
              </w:rPr>
              <w:t>得分情况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1209" w:type="pct"/>
            <w:gridSpan w:val="2"/>
            <w:vAlign w:val="center"/>
          </w:tcPr>
          <w:p>
            <w:pPr>
              <w:spacing w:line="240" w:lineRule="auto"/>
              <w:jc w:val="center"/>
              <w:rPr>
                <w:rFonts w:ascii="宋体" w:hAnsi="宋体" w:cs="宋体"/>
                <w:kern w:val="0"/>
                <w:sz w:val="18"/>
                <w:szCs w:val="18"/>
                <w:lang w:bidi="ar"/>
              </w:rPr>
            </w:pPr>
            <w:r>
              <w:rPr>
                <w:rFonts w:hint="eastAsia" w:ascii="宋体" w:hAnsi="宋体" w:cs="宋体"/>
                <w:b/>
                <w:bCs/>
                <w:kern w:val="0"/>
                <w:sz w:val="18"/>
                <w:szCs w:val="18"/>
                <w:lang w:bidi="ar"/>
              </w:rPr>
              <w:t>产品品质评分项</w:t>
            </w:r>
          </w:p>
        </w:tc>
        <w:tc>
          <w:tcPr>
            <w:tcW w:w="434" w:type="pct"/>
            <w:vAlign w:val="center"/>
          </w:tcPr>
          <w:p>
            <w:pPr>
              <w:spacing w:line="240" w:lineRule="auto"/>
              <w:jc w:val="center"/>
              <w:rPr>
                <w:rFonts w:ascii="宋体" w:hAnsi="宋体"/>
                <w:sz w:val="18"/>
                <w:szCs w:val="18"/>
              </w:rPr>
            </w:pPr>
            <w:r>
              <w:rPr>
                <w:rFonts w:hint="eastAsia" w:ascii="宋体" w:hAnsi="宋体"/>
                <w:b/>
                <w:bCs/>
                <w:sz w:val="18"/>
                <w:szCs w:val="18"/>
              </w:rPr>
              <w:t>总得分</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Merge w:val="continue"/>
            <w:vAlign w:val="center"/>
          </w:tcPr>
          <w:p>
            <w:pPr>
              <w:spacing w:line="240" w:lineRule="auto"/>
              <w:jc w:val="center"/>
              <w:rPr>
                <w:rFonts w:ascii="宋体" w:hAnsi="宋体"/>
                <w:sz w:val="18"/>
                <w:szCs w:val="18"/>
              </w:rPr>
            </w:pPr>
          </w:p>
        </w:tc>
        <w:tc>
          <w:tcPr>
            <w:tcW w:w="431" w:type="pct"/>
            <w:vAlign w:val="center"/>
          </w:tcPr>
          <w:p>
            <w:pPr>
              <w:spacing w:line="240" w:lineRule="auto"/>
              <w:jc w:val="center"/>
              <w:rPr>
                <w:rFonts w:ascii="宋体" w:hAnsi="宋体"/>
                <w:sz w:val="18"/>
                <w:szCs w:val="18"/>
              </w:rPr>
            </w:pPr>
            <w:r>
              <w:rPr>
                <w:rFonts w:hint="eastAsia" w:ascii="宋体" w:hAnsi="宋体"/>
                <w:sz w:val="18"/>
                <w:szCs w:val="18"/>
              </w:rPr>
              <w:t>分值</w:t>
            </w:r>
          </w:p>
        </w:tc>
        <w:tc>
          <w:tcPr>
            <w:tcW w:w="313" w:type="pct"/>
            <w:vAlign w:val="center"/>
          </w:tcPr>
          <w:p>
            <w:pPr>
              <w:spacing w:line="240" w:lineRule="auto"/>
              <w:jc w:val="center"/>
              <w:rPr>
                <w:rFonts w:ascii="宋体" w:hAnsi="宋体"/>
                <w:sz w:val="18"/>
                <w:szCs w:val="18"/>
              </w:rPr>
            </w:pPr>
            <w:r>
              <w:rPr>
                <w:rFonts w:hint="eastAsia" w:ascii="宋体" w:hAnsi="宋体"/>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restart"/>
            <w:vAlign w:val="center"/>
          </w:tcPr>
          <w:p>
            <w:pPr>
              <w:spacing w:line="240" w:lineRule="auto"/>
              <w:jc w:val="center"/>
              <w:rPr>
                <w:rFonts w:ascii="宋体" w:hAnsi="宋体"/>
                <w:sz w:val="18"/>
                <w:szCs w:val="18"/>
              </w:rPr>
            </w:pPr>
            <w:r>
              <w:rPr>
                <w:rFonts w:hint="eastAsia" w:ascii="宋体" w:hAnsi="宋体"/>
                <w:sz w:val="18"/>
                <w:szCs w:val="18"/>
              </w:rPr>
              <w:t>评价指标</w:t>
            </w:r>
          </w:p>
        </w:tc>
        <w:tc>
          <w:tcPr>
            <w:tcW w:w="708" w:type="pct"/>
            <w:vMerge w:val="restart"/>
            <w:vAlign w:val="center"/>
          </w:tcPr>
          <w:p>
            <w:pPr>
              <w:spacing w:line="240" w:lineRule="auto"/>
              <w:jc w:val="center"/>
              <w:rPr>
                <w:rFonts w:ascii="宋体" w:hAnsi="宋体" w:cs="宋体"/>
                <w:kern w:val="0"/>
                <w:sz w:val="18"/>
                <w:szCs w:val="18"/>
                <w:lang w:bidi="ar"/>
              </w:rPr>
            </w:pPr>
            <w:r>
              <w:rPr>
                <w:rFonts w:hint="eastAsia" w:ascii="宋体" w:hAnsi="宋体"/>
                <w:sz w:val="18"/>
                <w:szCs w:val="18"/>
              </w:rPr>
              <w:t>评价模块</w:t>
            </w:r>
          </w:p>
        </w:tc>
        <w:tc>
          <w:tcPr>
            <w:tcW w:w="760" w:type="pct"/>
            <w:gridSpan w:val="2"/>
            <w:vAlign w:val="center"/>
          </w:tcPr>
          <w:p>
            <w:pPr>
              <w:spacing w:line="240" w:lineRule="auto"/>
              <w:jc w:val="center"/>
              <w:rPr>
                <w:rFonts w:ascii="宋体" w:hAnsi="宋体"/>
                <w:sz w:val="18"/>
                <w:szCs w:val="18"/>
              </w:rPr>
            </w:pPr>
            <w:r>
              <w:rPr>
                <w:rFonts w:hint="eastAsia" w:ascii="宋体" w:hAnsi="宋体"/>
                <w:sz w:val="18"/>
                <w:szCs w:val="18"/>
              </w:rPr>
              <w:t>得分情况</w:t>
            </w:r>
          </w:p>
        </w:tc>
        <w:tc>
          <w:tcPr>
            <w:tcW w:w="521" w:type="pct"/>
            <w:vMerge w:val="continue"/>
            <w:vAlign w:val="center"/>
          </w:tcPr>
          <w:p>
            <w:pPr>
              <w:spacing w:line="240" w:lineRule="auto"/>
              <w:jc w:val="center"/>
              <w:rPr>
                <w:rFonts w:ascii="宋体" w:hAnsi="宋体"/>
                <w:sz w:val="18"/>
                <w:szCs w:val="18"/>
              </w:rPr>
            </w:pPr>
          </w:p>
        </w:tc>
        <w:tc>
          <w:tcPr>
            <w:tcW w:w="523" w:type="pct"/>
            <w:vMerge w:val="restart"/>
            <w:vAlign w:val="center"/>
          </w:tcPr>
          <w:p>
            <w:pPr>
              <w:spacing w:line="240" w:lineRule="auto"/>
              <w:jc w:val="center"/>
              <w:rPr>
                <w:rFonts w:ascii="宋体" w:hAnsi="宋体"/>
                <w:sz w:val="18"/>
                <w:szCs w:val="18"/>
              </w:rPr>
            </w:pPr>
            <w:r>
              <w:rPr>
                <w:rFonts w:hint="eastAsia" w:ascii="宋体" w:hAnsi="宋体"/>
                <w:sz w:val="18"/>
                <w:szCs w:val="18"/>
              </w:rPr>
              <w:t>科技创新</w:t>
            </w: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科技获奖</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8</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Merge w:val="continue"/>
            <w:vAlign w:val="center"/>
          </w:tcPr>
          <w:p>
            <w:pPr>
              <w:spacing w:line="240" w:lineRule="auto"/>
              <w:jc w:val="center"/>
              <w:rPr>
                <w:rFonts w:ascii="宋体" w:hAnsi="宋体" w:cs="宋体"/>
                <w:kern w:val="0"/>
                <w:sz w:val="18"/>
                <w:szCs w:val="18"/>
                <w:lang w:bidi="ar"/>
              </w:rPr>
            </w:pPr>
          </w:p>
        </w:tc>
        <w:tc>
          <w:tcPr>
            <w:tcW w:w="434" w:type="pct"/>
            <w:vAlign w:val="center"/>
          </w:tcPr>
          <w:p>
            <w:pPr>
              <w:spacing w:line="240" w:lineRule="auto"/>
              <w:jc w:val="center"/>
              <w:rPr>
                <w:rFonts w:ascii="宋体" w:hAnsi="宋体"/>
                <w:sz w:val="18"/>
                <w:szCs w:val="18"/>
              </w:rPr>
            </w:pPr>
            <w:r>
              <w:rPr>
                <w:rFonts w:hint="eastAsia" w:ascii="宋体" w:hAnsi="宋体"/>
                <w:sz w:val="18"/>
                <w:szCs w:val="18"/>
              </w:rPr>
              <w:t>分值</w:t>
            </w:r>
          </w:p>
        </w:tc>
        <w:tc>
          <w:tcPr>
            <w:tcW w:w="326" w:type="pct"/>
            <w:vAlign w:val="center"/>
          </w:tcPr>
          <w:p>
            <w:pPr>
              <w:spacing w:line="240" w:lineRule="auto"/>
              <w:jc w:val="center"/>
              <w:rPr>
                <w:rFonts w:ascii="宋体" w:hAnsi="宋体"/>
                <w:sz w:val="18"/>
                <w:szCs w:val="18"/>
              </w:rPr>
            </w:pPr>
            <w:r>
              <w:rPr>
                <w:rFonts w:hint="eastAsia" w:ascii="宋体" w:hAnsi="宋体"/>
                <w:sz w:val="18"/>
                <w:szCs w:val="18"/>
              </w:rPr>
              <w:t>得分</w:t>
            </w: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科技示范</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8</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restart"/>
            <w:vAlign w:val="center"/>
          </w:tcPr>
          <w:p>
            <w:pPr>
              <w:spacing w:line="240" w:lineRule="auto"/>
              <w:jc w:val="center"/>
              <w:rPr>
                <w:rFonts w:ascii="宋体" w:hAnsi="宋体"/>
                <w:sz w:val="18"/>
                <w:szCs w:val="18"/>
              </w:rPr>
            </w:pPr>
            <w:r>
              <w:rPr>
                <w:rFonts w:hint="eastAsia" w:ascii="宋体" w:hAnsi="宋体"/>
                <w:sz w:val="18"/>
                <w:szCs w:val="18"/>
              </w:rPr>
              <w:t>建筑质量</w:t>
            </w:r>
          </w:p>
        </w:tc>
        <w:tc>
          <w:tcPr>
            <w:tcW w:w="708" w:type="pct"/>
            <w:vAlign w:val="center"/>
          </w:tcPr>
          <w:p>
            <w:pPr>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质量评价</w:t>
            </w:r>
          </w:p>
        </w:tc>
        <w:tc>
          <w:tcPr>
            <w:tcW w:w="434" w:type="pct"/>
            <w:vAlign w:val="center"/>
          </w:tcPr>
          <w:p>
            <w:pPr>
              <w:spacing w:line="240" w:lineRule="auto"/>
              <w:jc w:val="center"/>
              <w:rPr>
                <w:rFonts w:ascii="宋体" w:hAnsi="宋体"/>
                <w:sz w:val="18"/>
                <w:szCs w:val="18"/>
              </w:rPr>
            </w:pPr>
            <w:r>
              <w:rPr>
                <w:rFonts w:ascii="宋体" w:hAnsi="宋体"/>
                <w:sz w:val="18"/>
                <w:szCs w:val="18"/>
              </w:rPr>
              <w:t>6</w:t>
            </w:r>
          </w:p>
        </w:tc>
        <w:tc>
          <w:tcPr>
            <w:tcW w:w="326" w:type="pct"/>
            <w:vAlign w:val="center"/>
          </w:tcPr>
          <w:p>
            <w:pPr>
              <w:spacing w:line="240" w:lineRule="auto"/>
              <w:jc w:val="center"/>
              <w:rPr>
                <w:rFonts w:ascii="宋体" w:hAnsi="宋体"/>
                <w:sz w:val="18"/>
                <w:szCs w:val="18"/>
              </w:rPr>
            </w:pPr>
          </w:p>
        </w:tc>
        <w:tc>
          <w:tcPr>
            <w:tcW w:w="521" w:type="pct"/>
            <w:vMerge w:val="continue"/>
            <w:vAlign w:val="center"/>
          </w:tcPr>
          <w:p>
            <w:pPr>
              <w:spacing w:line="240" w:lineRule="auto"/>
              <w:jc w:val="center"/>
              <w:rPr>
                <w:rFonts w:ascii="宋体" w:hAnsi="宋体"/>
                <w:sz w:val="18"/>
                <w:szCs w:val="18"/>
              </w:rPr>
            </w:pPr>
          </w:p>
        </w:tc>
        <w:tc>
          <w:tcPr>
            <w:tcW w:w="523" w:type="pct"/>
            <w:vMerge w:val="continue"/>
            <w:vAlign w:val="center"/>
          </w:tcPr>
          <w:p>
            <w:pPr>
              <w:spacing w:line="240" w:lineRule="auto"/>
              <w:jc w:val="center"/>
              <w:rPr>
                <w:rFonts w:ascii="宋体" w:hAnsi="宋体"/>
                <w:sz w:val="18"/>
                <w:szCs w:val="18"/>
              </w:rPr>
            </w:pPr>
          </w:p>
        </w:tc>
        <w:tc>
          <w:tcPr>
            <w:tcW w:w="718" w:type="pct"/>
            <w:gridSpan w:val="2"/>
            <w:vAlign w:val="center"/>
          </w:tcPr>
          <w:p>
            <w:pPr>
              <w:spacing w:line="240" w:lineRule="auto"/>
              <w:jc w:val="center"/>
              <w:rPr>
                <w:rFonts w:ascii="宋体" w:hAnsi="宋体"/>
                <w:sz w:val="18"/>
                <w:szCs w:val="18"/>
              </w:rPr>
            </w:pPr>
            <w:r>
              <w:rPr>
                <w:rFonts w:hint="eastAsia" w:ascii="宋体" w:hAnsi="宋体"/>
                <w:sz w:val="18"/>
                <w:szCs w:val="18"/>
              </w:rPr>
              <w:t>应用前景</w:t>
            </w:r>
          </w:p>
        </w:tc>
        <w:tc>
          <w:tcPr>
            <w:tcW w:w="431" w:type="pct"/>
            <w:vAlign w:val="center"/>
          </w:tcPr>
          <w:p>
            <w:pPr>
              <w:spacing w:line="240" w:lineRule="auto"/>
              <w:jc w:val="center"/>
              <w:rPr>
                <w:rFonts w:ascii="宋体" w:hAnsi="宋体"/>
                <w:sz w:val="18"/>
                <w:szCs w:val="18"/>
              </w:rPr>
            </w:pPr>
            <w:r>
              <w:rPr>
                <w:rFonts w:hint="eastAsia" w:ascii="宋体" w:hAnsi="宋体"/>
                <w:sz w:val="18"/>
                <w:szCs w:val="18"/>
              </w:rPr>
              <w:t>1</w:t>
            </w:r>
            <w:r>
              <w:rPr>
                <w:rFonts w:ascii="宋体" w:hAnsi="宋体"/>
                <w:sz w:val="18"/>
                <w:szCs w:val="18"/>
              </w:rPr>
              <w:t>0</w:t>
            </w:r>
          </w:p>
        </w:tc>
        <w:tc>
          <w:tcPr>
            <w:tcW w:w="313"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Merge w:val="continue"/>
            <w:vAlign w:val="center"/>
          </w:tcPr>
          <w:p>
            <w:pPr>
              <w:spacing w:line="240" w:lineRule="auto"/>
              <w:jc w:val="center"/>
              <w:rPr>
                <w:rFonts w:ascii="宋体" w:hAnsi="宋体"/>
                <w:sz w:val="18"/>
                <w:szCs w:val="18"/>
              </w:rPr>
            </w:pPr>
          </w:p>
        </w:tc>
        <w:tc>
          <w:tcPr>
            <w:tcW w:w="501" w:type="pct"/>
            <w:vMerge w:val="continue"/>
            <w:vAlign w:val="center"/>
          </w:tcPr>
          <w:p>
            <w:pPr>
              <w:spacing w:line="240" w:lineRule="auto"/>
              <w:jc w:val="center"/>
              <w:rPr>
                <w:rFonts w:ascii="宋体" w:hAnsi="宋体"/>
                <w:sz w:val="18"/>
                <w:szCs w:val="18"/>
              </w:rPr>
            </w:pPr>
          </w:p>
        </w:tc>
        <w:tc>
          <w:tcPr>
            <w:tcW w:w="708" w:type="pct"/>
            <w:vAlign w:val="center"/>
          </w:tcPr>
          <w:p>
            <w:pPr>
              <w:spacing w:line="240" w:lineRule="auto"/>
              <w:jc w:val="center"/>
              <w:rPr>
                <w:rFonts w:ascii="宋体" w:hAnsi="宋体" w:cs="宋体"/>
                <w:kern w:val="0"/>
                <w:sz w:val="18"/>
                <w:szCs w:val="18"/>
                <w:lang w:bidi="ar"/>
              </w:rPr>
            </w:pPr>
            <w:r>
              <w:rPr>
                <w:rFonts w:hint="eastAsia" w:ascii="宋体" w:hAnsi="宋体" w:cs="宋体"/>
                <w:kern w:val="0"/>
                <w:sz w:val="18"/>
                <w:szCs w:val="18"/>
                <w:lang w:bidi="ar"/>
              </w:rPr>
              <w:t>用户满意度</w:t>
            </w:r>
          </w:p>
        </w:tc>
        <w:tc>
          <w:tcPr>
            <w:tcW w:w="434" w:type="pct"/>
            <w:vAlign w:val="center"/>
          </w:tcPr>
          <w:p>
            <w:pPr>
              <w:spacing w:line="240" w:lineRule="auto"/>
              <w:jc w:val="center"/>
              <w:rPr>
                <w:rFonts w:ascii="宋体" w:hAnsi="宋体"/>
                <w:sz w:val="18"/>
                <w:szCs w:val="18"/>
              </w:rPr>
            </w:pPr>
            <w:r>
              <w:rPr>
                <w:rFonts w:hint="eastAsia" w:ascii="宋体" w:hAnsi="宋体"/>
                <w:sz w:val="18"/>
                <w:szCs w:val="18"/>
              </w:rPr>
              <w:t>2</w:t>
            </w:r>
          </w:p>
        </w:tc>
        <w:tc>
          <w:tcPr>
            <w:tcW w:w="326" w:type="pct"/>
            <w:vAlign w:val="center"/>
          </w:tcPr>
          <w:p>
            <w:pPr>
              <w:spacing w:line="240" w:lineRule="auto"/>
              <w:jc w:val="center"/>
              <w:rPr>
                <w:rFonts w:ascii="宋体" w:hAnsi="宋体"/>
                <w:sz w:val="18"/>
                <w:szCs w:val="18"/>
              </w:rPr>
            </w:pPr>
          </w:p>
        </w:tc>
        <w:tc>
          <w:tcPr>
            <w:tcW w:w="2506" w:type="pct"/>
            <w:gridSpan w:val="6"/>
            <w:vMerge w:val="restart"/>
            <w:vAlign w:val="center"/>
          </w:tcPr>
          <w:p>
            <w:pPr>
              <w:spacing w:before="624" w:beforeLines="200" w:line="240" w:lineRule="auto"/>
              <w:jc w:val="center"/>
              <w:rPr>
                <w:rFonts w:ascii="宋体" w:hAnsi="宋体"/>
                <w:b/>
                <w:bCs/>
                <w:sz w:val="18"/>
                <w:szCs w:val="18"/>
              </w:rPr>
            </w:pPr>
            <w:r>
              <w:rPr>
                <w:rFonts w:hint="eastAsia" w:ascii="宋体" w:hAnsi="宋体"/>
                <w:b/>
                <w:bCs/>
                <w:sz w:val="18"/>
                <w:szCs w:val="18"/>
              </w:rPr>
              <w:t>结论：经评价，本项目可评为</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（级别）智能建造项目。</w:t>
            </w:r>
          </w:p>
          <w:p>
            <w:pPr>
              <w:spacing w:line="240" w:lineRule="auto"/>
              <w:jc w:val="center"/>
              <w:rPr>
                <w:rFonts w:ascii="宋体" w:hAnsi="宋体"/>
                <w:sz w:val="18"/>
                <w:szCs w:val="18"/>
              </w:rPr>
            </w:pPr>
          </w:p>
          <w:p>
            <w:pPr>
              <w:spacing w:line="240" w:lineRule="auto"/>
              <w:jc w:val="center"/>
              <w:rPr>
                <w:rFonts w:ascii="宋体" w:hAnsi="宋体"/>
                <w:sz w:val="18"/>
                <w:szCs w:val="18"/>
              </w:rPr>
            </w:pPr>
          </w:p>
          <w:p>
            <w:pPr>
              <w:spacing w:line="240" w:lineRule="auto"/>
              <w:jc w:val="center"/>
              <w:rPr>
                <w:rFonts w:ascii="宋体" w:hAnsi="宋体"/>
                <w:sz w:val="18"/>
                <w:szCs w:val="18"/>
              </w:rPr>
            </w:pPr>
            <w:r>
              <w:rPr>
                <w:rFonts w:hint="eastAsia" w:ascii="宋体" w:hAnsi="宋体"/>
                <w:sz w:val="18"/>
                <w:szCs w:val="18"/>
              </w:rPr>
              <w:t>（申报单位盖章）</w:t>
            </w:r>
          </w:p>
          <w:p>
            <w:pPr>
              <w:spacing w:line="240" w:lineRule="auto"/>
              <w:jc w:val="right"/>
              <w:rPr>
                <w:rFonts w:ascii="宋体" w:hAnsi="宋体"/>
                <w:sz w:val="18"/>
                <w:szCs w:val="18"/>
              </w:rPr>
            </w:pPr>
          </w:p>
          <w:p>
            <w:pPr>
              <w:spacing w:line="240" w:lineRule="auto"/>
              <w:jc w:val="right"/>
              <w:rPr>
                <w:rFonts w:ascii="宋体" w:hAnsi="宋体"/>
                <w:sz w:val="18"/>
                <w:szCs w:val="18"/>
              </w:rPr>
            </w:pPr>
            <w:r>
              <w:rPr>
                <w:rFonts w:hint="eastAsia" w:ascii="宋体" w:hAnsi="宋体"/>
                <w:sz w:val="18"/>
                <w:szCs w:val="18"/>
              </w:rPr>
              <w:t xml:space="preserve">日期： </w:t>
            </w:r>
            <w:r>
              <w:rPr>
                <w:rFonts w:ascii="宋体" w:hAnsi="宋体"/>
                <w:sz w:val="18"/>
                <w:szCs w:val="18"/>
              </w:rPr>
              <w:t xml:space="preserve">    </w:t>
            </w:r>
            <w:r>
              <w:rPr>
                <w:rFonts w:hint="eastAsia" w:ascii="宋体" w:hAnsi="宋体"/>
                <w:sz w:val="18"/>
                <w:szCs w:val="18"/>
              </w:rPr>
              <w:t xml:space="preserve">年 </w:t>
            </w:r>
            <w:r>
              <w:rPr>
                <w:rFonts w:ascii="宋体" w:hAnsi="宋体"/>
                <w:sz w:val="18"/>
                <w:szCs w:val="18"/>
              </w:rPr>
              <w:t xml:space="preserve">   </w:t>
            </w:r>
            <w:r>
              <w:rPr>
                <w:rFonts w:hint="eastAsia" w:ascii="宋体" w:hAnsi="宋体"/>
                <w:sz w:val="18"/>
                <w:szCs w:val="18"/>
              </w:rPr>
              <w:t xml:space="preserve">月 </w:t>
            </w:r>
            <w:r>
              <w:rPr>
                <w:rFonts w:ascii="宋体" w:hAnsi="宋体"/>
                <w:sz w:val="18"/>
                <w:szCs w:val="18"/>
              </w:rPr>
              <w:t xml:space="preserve">   </w:t>
            </w:r>
            <w:r>
              <w:rPr>
                <w:rFonts w:hint="eastAsia" w:ascii="宋体" w:hAnsi="宋体"/>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4" w:type="pct"/>
            <w:gridSpan w:val="5"/>
            <w:vAlign w:val="center"/>
          </w:tcPr>
          <w:p>
            <w:pPr>
              <w:spacing w:line="240" w:lineRule="auto"/>
              <w:jc w:val="center"/>
              <w:rPr>
                <w:rFonts w:ascii="宋体" w:hAnsi="宋体"/>
                <w:b/>
                <w:bCs/>
                <w:sz w:val="18"/>
                <w:szCs w:val="18"/>
              </w:rPr>
            </w:pPr>
            <w:r>
              <w:rPr>
                <w:rFonts w:hint="eastAsia" w:ascii="宋体" w:hAnsi="宋体"/>
                <w:b/>
                <w:bCs/>
                <w:sz w:val="18"/>
                <w:szCs w:val="18"/>
              </w:rPr>
              <w:t>汇总成果</w:t>
            </w:r>
          </w:p>
        </w:tc>
        <w:tc>
          <w:tcPr>
            <w:tcW w:w="2506" w:type="pct"/>
            <w:gridSpan w:val="6"/>
            <w:vMerge w:val="continue"/>
            <w:vAlign w:val="center"/>
          </w:tcPr>
          <w:p>
            <w:pPr>
              <w:spacing w:line="240" w:lineRule="auto"/>
              <w:jc w:val="righ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Align w:val="center"/>
          </w:tcPr>
          <w:p>
            <w:pPr>
              <w:spacing w:line="240" w:lineRule="auto"/>
              <w:jc w:val="center"/>
              <w:rPr>
                <w:rFonts w:ascii="宋体" w:hAnsi="宋体"/>
                <w:b/>
                <w:bCs/>
                <w:sz w:val="18"/>
                <w:szCs w:val="18"/>
              </w:rPr>
            </w:pPr>
            <w:r>
              <w:rPr>
                <w:rFonts w:hint="eastAsia" w:ascii="宋体" w:hAnsi="宋体"/>
                <w:b/>
                <w:bCs/>
                <w:sz w:val="18"/>
                <w:szCs w:val="18"/>
              </w:rPr>
              <w:t>分类</w:t>
            </w:r>
          </w:p>
        </w:tc>
        <w:tc>
          <w:tcPr>
            <w:tcW w:w="501" w:type="pct"/>
            <w:vAlign w:val="center"/>
          </w:tcPr>
          <w:p>
            <w:pPr>
              <w:spacing w:line="240" w:lineRule="auto"/>
              <w:jc w:val="center"/>
              <w:rPr>
                <w:rFonts w:ascii="宋体" w:hAnsi="宋体"/>
                <w:b/>
                <w:bCs/>
                <w:sz w:val="18"/>
                <w:szCs w:val="18"/>
              </w:rPr>
            </w:pPr>
            <w:r>
              <w:rPr>
                <w:rFonts w:hint="eastAsia" w:ascii="宋体" w:hAnsi="宋体"/>
                <w:b/>
                <w:bCs/>
                <w:sz w:val="18"/>
                <w:szCs w:val="18"/>
              </w:rPr>
              <w:t>评分项得分</w:t>
            </w:r>
          </w:p>
        </w:tc>
        <w:tc>
          <w:tcPr>
            <w:tcW w:w="708" w:type="pct"/>
            <w:vAlign w:val="center"/>
          </w:tcPr>
          <w:p>
            <w:pPr>
              <w:snapToGrid w:val="0"/>
              <w:spacing w:line="240" w:lineRule="auto"/>
              <w:jc w:val="center"/>
              <w:rPr>
                <w:rFonts w:ascii="宋体" w:hAnsi="宋体" w:cs="宋体"/>
                <w:b/>
                <w:bCs/>
                <w:kern w:val="0"/>
                <w:sz w:val="18"/>
                <w:szCs w:val="18"/>
                <w:lang w:bidi="ar"/>
              </w:rPr>
            </w:pPr>
            <w:r>
              <w:rPr>
                <w:rFonts w:hint="eastAsia" w:ascii="宋体" w:hAnsi="宋体" w:cs="宋体"/>
                <w:b/>
                <w:bCs/>
                <w:kern w:val="0"/>
                <w:sz w:val="18"/>
                <w:szCs w:val="18"/>
                <w:lang w:bidi="ar"/>
              </w:rPr>
              <w:t>总得分</w:t>
            </w:r>
          </w:p>
          <w:p>
            <w:pPr>
              <w:snapToGrid w:val="0"/>
              <w:spacing w:line="240" w:lineRule="auto"/>
              <w:jc w:val="center"/>
              <w:rPr>
                <w:rFonts w:ascii="宋体" w:hAnsi="宋体" w:cs="宋体"/>
                <w:b/>
                <w:bCs/>
                <w:kern w:val="0"/>
                <w:sz w:val="18"/>
                <w:szCs w:val="18"/>
                <w:lang w:bidi="ar"/>
              </w:rPr>
            </w:pPr>
            <w:r>
              <w:rPr>
                <w:rFonts w:hint="eastAsia" w:ascii="宋体" w:hAnsi="宋体" w:cs="宋体"/>
                <w:b/>
                <w:bCs/>
                <w:kern w:val="0"/>
                <w:sz w:val="18"/>
                <w:szCs w:val="18"/>
                <w:lang w:bidi="ar"/>
              </w:rPr>
              <w:t>（按4</w:t>
            </w:r>
            <w:r>
              <w:rPr>
                <w:rFonts w:ascii="宋体" w:hAnsi="宋体" w:cs="宋体"/>
                <w:b/>
                <w:bCs/>
                <w:kern w:val="0"/>
                <w:sz w:val="18"/>
                <w:szCs w:val="18"/>
                <w:lang w:bidi="ar"/>
              </w:rPr>
              <w:t>.5</w:t>
            </w:r>
            <w:r>
              <w:rPr>
                <w:rFonts w:hint="eastAsia" w:ascii="宋体" w:hAnsi="宋体" w:cs="宋体"/>
                <w:b/>
                <w:bCs/>
                <w:kern w:val="0"/>
                <w:sz w:val="18"/>
                <w:szCs w:val="18"/>
                <w:lang w:bidi="ar"/>
              </w:rPr>
              <w:t>计算）</w:t>
            </w:r>
          </w:p>
        </w:tc>
        <w:tc>
          <w:tcPr>
            <w:tcW w:w="760" w:type="pct"/>
            <w:gridSpan w:val="2"/>
            <w:vAlign w:val="center"/>
          </w:tcPr>
          <w:p>
            <w:pPr>
              <w:spacing w:line="240" w:lineRule="auto"/>
              <w:jc w:val="center"/>
              <w:rPr>
                <w:rFonts w:ascii="宋体" w:hAnsi="宋体"/>
                <w:b/>
                <w:bCs/>
                <w:sz w:val="18"/>
                <w:szCs w:val="18"/>
              </w:rPr>
            </w:pPr>
            <w:r>
              <w:rPr>
                <w:rFonts w:hint="eastAsia" w:ascii="宋体" w:hAnsi="宋体"/>
                <w:b/>
                <w:bCs/>
                <w:sz w:val="18"/>
                <w:szCs w:val="18"/>
              </w:rPr>
              <w:t>签字栏</w:t>
            </w:r>
          </w:p>
        </w:tc>
        <w:tc>
          <w:tcPr>
            <w:tcW w:w="2506" w:type="pct"/>
            <w:gridSpan w:val="6"/>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Align w:val="center"/>
          </w:tcPr>
          <w:p>
            <w:pPr>
              <w:spacing w:line="240" w:lineRule="auto"/>
              <w:jc w:val="center"/>
              <w:rPr>
                <w:rFonts w:ascii="宋体" w:hAnsi="宋体"/>
                <w:b/>
                <w:bCs/>
                <w:sz w:val="18"/>
                <w:szCs w:val="18"/>
              </w:rPr>
            </w:pPr>
            <w:r>
              <w:rPr>
                <w:rFonts w:hint="eastAsia" w:ascii="宋体" w:hAnsi="宋体"/>
                <w:b/>
                <w:bCs/>
                <w:sz w:val="18"/>
                <w:szCs w:val="18"/>
              </w:rPr>
              <w:t>组织与</w:t>
            </w:r>
          </w:p>
          <w:p>
            <w:pPr>
              <w:spacing w:line="240" w:lineRule="auto"/>
              <w:jc w:val="center"/>
              <w:rPr>
                <w:rFonts w:ascii="宋体" w:hAnsi="宋体"/>
                <w:b/>
                <w:bCs/>
                <w:sz w:val="18"/>
                <w:szCs w:val="18"/>
              </w:rPr>
            </w:pPr>
            <w:r>
              <w:rPr>
                <w:rFonts w:hint="eastAsia" w:ascii="宋体" w:hAnsi="宋体"/>
                <w:b/>
                <w:bCs/>
                <w:sz w:val="18"/>
                <w:szCs w:val="18"/>
              </w:rPr>
              <w:t>策划</w:t>
            </w:r>
          </w:p>
        </w:tc>
        <w:tc>
          <w:tcPr>
            <w:tcW w:w="501" w:type="pct"/>
            <w:vAlign w:val="center"/>
          </w:tcPr>
          <w:p>
            <w:pPr>
              <w:spacing w:line="240" w:lineRule="auto"/>
              <w:jc w:val="center"/>
              <w:rPr>
                <w:rFonts w:ascii="宋体" w:hAnsi="宋体"/>
                <w:sz w:val="18"/>
                <w:szCs w:val="18"/>
              </w:rPr>
            </w:pPr>
          </w:p>
        </w:tc>
        <w:tc>
          <w:tcPr>
            <w:tcW w:w="708" w:type="pct"/>
            <w:vMerge w:val="restart"/>
            <w:vAlign w:val="center"/>
          </w:tcPr>
          <w:p>
            <w:pPr>
              <w:spacing w:line="240" w:lineRule="auto"/>
              <w:jc w:val="center"/>
              <w:rPr>
                <w:rFonts w:ascii="宋体" w:hAnsi="宋体" w:cs="宋体"/>
                <w:kern w:val="0"/>
                <w:sz w:val="18"/>
                <w:szCs w:val="18"/>
                <w:lang w:bidi="ar"/>
              </w:rPr>
            </w:pPr>
          </w:p>
        </w:tc>
        <w:tc>
          <w:tcPr>
            <w:tcW w:w="760" w:type="pct"/>
            <w:gridSpan w:val="2"/>
            <w:vMerge w:val="restart"/>
            <w:vAlign w:val="center"/>
          </w:tcPr>
          <w:p>
            <w:pPr>
              <w:spacing w:line="240" w:lineRule="auto"/>
              <w:jc w:val="center"/>
              <w:rPr>
                <w:rFonts w:ascii="宋体" w:hAnsi="宋体"/>
                <w:sz w:val="18"/>
                <w:szCs w:val="18"/>
              </w:rPr>
            </w:pPr>
          </w:p>
        </w:tc>
        <w:tc>
          <w:tcPr>
            <w:tcW w:w="2506" w:type="pct"/>
            <w:gridSpan w:val="6"/>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Align w:val="center"/>
          </w:tcPr>
          <w:p>
            <w:pPr>
              <w:spacing w:line="240" w:lineRule="auto"/>
              <w:jc w:val="center"/>
              <w:rPr>
                <w:rFonts w:ascii="宋体" w:hAnsi="宋体"/>
                <w:b/>
                <w:bCs/>
                <w:sz w:val="18"/>
                <w:szCs w:val="18"/>
              </w:rPr>
            </w:pPr>
            <w:r>
              <w:rPr>
                <w:rFonts w:hint="eastAsia" w:ascii="宋体" w:hAnsi="宋体"/>
                <w:b/>
                <w:bCs/>
                <w:sz w:val="18"/>
                <w:szCs w:val="18"/>
              </w:rPr>
              <w:t>建造过程</w:t>
            </w:r>
          </w:p>
        </w:tc>
        <w:tc>
          <w:tcPr>
            <w:tcW w:w="501" w:type="pct"/>
            <w:vAlign w:val="center"/>
          </w:tcPr>
          <w:p>
            <w:pPr>
              <w:spacing w:line="240" w:lineRule="auto"/>
              <w:jc w:val="center"/>
              <w:rPr>
                <w:rFonts w:ascii="宋体" w:hAnsi="宋体"/>
                <w:sz w:val="18"/>
                <w:szCs w:val="18"/>
              </w:rPr>
            </w:pPr>
          </w:p>
        </w:tc>
        <w:tc>
          <w:tcPr>
            <w:tcW w:w="708" w:type="pct"/>
            <w:vMerge w:val="continue"/>
            <w:vAlign w:val="center"/>
          </w:tcPr>
          <w:p>
            <w:pPr>
              <w:spacing w:line="240" w:lineRule="auto"/>
              <w:jc w:val="center"/>
              <w:rPr>
                <w:rFonts w:ascii="宋体" w:hAnsi="宋体" w:cs="宋体"/>
                <w:kern w:val="0"/>
                <w:sz w:val="18"/>
                <w:szCs w:val="18"/>
                <w:lang w:bidi="ar"/>
              </w:rPr>
            </w:pPr>
          </w:p>
        </w:tc>
        <w:tc>
          <w:tcPr>
            <w:tcW w:w="760" w:type="pct"/>
            <w:gridSpan w:val="2"/>
            <w:vMerge w:val="continue"/>
            <w:vAlign w:val="center"/>
          </w:tcPr>
          <w:p>
            <w:pPr>
              <w:spacing w:line="240" w:lineRule="auto"/>
              <w:jc w:val="center"/>
              <w:rPr>
                <w:rFonts w:ascii="宋体" w:hAnsi="宋体"/>
                <w:sz w:val="18"/>
                <w:szCs w:val="18"/>
              </w:rPr>
            </w:pPr>
          </w:p>
        </w:tc>
        <w:tc>
          <w:tcPr>
            <w:tcW w:w="2506" w:type="pct"/>
            <w:gridSpan w:val="6"/>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Align w:val="center"/>
          </w:tcPr>
          <w:p>
            <w:pPr>
              <w:spacing w:line="240" w:lineRule="auto"/>
              <w:jc w:val="center"/>
              <w:rPr>
                <w:rFonts w:ascii="宋体" w:hAnsi="宋体"/>
                <w:b/>
                <w:bCs/>
                <w:sz w:val="18"/>
                <w:szCs w:val="18"/>
              </w:rPr>
            </w:pPr>
            <w:r>
              <w:rPr>
                <w:rFonts w:hint="eastAsia" w:ascii="宋体" w:hAnsi="宋体"/>
                <w:b/>
                <w:bCs/>
                <w:sz w:val="18"/>
                <w:szCs w:val="18"/>
              </w:rPr>
              <w:t>品质与</w:t>
            </w:r>
          </w:p>
          <w:p>
            <w:pPr>
              <w:spacing w:line="240" w:lineRule="auto"/>
              <w:jc w:val="center"/>
              <w:rPr>
                <w:rFonts w:ascii="宋体" w:hAnsi="宋体"/>
                <w:b/>
                <w:bCs/>
                <w:sz w:val="18"/>
                <w:szCs w:val="18"/>
              </w:rPr>
            </w:pPr>
            <w:r>
              <w:rPr>
                <w:rFonts w:hint="eastAsia" w:ascii="宋体" w:hAnsi="宋体"/>
                <w:b/>
                <w:bCs/>
                <w:sz w:val="18"/>
                <w:szCs w:val="18"/>
              </w:rPr>
              <w:t>价值</w:t>
            </w:r>
          </w:p>
        </w:tc>
        <w:tc>
          <w:tcPr>
            <w:tcW w:w="501" w:type="pct"/>
            <w:vAlign w:val="center"/>
          </w:tcPr>
          <w:p>
            <w:pPr>
              <w:spacing w:line="240" w:lineRule="auto"/>
              <w:jc w:val="center"/>
              <w:rPr>
                <w:rFonts w:ascii="宋体" w:hAnsi="宋体"/>
                <w:sz w:val="18"/>
                <w:szCs w:val="18"/>
              </w:rPr>
            </w:pPr>
          </w:p>
        </w:tc>
        <w:tc>
          <w:tcPr>
            <w:tcW w:w="708" w:type="pct"/>
            <w:vMerge w:val="continue"/>
            <w:vAlign w:val="center"/>
          </w:tcPr>
          <w:p>
            <w:pPr>
              <w:spacing w:line="240" w:lineRule="auto"/>
              <w:jc w:val="center"/>
              <w:rPr>
                <w:rFonts w:ascii="宋体" w:hAnsi="宋体" w:cs="宋体"/>
                <w:kern w:val="0"/>
                <w:sz w:val="18"/>
                <w:szCs w:val="18"/>
                <w:lang w:bidi="ar"/>
              </w:rPr>
            </w:pPr>
          </w:p>
        </w:tc>
        <w:tc>
          <w:tcPr>
            <w:tcW w:w="760" w:type="pct"/>
            <w:gridSpan w:val="2"/>
            <w:vMerge w:val="continue"/>
            <w:vAlign w:val="center"/>
          </w:tcPr>
          <w:p>
            <w:pPr>
              <w:spacing w:line="240" w:lineRule="auto"/>
              <w:jc w:val="center"/>
              <w:rPr>
                <w:rFonts w:ascii="宋体" w:hAnsi="宋体"/>
                <w:sz w:val="18"/>
                <w:szCs w:val="18"/>
              </w:rPr>
            </w:pPr>
          </w:p>
        </w:tc>
        <w:tc>
          <w:tcPr>
            <w:tcW w:w="2506" w:type="pct"/>
            <w:gridSpan w:val="6"/>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5000" w:type="pct"/>
            <w:gridSpan w:val="11"/>
            <w:vAlign w:val="center"/>
          </w:tcPr>
          <w:p>
            <w:pPr>
              <w:snapToGrid w:val="0"/>
              <w:spacing w:line="240" w:lineRule="auto"/>
              <w:rPr>
                <w:rFonts w:ascii="宋体" w:hAnsi="宋体"/>
                <w:sz w:val="18"/>
                <w:szCs w:val="18"/>
              </w:rPr>
            </w:pPr>
            <w:r>
              <w:rPr>
                <w:rFonts w:hint="eastAsia" w:ascii="宋体" w:hAnsi="宋体"/>
                <w:sz w:val="18"/>
                <w:szCs w:val="18"/>
              </w:rPr>
              <w:t>注</w:t>
            </w:r>
            <w:r>
              <w:rPr>
                <w:rFonts w:ascii="宋体" w:hAnsi="宋体"/>
                <w:sz w:val="18"/>
                <w:szCs w:val="18"/>
              </w:rPr>
              <w:t>:1、本表由</w:t>
            </w:r>
            <w:r>
              <w:rPr>
                <w:rFonts w:hint="eastAsia" w:ascii="宋体" w:hAnsi="宋体"/>
                <w:sz w:val="18"/>
                <w:szCs w:val="18"/>
              </w:rPr>
              <w:t>申报</w:t>
            </w:r>
            <w:r>
              <w:rPr>
                <w:rFonts w:ascii="宋体" w:hAnsi="宋体"/>
                <w:sz w:val="18"/>
                <w:szCs w:val="18"/>
              </w:rPr>
              <w:t>单位填写</w:t>
            </w:r>
            <w:r>
              <w:rPr>
                <w:rFonts w:hint="eastAsia" w:ascii="宋体" w:hAnsi="宋体"/>
                <w:sz w:val="18"/>
                <w:szCs w:val="18"/>
              </w:rPr>
              <w:t>；</w:t>
            </w:r>
            <w:r>
              <w:rPr>
                <w:rFonts w:ascii="宋体" w:hAnsi="宋体"/>
                <w:sz w:val="18"/>
                <w:szCs w:val="18"/>
              </w:rPr>
              <w:t>2、</w:t>
            </w:r>
            <w:r>
              <w:rPr>
                <w:rFonts w:hint="eastAsia" w:ascii="宋体" w:hAnsi="宋体"/>
                <w:sz w:val="18"/>
                <w:szCs w:val="18"/>
              </w:rPr>
              <w:t>智能建造水平</w:t>
            </w:r>
            <w:r>
              <w:rPr>
                <w:rFonts w:ascii="宋体" w:hAnsi="宋体"/>
                <w:sz w:val="18"/>
                <w:szCs w:val="18"/>
              </w:rPr>
              <w:t>评价</w:t>
            </w:r>
            <w:r>
              <w:rPr>
                <w:rFonts w:hint="eastAsia" w:ascii="宋体" w:hAnsi="宋体"/>
                <w:sz w:val="18"/>
                <w:szCs w:val="18"/>
              </w:rPr>
              <w:t>表应</w:t>
            </w:r>
            <w:r>
              <w:rPr>
                <w:rFonts w:ascii="宋体" w:hAnsi="宋体"/>
                <w:sz w:val="18"/>
                <w:szCs w:val="18"/>
              </w:rPr>
              <w:t>由建设单位、设计单位、施工单位该项目负责人签字</w:t>
            </w:r>
            <w:r>
              <w:rPr>
                <w:rFonts w:hint="eastAsia" w:ascii="宋体" w:hAnsi="宋体"/>
                <w:sz w:val="18"/>
                <w:szCs w:val="18"/>
              </w:rPr>
              <w:t>；</w:t>
            </w:r>
            <w:r>
              <w:rPr>
                <w:rFonts w:ascii="宋体" w:hAnsi="宋体"/>
                <w:sz w:val="18"/>
                <w:szCs w:val="18"/>
              </w:rPr>
              <w:t>3、</w:t>
            </w:r>
            <w:r>
              <w:rPr>
                <w:rFonts w:hint="eastAsia" w:ascii="宋体" w:hAnsi="宋体"/>
                <w:sz w:val="18"/>
                <w:szCs w:val="18"/>
              </w:rPr>
              <w:t>基础</w:t>
            </w:r>
            <w:r>
              <w:rPr>
                <w:rFonts w:ascii="宋体" w:hAnsi="宋体"/>
                <w:sz w:val="18"/>
                <w:szCs w:val="18"/>
              </w:rPr>
              <w:t>项达标情况在</w:t>
            </w:r>
            <w:r>
              <w:rPr>
                <w:rFonts w:hint="eastAsia" w:ascii="宋体" w:hAnsi="宋体"/>
                <w:sz w:val="18"/>
                <w:szCs w:val="18"/>
              </w:rPr>
              <w:sym w:font="Wingdings 2" w:char="F0A3"/>
            </w:r>
            <w:r>
              <w:rPr>
                <w:rFonts w:ascii="宋体" w:hAnsi="宋体"/>
                <w:sz w:val="18"/>
                <w:szCs w:val="18"/>
              </w:rPr>
              <w:t>处填</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r>
              <w:rPr>
                <w:rFonts w:ascii="宋体" w:hAnsi="宋体"/>
                <w:sz w:val="18"/>
                <w:szCs w:val="18"/>
              </w:rPr>
              <w:t>4、得分情况在对应</w:t>
            </w:r>
            <w:r>
              <w:rPr>
                <w:rFonts w:hint="eastAsia" w:ascii="宋体" w:hAnsi="宋体"/>
                <w:sz w:val="18"/>
                <w:szCs w:val="18"/>
              </w:rPr>
              <w:t>评价模块</w:t>
            </w:r>
            <w:r>
              <w:rPr>
                <w:rFonts w:ascii="宋体" w:hAnsi="宋体"/>
                <w:sz w:val="18"/>
                <w:szCs w:val="18"/>
              </w:rPr>
              <w:t>后填写分数</w:t>
            </w:r>
            <w:r>
              <w:rPr>
                <w:rFonts w:hint="eastAsia" w:ascii="宋体" w:hAnsi="宋体"/>
                <w:sz w:val="18"/>
                <w:szCs w:val="18"/>
              </w:rPr>
              <w:t>；</w:t>
            </w:r>
            <w:r>
              <w:rPr>
                <w:rFonts w:ascii="宋体" w:hAnsi="宋体"/>
                <w:sz w:val="18"/>
                <w:szCs w:val="18"/>
              </w:rPr>
              <w:t>5、签字栏应至少包括建设、设计、施工单位项目负</w:t>
            </w:r>
            <w:r>
              <w:rPr>
                <w:rFonts w:hint="eastAsia" w:ascii="宋体" w:hAnsi="宋体"/>
                <w:sz w:val="18"/>
                <w:szCs w:val="18"/>
              </w:rPr>
              <w:t>责人签字。</w:t>
            </w:r>
          </w:p>
        </w:tc>
      </w:tr>
    </w:tbl>
    <w:p>
      <w:pPr>
        <w:widowControl/>
        <w:adjustRightInd/>
        <w:spacing w:line="240" w:lineRule="auto"/>
        <w:jc w:val="center"/>
        <w:rPr>
          <w:rFonts w:ascii="宋体" w:hAnsi="宋体"/>
          <w:kern w:val="0"/>
          <w:szCs w:val="20"/>
        </w:rPr>
      </w:pPr>
    </w:p>
    <w:p>
      <w:pPr>
        <w:widowControl/>
        <w:adjustRightInd/>
        <w:spacing w:line="240" w:lineRule="auto"/>
        <w:jc w:val="center"/>
        <w:rPr>
          <w:rFonts w:ascii="宋体" w:hAnsi="宋体"/>
          <w:kern w:val="0"/>
          <w:szCs w:val="20"/>
        </w:rPr>
      </w:pPr>
    </w:p>
    <w:p>
      <w:pPr>
        <w:widowControl/>
        <w:adjustRightInd/>
        <w:spacing w:line="240" w:lineRule="auto"/>
        <w:jc w:val="center"/>
        <w:rPr>
          <w:rFonts w:ascii="宋体" w:hAnsi="宋体"/>
          <w:kern w:val="0"/>
          <w:szCs w:val="20"/>
        </w:rPr>
      </w:pPr>
    </w:p>
    <w:p>
      <w:pPr>
        <w:widowControl/>
        <w:adjustRightInd/>
        <w:spacing w:line="240" w:lineRule="auto"/>
        <w:jc w:val="center"/>
        <w:rPr>
          <w:rFonts w:ascii="宋体" w:hAnsi="宋体"/>
          <w:kern w:val="0"/>
          <w:szCs w:val="20"/>
        </w:rPr>
      </w:pPr>
    </w:p>
    <w:p>
      <w:pPr>
        <w:widowControl/>
        <w:adjustRightInd/>
        <w:spacing w:line="240" w:lineRule="auto"/>
        <w:jc w:val="center"/>
        <w:rPr>
          <w:rFonts w:ascii="宋体" w:hAnsi="宋体"/>
          <w:kern w:val="0"/>
          <w:szCs w:val="20"/>
        </w:rPr>
      </w:pPr>
    </w:p>
    <w:p>
      <w:pPr>
        <w:widowControl/>
        <w:adjustRightInd/>
        <w:spacing w:line="240" w:lineRule="auto"/>
        <w:jc w:val="center"/>
        <w:rPr>
          <w:rFonts w:ascii="宋体" w:hAnsi="宋体"/>
          <w:kern w:val="0"/>
          <w:szCs w:val="20"/>
        </w:rPr>
      </w:pPr>
    </w:p>
    <w:p>
      <w:pPr>
        <w:widowControl/>
        <w:adjustRightInd/>
        <w:spacing w:line="240" w:lineRule="auto"/>
        <w:jc w:val="center"/>
        <w:rPr>
          <w:rFonts w:ascii="宋体" w:hAnsi="宋体"/>
          <w:kern w:val="0"/>
          <w:szCs w:val="20"/>
        </w:rPr>
      </w:pPr>
    </w:p>
    <w:p>
      <w:pPr>
        <w:widowControl/>
        <w:adjustRightInd/>
        <w:spacing w:line="240" w:lineRule="auto"/>
        <w:jc w:val="center"/>
        <w:rPr>
          <w:rFonts w:ascii="宋体" w:hAnsi="宋体"/>
          <w:kern w:val="0"/>
          <w:szCs w:val="20"/>
        </w:rPr>
      </w:pPr>
    </w:p>
    <w:p>
      <w:pPr>
        <w:widowControl/>
        <w:adjustRightInd/>
        <w:spacing w:line="240" w:lineRule="auto"/>
        <w:jc w:val="center"/>
        <w:rPr>
          <w:rFonts w:ascii="宋体" w:hAnsi="宋体"/>
          <w:kern w:val="0"/>
          <w:szCs w:val="20"/>
        </w:rPr>
      </w:pPr>
    </w:p>
    <w:p>
      <w:pPr>
        <w:widowControl/>
        <w:adjustRightInd/>
        <w:spacing w:line="240" w:lineRule="auto"/>
        <w:jc w:val="center"/>
        <w:rPr>
          <w:rFonts w:ascii="宋体" w:hAnsi="宋体"/>
          <w:kern w:val="0"/>
          <w:szCs w:val="20"/>
        </w:rPr>
      </w:pPr>
    </w:p>
    <w:p>
      <w:pPr>
        <w:pStyle w:val="86"/>
        <w:numPr>
          <w:ilvl w:val="0"/>
          <w:numId w:val="0"/>
        </w:numPr>
        <w:spacing w:before="78" w:after="156"/>
      </w:pPr>
      <w:bookmarkStart w:id="85" w:name="_Toc148431729"/>
      <w:r>
        <w:rPr>
          <w:rFonts w:hint="eastAsia"/>
        </w:rPr>
        <w:t>附表</w:t>
      </w:r>
      <w:r>
        <w:t xml:space="preserve"> 2  </w:t>
      </w:r>
      <w:r>
        <w:rPr>
          <w:rFonts w:hint="eastAsia"/>
        </w:rPr>
        <w:t>湖北省</w:t>
      </w:r>
      <w:r>
        <w:t>智能建造</w:t>
      </w:r>
      <w:r>
        <w:rPr>
          <w:rFonts w:hint="eastAsia"/>
        </w:rPr>
        <w:t>项目申报信息汇总表</w:t>
      </w:r>
      <w:bookmarkEnd w:id="85"/>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324"/>
        <w:gridCol w:w="1168"/>
        <w:gridCol w:w="1047"/>
        <w:gridCol w:w="1183"/>
        <w:gridCol w:w="1280"/>
        <w:gridCol w:w="1296"/>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spacing w:line="240" w:lineRule="auto"/>
              <w:jc w:val="center"/>
              <w:rPr>
                <w:rFonts w:ascii="宋体" w:hAnsi="宋体"/>
                <w:b/>
                <w:bCs/>
                <w:sz w:val="18"/>
                <w:szCs w:val="18"/>
              </w:rPr>
            </w:pPr>
            <w:r>
              <w:rPr>
                <w:rFonts w:hint="eastAsia" w:ascii="宋体" w:hAnsi="宋体"/>
                <w:b/>
                <w:bCs/>
                <w:sz w:val="18"/>
                <w:szCs w:val="18"/>
              </w:rPr>
              <w:t>项目名称</w:t>
            </w:r>
          </w:p>
        </w:tc>
        <w:tc>
          <w:tcPr>
            <w:tcW w:w="1849" w:type="pct"/>
            <w:gridSpan w:val="3"/>
            <w:vAlign w:val="center"/>
          </w:tcPr>
          <w:p>
            <w:pPr>
              <w:spacing w:line="240" w:lineRule="auto"/>
              <w:jc w:val="center"/>
              <w:rPr>
                <w:rFonts w:ascii="宋体" w:hAnsi="宋体"/>
                <w:sz w:val="18"/>
                <w:szCs w:val="18"/>
              </w:rPr>
            </w:pPr>
          </w:p>
        </w:tc>
        <w:tc>
          <w:tcPr>
            <w:tcW w:w="618" w:type="pct"/>
            <w:vAlign w:val="center"/>
          </w:tcPr>
          <w:p>
            <w:pPr>
              <w:spacing w:line="240" w:lineRule="auto"/>
              <w:jc w:val="center"/>
              <w:rPr>
                <w:rFonts w:ascii="宋体" w:hAnsi="宋体"/>
                <w:b/>
                <w:bCs/>
                <w:sz w:val="18"/>
                <w:szCs w:val="18"/>
              </w:rPr>
            </w:pPr>
            <w:r>
              <w:rPr>
                <w:rFonts w:hint="eastAsia" w:ascii="宋体" w:hAnsi="宋体"/>
                <w:b/>
                <w:bCs/>
                <w:sz w:val="18"/>
                <w:szCs w:val="18"/>
              </w:rPr>
              <w:t>建设单位</w:t>
            </w:r>
          </w:p>
        </w:tc>
        <w:tc>
          <w:tcPr>
            <w:tcW w:w="2004" w:type="pct"/>
            <w:gridSpan w:val="3"/>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spacing w:line="240" w:lineRule="auto"/>
              <w:jc w:val="center"/>
              <w:rPr>
                <w:rFonts w:ascii="宋体" w:hAnsi="宋体"/>
                <w:b/>
                <w:bCs/>
                <w:sz w:val="18"/>
                <w:szCs w:val="18"/>
              </w:rPr>
            </w:pPr>
            <w:r>
              <w:rPr>
                <w:rFonts w:hint="eastAsia" w:ascii="宋体" w:hAnsi="宋体"/>
                <w:b/>
                <w:bCs/>
                <w:sz w:val="18"/>
                <w:szCs w:val="18"/>
              </w:rPr>
              <w:t>设计单位</w:t>
            </w:r>
          </w:p>
        </w:tc>
        <w:tc>
          <w:tcPr>
            <w:tcW w:w="1849" w:type="pct"/>
            <w:gridSpan w:val="3"/>
            <w:vAlign w:val="center"/>
          </w:tcPr>
          <w:p>
            <w:pPr>
              <w:spacing w:line="240" w:lineRule="auto"/>
              <w:jc w:val="center"/>
              <w:rPr>
                <w:rFonts w:ascii="宋体" w:hAnsi="宋体"/>
                <w:sz w:val="18"/>
                <w:szCs w:val="18"/>
              </w:rPr>
            </w:pPr>
          </w:p>
        </w:tc>
        <w:tc>
          <w:tcPr>
            <w:tcW w:w="618" w:type="pct"/>
            <w:vAlign w:val="center"/>
          </w:tcPr>
          <w:p>
            <w:pPr>
              <w:spacing w:line="240" w:lineRule="auto"/>
              <w:jc w:val="center"/>
              <w:rPr>
                <w:rFonts w:ascii="宋体" w:hAnsi="宋体"/>
                <w:b/>
                <w:bCs/>
                <w:sz w:val="18"/>
                <w:szCs w:val="18"/>
              </w:rPr>
            </w:pPr>
            <w:r>
              <w:rPr>
                <w:rFonts w:hint="eastAsia" w:ascii="宋体" w:hAnsi="宋体"/>
                <w:b/>
                <w:bCs/>
                <w:sz w:val="18"/>
                <w:szCs w:val="18"/>
              </w:rPr>
              <w:t>施工单位</w:t>
            </w:r>
          </w:p>
        </w:tc>
        <w:tc>
          <w:tcPr>
            <w:tcW w:w="2004" w:type="pct"/>
            <w:gridSpan w:val="3"/>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spacing w:line="240" w:lineRule="auto"/>
              <w:jc w:val="center"/>
              <w:rPr>
                <w:rFonts w:ascii="宋体" w:hAnsi="宋体"/>
                <w:b/>
                <w:bCs/>
                <w:sz w:val="18"/>
                <w:szCs w:val="18"/>
              </w:rPr>
            </w:pPr>
            <w:r>
              <w:rPr>
                <w:rFonts w:hint="eastAsia" w:ascii="宋体" w:hAnsi="宋体"/>
                <w:b/>
                <w:bCs/>
                <w:sz w:val="18"/>
                <w:szCs w:val="18"/>
              </w:rPr>
              <w:t>申报单位</w:t>
            </w:r>
          </w:p>
        </w:tc>
        <w:tc>
          <w:tcPr>
            <w:tcW w:w="1849" w:type="pct"/>
            <w:gridSpan w:val="3"/>
            <w:vAlign w:val="center"/>
          </w:tcPr>
          <w:p>
            <w:pPr>
              <w:spacing w:line="240" w:lineRule="auto"/>
              <w:jc w:val="center"/>
              <w:rPr>
                <w:rFonts w:ascii="宋体" w:hAnsi="宋体"/>
                <w:sz w:val="18"/>
                <w:szCs w:val="18"/>
              </w:rPr>
            </w:pPr>
          </w:p>
        </w:tc>
        <w:tc>
          <w:tcPr>
            <w:tcW w:w="618" w:type="pct"/>
            <w:vAlign w:val="center"/>
          </w:tcPr>
          <w:p>
            <w:pPr>
              <w:spacing w:line="240" w:lineRule="auto"/>
              <w:jc w:val="center"/>
              <w:rPr>
                <w:rFonts w:ascii="宋体" w:hAnsi="宋体"/>
                <w:b/>
                <w:bCs/>
                <w:sz w:val="18"/>
                <w:szCs w:val="18"/>
              </w:rPr>
            </w:pPr>
            <w:r>
              <w:rPr>
                <w:rFonts w:hint="eastAsia" w:ascii="宋体" w:hAnsi="宋体"/>
                <w:b/>
                <w:bCs/>
                <w:sz w:val="18"/>
                <w:szCs w:val="18"/>
              </w:rPr>
              <w:t>评价等级</w:t>
            </w:r>
          </w:p>
        </w:tc>
        <w:tc>
          <w:tcPr>
            <w:tcW w:w="2004" w:type="pct"/>
            <w:gridSpan w:val="3"/>
            <w:vAlign w:val="center"/>
          </w:tcPr>
          <w:p>
            <w:pPr>
              <w:spacing w:line="240" w:lineRule="auto"/>
              <w:jc w:val="center"/>
              <w:rPr>
                <w:rFonts w:ascii="宋体" w:hAnsi="宋体"/>
                <w:b/>
                <w:bCs/>
                <w:sz w:val="18"/>
                <w:szCs w:val="18"/>
              </w:rPr>
            </w:pPr>
            <w:r>
              <w:rPr>
                <w:rFonts w:hint="eastAsia" w:ascii="宋体" w:hAnsi="宋体"/>
                <w:b/>
                <w:bCs/>
                <w:sz w:val="18"/>
                <w:szCs w:val="18"/>
              </w:rPr>
              <w:sym w:font="Wingdings 2" w:char="F0A3"/>
            </w:r>
            <w:r>
              <w:rPr>
                <w:rFonts w:ascii="宋体" w:hAnsi="宋体"/>
                <w:b/>
                <w:bCs/>
                <w:sz w:val="18"/>
                <w:szCs w:val="18"/>
              </w:rPr>
              <w:t xml:space="preserve"> </w:t>
            </w:r>
            <w:r>
              <w:rPr>
                <w:rFonts w:hint="eastAsia" w:ascii="宋体" w:hAnsi="宋体"/>
                <w:b/>
                <w:bCs/>
                <w:sz w:val="18"/>
                <w:szCs w:val="18"/>
              </w:rPr>
              <w:t xml:space="preserve">A级 </w:t>
            </w:r>
            <w:r>
              <w:rPr>
                <w:rFonts w:hint="eastAsia" w:ascii="宋体" w:hAnsi="宋体"/>
                <w:b/>
                <w:bCs/>
                <w:sz w:val="18"/>
                <w:szCs w:val="18"/>
              </w:rPr>
              <w:sym w:font="Wingdings 2" w:char="F0A3"/>
            </w:r>
            <w:r>
              <w:rPr>
                <w:rFonts w:ascii="宋体" w:hAnsi="宋体"/>
                <w:b/>
                <w:bCs/>
                <w:sz w:val="18"/>
                <w:szCs w:val="18"/>
              </w:rPr>
              <w:t xml:space="preserve"> </w:t>
            </w:r>
            <w:r>
              <w:rPr>
                <w:rFonts w:hint="eastAsia" w:ascii="宋体" w:hAnsi="宋体"/>
                <w:b/>
                <w:bCs/>
                <w:sz w:val="18"/>
                <w:szCs w:val="18"/>
              </w:rPr>
              <w:t>A</w:t>
            </w:r>
            <w:r>
              <w:rPr>
                <w:rFonts w:ascii="宋体" w:hAnsi="宋体"/>
                <w:b/>
                <w:bCs/>
                <w:sz w:val="18"/>
                <w:szCs w:val="18"/>
              </w:rPr>
              <w:t>A</w:t>
            </w:r>
            <w:r>
              <w:rPr>
                <w:rFonts w:hint="eastAsia" w:ascii="宋体" w:hAnsi="宋体"/>
                <w:b/>
                <w:bCs/>
                <w:sz w:val="18"/>
                <w:szCs w:val="18"/>
              </w:rPr>
              <w:t xml:space="preserve">级 </w:t>
            </w:r>
            <w:r>
              <w:rPr>
                <w:rFonts w:hint="eastAsia" w:ascii="宋体" w:hAnsi="宋体"/>
                <w:b/>
                <w:bCs/>
                <w:sz w:val="18"/>
                <w:szCs w:val="18"/>
              </w:rPr>
              <w:sym w:font="Wingdings 2" w:char="F0A3"/>
            </w:r>
            <w:r>
              <w:rPr>
                <w:rFonts w:ascii="宋体" w:hAnsi="宋体"/>
                <w:b/>
                <w:bCs/>
                <w:sz w:val="18"/>
                <w:szCs w:val="18"/>
              </w:rPr>
              <w:t xml:space="preserve"> </w:t>
            </w:r>
            <w:r>
              <w:rPr>
                <w:rFonts w:hint="eastAsia" w:ascii="宋体" w:hAnsi="宋体"/>
                <w:b/>
                <w:bCs/>
                <w:sz w:val="18"/>
                <w:szCs w:val="18"/>
              </w:rPr>
              <w:t>A</w:t>
            </w:r>
            <w:r>
              <w:rPr>
                <w:rFonts w:ascii="宋体" w:hAnsi="宋体"/>
                <w:b/>
                <w:bCs/>
                <w:sz w:val="18"/>
                <w:szCs w:val="18"/>
              </w:rPr>
              <w:t>AA</w:t>
            </w:r>
            <w:r>
              <w:rPr>
                <w:rFonts w:hint="eastAsia" w:ascii="宋体" w:hAnsi="宋体"/>
                <w:b/>
                <w:bCs/>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9" w:type="pct"/>
            <w:vAlign w:val="center"/>
          </w:tcPr>
          <w:p>
            <w:pPr>
              <w:spacing w:line="240" w:lineRule="auto"/>
              <w:jc w:val="center"/>
              <w:rPr>
                <w:rFonts w:ascii="宋体" w:hAnsi="宋体"/>
                <w:b/>
                <w:bCs/>
                <w:sz w:val="18"/>
                <w:szCs w:val="18"/>
              </w:rPr>
            </w:pPr>
            <w:r>
              <w:rPr>
                <w:rFonts w:hint="eastAsia" w:ascii="宋体" w:hAnsi="宋体"/>
                <w:b/>
                <w:bCs/>
                <w:sz w:val="18"/>
                <w:szCs w:val="18"/>
              </w:rPr>
              <w:t>项目类别</w:t>
            </w:r>
          </w:p>
        </w:tc>
        <w:tc>
          <w:tcPr>
            <w:tcW w:w="1849" w:type="pct"/>
            <w:gridSpan w:val="3"/>
            <w:vAlign w:val="center"/>
          </w:tcPr>
          <w:p>
            <w:pPr>
              <w:spacing w:line="240" w:lineRule="auto"/>
              <w:jc w:val="center"/>
              <w:rPr>
                <w:rFonts w:ascii="宋体" w:hAnsi="宋体"/>
                <w:sz w:val="18"/>
                <w:szCs w:val="18"/>
              </w:rPr>
            </w:pPr>
          </w:p>
        </w:tc>
        <w:tc>
          <w:tcPr>
            <w:tcW w:w="618" w:type="pct"/>
            <w:vAlign w:val="center"/>
          </w:tcPr>
          <w:p>
            <w:pPr>
              <w:spacing w:line="240" w:lineRule="auto"/>
              <w:jc w:val="center"/>
              <w:rPr>
                <w:rFonts w:ascii="宋体" w:hAnsi="宋体"/>
                <w:b/>
                <w:bCs/>
                <w:sz w:val="18"/>
                <w:szCs w:val="18"/>
              </w:rPr>
            </w:pPr>
            <w:r>
              <w:rPr>
                <w:rFonts w:hint="eastAsia" w:ascii="宋体" w:hAnsi="宋体"/>
                <w:b/>
                <w:bCs/>
                <w:sz w:val="18"/>
                <w:szCs w:val="18"/>
              </w:rPr>
              <w:t>建筑面积</w:t>
            </w:r>
          </w:p>
        </w:tc>
        <w:tc>
          <w:tcPr>
            <w:tcW w:w="669" w:type="pct"/>
            <w:vAlign w:val="center"/>
          </w:tcPr>
          <w:p>
            <w:pPr>
              <w:spacing w:line="240" w:lineRule="auto"/>
              <w:jc w:val="center"/>
              <w:rPr>
                <w:rFonts w:ascii="宋体" w:hAnsi="宋体"/>
                <w:b/>
                <w:bCs/>
                <w:sz w:val="18"/>
                <w:szCs w:val="18"/>
              </w:rPr>
            </w:pPr>
          </w:p>
        </w:tc>
        <w:tc>
          <w:tcPr>
            <w:tcW w:w="677" w:type="pct"/>
            <w:vAlign w:val="center"/>
          </w:tcPr>
          <w:p>
            <w:pPr>
              <w:spacing w:line="240" w:lineRule="auto"/>
              <w:jc w:val="center"/>
              <w:rPr>
                <w:rFonts w:ascii="宋体" w:hAnsi="宋体"/>
                <w:b/>
                <w:bCs/>
                <w:sz w:val="18"/>
                <w:szCs w:val="18"/>
              </w:rPr>
            </w:pPr>
            <w:r>
              <w:rPr>
                <w:rFonts w:hint="eastAsia" w:ascii="宋体" w:hAnsi="宋体"/>
                <w:b/>
                <w:bCs/>
                <w:sz w:val="18"/>
                <w:szCs w:val="18"/>
              </w:rPr>
              <w:t>投资额</w:t>
            </w:r>
          </w:p>
        </w:tc>
        <w:tc>
          <w:tcPr>
            <w:tcW w:w="658" w:type="pct"/>
            <w:vAlign w:val="center"/>
          </w:tcPr>
          <w:p>
            <w:pPr>
              <w:spacing w:line="240" w:lineRule="auto"/>
              <w:jc w:val="center"/>
              <w:rPr>
                <w:rFonts w:ascii="宋体" w:hAnsi="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spacing w:line="240" w:lineRule="auto"/>
              <w:jc w:val="center"/>
              <w:rPr>
                <w:rFonts w:ascii="宋体" w:hAnsi="宋体"/>
                <w:b/>
                <w:bCs/>
                <w:sz w:val="18"/>
                <w:szCs w:val="18"/>
              </w:rPr>
            </w:pPr>
            <w:r>
              <w:rPr>
                <w:rFonts w:hint="eastAsia" w:ascii="宋体" w:hAnsi="宋体"/>
                <w:b/>
                <w:bCs/>
                <w:sz w:val="18"/>
                <w:szCs w:val="18"/>
              </w:rPr>
              <w:t>分类</w:t>
            </w:r>
          </w:p>
        </w:tc>
        <w:tc>
          <w:tcPr>
            <w:tcW w:w="692" w:type="pct"/>
            <w:vAlign w:val="center"/>
          </w:tcPr>
          <w:p>
            <w:pPr>
              <w:spacing w:line="240" w:lineRule="auto"/>
              <w:jc w:val="center"/>
              <w:rPr>
                <w:rFonts w:ascii="宋体" w:hAnsi="宋体"/>
                <w:b/>
                <w:bCs/>
                <w:sz w:val="18"/>
                <w:szCs w:val="18"/>
              </w:rPr>
            </w:pPr>
            <w:r>
              <w:rPr>
                <w:rFonts w:hint="eastAsia" w:ascii="宋体" w:hAnsi="宋体"/>
                <w:b/>
                <w:bCs/>
                <w:sz w:val="18"/>
                <w:szCs w:val="18"/>
              </w:rPr>
              <w:t>组织与策划评价</w:t>
            </w:r>
          </w:p>
        </w:tc>
        <w:tc>
          <w:tcPr>
            <w:tcW w:w="2444" w:type="pct"/>
            <w:gridSpan w:val="4"/>
            <w:vAlign w:val="center"/>
          </w:tcPr>
          <w:p>
            <w:pPr>
              <w:spacing w:line="240" w:lineRule="auto"/>
              <w:jc w:val="center"/>
              <w:rPr>
                <w:rFonts w:ascii="宋体" w:hAnsi="宋体"/>
                <w:b/>
                <w:bCs/>
                <w:sz w:val="18"/>
                <w:szCs w:val="18"/>
              </w:rPr>
            </w:pPr>
            <w:r>
              <w:rPr>
                <w:rFonts w:hint="eastAsia" w:ascii="宋体" w:hAnsi="宋体"/>
                <w:b/>
                <w:bCs/>
                <w:sz w:val="18"/>
                <w:szCs w:val="18"/>
              </w:rPr>
              <w:t>建造过程评价</w:t>
            </w:r>
          </w:p>
        </w:tc>
        <w:tc>
          <w:tcPr>
            <w:tcW w:w="1335" w:type="pct"/>
            <w:gridSpan w:val="2"/>
            <w:vAlign w:val="center"/>
          </w:tcPr>
          <w:p>
            <w:pPr>
              <w:spacing w:line="240" w:lineRule="auto"/>
              <w:jc w:val="center"/>
              <w:rPr>
                <w:rFonts w:ascii="宋体" w:hAnsi="宋体"/>
                <w:b/>
                <w:bCs/>
                <w:sz w:val="18"/>
                <w:szCs w:val="18"/>
              </w:rPr>
            </w:pPr>
            <w:r>
              <w:rPr>
                <w:rFonts w:hint="eastAsia" w:ascii="宋体" w:hAnsi="宋体"/>
                <w:b/>
                <w:bCs/>
                <w:sz w:val="18"/>
                <w:szCs w:val="18"/>
              </w:rPr>
              <w:t>品质与价值评价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29" w:type="pct"/>
            <w:vAlign w:val="center"/>
          </w:tcPr>
          <w:p>
            <w:pPr>
              <w:spacing w:line="240" w:lineRule="auto"/>
              <w:jc w:val="center"/>
              <w:rPr>
                <w:rFonts w:ascii="宋体" w:hAnsi="宋体"/>
                <w:sz w:val="18"/>
                <w:szCs w:val="18"/>
              </w:rPr>
            </w:pPr>
            <w:r>
              <w:rPr>
                <w:rFonts w:hint="eastAsia" w:ascii="宋体" w:hAnsi="宋体"/>
                <w:sz w:val="18"/>
                <w:szCs w:val="18"/>
              </w:rPr>
              <w:t>基础项达标情况</w:t>
            </w:r>
          </w:p>
        </w:tc>
        <w:tc>
          <w:tcPr>
            <w:tcW w:w="692" w:type="pct"/>
            <w:vAlign w:val="center"/>
          </w:tcPr>
          <w:p>
            <w:pPr>
              <w:spacing w:line="240" w:lineRule="auto"/>
              <w:jc w:val="center"/>
              <w:rPr>
                <w:rFonts w:ascii="宋体" w:hAnsi="宋体"/>
                <w:sz w:val="18"/>
                <w:szCs w:val="18"/>
              </w:rPr>
            </w:pPr>
            <w:r>
              <w:rPr>
                <w:rFonts w:hint="eastAsia" w:ascii="宋体" w:hAnsi="宋体"/>
                <w:sz w:val="18"/>
                <w:szCs w:val="18"/>
              </w:rPr>
              <w:t xml:space="preserve">是 </w:t>
            </w:r>
            <w:r>
              <w:rPr>
                <w:rFonts w:hint="eastAsia" w:ascii="宋体" w:hAnsi="宋体"/>
                <w:sz w:val="18"/>
                <w:szCs w:val="18"/>
              </w:rPr>
              <w:sym w:font="Wingdings 2" w:char="F0A3"/>
            </w:r>
            <w:r>
              <w:rPr>
                <w:rFonts w:ascii="宋体" w:hAnsi="宋体"/>
                <w:sz w:val="18"/>
                <w:szCs w:val="18"/>
              </w:rPr>
              <w:t xml:space="preserve">  </w:t>
            </w:r>
            <w:r>
              <w:rPr>
                <w:rFonts w:hint="eastAsia" w:ascii="宋体" w:hAnsi="宋体"/>
                <w:sz w:val="18"/>
                <w:szCs w:val="18"/>
              </w:rPr>
              <w:t xml:space="preserve">否 </w:t>
            </w:r>
            <w:r>
              <w:rPr>
                <w:rFonts w:hint="eastAsia" w:ascii="宋体" w:hAnsi="宋体"/>
                <w:sz w:val="18"/>
                <w:szCs w:val="18"/>
              </w:rPr>
              <w:sym w:font="Wingdings 2" w:char="F0A3"/>
            </w:r>
          </w:p>
        </w:tc>
        <w:tc>
          <w:tcPr>
            <w:tcW w:w="2444" w:type="pct"/>
            <w:gridSpan w:val="4"/>
            <w:vAlign w:val="center"/>
          </w:tcPr>
          <w:p>
            <w:pPr>
              <w:spacing w:line="240" w:lineRule="auto"/>
              <w:jc w:val="center"/>
              <w:rPr>
                <w:rFonts w:ascii="宋体" w:hAnsi="宋体"/>
                <w:sz w:val="18"/>
                <w:szCs w:val="18"/>
              </w:rPr>
            </w:pPr>
            <w:r>
              <w:rPr>
                <w:rFonts w:hint="eastAsia" w:ascii="宋体" w:hAnsi="宋体"/>
                <w:sz w:val="18"/>
                <w:szCs w:val="18"/>
              </w:rPr>
              <w:t xml:space="preserve">是 </w:t>
            </w:r>
            <w:r>
              <w:rPr>
                <w:rFonts w:hint="eastAsia" w:ascii="宋体" w:hAnsi="宋体"/>
                <w:sz w:val="18"/>
                <w:szCs w:val="18"/>
              </w:rPr>
              <w:sym w:font="Wingdings 2" w:char="F0A3"/>
            </w:r>
            <w:r>
              <w:rPr>
                <w:rFonts w:ascii="宋体" w:hAnsi="宋体"/>
                <w:sz w:val="18"/>
                <w:szCs w:val="18"/>
              </w:rPr>
              <w:t xml:space="preserve">  </w:t>
            </w:r>
            <w:r>
              <w:rPr>
                <w:rFonts w:hint="eastAsia" w:ascii="宋体" w:hAnsi="宋体"/>
                <w:sz w:val="18"/>
                <w:szCs w:val="18"/>
              </w:rPr>
              <w:t xml:space="preserve">否 </w:t>
            </w:r>
            <w:r>
              <w:rPr>
                <w:rFonts w:hint="eastAsia" w:ascii="宋体" w:hAnsi="宋体"/>
                <w:sz w:val="18"/>
                <w:szCs w:val="18"/>
              </w:rPr>
              <w:sym w:font="Wingdings 2" w:char="F0A3"/>
            </w:r>
          </w:p>
        </w:tc>
        <w:tc>
          <w:tcPr>
            <w:tcW w:w="1335" w:type="pct"/>
            <w:gridSpan w:val="2"/>
            <w:vAlign w:val="center"/>
          </w:tcPr>
          <w:p>
            <w:pPr>
              <w:spacing w:line="240" w:lineRule="auto"/>
              <w:jc w:val="center"/>
              <w:rPr>
                <w:rFonts w:ascii="宋体" w:hAnsi="宋体"/>
                <w:sz w:val="18"/>
                <w:szCs w:val="18"/>
              </w:rPr>
            </w:pPr>
            <w:r>
              <w:rPr>
                <w:rFonts w:hint="eastAsia" w:ascii="宋体" w:hAnsi="宋体"/>
                <w:sz w:val="18"/>
                <w:szCs w:val="18"/>
              </w:rPr>
              <w:t xml:space="preserve">是 </w:t>
            </w:r>
            <w:r>
              <w:rPr>
                <w:rFonts w:hint="eastAsia" w:ascii="宋体" w:hAnsi="宋体"/>
                <w:sz w:val="18"/>
                <w:szCs w:val="18"/>
              </w:rPr>
              <w:sym w:font="Wingdings 2" w:char="F0A3"/>
            </w:r>
            <w:r>
              <w:rPr>
                <w:rFonts w:ascii="宋体" w:hAnsi="宋体"/>
                <w:sz w:val="18"/>
                <w:szCs w:val="18"/>
              </w:rPr>
              <w:t xml:space="preserve">  </w:t>
            </w:r>
            <w:r>
              <w:rPr>
                <w:rFonts w:hint="eastAsia" w:ascii="宋体" w:hAnsi="宋体"/>
                <w:sz w:val="18"/>
                <w:szCs w:val="18"/>
              </w:rPr>
              <w:t xml:space="preserve">否 </w:t>
            </w:r>
            <w:r>
              <w:rPr>
                <w:rFonts w:hint="eastAsia" w:ascii="宋体" w:hAnsi="宋体"/>
                <w:sz w:val="18"/>
                <w:szCs w:val="18"/>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29" w:type="pct"/>
            <w:vAlign w:val="center"/>
          </w:tcPr>
          <w:p>
            <w:pPr>
              <w:spacing w:line="240" w:lineRule="auto"/>
              <w:jc w:val="center"/>
              <w:rPr>
                <w:rFonts w:ascii="宋体" w:hAnsi="宋体"/>
                <w:sz w:val="18"/>
                <w:szCs w:val="18"/>
              </w:rPr>
            </w:pPr>
            <w:r>
              <w:rPr>
                <w:rFonts w:hint="eastAsia" w:ascii="宋体" w:hAnsi="宋体"/>
                <w:sz w:val="18"/>
                <w:szCs w:val="18"/>
              </w:rPr>
              <w:t>满分</w:t>
            </w:r>
          </w:p>
        </w:tc>
        <w:tc>
          <w:tcPr>
            <w:tcW w:w="692" w:type="pct"/>
            <w:vAlign w:val="center"/>
          </w:tcPr>
          <w:p>
            <w:pPr>
              <w:spacing w:line="240" w:lineRule="auto"/>
              <w:jc w:val="center"/>
              <w:rPr>
                <w:rFonts w:ascii="宋体" w:hAnsi="宋体"/>
                <w:sz w:val="18"/>
                <w:szCs w:val="18"/>
              </w:rPr>
            </w:pPr>
            <w:r>
              <w:rPr>
                <w:rFonts w:hint="eastAsia" w:ascii="宋体" w:hAnsi="宋体"/>
                <w:sz w:val="18"/>
                <w:szCs w:val="18"/>
              </w:rPr>
              <w:t>1</w:t>
            </w:r>
            <w:r>
              <w:rPr>
                <w:rFonts w:ascii="宋体" w:hAnsi="宋体"/>
                <w:sz w:val="18"/>
                <w:szCs w:val="18"/>
              </w:rPr>
              <w:t>00</w:t>
            </w:r>
          </w:p>
        </w:tc>
        <w:tc>
          <w:tcPr>
            <w:tcW w:w="2444" w:type="pct"/>
            <w:gridSpan w:val="4"/>
            <w:vAlign w:val="center"/>
          </w:tcPr>
          <w:p>
            <w:pPr>
              <w:spacing w:line="240" w:lineRule="auto"/>
              <w:jc w:val="center"/>
              <w:rPr>
                <w:rFonts w:ascii="宋体" w:hAnsi="宋体"/>
                <w:sz w:val="18"/>
                <w:szCs w:val="18"/>
              </w:rPr>
            </w:pPr>
            <w:r>
              <w:rPr>
                <w:rFonts w:hint="eastAsia" w:ascii="宋体" w:hAnsi="宋体"/>
                <w:sz w:val="18"/>
                <w:szCs w:val="18"/>
              </w:rPr>
              <w:t>1</w:t>
            </w:r>
            <w:r>
              <w:rPr>
                <w:rFonts w:ascii="宋体" w:hAnsi="宋体"/>
                <w:sz w:val="18"/>
                <w:szCs w:val="18"/>
              </w:rPr>
              <w:t>00</w:t>
            </w:r>
          </w:p>
        </w:tc>
        <w:tc>
          <w:tcPr>
            <w:tcW w:w="1335" w:type="pct"/>
            <w:gridSpan w:val="2"/>
            <w:vAlign w:val="center"/>
          </w:tcPr>
          <w:p>
            <w:pPr>
              <w:spacing w:line="240" w:lineRule="auto"/>
              <w:jc w:val="center"/>
              <w:rPr>
                <w:rFonts w:ascii="宋体" w:hAnsi="宋体"/>
                <w:sz w:val="18"/>
                <w:szCs w:val="18"/>
              </w:rPr>
            </w:pPr>
            <w:r>
              <w:rPr>
                <w:rFonts w:hint="eastAsia" w:ascii="宋体" w:hAnsi="宋体"/>
                <w:sz w:val="18"/>
                <w:szCs w:val="18"/>
              </w:rPr>
              <w:t>1</w:t>
            </w:r>
            <w:r>
              <w:rPr>
                <w:rFonts w:ascii="宋体" w:hAnsi="宋体"/>
                <w:sz w:val="18"/>
                <w:szCs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529" w:type="pct"/>
            <w:vMerge w:val="restart"/>
            <w:vAlign w:val="center"/>
          </w:tcPr>
          <w:p>
            <w:pPr>
              <w:spacing w:line="240" w:lineRule="auto"/>
              <w:jc w:val="center"/>
              <w:rPr>
                <w:rFonts w:ascii="宋体" w:hAnsi="宋体"/>
                <w:sz w:val="18"/>
                <w:szCs w:val="18"/>
              </w:rPr>
            </w:pPr>
            <w:r>
              <w:rPr>
                <w:rFonts w:hint="eastAsia" w:ascii="宋体" w:hAnsi="宋体"/>
                <w:sz w:val="18"/>
                <w:szCs w:val="18"/>
              </w:rPr>
              <w:t>得分</w:t>
            </w:r>
          </w:p>
        </w:tc>
        <w:tc>
          <w:tcPr>
            <w:tcW w:w="692" w:type="pct"/>
            <w:vMerge w:val="restart"/>
            <w:vAlign w:val="center"/>
          </w:tcPr>
          <w:p>
            <w:pPr>
              <w:spacing w:line="240" w:lineRule="auto"/>
              <w:jc w:val="center"/>
              <w:rPr>
                <w:rFonts w:ascii="宋体" w:hAnsi="宋体"/>
                <w:sz w:val="18"/>
                <w:szCs w:val="18"/>
              </w:rPr>
            </w:pPr>
          </w:p>
        </w:tc>
        <w:tc>
          <w:tcPr>
            <w:tcW w:w="610" w:type="pct"/>
            <w:vAlign w:val="center"/>
          </w:tcPr>
          <w:p>
            <w:pPr>
              <w:spacing w:line="240" w:lineRule="auto"/>
              <w:jc w:val="center"/>
              <w:rPr>
                <w:rFonts w:ascii="宋体" w:hAnsi="宋体"/>
                <w:sz w:val="18"/>
                <w:szCs w:val="18"/>
              </w:rPr>
            </w:pPr>
            <w:r>
              <w:rPr>
                <w:rFonts w:hint="eastAsia" w:ascii="宋体" w:hAnsi="宋体"/>
                <w:sz w:val="18"/>
                <w:szCs w:val="18"/>
              </w:rPr>
              <w:t>数字设计</w:t>
            </w:r>
          </w:p>
        </w:tc>
        <w:tc>
          <w:tcPr>
            <w:tcW w:w="547" w:type="pct"/>
            <w:vAlign w:val="center"/>
          </w:tcPr>
          <w:p>
            <w:pPr>
              <w:spacing w:line="240" w:lineRule="auto"/>
              <w:jc w:val="center"/>
              <w:rPr>
                <w:rFonts w:ascii="宋体" w:hAnsi="宋体"/>
                <w:sz w:val="18"/>
                <w:szCs w:val="18"/>
              </w:rPr>
            </w:pPr>
          </w:p>
        </w:tc>
        <w:tc>
          <w:tcPr>
            <w:tcW w:w="618" w:type="pct"/>
            <w:vAlign w:val="center"/>
          </w:tcPr>
          <w:p>
            <w:pPr>
              <w:spacing w:line="240" w:lineRule="auto"/>
              <w:jc w:val="center"/>
              <w:rPr>
                <w:rFonts w:ascii="宋体" w:hAnsi="宋体"/>
                <w:sz w:val="18"/>
                <w:szCs w:val="18"/>
              </w:rPr>
            </w:pPr>
            <w:r>
              <w:rPr>
                <w:rFonts w:hint="eastAsia" w:ascii="宋体" w:hAnsi="宋体"/>
                <w:sz w:val="18"/>
                <w:szCs w:val="18"/>
              </w:rPr>
              <w:t>智慧运维</w:t>
            </w:r>
          </w:p>
        </w:tc>
        <w:tc>
          <w:tcPr>
            <w:tcW w:w="669" w:type="pct"/>
            <w:vAlign w:val="center"/>
          </w:tcPr>
          <w:p>
            <w:pPr>
              <w:spacing w:line="240" w:lineRule="auto"/>
              <w:jc w:val="center"/>
              <w:rPr>
                <w:rFonts w:ascii="宋体" w:hAnsi="宋体"/>
                <w:sz w:val="18"/>
                <w:szCs w:val="18"/>
              </w:rPr>
            </w:pPr>
          </w:p>
        </w:tc>
        <w:tc>
          <w:tcPr>
            <w:tcW w:w="677" w:type="pct"/>
            <w:vAlign w:val="center"/>
          </w:tcPr>
          <w:p>
            <w:pPr>
              <w:spacing w:line="240" w:lineRule="auto"/>
              <w:jc w:val="center"/>
              <w:rPr>
                <w:rFonts w:ascii="宋体" w:hAnsi="宋体"/>
                <w:sz w:val="18"/>
                <w:szCs w:val="18"/>
              </w:rPr>
            </w:pPr>
            <w:r>
              <w:rPr>
                <w:rFonts w:ascii="宋体" w:hAnsi="宋体"/>
                <w:sz w:val="18"/>
                <w:szCs w:val="18"/>
              </w:rPr>
              <w:t>综合效益</w:t>
            </w:r>
          </w:p>
        </w:tc>
        <w:tc>
          <w:tcPr>
            <w:tcW w:w="658"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Merge w:val="continue"/>
            <w:vAlign w:val="center"/>
          </w:tcPr>
          <w:p>
            <w:pPr>
              <w:spacing w:line="240" w:lineRule="auto"/>
              <w:jc w:val="center"/>
              <w:rPr>
                <w:rFonts w:ascii="宋体" w:hAnsi="宋体"/>
                <w:sz w:val="18"/>
                <w:szCs w:val="18"/>
              </w:rPr>
            </w:pPr>
          </w:p>
        </w:tc>
        <w:tc>
          <w:tcPr>
            <w:tcW w:w="692" w:type="pct"/>
            <w:vMerge w:val="continue"/>
            <w:vAlign w:val="center"/>
          </w:tcPr>
          <w:p>
            <w:pPr>
              <w:spacing w:line="240" w:lineRule="auto"/>
              <w:jc w:val="center"/>
              <w:rPr>
                <w:rFonts w:ascii="宋体" w:hAnsi="宋体"/>
                <w:sz w:val="18"/>
                <w:szCs w:val="18"/>
              </w:rPr>
            </w:pPr>
          </w:p>
        </w:tc>
        <w:tc>
          <w:tcPr>
            <w:tcW w:w="610" w:type="pct"/>
            <w:vAlign w:val="center"/>
          </w:tcPr>
          <w:p>
            <w:pPr>
              <w:spacing w:line="240" w:lineRule="auto"/>
              <w:jc w:val="center"/>
              <w:rPr>
                <w:rFonts w:ascii="宋体" w:hAnsi="宋体"/>
                <w:sz w:val="18"/>
                <w:szCs w:val="18"/>
              </w:rPr>
            </w:pPr>
            <w:r>
              <w:rPr>
                <w:rFonts w:hint="eastAsia" w:ascii="宋体" w:hAnsi="宋体"/>
                <w:sz w:val="18"/>
                <w:szCs w:val="18"/>
              </w:rPr>
              <w:t>智能生产</w:t>
            </w:r>
          </w:p>
        </w:tc>
        <w:tc>
          <w:tcPr>
            <w:tcW w:w="547" w:type="pct"/>
            <w:vAlign w:val="center"/>
          </w:tcPr>
          <w:p>
            <w:pPr>
              <w:spacing w:line="240" w:lineRule="auto"/>
              <w:jc w:val="center"/>
              <w:rPr>
                <w:rFonts w:ascii="宋体" w:hAnsi="宋体"/>
                <w:sz w:val="18"/>
                <w:szCs w:val="18"/>
              </w:rPr>
            </w:pPr>
          </w:p>
        </w:tc>
        <w:tc>
          <w:tcPr>
            <w:tcW w:w="618" w:type="pct"/>
            <w:vMerge w:val="restart"/>
            <w:vAlign w:val="center"/>
          </w:tcPr>
          <w:p>
            <w:pPr>
              <w:spacing w:line="240" w:lineRule="auto"/>
              <w:jc w:val="center"/>
              <w:rPr>
                <w:rFonts w:ascii="宋体" w:hAnsi="宋体"/>
                <w:sz w:val="18"/>
                <w:szCs w:val="18"/>
              </w:rPr>
            </w:pPr>
            <w:r>
              <w:rPr>
                <w:rFonts w:hint="eastAsia" w:ascii="宋体" w:hAnsi="宋体"/>
                <w:sz w:val="18"/>
                <w:szCs w:val="18"/>
              </w:rPr>
              <w:t>全过程数据协同</w:t>
            </w:r>
          </w:p>
        </w:tc>
        <w:tc>
          <w:tcPr>
            <w:tcW w:w="669" w:type="pct"/>
            <w:vMerge w:val="restart"/>
            <w:vAlign w:val="center"/>
          </w:tcPr>
          <w:p>
            <w:pPr>
              <w:spacing w:line="240" w:lineRule="auto"/>
              <w:jc w:val="center"/>
              <w:rPr>
                <w:rFonts w:ascii="宋体" w:hAnsi="宋体"/>
                <w:sz w:val="18"/>
                <w:szCs w:val="18"/>
              </w:rPr>
            </w:pPr>
          </w:p>
        </w:tc>
        <w:tc>
          <w:tcPr>
            <w:tcW w:w="677" w:type="pct"/>
            <w:vAlign w:val="center"/>
          </w:tcPr>
          <w:p>
            <w:pPr>
              <w:spacing w:line="240" w:lineRule="auto"/>
              <w:jc w:val="center"/>
              <w:rPr>
                <w:rFonts w:ascii="宋体" w:hAnsi="宋体"/>
                <w:sz w:val="18"/>
                <w:szCs w:val="18"/>
              </w:rPr>
            </w:pPr>
            <w:r>
              <w:rPr>
                <w:rFonts w:ascii="宋体" w:hAnsi="宋体"/>
                <w:sz w:val="18"/>
                <w:szCs w:val="18"/>
              </w:rPr>
              <w:t>产品品质</w:t>
            </w:r>
          </w:p>
        </w:tc>
        <w:tc>
          <w:tcPr>
            <w:tcW w:w="658"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Merge w:val="continue"/>
            <w:vAlign w:val="center"/>
          </w:tcPr>
          <w:p>
            <w:pPr>
              <w:spacing w:line="240" w:lineRule="auto"/>
              <w:jc w:val="center"/>
              <w:rPr>
                <w:rFonts w:ascii="宋体" w:hAnsi="宋体"/>
                <w:sz w:val="18"/>
                <w:szCs w:val="18"/>
              </w:rPr>
            </w:pPr>
          </w:p>
        </w:tc>
        <w:tc>
          <w:tcPr>
            <w:tcW w:w="692" w:type="pct"/>
            <w:vMerge w:val="continue"/>
            <w:vAlign w:val="center"/>
          </w:tcPr>
          <w:p>
            <w:pPr>
              <w:spacing w:line="240" w:lineRule="auto"/>
              <w:jc w:val="center"/>
              <w:rPr>
                <w:rFonts w:ascii="宋体" w:hAnsi="宋体"/>
                <w:sz w:val="18"/>
                <w:szCs w:val="18"/>
              </w:rPr>
            </w:pPr>
          </w:p>
        </w:tc>
        <w:tc>
          <w:tcPr>
            <w:tcW w:w="610" w:type="pct"/>
            <w:vMerge w:val="restart"/>
            <w:vAlign w:val="center"/>
          </w:tcPr>
          <w:p>
            <w:pPr>
              <w:spacing w:line="240" w:lineRule="auto"/>
              <w:jc w:val="center"/>
              <w:rPr>
                <w:rFonts w:ascii="宋体" w:hAnsi="宋体"/>
                <w:sz w:val="18"/>
                <w:szCs w:val="18"/>
              </w:rPr>
            </w:pPr>
            <w:r>
              <w:rPr>
                <w:rFonts w:hint="eastAsia" w:ascii="宋体" w:hAnsi="宋体"/>
                <w:sz w:val="18"/>
                <w:szCs w:val="18"/>
              </w:rPr>
              <w:t>智能施工</w:t>
            </w:r>
          </w:p>
        </w:tc>
        <w:tc>
          <w:tcPr>
            <w:tcW w:w="547" w:type="pct"/>
            <w:vMerge w:val="restart"/>
            <w:vAlign w:val="center"/>
          </w:tcPr>
          <w:p>
            <w:pPr>
              <w:spacing w:line="240" w:lineRule="auto"/>
              <w:jc w:val="center"/>
              <w:rPr>
                <w:rFonts w:ascii="宋体" w:hAnsi="宋体"/>
                <w:sz w:val="18"/>
                <w:szCs w:val="18"/>
              </w:rPr>
            </w:pPr>
          </w:p>
        </w:tc>
        <w:tc>
          <w:tcPr>
            <w:tcW w:w="618" w:type="pct"/>
            <w:vMerge w:val="continue"/>
            <w:vAlign w:val="center"/>
          </w:tcPr>
          <w:p>
            <w:pPr>
              <w:spacing w:line="240" w:lineRule="auto"/>
              <w:jc w:val="center"/>
              <w:rPr>
                <w:rFonts w:ascii="宋体" w:hAnsi="宋体"/>
                <w:sz w:val="18"/>
                <w:szCs w:val="18"/>
              </w:rPr>
            </w:pPr>
          </w:p>
        </w:tc>
        <w:tc>
          <w:tcPr>
            <w:tcW w:w="669" w:type="pct"/>
            <w:vMerge w:val="continue"/>
            <w:vAlign w:val="center"/>
          </w:tcPr>
          <w:p>
            <w:pPr>
              <w:spacing w:line="240" w:lineRule="auto"/>
              <w:jc w:val="center"/>
              <w:rPr>
                <w:rFonts w:ascii="宋体" w:hAnsi="宋体"/>
                <w:sz w:val="18"/>
                <w:szCs w:val="18"/>
              </w:rPr>
            </w:pPr>
          </w:p>
        </w:tc>
        <w:tc>
          <w:tcPr>
            <w:tcW w:w="677" w:type="pct"/>
            <w:vAlign w:val="center"/>
          </w:tcPr>
          <w:p>
            <w:pPr>
              <w:spacing w:line="240" w:lineRule="auto"/>
              <w:jc w:val="center"/>
              <w:rPr>
                <w:rFonts w:ascii="宋体" w:hAnsi="宋体"/>
                <w:sz w:val="18"/>
                <w:szCs w:val="18"/>
              </w:rPr>
            </w:pPr>
            <w:r>
              <w:rPr>
                <w:rFonts w:hint="eastAsia" w:ascii="宋体" w:hAnsi="宋体"/>
                <w:sz w:val="18"/>
                <w:szCs w:val="18"/>
              </w:rPr>
              <w:t>E</w:t>
            </w:r>
            <w:r>
              <w:rPr>
                <w:rFonts w:ascii="宋体" w:hAnsi="宋体"/>
                <w:sz w:val="18"/>
                <w:szCs w:val="18"/>
              </w:rPr>
              <w:t>SG贡献</w:t>
            </w:r>
          </w:p>
        </w:tc>
        <w:tc>
          <w:tcPr>
            <w:tcW w:w="658"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Merge w:val="continue"/>
            <w:vAlign w:val="center"/>
          </w:tcPr>
          <w:p>
            <w:pPr>
              <w:spacing w:line="240" w:lineRule="auto"/>
              <w:jc w:val="center"/>
              <w:rPr>
                <w:rFonts w:ascii="宋体" w:hAnsi="宋体"/>
                <w:sz w:val="18"/>
                <w:szCs w:val="18"/>
              </w:rPr>
            </w:pPr>
          </w:p>
        </w:tc>
        <w:tc>
          <w:tcPr>
            <w:tcW w:w="692" w:type="pct"/>
            <w:vMerge w:val="continue"/>
            <w:vAlign w:val="center"/>
          </w:tcPr>
          <w:p>
            <w:pPr>
              <w:spacing w:line="240" w:lineRule="auto"/>
              <w:jc w:val="center"/>
              <w:rPr>
                <w:rFonts w:ascii="宋体" w:hAnsi="宋体"/>
                <w:b/>
                <w:bCs/>
                <w:sz w:val="18"/>
                <w:szCs w:val="18"/>
              </w:rPr>
            </w:pPr>
          </w:p>
        </w:tc>
        <w:tc>
          <w:tcPr>
            <w:tcW w:w="610" w:type="pct"/>
            <w:vMerge w:val="continue"/>
            <w:vAlign w:val="center"/>
          </w:tcPr>
          <w:p>
            <w:pPr>
              <w:spacing w:line="240" w:lineRule="auto"/>
              <w:jc w:val="center"/>
              <w:rPr>
                <w:rFonts w:ascii="宋体" w:hAnsi="宋体"/>
                <w:b/>
                <w:bCs/>
                <w:sz w:val="18"/>
                <w:szCs w:val="18"/>
              </w:rPr>
            </w:pPr>
          </w:p>
        </w:tc>
        <w:tc>
          <w:tcPr>
            <w:tcW w:w="547" w:type="pct"/>
            <w:vMerge w:val="continue"/>
            <w:vAlign w:val="center"/>
          </w:tcPr>
          <w:p>
            <w:pPr>
              <w:spacing w:line="240" w:lineRule="auto"/>
              <w:jc w:val="center"/>
              <w:rPr>
                <w:rFonts w:ascii="宋体" w:hAnsi="宋体"/>
                <w:sz w:val="18"/>
                <w:szCs w:val="18"/>
              </w:rPr>
            </w:pPr>
          </w:p>
        </w:tc>
        <w:tc>
          <w:tcPr>
            <w:tcW w:w="618" w:type="pct"/>
            <w:vMerge w:val="continue"/>
            <w:vAlign w:val="center"/>
          </w:tcPr>
          <w:p>
            <w:pPr>
              <w:spacing w:line="240" w:lineRule="auto"/>
              <w:jc w:val="center"/>
              <w:rPr>
                <w:rFonts w:ascii="宋体" w:hAnsi="宋体"/>
                <w:sz w:val="18"/>
                <w:szCs w:val="18"/>
              </w:rPr>
            </w:pPr>
          </w:p>
        </w:tc>
        <w:tc>
          <w:tcPr>
            <w:tcW w:w="669" w:type="pct"/>
            <w:vMerge w:val="continue"/>
            <w:vAlign w:val="center"/>
          </w:tcPr>
          <w:p>
            <w:pPr>
              <w:spacing w:line="240" w:lineRule="auto"/>
              <w:jc w:val="center"/>
              <w:rPr>
                <w:rFonts w:ascii="宋体" w:hAnsi="宋体"/>
                <w:sz w:val="18"/>
                <w:szCs w:val="18"/>
              </w:rPr>
            </w:pPr>
          </w:p>
        </w:tc>
        <w:tc>
          <w:tcPr>
            <w:tcW w:w="677" w:type="pct"/>
            <w:vAlign w:val="center"/>
          </w:tcPr>
          <w:p>
            <w:pPr>
              <w:spacing w:line="240" w:lineRule="auto"/>
              <w:jc w:val="center"/>
              <w:rPr>
                <w:rFonts w:ascii="宋体" w:hAnsi="宋体"/>
                <w:sz w:val="18"/>
                <w:szCs w:val="18"/>
              </w:rPr>
            </w:pPr>
            <w:r>
              <w:rPr>
                <w:rFonts w:ascii="宋体" w:hAnsi="宋体"/>
                <w:sz w:val="18"/>
                <w:szCs w:val="18"/>
              </w:rPr>
              <w:t>科技创新</w:t>
            </w:r>
          </w:p>
        </w:tc>
        <w:tc>
          <w:tcPr>
            <w:tcW w:w="658"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Merge w:val="continue"/>
            <w:vAlign w:val="center"/>
          </w:tcPr>
          <w:p>
            <w:pPr>
              <w:spacing w:line="240" w:lineRule="auto"/>
              <w:jc w:val="center"/>
              <w:rPr>
                <w:rFonts w:ascii="宋体" w:hAnsi="宋体"/>
                <w:sz w:val="18"/>
                <w:szCs w:val="18"/>
              </w:rPr>
            </w:pPr>
          </w:p>
        </w:tc>
        <w:tc>
          <w:tcPr>
            <w:tcW w:w="692" w:type="pct"/>
            <w:vAlign w:val="center"/>
          </w:tcPr>
          <w:p>
            <w:pPr>
              <w:spacing w:line="240" w:lineRule="auto"/>
              <w:jc w:val="center"/>
              <w:rPr>
                <w:rFonts w:ascii="宋体" w:hAnsi="宋体"/>
                <w:sz w:val="18"/>
                <w:szCs w:val="18"/>
              </w:rPr>
            </w:pPr>
            <w:r>
              <w:rPr>
                <w:rFonts w:hint="eastAsia" w:ascii="宋体" w:hAnsi="宋体"/>
                <w:sz w:val="18"/>
                <w:szCs w:val="18"/>
              </w:rPr>
              <w:t>Q</w:t>
            </w:r>
            <w:r>
              <w:rPr>
                <w:rFonts w:ascii="宋体" w:hAnsi="宋体"/>
                <w:sz w:val="18"/>
                <w:szCs w:val="18"/>
              </w:rPr>
              <w:t>1=</w:t>
            </w:r>
          </w:p>
        </w:tc>
        <w:tc>
          <w:tcPr>
            <w:tcW w:w="2444" w:type="pct"/>
            <w:gridSpan w:val="4"/>
            <w:vAlign w:val="center"/>
          </w:tcPr>
          <w:p>
            <w:pPr>
              <w:spacing w:line="240" w:lineRule="auto"/>
              <w:jc w:val="center"/>
              <w:rPr>
                <w:rFonts w:ascii="宋体" w:hAnsi="宋体"/>
                <w:sz w:val="18"/>
                <w:szCs w:val="18"/>
              </w:rPr>
            </w:pPr>
            <w:r>
              <w:rPr>
                <w:rFonts w:hint="eastAsia" w:ascii="宋体" w:hAnsi="宋体"/>
                <w:sz w:val="18"/>
                <w:szCs w:val="18"/>
              </w:rPr>
              <w:t>Q</w:t>
            </w:r>
            <w:r>
              <w:rPr>
                <w:rFonts w:ascii="宋体" w:hAnsi="宋体"/>
                <w:sz w:val="18"/>
                <w:szCs w:val="18"/>
              </w:rPr>
              <w:t>2=</w:t>
            </w:r>
          </w:p>
        </w:tc>
        <w:tc>
          <w:tcPr>
            <w:tcW w:w="1335" w:type="pct"/>
            <w:gridSpan w:val="2"/>
            <w:vAlign w:val="center"/>
          </w:tcPr>
          <w:p>
            <w:pPr>
              <w:spacing w:line="240" w:lineRule="auto"/>
              <w:jc w:val="center"/>
              <w:rPr>
                <w:rFonts w:ascii="宋体" w:hAnsi="宋体"/>
                <w:sz w:val="18"/>
                <w:szCs w:val="18"/>
              </w:rPr>
            </w:pPr>
            <w:r>
              <w:rPr>
                <w:rFonts w:hint="eastAsia" w:ascii="宋体" w:hAnsi="宋体"/>
                <w:sz w:val="18"/>
                <w:szCs w:val="18"/>
              </w:rPr>
              <w:t>Q</w:t>
            </w:r>
            <w:r>
              <w:rPr>
                <w:rFonts w:ascii="宋体" w:hAnsi="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221" w:type="pct"/>
            <w:gridSpan w:val="2"/>
            <w:vAlign w:val="center"/>
          </w:tcPr>
          <w:p>
            <w:pPr>
              <w:spacing w:line="240" w:lineRule="auto"/>
              <w:jc w:val="center"/>
              <w:rPr>
                <w:rFonts w:ascii="宋体" w:hAnsi="宋体"/>
                <w:b/>
                <w:bCs/>
                <w:sz w:val="18"/>
                <w:szCs w:val="18"/>
              </w:rPr>
            </w:pPr>
            <w:r>
              <w:rPr>
                <w:rFonts w:ascii="宋体" w:hAnsi="宋体"/>
                <w:b/>
                <w:bCs/>
                <w:sz w:val="18"/>
                <w:szCs w:val="18"/>
              </w:rPr>
              <w:t>汇总得分（计算公式）</w:t>
            </w:r>
          </w:p>
        </w:tc>
        <w:tc>
          <w:tcPr>
            <w:tcW w:w="2444" w:type="pct"/>
            <w:gridSpan w:val="4"/>
            <w:vAlign w:val="center"/>
          </w:tcPr>
          <w:p>
            <w:pPr>
              <w:spacing w:line="240" w:lineRule="auto"/>
              <w:jc w:val="center"/>
              <w:rPr>
                <w:rFonts w:ascii="宋体" w:hAnsi="宋体"/>
                <w:sz w:val="18"/>
                <w:szCs w:val="18"/>
              </w:rPr>
            </w:pPr>
            <w:r>
              <w:rPr>
                <w:rFonts w:hint="eastAsia" w:ascii="宋体" w:hAnsi="宋体"/>
                <w:i/>
                <w:iCs/>
                <w:sz w:val="18"/>
                <w:szCs w:val="18"/>
              </w:rPr>
              <w:t>Q</w:t>
            </w:r>
            <w:r>
              <w:rPr>
                <w:rFonts w:ascii="宋体" w:hAnsi="宋体"/>
                <w:sz w:val="18"/>
                <w:szCs w:val="18"/>
              </w:rPr>
              <w:t>=</w:t>
            </w:r>
            <m:oMath>
              <m:sSub>
                <m:sSubPr>
                  <m:ctrlPr>
                    <w:rPr>
                      <w:rFonts w:ascii="Cambria Math" w:hAnsi="Cambria Math"/>
                      <w:i/>
                      <w:sz w:val="18"/>
                      <w:szCs w:val="18"/>
                    </w:rPr>
                  </m:ctrlPr>
                </m:sSubPr>
                <m:e>
                  <m:r>
                    <m:rPr/>
                    <w:rPr>
                      <w:rFonts w:ascii="Cambria Math" w:hAnsi="Cambria Math"/>
                      <w:sz w:val="18"/>
                      <w:szCs w:val="18"/>
                    </w:rPr>
                    <m:t>α</m:t>
                  </m:r>
                  <m:ctrlPr>
                    <w:rPr>
                      <w:rFonts w:ascii="Cambria Math" w:hAnsi="Cambria Math"/>
                      <w:i/>
                      <w:sz w:val="18"/>
                      <w:szCs w:val="18"/>
                    </w:rPr>
                  </m:ctrlPr>
                </m:e>
                <m:sub>
                  <m:r>
                    <m:rPr/>
                    <w:rPr>
                      <w:rFonts w:ascii="Cambria Math" w:hAnsi="Cambria Math"/>
                      <w:sz w:val="18"/>
                      <w:szCs w:val="18"/>
                    </w:rPr>
                    <m:t>1</m:t>
                  </m:r>
                  <m:ctrlPr>
                    <w:rPr>
                      <w:rFonts w:ascii="Cambria Math" w:hAnsi="Cambria Math"/>
                      <w:i/>
                      <w:sz w:val="18"/>
                      <w:szCs w:val="18"/>
                    </w:rPr>
                  </m:ctrlPr>
                </m:sub>
              </m:sSub>
            </m:oMath>
            <w:r>
              <w:rPr>
                <w:rFonts w:ascii="宋体" w:hAnsi="宋体"/>
                <w:i/>
                <w:iCs/>
                <w:sz w:val="18"/>
                <w:szCs w:val="18"/>
              </w:rPr>
              <w:t>Q</w:t>
            </w:r>
            <w:r>
              <w:rPr>
                <w:rFonts w:ascii="宋体" w:hAnsi="宋体"/>
                <w:sz w:val="18"/>
                <w:szCs w:val="18"/>
                <w:vertAlign w:val="subscript"/>
              </w:rPr>
              <w:t xml:space="preserve"> 1</w:t>
            </w:r>
            <w:r>
              <w:rPr>
                <w:rFonts w:ascii="宋体" w:hAnsi="宋体"/>
                <w:sz w:val="18"/>
                <w:szCs w:val="18"/>
              </w:rPr>
              <w:t>+</w:t>
            </w:r>
            <m:oMath>
              <m:sSub>
                <m:sSubPr>
                  <m:ctrlPr>
                    <w:rPr>
                      <w:rFonts w:ascii="Cambria Math" w:hAnsi="Cambria Math"/>
                      <w:i/>
                      <w:sz w:val="18"/>
                      <w:szCs w:val="18"/>
                    </w:rPr>
                  </m:ctrlPr>
                </m:sSubPr>
                <m:e>
                  <m:r>
                    <m:rPr/>
                    <w:rPr>
                      <w:rFonts w:ascii="Cambria Math" w:hAnsi="Cambria Math"/>
                      <w:sz w:val="18"/>
                      <w:szCs w:val="18"/>
                    </w:rPr>
                    <m:t>α</m:t>
                  </m:r>
                  <m:ctrlPr>
                    <w:rPr>
                      <w:rFonts w:ascii="Cambria Math" w:hAnsi="Cambria Math"/>
                      <w:i/>
                      <w:sz w:val="18"/>
                      <w:szCs w:val="18"/>
                    </w:rPr>
                  </m:ctrlPr>
                </m:e>
                <m:sub>
                  <m:r>
                    <m:rPr/>
                    <w:rPr>
                      <w:rFonts w:ascii="Cambria Math" w:hAnsi="Cambria Math"/>
                      <w:sz w:val="18"/>
                      <w:szCs w:val="18"/>
                    </w:rPr>
                    <m:t>2</m:t>
                  </m:r>
                  <m:ctrlPr>
                    <w:rPr>
                      <w:rFonts w:ascii="Cambria Math" w:hAnsi="Cambria Math"/>
                      <w:i/>
                      <w:sz w:val="18"/>
                      <w:szCs w:val="18"/>
                    </w:rPr>
                  </m:ctrlPr>
                </m:sub>
              </m:sSub>
            </m:oMath>
            <w:r>
              <w:rPr>
                <w:rFonts w:ascii="宋体" w:hAnsi="宋体"/>
                <w:i/>
                <w:iCs/>
                <w:sz w:val="18"/>
                <w:szCs w:val="18"/>
              </w:rPr>
              <w:t>Q</w:t>
            </w:r>
            <w:r>
              <w:rPr>
                <w:rFonts w:ascii="宋体" w:hAnsi="宋体"/>
                <w:sz w:val="18"/>
                <w:szCs w:val="18"/>
                <w:vertAlign w:val="subscript"/>
              </w:rPr>
              <w:t xml:space="preserve"> 2</w:t>
            </w:r>
            <w:r>
              <w:rPr>
                <w:rFonts w:hint="eastAsia" w:ascii="宋体" w:hAnsi="宋体"/>
                <w:sz w:val="18"/>
                <w:szCs w:val="18"/>
              </w:rPr>
              <w:t>+</w:t>
            </w:r>
            <m:oMath>
              <m:sSub>
                <m:sSubPr>
                  <m:ctrlPr>
                    <w:rPr>
                      <w:rFonts w:ascii="Cambria Math" w:hAnsi="Cambria Math"/>
                      <w:i/>
                      <w:sz w:val="18"/>
                      <w:szCs w:val="18"/>
                    </w:rPr>
                  </m:ctrlPr>
                </m:sSubPr>
                <m:e>
                  <m:r>
                    <m:rPr/>
                    <w:rPr>
                      <w:rFonts w:ascii="Cambria Math" w:hAnsi="Cambria Math"/>
                      <w:sz w:val="18"/>
                      <w:szCs w:val="18"/>
                    </w:rPr>
                    <m:t>α</m:t>
                  </m:r>
                  <m:ctrlPr>
                    <w:rPr>
                      <w:rFonts w:ascii="Cambria Math" w:hAnsi="Cambria Math"/>
                      <w:i/>
                      <w:sz w:val="18"/>
                      <w:szCs w:val="18"/>
                    </w:rPr>
                  </m:ctrlPr>
                </m:e>
                <m:sub>
                  <m:r>
                    <m:rPr/>
                    <w:rPr>
                      <w:rFonts w:ascii="Cambria Math" w:hAnsi="Cambria Math"/>
                      <w:sz w:val="18"/>
                      <w:szCs w:val="18"/>
                    </w:rPr>
                    <m:t>3</m:t>
                  </m:r>
                  <m:ctrlPr>
                    <w:rPr>
                      <w:rFonts w:ascii="Cambria Math" w:hAnsi="Cambria Math"/>
                      <w:i/>
                      <w:sz w:val="18"/>
                      <w:szCs w:val="18"/>
                    </w:rPr>
                  </m:ctrlPr>
                </m:sub>
              </m:sSub>
            </m:oMath>
            <w:r>
              <w:rPr>
                <w:rFonts w:ascii="宋体" w:hAnsi="宋体"/>
                <w:i/>
                <w:iCs/>
                <w:sz w:val="18"/>
                <w:szCs w:val="18"/>
              </w:rPr>
              <w:t>Q</w:t>
            </w:r>
            <w:r>
              <w:rPr>
                <w:rFonts w:ascii="宋体" w:hAnsi="宋体"/>
                <w:sz w:val="18"/>
                <w:szCs w:val="18"/>
                <w:vertAlign w:val="subscript"/>
              </w:rPr>
              <w:t xml:space="preserve"> 3</w:t>
            </w:r>
            <w:r>
              <w:rPr>
                <w:rFonts w:ascii="宋体" w:hAnsi="宋体"/>
                <w:sz w:val="18"/>
                <w:szCs w:val="18"/>
              </w:rPr>
              <w:t>(</w:t>
            </w:r>
            <m:oMath>
              <m:sSub>
                <m:sSubPr>
                  <m:ctrlPr>
                    <w:rPr>
                      <w:rFonts w:ascii="Cambria Math" w:hAnsi="Cambria Math"/>
                      <w:i/>
                      <w:sz w:val="18"/>
                      <w:szCs w:val="18"/>
                    </w:rPr>
                  </m:ctrlPr>
                </m:sSubPr>
                <m:e>
                  <m:r>
                    <m:rPr/>
                    <w:rPr>
                      <w:rFonts w:ascii="Cambria Math" w:hAnsi="Cambria Math"/>
                      <w:sz w:val="18"/>
                      <w:szCs w:val="18"/>
                    </w:rPr>
                    <m:t>α</m:t>
                  </m:r>
                  <m:ctrlPr>
                    <w:rPr>
                      <w:rFonts w:ascii="Cambria Math" w:hAnsi="Cambria Math"/>
                      <w:i/>
                      <w:sz w:val="18"/>
                      <w:szCs w:val="18"/>
                    </w:rPr>
                  </m:ctrlPr>
                </m:e>
                <m:sub>
                  <m:r>
                    <m:rPr/>
                    <w:rPr>
                      <w:rFonts w:ascii="Cambria Math" w:hAnsi="Cambria Math"/>
                      <w:sz w:val="18"/>
                      <w:szCs w:val="18"/>
                    </w:rPr>
                    <m:t>1</m:t>
                  </m:r>
                  <m:ctrlPr>
                    <w:rPr>
                      <w:rFonts w:ascii="Cambria Math" w:hAnsi="Cambria Math"/>
                      <w:i/>
                      <w:sz w:val="18"/>
                      <w:szCs w:val="18"/>
                    </w:rPr>
                  </m:ctrlPr>
                </m:sub>
              </m:sSub>
              <m:r>
                <m:rPr/>
                <w:rPr>
                  <w:rFonts w:ascii="Cambria Math" w:hAnsi="Cambria Math"/>
                  <w:sz w:val="18"/>
                  <w:szCs w:val="18"/>
                </w:rPr>
                <m:t>=0.1;</m:t>
              </m:r>
              <m:sSub>
                <m:sSubPr>
                  <m:ctrlPr>
                    <w:rPr>
                      <w:rFonts w:ascii="Cambria Math" w:hAnsi="Cambria Math"/>
                      <w:i/>
                      <w:sz w:val="18"/>
                      <w:szCs w:val="18"/>
                    </w:rPr>
                  </m:ctrlPr>
                </m:sSubPr>
                <m:e>
                  <m:r>
                    <m:rPr/>
                    <w:rPr>
                      <w:rFonts w:ascii="Cambria Math" w:hAnsi="Cambria Math"/>
                      <w:sz w:val="18"/>
                      <w:szCs w:val="18"/>
                    </w:rPr>
                    <m:t>α</m:t>
                  </m:r>
                  <m:ctrlPr>
                    <w:rPr>
                      <w:rFonts w:ascii="Cambria Math" w:hAnsi="Cambria Math"/>
                      <w:i/>
                      <w:sz w:val="18"/>
                      <w:szCs w:val="18"/>
                    </w:rPr>
                  </m:ctrlPr>
                </m:e>
                <m:sub>
                  <m:r>
                    <m:rPr/>
                    <w:rPr>
                      <w:rFonts w:ascii="Cambria Math" w:hAnsi="Cambria Math"/>
                      <w:sz w:val="18"/>
                      <w:szCs w:val="18"/>
                    </w:rPr>
                    <m:t>2</m:t>
                  </m:r>
                  <m:ctrlPr>
                    <w:rPr>
                      <w:rFonts w:ascii="Cambria Math" w:hAnsi="Cambria Math"/>
                      <w:i/>
                      <w:sz w:val="18"/>
                      <w:szCs w:val="18"/>
                    </w:rPr>
                  </m:ctrlPr>
                </m:sub>
              </m:sSub>
              <m:r>
                <m:rPr/>
                <w:rPr>
                  <w:rFonts w:ascii="Cambria Math" w:hAnsi="Cambria Math"/>
                  <w:sz w:val="18"/>
                  <w:szCs w:val="18"/>
                </w:rPr>
                <m:t>=0.6;</m:t>
              </m:r>
              <m:sSub>
                <m:sSubPr>
                  <m:ctrlPr>
                    <w:rPr>
                      <w:rFonts w:ascii="Cambria Math" w:hAnsi="Cambria Math"/>
                      <w:i/>
                      <w:sz w:val="18"/>
                      <w:szCs w:val="18"/>
                    </w:rPr>
                  </m:ctrlPr>
                </m:sSubPr>
                <m:e>
                  <m:r>
                    <m:rPr/>
                    <w:rPr>
                      <w:rFonts w:ascii="Cambria Math" w:hAnsi="Cambria Math"/>
                      <w:sz w:val="18"/>
                      <w:szCs w:val="18"/>
                    </w:rPr>
                    <m:t>α</m:t>
                  </m:r>
                  <m:ctrlPr>
                    <w:rPr>
                      <w:rFonts w:ascii="Cambria Math" w:hAnsi="Cambria Math"/>
                      <w:i/>
                      <w:sz w:val="18"/>
                      <w:szCs w:val="18"/>
                    </w:rPr>
                  </m:ctrlPr>
                </m:e>
                <m:sub>
                  <m:r>
                    <m:rPr/>
                    <w:rPr>
                      <w:rFonts w:ascii="Cambria Math" w:hAnsi="Cambria Math"/>
                      <w:sz w:val="18"/>
                      <w:szCs w:val="18"/>
                    </w:rPr>
                    <m:t>3</m:t>
                  </m:r>
                  <m:ctrlPr>
                    <w:rPr>
                      <w:rFonts w:ascii="Cambria Math" w:hAnsi="Cambria Math"/>
                      <w:i/>
                      <w:sz w:val="18"/>
                      <w:szCs w:val="18"/>
                    </w:rPr>
                  </m:ctrlPr>
                </m:sub>
              </m:sSub>
              <m:r>
                <m:rPr/>
                <w:rPr>
                  <w:rFonts w:ascii="Cambria Math" w:hAnsi="Cambria Math"/>
                  <w:sz w:val="18"/>
                  <w:szCs w:val="18"/>
                </w:rPr>
                <m:t>=0.3</m:t>
              </m:r>
            </m:oMath>
            <w:r>
              <w:rPr>
                <w:rFonts w:ascii="宋体" w:hAnsi="宋体"/>
                <w:sz w:val="18"/>
                <w:szCs w:val="18"/>
              </w:rPr>
              <w:t>)</w:t>
            </w:r>
          </w:p>
        </w:tc>
        <w:tc>
          <w:tcPr>
            <w:tcW w:w="677" w:type="pct"/>
            <w:vAlign w:val="center"/>
          </w:tcPr>
          <w:p>
            <w:pPr>
              <w:spacing w:line="240" w:lineRule="auto"/>
              <w:jc w:val="center"/>
              <w:rPr>
                <w:rFonts w:ascii="宋体" w:hAnsi="宋体"/>
                <w:b/>
                <w:bCs/>
                <w:sz w:val="18"/>
                <w:szCs w:val="18"/>
              </w:rPr>
            </w:pPr>
            <w:r>
              <w:rPr>
                <w:rFonts w:ascii="宋体" w:hAnsi="宋体"/>
                <w:b/>
                <w:bCs/>
                <w:sz w:val="18"/>
                <w:szCs w:val="18"/>
              </w:rPr>
              <w:t>总分</w:t>
            </w:r>
          </w:p>
        </w:tc>
        <w:tc>
          <w:tcPr>
            <w:tcW w:w="658"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1221" w:type="pct"/>
            <w:gridSpan w:val="2"/>
            <w:vAlign w:val="center"/>
          </w:tcPr>
          <w:p>
            <w:pPr>
              <w:spacing w:line="240" w:lineRule="auto"/>
              <w:jc w:val="center"/>
              <w:rPr>
                <w:rFonts w:ascii="宋体" w:hAnsi="宋体"/>
                <w:b/>
                <w:bCs/>
                <w:sz w:val="18"/>
                <w:szCs w:val="18"/>
              </w:rPr>
            </w:pPr>
            <w:r>
              <w:rPr>
                <w:rFonts w:ascii="宋体" w:hAnsi="宋体"/>
                <w:b/>
                <w:bCs/>
                <w:sz w:val="18"/>
                <w:szCs w:val="18"/>
              </w:rPr>
              <w:t>签字栏</w:t>
            </w:r>
          </w:p>
        </w:tc>
        <w:tc>
          <w:tcPr>
            <w:tcW w:w="610" w:type="pct"/>
            <w:vAlign w:val="center"/>
          </w:tcPr>
          <w:p>
            <w:pPr>
              <w:spacing w:line="240" w:lineRule="auto"/>
              <w:jc w:val="center"/>
              <w:rPr>
                <w:rFonts w:ascii="宋体" w:hAnsi="宋体"/>
                <w:sz w:val="18"/>
                <w:szCs w:val="18"/>
              </w:rPr>
            </w:pPr>
          </w:p>
        </w:tc>
        <w:tc>
          <w:tcPr>
            <w:tcW w:w="547" w:type="pct"/>
            <w:vAlign w:val="center"/>
          </w:tcPr>
          <w:p>
            <w:pPr>
              <w:spacing w:line="240" w:lineRule="auto"/>
              <w:jc w:val="center"/>
              <w:rPr>
                <w:rFonts w:ascii="宋体" w:hAnsi="宋体"/>
                <w:sz w:val="18"/>
                <w:szCs w:val="18"/>
              </w:rPr>
            </w:pPr>
          </w:p>
        </w:tc>
        <w:tc>
          <w:tcPr>
            <w:tcW w:w="618" w:type="pct"/>
            <w:vAlign w:val="center"/>
          </w:tcPr>
          <w:p>
            <w:pPr>
              <w:spacing w:line="240" w:lineRule="auto"/>
              <w:jc w:val="center"/>
              <w:rPr>
                <w:rFonts w:ascii="宋体" w:hAnsi="宋体"/>
                <w:sz w:val="18"/>
                <w:szCs w:val="18"/>
              </w:rPr>
            </w:pPr>
          </w:p>
        </w:tc>
        <w:tc>
          <w:tcPr>
            <w:tcW w:w="669" w:type="pct"/>
            <w:vAlign w:val="center"/>
          </w:tcPr>
          <w:p>
            <w:pPr>
              <w:spacing w:line="240" w:lineRule="auto"/>
              <w:jc w:val="center"/>
              <w:rPr>
                <w:rFonts w:ascii="宋体" w:hAnsi="宋体"/>
                <w:sz w:val="18"/>
                <w:szCs w:val="18"/>
              </w:rPr>
            </w:pPr>
          </w:p>
        </w:tc>
        <w:tc>
          <w:tcPr>
            <w:tcW w:w="677" w:type="pct"/>
            <w:vAlign w:val="center"/>
          </w:tcPr>
          <w:p>
            <w:pPr>
              <w:spacing w:line="240" w:lineRule="auto"/>
              <w:jc w:val="center"/>
              <w:rPr>
                <w:rFonts w:ascii="宋体" w:hAnsi="宋体"/>
                <w:sz w:val="18"/>
                <w:szCs w:val="18"/>
              </w:rPr>
            </w:pPr>
          </w:p>
        </w:tc>
        <w:tc>
          <w:tcPr>
            <w:tcW w:w="658" w:type="pct"/>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5000" w:type="pct"/>
            <w:gridSpan w:val="8"/>
            <w:vAlign w:val="center"/>
          </w:tcPr>
          <w:p>
            <w:pPr>
              <w:spacing w:before="156" w:beforeLines="50" w:line="240" w:lineRule="auto"/>
              <w:rPr>
                <w:rFonts w:ascii="宋体" w:hAnsi="宋体"/>
                <w:b/>
                <w:bCs/>
                <w:sz w:val="18"/>
                <w:szCs w:val="18"/>
              </w:rPr>
            </w:pPr>
            <w:r>
              <w:rPr>
                <w:rFonts w:hint="eastAsia" w:ascii="宋体" w:hAnsi="宋体"/>
                <w:b/>
                <w:bCs/>
                <w:sz w:val="18"/>
                <w:szCs w:val="18"/>
              </w:rPr>
              <w:t>结论：经评价，本项目可评为</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（级别）智能建造项目。</w:t>
            </w:r>
          </w:p>
          <w:p>
            <w:pPr>
              <w:spacing w:before="156" w:beforeLines="50" w:line="240" w:lineRule="auto"/>
              <w:rPr>
                <w:rFonts w:ascii="宋体" w:hAnsi="宋体"/>
                <w:b/>
                <w:bCs/>
                <w:sz w:val="18"/>
                <w:szCs w:val="18"/>
              </w:rPr>
            </w:pPr>
          </w:p>
          <w:p>
            <w:pPr>
              <w:spacing w:line="240" w:lineRule="auto"/>
              <w:ind w:right="720"/>
              <w:rPr>
                <w:rFonts w:ascii="宋体" w:hAnsi="宋体"/>
                <w:sz w:val="18"/>
                <w:szCs w:val="18"/>
              </w:rPr>
            </w:pP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（申报单位盖章）</w:t>
            </w:r>
          </w:p>
          <w:p>
            <w:pPr>
              <w:spacing w:line="240" w:lineRule="auto"/>
              <w:jc w:val="right"/>
              <w:rPr>
                <w:rFonts w:ascii="宋体" w:hAnsi="宋体"/>
                <w:sz w:val="18"/>
                <w:szCs w:val="18"/>
              </w:rPr>
            </w:pPr>
          </w:p>
          <w:p>
            <w:pPr>
              <w:spacing w:line="240" w:lineRule="auto"/>
              <w:jc w:val="right"/>
              <w:rPr>
                <w:rFonts w:ascii="宋体" w:hAnsi="宋体"/>
                <w:sz w:val="18"/>
                <w:szCs w:val="18"/>
              </w:rPr>
            </w:pPr>
            <w:r>
              <w:rPr>
                <w:rFonts w:hint="eastAsia" w:ascii="宋体" w:hAnsi="宋体"/>
                <w:sz w:val="18"/>
                <w:szCs w:val="18"/>
              </w:rPr>
              <w:t xml:space="preserve">日期： </w:t>
            </w:r>
            <w:r>
              <w:rPr>
                <w:rFonts w:ascii="宋体" w:hAnsi="宋体"/>
                <w:sz w:val="18"/>
                <w:szCs w:val="18"/>
              </w:rPr>
              <w:t xml:space="preserve">    </w:t>
            </w:r>
            <w:r>
              <w:rPr>
                <w:rFonts w:hint="eastAsia" w:ascii="宋体" w:hAnsi="宋体"/>
                <w:sz w:val="18"/>
                <w:szCs w:val="18"/>
              </w:rPr>
              <w:t xml:space="preserve">年 </w:t>
            </w:r>
            <w:r>
              <w:rPr>
                <w:rFonts w:ascii="宋体" w:hAnsi="宋体"/>
                <w:sz w:val="18"/>
                <w:szCs w:val="18"/>
              </w:rPr>
              <w:t xml:space="preserve">   </w:t>
            </w:r>
            <w:r>
              <w:rPr>
                <w:rFonts w:hint="eastAsia" w:ascii="宋体" w:hAnsi="宋体"/>
                <w:sz w:val="18"/>
                <w:szCs w:val="18"/>
              </w:rPr>
              <w:t xml:space="preserve">月 </w:t>
            </w:r>
            <w:r>
              <w:rPr>
                <w:rFonts w:ascii="宋体" w:hAnsi="宋体"/>
                <w:sz w:val="18"/>
                <w:szCs w:val="18"/>
              </w:rPr>
              <w:t xml:space="preserve">   </w:t>
            </w:r>
            <w:r>
              <w:rPr>
                <w:rFonts w:hint="eastAsia" w:ascii="宋体" w:hAnsi="宋体"/>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8"/>
            <w:vAlign w:val="center"/>
          </w:tcPr>
          <w:p>
            <w:pPr>
              <w:spacing w:line="240" w:lineRule="auto"/>
              <w:rPr>
                <w:rFonts w:ascii="宋体" w:hAnsi="宋体"/>
                <w:b/>
                <w:bCs/>
                <w:sz w:val="18"/>
                <w:szCs w:val="18"/>
              </w:rPr>
            </w:pPr>
            <w:r>
              <w:rPr>
                <w:rFonts w:hint="eastAsia" w:ascii="宋体" w:hAnsi="宋体"/>
                <w:sz w:val="18"/>
                <w:szCs w:val="18"/>
              </w:rPr>
              <w:t>注</w:t>
            </w:r>
            <w:r>
              <w:rPr>
                <w:rFonts w:ascii="宋体" w:hAnsi="宋体"/>
                <w:sz w:val="18"/>
                <w:szCs w:val="18"/>
              </w:rPr>
              <w:t>:1、本表由</w:t>
            </w:r>
            <w:r>
              <w:rPr>
                <w:rFonts w:hint="eastAsia" w:ascii="宋体" w:hAnsi="宋体"/>
                <w:sz w:val="18"/>
                <w:szCs w:val="18"/>
              </w:rPr>
              <w:t>申报</w:t>
            </w:r>
            <w:r>
              <w:rPr>
                <w:rFonts w:ascii="宋体" w:hAnsi="宋体"/>
                <w:sz w:val="18"/>
                <w:szCs w:val="18"/>
              </w:rPr>
              <w:t>单位填写</w:t>
            </w:r>
            <w:r>
              <w:rPr>
                <w:rFonts w:hint="eastAsia" w:ascii="宋体" w:hAnsi="宋体"/>
                <w:sz w:val="18"/>
                <w:szCs w:val="18"/>
              </w:rPr>
              <w:t>；</w:t>
            </w:r>
            <w:r>
              <w:rPr>
                <w:rFonts w:ascii="宋体" w:hAnsi="宋体"/>
                <w:sz w:val="18"/>
                <w:szCs w:val="18"/>
              </w:rPr>
              <w:t>2、</w:t>
            </w:r>
            <w:r>
              <w:rPr>
                <w:rFonts w:hint="eastAsia" w:ascii="宋体" w:hAnsi="宋体"/>
                <w:sz w:val="18"/>
                <w:szCs w:val="18"/>
              </w:rPr>
              <w:t>基础</w:t>
            </w:r>
            <w:r>
              <w:rPr>
                <w:rFonts w:ascii="宋体" w:hAnsi="宋体"/>
                <w:sz w:val="18"/>
                <w:szCs w:val="18"/>
              </w:rPr>
              <w:t>项达标情况在</w:t>
            </w:r>
            <w:r>
              <w:rPr>
                <w:rFonts w:hint="eastAsia" w:ascii="宋体" w:hAnsi="宋体"/>
                <w:sz w:val="18"/>
                <w:szCs w:val="18"/>
              </w:rPr>
              <w:sym w:font="Wingdings 2" w:char="F0A3"/>
            </w:r>
            <w:r>
              <w:rPr>
                <w:rFonts w:ascii="宋体" w:hAnsi="宋体"/>
                <w:sz w:val="18"/>
                <w:szCs w:val="18"/>
              </w:rPr>
              <w:t>处填</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r>
              <w:rPr>
                <w:rFonts w:ascii="宋体" w:hAnsi="宋体"/>
                <w:sz w:val="18"/>
                <w:szCs w:val="18"/>
              </w:rPr>
              <w:t>3、签字栏应至少包括建设、设计、施工单位项目负</w:t>
            </w:r>
            <w:r>
              <w:rPr>
                <w:rFonts w:hint="eastAsia" w:ascii="宋体" w:hAnsi="宋体"/>
                <w:sz w:val="18"/>
                <w:szCs w:val="18"/>
              </w:rPr>
              <w:t>责人签字。</w:t>
            </w:r>
          </w:p>
        </w:tc>
      </w:tr>
    </w:tbl>
    <w:p>
      <w:pPr>
        <w:widowControl/>
        <w:adjustRightInd/>
        <w:spacing w:line="240" w:lineRule="auto"/>
        <w:jc w:val="center"/>
        <w:rPr>
          <w:rFonts w:ascii="宋体" w:hAnsi="宋体"/>
          <w:kern w:val="0"/>
          <w:szCs w:val="20"/>
        </w:rPr>
      </w:pPr>
    </w:p>
    <w:p>
      <w:pPr>
        <w:widowControl/>
        <w:adjustRightInd/>
        <w:spacing w:line="240" w:lineRule="auto"/>
        <w:jc w:val="left"/>
        <w:rPr>
          <w:rFonts w:ascii="宋体" w:hAnsi="宋体"/>
          <w:kern w:val="0"/>
          <w:szCs w:val="20"/>
        </w:rPr>
      </w:pPr>
      <w:r>
        <w:rPr>
          <w:rFonts w:ascii="宋体" w:hAnsi="宋体"/>
          <w:kern w:val="0"/>
          <w:szCs w:val="20"/>
        </w:rPr>
        <w:br w:type="page"/>
      </w:r>
    </w:p>
    <w:bookmarkEnd w:id="19"/>
    <w:p>
      <w:pPr>
        <w:pStyle w:val="208"/>
        <w:spacing w:before="78" w:beforeLines="25" w:after="156" w:afterLines="50"/>
        <w:ind w:left="0"/>
        <w:rPr>
          <w:vanish w:val="0"/>
        </w:rPr>
      </w:pPr>
      <w:bookmarkStart w:id="86" w:name="BookMark5"/>
    </w:p>
    <w:p>
      <w:pPr>
        <w:pStyle w:val="209"/>
        <w:spacing w:before="78" w:beforeLines="25" w:after="156" w:afterLines="50"/>
        <w:ind w:left="0"/>
        <w:rPr>
          <w:vanish w:val="0"/>
        </w:rPr>
      </w:pPr>
    </w:p>
    <w:p>
      <w:pPr>
        <w:pStyle w:val="86"/>
        <w:spacing w:before="78" w:after="156"/>
      </w:pPr>
      <w:bookmarkStart w:id="87" w:name="_Toc148431730"/>
      <w:bookmarkStart w:id="88" w:name="_Toc135144123"/>
      <w:bookmarkStart w:id="89" w:name="_Hlk137226930"/>
      <w:r>
        <w:rPr>
          <w:rFonts w:hint="eastAsia"/>
        </w:rPr>
        <w:t>证明材料的具体编制内容和深度要求</w:t>
      </w:r>
      <w:bookmarkEnd w:id="87"/>
      <w:bookmarkEnd w:id="88"/>
    </w:p>
    <w:p>
      <w:pPr>
        <w:pStyle w:val="86"/>
        <w:numPr>
          <w:ilvl w:val="0"/>
          <w:numId w:val="0"/>
        </w:numPr>
        <w:spacing w:beforeLines="0" w:afterLines="0"/>
        <w:ind w:firstLine="420" w:firstLineChars="200"/>
        <w:jc w:val="both"/>
        <w:outlineLvl w:val="9"/>
        <w:rPr>
          <w:rFonts w:ascii="宋体" w:hAnsi="宋体" w:eastAsia="宋体"/>
        </w:rPr>
      </w:pPr>
      <w:bookmarkStart w:id="90" w:name="_Toc148423069"/>
      <w:bookmarkStart w:id="91" w:name="_Toc148431731"/>
      <w:r>
        <w:rPr>
          <w:rFonts w:hint="eastAsia" w:ascii="宋体" w:hAnsi="宋体" w:eastAsia="宋体"/>
        </w:rPr>
        <w:t>证明材料统一归档于以</w:t>
      </w:r>
      <w:r>
        <w:rPr>
          <w:rFonts w:hint="eastAsia" w:ascii="宋体" w:hAnsi="宋体" w:eastAsia="宋体" w:cs="TimesNewRomanPSMT"/>
        </w:rPr>
        <w:t>“</w:t>
      </w:r>
      <w:r>
        <w:rPr>
          <w:rFonts w:hint="eastAsia" w:ascii="宋体" w:hAnsi="宋体" w:eastAsia="宋体"/>
        </w:rPr>
        <w:t>项目名称</w:t>
      </w:r>
      <w:r>
        <w:rPr>
          <w:rFonts w:ascii="宋体" w:hAnsi="宋体" w:eastAsia="宋体" w:cs="TimesNewRomanPSMT"/>
        </w:rPr>
        <w:t>+</w:t>
      </w:r>
      <w:r>
        <w:rPr>
          <w:rFonts w:hint="eastAsia" w:ascii="宋体" w:hAnsi="宋体" w:eastAsia="宋体"/>
        </w:rPr>
        <w:t>申报单位</w:t>
      </w:r>
      <w:r>
        <w:rPr>
          <w:rFonts w:hint="eastAsia" w:ascii="宋体" w:hAnsi="宋体" w:eastAsia="宋体" w:cs="TimesNewRomanPSMT"/>
        </w:rPr>
        <w:t>”</w:t>
      </w:r>
      <w:r>
        <w:rPr>
          <w:rFonts w:hint="eastAsia" w:ascii="宋体" w:hAnsi="宋体" w:eastAsia="宋体"/>
        </w:rPr>
        <w:t>命名的文件夹，并按组织与策划评价、建造过程评价、品质与价值评价三部分建立对应文件夹，同时按对应评价指标建立次文件夹且按对应评价模块建立子文件夹进行证明材料归档。各类证明材料要求如下：</w:t>
      </w:r>
      <w:bookmarkEnd w:id="90"/>
      <w:bookmarkEnd w:id="91"/>
    </w:p>
    <w:p>
      <w:pPr>
        <w:pStyle w:val="86"/>
        <w:numPr>
          <w:ilvl w:val="0"/>
          <w:numId w:val="0"/>
        </w:numPr>
        <w:spacing w:beforeLines="0" w:afterLines="0"/>
        <w:ind w:firstLine="421" w:firstLineChars="200"/>
        <w:jc w:val="both"/>
        <w:outlineLvl w:val="9"/>
        <w:rPr>
          <w:rFonts w:ascii="宋体" w:hAnsi="宋体" w:eastAsia="宋体"/>
          <w:b/>
          <w:bCs/>
        </w:rPr>
      </w:pPr>
      <w:bookmarkStart w:id="92" w:name="_Toc148423070"/>
      <w:bookmarkStart w:id="93" w:name="_Toc148431732"/>
      <w:r>
        <w:rPr>
          <w:rFonts w:hint="eastAsia" w:ascii="宋体" w:hAnsi="宋体" w:eastAsia="宋体"/>
          <w:b/>
          <w:bCs/>
        </w:rPr>
        <w:t>一、模型类</w:t>
      </w:r>
      <w:bookmarkEnd w:id="92"/>
      <w:bookmarkEnd w:id="93"/>
    </w:p>
    <w:p>
      <w:pPr>
        <w:pStyle w:val="86"/>
        <w:numPr>
          <w:ilvl w:val="0"/>
          <w:numId w:val="0"/>
        </w:numPr>
        <w:spacing w:beforeLines="0" w:afterLines="0"/>
        <w:ind w:firstLine="420" w:firstLineChars="200"/>
        <w:jc w:val="both"/>
        <w:outlineLvl w:val="9"/>
        <w:rPr>
          <w:rFonts w:ascii="宋体" w:hAnsi="宋体" w:eastAsia="宋体"/>
        </w:rPr>
      </w:pPr>
      <w:bookmarkStart w:id="94" w:name="_Toc148423071"/>
      <w:bookmarkStart w:id="95" w:name="_Toc148431733"/>
      <w:r>
        <w:rPr>
          <w:rFonts w:hint="eastAsia" w:ascii="宋体" w:hAnsi="宋体" w:eastAsia="宋体"/>
        </w:rPr>
        <w:t>提供的数字化模型应能证明该项应用的内容和深度，提交模型格式为</w:t>
      </w:r>
      <w:r>
        <w:rPr>
          <w:rFonts w:ascii="宋体" w:hAnsi="宋体" w:eastAsia="宋体" w:cs="TimesNewRomanPSMT"/>
        </w:rPr>
        <w:t>IFC</w:t>
      </w:r>
      <w:r>
        <w:rPr>
          <w:rFonts w:hint="eastAsia" w:ascii="宋体" w:hAnsi="宋体" w:eastAsia="宋体"/>
        </w:rPr>
        <w:t>模型。</w:t>
      </w:r>
      <w:bookmarkEnd w:id="94"/>
      <w:bookmarkEnd w:id="95"/>
    </w:p>
    <w:p>
      <w:pPr>
        <w:pStyle w:val="86"/>
        <w:numPr>
          <w:ilvl w:val="0"/>
          <w:numId w:val="0"/>
        </w:numPr>
        <w:spacing w:beforeLines="0" w:afterLines="0"/>
        <w:ind w:firstLine="421" w:firstLineChars="200"/>
        <w:jc w:val="both"/>
        <w:outlineLvl w:val="9"/>
        <w:rPr>
          <w:rFonts w:ascii="宋体" w:hAnsi="宋体" w:eastAsia="宋体"/>
          <w:b/>
          <w:bCs/>
        </w:rPr>
      </w:pPr>
      <w:bookmarkStart w:id="96" w:name="_Toc148423072"/>
      <w:bookmarkStart w:id="97" w:name="_Toc148431734"/>
      <w:r>
        <w:rPr>
          <w:rFonts w:hint="eastAsia" w:ascii="宋体" w:hAnsi="宋体" w:eastAsia="宋体"/>
          <w:b/>
          <w:bCs/>
        </w:rPr>
        <w:t>二、图纸类</w:t>
      </w:r>
      <w:bookmarkEnd w:id="96"/>
      <w:bookmarkEnd w:id="97"/>
    </w:p>
    <w:p>
      <w:pPr>
        <w:pStyle w:val="86"/>
        <w:numPr>
          <w:ilvl w:val="0"/>
          <w:numId w:val="0"/>
        </w:numPr>
        <w:spacing w:beforeLines="0" w:afterLines="0"/>
        <w:ind w:firstLine="420" w:firstLineChars="200"/>
        <w:jc w:val="both"/>
        <w:outlineLvl w:val="9"/>
        <w:rPr>
          <w:rFonts w:ascii="宋体" w:hAnsi="宋体" w:eastAsia="宋体"/>
        </w:rPr>
      </w:pPr>
      <w:bookmarkStart w:id="98" w:name="_Toc148423073"/>
      <w:bookmarkStart w:id="99" w:name="_Toc148431735"/>
      <w:r>
        <w:rPr>
          <w:rFonts w:hint="eastAsia" w:ascii="宋体" w:hAnsi="宋体" w:eastAsia="宋体"/>
        </w:rPr>
        <w:t>设计图纸：仅需提供能证明该项应用点的相关图纸，提供</w:t>
      </w:r>
      <w:r>
        <w:rPr>
          <w:rFonts w:ascii="宋体" w:hAnsi="宋体" w:eastAsia="宋体" w:cs="TimesNewRomanPSMT"/>
        </w:rPr>
        <w:t>PDF</w:t>
      </w:r>
      <w:r>
        <w:rPr>
          <w:rFonts w:hint="eastAsia" w:ascii="宋体" w:hAnsi="宋体" w:eastAsia="宋体"/>
        </w:rPr>
        <w:t>文件。</w:t>
      </w:r>
      <w:bookmarkEnd w:id="98"/>
      <w:bookmarkEnd w:id="99"/>
    </w:p>
    <w:p>
      <w:pPr>
        <w:pStyle w:val="86"/>
        <w:numPr>
          <w:ilvl w:val="0"/>
          <w:numId w:val="0"/>
        </w:numPr>
        <w:spacing w:beforeLines="0" w:afterLines="0"/>
        <w:ind w:firstLine="420" w:firstLineChars="200"/>
        <w:jc w:val="both"/>
        <w:outlineLvl w:val="9"/>
        <w:rPr>
          <w:rFonts w:ascii="宋体" w:hAnsi="宋体" w:eastAsia="宋体"/>
        </w:rPr>
      </w:pPr>
      <w:bookmarkStart w:id="100" w:name="_Toc148431736"/>
      <w:bookmarkStart w:id="101" w:name="_Toc148423074"/>
      <w:r>
        <w:rPr>
          <w:rFonts w:hint="eastAsia" w:ascii="宋体" w:hAnsi="宋体" w:eastAsia="宋体"/>
        </w:rPr>
        <w:t>综合图：应在一张图纸上体现不少于三个专业整合的内容，提供</w:t>
      </w:r>
      <w:r>
        <w:rPr>
          <w:rFonts w:ascii="宋体" w:hAnsi="宋体" w:eastAsia="宋体" w:cs="TimesNewRomanPSMT"/>
        </w:rPr>
        <w:t>PDF</w:t>
      </w:r>
      <w:r>
        <w:rPr>
          <w:rFonts w:hint="eastAsia" w:ascii="宋体" w:hAnsi="宋体" w:eastAsia="宋体"/>
        </w:rPr>
        <w:t>文件。</w:t>
      </w:r>
      <w:bookmarkEnd w:id="100"/>
      <w:bookmarkEnd w:id="101"/>
    </w:p>
    <w:p>
      <w:pPr>
        <w:pStyle w:val="86"/>
        <w:numPr>
          <w:ilvl w:val="0"/>
          <w:numId w:val="0"/>
        </w:numPr>
        <w:spacing w:beforeLines="0" w:afterLines="0"/>
        <w:ind w:firstLine="420" w:firstLineChars="200"/>
        <w:jc w:val="both"/>
        <w:outlineLvl w:val="9"/>
        <w:rPr>
          <w:rFonts w:ascii="宋体" w:hAnsi="宋体" w:eastAsia="宋体"/>
        </w:rPr>
      </w:pPr>
      <w:bookmarkStart w:id="102" w:name="_Toc148431737"/>
      <w:bookmarkStart w:id="103" w:name="_Toc148423075"/>
      <w:r>
        <w:rPr>
          <w:rFonts w:ascii="宋体" w:hAnsi="宋体" w:eastAsia="宋体" w:cs="TimesNewRomanPSMT"/>
        </w:rPr>
        <w:t xml:space="preserve">BIM </w:t>
      </w:r>
      <w:r>
        <w:rPr>
          <w:rFonts w:hint="eastAsia" w:ascii="宋体" w:hAnsi="宋体" w:eastAsia="宋体"/>
        </w:rPr>
        <w:t>正向设计图纸：提供对应</w:t>
      </w:r>
      <w:r>
        <w:rPr>
          <w:rFonts w:ascii="宋体" w:hAnsi="宋体" w:eastAsia="宋体" w:cs="TimesNewRomanPSMT"/>
        </w:rPr>
        <w:t>PDF</w:t>
      </w:r>
      <w:r>
        <w:rPr>
          <w:rFonts w:hint="eastAsia" w:ascii="宋体" w:hAnsi="宋体" w:eastAsia="宋体"/>
        </w:rPr>
        <w:t>图纸以外，还需要提供软件中制作图纸的截图。</w:t>
      </w:r>
      <w:bookmarkEnd w:id="102"/>
      <w:bookmarkEnd w:id="103"/>
    </w:p>
    <w:p>
      <w:pPr>
        <w:pStyle w:val="86"/>
        <w:numPr>
          <w:ilvl w:val="0"/>
          <w:numId w:val="0"/>
        </w:numPr>
        <w:spacing w:beforeLines="0" w:afterLines="0"/>
        <w:ind w:firstLine="421" w:firstLineChars="200"/>
        <w:jc w:val="both"/>
        <w:outlineLvl w:val="9"/>
        <w:rPr>
          <w:rFonts w:ascii="宋体" w:hAnsi="宋体" w:eastAsia="宋体"/>
          <w:b/>
          <w:bCs/>
        </w:rPr>
      </w:pPr>
      <w:bookmarkStart w:id="104" w:name="_Toc148431738"/>
      <w:bookmarkStart w:id="105" w:name="_Toc148423076"/>
      <w:r>
        <w:rPr>
          <w:rFonts w:hint="eastAsia" w:ascii="宋体" w:hAnsi="宋体" w:eastAsia="宋体"/>
          <w:b/>
          <w:bCs/>
        </w:rPr>
        <w:t>三、报告类</w:t>
      </w:r>
      <w:bookmarkEnd w:id="104"/>
      <w:bookmarkEnd w:id="105"/>
    </w:p>
    <w:p>
      <w:pPr>
        <w:pStyle w:val="86"/>
        <w:numPr>
          <w:ilvl w:val="0"/>
          <w:numId w:val="0"/>
        </w:numPr>
        <w:spacing w:beforeLines="0" w:afterLines="0"/>
        <w:ind w:firstLine="420" w:firstLineChars="200"/>
        <w:jc w:val="both"/>
        <w:outlineLvl w:val="9"/>
        <w:rPr>
          <w:rFonts w:ascii="宋体" w:hAnsi="宋体" w:eastAsia="宋体"/>
        </w:rPr>
      </w:pPr>
      <w:bookmarkStart w:id="106" w:name="_Toc148423077"/>
      <w:bookmarkStart w:id="107" w:name="_Toc148431739"/>
      <w:r>
        <w:rPr>
          <w:rFonts w:hint="eastAsia" w:ascii="宋体" w:hAnsi="宋体" w:eastAsia="宋体"/>
        </w:rPr>
        <w:t>总结报告、分析报告等应对该项应用的应用目的、应用路径、应用过程和应用成果或效果进行详细描述，报告中可以附图。提供</w:t>
      </w:r>
      <w:r>
        <w:rPr>
          <w:rFonts w:ascii="宋体" w:hAnsi="宋体" w:eastAsia="宋体" w:cs="TimesNewRomanPSMT"/>
        </w:rPr>
        <w:t>PDF</w:t>
      </w:r>
      <w:r>
        <w:rPr>
          <w:rFonts w:hint="eastAsia" w:ascii="宋体" w:hAnsi="宋体" w:eastAsia="宋体"/>
        </w:rPr>
        <w:t>文件。</w:t>
      </w:r>
      <w:bookmarkEnd w:id="106"/>
      <w:bookmarkEnd w:id="107"/>
    </w:p>
    <w:p>
      <w:pPr>
        <w:pStyle w:val="86"/>
        <w:numPr>
          <w:ilvl w:val="0"/>
          <w:numId w:val="0"/>
        </w:numPr>
        <w:spacing w:beforeLines="0" w:afterLines="0"/>
        <w:ind w:firstLine="421" w:firstLineChars="200"/>
        <w:jc w:val="both"/>
        <w:outlineLvl w:val="9"/>
        <w:rPr>
          <w:rFonts w:ascii="宋体" w:hAnsi="宋体" w:eastAsia="宋体"/>
          <w:b/>
          <w:bCs/>
        </w:rPr>
      </w:pPr>
      <w:bookmarkStart w:id="108" w:name="_Toc148431740"/>
      <w:bookmarkStart w:id="109" w:name="_Toc148423078"/>
      <w:r>
        <w:rPr>
          <w:rFonts w:hint="eastAsia" w:ascii="宋体" w:hAnsi="宋体" w:eastAsia="宋体"/>
          <w:b/>
          <w:bCs/>
        </w:rPr>
        <w:t>四、计算书</w:t>
      </w:r>
      <w:bookmarkEnd w:id="108"/>
      <w:bookmarkEnd w:id="109"/>
    </w:p>
    <w:p>
      <w:pPr>
        <w:pStyle w:val="86"/>
        <w:numPr>
          <w:ilvl w:val="0"/>
          <w:numId w:val="0"/>
        </w:numPr>
        <w:spacing w:beforeLines="0" w:afterLines="0"/>
        <w:ind w:firstLine="420" w:firstLineChars="200"/>
        <w:jc w:val="both"/>
        <w:outlineLvl w:val="9"/>
        <w:rPr>
          <w:rFonts w:ascii="宋体" w:hAnsi="宋体" w:eastAsia="宋体"/>
        </w:rPr>
      </w:pPr>
      <w:bookmarkStart w:id="110" w:name="_Toc148423079"/>
      <w:bookmarkStart w:id="111" w:name="_Toc148431741"/>
      <w:r>
        <w:rPr>
          <w:rFonts w:hint="eastAsia" w:ascii="宋体" w:hAnsi="宋体" w:eastAsia="宋体"/>
        </w:rPr>
        <w:t>计算书应包括计算条件、计算过程、计算结构和结论，提供</w:t>
      </w:r>
      <w:r>
        <w:rPr>
          <w:rFonts w:ascii="宋体" w:hAnsi="宋体" w:eastAsia="宋体" w:cs="TimesNewRomanPSMT"/>
        </w:rPr>
        <w:t>PDF</w:t>
      </w:r>
      <w:r>
        <w:rPr>
          <w:rFonts w:hint="eastAsia" w:ascii="宋体" w:hAnsi="宋体" w:eastAsia="宋体"/>
        </w:rPr>
        <w:t>文件。</w:t>
      </w:r>
      <w:bookmarkEnd w:id="110"/>
      <w:bookmarkEnd w:id="111"/>
    </w:p>
    <w:p>
      <w:pPr>
        <w:pStyle w:val="86"/>
        <w:numPr>
          <w:ilvl w:val="0"/>
          <w:numId w:val="0"/>
        </w:numPr>
        <w:spacing w:beforeLines="0" w:afterLines="0"/>
        <w:ind w:firstLine="421" w:firstLineChars="200"/>
        <w:jc w:val="both"/>
        <w:outlineLvl w:val="9"/>
        <w:rPr>
          <w:rFonts w:ascii="宋体" w:hAnsi="宋体" w:eastAsia="宋体"/>
          <w:b/>
          <w:bCs/>
        </w:rPr>
      </w:pPr>
      <w:bookmarkStart w:id="112" w:name="_Toc148431742"/>
      <w:bookmarkStart w:id="113" w:name="_Toc148423080"/>
      <w:r>
        <w:rPr>
          <w:rFonts w:hint="eastAsia" w:ascii="宋体" w:hAnsi="宋体" w:eastAsia="宋体"/>
          <w:b/>
          <w:bCs/>
        </w:rPr>
        <w:t>五、数据资料</w:t>
      </w:r>
      <w:bookmarkEnd w:id="112"/>
      <w:bookmarkEnd w:id="113"/>
    </w:p>
    <w:p>
      <w:pPr>
        <w:pStyle w:val="86"/>
        <w:numPr>
          <w:ilvl w:val="0"/>
          <w:numId w:val="0"/>
        </w:numPr>
        <w:spacing w:beforeLines="0" w:afterLines="0"/>
        <w:ind w:firstLine="420" w:firstLineChars="200"/>
        <w:jc w:val="both"/>
        <w:outlineLvl w:val="9"/>
        <w:rPr>
          <w:rFonts w:ascii="宋体" w:hAnsi="宋体" w:eastAsia="宋体"/>
        </w:rPr>
      </w:pPr>
      <w:bookmarkStart w:id="114" w:name="_Toc148423081"/>
      <w:bookmarkStart w:id="115" w:name="_Toc148431743"/>
      <w:r>
        <w:rPr>
          <w:rFonts w:hint="eastAsia" w:ascii="宋体" w:hAnsi="宋体" w:eastAsia="宋体"/>
        </w:rPr>
        <w:t>部分应用点需要提供相关数据资料，可以采用数据记录平台界面截图或相关数据表格。</w:t>
      </w:r>
      <w:bookmarkEnd w:id="114"/>
      <w:bookmarkEnd w:id="115"/>
    </w:p>
    <w:p>
      <w:pPr>
        <w:pStyle w:val="86"/>
        <w:numPr>
          <w:ilvl w:val="0"/>
          <w:numId w:val="0"/>
        </w:numPr>
        <w:spacing w:beforeLines="0" w:afterLines="0"/>
        <w:ind w:firstLine="421" w:firstLineChars="200"/>
        <w:jc w:val="both"/>
        <w:outlineLvl w:val="9"/>
        <w:rPr>
          <w:rFonts w:ascii="宋体" w:hAnsi="宋体" w:eastAsia="宋体"/>
          <w:b/>
          <w:bCs/>
        </w:rPr>
      </w:pPr>
      <w:bookmarkStart w:id="116" w:name="_Toc148431744"/>
      <w:bookmarkStart w:id="117" w:name="_Toc148423082"/>
      <w:r>
        <w:rPr>
          <w:rFonts w:hint="eastAsia" w:ascii="宋体" w:hAnsi="宋体" w:eastAsia="宋体"/>
          <w:b/>
          <w:bCs/>
        </w:rPr>
        <w:t>六、应用过程证明材料</w:t>
      </w:r>
      <w:bookmarkEnd w:id="116"/>
      <w:bookmarkEnd w:id="117"/>
    </w:p>
    <w:p>
      <w:pPr>
        <w:pStyle w:val="86"/>
        <w:numPr>
          <w:ilvl w:val="0"/>
          <w:numId w:val="0"/>
        </w:numPr>
        <w:spacing w:beforeLines="0" w:afterLines="0"/>
        <w:ind w:firstLine="420" w:firstLineChars="200"/>
        <w:jc w:val="both"/>
        <w:outlineLvl w:val="9"/>
        <w:rPr>
          <w:rFonts w:ascii="宋体" w:hAnsi="宋体" w:eastAsia="宋体"/>
        </w:rPr>
      </w:pPr>
      <w:bookmarkStart w:id="118" w:name="_Toc148423083"/>
      <w:bookmarkStart w:id="119" w:name="_Toc148431745"/>
      <w:r>
        <w:rPr>
          <w:rFonts w:hint="eastAsia" w:ascii="宋体" w:hAnsi="宋体" w:eastAsia="宋体"/>
        </w:rPr>
        <w:t>应用过程证明一般包括应用过程图片、视频。应能反映应用的方式、应用深度和应用范围，图片资料不应少于</w:t>
      </w:r>
      <w:r>
        <w:rPr>
          <w:rFonts w:ascii="宋体" w:hAnsi="宋体" w:eastAsia="宋体" w:cs="TimesNewRomanPSMT"/>
        </w:rPr>
        <w:t xml:space="preserve">2 </w:t>
      </w:r>
      <w:r>
        <w:rPr>
          <w:rFonts w:hint="eastAsia" w:ascii="宋体" w:hAnsi="宋体" w:eastAsia="宋体"/>
        </w:rPr>
        <w:t>张，视频不应低于</w:t>
      </w:r>
      <w:r>
        <w:rPr>
          <w:rFonts w:ascii="宋体" w:hAnsi="宋体" w:eastAsia="宋体" w:cs="TimesNewRomanPSMT"/>
        </w:rPr>
        <w:t>15s</w:t>
      </w:r>
      <w:r>
        <w:rPr>
          <w:rFonts w:hint="eastAsia" w:ascii="宋体" w:hAnsi="宋体" w:eastAsia="宋体"/>
        </w:rPr>
        <w:t>。</w:t>
      </w:r>
      <w:bookmarkEnd w:id="118"/>
      <w:bookmarkEnd w:id="119"/>
    </w:p>
    <w:p>
      <w:pPr>
        <w:pStyle w:val="86"/>
        <w:numPr>
          <w:ilvl w:val="0"/>
          <w:numId w:val="0"/>
        </w:numPr>
        <w:spacing w:beforeLines="0" w:afterLines="0"/>
        <w:ind w:firstLine="421" w:firstLineChars="200"/>
        <w:jc w:val="both"/>
        <w:outlineLvl w:val="9"/>
        <w:rPr>
          <w:rFonts w:ascii="宋体" w:hAnsi="宋体" w:eastAsia="宋体"/>
          <w:b/>
          <w:bCs/>
        </w:rPr>
      </w:pPr>
      <w:bookmarkStart w:id="120" w:name="_Toc148431746"/>
      <w:bookmarkStart w:id="121" w:name="_Toc148423084"/>
      <w:r>
        <w:rPr>
          <w:rFonts w:hint="eastAsia" w:ascii="宋体" w:hAnsi="宋体" w:eastAsia="宋体"/>
          <w:b/>
          <w:bCs/>
        </w:rPr>
        <w:t>七、资源库及平台类</w:t>
      </w:r>
      <w:bookmarkEnd w:id="120"/>
      <w:bookmarkEnd w:id="121"/>
    </w:p>
    <w:p>
      <w:pPr>
        <w:pStyle w:val="86"/>
        <w:numPr>
          <w:ilvl w:val="0"/>
          <w:numId w:val="0"/>
        </w:numPr>
        <w:spacing w:beforeLines="0" w:afterLines="0"/>
        <w:ind w:firstLine="420" w:firstLineChars="200"/>
        <w:jc w:val="both"/>
        <w:outlineLvl w:val="9"/>
        <w:rPr>
          <w:rFonts w:ascii="宋体" w:hAnsi="宋体" w:eastAsia="宋体"/>
        </w:rPr>
      </w:pPr>
      <w:bookmarkStart w:id="122" w:name="_Toc148423085"/>
      <w:bookmarkStart w:id="123" w:name="_Toc148431747"/>
      <w:r>
        <w:rPr>
          <w:rFonts w:hint="eastAsia" w:ascii="宋体" w:hAnsi="宋体" w:eastAsia="宋体"/>
        </w:rPr>
        <w:t>对资源库和平台类应用，可以采用视频或界面截图等方式进行证明。</w:t>
      </w:r>
      <w:bookmarkEnd w:id="122"/>
      <w:bookmarkEnd w:id="123"/>
    </w:p>
    <w:p>
      <w:pPr>
        <w:pStyle w:val="86"/>
        <w:numPr>
          <w:ilvl w:val="0"/>
          <w:numId w:val="0"/>
        </w:numPr>
        <w:spacing w:beforeLines="0" w:afterLines="0"/>
        <w:ind w:firstLine="421" w:firstLineChars="200"/>
        <w:jc w:val="both"/>
        <w:outlineLvl w:val="9"/>
        <w:rPr>
          <w:rFonts w:ascii="宋体" w:hAnsi="宋体" w:eastAsia="宋体"/>
          <w:b/>
          <w:bCs/>
        </w:rPr>
      </w:pPr>
      <w:bookmarkStart w:id="124" w:name="_Toc148431748"/>
      <w:bookmarkStart w:id="125" w:name="_Toc148423086"/>
      <w:r>
        <w:rPr>
          <w:rFonts w:hint="eastAsia" w:ascii="宋体" w:hAnsi="宋体" w:eastAsia="宋体"/>
          <w:b/>
          <w:bCs/>
        </w:rPr>
        <w:t>八、说明类</w:t>
      </w:r>
      <w:bookmarkEnd w:id="124"/>
      <w:bookmarkEnd w:id="125"/>
    </w:p>
    <w:p>
      <w:pPr>
        <w:pStyle w:val="86"/>
        <w:numPr>
          <w:ilvl w:val="0"/>
          <w:numId w:val="0"/>
        </w:numPr>
        <w:spacing w:beforeLines="0" w:afterLines="0"/>
        <w:ind w:firstLine="420" w:firstLineChars="200"/>
        <w:jc w:val="both"/>
        <w:outlineLvl w:val="9"/>
        <w:rPr>
          <w:rFonts w:ascii="宋体" w:hAnsi="宋体" w:eastAsia="宋体"/>
        </w:rPr>
      </w:pPr>
      <w:bookmarkStart w:id="126" w:name="_Toc148423087"/>
      <w:bookmarkStart w:id="127" w:name="_Toc148431749"/>
      <w:r>
        <w:rPr>
          <w:rFonts w:hint="eastAsia" w:ascii="宋体" w:hAnsi="宋体" w:eastAsia="宋体"/>
        </w:rPr>
        <w:t>情况说明、功能说明等应对该项应用的应用目的、应用路径、应用过程和应用成果或效果进行详细描述，报告中可以附图。提供</w:t>
      </w:r>
      <w:r>
        <w:rPr>
          <w:rFonts w:ascii="宋体" w:hAnsi="宋体" w:eastAsia="宋体" w:cs="TimesNewRomanPSMT"/>
        </w:rPr>
        <w:t>PDF</w:t>
      </w:r>
      <w:r>
        <w:rPr>
          <w:rFonts w:hint="eastAsia" w:ascii="宋体" w:hAnsi="宋体" w:eastAsia="宋体"/>
        </w:rPr>
        <w:t>文件。</w:t>
      </w:r>
      <w:bookmarkEnd w:id="126"/>
      <w:bookmarkEnd w:id="127"/>
    </w:p>
    <w:bookmarkEnd w:id="89"/>
    <w:p>
      <w:pPr>
        <w:pStyle w:val="66"/>
        <w:ind w:firstLine="420"/>
        <w:sectPr>
          <w:headerReference r:id="rId19" w:type="default"/>
          <w:footerReference r:id="rId21" w:type="default"/>
          <w:headerReference r:id="rId20" w:type="even"/>
          <w:footerReference r:id="rId22" w:type="even"/>
          <w:pgSz w:w="11906" w:h="16838"/>
          <w:pgMar w:top="2409" w:right="1134" w:bottom="1134" w:left="1134" w:header="1418" w:footer="1134" w:gutter="284"/>
          <w:pgNumType w:start="1"/>
          <w:cols w:space="0" w:num="1"/>
          <w:formProt w:val="0"/>
          <w:docGrid w:type="lines" w:linePitch="312" w:charSpace="0"/>
        </w:sectPr>
      </w:pPr>
    </w:p>
    <w:p>
      <w:pPr>
        <w:pStyle w:val="208"/>
        <w:rPr>
          <w:vanish w:val="0"/>
        </w:rPr>
      </w:pPr>
    </w:p>
    <w:p>
      <w:pPr>
        <w:pStyle w:val="209"/>
        <w:rPr>
          <w:vanish w:val="0"/>
        </w:rPr>
      </w:pPr>
    </w:p>
    <w:p>
      <w:pPr>
        <w:pStyle w:val="86"/>
        <w:spacing w:before="78" w:after="156"/>
      </w:pPr>
      <w:bookmarkStart w:id="128" w:name="_Toc148431750"/>
      <w:r>
        <w:rPr>
          <w:rFonts w:hint="eastAsia"/>
        </w:rPr>
        <w:t>智能建造整体策划方案（模板）</w:t>
      </w:r>
      <w:bookmarkEnd w:id="128"/>
    </w:p>
    <w:p>
      <w:pPr>
        <w:pStyle w:val="86"/>
        <w:numPr>
          <w:ilvl w:val="0"/>
          <w:numId w:val="0"/>
        </w:numPr>
        <w:spacing w:beforeLines="0" w:afterLines="0"/>
        <w:ind w:firstLine="421" w:firstLineChars="200"/>
        <w:jc w:val="both"/>
        <w:outlineLvl w:val="9"/>
        <w:rPr>
          <w:rFonts w:ascii="宋体" w:hAnsi="宋体" w:eastAsia="宋体"/>
          <w:b/>
          <w:bCs/>
          <w:szCs w:val="21"/>
        </w:rPr>
      </w:pPr>
      <w:bookmarkStart w:id="129" w:name="_Toc148423089"/>
      <w:bookmarkStart w:id="130" w:name="_Toc148431751"/>
      <w:r>
        <w:rPr>
          <w:rFonts w:hint="eastAsia" w:ascii="宋体" w:hAnsi="宋体" w:eastAsia="宋体"/>
          <w:b/>
          <w:bCs/>
          <w:szCs w:val="21"/>
        </w:rPr>
        <w:t>一、项目概况</w:t>
      </w:r>
      <w:bookmarkEnd w:id="129"/>
      <w:bookmarkEnd w:id="130"/>
    </w:p>
    <w:p>
      <w:pPr>
        <w:pStyle w:val="86"/>
        <w:numPr>
          <w:ilvl w:val="0"/>
          <w:numId w:val="0"/>
        </w:numPr>
        <w:spacing w:beforeLines="0" w:afterLines="0"/>
        <w:ind w:firstLine="420" w:firstLineChars="200"/>
        <w:jc w:val="both"/>
        <w:outlineLvl w:val="9"/>
        <w:rPr>
          <w:rFonts w:ascii="宋体" w:hAnsi="宋体" w:eastAsia="宋体"/>
          <w:szCs w:val="21"/>
        </w:rPr>
      </w:pPr>
      <w:bookmarkStart w:id="131" w:name="_Toc148431752"/>
      <w:bookmarkStart w:id="132" w:name="_Toc148423090"/>
      <w:r>
        <w:rPr>
          <w:rFonts w:hint="eastAsia" w:ascii="宋体" w:hAnsi="宋体" w:eastAsia="宋体"/>
          <w:szCs w:val="21"/>
        </w:rPr>
        <w:t>对项目的建设规模、参建企业、组织架构、管理制度、运营机制等进行描述。</w:t>
      </w:r>
      <w:bookmarkEnd w:id="131"/>
      <w:bookmarkEnd w:id="132"/>
    </w:p>
    <w:p>
      <w:pPr>
        <w:pStyle w:val="86"/>
        <w:numPr>
          <w:ilvl w:val="0"/>
          <w:numId w:val="0"/>
        </w:numPr>
        <w:spacing w:beforeLines="0" w:afterLines="0"/>
        <w:ind w:firstLine="421" w:firstLineChars="200"/>
        <w:jc w:val="both"/>
        <w:outlineLvl w:val="9"/>
        <w:rPr>
          <w:rFonts w:ascii="宋体" w:hAnsi="宋体" w:eastAsia="宋体"/>
          <w:b/>
          <w:bCs/>
          <w:szCs w:val="21"/>
        </w:rPr>
      </w:pPr>
      <w:bookmarkStart w:id="133" w:name="_Toc148431753"/>
      <w:bookmarkStart w:id="134" w:name="_Toc148423091"/>
      <w:r>
        <w:rPr>
          <w:rFonts w:hint="eastAsia" w:ascii="宋体" w:hAnsi="宋体" w:eastAsia="宋体"/>
          <w:b/>
          <w:bCs/>
          <w:szCs w:val="21"/>
        </w:rPr>
        <w:t>二、项目总体规划</w:t>
      </w:r>
      <w:bookmarkEnd w:id="133"/>
      <w:bookmarkEnd w:id="134"/>
    </w:p>
    <w:p>
      <w:pPr>
        <w:pStyle w:val="86"/>
        <w:numPr>
          <w:ilvl w:val="0"/>
          <w:numId w:val="0"/>
        </w:numPr>
        <w:spacing w:beforeLines="0" w:afterLines="0"/>
        <w:ind w:firstLine="420" w:firstLineChars="200"/>
        <w:jc w:val="both"/>
        <w:outlineLvl w:val="9"/>
        <w:rPr>
          <w:rFonts w:ascii="宋体" w:hAnsi="宋体" w:eastAsia="宋体"/>
          <w:szCs w:val="21"/>
        </w:rPr>
      </w:pPr>
      <w:bookmarkStart w:id="135" w:name="_Toc148431754"/>
      <w:bookmarkStart w:id="136" w:name="_Toc148423092"/>
      <w:r>
        <w:rPr>
          <w:rFonts w:hint="eastAsia" w:ascii="宋体" w:hAnsi="宋体" w:eastAsia="宋体"/>
          <w:szCs w:val="21"/>
        </w:rPr>
        <w:t>（一）项目总体要求</w:t>
      </w:r>
      <w:bookmarkEnd w:id="135"/>
      <w:bookmarkEnd w:id="136"/>
    </w:p>
    <w:p>
      <w:pPr>
        <w:pStyle w:val="86"/>
        <w:numPr>
          <w:ilvl w:val="0"/>
          <w:numId w:val="0"/>
        </w:numPr>
        <w:spacing w:beforeLines="0" w:afterLines="0"/>
        <w:ind w:firstLine="420" w:firstLineChars="200"/>
        <w:jc w:val="both"/>
        <w:outlineLvl w:val="9"/>
        <w:rPr>
          <w:rFonts w:ascii="宋体" w:hAnsi="宋体" w:eastAsia="宋体"/>
          <w:szCs w:val="21"/>
        </w:rPr>
      </w:pPr>
      <w:bookmarkStart w:id="137" w:name="_Toc148423093"/>
      <w:bookmarkStart w:id="138" w:name="_Toc148431755"/>
      <w:r>
        <w:rPr>
          <w:rFonts w:hint="eastAsia" w:ascii="宋体" w:hAnsi="宋体" w:eastAsia="宋体"/>
          <w:szCs w:val="21"/>
        </w:rPr>
        <w:t>描述项目总体要求。</w:t>
      </w:r>
      <w:bookmarkEnd w:id="137"/>
      <w:bookmarkEnd w:id="138"/>
    </w:p>
    <w:p>
      <w:pPr>
        <w:pStyle w:val="86"/>
        <w:numPr>
          <w:ilvl w:val="0"/>
          <w:numId w:val="0"/>
        </w:numPr>
        <w:spacing w:beforeLines="0" w:afterLines="0"/>
        <w:ind w:firstLine="420" w:firstLineChars="200"/>
        <w:jc w:val="both"/>
        <w:outlineLvl w:val="9"/>
        <w:rPr>
          <w:rFonts w:ascii="宋体" w:hAnsi="宋体" w:eastAsia="宋体"/>
          <w:szCs w:val="21"/>
        </w:rPr>
      </w:pPr>
      <w:bookmarkStart w:id="139" w:name="_Toc148431756"/>
      <w:bookmarkStart w:id="140" w:name="_Toc148423094"/>
      <w:r>
        <w:rPr>
          <w:rFonts w:hint="eastAsia" w:ascii="宋体" w:hAnsi="宋体" w:eastAsia="宋体"/>
          <w:szCs w:val="21"/>
        </w:rPr>
        <w:t>（二）现状分析</w:t>
      </w:r>
      <w:bookmarkEnd w:id="139"/>
      <w:bookmarkEnd w:id="140"/>
    </w:p>
    <w:p>
      <w:pPr>
        <w:pStyle w:val="86"/>
        <w:numPr>
          <w:ilvl w:val="0"/>
          <w:numId w:val="0"/>
        </w:numPr>
        <w:spacing w:beforeLines="0" w:afterLines="0"/>
        <w:ind w:firstLine="420" w:firstLineChars="200"/>
        <w:jc w:val="both"/>
        <w:outlineLvl w:val="9"/>
        <w:rPr>
          <w:rFonts w:ascii="宋体" w:hAnsi="宋体" w:eastAsia="宋体"/>
          <w:szCs w:val="21"/>
        </w:rPr>
      </w:pPr>
      <w:bookmarkStart w:id="141" w:name="_Toc148423095"/>
      <w:bookmarkStart w:id="142" w:name="_Toc148431757"/>
      <w:r>
        <w:rPr>
          <w:rFonts w:hint="eastAsia" w:ascii="宋体" w:hAnsi="宋体" w:eastAsia="宋体"/>
          <w:szCs w:val="21"/>
        </w:rPr>
        <w:t>分析与智能建造、建筑工业化相关产业的基础现状。</w:t>
      </w:r>
      <w:bookmarkEnd w:id="141"/>
      <w:bookmarkEnd w:id="142"/>
    </w:p>
    <w:p>
      <w:pPr>
        <w:pStyle w:val="86"/>
        <w:numPr>
          <w:ilvl w:val="0"/>
          <w:numId w:val="0"/>
        </w:numPr>
        <w:spacing w:beforeLines="0" w:afterLines="0"/>
        <w:ind w:firstLine="420" w:firstLineChars="200"/>
        <w:jc w:val="both"/>
        <w:outlineLvl w:val="9"/>
        <w:rPr>
          <w:rFonts w:ascii="宋体" w:hAnsi="宋体" w:eastAsia="宋体"/>
          <w:szCs w:val="21"/>
        </w:rPr>
      </w:pPr>
      <w:bookmarkStart w:id="143" w:name="_Toc148431758"/>
      <w:bookmarkStart w:id="144" w:name="_Toc148423096"/>
      <w:r>
        <w:rPr>
          <w:rFonts w:hint="eastAsia" w:ascii="宋体" w:hAnsi="宋体" w:eastAsia="宋体"/>
          <w:szCs w:val="21"/>
        </w:rPr>
        <w:t>（三）智能建造应用场景及项目重、难点分析</w:t>
      </w:r>
      <w:bookmarkEnd w:id="143"/>
      <w:bookmarkEnd w:id="144"/>
    </w:p>
    <w:p>
      <w:pPr>
        <w:pStyle w:val="86"/>
        <w:numPr>
          <w:ilvl w:val="0"/>
          <w:numId w:val="0"/>
        </w:numPr>
        <w:spacing w:beforeLines="0" w:afterLines="0"/>
        <w:ind w:firstLine="420" w:firstLineChars="200"/>
        <w:jc w:val="both"/>
        <w:outlineLvl w:val="9"/>
        <w:rPr>
          <w:rFonts w:ascii="宋体" w:hAnsi="宋体" w:eastAsia="宋体"/>
          <w:szCs w:val="21"/>
        </w:rPr>
      </w:pPr>
      <w:bookmarkStart w:id="145" w:name="_Toc148431759"/>
      <w:bookmarkStart w:id="146" w:name="_Toc148423097"/>
      <w:r>
        <w:rPr>
          <w:rFonts w:hint="eastAsia" w:ascii="宋体" w:hAnsi="宋体" w:eastAsia="宋体"/>
          <w:szCs w:val="21"/>
        </w:rPr>
        <w:t>梳理项目运用智能建造方式的应用场景以及通过智能建造方式可以解决的重、难点内容。</w:t>
      </w:r>
      <w:bookmarkEnd w:id="145"/>
      <w:bookmarkEnd w:id="146"/>
    </w:p>
    <w:p>
      <w:pPr>
        <w:pStyle w:val="86"/>
        <w:numPr>
          <w:ilvl w:val="0"/>
          <w:numId w:val="0"/>
        </w:numPr>
        <w:spacing w:beforeLines="0" w:afterLines="0"/>
        <w:ind w:firstLine="420" w:firstLineChars="200"/>
        <w:jc w:val="both"/>
        <w:outlineLvl w:val="9"/>
        <w:rPr>
          <w:rFonts w:ascii="宋体" w:hAnsi="宋体" w:eastAsia="宋体"/>
          <w:szCs w:val="21"/>
        </w:rPr>
      </w:pPr>
      <w:bookmarkStart w:id="147" w:name="_Toc148431760"/>
      <w:bookmarkStart w:id="148" w:name="_Toc148423098"/>
      <w:r>
        <w:rPr>
          <w:rFonts w:hint="eastAsia" w:ascii="宋体" w:hAnsi="宋体" w:eastAsia="宋体"/>
          <w:szCs w:val="21"/>
        </w:rPr>
        <w:t>（四）项目智能建造建设内容及其设计方案</w:t>
      </w:r>
      <w:bookmarkEnd w:id="147"/>
      <w:bookmarkEnd w:id="148"/>
    </w:p>
    <w:p>
      <w:pPr>
        <w:pStyle w:val="86"/>
        <w:numPr>
          <w:ilvl w:val="0"/>
          <w:numId w:val="0"/>
        </w:numPr>
        <w:spacing w:beforeLines="0" w:afterLines="0"/>
        <w:ind w:firstLine="420" w:firstLineChars="200"/>
        <w:jc w:val="both"/>
        <w:outlineLvl w:val="9"/>
        <w:rPr>
          <w:rFonts w:ascii="宋体" w:hAnsi="宋体" w:eastAsia="宋体"/>
          <w:szCs w:val="21"/>
        </w:rPr>
      </w:pPr>
      <w:bookmarkStart w:id="149" w:name="_Toc148431761"/>
      <w:bookmarkStart w:id="150" w:name="_Toc148423099"/>
      <w:r>
        <w:rPr>
          <w:rFonts w:hint="eastAsia" w:ascii="宋体" w:hAnsi="宋体" w:eastAsia="宋体"/>
          <w:szCs w:val="21"/>
        </w:rPr>
        <w:t>对项目采用智能建造方式的建设内容及其设计方案进行描述。</w:t>
      </w:r>
      <w:bookmarkEnd w:id="149"/>
      <w:bookmarkEnd w:id="150"/>
    </w:p>
    <w:p>
      <w:pPr>
        <w:pStyle w:val="86"/>
        <w:numPr>
          <w:ilvl w:val="0"/>
          <w:numId w:val="0"/>
        </w:numPr>
        <w:spacing w:beforeLines="0" w:afterLines="0"/>
        <w:ind w:firstLine="420" w:firstLineChars="200"/>
        <w:jc w:val="both"/>
        <w:outlineLvl w:val="9"/>
        <w:rPr>
          <w:rFonts w:ascii="宋体" w:hAnsi="宋体" w:eastAsia="宋体"/>
          <w:szCs w:val="21"/>
        </w:rPr>
      </w:pPr>
      <w:bookmarkStart w:id="151" w:name="_Toc148431762"/>
      <w:bookmarkStart w:id="152" w:name="_Toc148423100"/>
      <w:r>
        <w:rPr>
          <w:rFonts w:hint="eastAsia" w:ascii="宋体" w:hAnsi="宋体" w:eastAsia="宋体"/>
          <w:szCs w:val="21"/>
        </w:rPr>
        <w:t>（五）项目智能建造建设时序、实施计划及实施技术路径</w:t>
      </w:r>
      <w:bookmarkEnd w:id="151"/>
      <w:bookmarkEnd w:id="152"/>
    </w:p>
    <w:p>
      <w:pPr>
        <w:pStyle w:val="86"/>
        <w:numPr>
          <w:ilvl w:val="0"/>
          <w:numId w:val="0"/>
        </w:numPr>
        <w:spacing w:beforeLines="0" w:afterLines="0"/>
        <w:ind w:firstLine="420" w:firstLineChars="200"/>
        <w:jc w:val="both"/>
        <w:outlineLvl w:val="9"/>
        <w:rPr>
          <w:rFonts w:ascii="宋体" w:hAnsi="宋体" w:eastAsia="宋体"/>
          <w:szCs w:val="21"/>
        </w:rPr>
      </w:pPr>
      <w:bookmarkStart w:id="153" w:name="_Toc148431763"/>
      <w:bookmarkStart w:id="154" w:name="_Toc148423101"/>
      <w:r>
        <w:rPr>
          <w:rFonts w:hint="eastAsia" w:ascii="宋体" w:hAnsi="宋体" w:eastAsia="宋体"/>
          <w:szCs w:val="21"/>
        </w:rPr>
        <w:t>对项目各阶段智能建造建设时序、实施计划及实施路径进行阐释。</w:t>
      </w:r>
      <w:bookmarkEnd w:id="153"/>
      <w:bookmarkEnd w:id="154"/>
    </w:p>
    <w:p>
      <w:pPr>
        <w:pStyle w:val="86"/>
        <w:numPr>
          <w:ilvl w:val="0"/>
          <w:numId w:val="0"/>
        </w:numPr>
        <w:spacing w:beforeLines="0" w:afterLines="0"/>
        <w:ind w:firstLine="420" w:firstLineChars="200"/>
        <w:jc w:val="both"/>
        <w:outlineLvl w:val="9"/>
        <w:rPr>
          <w:rFonts w:ascii="宋体" w:hAnsi="宋体" w:eastAsia="宋体"/>
          <w:szCs w:val="21"/>
        </w:rPr>
      </w:pPr>
      <w:bookmarkStart w:id="155" w:name="_Toc148423102"/>
      <w:bookmarkStart w:id="156" w:name="_Toc148431764"/>
      <w:r>
        <w:rPr>
          <w:rFonts w:hint="eastAsia" w:ascii="宋体" w:hAnsi="宋体" w:eastAsia="宋体"/>
          <w:szCs w:val="21"/>
        </w:rPr>
        <w:t>（六）预期成果</w:t>
      </w:r>
      <w:bookmarkEnd w:id="155"/>
      <w:bookmarkEnd w:id="156"/>
    </w:p>
    <w:p>
      <w:pPr>
        <w:pStyle w:val="86"/>
        <w:numPr>
          <w:ilvl w:val="0"/>
          <w:numId w:val="0"/>
        </w:numPr>
        <w:spacing w:beforeLines="0" w:afterLines="0"/>
        <w:ind w:firstLine="420" w:firstLineChars="200"/>
        <w:jc w:val="both"/>
        <w:outlineLvl w:val="9"/>
        <w:rPr>
          <w:rFonts w:ascii="宋体" w:hAnsi="宋体" w:eastAsia="宋体"/>
          <w:szCs w:val="21"/>
        </w:rPr>
      </w:pPr>
      <w:bookmarkStart w:id="157" w:name="_Toc148431765"/>
      <w:bookmarkStart w:id="158" w:name="_Toc148423103"/>
      <w:r>
        <w:rPr>
          <w:rFonts w:hint="eastAsia" w:ascii="宋体" w:hAnsi="宋体" w:eastAsia="宋体"/>
          <w:szCs w:val="21"/>
        </w:rPr>
        <w:t>对项目采用智能建造方式的预期成果进行描述。</w:t>
      </w:r>
      <w:bookmarkEnd w:id="157"/>
      <w:bookmarkEnd w:id="158"/>
    </w:p>
    <w:p>
      <w:pPr>
        <w:pStyle w:val="86"/>
        <w:numPr>
          <w:ilvl w:val="0"/>
          <w:numId w:val="0"/>
        </w:numPr>
        <w:spacing w:beforeLines="0" w:afterLines="0"/>
        <w:ind w:firstLine="421" w:firstLineChars="200"/>
        <w:jc w:val="both"/>
        <w:outlineLvl w:val="9"/>
        <w:rPr>
          <w:rFonts w:ascii="宋体" w:hAnsi="宋体" w:eastAsia="宋体"/>
          <w:b/>
          <w:bCs/>
          <w:szCs w:val="21"/>
        </w:rPr>
      </w:pPr>
      <w:bookmarkStart w:id="159" w:name="_Toc148423104"/>
      <w:bookmarkStart w:id="160" w:name="_Toc148431766"/>
      <w:r>
        <w:rPr>
          <w:rFonts w:hint="eastAsia" w:ascii="宋体" w:hAnsi="宋体" w:eastAsia="宋体"/>
          <w:b/>
          <w:bCs/>
          <w:szCs w:val="21"/>
        </w:rPr>
        <w:t>三、分项策划</w:t>
      </w:r>
      <w:bookmarkEnd w:id="159"/>
      <w:bookmarkEnd w:id="160"/>
    </w:p>
    <w:p>
      <w:pPr>
        <w:pStyle w:val="86"/>
        <w:numPr>
          <w:ilvl w:val="0"/>
          <w:numId w:val="0"/>
        </w:numPr>
        <w:spacing w:beforeLines="0" w:afterLines="0"/>
        <w:ind w:firstLine="421" w:firstLineChars="200"/>
        <w:jc w:val="both"/>
        <w:outlineLvl w:val="9"/>
        <w:rPr>
          <w:rFonts w:ascii="宋体" w:hAnsi="宋体" w:eastAsia="宋体"/>
          <w:b/>
          <w:bCs/>
          <w:szCs w:val="21"/>
        </w:rPr>
      </w:pPr>
      <w:bookmarkStart w:id="161" w:name="_Toc148431767"/>
      <w:bookmarkStart w:id="162" w:name="_Toc148423105"/>
      <w:r>
        <w:rPr>
          <w:rFonts w:hint="eastAsia" w:ascii="宋体" w:hAnsi="宋体" w:eastAsia="宋体"/>
          <w:b/>
          <w:bCs/>
          <w:szCs w:val="21"/>
        </w:rPr>
        <w:t>（一）</w:t>
      </w:r>
      <w:r>
        <w:rPr>
          <w:rFonts w:ascii="宋体" w:hAnsi="宋体" w:eastAsia="宋体"/>
          <w:b/>
          <w:bCs/>
          <w:szCs w:val="21"/>
        </w:rPr>
        <w:t>BIM</w:t>
      </w:r>
      <w:r>
        <w:rPr>
          <w:rFonts w:hint="eastAsia" w:ascii="宋体" w:hAnsi="宋体" w:eastAsia="宋体"/>
          <w:b/>
          <w:bCs/>
          <w:szCs w:val="21"/>
        </w:rPr>
        <w:t>应用</w:t>
      </w:r>
      <w:bookmarkEnd w:id="161"/>
      <w:bookmarkEnd w:id="162"/>
    </w:p>
    <w:p>
      <w:pPr>
        <w:pStyle w:val="86"/>
        <w:numPr>
          <w:ilvl w:val="0"/>
          <w:numId w:val="0"/>
        </w:numPr>
        <w:spacing w:beforeLines="0" w:afterLines="0"/>
        <w:ind w:firstLine="420" w:firstLineChars="200"/>
        <w:jc w:val="both"/>
        <w:outlineLvl w:val="9"/>
        <w:rPr>
          <w:rFonts w:ascii="宋体" w:hAnsi="宋体" w:eastAsia="宋体"/>
          <w:szCs w:val="21"/>
        </w:rPr>
      </w:pPr>
      <w:bookmarkStart w:id="163" w:name="_Toc148423106"/>
      <w:bookmarkStart w:id="164" w:name="_Toc148431768"/>
      <w:r>
        <w:rPr>
          <w:rFonts w:hint="eastAsia" w:ascii="宋体" w:hAnsi="宋体" w:eastAsia="宋体"/>
          <w:szCs w:val="21"/>
        </w:rPr>
        <w:t>（1）应用目标</w:t>
      </w:r>
      <w:bookmarkEnd w:id="163"/>
      <w:bookmarkEnd w:id="164"/>
    </w:p>
    <w:p>
      <w:pPr>
        <w:pStyle w:val="86"/>
        <w:numPr>
          <w:ilvl w:val="0"/>
          <w:numId w:val="0"/>
        </w:numPr>
        <w:spacing w:beforeLines="0" w:afterLines="0"/>
        <w:ind w:firstLine="420" w:firstLineChars="200"/>
        <w:jc w:val="both"/>
        <w:outlineLvl w:val="9"/>
        <w:rPr>
          <w:rFonts w:ascii="宋体" w:hAnsi="宋体" w:eastAsia="宋体"/>
          <w:szCs w:val="21"/>
        </w:rPr>
      </w:pPr>
      <w:bookmarkStart w:id="165" w:name="_Toc148423107"/>
      <w:bookmarkStart w:id="166" w:name="_Toc148431769"/>
      <w:r>
        <w:rPr>
          <w:rFonts w:hint="eastAsia" w:ascii="宋体" w:hAnsi="宋体" w:eastAsia="宋体"/>
          <w:szCs w:val="21"/>
        </w:rPr>
        <w:t>对</w:t>
      </w:r>
      <w:r>
        <w:rPr>
          <w:rFonts w:ascii="宋体" w:hAnsi="宋体" w:eastAsia="宋体"/>
          <w:szCs w:val="21"/>
        </w:rPr>
        <w:t>BIM</w:t>
      </w:r>
      <w:r>
        <w:rPr>
          <w:rFonts w:hint="eastAsia" w:ascii="宋体" w:hAnsi="宋体" w:eastAsia="宋体"/>
          <w:szCs w:val="21"/>
        </w:rPr>
        <w:t>应用目标进行描述。</w:t>
      </w:r>
      <w:bookmarkEnd w:id="165"/>
      <w:bookmarkEnd w:id="166"/>
    </w:p>
    <w:p>
      <w:pPr>
        <w:pStyle w:val="86"/>
        <w:numPr>
          <w:ilvl w:val="0"/>
          <w:numId w:val="0"/>
        </w:numPr>
        <w:spacing w:beforeLines="0" w:afterLines="0"/>
        <w:ind w:firstLine="420" w:firstLineChars="200"/>
        <w:jc w:val="both"/>
        <w:outlineLvl w:val="9"/>
        <w:rPr>
          <w:rFonts w:ascii="宋体" w:hAnsi="宋体" w:eastAsia="宋体"/>
          <w:szCs w:val="21"/>
        </w:rPr>
      </w:pPr>
      <w:bookmarkStart w:id="167" w:name="_Toc148431770"/>
      <w:bookmarkStart w:id="168" w:name="_Toc148423108"/>
      <w:r>
        <w:rPr>
          <w:rFonts w:hint="eastAsia" w:ascii="宋体" w:hAnsi="宋体" w:eastAsia="宋体"/>
          <w:szCs w:val="21"/>
        </w:rPr>
        <w:t>（2）应用内容</w:t>
      </w:r>
      <w:bookmarkEnd w:id="167"/>
      <w:bookmarkEnd w:id="168"/>
    </w:p>
    <w:p>
      <w:pPr>
        <w:pStyle w:val="86"/>
        <w:numPr>
          <w:ilvl w:val="0"/>
          <w:numId w:val="0"/>
        </w:numPr>
        <w:spacing w:beforeLines="0" w:afterLines="0"/>
        <w:ind w:firstLine="420" w:firstLineChars="200"/>
        <w:jc w:val="both"/>
        <w:outlineLvl w:val="9"/>
        <w:rPr>
          <w:rFonts w:ascii="宋体" w:hAnsi="宋体" w:eastAsia="宋体"/>
          <w:szCs w:val="21"/>
        </w:rPr>
      </w:pPr>
      <w:bookmarkStart w:id="169" w:name="_Toc148431771"/>
      <w:bookmarkStart w:id="170" w:name="_Toc148423109"/>
      <w:r>
        <w:rPr>
          <w:rFonts w:hint="eastAsia" w:ascii="宋体" w:hAnsi="宋体" w:eastAsia="宋体"/>
          <w:szCs w:val="21"/>
        </w:rPr>
        <w:t>对B</w:t>
      </w:r>
      <w:r>
        <w:rPr>
          <w:rFonts w:ascii="宋体" w:hAnsi="宋体" w:eastAsia="宋体"/>
          <w:szCs w:val="21"/>
        </w:rPr>
        <w:t>IM</w:t>
      </w:r>
      <w:r>
        <w:rPr>
          <w:rFonts w:hint="eastAsia" w:ascii="宋体" w:hAnsi="宋体" w:eastAsia="宋体"/>
          <w:szCs w:val="21"/>
        </w:rPr>
        <w:t>应用具体内容、应用流程、采用可行方式或工具进行描述。应用内容应对应本要点的相关基础项和评分项。</w:t>
      </w:r>
      <w:bookmarkEnd w:id="169"/>
      <w:bookmarkEnd w:id="170"/>
    </w:p>
    <w:p>
      <w:pPr>
        <w:pStyle w:val="86"/>
        <w:numPr>
          <w:ilvl w:val="0"/>
          <w:numId w:val="0"/>
        </w:numPr>
        <w:spacing w:beforeLines="0" w:afterLines="0"/>
        <w:ind w:firstLine="420" w:firstLineChars="200"/>
        <w:jc w:val="both"/>
        <w:outlineLvl w:val="9"/>
        <w:rPr>
          <w:rFonts w:ascii="宋体" w:hAnsi="宋体" w:eastAsia="宋体"/>
          <w:szCs w:val="21"/>
        </w:rPr>
      </w:pPr>
      <w:bookmarkStart w:id="171" w:name="_Toc148423110"/>
      <w:bookmarkStart w:id="172" w:name="_Toc148431772"/>
      <w:r>
        <w:rPr>
          <w:rFonts w:hint="eastAsia" w:ascii="宋体" w:hAnsi="宋体" w:eastAsia="宋体"/>
          <w:szCs w:val="21"/>
        </w:rPr>
        <w:t>（</w:t>
      </w:r>
      <w:r>
        <w:rPr>
          <w:rFonts w:ascii="宋体" w:hAnsi="宋体" w:eastAsia="宋体"/>
          <w:szCs w:val="21"/>
        </w:rPr>
        <w:t>3</w:t>
      </w:r>
      <w:r>
        <w:rPr>
          <w:rFonts w:hint="eastAsia" w:ascii="宋体" w:hAnsi="宋体" w:eastAsia="宋体"/>
          <w:szCs w:val="21"/>
        </w:rPr>
        <w:t>）应用成果</w:t>
      </w:r>
      <w:bookmarkEnd w:id="171"/>
      <w:bookmarkEnd w:id="172"/>
    </w:p>
    <w:p>
      <w:pPr>
        <w:pStyle w:val="86"/>
        <w:numPr>
          <w:ilvl w:val="0"/>
          <w:numId w:val="0"/>
        </w:numPr>
        <w:spacing w:beforeLines="0" w:afterLines="0"/>
        <w:ind w:firstLine="420" w:firstLineChars="200"/>
        <w:jc w:val="both"/>
        <w:outlineLvl w:val="9"/>
        <w:rPr>
          <w:rFonts w:ascii="宋体" w:hAnsi="宋体" w:eastAsia="宋体"/>
          <w:szCs w:val="21"/>
        </w:rPr>
      </w:pPr>
      <w:bookmarkStart w:id="173" w:name="_Toc148431773"/>
      <w:bookmarkStart w:id="174" w:name="_Toc148423111"/>
      <w:r>
        <w:rPr>
          <w:rFonts w:hint="eastAsia" w:ascii="宋体" w:hAnsi="宋体" w:eastAsia="宋体"/>
          <w:szCs w:val="21"/>
        </w:rPr>
        <w:t>对B</w:t>
      </w:r>
      <w:r>
        <w:rPr>
          <w:rFonts w:ascii="宋体" w:hAnsi="宋体" w:eastAsia="宋体"/>
          <w:szCs w:val="21"/>
        </w:rPr>
        <w:t>IM</w:t>
      </w:r>
      <w:r>
        <w:rPr>
          <w:rFonts w:hint="eastAsia" w:ascii="宋体" w:hAnsi="宋体" w:eastAsia="宋体"/>
          <w:szCs w:val="21"/>
        </w:rPr>
        <w:t>应用成果进行描述。</w:t>
      </w:r>
      <w:bookmarkEnd w:id="173"/>
      <w:bookmarkEnd w:id="174"/>
    </w:p>
    <w:p>
      <w:pPr>
        <w:pStyle w:val="86"/>
        <w:numPr>
          <w:ilvl w:val="0"/>
          <w:numId w:val="0"/>
        </w:numPr>
        <w:spacing w:beforeLines="0" w:afterLines="0"/>
        <w:ind w:firstLine="421" w:firstLineChars="200"/>
        <w:jc w:val="both"/>
        <w:outlineLvl w:val="9"/>
        <w:rPr>
          <w:rFonts w:ascii="宋体" w:hAnsi="宋体" w:eastAsia="宋体"/>
          <w:b/>
          <w:bCs/>
          <w:szCs w:val="21"/>
        </w:rPr>
      </w:pPr>
      <w:bookmarkStart w:id="175" w:name="_Toc148423112"/>
      <w:bookmarkStart w:id="176" w:name="_Toc148431774"/>
      <w:r>
        <w:rPr>
          <w:rFonts w:hint="eastAsia" w:ascii="宋体" w:hAnsi="宋体" w:eastAsia="宋体"/>
          <w:b/>
          <w:bCs/>
          <w:szCs w:val="21"/>
        </w:rPr>
        <w:t>（二）数字设计策划</w:t>
      </w:r>
      <w:bookmarkEnd w:id="175"/>
      <w:bookmarkEnd w:id="176"/>
    </w:p>
    <w:p>
      <w:pPr>
        <w:pStyle w:val="86"/>
        <w:numPr>
          <w:ilvl w:val="0"/>
          <w:numId w:val="0"/>
        </w:numPr>
        <w:spacing w:beforeLines="0" w:afterLines="0"/>
        <w:ind w:firstLine="420" w:firstLineChars="200"/>
        <w:jc w:val="both"/>
        <w:outlineLvl w:val="9"/>
        <w:rPr>
          <w:rFonts w:ascii="宋体" w:hAnsi="宋体" w:eastAsia="宋体"/>
          <w:szCs w:val="21"/>
        </w:rPr>
      </w:pPr>
      <w:bookmarkStart w:id="177" w:name="_Toc148423113"/>
      <w:bookmarkStart w:id="178" w:name="_Toc148431775"/>
      <w:r>
        <w:rPr>
          <w:rFonts w:hint="eastAsia" w:ascii="宋体" w:hAnsi="宋体" w:eastAsia="宋体"/>
          <w:szCs w:val="21"/>
        </w:rPr>
        <w:t>（1）应用目标</w:t>
      </w:r>
      <w:bookmarkEnd w:id="177"/>
      <w:bookmarkEnd w:id="178"/>
    </w:p>
    <w:p>
      <w:pPr>
        <w:pStyle w:val="86"/>
        <w:numPr>
          <w:ilvl w:val="0"/>
          <w:numId w:val="0"/>
        </w:numPr>
        <w:spacing w:beforeLines="0" w:afterLines="0"/>
        <w:ind w:firstLine="420" w:firstLineChars="200"/>
        <w:jc w:val="both"/>
        <w:outlineLvl w:val="9"/>
        <w:rPr>
          <w:rFonts w:ascii="宋体" w:hAnsi="宋体" w:eastAsia="宋体"/>
          <w:szCs w:val="21"/>
        </w:rPr>
      </w:pPr>
      <w:bookmarkStart w:id="179" w:name="_Toc148431776"/>
      <w:bookmarkStart w:id="180" w:name="_Toc148423114"/>
      <w:r>
        <w:rPr>
          <w:rFonts w:hint="eastAsia" w:ascii="宋体" w:hAnsi="宋体" w:eastAsia="宋体"/>
          <w:szCs w:val="21"/>
        </w:rPr>
        <w:t>对该阶段应用目标进行描述。</w:t>
      </w:r>
      <w:bookmarkEnd w:id="179"/>
      <w:bookmarkEnd w:id="180"/>
    </w:p>
    <w:p>
      <w:pPr>
        <w:pStyle w:val="86"/>
        <w:numPr>
          <w:ilvl w:val="0"/>
          <w:numId w:val="0"/>
        </w:numPr>
        <w:spacing w:beforeLines="0" w:afterLines="0"/>
        <w:ind w:firstLine="420" w:firstLineChars="200"/>
        <w:jc w:val="both"/>
        <w:outlineLvl w:val="9"/>
        <w:rPr>
          <w:rFonts w:ascii="宋体" w:hAnsi="宋体" w:eastAsia="宋体"/>
          <w:szCs w:val="21"/>
        </w:rPr>
      </w:pPr>
      <w:bookmarkStart w:id="181" w:name="_Toc148431777"/>
      <w:bookmarkStart w:id="182" w:name="_Toc148423115"/>
      <w:r>
        <w:rPr>
          <w:rFonts w:hint="eastAsia" w:ascii="宋体" w:hAnsi="宋体" w:eastAsia="宋体"/>
          <w:szCs w:val="21"/>
        </w:rPr>
        <w:t>（2）应用内容</w:t>
      </w:r>
      <w:bookmarkEnd w:id="181"/>
      <w:bookmarkEnd w:id="182"/>
    </w:p>
    <w:p>
      <w:pPr>
        <w:pStyle w:val="86"/>
        <w:numPr>
          <w:ilvl w:val="0"/>
          <w:numId w:val="0"/>
        </w:numPr>
        <w:spacing w:beforeLines="0" w:afterLines="0"/>
        <w:ind w:firstLine="420" w:firstLineChars="200"/>
        <w:jc w:val="both"/>
        <w:outlineLvl w:val="9"/>
        <w:rPr>
          <w:rFonts w:ascii="宋体" w:hAnsi="宋体" w:eastAsia="宋体"/>
          <w:szCs w:val="21"/>
        </w:rPr>
      </w:pPr>
      <w:bookmarkStart w:id="183" w:name="_Toc148431778"/>
      <w:bookmarkStart w:id="184" w:name="_Toc148423116"/>
      <w:r>
        <w:rPr>
          <w:rFonts w:hint="eastAsia" w:ascii="宋体" w:hAnsi="宋体" w:eastAsia="宋体"/>
          <w:szCs w:val="21"/>
        </w:rPr>
        <w:t>对该阶段应用具体内容、组织架构、应用流程、采用可行方式或工具进行描述。应用内容应对于本要点的相关基础项和评分项。</w:t>
      </w:r>
      <w:bookmarkEnd w:id="183"/>
      <w:bookmarkEnd w:id="184"/>
    </w:p>
    <w:p>
      <w:pPr>
        <w:pStyle w:val="86"/>
        <w:numPr>
          <w:ilvl w:val="0"/>
          <w:numId w:val="0"/>
        </w:numPr>
        <w:spacing w:beforeLines="0" w:afterLines="0"/>
        <w:ind w:firstLine="420" w:firstLineChars="200"/>
        <w:jc w:val="both"/>
        <w:outlineLvl w:val="9"/>
        <w:rPr>
          <w:rFonts w:ascii="宋体" w:hAnsi="宋体" w:eastAsia="宋体"/>
          <w:szCs w:val="21"/>
        </w:rPr>
      </w:pPr>
      <w:bookmarkStart w:id="185" w:name="_Toc148431779"/>
      <w:bookmarkStart w:id="186" w:name="_Toc148423117"/>
      <w:r>
        <w:rPr>
          <w:rFonts w:hint="eastAsia" w:ascii="宋体" w:hAnsi="宋体" w:eastAsia="宋体"/>
          <w:szCs w:val="21"/>
        </w:rPr>
        <w:t>（3）应用成果</w:t>
      </w:r>
      <w:bookmarkEnd w:id="185"/>
      <w:bookmarkEnd w:id="186"/>
    </w:p>
    <w:p>
      <w:pPr>
        <w:pStyle w:val="86"/>
        <w:numPr>
          <w:ilvl w:val="0"/>
          <w:numId w:val="0"/>
        </w:numPr>
        <w:spacing w:beforeLines="0" w:afterLines="0"/>
        <w:ind w:firstLine="420" w:firstLineChars="200"/>
        <w:jc w:val="both"/>
        <w:outlineLvl w:val="9"/>
        <w:rPr>
          <w:rFonts w:ascii="宋体" w:hAnsi="宋体" w:eastAsia="宋体"/>
          <w:szCs w:val="21"/>
        </w:rPr>
      </w:pPr>
      <w:bookmarkStart w:id="187" w:name="_Toc148431780"/>
      <w:bookmarkStart w:id="188" w:name="_Toc148423118"/>
      <w:r>
        <w:rPr>
          <w:rFonts w:hint="eastAsia" w:ascii="宋体" w:hAnsi="宋体" w:eastAsia="宋体"/>
          <w:szCs w:val="21"/>
        </w:rPr>
        <w:t>对该阶段应用成果进行描述。</w:t>
      </w:r>
      <w:bookmarkEnd w:id="187"/>
      <w:bookmarkEnd w:id="188"/>
    </w:p>
    <w:p>
      <w:pPr>
        <w:pStyle w:val="86"/>
        <w:numPr>
          <w:ilvl w:val="0"/>
          <w:numId w:val="0"/>
        </w:numPr>
        <w:spacing w:beforeLines="0" w:afterLines="0"/>
        <w:ind w:firstLine="421" w:firstLineChars="200"/>
        <w:jc w:val="both"/>
        <w:outlineLvl w:val="9"/>
        <w:rPr>
          <w:rFonts w:ascii="宋体" w:hAnsi="宋体" w:eastAsia="宋体"/>
          <w:b/>
          <w:bCs/>
          <w:szCs w:val="21"/>
        </w:rPr>
      </w:pPr>
      <w:bookmarkStart w:id="189" w:name="_Toc148423119"/>
      <w:bookmarkStart w:id="190" w:name="_Toc148431781"/>
      <w:r>
        <w:rPr>
          <w:rFonts w:hint="eastAsia" w:ascii="宋体" w:hAnsi="宋体" w:eastAsia="宋体"/>
          <w:b/>
          <w:bCs/>
          <w:szCs w:val="21"/>
        </w:rPr>
        <w:t>（三）智能生产策划</w:t>
      </w:r>
      <w:bookmarkEnd w:id="189"/>
      <w:bookmarkEnd w:id="190"/>
    </w:p>
    <w:p>
      <w:pPr>
        <w:pStyle w:val="86"/>
        <w:numPr>
          <w:ilvl w:val="0"/>
          <w:numId w:val="0"/>
        </w:numPr>
        <w:spacing w:beforeLines="0" w:afterLines="0"/>
        <w:ind w:firstLine="420" w:firstLineChars="200"/>
        <w:jc w:val="both"/>
        <w:outlineLvl w:val="9"/>
        <w:rPr>
          <w:rFonts w:ascii="宋体" w:hAnsi="宋体" w:eastAsia="宋体"/>
          <w:szCs w:val="21"/>
        </w:rPr>
      </w:pPr>
      <w:bookmarkStart w:id="191" w:name="_Toc148423120"/>
      <w:bookmarkStart w:id="192" w:name="_Toc148431782"/>
      <w:r>
        <w:rPr>
          <w:rFonts w:hint="eastAsia" w:ascii="宋体" w:hAnsi="宋体" w:eastAsia="宋体"/>
          <w:szCs w:val="21"/>
        </w:rPr>
        <w:t>（1）应用目标</w:t>
      </w:r>
      <w:bookmarkEnd w:id="191"/>
      <w:bookmarkEnd w:id="192"/>
    </w:p>
    <w:p>
      <w:pPr>
        <w:pStyle w:val="86"/>
        <w:numPr>
          <w:ilvl w:val="0"/>
          <w:numId w:val="0"/>
        </w:numPr>
        <w:spacing w:beforeLines="0" w:afterLines="0"/>
        <w:ind w:firstLine="420" w:firstLineChars="200"/>
        <w:jc w:val="both"/>
        <w:outlineLvl w:val="9"/>
        <w:rPr>
          <w:rFonts w:ascii="宋体" w:hAnsi="宋体" w:eastAsia="宋体"/>
          <w:szCs w:val="21"/>
        </w:rPr>
      </w:pPr>
      <w:bookmarkStart w:id="193" w:name="_Toc148423121"/>
      <w:bookmarkStart w:id="194" w:name="_Toc148431783"/>
      <w:r>
        <w:rPr>
          <w:rFonts w:hint="eastAsia" w:ascii="宋体" w:hAnsi="宋体" w:eastAsia="宋体"/>
          <w:szCs w:val="21"/>
        </w:rPr>
        <w:t>对该阶段应用目标进行描述。</w:t>
      </w:r>
      <w:bookmarkEnd w:id="193"/>
      <w:bookmarkEnd w:id="194"/>
    </w:p>
    <w:p>
      <w:pPr>
        <w:pStyle w:val="86"/>
        <w:numPr>
          <w:ilvl w:val="0"/>
          <w:numId w:val="0"/>
        </w:numPr>
        <w:spacing w:beforeLines="0" w:afterLines="0"/>
        <w:ind w:firstLine="420" w:firstLineChars="200"/>
        <w:jc w:val="both"/>
        <w:outlineLvl w:val="9"/>
        <w:rPr>
          <w:rFonts w:ascii="宋体" w:hAnsi="宋体" w:eastAsia="宋体"/>
          <w:szCs w:val="21"/>
        </w:rPr>
      </w:pPr>
      <w:bookmarkStart w:id="195" w:name="_Toc148431784"/>
      <w:bookmarkStart w:id="196" w:name="_Toc148423122"/>
      <w:r>
        <w:rPr>
          <w:rFonts w:hint="eastAsia" w:ascii="宋体" w:hAnsi="宋体" w:eastAsia="宋体"/>
          <w:szCs w:val="21"/>
        </w:rPr>
        <w:t>（2）应用内容</w:t>
      </w:r>
      <w:bookmarkEnd w:id="195"/>
      <w:bookmarkEnd w:id="196"/>
    </w:p>
    <w:p>
      <w:pPr>
        <w:pStyle w:val="86"/>
        <w:numPr>
          <w:ilvl w:val="0"/>
          <w:numId w:val="0"/>
        </w:numPr>
        <w:spacing w:beforeLines="0" w:afterLines="0"/>
        <w:ind w:firstLine="420" w:firstLineChars="200"/>
        <w:jc w:val="both"/>
        <w:outlineLvl w:val="9"/>
        <w:rPr>
          <w:rFonts w:ascii="宋体" w:hAnsi="宋体" w:eastAsia="宋体"/>
          <w:szCs w:val="21"/>
        </w:rPr>
      </w:pPr>
      <w:bookmarkStart w:id="197" w:name="_Toc148423123"/>
      <w:bookmarkStart w:id="198" w:name="_Toc148431785"/>
      <w:r>
        <w:rPr>
          <w:rFonts w:hint="eastAsia" w:ascii="宋体" w:hAnsi="宋体" w:eastAsia="宋体"/>
          <w:szCs w:val="21"/>
        </w:rPr>
        <w:t>对该阶段应用具体内容、组织架构、应用流程、采用可行方式或工具进行描述。应用内容应对于本要点的相关基础项和评分项。</w:t>
      </w:r>
      <w:bookmarkEnd w:id="197"/>
      <w:bookmarkEnd w:id="198"/>
    </w:p>
    <w:p>
      <w:pPr>
        <w:pStyle w:val="86"/>
        <w:numPr>
          <w:ilvl w:val="0"/>
          <w:numId w:val="0"/>
        </w:numPr>
        <w:spacing w:beforeLines="0" w:afterLines="0"/>
        <w:ind w:firstLine="420" w:firstLineChars="200"/>
        <w:jc w:val="both"/>
        <w:outlineLvl w:val="9"/>
        <w:rPr>
          <w:rFonts w:ascii="宋体" w:hAnsi="宋体" w:eastAsia="宋体"/>
          <w:szCs w:val="21"/>
        </w:rPr>
      </w:pPr>
      <w:bookmarkStart w:id="199" w:name="_Toc148431786"/>
      <w:bookmarkStart w:id="200" w:name="_Toc148423124"/>
      <w:r>
        <w:rPr>
          <w:rFonts w:hint="eastAsia" w:ascii="宋体" w:hAnsi="宋体" w:eastAsia="宋体"/>
          <w:szCs w:val="21"/>
        </w:rPr>
        <w:t>（3）应用成果</w:t>
      </w:r>
      <w:bookmarkEnd w:id="199"/>
      <w:bookmarkEnd w:id="200"/>
    </w:p>
    <w:p>
      <w:pPr>
        <w:pStyle w:val="86"/>
        <w:numPr>
          <w:ilvl w:val="0"/>
          <w:numId w:val="0"/>
        </w:numPr>
        <w:spacing w:beforeLines="0" w:afterLines="0"/>
        <w:ind w:firstLine="420" w:firstLineChars="200"/>
        <w:jc w:val="both"/>
        <w:outlineLvl w:val="9"/>
        <w:rPr>
          <w:rFonts w:ascii="宋体" w:hAnsi="宋体" w:eastAsia="宋体"/>
          <w:szCs w:val="21"/>
        </w:rPr>
      </w:pPr>
      <w:bookmarkStart w:id="201" w:name="_Toc148431787"/>
      <w:bookmarkStart w:id="202" w:name="_Toc148423125"/>
      <w:r>
        <w:rPr>
          <w:rFonts w:hint="eastAsia" w:ascii="宋体" w:hAnsi="宋体" w:eastAsia="宋体"/>
          <w:szCs w:val="21"/>
        </w:rPr>
        <w:t>对该阶段应用成果进行描述。</w:t>
      </w:r>
      <w:bookmarkEnd w:id="201"/>
      <w:bookmarkEnd w:id="202"/>
    </w:p>
    <w:p>
      <w:pPr>
        <w:pStyle w:val="86"/>
        <w:numPr>
          <w:ilvl w:val="0"/>
          <w:numId w:val="0"/>
        </w:numPr>
        <w:spacing w:beforeLines="0" w:afterLines="0"/>
        <w:ind w:firstLine="421" w:firstLineChars="200"/>
        <w:jc w:val="both"/>
        <w:outlineLvl w:val="9"/>
        <w:rPr>
          <w:rFonts w:ascii="宋体" w:hAnsi="宋体" w:eastAsia="宋体"/>
          <w:b/>
          <w:bCs/>
          <w:szCs w:val="21"/>
        </w:rPr>
      </w:pPr>
      <w:bookmarkStart w:id="203" w:name="_Toc148423126"/>
      <w:bookmarkStart w:id="204" w:name="_Toc148431788"/>
      <w:r>
        <w:rPr>
          <w:rFonts w:hint="eastAsia" w:ascii="宋体" w:hAnsi="宋体" w:eastAsia="宋体"/>
          <w:b/>
          <w:bCs/>
          <w:szCs w:val="21"/>
        </w:rPr>
        <w:t>（四）智能施工策划</w:t>
      </w:r>
      <w:bookmarkEnd w:id="203"/>
      <w:bookmarkEnd w:id="204"/>
    </w:p>
    <w:p>
      <w:pPr>
        <w:pStyle w:val="86"/>
        <w:numPr>
          <w:ilvl w:val="0"/>
          <w:numId w:val="0"/>
        </w:numPr>
        <w:spacing w:beforeLines="0" w:afterLines="0"/>
        <w:ind w:firstLine="420" w:firstLineChars="200"/>
        <w:jc w:val="both"/>
        <w:outlineLvl w:val="9"/>
        <w:rPr>
          <w:rFonts w:ascii="宋体" w:hAnsi="宋体" w:eastAsia="宋体"/>
          <w:szCs w:val="21"/>
        </w:rPr>
      </w:pPr>
      <w:bookmarkStart w:id="205" w:name="_Toc148431789"/>
      <w:bookmarkStart w:id="206" w:name="_Toc148423127"/>
      <w:r>
        <w:rPr>
          <w:rFonts w:hint="eastAsia" w:ascii="宋体" w:hAnsi="宋体" w:eastAsia="宋体"/>
          <w:szCs w:val="21"/>
        </w:rPr>
        <w:t>（1）应用目标</w:t>
      </w:r>
      <w:bookmarkEnd w:id="205"/>
      <w:bookmarkEnd w:id="206"/>
    </w:p>
    <w:p>
      <w:pPr>
        <w:pStyle w:val="86"/>
        <w:numPr>
          <w:ilvl w:val="0"/>
          <w:numId w:val="0"/>
        </w:numPr>
        <w:spacing w:beforeLines="0" w:afterLines="0"/>
        <w:ind w:firstLine="420" w:firstLineChars="200"/>
        <w:jc w:val="both"/>
        <w:outlineLvl w:val="9"/>
        <w:rPr>
          <w:rFonts w:ascii="宋体" w:hAnsi="宋体" w:eastAsia="宋体"/>
          <w:szCs w:val="21"/>
        </w:rPr>
      </w:pPr>
      <w:bookmarkStart w:id="207" w:name="_Toc148423128"/>
      <w:bookmarkStart w:id="208" w:name="_Toc148431790"/>
      <w:r>
        <w:rPr>
          <w:rFonts w:hint="eastAsia" w:ascii="宋体" w:hAnsi="宋体" w:eastAsia="宋体"/>
          <w:szCs w:val="21"/>
        </w:rPr>
        <w:t>对该阶段应用目标进行描述。</w:t>
      </w:r>
      <w:bookmarkEnd w:id="207"/>
      <w:bookmarkEnd w:id="208"/>
    </w:p>
    <w:p>
      <w:pPr>
        <w:pStyle w:val="86"/>
        <w:numPr>
          <w:ilvl w:val="0"/>
          <w:numId w:val="0"/>
        </w:numPr>
        <w:spacing w:beforeLines="0" w:afterLines="0"/>
        <w:ind w:firstLine="420" w:firstLineChars="200"/>
        <w:jc w:val="both"/>
        <w:outlineLvl w:val="9"/>
        <w:rPr>
          <w:rFonts w:ascii="宋体" w:hAnsi="宋体" w:eastAsia="宋体"/>
          <w:szCs w:val="21"/>
        </w:rPr>
      </w:pPr>
      <w:bookmarkStart w:id="209" w:name="_Toc148423129"/>
      <w:bookmarkStart w:id="210" w:name="_Toc148431791"/>
      <w:r>
        <w:rPr>
          <w:rFonts w:hint="eastAsia" w:ascii="宋体" w:hAnsi="宋体" w:eastAsia="宋体"/>
          <w:szCs w:val="21"/>
        </w:rPr>
        <w:t>（2）应用内容</w:t>
      </w:r>
      <w:bookmarkEnd w:id="209"/>
      <w:bookmarkEnd w:id="210"/>
    </w:p>
    <w:p>
      <w:pPr>
        <w:pStyle w:val="86"/>
        <w:numPr>
          <w:ilvl w:val="0"/>
          <w:numId w:val="0"/>
        </w:numPr>
        <w:spacing w:beforeLines="0" w:afterLines="0"/>
        <w:ind w:firstLine="420" w:firstLineChars="200"/>
        <w:jc w:val="both"/>
        <w:outlineLvl w:val="9"/>
        <w:rPr>
          <w:rFonts w:ascii="宋体" w:hAnsi="宋体" w:eastAsia="宋体"/>
          <w:szCs w:val="21"/>
        </w:rPr>
      </w:pPr>
      <w:bookmarkStart w:id="211" w:name="_Toc148423130"/>
      <w:bookmarkStart w:id="212" w:name="_Toc148431792"/>
      <w:r>
        <w:rPr>
          <w:rFonts w:hint="eastAsia" w:ascii="宋体" w:hAnsi="宋体" w:eastAsia="宋体"/>
          <w:szCs w:val="21"/>
        </w:rPr>
        <w:t>对该阶段应用具体内容、组织架构、应用流程、采用可行方式或工具进行描述。应用内容应对于本要点的相关</w:t>
      </w:r>
      <w:bookmarkEnd w:id="211"/>
      <w:bookmarkEnd w:id="212"/>
    </w:p>
    <w:p>
      <w:pPr>
        <w:pStyle w:val="86"/>
        <w:numPr>
          <w:ilvl w:val="0"/>
          <w:numId w:val="0"/>
        </w:numPr>
        <w:spacing w:beforeLines="0" w:afterLines="0"/>
        <w:ind w:firstLine="420" w:firstLineChars="200"/>
        <w:jc w:val="both"/>
        <w:outlineLvl w:val="9"/>
        <w:rPr>
          <w:rFonts w:ascii="宋体" w:hAnsi="宋体" w:eastAsia="宋体"/>
          <w:szCs w:val="21"/>
        </w:rPr>
      </w:pPr>
      <w:bookmarkStart w:id="213" w:name="_Toc148431793"/>
      <w:bookmarkStart w:id="214" w:name="_Toc148423131"/>
      <w:r>
        <w:rPr>
          <w:rFonts w:hint="eastAsia" w:ascii="宋体" w:hAnsi="宋体" w:eastAsia="宋体"/>
          <w:szCs w:val="21"/>
        </w:rPr>
        <w:t>基础项和评分项。</w:t>
      </w:r>
      <w:bookmarkEnd w:id="213"/>
      <w:bookmarkEnd w:id="214"/>
    </w:p>
    <w:p>
      <w:pPr>
        <w:pStyle w:val="86"/>
        <w:numPr>
          <w:ilvl w:val="0"/>
          <w:numId w:val="0"/>
        </w:numPr>
        <w:spacing w:beforeLines="0" w:afterLines="0"/>
        <w:ind w:firstLine="420" w:firstLineChars="200"/>
        <w:jc w:val="both"/>
        <w:outlineLvl w:val="9"/>
        <w:rPr>
          <w:rFonts w:ascii="宋体" w:hAnsi="宋体" w:eastAsia="宋体"/>
          <w:szCs w:val="21"/>
        </w:rPr>
      </w:pPr>
      <w:bookmarkStart w:id="215" w:name="_Toc148431794"/>
      <w:bookmarkStart w:id="216" w:name="_Toc148423132"/>
      <w:r>
        <w:rPr>
          <w:rFonts w:hint="eastAsia" w:ascii="宋体" w:hAnsi="宋体" w:eastAsia="宋体"/>
          <w:szCs w:val="21"/>
        </w:rPr>
        <w:t>（3）应用成果</w:t>
      </w:r>
      <w:bookmarkEnd w:id="215"/>
      <w:bookmarkEnd w:id="216"/>
    </w:p>
    <w:p>
      <w:pPr>
        <w:pStyle w:val="86"/>
        <w:numPr>
          <w:ilvl w:val="0"/>
          <w:numId w:val="0"/>
        </w:numPr>
        <w:spacing w:beforeLines="0" w:afterLines="0"/>
        <w:ind w:firstLine="420" w:firstLineChars="200"/>
        <w:jc w:val="both"/>
        <w:outlineLvl w:val="9"/>
        <w:rPr>
          <w:rFonts w:ascii="宋体" w:hAnsi="宋体" w:eastAsia="宋体"/>
          <w:szCs w:val="21"/>
        </w:rPr>
      </w:pPr>
      <w:bookmarkStart w:id="217" w:name="_Toc148431795"/>
      <w:bookmarkStart w:id="218" w:name="_Toc148423133"/>
      <w:r>
        <w:rPr>
          <w:rFonts w:hint="eastAsia" w:ascii="宋体" w:hAnsi="宋体" w:eastAsia="宋体"/>
          <w:szCs w:val="21"/>
        </w:rPr>
        <w:t>对该阶段应用成果进行描述。</w:t>
      </w:r>
      <w:bookmarkEnd w:id="217"/>
      <w:bookmarkEnd w:id="218"/>
    </w:p>
    <w:p>
      <w:pPr>
        <w:pStyle w:val="86"/>
        <w:numPr>
          <w:ilvl w:val="0"/>
          <w:numId w:val="0"/>
        </w:numPr>
        <w:spacing w:beforeLines="0" w:afterLines="0"/>
        <w:ind w:firstLine="421" w:firstLineChars="200"/>
        <w:jc w:val="both"/>
        <w:outlineLvl w:val="9"/>
        <w:rPr>
          <w:rFonts w:ascii="宋体" w:hAnsi="宋体" w:eastAsia="宋体"/>
          <w:b/>
          <w:bCs/>
          <w:szCs w:val="21"/>
        </w:rPr>
      </w:pPr>
      <w:bookmarkStart w:id="219" w:name="_Toc148423134"/>
      <w:bookmarkStart w:id="220" w:name="_Toc148431796"/>
      <w:r>
        <w:rPr>
          <w:rFonts w:hint="eastAsia" w:ascii="宋体" w:hAnsi="宋体" w:eastAsia="宋体"/>
          <w:b/>
          <w:bCs/>
          <w:szCs w:val="21"/>
        </w:rPr>
        <w:t>（五）智慧运维策划</w:t>
      </w:r>
      <w:bookmarkEnd w:id="219"/>
      <w:bookmarkEnd w:id="220"/>
    </w:p>
    <w:p>
      <w:pPr>
        <w:pStyle w:val="86"/>
        <w:numPr>
          <w:ilvl w:val="0"/>
          <w:numId w:val="0"/>
        </w:numPr>
        <w:spacing w:beforeLines="0" w:afterLines="0"/>
        <w:ind w:firstLine="420" w:firstLineChars="200"/>
        <w:jc w:val="both"/>
        <w:outlineLvl w:val="9"/>
        <w:rPr>
          <w:rFonts w:ascii="宋体" w:hAnsi="宋体" w:eastAsia="宋体"/>
          <w:szCs w:val="21"/>
        </w:rPr>
      </w:pPr>
      <w:bookmarkStart w:id="221" w:name="_Toc148423135"/>
      <w:bookmarkStart w:id="222" w:name="_Toc148431797"/>
      <w:r>
        <w:rPr>
          <w:rFonts w:hint="eastAsia" w:ascii="宋体" w:hAnsi="宋体" w:eastAsia="宋体"/>
          <w:szCs w:val="21"/>
        </w:rPr>
        <w:t>（1）应用目标</w:t>
      </w:r>
      <w:bookmarkEnd w:id="221"/>
      <w:bookmarkEnd w:id="222"/>
    </w:p>
    <w:p>
      <w:pPr>
        <w:pStyle w:val="86"/>
        <w:numPr>
          <w:ilvl w:val="0"/>
          <w:numId w:val="0"/>
        </w:numPr>
        <w:spacing w:beforeLines="0" w:afterLines="0"/>
        <w:ind w:firstLine="420" w:firstLineChars="200"/>
        <w:jc w:val="both"/>
        <w:outlineLvl w:val="9"/>
        <w:rPr>
          <w:rFonts w:ascii="宋体" w:hAnsi="宋体" w:eastAsia="宋体"/>
          <w:szCs w:val="21"/>
        </w:rPr>
      </w:pPr>
      <w:bookmarkStart w:id="223" w:name="_Toc148423136"/>
      <w:bookmarkStart w:id="224" w:name="_Toc148431798"/>
      <w:r>
        <w:rPr>
          <w:rFonts w:hint="eastAsia" w:ascii="宋体" w:hAnsi="宋体" w:eastAsia="宋体"/>
          <w:szCs w:val="21"/>
        </w:rPr>
        <w:t>对该阶段应用目标进行描述。</w:t>
      </w:r>
      <w:bookmarkEnd w:id="223"/>
      <w:bookmarkEnd w:id="224"/>
    </w:p>
    <w:p>
      <w:pPr>
        <w:pStyle w:val="86"/>
        <w:numPr>
          <w:ilvl w:val="0"/>
          <w:numId w:val="0"/>
        </w:numPr>
        <w:spacing w:beforeLines="0" w:afterLines="0"/>
        <w:ind w:firstLine="420" w:firstLineChars="200"/>
        <w:jc w:val="both"/>
        <w:outlineLvl w:val="9"/>
        <w:rPr>
          <w:rFonts w:ascii="宋体" w:hAnsi="宋体" w:eastAsia="宋体"/>
          <w:szCs w:val="21"/>
        </w:rPr>
      </w:pPr>
      <w:bookmarkStart w:id="225" w:name="_Toc148423137"/>
      <w:bookmarkStart w:id="226" w:name="_Toc148431799"/>
      <w:r>
        <w:rPr>
          <w:rFonts w:hint="eastAsia" w:ascii="宋体" w:hAnsi="宋体" w:eastAsia="宋体"/>
          <w:szCs w:val="21"/>
        </w:rPr>
        <w:t>（2）应用内容</w:t>
      </w:r>
      <w:bookmarkEnd w:id="225"/>
      <w:bookmarkEnd w:id="226"/>
    </w:p>
    <w:p>
      <w:pPr>
        <w:pStyle w:val="86"/>
        <w:numPr>
          <w:ilvl w:val="0"/>
          <w:numId w:val="0"/>
        </w:numPr>
        <w:spacing w:beforeLines="0" w:afterLines="0"/>
        <w:ind w:firstLine="420" w:firstLineChars="200"/>
        <w:jc w:val="both"/>
        <w:outlineLvl w:val="9"/>
        <w:rPr>
          <w:rFonts w:ascii="宋体" w:hAnsi="宋体" w:eastAsia="宋体"/>
          <w:szCs w:val="21"/>
        </w:rPr>
      </w:pPr>
      <w:bookmarkStart w:id="227" w:name="_Toc148431800"/>
      <w:bookmarkStart w:id="228" w:name="_Toc148423138"/>
      <w:r>
        <w:rPr>
          <w:rFonts w:hint="eastAsia" w:ascii="宋体" w:hAnsi="宋体" w:eastAsia="宋体"/>
          <w:szCs w:val="21"/>
        </w:rPr>
        <w:t>对该阶段应用具体内容、组织架构、应用流程、采用可行方式或工具进行描述。应用内容应对于本要点的相关</w:t>
      </w:r>
      <w:bookmarkEnd w:id="227"/>
      <w:bookmarkEnd w:id="228"/>
    </w:p>
    <w:p>
      <w:pPr>
        <w:pStyle w:val="86"/>
        <w:numPr>
          <w:ilvl w:val="0"/>
          <w:numId w:val="0"/>
        </w:numPr>
        <w:spacing w:beforeLines="0" w:afterLines="0"/>
        <w:ind w:firstLine="420" w:firstLineChars="200"/>
        <w:jc w:val="both"/>
        <w:outlineLvl w:val="9"/>
        <w:rPr>
          <w:rFonts w:ascii="宋体" w:hAnsi="宋体" w:eastAsia="宋体"/>
          <w:szCs w:val="21"/>
        </w:rPr>
      </w:pPr>
      <w:bookmarkStart w:id="229" w:name="_Toc148423139"/>
      <w:bookmarkStart w:id="230" w:name="_Toc148431801"/>
      <w:r>
        <w:rPr>
          <w:rFonts w:hint="eastAsia" w:ascii="宋体" w:hAnsi="宋体" w:eastAsia="宋体"/>
          <w:szCs w:val="21"/>
        </w:rPr>
        <w:t>基础项和评分项。</w:t>
      </w:r>
      <w:bookmarkEnd w:id="229"/>
      <w:bookmarkEnd w:id="230"/>
    </w:p>
    <w:p>
      <w:pPr>
        <w:pStyle w:val="86"/>
        <w:numPr>
          <w:ilvl w:val="0"/>
          <w:numId w:val="0"/>
        </w:numPr>
        <w:spacing w:beforeLines="0" w:afterLines="0"/>
        <w:ind w:firstLine="420" w:firstLineChars="200"/>
        <w:jc w:val="both"/>
        <w:outlineLvl w:val="9"/>
        <w:rPr>
          <w:rFonts w:ascii="宋体" w:hAnsi="宋体" w:eastAsia="宋体"/>
          <w:szCs w:val="21"/>
        </w:rPr>
      </w:pPr>
      <w:bookmarkStart w:id="231" w:name="_Toc148431802"/>
      <w:bookmarkStart w:id="232" w:name="_Toc148423140"/>
      <w:r>
        <w:rPr>
          <w:rFonts w:hint="eastAsia" w:ascii="宋体" w:hAnsi="宋体" w:eastAsia="宋体"/>
          <w:szCs w:val="21"/>
        </w:rPr>
        <w:t>（3）应用成果</w:t>
      </w:r>
      <w:bookmarkEnd w:id="231"/>
      <w:bookmarkEnd w:id="232"/>
    </w:p>
    <w:p>
      <w:pPr>
        <w:pStyle w:val="86"/>
        <w:numPr>
          <w:ilvl w:val="0"/>
          <w:numId w:val="0"/>
        </w:numPr>
        <w:spacing w:beforeLines="0" w:afterLines="0"/>
        <w:ind w:firstLine="420" w:firstLineChars="200"/>
        <w:jc w:val="both"/>
        <w:outlineLvl w:val="9"/>
        <w:rPr>
          <w:rFonts w:ascii="宋体" w:hAnsi="宋体" w:eastAsia="宋体"/>
          <w:szCs w:val="21"/>
        </w:rPr>
      </w:pPr>
      <w:bookmarkStart w:id="233" w:name="_Toc148431803"/>
      <w:bookmarkStart w:id="234" w:name="_Toc148423141"/>
      <w:r>
        <w:rPr>
          <w:rFonts w:hint="eastAsia" w:ascii="宋体" w:hAnsi="宋体" w:eastAsia="宋体"/>
          <w:szCs w:val="21"/>
        </w:rPr>
        <w:t>对该阶段应用成果进行描述。</w:t>
      </w:r>
      <w:bookmarkEnd w:id="233"/>
      <w:bookmarkEnd w:id="234"/>
    </w:p>
    <w:p>
      <w:pPr>
        <w:pStyle w:val="86"/>
        <w:numPr>
          <w:ilvl w:val="0"/>
          <w:numId w:val="0"/>
        </w:numPr>
        <w:spacing w:beforeLines="0" w:afterLines="0"/>
        <w:ind w:firstLine="421" w:firstLineChars="200"/>
        <w:jc w:val="both"/>
        <w:outlineLvl w:val="9"/>
        <w:rPr>
          <w:rFonts w:ascii="宋体" w:hAnsi="宋体" w:eastAsia="宋体"/>
          <w:b/>
          <w:bCs/>
          <w:szCs w:val="21"/>
        </w:rPr>
      </w:pPr>
      <w:bookmarkStart w:id="235" w:name="_Toc148431804"/>
      <w:bookmarkStart w:id="236" w:name="_Toc148423142"/>
      <w:r>
        <w:rPr>
          <w:rFonts w:hint="eastAsia" w:ascii="宋体" w:hAnsi="宋体" w:eastAsia="宋体"/>
          <w:b/>
          <w:bCs/>
          <w:szCs w:val="21"/>
        </w:rPr>
        <w:t>（六）全过程数据协同策划</w:t>
      </w:r>
      <w:bookmarkEnd w:id="235"/>
      <w:bookmarkEnd w:id="236"/>
    </w:p>
    <w:p>
      <w:pPr>
        <w:pStyle w:val="86"/>
        <w:numPr>
          <w:ilvl w:val="0"/>
          <w:numId w:val="0"/>
        </w:numPr>
        <w:spacing w:beforeLines="0" w:afterLines="0"/>
        <w:ind w:firstLine="420" w:firstLineChars="200"/>
        <w:jc w:val="both"/>
        <w:outlineLvl w:val="9"/>
        <w:rPr>
          <w:rFonts w:ascii="宋体" w:hAnsi="宋体" w:eastAsia="宋体"/>
          <w:szCs w:val="21"/>
        </w:rPr>
      </w:pPr>
      <w:bookmarkStart w:id="237" w:name="_Toc148431805"/>
      <w:bookmarkStart w:id="238" w:name="_Toc148423143"/>
      <w:r>
        <w:rPr>
          <w:rFonts w:hint="eastAsia" w:ascii="宋体" w:hAnsi="宋体" w:eastAsia="宋体"/>
          <w:szCs w:val="21"/>
        </w:rPr>
        <w:t>（1）应用目标</w:t>
      </w:r>
      <w:bookmarkEnd w:id="237"/>
      <w:bookmarkEnd w:id="238"/>
    </w:p>
    <w:p>
      <w:pPr>
        <w:pStyle w:val="86"/>
        <w:numPr>
          <w:ilvl w:val="0"/>
          <w:numId w:val="0"/>
        </w:numPr>
        <w:spacing w:beforeLines="0" w:afterLines="0"/>
        <w:ind w:firstLine="420" w:firstLineChars="200"/>
        <w:jc w:val="both"/>
        <w:outlineLvl w:val="9"/>
        <w:rPr>
          <w:rFonts w:ascii="宋体" w:hAnsi="宋体" w:eastAsia="宋体"/>
          <w:szCs w:val="21"/>
        </w:rPr>
      </w:pPr>
      <w:bookmarkStart w:id="239" w:name="_Toc148423144"/>
      <w:bookmarkStart w:id="240" w:name="_Toc148431806"/>
      <w:r>
        <w:rPr>
          <w:rFonts w:hint="eastAsia" w:ascii="宋体" w:hAnsi="宋体" w:eastAsia="宋体"/>
          <w:szCs w:val="21"/>
        </w:rPr>
        <w:t>对该阶段应用目标进行描述。</w:t>
      </w:r>
      <w:bookmarkEnd w:id="239"/>
      <w:bookmarkEnd w:id="240"/>
    </w:p>
    <w:p>
      <w:pPr>
        <w:pStyle w:val="86"/>
        <w:numPr>
          <w:ilvl w:val="0"/>
          <w:numId w:val="0"/>
        </w:numPr>
        <w:spacing w:beforeLines="0" w:afterLines="0"/>
        <w:ind w:firstLine="420" w:firstLineChars="200"/>
        <w:jc w:val="both"/>
        <w:outlineLvl w:val="9"/>
        <w:rPr>
          <w:rFonts w:ascii="宋体" w:hAnsi="宋体" w:eastAsia="宋体"/>
          <w:szCs w:val="21"/>
        </w:rPr>
      </w:pPr>
      <w:bookmarkStart w:id="241" w:name="_Toc148431807"/>
      <w:bookmarkStart w:id="242" w:name="_Toc148423145"/>
      <w:r>
        <w:rPr>
          <w:rFonts w:hint="eastAsia" w:ascii="宋体" w:hAnsi="宋体" w:eastAsia="宋体"/>
          <w:szCs w:val="21"/>
        </w:rPr>
        <w:t>（2）应用内容</w:t>
      </w:r>
      <w:bookmarkEnd w:id="241"/>
      <w:bookmarkEnd w:id="242"/>
    </w:p>
    <w:p>
      <w:pPr>
        <w:pStyle w:val="86"/>
        <w:numPr>
          <w:ilvl w:val="0"/>
          <w:numId w:val="0"/>
        </w:numPr>
        <w:spacing w:beforeLines="0" w:afterLines="0"/>
        <w:ind w:firstLine="420" w:firstLineChars="200"/>
        <w:jc w:val="both"/>
        <w:outlineLvl w:val="9"/>
        <w:rPr>
          <w:rFonts w:ascii="宋体" w:hAnsi="宋体" w:eastAsia="宋体"/>
          <w:szCs w:val="21"/>
        </w:rPr>
      </w:pPr>
      <w:bookmarkStart w:id="243" w:name="_Toc148423146"/>
      <w:bookmarkStart w:id="244" w:name="_Toc148431808"/>
      <w:r>
        <w:rPr>
          <w:rFonts w:hint="eastAsia" w:ascii="宋体" w:hAnsi="宋体" w:eastAsia="宋体"/>
          <w:szCs w:val="21"/>
        </w:rPr>
        <w:t>对该阶段应用具体内容、组织架构、应用流程、采用可行方式或工具进行描述。应用内容应对于本要点的相关</w:t>
      </w:r>
      <w:bookmarkEnd w:id="243"/>
      <w:bookmarkEnd w:id="244"/>
    </w:p>
    <w:p>
      <w:pPr>
        <w:pStyle w:val="86"/>
        <w:numPr>
          <w:ilvl w:val="0"/>
          <w:numId w:val="0"/>
        </w:numPr>
        <w:spacing w:beforeLines="0" w:afterLines="0"/>
        <w:ind w:firstLine="420" w:firstLineChars="200"/>
        <w:jc w:val="both"/>
        <w:outlineLvl w:val="9"/>
        <w:rPr>
          <w:rFonts w:ascii="宋体" w:hAnsi="宋体" w:eastAsia="宋体"/>
          <w:szCs w:val="21"/>
        </w:rPr>
      </w:pPr>
      <w:bookmarkStart w:id="245" w:name="_Toc148431809"/>
      <w:bookmarkStart w:id="246" w:name="_Toc148423147"/>
      <w:r>
        <w:rPr>
          <w:rFonts w:hint="eastAsia" w:ascii="宋体" w:hAnsi="宋体" w:eastAsia="宋体"/>
          <w:szCs w:val="21"/>
        </w:rPr>
        <w:t>基础项和评分项。</w:t>
      </w:r>
      <w:bookmarkEnd w:id="245"/>
      <w:bookmarkEnd w:id="246"/>
    </w:p>
    <w:p>
      <w:pPr>
        <w:pStyle w:val="86"/>
        <w:numPr>
          <w:ilvl w:val="0"/>
          <w:numId w:val="0"/>
        </w:numPr>
        <w:spacing w:beforeLines="0" w:afterLines="0"/>
        <w:ind w:firstLine="420" w:firstLineChars="200"/>
        <w:jc w:val="both"/>
        <w:outlineLvl w:val="9"/>
        <w:rPr>
          <w:rFonts w:ascii="宋体" w:hAnsi="宋体" w:eastAsia="宋体"/>
          <w:szCs w:val="21"/>
        </w:rPr>
      </w:pPr>
      <w:bookmarkStart w:id="247" w:name="_Toc148431810"/>
      <w:bookmarkStart w:id="248" w:name="_Toc148423148"/>
      <w:r>
        <w:rPr>
          <w:rFonts w:hint="eastAsia" w:ascii="宋体" w:hAnsi="宋体" w:eastAsia="宋体"/>
          <w:szCs w:val="21"/>
        </w:rPr>
        <w:t>（3）应用成果</w:t>
      </w:r>
      <w:bookmarkEnd w:id="247"/>
      <w:bookmarkEnd w:id="248"/>
    </w:p>
    <w:p>
      <w:pPr>
        <w:pStyle w:val="86"/>
        <w:numPr>
          <w:ilvl w:val="0"/>
          <w:numId w:val="0"/>
        </w:numPr>
        <w:spacing w:beforeLines="0" w:afterLines="0"/>
        <w:ind w:firstLine="420" w:firstLineChars="200"/>
        <w:jc w:val="both"/>
        <w:outlineLvl w:val="9"/>
        <w:rPr>
          <w:rFonts w:ascii="宋体" w:hAnsi="宋体" w:eastAsia="宋体"/>
          <w:szCs w:val="21"/>
        </w:rPr>
      </w:pPr>
      <w:bookmarkStart w:id="249" w:name="_Toc148423149"/>
      <w:bookmarkStart w:id="250" w:name="_Toc148431811"/>
      <w:r>
        <w:rPr>
          <w:rFonts w:hint="eastAsia" w:ascii="宋体" w:hAnsi="宋体" w:eastAsia="宋体"/>
          <w:szCs w:val="21"/>
        </w:rPr>
        <w:t>对该阶段应用成果进行描述。</w:t>
      </w:r>
      <w:bookmarkEnd w:id="86"/>
      <w:bookmarkEnd w:id="249"/>
      <w:bookmarkEnd w:id="250"/>
    </w:p>
    <w:sectPr>
      <w:headerReference r:id="rId23" w:type="default"/>
      <w:footerReference r:id="rId25" w:type="default"/>
      <w:headerReference r:id="rId24" w:type="even"/>
      <w:footerReference r:id="rId26" w:type="even"/>
      <w:pgSz w:w="11906" w:h="16838"/>
      <w:pgMar w:top="2409" w:right="1134" w:bottom="1134" w:left="1134" w:header="1418" w:footer="1134" w:gutter="284"/>
      <w:cols w:space="0"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Cambria">
    <w:altName w:val="Noto Sans Syriac Eastern"/>
    <w:panose1 w:val="02040503050406030204"/>
    <w:charset w:val="00"/>
    <w:family w:val="roman"/>
    <w:pitch w:val="default"/>
    <w:sig w:usb0="00000000" w:usb1="00000000" w:usb2="02000000" w:usb3="00000000" w:csb0="2000019F" w:csb1="00000000"/>
  </w:font>
  <w:font w:name="微软雅黑">
    <w:altName w:val="黑体"/>
    <w:panose1 w:val="020B0503020204020204"/>
    <w:charset w:val="86"/>
    <w:family w:val="swiss"/>
    <w:pitch w:val="default"/>
    <w:sig w:usb0="00000000" w:usb1="00000000" w:usb2="00000016" w:usb3="00000000" w:csb0="0004001F" w:csb1="00000000"/>
  </w:font>
  <w:font w:name="Calibri Light">
    <w:altName w:val="DejaVu Sans"/>
    <w:panose1 w:val="020F0302020204030204"/>
    <w:charset w:val="00"/>
    <w:family w:val="swiss"/>
    <w:pitch w:val="default"/>
    <w:sig w:usb0="00000000" w:usb1="00000000" w:usb2="00000009" w:usb3="00000000" w:csb0="000001FF" w:csb1="00000000"/>
  </w:font>
  <w:font w:name="Cambria Math">
    <w:altName w:val="DejaVu Math TeX Gyre"/>
    <w:panose1 w:val="02040503050406030204"/>
    <w:charset w:val="00"/>
    <w:family w:val="roman"/>
    <w:pitch w:val="default"/>
    <w:sig w:usb0="00000000" w:usb1="00000000" w:usb2="02000000" w:usb3="00000000" w:csb0="0000019F" w:csb1="00000000"/>
  </w:font>
  <w:font w:name="Wingdings 2">
    <w:panose1 w:val="05020102010507070707"/>
    <w:charset w:val="02"/>
    <w:family w:val="roman"/>
    <w:pitch w:val="default"/>
    <w:sig w:usb0="00000000" w:usb1="00000000" w:usb2="00000000" w:usb3="00000000" w:csb0="80000000" w:csb1="00000000"/>
  </w:font>
  <w:font w:name="TimesNewRomanPSMT">
    <w:altName w:val="DejaVu Sans"/>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PAGE   \* MERGEFORMAT</w:instrText>
    </w:r>
    <w:r>
      <w:fldChar w:fldCharType="separate"/>
    </w:r>
    <w:r>
      <w:rPr>
        <w:lang w:val="zh-CN"/>
      </w:rPr>
      <w:t>53</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PAGE   \* MERGEFORMAT \* MERGEFORMAT </w:instrText>
    </w:r>
    <w:r>
      <w:fldChar w:fldCharType="separate"/>
    </w:r>
    <w:r>
      <w:t>52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PAGE   \* MERGEFORMAT</w:instrText>
    </w:r>
    <w:r>
      <w:fldChar w:fldCharType="separate"/>
    </w:r>
    <w:r>
      <w:rPr>
        <w:lang w:val="zh-CN"/>
      </w:rP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PAGE   \* MERGEFORMAT</w:instrText>
    </w:r>
    <w:r>
      <w:fldChar w:fldCharType="separate"/>
    </w:r>
    <w:r>
      <w:rPr>
        <w:lang w:val="zh-CN"/>
      </w:rPr>
      <w:t>19</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PAGE   \* MERGEFORMAT \* MERGEFORMAT </w:instrText>
    </w:r>
    <w:r>
      <w:fldChar w:fldCharType="separate"/>
    </w:r>
    <w: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rPr>
        <w:rFonts w:ascii="Times New Roman" w:hAnsi="Times New Roman"/>
      </w:rPr>
    </w:pPr>
    <w:r>
      <w:fldChar w:fldCharType="begin"/>
    </w:r>
    <w:r>
      <w:instrText xml:space="preserve"> STYLEREF  标准文件_文件编号  \* MERGEFORMAT </w:instrText>
    </w:r>
    <w:r>
      <w:fldChar w:fldCharType="separate"/>
    </w:r>
    <w:r>
      <w:t>DB42/T xxxx—xxxx</w:t>
    </w:r>
    <w:r>
      <w:rPr>
        <w:rFonts w:ascii="Times New Roman" w:hAnsi="Times New Roman"/>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2"/>
    </w:pPr>
    <w:r>
      <w:fldChar w:fldCharType="begin"/>
    </w:r>
    <w:r>
      <w:instrText xml:space="preserve"> STYLEREF  标准文件_文件编号 \* MERGEFORMAT </w:instrText>
    </w:r>
    <w:r>
      <w:fldChar w:fldCharType="separate"/>
    </w:r>
    <w:r>
      <w:t>DB42/T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pPr>
    <w:r>
      <w:fldChar w:fldCharType="begin"/>
    </w:r>
    <w:r>
      <w:instrText xml:space="preserve"> STYLEREF  标准文件_文件编号  \* MERGEFORMAT </w:instrText>
    </w:r>
    <w:r>
      <w:fldChar w:fldCharType="separate"/>
    </w:r>
    <w:r>
      <w:t>DB42/T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2"/>
    </w:pPr>
    <w:r>
      <w:fldChar w:fldCharType="begin"/>
    </w:r>
    <w:r>
      <w:instrText xml:space="preserve"> STYLEREF  标准文件_文件编号 \* MERGEFORMAT </w:instrText>
    </w:r>
    <w:r>
      <w:fldChar w:fldCharType="separate"/>
    </w:r>
    <w:r>
      <w:t>DB42/T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pPr>
    <w:r>
      <w:fldChar w:fldCharType="begin"/>
    </w:r>
    <w:r>
      <w:instrText xml:space="preserve"> STYLEREF  标准文件_文件编号  \* MERGEFORMAT </w:instrText>
    </w:r>
    <w:r>
      <w:fldChar w:fldCharType="separate"/>
    </w:r>
    <w:r>
      <w:t>DB42/T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2"/>
    </w:pPr>
    <w:r>
      <w:fldChar w:fldCharType="begin"/>
    </w:r>
    <w:r>
      <w:instrText xml:space="preserve"> STYLEREF  标准文件_文件编号 \* MERGEFORMAT </w:instrText>
    </w:r>
    <w:r>
      <w:fldChar w:fldCharType="separate"/>
    </w:r>
    <w:r>
      <w:t>DB42/T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rPr>
        <w:rFonts w:ascii="Times New Roman" w:hAnsi="Times New Roman"/>
      </w:rPr>
    </w:pPr>
    <w:r>
      <w:fldChar w:fldCharType="begin"/>
    </w:r>
    <w:r>
      <w:instrText xml:space="preserve"> STYLEREF  标准文件_文件编号  \* MERGEFORMAT </w:instrText>
    </w:r>
    <w:r>
      <w:fldChar w:fldCharType="separate"/>
    </w:r>
    <w:r>
      <w:t>DB42/T xxxx—xxxx</w:t>
    </w:r>
    <w:r>
      <w:rPr>
        <w:rFonts w:ascii="Times New Roman" w:hAnsi="Times New Roman"/>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2"/>
    </w:pPr>
    <w:r>
      <w:fldChar w:fldCharType="begin"/>
    </w:r>
    <w:r>
      <w:instrText xml:space="preserve"> STYLEREF  标准文件_文件编号 \* MERGEFORMAT </w:instrText>
    </w:r>
    <w:r>
      <w:fldChar w:fldCharType="separate"/>
    </w:r>
    <w:r>
      <w:t>DB42/T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9"/>
      <w:suff w:val="nothing"/>
      <w:lvlText w:val="%1%2.%3　"/>
      <w:lvlJc w:val="left"/>
      <w:pPr>
        <w:ind w:left="0" w:firstLine="0"/>
      </w:pPr>
    </w:lvl>
    <w:lvl w:ilvl="3" w:tentative="0">
      <w:start w:val="1"/>
      <w:numFmt w:val="decimal"/>
      <w:pStyle w:val="128"/>
      <w:suff w:val="nothing"/>
      <w:lvlText w:val="%1%2.%3.%4　"/>
      <w:lvlJc w:val="left"/>
      <w:pPr>
        <w:ind w:left="0" w:firstLine="0"/>
      </w:pPr>
    </w:lvl>
    <w:lvl w:ilvl="4" w:tentative="0">
      <w:start w:val="1"/>
      <w:numFmt w:val="decimal"/>
      <w:pStyle w:val="163"/>
      <w:suff w:val="nothing"/>
      <w:lvlText w:val="%1%2.%3.%4.%5　"/>
      <w:lvlJc w:val="left"/>
      <w:pPr>
        <w:ind w:left="0" w:firstLine="0"/>
      </w:pPr>
    </w:lvl>
    <w:lvl w:ilvl="5" w:tentative="0">
      <w:start w:val="1"/>
      <w:numFmt w:val="decimal"/>
      <w:pStyle w:val="165"/>
      <w:suff w:val="nothing"/>
      <w:lvlText w:val="%1%2.%3.%4.%5.%6　"/>
      <w:lvlJc w:val="left"/>
      <w:pPr>
        <w:ind w:left="0" w:firstLine="0"/>
      </w:pPr>
    </w:lvl>
    <w:lvl w:ilvl="6" w:tentative="0">
      <w:start w:val="1"/>
      <w:numFmt w:val="decimal"/>
      <w:pStyle w:val="16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9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9"/>
      <w:lvlText w:val="%1"/>
      <w:lvlJc w:val="left"/>
      <w:pPr>
        <w:ind w:left="425" w:hanging="425"/>
      </w:pPr>
      <w:rPr>
        <w:rFonts w:hint="eastAsia"/>
      </w:rPr>
    </w:lvl>
    <w:lvl w:ilvl="1" w:tentative="0">
      <w:start w:val="1"/>
      <w:numFmt w:val="decimal"/>
      <w:pStyle w:val="210"/>
      <w:suff w:val="nothing"/>
      <w:lvlText w:val="%10.%2 "/>
      <w:lvlJc w:val="left"/>
      <w:pPr>
        <w:ind w:left="0" w:firstLine="0"/>
      </w:pPr>
      <w:rPr>
        <w:rFonts w:hint="eastAsia" w:ascii="黑体" w:eastAsia="黑体" w:hAnsiTheme="minorHAnsi"/>
        <w:b w:val="0"/>
        <w:i w:val="0"/>
        <w:sz w:val="21"/>
      </w:rPr>
    </w:lvl>
    <w:lvl w:ilvl="2" w:tentative="0">
      <w:start w:val="1"/>
      <w:numFmt w:val="decimal"/>
      <w:pStyle w:val="211"/>
      <w:suff w:val="nothing"/>
      <w:lvlText w:val="%10.%2.%3 "/>
      <w:lvlJc w:val="left"/>
      <w:pPr>
        <w:ind w:left="0" w:firstLine="0"/>
      </w:pPr>
      <w:rPr>
        <w:rFonts w:hint="eastAsia" w:ascii="黑体" w:eastAsia="黑体" w:hAnsiTheme="minorHAnsi"/>
        <w:b w:val="0"/>
        <w:i w:val="0"/>
        <w:sz w:val="21"/>
      </w:rPr>
    </w:lvl>
    <w:lvl w:ilvl="3" w:tentative="0">
      <w:start w:val="1"/>
      <w:numFmt w:val="decimal"/>
      <w:pStyle w:val="212"/>
      <w:suff w:val="nothing"/>
      <w:lvlText w:val="%10.%2.%3.%4 "/>
      <w:lvlJc w:val="left"/>
      <w:pPr>
        <w:ind w:left="0" w:firstLine="0"/>
      </w:pPr>
      <w:rPr>
        <w:rFonts w:hint="eastAsia" w:ascii="黑体" w:eastAsia="黑体" w:hAnsiTheme="minorHAnsi"/>
        <w:b w:val="0"/>
        <w:i w:val="0"/>
        <w:sz w:val="21"/>
      </w:rPr>
    </w:lvl>
    <w:lvl w:ilvl="4" w:tentative="0">
      <w:start w:val="1"/>
      <w:numFmt w:val="decimal"/>
      <w:pStyle w:val="213"/>
      <w:suff w:val="nothing"/>
      <w:lvlText w:val="%10.%2.%3.%4.%5 "/>
      <w:lvlJc w:val="left"/>
      <w:pPr>
        <w:ind w:left="0" w:firstLine="0"/>
      </w:pPr>
      <w:rPr>
        <w:rFonts w:hint="eastAsia" w:ascii="黑体" w:eastAsia="黑体" w:hAnsiTheme="minorHAnsi"/>
        <w:b w:val="0"/>
        <w:i w:val="0"/>
        <w:sz w:val="21"/>
      </w:rPr>
    </w:lvl>
    <w:lvl w:ilvl="5" w:tentative="0">
      <w:start w:val="1"/>
      <w:numFmt w:val="decimal"/>
      <w:pStyle w:val="21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9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2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10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42"/>
      <w:lvlText w:val="%1——"/>
      <w:lvlJc w:val="left"/>
      <w:pPr>
        <w:tabs>
          <w:tab w:val="left" w:pos="851"/>
        </w:tabs>
        <w:ind w:left="851" w:hanging="426"/>
      </w:pPr>
      <w:rPr>
        <w:rFonts w:hint="default" w:ascii="Times New Roman" w:hAnsi="Times New Roman" w:eastAsia="宋体" w:cs="Times New Roman"/>
        <w:b w:val="0"/>
        <w:i w:val="0"/>
        <w:sz w:val="21"/>
      </w:rPr>
    </w:lvl>
    <w:lvl w:ilvl="1" w:tentative="0">
      <w:start w:val="1"/>
      <w:numFmt w:val="none"/>
      <w:pStyle w:val="197"/>
      <w:lvlText w:val=""/>
      <w:lvlJc w:val="left"/>
      <w:pPr>
        <w:ind w:left="851" w:hanging="431"/>
      </w:pPr>
      <w:rPr>
        <w:rFonts w:hint="default" w:ascii="Symbol" w:hAnsi="Symbol"/>
        <w:sz w:val="21"/>
      </w:rPr>
    </w:lvl>
    <w:lvl w:ilvl="2" w:tentative="0">
      <w:start w:val="1"/>
      <w:numFmt w:val="bullet"/>
      <w:pStyle w:val="18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1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84"/>
      <w:lvlText w:val="%1)"/>
      <w:lvlJc w:val="left"/>
      <w:pPr>
        <w:tabs>
          <w:tab w:val="left" w:pos="852"/>
        </w:tabs>
        <w:ind w:left="852" w:hanging="426"/>
      </w:pPr>
      <w:rPr>
        <w:rFonts w:hint="eastAsia" w:ascii="宋体" w:hAnsi="Times New Roman" w:eastAsia="宋体"/>
        <w:b w:val="0"/>
        <w:sz w:val="21"/>
        <w:szCs w:val="21"/>
      </w:rPr>
    </w:lvl>
    <w:lvl w:ilvl="1" w:tentative="0">
      <w:start w:val="1"/>
      <w:numFmt w:val="decimal"/>
      <w:pStyle w:val="119"/>
      <w:lvlText w:val="%2)"/>
      <w:lvlJc w:val="left"/>
      <w:pPr>
        <w:tabs>
          <w:tab w:val="left" w:pos="1276"/>
        </w:tabs>
        <w:ind w:left="1276" w:hanging="425"/>
      </w:pPr>
      <w:rPr>
        <w:rFonts w:hint="eastAsia" w:ascii="宋体" w:hAnsi="Times New Roman" w:eastAsia="宋体"/>
        <w:sz w:val="21"/>
      </w:rPr>
    </w:lvl>
    <w:lvl w:ilvl="2" w:tentative="0">
      <w:start w:val="1"/>
      <w:numFmt w:val="decimal"/>
      <w:pStyle w:val="12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8"/>
      <w:lvlText w:val="%1"/>
      <w:lvlJc w:val="left"/>
      <w:pPr>
        <w:ind w:left="420" w:hanging="420"/>
      </w:pPr>
      <w:rPr>
        <w:rFonts w:hint="eastAsia"/>
      </w:rPr>
    </w:lvl>
    <w:lvl w:ilvl="1" w:tentative="0">
      <w:start w:val="1"/>
      <w:numFmt w:val="decimal"/>
      <w:pStyle w:val="9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9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10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2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9"/>
      <w:suff w:val="space"/>
      <w:lvlText w:val="%1"/>
      <w:lvlJc w:val="left"/>
      <w:pPr>
        <w:ind w:left="425" w:hanging="425"/>
      </w:pPr>
      <w:rPr>
        <w:rFonts w:hint="eastAsia"/>
      </w:rPr>
    </w:lvl>
    <w:lvl w:ilvl="1" w:tentative="0">
      <w:start w:val="1"/>
      <w:numFmt w:val="decimal"/>
      <w:pStyle w:val="87"/>
      <w:suff w:val="space"/>
      <w:lvlText w:val="表%1.%2"/>
      <w:lvlJc w:val="center"/>
      <w:pPr>
        <w:ind w:left="4112" w:firstLine="0"/>
      </w:pPr>
      <w:rPr>
        <w:rFonts w:hint="eastAsia" w:ascii="黑体" w:eastAsia="黑体"/>
        <w:i w:val="0"/>
        <w:color w:val="auto"/>
        <w:sz w:val="21"/>
        <w:vertAlign w:val="baseline"/>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2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22"/>
      <w:suff w:val="nothing"/>
      <w:lvlText w:val="表%1　"/>
      <w:lvlJc w:val="left"/>
      <w:pPr>
        <w:ind w:left="2268" w:firstLine="0"/>
      </w:pPr>
      <w:rPr>
        <w:sz w:val="21"/>
        <w:szCs w:val="21"/>
        <w:lang w:eastAsia="zh-CN"/>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6"/>
      <w:suff w:val="nothing"/>
      <w:lvlText w:val="附录%1"/>
      <w:lvlJc w:val="left"/>
      <w:pPr>
        <w:ind w:left="0" w:firstLine="0"/>
      </w:pPr>
      <w:rPr>
        <w:rFonts w:hint="eastAsia"/>
        <w:spacing w:val="100"/>
      </w:rPr>
    </w:lvl>
    <w:lvl w:ilvl="1" w:tentative="0">
      <w:start w:val="1"/>
      <w:numFmt w:val="decimal"/>
      <w:pStyle w:val="88"/>
      <w:suff w:val="nothing"/>
      <w:lvlText w:val="%1.%2　"/>
      <w:lvlJc w:val="left"/>
      <w:pPr>
        <w:ind w:left="568" w:firstLine="0"/>
      </w:pPr>
      <w:rPr>
        <w:rFonts w:hint="eastAsia" w:ascii="黑体" w:eastAsia="黑体"/>
        <w:b w:val="0"/>
        <w:i w:val="0"/>
        <w:color w:val="auto"/>
        <w:sz w:val="21"/>
      </w:rPr>
    </w:lvl>
    <w:lvl w:ilvl="2" w:tentative="0">
      <w:start w:val="1"/>
      <w:numFmt w:val="decimal"/>
      <w:pStyle w:val="89"/>
      <w:suff w:val="nothing"/>
      <w:lvlText w:val="%1.%2.%3　"/>
      <w:lvlJc w:val="left"/>
      <w:pPr>
        <w:ind w:left="0" w:firstLine="0"/>
      </w:pPr>
      <w:rPr>
        <w:rFonts w:hint="eastAsia" w:ascii="黑体" w:eastAsia="黑体"/>
        <w:b w:val="0"/>
        <w:i w:val="0"/>
        <w:sz w:val="21"/>
      </w:rPr>
    </w:lvl>
    <w:lvl w:ilvl="3" w:tentative="0">
      <w:start w:val="1"/>
      <w:numFmt w:val="decimal"/>
      <w:pStyle w:val="91"/>
      <w:suff w:val="nothing"/>
      <w:lvlText w:val="%1.%2.%3.%4　"/>
      <w:lvlJc w:val="left"/>
      <w:pPr>
        <w:ind w:left="0" w:firstLine="0"/>
      </w:pPr>
      <w:rPr>
        <w:rFonts w:hint="eastAsia" w:ascii="黑体" w:eastAsia="黑体"/>
        <w:b w:val="0"/>
        <w:i w:val="0"/>
        <w:sz w:val="21"/>
      </w:rPr>
    </w:lvl>
    <w:lvl w:ilvl="4" w:tentative="0">
      <w:start w:val="1"/>
      <w:numFmt w:val="decimal"/>
      <w:pStyle w:val="92"/>
      <w:suff w:val="nothing"/>
      <w:lvlText w:val="%1.%2.%3.%4.%5　"/>
      <w:lvlJc w:val="left"/>
      <w:pPr>
        <w:ind w:left="0" w:firstLine="0"/>
      </w:pPr>
      <w:rPr>
        <w:rFonts w:hint="eastAsia" w:ascii="黑体" w:eastAsia="黑体"/>
        <w:b w:val="0"/>
        <w:i w:val="0"/>
        <w:sz w:val="21"/>
      </w:rPr>
    </w:lvl>
    <w:lvl w:ilvl="5" w:tentative="0">
      <w:start w:val="1"/>
      <w:numFmt w:val="decimal"/>
      <w:pStyle w:val="9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8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62"/>
      <w:suff w:val="nothing"/>
      <w:lvlText w:val="%1"/>
      <w:lvlJc w:val="left"/>
      <w:pPr>
        <w:ind w:left="0" w:firstLine="0"/>
      </w:pPr>
      <w:rPr>
        <w:rFonts w:hint="eastAsia"/>
      </w:rPr>
    </w:lvl>
    <w:lvl w:ilvl="1" w:tentative="0">
      <w:start w:val="1"/>
      <w:numFmt w:val="decimal"/>
      <w:pStyle w:val="114"/>
      <w:suff w:val="nothing"/>
      <w:lvlText w:val="%1%2　"/>
      <w:lvlJc w:val="left"/>
      <w:pPr>
        <w:ind w:left="0" w:firstLine="0"/>
      </w:pPr>
      <w:rPr>
        <w:rFonts w:hint="eastAsia" w:ascii="黑体" w:eastAsia="黑体"/>
        <w:b w:val="0"/>
        <w:i w:val="0"/>
        <w:sz w:val="21"/>
      </w:rPr>
    </w:lvl>
    <w:lvl w:ilvl="2" w:tentative="0">
      <w:start w:val="1"/>
      <w:numFmt w:val="decimal"/>
      <w:pStyle w:val="115"/>
      <w:suff w:val="nothing"/>
      <w:lvlText w:val="%1%2.%3　"/>
      <w:lvlJc w:val="left"/>
      <w:pPr>
        <w:ind w:left="142"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5"/>
      <w:suff w:val="nothing"/>
      <w:lvlText w:val="%1%2.%3.%4　"/>
      <w:lvlJc w:val="left"/>
      <w:pPr>
        <w:ind w:left="1701" w:firstLine="0"/>
      </w:pPr>
      <w:rPr>
        <w:rFonts w:hint="eastAsia" w:ascii="黑体" w:eastAsia="黑体"/>
        <w:b w:val="0"/>
        <w:i w:val="0"/>
        <w:sz w:val="21"/>
      </w:rPr>
    </w:lvl>
    <w:lvl w:ilvl="4" w:tentative="0">
      <w:start w:val="1"/>
      <w:numFmt w:val="decimal"/>
      <w:pStyle w:val="104"/>
      <w:suff w:val="nothing"/>
      <w:lvlText w:val="%1%2.%3.%4.%5　"/>
      <w:lvlJc w:val="left"/>
      <w:pPr>
        <w:ind w:left="0" w:firstLine="0"/>
      </w:pPr>
      <w:rPr>
        <w:rFonts w:hint="eastAsia" w:ascii="黑体" w:eastAsia="黑体"/>
        <w:b w:val="0"/>
        <w:i w:val="0"/>
        <w:sz w:val="21"/>
      </w:rPr>
    </w:lvl>
    <w:lvl w:ilvl="5" w:tentative="0">
      <w:start w:val="1"/>
      <w:numFmt w:val="decimal"/>
      <w:pStyle w:val="108"/>
      <w:suff w:val="nothing"/>
      <w:lvlText w:val="%1%2.%3.%4.%5.%6　"/>
      <w:lvlJc w:val="left"/>
      <w:pPr>
        <w:ind w:left="0" w:firstLine="0"/>
      </w:pPr>
      <w:rPr>
        <w:rFonts w:hint="eastAsia" w:ascii="黑体" w:eastAsia="黑体"/>
        <w:b w:val="0"/>
        <w:i w:val="0"/>
        <w:sz w:val="21"/>
      </w:rPr>
    </w:lvl>
    <w:lvl w:ilvl="6" w:tentative="0">
      <w:start w:val="1"/>
      <w:numFmt w:val="decimal"/>
      <w:pStyle w:val="11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F35F19"/>
    <w:multiLevelType w:val="multilevel"/>
    <w:tmpl w:val="6DF35F19"/>
    <w:lvl w:ilvl="0" w:tentative="0">
      <w:start w:val="1"/>
      <w:numFmt w:val="decimal"/>
      <w:pStyle w:val="12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9">
    <w:nsid w:val="76933334"/>
    <w:multiLevelType w:val="multilevel"/>
    <w:tmpl w:val="76933334"/>
    <w:lvl w:ilvl="0" w:tentative="0">
      <w:start w:val="1"/>
      <w:numFmt w:val="none"/>
      <w:pStyle w:val="14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8"/>
  </w:num>
  <w:num w:numId="19">
    <w:abstractNumId w:val="15"/>
  </w:num>
  <w:num w:numId="20">
    <w:abstractNumId w:val="1"/>
  </w:num>
  <w:num w:numId="21">
    <w:abstractNumId w:val="10"/>
  </w:num>
  <w:num w:numId="22">
    <w:abstractNumId w:val="29"/>
  </w:num>
  <w:num w:numId="23">
    <w:abstractNumId w:val="20"/>
  </w:num>
  <w:num w:numId="24">
    <w:abstractNumId w:val="6"/>
  </w:num>
  <w:num w:numId="25">
    <w:abstractNumId w:val="26"/>
  </w:num>
  <w:num w:numId="26">
    <w:abstractNumId w:val="2"/>
  </w:num>
  <w:num w:numId="27">
    <w:abstractNumId w:val="4"/>
  </w:num>
  <w:num w:numId="28">
    <w:abstractNumId w:val="14"/>
  </w:num>
  <w:num w:numId="29">
    <w:abstractNumId w:val="24"/>
  </w:num>
  <w:num w:numId="30">
    <w:abstractNumId w:val="2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hideSpellingErrors/>
  <w:documentProtection w:edit="forms" w:enforcement="0"/>
  <w:defaultTabStop w:val="420"/>
  <w:evenAndOddHeaders w:val="true"/>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0NzY4NWU5MTEyNzQzZWFkMmQxNzk2MWJkMGQ4NmIifQ=="/>
    <w:docVar w:name="KSO_WPS_MARK_KEY" w:val="5f70c58b-5dd0-4ca5-906f-9a7319291f59"/>
  </w:docVars>
  <w:rsids>
    <w:rsidRoot w:val="00172A27"/>
    <w:rsid w:val="0000040A"/>
    <w:rsid w:val="00000A94"/>
    <w:rsid w:val="000012BE"/>
    <w:rsid w:val="00001972"/>
    <w:rsid w:val="00001D9A"/>
    <w:rsid w:val="000041B7"/>
    <w:rsid w:val="00004323"/>
    <w:rsid w:val="0000527F"/>
    <w:rsid w:val="000061BD"/>
    <w:rsid w:val="0000737A"/>
    <w:rsid w:val="00007B3A"/>
    <w:rsid w:val="000107E0"/>
    <w:rsid w:val="00011FDE"/>
    <w:rsid w:val="00012FFD"/>
    <w:rsid w:val="00013F47"/>
    <w:rsid w:val="00014162"/>
    <w:rsid w:val="00014340"/>
    <w:rsid w:val="000146C4"/>
    <w:rsid w:val="000148F2"/>
    <w:rsid w:val="0001496D"/>
    <w:rsid w:val="0001635E"/>
    <w:rsid w:val="0001649F"/>
    <w:rsid w:val="0001674F"/>
    <w:rsid w:val="00016A9C"/>
    <w:rsid w:val="00017392"/>
    <w:rsid w:val="00022184"/>
    <w:rsid w:val="00022762"/>
    <w:rsid w:val="00022AB4"/>
    <w:rsid w:val="000238E0"/>
    <w:rsid w:val="000243D2"/>
    <w:rsid w:val="000248D8"/>
    <w:rsid w:val="000249DB"/>
    <w:rsid w:val="00025434"/>
    <w:rsid w:val="0002566E"/>
    <w:rsid w:val="0002595E"/>
    <w:rsid w:val="00025B5A"/>
    <w:rsid w:val="0002718A"/>
    <w:rsid w:val="000303C3"/>
    <w:rsid w:val="000304DA"/>
    <w:rsid w:val="0003071B"/>
    <w:rsid w:val="000310DC"/>
    <w:rsid w:val="00031868"/>
    <w:rsid w:val="0003264A"/>
    <w:rsid w:val="000327FA"/>
    <w:rsid w:val="000331D3"/>
    <w:rsid w:val="000346A5"/>
    <w:rsid w:val="00035156"/>
    <w:rsid w:val="00035651"/>
    <w:rsid w:val="000359C3"/>
    <w:rsid w:val="00035A7D"/>
    <w:rsid w:val="00035F94"/>
    <w:rsid w:val="000365ED"/>
    <w:rsid w:val="0003711A"/>
    <w:rsid w:val="000379EA"/>
    <w:rsid w:val="00040D2B"/>
    <w:rsid w:val="0004249A"/>
    <w:rsid w:val="000425CF"/>
    <w:rsid w:val="00042A49"/>
    <w:rsid w:val="00043282"/>
    <w:rsid w:val="00044286"/>
    <w:rsid w:val="0004616F"/>
    <w:rsid w:val="00047F28"/>
    <w:rsid w:val="000503AA"/>
    <w:rsid w:val="000506A1"/>
    <w:rsid w:val="00051261"/>
    <w:rsid w:val="000515DD"/>
    <w:rsid w:val="00051790"/>
    <w:rsid w:val="000520FE"/>
    <w:rsid w:val="0005265A"/>
    <w:rsid w:val="000539DD"/>
    <w:rsid w:val="00053BD3"/>
    <w:rsid w:val="000556ED"/>
    <w:rsid w:val="00055937"/>
    <w:rsid w:val="00055DD2"/>
    <w:rsid w:val="00055FE2"/>
    <w:rsid w:val="0005616F"/>
    <w:rsid w:val="00056DB3"/>
    <w:rsid w:val="00056DF7"/>
    <w:rsid w:val="00060C2E"/>
    <w:rsid w:val="00061033"/>
    <w:rsid w:val="000619E9"/>
    <w:rsid w:val="000622D4"/>
    <w:rsid w:val="0006357D"/>
    <w:rsid w:val="00064545"/>
    <w:rsid w:val="00065988"/>
    <w:rsid w:val="00065E7F"/>
    <w:rsid w:val="00067F1E"/>
    <w:rsid w:val="0007026E"/>
    <w:rsid w:val="000703DB"/>
    <w:rsid w:val="00070460"/>
    <w:rsid w:val="00071CC0"/>
    <w:rsid w:val="00073C8C"/>
    <w:rsid w:val="000771B7"/>
    <w:rsid w:val="000778BE"/>
    <w:rsid w:val="00077B64"/>
    <w:rsid w:val="000802B3"/>
    <w:rsid w:val="00080A1C"/>
    <w:rsid w:val="00080DA5"/>
    <w:rsid w:val="00082317"/>
    <w:rsid w:val="000832B2"/>
    <w:rsid w:val="00083390"/>
    <w:rsid w:val="000839BF"/>
    <w:rsid w:val="00083D2C"/>
    <w:rsid w:val="00084A5E"/>
    <w:rsid w:val="00086AA1"/>
    <w:rsid w:val="00086C5F"/>
    <w:rsid w:val="000871F8"/>
    <w:rsid w:val="00087A77"/>
    <w:rsid w:val="0009042B"/>
    <w:rsid w:val="0009084E"/>
    <w:rsid w:val="00090CA6"/>
    <w:rsid w:val="00090D60"/>
    <w:rsid w:val="00091ADA"/>
    <w:rsid w:val="00091CFA"/>
    <w:rsid w:val="00092A0C"/>
    <w:rsid w:val="00092B8A"/>
    <w:rsid w:val="00092FB0"/>
    <w:rsid w:val="000934C5"/>
    <w:rsid w:val="00093CEE"/>
    <w:rsid w:val="00093D25"/>
    <w:rsid w:val="00093DAB"/>
    <w:rsid w:val="00093E5E"/>
    <w:rsid w:val="00094D73"/>
    <w:rsid w:val="000961DC"/>
    <w:rsid w:val="0009670E"/>
    <w:rsid w:val="00096D63"/>
    <w:rsid w:val="000971E3"/>
    <w:rsid w:val="000A0160"/>
    <w:rsid w:val="000A0B60"/>
    <w:rsid w:val="000A0EB8"/>
    <w:rsid w:val="000A14C0"/>
    <w:rsid w:val="000A19FC"/>
    <w:rsid w:val="000A228D"/>
    <w:rsid w:val="000A23D4"/>
    <w:rsid w:val="000A296B"/>
    <w:rsid w:val="000A42AF"/>
    <w:rsid w:val="000A4895"/>
    <w:rsid w:val="000A4F23"/>
    <w:rsid w:val="000A7311"/>
    <w:rsid w:val="000B060F"/>
    <w:rsid w:val="000B0E25"/>
    <w:rsid w:val="000B1592"/>
    <w:rsid w:val="000B1FF2"/>
    <w:rsid w:val="000B3CDA"/>
    <w:rsid w:val="000B4B5C"/>
    <w:rsid w:val="000B545F"/>
    <w:rsid w:val="000B5C22"/>
    <w:rsid w:val="000B6A0B"/>
    <w:rsid w:val="000C0395"/>
    <w:rsid w:val="000C0BE7"/>
    <w:rsid w:val="000C0F6C"/>
    <w:rsid w:val="000C11DB"/>
    <w:rsid w:val="000C1492"/>
    <w:rsid w:val="000C1AEC"/>
    <w:rsid w:val="000C2AA6"/>
    <w:rsid w:val="000C2FBD"/>
    <w:rsid w:val="000C3989"/>
    <w:rsid w:val="000C479E"/>
    <w:rsid w:val="000C4B41"/>
    <w:rsid w:val="000C529D"/>
    <w:rsid w:val="000C552F"/>
    <w:rsid w:val="000C57D6"/>
    <w:rsid w:val="000C5946"/>
    <w:rsid w:val="000C6362"/>
    <w:rsid w:val="000C75C4"/>
    <w:rsid w:val="000C7666"/>
    <w:rsid w:val="000D0022"/>
    <w:rsid w:val="000D038C"/>
    <w:rsid w:val="000D0A9C"/>
    <w:rsid w:val="000D1795"/>
    <w:rsid w:val="000D1926"/>
    <w:rsid w:val="000D329A"/>
    <w:rsid w:val="000D3ACC"/>
    <w:rsid w:val="000D4B9C"/>
    <w:rsid w:val="000D4EB6"/>
    <w:rsid w:val="000D57CD"/>
    <w:rsid w:val="000D6426"/>
    <w:rsid w:val="000D753B"/>
    <w:rsid w:val="000D7EF9"/>
    <w:rsid w:val="000E0D05"/>
    <w:rsid w:val="000E15A0"/>
    <w:rsid w:val="000E2FA2"/>
    <w:rsid w:val="000E42C6"/>
    <w:rsid w:val="000E4811"/>
    <w:rsid w:val="000E4890"/>
    <w:rsid w:val="000E4C9E"/>
    <w:rsid w:val="000E6FD7"/>
    <w:rsid w:val="000E7C7F"/>
    <w:rsid w:val="000F06E1"/>
    <w:rsid w:val="000F0E3C"/>
    <w:rsid w:val="000F0EB2"/>
    <w:rsid w:val="000F19D5"/>
    <w:rsid w:val="000F1C77"/>
    <w:rsid w:val="000F2497"/>
    <w:rsid w:val="000F2CCB"/>
    <w:rsid w:val="000F3296"/>
    <w:rsid w:val="000F34C1"/>
    <w:rsid w:val="000F3CE7"/>
    <w:rsid w:val="000F42F0"/>
    <w:rsid w:val="000F43FF"/>
    <w:rsid w:val="000F48BC"/>
    <w:rsid w:val="000F4AEA"/>
    <w:rsid w:val="000F4CB6"/>
    <w:rsid w:val="000F4FA6"/>
    <w:rsid w:val="000F5AD1"/>
    <w:rsid w:val="000F633F"/>
    <w:rsid w:val="000F64C4"/>
    <w:rsid w:val="000F6605"/>
    <w:rsid w:val="000F67E9"/>
    <w:rsid w:val="000F6F55"/>
    <w:rsid w:val="000F71FC"/>
    <w:rsid w:val="000F77F6"/>
    <w:rsid w:val="000F7C99"/>
    <w:rsid w:val="000F7F7D"/>
    <w:rsid w:val="0010064A"/>
    <w:rsid w:val="00101374"/>
    <w:rsid w:val="0010183C"/>
    <w:rsid w:val="00101981"/>
    <w:rsid w:val="00101A60"/>
    <w:rsid w:val="001033B9"/>
    <w:rsid w:val="00103D50"/>
    <w:rsid w:val="00104710"/>
    <w:rsid w:val="00104926"/>
    <w:rsid w:val="001057AF"/>
    <w:rsid w:val="00110378"/>
    <w:rsid w:val="0011099C"/>
    <w:rsid w:val="00113B1E"/>
    <w:rsid w:val="00113C10"/>
    <w:rsid w:val="0011535F"/>
    <w:rsid w:val="00115717"/>
    <w:rsid w:val="0011662C"/>
    <w:rsid w:val="00116E40"/>
    <w:rsid w:val="0011711C"/>
    <w:rsid w:val="001173F9"/>
    <w:rsid w:val="00117596"/>
    <w:rsid w:val="001200CA"/>
    <w:rsid w:val="0012059C"/>
    <w:rsid w:val="00121A32"/>
    <w:rsid w:val="001243C0"/>
    <w:rsid w:val="00124E4F"/>
    <w:rsid w:val="00125EE8"/>
    <w:rsid w:val="001260B7"/>
    <w:rsid w:val="001261D2"/>
    <w:rsid w:val="001265CB"/>
    <w:rsid w:val="00126E6B"/>
    <w:rsid w:val="00127831"/>
    <w:rsid w:val="0013029B"/>
    <w:rsid w:val="0013195F"/>
    <w:rsid w:val="001321C6"/>
    <w:rsid w:val="001325C4"/>
    <w:rsid w:val="00133010"/>
    <w:rsid w:val="001338EE"/>
    <w:rsid w:val="00133AAE"/>
    <w:rsid w:val="00135323"/>
    <w:rsid w:val="001356C4"/>
    <w:rsid w:val="00135D48"/>
    <w:rsid w:val="00136259"/>
    <w:rsid w:val="00136DDB"/>
    <w:rsid w:val="00137C84"/>
    <w:rsid w:val="00137F03"/>
    <w:rsid w:val="001401E1"/>
    <w:rsid w:val="00140889"/>
    <w:rsid w:val="00141114"/>
    <w:rsid w:val="00141277"/>
    <w:rsid w:val="00141711"/>
    <w:rsid w:val="00142969"/>
    <w:rsid w:val="00143C5A"/>
    <w:rsid w:val="001446C2"/>
    <w:rsid w:val="001451BC"/>
    <w:rsid w:val="001455F6"/>
    <w:rsid w:val="001457E7"/>
    <w:rsid w:val="00145D9D"/>
    <w:rsid w:val="00146388"/>
    <w:rsid w:val="001475D3"/>
    <w:rsid w:val="00147CE0"/>
    <w:rsid w:val="001529E5"/>
    <w:rsid w:val="00152C96"/>
    <w:rsid w:val="00152CC3"/>
    <w:rsid w:val="00153C7E"/>
    <w:rsid w:val="0015416F"/>
    <w:rsid w:val="00154F31"/>
    <w:rsid w:val="001552EF"/>
    <w:rsid w:val="0015663B"/>
    <w:rsid w:val="00156890"/>
    <w:rsid w:val="00156B25"/>
    <w:rsid w:val="00156E1A"/>
    <w:rsid w:val="00157894"/>
    <w:rsid w:val="00157B55"/>
    <w:rsid w:val="00162262"/>
    <w:rsid w:val="0016286F"/>
    <w:rsid w:val="00162C1E"/>
    <w:rsid w:val="00162CED"/>
    <w:rsid w:val="0016361A"/>
    <w:rsid w:val="00163C89"/>
    <w:rsid w:val="00163CC0"/>
    <w:rsid w:val="001642FA"/>
    <w:rsid w:val="0016438B"/>
    <w:rsid w:val="001649EB"/>
    <w:rsid w:val="00164BAF"/>
    <w:rsid w:val="00164FA8"/>
    <w:rsid w:val="00165065"/>
    <w:rsid w:val="00165434"/>
    <w:rsid w:val="0016580B"/>
    <w:rsid w:val="00165B3C"/>
    <w:rsid w:val="00165F49"/>
    <w:rsid w:val="00166B88"/>
    <w:rsid w:val="0016770A"/>
    <w:rsid w:val="00170142"/>
    <w:rsid w:val="00170804"/>
    <w:rsid w:val="001708E9"/>
    <w:rsid w:val="001721CE"/>
    <w:rsid w:val="00172A27"/>
    <w:rsid w:val="00172CD8"/>
    <w:rsid w:val="0017340B"/>
    <w:rsid w:val="001738BE"/>
    <w:rsid w:val="00173E42"/>
    <w:rsid w:val="00173FB1"/>
    <w:rsid w:val="00173FE9"/>
    <w:rsid w:val="001760DA"/>
    <w:rsid w:val="00176239"/>
    <w:rsid w:val="00176747"/>
    <w:rsid w:val="00176DFD"/>
    <w:rsid w:val="00180C40"/>
    <w:rsid w:val="0018300F"/>
    <w:rsid w:val="001852C9"/>
    <w:rsid w:val="0018685F"/>
    <w:rsid w:val="00186A66"/>
    <w:rsid w:val="00187111"/>
    <w:rsid w:val="00190087"/>
    <w:rsid w:val="001904ED"/>
    <w:rsid w:val="001913C4"/>
    <w:rsid w:val="001930B9"/>
    <w:rsid w:val="0019348F"/>
    <w:rsid w:val="00193A07"/>
    <w:rsid w:val="00193E26"/>
    <w:rsid w:val="00194355"/>
    <w:rsid w:val="00194C95"/>
    <w:rsid w:val="00194F41"/>
    <w:rsid w:val="001951D7"/>
    <w:rsid w:val="00195C34"/>
    <w:rsid w:val="0019634F"/>
    <w:rsid w:val="001965DA"/>
    <w:rsid w:val="00196EF5"/>
    <w:rsid w:val="001972FB"/>
    <w:rsid w:val="001A01BE"/>
    <w:rsid w:val="001A0570"/>
    <w:rsid w:val="001A1A53"/>
    <w:rsid w:val="001A234A"/>
    <w:rsid w:val="001A2E23"/>
    <w:rsid w:val="001A2EC7"/>
    <w:rsid w:val="001A3558"/>
    <w:rsid w:val="001A3C9A"/>
    <w:rsid w:val="001A4CF3"/>
    <w:rsid w:val="001A57CD"/>
    <w:rsid w:val="001A6260"/>
    <w:rsid w:val="001A73DA"/>
    <w:rsid w:val="001B06E8"/>
    <w:rsid w:val="001B0C16"/>
    <w:rsid w:val="001B162B"/>
    <w:rsid w:val="001B32DF"/>
    <w:rsid w:val="001B37FB"/>
    <w:rsid w:val="001B68AC"/>
    <w:rsid w:val="001B71D0"/>
    <w:rsid w:val="001B71EE"/>
    <w:rsid w:val="001B751A"/>
    <w:rsid w:val="001B7B60"/>
    <w:rsid w:val="001C04A8"/>
    <w:rsid w:val="001C07F6"/>
    <w:rsid w:val="001C1756"/>
    <w:rsid w:val="001C20F7"/>
    <w:rsid w:val="001C2427"/>
    <w:rsid w:val="001C2C03"/>
    <w:rsid w:val="001C4249"/>
    <w:rsid w:val="001C42F7"/>
    <w:rsid w:val="001C49E5"/>
    <w:rsid w:val="001C504A"/>
    <w:rsid w:val="001C506A"/>
    <w:rsid w:val="001C680C"/>
    <w:rsid w:val="001C6D3F"/>
    <w:rsid w:val="001C72D6"/>
    <w:rsid w:val="001C7FEA"/>
    <w:rsid w:val="001D0499"/>
    <w:rsid w:val="001D0BBE"/>
    <w:rsid w:val="001D0ED4"/>
    <w:rsid w:val="001D212F"/>
    <w:rsid w:val="001D225F"/>
    <w:rsid w:val="001D25DC"/>
    <w:rsid w:val="001D29D7"/>
    <w:rsid w:val="001D2DE7"/>
    <w:rsid w:val="001D326A"/>
    <w:rsid w:val="001D387D"/>
    <w:rsid w:val="001D3B1E"/>
    <w:rsid w:val="001D411C"/>
    <w:rsid w:val="001D497C"/>
    <w:rsid w:val="001D4B5A"/>
    <w:rsid w:val="001D6233"/>
    <w:rsid w:val="001D6798"/>
    <w:rsid w:val="001E05F3"/>
    <w:rsid w:val="001E14D0"/>
    <w:rsid w:val="001E1B6A"/>
    <w:rsid w:val="001E1B7B"/>
    <w:rsid w:val="001E1EFE"/>
    <w:rsid w:val="001E2484"/>
    <w:rsid w:val="001E2B2B"/>
    <w:rsid w:val="001E3CC4"/>
    <w:rsid w:val="001E4882"/>
    <w:rsid w:val="001E6393"/>
    <w:rsid w:val="001E73AB"/>
    <w:rsid w:val="001F0268"/>
    <w:rsid w:val="001F092D"/>
    <w:rsid w:val="001F143A"/>
    <w:rsid w:val="001F1605"/>
    <w:rsid w:val="001F2508"/>
    <w:rsid w:val="001F4816"/>
    <w:rsid w:val="001F4EE9"/>
    <w:rsid w:val="001F69B4"/>
    <w:rsid w:val="001F75ED"/>
    <w:rsid w:val="001F77C7"/>
    <w:rsid w:val="00200183"/>
    <w:rsid w:val="00200333"/>
    <w:rsid w:val="00200D05"/>
    <w:rsid w:val="0020107D"/>
    <w:rsid w:val="00202466"/>
    <w:rsid w:val="002024CE"/>
    <w:rsid w:val="00202AA4"/>
    <w:rsid w:val="00202CE4"/>
    <w:rsid w:val="002031F7"/>
    <w:rsid w:val="002040E6"/>
    <w:rsid w:val="00204FB8"/>
    <w:rsid w:val="0020527B"/>
    <w:rsid w:val="002052AA"/>
    <w:rsid w:val="00205815"/>
    <w:rsid w:val="00205E96"/>
    <w:rsid w:val="00205F2C"/>
    <w:rsid w:val="0020631C"/>
    <w:rsid w:val="00206422"/>
    <w:rsid w:val="002109A9"/>
    <w:rsid w:val="00210B15"/>
    <w:rsid w:val="00210DE2"/>
    <w:rsid w:val="00213052"/>
    <w:rsid w:val="002142EA"/>
    <w:rsid w:val="0021522A"/>
    <w:rsid w:val="00215353"/>
    <w:rsid w:val="002153EC"/>
    <w:rsid w:val="002175A9"/>
    <w:rsid w:val="002204BB"/>
    <w:rsid w:val="00221B79"/>
    <w:rsid w:val="00221C6B"/>
    <w:rsid w:val="00221E7E"/>
    <w:rsid w:val="0022467A"/>
    <w:rsid w:val="00225174"/>
    <w:rsid w:val="002253A1"/>
    <w:rsid w:val="00225CF8"/>
    <w:rsid w:val="00227551"/>
    <w:rsid w:val="0022794E"/>
    <w:rsid w:val="0023026F"/>
    <w:rsid w:val="002305D7"/>
    <w:rsid w:val="00231262"/>
    <w:rsid w:val="00231B7A"/>
    <w:rsid w:val="00231F52"/>
    <w:rsid w:val="00231FD1"/>
    <w:rsid w:val="00232CD0"/>
    <w:rsid w:val="00233D64"/>
    <w:rsid w:val="0023482A"/>
    <w:rsid w:val="0023584E"/>
    <w:rsid w:val="002359CB"/>
    <w:rsid w:val="00237147"/>
    <w:rsid w:val="002371A8"/>
    <w:rsid w:val="0024044B"/>
    <w:rsid w:val="00242A1B"/>
    <w:rsid w:val="00243540"/>
    <w:rsid w:val="0024376A"/>
    <w:rsid w:val="0024399C"/>
    <w:rsid w:val="00244684"/>
    <w:rsid w:val="0024497B"/>
    <w:rsid w:val="00244AB4"/>
    <w:rsid w:val="0024515B"/>
    <w:rsid w:val="00245BB5"/>
    <w:rsid w:val="00246021"/>
    <w:rsid w:val="002465FB"/>
    <w:rsid w:val="0024666E"/>
    <w:rsid w:val="00247F52"/>
    <w:rsid w:val="0025004F"/>
    <w:rsid w:val="00250B25"/>
    <w:rsid w:val="00250BBE"/>
    <w:rsid w:val="002515C2"/>
    <w:rsid w:val="0025194F"/>
    <w:rsid w:val="00252270"/>
    <w:rsid w:val="002543D2"/>
    <w:rsid w:val="002550D1"/>
    <w:rsid w:val="002562D3"/>
    <w:rsid w:val="002601E1"/>
    <w:rsid w:val="00260CB8"/>
    <w:rsid w:val="00260F25"/>
    <w:rsid w:val="00261023"/>
    <w:rsid w:val="00261206"/>
    <w:rsid w:val="0026148A"/>
    <w:rsid w:val="00261BBA"/>
    <w:rsid w:val="00262413"/>
    <w:rsid w:val="00262696"/>
    <w:rsid w:val="0026395A"/>
    <w:rsid w:val="00263D25"/>
    <w:rsid w:val="002642D1"/>
    <w:rsid w:val="002643C3"/>
    <w:rsid w:val="00264A0C"/>
    <w:rsid w:val="00264DD4"/>
    <w:rsid w:val="00264EF0"/>
    <w:rsid w:val="00266593"/>
    <w:rsid w:val="00266EEB"/>
    <w:rsid w:val="00267EF4"/>
    <w:rsid w:val="00270AB1"/>
    <w:rsid w:val="00270CB8"/>
    <w:rsid w:val="00271318"/>
    <w:rsid w:val="00271577"/>
    <w:rsid w:val="00272679"/>
    <w:rsid w:val="00272B08"/>
    <w:rsid w:val="00273024"/>
    <w:rsid w:val="002736A9"/>
    <w:rsid w:val="00274AEA"/>
    <w:rsid w:val="00275EBE"/>
    <w:rsid w:val="002762B5"/>
    <w:rsid w:val="00276329"/>
    <w:rsid w:val="00276949"/>
    <w:rsid w:val="00280488"/>
    <w:rsid w:val="00280D51"/>
    <w:rsid w:val="0028138D"/>
    <w:rsid w:val="00281BB8"/>
    <w:rsid w:val="00281E3A"/>
    <w:rsid w:val="00281E9E"/>
    <w:rsid w:val="00282405"/>
    <w:rsid w:val="00284644"/>
    <w:rsid w:val="00285170"/>
    <w:rsid w:val="00285361"/>
    <w:rsid w:val="002864B2"/>
    <w:rsid w:val="00286AC6"/>
    <w:rsid w:val="00287654"/>
    <w:rsid w:val="00292D60"/>
    <w:rsid w:val="00293545"/>
    <w:rsid w:val="00293B30"/>
    <w:rsid w:val="00294D34"/>
    <w:rsid w:val="00294E3B"/>
    <w:rsid w:val="00296193"/>
    <w:rsid w:val="00296C66"/>
    <w:rsid w:val="00296EBE"/>
    <w:rsid w:val="002974E3"/>
    <w:rsid w:val="00297D46"/>
    <w:rsid w:val="002A084B"/>
    <w:rsid w:val="002A1253"/>
    <w:rsid w:val="002A1260"/>
    <w:rsid w:val="002A1589"/>
    <w:rsid w:val="002A1608"/>
    <w:rsid w:val="002A209D"/>
    <w:rsid w:val="002A25DC"/>
    <w:rsid w:val="002A2B87"/>
    <w:rsid w:val="002A32E1"/>
    <w:rsid w:val="002A3AAB"/>
    <w:rsid w:val="002A3FAD"/>
    <w:rsid w:val="002A3FC8"/>
    <w:rsid w:val="002A41AF"/>
    <w:rsid w:val="002A4CEA"/>
    <w:rsid w:val="002A4DE1"/>
    <w:rsid w:val="002A5977"/>
    <w:rsid w:val="002A5A13"/>
    <w:rsid w:val="002A6190"/>
    <w:rsid w:val="002A6675"/>
    <w:rsid w:val="002A6C96"/>
    <w:rsid w:val="002A757F"/>
    <w:rsid w:val="002A7B84"/>
    <w:rsid w:val="002A7F44"/>
    <w:rsid w:val="002B0C40"/>
    <w:rsid w:val="002B1966"/>
    <w:rsid w:val="002B29F5"/>
    <w:rsid w:val="002B42BB"/>
    <w:rsid w:val="002B4508"/>
    <w:rsid w:val="002B4DBF"/>
    <w:rsid w:val="002B5779"/>
    <w:rsid w:val="002B57DA"/>
    <w:rsid w:val="002B7332"/>
    <w:rsid w:val="002B79EB"/>
    <w:rsid w:val="002B7F51"/>
    <w:rsid w:val="002C07A1"/>
    <w:rsid w:val="002C09E7"/>
    <w:rsid w:val="002C1E06"/>
    <w:rsid w:val="002C1E1C"/>
    <w:rsid w:val="002C3400"/>
    <w:rsid w:val="002C3D6D"/>
    <w:rsid w:val="002C3F07"/>
    <w:rsid w:val="002C5278"/>
    <w:rsid w:val="002C6A67"/>
    <w:rsid w:val="002C710A"/>
    <w:rsid w:val="002C7EBB"/>
    <w:rsid w:val="002D06C1"/>
    <w:rsid w:val="002D3B98"/>
    <w:rsid w:val="002D42B5"/>
    <w:rsid w:val="002D4F1A"/>
    <w:rsid w:val="002D508C"/>
    <w:rsid w:val="002D637C"/>
    <w:rsid w:val="002D6EC6"/>
    <w:rsid w:val="002D70FC"/>
    <w:rsid w:val="002D79AC"/>
    <w:rsid w:val="002E039D"/>
    <w:rsid w:val="002E29DF"/>
    <w:rsid w:val="002E2C14"/>
    <w:rsid w:val="002E3384"/>
    <w:rsid w:val="002E4266"/>
    <w:rsid w:val="002E4B74"/>
    <w:rsid w:val="002E4D5A"/>
    <w:rsid w:val="002E5B10"/>
    <w:rsid w:val="002E6326"/>
    <w:rsid w:val="002E7D8B"/>
    <w:rsid w:val="002F040D"/>
    <w:rsid w:val="002F2587"/>
    <w:rsid w:val="002F30E0"/>
    <w:rsid w:val="002F35E4"/>
    <w:rsid w:val="002F3730"/>
    <w:rsid w:val="002F38E1"/>
    <w:rsid w:val="002F3FE2"/>
    <w:rsid w:val="002F6F62"/>
    <w:rsid w:val="002F717F"/>
    <w:rsid w:val="002F7800"/>
    <w:rsid w:val="002F7AF6"/>
    <w:rsid w:val="002F7D64"/>
    <w:rsid w:val="002F7D7E"/>
    <w:rsid w:val="00300E63"/>
    <w:rsid w:val="003018E4"/>
    <w:rsid w:val="0030208E"/>
    <w:rsid w:val="00302AAA"/>
    <w:rsid w:val="00302F5F"/>
    <w:rsid w:val="00303358"/>
    <w:rsid w:val="0030441D"/>
    <w:rsid w:val="00304AEF"/>
    <w:rsid w:val="00304EE6"/>
    <w:rsid w:val="003054F6"/>
    <w:rsid w:val="00306063"/>
    <w:rsid w:val="00306E36"/>
    <w:rsid w:val="00312FB3"/>
    <w:rsid w:val="00313B85"/>
    <w:rsid w:val="003159E1"/>
    <w:rsid w:val="00317988"/>
    <w:rsid w:val="00320611"/>
    <w:rsid w:val="003221B4"/>
    <w:rsid w:val="0032258D"/>
    <w:rsid w:val="00322E62"/>
    <w:rsid w:val="00323F12"/>
    <w:rsid w:val="00324D13"/>
    <w:rsid w:val="00324D2A"/>
    <w:rsid w:val="00324EDD"/>
    <w:rsid w:val="003253E9"/>
    <w:rsid w:val="00326623"/>
    <w:rsid w:val="00331A08"/>
    <w:rsid w:val="00332050"/>
    <w:rsid w:val="003324B9"/>
    <w:rsid w:val="0033319F"/>
    <w:rsid w:val="003331E4"/>
    <w:rsid w:val="00334310"/>
    <w:rsid w:val="0033431A"/>
    <w:rsid w:val="00336C64"/>
    <w:rsid w:val="00337162"/>
    <w:rsid w:val="00340247"/>
    <w:rsid w:val="00341277"/>
    <w:rsid w:val="0034194F"/>
    <w:rsid w:val="00341C24"/>
    <w:rsid w:val="003426A8"/>
    <w:rsid w:val="00342BC5"/>
    <w:rsid w:val="00342D2B"/>
    <w:rsid w:val="0034439A"/>
    <w:rsid w:val="00344605"/>
    <w:rsid w:val="003469C6"/>
    <w:rsid w:val="003474AA"/>
    <w:rsid w:val="00347AE4"/>
    <w:rsid w:val="00350D1D"/>
    <w:rsid w:val="00352221"/>
    <w:rsid w:val="00352C83"/>
    <w:rsid w:val="00352F0E"/>
    <w:rsid w:val="003551CB"/>
    <w:rsid w:val="00356643"/>
    <w:rsid w:val="00360382"/>
    <w:rsid w:val="003615C4"/>
    <w:rsid w:val="003615D2"/>
    <w:rsid w:val="003639FD"/>
    <w:rsid w:val="00363A05"/>
    <w:rsid w:val="00363C4E"/>
    <w:rsid w:val="00364212"/>
    <w:rsid w:val="0036429C"/>
    <w:rsid w:val="00364951"/>
    <w:rsid w:val="00364A53"/>
    <w:rsid w:val="00364F4A"/>
    <w:rsid w:val="00365498"/>
    <w:rsid w:val="003654CB"/>
    <w:rsid w:val="0036588E"/>
    <w:rsid w:val="00365AA9"/>
    <w:rsid w:val="00365D8B"/>
    <w:rsid w:val="00365F86"/>
    <w:rsid w:val="00365F87"/>
    <w:rsid w:val="00366E89"/>
    <w:rsid w:val="00367808"/>
    <w:rsid w:val="00367973"/>
    <w:rsid w:val="003705F4"/>
    <w:rsid w:val="00370D58"/>
    <w:rsid w:val="00371316"/>
    <w:rsid w:val="00371B86"/>
    <w:rsid w:val="00371C6A"/>
    <w:rsid w:val="0037389E"/>
    <w:rsid w:val="00373A8E"/>
    <w:rsid w:val="00376713"/>
    <w:rsid w:val="00377489"/>
    <w:rsid w:val="00377CA3"/>
    <w:rsid w:val="00377CB5"/>
    <w:rsid w:val="0038012A"/>
    <w:rsid w:val="003804F2"/>
    <w:rsid w:val="00381815"/>
    <w:rsid w:val="003819AF"/>
    <w:rsid w:val="003820E9"/>
    <w:rsid w:val="003828C9"/>
    <w:rsid w:val="00382DE7"/>
    <w:rsid w:val="00383391"/>
    <w:rsid w:val="00383570"/>
    <w:rsid w:val="00384FFC"/>
    <w:rsid w:val="00385A6E"/>
    <w:rsid w:val="00385EA3"/>
    <w:rsid w:val="00386BA1"/>
    <w:rsid w:val="00386C19"/>
    <w:rsid w:val="00386C6A"/>
    <w:rsid w:val="003872FC"/>
    <w:rsid w:val="00387AC5"/>
    <w:rsid w:val="00387ADC"/>
    <w:rsid w:val="00390020"/>
    <w:rsid w:val="003903D6"/>
    <w:rsid w:val="00390E63"/>
    <w:rsid w:val="00390ED3"/>
    <w:rsid w:val="00390EE6"/>
    <w:rsid w:val="0039118F"/>
    <w:rsid w:val="00392640"/>
    <w:rsid w:val="00392AD7"/>
    <w:rsid w:val="003938D9"/>
    <w:rsid w:val="00393993"/>
    <w:rsid w:val="00394376"/>
    <w:rsid w:val="003943FF"/>
    <w:rsid w:val="00394DF6"/>
    <w:rsid w:val="003950C5"/>
    <w:rsid w:val="00395700"/>
    <w:rsid w:val="00395C38"/>
    <w:rsid w:val="003974EB"/>
    <w:rsid w:val="00397CC5"/>
    <w:rsid w:val="003A0120"/>
    <w:rsid w:val="003A09D2"/>
    <w:rsid w:val="003A1576"/>
    <w:rsid w:val="003A1582"/>
    <w:rsid w:val="003A4077"/>
    <w:rsid w:val="003A51BE"/>
    <w:rsid w:val="003A6089"/>
    <w:rsid w:val="003A60CE"/>
    <w:rsid w:val="003A763D"/>
    <w:rsid w:val="003B09AD"/>
    <w:rsid w:val="003B0D92"/>
    <w:rsid w:val="003B1F18"/>
    <w:rsid w:val="003B21FF"/>
    <w:rsid w:val="003B49D1"/>
    <w:rsid w:val="003B5BF0"/>
    <w:rsid w:val="003B60BF"/>
    <w:rsid w:val="003B6BE3"/>
    <w:rsid w:val="003B77EB"/>
    <w:rsid w:val="003B7C69"/>
    <w:rsid w:val="003B7FD3"/>
    <w:rsid w:val="003C010C"/>
    <w:rsid w:val="003C06BA"/>
    <w:rsid w:val="003C0A6C"/>
    <w:rsid w:val="003C14F8"/>
    <w:rsid w:val="003C2DA7"/>
    <w:rsid w:val="003C2F40"/>
    <w:rsid w:val="003C536F"/>
    <w:rsid w:val="003C5A43"/>
    <w:rsid w:val="003C6676"/>
    <w:rsid w:val="003C6720"/>
    <w:rsid w:val="003C7160"/>
    <w:rsid w:val="003D0519"/>
    <w:rsid w:val="003D07CC"/>
    <w:rsid w:val="003D0FF6"/>
    <w:rsid w:val="003D262C"/>
    <w:rsid w:val="003D2656"/>
    <w:rsid w:val="003D3974"/>
    <w:rsid w:val="003D46C6"/>
    <w:rsid w:val="003D4702"/>
    <w:rsid w:val="003D4974"/>
    <w:rsid w:val="003D6D61"/>
    <w:rsid w:val="003D7241"/>
    <w:rsid w:val="003E091D"/>
    <w:rsid w:val="003E170E"/>
    <w:rsid w:val="003E1C53"/>
    <w:rsid w:val="003E2A69"/>
    <w:rsid w:val="003E2D49"/>
    <w:rsid w:val="003E2FD4"/>
    <w:rsid w:val="003E49F6"/>
    <w:rsid w:val="003E4F11"/>
    <w:rsid w:val="003E5878"/>
    <w:rsid w:val="003E660F"/>
    <w:rsid w:val="003E6A51"/>
    <w:rsid w:val="003E6C7E"/>
    <w:rsid w:val="003E7AF8"/>
    <w:rsid w:val="003F0841"/>
    <w:rsid w:val="003F09C5"/>
    <w:rsid w:val="003F1370"/>
    <w:rsid w:val="003F1978"/>
    <w:rsid w:val="003F23D3"/>
    <w:rsid w:val="003F3F08"/>
    <w:rsid w:val="003F4377"/>
    <w:rsid w:val="003F49F1"/>
    <w:rsid w:val="003F523F"/>
    <w:rsid w:val="003F6183"/>
    <w:rsid w:val="003F6272"/>
    <w:rsid w:val="003F70BD"/>
    <w:rsid w:val="00400A1D"/>
    <w:rsid w:val="00400C2C"/>
    <w:rsid w:val="00400E72"/>
    <w:rsid w:val="00401400"/>
    <w:rsid w:val="00401633"/>
    <w:rsid w:val="00401903"/>
    <w:rsid w:val="004024FB"/>
    <w:rsid w:val="004037C2"/>
    <w:rsid w:val="0040388C"/>
    <w:rsid w:val="00404869"/>
    <w:rsid w:val="00405121"/>
    <w:rsid w:val="00405884"/>
    <w:rsid w:val="00406687"/>
    <w:rsid w:val="0040719B"/>
    <w:rsid w:val="00407D39"/>
    <w:rsid w:val="00407E6F"/>
    <w:rsid w:val="00412F80"/>
    <w:rsid w:val="00413508"/>
    <w:rsid w:val="004141E4"/>
    <w:rsid w:val="0041477A"/>
    <w:rsid w:val="00415BD8"/>
    <w:rsid w:val="004167A3"/>
    <w:rsid w:val="00421B03"/>
    <w:rsid w:val="00421E80"/>
    <w:rsid w:val="00422054"/>
    <w:rsid w:val="00422997"/>
    <w:rsid w:val="004247D7"/>
    <w:rsid w:val="004259C2"/>
    <w:rsid w:val="00427CC9"/>
    <w:rsid w:val="0043199E"/>
    <w:rsid w:val="00431BBB"/>
    <w:rsid w:val="00432DAA"/>
    <w:rsid w:val="00434305"/>
    <w:rsid w:val="00435066"/>
    <w:rsid w:val="00435DF7"/>
    <w:rsid w:val="0043624A"/>
    <w:rsid w:val="0044083F"/>
    <w:rsid w:val="00441AE7"/>
    <w:rsid w:val="00441D5B"/>
    <w:rsid w:val="0044317E"/>
    <w:rsid w:val="00443652"/>
    <w:rsid w:val="00443900"/>
    <w:rsid w:val="00445574"/>
    <w:rsid w:val="00445A9E"/>
    <w:rsid w:val="00446011"/>
    <w:rsid w:val="0044671A"/>
    <w:rsid w:val="004467FB"/>
    <w:rsid w:val="004469A8"/>
    <w:rsid w:val="004469DC"/>
    <w:rsid w:val="00450203"/>
    <w:rsid w:val="0045034A"/>
    <w:rsid w:val="0045164C"/>
    <w:rsid w:val="004516FE"/>
    <w:rsid w:val="00452D6B"/>
    <w:rsid w:val="0045344B"/>
    <w:rsid w:val="00453E23"/>
    <w:rsid w:val="00454484"/>
    <w:rsid w:val="0045517B"/>
    <w:rsid w:val="00455999"/>
    <w:rsid w:val="00456BB2"/>
    <w:rsid w:val="00460247"/>
    <w:rsid w:val="004620CD"/>
    <w:rsid w:val="004625AC"/>
    <w:rsid w:val="00463B77"/>
    <w:rsid w:val="00463C7B"/>
    <w:rsid w:val="004644A6"/>
    <w:rsid w:val="00464B53"/>
    <w:rsid w:val="004659BD"/>
    <w:rsid w:val="00465A6E"/>
    <w:rsid w:val="00466C64"/>
    <w:rsid w:val="00466D93"/>
    <w:rsid w:val="004671DE"/>
    <w:rsid w:val="00470775"/>
    <w:rsid w:val="00473292"/>
    <w:rsid w:val="004746B1"/>
    <w:rsid w:val="00474768"/>
    <w:rsid w:val="004755CB"/>
    <w:rsid w:val="0047583F"/>
    <w:rsid w:val="00475DE8"/>
    <w:rsid w:val="00477A81"/>
    <w:rsid w:val="004809D0"/>
    <w:rsid w:val="00481019"/>
    <w:rsid w:val="00481C44"/>
    <w:rsid w:val="00483DC0"/>
    <w:rsid w:val="0048447D"/>
    <w:rsid w:val="00484936"/>
    <w:rsid w:val="00484949"/>
    <w:rsid w:val="004853AC"/>
    <w:rsid w:val="0048559C"/>
    <w:rsid w:val="00485C89"/>
    <w:rsid w:val="00485FBA"/>
    <w:rsid w:val="00486BE3"/>
    <w:rsid w:val="004870B3"/>
    <w:rsid w:val="004905E4"/>
    <w:rsid w:val="00490A89"/>
    <w:rsid w:val="00490AB4"/>
    <w:rsid w:val="00491758"/>
    <w:rsid w:val="00491ADA"/>
    <w:rsid w:val="00492235"/>
    <w:rsid w:val="00492640"/>
    <w:rsid w:val="00492F02"/>
    <w:rsid w:val="004939AE"/>
    <w:rsid w:val="00494F80"/>
    <w:rsid w:val="00495212"/>
    <w:rsid w:val="004958E8"/>
    <w:rsid w:val="004A0169"/>
    <w:rsid w:val="004A0246"/>
    <w:rsid w:val="004A0B96"/>
    <w:rsid w:val="004A12DF"/>
    <w:rsid w:val="004A17E6"/>
    <w:rsid w:val="004A1BA8"/>
    <w:rsid w:val="004A28B2"/>
    <w:rsid w:val="004A3C78"/>
    <w:rsid w:val="004A4216"/>
    <w:rsid w:val="004A4B57"/>
    <w:rsid w:val="004A63FA"/>
    <w:rsid w:val="004A6E74"/>
    <w:rsid w:val="004A71C0"/>
    <w:rsid w:val="004A7ACD"/>
    <w:rsid w:val="004A7B68"/>
    <w:rsid w:val="004A7EBE"/>
    <w:rsid w:val="004B0272"/>
    <w:rsid w:val="004B0CCF"/>
    <w:rsid w:val="004B2664"/>
    <w:rsid w:val="004B2701"/>
    <w:rsid w:val="004B27EA"/>
    <w:rsid w:val="004B2E1B"/>
    <w:rsid w:val="004B3848"/>
    <w:rsid w:val="004B3AA8"/>
    <w:rsid w:val="004B3E93"/>
    <w:rsid w:val="004B40C2"/>
    <w:rsid w:val="004B5EF9"/>
    <w:rsid w:val="004C0A22"/>
    <w:rsid w:val="004C0E6A"/>
    <w:rsid w:val="004C0FBE"/>
    <w:rsid w:val="004C1DA2"/>
    <w:rsid w:val="004C1FBC"/>
    <w:rsid w:val="004C3F1D"/>
    <w:rsid w:val="004C3F61"/>
    <w:rsid w:val="004C458D"/>
    <w:rsid w:val="004C5FFD"/>
    <w:rsid w:val="004C6728"/>
    <w:rsid w:val="004C7556"/>
    <w:rsid w:val="004C7E8B"/>
    <w:rsid w:val="004C7E9D"/>
    <w:rsid w:val="004C7F67"/>
    <w:rsid w:val="004D076D"/>
    <w:rsid w:val="004D0D52"/>
    <w:rsid w:val="004D0EF1"/>
    <w:rsid w:val="004D20DB"/>
    <w:rsid w:val="004D2227"/>
    <w:rsid w:val="004D2253"/>
    <w:rsid w:val="004D37CA"/>
    <w:rsid w:val="004D4406"/>
    <w:rsid w:val="004D7C42"/>
    <w:rsid w:val="004E00DA"/>
    <w:rsid w:val="004E0465"/>
    <w:rsid w:val="004E0802"/>
    <w:rsid w:val="004E127B"/>
    <w:rsid w:val="004E15C4"/>
    <w:rsid w:val="004E18EC"/>
    <w:rsid w:val="004E1C0A"/>
    <w:rsid w:val="004E22B5"/>
    <w:rsid w:val="004E2B06"/>
    <w:rsid w:val="004E2B79"/>
    <w:rsid w:val="004E30C5"/>
    <w:rsid w:val="004E36E3"/>
    <w:rsid w:val="004E4AA5"/>
    <w:rsid w:val="004E4AEE"/>
    <w:rsid w:val="004E5086"/>
    <w:rsid w:val="004E56E7"/>
    <w:rsid w:val="004E59E3"/>
    <w:rsid w:val="004E67C0"/>
    <w:rsid w:val="004F026B"/>
    <w:rsid w:val="004F042D"/>
    <w:rsid w:val="004F06E0"/>
    <w:rsid w:val="004F09BB"/>
    <w:rsid w:val="004F391A"/>
    <w:rsid w:val="004F3C1B"/>
    <w:rsid w:val="004F3CFB"/>
    <w:rsid w:val="004F484A"/>
    <w:rsid w:val="004F5ABA"/>
    <w:rsid w:val="004F5DAE"/>
    <w:rsid w:val="004F6456"/>
    <w:rsid w:val="004F6964"/>
    <w:rsid w:val="004F696E"/>
    <w:rsid w:val="004F6A06"/>
    <w:rsid w:val="004F6C71"/>
    <w:rsid w:val="004F6DCF"/>
    <w:rsid w:val="004F7940"/>
    <w:rsid w:val="00501139"/>
    <w:rsid w:val="005015C8"/>
    <w:rsid w:val="005019DD"/>
    <w:rsid w:val="0050363E"/>
    <w:rsid w:val="005039BC"/>
    <w:rsid w:val="00504054"/>
    <w:rsid w:val="005043BB"/>
    <w:rsid w:val="00504A3D"/>
    <w:rsid w:val="005054F1"/>
    <w:rsid w:val="00505767"/>
    <w:rsid w:val="00505912"/>
    <w:rsid w:val="005073F0"/>
    <w:rsid w:val="00510A7B"/>
    <w:rsid w:val="00512D15"/>
    <w:rsid w:val="00512F6E"/>
    <w:rsid w:val="00513038"/>
    <w:rsid w:val="00514174"/>
    <w:rsid w:val="0051543F"/>
    <w:rsid w:val="005159FF"/>
    <w:rsid w:val="00516088"/>
    <w:rsid w:val="00516B0B"/>
    <w:rsid w:val="00516B24"/>
    <w:rsid w:val="00517CA7"/>
    <w:rsid w:val="005200B2"/>
    <w:rsid w:val="00521B98"/>
    <w:rsid w:val="005220EC"/>
    <w:rsid w:val="00522133"/>
    <w:rsid w:val="00522B4D"/>
    <w:rsid w:val="0052308B"/>
    <w:rsid w:val="00523F95"/>
    <w:rsid w:val="00524D65"/>
    <w:rsid w:val="00525939"/>
    <w:rsid w:val="00525B16"/>
    <w:rsid w:val="00527369"/>
    <w:rsid w:val="00531564"/>
    <w:rsid w:val="00532949"/>
    <w:rsid w:val="00532E14"/>
    <w:rsid w:val="00533D04"/>
    <w:rsid w:val="00534804"/>
    <w:rsid w:val="00534BDF"/>
    <w:rsid w:val="00534D58"/>
    <w:rsid w:val="00534EF2"/>
    <w:rsid w:val="005354EA"/>
    <w:rsid w:val="0053585F"/>
    <w:rsid w:val="00535D28"/>
    <w:rsid w:val="00535EC4"/>
    <w:rsid w:val="00535ED9"/>
    <w:rsid w:val="005361AE"/>
    <w:rsid w:val="0053692B"/>
    <w:rsid w:val="00540DDE"/>
    <w:rsid w:val="005417B2"/>
    <w:rsid w:val="00541853"/>
    <w:rsid w:val="00541F77"/>
    <w:rsid w:val="00541F8C"/>
    <w:rsid w:val="00542146"/>
    <w:rsid w:val="0054244B"/>
    <w:rsid w:val="00542DC8"/>
    <w:rsid w:val="00542F68"/>
    <w:rsid w:val="00543BDA"/>
    <w:rsid w:val="005441CC"/>
    <w:rsid w:val="00544663"/>
    <w:rsid w:val="005476D0"/>
    <w:rsid w:val="0054782A"/>
    <w:rsid w:val="005479DA"/>
    <w:rsid w:val="00547BCC"/>
    <w:rsid w:val="00547EF0"/>
    <w:rsid w:val="0055013B"/>
    <w:rsid w:val="0055159D"/>
    <w:rsid w:val="0055185D"/>
    <w:rsid w:val="00551F6F"/>
    <w:rsid w:val="0055248C"/>
    <w:rsid w:val="00553E96"/>
    <w:rsid w:val="005549F8"/>
    <w:rsid w:val="00555044"/>
    <w:rsid w:val="00555592"/>
    <w:rsid w:val="005558E1"/>
    <w:rsid w:val="00555B10"/>
    <w:rsid w:val="00557F52"/>
    <w:rsid w:val="00561475"/>
    <w:rsid w:val="00562FF6"/>
    <w:rsid w:val="0056487B"/>
    <w:rsid w:val="00564C5A"/>
    <w:rsid w:val="00564FB9"/>
    <w:rsid w:val="0056505A"/>
    <w:rsid w:val="00565769"/>
    <w:rsid w:val="0056615A"/>
    <w:rsid w:val="00567741"/>
    <w:rsid w:val="00570035"/>
    <w:rsid w:val="00570FF9"/>
    <w:rsid w:val="0057119A"/>
    <w:rsid w:val="005715A4"/>
    <w:rsid w:val="00573990"/>
    <w:rsid w:val="00573C02"/>
    <w:rsid w:val="00573D9E"/>
    <w:rsid w:val="00573DFD"/>
    <w:rsid w:val="005740F9"/>
    <w:rsid w:val="00575072"/>
    <w:rsid w:val="00575A50"/>
    <w:rsid w:val="005777E7"/>
    <w:rsid w:val="005801E3"/>
    <w:rsid w:val="00581802"/>
    <w:rsid w:val="00582E6E"/>
    <w:rsid w:val="00583639"/>
    <w:rsid w:val="005836A8"/>
    <w:rsid w:val="0058409C"/>
    <w:rsid w:val="00584262"/>
    <w:rsid w:val="005843EB"/>
    <w:rsid w:val="00586630"/>
    <w:rsid w:val="005868C2"/>
    <w:rsid w:val="00587ADD"/>
    <w:rsid w:val="00587BBF"/>
    <w:rsid w:val="00590160"/>
    <w:rsid w:val="0059024E"/>
    <w:rsid w:val="00590D88"/>
    <w:rsid w:val="00591E27"/>
    <w:rsid w:val="005930D0"/>
    <w:rsid w:val="00594E0F"/>
    <w:rsid w:val="00596160"/>
    <w:rsid w:val="005966E2"/>
    <w:rsid w:val="00597007"/>
    <w:rsid w:val="005975A6"/>
    <w:rsid w:val="005A0966"/>
    <w:rsid w:val="005A11B7"/>
    <w:rsid w:val="005A260B"/>
    <w:rsid w:val="005A3321"/>
    <w:rsid w:val="005A4A1B"/>
    <w:rsid w:val="005A52DC"/>
    <w:rsid w:val="005A59A7"/>
    <w:rsid w:val="005A7678"/>
    <w:rsid w:val="005A7830"/>
    <w:rsid w:val="005A7FCE"/>
    <w:rsid w:val="005B0F3F"/>
    <w:rsid w:val="005B28E4"/>
    <w:rsid w:val="005B3A70"/>
    <w:rsid w:val="005B4107"/>
    <w:rsid w:val="005B4903"/>
    <w:rsid w:val="005B49B7"/>
    <w:rsid w:val="005B4CDD"/>
    <w:rsid w:val="005B4E00"/>
    <w:rsid w:val="005B51CE"/>
    <w:rsid w:val="005B5885"/>
    <w:rsid w:val="005B5CD7"/>
    <w:rsid w:val="005B5DBA"/>
    <w:rsid w:val="005B6CF6"/>
    <w:rsid w:val="005B7422"/>
    <w:rsid w:val="005B7F65"/>
    <w:rsid w:val="005C06EC"/>
    <w:rsid w:val="005C140D"/>
    <w:rsid w:val="005C29B8"/>
    <w:rsid w:val="005C2F17"/>
    <w:rsid w:val="005C36E5"/>
    <w:rsid w:val="005C428F"/>
    <w:rsid w:val="005C45A6"/>
    <w:rsid w:val="005C49B8"/>
    <w:rsid w:val="005C5C44"/>
    <w:rsid w:val="005C5F21"/>
    <w:rsid w:val="005C6E4F"/>
    <w:rsid w:val="005C7156"/>
    <w:rsid w:val="005C7B2F"/>
    <w:rsid w:val="005D0C75"/>
    <w:rsid w:val="005D1355"/>
    <w:rsid w:val="005D2A97"/>
    <w:rsid w:val="005D33A2"/>
    <w:rsid w:val="005D3C78"/>
    <w:rsid w:val="005D4171"/>
    <w:rsid w:val="005D5487"/>
    <w:rsid w:val="005D60D6"/>
    <w:rsid w:val="005D6A95"/>
    <w:rsid w:val="005D6B2C"/>
    <w:rsid w:val="005D6D9C"/>
    <w:rsid w:val="005D78FE"/>
    <w:rsid w:val="005E036C"/>
    <w:rsid w:val="005E1E32"/>
    <w:rsid w:val="005E2335"/>
    <w:rsid w:val="005E25CF"/>
    <w:rsid w:val="005E2847"/>
    <w:rsid w:val="005E34AE"/>
    <w:rsid w:val="005E34CA"/>
    <w:rsid w:val="005E3C18"/>
    <w:rsid w:val="005E4193"/>
    <w:rsid w:val="005E46D7"/>
    <w:rsid w:val="005E4BF4"/>
    <w:rsid w:val="005E5440"/>
    <w:rsid w:val="005E5F6A"/>
    <w:rsid w:val="005E6812"/>
    <w:rsid w:val="005E7881"/>
    <w:rsid w:val="005E78E0"/>
    <w:rsid w:val="005F0D9C"/>
    <w:rsid w:val="005F284E"/>
    <w:rsid w:val="005F325C"/>
    <w:rsid w:val="005F36DD"/>
    <w:rsid w:val="005F4377"/>
    <w:rsid w:val="005F4712"/>
    <w:rsid w:val="005F5A24"/>
    <w:rsid w:val="005F680F"/>
    <w:rsid w:val="005F7082"/>
    <w:rsid w:val="0060032E"/>
    <w:rsid w:val="006010BD"/>
    <w:rsid w:val="006015AA"/>
    <w:rsid w:val="006015CE"/>
    <w:rsid w:val="00603D68"/>
    <w:rsid w:val="00604784"/>
    <w:rsid w:val="00606419"/>
    <w:rsid w:val="00606A8E"/>
    <w:rsid w:val="00607D29"/>
    <w:rsid w:val="00610C88"/>
    <w:rsid w:val="00612952"/>
    <w:rsid w:val="00614CC1"/>
    <w:rsid w:val="00615A9D"/>
    <w:rsid w:val="00617387"/>
    <w:rsid w:val="00620541"/>
    <w:rsid w:val="006205D6"/>
    <w:rsid w:val="00622465"/>
    <w:rsid w:val="006224DF"/>
    <w:rsid w:val="00622701"/>
    <w:rsid w:val="0062347D"/>
    <w:rsid w:val="00624125"/>
    <w:rsid w:val="00624282"/>
    <w:rsid w:val="006252D8"/>
    <w:rsid w:val="0062586D"/>
    <w:rsid w:val="006259BC"/>
    <w:rsid w:val="00625E30"/>
    <w:rsid w:val="0062636B"/>
    <w:rsid w:val="00630821"/>
    <w:rsid w:val="006311C7"/>
    <w:rsid w:val="0063171A"/>
    <w:rsid w:val="00632182"/>
    <w:rsid w:val="00632AE0"/>
    <w:rsid w:val="00632C3C"/>
    <w:rsid w:val="00633C17"/>
    <w:rsid w:val="00634D9E"/>
    <w:rsid w:val="00634EEE"/>
    <w:rsid w:val="00636A94"/>
    <w:rsid w:val="00636DEC"/>
    <w:rsid w:val="00636E3E"/>
    <w:rsid w:val="0063781C"/>
    <w:rsid w:val="00637998"/>
    <w:rsid w:val="006379F7"/>
    <w:rsid w:val="00637E4D"/>
    <w:rsid w:val="00640620"/>
    <w:rsid w:val="00640A2A"/>
    <w:rsid w:val="006412BB"/>
    <w:rsid w:val="00641A1F"/>
    <w:rsid w:val="006427FF"/>
    <w:rsid w:val="00642943"/>
    <w:rsid w:val="00642A47"/>
    <w:rsid w:val="006442DC"/>
    <w:rsid w:val="00644BA4"/>
    <w:rsid w:val="00645100"/>
    <w:rsid w:val="0064584E"/>
    <w:rsid w:val="00645904"/>
    <w:rsid w:val="00645AA0"/>
    <w:rsid w:val="00646521"/>
    <w:rsid w:val="00646733"/>
    <w:rsid w:val="006468B7"/>
    <w:rsid w:val="00646BE2"/>
    <w:rsid w:val="00650812"/>
    <w:rsid w:val="00650C96"/>
    <w:rsid w:val="0065185C"/>
    <w:rsid w:val="00651ACB"/>
    <w:rsid w:val="00651C47"/>
    <w:rsid w:val="0065217F"/>
    <w:rsid w:val="00652883"/>
    <w:rsid w:val="00652AB2"/>
    <w:rsid w:val="00653FED"/>
    <w:rsid w:val="006548F8"/>
    <w:rsid w:val="00654D2D"/>
    <w:rsid w:val="00654EC0"/>
    <w:rsid w:val="0065525B"/>
    <w:rsid w:val="00655D4F"/>
    <w:rsid w:val="00655E50"/>
    <w:rsid w:val="00656508"/>
    <w:rsid w:val="00656CCD"/>
    <w:rsid w:val="00656D29"/>
    <w:rsid w:val="00660384"/>
    <w:rsid w:val="006608F4"/>
    <w:rsid w:val="00660BFC"/>
    <w:rsid w:val="00662105"/>
    <w:rsid w:val="00663115"/>
    <w:rsid w:val="006640E5"/>
    <w:rsid w:val="006643D1"/>
    <w:rsid w:val="006646F1"/>
    <w:rsid w:val="00664929"/>
    <w:rsid w:val="006649C4"/>
    <w:rsid w:val="00664F62"/>
    <w:rsid w:val="006655E1"/>
    <w:rsid w:val="00665EC4"/>
    <w:rsid w:val="00666076"/>
    <w:rsid w:val="00667862"/>
    <w:rsid w:val="00672060"/>
    <w:rsid w:val="00672BFD"/>
    <w:rsid w:val="00675760"/>
    <w:rsid w:val="00675D0E"/>
    <w:rsid w:val="006770F4"/>
    <w:rsid w:val="00677A84"/>
    <w:rsid w:val="00680269"/>
    <w:rsid w:val="0068026D"/>
    <w:rsid w:val="00680A27"/>
    <w:rsid w:val="006816A4"/>
    <w:rsid w:val="006819B8"/>
    <w:rsid w:val="00683A70"/>
    <w:rsid w:val="006840A6"/>
    <w:rsid w:val="00684970"/>
    <w:rsid w:val="00684D0A"/>
    <w:rsid w:val="006850CD"/>
    <w:rsid w:val="00685615"/>
    <w:rsid w:val="00685AAB"/>
    <w:rsid w:val="006862CB"/>
    <w:rsid w:val="00690CDB"/>
    <w:rsid w:val="00693091"/>
    <w:rsid w:val="00693664"/>
    <w:rsid w:val="006954B2"/>
    <w:rsid w:val="00695D22"/>
    <w:rsid w:val="006A0756"/>
    <w:rsid w:val="006A07AA"/>
    <w:rsid w:val="006A0F77"/>
    <w:rsid w:val="006A1841"/>
    <w:rsid w:val="006A1CD4"/>
    <w:rsid w:val="006A25E5"/>
    <w:rsid w:val="006A2B46"/>
    <w:rsid w:val="006A336D"/>
    <w:rsid w:val="006A37B9"/>
    <w:rsid w:val="006A5A84"/>
    <w:rsid w:val="006A5BC1"/>
    <w:rsid w:val="006B028B"/>
    <w:rsid w:val="006B2580"/>
    <w:rsid w:val="006B2672"/>
    <w:rsid w:val="006B2AFE"/>
    <w:rsid w:val="006B346A"/>
    <w:rsid w:val="006B450A"/>
    <w:rsid w:val="006B4572"/>
    <w:rsid w:val="006B4CAE"/>
    <w:rsid w:val="006B54BF"/>
    <w:rsid w:val="006B5F44"/>
    <w:rsid w:val="006B5F90"/>
    <w:rsid w:val="006B62E4"/>
    <w:rsid w:val="006B6BE8"/>
    <w:rsid w:val="006B7A47"/>
    <w:rsid w:val="006C1BBA"/>
    <w:rsid w:val="006C2079"/>
    <w:rsid w:val="006C2C8E"/>
    <w:rsid w:val="006C2F51"/>
    <w:rsid w:val="006C3EC9"/>
    <w:rsid w:val="006C43EC"/>
    <w:rsid w:val="006C4C17"/>
    <w:rsid w:val="006C521F"/>
    <w:rsid w:val="006C55EC"/>
    <w:rsid w:val="006C5A62"/>
    <w:rsid w:val="006C5D68"/>
    <w:rsid w:val="006C674A"/>
    <w:rsid w:val="006C6976"/>
    <w:rsid w:val="006C6DD0"/>
    <w:rsid w:val="006C74DE"/>
    <w:rsid w:val="006C7C92"/>
    <w:rsid w:val="006D04EA"/>
    <w:rsid w:val="006D16C4"/>
    <w:rsid w:val="006D1EF9"/>
    <w:rsid w:val="006D3C2A"/>
    <w:rsid w:val="006D3E96"/>
    <w:rsid w:val="006D4515"/>
    <w:rsid w:val="006D4A0B"/>
    <w:rsid w:val="006D4BB1"/>
    <w:rsid w:val="006D6593"/>
    <w:rsid w:val="006D70AC"/>
    <w:rsid w:val="006D75D3"/>
    <w:rsid w:val="006D78AA"/>
    <w:rsid w:val="006E0581"/>
    <w:rsid w:val="006E23EA"/>
    <w:rsid w:val="006E25A2"/>
    <w:rsid w:val="006E653B"/>
    <w:rsid w:val="006E7A78"/>
    <w:rsid w:val="006F03A8"/>
    <w:rsid w:val="006F0CCA"/>
    <w:rsid w:val="006F0EEE"/>
    <w:rsid w:val="006F2410"/>
    <w:rsid w:val="006F2ACA"/>
    <w:rsid w:val="006F2ADC"/>
    <w:rsid w:val="006F2BFE"/>
    <w:rsid w:val="006F31E9"/>
    <w:rsid w:val="006F4989"/>
    <w:rsid w:val="006F4CAB"/>
    <w:rsid w:val="006F6284"/>
    <w:rsid w:val="006F6EA7"/>
    <w:rsid w:val="007002C5"/>
    <w:rsid w:val="0070084B"/>
    <w:rsid w:val="0070116C"/>
    <w:rsid w:val="007014C6"/>
    <w:rsid w:val="00701A6D"/>
    <w:rsid w:val="00701AC0"/>
    <w:rsid w:val="00702A0E"/>
    <w:rsid w:val="0070304C"/>
    <w:rsid w:val="007033C3"/>
    <w:rsid w:val="00704387"/>
    <w:rsid w:val="00704CD1"/>
    <w:rsid w:val="00706D6C"/>
    <w:rsid w:val="00706E7A"/>
    <w:rsid w:val="00706F18"/>
    <w:rsid w:val="00707669"/>
    <w:rsid w:val="00711CBA"/>
    <w:rsid w:val="00711FB5"/>
    <w:rsid w:val="007121FE"/>
    <w:rsid w:val="00712A01"/>
    <w:rsid w:val="00712A22"/>
    <w:rsid w:val="00713907"/>
    <w:rsid w:val="00713956"/>
    <w:rsid w:val="00714B44"/>
    <w:rsid w:val="00714B59"/>
    <w:rsid w:val="00714F58"/>
    <w:rsid w:val="007153F4"/>
    <w:rsid w:val="00715A9D"/>
    <w:rsid w:val="007166EF"/>
    <w:rsid w:val="007168A9"/>
    <w:rsid w:val="00717D3A"/>
    <w:rsid w:val="0072081C"/>
    <w:rsid w:val="00720D24"/>
    <w:rsid w:val="00721B2C"/>
    <w:rsid w:val="00721C6B"/>
    <w:rsid w:val="00722FBF"/>
    <w:rsid w:val="00722FC2"/>
    <w:rsid w:val="00723168"/>
    <w:rsid w:val="0072318D"/>
    <w:rsid w:val="007233B1"/>
    <w:rsid w:val="00723881"/>
    <w:rsid w:val="007242FC"/>
    <w:rsid w:val="00724879"/>
    <w:rsid w:val="00724E1B"/>
    <w:rsid w:val="0072528A"/>
    <w:rsid w:val="00725949"/>
    <w:rsid w:val="00726690"/>
    <w:rsid w:val="0072782E"/>
    <w:rsid w:val="00727872"/>
    <w:rsid w:val="00727FA2"/>
    <w:rsid w:val="00730350"/>
    <w:rsid w:val="007310A7"/>
    <w:rsid w:val="007316EB"/>
    <w:rsid w:val="00731774"/>
    <w:rsid w:val="0073190C"/>
    <w:rsid w:val="007322D9"/>
    <w:rsid w:val="00732734"/>
    <w:rsid w:val="00732BC0"/>
    <w:rsid w:val="00735540"/>
    <w:rsid w:val="00735745"/>
    <w:rsid w:val="007358BD"/>
    <w:rsid w:val="00736228"/>
    <w:rsid w:val="0073720F"/>
    <w:rsid w:val="00737528"/>
    <w:rsid w:val="00737796"/>
    <w:rsid w:val="007378CC"/>
    <w:rsid w:val="00741607"/>
    <w:rsid w:val="0074164E"/>
    <w:rsid w:val="0074165C"/>
    <w:rsid w:val="007416E8"/>
    <w:rsid w:val="00741BDF"/>
    <w:rsid w:val="00741CD8"/>
    <w:rsid w:val="00741EB3"/>
    <w:rsid w:val="00742C35"/>
    <w:rsid w:val="00742F28"/>
    <w:rsid w:val="007432CA"/>
    <w:rsid w:val="007439EB"/>
    <w:rsid w:val="00743CB4"/>
    <w:rsid w:val="00743F0A"/>
    <w:rsid w:val="00743F82"/>
    <w:rsid w:val="007444E8"/>
    <w:rsid w:val="007447DE"/>
    <w:rsid w:val="00744831"/>
    <w:rsid w:val="0074548E"/>
    <w:rsid w:val="00745773"/>
    <w:rsid w:val="00746800"/>
    <w:rsid w:val="00746A99"/>
    <w:rsid w:val="007473B1"/>
    <w:rsid w:val="007501A8"/>
    <w:rsid w:val="00750D61"/>
    <w:rsid w:val="00750EE1"/>
    <w:rsid w:val="007522BB"/>
    <w:rsid w:val="00752B4D"/>
    <w:rsid w:val="00752DAC"/>
    <w:rsid w:val="00753042"/>
    <w:rsid w:val="00754DCA"/>
    <w:rsid w:val="00755402"/>
    <w:rsid w:val="007557CF"/>
    <w:rsid w:val="00755D19"/>
    <w:rsid w:val="00756B26"/>
    <w:rsid w:val="00756EDF"/>
    <w:rsid w:val="0075737A"/>
    <w:rsid w:val="007600E3"/>
    <w:rsid w:val="007613E1"/>
    <w:rsid w:val="00762ED0"/>
    <w:rsid w:val="00763E72"/>
    <w:rsid w:val="00764F24"/>
    <w:rsid w:val="00765C43"/>
    <w:rsid w:val="00765EFB"/>
    <w:rsid w:val="00765FC1"/>
    <w:rsid w:val="007671CA"/>
    <w:rsid w:val="00767C61"/>
    <w:rsid w:val="0077008A"/>
    <w:rsid w:val="00771C7C"/>
    <w:rsid w:val="00772416"/>
    <w:rsid w:val="007726AA"/>
    <w:rsid w:val="00773976"/>
    <w:rsid w:val="00773C1F"/>
    <w:rsid w:val="00774DA4"/>
    <w:rsid w:val="00775382"/>
    <w:rsid w:val="00776593"/>
    <w:rsid w:val="00776599"/>
    <w:rsid w:val="007771EA"/>
    <w:rsid w:val="00777ECA"/>
    <w:rsid w:val="007802C2"/>
    <w:rsid w:val="0078114B"/>
    <w:rsid w:val="0078184F"/>
    <w:rsid w:val="00781B51"/>
    <w:rsid w:val="00781DD2"/>
    <w:rsid w:val="00782B2D"/>
    <w:rsid w:val="00782C4A"/>
    <w:rsid w:val="007838C7"/>
    <w:rsid w:val="00783ECF"/>
    <w:rsid w:val="0078413A"/>
    <w:rsid w:val="00784CD1"/>
    <w:rsid w:val="00785A5B"/>
    <w:rsid w:val="00787E26"/>
    <w:rsid w:val="00790980"/>
    <w:rsid w:val="00791000"/>
    <w:rsid w:val="00791129"/>
    <w:rsid w:val="0079189B"/>
    <w:rsid w:val="007919C3"/>
    <w:rsid w:val="00791D95"/>
    <w:rsid w:val="007940A1"/>
    <w:rsid w:val="007951A3"/>
    <w:rsid w:val="007959E8"/>
    <w:rsid w:val="00795E9C"/>
    <w:rsid w:val="00797FB2"/>
    <w:rsid w:val="007A0521"/>
    <w:rsid w:val="007A187E"/>
    <w:rsid w:val="007A18B1"/>
    <w:rsid w:val="007A21F9"/>
    <w:rsid w:val="007A2C25"/>
    <w:rsid w:val="007A2CA9"/>
    <w:rsid w:val="007A2E12"/>
    <w:rsid w:val="007A3475"/>
    <w:rsid w:val="007A3773"/>
    <w:rsid w:val="007A3B57"/>
    <w:rsid w:val="007A41C8"/>
    <w:rsid w:val="007A54CE"/>
    <w:rsid w:val="007A6FD9"/>
    <w:rsid w:val="007A70F6"/>
    <w:rsid w:val="007A7FFA"/>
    <w:rsid w:val="007B04EB"/>
    <w:rsid w:val="007B069B"/>
    <w:rsid w:val="007B08BA"/>
    <w:rsid w:val="007B0D4F"/>
    <w:rsid w:val="007B150C"/>
    <w:rsid w:val="007B4551"/>
    <w:rsid w:val="007B5A3D"/>
    <w:rsid w:val="007B5B95"/>
    <w:rsid w:val="007B5BCF"/>
    <w:rsid w:val="007B68EA"/>
    <w:rsid w:val="007B69A9"/>
    <w:rsid w:val="007B7453"/>
    <w:rsid w:val="007B7A1B"/>
    <w:rsid w:val="007C005E"/>
    <w:rsid w:val="007C1440"/>
    <w:rsid w:val="007C1E8B"/>
    <w:rsid w:val="007C2D89"/>
    <w:rsid w:val="007C3386"/>
    <w:rsid w:val="007C4593"/>
    <w:rsid w:val="007C5309"/>
    <w:rsid w:val="007C6069"/>
    <w:rsid w:val="007C68E3"/>
    <w:rsid w:val="007D06C4"/>
    <w:rsid w:val="007D1352"/>
    <w:rsid w:val="007D2508"/>
    <w:rsid w:val="007D346A"/>
    <w:rsid w:val="007D3C89"/>
    <w:rsid w:val="007D3D3A"/>
    <w:rsid w:val="007D4D2D"/>
    <w:rsid w:val="007D6518"/>
    <w:rsid w:val="007D76BD"/>
    <w:rsid w:val="007D7A0A"/>
    <w:rsid w:val="007D7CF4"/>
    <w:rsid w:val="007E030C"/>
    <w:rsid w:val="007E0508"/>
    <w:rsid w:val="007E0BF1"/>
    <w:rsid w:val="007E0E95"/>
    <w:rsid w:val="007E1281"/>
    <w:rsid w:val="007E2C87"/>
    <w:rsid w:val="007E4EBE"/>
    <w:rsid w:val="007E7BC5"/>
    <w:rsid w:val="007F0E5F"/>
    <w:rsid w:val="007F0ED8"/>
    <w:rsid w:val="007F0F63"/>
    <w:rsid w:val="007F703B"/>
    <w:rsid w:val="007F75CE"/>
    <w:rsid w:val="008013A4"/>
    <w:rsid w:val="00801E8A"/>
    <w:rsid w:val="008027CE"/>
    <w:rsid w:val="00802B68"/>
    <w:rsid w:val="00802F42"/>
    <w:rsid w:val="008040C9"/>
    <w:rsid w:val="00804383"/>
    <w:rsid w:val="00804BB7"/>
    <w:rsid w:val="00804D41"/>
    <w:rsid w:val="00806969"/>
    <w:rsid w:val="00806FF7"/>
    <w:rsid w:val="0081014A"/>
    <w:rsid w:val="00810257"/>
    <w:rsid w:val="008104F5"/>
    <w:rsid w:val="00811072"/>
    <w:rsid w:val="00811369"/>
    <w:rsid w:val="008132D1"/>
    <w:rsid w:val="00814150"/>
    <w:rsid w:val="00815419"/>
    <w:rsid w:val="00815DD0"/>
    <w:rsid w:val="00815E0F"/>
    <w:rsid w:val="00816153"/>
    <w:rsid w:val="00816159"/>
    <w:rsid w:val="008163C8"/>
    <w:rsid w:val="008164A1"/>
    <w:rsid w:val="00817325"/>
    <w:rsid w:val="008175C7"/>
    <w:rsid w:val="00817ED2"/>
    <w:rsid w:val="00820668"/>
    <w:rsid w:val="008209E6"/>
    <w:rsid w:val="008212D1"/>
    <w:rsid w:val="008214D5"/>
    <w:rsid w:val="00821515"/>
    <w:rsid w:val="0082225C"/>
    <w:rsid w:val="00823276"/>
    <w:rsid w:val="00823303"/>
    <w:rsid w:val="008233B2"/>
    <w:rsid w:val="00823A9F"/>
    <w:rsid w:val="00823B98"/>
    <w:rsid w:val="00823C85"/>
    <w:rsid w:val="00824532"/>
    <w:rsid w:val="0082494F"/>
    <w:rsid w:val="00824A73"/>
    <w:rsid w:val="00825138"/>
    <w:rsid w:val="008255D1"/>
    <w:rsid w:val="00825904"/>
    <w:rsid w:val="00825E4F"/>
    <w:rsid w:val="008269DD"/>
    <w:rsid w:val="00826C61"/>
    <w:rsid w:val="00826DC1"/>
    <w:rsid w:val="00827787"/>
    <w:rsid w:val="00830590"/>
    <w:rsid w:val="00830621"/>
    <w:rsid w:val="0083209C"/>
    <w:rsid w:val="008324C9"/>
    <w:rsid w:val="00832FFF"/>
    <w:rsid w:val="008331F0"/>
    <w:rsid w:val="0083348C"/>
    <w:rsid w:val="0083392C"/>
    <w:rsid w:val="008350C5"/>
    <w:rsid w:val="00835517"/>
    <w:rsid w:val="008357BB"/>
    <w:rsid w:val="00835A84"/>
    <w:rsid w:val="00836A9A"/>
    <w:rsid w:val="00836E1E"/>
    <w:rsid w:val="008373D3"/>
    <w:rsid w:val="0083759A"/>
    <w:rsid w:val="008377FB"/>
    <w:rsid w:val="00837FD0"/>
    <w:rsid w:val="00840617"/>
    <w:rsid w:val="00840F84"/>
    <w:rsid w:val="00841475"/>
    <w:rsid w:val="00841D73"/>
    <w:rsid w:val="00842A47"/>
    <w:rsid w:val="008433B5"/>
    <w:rsid w:val="00843C13"/>
    <w:rsid w:val="00845037"/>
    <w:rsid w:val="008454F8"/>
    <w:rsid w:val="00850263"/>
    <w:rsid w:val="0085173A"/>
    <w:rsid w:val="00852ADD"/>
    <w:rsid w:val="00853C2D"/>
    <w:rsid w:val="00854FF4"/>
    <w:rsid w:val="00856316"/>
    <w:rsid w:val="00856716"/>
    <w:rsid w:val="0085683F"/>
    <w:rsid w:val="00856C94"/>
    <w:rsid w:val="00856F1D"/>
    <w:rsid w:val="00857C57"/>
    <w:rsid w:val="00857E4C"/>
    <w:rsid w:val="008603CE"/>
    <w:rsid w:val="00860743"/>
    <w:rsid w:val="00860C4A"/>
    <w:rsid w:val="008620FC"/>
    <w:rsid w:val="00862738"/>
    <w:rsid w:val="008627A5"/>
    <w:rsid w:val="00863E05"/>
    <w:rsid w:val="00863FDA"/>
    <w:rsid w:val="0086571B"/>
    <w:rsid w:val="00865ACA"/>
    <w:rsid w:val="00865D28"/>
    <w:rsid w:val="00865F85"/>
    <w:rsid w:val="00866A79"/>
    <w:rsid w:val="008673B1"/>
    <w:rsid w:val="0086757E"/>
    <w:rsid w:val="008679F4"/>
    <w:rsid w:val="00867C10"/>
    <w:rsid w:val="0087014F"/>
    <w:rsid w:val="00870439"/>
    <w:rsid w:val="00870DA1"/>
    <w:rsid w:val="0087125C"/>
    <w:rsid w:val="00871908"/>
    <w:rsid w:val="00872E56"/>
    <w:rsid w:val="00874D99"/>
    <w:rsid w:val="00875B74"/>
    <w:rsid w:val="00875E87"/>
    <w:rsid w:val="00877B3F"/>
    <w:rsid w:val="0088009E"/>
    <w:rsid w:val="008800E7"/>
    <w:rsid w:val="00880B87"/>
    <w:rsid w:val="00880E70"/>
    <w:rsid w:val="00881AF7"/>
    <w:rsid w:val="00881EA7"/>
    <w:rsid w:val="0088321B"/>
    <w:rsid w:val="00883F93"/>
    <w:rsid w:val="00884DB3"/>
    <w:rsid w:val="00885A9D"/>
    <w:rsid w:val="00885B38"/>
    <w:rsid w:val="008864F6"/>
    <w:rsid w:val="00887547"/>
    <w:rsid w:val="00887EA6"/>
    <w:rsid w:val="0089049D"/>
    <w:rsid w:val="00890C8A"/>
    <w:rsid w:val="008928C9"/>
    <w:rsid w:val="008930CB"/>
    <w:rsid w:val="008938DC"/>
    <w:rsid w:val="00893FD1"/>
    <w:rsid w:val="00894836"/>
    <w:rsid w:val="00894F85"/>
    <w:rsid w:val="00895172"/>
    <w:rsid w:val="00895680"/>
    <w:rsid w:val="00896DFF"/>
    <w:rsid w:val="00896FFF"/>
    <w:rsid w:val="008970A4"/>
    <w:rsid w:val="008973F0"/>
    <w:rsid w:val="0089762C"/>
    <w:rsid w:val="00897EAB"/>
    <w:rsid w:val="008A0E05"/>
    <w:rsid w:val="008A1357"/>
    <w:rsid w:val="008A1893"/>
    <w:rsid w:val="008A1D76"/>
    <w:rsid w:val="008A3215"/>
    <w:rsid w:val="008A479A"/>
    <w:rsid w:val="008A55DA"/>
    <w:rsid w:val="008A57E6"/>
    <w:rsid w:val="008A6F81"/>
    <w:rsid w:val="008A769A"/>
    <w:rsid w:val="008B0C9C"/>
    <w:rsid w:val="008B166D"/>
    <w:rsid w:val="008B17F4"/>
    <w:rsid w:val="008B1B62"/>
    <w:rsid w:val="008B256B"/>
    <w:rsid w:val="008B3615"/>
    <w:rsid w:val="008B43C7"/>
    <w:rsid w:val="008B4AC4"/>
    <w:rsid w:val="008B50C8"/>
    <w:rsid w:val="008B5281"/>
    <w:rsid w:val="008B53C0"/>
    <w:rsid w:val="008B601D"/>
    <w:rsid w:val="008B6AD5"/>
    <w:rsid w:val="008B77A1"/>
    <w:rsid w:val="008B7E05"/>
    <w:rsid w:val="008B7EED"/>
    <w:rsid w:val="008C16FD"/>
    <w:rsid w:val="008C1797"/>
    <w:rsid w:val="008C219C"/>
    <w:rsid w:val="008C23E0"/>
    <w:rsid w:val="008C2BD4"/>
    <w:rsid w:val="008C2FED"/>
    <w:rsid w:val="008C3136"/>
    <w:rsid w:val="008C4090"/>
    <w:rsid w:val="008C475E"/>
    <w:rsid w:val="008C4EA5"/>
    <w:rsid w:val="008C4EEB"/>
    <w:rsid w:val="008C5959"/>
    <w:rsid w:val="008C619A"/>
    <w:rsid w:val="008C69E6"/>
    <w:rsid w:val="008D0CE8"/>
    <w:rsid w:val="008D27AD"/>
    <w:rsid w:val="008D2B92"/>
    <w:rsid w:val="008D2D1D"/>
    <w:rsid w:val="008D2EA5"/>
    <w:rsid w:val="008D2F15"/>
    <w:rsid w:val="008D3A9A"/>
    <w:rsid w:val="008D3C7F"/>
    <w:rsid w:val="008D4039"/>
    <w:rsid w:val="008D453D"/>
    <w:rsid w:val="008D53AD"/>
    <w:rsid w:val="008D562B"/>
    <w:rsid w:val="008D5733"/>
    <w:rsid w:val="008D622B"/>
    <w:rsid w:val="008D666C"/>
    <w:rsid w:val="008D686A"/>
    <w:rsid w:val="008D7598"/>
    <w:rsid w:val="008D7B54"/>
    <w:rsid w:val="008D7FA3"/>
    <w:rsid w:val="008D7FE1"/>
    <w:rsid w:val="008E0C9D"/>
    <w:rsid w:val="008E1648"/>
    <w:rsid w:val="008E1B3E"/>
    <w:rsid w:val="008E2319"/>
    <w:rsid w:val="008E3DC9"/>
    <w:rsid w:val="008E4BB6"/>
    <w:rsid w:val="008E4D14"/>
    <w:rsid w:val="008E5518"/>
    <w:rsid w:val="008E68DB"/>
    <w:rsid w:val="008E6A84"/>
    <w:rsid w:val="008E6B85"/>
    <w:rsid w:val="008E6BDD"/>
    <w:rsid w:val="008E71DD"/>
    <w:rsid w:val="008F0192"/>
    <w:rsid w:val="008F0ADF"/>
    <w:rsid w:val="008F0CDC"/>
    <w:rsid w:val="008F1536"/>
    <w:rsid w:val="008F17A3"/>
    <w:rsid w:val="008F1ED3"/>
    <w:rsid w:val="008F1FA2"/>
    <w:rsid w:val="008F23A5"/>
    <w:rsid w:val="008F3C24"/>
    <w:rsid w:val="008F429D"/>
    <w:rsid w:val="008F4C29"/>
    <w:rsid w:val="008F545C"/>
    <w:rsid w:val="008F5E4B"/>
    <w:rsid w:val="008F68E8"/>
    <w:rsid w:val="008F70BD"/>
    <w:rsid w:val="008F788F"/>
    <w:rsid w:val="008F7EA2"/>
    <w:rsid w:val="00900750"/>
    <w:rsid w:val="0090077A"/>
    <w:rsid w:val="00901945"/>
    <w:rsid w:val="009024F4"/>
    <w:rsid w:val="00902722"/>
    <w:rsid w:val="009027BC"/>
    <w:rsid w:val="00902837"/>
    <w:rsid w:val="00904139"/>
    <w:rsid w:val="009044AB"/>
    <w:rsid w:val="00904C43"/>
    <w:rsid w:val="00904D2C"/>
    <w:rsid w:val="00906020"/>
    <w:rsid w:val="009062E6"/>
    <w:rsid w:val="009064DB"/>
    <w:rsid w:val="00906CB2"/>
    <w:rsid w:val="00911BE5"/>
    <w:rsid w:val="00913CA9"/>
    <w:rsid w:val="00914258"/>
    <w:rsid w:val="009145AE"/>
    <w:rsid w:val="009146CE"/>
    <w:rsid w:val="00914A97"/>
    <w:rsid w:val="00914B97"/>
    <w:rsid w:val="00914CA7"/>
    <w:rsid w:val="00915C3E"/>
    <w:rsid w:val="009161A8"/>
    <w:rsid w:val="00916FEB"/>
    <w:rsid w:val="00917D8A"/>
    <w:rsid w:val="00921BDA"/>
    <w:rsid w:val="00922523"/>
    <w:rsid w:val="0092261F"/>
    <w:rsid w:val="009245F5"/>
    <w:rsid w:val="009249EC"/>
    <w:rsid w:val="00924CE5"/>
    <w:rsid w:val="00927382"/>
    <w:rsid w:val="009273B3"/>
    <w:rsid w:val="009276AA"/>
    <w:rsid w:val="009279C8"/>
    <w:rsid w:val="009305B5"/>
    <w:rsid w:val="009311F9"/>
    <w:rsid w:val="00931C1C"/>
    <w:rsid w:val="00933367"/>
    <w:rsid w:val="009342FE"/>
    <w:rsid w:val="00934670"/>
    <w:rsid w:val="00934873"/>
    <w:rsid w:val="00937038"/>
    <w:rsid w:val="00940C0B"/>
    <w:rsid w:val="00940C16"/>
    <w:rsid w:val="009429D5"/>
    <w:rsid w:val="00942BF1"/>
    <w:rsid w:val="00942F0F"/>
    <w:rsid w:val="00943B89"/>
    <w:rsid w:val="00945180"/>
    <w:rsid w:val="00945428"/>
    <w:rsid w:val="00945509"/>
    <w:rsid w:val="009458CC"/>
    <w:rsid w:val="00945BCC"/>
    <w:rsid w:val="0094607B"/>
    <w:rsid w:val="009465F9"/>
    <w:rsid w:val="009466C3"/>
    <w:rsid w:val="009470B7"/>
    <w:rsid w:val="009523D0"/>
    <w:rsid w:val="00953604"/>
    <w:rsid w:val="0095496B"/>
    <w:rsid w:val="0095522B"/>
    <w:rsid w:val="009600A7"/>
    <w:rsid w:val="00960A7C"/>
    <w:rsid w:val="009610DC"/>
    <w:rsid w:val="00961490"/>
    <w:rsid w:val="00961654"/>
    <w:rsid w:val="009621DB"/>
    <w:rsid w:val="00962705"/>
    <w:rsid w:val="00962951"/>
    <w:rsid w:val="00962F97"/>
    <w:rsid w:val="0096381A"/>
    <w:rsid w:val="009648DF"/>
    <w:rsid w:val="00965E04"/>
    <w:rsid w:val="009674AD"/>
    <w:rsid w:val="00970920"/>
    <w:rsid w:val="00970CDC"/>
    <w:rsid w:val="00971214"/>
    <w:rsid w:val="00972037"/>
    <w:rsid w:val="0097325A"/>
    <w:rsid w:val="009733CA"/>
    <w:rsid w:val="009734A5"/>
    <w:rsid w:val="00974717"/>
    <w:rsid w:val="00974819"/>
    <w:rsid w:val="00975E91"/>
    <w:rsid w:val="00976508"/>
    <w:rsid w:val="00976C7A"/>
    <w:rsid w:val="00977010"/>
    <w:rsid w:val="00977895"/>
    <w:rsid w:val="00977A0F"/>
    <w:rsid w:val="00977D02"/>
    <w:rsid w:val="009809BB"/>
    <w:rsid w:val="00981D5F"/>
    <w:rsid w:val="00982E0F"/>
    <w:rsid w:val="0098364B"/>
    <w:rsid w:val="009837D5"/>
    <w:rsid w:val="0098446D"/>
    <w:rsid w:val="00984C6B"/>
    <w:rsid w:val="00985813"/>
    <w:rsid w:val="009861D5"/>
    <w:rsid w:val="009904A5"/>
    <w:rsid w:val="009907D1"/>
    <w:rsid w:val="0099112D"/>
    <w:rsid w:val="009911AF"/>
    <w:rsid w:val="00991680"/>
    <w:rsid w:val="00991875"/>
    <w:rsid w:val="0099190E"/>
    <w:rsid w:val="00991F92"/>
    <w:rsid w:val="0099242E"/>
    <w:rsid w:val="00992985"/>
    <w:rsid w:val="00992D88"/>
    <w:rsid w:val="009935BB"/>
    <w:rsid w:val="00993889"/>
    <w:rsid w:val="00993948"/>
    <w:rsid w:val="00994932"/>
    <w:rsid w:val="0099551B"/>
    <w:rsid w:val="00996623"/>
    <w:rsid w:val="00996DB4"/>
    <w:rsid w:val="009976F0"/>
    <w:rsid w:val="00997BF1"/>
    <w:rsid w:val="00997C1E"/>
    <w:rsid w:val="009A0086"/>
    <w:rsid w:val="009A02C0"/>
    <w:rsid w:val="009A089C"/>
    <w:rsid w:val="009A118E"/>
    <w:rsid w:val="009A16F5"/>
    <w:rsid w:val="009A21CD"/>
    <w:rsid w:val="009A25D9"/>
    <w:rsid w:val="009A278C"/>
    <w:rsid w:val="009A2BC2"/>
    <w:rsid w:val="009A3005"/>
    <w:rsid w:val="009A3BAA"/>
    <w:rsid w:val="009A3F79"/>
    <w:rsid w:val="009A42C1"/>
    <w:rsid w:val="009A45AE"/>
    <w:rsid w:val="009A4DE2"/>
    <w:rsid w:val="009A5429"/>
    <w:rsid w:val="009A5591"/>
    <w:rsid w:val="009A64F4"/>
    <w:rsid w:val="009A69F0"/>
    <w:rsid w:val="009A6B4C"/>
    <w:rsid w:val="009A72AD"/>
    <w:rsid w:val="009A745F"/>
    <w:rsid w:val="009B09E0"/>
    <w:rsid w:val="009B0BC5"/>
    <w:rsid w:val="009B1247"/>
    <w:rsid w:val="009B1EBF"/>
    <w:rsid w:val="009B48C1"/>
    <w:rsid w:val="009B5564"/>
    <w:rsid w:val="009B6029"/>
    <w:rsid w:val="009B6971"/>
    <w:rsid w:val="009B7A1D"/>
    <w:rsid w:val="009B7BCD"/>
    <w:rsid w:val="009B7F6A"/>
    <w:rsid w:val="009C05D4"/>
    <w:rsid w:val="009C0DE0"/>
    <w:rsid w:val="009C1CE3"/>
    <w:rsid w:val="009C262F"/>
    <w:rsid w:val="009C27F1"/>
    <w:rsid w:val="009C29B7"/>
    <w:rsid w:val="009C2A66"/>
    <w:rsid w:val="009C2E54"/>
    <w:rsid w:val="009C3152"/>
    <w:rsid w:val="009C38B9"/>
    <w:rsid w:val="009C3C39"/>
    <w:rsid w:val="009C4CFA"/>
    <w:rsid w:val="009C5070"/>
    <w:rsid w:val="009C597B"/>
    <w:rsid w:val="009C61A8"/>
    <w:rsid w:val="009C640F"/>
    <w:rsid w:val="009C6FBE"/>
    <w:rsid w:val="009C7211"/>
    <w:rsid w:val="009C7275"/>
    <w:rsid w:val="009C74B0"/>
    <w:rsid w:val="009D073C"/>
    <w:rsid w:val="009D112C"/>
    <w:rsid w:val="009D16E5"/>
    <w:rsid w:val="009D388E"/>
    <w:rsid w:val="009D43BD"/>
    <w:rsid w:val="009D47FA"/>
    <w:rsid w:val="009D4C5B"/>
    <w:rsid w:val="009D50D2"/>
    <w:rsid w:val="009D6BCA"/>
    <w:rsid w:val="009D7845"/>
    <w:rsid w:val="009E00F3"/>
    <w:rsid w:val="009E0BC8"/>
    <w:rsid w:val="009E0F62"/>
    <w:rsid w:val="009E2828"/>
    <w:rsid w:val="009E3AFD"/>
    <w:rsid w:val="009E4A58"/>
    <w:rsid w:val="009E5A2D"/>
    <w:rsid w:val="009E5AB2"/>
    <w:rsid w:val="009E6219"/>
    <w:rsid w:val="009E7390"/>
    <w:rsid w:val="009F03B3"/>
    <w:rsid w:val="009F0E7F"/>
    <w:rsid w:val="009F298D"/>
    <w:rsid w:val="009F2B06"/>
    <w:rsid w:val="009F2F3C"/>
    <w:rsid w:val="009F392F"/>
    <w:rsid w:val="009F674E"/>
    <w:rsid w:val="009F6FCF"/>
    <w:rsid w:val="009F7FBE"/>
    <w:rsid w:val="00A0096C"/>
    <w:rsid w:val="00A01757"/>
    <w:rsid w:val="00A028C0"/>
    <w:rsid w:val="00A02BAE"/>
    <w:rsid w:val="00A031FA"/>
    <w:rsid w:val="00A03DC3"/>
    <w:rsid w:val="00A06535"/>
    <w:rsid w:val="00A06A6B"/>
    <w:rsid w:val="00A07E47"/>
    <w:rsid w:val="00A10985"/>
    <w:rsid w:val="00A129D0"/>
    <w:rsid w:val="00A12C33"/>
    <w:rsid w:val="00A13184"/>
    <w:rsid w:val="00A13836"/>
    <w:rsid w:val="00A138BA"/>
    <w:rsid w:val="00A14C8E"/>
    <w:rsid w:val="00A153D9"/>
    <w:rsid w:val="00A155E1"/>
    <w:rsid w:val="00A15DFC"/>
    <w:rsid w:val="00A15F09"/>
    <w:rsid w:val="00A15FAA"/>
    <w:rsid w:val="00A1619E"/>
    <w:rsid w:val="00A169B6"/>
    <w:rsid w:val="00A205ED"/>
    <w:rsid w:val="00A21571"/>
    <w:rsid w:val="00A21786"/>
    <w:rsid w:val="00A2271D"/>
    <w:rsid w:val="00A237D5"/>
    <w:rsid w:val="00A26D56"/>
    <w:rsid w:val="00A26D90"/>
    <w:rsid w:val="00A2788F"/>
    <w:rsid w:val="00A27C38"/>
    <w:rsid w:val="00A302DB"/>
    <w:rsid w:val="00A3047E"/>
    <w:rsid w:val="00A30530"/>
    <w:rsid w:val="00A30EFC"/>
    <w:rsid w:val="00A31984"/>
    <w:rsid w:val="00A32B25"/>
    <w:rsid w:val="00A32D73"/>
    <w:rsid w:val="00A32F87"/>
    <w:rsid w:val="00A3367B"/>
    <w:rsid w:val="00A3444A"/>
    <w:rsid w:val="00A34DA4"/>
    <w:rsid w:val="00A34F3C"/>
    <w:rsid w:val="00A3541C"/>
    <w:rsid w:val="00A35973"/>
    <w:rsid w:val="00A3597D"/>
    <w:rsid w:val="00A365B5"/>
    <w:rsid w:val="00A365E4"/>
    <w:rsid w:val="00A36B5C"/>
    <w:rsid w:val="00A36DD1"/>
    <w:rsid w:val="00A4006C"/>
    <w:rsid w:val="00A40091"/>
    <w:rsid w:val="00A4030F"/>
    <w:rsid w:val="00A419E4"/>
    <w:rsid w:val="00A41C79"/>
    <w:rsid w:val="00A41CB5"/>
    <w:rsid w:val="00A42CDF"/>
    <w:rsid w:val="00A4316C"/>
    <w:rsid w:val="00A43581"/>
    <w:rsid w:val="00A4452E"/>
    <w:rsid w:val="00A4472C"/>
    <w:rsid w:val="00A44E69"/>
    <w:rsid w:val="00A45B03"/>
    <w:rsid w:val="00A4661E"/>
    <w:rsid w:val="00A474BC"/>
    <w:rsid w:val="00A477D4"/>
    <w:rsid w:val="00A5595C"/>
    <w:rsid w:val="00A55A09"/>
    <w:rsid w:val="00A55A7C"/>
    <w:rsid w:val="00A55BD6"/>
    <w:rsid w:val="00A55D50"/>
    <w:rsid w:val="00A57142"/>
    <w:rsid w:val="00A57FB5"/>
    <w:rsid w:val="00A602C4"/>
    <w:rsid w:val="00A610C2"/>
    <w:rsid w:val="00A6167C"/>
    <w:rsid w:val="00A639CB"/>
    <w:rsid w:val="00A63E40"/>
    <w:rsid w:val="00A648CD"/>
    <w:rsid w:val="00A6537A"/>
    <w:rsid w:val="00A655C1"/>
    <w:rsid w:val="00A67866"/>
    <w:rsid w:val="00A67A4E"/>
    <w:rsid w:val="00A70B07"/>
    <w:rsid w:val="00A715F3"/>
    <w:rsid w:val="00A723F8"/>
    <w:rsid w:val="00A73204"/>
    <w:rsid w:val="00A75075"/>
    <w:rsid w:val="00A75689"/>
    <w:rsid w:val="00A756F0"/>
    <w:rsid w:val="00A75D13"/>
    <w:rsid w:val="00A761AC"/>
    <w:rsid w:val="00A776B5"/>
    <w:rsid w:val="00A779B1"/>
    <w:rsid w:val="00A77CCB"/>
    <w:rsid w:val="00A77FEE"/>
    <w:rsid w:val="00A821B8"/>
    <w:rsid w:val="00A8263E"/>
    <w:rsid w:val="00A83668"/>
    <w:rsid w:val="00A83D8D"/>
    <w:rsid w:val="00A84224"/>
    <w:rsid w:val="00A8446B"/>
    <w:rsid w:val="00A8473F"/>
    <w:rsid w:val="00A84764"/>
    <w:rsid w:val="00A84D78"/>
    <w:rsid w:val="00A8548F"/>
    <w:rsid w:val="00A8559A"/>
    <w:rsid w:val="00A85CBF"/>
    <w:rsid w:val="00A85E00"/>
    <w:rsid w:val="00A862D6"/>
    <w:rsid w:val="00A863F7"/>
    <w:rsid w:val="00A8661D"/>
    <w:rsid w:val="00A86D51"/>
    <w:rsid w:val="00A870E7"/>
    <w:rsid w:val="00A8715B"/>
    <w:rsid w:val="00A8715E"/>
    <w:rsid w:val="00A87FF1"/>
    <w:rsid w:val="00A908A3"/>
    <w:rsid w:val="00A91007"/>
    <w:rsid w:val="00A91622"/>
    <w:rsid w:val="00A919DC"/>
    <w:rsid w:val="00A91B60"/>
    <w:rsid w:val="00A9295B"/>
    <w:rsid w:val="00A92CBA"/>
    <w:rsid w:val="00A93B09"/>
    <w:rsid w:val="00A94176"/>
    <w:rsid w:val="00A94247"/>
    <w:rsid w:val="00A952D7"/>
    <w:rsid w:val="00A95AE1"/>
    <w:rsid w:val="00A963F7"/>
    <w:rsid w:val="00A96AD8"/>
    <w:rsid w:val="00A96B8A"/>
    <w:rsid w:val="00A96F28"/>
    <w:rsid w:val="00A97569"/>
    <w:rsid w:val="00AA052C"/>
    <w:rsid w:val="00AA075F"/>
    <w:rsid w:val="00AA1E45"/>
    <w:rsid w:val="00AA31A1"/>
    <w:rsid w:val="00AA4286"/>
    <w:rsid w:val="00AA456B"/>
    <w:rsid w:val="00AA5520"/>
    <w:rsid w:val="00AA57F5"/>
    <w:rsid w:val="00AA5814"/>
    <w:rsid w:val="00AA5F58"/>
    <w:rsid w:val="00AA6563"/>
    <w:rsid w:val="00AA672E"/>
    <w:rsid w:val="00AA6EC9"/>
    <w:rsid w:val="00AA7715"/>
    <w:rsid w:val="00AA7D83"/>
    <w:rsid w:val="00AB0C43"/>
    <w:rsid w:val="00AB13B9"/>
    <w:rsid w:val="00AB28A0"/>
    <w:rsid w:val="00AB3024"/>
    <w:rsid w:val="00AB3F63"/>
    <w:rsid w:val="00AB3F7E"/>
    <w:rsid w:val="00AB41D5"/>
    <w:rsid w:val="00AB5144"/>
    <w:rsid w:val="00AB6309"/>
    <w:rsid w:val="00AB65DA"/>
    <w:rsid w:val="00AB6C5F"/>
    <w:rsid w:val="00AB7129"/>
    <w:rsid w:val="00AC1129"/>
    <w:rsid w:val="00AC1439"/>
    <w:rsid w:val="00AC27A6"/>
    <w:rsid w:val="00AC30F7"/>
    <w:rsid w:val="00AC37B9"/>
    <w:rsid w:val="00AC3A5A"/>
    <w:rsid w:val="00AC4D04"/>
    <w:rsid w:val="00AC4D95"/>
    <w:rsid w:val="00AC53EE"/>
    <w:rsid w:val="00AC5DF4"/>
    <w:rsid w:val="00AC7099"/>
    <w:rsid w:val="00AC7C08"/>
    <w:rsid w:val="00AC7E19"/>
    <w:rsid w:val="00AD0AEF"/>
    <w:rsid w:val="00AD11B7"/>
    <w:rsid w:val="00AD14FB"/>
    <w:rsid w:val="00AD1A94"/>
    <w:rsid w:val="00AD1C05"/>
    <w:rsid w:val="00AD2020"/>
    <w:rsid w:val="00AD4126"/>
    <w:rsid w:val="00AD421C"/>
    <w:rsid w:val="00AD44FA"/>
    <w:rsid w:val="00AD5B26"/>
    <w:rsid w:val="00AD6C6C"/>
    <w:rsid w:val="00AD6DC5"/>
    <w:rsid w:val="00AE070A"/>
    <w:rsid w:val="00AE08E7"/>
    <w:rsid w:val="00AE101C"/>
    <w:rsid w:val="00AE2264"/>
    <w:rsid w:val="00AE37E5"/>
    <w:rsid w:val="00AE45D5"/>
    <w:rsid w:val="00AE5AEB"/>
    <w:rsid w:val="00AE5AF6"/>
    <w:rsid w:val="00AE5EB4"/>
    <w:rsid w:val="00AE632C"/>
    <w:rsid w:val="00AE634F"/>
    <w:rsid w:val="00AE6DFD"/>
    <w:rsid w:val="00AE7C94"/>
    <w:rsid w:val="00AE7D1B"/>
    <w:rsid w:val="00AF0255"/>
    <w:rsid w:val="00AF05B4"/>
    <w:rsid w:val="00AF0609"/>
    <w:rsid w:val="00AF0C18"/>
    <w:rsid w:val="00AF1C22"/>
    <w:rsid w:val="00AF2EFA"/>
    <w:rsid w:val="00AF47C5"/>
    <w:rsid w:val="00AF47DE"/>
    <w:rsid w:val="00AF4FDF"/>
    <w:rsid w:val="00AF51EE"/>
    <w:rsid w:val="00AF5398"/>
    <w:rsid w:val="00AF6458"/>
    <w:rsid w:val="00AF772B"/>
    <w:rsid w:val="00AF7881"/>
    <w:rsid w:val="00B0086C"/>
    <w:rsid w:val="00B03149"/>
    <w:rsid w:val="00B04667"/>
    <w:rsid w:val="00B049AF"/>
    <w:rsid w:val="00B056E2"/>
    <w:rsid w:val="00B0607D"/>
    <w:rsid w:val="00B07242"/>
    <w:rsid w:val="00B074E2"/>
    <w:rsid w:val="00B075F4"/>
    <w:rsid w:val="00B10534"/>
    <w:rsid w:val="00B1084A"/>
    <w:rsid w:val="00B113DB"/>
    <w:rsid w:val="00B11D8A"/>
    <w:rsid w:val="00B1264A"/>
    <w:rsid w:val="00B12946"/>
    <w:rsid w:val="00B12981"/>
    <w:rsid w:val="00B147DD"/>
    <w:rsid w:val="00B156FD"/>
    <w:rsid w:val="00B17135"/>
    <w:rsid w:val="00B1784C"/>
    <w:rsid w:val="00B17B82"/>
    <w:rsid w:val="00B17C67"/>
    <w:rsid w:val="00B210BE"/>
    <w:rsid w:val="00B2131B"/>
    <w:rsid w:val="00B21F61"/>
    <w:rsid w:val="00B23270"/>
    <w:rsid w:val="00B23301"/>
    <w:rsid w:val="00B23348"/>
    <w:rsid w:val="00B23AA6"/>
    <w:rsid w:val="00B240A1"/>
    <w:rsid w:val="00B261F1"/>
    <w:rsid w:val="00B265BC"/>
    <w:rsid w:val="00B26FFC"/>
    <w:rsid w:val="00B27EFB"/>
    <w:rsid w:val="00B303D7"/>
    <w:rsid w:val="00B309DF"/>
    <w:rsid w:val="00B31FB1"/>
    <w:rsid w:val="00B33952"/>
    <w:rsid w:val="00B33C5E"/>
    <w:rsid w:val="00B342F4"/>
    <w:rsid w:val="00B34369"/>
    <w:rsid w:val="00B34DC2"/>
    <w:rsid w:val="00B3668E"/>
    <w:rsid w:val="00B370CA"/>
    <w:rsid w:val="00B378E5"/>
    <w:rsid w:val="00B40ACF"/>
    <w:rsid w:val="00B40FBD"/>
    <w:rsid w:val="00B4346D"/>
    <w:rsid w:val="00B43716"/>
    <w:rsid w:val="00B440F4"/>
    <w:rsid w:val="00B447A5"/>
    <w:rsid w:val="00B449DB"/>
    <w:rsid w:val="00B450C5"/>
    <w:rsid w:val="00B4654C"/>
    <w:rsid w:val="00B47293"/>
    <w:rsid w:val="00B50E50"/>
    <w:rsid w:val="00B5176B"/>
    <w:rsid w:val="00B52120"/>
    <w:rsid w:val="00B531C6"/>
    <w:rsid w:val="00B5482D"/>
    <w:rsid w:val="00B54ABC"/>
    <w:rsid w:val="00B54DDE"/>
    <w:rsid w:val="00B56FBE"/>
    <w:rsid w:val="00B572AB"/>
    <w:rsid w:val="00B577F1"/>
    <w:rsid w:val="00B57D3C"/>
    <w:rsid w:val="00B604CC"/>
    <w:rsid w:val="00B60ACF"/>
    <w:rsid w:val="00B60B0A"/>
    <w:rsid w:val="00B61FB3"/>
    <w:rsid w:val="00B62595"/>
    <w:rsid w:val="00B62B58"/>
    <w:rsid w:val="00B64C1E"/>
    <w:rsid w:val="00B65149"/>
    <w:rsid w:val="00B66567"/>
    <w:rsid w:val="00B66571"/>
    <w:rsid w:val="00B667B7"/>
    <w:rsid w:val="00B66F52"/>
    <w:rsid w:val="00B66FE5"/>
    <w:rsid w:val="00B709DD"/>
    <w:rsid w:val="00B7137D"/>
    <w:rsid w:val="00B72880"/>
    <w:rsid w:val="00B73127"/>
    <w:rsid w:val="00B75011"/>
    <w:rsid w:val="00B758BF"/>
    <w:rsid w:val="00B76F63"/>
    <w:rsid w:val="00B77D27"/>
    <w:rsid w:val="00B77EC8"/>
    <w:rsid w:val="00B80711"/>
    <w:rsid w:val="00B825EB"/>
    <w:rsid w:val="00B827A6"/>
    <w:rsid w:val="00B82AA8"/>
    <w:rsid w:val="00B831CE"/>
    <w:rsid w:val="00B832E9"/>
    <w:rsid w:val="00B835C2"/>
    <w:rsid w:val="00B83A33"/>
    <w:rsid w:val="00B845DA"/>
    <w:rsid w:val="00B84A55"/>
    <w:rsid w:val="00B86182"/>
    <w:rsid w:val="00B86677"/>
    <w:rsid w:val="00B86EB8"/>
    <w:rsid w:val="00B87131"/>
    <w:rsid w:val="00B90226"/>
    <w:rsid w:val="00B902FD"/>
    <w:rsid w:val="00B915D1"/>
    <w:rsid w:val="00B939B1"/>
    <w:rsid w:val="00B93BF3"/>
    <w:rsid w:val="00B95228"/>
    <w:rsid w:val="00B95615"/>
    <w:rsid w:val="00B95727"/>
    <w:rsid w:val="00B95769"/>
    <w:rsid w:val="00B962E4"/>
    <w:rsid w:val="00B96D40"/>
    <w:rsid w:val="00B972C8"/>
    <w:rsid w:val="00B97386"/>
    <w:rsid w:val="00B97756"/>
    <w:rsid w:val="00B97B59"/>
    <w:rsid w:val="00BA099D"/>
    <w:rsid w:val="00BA22EC"/>
    <w:rsid w:val="00BA23CF"/>
    <w:rsid w:val="00BA263B"/>
    <w:rsid w:val="00BA3DAD"/>
    <w:rsid w:val="00BA42B2"/>
    <w:rsid w:val="00BA529B"/>
    <w:rsid w:val="00BA58D4"/>
    <w:rsid w:val="00BA5B9E"/>
    <w:rsid w:val="00BA7C9A"/>
    <w:rsid w:val="00BB018B"/>
    <w:rsid w:val="00BB0C2B"/>
    <w:rsid w:val="00BB0E75"/>
    <w:rsid w:val="00BB0F29"/>
    <w:rsid w:val="00BB44CC"/>
    <w:rsid w:val="00BB46C9"/>
    <w:rsid w:val="00BB482F"/>
    <w:rsid w:val="00BB531F"/>
    <w:rsid w:val="00BB5CE7"/>
    <w:rsid w:val="00BB5F8F"/>
    <w:rsid w:val="00BB6441"/>
    <w:rsid w:val="00BB657A"/>
    <w:rsid w:val="00BB7625"/>
    <w:rsid w:val="00BC1A4E"/>
    <w:rsid w:val="00BC43AA"/>
    <w:rsid w:val="00BC4676"/>
    <w:rsid w:val="00BC50B7"/>
    <w:rsid w:val="00BC5DC7"/>
    <w:rsid w:val="00BC5FDB"/>
    <w:rsid w:val="00BC65DF"/>
    <w:rsid w:val="00BC68FB"/>
    <w:rsid w:val="00BC6B8B"/>
    <w:rsid w:val="00BC73D8"/>
    <w:rsid w:val="00BC7C00"/>
    <w:rsid w:val="00BD009D"/>
    <w:rsid w:val="00BD0A05"/>
    <w:rsid w:val="00BD306A"/>
    <w:rsid w:val="00BD3BA9"/>
    <w:rsid w:val="00BD52D7"/>
    <w:rsid w:val="00BD5568"/>
    <w:rsid w:val="00BD59F2"/>
    <w:rsid w:val="00BD5AD2"/>
    <w:rsid w:val="00BD5BC4"/>
    <w:rsid w:val="00BD6AFB"/>
    <w:rsid w:val="00BD6E92"/>
    <w:rsid w:val="00BD712A"/>
    <w:rsid w:val="00BD7CD7"/>
    <w:rsid w:val="00BE197E"/>
    <w:rsid w:val="00BE1B07"/>
    <w:rsid w:val="00BE1DAB"/>
    <w:rsid w:val="00BE22F3"/>
    <w:rsid w:val="00BE2FC0"/>
    <w:rsid w:val="00BE5B52"/>
    <w:rsid w:val="00BE5CFC"/>
    <w:rsid w:val="00BE5E95"/>
    <w:rsid w:val="00BE7730"/>
    <w:rsid w:val="00BE7A40"/>
    <w:rsid w:val="00BE7B8D"/>
    <w:rsid w:val="00BF064E"/>
    <w:rsid w:val="00BF0993"/>
    <w:rsid w:val="00BF10A9"/>
    <w:rsid w:val="00BF1703"/>
    <w:rsid w:val="00BF1825"/>
    <w:rsid w:val="00BF1E82"/>
    <w:rsid w:val="00BF231C"/>
    <w:rsid w:val="00BF2C72"/>
    <w:rsid w:val="00BF2FBD"/>
    <w:rsid w:val="00BF51E5"/>
    <w:rsid w:val="00BF74A6"/>
    <w:rsid w:val="00C01133"/>
    <w:rsid w:val="00C013AD"/>
    <w:rsid w:val="00C0461B"/>
    <w:rsid w:val="00C04904"/>
    <w:rsid w:val="00C0505C"/>
    <w:rsid w:val="00C056B3"/>
    <w:rsid w:val="00C05CBB"/>
    <w:rsid w:val="00C06187"/>
    <w:rsid w:val="00C06BE1"/>
    <w:rsid w:val="00C077C6"/>
    <w:rsid w:val="00C103E5"/>
    <w:rsid w:val="00C10A51"/>
    <w:rsid w:val="00C127D5"/>
    <w:rsid w:val="00C12FC2"/>
    <w:rsid w:val="00C13319"/>
    <w:rsid w:val="00C13EE9"/>
    <w:rsid w:val="00C15078"/>
    <w:rsid w:val="00C16F18"/>
    <w:rsid w:val="00C21540"/>
    <w:rsid w:val="00C21906"/>
    <w:rsid w:val="00C21BFA"/>
    <w:rsid w:val="00C22071"/>
    <w:rsid w:val="00C22148"/>
    <w:rsid w:val="00C2289D"/>
    <w:rsid w:val="00C2393B"/>
    <w:rsid w:val="00C24C8D"/>
    <w:rsid w:val="00C25F69"/>
    <w:rsid w:val="00C25FE2"/>
    <w:rsid w:val="00C26B53"/>
    <w:rsid w:val="00C279B2"/>
    <w:rsid w:val="00C27D00"/>
    <w:rsid w:val="00C30077"/>
    <w:rsid w:val="00C30436"/>
    <w:rsid w:val="00C31975"/>
    <w:rsid w:val="00C33E50"/>
    <w:rsid w:val="00C34C20"/>
    <w:rsid w:val="00C35A3E"/>
    <w:rsid w:val="00C379B7"/>
    <w:rsid w:val="00C37BF0"/>
    <w:rsid w:val="00C4056E"/>
    <w:rsid w:val="00C42130"/>
    <w:rsid w:val="00C423A4"/>
    <w:rsid w:val="00C440AC"/>
    <w:rsid w:val="00C44BF5"/>
    <w:rsid w:val="00C47151"/>
    <w:rsid w:val="00C477F2"/>
    <w:rsid w:val="00C47E99"/>
    <w:rsid w:val="00C521D6"/>
    <w:rsid w:val="00C54879"/>
    <w:rsid w:val="00C55232"/>
    <w:rsid w:val="00C553A4"/>
    <w:rsid w:val="00C55A06"/>
    <w:rsid w:val="00C55D03"/>
    <w:rsid w:val="00C56958"/>
    <w:rsid w:val="00C601BC"/>
    <w:rsid w:val="00C60584"/>
    <w:rsid w:val="00C61269"/>
    <w:rsid w:val="00C629B4"/>
    <w:rsid w:val="00C62CCB"/>
    <w:rsid w:val="00C6329F"/>
    <w:rsid w:val="00C63340"/>
    <w:rsid w:val="00C63695"/>
    <w:rsid w:val="00C643F9"/>
    <w:rsid w:val="00C64E95"/>
    <w:rsid w:val="00C65DAD"/>
    <w:rsid w:val="00C66B5D"/>
    <w:rsid w:val="00C678D4"/>
    <w:rsid w:val="00C71372"/>
    <w:rsid w:val="00C72410"/>
    <w:rsid w:val="00C7287F"/>
    <w:rsid w:val="00C73380"/>
    <w:rsid w:val="00C74A49"/>
    <w:rsid w:val="00C74C4A"/>
    <w:rsid w:val="00C74EE8"/>
    <w:rsid w:val="00C750C5"/>
    <w:rsid w:val="00C75FBB"/>
    <w:rsid w:val="00C77558"/>
    <w:rsid w:val="00C77B23"/>
    <w:rsid w:val="00C80CB8"/>
    <w:rsid w:val="00C819F8"/>
    <w:rsid w:val="00C8248C"/>
    <w:rsid w:val="00C8457D"/>
    <w:rsid w:val="00C84E33"/>
    <w:rsid w:val="00C852FF"/>
    <w:rsid w:val="00C85463"/>
    <w:rsid w:val="00C859A1"/>
    <w:rsid w:val="00C85AE5"/>
    <w:rsid w:val="00C86118"/>
    <w:rsid w:val="00C86A16"/>
    <w:rsid w:val="00C86D6F"/>
    <w:rsid w:val="00C87E61"/>
    <w:rsid w:val="00C905FC"/>
    <w:rsid w:val="00C90A56"/>
    <w:rsid w:val="00C91E9D"/>
    <w:rsid w:val="00C92D03"/>
    <w:rsid w:val="00C9319C"/>
    <w:rsid w:val="00C9400E"/>
    <w:rsid w:val="00C9435D"/>
    <w:rsid w:val="00C943FE"/>
    <w:rsid w:val="00C94DF2"/>
    <w:rsid w:val="00C960BC"/>
    <w:rsid w:val="00C96741"/>
    <w:rsid w:val="00CA0ACE"/>
    <w:rsid w:val="00CA2C56"/>
    <w:rsid w:val="00CA2D1B"/>
    <w:rsid w:val="00CA375D"/>
    <w:rsid w:val="00CA4D38"/>
    <w:rsid w:val="00CA662A"/>
    <w:rsid w:val="00CA7AFD"/>
    <w:rsid w:val="00CA7C3C"/>
    <w:rsid w:val="00CA7E95"/>
    <w:rsid w:val="00CB0189"/>
    <w:rsid w:val="00CB01DD"/>
    <w:rsid w:val="00CB0BA2"/>
    <w:rsid w:val="00CB15F5"/>
    <w:rsid w:val="00CB1A42"/>
    <w:rsid w:val="00CB1B0C"/>
    <w:rsid w:val="00CB25BA"/>
    <w:rsid w:val="00CB2C0B"/>
    <w:rsid w:val="00CB2EDE"/>
    <w:rsid w:val="00CB4EB6"/>
    <w:rsid w:val="00CB517D"/>
    <w:rsid w:val="00CB52AD"/>
    <w:rsid w:val="00CB58FE"/>
    <w:rsid w:val="00CB775A"/>
    <w:rsid w:val="00CC038D"/>
    <w:rsid w:val="00CC06DB"/>
    <w:rsid w:val="00CC08DB"/>
    <w:rsid w:val="00CC39FF"/>
    <w:rsid w:val="00CC3C2F"/>
    <w:rsid w:val="00CC3DB3"/>
    <w:rsid w:val="00CC4AC8"/>
    <w:rsid w:val="00CC5233"/>
    <w:rsid w:val="00CC5DE6"/>
    <w:rsid w:val="00CC6AD4"/>
    <w:rsid w:val="00CC6E4E"/>
    <w:rsid w:val="00CC6FE8"/>
    <w:rsid w:val="00CC7202"/>
    <w:rsid w:val="00CC780D"/>
    <w:rsid w:val="00CD0005"/>
    <w:rsid w:val="00CD2152"/>
    <w:rsid w:val="00CD2808"/>
    <w:rsid w:val="00CD28BF"/>
    <w:rsid w:val="00CD3282"/>
    <w:rsid w:val="00CD3B98"/>
    <w:rsid w:val="00CD4092"/>
    <w:rsid w:val="00CD4A20"/>
    <w:rsid w:val="00CD50A1"/>
    <w:rsid w:val="00CD519E"/>
    <w:rsid w:val="00CD52C1"/>
    <w:rsid w:val="00CD6994"/>
    <w:rsid w:val="00CD69DA"/>
    <w:rsid w:val="00CD7471"/>
    <w:rsid w:val="00CE061C"/>
    <w:rsid w:val="00CE0C4F"/>
    <w:rsid w:val="00CE116F"/>
    <w:rsid w:val="00CE118E"/>
    <w:rsid w:val="00CE200A"/>
    <w:rsid w:val="00CE30EA"/>
    <w:rsid w:val="00CE34D8"/>
    <w:rsid w:val="00CE48F5"/>
    <w:rsid w:val="00CE4EB6"/>
    <w:rsid w:val="00CE5CC5"/>
    <w:rsid w:val="00CE5CE5"/>
    <w:rsid w:val="00CE7605"/>
    <w:rsid w:val="00CE7D16"/>
    <w:rsid w:val="00CF048A"/>
    <w:rsid w:val="00CF155A"/>
    <w:rsid w:val="00CF2571"/>
    <w:rsid w:val="00CF2947"/>
    <w:rsid w:val="00CF4875"/>
    <w:rsid w:val="00CF4EF4"/>
    <w:rsid w:val="00CF64B5"/>
    <w:rsid w:val="00CF686F"/>
    <w:rsid w:val="00CF6E60"/>
    <w:rsid w:val="00CF725D"/>
    <w:rsid w:val="00CF7808"/>
    <w:rsid w:val="00CF7BCA"/>
    <w:rsid w:val="00D008FD"/>
    <w:rsid w:val="00D01AC4"/>
    <w:rsid w:val="00D0321C"/>
    <w:rsid w:val="00D03401"/>
    <w:rsid w:val="00D035EC"/>
    <w:rsid w:val="00D0406E"/>
    <w:rsid w:val="00D054E3"/>
    <w:rsid w:val="00D05A01"/>
    <w:rsid w:val="00D0611B"/>
    <w:rsid w:val="00D06AB1"/>
    <w:rsid w:val="00D072ED"/>
    <w:rsid w:val="00D07A16"/>
    <w:rsid w:val="00D1067E"/>
    <w:rsid w:val="00D10F50"/>
    <w:rsid w:val="00D11272"/>
    <w:rsid w:val="00D12247"/>
    <w:rsid w:val="00D126F5"/>
    <w:rsid w:val="00D142D6"/>
    <w:rsid w:val="00D1489E"/>
    <w:rsid w:val="00D14A0B"/>
    <w:rsid w:val="00D1620B"/>
    <w:rsid w:val="00D20737"/>
    <w:rsid w:val="00D20D8A"/>
    <w:rsid w:val="00D21E81"/>
    <w:rsid w:val="00D223DE"/>
    <w:rsid w:val="00D22BAE"/>
    <w:rsid w:val="00D22CC9"/>
    <w:rsid w:val="00D22FCF"/>
    <w:rsid w:val="00D23181"/>
    <w:rsid w:val="00D2506F"/>
    <w:rsid w:val="00D25143"/>
    <w:rsid w:val="00D25E37"/>
    <w:rsid w:val="00D2661A"/>
    <w:rsid w:val="00D26644"/>
    <w:rsid w:val="00D2708D"/>
    <w:rsid w:val="00D27582"/>
    <w:rsid w:val="00D27CB2"/>
    <w:rsid w:val="00D27EC4"/>
    <w:rsid w:val="00D30FB4"/>
    <w:rsid w:val="00D315E5"/>
    <w:rsid w:val="00D32719"/>
    <w:rsid w:val="00D32CD6"/>
    <w:rsid w:val="00D33333"/>
    <w:rsid w:val="00D33457"/>
    <w:rsid w:val="00D3524C"/>
    <w:rsid w:val="00D352A2"/>
    <w:rsid w:val="00D36C38"/>
    <w:rsid w:val="00D378C1"/>
    <w:rsid w:val="00D379E4"/>
    <w:rsid w:val="00D4162B"/>
    <w:rsid w:val="00D421C2"/>
    <w:rsid w:val="00D4514F"/>
    <w:rsid w:val="00D4518B"/>
    <w:rsid w:val="00D451E2"/>
    <w:rsid w:val="00D451F8"/>
    <w:rsid w:val="00D4570A"/>
    <w:rsid w:val="00D45748"/>
    <w:rsid w:val="00D45D7B"/>
    <w:rsid w:val="00D45E89"/>
    <w:rsid w:val="00D45E8D"/>
    <w:rsid w:val="00D4611E"/>
    <w:rsid w:val="00D466AE"/>
    <w:rsid w:val="00D46DAD"/>
    <w:rsid w:val="00D4734F"/>
    <w:rsid w:val="00D5009E"/>
    <w:rsid w:val="00D51BF3"/>
    <w:rsid w:val="00D52574"/>
    <w:rsid w:val="00D53209"/>
    <w:rsid w:val="00D53375"/>
    <w:rsid w:val="00D5406B"/>
    <w:rsid w:val="00D541FE"/>
    <w:rsid w:val="00D56420"/>
    <w:rsid w:val="00D57674"/>
    <w:rsid w:val="00D609DB"/>
    <w:rsid w:val="00D6379B"/>
    <w:rsid w:val="00D65645"/>
    <w:rsid w:val="00D66846"/>
    <w:rsid w:val="00D6747A"/>
    <w:rsid w:val="00D675FB"/>
    <w:rsid w:val="00D704B4"/>
    <w:rsid w:val="00D71F25"/>
    <w:rsid w:val="00D72A9C"/>
    <w:rsid w:val="00D72D79"/>
    <w:rsid w:val="00D746C7"/>
    <w:rsid w:val="00D74F99"/>
    <w:rsid w:val="00D7534D"/>
    <w:rsid w:val="00D75993"/>
    <w:rsid w:val="00D75E41"/>
    <w:rsid w:val="00D7673D"/>
    <w:rsid w:val="00D77031"/>
    <w:rsid w:val="00D77DA1"/>
    <w:rsid w:val="00D80DFD"/>
    <w:rsid w:val="00D814D9"/>
    <w:rsid w:val="00D816A8"/>
    <w:rsid w:val="00D83AAD"/>
    <w:rsid w:val="00D84941"/>
    <w:rsid w:val="00D84FA1"/>
    <w:rsid w:val="00D851F0"/>
    <w:rsid w:val="00D853A7"/>
    <w:rsid w:val="00D85688"/>
    <w:rsid w:val="00D85FE6"/>
    <w:rsid w:val="00D862BF"/>
    <w:rsid w:val="00D86AE6"/>
    <w:rsid w:val="00D86DB7"/>
    <w:rsid w:val="00D87B70"/>
    <w:rsid w:val="00D87E63"/>
    <w:rsid w:val="00D9082B"/>
    <w:rsid w:val="00D91094"/>
    <w:rsid w:val="00D91D9F"/>
    <w:rsid w:val="00D920D1"/>
    <w:rsid w:val="00D926D0"/>
    <w:rsid w:val="00D92766"/>
    <w:rsid w:val="00D92857"/>
    <w:rsid w:val="00D92AAD"/>
    <w:rsid w:val="00D92FDD"/>
    <w:rsid w:val="00D93030"/>
    <w:rsid w:val="00D93EDF"/>
    <w:rsid w:val="00D946AD"/>
    <w:rsid w:val="00D950E1"/>
    <w:rsid w:val="00D952A6"/>
    <w:rsid w:val="00D95C62"/>
    <w:rsid w:val="00D972A9"/>
    <w:rsid w:val="00D97F99"/>
    <w:rsid w:val="00DA0997"/>
    <w:rsid w:val="00DA1039"/>
    <w:rsid w:val="00DA11B9"/>
    <w:rsid w:val="00DA1E08"/>
    <w:rsid w:val="00DA1E79"/>
    <w:rsid w:val="00DA24F8"/>
    <w:rsid w:val="00DA28E8"/>
    <w:rsid w:val="00DA38D3"/>
    <w:rsid w:val="00DA3932"/>
    <w:rsid w:val="00DA3AFC"/>
    <w:rsid w:val="00DA56F9"/>
    <w:rsid w:val="00DA6217"/>
    <w:rsid w:val="00DA646C"/>
    <w:rsid w:val="00DA64F8"/>
    <w:rsid w:val="00DA6C15"/>
    <w:rsid w:val="00DA7C49"/>
    <w:rsid w:val="00DB0258"/>
    <w:rsid w:val="00DB0400"/>
    <w:rsid w:val="00DB133A"/>
    <w:rsid w:val="00DB1F0C"/>
    <w:rsid w:val="00DB2188"/>
    <w:rsid w:val="00DB25B8"/>
    <w:rsid w:val="00DB345E"/>
    <w:rsid w:val="00DB38EE"/>
    <w:rsid w:val="00DB39A9"/>
    <w:rsid w:val="00DB498B"/>
    <w:rsid w:val="00DB54AC"/>
    <w:rsid w:val="00DB5955"/>
    <w:rsid w:val="00DB66CA"/>
    <w:rsid w:val="00DB6AB3"/>
    <w:rsid w:val="00DB6BCA"/>
    <w:rsid w:val="00DB73F7"/>
    <w:rsid w:val="00DB7E8A"/>
    <w:rsid w:val="00DC0321"/>
    <w:rsid w:val="00DC183C"/>
    <w:rsid w:val="00DC2871"/>
    <w:rsid w:val="00DC3067"/>
    <w:rsid w:val="00DC3181"/>
    <w:rsid w:val="00DC370B"/>
    <w:rsid w:val="00DC3E06"/>
    <w:rsid w:val="00DC4EAB"/>
    <w:rsid w:val="00DC5B90"/>
    <w:rsid w:val="00DC7028"/>
    <w:rsid w:val="00DC7F1F"/>
    <w:rsid w:val="00DD00FF"/>
    <w:rsid w:val="00DD05BA"/>
    <w:rsid w:val="00DD0619"/>
    <w:rsid w:val="00DD07FB"/>
    <w:rsid w:val="00DD25C6"/>
    <w:rsid w:val="00DD2927"/>
    <w:rsid w:val="00DD3637"/>
    <w:rsid w:val="00DD4F83"/>
    <w:rsid w:val="00DD4FE5"/>
    <w:rsid w:val="00DD544E"/>
    <w:rsid w:val="00DD54B0"/>
    <w:rsid w:val="00DD57EE"/>
    <w:rsid w:val="00DD606F"/>
    <w:rsid w:val="00DD6BCC"/>
    <w:rsid w:val="00DE0108"/>
    <w:rsid w:val="00DE0A4B"/>
    <w:rsid w:val="00DE0B29"/>
    <w:rsid w:val="00DE2410"/>
    <w:rsid w:val="00DE24E3"/>
    <w:rsid w:val="00DE2939"/>
    <w:rsid w:val="00DE31CD"/>
    <w:rsid w:val="00DE34C1"/>
    <w:rsid w:val="00DE36FC"/>
    <w:rsid w:val="00DE3CFF"/>
    <w:rsid w:val="00DE4D50"/>
    <w:rsid w:val="00DE5C2F"/>
    <w:rsid w:val="00DE5CB0"/>
    <w:rsid w:val="00DE68C3"/>
    <w:rsid w:val="00DE6E81"/>
    <w:rsid w:val="00DE703F"/>
    <w:rsid w:val="00DE71A4"/>
    <w:rsid w:val="00DE7595"/>
    <w:rsid w:val="00DF0147"/>
    <w:rsid w:val="00DF0D88"/>
    <w:rsid w:val="00DF1762"/>
    <w:rsid w:val="00DF1961"/>
    <w:rsid w:val="00DF38E1"/>
    <w:rsid w:val="00DF44DE"/>
    <w:rsid w:val="00DF4BB8"/>
    <w:rsid w:val="00DF5F11"/>
    <w:rsid w:val="00DF6BF1"/>
    <w:rsid w:val="00DF6FE2"/>
    <w:rsid w:val="00DF7ADF"/>
    <w:rsid w:val="00E00AA3"/>
    <w:rsid w:val="00E01138"/>
    <w:rsid w:val="00E0163E"/>
    <w:rsid w:val="00E02DFB"/>
    <w:rsid w:val="00E030F9"/>
    <w:rsid w:val="00E0311A"/>
    <w:rsid w:val="00E03138"/>
    <w:rsid w:val="00E047EC"/>
    <w:rsid w:val="00E063D6"/>
    <w:rsid w:val="00E06404"/>
    <w:rsid w:val="00E06621"/>
    <w:rsid w:val="00E07711"/>
    <w:rsid w:val="00E077F1"/>
    <w:rsid w:val="00E078FB"/>
    <w:rsid w:val="00E07B67"/>
    <w:rsid w:val="00E101F2"/>
    <w:rsid w:val="00E11A85"/>
    <w:rsid w:val="00E12495"/>
    <w:rsid w:val="00E127A1"/>
    <w:rsid w:val="00E154FA"/>
    <w:rsid w:val="00E15CCD"/>
    <w:rsid w:val="00E1638E"/>
    <w:rsid w:val="00E17EAB"/>
    <w:rsid w:val="00E202EF"/>
    <w:rsid w:val="00E20668"/>
    <w:rsid w:val="00E210B5"/>
    <w:rsid w:val="00E210CF"/>
    <w:rsid w:val="00E220CC"/>
    <w:rsid w:val="00E226EE"/>
    <w:rsid w:val="00E23D99"/>
    <w:rsid w:val="00E248E2"/>
    <w:rsid w:val="00E2552F"/>
    <w:rsid w:val="00E25B60"/>
    <w:rsid w:val="00E27E0A"/>
    <w:rsid w:val="00E30959"/>
    <w:rsid w:val="00E31366"/>
    <w:rsid w:val="00E3137A"/>
    <w:rsid w:val="00E31569"/>
    <w:rsid w:val="00E31C51"/>
    <w:rsid w:val="00E32CCF"/>
    <w:rsid w:val="00E335B5"/>
    <w:rsid w:val="00E33A41"/>
    <w:rsid w:val="00E34456"/>
    <w:rsid w:val="00E34A98"/>
    <w:rsid w:val="00E354BB"/>
    <w:rsid w:val="00E35D1E"/>
    <w:rsid w:val="00E36028"/>
    <w:rsid w:val="00E364F9"/>
    <w:rsid w:val="00E365FA"/>
    <w:rsid w:val="00E36789"/>
    <w:rsid w:val="00E36E4D"/>
    <w:rsid w:val="00E371C5"/>
    <w:rsid w:val="00E37496"/>
    <w:rsid w:val="00E378BC"/>
    <w:rsid w:val="00E37D26"/>
    <w:rsid w:val="00E41231"/>
    <w:rsid w:val="00E444CB"/>
    <w:rsid w:val="00E4452C"/>
    <w:rsid w:val="00E44A83"/>
    <w:rsid w:val="00E44E85"/>
    <w:rsid w:val="00E45BD5"/>
    <w:rsid w:val="00E474C6"/>
    <w:rsid w:val="00E47BC0"/>
    <w:rsid w:val="00E502C1"/>
    <w:rsid w:val="00E502DD"/>
    <w:rsid w:val="00E50C3F"/>
    <w:rsid w:val="00E50D3A"/>
    <w:rsid w:val="00E51387"/>
    <w:rsid w:val="00E51E68"/>
    <w:rsid w:val="00E52371"/>
    <w:rsid w:val="00E52EFD"/>
    <w:rsid w:val="00E53687"/>
    <w:rsid w:val="00E5386E"/>
    <w:rsid w:val="00E5408A"/>
    <w:rsid w:val="00E5632A"/>
    <w:rsid w:val="00E566F7"/>
    <w:rsid w:val="00E56800"/>
    <w:rsid w:val="00E60097"/>
    <w:rsid w:val="00E60C63"/>
    <w:rsid w:val="00E60C8F"/>
    <w:rsid w:val="00E62FF9"/>
    <w:rsid w:val="00E633DF"/>
    <w:rsid w:val="00E635D6"/>
    <w:rsid w:val="00E637C3"/>
    <w:rsid w:val="00E639BC"/>
    <w:rsid w:val="00E664CC"/>
    <w:rsid w:val="00E66623"/>
    <w:rsid w:val="00E6750E"/>
    <w:rsid w:val="00E67C03"/>
    <w:rsid w:val="00E70388"/>
    <w:rsid w:val="00E70F20"/>
    <w:rsid w:val="00E70F92"/>
    <w:rsid w:val="00E719D2"/>
    <w:rsid w:val="00E728B9"/>
    <w:rsid w:val="00E72C0A"/>
    <w:rsid w:val="00E73D0E"/>
    <w:rsid w:val="00E741F5"/>
    <w:rsid w:val="00E74C54"/>
    <w:rsid w:val="00E7540C"/>
    <w:rsid w:val="00E759FC"/>
    <w:rsid w:val="00E75B5A"/>
    <w:rsid w:val="00E75D29"/>
    <w:rsid w:val="00E77A03"/>
    <w:rsid w:val="00E80F98"/>
    <w:rsid w:val="00E82117"/>
    <w:rsid w:val="00E822E8"/>
    <w:rsid w:val="00E82554"/>
    <w:rsid w:val="00E82606"/>
    <w:rsid w:val="00E82639"/>
    <w:rsid w:val="00E84067"/>
    <w:rsid w:val="00E84635"/>
    <w:rsid w:val="00E846C8"/>
    <w:rsid w:val="00E84957"/>
    <w:rsid w:val="00E84A55"/>
    <w:rsid w:val="00E85BFF"/>
    <w:rsid w:val="00E85C30"/>
    <w:rsid w:val="00E86750"/>
    <w:rsid w:val="00E86BE8"/>
    <w:rsid w:val="00E90391"/>
    <w:rsid w:val="00E9067D"/>
    <w:rsid w:val="00E9069F"/>
    <w:rsid w:val="00E906C2"/>
    <w:rsid w:val="00E926A0"/>
    <w:rsid w:val="00E92DD3"/>
    <w:rsid w:val="00E9311F"/>
    <w:rsid w:val="00E934D1"/>
    <w:rsid w:val="00E94AF0"/>
    <w:rsid w:val="00E95D13"/>
    <w:rsid w:val="00E95DD3"/>
    <w:rsid w:val="00E969D5"/>
    <w:rsid w:val="00EA00D5"/>
    <w:rsid w:val="00EA1CFB"/>
    <w:rsid w:val="00EA26E5"/>
    <w:rsid w:val="00EA2969"/>
    <w:rsid w:val="00EA4619"/>
    <w:rsid w:val="00EA58D1"/>
    <w:rsid w:val="00EA5B05"/>
    <w:rsid w:val="00EA61BC"/>
    <w:rsid w:val="00EA63E0"/>
    <w:rsid w:val="00EA681A"/>
    <w:rsid w:val="00EA69C8"/>
    <w:rsid w:val="00EA6CCF"/>
    <w:rsid w:val="00EA735B"/>
    <w:rsid w:val="00EA7528"/>
    <w:rsid w:val="00EB02A0"/>
    <w:rsid w:val="00EB02C6"/>
    <w:rsid w:val="00EB0983"/>
    <w:rsid w:val="00EB17DE"/>
    <w:rsid w:val="00EB1950"/>
    <w:rsid w:val="00EB1AF3"/>
    <w:rsid w:val="00EB1E69"/>
    <w:rsid w:val="00EB2086"/>
    <w:rsid w:val="00EB21C9"/>
    <w:rsid w:val="00EB4AE0"/>
    <w:rsid w:val="00EB53A9"/>
    <w:rsid w:val="00EB57EB"/>
    <w:rsid w:val="00EB5CBA"/>
    <w:rsid w:val="00EB5EDF"/>
    <w:rsid w:val="00EB60FE"/>
    <w:rsid w:val="00EB6835"/>
    <w:rsid w:val="00EB74DB"/>
    <w:rsid w:val="00EB754F"/>
    <w:rsid w:val="00EB77F2"/>
    <w:rsid w:val="00EC11E0"/>
    <w:rsid w:val="00EC17E4"/>
    <w:rsid w:val="00EC1CA9"/>
    <w:rsid w:val="00EC4438"/>
    <w:rsid w:val="00EC5359"/>
    <w:rsid w:val="00EC55AE"/>
    <w:rsid w:val="00EC562A"/>
    <w:rsid w:val="00EC73A3"/>
    <w:rsid w:val="00ED0346"/>
    <w:rsid w:val="00ED067A"/>
    <w:rsid w:val="00ED0AFB"/>
    <w:rsid w:val="00ED141F"/>
    <w:rsid w:val="00ED2B50"/>
    <w:rsid w:val="00ED44E1"/>
    <w:rsid w:val="00ED7951"/>
    <w:rsid w:val="00EE0350"/>
    <w:rsid w:val="00EE0688"/>
    <w:rsid w:val="00EE0719"/>
    <w:rsid w:val="00EE0C3A"/>
    <w:rsid w:val="00EE0E80"/>
    <w:rsid w:val="00EE16D3"/>
    <w:rsid w:val="00EE3671"/>
    <w:rsid w:val="00EE5461"/>
    <w:rsid w:val="00EE54A6"/>
    <w:rsid w:val="00EE59A2"/>
    <w:rsid w:val="00EE613F"/>
    <w:rsid w:val="00EE69B2"/>
    <w:rsid w:val="00EE7018"/>
    <w:rsid w:val="00EE7295"/>
    <w:rsid w:val="00EE7869"/>
    <w:rsid w:val="00EF01D1"/>
    <w:rsid w:val="00EF054A"/>
    <w:rsid w:val="00EF10D1"/>
    <w:rsid w:val="00EF1393"/>
    <w:rsid w:val="00EF22D0"/>
    <w:rsid w:val="00EF282E"/>
    <w:rsid w:val="00EF2B4C"/>
    <w:rsid w:val="00EF3235"/>
    <w:rsid w:val="00EF3FE2"/>
    <w:rsid w:val="00EF4250"/>
    <w:rsid w:val="00EF63C0"/>
    <w:rsid w:val="00EF7790"/>
    <w:rsid w:val="00EF7E72"/>
    <w:rsid w:val="00F02752"/>
    <w:rsid w:val="00F02AF9"/>
    <w:rsid w:val="00F0300D"/>
    <w:rsid w:val="00F06C7C"/>
    <w:rsid w:val="00F06D37"/>
    <w:rsid w:val="00F07B9D"/>
    <w:rsid w:val="00F07C0D"/>
    <w:rsid w:val="00F07E49"/>
    <w:rsid w:val="00F11586"/>
    <w:rsid w:val="00F115C4"/>
    <w:rsid w:val="00F1183B"/>
    <w:rsid w:val="00F11C9F"/>
    <w:rsid w:val="00F12263"/>
    <w:rsid w:val="00F12D9A"/>
    <w:rsid w:val="00F13386"/>
    <w:rsid w:val="00F1409D"/>
    <w:rsid w:val="00F14214"/>
    <w:rsid w:val="00F157A9"/>
    <w:rsid w:val="00F16FD3"/>
    <w:rsid w:val="00F17DBC"/>
    <w:rsid w:val="00F21CC0"/>
    <w:rsid w:val="00F24786"/>
    <w:rsid w:val="00F25BB6"/>
    <w:rsid w:val="00F25C74"/>
    <w:rsid w:val="00F263A4"/>
    <w:rsid w:val="00F26B7E"/>
    <w:rsid w:val="00F27A3B"/>
    <w:rsid w:val="00F30212"/>
    <w:rsid w:val="00F31290"/>
    <w:rsid w:val="00F32BAB"/>
    <w:rsid w:val="00F32D5C"/>
    <w:rsid w:val="00F33817"/>
    <w:rsid w:val="00F340E0"/>
    <w:rsid w:val="00F3663D"/>
    <w:rsid w:val="00F420D5"/>
    <w:rsid w:val="00F422D4"/>
    <w:rsid w:val="00F42515"/>
    <w:rsid w:val="00F4492D"/>
    <w:rsid w:val="00F44E2A"/>
    <w:rsid w:val="00F45072"/>
    <w:rsid w:val="00F451EA"/>
    <w:rsid w:val="00F45375"/>
    <w:rsid w:val="00F45447"/>
    <w:rsid w:val="00F456C6"/>
    <w:rsid w:val="00F4577B"/>
    <w:rsid w:val="00F457E6"/>
    <w:rsid w:val="00F45A24"/>
    <w:rsid w:val="00F46496"/>
    <w:rsid w:val="00F472A1"/>
    <w:rsid w:val="00F474D0"/>
    <w:rsid w:val="00F478C8"/>
    <w:rsid w:val="00F47A19"/>
    <w:rsid w:val="00F47A54"/>
    <w:rsid w:val="00F47EEC"/>
    <w:rsid w:val="00F500ED"/>
    <w:rsid w:val="00F50179"/>
    <w:rsid w:val="00F505FC"/>
    <w:rsid w:val="00F50CC6"/>
    <w:rsid w:val="00F515EE"/>
    <w:rsid w:val="00F52915"/>
    <w:rsid w:val="00F53B6B"/>
    <w:rsid w:val="00F5422E"/>
    <w:rsid w:val="00F56511"/>
    <w:rsid w:val="00F56ABA"/>
    <w:rsid w:val="00F56DA9"/>
    <w:rsid w:val="00F56DE5"/>
    <w:rsid w:val="00F60870"/>
    <w:rsid w:val="00F6157F"/>
    <w:rsid w:val="00F6194E"/>
    <w:rsid w:val="00F623AC"/>
    <w:rsid w:val="00F63E64"/>
    <w:rsid w:val="00F6412A"/>
    <w:rsid w:val="00F65893"/>
    <w:rsid w:val="00F66A4A"/>
    <w:rsid w:val="00F7073C"/>
    <w:rsid w:val="00F71C15"/>
    <w:rsid w:val="00F71E22"/>
    <w:rsid w:val="00F72142"/>
    <w:rsid w:val="00F72252"/>
    <w:rsid w:val="00F72AE7"/>
    <w:rsid w:val="00F730D0"/>
    <w:rsid w:val="00F74B29"/>
    <w:rsid w:val="00F74E99"/>
    <w:rsid w:val="00F75E45"/>
    <w:rsid w:val="00F76B66"/>
    <w:rsid w:val="00F8080B"/>
    <w:rsid w:val="00F81141"/>
    <w:rsid w:val="00F828A8"/>
    <w:rsid w:val="00F833BA"/>
    <w:rsid w:val="00F84FD0"/>
    <w:rsid w:val="00F859A8"/>
    <w:rsid w:val="00F86C0D"/>
    <w:rsid w:val="00F86D87"/>
    <w:rsid w:val="00F87757"/>
    <w:rsid w:val="00F902FB"/>
    <w:rsid w:val="00F90721"/>
    <w:rsid w:val="00F90A30"/>
    <w:rsid w:val="00F9108B"/>
    <w:rsid w:val="00F91349"/>
    <w:rsid w:val="00F9277C"/>
    <w:rsid w:val="00F93A8A"/>
    <w:rsid w:val="00F94677"/>
    <w:rsid w:val="00F95248"/>
    <w:rsid w:val="00F956A9"/>
    <w:rsid w:val="00F963ED"/>
    <w:rsid w:val="00F966CF"/>
    <w:rsid w:val="00F96CAE"/>
    <w:rsid w:val="00F9714E"/>
    <w:rsid w:val="00F97C99"/>
    <w:rsid w:val="00FA0CBE"/>
    <w:rsid w:val="00FA368A"/>
    <w:rsid w:val="00FA4DAC"/>
    <w:rsid w:val="00FA5541"/>
    <w:rsid w:val="00FA662D"/>
    <w:rsid w:val="00FA68CB"/>
    <w:rsid w:val="00FA6E3B"/>
    <w:rsid w:val="00FA73B1"/>
    <w:rsid w:val="00FA7DBF"/>
    <w:rsid w:val="00FA7F46"/>
    <w:rsid w:val="00FB0CB9"/>
    <w:rsid w:val="00FB231D"/>
    <w:rsid w:val="00FB2F0A"/>
    <w:rsid w:val="00FB45F1"/>
    <w:rsid w:val="00FB4A72"/>
    <w:rsid w:val="00FB4CB2"/>
    <w:rsid w:val="00FB5047"/>
    <w:rsid w:val="00FB54E8"/>
    <w:rsid w:val="00FB5C2B"/>
    <w:rsid w:val="00FB5C8D"/>
    <w:rsid w:val="00FB6081"/>
    <w:rsid w:val="00FB6A85"/>
    <w:rsid w:val="00FB7054"/>
    <w:rsid w:val="00FC17B7"/>
    <w:rsid w:val="00FC1EC9"/>
    <w:rsid w:val="00FC26CB"/>
    <w:rsid w:val="00FC2856"/>
    <w:rsid w:val="00FC2CB7"/>
    <w:rsid w:val="00FC3314"/>
    <w:rsid w:val="00FC4090"/>
    <w:rsid w:val="00FC4B3E"/>
    <w:rsid w:val="00FC55B4"/>
    <w:rsid w:val="00FC6859"/>
    <w:rsid w:val="00FC7349"/>
    <w:rsid w:val="00FC7D7D"/>
    <w:rsid w:val="00FD00E6"/>
    <w:rsid w:val="00FD09A1"/>
    <w:rsid w:val="00FD0A7C"/>
    <w:rsid w:val="00FD0D96"/>
    <w:rsid w:val="00FD2551"/>
    <w:rsid w:val="00FD2A7C"/>
    <w:rsid w:val="00FD460F"/>
    <w:rsid w:val="00FD593F"/>
    <w:rsid w:val="00FD59EB"/>
    <w:rsid w:val="00FD6A36"/>
    <w:rsid w:val="00FD6B4C"/>
    <w:rsid w:val="00FD7299"/>
    <w:rsid w:val="00FE0EB2"/>
    <w:rsid w:val="00FE1EDB"/>
    <w:rsid w:val="00FE1FBE"/>
    <w:rsid w:val="00FE225A"/>
    <w:rsid w:val="00FE2F5B"/>
    <w:rsid w:val="00FE3901"/>
    <w:rsid w:val="00FE39D3"/>
    <w:rsid w:val="00FE4BCE"/>
    <w:rsid w:val="00FE5236"/>
    <w:rsid w:val="00FE54AE"/>
    <w:rsid w:val="00FE576A"/>
    <w:rsid w:val="00FE788A"/>
    <w:rsid w:val="00FE7E79"/>
    <w:rsid w:val="00FF0003"/>
    <w:rsid w:val="00FF21E8"/>
    <w:rsid w:val="00FF3E7D"/>
    <w:rsid w:val="00FF4BB5"/>
    <w:rsid w:val="00FF5797"/>
    <w:rsid w:val="00FF59A8"/>
    <w:rsid w:val="00FF5B99"/>
    <w:rsid w:val="00FF71CE"/>
    <w:rsid w:val="00FF72BC"/>
    <w:rsid w:val="00FF730C"/>
    <w:rsid w:val="00FF73F4"/>
    <w:rsid w:val="00FF7CE4"/>
    <w:rsid w:val="00FF7E39"/>
    <w:rsid w:val="0227311A"/>
    <w:rsid w:val="029B70E4"/>
    <w:rsid w:val="02F600D6"/>
    <w:rsid w:val="03311390"/>
    <w:rsid w:val="0385634A"/>
    <w:rsid w:val="03A36CB3"/>
    <w:rsid w:val="03CD1261"/>
    <w:rsid w:val="03EE0393"/>
    <w:rsid w:val="04531FA4"/>
    <w:rsid w:val="045F384B"/>
    <w:rsid w:val="046B5EBD"/>
    <w:rsid w:val="051F457C"/>
    <w:rsid w:val="05D62E8D"/>
    <w:rsid w:val="05F257ED"/>
    <w:rsid w:val="06072B99"/>
    <w:rsid w:val="064122CD"/>
    <w:rsid w:val="06436049"/>
    <w:rsid w:val="067D1D59"/>
    <w:rsid w:val="074D2A37"/>
    <w:rsid w:val="075A4DDA"/>
    <w:rsid w:val="07DC6184"/>
    <w:rsid w:val="07FD5ED5"/>
    <w:rsid w:val="08232E0A"/>
    <w:rsid w:val="085B3309"/>
    <w:rsid w:val="086D2543"/>
    <w:rsid w:val="09140E59"/>
    <w:rsid w:val="094E2B2C"/>
    <w:rsid w:val="09535236"/>
    <w:rsid w:val="09734E97"/>
    <w:rsid w:val="0A283B24"/>
    <w:rsid w:val="0A40121D"/>
    <w:rsid w:val="0A5E354D"/>
    <w:rsid w:val="0AC42F12"/>
    <w:rsid w:val="0BA45614"/>
    <w:rsid w:val="0BE65DF4"/>
    <w:rsid w:val="0C0A5BEF"/>
    <w:rsid w:val="0C85633A"/>
    <w:rsid w:val="0D343D0A"/>
    <w:rsid w:val="0D442A93"/>
    <w:rsid w:val="0D8E229F"/>
    <w:rsid w:val="0DAD17DE"/>
    <w:rsid w:val="0DF94DB5"/>
    <w:rsid w:val="0E4D368D"/>
    <w:rsid w:val="0E8C585D"/>
    <w:rsid w:val="0EC378CF"/>
    <w:rsid w:val="0F0E7B3C"/>
    <w:rsid w:val="0F164139"/>
    <w:rsid w:val="0F2B06C5"/>
    <w:rsid w:val="0F3F5F47"/>
    <w:rsid w:val="0FFE54BF"/>
    <w:rsid w:val="10463305"/>
    <w:rsid w:val="10667C94"/>
    <w:rsid w:val="10D33C10"/>
    <w:rsid w:val="110C1FCA"/>
    <w:rsid w:val="11673BE2"/>
    <w:rsid w:val="118C31F0"/>
    <w:rsid w:val="119664C5"/>
    <w:rsid w:val="11A716BB"/>
    <w:rsid w:val="11C66B8F"/>
    <w:rsid w:val="12123CE0"/>
    <w:rsid w:val="12597042"/>
    <w:rsid w:val="128929E0"/>
    <w:rsid w:val="12C66037"/>
    <w:rsid w:val="13250FB0"/>
    <w:rsid w:val="1325477A"/>
    <w:rsid w:val="135E6353"/>
    <w:rsid w:val="13AC5D02"/>
    <w:rsid w:val="13EC7D20"/>
    <w:rsid w:val="13F25174"/>
    <w:rsid w:val="13FF227C"/>
    <w:rsid w:val="14411706"/>
    <w:rsid w:val="145B2D6E"/>
    <w:rsid w:val="15075E40"/>
    <w:rsid w:val="15C076B6"/>
    <w:rsid w:val="168C5417"/>
    <w:rsid w:val="174C7453"/>
    <w:rsid w:val="17AA5F28"/>
    <w:rsid w:val="184243B2"/>
    <w:rsid w:val="186500A0"/>
    <w:rsid w:val="19FC12ED"/>
    <w:rsid w:val="1A720BDB"/>
    <w:rsid w:val="1A783892"/>
    <w:rsid w:val="1A814D82"/>
    <w:rsid w:val="1A974E89"/>
    <w:rsid w:val="1AB00E85"/>
    <w:rsid w:val="1B077ABE"/>
    <w:rsid w:val="1B0C7993"/>
    <w:rsid w:val="1B507581"/>
    <w:rsid w:val="1B7C2240"/>
    <w:rsid w:val="1C320EC2"/>
    <w:rsid w:val="1D167F7C"/>
    <w:rsid w:val="1D401A6F"/>
    <w:rsid w:val="1D4961E3"/>
    <w:rsid w:val="1DB40479"/>
    <w:rsid w:val="1DE303E5"/>
    <w:rsid w:val="1F5570C1"/>
    <w:rsid w:val="20170191"/>
    <w:rsid w:val="20743577"/>
    <w:rsid w:val="20797CC6"/>
    <w:rsid w:val="220C5306"/>
    <w:rsid w:val="222A7D7C"/>
    <w:rsid w:val="223123F7"/>
    <w:rsid w:val="22467649"/>
    <w:rsid w:val="2294571D"/>
    <w:rsid w:val="22C81958"/>
    <w:rsid w:val="230A0F52"/>
    <w:rsid w:val="238E2BA1"/>
    <w:rsid w:val="244A3B88"/>
    <w:rsid w:val="245A04FF"/>
    <w:rsid w:val="245A2614"/>
    <w:rsid w:val="246E59ED"/>
    <w:rsid w:val="248D1F99"/>
    <w:rsid w:val="24A73F1B"/>
    <w:rsid w:val="24F362B4"/>
    <w:rsid w:val="259F4CB5"/>
    <w:rsid w:val="262E33A2"/>
    <w:rsid w:val="26B267A0"/>
    <w:rsid w:val="26C56794"/>
    <w:rsid w:val="26E5603F"/>
    <w:rsid w:val="281F2A9C"/>
    <w:rsid w:val="28BC427E"/>
    <w:rsid w:val="290C07F0"/>
    <w:rsid w:val="29D05CC2"/>
    <w:rsid w:val="2A9767DF"/>
    <w:rsid w:val="2B2F4C6A"/>
    <w:rsid w:val="2B480D8E"/>
    <w:rsid w:val="2BC12588"/>
    <w:rsid w:val="2C155C0E"/>
    <w:rsid w:val="2C9E33E3"/>
    <w:rsid w:val="2D27782D"/>
    <w:rsid w:val="2D2A61A2"/>
    <w:rsid w:val="2D6A7F4C"/>
    <w:rsid w:val="2DEF5892"/>
    <w:rsid w:val="2E725599"/>
    <w:rsid w:val="2FA72311"/>
    <w:rsid w:val="2FDB53C0"/>
    <w:rsid w:val="3086532C"/>
    <w:rsid w:val="309603A9"/>
    <w:rsid w:val="3103423F"/>
    <w:rsid w:val="31224929"/>
    <w:rsid w:val="31A14BE6"/>
    <w:rsid w:val="31AF4A89"/>
    <w:rsid w:val="32584AA6"/>
    <w:rsid w:val="33255B35"/>
    <w:rsid w:val="339C4E66"/>
    <w:rsid w:val="33D04B10"/>
    <w:rsid w:val="33E830DD"/>
    <w:rsid w:val="34833930"/>
    <w:rsid w:val="34D04EA6"/>
    <w:rsid w:val="34E30AB1"/>
    <w:rsid w:val="35385385"/>
    <w:rsid w:val="3545059B"/>
    <w:rsid w:val="359C114E"/>
    <w:rsid w:val="36246202"/>
    <w:rsid w:val="36E030C6"/>
    <w:rsid w:val="36E763F9"/>
    <w:rsid w:val="38066D52"/>
    <w:rsid w:val="38BD06D2"/>
    <w:rsid w:val="391A2AB5"/>
    <w:rsid w:val="39CD4E60"/>
    <w:rsid w:val="39DF2CB7"/>
    <w:rsid w:val="3A064D62"/>
    <w:rsid w:val="3A59585F"/>
    <w:rsid w:val="3A6C293F"/>
    <w:rsid w:val="3ACE586C"/>
    <w:rsid w:val="3B5413DF"/>
    <w:rsid w:val="3B6B588C"/>
    <w:rsid w:val="3B976126"/>
    <w:rsid w:val="3C0E3C57"/>
    <w:rsid w:val="3CAE6A32"/>
    <w:rsid w:val="3CBA010B"/>
    <w:rsid w:val="3CBA754C"/>
    <w:rsid w:val="3D043BC6"/>
    <w:rsid w:val="3D450FE3"/>
    <w:rsid w:val="3D96250F"/>
    <w:rsid w:val="3E036177"/>
    <w:rsid w:val="3E194FDF"/>
    <w:rsid w:val="3E823DFD"/>
    <w:rsid w:val="3EB47508"/>
    <w:rsid w:val="3FCA68B7"/>
    <w:rsid w:val="3FFB2F15"/>
    <w:rsid w:val="40965E01"/>
    <w:rsid w:val="40C477AB"/>
    <w:rsid w:val="40E626CC"/>
    <w:rsid w:val="417B255F"/>
    <w:rsid w:val="424356F4"/>
    <w:rsid w:val="42D7362A"/>
    <w:rsid w:val="42F45B11"/>
    <w:rsid w:val="431038BD"/>
    <w:rsid w:val="431C38CE"/>
    <w:rsid w:val="431C742A"/>
    <w:rsid w:val="43550292"/>
    <w:rsid w:val="43DD4E0B"/>
    <w:rsid w:val="441B5ABB"/>
    <w:rsid w:val="44261C2A"/>
    <w:rsid w:val="44370C97"/>
    <w:rsid w:val="44A5443E"/>
    <w:rsid w:val="4500026C"/>
    <w:rsid w:val="452D3B70"/>
    <w:rsid w:val="45452A4B"/>
    <w:rsid w:val="458D1E86"/>
    <w:rsid w:val="465D1441"/>
    <w:rsid w:val="467238E3"/>
    <w:rsid w:val="46ED0921"/>
    <w:rsid w:val="479D721A"/>
    <w:rsid w:val="47FC5A7C"/>
    <w:rsid w:val="483808F8"/>
    <w:rsid w:val="48AC2FFE"/>
    <w:rsid w:val="48C86E2C"/>
    <w:rsid w:val="491A2F73"/>
    <w:rsid w:val="4926154E"/>
    <w:rsid w:val="496C637E"/>
    <w:rsid w:val="49883A6B"/>
    <w:rsid w:val="4A105260"/>
    <w:rsid w:val="4A69264D"/>
    <w:rsid w:val="4AA34081"/>
    <w:rsid w:val="4AA5064D"/>
    <w:rsid w:val="4AAC3789"/>
    <w:rsid w:val="4AB805F3"/>
    <w:rsid w:val="4AED5094"/>
    <w:rsid w:val="4B1156CF"/>
    <w:rsid w:val="4B330E93"/>
    <w:rsid w:val="4B4C0F8F"/>
    <w:rsid w:val="4B4E575E"/>
    <w:rsid w:val="4B5666B0"/>
    <w:rsid w:val="4CA914C6"/>
    <w:rsid w:val="4CCB1C8E"/>
    <w:rsid w:val="4D98535C"/>
    <w:rsid w:val="4E233F7A"/>
    <w:rsid w:val="4E5E433F"/>
    <w:rsid w:val="4ED83F5D"/>
    <w:rsid w:val="4EE82A5E"/>
    <w:rsid w:val="4F9D1B97"/>
    <w:rsid w:val="4FC155E1"/>
    <w:rsid w:val="50054C3F"/>
    <w:rsid w:val="50463D38"/>
    <w:rsid w:val="506345E6"/>
    <w:rsid w:val="50C50D04"/>
    <w:rsid w:val="50D41276"/>
    <w:rsid w:val="510559A1"/>
    <w:rsid w:val="51EB44FE"/>
    <w:rsid w:val="523023BE"/>
    <w:rsid w:val="52302EF2"/>
    <w:rsid w:val="52500E9E"/>
    <w:rsid w:val="526B3F2A"/>
    <w:rsid w:val="535E75EB"/>
    <w:rsid w:val="539463F2"/>
    <w:rsid w:val="54BB2F47"/>
    <w:rsid w:val="55735655"/>
    <w:rsid w:val="55B654BC"/>
    <w:rsid w:val="55DF7572"/>
    <w:rsid w:val="576B54CB"/>
    <w:rsid w:val="579E26AC"/>
    <w:rsid w:val="57B70A4D"/>
    <w:rsid w:val="57E207EA"/>
    <w:rsid w:val="584274DB"/>
    <w:rsid w:val="58C65578"/>
    <w:rsid w:val="59C7100D"/>
    <w:rsid w:val="5B574617"/>
    <w:rsid w:val="5BEA5EBF"/>
    <w:rsid w:val="5C962FFB"/>
    <w:rsid w:val="5CA93FCD"/>
    <w:rsid w:val="5DC015CE"/>
    <w:rsid w:val="5E2D1009"/>
    <w:rsid w:val="5E707CD0"/>
    <w:rsid w:val="5E9C21C1"/>
    <w:rsid w:val="5F062D3D"/>
    <w:rsid w:val="5F2C2381"/>
    <w:rsid w:val="5FCC0E94"/>
    <w:rsid w:val="5FCE4D99"/>
    <w:rsid w:val="5FE60D07"/>
    <w:rsid w:val="60520D00"/>
    <w:rsid w:val="60912DAE"/>
    <w:rsid w:val="609E2683"/>
    <w:rsid w:val="61E909C7"/>
    <w:rsid w:val="62AB4A33"/>
    <w:rsid w:val="63804DC1"/>
    <w:rsid w:val="63A10968"/>
    <w:rsid w:val="63F02D22"/>
    <w:rsid w:val="63F61158"/>
    <w:rsid w:val="6428165D"/>
    <w:rsid w:val="644D07F5"/>
    <w:rsid w:val="64C71494"/>
    <w:rsid w:val="64D90822"/>
    <w:rsid w:val="654D6B9F"/>
    <w:rsid w:val="65CB2D73"/>
    <w:rsid w:val="66483194"/>
    <w:rsid w:val="664B7EA3"/>
    <w:rsid w:val="66746D64"/>
    <w:rsid w:val="671309C0"/>
    <w:rsid w:val="6741185E"/>
    <w:rsid w:val="67441E0E"/>
    <w:rsid w:val="678D5B25"/>
    <w:rsid w:val="67931B01"/>
    <w:rsid w:val="67944FB2"/>
    <w:rsid w:val="68444E5E"/>
    <w:rsid w:val="684F3C7A"/>
    <w:rsid w:val="68B80DFE"/>
    <w:rsid w:val="68C21D29"/>
    <w:rsid w:val="68C331B9"/>
    <w:rsid w:val="68F24043"/>
    <w:rsid w:val="69625188"/>
    <w:rsid w:val="697D2AAC"/>
    <w:rsid w:val="6A0B685E"/>
    <w:rsid w:val="6A4175F2"/>
    <w:rsid w:val="6AC10DC4"/>
    <w:rsid w:val="6AEC577A"/>
    <w:rsid w:val="6B2F5CA5"/>
    <w:rsid w:val="6BB20439"/>
    <w:rsid w:val="6BBD2AF0"/>
    <w:rsid w:val="6BD83F86"/>
    <w:rsid w:val="6BF21091"/>
    <w:rsid w:val="6C8B2DA7"/>
    <w:rsid w:val="6C8D4D71"/>
    <w:rsid w:val="6CA13C29"/>
    <w:rsid w:val="6DA168BD"/>
    <w:rsid w:val="6DBF604E"/>
    <w:rsid w:val="6E15196C"/>
    <w:rsid w:val="6E187783"/>
    <w:rsid w:val="6F0D364F"/>
    <w:rsid w:val="6FB2689C"/>
    <w:rsid w:val="6FC775B1"/>
    <w:rsid w:val="700F4EEC"/>
    <w:rsid w:val="70147557"/>
    <w:rsid w:val="701D437B"/>
    <w:rsid w:val="705469C2"/>
    <w:rsid w:val="70C94FA3"/>
    <w:rsid w:val="70D32F6E"/>
    <w:rsid w:val="70DA183A"/>
    <w:rsid w:val="714100B2"/>
    <w:rsid w:val="71783867"/>
    <w:rsid w:val="722C0B88"/>
    <w:rsid w:val="728F6FD3"/>
    <w:rsid w:val="73E90FE9"/>
    <w:rsid w:val="742359C8"/>
    <w:rsid w:val="74420C45"/>
    <w:rsid w:val="74577B41"/>
    <w:rsid w:val="74856C75"/>
    <w:rsid w:val="748F53FE"/>
    <w:rsid w:val="75983D99"/>
    <w:rsid w:val="7612708C"/>
    <w:rsid w:val="767B706D"/>
    <w:rsid w:val="76DB064B"/>
    <w:rsid w:val="77663304"/>
    <w:rsid w:val="77BD2282"/>
    <w:rsid w:val="77C85AEA"/>
    <w:rsid w:val="77EE02D2"/>
    <w:rsid w:val="789631D6"/>
    <w:rsid w:val="78B40395"/>
    <w:rsid w:val="795B64B7"/>
    <w:rsid w:val="79695D7B"/>
    <w:rsid w:val="79F07C8D"/>
    <w:rsid w:val="7A52760A"/>
    <w:rsid w:val="7AB72FCC"/>
    <w:rsid w:val="7B122641"/>
    <w:rsid w:val="7B636BF1"/>
    <w:rsid w:val="7BB66D99"/>
    <w:rsid w:val="7BE74D29"/>
    <w:rsid w:val="7C0C417E"/>
    <w:rsid w:val="7CA2239A"/>
    <w:rsid w:val="7D0F3580"/>
    <w:rsid w:val="7DF662C3"/>
    <w:rsid w:val="7E9D1E8B"/>
    <w:rsid w:val="7EBC7738"/>
    <w:rsid w:val="7F7814B1"/>
    <w:rsid w:val="F17763F7"/>
    <w:rsid w:val="FF3BA29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6"/>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09"/>
    <w:unhideWhenUsed/>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8"/>
    <w:semiHidden/>
    <w:unhideWhenUsed/>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9"/>
    <w:semiHidden/>
    <w:unhideWhenUsed/>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50"/>
    <w:semiHidden/>
    <w:unhideWhenUsed/>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51"/>
    <w:semiHidden/>
    <w:unhideWhenUsed/>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52"/>
    <w:semiHidden/>
    <w:unhideWhenUsed/>
    <w:qFormat/>
    <w:uiPriority w:val="0"/>
    <w:pPr>
      <w:keepNext/>
      <w:keepLines/>
      <w:adjustRightInd/>
      <w:spacing w:before="240" w:after="64" w:line="320" w:lineRule="auto"/>
      <w:outlineLvl w:val="8"/>
    </w:pPr>
    <w:rPr>
      <w:rFonts w:ascii="Arial" w:hAnsi="Arial" w:eastAsia="黑体"/>
    </w:r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9"/>
    <w:qFormat/>
    <w:uiPriority w:val="0"/>
    <w:pPr>
      <w:adjustRightInd/>
      <w:spacing w:line="240" w:lineRule="auto"/>
      <w:jc w:val="left"/>
    </w:pPr>
    <w:rPr>
      <w:rFonts w:ascii="Times New Roman" w:hAnsi="Times New Roman"/>
      <w:szCs w:val="24"/>
    </w:rPr>
  </w:style>
  <w:style w:type="paragraph" w:styleId="14">
    <w:name w:val="Body Text"/>
    <w:basedOn w:val="1"/>
    <w:link w:val="96"/>
    <w:qFormat/>
    <w:uiPriority w:val="1"/>
    <w:pPr>
      <w:spacing w:after="120"/>
    </w:pPr>
  </w:style>
  <w:style w:type="paragraph" w:styleId="15">
    <w:name w:val="List 2"/>
    <w:basedOn w:val="1"/>
    <w:qFormat/>
    <w:uiPriority w:val="0"/>
    <w:pPr>
      <w:ind w:left="400" w:leftChars="200" w:hanging="200" w:hangingChars="200"/>
    </w:pPr>
    <w:rPr>
      <w:rFonts w:ascii="Times New Roman" w:hAnsi="Times New Roman"/>
      <w:szCs w:val="24"/>
    </w:rPr>
  </w:style>
  <w:style w:type="paragraph" w:styleId="16">
    <w:name w:val="toc 5"/>
    <w:basedOn w:val="1"/>
    <w:next w:val="1"/>
    <w:qFormat/>
    <w:uiPriority w:val="39"/>
    <w:pPr>
      <w:ind w:left="839"/>
    </w:pPr>
    <w:rPr>
      <w:rFonts w:ascii="宋体"/>
    </w:rPr>
  </w:style>
  <w:style w:type="paragraph" w:styleId="17">
    <w:name w:val="toc 3"/>
    <w:basedOn w:val="1"/>
    <w:next w:val="1"/>
    <w:qFormat/>
    <w:uiPriority w:val="39"/>
    <w:pPr>
      <w:spacing w:line="300" w:lineRule="exact"/>
      <w:ind w:left="420"/>
    </w:pPr>
    <w:rPr>
      <w:rFonts w:ascii="宋体"/>
    </w:rPr>
  </w:style>
  <w:style w:type="paragraph" w:styleId="18">
    <w:name w:val="Plain Text"/>
    <w:basedOn w:val="1"/>
    <w:link w:val="250"/>
    <w:qFormat/>
    <w:uiPriority w:val="0"/>
    <w:pPr>
      <w:adjustRightInd/>
      <w:spacing w:line="240" w:lineRule="auto"/>
    </w:pPr>
    <w:rPr>
      <w:rFonts w:ascii="宋体" w:hAnsi="Courier New" w:cs="Courier New"/>
    </w:rPr>
  </w:style>
  <w:style w:type="paragraph" w:styleId="19">
    <w:name w:val="toc 8"/>
    <w:basedOn w:val="1"/>
    <w:next w:val="1"/>
    <w:qFormat/>
    <w:uiPriority w:val="39"/>
    <w:pPr>
      <w:adjustRightInd/>
      <w:spacing w:line="240" w:lineRule="auto"/>
      <w:ind w:left="2940" w:leftChars="1400"/>
    </w:pPr>
    <w:rPr>
      <w:rFonts w:ascii="Times New Roman" w:hAnsi="Times New Roman"/>
      <w:szCs w:val="24"/>
    </w:rPr>
  </w:style>
  <w:style w:type="paragraph" w:styleId="20">
    <w:name w:val="Date"/>
    <w:basedOn w:val="1"/>
    <w:next w:val="1"/>
    <w:link w:val="246"/>
    <w:qFormat/>
    <w:uiPriority w:val="0"/>
    <w:pPr>
      <w:adjustRightInd/>
      <w:spacing w:line="240" w:lineRule="auto"/>
      <w:ind w:left="100" w:leftChars="2500"/>
    </w:pPr>
    <w:rPr>
      <w:rFonts w:ascii="宋体" w:hAnsi="宋体"/>
      <w:b/>
      <w:color w:val="FF0000"/>
      <w:sz w:val="24"/>
      <w:szCs w:val="24"/>
    </w:rPr>
  </w:style>
  <w:style w:type="paragraph" w:styleId="21">
    <w:name w:val="Balloon Text"/>
    <w:basedOn w:val="1"/>
    <w:link w:val="55"/>
    <w:qFormat/>
    <w:uiPriority w:val="0"/>
    <w:rPr>
      <w:sz w:val="18"/>
      <w:szCs w:val="18"/>
    </w:rPr>
  </w:style>
  <w:style w:type="paragraph" w:styleId="22">
    <w:name w:val="footer"/>
    <w:basedOn w:val="1"/>
    <w:link w:val="54"/>
    <w:qFormat/>
    <w:uiPriority w:val="0"/>
    <w:pPr>
      <w:tabs>
        <w:tab w:val="center" w:pos="4153"/>
        <w:tab w:val="right" w:pos="8306"/>
      </w:tabs>
      <w:adjustRightInd/>
      <w:snapToGrid w:val="0"/>
      <w:spacing w:line="240" w:lineRule="auto"/>
      <w:jc w:val="right"/>
    </w:pPr>
    <w:rPr>
      <w:rFonts w:ascii="宋体"/>
      <w:sz w:val="18"/>
      <w:szCs w:val="18"/>
    </w:rPr>
  </w:style>
  <w:style w:type="paragraph" w:styleId="23">
    <w:name w:val="header"/>
    <w:basedOn w:val="1"/>
    <w:link w:val="53"/>
    <w:qFormat/>
    <w:uiPriority w:val="99"/>
    <w:pPr>
      <w:tabs>
        <w:tab w:val="center" w:pos="4153"/>
        <w:tab w:val="right" w:pos="8306"/>
      </w:tabs>
      <w:adjustRightInd/>
      <w:snapToGrid w:val="0"/>
      <w:jc w:val="center"/>
    </w:pPr>
    <w:rPr>
      <w:sz w:val="18"/>
      <w:szCs w:val="18"/>
    </w:rPr>
  </w:style>
  <w:style w:type="paragraph" w:styleId="24">
    <w:name w:val="toc 1"/>
    <w:basedOn w:val="1"/>
    <w:next w:val="1"/>
    <w:qFormat/>
    <w:uiPriority w:val="39"/>
    <w:pPr>
      <w:tabs>
        <w:tab w:val="right" w:leader="dot" w:pos="9344"/>
      </w:tabs>
      <w:snapToGrid w:val="0"/>
    </w:pPr>
    <w:rPr>
      <w:rFonts w:ascii="宋体"/>
    </w:rPr>
  </w:style>
  <w:style w:type="paragraph" w:styleId="25">
    <w:name w:val="toc 4"/>
    <w:basedOn w:val="1"/>
    <w:next w:val="1"/>
    <w:qFormat/>
    <w:uiPriority w:val="39"/>
    <w:pPr>
      <w:tabs>
        <w:tab w:val="right" w:leader="dot" w:pos="9344"/>
      </w:tabs>
      <w:spacing w:line="300" w:lineRule="exact"/>
      <w:ind w:left="629"/>
    </w:pPr>
    <w:rPr>
      <w:rFonts w:ascii="宋体"/>
    </w:rPr>
  </w:style>
  <w:style w:type="paragraph" w:styleId="26">
    <w:name w:val="footnote text"/>
    <w:basedOn w:val="1"/>
    <w:next w:val="1"/>
    <w:link w:val="109"/>
    <w:qFormat/>
    <w:uiPriority w:val="0"/>
    <w:pPr>
      <w:adjustRightInd/>
      <w:snapToGrid w:val="0"/>
      <w:spacing w:line="300" w:lineRule="exact"/>
      <w:ind w:left="400" w:leftChars="200" w:hanging="200" w:hangingChars="200"/>
      <w:jc w:val="left"/>
    </w:pPr>
    <w:rPr>
      <w:rFonts w:ascii="宋体"/>
      <w:sz w:val="18"/>
      <w:szCs w:val="18"/>
    </w:rPr>
  </w:style>
  <w:style w:type="paragraph" w:styleId="27">
    <w:name w:val="toc 6"/>
    <w:basedOn w:val="1"/>
    <w:next w:val="1"/>
    <w:qFormat/>
    <w:uiPriority w:val="39"/>
    <w:pPr>
      <w:spacing w:line="300" w:lineRule="exact"/>
      <w:ind w:left="1049"/>
    </w:pPr>
    <w:rPr>
      <w:rFonts w:ascii="宋体"/>
    </w:rPr>
  </w:style>
  <w:style w:type="paragraph" w:styleId="28">
    <w:name w:val="table of figures"/>
    <w:basedOn w:val="1"/>
    <w:next w:val="1"/>
    <w:qFormat/>
    <w:uiPriority w:val="0"/>
    <w:pPr>
      <w:adjustRightInd/>
      <w:spacing w:line="240" w:lineRule="auto"/>
      <w:jc w:val="left"/>
    </w:pPr>
    <w:rPr>
      <w:szCs w:val="24"/>
    </w:rPr>
  </w:style>
  <w:style w:type="paragraph" w:styleId="29">
    <w:name w:val="toc 2"/>
    <w:basedOn w:val="1"/>
    <w:next w:val="1"/>
    <w:qFormat/>
    <w:uiPriority w:val="39"/>
    <w:pPr>
      <w:tabs>
        <w:tab w:val="right" w:leader="dot" w:pos="9344"/>
      </w:tabs>
      <w:spacing w:line="300" w:lineRule="exact"/>
      <w:ind w:left="210"/>
    </w:pPr>
    <w:rPr>
      <w:rFonts w:ascii="宋体"/>
    </w:rPr>
  </w:style>
  <w:style w:type="paragraph" w:styleId="30">
    <w:name w:val="toc 9"/>
    <w:basedOn w:val="1"/>
    <w:next w:val="1"/>
    <w:qFormat/>
    <w:uiPriority w:val="39"/>
    <w:pPr>
      <w:adjustRightInd/>
      <w:spacing w:line="240" w:lineRule="auto"/>
      <w:ind w:left="3360" w:leftChars="1600"/>
    </w:pPr>
    <w:rPr>
      <w:rFonts w:ascii="Times New Roman" w:hAnsi="Times New Roman"/>
      <w:szCs w:val="24"/>
    </w:rPr>
  </w:style>
  <w:style w:type="paragraph" w:styleId="31">
    <w:name w:val="Normal (Web)"/>
    <w:basedOn w:val="1"/>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32">
    <w:name w:val="Title"/>
    <w:basedOn w:val="1"/>
    <w:link w:val="58"/>
    <w:qFormat/>
    <w:uiPriority w:val="0"/>
    <w:pPr>
      <w:spacing w:before="240" w:after="60"/>
      <w:jc w:val="center"/>
      <w:outlineLvl w:val="0"/>
    </w:pPr>
    <w:rPr>
      <w:rFonts w:ascii="Arial" w:hAnsi="Arial" w:cs="Arial"/>
      <w:b/>
      <w:bCs/>
      <w:sz w:val="32"/>
      <w:szCs w:val="32"/>
    </w:rPr>
  </w:style>
  <w:style w:type="paragraph" w:styleId="33">
    <w:name w:val="annotation subject"/>
    <w:basedOn w:val="13"/>
    <w:next w:val="13"/>
    <w:link w:val="252"/>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page number"/>
    <w:qFormat/>
    <w:uiPriority w:val="0"/>
    <w:rPr>
      <w:rFonts w:ascii="宋体" w:hAnsi="Times New Roman" w:eastAsia="宋体"/>
      <w:sz w:val="18"/>
    </w:rPr>
  </w:style>
  <w:style w:type="character" w:styleId="39">
    <w:name w:val="FollowedHyperlink"/>
    <w:basedOn w:val="36"/>
    <w:qFormat/>
    <w:uiPriority w:val="0"/>
    <w:rPr>
      <w:color w:val="954F72" w:themeColor="followedHyperlink"/>
      <w:u w:val="single"/>
      <w14:textFill>
        <w14:solidFill>
          <w14:schemeClr w14:val="folHlink"/>
        </w14:solidFill>
      </w14:textFill>
    </w:rPr>
  </w:style>
  <w:style w:type="character" w:styleId="40">
    <w:name w:val="Emphasis"/>
    <w:qFormat/>
    <w:uiPriority w:val="0"/>
    <w:rPr>
      <w:i/>
      <w:iCs/>
    </w:rPr>
  </w:style>
  <w:style w:type="character" w:styleId="41">
    <w:name w:val="Hyperlink"/>
    <w:basedOn w:val="36"/>
    <w:qFormat/>
    <w:uiPriority w:val="99"/>
    <w:rPr>
      <w:rFonts w:ascii="宋体" w:hAnsi="Times New Roman" w:eastAsia="宋体"/>
      <w:color w:val="auto"/>
      <w:spacing w:val="0"/>
      <w:w w:val="100"/>
      <w:position w:val="0"/>
      <w:sz w:val="21"/>
      <w:u w:val="none"/>
      <w:vertAlign w:val="baseline"/>
    </w:rPr>
  </w:style>
  <w:style w:type="character" w:styleId="42">
    <w:name w:val="annotation reference"/>
    <w:qFormat/>
    <w:uiPriority w:val="0"/>
    <w:rPr>
      <w:sz w:val="21"/>
      <w:szCs w:val="21"/>
    </w:rPr>
  </w:style>
  <w:style w:type="character" w:styleId="43">
    <w:name w:val="footnote reference"/>
    <w:qFormat/>
    <w:uiPriority w:val="0"/>
    <w:rPr>
      <w:rFonts w:ascii="宋体" w:hAnsi="宋体" w:eastAsia="宋体" w:cs="Times New Roman"/>
      <w:spacing w:val="0"/>
      <w:sz w:val="18"/>
      <w:vertAlign w:val="superscript"/>
    </w:rPr>
  </w:style>
  <w:style w:type="character" w:customStyle="1" w:styleId="44">
    <w:name w:val="标题 1 字符1"/>
    <w:link w:val="2"/>
    <w:qFormat/>
    <w:uiPriority w:val="0"/>
    <w:rPr>
      <w:rFonts w:ascii="Times New Roman" w:hAnsi="Times New Roman" w:eastAsia="宋体" w:cs="Times New Roman"/>
      <w:b/>
      <w:bCs/>
      <w:kern w:val="44"/>
      <w:sz w:val="44"/>
      <w:szCs w:val="44"/>
    </w:rPr>
  </w:style>
  <w:style w:type="character" w:customStyle="1" w:styleId="45">
    <w:name w:val="标题 2 字符2"/>
    <w:link w:val="3"/>
    <w:qFormat/>
    <w:uiPriority w:val="0"/>
    <w:rPr>
      <w:rFonts w:ascii="Arial" w:hAnsi="Arial" w:eastAsia="黑体" w:cs="Times New Roman"/>
      <w:b/>
      <w:bCs/>
      <w:sz w:val="32"/>
      <w:szCs w:val="32"/>
    </w:rPr>
  </w:style>
  <w:style w:type="character" w:customStyle="1" w:styleId="46">
    <w:name w:val="标题 3 字符"/>
    <w:link w:val="4"/>
    <w:qFormat/>
    <w:uiPriority w:val="0"/>
    <w:rPr>
      <w:rFonts w:ascii="Times New Roman" w:hAnsi="Times New Roman" w:eastAsia="宋体" w:cs="Times New Roman"/>
      <w:b/>
      <w:bCs/>
      <w:sz w:val="32"/>
      <w:szCs w:val="32"/>
    </w:rPr>
  </w:style>
  <w:style w:type="character" w:customStyle="1" w:styleId="47">
    <w:name w:val="标题 4 字符"/>
    <w:qFormat/>
    <w:uiPriority w:val="0"/>
    <w:rPr>
      <w:rFonts w:ascii="Arial" w:hAnsi="Arial" w:eastAsia="黑体" w:cs="Times New Roman"/>
      <w:b/>
      <w:bCs/>
      <w:sz w:val="28"/>
      <w:szCs w:val="28"/>
    </w:rPr>
  </w:style>
  <w:style w:type="character" w:customStyle="1" w:styleId="48">
    <w:name w:val="标题 5 字符"/>
    <w:link w:val="6"/>
    <w:qFormat/>
    <w:uiPriority w:val="0"/>
    <w:rPr>
      <w:rFonts w:ascii="Times New Roman" w:hAnsi="Times New Roman" w:eastAsia="宋体" w:cs="Times New Roman"/>
      <w:b/>
      <w:bCs/>
      <w:sz w:val="28"/>
      <w:szCs w:val="28"/>
    </w:rPr>
  </w:style>
  <w:style w:type="character" w:customStyle="1" w:styleId="49">
    <w:name w:val="标题 6 字符"/>
    <w:link w:val="7"/>
    <w:qFormat/>
    <w:uiPriority w:val="0"/>
    <w:rPr>
      <w:rFonts w:ascii="Arial" w:hAnsi="Arial" w:eastAsia="黑体" w:cs="Times New Roman"/>
      <w:b/>
      <w:bCs/>
      <w:sz w:val="24"/>
      <w:szCs w:val="24"/>
    </w:rPr>
  </w:style>
  <w:style w:type="character" w:customStyle="1" w:styleId="50">
    <w:name w:val="标题 7 字符"/>
    <w:link w:val="8"/>
    <w:qFormat/>
    <w:uiPriority w:val="0"/>
    <w:rPr>
      <w:rFonts w:ascii="Times New Roman" w:hAnsi="Times New Roman" w:eastAsia="宋体" w:cs="Times New Roman"/>
      <w:b/>
      <w:bCs/>
      <w:sz w:val="24"/>
      <w:szCs w:val="24"/>
    </w:rPr>
  </w:style>
  <w:style w:type="character" w:customStyle="1" w:styleId="51">
    <w:name w:val="标题 8 字符"/>
    <w:link w:val="9"/>
    <w:qFormat/>
    <w:uiPriority w:val="0"/>
    <w:rPr>
      <w:rFonts w:ascii="Arial" w:hAnsi="Arial" w:eastAsia="黑体" w:cs="Times New Roman"/>
      <w:sz w:val="24"/>
      <w:szCs w:val="24"/>
    </w:rPr>
  </w:style>
  <w:style w:type="character" w:customStyle="1" w:styleId="52">
    <w:name w:val="标题 9 字符"/>
    <w:link w:val="10"/>
    <w:qFormat/>
    <w:uiPriority w:val="0"/>
    <w:rPr>
      <w:rFonts w:ascii="Arial" w:hAnsi="Arial" w:eastAsia="黑体" w:cs="Times New Roman"/>
      <w:szCs w:val="21"/>
    </w:rPr>
  </w:style>
  <w:style w:type="character" w:customStyle="1" w:styleId="53">
    <w:name w:val="页眉 字符1"/>
    <w:basedOn w:val="36"/>
    <w:link w:val="23"/>
    <w:qFormat/>
    <w:uiPriority w:val="99"/>
    <w:rPr>
      <w:rFonts w:ascii="Times New Roman" w:hAnsi="Times New Roman" w:eastAsia="宋体" w:cs="Times New Roman"/>
      <w:sz w:val="18"/>
      <w:szCs w:val="18"/>
    </w:rPr>
  </w:style>
  <w:style w:type="character" w:customStyle="1" w:styleId="54">
    <w:name w:val="页脚 字符1"/>
    <w:basedOn w:val="36"/>
    <w:link w:val="22"/>
    <w:qFormat/>
    <w:uiPriority w:val="99"/>
    <w:rPr>
      <w:rFonts w:ascii="宋体" w:hAnsi="Times New Roman" w:eastAsia="宋体" w:cs="Times New Roman"/>
      <w:sz w:val="18"/>
      <w:szCs w:val="18"/>
    </w:rPr>
  </w:style>
  <w:style w:type="character" w:customStyle="1" w:styleId="55">
    <w:name w:val="批注框文本 字符1"/>
    <w:basedOn w:val="36"/>
    <w:link w:val="21"/>
    <w:qFormat/>
    <w:uiPriority w:val="0"/>
    <w:rPr>
      <w:sz w:val="18"/>
      <w:szCs w:val="18"/>
    </w:rPr>
  </w:style>
  <w:style w:type="paragraph" w:styleId="56">
    <w:name w:val="Quote"/>
    <w:basedOn w:val="1"/>
    <w:next w:val="1"/>
    <w:link w:val="57"/>
    <w:qFormat/>
    <w:uiPriority w:val="29"/>
    <w:rPr>
      <w:i/>
      <w:iCs/>
      <w:color w:val="000000"/>
    </w:rPr>
  </w:style>
  <w:style w:type="character" w:customStyle="1" w:styleId="57">
    <w:name w:val="引用 字符"/>
    <w:link w:val="56"/>
    <w:qFormat/>
    <w:uiPriority w:val="29"/>
    <w:rPr>
      <w:i/>
      <w:iCs/>
      <w:color w:val="000000"/>
    </w:rPr>
  </w:style>
  <w:style w:type="character" w:customStyle="1" w:styleId="58">
    <w:name w:val="标题 字符"/>
    <w:link w:val="32"/>
    <w:qFormat/>
    <w:uiPriority w:val="0"/>
    <w:rPr>
      <w:rFonts w:ascii="Arial" w:hAnsi="Arial" w:eastAsia="宋体" w:cs="Arial"/>
      <w:b/>
      <w:bCs/>
      <w:sz w:val="32"/>
      <w:szCs w:val="32"/>
    </w:rPr>
  </w:style>
  <w:style w:type="paragraph" w:customStyle="1" w:styleId="5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6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3">
    <w:name w:val="标准书眉一"/>
    <w:qFormat/>
    <w:uiPriority w:val="0"/>
    <w:pPr>
      <w:jc w:val="both"/>
    </w:pPr>
    <w:rPr>
      <w:rFonts w:ascii="Times New Roman" w:hAnsi="Times New Roman" w:eastAsia="宋体" w:cs="Times New Roman"/>
      <w:lang w:val="en-US" w:eastAsia="zh-CN" w:bidi="ar-SA"/>
    </w:rPr>
  </w:style>
  <w:style w:type="paragraph" w:customStyle="1" w:styleId="64">
    <w:name w:val="标准文件_ICS"/>
    <w:basedOn w:val="1"/>
    <w:qFormat/>
    <w:uiPriority w:val="0"/>
    <w:pPr>
      <w:spacing w:line="0" w:lineRule="atLeast"/>
    </w:pPr>
    <w:rPr>
      <w:rFonts w:ascii="黑体" w:hAnsi="宋体" w:eastAsia="黑体"/>
    </w:rPr>
  </w:style>
  <w:style w:type="paragraph" w:customStyle="1" w:styleId="65">
    <w:name w:val="标准文件_标准正文"/>
    <w:basedOn w:val="1"/>
    <w:next w:val="66"/>
    <w:qFormat/>
    <w:uiPriority w:val="0"/>
    <w:pPr>
      <w:snapToGrid w:val="0"/>
      <w:ind w:firstLine="200" w:firstLineChars="200"/>
    </w:pPr>
    <w:rPr>
      <w:kern w:val="0"/>
    </w:rPr>
  </w:style>
  <w:style w:type="paragraph" w:customStyle="1" w:styleId="66">
    <w:name w:val="标准文件_段"/>
    <w:link w:val="19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7">
    <w:name w:val="标准文件_版本"/>
    <w:basedOn w:val="65"/>
    <w:qFormat/>
    <w:uiPriority w:val="0"/>
    <w:pPr>
      <w:adjustRightInd/>
      <w:snapToGrid/>
      <w:ind w:firstLine="0" w:firstLineChars="0"/>
    </w:pPr>
    <w:rPr>
      <w:rFonts w:ascii="宋体" w:hAnsi="宋体"/>
      <w:kern w:val="2"/>
    </w:rPr>
  </w:style>
  <w:style w:type="paragraph" w:customStyle="1" w:styleId="68">
    <w:name w:val="标准文件_标准部门"/>
    <w:basedOn w:val="1"/>
    <w:qFormat/>
    <w:uiPriority w:val="0"/>
    <w:pPr>
      <w:jc w:val="center"/>
    </w:pPr>
    <w:rPr>
      <w:rFonts w:ascii="黑体" w:eastAsia="黑体"/>
      <w:kern w:val="0"/>
      <w:sz w:val="44"/>
    </w:rPr>
  </w:style>
  <w:style w:type="paragraph" w:customStyle="1" w:styleId="69">
    <w:name w:val="标准文件_标准代替"/>
    <w:basedOn w:val="1"/>
    <w:next w:val="1"/>
    <w:qFormat/>
    <w:uiPriority w:val="0"/>
    <w:pPr>
      <w:spacing w:line="310" w:lineRule="exact"/>
      <w:jc w:val="right"/>
    </w:pPr>
    <w:rPr>
      <w:rFonts w:ascii="宋体" w:hAnsi="宋体"/>
      <w:kern w:val="0"/>
    </w:rPr>
  </w:style>
  <w:style w:type="paragraph" w:customStyle="1" w:styleId="7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7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2">
    <w:name w:val="标准文件_页眉偶数页"/>
    <w:basedOn w:val="71"/>
    <w:next w:val="1"/>
    <w:qFormat/>
    <w:uiPriority w:val="0"/>
    <w:pPr>
      <w:jc w:val="left"/>
    </w:pPr>
  </w:style>
  <w:style w:type="paragraph" w:customStyle="1" w:styleId="73">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7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5">
    <w:name w:val="标准文件_二级条标题"/>
    <w:next w:val="66"/>
    <w:qFormat/>
    <w:uiPriority w:val="0"/>
    <w:pPr>
      <w:widowControl w:val="0"/>
      <w:numPr>
        <w:ilvl w:val="3"/>
        <w:numId w:val="2"/>
      </w:numPr>
      <w:spacing w:beforeLines="50" w:afterLines="50"/>
      <w:ind w:left="0"/>
      <w:jc w:val="both"/>
      <w:outlineLvl w:val="2"/>
    </w:pPr>
    <w:rPr>
      <w:rFonts w:ascii="黑体" w:hAnsi="Times New Roman" w:eastAsia="黑体" w:cs="Times New Roman"/>
      <w:sz w:val="21"/>
      <w:lang w:val="en-US" w:eastAsia="zh-CN" w:bidi="ar-SA"/>
    </w:rPr>
  </w:style>
  <w:style w:type="character" w:customStyle="1" w:styleId="76">
    <w:name w:val="标准文件_发布"/>
    <w:qFormat/>
    <w:uiPriority w:val="0"/>
    <w:rPr>
      <w:rFonts w:ascii="黑体" w:eastAsia="黑体"/>
      <w:spacing w:val="0"/>
      <w:w w:val="100"/>
      <w:position w:val="3"/>
      <w:sz w:val="28"/>
    </w:rPr>
  </w:style>
  <w:style w:type="paragraph" w:customStyle="1" w:styleId="77">
    <w:name w:val="标准文件_方框数字列项"/>
    <w:basedOn w:val="66"/>
    <w:qFormat/>
    <w:uiPriority w:val="0"/>
    <w:pPr>
      <w:numPr>
        <w:ilvl w:val="0"/>
        <w:numId w:val="3"/>
      </w:numPr>
      <w:ind w:firstLine="0" w:firstLineChars="0"/>
    </w:pPr>
  </w:style>
  <w:style w:type="paragraph" w:customStyle="1" w:styleId="78">
    <w:name w:val="标准文件_封面标准编号"/>
    <w:basedOn w:val="1"/>
    <w:next w:val="69"/>
    <w:qFormat/>
    <w:uiPriority w:val="0"/>
    <w:pPr>
      <w:spacing w:line="310" w:lineRule="exact"/>
      <w:jc w:val="right"/>
    </w:pPr>
    <w:rPr>
      <w:rFonts w:ascii="黑体" w:eastAsia="黑体"/>
      <w:kern w:val="0"/>
      <w:sz w:val="28"/>
    </w:rPr>
  </w:style>
  <w:style w:type="paragraph" w:customStyle="1" w:styleId="79">
    <w:name w:val="标准文件_封面标准分类号"/>
    <w:basedOn w:val="1"/>
    <w:qFormat/>
    <w:uiPriority w:val="0"/>
    <w:rPr>
      <w:rFonts w:ascii="黑体" w:eastAsia="黑体"/>
      <w:b/>
      <w:kern w:val="0"/>
      <w:sz w:val="28"/>
    </w:rPr>
  </w:style>
  <w:style w:type="paragraph" w:customStyle="1" w:styleId="80">
    <w:name w:val="标准文件_封面标准名称"/>
    <w:basedOn w:val="1"/>
    <w:qFormat/>
    <w:uiPriority w:val="0"/>
    <w:pPr>
      <w:spacing w:line="240" w:lineRule="auto"/>
      <w:jc w:val="center"/>
    </w:pPr>
    <w:rPr>
      <w:rFonts w:ascii="黑体" w:eastAsia="黑体"/>
      <w:kern w:val="0"/>
      <w:sz w:val="52"/>
    </w:rPr>
  </w:style>
  <w:style w:type="paragraph" w:customStyle="1" w:styleId="81">
    <w:name w:val="标准文件_封面标准英文名称"/>
    <w:basedOn w:val="1"/>
    <w:qFormat/>
    <w:uiPriority w:val="0"/>
    <w:pPr>
      <w:spacing w:line="240" w:lineRule="auto"/>
      <w:jc w:val="center"/>
    </w:pPr>
    <w:rPr>
      <w:rFonts w:ascii="黑体" w:eastAsia="黑体"/>
      <w:b/>
      <w:sz w:val="28"/>
    </w:rPr>
  </w:style>
  <w:style w:type="paragraph" w:customStyle="1" w:styleId="82">
    <w:name w:val="标准文件_封面发布日期"/>
    <w:basedOn w:val="1"/>
    <w:qFormat/>
    <w:uiPriority w:val="0"/>
    <w:pPr>
      <w:spacing w:line="310" w:lineRule="exact"/>
    </w:pPr>
    <w:rPr>
      <w:rFonts w:ascii="黑体" w:eastAsia="黑体"/>
      <w:kern w:val="0"/>
      <w:sz w:val="28"/>
    </w:rPr>
  </w:style>
  <w:style w:type="paragraph" w:customStyle="1" w:styleId="83">
    <w:name w:val="标准文件_封面密级"/>
    <w:basedOn w:val="1"/>
    <w:qFormat/>
    <w:uiPriority w:val="0"/>
    <w:rPr>
      <w:rFonts w:eastAsia="黑体"/>
      <w:sz w:val="32"/>
    </w:rPr>
  </w:style>
  <w:style w:type="paragraph" w:customStyle="1" w:styleId="84">
    <w:name w:val="标准文件_封面实施日期"/>
    <w:basedOn w:val="1"/>
    <w:qFormat/>
    <w:uiPriority w:val="0"/>
    <w:pPr>
      <w:spacing w:line="310" w:lineRule="exact"/>
      <w:jc w:val="right"/>
    </w:pPr>
    <w:rPr>
      <w:rFonts w:ascii="黑体" w:eastAsia="黑体"/>
      <w:sz w:val="28"/>
    </w:rPr>
  </w:style>
  <w:style w:type="paragraph" w:customStyle="1" w:styleId="85">
    <w:name w:val="标准文件_封面抬头"/>
    <w:basedOn w:val="66"/>
    <w:qFormat/>
    <w:uiPriority w:val="0"/>
    <w:pPr>
      <w:adjustRightInd w:val="0"/>
      <w:spacing w:line="800" w:lineRule="exact"/>
      <w:ind w:firstLine="0" w:firstLineChars="0"/>
      <w:jc w:val="distribute"/>
    </w:pPr>
    <w:rPr>
      <w:rFonts w:ascii="黑体" w:eastAsia="黑体"/>
      <w:b/>
      <w:sz w:val="64"/>
    </w:rPr>
  </w:style>
  <w:style w:type="paragraph" w:customStyle="1" w:styleId="86">
    <w:name w:val="标准文件_附录标识"/>
    <w:next w:val="66"/>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7">
    <w:name w:val="标准文件_附录表标题"/>
    <w:next w:val="66"/>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8">
    <w:name w:val="标准文件_附录一级条标题"/>
    <w:next w:val="66"/>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9">
    <w:name w:val="标准文件_附录二级条标题"/>
    <w:basedOn w:val="88"/>
    <w:next w:val="66"/>
    <w:qFormat/>
    <w:uiPriority w:val="0"/>
    <w:pPr>
      <w:widowControl/>
      <w:numPr>
        <w:ilvl w:val="2"/>
      </w:numPr>
      <w:wordWrap w:val="0"/>
      <w:overflowPunct w:val="0"/>
      <w:autoSpaceDE w:val="0"/>
      <w:autoSpaceDN w:val="0"/>
      <w:textAlignment w:val="baseline"/>
      <w:outlineLvl w:val="3"/>
    </w:pPr>
  </w:style>
  <w:style w:type="paragraph" w:customStyle="1" w:styleId="90">
    <w:name w:val="标准文件_附录公式"/>
    <w:basedOn w:val="65"/>
    <w:next w:val="6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1">
    <w:name w:val="标准文件_附录三级条标题"/>
    <w:next w:val="66"/>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92">
    <w:name w:val="标准文件_附录四级条标题"/>
    <w:next w:val="66"/>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93">
    <w:name w:val="标准文件_附录图标题"/>
    <w:next w:val="66"/>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94">
    <w:name w:val="标准文件_附录五级条标题"/>
    <w:next w:val="66"/>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5">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6">
    <w:name w:val="正文文本 字符"/>
    <w:basedOn w:val="36"/>
    <w:link w:val="14"/>
    <w:qFormat/>
    <w:uiPriority w:val="1"/>
    <w:rPr>
      <w:rFonts w:ascii="Times New Roman" w:hAnsi="Times New Roman" w:eastAsia="宋体" w:cs="Times New Roman"/>
      <w:szCs w:val="20"/>
    </w:rPr>
  </w:style>
  <w:style w:type="paragraph" w:customStyle="1" w:styleId="97">
    <w:name w:val="标准文件_附录章标题"/>
    <w:next w:val="6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8">
    <w:name w:val="标准文件_公式后的破折号"/>
    <w:basedOn w:val="66"/>
    <w:next w:val="66"/>
    <w:qFormat/>
    <w:uiPriority w:val="0"/>
    <w:pPr>
      <w:ind w:left="488" w:leftChars="200" w:hanging="289" w:hangingChars="290"/>
    </w:pPr>
  </w:style>
  <w:style w:type="paragraph" w:customStyle="1" w:styleId="99">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100">
    <w:name w:val="标准文件_目次、标准名称标题"/>
    <w:basedOn w:val="99"/>
    <w:next w:val="66"/>
    <w:qFormat/>
    <w:uiPriority w:val="0"/>
    <w:pPr>
      <w:spacing w:line="460" w:lineRule="exact"/>
    </w:pPr>
  </w:style>
  <w:style w:type="paragraph" w:customStyle="1" w:styleId="101">
    <w:name w:val="标准文件_目录标题"/>
    <w:basedOn w:val="1"/>
    <w:qFormat/>
    <w:uiPriority w:val="0"/>
    <w:pPr>
      <w:spacing w:afterLines="150" w:line="240" w:lineRule="auto"/>
      <w:jc w:val="center"/>
    </w:pPr>
    <w:rPr>
      <w:rFonts w:ascii="黑体" w:eastAsia="黑体"/>
      <w:sz w:val="32"/>
    </w:rPr>
  </w:style>
  <w:style w:type="paragraph" w:customStyle="1" w:styleId="10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3">
    <w:name w:val="标准文件_破折号列项（二级）"/>
    <w:basedOn w:val="102"/>
    <w:qFormat/>
    <w:uiPriority w:val="0"/>
    <w:pPr>
      <w:numPr>
        <w:numId w:val="10"/>
      </w:numPr>
      <w:ind w:left="0" w:firstLine="200"/>
    </w:pPr>
  </w:style>
  <w:style w:type="paragraph" w:customStyle="1" w:styleId="104">
    <w:name w:val="标准文件_三级条标题"/>
    <w:basedOn w:val="75"/>
    <w:next w:val="66"/>
    <w:qFormat/>
    <w:uiPriority w:val="0"/>
    <w:pPr>
      <w:widowControl/>
      <w:numPr>
        <w:ilvl w:val="4"/>
      </w:numPr>
      <w:outlineLvl w:val="3"/>
    </w:pPr>
  </w:style>
  <w:style w:type="character" w:customStyle="1" w:styleId="105">
    <w:name w:val="不明显参考1"/>
    <w:qFormat/>
    <w:uiPriority w:val="31"/>
    <w:rPr>
      <w:smallCaps/>
      <w:color w:val="C0504D"/>
      <w:u w:val="single"/>
    </w:rPr>
  </w:style>
  <w:style w:type="paragraph" w:customStyle="1" w:styleId="106">
    <w:name w:val="标准文件_示例后续"/>
    <w:basedOn w:val="1"/>
    <w:qFormat/>
    <w:uiPriority w:val="0"/>
    <w:pPr>
      <w:adjustRightInd/>
      <w:spacing w:line="240" w:lineRule="auto"/>
      <w:ind w:firstLine="200" w:firstLineChars="200"/>
    </w:pPr>
    <w:rPr>
      <w:sz w:val="18"/>
      <w:szCs w:val="24"/>
    </w:rPr>
  </w:style>
  <w:style w:type="paragraph" w:customStyle="1" w:styleId="10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8">
    <w:name w:val="标准文件_四级条标题"/>
    <w:next w:val="66"/>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9">
    <w:name w:val="脚注文本 字符"/>
    <w:link w:val="26"/>
    <w:semiHidden/>
    <w:qFormat/>
    <w:uiPriority w:val="0"/>
    <w:rPr>
      <w:rFonts w:ascii="宋体" w:hAnsi="Times New Roman" w:eastAsia="宋体" w:cs="Times New Roman"/>
      <w:sz w:val="18"/>
      <w:szCs w:val="18"/>
    </w:rPr>
  </w:style>
  <w:style w:type="paragraph" w:customStyle="1" w:styleId="110">
    <w:name w:val="标准文件_条文脚注"/>
    <w:basedOn w:val="26"/>
    <w:qFormat/>
    <w:uiPriority w:val="0"/>
    <w:pPr>
      <w:adjustRightInd w:val="0"/>
      <w:spacing w:line="240" w:lineRule="auto"/>
      <w:ind w:left="0" w:leftChars="0" w:firstLine="200" w:firstLineChars="200"/>
      <w:jc w:val="both"/>
    </w:pPr>
    <w:rPr>
      <w:rFonts w:hAnsi="宋体"/>
    </w:rPr>
  </w:style>
  <w:style w:type="paragraph" w:customStyle="1" w:styleId="111">
    <w:name w:val="标准文件_图表脚注"/>
    <w:basedOn w:val="1"/>
    <w:next w:val="66"/>
    <w:qFormat/>
    <w:uiPriority w:val="0"/>
    <w:pPr>
      <w:numPr>
        <w:ilvl w:val="0"/>
        <w:numId w:val="12"/>
      </w:numPr>
      <w:spacing w:line="240" w:lineRule="auto"/>
      <w:jc w:val="left"/>
    </w:pPr>
    <w:rPr>
      <w:rFonts w:ascii="宋体" w:hAnsi="宋体"/>
      <w:sz w:val="18"/>
    </w:rPr>
  </w:style>
  <w:style w:type="character" w:customStyle="1" w:styleId="112">
    <w:name w:val="标准文件_图表脚注内容"/>
    <w:qFormat/>
    <w:uiPriority w:val="0"/>
    <w:rPr>
      <w:rFonts w:ascii="宋体" w:hAnsi="宋体" w:eastAsia="宋体" w:cs="Times New Roman"/>
      <w:spacing w:val="0"/>
      <w:sz w:val="18"/>
      <w:vertAlign w:val="superscript"/>
    </w:rPr>
  </w:style>
  <w:style w:type="paragraph" w:customStyle="1" w:styleId="113">
    <w:name w:val="标准文件_五级条标题"/>
    <w:next w:val="66"/>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14">
    <w:name w:val="标准文件_章标题"/>
    <w:next w:val="66"/>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15">
    <w:name w:val="标准文件_一级条标题"/>
    <w:basedOn w:val="114"/>
    <w:next w:val="66"/>
    <w:qFormat/>
    <w:uiPriority w:val="0"/>
    <w:pPr>
      <w:numPr>
        <w:ilvl w:val="2"/>
      </w:numPr>
      <w:spacing w:beforeLines="50" w:afterLines="50"/>
      <w:outlineLvl w:val="1"/>
    </w:pPr>
  </w:style>
  <w:style w:type="paragraph" w:customStyle="1" w:styleId="116">
    <w:name w:val="标准文件_一致程度"/>
    <w:basedOn w:val="1"/>
    <w:qFormat/>
    <w:uiPriority w:val="0"/>
    <w:pPr>
      <w:spacing w:line="440" w:lineRule="exact"/>
      <w:jc w:val="center"/>
    </w:pPr>
    <w:rPr>
      <w:sz w:val="28"/>
    </w:rPr>
  </w:style>
  <w:style w:type="paragraph" w:customStyle="1" w:styleId="11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8">
    <w:name w:val="标准文件_英文图表脚注"/>
    <w:basedOn w:val="65"/>
    <w:qFormat/>
    <w:uiPriority w:val="0"/>
    <w:pPr>
      <w:widowControl/>
      <w:adjustRightInd/>
      <w:snapToGrid/>
      <w:spacing w:line="240" w:lineRule="auto"/>
      <w:ind w:left="79" w:hanging="79" w:hangingChars="80"/>
    </w:pPr>
    <w:rPr>
      <w:rFonts w:ascii="宋体" w:hAnsi="宋体"/>
    </w:rPr>
  </w:style>
  <w:style w:type="paragraph" w:customStyle="1" w:styleId="119">
    <w:name w:val="标准文件_数字编号列项（二级）"/>
    <w:qFormat/>
    <w:uiPriority w:val="0"/>
    <w:pPr>
      <w:numPr>
        <w:ilvl w:val="1"/>
        <w:numId w:val="13"/>
      </w:numPr>
      <w:tabs>
        <w:tab w:val="left" w:pos="852"/>
      </w:tabs>
      <w:jc w:val="both"/>
    </w:pPr>
    <w:rPr>
      <w:rFonts w:ascii="宋体" w:hAnsi="Times New Roman" w:eastAsia="宋体" w:cs="Times New Roman"/>
      <w:sz w:val="21"/>
      <w:lang w:val="en-US" w:eastAsia="zh-CN" w:bidi="ar-SA"/>
    </w:rPr>
  </w:style>
  <w:style w:type="paragraph" w:customStyle="1" w:styleId="120">
    <w:name w:val="标准文件_英文注："/>
    <w:basedOn w:val="1"/>
    <w:next w:val="6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2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22">
    <w:name w:val="标准文件_正文表标题"/>
    <w:next w:val="66"/>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23">
    <w:name w:val="标准文件_正文公式"/>
    <w:basedOn w:val="1"/>
    <w:next w:val="65"/>
    <w:qFormat/>
    <w:uiPriority w:val="0"/>
    <w:pPr>
      <w:tabs>
        <w:tab w:val="center" w:pos="4678"/>
        <w:tab w:val="right" w:leader="middleDot" w:pos="9356"/>
      </w:tabs>
      <w:spacing w:line="240" w:lineRule="auto"/>
    </w:pPr>
    <w:rPr>
      <w:rFonts w:ascii="宋体" w:hAnsi="宋体"/>
    </w:rPr>
  </w:style>
  <w:style w:type="paragraph" w:customStyle="1" w:styleId="124">
    <w:name w:val="标准文件_正文图标题"/>
    <w:next w:val="66"/>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5">
    <w:name w:val="标准文件_正文英文表标题"/>
    <w:next w:val="6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6">
    <w:name w:val="标准文件_正文英文图标题"/>
    <w:next w:val="6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7">
    <w:name w:val="标准文件_编号列项（三级）"/>
    <w:qFormat/>
    <w:uiPriority w:val="0"/>
    <w:pPr>
      <w:numPr>
        <w:ilvl w:val="2"/>
        <w:numId w:val="13"/>
      </w:numPr>
      <w:tabs>
        <w:tab w:val="left" w:pos="852"/>
      </w:tabs>
    </w:pPr>
    <w:rPr>
      <w:rFonts w:ascii="宋体" w:hAnsi="Times New Roman" w:eastAsia="宋体" w:cs="Times New Roman"/>
      <w:sz w:val="21"/>
      <w:lang w:val="en-US" w:eastAsia="zh-CN" w:bidi="ar-SA"/>
    </w:rPr>
  </w:style>
  <w:style w:type="paragraph" w:customStyle="1" w:styleId="12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9">
    <w:name w:val="发布部门"/>
    <w:next w:val="6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3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3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7">
    <w:name w:val="封面正文"/>
    <w:qFormat/>
    <w:uiPriority w:val="0"/>
    <w:pPr>
      <w:jc w:val="both"/>
    </w:pPr>
    <w:rPr>
      <w:rFonts w:ascii="Times New Roman" w:hAnsi="Times New Roman" w:eastAsia="宋体" w:cs="Times New Roman"/>
      <w:lang w:val="en-US" w:eastAsia="zh-CN" w:bidi="ar-SA"/>
    </w:rPr>
  </w:style>
  <w:style w:type="paragraph" w:customStyle="1" w:styleId="138">
    <w:name w:val="附录二级无标题条"/>
    <w:basedOn w:val="1"/>
    <w:next w:val="6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9">
    <w:name w:val="附录三级无标题条"/>
    <w:basedOn w:val="138"/>
    <w:next w:val="66"/>
    <w:qFormat/>
    <w:uiPriority w:val="0"/>
    <w:pPr>
      <w:outlineLvl w:val="4"/>
    </w:pPr>
  </w:style>
  <w:style w:type="paragraph" w:customStyle="1" w:styleId="140">
    <w:name w:val="附录四级无标题条"/>
    <w:basedOn w:val="139"/>
    <w:next w:val="66"/>
    <w:qFormat/>
    <w:uiPriority w:val="0"/>
    <w:pPr>
      <w:outlineLvl w:val="5"/>
    </w:pPr>
  </w:style>
  <w:style w:type="paragraph" w:customStyle="1" w:styleId="141">
    <w:name w:val="附录图"/>
    <w:next w:val="66"/>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43">
    <w:name w:val="附录五级无标题条"/>
    <w:basedOn w:val="140"/>
    <w:next w:val="66"/>
    <w:qFormat/>
    <w:uiPriority w:val="0"/>
    <w:pPr>
      <w:outlineLvl w:val="6"/>
    </w:pPr>
  </w:style>
  <w:style w:type="paragraph" w:customStyle="1" w:styleId="144">
    <w:name w:val="附录性质"/>
    <w:basedOn w:val="1"/>
    <w:qFormat/>
    <w:uiPriority w:val="0"/>
    <w:pPr>
      <w:widowControl/>
      <w:adjustRightInd/>
      <w:jc w:val="center"/>
    </w:pPr>
    <w:rPr>
      <w:rFonts w:ascii="黑体" w:eastAsia="黑体"/>
    </w:rPr>
  </w:style>
  <w:style w:type="paragraph" w:customStyle="1" w:styleId="145">
    <w:name w:val="附录一级无标题条"/>
    <w:basedOn w:val="97"/>
    <w:next w:val="66"/>
    <w:qFormat/>
    <w:uiPriority w:val="0"/>
    <w:pPr>
      <w:autoSpaceDN w:val="0"/>
      <w:outlineLvl w:val="2"/>
    </w:pPr>
    <w:rPr>
      <w:rFonts w:ascii="宋体" w:hAnsi="宋体" w:eastAsia="宋体"/>
    </w:rPr>
  </w:style>
  <w:style w:type="character" w:customStyle="1" w:styleId="146">
    <w:name w:val="个人答复风格"/>
    <w:qFormat/>
    <w:uiPriority w:val="0"/>
    <w:rPr>
      <w:rFonts w:ascii="Arial" w:hAnsi="Arial" w:eastAsia="宋体" w:cs="Arial"/>
      <w:color w:val="auto"/>
      <w:spacing w:val="0"/>
      <w:sz w:val="20"/>
    </w:rPr>
  </w:style>
  <w:style w:type="character" w:customStyle="1" w:styleId="147">
    <w:name w:val="个人撰写风格"/>
    <w:qFormat/>
    <w:uiPriority w:val="0"/>
    <w:rPr>
      <w:rFonts w:ascii="Arial" w:hAnsi="Arial" w:eastAsia="宋体" w:cs="Arial"/>
      <w:color w:val="auto"/>
      <w:spacing w:val="0"/>
      <w:sz w:val="20"/>
    </w:rPr>
  </w:style>
  <w:style w:type="paragraph" w:customStyle="1" w:styleId="14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50">
    <w:name w:val="列项·"/>
    <w:basedOn w:val="66"/>
    <w:qFormat/>
    <w:uiPriority w:val="0"/>
    <w:pPr>
      <w:tabs>
        <w:tab w:val="left" w:pos="840"/>
      </w:tabs>
    </w:pPr>
  </w:style>
  <w:style w:type="paragraph" w:customStyle="1" w:styleId="15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2">
    <w:name w:val="目录 21"/>
    <w:basedOn w:val="1"/>
    <w:next w:val="1"/>
    <w:semiHidden/>
    <w:qFormat/>
    <w:uiPriority w:val="0"/>
    <w:pPr>
      <w:adjustRightInd/>
      <w:spacing w:line="240" w:lineRule="auto"/>
      <w:jc w:val="left"/>
    </w:pPr>
    <w:rPr>
      <w:bCs/>
      <w:iCs/>
    </w:rPr>
  </w:style>
  <w:style w:type="paragraph" w:customStyle="1" w:styleId="153">
    <w:name w:val="目录 31"/>
    <w:basedOn w:val="1"/>
    <w:next w:val="1"/>
    <w:semiHidden/>
    <w:qFormat/>
    <w:uiPriority w:val="0"/>
    <w:pPr>
      <w:spacing w:line="240" w:lineRule="auto"/>
    </w:pPr>
    <w:rPr>
      <w:rFonts w:ascii="宋体" w:hAnsi="宋体"/>
      <w:iCs/>
    </w:rPr>
  </w:style>
  <w:style w:type="paragraph" w:customStyle="1" w:styleId="154">
    <w:name w:val="目录 41"/>
    <w:basedOn w:val="1"/>
    <w:next w:val="1"/>
    <w:semiHidden/>
    <w:qFormat/>
    <w:uiPriority w:val="0"/>
    <w:pPr>
      <w:adjustRightInd/>
      <w:spacing w:line="240" w:lineRule="auto"/>
      <w:jc w:val="left"/>
    </w:pPr>
  </w:style>
  <w:style w:type="paragraph" w:customStyle="1" w:styleId="155">
    <w:name w:val="目录 51"/>
    <w:basedOn w:val="1"/>
    <w:next w:val="1"/>
    <w:semiHidden/>
    <w:qFormat/>
    <w:uiPriority w:val="0"/>
    <w:pPr>
      <w:spacing w:line="240" w:lineRule="auto"/>
    </w:pPr>
    <w:rPr>
      <w:rFonts w:ascii="宋体" w:hAnsi="宋体"/>
    </w:rPr>
  </w:style>
  <w:style w:type="paragraph" w:customStyle="1" w:styleId="156">
    <w:name w:val="目录 61"/>
    <w:basedOn w:val="1"/>
    <w:next w:val="1"/>
    <w:semiHidden/>
    <w:qFormat/>
    <w:uiPriority w:val="0"/>
    <w:pPr>
      <w:adjustRightInd/>
      <w:spacing w:line="240" w:lineRule="auto"/>
      <w:jc w:val="left"/>
    </w:pPr>
  </w:style>
  <w:style w:type="paragraph" w:customStyle="1" w:styleId="157">
    <w:name w:val="目录 71"/>
    <w:basedOn w:val="156"/>
    <w:semiHidden/>
    <w:qFormat/>
    <w:uiPriority w:val="0"/>
    <w:pPr>
      <w:ind w:left="1260"/>
    </w:pPr>
  </w:style>
  <w:style w:type="paragraph" w:customStyle="1" w:styleId="158">
    <w:name w:val="目录 81"/>
    <w:basedOn w:val="157"/>
    <w:semiHidden/>
    <w:qFormat/>
    <w:uiPriority w:val="0"/>
    <w:pPr>
      <w:ind w:left="1470"/>
    </w:pPr>
  </w:style>
  <w:style w:type="paragraph" w:customStyle="1" w:styleId="159">
    <w:name w:val="目录 91"/>
    <w:basedOn w:val="158"/>
    <w:semiHidden/>
    <w:qFormat/>
    <w:uiPriority w:val="0"/>
    <w:pPr>
      <w:ind w:left="1680"/>
    </w:pPr>
  </w:style>
  <w:style w:type="paragraph" w:customStyle="1" w:styleId="16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61">
    <w:name w:val="其他发布部门"/>
    <w:basedOn w:val="129"/>
    <w:qFormat/>
    <w:uiPriority w:val="0"/>
    <w:pPr>
      <w:framePr/>
      <w:spacing w:line="0" w:lineRule="atLeast"/>
    </w:pPr>
    <w:rPr>
      <w:rFonts w:ascii="黑体" w:eastAsia="黑体"/>
      <w:b w:val="0"/>
    </w:rPr>
  </w:style>
  <w:style w:type="paragraph" w:customStyle="1" w:styleId="16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4">
    <w:name w:val="实施日期"/>
    <w:basedOn w:val="130"/>
    <w:qFormat/>
    <w:uiPriority w:val="0"/>
    <w:pPr>
      <w:framePr w:hSpace="0" w:xAlign="right"/>
      <w:jc w:val="right"/>
    </w:pPr>
  </w:style>
  <w:style w:type="paragraph" w:customStyle="1" w:styleId="16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7">
    <w:name w:val="无标题条"/>
    <w:next w:val="66"/>
    <w:qFormat/>
    <w:uiPriority w:val="0"/>
    <w:pPr>
      <w:jc w:val="both"/>
    </w:pPr>
    <w:rPr>
      <w:rFonts w:ascii="宋体" w:hAnsi="宋体" w:eastAsia="宋体" w:cs="Times New Roman"/>
      <w:sz w:val="21"/>
      <w:lang w:val="en-US" w:eastAsia="zh-CN" w:bidi="ar-SA"/>
    </w:rPr>
  </w:style>
  <w:style w:type="paragraph" w:customStyle="1" w:styleId="168">
    <w:name w:val="五级无标题条"/>
    <w:basedOn w:val="1"/>
    <w:qFormat/>
    <w:uiPriority w:val="0"/>
    <w:pPr>
      <w:numPr>
        <w:ilvl w:val="6"/>
        <w:numId w:val="20"/>
      </w:numPr>
      <w:adjustRightInd/>
    </w:pPr>
    <w:rPr>
      <w:szCs w:val="24"/>
    </w:rPr>
  </w:style>
  <w:style w:type="paragraph" w:customStyle="1" w:styleId="16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7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71">
    <w:name w:val="注×:后续"/>
    <w:basedOn w:val="170"/>
    <w:qFormat/>
    <w:uiPriority w:val="0"/>
    <w:pPr>
      <w:ind w:left="1406" w:leftChars="0" w:hanging="499" w:firstLineChars="0"/>
    </w:pPr>
  </w:style>
  <w:style w:type="paragraph" w:customStyle="1" w:styleId="172">
    <w:name w:val="标准文件_一级无标题"/>
    <w:basedOn w:val="115"/>
    <w:qFormat/>
    <w:uiPriority w:val="0"/>
    <w:pPr>
      <w:spacing w:beforeLines="0" w:afterLines="0"/>
      <w:outlineLvl w:val="9"/>
    </w:pPr>
    <w:rPr>
      <w:rFonts w:ascii="宋体" w:eastAsia="宋体"/>
    </w:rPr>
  </w:style>
  <w:style w:type="paragraph" w:customStyle="1" w:styleId="173">
    <w:name w:val="标准文件_五级无标题"/>
    <w:basedOn w:val="113"/>
    <w:qFormat/>
    <w:uiPriority w:val="0"/>
    <w:pPr>
      <w:spacing w:beforeLines="0" w:afterLines="0"/>
      <w:outlineLvl w:val="9"/>
    </w:pPr>
    <w:rPr>
      <w:rFonts w:ascii="宋体" w:eastAsia="宋体"/>
    </w:rPr>
  </w:style>
  <w:style w:type="paragraph" w:customStyle="1" w:styleId="174">
    <w:name w:val="标准文件_三级无标题"/>
    <w:basedOn w:val="104"/>
    <w:qFormat/>
    <w:uiPriority w:val="0"/>
    <w:pPr>
      <w:spacing w:beforeLines="0" w:afterLines="0"/>
      <w:outlineLvl w:val="9"/>
    </w:pPr>
    <w:rPr>
      <w:rFonts w:ascii="宋体" w:eastAsia="宋体"/>
    </w:rPr>
  </w:style>
  <w:style w:type="paragraph" w:customStyle="1" w:styleId="175">
    <w:name w:val="标准文件_二级无标题"/>
    <w:basedOn w:val="75"/>
    <w:qFormat/>
    <w:uiPriority w:val="0"/>
    <w:pPr>
      <w:spacing w:beforeLines="0" w:afterLines="0"/>
      <w:outlineLvl w:val="9"/>
    </w:pPr>
    <w:rPr>
      <w:rFonts w:ascii="宋体" w:eastAsia="宋体"/>
    </w:rPr>
  </w:style>
  <w:style w:type="paragraph" w:customStyle="1" w:styleId="176">
    <w:name w:val="标准_四级无标题"/>
    <w:basedOn w:val="108"/>
    <w:next w:val="66"/>
    <w:qFormat/>
    <w:uiPriority w:val="0"/>
    <w:rPr>
      <w:rFonts w:eastAsia="宋体"/>
    </w:rPr>
  </w:style>
  <w:style w:type="paragraph" w:customStyle="1" w:styleId="177">
    <w:name w:val="标准文件_四级无标题"/>
    <w:basedOn w:val="108"/>
    <w:qFormat/>
    <w:uiPriority w:val="0"/>
    <w:pPr>
      <w:spacing w:beforeLines="0" w:afterLines="0"/>
      <w:outlineLvl w:val="9"/>
    </w:pPr>
    <w:rPr>
      <w:rFonts w:ascii="宋体" w:hAnsi="黑体" w:eastAsia="宋体"/>
      <w:szCs w:val="52"/>
    </w:rPr>
  </w:style>
  <w:style w:type="paragraph" w:customStyle="1" w:styleId="178">
    <w:name w:val="标准文件_大写罗马数字编号列项"/>
    <w:basedOn w:val="66"/>
    <w:qFormat/>
    <w:uiPriority w:val="0"/>
    <w:pPr>
      <w:numPr>
        <w:ilvl w:val="0"/>
        <w:numId w:val="23"/>
      </w:numPr>
      <w:ind w:firstLine="0" w:firstLineChars="0"/>
    </w:pPr>
    <w:rPr>
      <w:rFonts w:ascii="Times New Roman" w:cs="Arial"/>
      <w:szCs w:val="28"/>
    </w:rPr>
  </w:style>
  <w:style w:type="paragraph" w:customStyle="1" w:styleId="179">
    <w:name w:val="标准文件_小写罗马数字编号列项"/>
    <w:basedOn w:val="66"/>
    <w:qFormat/>
    <w:uiPriority w:val="0"/>
    <w:pPr>
      <w:numPr>
        <w:ilvl w:val="0"/>
        <w:numId w:val="24"/>
      </w:numPr>
      <w:ind w:firstLine="0" w:firstLineChars="0"/>
    </w:pPr>
    <w:rPr>
      <w:rFonts w:cs="Arial"/>
      <w:szCs w:val="28"/>
    </w:rPr>
  </w:style>
  <w:style w:type="paragraph" w:customStyle="1" w:styleId="180">
    <w:name w:val="标准文件_附录标题"/>
    <w:basedOn w:val="86"/>
    <w:qFormat/>
    <w:uiPriority w:val="0"/>
    <w:pPr>
      <w:numPr>
        <w:numId w:val="0"/>
      </w:numPr>
      <w:spacing w:after="280"/>
      <w:outlineLvl w:val="9"/>
    </w:pPr>
  </w:style>
  <w:style w:type="paragraph" w:customStyle="1" w:styleId="181">
    <w:name w:val="标准文件_二级项"/>
    <w:qFormat/>
    <w:uiPriority w:val="0"/>
    <w:rPr>
      <w:rFonts w:ascii="宋体" w:hAnsi="Times New Roman" w:eastAsia="宋体" w:cs="Times New Roman"/>
      <w:sz w:val="21"/>
      <w:lang w:val="en-US" w:eastAsia="zh-CN" w:bidi="ar-SA"/>
    </w:rPr>
  </w:style>
  <w:style w:type="paragraph" w:customStyle="1" w:styleId="182">
    <w:name w:val="标准文件_三级项"/>
    <w:basedOn w:val="1"/>
    <w:qFormat/>
    <w:uiPriority w:val="0"/>
    <w:pPr>
      <w:numPr>
        <w:ilvl w:val="2"/>
        <w:numId w:val="21"/>
      </w:numPr>
      <w:spacing w:line="536870612" w:lineRule="auto"/>
    </w:pPr>
    <w:rPr>
      <w:rFonts w:ascii="Times New Roman" w:hAnsi="Times New Roman"/>
    </w:rPr>
  </w:style>
  <w:style w:type="paragraph" w:customStyle="1" w:styleId="183">
    <w:name w:val="图表脚注说明"/>
    <w:basedOn w:val="1"/>
    <w:next w:val="66"/>
    <w:qFormat/>
    <w:uiPriority w:val="0"/>
    <w:pPr>
      <w:numPr>
        <w:ilvl w:val="0"/>
        <w:numId w:val="25"/>
      </w:numPr>
      <w:adjustRightInd/>
      <w:spacing w:line="240" w:lineRule="auto"/>
      <w:ind w:left="783"/>
    </w:pPr>
    <w:rPr>
      <w:rFonts w:ascii="宋体" w:hAnsi="Times New Roman"/>
      <w:sz w:val="18"/>
      <w:szCs w:val="18"/>
    </w:rPr>
  </w:style>
  <w:style w:type="paragraph" w:customStyle="1" w:styleId="18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5">
    <w:name w:val="标准文件_索引字母"/>
    <w:next w:val="66"/>
    <w:qFormat/>
    <w:uiPriority w:val="0"/>
    <w:pPr>
      <w:jc w:val="center"/>
    </w:pPr>
    <w:rPr>
      <w:rFonts w:ascii="宋体" w:hAnsi="宋体" w:eastAsia="Times New Roman" w:cs="Times New Roman"/>
      <w:b/>
      <w:kern w:val="2"/>
      <w:sz w:val="21"/>
      <w:lang w:val="en-US" w:eastAsia="zh-CN" w:bidi="ar-SA"/>
    </w:rPr>
  </w:style>
  <w:style w:type="paragraph" w:customStyle="1" w:styleId="186">
    <w:name w:val="标准文件_附录前"/>
    <w:next w:val="6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7">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8">
    <w:name w:val="标准文件_表格"/>
    <w:basedOn w:val="66"/>
    <w:qFormat/>
    <w:uiPriority w:val="0"/>
    <w:pPr>
      <w:ind w:firstLine="0" w:firstLineChars="0"/>
      <w:jc w:val="center"/>
    </w:pPr>
    <w:rPr>
      <w:sz w:val="18"/>
    </w:rPr>
  </w:style>
  <w:style w:type="paragraph" w:customStyle="1" w:styleId="189">
    <w:name w:val="标准文件_注："/>
    <w:next w:val="66"/>
    <w:qFormat/>
    <w:uiPriority w:val="0"/>
    <w:pPr>
      <w:widowControl w:val="0"/>
      <w:autoSpaceDE w:val="0"/>
      <w:autoSpaceDN w:val="0"/>
      <w:ind w:left="737" w:hanging="374"/>
      <w:jc w:val="both"/>
    </w:pPr>
    <w:rPr>
      <w:rFonts w:ascii="宋体" w:hAnsi="Times New Roman" w:eastAsia="宋体" w:cs="Times New Roman"/>
      <w:sz w:val="18"/>
      <w:szCs w:val="18"/>
      <w:lang w:val="en-US" w:eastAsia="zh-CN" w:bidi="ar-SA"/>
    </w:rPr>
  </w:style>
  <w:style w:type="paragraph" w:customStyle="1" w:styleId="190">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91">
    <w:name w:val="标准文件_示例："/>
    <w:next w:val="192"/>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92">
    <w:name w:val="标准文件_示例内容"/>
    <w:basedOn w:val="66"/>
    <w:qFormat/>
    <w:uiPriority w:val="0"/>
    <w:pPr>
      <w:ind w:firstLine="420"/>
    </w:pPr>
    <w:rPr>
      <w:sz w:val="18"/>
    </w:rPr>
  </w:style>
  <w:style w:type="paragraph" w:customStyle="1" w:styleId="193">
    <w:name w:val="标准文件_示例×："/>
    <w:basedOn w:val="1"/>
    <w:next w:val="192"/>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94">
    <w:name w:val="标准文件_段 Char"/>
    <w:link w:val="66"/>
    <w:qFormat/>
    <w:uiPriority w:val="0"/>
    <w:rPr>
      <w:rFonts w:ascii="宋体" w:hAnsi="Times New Roman"/>
      <w:sz w:val="21"/>
    </w:rPr>
  </w:style>
  <w:style w:type="paragraph" w:customStyle="1" w:styleId="195">
    <w:name w:val="标准文件_表格续"/>
    <w:basedOn w:val="66"/>
    <w:next w:val="66"/>
    <w:qFormat/>
    <w:uiPriority w:val="0"/>
    <w:pPr>
      <w:jc w:val="center"/>
    </w:pPr>
    <w:rPr>
      <w:rFonts w:ascii="黑体" w:hAnsi="黑体" w:eastAsia="黑体"/>
    </w:rPr>
  </w:style>
  <w:style w:type="character" w:styleId="196">
    <w:name w:val="Placeholder Text"/>
    <w:basedOn w:val="36"/>
    <w:semiHidden/>
    <w:qFormat/>
    <w:uiPriority w:val="99"/>
    <w:rPr>
      <w:color w:val="808080"/>
    </w:rPr>
  </w:style>
  <w:style w:type="paragraph" w:customStyle="1" w:styleId="197">
    <w:name w:val="标准文件_二级项2"/>
    <w:basedOn w:val="66"/>
    <w:qFormat/>
    <w:uiPriority w:val="0"/>
    <w:pPr>
      <w:numPr>
        <w:ilvl w:val="1"/>
        <w:numId w:val="21"/>
      </w:numPr>
      <w:ind w:left="1271" w:hanging="420" w:firstLineChars="0"/>
    </w:pPr>
  </w:style>
  <w:style w:type="paragraph" w:customStyle="1" w:styleId="198">
    <w:name w:val="标准文件_三级项2"/>
    <w:basedOn w:val="66"/>
    <w:qFormat/>
    <w:uiPriority w:val="0"/>
    <w:pPr>
      <w:numPr>
        <w:ilvl w:val="0"/>
        <w:numId w:val="29"/>
      </w:numPr>
      <w:spacing w:line="300" w:lineRule="exact"/>
      <w:ind w:left="1276" w:hanging="425" w:firstLineChars="0"/>
    </w:pPr>
    <w:rPr>
      <w:rFonts w:ascii="Times New Roman"/>
    </w:rPr>
  </w:style>
  <w:style w:type="paragraph" w:customStyle="1" w:styleId="199">
    <w:name w:val="标准文件_一级项2"/>
    <w:basedOn w:val="66"/>
    <w:qFormat/>
    <w:uiPriority w:val="0"/>
    <w:pPr>
      <w:numPr>
        <w:ilvl w:val="0"/>
        <w:numId w:val="30"/>
      </w:numPr>
      <w:spacing w:line="300" w:lineRule="exact"/>
      <w:ind w:left="1271" w:hanging="420" w:firstLineChars="0"/>
    </w:pPr>
    <w:rPr>
      <w:rFonts w:ascii="Times New Roman"/>
    </w:rPr>
  </w:style>
  <w:style w:type="paragraph" w:customStyle="1" w:styleId="200">
    <w:name w:val="标准文件_提示"/>
    <w:basedOn w:val="66"/>
    <w:next w:val="66"/>
    <w:qFormat/>
    <w:uiPriority w:val="0"/>
    <w:pPr>
      <w:ind w:firstLine="420"/>
    </w:pPr>
    <w:rPr>
      <w:rFonts w:ascii="黑体" w:eastAsia="黑体"/>
    </w:rPr>
  </w:style>
  <w:style w:type="character" w:customStyle="1" w:styleId="201">
    <w:name w:val="标准文件_来源"/>
    <w:basedOn w:val="36"/>
    <w:qFormat/>
    <w:uiPriority w:val="1"/>
    <w:rPr>
      <w:rFonts w:eastAsia="宋体"/>
      <w:sz w:val="21"/>
    </w:rPr>
  </w:style>
  <w:style w:type="paragraph" w:customStyle="1" w:styleId="20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3">
    <w:name w:val="其他发布日期"/>
    <w:basedOn w:val="130"/>
    <w:qFormat/>
    <w:uiPriority w:val="0"/>
    <w:pPr>
      <w:framePr w:w="3997" w:h="471" w:hRule="exact" w:hSpace="0" w:vSpace="181" w:vAnchor="page" w:hAnchor="page" w:x="1419" w:y="14097"/>
    </w:pPr>
  </w:style>
  <w:style w:type="paragraph" w:customStyle="1" w:styleId="204">
    <w:name w:val="其他实施日期"/>
    <w:basedOn w:val="164"/>
    <w:qFormat/>
    <w:uiPriority w:val="0"/>
    <w:pPr>
      <w:framePr w:w="3997" w:h="471" w:hRule="exact" w:vSpace="181" w:vAnchor="page" w:hAnchor="page" w:x="7089" w:y="14097"/>
    </w:pPr>
  </w:style>
  <w:style w:type="paragraph" w:customStyle="1" w:styleId="205">
    <w:name w:val="标准文件_文件编号"/>
    <w:basedOn w:val="6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6">
    <w:name w:val="标准文件_替换文件编号"/>
    <w:basedOn w:val="205"/>
    <w:qFormat/>
    <w:uiPriority w:val="0"/>
    <w:pPr>
      <w:framePr/>
      <w:spacing w:before="57"/>
    </w:pPr>
    <w:rPr>
      <w:sz w:val="21"/>
    </w:rPr>
  </w:style>
  <w:style w:type="paragraph" w:customStyle="1" w:styleId="207">
    <w:name w:val="标准文件_文件名称"/>
    <w:basedOn w:val="66"/>
    <w:next w:val="6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8">
    <w:name w:val="标准文件_附录图标号"/>
    <w:basedOn w:val="66"/>
    <w:next w:val="6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9">
    <w:name w:val="标准文件_附录表标号"/>
    <w:basedOn w:val="66"/>
    <w:next w:val="66"/>
    <w:qFormat/>
    <w:uiPriority w:val="0"/>
    <w:pPr>
      <w:numPr>
        <w:ilvl w:val="0"/>
        <w:numId w:val="5"/>
      </w:numPr>
      <w:spacing w:line="14" w:lineRule="exact"/>
      <w:ind w:firstLine="0" w:firstLineChars="0"/>
      <w:jc w:val="center"/>
    </w:pPr>
    <w:rPr>
      <w:rFonts w:eastAsia="黑体"/>
      <w:vanish/>
      <w:sz w:val="2"/>
    </w:rPr>
  </w:style>
  <w:style w:type="paragraph" w:customStyle="1" w:styleId="210">
    <w:name w:val="标准文件_引言一级条标题"/>
    <w:basedOn w:val="66"/>
    <w:next w:val="66"/>
    <w:qFormat/>
    <w:uiPriority w:val="0"/>
    <w:pPr>
      <w:numPr>
        <w:ilvl w:val="1"/>
        <w:numId w:val="8"/>
      </w:numPr>
      <w:spacing w:beforeLines="50" w:afterLines="50"/>
      <w:ind w:firstLineChars="0"/>
    </w:pPr>
    <w:rPr>
      <w:rFonts w:ascii="黑体" w:eastAsia="黑体"/>
    </w:rPr>
  </w:style>
  <w:style w:type="paragraph" w:customStyle="1" w:styleId="211">
    <w:name w:val="标准文件_引言二级条标题"/>
    <w:basedOn w:val="66"/>
    <w:next w:val="66"/>
    <w:qFormat/>
    <w:uiPriority w:val="0"/>
    <w:pPr>
      <w:numPr>
        <w:ilvl w:val="2"/>
        <w:numId w:val="8"/>
      </w:numPr>
      <w:spacing w:beforeLines="50" w:afterLines="50"/>
      <w:ind w:firstLineChars="0"/>
    </w:pPr>
    <w:rPr>
      <w:rFonts w:ascii="黑体" w:eastAsia="黑体"/>
    </w:rPr>
  </w:style>
  <w:style w:type="paragraph" w:customStyle="1" w:styleId="212">
    <w:name w:val="标准文件_引言三级条标题"/>
    <w:basedOn w:val="66"/>
    <w:next w:val="66"/>
    <w:qFormat/>
    <w:uiPriority w:val="0"/>
    <w:pPr>
      <w:numPr>
        <w:ilvl w:val="3"/>
        <w:numId w:val="8"/>
      </w:numPr>
      <w:spacing w:beforeLines="50" w:afterLines="50"/>
      <w:ind w:firstLineChars="0"/>
    </w:pPr>
    <w:rPr>
      <w:rFonts w:ascii="黑体" w:eastAsia="黑体"/>
    </w:rPr>
  </w:style>
  <w:style w:type="paragraph" w:customStyle="1" w:styleId="213">
    <w:name w:val="标准文件_引言四级条标题"/>
    <w:basedOn w:val="66"/>
    <w:next w:val="66"/>
    <w:qFormat/>
    <w:uiPriority w:val="0"/>
    <w:pPr>
      <w:numPr>
        <w:ilvl w:val="4"/>
        <w:numId w:val="8"/>
      </w:numPr>
      <w:spacing w:beforeLines="50" w:afterLines="50"/>
      <w:ind w:firstLineChars="0"/>
    </w:pPr>
    <w:rPr>
      <w:rFonts w:ascii="黑体" w:eastAsia="黑体"/>
    </w:rPr>
  </w:style>
  <w:style w:type="paragraph" w:customStyle="1" w:styleId="214">
    <w:name w:val="标准文件_引言五级条标题"/>
    <w:basedOn w:val="66"/>
    <w:next w:val="66"/>
    <w:qFormat/>
    <w:uiPriority w:val="0"/>
    <w:pPr>
      <w:numPr>
        <w:ilvl w:val="5"/>
        <w:numId w:val="8"/>
      </w:numPr>
      <w:spacing w:beforeLines="50" w:afterLines="50"/>
      <w:ind w:firstLineChars="0"/>
    </w:pPr>
    <w:rPr>
      <w:rFonts w:ascii="黑体" w:eastAsia="黑体"/>
    </w:rPr>
  </w:style>
  <w:style w:type="paragraph" w:customStyle="1" w:styleId="215">
    <w:name w:val="标准文件_注后"/>
    <w:basedOn w:val="66"/>
    <w:qFormat/>
    <w:uiPriority w:val="0"/>
    <w:pPr>
      <w:ind w:left="811" w:firstLine="0" w:firstLineChars="0"/>
    </w:pPr>
    <w:rPr>
      <w:sz w:val="18"/>
    </w:rPr>
  </w:style>
  <w:style w:type="paragraph" w:customStyle="1" w:styleId="216">
    <w:name w:val="标准文件_注X后"/>
    <w:basedOn w:val="66"/>
    <w:qFormat/>
    <w:uiPriority w:val="0"/>
    <w:pPr>
      <w:ind w:left="811" w:firstLine="0" w:firstLineChars="0"/>
    </w:pPr>
    <w:rPr>
      <w:sz w:val="18"/>
    </w:rPr>
  </w:style>
  <w:style w:type="paragraph" w:customStyle="1" w:styleId="217">
    <w:name w:val="标准文件_示例后"/>
    <w:basedOn w:val="66"/>
    <w:qFormat/>
    <w:uiPriority w:val="0"/>
    <w:pPr>
      <w:ind w:left="964" w:firstLine="0" w:firstLineChars="0"/>
    </w:pPr>
    <w:rPr>
      <w:sz w:val="18"/>
    </w:rPr>
  </w:style>
  <w:style w:type="paragraph" w:customStyle="1" w:styleId="218">
    <w:name w:val="标准文件_示例X后"/>
    <w:basedOn w:val="66"/>
    <w:link w:val="219"/>
    <w:qFormat/>
    <w:uiPriority w:val="0"/>
    <w:pPr>
      <w:ind w:left="1049" w:firstLine="0" w:firstLineChars="0"/>
    </w:pPr>
    <w:rPr>
      <w:sz w:val="18"/>
    </w:rPr>
  </w:style>
  <w:style w:type="character" w:customStyle="1" w:styleId="219">
    <w:name w:val="标准文件_示例X后 字符"/>
    <w:basedOn w:val="194"/>
    <w:link w:val="218"/>
    <w:qFormat/>
    <w:uiPriority w:val="0"/>
    <w:rPr>
      <w:rFonts w:ascii="宋体" w:hAnsi="Times New Roman"/>
      <w:sz w:val="18"/>
    </w:rPr>
  </w:style>
  <w:style w:type="paragraph" w:customStyle="1" w:styleId="220">
    <w:name w:val="标准文件_索引项"/>
    <w:basedOn w:val="66"/>
    <w:next w:val="66"/>
    <w:qFormat/>
    <w:uiPriority w:val="0"/>
    <w:pPr>
      <w:tabs>
        <w:tab w:val="right" w:leader="dot" w:pos="9356"/>
      </w:tabs>
      <w:ind w:left="210" w:hanging="210" w:firstLineChars="0"/>
      <w:jc w:val="left"/>
    </w:pPr>
  </w:style>
  <w:style w:type="paragraph" w:customStyle="1" w:styleId="221">
    <w:name w:val="标准文件_附录一级无标题"/>
    <w:basedOn w:val="88"/>
    <w:qFormat/>
    <w:uiPriority w:val="0"/>
    <w:pPr>
      <w:spacing w:beforeLines="0" w:afterLines="0" w:line="276" w:lineRule="auto"/>
      <w:outlineLvl w:val="9"/>
    </w:pPr>
    <w:rPr>
      <w:rFonts w:ascii="宋体" w:eastAsia="宋体"/>
    </w:rPr>
  </w:style>
  <w:style w:type="paragraph" w:customStyle="1" w:styleId="222">
    <w:name w:val="标准文件_附录二级无标题"/>
    <w:basedOn w:val="89"/>
    <w:qFormat/>
    <w:uiPriority w:val="0"/>
    <w:pPr>
      <w:spacing w:beforeLines="0" w:afterLines="0" w:line="276" w:lineRule="auto"/>
      <w:outlineLvl w:val="9"/>
    </w:pPr>
    <w:rPr>
      <w:rFonts w:ascii="宋体" w:eastAsia="宋体"/>
    </w:rPr>
  </w:style>
  <w:style w:type="paragraph" w:customStyle="1" w:styleId="223">
    <w:name w:val="标准文件_附录三级无标题"/>
    <w:basedOn w:val="91"/>
    <w:qFormat/>
    <w:uiPriority w:val="0"/>
    <w:pPr>
      <w:spacing w:beforeLines="0" w:afterLines="0" w:line="276" w:lineRule="auto"/>
      <w:outlineLvl w:val="9"/>
    </w:pPr>
    <w:rPr>
      <w:rFonts w:ascii="宋体" w:eastAsia="宋体"/>
    </w:rPr>
  </w:style>
  <w:style w:type="paragraph" w:customStyle="1" w:styleId="224">
    <w:name w:val="标准文件_附录四级无标题"/>
    <w:basedOn w:val="92"/>
    <w:qFormat/>
    <w:uiPriority w:val="0"/>
    <w:pPr>
      <w:spacing w:beforeLines="0" w:afterLines="0" w:line="276" w:lineRule="auto"/>
      <w:outlineLvl w:val="9"/>
    </w:pPr>
    <w:rPr>
      <w:rFonts w:ascii="宋体" w:eastAsia="宋体"/>
    </w:rPr>
  </w:style>
  <w:style w:type="paragraph" w:customStyle="1" w:styleId="225">
    <w:name w:val="标准文件_附录五级无标题"/>
    <w:basedOn w:val="94"/>
    <w:qFormat/>
    <w:uiPriority w:val="0"/>
    <w:pPr>
      <w:spacing w:beforeLines="0" w:afterLines="0" w:line="276" w:lineRule="auto"/>
      <w:outlineLvl w:val="9"/>
    </w:pPr>
    <w:rPr>
      <w:rFonts w:ascii="宋体" w:eastAsia="宋体"/>
    </w:rPr>
  </w:style>
  <w:style w:type="paragraph" w:customStyle="1" w:styleId="226">
    <w:name w:val="标准文件_引言一级无标题"/>
    <w:basedOn w:val="210"/>
    <w:next w:val="66"/>
    <w:qFormat/>
    <w:uiPriority w:val="0"/>
    <w:pPr>
      <w:spacing w:beforeLines="0" w:afterLines="0" w:line="276" w:lineRule="auto"/>
    </w:pPr>
    <w:rPr>
      <w:rFonts w:ascii="宋体" w:eastAsia="宋体"/>
    </w:rPr>
  </w:style>
  <w:style w:type="paragraph" w:customStyle="1" w:styleId="227">
    <w:name w:val="标准文件_引言二级无标题"/>
    <w:basedOn w:val="211"/>
    <w:next w:val="66"/>
    <w:qFormat/>
    <w:uiPriority w:val="0"/>
    <w:pPr>
      <w:spacing w:beforeLines="0" w:afterLines="0" w:line="276" w:lineRule="auto"/>
    </w:pPr>
    <w:rPr>
      <w:rFonts w:ascii="宋体" w:eastAsia="宋体"/>
    </w:rPr>
  </w:style>
  <w:style w:type="paragraph" w:customStyle="1" w:styleId="228">
    <w:name w:val="标准文件_引言三级无标题"/>
    <w:basedOn w:val="212"/>
    <w:next w:val="66"/>
    <w:qFormat/>
    <w:uiPriority w:val="0"/>
    <w:pPr>
      <w:spacing w:beforeLines="0" w:afterLines="0" w:line="276" w:lineRule="auto"/>
    </w:pPr>
    <w:rPr>
      <w:rFonts w:ascii="宋体" w:eastAsia="宋体"/>
    </w:rPr>
  </w:style>
  <w:style w:type="paragraph" w:customStyle="1" w:styleId="229">
    <w:name w:val="标准文件_引言四级无标题"/>
    <w:basedOn w:val="213"/>
    <w:next w:val="66"/>
    <w:qFormat/>
    <w:uiPriority w:val="0"/>
    <w:pPr>
      <w:spacing w:beforeLines="0" w:afterLines="0" w:line="276" w:lineRule="auto"/>
    </w:pPr>
    <w:rPr>
      <w:rFonts w:ascii="宋体" w:eastAsia="宋体"/>
    </w:rPr>
  </w:style>
  <w:style w:type="paragraph" w:customStyle="1" w:styleId="230">
    <w:name w:val="标准文件_引言五级无标题"/>
    <w:basedOn w:val="214"/>
    <w:next w:val="66"/>
    <w:qFormat/>
    <w:uiPriority w:val="0"/>
    <w:pPr>
      <w:spacing w:beforeLines="0" w:afterLines="0" w:line="276" w:lineRule="auto"/>
    </w:pPr>
    <w:rPr>
      <w:rFonts w:ascii="宋体" w:eastAsia="宋体"/>
    </w:rPr>
  </w:style>
  <w:style w:type="paragraph" w:customStyle="1" w:styleId="231">
    <w:name w:val="标准文件_索引标题"/>
    <w:basedOn w:val="73"/>
    <w:next w:val="66"/>
    <w:qFormat/>
    <w:uiPriority w:val="0"/>
    <w:rPr>
      <w:rFonts w:hAnsi="黑体"/>
    </w:rPr>
  </w:style>
  <w:style w:type="paragraph" w:customStyle="1" w:styleId="232">
    <w:name w:val="标准文件_脚注内容"/>
    <w:basedOn w:val="66"/>
    <w:qFormat/>
    <w:uiPriority w:val="0"/>
    <w:pPr>
      <w:ind w:left="400" w:leftChars="200" w:hanging="200" w:hangingChars="200"/>
    </w:pPr>
    <w:rPr>
      <w:sz w:val="15"/>
    </w:rPr>
  </w:style>
  <w:style w:type="paragraph" w:customStyle="1" w:styleId="233">
    <w:name w:val="标准文件_术语条一"/>
    <w:basedOn w:val="172"/>
    <w:next w:val="66"/>
    <w:qFormat/>
    <w:uiPriority w:val="0"/>
  </w:style>
  <w:style w:type="paragraph" w:customStyle="1" w:styleId="234">
    <w:name w:val="标准文件_术语条二"/>
    <w:basedOn w:val="175"/>
    <w:next w:val="66"/>
    <w:qFormat/>
    <w:uiPriority w:val="0"/>
  </w:style>
  <w:style w:type="paragraph" w:customStyle="1" w:styleId="235">
    <w:name w:val="标准文件_术语条三"/>
    <w:basedOn w:val="174"/>
    <w:next w:val="66"/>
    <w:qFormat/>
    <w:uiPriority w:val="0"/>
  </w:style>
  <w:style w:type="paragraph" w:customStyle="1" w:styleId="236">
    <w:name w:val="标准文件_术语条四"/>
    <w:basedOn w:val="177"/>
    <w:next w:val="66"/>
    <w:qFormat/>
    <w:uiPriority w:val="0"/>
  </w:style>
  <w:style w:type="paragraph" w:customStyle="1" w:styleId="237">
    <w:name w:val="标准文件_术语条五"/>
    <w:basedOn w:val="173"/>
    <w:next w:val="66"/>
    <w:qFormat/>
    <w:uiPriority w:val="0"/>
  </w:style>
  <w:style w:type="paragraph" w:customStyle="1" w:styleId="23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9">
    <w:name w:val="发布"/>
    <w:basedOn w:val="36"/>
    <w:qFormat/>
    <w:uiPriority w:val="0"/>
    <w:rPr>
      <w:rFonts w:ascii="黑体" w:eastAsia="黑体"/>
      <w:spacing w:val="85"/>
      <w:w w:val="100"/>
      <w:position w:val="3"/>
      <w:sz w:val="28"/>
      <w:szCs w:val="28"/>
    </w:rPr>
  </w:style>
  <w:style w:type="character" w:customStyle="1" w:styleId="240">
    <w:name w:val="4-1   黑体 Char"/>
    <w:link w:val="241"/>
    <w:qFormat/>
    <w:uiPriority w:val="0"/>
    <w:rPr>
      <w:rFonts w:ascii="黑体" w:hAnsi="黑体" w:eastAsia="黑体" w:cs="宋体"/>
      <w:color w:val="000000"/>
      <w:sz w:val="21"/>
      <w:szCs w:val="21"/>
    </w:rPr>
  </w:style>
  <w:style w:type="paragraph" w:customStyle="1" w:styleId="241">
    <w:name w:val="4-1   黑体"/>
    <w:basedOn w:val="242"/>
    <w:link w:val="240"/>
    <w:qFormat/>
    <w:uiPriority w:val="0"/>
    <w:pPr>
      <w:widowControl w:val="0"/>
      <w:overflowPunct w:val="0"/>
      <w:spacing w:line="309" w:lineRule="exact"/>
      <w:ind w:firstLine="0" w:firstLineChars="0"/>
    </w:pPr>
    <w:rPr>
      <w:rFonts w:ascii="黑体" w:hAnsi="黑体" w:eastAsia="黑体"/>
      <w:color w:val="000000"/>
    </w:rPr>
  </w:style>
  <w:style w:type="paragraph" w:customStyle="1" w:styleId="242">
    <w:name w:val="段"/>
    <w:link w:val="243"/>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character" w:customStyle="1" w:styleId="243">
    <w:name w:val="段 Char"/>
    <w:link w:val="242"/>
    <w:qFormat/>
    <w:uiPriority w:val="0"/>
    <w:rPr>
      <w:rFonts w:ascii="宋体" w:hAnsi="Times New Roman" w:cs="宋体"/>
      <w:sz w:val="21"/>
      <w:szCs w:val="21"/>
    </w:rPr>
  </w:style>
  <w:style w:type="paragraph" w:customStyle="1" w:styleId="244">
    <w:name w:val="3-1   章"/>
    <w:basedOn w:val="1"/>
    <w:qFormat/>
    <w:uiPriority w:val="0"/>
    <w:pPr>
      <w:overflowPunct w:val="0"/>
      <w:adjustRightInd/>
      <w:spacing w:beforeLines="105" w:afterLines="105" w:line="309" w:lineRule="exact"/>
      <w:outlineLvl w:val="1"/>
    </w:pPr>
    <w:rPr>
      <w:rFonts w:ascii="黑体" w:hAnsi="黑体" w:eastAsia="黑体"/>
      <w:color w:val="000000"/>
    </w:rPr>
  </w:style>
  <w:style w:type="paragraph" w:customStyle="1" w:styleId="245">
    <w:name w:val="3-2  节"/>
    <w:basedOn w:val="244"/>
    <w:qFormat/>
    <w:uiPriority w:val="0"/>
    <w:pPr>
      <w:spacing w:beforeLines="90" w:afterLines="90"/>
      <w:outlineLvl w:val="2"/>
    </w:pPr>
    <w:rPr>
      <w:kern w:val="0"/>
    </w:rPr>
  </w:style>
  <w:style w:type="character" w:customStyle="1" w:styleId="246">
    <w:name w:val="日期 字符1"/>
    <w:basedOn w:val="36"/>
    <w:link w:val="20"/>
    <w:qFormat/>
    <w:uiPriority w:val="0"/>
    <w:rPr>
      <w:rFonts w:ascii="宋体" w:hAnsi="宋体"/>
      <w:b/>
      <w:color w:val="FF0000"/>
      <w:kern w:val="2"/>
      <w:sz w:val="24"/>
      <w:szCs w:val="24"/>
    </w:rPr>
  </w:style>
  <w:style w:type="paragraph" w:customStyle="1" w:styleId="247">
    <w:name w:val="纯文本1"/>
    <w:basedOn w:val="1"/>
    <w:qFormat/>
    <w:uiPriority w:val="0"/>
    <w:pPr>
      <w:adjustRightInd/>
      <w:spacing w:line="240" w:lineRule="auto"/>
    </w:pPr>
    <w:rPr>
      <w:rFonts w:ascii="宋体" w:hAnsi="Times New Roman" w:cs="宋体"/>
      <w:szCs w:val="24"/>
    </w:rPr>
  </w:style>
  <w:style w:type="character" w:customStyle="1" w:styleId="248">
    <w:name w:val="批注文字 Char"/>
    <w:basedOn w:val="36"/>
    <w:semiHidden/>
    <w:qFormat/>
    <w:uiPriority w:val="99"/>
    <w:rPr>
      <w:kern w:val="2"/>
      <w:sz w:val="21"/>
      <w:szCs w:val="21"/>
    </w:rPr>
  </w:style>
  <w:style w:type="character" w:customStyle="1" w:styleId="249">
    <w:name w:val="批注文字 字符1"/>
    <w:link w:val="13"/>
    <w:qFormat/>
    <w:uiPriority w:val="99"/>
    <w:rPr>
      <w:rFonts w:ascii="Times New Roman" w:hAnsi="Times New Roman"/>
      <w:kern w:val="2"/>
      <w:sz w:val="21"/>
      <w:szCs w:val="24"/>
    </w:rPr>
  </w:style>
  <w:style w:type="character" w:customStyle="1" w:styleId="250">
    <w:name w:val="纯文本 字符"/>
    <w:basedOn w:val="36"/>
    <w:link w:val="18"/>
    <w:qFormat/>
    <w:uiPriority w:val="0"/>
    <w:rPr>
      <w:rFonts w:ascii="宋体" w:hAnsi="Courier New" w:cs="Courier New"/>
      <w:kern w:val="2"/>
      <w:sz w:val="21"/>
      <w:szCs w:val="21"/>
    </w:rPr>
  </w:style>
  <w:style w:type="character" w:customStyle="1" w:styleId="251">
    <w:name w:val="页脚 Char1"/>
    <w:qFormat/>
    <w:uiPriority w:val="0"/>
    <w:rPr>
      <w:kern w:val="2"/>
      <w:sz w:val="18"/>
      <w:szCs w:val="18"/>
    </w:rPr>
  </w:style>
  <w:style w:type="character" w:customStyle="1" w:styleId="252">
    <w:name w:val="批注主题 字符1"/>
    <w:basedOn w:val="248"/>
    <w:link w:val="33"/>
    <w:qFormat/>
    <w:uiPriority w:val="99"/>
    <w:rPr>
      <w:rFonts w:ascii="Times New Roman" w:hAnsi="Times New Roman"/>
      <w:b/>
      <w:bCs/>
      <w:kern w:val="2"/>
      <w:sz w:val="21"/>
      <w:szCs w:val="24"/>
    </w:rPr>
  </w:style>
  <w:style w:type="paragraph" w:customStyle="1" w:styleId="253">
    <w:name w:val="1"/>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character" w:customStyle="1" w:styleId="254">
    <w:name w:val="标题 2 字符"/>
    <w:qFormat/>
    <w:uiPriority w:val="0"/>
    <w:rPr>
      <w:rFonts w:ascii="Cambria" w:hAnsi="Cambria" w:eastAsia="宋体"/>
      <w:b/>
      <w:bCs/>
      <w:kern w:val="2"/>
      <w:sz w:val="32"/>
      <w:szCs w:val="32"/>
      <w:lang w:val="en-US" w:eastAsia="zh-CN" w:bidi="ar-SA"/>
    </w:rPr>
  </w:style>
  <w:style w:type="character" w:customStyle="1" w:styleId="255">
    <w:name w:val="页脚 字符"/>
    <w:qFormat/>
    <w:uiPriority w:val="99"/>
    <w:rPr>
      <w:kern w:val="2"/>
      <w:sz w:val="18"/>
      <w:szCs w:val="18"/>
    </w:rPr>
  </w:style>
  <w:style w:type="character" w:customStyle="1" w:styleId="256">
    <w:name w:val="批注框文本 字符"/>
    <w:qFormat/>
    <w:uiPriority w:val="0"/>
    <w:rPr>
      <w:kern w:val="2"/>
      <w:sz w:val="18"/>
      <w:szCs w:val="18"/>
    </w:rPr>
  </w:style>
  <w:style w:type="character" w:customStyle="1" w:styleId="257">
    <w:name w:val="正文文本 (9)_"/>
    <w:link w:val="258"/>
    <w:qFormat/>
    <w:locked/>
    <w:uiPriority w:val="99"/>
    <w:rPr>
      <w:rFonts w:ascii="宋体" w:eastAsia="Times New Roman"/>
      <w:shd w:val="clear" w:color="auto" w:fill="FFFFFF"/>
    </w:rPr>
  </w:style>
  <w:style w:type="paragraph" w:customStyle="1" w:styleId="258">
    <w:name w:val="正文文本 (9)"/>
    <w:basedOn w:val="1"/>
    <w:link w:val="257"/>
    <w:qFormat/>
    <w:uiPriority w:val="99"/>
    <w:pPr>
      <w:shd w:val="clear" w:color="auto" w:fill="FFFFFF"/>
      <w:adjustRightInd/>
      <w:spacing w:line="312" w:lineRule="exact"/>
      <w:ind w:firstLine="420"/>
      <w:jc w:val="distribute"/>
    </w:pPr>
    <w:rPr>
      <w:rFonts w:ascii="宋体" w:eastAsia="Times New Roman"/>
      <w:kern w:val="0"/>
      <w:sz w:val="20"/>
      <w:szCs w:val="20"/>
    </w:rPr>
  </w:style>
  <w:style w:type="character" w:customStyle="1" w:styleId="259">
    <w:name w:val="Plain Text Char Char"/>
    <w:link w:val="260"/>
    <w:qFormat/>
    <w:uiPriority w:val="0"/>
    <w:rPr>
      <w:rFonts w:ascii="宋体" w:hAnsi="Courier New" w:cs="Courier New"/>
      <w:kern w:val="2"/>
      <w:sz w:val="21"/>
      <w:szCs w:val="21"/>
    </w:rPr>
  </w:style>
  <w:style w:type="paragraph" w:customStyle="1" w:styleId="260">
    <w:name w:val="纯文本2"/>
    <w:basedOn w:val="1"/>
    <w:link w:val="259"/>
    <w:qFormat/>
    <w:uiPriority w:val="0"/>
    <w:pPr>
      <w:adjustRightInd/>
      <w:spacing w:line="240" w:lineRule="auto"/>
    </w:pPr>
    <w:rPr>
      <w:rFonts w:ascii="宋体" w:hAnsi="Courier New" w:cs="Courier New"/>
    </w:rPr>
  </w:style>
  <w:style w:type="character" w:customStyle="1" w:styleId="261">
    <w:name w:val="批注文字 字符"/>
    <w:semiHidden/>
    <w:qFormat/>
    <w:uiPriority w:val="99"/>
    <w:rPr>
      <w:kern w:val="2"/>
      <w:sz w:val="21"/>
      <w:szCs w:val="24"/>
    </w:rPr>
  </w:style>
  <w:style w:type="character" w:customStyle="1" w:styleId="262">
    <w:name w:val="样式8 Char Char"/>
    <w:link w:val="263"/>
    <w:qFormat/>
    <w:uiPriority w:val="0"/>
    <w:rPr>
      <w:rFonts w:ascii="黑体" w:eastAsia="黑体" w:cs="黑体"/>
      <w:b/>
      <w:sz w:val="28"/>
      <w:szCs w:val="28"/>
      <w:shd w:val="clear" w:color="FFFFFF" w:fill="FFFFFF"/>
    </w:rPr>
  </w:style>
  <w:style w:type="paragraph" w:customStyle="1" w:styleId="263">
    <w:name w:val="样式8"/>
    <w:basedOn w:val="1"/>
    <w:link w:val="262"/>
    <w:qFormat/>
    <w:uiPriority w:val="0"/>
    <w:pPr>
      <w:widowControl/>
      <w:shd w:val="clear" w:color="FFFFFF" w:fill="FFFFFF"/>
      <w:tabs>
        <w:tab w:val="left" w:pos="-76"/>
        <w:tab w:val="left" w:pos="0"/>
        <w:tab w:val="left" w:pos="6405"/>
      </w:tabs>
      <w:adjustRightInd/>
      <w:spacing w:before="240" w:after="200" w:line="440" w:lineRule="exact"/>
      <w:ind w:left="8"/>
      <w:jc w:val="left"/>
      <w:outlineLvl w:val="1"/>
    </w:pPr>
    <w:rPr>
      <w:rFonts w:ascii="黑体" w:eastAsia="黑体" w:cs="黑体"/>
      <w:b/>
      <w:kern w:val="0"/>
      <w:sz w:val="28"/>
      <w:szCs w:val="28"/>
      <w:shd w:val="clear" w:color="FFFFFF" w:fill="FFFFFF"/>
    </w:rPr>
  </w:style>
  <w:style w:type="character" w:customStyle="1" w:styleId="264">
    <w:name w:val="页眉 字符"/>
    <w:qFormat/>
    <w:uiPriority w:val="0"/>
    <w:rPr>
      <w:kern w:val="2"/>
      <w:sz w:val="18"/>
      <w:szCs w:val="18"/>
    </w:rPr>
  </w:style>
  <w:style w:type="character" w:customStyle="1" w:styleId="265">
    <w:name w:val="font11"/>
    <w:basedOn w:val="36"/>
    <w:qFormat/>
    <w:uiPriority w:val="0"/>
    <w:rPr>
      <w:rFonts w:hint="eastAsia" w:ascii="宋体" w:hAnsi="宋体" w:eastAsia="宋体" w:cs="宋体"/>
      <w:color w:val="000000"/>
      <w:sz w:val="20"/>
      <w:szCs w:val="20"/>
      <w:u w:val="none"/>
    </w:rPr>
  </w:style>
  <w:style w:type="character" w:customStyle="1" w:styleId="266">
    <w:name w:val="标题 1 字符"/>
    <w:qFormat/>
    <w:uiPriority w:val="0"/>
    <w:rPr>
      <w:rFonts w:ascii="Calibri" w:hAnsi="Calibri" w:eastAsia="宋体"/>
      <w:b/>
      <w:bCs/>
      <w:kern w:val="44"/>
      <w:sz w:val="44"/>
      <w:szCs w:val="44"/>
      <w:lang w:val="en-US" w:eastAsia="zh-CN" w:bidi="ar-SA"/>
    </w:rPr>
  </w:style>
  <w:style w:type="character" w:customStyle="1" w:styleId="267">
    <w:name w:val="批注主题 字符"/>
    <w:semiHidden/>
    <w:qFormat/>
    <w:uiPriority w:val="99"/>
    <w:rPr>
      <w:b/>
      <w:bCs/>
      <w:kern w:val="2"/>
      <w:sz w:val="21"/>
      <w:szCs w:val="24"/>
    </w:rPr>
  </w:style>
  <w:style w:type="character" w:customStyle="1" w:styleId="268">
    <w:name w:val="日期 字符"/>
    <w:qFormat/>
    <w:uiPriority w:val="0"/>
    <w:rPr>
      <w:rFonts w:ascii="宋体" w:hAnsi="宋体" w:cs="宋体"/>
      <w:b/>
      <w:color w:val="FF0000"/>
      <w:kern w:val="2"/>
      <w:sz w:val="24"/>
      <w:szCs w:val="24"/>
    </w:rPr>
  </w:style>
  <w:style w:type="character" w:customStyle="1" w:styleId="269">
    <w:name w:val="标题 2 字符1"/>
    <w:qFormat/>
    <w:uiPriority w:val="0"/>
    <w:rPr>
      <w:rFonts w:ascii="Cambria" w:hAnsi="Cambria" w:eastAsia="宋体"/>
      <w:b/>
      <w:bCs/>
      <w:kern w:val="2"/>
      <w:sz w:val="32"/>
      <w:szCs w:val="32"/>
      <w:lang w:val="en-US" w:eastAsia="zh-CN" w:bidi="ar-SA"/>
    </w:rPr>
  </w:style>
  <w:style w:type="character" w:customStyle="1" w:styleId="270">
    <w:name w:val="font01"/>
    <w:basedOn w:val="36"/>
    <w:qFormat/>
    <w:uiPriority w:val="0"/>
    <w:rPr>
      <w:rFonts w:hint="eastAsia" w:ascii="宋体" w:hAnsi="宋体" w:eastAsia="宋体" w:cs="宋体"/>
      <w:color w:val="000000"/>
      <w:sz w:val="20"/>
      <w:szCs w:val="20"/>
      <w:u w:val="none"/>
      <w:vertAlign w:val="superscript"/>
    </w:rPr>
  </w:style>
  <w:style w:type="paragraph" w:customStyle="1" w:styleId="271">
    <w:name w:val="纯文本3"/>
    <w:basedOn w:val="1"/>
    <w:qFormat/>
    <w:uiPriority w:val="0"/>
    <w:pPr>
      <w:adjustRightInd/>
      <w:spacing w:line="240" w:lineRule="auto"/>
    </w:pPr>
    <w:rPr>
      <w:rFonts w:ascii="宋体" w:hAnsi="Times New Roman" w:cs="宋体"/>
      <w:szCs w:val="24"/>
    </w:rPr>
  </w:style>
  <w:style w:type="paragraph" w:customStyle="1" w:styleId="272">
    <w:name w:val="前言、引言标题"/>
    <w:next w:val="1"/>
    <w:qFormat/>
    <w:uiPriority w:val="0"/>
    <w:pPr>
      <w:shd w:val="clear" w:color="FFFFFF" w:fill="FFFFFF"/>
      <w:tabs>
        <w:tab w:val="left" w:pos="0"/>
        <w:tab w:val="left" w:pos="1646"/>
      </w:tabs>
      <w:spacing w:before="640" w:after="560"/>
      <w:ind w:left="1646" w:hanging="648"/>
      <w:jc w:val="center"/>
      <w:outlineLvl w:val="0"/>
    </w:pPr>
    <w:rPr>
      <w:rFonts w:ascii="黑体" w:hAnsi="Times New Roman" w:eastAsia="黑体" w:cs="黑体"/>
      <w:sz w:val="32"/>
      <w:szCs w:val="32"/>
      <w:lang w:val="en-US" w:eastAsia="zh-CN" w:bidi="ar-SA"/>
    </w:rPr>
  </w:style>
  <w:style w:type="paragraph" w:customStyle="1" w:styleId="27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szCs w:val="28"/>
      <w:lang w:val="en-US" w:eastAsia="zh-CN" w:bidi="ar-SA"/>
    </w:rPr>
  </w:style>
  <w:style w:type="paragraph" w:customStyle="1" w:styleId="274">
    <w:name w:val="样式1"/>
    <w:basedOn w:val="23"/>
    <w:qFormat/>
    <w:uiPriority w:val="0"/>
    <w:pPr>
      <w:pBdr>
        <w:bottom w:val="single" w:color="auto" w:sz="6" w:space="1"/>
      </w:pBdr>
      <w:spacing w:line="240" w:lineRule="auto"/>
    </w:pPr>
    <w:rPr>
      <w:rFonts w:ascii="Times New Roman" w:hAnsi="Times New Roman"/>
    </w:rPr>
  </w:style>
  <w:style w:type="paragraph" w:customStyle="1" w:styleId="27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szCs w:val="21"/>
      <w:lang w:val="en-US" w:eastAsia="zh-CN" w:bidi="ar-SA"/>
    </w:rPr>
  </w:style>
  <w:style w:type="paragraph" w:customStyle="1" w:styleId="276">
    <w:name w:val="章标题"/>
    <w:next w:val="1"/>
    <w:qFormat/>
    <w:uiPriority w:val="0"/>
    <w:pPr>
      <w:tabs>
        <w:tab w:val="left" w:pos="224"/>
      </w:tabs>
      <w:spacing w:beforeLines="50" w:afterLines="50"/>
      <w:jc w:val="both"/>
      <w:outlineLvl w:val="1"/>
    </w:pPr>
    <w:rPr>
      <w:rFonts w:ascii="黑体" w:hAnsi="Times New Roman" w:eastAsia="黑体" w:cs="黑体"/>
      <w:sz w:val="21"/>
      <w:szCs w:val="21"/>
      <w:lang w:val="en-US" w:eastAsia="zh-CN" w:bidi="ar-SA"/>
    </w:rPr>
  </w:style>
  <w:style w:type="paragraph" w:customStyle="1" w:styleId="277">
    <w:name w:val="_Style 49"/>
    <w:basedOn w:val="1"/>
    <w:next w:val="1"/>
    <w:qFormat/>
    <w:uiPriority w:val="0"/>
    <w:pPr>
      <w:adjustRightInd/>
      <w:spacing w:line="240" w:lineRule="auto"/>
      <w:ind w:left="1260" w:leftChars="600"/>
    </w:pPr>
    <w:rPr>
      <w:rFonts w:ascii="Times New Roman" w:hAnsi="Times New Roman"/>
      <w:szCs w:val="24"/>
    </w:rPr>
  </w:style>
  <w:style w:type="paragraph" w:styleId="278">
    <w:name w:val="List Paragraph"/>
    <w:basedOn w:val="1"/>
    <w:qFormat/>
    <w:uiPriority w:val="99"/>
    <w:pPr>
      <w:adjustRightInd/>
      <w:spacing w:line="240" w:lineRule="auto"/>
      <w:ind w:firstLine="420" w:firstLineChars="200"/>
    </w:pPr>
    <w:rPr>
      <w:rFonts w:ascii="Times New Roman" w:hAnsi="Times New Roman"/>
      <w:szCs w:val="24"/>
    </w:rPr>
  </w:style>
  <w:style w:type="paragraph" w:customStyle="1" w:styleId="279">
    <w:name w:val="_Style 48"/>
    <w:basedOn w:val="1"/>
    <w:next w:val="278"/>
    <w:qFormat/>
    <w:uiPriority w:val="99"/>
    <w:pPr>
      <w:adjustRightInd/>
      <w:spacing w:line="240" w:lineRule="auto"/>
      <w:ind w:firstLine="420" w:firstLineChars="200"/>
    </w:pPr>
    <w:rPr>
      <w:rFonts w:ascii="Times New Roman" w:hAnsi="Times New Roman"/>
      <w:szCs w:val="24"/>
    </w:rPr>
  </w:style>
  <w:style w:type="paragraph" w:customStyle="1" w:styleId="280">
    <w:name w:val="5-2         节"/>
    <w:basedOn w:val="245"/>
    <w:qFormat/>
    <w:uiPriority w:val="0"/>
    <w:pPr>
      <w:spacing w:before="300" w:after="300"/>
    </w:pPr>
  </w:style>
  <w:style w:type="paragraph" w:customStyle="1" w:styleId="281">
    <w:name w:val="5-1           章"/>
    <w:basedOn w:val="244"/>
    <w:qFormat/>
    <w:uiPriority w:val="0"/>
    <w:pPr>
      <w:outlineLvl w:val="4"/>
    </w:pPr>
  </w:style>
  <w:style w:type="paragraph" w:customStyle="1" w:styleId="282">
    <w:name w:val="标准书脚_奇数页"/>
    <w:qFormat/>
    <w:uiPriority w:val="0"/>
    <w:pPr>
      <w:spacing w:before="120"/>
      <w:jc w:val="right"/>
    </w:pPr>
    <w:rPr>
      <w:rFonts w:ascii="Times New Roman" w:hAnsi="Times New Roman" w:eastAsia="宋体" w:cs="Times New Roman"/>
      <w:sz w:val="18"/>
      <w:szCs w:val="18"/>
      <w:lang w:val="en-US" w:eastAsia="zh-CN" w:bidi="ar-SA"/>
    </w:rPr>
  </w:style>
  <w:style w:type="paragraph" w:customStyle="1" w:styleId="283">
    <w:name w:val="样式 行距: 1.5 倍行距 首行缩进:  2 字符"/>
    <w:basedOn w:val="1"/>
    <w:qFormat/>
    <w:uiPriority w:val="0"/>
    <w:pPr>
      <w:snapToGrid w:val="0"/>
      <w:spacing w:line="460" w:lineRule="exact"/>
    </w:pPr>
    <w:rPr>
      <w:rFonts w:ascii="Times New Roman" w:hAnsi="Times New Roman"/>
      <w:sz w:val="24"/>
      <w:szCs w:val="24"/>
    </w:rPr>
  </w:style>
  <w:style w:type="paragraph" w:styleId="28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5">
    <w:name w:val="条文"/>
    <w:basedOn w:val="1"/>
    <w:qFormat/>
    <w:uiPriority w:val="0"/>
    <w:pPr>
      <w:adjustRightInd/>
      <w:spacing w:line="300" w:lineRule="auto"/>
      <w:outlineLvl w:val="2"/>
    </w:pPr>
    <w:rPr>
      <w:rFonts w:ascii="Times New Roman" w:hAnsi="Times New Roman"/>
      <w:sz w:val="24"/>
      <w:szCs w:val="24"/>
    </w:rPr>
  </w:style>
  <w:style w:type="paragraph" w:customStyle="1" w:styleId="286">
    <w:name w:val="附录标识"/>
    <w:basedOn w:val="272"/>
    <w:qFormat/>
    <w:uiPriority w:val="0"/>
    <w:pPr>
      <w:tabs>
        <w:tab w:val="left" w:pos="6405"/>
        <w:tab w:val="clear" w:pos="1646"/>
      </w:tabs>
      <w:spacing w:after="200"/>
      <w:ind w:left="823" w:hanging="420"/>
    </w:pPr>
    <w:rPr>
      <w:sz w:val="21"/>
      <w:szCs w:val="21"/>
    </w:rPr>
  </w:style>
  <w:style w:type="paragraph" w:customStyle="1" w:styleId="287">
    <w:name w:val="1-标题"/>
    <w:basedOn w:val="1"/>
    <w:qFormat/>
    <w:uiPriority w:val="0"/>
    <w:pPr>
      <w:adjustRightInd/>
      <w:spacing w:beforeLines="70"/>
      <w:jc w:val="center"/>
      <w:outlineLvl w:val="0"/>
    </w:pPr>
    <w:rPr>
      <w:rFonts w:ascii="黑体" w:hAnsi="黑体" w:eastAsia="黑体"/>
      <w:color w:val="000000"/>
      <w:sz w:val="32"/>
      <w:szCs w:val="32"/>
    </w:rPr>
  </w:style>
  <w:style w:type="paragraph" w:customStyle="1" w:styleId="288">
    <w:name w:val="2-正文新"/>
    <w:basedOn w:val="1"/>
    <w:qFormat/>
    <w:uiPriority w:val="0"/>
    <w:pPr>
      <w:adjustRightInd/>
      <w:spacing w:line="309" w:lineRule="exact"/>
      <w:ind w:firstLine="420" w:firstLineChars="200"/>
    </w:pPr>
    <w:rPr>
      <w:rFonts w:ascii="宋体" w:hAnsi="宋体"/>
      <w:color w:val="000000"/>
    </w:rPr>
  </w:style>
  <w:style w:type="table" w:customStyle="1" w:styleId="289">
    <w:name w:val="网格型2"/>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网格型1"/>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1">
    <w:name w:val="fw2"/>
    <w:basedOn w:val="36"/>
    <w:qFormat/>
    <w:uiPriority w:val="0"/>
  </w:style>
  <w:style w:type="paragraph" w:customStyle="1" w:styleId="292">
    <w:name w:val="HZ正文1"/>
    <w:qFormat/>
    <w:uiPriority w:val="0"/>
    <w:pPr>
      <w:widowControl w:val="0"/>
      <w:adjustRightInd w:val="0"/>
      <w:snapToGrid w:val="0"/>
      <w:spacing w:line="440" w:lineRule="atLeast"/>
      <w:ind w:firstLine="480"/>
      <w:jc w:val="both"/>
    </w:pPr>
    <w:rPr>
      <w:rFonts w:ascii="Times New Roman" w:hAnsi="Times New Roman" w:eastAsia="宋体" w:cs="Times New Roman"/>
      <w:spacing w:val="4"/>
      <w:w w:val="80"/>
      <w:kern w:val="2"/>
      <w:sz w:val="28"/>
      <w:lang w:val="en-US" w:eastAsia="zh-CN" w:bidi="ar-SA"/>
    </w:rPr>
  </w:style>
  <w:style w:type="character" w:customStyle="1" w:styleId="293">
    <w:name w:val="ss2"/>
    <w:basedOn w:val="36"/>
    <w:qFormat/>
    <w:uiPriority w:val="0"/>
  </w:style>
  <w:style w:type="paragraph" w:customStyle="1" w:styleId="294">
    <w:name w:val="注：（正文）"/>
    <w:basedOn w:val="295"/>
    <w:next w:val="1"/>
    <w:qFormat/>
    <w:uiPriority w:val="0"/>
  </w:style>
  <w:style w:type="paragraph" w:customStyle="1" w:styleId="295">
    <w:name w:val="注："/>
    <w:next w:val="1"/>
    <w:qFormat/>
    <w:uiPriority w:val="0"/>
    <w:pPr>
      <w:widowControl w:val="0"/>
      <w:autoSpaceDE w:val="0"/>
      <w:autoSpaceDN w:val="0"/>
      <w:ind w:left="737" w:hanging="374"/>
      <w:jc w:val="both"/>
    </w:pPr>
    <w:rPr>
      <w:rFonts w:ascii="宋体" w:hAnsi="Times New Roman" w:eastAsia="宋体" w:cs="Times New Roman"/>
      <w:sz w:val="18"/>
      <w:szCs w:val="18"/>
      <w:lang w:val="en-US" w:eastAsia="zh-CN" w:bidi="ar-SA"/>
    </w:rPr>
  </w:style>
  <w:style w:type="paragraph" w:customStyle="1" w:styleId="296">
    <w:name w:val="CM48"/>
    <w:basedOn w:val="238"/>
    <w:next w:val="238"/>
    <w:unhideWhenUsed/>
    <w:qFormat/>
    <w:uiPriority w:val="99"/>
    <w:rPr>
      <w:rFonts w:hint="eastAsia" w:cs="Times New Roman"/>
      <w:color w:val="auto"/>
    </w:rPr>
  </w:style>
  <w:style w:type="paragraph" w:customStyle="1" w:styleId="297">
    <w:name w:val="样式 论文正文"/>
    <w:basedOn w:val="1"/>
    <w:unhideWhenUsed/>
    <w:qFormat/>
    <w:uiPriority w:val="0"/>
    <w:pPr>
      <w:ind w:firstLine="480" w:firstLineChars="200"/>
      <w:jc w:val="left"/>
    </w:pPr>
    <w:rPr>
      <w:rFonts w:ascii="Times New Roman" w:hAnsi="Times New Roman"/>
      <w:sz w:val="24"/>
      <w:szCs w:val="20"/>
    </w:rPr>
  </w:style>
  <w:style w:type="paragraph" w:customStyle="1" w:styleId="298">
    <w:name w:val="WPSOffice手动目录 1"/>
    <w:qFormat/>
    <w:uiPriority w:val="0"/>
    <w:rPr>
      <w:rFonts w:ascii="Times New Roman" w:hAnsi="Times New Roman" w:eastAsia="宋体" w:cs="Times New Roman"/>
      <w:lang w:val="en-US" w:eastAsia="zh-CN" w:bidi="ar-SA"/>
    </w:rPr>
  </w:style>
  <w:style w:type="paragraph" w:customStyle="1" w:styleId="299">
    <w:name w:val="列表段落1"/>
    <w:basedOn w:val="1"/>
    <w:qFormat/>
    <w:uiPriority w:val="0"/>
    <w:pPr>
      <w:ind w:firstLine="420" w:firstLineChars="200"/>
    </w:pPr>
  </w:style>
  <w:style w:type="paragraph" w:customStyle="1" w:styleId="300">
    <w:name w:val="正文5"/>
    <w:basedOn w:val="1"/>
    <w:qFormat/>
    <w:uiPriority w:val="0"/>
    <w:pPr>
      <w:widowControl/>
    </w:pPr>
    <w:rPr>
      <w:rFonts w:cs="宋体"/>
    </w:rPr>
  </w:style>
  <w:style w:type="paragraph" w:customStyle="1" w:styleId="301">
    <w:name w:val="正文1"/>
    <w:qFormat/>
    <w:uiPriority w:val="0"/>
    <w:pPr>
      <w:jc w:val="both"/>
    </w:pPr>
    <w:rPr>
      <w:rFonts w:ascii="Calibri" w:hAnsi="Calibri" w:eastAsia="宋体" w:cs="宋体"/>
      <w:kern w:val="2"/>
      <w:sz w:val="21"/>
      <w:szCs w:val="21"/>
      <w:lang w:val="en-US" w:eastAsia="zh-CN" w:bidi="ar-SA"/>
    </w:rPr>
  </w:style>
  <w:style w:type="paragraph" w:customStyle="1" w:styleId="302">
    <w:name w:val="Body text|1"/>
    <w:basedOn w:val="1"/>
    <w:qFormat/>
    <w:uiPriority w:val="0"/>
    <w:pPr>
      <w:spacing w:after="40" w:line="328" w:lineRule="auto"/>
      <w:ind w:firstLine="400"/>
      <w:jc w:val="left"/>
    </w:pPr>
    <w:rPr>
      <w:rFonts w:ascii="宋体" w:hAnsi="宋体" w:cs="宋体"/>
      <w:color w:val="000000"/>
      <w:kern w:val="0"/>
      <w:sz w:val="20"/>
      <w:szCs w:val="20"/>
    </w:rPr>
  </w:style>
  <w:style w:type="paragraph" w:customStyle="1" w:styleId="303">
    <w:name w:val="Table Paragraph"/>
    <w:basedOn w:val="1"/>
    <w:qFormat/>
    <w:uiPriority w:val="1"/>
    <w:rPr>
      <w:rFonts w:ascii="宋体" w:hAnsi="宋体" w:cs="宋体"/>
      <w:lang w:val="zh-CN" w:bidi="zh-CN"/>
    </w:rPr>
  </w:style>
  <w:style w:type="paragraph" w:customStyle="1" w:styleId="304">
    <w:name w:val="表格"/>
    <w:basedOn w:val="1"/>
    <w:qFormat/>
    <w:uiPriority w:val="0"/>
    <w:pPr>
      <w:tabs>
        <w:tab w:val="left" w:pos="787"/>
      </w:tabs>
      <w:jc w:val="center"/>
    </w:pPr>
    <w:rPr>
      <w:rFonts w:ascii="Times New Roman" w:hAnsi="Times New Roman" w:eastAsia="微软雅黑"/>
      <w:spacing w:val="-6"/>
    </w:rPr>
  </w:style>
  <w:style w:type="paragraph" w:customStyle="1" w:styleId="305">
    <w:name w:val="正文2"/>
    <w:qFormat/>
    <w:uiPriority w:val="0"/>
    <w:pPr>
      <w:jc w:val="both"/>
    </w:pPr>
    <w:rPr>
      <w:rFonts w:ascii="Calibri" w:hAnsi="Calibri" w:eastAsia="宋体" w:cs="Calibri"/>
      <w:kern w:val="2"/>
      <w:sz w:val="21"/>
      <w:szCs w:val="21"/>
      <w:lang w:val="en-US" w:eastAsia="zh-CN" w:bidi="ar-SA"/>
    </w:rPr>
  </w:style>
  <w:style w:type="character" w:customStyle="1" w:styleId="306">
    <w:name w:val="font21"/>
    <w:basedOn w:val="36"/>
    <w:qFormat/>
    <w:uiPriority w:val="0"/>
    <w:rPr>
      <w:rFonts w:ascii="微软雅黑" w:hAnsi="微软雅黑" w:eastAsia="微软雅黑" w:cs="微软雅黑"/>
      <w:color w:val="000000"/>
      <w:sz w:val="22"/>
      <w:szCs w:val="22"/>
      <w:u w:val="none"/>
    </w:rPr>
  </w:style>
  <w:style w:type="character" w:customStyle="1" w:styleId="307">
    <w:name w:val="font41"/>
    <w:basedOn w:val="36"/>
    <w:qFormat/>
    <w:uiPriority w:val="0"/>
    <w:rPr>
      <w:rFonts w:ascii="微软雅黑" w:hAnsi="微软雅黑" w:eastAsia="微软雅黑" w:cs="微软雅黑"/>
      <w:color w:val="000000"/>
      <w:sz w:val="22"/>
      <w:szCs w:val="22"/>
      <w:u w:val="none"/>
    </w:rPr>
  </w:style>
  <w:style w:type="character" w:customStyle="1" w:styleId="308">
    <w:name w:val="font31"/>
    <w:basedOn w:val="36"/>
    <w:qFormat/>
    <w:uiPriority w:val="0"/>
    <w:rPr>
      <w:rFonts w:hint="default" w:ascii="Arial" w:hAnsi="Arial" w:cs="Arial"/>
      <w:color w:val="000000"/>
      <w:sz w:val="22"/>
      <w:szCs w:val="22"/>
      <w:u w:val="none"/>
    </w:rPr>
  </w:style>
  <w:style w:type="character" w:customStyle="1" w:styleId="309">
    <w:name w:val="标题 4 字符1"/>
    <w:link w:val="5"/>
    <w:qFormat/>
    <w:uiPriority w:val="0"/>
    <w:rPr>
      <w:rFonts w:ascii="宋体" w:hAnsi="宋体" w:eastAsia="宋体" w:cs="宋体"/>
      <w:b/>
      <w:bCs/>
      <w:sz w:val="21"/>
      <w:szCs w:val="21"/>
    </w:rPr>
  </w:style>
  <w:style w:type="table" w:customStyle="1" w:styleId="310">
    <w:name w:val="网格型11"/>
    <w:basedOn w:val="34"/>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
    <w:name w:val="网格型21"/>
    <w:basedOn w:val="34"/>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
    <w:name w:val="网格型3"/>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
    <w:name w:val="网格型4"/>
    <w:basedOn w:val="3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4">
    <w:name w:val="font71"/>
    <w:basedOn w:val="36"/>
    <w:qFormat/>
    <w:uiPriority w:val="0"/>
    <w:rPr>
      <w:rFonts w:hint="eastAsia" w:ascii="宋体" w:hAnsi="宋体" w:eastAsia="宋体" w:cs="宋体"/>
      <w:color w:val="000000"/>
      <w:sz w:val="20"/>
      <w:szCs w:val="20"/>
      <w:u w:val="none"/>
    </w:rPr>
  </w:style>
  <w:style w:type="character" w:customStyle="1" w:styleId="315">
    <w:name w:val="font91"/>
    <w:basedOn w:val="36"/>
    <w:qFormat/>
    <w:uiPriority w:val="0"/>
    <w:rPr>
      <w:rFonts w:ascii="微软雅黑" w:hAnsi="微软雅黑" w:eastAsia="微软雅黑" w:cs="微软雅黑"/>
      <w:color w:val="000000"/>
      <w:sz w:val="20"/>
      <w:szCs w:val="20"/>
      <w:u w:val="none"/>
    </w:rPr>
  </w:style>
  <w:style w:type="character" w:customStyle="1" w:styleId="316">
    <w:name w:val="font81"/>
    <w:basedOn w:val="36"/>
    <w:qFormat/>
    <w:uiPriority w:val="0"/>
    <w:rPr>
      <w:rFonts w:hint="eastAsia" w:ascii="宋体" w:hAnsi="宋体" w:eastAsia="宋体" w:cs="宋体"/>
      <w:color w:val="000000"/>
      <w:sz w:val="20"/>
      <w:szCs w:val="20"/>
      <w:u w:val="none"/>
    </w:rPr>
  </w:style>
  <w:style w:type="character" w:customStyle="1" w:styleId="317">
    <w:name w:val="font61"/>
    <w:basedOn w:val="36"/>
    <w:qFormat/>
    <w:uiPriority w:val="0"/>
    <w:rPr>
      <w:rFonts w:hint="eastAsia" w:ascii="宋体" w:hAnsi="宋体" w:eastAsia="宋体" w:cs="宋体"/>
      <w:color w:val="000000"/>
      <w:sz w:val="20"/>
      <w:szCs w:val="20"/>
      <w:u w:val="none"/>
    </w:rPr>
  </w:style>
  <w:style w:type="character" w:customStyle="1" w:styleId="318">
    <w:name w:val="font101"/>
    <w:basedOn w:val="36"/>
    <w:qFormat/>
    <w:uiPriority w:val="0"/>
    <w:rPr>
      <w:rFonts w:hint="eastAsia" w:ascii="宋体" w:hAnsi="宋体" w:eastAsia="宋体" w:cs="宋体"/>
      <w:color w:val="000000"/>
      <w:sz w:val="20"/>
      <w:szCs w:val="20"/>
      <w:u w:val="none"/>
    </w:rPr>
  </w:style>
  <w:style w:type="character" w:customStyle="1" w:styleId="319">
    <w:name w:val="font111"/>
    <w:basedOn w:val="36"/>
    <w:qFormat/>
    <w:uiPriority w:val="0"/>
    <w:rPr>
      <w:rFonts w:hint="eastAsia" w:ascii="微软雅黑" w:hAnsi="微软雅黑" w:eastAsia="微软雅黑" w:cs="微软雅黑"/>
      <w:color w:val="000000"/>
      <w:sz w:val="20"/>
      <w:szCs w:val="20"/>
      <w:u w:val="none"/>
    </w:rPr>
  </w:style>
  <w:style w:type="character" w:customStyle="1" w:styleId="320">
    <w:name w:val="Unresolved Mention"/>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glossaryDocument" Target="glossary/document.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38F569C79C04CB690A5B31C91791EAF"/>
        <w:style w:val=""/>
        <w:category>
          <w:name w:val="常规"/>
          <w:gallery w:val="placeholder"/>
        </w:category>
        <w:types>
          <w:type w:val="bbPlcHdr"/>
        </w:types>
        <w:behaviors>
          <w:behavior w:val="content"/>
        </w:behaviors>
        <w:description w:val=""/>
        <w:guid w:val="{1CE6A6C8-59F9-4442-BD85-3EBC717D4B66}"/>
      </w:docPartPr>
      <w:docPartBody>
        <w:p>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CA6"/>
    <w:rsid w:val="00002EA4"/>
    <w:rsid w:val="00003211"/>
    <w:rsid w:val="00024903"/>
    <w:rsid w:val="00066A6E"/>
    <w:rsid w:val="000C41DE"/>
    <w:rsid w:val="000D0E4D"/>
    <w:rsid w:val="000F2535"/>
    <w:rsid w:val="000F53A3"/>
    <w:rsid w:val="000F6E7D"/>
    <w:rsid w:val="0010649D"/>
    <w:rsid w:val="00123049"/>
    <w:rsid w:val="00130C2C"/>
    <w:rsid w:val="00130DC4"/>
    <w:rsid w:val="00147DF3"/>
    <w:rsid w:val="00153943"/>
    <w:rsid w:val="00163A6C"/>
    <w:rsid w:val="00174879"/>
    <w:rsid w:val="001963B5"/>
    <w:rsid w:val="00196F3C"/>
    <w:rsid w:val="001973B7"/>
    <w:rsid w:val="001A30E3"/>
    <w:rsid w:val="001B429A"/>
    <w:rsid w:val="001E19CA"/>
    <w:rsid w:val="001F0D26"/>
    <w:rsid w:val="002202C7"/>
    <w:rsid w:val="00231C48"/>
    <w:rsid w:val="00241CB5"/>
    <w:rsid w:val="0024476E"/>
    <w:rsid w:val="002751C2"/>
    <w:rsid w:val="002809AE"/>
    <w:rsid w:val="00287C0D"/>
    <w:rsid w:val="00292F6B"/>
    <w:rsid w:val="00294896"/>
    <w:rsid w:val="002B6526"/>
    <w:rsid w:val="002C283A"/>
    <w:rsid w:val="00311C85"/>
    <w:rsid w:val="00314BBB"/>
    <w:rsid w:val="00317C8E"/>
    <w:rsid w:val="0032558D"/>
    <w:rsid w:val="0033225E"/>
    <w:rsid w:val="00334163"/>
    <w:rsid w:val="00344A16"/>
    <w:rsid w:val="003752F0"/>
    <w:rsid w:val="003B2E0D"/>
    <w:rsid w:val="003C15CB"/>
    <w:rsid w:val="003C2FA3"/>
    <w:rsid w:val="003D4320"/>
    <w:rsid w:val="003F0948"/>
    <w:rsid w:val="00416C81"/>
    <w:rsid w:val="00423CA6"/>
    <w:rsid w:val="00460BF9"/>
    <w:rsid w:val="00483A1A"/>
    <w:rsid w:val="0049669B"/>
    <w:rsid w:val="004A72E5"/>
    <w:rsid w:val="004B4971"/>
    <w:rsid w:val="004D6763"/>
    <w:rsid w:val="004D6792"/>
    <w:rsid w:val="004E24FC"/>
    <w:rsid w:val="0050224B"/>
    <w:rsid w:val="00506B3F"/>
    <w:rsid w:val="005546A8"/>
    <w:rsid w:val="00557ED2"/>
    <w:rsid w:val="00565D03"/>
    <w:rsid w:val="00567B3F"/>
    <w:rsid w:val="00576CC0"/>
    <w:rsid w:val="00591215"/>
    <w:rsid w:val="00596A4C"/>
    <w:rsid w:val="00614720"/>
    <w:rsid w:val="00625A81"/>
    <w:rsid w:val="00655101"/>
    <w:rsid w:val="00663ADD"/>
    <w:rsid w:val="00667436"/>
    <w:rsid w:val="0067050A"/>
    <w:rsid w:val="006C0323"/>
    <w:rsid w:val="006C52B2"/>
    <w:rsid w:val="006E03F3"/>
    <w:rsid w:val="00736F3D"/>
    <w:rsid w:val="00760435"/>
    <w:rsid w:val="00761116"/>
    <w:rsid w:val="007A1218"/>
    <w:rsid w:val="007D5FAC"/>
    <w:rsid w:val="007F0835"/>
    <w:rsid w:val="00802EB6"/>
    <w:rsid w:val="008506C4"/>
    <w:rsid w:val="00862BD0"/>
    <w:rsid w:val="00866160"/>
    <w:rsid w:val="008B556C"/>
    <w:rsid w:val="00904DF2"/>
    <w:rsid w:val="00912360"/>
    <w:rsid w:val="00924759"/>
    <w:rsid w:val="00924C35"/>
    <w:rsid w:val="00927398"/>
    <w:rsid w:val="00940180"/>
    <w:rsid w:val="00951748"/>
    <w:rsid w:val="009739E9"/>
    <w:rsid w:val="00973D8A"/>
    <w:rsid w:val="00976A22"/>
    <w:rsid w:val="009A7606"/>
    <w:rsid w:val="009E09B2"/>
    <w:rsid w:val="009F1128"/>
    <w:rsid w:val="009F1159"/>
    <w:rsid w:val="009F23D0"/>
    <w:rsid w:val="009F60C6"/>
    <w:rsid w:val="00A052BE"/>
    <w:rsid w:val="00A16DF3"/>
    <w:rsid w:val="00A31463"/>
    <w:rsid w:val="00A4001B"/>
    <w:rsid w:val="00A54C5F"/>
    <w:rsid w:val="00A72AD4"/>
    <w:rsid w:val="00A81AFB"/>
    <w:rsid w:val="00A8412F"/>
    <w:rsid w:val="00A87CD6"/>
    <w:rsid w:val="00A95BDA"/>
    <w:rsid w:val="00AA161A"/>
    <w:rsid w:val="00AB5C0C"/>
    <w:rsid w:val="00B21942"/>
    <w:rsid w:val="00B27156"/>
    <w:rsid w:val="00B5727F"/>
    <w:rsid w:val="00B62F3C"/>
    <w:rsid w:val="00B76E5F"/>
    <w:rsid w:val="00B8053C"/>
    <w:rsid w:val="00B81BE2"/>
    <w:rsid w:val="00B846C5"/>
    <w:rsid w:val="00BA3756"/>
    <w:rsid w:val="00BA4B52"/>
    <w:rsid w:val="00BB7E17"/>
    <w:rsid w:val="00BC0AB5"/>
    <w:rsid w:val="00BC2FFA"/>
    <w:rsid w:val="00BF0B6E"/>
    <w:rsid w:val="00BF7D0F"/>
    <w:rsid w:val="00C06069"/>
    <w:rsid w:val="00C24D7C"/>
    <w:rsid w:val="00C32FCF"/>
    <w:rsid w:val="00C3375B"/>
    <w:rsid w:val="00C61FAC"/>
    <w:rsid w:val="00C8392F"/>
    <w:rsid w:val="00C87D4E"/>
    <w:rsid w:val="00CA1825"/>
    <w:rsid w:val="00CB089E"/>
    <w:rsid w:val="00CC57F3"/>
    <w:rsid w:val="00CE1BD7"/>
    <w:rsid w:val="00CF08A7"/>
    <w:rsid w:val="00CF370E"/>
    <w:rsid w:val="00D3746D"/>
    <w:rsid w:val="00D55BA9"/>
    <w:rsid w:val="00D605B2"/>
    <w:rsid w:val="00D75E1B"/>
    <w:rsid w:val="00D83502"/>
    <w:rsid w:val="00D96ADC"/>
    <w:rsid w:val="00DA1612"/>
    <w:rsid w:val="00DB001E"/>
    <w:rsid w:val="00DE1012"/>
    <w:rsid w:val="00DE14F2"/>
    <w:rsid w:val="00DF292A"/>
    <w:rsid w:val="00E15247"/>
    <w:rsid w:val="00E235C4"/>
    <w:rsid w:val="00E23AA2"/>
    <w:rsid w:val="00E23EFB"/>
    <w:rsid w:val="00E352EC"/>
    <w:rsid w:val="00E5455C"/>
    <w:rsid w:val="00E573F9"/>
    <w:rsid w:val="00E67A80"/>
    <w:rsid w:val="00E72E38"/>
    <w:rsid w:val="00E742A6"/>
    <w:rsid w:val="00E765D8"/>
    <w:rsid w:val="00E77A20"/>
    <w:rsid w:val="00EA1DD8"/>
    <w:rsid w:val="00F33FB5"/>
    <w:rsid w:val="00F350E3"/>
    <w:rsid w:val="00F66168"/>
    <w:rsid w:val="00F901EE"/>
    <w:rsid w:val="00F92300"/>
    <w:rsid w:val="00FB1DCB"/>
    <w:rsid w:val="00FD4048"/>
    <w:rsid w:val="00FD5999"/>
    <w:rsid w:val="00FD7F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38F569C79C04CB690A5B31C91791EA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编制组</Company>
  <Pages>28</Pages>
  <Words>3813</Words>
  <Characters>21735</Characters>
  <Lines>181</Lines>
  <Paragraphs>50</Paragraphs>
  <TotalTime>1116</TotalTime>
  <ScaleCrop>false</ScaleCrop>
  <LinksUpToDate>false</LinksUpToDate>
  <CharactersWithSpaces>25498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2023-06-19T09:04:00Z</dcterms:created>
  <dc:creator>编制组</dc:creator>
  <cp:lastModifiedBy>user</cp:lastModifiedBy>
  <cp:lastPrinted>2023-06-19T17:11:00Z</cp:lastPrinted>
  <dcterms:modified xsi:type="dcterms:W3CDTF">2023-10-18T09:42:36Z</dcterms:modified>
  <dc:title>外墙保温工程技术规范</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2052-11.8.2.10489</vt:lpwstr>
  </property>
  <property fmtid="{D5CDD505-2E9C-101B-9397-08002B2CF9AE}" pid="16" name="ICV">
    <vt:lpwstr>D6EA97207BB2412CA5160DE5A603219D_13</vt:lpwstr>
  </property>
</Properties>
</file>